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FEDB7AD" w14:textId="77777777" w:rsidTr="00C01462">
        <w:trPr>
          <w:cantSplit/>
          <w:trHeight w:hRule="exact" w:val="851"/>
        </w:trPr>
        <w:tc>
          <w:tcPr>
            <w:tcW w:w="1276" w:type="dxa"/>
            <w:tcBorders>
              <w:bottom w:val="single" w:sz="4" w:space="0" w:color="auto"/>
            </w:tcBorders>
            <w:vAlign w:val="bottom"/>
          </w:tcPr>
          <w:p w14:paraId="52092830" w14:textId="77777777" w:rsidR="00307688" w:rsidRPr="00AB536E" w:rsidRDefault="00307688" w:rsidP="00C01462">
            <w:pPr>
              <w:pStyle w:val="SingleTxtG"/>
            </w:pPr>
          </w:p>
        </w:tc>
        <w:tc>
          <w:tcPr>
            <w:tcW w:w="2268" w:type="dxa"/>
            <w:tcBorders>
              <w:bottom w:val="single" w:sz="4" w:space="0" w:color="auto"/>
            </w:tcBorders>
            <w:vAlign w:val="bottom"/>
          </w:tcPr>
          <w:p w14:paraId="44579EE4" w14:textId="0A1F5A8E" w:rsidR="00307688" w:rsidRPr="00B97172" w:rsidRDefault="00307688" w:rsidP="00C01462">
            <w:pPr>
              <w:spacing w:after="80" w:line="300" w:lineRule="exact"/>
              <w:rPr>
                <w:b/>
                <w:sz w:val="24"/>
                <w:szCs w:val="24"/>
              </w:rPr>
            </w:pPr>
          </w:p>
        </w:tc>
        <w:tc>
          <w:tcPr>
            <w:tcW w:w="6095" w:type="dxa"/>
            <w:gridSpan w:val="2"/>
            <w:tcBorders>
              <w:bottom w:val="single" w:sz="4" w:space="0" w:color="auto"/>
            </w:tcBorders>
            <w:vAlign w:val="bottom"/>
          </w:tcPr>
          <w:p w14:paraId="7077686B" w14:textId="0867D188" w:rsidR="00307688" w:rsidRPr="002E51B7" w:rsidRDefault="002961A2" w:rsidP="00F5120F">
            <w:pPr>
              <w:suppressAutoHyphens w:val="0"/>
              <w:spacing w:after="20"/>
              <w:jc w:val="right"/>
            </w:pPr>
            <w:r w:rsidRPr="002961A2">
              <w:rPr>
                <w:sz w:val="40"/>
              </w:rPr>
              <w:t>CERD</w:t>
            </w:r>
            <w:r>
              <w:t>/C/</w:t>
            </w:r>
            <w:r w:rsidR="00E55D06">
              <w:t>ISL</w:t>
            </w:r>
            <w:r w:rsidR="00DF0B0F">
              <w:t>/24-2</w:t>
            </w:r>
            <w:r w:rsidR="00E55D06">
              <w:t>7</w:t>
            </w:r>
          </w:p>
        </w:tc>
      </w:tr>
      <w:tr w:rsidR="00307688" w14:paraId="2EEEC192" w14:textId="77777777" w:rsidTr="00C01462">
        <w:trPr>
          <w:cantSplit/>
          <w:trHeight w:hRule="exact" w:val="2835"/>
        </w:trPr>
        <w:tc>
          <w:tcPr>
            <w:tcW w:w="1276" w:type="dxa"/>
            <w:tcBorders>
              <w:top w:val="single" w:sz="4" w:space="0" w:color="auto"/>
              <w:bottom w:val="single" w:sz="12" w:space="0" w:color="auto"/>
            </w:tcBorders>
          </w:tcPr>
          <w:p w14:paraId="4DAC236A" w14:textId="163F013E" w:rsidR="00307688" w:rsidRDefault="00307688" w:rsidP="00C01462">
            <w:pPr>
              <w:spacing w:before="120"/>
              <w:jc w:val="center"/>
            </w:pPr>
          </w:p>
        </w:tc>
        <w:tc>
          <w:tcPr>
            <w:tcW w:w="5528" w:type="dxa"/>
            <w:gridSpan w:val="2"/>
            <w:tcBorders>
              <w:top w:val="single" w:sz="4" w:space="0" w:color="auto"/>
              <w:bottom w:val="single" w:sz="12" w:space="0" w:color="auto"/>
            </w:tcBorders>
          </w:tcPr>
          <w:p w14:paraId="69C3F43B" w14:textId="003C2282" w:rsidR="00307688" w:rsidRPr="00360609" w:rsidRDefault="00360609" w:rsidP="00360609">
            <w:pPr>
              <w:spacing w:before="120" w:line="380" w:lineRule="exact"/>
              <w:rPr>
                <w:b/>
                <w:bCs/>
                <w:sz w:val="32"/>
                <w:szCs w:val="32"/>
              </w:rPr>
            </w:pPr>
            <w:r w:rsidRPr="00360609">
              <w:rPr>
                <w:b/>
                <w:bCs/>
                <w:sz w:val="32"/>
                <w:szCs w:val="32"/>
              </w:rPr>
              <w:t>ADVANCE UNEDITED VERSION</w:t>
            </w:r>
          </w:p>
        </w:tc>
        <w:tc>
          <w:tcPr>
            <w:tcW w:w="2835" w:type="dxa"/>
            <w:tcBorders>
              <w:top w:val="single" w:sz="4" w:space="0" w:color="auto"/>
              <w:bottom w:val="single" w:sz="12" w:space="0" w:color="auto"/>
            </w:tcBorders>
          </w:tcPr>
          <w:p w14:paraId="1D7D721F" w14:textId="77777777" w:rsidR="00307688" w:rsidRDefault="002961A2" w:rsidP="002961A2">
            <w:pPr>
              <w:spacing w:before="240"/>
            </w:pPr>
            <w:r>
              <w:t>Distr.: General</w:t>
            </w:r>
          </w:p>
          <w:p w14:paraId="708FDE4F" w14:textId="0B88B2C6" w:rsidR="002961A2" w:rsidRDefault="00360609" w:rsidP="002961A2">
            <w:pPr>
              <w:suppressAutoHyphens w:val="0"/>
            </w:pPr>
            <w:r>
              <w:t>29</w:t>
            </w:r>
            <w:r w:rsidR="00015D28">
              <w:t xml:space="preserve"> April</w:t>
            </w:r>
            <w:r w:rsidR="00B016B8">
              <w:t xml:space="preserve"> 2026</w:t>
            </w:r>
          </w:p>
          <w:p w14:paraId="5A506EBD" w14:textId="77777777" w:rsidR="002961A2" w:rsidRDefault="002961A2" w:rsidP="002961A2">
            <w:pPr>
              <w:suppressAutoHyphens w:val="0"/>
            </w:pPr>
          </w:p>
          <w:p w14:paraId="5AB5342E" w14:textId="66F5F095" w:rsidR="002961A2" w:rsidRDefault="002961A2" w:rsidP="002961A2">
            <w:pPr>
              <w:suppressAutoHyphens w:val="0"/>
            </w:pPr>
            <w:r>
              <w:t>Original: English</w:t>
            </w:r>
          </w:p>
          <w:p w14:paraId="749FBBA6" w14:textId="77777777" w:rsidR="002961A2" w:rsidRDefault="002961A2" w:rsidP="002961A2">
            <w:pPr>
              <w:suppressAutoHyphens w:val="0"/>
            </w:pPr>
            <w:r>
              <w:t>English, French and Spanish only</w:t>
            </w:r>
          </w:p>
        </w:tc>
      </w:tr>
    </w:tbl>
    <w:p w14:paraId="1884D808" w14:textId="77777777" w:rsidR="002961A2" w:rsidRPr="007662AB" w:rsidRDefault="002961A2">
      <w:pPr>
        <w:spacing w:before="120"/>
        <w:rPr>
          <w:b/>
          <w:sz w:val="24"/>
          <w:szCs w:val="24"/>
        </w:rPr>
      </w:pPr>
      <w:r w:rsidRPr="007662AB">
        <w:rPr>
          <w:b/>
          <w:sz w:val="24"/>
          <w:szCs w:val="24"/>
        </w:rPr>
        <w:t>Committee on the Elimination of Racial Discrimination</w:t>
      </w:r>
    </w:p>
    <w:p w14:paraId="3B606427" w14:textId="6040460C" w:rsidR="0065271E" w:rsidRPr="007662AB" w:rsidRDefault="0065271E" w:rsidP="0065271E">
      <w:pPr>
        <w:pStyle w:val="HMG"/>
      </w:pPr>
      <w:r w:rsidRPr="007662AB">
        <w:tab/>
      </w:r>
      <w:r w:rsidRPr="007662AB">
        <w:tab/>
      </w:r>
      <w:fldSimple w:instr=" DOCPROPERTY  prepwc  \* MERGEFORMAT ">
        <w:r w:rsidRPr="007662AB">
          <w:t>Combined twenty-</w:t>
        </w:r>
        <w:r w:rsidR="00924EC4">
          <w:t xml:space="preserve">fourth </w:t>
        </w:r>
        <w:r w:rsidR="00E55D06">
          <w:t>to</w:t>
        </w:r>
        <w:r w:rsidRPr="007662AB">
          <w:t xml:space="preserve"> twenty-</w:t>
        </w:r>
        <w:r w:rsidR="00E55D06">
          <w:t>seventh</w:t>
        </w:r>
        <w:r w:rsidRPr="007662AB">
          <w:t xml:space="preserve"> reports </w:t>
        </w:r>
      </w:fldSimple>
      <w:r w:rsidRPr="007662AB">
        <w:t xml:space="preserve">submitted by </w:t>
      </w:r>
      <w:r w:rsidR="00E55D06">
        <w:t xml:space="preserve">Iceland </w:t>
      </w:r>
      <w:r w:rsidRPr="007662AB">
        <w:t>under article 9 of the Convention, due in 20</w:t>
      </w:r>
      <w:r w:rsidR="00AA402B">
        <w:t>2</w:t>
      </w:r>
      <w:r w:rsidR="00E55D06">
        <w:t>2</w:t>
      </w:r>
      <w:r w:rsidRPr="007662AB">
        <w:rPr>
          <w:rStyle w:val="FootnoteReference"/>
          <w:b w:val="0"/>
          <w:sz w:val="20"/>
          <w:vertAlign w:val="baseline"/>
        </w:rPr>
        <w:footnoteReference w:customMarkFollows="1" w:id="1"/>
        <w:t>*</w:t>
      </w:r>
    </w:p>
    <w:p w14:paraId="7BEEFD50" w14:textId="11C40564" w:rsidR="0065271E" w:rsidRPr="007662AB" w:rsidRDefault="0065271E" w:rsidP="0065271E">
      <w:pPr>
        <w:pStyle w:val="SingleTxtG"/>
        <w:jc w:val="right"/>
      </w:pPr>
      <w:r w:rsidRPr="007662AB">
        <w:t xml:space="preserve">[Date received: </w:t>
      </w:r>
      <w:r w:rsidR="00B016B8">
        <w:t>25</w:t>
      </w:r>
      <w:r w:rsidR="00E55D06">
        <w:t xml:space="preserve"> March</w:t>
      </w:r>
      <w:r w:rsidR="00B016B8">
        <w:t xml:space="preserve"> 2026</w:t>
      </w:r>
      <w:r w:rsidRPr="007662AB">
        <w:t>]</w:t>
      </w:r>
    </w:p>
    <w:p w14:paraId="1A78DB67" w14:textId="77777777" w:rsidR="0065271E" w:rsidRPr="007662AB" w:rsidRDefault="0065271E" w:rsidP="0065271E">
      <w:pPr>
        <w:pStyle w:val="SingleTxtG"/>
        <w:rPr>
          <w:rFonts w:eastAsiaTheme="minorHAnsi"/>
        </w:rPr>
      </w:pPr>
      <w:r w:rsidRPr="007662AB">
        <w:rPr>
          <w:color w:val="0000FF"/>
        </w:rPr>
        <w:br w:type="page"/>
      </w:r>
    </w:p>
    <w:p w14:paraId="1EFA40AB" w14:textId="54223A6A" w:rsidR="0065271E" w:rsidRDefault="0065271E" w:rsidP="008431CB">
      <w:pPr>
        <w:pStyle w:val="HChG"/>
      </w:pPr>
      <w:r w:rsidRPr="007662AB">
        <w:lastRenderedPageBreak/>
        <w:tab/>
      </w:r>
      <w:r w:rsidR="00F76B6F">
        <w:t>I.</w:t>
      </w:r>
      <w:r w:rsidRPr="007662AB">
        <w:tab/>
      </w:r>
      <w:r w:rsidRPr="008431CB">
        <w:t>Introduction</w:t>
      </w:r>
    </w:p>
    <w:p w14:paraId="600E532A" w14:textId="77777777" w:rsidR="00C10045" w:rsidRPr="00C10045" w:rsidRDefault="00C10045" w:rsidP="008431CB">
      <w:pPr>
        <w:pStyle w:val="SingleTxtG"/>
        <w:numPr>
          <w:ilvl w:val="0"/>
          <w:numId w:val="8"/>
        </w:numPr>
        <w:ind w:left="1134" w:firstLine="0"/>
      </w:pPr>
      <w:r w:rsidRPr="00C10045">
        <w:t xml:space="preserve">The Icelandic State has, in keeping with Article 9 of the International Convention on the Elimination of All Forms of Racial Discrimination, prepared this report on the implementation of the Convention. The report </w:t>
      </w:r>
      <w:proofErr w:type="gramStart"/>
      <w:r w:rsidRPr="00C10045">
        <w:t>takes into account</w:t>
      </w:r>
      <w:proofErr w:type="gramEnd"/>
      <w:r w:rsidRPr="00C10045">
        <w:t xml:space="preserve"> the guidelines of the United Nations Committee on the Elimination of Racial Discrimination (CERD/C/2007/1). The report covers the period of 2018 to August 2025 and seeks to provide an accurate picture of the implementation of the Convention during that period. A special focus has been placed on those points emphasised by the Committee on the Elimination of Racial Discrimination in its concluding observations following Iceland’s 21st to 23rd report. The Ministry of Justice’s Department of Equality and Civil Rights supervised the reporting process in cooperation with the Government Offices Steering Committee on Human Rights, which is composed of representatives from all the ministries. An emphasis was placed on consultation with stakeholders, and information on the pending reporting was posted on the Government Offices consultation portal in January 2024, along with a request for observations. The Icelandic Human Rights Centre and the Icelandic Disability Alliance submitted observations. Their observations called for public presentation of the equality laws, the founding of an independent human rights institution, for taking special care in the treatment of people with disabilities who are refugees, increasing financial support for organisations assisting victims of violence, a review of legislation on foreign nationals, amending the rules on free legal aid, and ensuring the right to the services of an interpreter within the administrative system. A draft report was published for comment on the consultation portal at the end of October 2025, to give stakeholders a chance to make observations on the contents of the report. (concluding observation 26). The Icelandic Human Rights Institute submitted observations but did not make comments on the contents of the report; as did an individual who has researched the experiences of dark-skinned people in their interactions with the police, who pointed out that the report should take account of his research.</w:t>
      </w:r>
    </w:p>
    <w:p w14:paraId="20995F0E" w14:textId="0DA54231" w:rsidR="00C10045" w:rsidRPr="00C10045" w:rsidRDefault="008431CB" w:rsidP="008431CB">
      <w:pPr>
        <w:pStyle w:val="HChG"/>
        <w:rPr>
          <w:rFonts w:eastAsia="SimSun"/>
        </w:rPr>
      </w:pPr>
      <w:r>
        <w:rPr>
          <w:rFonts w:eastAsia="SimSun"/>
        </w:rPr>
        <w:tab/>
      </w:r>
      <w:r w:rsidR="00C10045" w:rsidRPr="00C10045">
        <w:rPr>
          <w:rFonts w:eastAsia="SimSun"/>
        </w:rPr>
        <w:t>II.</w:t>
      </w:r>
      <w:r>
        <w:rPr>
          <w:rFonts w:eastAsia="SimSun"/>
        </w:rPr>
        <w:tab/>
      </w:r>
      <w:r w:rsidR="00C10045" w:rsidRPr="00C10045">
        <w:rPr>
          <w:rFonts w:eastAsia="SimSun"/>
        </w:rPr>
        <w:t xml:space="preserve">General information </w:t>
      </w:r>
    </w:p>
    <w:p w14:paraId="36E06C09" w14:textId="06049E0A" w:rsidR="00C10045" w:rsidRPr="00C10045" w:rsidRDefault="009F5E35" w:rsidP="009F5E35">
      <w:pPr>
        <w:pStyle w:val="H1G"/>
        <w:rPr>
          <w:rFonts w:eastAsia="SimSun"/>
        </w:rPr>
      </w:pPr>
      <w:r>
        <w:rPr>
          <w:rFonts w:eastAsia="SimSun"/>
        </w:rPr>
        <w:tab/>
      </w:r>
      <w:r>
        <w:rPr>
          <w:rFonts w:eastAsia="SimSun"/>
        </w:rPr>
        <w:tab/>
      </w:r>
      <w:r w:rsidR="00C10045" w:rsidRPr="00C10045">
        <w:rPr>
          <w:rFonts w:eastAsia="SimSun"/>
        </w:rPr>
        <w:t xml:space="preserve">Demographic background </w:t>
      </w:r>
    </w:p>
    <w:p w14:paraId="5A9D67D7" w14:textId="77777777" w:rsidR="00C10045" w:rsidRPr="00C10045" w:rsidRDefault="00C10045" w:rsidP="008431CB">
      <w:pPr>
        <w:pStyle w:val="SingleTxtG"/>
        <w:numPr>
          <w:ilvl w:val="0"/>
          <w:numId w:val="8"/>
        </w:numPr>
        <w:ind w:left="1134" w:firstLine="0"/>
      </w:pPr>
      <w:r w:rsidRPr="00C10045">
        <w:t xml:space="preserve">The demographics of Icelandic society have undergone extensive changes in recent years and, as a matter of fact, the increase in the number of immigrants in Iceland has been among the highest within the OECD States. In January 2024, 18.6% of the population were immigrants, an increase of 10.8% in the span of eight years, i.e. since 2016. The main characteristic of immigrants in Iceland is that </w:t>
      </w:r>
      <w:proofErr w:type="gramStart"/>
      <w:r w:rsidRPr="00C10045">
        <w:t>the majority of</w:t>
      </w:r>
      <w:proofErr w:type="gramEnd"/>
      <w:r w:rsidRPr="00C10045">
        <w:t xml:space="preserve"> them comes from countries within the European Economic Area, or around 80%. Over a third of all immigrants in Iceland come from Poland. Further information can be found in Iceland’s Common Core Document (HRI/CORE/ISL/2021).</w:t>
      </w:r>
    </w:p>
    <w:p w14:paraId="63A58363" w14:textId="13722D77" w:rsidR="00C10045" w:rsidRPr="00C10045" w:rsidRDefault="009F5E35" w:rsidP="009F5E35">
      <w:pPr>
        <w:pStyle w:val="H1G"/>
        <w:rPr>
          <w:rFonts w:eastAsia="SimSun"/>
        </w:rPr>
      </w:pPr>
      <w:r>
        <w:rPr>
          <w:rFonts w:eastAsia="SimSun"/>
        </w:rPr>
        <w:tab/>
      </w:r>
      <w:r>
        <w:rPr>
          <w:rFonts w:eastAsia="SimSun"/>
        </w:rPr>
        <w:tab/>
      </w:r>
      <w:r w:rsidR="00C10045" w:rsidRPr="00C10045">
        <w:rPr>
          <w:rFonts w:eastAsia="SimSun"/>
        </w:rPr>
        <w:t>Iceland’s Common Core Document and follow-up to the concluding observations</w:t>
      </w:r>
    </w:p>
    <w:p w14:paraId="5FAE5676" w14:textId="77777777" w:rsidR="00C10045" w:rsidRPr="00C10045" w:rsidRDefault="00C10045" w:rsidP="008431CB">
      <w:pPr>
        <w:pStyle w:val="SingleTxtG"/>
        <w:numPr>
          <w:ilvl w:val="0"/>
          <w:numId w:val="8"/>
        </w:numPr>
        <w:ind w:left="1134" w:firstLine="0"/>
      </w:pPr>
      <w:r w:rsidRPr="00C10045">
        <w:t xml:space="preserve">Iceland’s Common Core Document was updated in 2021 and includes a special chapter on equality and the prohibition of discrimination (HRI/CORE/ISL/2021) (concluding observation 28). </w:t>
      </w:r>
    </w:p>
    <w:p w14:paraId="3E37E37B" w14:textId="77777777" w:rsidR="00C10045" w:rsidRPr="00C10045" w:rsidRDefault="00C10045" w:rsidP="008431CB">
      <w:pPr>
        <w:pStyle w:val="SingleTxtG"/>
        <w:numPr>
          <w:ilvl w:val="0"/>
          <w:numId w:val="8"/>
        </w:numPr>
        <w:ind w:left="1134" w:firstLine="0"/>
      </w:pPr>
      <w:r w:rsidRPr="00C10045">
        <w:t>A special human rights web page was set up in 2020 on the Government Offices website. It covers the human rights instruments Iceland is party to, including the International Convention on the Elimination of All Forms of Racial Discrimination. The web page includes the Icelandic and English versions of the Convention, as well as information on the procedure for individuals to submit complaints to the Committee, and Iceland’s reports on the implementation of the Convention and the Committee’s concluding observations. The latest concluding observations have been published on the web page in English and Icelandic (concluding observation 27).</w:t>
      </w:r>
    </w:p>
    <w:p w14:paraId="011EADC5" w14:textId="77777777" w:rsidR="00C10045" w:rsidRPr="00C10045" w:rsidRDefault="00C10045" w:rsidP="008431CB">
      <w:pPr>
        <w:pStyle w:val="SingleTxtG"/>
        <w:numPr>
          <w:ilvl w:val="0"/>
          <w:numId w:val="8"/>
        </w:numPr>
        <w:ind w:left="1134" w:firstLine="0"/>
      </w:pPr>
      <w:r w:rsidRPr="00C10045">
        <w:t xml:space="preserve">The Government Steering Committee on Human Rights has had the task of following-up on the Committee’s concluding observations. In September 2019, the Icelandic State submitted information on the follow-up to certain observations to the Committee, in keeping with concluding observation 29. </w:t>
      </w:r>
    </w:p>
    <w:p w14:paraId="10FD0801" w14:textId="0B5B0CFC" w:rsidR="00C10045" w:rsidRPr="00C10045" w:rsidRDefault="009F5E35" w:rsidP="009F5E35">
      <w:pPr>
        <w:pStyle w:val="H1G"/>
        <w:rPr>
          <w:rFonts w:eastAsia="SimSun"/>
        </w:rPr>
      </w:pPr>
      <w:r>
        <w:rPr>
          <w:rFonts w:eastAsia="SimSun"/>
        </w:rPr>
        <w:tab/>
      </w:r>
      <w:r>
        <w:rPr>
          <w:rFonts w:eastAsia="SimSun"/>
        </w:rPr>
        <w:tab/>
      </w:r>
      <w:r w:rsidR="00C10045" w:rsidRPr="00C10045">
        <w:rPr>
          <w:rFonts w:eastAsia="SimSun"/>
        </w:rPr>
        <w:t>The Durban Declaration and the International Decade for People of African Descent</w:t>
      </w:r>
    </w:p>
    <w:p w14:paraId="5628D2FF" w14:textId="77777777" w:rsidR="00C10045" w:rsidRPr="00C10045" w:rsidRDefault="00C10045" w:rsidP="008431CB">
      <w:pPr>
        <w:pStyle w:val="SingleTxtG"/>
        <w:numPr>
          <w:ilvl w:val="0"/>
          <w:numId w:val="8"/>
        </w:numPr>
        <w:ind w:left="1134" w:firstLine="0"/>
      </w:pPr>
      <w:r w:rsidRPr="00C10045">
        <w:t xml:space="preserve">The Icelandic administration supports the Durban Declaration and the commitments made in Durban in 2001. The Icelandic administration also supports the objectives of the Resolution on the International Decade for People of African Descent. No direct action has been taken to introduce these instruments, but the viewpoints of the Declaration are identical to the ones that have been the beacon in the administration's </w:t>
      </w:r>
      <w:proofErr w:type="gramStart"/>
      <w:r w:rsidRPr="00C10045">
        <w:t>policy-making</w:t>
      </w:r>
      <w:proofErr w:type="gramEnd"/>
      <w:r w:rsidRPr="00C10045">
        <w:t xml:space="preserve"> (concluding observations 24 and 25).</w:t>
      </w:r>
    </w:p>
    <w:p w14:paraId="773374A9" w14:textId="0666D527" w:rsidR="00C10045" w:rsidRPr="00C10045" w:rsidRDefault="009F5E35" w:rsidP="009F5E35">
      <w:pPr>
        <w:pStyle w:val="HChG"/>
        <w:rPr>
          <w:rFonts w:eastAsia="SimSun"/>
        </w:rPr>
      </w:pPr>
      <w:r>
        <w:rPr>
          <w:rFonts w:eastAsia="SimSun"/>
        </w:rPr>
        <w:tab/>
      </w:r>
      <w:r w:rsidR="00C10045" w:rsidRPr="00C10045">
        <w:rPr>
          <w:rFonts w:eastAsia="SimSun"/>
        </w:rPr>
        <w:t>III.</w:t>
      </w:r>
      <w:r>
        <w:rPr>
          <w:rFonts w:eastAsia="SimSun"/>
        </w:rPr>
        <w:tab/>
      </w:r>
      <w:r w:rsidR="00C10045" w:rsidRPr="00C10045">
        <w:rPr>
          <w:rFonts w:eastAsia="SimSun"/>
        </w:rPr>
        <w:t xml:space="preserve">Information regarding Articles 1 to 7 of the Convention </w:t>
      </w:r>
    </w:p>
    <w:p w14:paraId="0C0F6ED5" w14:textId="290483C5" w:rsidR="00C10045" w:rsidRPr="00C10045" w:rsidRDefault="009F5E35" w:rsidP="009F5E35">
      <w:pPr>
        <w:pStyle w:val="H1G"/>
        <w:rPr>
          <w:rFonts w:eastAsia="SimSun"/>
        </w:rPr>
      </w:pPr>
      <w:r>
        <w:rPr>
          <w:rFonts w:eastAsia="SimSun"/>
        </w:rPr>
        <w:tab/>
      </w:r>
      <w:r>
        <w:rPr>
          <w:rFonts w:eastAsia="SimSun"/>
        </w:rPr>
        <w:tab/>
      </w:r>
      <w:r w:rsidR="00C10045" w:rsidRPr="00C10045">
        <w:rPr>
          <w:rFonts w:eastAsia="SimSun"/>
        </w:rPr>
        <w:t xml:space="preserve">Article 1 of the Convention </w:t>
      </w:r>
    </w:p>
    <w:p w14:paraId="471BA989" w14:textId="4C7B5313" w:rsidR="00C10045" w:rsidRPr="00C10045" w:rsidRDefault="00C10045" w:rsidP="008431CB">
      <w:pPr>
        <w:pStyle w:val="SingleTxtG"/>
        <w:numPr>
          <w:ilvl w:val="0"/>
          <w:numId w:val="8"/>
        </w:numPr>
        <w:ind w:left="1134" w:firstLine="0"/>
      </w:pPr>
      <w:r w:rsidRPr="00C10045">
        <w:t xml:space="preserve">Reference is made to Iceland’s previous reports for coverage of the principle of equality in Article 65 of the Constitution of the Republic of Iceland No. 33/1944, and other legislation aiming to ensure protection against all kinds of discrimination (CERD/C/ISL/21-23, para. 13-18, para. 32). There is comprehensive and wide-reaching legislation in force that prohibits discrimination at all levels of society, including in the public arena in the sense of Article 1(1) of the Convention. Two legal codes took force on 1 September 2018: the Act on Equal Treatment Outside the Labour Market No 85/2018, and the Act on Equal Treatment on the Labour Market No 86/2018. The aim of this legislation is to combat discrimination and establish and maintain equal treatment of individuals irrespective of race, ethnicity, religion, life stance, disability, age, sexual orientation, gender identity, sex characteristics or gender expression, on and outside the labour market. Although the </w:t>
      </w:r>
      <w:proofErr w:type="gramStart"/>
      <w:r w:rsidRPr="00C10045">
        <w:t>aforementioned equality</w:t>
      </w:r>
      <w:proofErr w:type="gramEnd"/>
      <w:r w:rsidRPr="00C10045">
        <w:t xml:space="preserve"> legislation does not cover discriminatory treatment based on legal nationality, it does cover other aspects concerning immigrants, such as ethnicity, race and religion. (CERD/C/ISL/21-23, para. 32), see para. 12-14 for further discussion. </w:t>
      </w:r>
    </w:p>
    <w:p w14:paraId="0B43C38A" w14:textId="77777777" w:rsidR="00C10045" w:rsidRPr="00C10045" w:rsidRDefault="00C10045" w:rsidP="008431CB">
      <w:pPr>
        <w:pStyle w:val="SingleTxtG"/>
        <w:numPr>
          <w:ilvl w:val="0"/>
          <w:numId w:val="8"/>
        </w:numPr>
        <w:ind w:left="1134" w:firstLine="0"/>
      </w:pPr>
      <w:r w:rsidRPr="00C10045">
        <w:t xml:space="preserve">Some amendments to the General Penal Code No 19/1940 took force in 2022, the objectives of which included complying with the Committee’s concluding observations. The wording of Article 233a, on hate speech, has now been amended to replace the term “nationality” with “ethnic or national origin”. This amendment </w:t>
      </w:r>
      <w:proofErr w:type="gramStart"/>
      <w:r w:rsidRPr="00C10045">
        <w:t>is considered to be</w:t>
      </w:r>
      <w:proofErr w:type="gramEnd"/>
      <w:r w:rsidRPr="00C10045">
        <w:t xml:space="preserve"> more in line with Article 1 of the Convention on the Elimination of All Forms of Racial Discrimination, where reference is made to “national or ethnic origin”. A comparable amendment was made to Article 180, on the prohibition of denial of goods or services (concluding observation 6).</w:t>
      </w:r>
    </w:p>
    <w:p w14:paraId="41B145A5" w14:textId="77777777" w:rsidR="00C10045" w:rsidRPr="00C10045" w:rsidRDefault="00C10045" w:rsidP="008431CB">
      <w:pPr>
        <w:pStyle w:val="SingleTxtG"/>
        <w:numPr>
          <w:ilvl w:val="0"/>
          <w:numId w:val="8"/>
        </w:numPr>
        <w:ind w:left="1134" w:firstLine="0"/>
      </w:pPr>
      <w:r w:rsidRPr="00C10045">
        <w:t>A new point was also added to Article 70(1) of the General Penal Code in 2022, enumerating points that shall be considered when imposing punishments. Point 10 now provides that the punishment shall be aggravated if the offence can be attributed to ethnic or national origin, skin colour, race, religion, disability, sex characteristics, sexual orientation, gender identity or other similar factors (concluding observation 10).</w:t>
      </w:r>
    </w:p>
    <w:p w14:paraId="48C9B3D7" w14:textId="6504B80E" w:rsidR="00C10045" w:rsidRPr="00C10045" w:rsidRDefault="009F5E35" w:rsidP="009F5E35">
      <w:pPr>
        <w:pStyle w:val="H1G"/>
        <w:rPr>
          <w:rFonts w:eastAsia="SimSun"/>
        </w:rPr>
      </w:pPr>
      <w:r>
        <w:rPr>
          <w:rFonts w:eastAsia="SimSun"/>
        </w:rPr>
        <w:tab/>
      </w:r>
      <w:r>
        <w:rPr>
          <w:rFonts w:eastAsia="SimSun"/>
        </w:rPr>
        <w:tab/>
      </w:r>
      <w:r w:rsidR="00C10045" w:rsidRPr="00C10045">
        <w:rPr>
          <w:rFonts w:eastAsia="SimSun"/>
        </w:rPr>
        <w:t xml:space="preserve">Article 2 of the Convention </w:t>
      </w:r>
    </w:p>
    <w:p w14:paraId="7D052455" w14:textId="77777777" w:rsidR="00C10045" w:rsidRPr="00C10045" w:rsidRDefault="00C10045" w:rsidP="008431CB">
      <w:pPr>
        <w:pStyle w:val="SingleTxtG"/>
        <w:numPr>
          <w:ilvl w:val="0"/>
          <w:numId w:val="8"/>
        </w:numPr>
        <w:ind w:left="1134" w:firstLine="0"/>
      </w:pPr>
      <w:r w:rsidRPr="00C10045">
        <w:t xml:space="preserve">The tradition in Iceland is to adapt domestic legislation to human rights conventions rather than incorporate them into the legal order in their entirety. The supervisory committees of human rights treaty bodies have applied dynamic interpretation of human rights treaty provisions, with the scope of the treaty provisions expanding accordingly. Therefore, the Icelandic administration has sought to address that through legislative enactment. This is reflected, </w:t>
      </w:r>
      <w:r w:rsidRPr="00C10045">
        <w:rPr>
          <w:i/>
          <w:iCs/>
        </w:rPr>
        <w:t>inter alia</w:t>
      </w:r>
      <w:r w:rsidRPr="00C10045">
        <w:t>, in the work procedure during the preparatory stage of government bills, which entails that assessment should always be made as to whether the substantive content of prospective legal acts is compatible with existing obligations under international law (concluding observation 8).</w:t>
      </w:r>
    </w:p>
    <w:p w14:paraId="494FB9EE" w14:textId="77777777" w:rsidR="00C10045" w:rsidRPr="00C10045" w:rsidRDefault="00C10045" w:rsidP="008431CB">
      <w:pPr>
        <w:pStyle w:val="SingleTxtG"/>
        <w:numPr>
          <w:ilvl w:val="0"/>
          <w:numId w:val="8"/>
        </w:numPr>
        <w:ind w:left="1134" w:firstLine="0"/>
      </w:pPr>
      <w:r w:rsidRPr="00C10045">
        <w:t xml:space="preserve">The Icelandic State acceded to both the UN Convention relating to the Status of Stateless Persons and the UN Convention on the Reduction of Statelessness in 2021. </w:t>
      </w:r>
      <w:proofErr w:type="gramStart"/>
      <w:r w:rsidRPr="00C10045">
        <w:t>A number of</w:t>
      </w:r>
      <w:proofErr w:type="gramEnd"/>
      <w:r w:rsidRPr="00C10045">
        <w:t xml:space="preserve"> legislative amendments have been made to adapt Icelandic legislation to these Conventions, a process that involved, </w:t>
      </w:r>
      <w:r w:rsidRPr="00C10045">
        <w:rPr>
          <w:i/>
          <w:iCs/>
        </w:rPr>
        <w:t>inter alia</w:t>
      </w:r>
      <w:r w:rsidRPr="00C10045">
        <w:t>, consultation with the Office of the United Nations High Commissioner for Refugees (concluding observation 23).</w:t>
      </w:r>
    </w:p>
    <w:p w14:paraId="129CAC6A" w14:textId="45C6F43F" w:rsidR="00C10045" w:rsidRPr="00C10045" w:rsidRDefault="009F5E35" w:rsidP="009F5E35">
      <w:pPr>
        <w:pStyle w:val="H23G"/>
        <w:rPr>
          <w:rFonts w:eastAsia="SimSun"/>
          <w:bCs/>
        </w:rPr>
      </w:pPr>
      <w:r>
        <w:rPr>
          <w:rFonts w:eastAsia="SimSun"/>
        </w:rPr>
        <w:tab/>
      </w:r>
      <w:r>
        <w:rPr>
          <w:rFonts w:eastAsia="SimSun"/>
        </w:rPr>
        <w:tab/>
      </w:r>
      <w:r w:rsidR="00C10045" w:rsidRPr="00C10045">
        <w:rPr>
          <w:rFonts w:eastAsia="SimSun"/>
        </w:rPr>
        <w:t>Equality legislation</w:t>
      </w:r>
    </w:p>
    <w:p w14:paraId="1F8F26E4" w14:textId="77777777" w:rsidR="00C10045" w:rsidRPr="00C10045" w:rsidRDefault="00C10045" w:rsidP="008431CB">
      <w:pPr>
        <w:pStyle w:val="SingleTxtG"/>
        <w:numPr>
          <w:ilvl w:val="0"/>
          <w:numId w:val="8"/>
        </w:numPr>
        <w:ind w:left="1134" w:firstLine="0"/>
      </w:pPr>
      <w:r w:rsidRPr="00C10045">
        <w:t xml:space="preserve">Two legal codes on the prohibition of discrimination were adopted in 2018: the Act on Equal Treatment on the Labour Market No 86/2018 and the Act on Equal Treatment Outside the Labour Market No 85/2018. The latter was originally titled Act on Equal Treatment Irrespective of Race and Ethnic Origin (see CERD/C/ISL/21-23, para. 32). The Act was amended in 2022 to add religion, life stance, disability, age, sexual orientation, sexual identity, sex characteristics, and gender expression to the discrimination factors. With that amendment, the title of the Act was changed to Act on Equal Treatment Outside the Labour Market. The Act on Equal Status and Equal Rights Irrespective of Gender No 150/2020 entered into force in 2020. With that Act, provisions on multiple discrimination were enacted for the first time, i.e. on discrimination </w:t>
      </w:r>
      <w:proofErr w:type="gramStart"/>
      <w:r w:rsidRPr="00C10045">
        <w:t>on the basis of</w:t>
      </w:r>
      <w:proofErr w:type="gramEnd"/>
      <w:r w:rsidRPr="00C10045">
        <w:t xml:space="preserve"> more than one of the discriminatory factors listed in the Act, regardless of whether in combination, double or multiple. The aim of this novelty was to promote more equality and increase legal protection for the most vulnerable people. The said legal act also provides for authorisation for specific temporary action intended to improve the situation of individuals in those areas where they are disadvantaged, </w:t>
      </w:r>
      <w:proofErr w:type="gramStart"/>
      <w:r w:rsidRPr="00C10045">
        <w:t>in order to</w:t>
      </w:r>
      <w:proofErr w:type="gramEnd"/>
      <w:r w:rsidRPr="00C10045">
        <w:t xml:space="preserve"> promote equal treatment in accordance with Article 12 of Act No 85/2018 and Article 11(2) of Act No 86/2018.</w:t>
      </w:r>
    </w:p>
    <w:p w14:paraId="51D3BE23" w14:textId="77777777" w:rsidR="00C10045" w:rsidRPr="00C10045" w:rsidRDefault="00C10045" w:rsidP="008431CB">
      <w:pPr>
        <w:pStyle w:val="SingleTxtG"/>
        <w:numPr>
          <w:ilvl w:val="0"/>
          <w:numId w:val="8"/>
        </w:numPr>
        <w:ind w:left="1134" w:firstLine="0"/>
      </w:pPr>
      <w:r w:rsidRPr="00C10045">
        <w:t xml:space="preserve">Together, these three legal codes form a comprehensive and wide-reaching legislation prohibiting discrimination. There, the term “discrimination” means any kind of discriminatory practice in all areas of society, both direct and indirect. Orders to practice discrimination </w:t>
      </w:r>
      <w:proofErr w:type="gramStart"/>
      <w:r w:rsidRPr="00C10045">
        <w:t>on the basis of</w:t>
      </w:r>
      <w:proofErr w:type="gramEnd"/>
      <w:r w:rsidRPr="00C10045">
        <w:t xml:space="preserve"> any of the specifically protected factors is also considered to be discrimination under the legislation, and the same applies to harassment connected to any of those factors, including race or ethnicity</w:t>
      </w:r>
      <w:bookmarkStart w:id="0" w:name="_Hlk159243421"/>
      <w:r w:rsidRPr="00C10045">
        <w:t xml:space="preserve"> (concluding observation 14a).</w:t>
      </w:r>
    </w:p>
    <w:p w14:paraId="43321F3A" w14:textId="77777777" w:rsidR="00C10045" w:rsidRPr="00C10045" w:rsidRDefault="00C10045" w:rsidP="008431CB">
      <w:pPr>
        <w:pStyle w:val="SingleTxtG"/>
        <w:numPr>
          <w:ilvl w:val="0"/>
          <w:numId w:val="8"/>
        </w:numPr>
        <w:ind w:left="1134" w:firstLine="0"/>
      </w:pPr>
      <w:r w:rsidRPr="00C10045">
        <w:t xml:space="preserve">The organisation of equality matters is covered separately by the Act on the Administration of Matters Concerning Equality No 151/2020. The competences of the Directorate of Equality and the Equality Complaints Committee have been expanded in keeping with the </w:t>
      </w:r>
      <w:proofErr w:type="gramStart"/>
      <w:r w:rsidRPr="00C10045">
        <w:t>aforementioned legislative</w:t>
      </w:r>
      <w:proofErr w:type="gramEnd"/>
      <w:r w:rsidRPr="00C10045">
        <w:t xml:space="preserve"> amendments. The Directorate of Equality, which is under the supervision of the Minister of Justice, is now in charge of administration in the field of equality matters, in the widest sense, and is responsible for the implementation of the three legal codes. The Directorate of Equality also carries out education and information activities in the field of equality and has, </w:t>
      </w:r>
      <w:r w:rsidRPr="00C10045">
        <w:rPr>
          <w:i/>
          <w:iCs/>
        </w:rPr>
        <w:t>inter alia</w:t>
      </w:r>
      <w:r w:rsidRPr="00C10045">
        <w:t>, issued information posters about the legislation and conducted special courses for employers on the content of these acts; see the further discussion in paragraph 81. The role of the Equality Complaints Committee has also been expanded so that, instead of only accepting complaints regarding gender-based discrimination, it now also accepts complaints based on the other factors stated in the law; see the further discussion in paragraph 86.</w:t>
      </w:r>
      <w:bookmarkEnd w:id="0"/>
    </w:p>
    <w:p w14:paraId="74E4DE17" w14:textId="2CAD5244" w:rsidR="00C10045" w:rsidRPr="00C10045" w:rsidRDefault="009F5E35" w:rsidP="009F5E35">
      <w:pPr>
        <w:pStyle w:val="H23G"/>
        <w:rPr>
          <w:rFonts w:eastAsia="SimSun"/>
          <w:bCs/>
        </w:rPr>
      </w:pPr>
      <w:r>
        <w:rPr>
          <w:rFonts w:eastAsia="SimSun"/>
        </w:rPr>
        <w:tab/>
      </w:r>
      <w:r>
        <w:rPr>
          <w:rFonts w:eastAsia="SimSun"/>
        </w:rPr>
        <w:tab/>
      </w:r>
      <w:r w:rsidR="00C10045" w:rsidRPr="00C10045">
        <w:rPr>
          <w:rFonts w:eastAsia="SimSun"/>
        </w:rPr>
        <w:t xml:space="preserve">The Icelandic Human Rights Institute </w:t>
      </w:r>
    </w:p>
    <w:p w14:paraId="0B291963" w14:textId="77777777" w:rsidR="00C10045" w:rsidRPr="00C10045" w:rsidRDefault="00C10045" w:rsidP="008431CB">
      <w:pPr>
        <w:pStyle w:val="SingleTxtG"/>
        <w:numPr>
          <w:ilvl w:val="0"/>
          <w:numId w:val="8"/>
        </w:numPr>
        <w:ind w:left="1134" w:firstLine="0"/>
      </w:pPr>
      <w:r w:rsidRPr="00C10045">
        <w:t>The act on an independent national human rights institution was adopted by Althingi in June 2024, and the Institution began its operations formally on 1 May 2025. The role of the Icelandic Human Rights Institute is to promote and protect human rights in all areas of society. The Human Rights Institute is independent in all its activities but operates under the auspices of Althingi. The explanatory notes to the bill specifically note that the notion of human rights refers to rights as they are defined in the Constitution and international conventions, with explicit reference to the International Covenant on Elimination of All Forms of Racial Discrimination. The Icelandic Human Rights Institute is expected to comply with the UN guidelines on human rights institutions, the so-called Paris Principles (concluding observation 12).</w:t>
      </w:r>
    </w:p>
    <w:p w14:paraId="42BF9659" w14:textId="77777777" w:rsidR="00C10045" w:rsidRPr="00C10045" w:rsidRDefault="00C10045" w:rsidP="008431CB">
      <w:pPr>
        <w:pStyle w:val="SingleTxtG"/>
        <w:numPr>
          <w:ilvl w:val="0"/>
          <w:numId w:val="8"/>
        </w:numPr>
        <w:ind w:left="1134" w:firstLine="0"/>
      </w:pPr>
      <w:r w:rsidRPr="00C10045">
        <w:t>In keeping with the UN Paris Principles, emphasis was put on the decentralisation of powers in the preparation of the legislation and for those who are involved in the Institution’s work to reflect the composition of the society to the best possible level. A special management board is responsible for the operation of the Icelandic Human Rights Institute and forming its functional focus and monitoring the work being carried out. Althingi elects the Institution’s board, which hires a director to manage its daily operations.</w:t>
      </w:r>
    </w:p>
    <w:p w14:paraId="4AF7B4B1" w14:textId="77777777" w:rsidR="00C10045" w:rsidRPr="00C10045" w:rsidRDefault="00C10045" w:rsidP="008431CB">
      <w:pPr>
        <w:pStyle w:val="SingleTxtG"/>
        <w:numPr>
          <w:ilvl w:val="0"/>
          <w:numId w:val="8"/>
        </w:numPr>
        <w:ind w:left="1134" w:firstLine="0"/>
      </w:pPr>
      <w:r w:rsidRPr="00C10045">
        <w:t>The Icelandic Human Rights Institute is tasked with a wide-ranging mission, including offering consultancy, counselling and assistance in the field of human rights to individuals who seek its assistance. The Human Rights Institute is tasked with working to ensure respect for human rights in both the public and private sectors in all areas of society. The Institute is also intended to play a significant role regarding monitoring the state of human rights in Iceland, as well as offering consultancy to public bodies and</w:t>
      </w:r>
      <w:proofErr w:type="gramStart"/>
      <w:r w:rsidRPr="00C10045">
        <w:t>, as the case may be, private</w:t>
      </w:r>
      <w:proofErr w:type="gramEnd"/>
      <w:r w:rsidRPr="00C10045">
        <w:t xml:space="preserve"> bodies and individuals, to encourage research and promote awareness-raising and education about human rights. Additionally, the Icelandic Human Rights Institute has extensive rights to request information from institutions, companies and civil society organisations.</w:t>
      </w:r>
    </w:p>
    <w:p w14:paraId="1BDBB468" w14:textId="77777777" w:rsidR="00C10045" w:rsidRPr="00C10045" w:rsidRDefault="00C10045" w:rsidP="008431CB">
      <w:pPr>
        <w:pStyle w:val="SingleTxtG"/>
        <w:numPr>
          <w:ilvl w:val="0"/>
          <w:numId w:val="8"/>
        </w:numPr>
        <w:ind w:left="1134" w:firstLine="0"/>
      </w:pPr>
      <w:r w:rsidRPr="00C10045">
        <w:t>The Prime Minister´s Office published a green paper on human rights during the preparations for founding the independent national human rights institute. This paper contained the outcome of a survey of the state of human rights, with an emphasis on consultation with the public, representatives of institutions, line ministries, human rights organisations and other stakeholders. The Prime Minister’s Office conducted well attended open consultation meetings on the state of human rights in all parts of the country, with the serving Prime Minister taking part in every meeting.</w:t>
      </w:r>
    </w:p>
    <w:p w14:paraId="56A4C5E8" w14:textId="5148E770" w:rsidR="00C10045" w:rsidRPr="00C10045" w:rsidRDefault="0015727B" w:rsidP="0015727B">
      <w:pPr>
        <w:pStyle w:val="H1G"/>
        <w:rPr>
          <w:rFonts w:eastAsia="SimSun"/>
        </w:rPr>
      </w:pPr>
      <w:r>
        <w:rPr>
          <w:rFonts w:eastAsia="SimSun"/>
        </w:rPr>
        <w:tab/>
      </w:r>
      <w:r>
        <w:rPr>
          <w:rFonts w:eastAsia="SimSun"/>
        </w:rPr>
        <w:tab/>
      </w:r>
      <w:r w:rsidR="00C10045" w:rsidRPr="00C10045">
        <w:rPr>
          <w:rFonts w:eastAsia="SimSun"/>
        </w:rPr>
        <w:t>Article 3 of the Convention</w:t>
      </w:r>
    </w:p>
    <w:p w14:paraId="0A49441B" w14:textId="77777777" w:rsidR="00C10045" w:rsidRPr="00C10045" w:rsidRDefault="00C10045" w:rsidP="008431CB">
      <w:pPr>
        <w:pStyle w:val="SingleTxtG"/>
        <w:numPr>
          <w:ilvl w:val="0"/>
          <w:numId w:val="8"/>
        </w:numPr>
        <w:ind w:left="1134" w:firstLine="0"/>
      </w:pPr>
      <w:r w:rsidRPr="00C10045">
        <w:t>Iceland does not keep any public records of race, nationality or ethnicity. The data recorded by Statistics Iceland and Registers Iceland is based on gender, place of birth, citizenship, marital status, membership of religious organisations, whether the person in question has been granted international protection, and their immigration status. Statistics Iceland is authorised, under special conditions, to combine its data with data from the tax authorities to gather information on the distribution of income for disparate groups and their standing in the labour market. This means that there is no accessible information available as to whether, e.g., Roma or other minorities are residents of the country.</w:t>
      </w:r>
    </w:p>
    <w:p w14:paraId="37C665B9" w14:textId="77777777" w:rsidR="00C10045" w:rsidRPr="00C10045" w:rsidRDefault="00C10045" w:rsidP="008431CB">
      <w:pPr>
        <w:pStyle w:val="SingleTxtG"/>
        <w:numPr>
          <w:ilvl w:val="0"/>
          <w:numId w:val="8"/>
        </w:numPr>
        <w:ind w:left="1134" w:firstLine="0"/>
      </w:pPr>
      <w:r w:rsidRPr="00C10045">
        <w:t xml:space="preserve">Icelandic legislation and regulations are intended to ensure equality between all inhabitants and therefore there are no components in place in the public system that would lead to discrimination when it comes to residence. Quite the contrary: public support aims to equalise people’s standing, e.g. in the housing market. However, the administration realises that external factors can have an influence and is aware that immigrants hold, to a larger extent than native Icelanders, jobs that do not require specialisation, which in turn affects their income opportunities. The administration gave grants, via the Development Fund for Immigration Issues, to two research projects carried out by the University of Iceland, titled „Financial inclusion of immigrants in </w:t>
      </w:r>
      <w:proofErr w:type="gramStart"/>
      <w:r w:rsidRPr="00C10045">
        <w:t>Iceland“ and</w:t>
      </w:r>
      <w:proofErr w:type="gramEnd"/>
      <w:r w:rsidRPr="00C10045">
        <w:t xml:space="preserve"> „Immigrant residential segregation in the capital city </w:t>
      </w:r>
      <w:proofErr w:type="gramStart"/>
      <w:r w:rsidRPr="00C10045">
        <w:t>region“</w:t>
      </w:r>
      <w:proofErr w:type="gramEnd"/>
      <w:r w:rsidRPr="00C10045">
        <w:t xml:space="preserve">. The former project examines the access of immigrants in Iceland to the services of financial institutions and possible obstacles for immigrants in that context, and the effects on their social standing. The second project examines the residence of immigrants in the capital region and its correlation to social standing. </w:t>
      </w:r>
    </w:p>
    <w:p w14:paraId="51394099" w14:textId="77777777" w:rsidR="00C10045" w:rsidRPr="00C10045" w:rsidRDefault="00C10045" w:rsidP="008431CB">
      <w:pPr>
        <w:pStyle w:val="SingleTxtG"/>
        <w:numPr>
          <w:ilvl w:val="0"/>
          <w:numId w:val="8"/>
        </w:numPr>
        <w:ind w:left="1134" w:firstLine="0"/>
      </w:pPr>
      <w:r w:rsidRPr="00C10045">
        <w:t xml:space="preserve">The administration has used the Development Fund for Immigration Issues to promote an inclusive society and has doubled its allotted funds since 2021. Additionally, systematic efforts have been made to make it easier for the immigrants themselves to apply for financing from the Fund and thus actively support grass roots projects. The Fund has emphasised support for projects that, </w:t>
      </w:r>
      <w:r w:rsidRPr="00C10045">
        <w:rPr>
          <w:i/>
          <w:iCs/>
        </w:rPr>
        <w:t>inter alia</w:t>
      </w:r>
      <w:r w:rsidRPr="00C10045">
        <w:t xml:space="preserve">, aim to combat discrimination, expressions of hate, violence and multiple discrimination, as well as projects that promote the use of the Icelandic language in daily life, and equality-based societal participation of immigrants, including by promoting active participation in democratic processes, both within civil society organisation and in politics. Furthermore, Icelandic municipalities and regional associations have acted with the aim to equalise the participation of all their inhabitants, regardless of their origin, and thus encourage an inclusive society. It should also be mentioned that the Directorate of Equality has, in collaboration with various parties, implemented the </w:t>
      </w:r>
      <w:proofErr w:type="spellStart"/>
      <w:r w:rsidRPr="00C10045">
        <w:rPr>
          <w:i/>
          <w:iCs/>
        </w:rPr>
        <w:t>Játak</w:t>
      </w:r>
      <w:proofErr w:type="spellEnd"/>
      <w:r w:rsidRPr="00C10045">
        <w:t xml:space="preserve"> campaign, which encourages all parties with candidates in municipal elections to consider diversity, safeguard gender equality and to offer electoral lists that include a good portion of the human spectrum.</w:t>
      </w:r>
    </w:p>
    <w:p w14:paraId="1C7017FC" w14:textId="77777777" w:rsidR="00C10045" w:rsidRPr="00C10045" w:rsidRDefault="00C10045" w:rsidP="008431CB">
      <w:pPr>
        <w:pStyle w:val="SingleTxtG"/>
        <w:numPr>
          <w:ilvl w:val="0"/>
          <w:numId w:val="8"/>
        </w:numPr>
        <w:ind w:left="1134" w:firstLine="0"/>
      </w:pPr>
      <w:r w:rsidRPr="00C10045">
        <w:t xml:space="preserve">All inhabitants enjoy the same rights to education and housing support regardless of their origins. Special efforts have been made to support specific groups, e.g. refugees, to seek civic education and study Icelandic. Support for immigrants, both children and adults, to attend language classes has also been increased </w:t>
      </w:r>
      <w:proofErr w:type="gramStart"/>
      <w:r w:rsidRPr="00C10045">
        <w:t>in order to</w:t>
      </w:r>
      <w:proofErr w:type="gramEnd"/>
      <w:r w:rsidRPr="00C10045">
        <w:t xml:space="preserve"> equalise opportunities for the inhabitants. </w:t>
      </w:r>
    </w:p>
    <w:p w14:paraId="1354CF54" w14:textId="77777777" w:rsidR="00C10045" w:rsidRPr="00C10045" w:rsidRDefault="00C10045" w:rsidP="008431CB">
      <w:pPr>
        <w:pStyle w:val="SingleTxtG"/>
        <w:numPr>
          <w:ilvl w:val="0"/>
          <w:numId w:val="8"/>
        </w:numPr>
        <w:ind w:left="1134" w:firstLine="0"/>
      </w:pPr>
      <w:r w:rsidRPr="00C10045">
        <w:rPr>
          <w:bCs/>
        </w:rPr>
        <w:t xml:space="preserve">The civil society organisation </w:t>
      </w:r>
      <w:r w:rsidRPr="00C10045">
        <w:rPr>
          <w:bCs/>
          <w:i/>
          <w:iCs/>
        </w:rPr>
        <w:t>Her voice</w:t>
      </w:r>
      <w:r w:rsidRPr="00C10045">
        <w:rPr>
          <w:bCs/>
        </w:rPr>
        <w:t xml:space="preserve"> (Icel. </w:t>
      </w:r>
      <w:proofErr w:type="spellStart"/>
      <w:r w:rsidRPr="00C10045">
        <w:rPr>
          <w:bCs/>
          <w:i/>
          <w:iCs/>
        </w:rPr>
        <w:t>Hennar</w:t>
      </w:r>
      <w:proofErr w:type="spellEnd"/>
      <w:r w:rsidRPr="00C10045">
        <w:rPr>
          <w:bCs/>
          <w:i/>
          <w:iCs/>
        </w:rPr>
        <w:t xml:space="preserve"> </w:t>
      </w:r>
      <w:proofErr w:type="spellStart"/>
      <w:r w:rsidRPr="00C10045">
        <w:rPr>
          <w:bCs/>
          <w:i/>
          <w:iCs/>
        </w:rPr>
        <w:t>rödd</w:t>
      </w:r>
      <w:proofErr w:type="spellEnd"/>
      <w:r w:rsidRPr="00C10045">
        <w:rPr>
          <w:bCs/>
        </w:rPr>
        <w:t xml:space="preserve">) received a grant from the Development Fund for Immigration Issues to develop and publish the book </w:t>
      </w:r>
      <w:r w:rsidRPr="00C10045">
        <w:rPr>
          <w:bCs/>
          <w:i/>
          <w:iCs/>
        </w:rPr>
        <w:t>Her voice: Stories of Women of Foreign Origin in Iceland</w:t>
      </w:r>
      <w:r w:rsidRPr="00C10045">
        <w:rPr>
          <w:bCs/>
        </w:rPr>
        <w:t xml:space="preserve"> (Icel. </w:t>
      </w:r>
      <w:proofErr w:type="spellStart"/>
      <w:r w:rsidRPr="00C10045">
        <w:rPr>
          <w:bCs/>
          <w:i/>
          <w:iCs/>
        </w:rPr>
        <w:t>Hennar</w:t>
      </w:r>
      <w:proofErr w:type="spellEnd"/>
      <w:r w:rsidRPr="00C10045">
        <w:rPr>
          <w:bCs/>
          <w:i/>
          <w:iCs/>
        </w:rPr>
        <w:t xml:space="preserve"> </w:t>
      </w:r>
      <w:proofErr w:type="spellStart"/>
      <w:r w:rsidRPr="00C10045">
        <w:rPr>
          <w:bCs/>
          <w:i/>
          <w:iCs/>
        </w:rPr>
        <w:t>rödd</w:t>
      </w:r>
      <w:proofErr w:type="spellEnd"/>
      <w:r w:rsidRPr="00C10045">
        <w:rPr>
          <w:bCs/>
          <w:i/>
          <w:iCs/>
        </w:rPr>
        <w:t xml:space="preserve">: </w:t>
      </w:r>
      <w:proofErr w:type="spellStart"/>
      <w:r w:rsidRPr="00C10045">
        <w:rPr>
          <w:bCs/>
          <w:i/>
          <w:iCs/>
        </w:rPr>
        <w:t>Sögur</w:t>
      </w:r>
      <w:proofErr w:type="spellEnd"/>
      <w:r w:rsidRPr="00C10045">
        <w:rPr>
          <w:bCs/>
          <w:i/>
          <w:iCs/>
        </w:rPr>
        <w:t xml:space="preserve"> </w:t>
      </w:r>
      <w:proofErr w:type="spellStart"/>
      <w:r w:rsidRPr="00C10045">
        <w:rPr>
          <w:bCs/>
          <w:i/>
          <w:iCs/>
        </w:rPr>
        <w:t>kvenna</w:t>
      </w:r>
      <w:proofErr w:type="spellEnd"/>
      <w:r w:rsidRPr="00C10045">
        <w:rPr>
          <w:bCs/>
          <w:i/>
          <w:iCs/>
        </w:rPr>
        <w:t xml:space="preserve"> </w:t>
      </w:r>
      <w:proofErr w:type="spellStart"/>
      <w:r w:rsidRPr="00C10045">
        <w:rPr>
          <w:bCs/>
          <w:i/>
          <w:iCs/>
        </w:rPr>
        <w:t>af</w:t>
      </w:r>
      <w:proofErr w:type="spellEnd"/>
      <w:r w:rsidRPr="00C10045">
        <w:rPr>
          <w:bCs/>
          <w:i/>
          <w:iCs/>
        </w:rPr>
        <w:t xml:space="preserve"> </w:t>
      </w:r>
      <w:proofErr w:type="spellStart"/>
      <w:r w:rsidRPr="00C10045">
        <w:rPr>
          <w:bCs/>
          <w:i/>
          <w:iCs/>
        </w:rPr>
        <w:t>erlendum</w:t>
      </w:r>
      <w:proofErr w:type="spellEnd"/>
      <w:r w:rsidRPr="00C10045">
        <w:rPr>
          <w:bCs/>
          <w:i/>
          <w:iCs/>
        </w:rPr>
        <w:t xml:space="preserve"> </w:t>
      </w:r>
      <w:proofErr w:type="spellStart"/>
      <w:r w:rsidRPr="00C10045">
        <w:rPr>
          <w:bCs/>
          <w:i/>
          <w:iCs/>
        </w:rPr>
        <w:t>uppruna</w:t>
      </w:r>
      <w:proofErr w:type="spellEnd"/>
      <w:r w:rsidRPr="00C10045">
        <w:rPr>
          <w:bCs/>
          <w:i/>
          <w:iCs/>
        </w:rPr>
        <w:t xml:space="preserve"> á </w:t>
      </w:r>
      <w:proofErr w:type="spellStart"/>
      <w:r w:rsidRPr="00C10045">
        <w:rPr>
          <w:bCs/>
          <w:i/>
          <w:iCs/>
        </w:rPr>
        <w:t>Íslandi</w:t>
      </w:r>
      <w:proofErr w:type="spellEnd"/>
      <w:r w:rsidRPr="00C10045">
        <w:rPr>
          <w:bCs/>
        </w:rPr>
        <w:t xml:space="preserve">), which was published in 2025. </w:t>
      </w:r>
      <w:r w:rsidRPr="00C10045">
        <w:t>The project is intended to increase discussion about the challenges faced by women of foreign origins in Iceland, due to the multiple discrimination they experience, both due to their origin and their gender.</w:t>
      </w:r>
    </w:p>
    <w:p w14:paraId="37A28682" w14:textId="29822311" w:rsidR="00C10045" w:rsidRPr="00C10045" w:rsidRDefault="0015727B" w:rsidP="0015727B">
      <w:pPr>
        <w:pStyle w:val="H23G"/>
        <w:rPr>
          <w:rFonts w:eastAsia="SimSun"/>
          <w:bCs/>
        </w:rPr>
      </w:pPr>
      <w:r>
        <w:rPr>
          <w:rFonts w:eastAsia="SimSun"/>
        </w:rPr>
        <w:tab/>
      </w:r>
      <w:r>
        <w:rPr>
          <w:rFonts w:eastAsia="SimSun"/>
        </w:rPr>
        <w:tab/>
      </w:r>
      <w:r w:rsidR="00C10045" w:rsidRPr="00C10045">
        <w:rPr>
          <w:rFonts w:eastAsia="SimSun"/>
        </w:rPr>
        <w:t>Hate crime and hate speech</w:t>
      </w:r>
    </w:p>
    <w:p w14:paraId="710EFD85" w14:textId="77777777" w:rsidR="00C10045" w:rsidRPr="00C10045" w:rsidRDefault="00C10045" w:rsidP="008431CB">
      <w:pPr>
        <w:pStyle w:val="SingleTxtG"/>
        <w:numPr>
          <w:ilvl w:val="0"/>
          <w:numId w:val="8"/>
        </w:numPr>
        <w:ind w:left="1134" w:firstLine="0"/>
      </w:pPr>
      <w:r w:rsidRPr="00C10045">
        <w:t>As has already been mentioned, Article 70 of the General Penal Code provides for an aggravation of punishment if an offence can be attributed to ethnic or national origin, skin colour, race, religion, disability, sex characteristics, sexual orientation, gender identity or other similar factors (concluding observation 10).</w:t>
      </w:r>
    </w:p>
    <w:p w14:paraId="6720BE6A" w14:textId="77777777" w:rsidR="00C10045" w:rsidRPr="00C10045" w:rsidRDefault="00C10045" w:rsidP="008431CB">
      <w:pPr>
        <w:pStyle w:val="SingleTxtG"/>
        <w:numPr>
          <w:ilvl w:val="0"/>
          <w:numId w:val="8"/>
        </w:numPr>
        <w:ind w:left="1134" w:firstLine="0"/>
      </w:pPr>
      <w:r w:rsidRPr="00C10045">
        <w:t>All notified criminal offences are recorded in the police’s database. Since Article 70 of the General Penal Code only provides for aggravated punishment, “hate crime” does not constitute an independent offence that can be specifically recorded. Data on hate crimes was therefore not available for a long time. A new category was added to the police database in 2018, where “suspected hate crime” can be recorded as an addition to a recorded offence. That category applies where there is suspicion that the offence was committed because of prejudice on behalf of the perpetrator towards the minority to which the victim belongs. Six such offences were recorded in 2020, 23 in 2021, 25 in 2022, 47 in 2023 and 58 in 2024. The type of impetus for the offence is recorded as well, e.g. sexual orientation, gender identity, antisemitism, Islamophobia, religion (other), racism/xenophobia and “other”. The latest information regarding impetus dates to 2023, when there were seven cases in which there was suspicion that the impetus for the offence was the sexual orientation of the victim, two due to gender identity, one due to Islamophobia, five due to ethnicity and four incidences were recorded as “unclear” (concluding observation 16).</w:t>
      </w:r>
    </w:p>
    <w:p w14:paraId="6E35E64F" w14:textId="77777777" w:rsidR="00C10045" w:rsidRPr="00C10045" w:rsidRDefault="00C10045" w:rsidP="008431CB">
      <w:pPr>
        <w:pStyle w:val="SingleTxtG"/>
        <w:numPr>
          <w:ilvl w:val="0"/>
          <w:numId w:val="8"/>
        </w:numPr>
        <w:ind w:left="1134" w:firstLine="0"/>
      </w:pPr>
      <w:r w:rsidRPr="00C10045">
        <w:t>Article 233a of the General Penal Code provides for a prohibition of hate speech, having been expanded in 2022; see paragraph 8 for more information. At the same time, a parallel amendment was made to Article 180(1) of the General Penal Code, providing for protection from denial of goods or services on an equal footing for the groups mentioned in Article 233a of the Code. During 2020 to 2024, some 66 cases were recorded in the police database concerning Article 233a and four cases that concerned Article 180 of the General Penal Code. Sixteen cases were recorded in 2020, eight in 2021, nine in 2022, eighteen in 2023 and nineteen in 2024. Of those cases where instances of offences violating the provision on hate speech were investigated, three were sent to the prosecutor in 2020, one in 2021, three in 2022, four in 2023 and four in 2024. This makes a total of fifteen offences that were sent to the prosecutor between 2020 and 2024. Of those cases, four are still in the hands of the prosecutor, seven were dismissed and three ended with a judgement; see further in paragraphs 90 and 91 (concluding observation 16).</w:t>
      </w:r>
    </w:p>
    <w:p w14:paraId="24D163EE" w14:textId="77777777" w:rsidR="00C10045" w:rsidRPr="00C10045" w:rsidRDefault="00C10045" w:rsidP="008431CB">
      <w:pPr>
        <w:pStyle w:val="SingleTxtG"/>
        <w:numPr>
          <w:ilvl w:val="0"/>
          <w:numId w:val="8"/>
        </w:numPr>
        <w:ind w:left="1134" w:firstLine="0"/>
      </w:pPr>
      <w:r w:rsidRPr="00C10045">
        <w:t>The Media Act No 38/2011 was amended in 2024 to incorporate the provisions of Directive (EU) No 1808/2018 amending the Audiovisual Media Services Directive 2010/13/EU. Article 27 of the Media Act, which provides for a prohibition of hate propaganda, was also amended to remove the words “systematic manner” from the provision; see further in paragraph 112 (concluding observation 14b).</w:t>
      </w:r>
    </w:p>
    <w:p w14:paraId="0FF3656D" w14:textId="77777777" w:rsidR="00C10045" w:rsidRPr="00C10045" w:rsidRDefault="00C10045" w:rsidP="008431CB">
      <w:pPr>
        <w:pStyle w:val="SingleTxtG"/>
        <w:numPr>
          <w:ilvl w:val="0"/>
          <w:numId w:val="8"/>
        </w:numPr>
        <w:ind w:left="1134" w:firstLine="0"/>
      </w:pPr>
      <w:r w:rsidRPr="00C10045">
        <w:t xml:space="preserve">Iceland ratified the first supplementary Protocol to the Convention on Cybercrime in January 2022, which criminalises acts expressing racism and xenophobia committed through computer systems. Iceland made specific reservations to the Protocol with reference to Iceland’s fundamental principle of freedom of expression. </w:t>
      </w:r>
    </w:p>
    <w:p w14:paraId="0786B069" w14:textId="77777777" w:rsidR="00C10045" w:rsidRPr="00C10045" w:rsidRDefault="00C10045" w:rsidP="008431CB">
      <w:pPr>
        <w:pStyle w:val="SingleTxtG"/>
        <w:numPr>
          <w:ilvl w:val="0"/>
          <w:numId w:val="8"/>
        </w:numPr>
        <w:ind w:left="1134" w:firstLine="0"/>
      </w:pPr>
      <w:r w:rsidRPr="00C10045">
        <w:t xml:space="preserve">A working group on hate speech started its operations in 2022 in response to indications that hate speech was on the rise. The working group was tasked with taking a concerted action to combat hate speech. In 2023, an action plan against hate speech was prepared, taking, </w:t>
      </w:r>
      <w:r w:rsidRPr="00C10045">
        <w:rPr>
          <w:i/>
          <w:iCs/>
        </w:rPr>
        <w:t>inter alia</w:t>
      </w:r>
      <w:r w:rsidRPr="00C10045">
        <w:t xml:space="preserve">, into consideration the Committee’s concluding observations and the Recommendation of the Council of Europe’s European Commission against Racism and Intolerance. It placed a heavy emphasis on educational projects, as well as awareness-raising on matters concerning hate speech. Broad consultation was carried out with stakeholders during the preparation of the plan, and special consultation meetings were convened, in September 2022, with the participation of representatives from nearly 30 stakeholder organisations and experts. An open consultation meeting on actions against hate speech was convened in October 2022, with around 100 participants. Furthermore, a special consultation meeting was conducted with the participation of children aged 12 to 17 from the LGBT community centre of The National Queer Organisation of Iceland (Icel. </w:t>
      </w:r>
      <w:proofErr w:type="spellStart"/>
      <w:r w:rsidRPr="00C10045">
        <w:rPr>
          <w:i/>
          <w:iCs/>
        </w:rPr>
        <w:t>Samtökin</w:t>
      </w:r>
      <w:proofErr w:type="spellEnd"/>
      <w:r w:rsidRPr="00C10045">
        <w:rPr>
          <w:i/>
          <w:iCs/>
        </w:rPr>
        <w:t xml:space="preserve"> 78</w:t>
      </w:r>
      <w:r w:rsidRPr="00C10045">
        <w:t xml:space="preserve">), an advisory group from the Office of the Ombudsman for Children and the UN Sustainable Development Goals Youth Council. A draft parliamentary resolution was published on the Government Offices consultation portal in January 2023 and received a total of 20 comments. </w:t>
      </w:r>
    </w:p>
    <w:p w14:paraId="552A6D42" w14:textId="77777777" w:rsidR="00C10045" w:rsidRPr="00C10045" w:rsidRDefault="00C10045" w:rsidP="008431CB">
      <w:pPr>
        <w:pStyle w:val="SingleTxtG"/>
        <w:numPr>
          <w:ilvl w:val="0"/>
          <w:numId w:val="8"/>
        </w:numPr>
        <w:ind w:left="1134" w:firstLine="0"/>
      </w:pPr>
      <w:r w:rsidRPr="00C10045">
        <w:t xml:space="preserve">The </w:t>
      </w:r>
      <w:proofErr w:type="gramStart"/>
      <w:r w:rsidRPr="00C10045">
        <w:t>aforementioned action</w:t>
      </w:r>
      <w:proofErr w:type="gramEnd"/>
      <w:r w:rsidRPr="00C10045">
        <w:t xml:space="preserve"> plan against hate speech was submitted to Althingi in the form of a parliamentary resolution but did not reach the voting stage. The administration has taken account of various aspects of the plan and that work, as well as the consultations carried out during its planning stages, has served well in the process of various projects, including the advertisement campaign </w:t>
      </w:r>
      <w:r w:rsidRPr="00C10045">
        <w:rPr>
          <w:i/>
          <w:iCs/>
        </w:rPr>
        <w:t>Our words</w:t>
      </w:r>
      <w:r w:rsidRPr="00C10045">
        <w:t xml:space="preserve"> (Icel. </w:t>
      </w:r>
      <w:proofErr w:type="spellStart"/>
      <w:r w:rsidRPr="00C10045">
        <w:rPr>
          <w:i/>
          <w:iCs/>
        </w:rPr>
        <w:t>Orðin</w:t>
      </w:r>
      <w:proofErr w:type="spellEnd"/>
      <w:r w:rsidRPr="00C10045">
        <w:rPr>
          <w:i/>
          <w:iCs/>
        </w:rPr>
        <w:t xml:space="preserve"> </w:t>
      </w:r>
      <w:proofErr w:type="spellStart"/>
      <w:r w:rsidRPr="00C10045">
        <w:rPr>
          <w:i/>
          <w:iCs/>
        </w:rPr>
        <w:t>okkar</w:t>
      </w:r>
      <w:proofErr w:type="spellEnd"/>
      <w:r w:rsidRPr="00C10045">
        <w:t xml:space="preserve">), that was launched in February 2024. The campaign was prepared by the Directorate of Equality with support from the Prime Minister´s Office and was intended to urge people to think about the power of their words. The campaign was part of the effort to increase equality and combat hate speech. The campaign can be found at the website ordinokkar.is, along with advertisements about hate speech, the legal environment, how to react to it and where to turn when such offences occur. Although there is currently no specific recourse in place for the victims of hate crimes, those who have been subjected to such offences can receive support through general resources for the victims of violence, including </w:t>
      </w:r>
      <w:proofErr w:type="spellStart"/>
      <w:r w:rsidRPr="00C10045">
        <w:t>Bjarkarhlíð</w:t>
      </w:r>
      <w:proofErr w:type="spellEnd"/>
      <w:r w:rsidRPr="00C10045">
        <w:t xml:space="preserve"> and Bjarmahlíð; see paragraph 46 for further discussion (concluding observation 16).</w:t>
      </w:r>
    </w:p>
    <w:p w14:paraId="57AE50E5" w14:textId="77777777" w:rsidR="00C10045" w:rsidRPr="00C10045" w:rsidRDefault="00C10045" w:rsidP="008431CB">
      <w:pPr>
        <w:pStyle w:val="SingleTxtG"/>
        <w:numPr>
          <w:ilvl w:val="0"/>
          <w:numId w:val="8"/>
        </w:numPr>
        <w:ind w:left="1134" w:firstLine="0"/>
      </w:pPr>
      <w:r w:rsidRPr="00C10045">
        <w:t xml:space="preserve">Hate speech was the main subject of discussion in the annual meeting of the equality consultation platform that was held in December 2023. The Council of Europe’s 2022 Recommendation on Combating Hate Speech and an explanatory memorandum thereto has been translated into Icelandic and published on the Government Offices Equality web page in both Icelandic and English, </w:t>
      </w:r>
      <w:proofErr w:type="gramStart"/>
      <w:r w:rsidRPr="00C10045">
        <w:t>in order to</w:t>
      </w:r>
      <w:proofErr w:type="gramEnd"/>
      <w:r w:rsidRPr="00C10045">
        <w:t xml:space="preserve"> present them to the public and use them in education, including by schools, municipalities and civil society organisations.</w:t>
      </w:r>
    </w:p>
    <w:p w14:paraId="55624BD0" w14:textId="77777777" w:rsidR="00C10045" w:rsidRPr="00C10045" w:rsidRDefault="00C10045" w:rsidP="008431CB">
      <w:pPr>
        <w:pStyle w:val="SingleTxtG"/>
        <w:numPr>
          <w:ilvl w:val="0"/>
          <w:numId w:val="8"/>
        </w:numPr>
        <w:ind w:left="1134" w:firstLine="0"/>
      </w:pPr>
      <w:r w:rsidRPr="00C10045">
        <w:t xml:space="preserve">The Directorate of Equality carried out the </w:t>
      </w:r>
      <w:r w:rsidRPr="00C10045">
        <w:rPr>
          <w:i/>
          <w:iCs/>
        </w:rPr>
        <w:t>Harmless?</w:t>
      </w:r>
      <w:r w:rsidRPr="00C10045">
        <w:t xml:space="preserve"> (Icel. </w:t>
      </w:r>
      <w:proofErr w:type="spellStart"/>
      <w:r w:rsidRPr="00C10045">
        <w:rPr>
          <w:i/>
          <w:iCs/>
        </w:rPr>
        <w:t>Meinlaust</w:t>
      </w:r>
      <w:proofErr w:type="spellEnd"/>
      <w:r w:rsidRPr="00C10045">
        <w:rPr>
          <w:i/>
          <w:iCs/>
        </w:rPr>
        <w:t>?</w:t>
      </w:r>
      <w:r w:rsidRPr="00C10045">
        <w:t xml:space="preserve">) campaign between 2022 and 2023, with the aim to increase public awareness of micro-aggressions against marginalised groups. Part of the campaign was prepared in collaboration with the civil society organisation Her Voice, which was founded with the aim to increase public awareness of the situation of women of foreign origin in Icelandic society. A Nordic awareness-raising campaign modelled on the Icelandic campaign was launched under the </w:t>
      </w:r>
      <w:r w:rsidRPr="00C10045">
        <w:rPr>
          <w:i/>
          <w:iCs/>
        </w:rPr>
        <w:t>Harmless?</w:t>
      </w:r>
      <w:r w:rsidRPr="00C10045">
        <w:t xml:space="preserve"> banner in February 2025. </w:t>
      </w:r>
    </w:p>
    <w:p w14:paraId="3703569C" w14:textId="77777777" w:rsidR="00C10045" w:rsidRPr="00C10045" w:rsidRDefault="00C10045" w:rsidP="008431CB">
      <w:pPr>
        <w:pStyle w:val="SingleTxtG"/>
        <w:numPr>
          <w:ilvl w:val="0"/>
          <w:numId w:val="8"/>
        </w:numPr>
        <w:ind w:left="1134" w:firstLine="0"/>
      </w:pPr>
      <w:r w:rsidRPr="00C10045">
        <w:t xml:space="preserve">Uncertainty about terrorist threats is increasing in Iceland much as it has in the other Nordic countries. In an updated 2025 risk assessment, the National Commissioner of the Icelandic Police considered that the threat of possible terrorist attacks on Iceland mainly comes from individuals who operate in small groups or by themselves, seeking encouragement from violent right-wing extremist propaganda. This risk assessment shows that it must be ensured that the immigration and refugee policy ensures balance in society and facilitates the adaptation of new citizens. In recent years, the Icelandic administration has reinforced the legal framework for law enforcement in Iceland, e.g. by extending the authorisations contained in the regulations on the police’s special investigative powers. The powers of the police to cooperate locally with other authorities, institutions and the leaders of civil society organisations have been clarified. Additionally, the police’s authorisations to collaborate with foreign law enforcement authorities and international organisations have been clarified and expanded. </w:t>
      </w:r>
    </w:p>
    <w:p w14:paraId="161E75AB" w14:textId="5ACC691A" w:rsidR="00C10045" w:rsidRPr="00C10045" w:rsidRDefault="0015727B" w:rsidP="0015727B">
      <w:pPr>
        <w:pStyle w:val="H1G"/>
        <w:rPr>
          <w:rFonts w:eastAsia="SimSun"/>
        </w:rPr>
      </w:pPr>
      <w:r>
        <w:rPr>
          <w:rFonts w:eastAsia="SimSun"/>
        </w:rPr>
        <w:tab/>
      </w:r>
      <w:r>
        <w:rPr>
          <w:rFonts w:eastAsia="SimSun"/>
        </w:rPr>
        <w:tab/>
      </w:r>
      <w:r w:rsidR="00C10045" w:rsidRPr="00C10045">
        <w:rPr>
          <w:rFonts w:eastAsia="SimSun"/>
        </w:rPr>
        <w:t>Article 5 of the Convention</w:t>
      </w:r>
    </w:p>
    <w:p w14:paraId="2994D02E" w14:textId="77777777" w:rsidR="00C10045" w:rsidRPr="00C10045" w:rsidRDefault="00C10045" w:rsidP="008431CB">
      <w:pPr>
        <w:pStyle w:val="SingleTxtG"/>
        <w:numPr>
          <w:ilvl w:val="0"/>
          <w:numId w:val="8"/>
        </w:numPr>
        <w:ind w:left="1134" w:firstLine="0"/>
      </w:pPr>
      <w:r w:rsidRPr="00C10045">
        <w:t xml:space="preserve">As stated in the prior discussion in paragraphs 12-14, there is comprehensive and wide-reaching legislation on the prohibition of discrimination in all areas of society in keeping with Article 5 of the Convention. With reference to the Committee’s concluding observations from 2019, this section will discuss three policy areas of special interest: i. violence against marginalised women and women immigrants; ii. human trafficking </w:t>
      </w:r>
      <w:proofErr w:type="gramStart"/>
      <w:r w:rsidRPr="00C10045">
        <w:t>and;</w:t>
      </w:r>
      <w:proofErr w:type="gramEnd"/>
      <w:r w:rsidRPr="00C10045">
        <w:t xml:space="preserve"> iii. immigrants and refugees. </w:t>
      </w:r>
    </w:p>
    <w:p w14:paraId="4D032AE2" w14:textId="0DD9F3A4" w:rsidR="00C10045" w:rsidRPr="00C10045" w:rsidRDefault="0015727B" w:rsidP="0015727B">
      <w:pPr>
        <w:pStyle w:val="H23G"/>
        <w:rPr>
          <w:rFonts w:eastAsia="SimSun"/>
        </w:rPr>
      </w:pPr>
      <w:r>
        <w:rPr>
          <w:rFonts w:eastAsia="SimSun"/>
        </w:rPr>
        <w:tab/>
      </w:r>
      <w:r>
        <w:rPr>
          <w:rFonts w:eastAsia="SimSun"/>
        </w:rPr>
        <w:tab/>
      </w:r>
      <w:r w:rsidR="00C10045" w:rsidRPr="00C10045">
        <w:rPr>
          <w:rFonts w:eastAsia="SimSun"/>
        </w:rPr>
        <w:t>Violence against marginalised women and women immigrants</w:t>
      </w:r>
    </w:p>
    <w:p w14:paraId="0D910675" w14:textId="7D614074" w:rsidR="00C10045" w:rsidRPr="00C10045" w:rsidRDefault="0015727B" w:rsidP="0015727B">
      <w:pPr>
        <w:pStyle w:val="H4G"/>
        <w:rPr>
          <w:rFonts w:eastAsia="SimSun"/>
        </w:rPr>
      </w:pPr>
      <w:r>
        <w:rPr>
          <w:rFonts w:eastAsia="SimSun"/>
        </w:rPr>
        <w:tab/>
      </w:r>
      <w:r>
        <w:rPr>
          <w:rFonts w:eastAsia="SimSun"/>
        </w:rPr>
        <w:tab/>
      </w:r>
      <w:r w:rsidR="00C10045" w:rsidRPr="00C10045">
        <w:rPr>
          <w:rFonts w:eastAsia="SimSun"/>
        </w:rPr>
        <w:t>Parliamentary resolutions and action plans</w:t>
      </w:r>
    </w:p>
    <w:p w14:paraId="0FB16EA1" w14:textId="77777777" w:rsidR="00C10045" w:rsidRPr="00C10045" w:rsidRDefault="00C10045" w:rsidP="008431CB">
      <w:pPr>
        <w:pStyle w:val="SingleTxtG"/>
        <w:numPr>
          <w:ilvl w:val="0"/>
          <w:numId w:val="8"/>
        </w:numPr>
        <w:ind w:left="1134" w:firstLine="0"/>
      </w:pPr>
      <w:r w:rsidRPr="00C10045">
        <w:t xml:space="preserve">Althingi adopted a parliamentary resolution on action against violence and its consequences for the years 2019-2022 in the summer of 2019. Its objective was to encourage awareness-raising of the issue through preventive measures and education, to improve procedures and proceedings within the justice administration system and to strengthen support for victims. The actions included awareness-raising about hate speech in society. To that end, the Ministry of Education and Children </w:t>
      </w:r>
      <w:proofErr w:type="gramStart"/>
      <w:r w:rsidRPr="00C10045">
        <w:t>has</w:t>
      </w:r>
      <w:proofErr w:type="gramEnd"/>
      <w:r w:rsidRPr="00C10045">
        <w:t xml:space="preserve">, </w:t>
      </w:r>
      <w:r w:rsidRPr="00C10045">
        <w:rPr>
          <w:i/>
          <w:iCs/>
        </w:rPr>
        <w:t>inter alia</w:t>
      </w:r>
      <w:r w:rsidRPr="00C10045">
        <w:t xml:space="preserve">, granted financial support to </w:t>
      </w:r>
      <w:proofErr w:type="spellStart"/>
      <w:r w:rsidRPr="00C10045">
        <w:t>Æskulýðsvettvangurinn</w:t>
      </w:r>
      <w:proofErr w:type="spellEnd"/>
      <w:r w:rsidRPr="00C10045">
        <w:t xml:space="preserve">, which is a forum for organisations that carry out youth activities, to develop a course on hate speech. </w:t>
      </w:r>
    </w:p>
    <w:p w14:paraId="24EDCBD7" w14:textId="77777777" w:rsidR="00C10045" w:rsidRPr="00C10045" w:rsidRDefault="00C10045" w:rsidP="008431CB">
      <w:pPr>
        <w:pStyle w:val="SingleTxtG"/>
        <w:numPr>
          <w:ilvl w:val="0"/>
          <w:numId w:val="8"/>
        </w:numPr>
        <w:ind w:left="1134" w:firstLine="0"/>
      </w:pPr>
      <w:r w:rsidRPr="00C10045">
        <w:t>An action plan on preventive measures against sexual and gender-based violence for 2021-2025 was adopted in 2021. It sets out, for the first time, comprehensive improvements based on prevention and education, integrated teaching and youth and leisure activities at all educational levels, in wide-ranging consultation with institutions, scholars and civil society organisations involved in prevention and education. A special steering committee has been tasked with following up on the plan’s 26 listed actions and coordinating activities. A dashboard on the Government Offices website shows, in graphical form, the rate of success and progress of the actions included in the plan, as well as providing reading material about the rate of success of each action. In May 2025, 17 of the 26 actions had run their course and 9 were progressing well. Preparations for a new plan started in the autumn of 2025 and a new plan is expected to cover the period of 2026-2030.</w:t>
      </w:r>
    </w:p>
    <w:p w14:paraId="51B1B72B" w14:textId="77777777" w:rsidR="00C10045" w:rsidRPr="00C10045" w:rsidRDefault="00C10045" w:rsidP="008431CB">
      <w:pPr>
        <w:pStyle w:val="SingleTxtG"/>
        <w:numPr>
          <w:ilvl w:val="0"/>
          <w:numId w:val="8"/>
        </w:numPr>
        <w:ind w:left="1134" w:firstLine="0"/>
      </w:pPr>
      <w:r w:rsidRPr="00C10045">
        <w:t xml:space="preserve">In 2022, the financial contribution to the investigation and prosecution of sexual offences was permanently raised by 200 million ISK per annum. The money was, </w:t>
      </w:r>
      <w:r w:rsidRPr="00C10045">
        <w:rPr>
          <w:i/>
          <w:iCs/>
        </w:rPr>
        <w:t>inter alia</w:t>
      </w:r>
      <w:r w:rsidRPr="00C10045">
        <w:t>, used to hire seven additional experts at various departments of the Reykjavik area police, as well as to carry out a review of the process of investigation and prosecution. New procedures were introduced to speed up the proceedings in sexual offence cases. These actions have been highly successful: from 1 September 2022 to January 2023, the number of sexual offences being processed and investigated by the sexual offences department fell by 37%. Additionally, the police have used telephone interpretation to ensure that victims can tell the police at the scene about what happened, in a language the victim has good command of (concluding observation 22d).</w:t>
      </w:r>
    </w:p>
    <w:p w14:paraId="29CCD213" w14:textId="77777777" w:rsidR="00C10045" w:rsidRPr="00C10045" w:rsidRDefault="00C10045" w:rsidP="008431CB">
      <w:pPr>
        <w:pStyle w:val="SingleTxtG"/>
        <w:numPr>
          <w:ilvl w:val="0"/>
          <w:numId w:val="8"/>
        </w:numPr>
        <w:ind w:left="1134" w:firstLine="0"/>
      </w:pPr>
      <w:r w:rsidRPr="00C10045">
        <w:t xml:space="preserve">In June 2022, the Code of Criminal Procedure was amended to improve the legal position of victims, persons with disabilities and family members. The amendments include increasing the information obligation of the police towards victims, as well as legal counsel´s access to documents, in addition to amendments intended to ensure that victim compensation claims are admitted at the appeal stage, even if the defendant has been acquitted at the district court stage. The amendments also entail that victims should be able to act with the assistance of legal counsel when giving statements before the Court of Appeal (Icel. </w:t>
      </w:r>
      <w:proofErr w:type="spellStart"/>
      <w:r w:rsidRPr="00C10045">
        <w:rPr>
          <w:i/>
          <w:iCs/>
        </w:rPr>
        <w:t>Landsréttur</w:t>
      </w:r>
      <w:proofErr w:type="spellEnd"/>
      <w:r w:rsidRPr="00C10045">
        <w:t>), even though they themselves are not seeking relief directly from that court.</w:t>
      </w:r>
    </w:p>
    <w:p w14:paraId="31A3FA7F" w14:textId="77777777" w:rsidR="00C10045" w:rsidRPr="00C10045" w:rsidRDefault="00C10045" w:rsidP="008431CB">
      <w:pPr>
        <w:pStyle w:val="SingleTxtG"/>
        <w:numPr>
          <w:ilvl w:val="0"/>
          <w:numId w:val="8"/>
        </w:numPr>
        <w:ind w:left="1134" w:firstLine="0"/>
      </w:pPr>
      <w:r w:rsidRPr="00C10045">
        <w:t>A parliamentary resolution on an implementation plan for immigration issues for 2022-2025 was adopted in June 2022.</w:t>
      </w:r>
      <w:r w:rsidRPr="00C10045">
        <w:rPr>
          <w:bCs/>
        </w:rPr>
        <w:t xml:space="preserve"> </w:t>
      </w:r>
      <w:r w:rsidRPr="00C10045">
        <w:t>One of the actions has the objective to make sure that victims and perpetrators of violence who are of foreign origin know what services and resources are available to them, as well as offering education to service and response personnel regarding immigrants, cultural sensitivity and multiculturalism. This will ensure that education and resources for victims and perpetrators of violence in all areas of the country will take into consideration the needs of immigrants whose command of Icelandic or English is insufficient, as well as having a special consideration for the needs of children. Furthermore, courses will be offered for front line staff of service organisations and experts in local services, such as social workers, study and career advisers, nurses, teachers and police officers, concerning complex manifestations of violence.</w:t>
      </w:r>
    </w:p>
    <w:p w14:paraId="7ACD9A92" w14:textId="77777777" w:rsidR="00C10045" w:rsidRPr="00C10045" w:rsidRDefault="00C10045" w:rsidP="008431CB">
      <w:pPr>
        <w:pStyle w:val="SingleTxtG"/>
        <w:numPr>
          <w:ilvl w:val="0"/>
          <w:numId w:val="8"/>
        </w:numPr>
        <w:ind w:left="1134" w:firstLine="0"/>
      </w:pPr>
      <w:r w:rsidRPr="00C10045">
        <w:t>An action plan for the handling of sexual offences for the period 2023-2025 is in effect. It entails focused improvements in the handling of sexual offences within the justice system, as well as actions to improve experiences and offer better service to the persons involved. The tasks included in the plan are to shorten the procedural time and to develop and introduce processes and check lists into the investigation of offences. It is also intended to ensure appropriate health-care services for victims, improve the experiences of the parties to cases through more active communication, and improve facilities in the courthouse. (concluding observation 22d).</w:t>
      </w:r>
    </w:p>
    <w:p w14:paraId="3CAFDB56" w14:textId="77777777" w:rsidR="00C10045" w:rsidRPr="00C10045" w:rsidRDefault="00C10045" w:rsidP="008431CB">
      <w:pPr>
        <w:pStyle w:val="SingleTxtG"/>
        <w:numPr>
          <w:ilvl w:val="0"/>
          <w:numId w:val="8"/>
        </w:numPr>
        <w:ind w:left="1134" w:firstLine="0"/>
      </w:pPr>
      <w:r w:rsidRPr="00C10045">
        <w:t xml:space="preserve">The preparation of a 2026-2030 national programme on action against gender-based violence against women is in the final stages; it entails actions to be taken to improve procedures concerning sexual offences. It </w:t>
      </w:r>
      <w:proofErr w:type="gramStart"/>
      <w:r w:rsidRPr="00C10045">
        <w:t>takes into account</w:t>
      </w:r>
      <w:proofErr w:type="gramEnd"/>
      <w:r w:rsidRPr="00C10045">
        <w:t xml:space="preserve"> the Recommendation of the monitoring body of the Istanbul Convention (GREVIO) of November 2022. The new national plan unites two action plans, an action plan for the handling of sexual offences and a plan to respond to the GREVIO Recommendation, which provide, </w:t>
      </w:r>
      <w:r w:rsidRPr="00C10045">
        <w:rPr>
          <w:i/>
          <w:iCs/>
        </w:rPr>
        <w:t>inter alia</w:t>
      </w:r>
      <w:r w:rsidRPr="00C10045">
        <w:t xml:space="preserve">, that better handling of certain types of violence is needed, e.g. honour-based abuse and negative social control, as well as a need to take more account of women belonging to marginalised groups, e.g. women of foreign origin or non-white women. The actions of the national plan are specifically aimed at the </w:t>
      </w:r>
      <w:proofErr w:type="gramStart"/>
      <w:r w:rsidRPr="00C10045">
        <w:t>aforementioned issues</w:t>
      </w:r>
      <w:proofErr w:type="gramEnd"/>
      <w:r w:rsidRPr="00C10045">
        <w:t>, including through mapping, awareness-raising, education and coordination of processes.</w:t>
      </w:r>
    </w:p>
    <w:p w14:paraId="417E354E" w14:textId="1AFCB983" w:rsidR="00C10045" w:rsidRPr="00C10045" w:rsidRDefault="0015727B" w:rsidP="0015727B">
      <w:pPr>
        <w:pStyle w:val="H4G"/>
        <w:rPr>
          <w:rFonts w:eastAsia="SimSun"/>
        </w:rPr>
      </w:pPr>
      <w:r>
        <w:rPr>
          <w:rFonts w:eastAsia="SimSun"/>
        </w:rPr>
        <w:tab/>
      </w:r>
      <w:r>
        <w:rPr>
          <w:rFonts w:eastAsia="SimSun"/>
        </w:rPr>
        <w:tab/>
      </w:r>
      <w:r w:rsidR="00C10045" w:rsidRPr="00C10045">
        <w:rPr>
          <w:rFonts w:eastAsia="SimSun"/>
        </w:rPr>
        <w:t>Preventive measures and awareness-raising</w:t>
      </w:r>
    </w:p>
    <w:p w14:paraId="21CFBA9E" w14:textId="77777777" w:rsidR="00C10045" w:rsidRPr="00C10045" w:rsidRDefault="00C10045" w:rsidP="008431CB">
      <w:pPr>
        <w:pStyle w:val="SingleTxtG"/>
        <w:numPr>
          <w:ilvl w:val="0"/>
          <w:numId w:val="8"/>
        </w:numPr>
        <w:ind w:left="1134" w:firstLine="0"/>
      </w:pPr>
      <w:r w:rsidRPr="00C10045">
        <w:rPr>
          <w:bCs/>
        </w:rPr>
        <w:t>Awareness-raising has taken place about the specific needs of immigrants who have been subjected to violence, and it has also been shown that language skills can, in many instances, limit their possibilities for seeking assistance.</w:t>
      </w:r>
      <w:r w:rsidRPr="00C10045">
        <w:rPr>
          <w:b/>
          <w:bCs/>
        </w:rPr>
        <w:t xml:space="preserve"> </w:t>
      </w:r>
      <w:r w:rsidRPr="00C10045">
        <w:t xml:space="preserve">The </w:t>
      </w:r>
      <w:proofErr w:type="gramStart"/>
      <w:r w:rsidRPr="00C10045">
        <w:t>aforementioned parliamentary</w:t>
      </w:r>
      <w:proofErr w:type="gramEnd"/>
      <w:r w:rsidRPr="00C10045">
        <w:t xml:space="preserve"> resolution for 2019-2022 on action against violence and its consequences included an action for a country-wide dissemination of educational materials about violence and post-violence resources. A special focus was placed on reaching people of foreign origin and other vulnerable groups. A status report on the enforcement of the action plan was issued in December 2022. It stated that the </w:t>
      </w:r>
      <w:proofErr w:type="gramStart"/>
      <w:r w:rsidRPr="00C10045">
        <w:t>aforementioned action</w:t>
      </w:r>
      <w:proofErr w:type="gramEnd"/>
      <w:r w:rsidRPr="00C10045">
        <w:t xml:space="preserve"> had run its course and that it had been focused on educating the public all around the country through the new 112.is emergency services website, which has become the country’s biggest information resource on violence. A wide-ranging awareness-raising campaign was launched under the slogan </w:t>
      </w:r>
      <w:r w:rsidRPr="00C10045">
        <w:rPr>
          <w:i/>
          <w:iCs/>
        </w:rPr>
        <w:t>Tell someone</w:t>
      </w:r>
      <w:r w:rsidRPr="00C10045">
        <w:t xml:space="preserve"> (Icel. </w:t>
      </w:r>
      <w:proofErr w:type="spellStart"/>
      <w:r w:rsidRPr="00C10045">
        <w:rPr>
          <w:i/>
          <w:iCs/>
        </w:rPr>
        <w:t>Segðu</w:t>
      </w:r>
      <w:proofErr w:type="spellEnd"/>
      <w:r w:rsidRPr="00C10045">
        <w:rPr>
          <w:i/>
          <w:iCs/>
        </w:rPr>
        <w:t xml:space="preserve"> </w:t>
      </w:r>
      <w:proofErr w:type="spellStart"/>
      <w:r w:rsidRPr="00C10045">
        <w:rPr>
          <w:i/>
          <w:iCs/>
        </w:rPr>
        <w:t>frá</w:t>
      </w:r>
      <w:proofErr w:type="spellEnd"/>
      <w:r w:rsidRPr="00C10045">
        <w:t>) in October 2020, where the public was urged to tell others about domestic violence and seek help from the police. The awareness-raising was especially directed at vulnerable groups, including people of foreign origin.</w:t>
      </w:r>
    </w:p>
    <w:p w14:paraId="39370B9A" w14:textId="77777777" w:rsidR="00C10045" w:rsidRPr="00C10045" w:rsidRDefault="00C10045" w:rsidP="008431CB">
      <w:pPr>
        <w:pStyle w:val="SingleTxtG"/>
        <w:numPr>
          <w:ilvl w:val="0"/>
          <w:numId w:val="8"/>
        </w:numPr>
        <w:ind w:left="1134" w:firstLine="0"/>
      </w:pPr>
      <w:r w:rsidRPr="00C10045">
        <w:t>Another action had the aim to encourage education about violence issues for justice administration system personnel, with an emphasis on the nature and consequences of violence, its manifestations and especially on the special situation of vulnerable groups, including immigrants, to enhance the ability of personnel to respond to cases involving violence. To fulfil this action, the Centre for Police Training and Professional Development has ensured that education about violence is now a fixed part of police personnel’s continuing education. For example, in 2019-2021, around 230 persons, both police officers and prosecutors, attended a total of seven courses. Additionally, the Centre has prepared an online course that has been accessible to all police staff since the spring of 2021. The course was made mandatory for all acting police officers in 2022 (concluding observation 22e).</w:t>
      </w:r>
    </w:p>
    <w:p w14:paraId="0FC4E25F" w14:textId="77777777" w:rsidR="00C10045" w:rsidRPr="00C10045" w:rsidRDefault="00C10045" w:rsidP="008431CB">
      <w:pPr>
        <w:pStyle w:val="SingleTxtG"/>
        <w:numPr>
          <w:ilvl w:val="0"/>
          <w:numId w:val="8"/>
        </w:numPr>
        <w:ind w:left="1134" w:firstLine="0"/>
      </w:pPr>
      <w:r w:rsidRPr="00C10045">
        <w:t xml:space="preserve">In 2022, a working group on prevention and awareness-raising against sexual offences and gender-based violence was set up under the leadership of the National Commissioner of the Icelandic Police. The group was intended to support the development of cooperation between the police and its partners, against violence and its consequences, including formal services for victims of sexual offences, and to promote general awareness about gender-based violence in society. The group paid special attention to vulnerable groups of people, as experience has shown them to be at greater risk of being subjected to violence. The administration has undertaken various preventive measures and awareness-raising endeavours on the basis of suggestions from the working group, e.g. the aforementioned </w:t>
      </w:r>
      <w:r w:rsidRPr="00C10045">
        <w:rPr>
          <w:i/>
          <w:iCs/>
        </w:rPr>
        <w:t>Tell someone</w:t>
      </w:r>
      <w:r w:rsidRPr="00C10045">
        <w:t xml:space="preserve"> awareness-raising campaign, as well as the </w:t>
      </w:r>
      <w:r w:rsidRPr="00C10045">
        <w:rPr>
          <w:i/>
          <w:iCs/>
        </w:rPr>
        <w:t>There is hope for you</w:t>
      </w:r>
      <w:r w:rsidRPr="00C10045">
        <w:t xml:space="preserve"> (Icel. </w:t>
      </w:r>
      <w:proofErr w:type="spellStart"/>
      <w:r w:rsidRPr="00C10045">
        <w:rPr>
          <w:i/>
          <w:iCs/>
        </w:rPr>
        <w:t>Þú</w:t>
      </w:r>
      <w:proofErr w:type="spellEnd"/>
      <w:r w:rsidRPr="00C10045">
        <w:rPr>
          <w:i/>
          <w:iCs/>
        </w:rPr>
        <w:t xml:space="preserve"> </w:t>
      </w:r>
      <w:proofErr w:type="spellStart"/>
      <w:r w:rsidRPr="00C10045">
        <w:rPr>
          <w:i/>
          <w:iCs/>
        </w:rPr>
        <w:t>átt</w:t>
      </w:r>
      <w:proofErr w:type="spellEnd"/>
      <w:r w:rsidRPr="00C10045">
        <w:rPr>
          <w:i/>
          <w:iCs/>
        </w:rPr>
        <w:t xml:space="preserve"> von</w:t>
      </w:r>
      <w:r w:rsidRPr="00C10045">
        <w:t>) campaign, which focused on sharing experiences of the use of methods that have been successfully used to combat violence in intimate relationships.</w:t>
      </w:r>
    </w:p>
    <w:p w14:paraId="0F2D1EAC" w14:textId="22661A8D" w:rsidR="00C10045" w:rsidRPr="00C10045" w:rsidRDefault="0015727B" w:rsidP="0015727B">
      <w:pPr>
        <w:pStyle w:val="H4G"/>
        <w:rPr>
          <w:rFonts w:eastAsia="SimSun"/>
        </w:rPr>
      </w:pPr>
      <w:r>
        <w:rPr>
          <w:rFonts w:eastAsia="SimSun"/>
        </w:rPr>
        <w:tab/>
      </w:r>
      <w:r>
        <w:rPr>
          <w:rFonts w:eastAsia="SimSun"/>
        </w:rPr>
        <w:tab/>
      </w:r>
      <w:r w:rsidR="00C10045" w:rsidRPr="00C10045">
        <w:rPr>
          <w:rFonts w:eastAsia="SimSun"/>
        </w:rPr>
        <w:t>Services and counselling</w:t>
      </w:r>
    </w:p>
    <w:p w14:paraId="50FE5CE3" w14:textId="77777777" w:rsidR="00C10045" w:rsidRPr="00C10045" w:rsidRDefault="00C10045" w:rsidP="008431CB">
      <w:pPr>
        <w:pStyle w:val="SingleTxtG"/>
        <w:numPr>
          <w:ilvl w:val="0"/>
          <w:numId w:val="8"/>
        </w:numPr>
        <w:ind w:left="1134" w:firstLine="0"/>
      </w:pPr>
      <w:r w:rsidRPr="00C10045">
        <w:t>In recent years, the Ministry of Social Affairs and Housing has ensured legal counselling to foreign nationals who have been subjected to sexual and gender-based violence. The counselling is free of charge and is conducted in shelters that offer services to these groups. Efforts are ongoing to encourage more cultural literacy among responders through special cultural literacy courses (concluding observation 22a).</w:t>
      </w:r>
    </w:p>
    <w:p w14:paraId="493E5757" w14:textId="77777777" w:rsidR="00C10045" w:rsidRPr="00C10045" w:rsidRDefault="00C10045" w:rsidP="008431CB">
      <w:pPr>
        <w:pStyle w:val="SingleTxtG"/>
        <w:numPr>
          <w:ilvl w:val="0"/>
          <w:numId w:val="8"/>
        </w:numPr>
        <w:ind w:left="1134" w:firstLine="0"/>
      </w:pPr>
      <w:r w:rsidRPr="00C10045">
        <w:t xml:space="preserve">Bjarkarhlíð, a service centre for victims of abuse, situated in Reykjavík, began its operations in 2017. Following this, two other such service centres opened their doors: </w:t>
      </w:r>
      <w:proofErr w:type="spellStart"/>
      <w:r w:rsidRPr="00C10045">
        <w:t>Bjarmahlíð</w:t>
      </w:r>
      <w:proofErr w:type="spellEnd"/>
      <w:r w:rsidRPr="00C10045">
        <w:t xml:space="preserve"> in </w:t>
      </w:r>
      <w:proofErr w:type="spellStart"/>
      <w:r w:rsidRPr="00C10045">
        <w:t>Akureyri</w:t>
      </w:r>
      <w:proofErr w:type="spellEnd"/>
      <w:r w:rsidRPr="00C10045">
        <w:t xml:space="preserve"> in 2019 and </w:t>
      </w:r>
      <w:proofErr w:type="spellStart"/>
      <w:r w:rsidRPr="00C10045">
        <w:t>Sigurhæðir</w:t>
      </w:r>
      <w:proofErr w:type="spellEnd"/>
      <w:r w:rsidRPr="00C10045">
        <w:t xml:space="preserve"> in Selfoss in 2021. Their objective is to offer support, counselling and education on the nature and consequences of violence. They offer individual interviews, group work, legal advice and social counselling, as well as interviews with the police to receive information about the processing of cases, the process of prosecution and other information. All services are given on the victim’s terms and are free of charge. Clients of foreign origin receive interpretation services if necessary </w:t>
      </w:r>
      <w:proofErr w:type="gramStart"/>
      <w:r w:rsidRPr="00C10045">
        <w:t>and also</w:t>
      </w:r>
      <w:proofErr w:type="gramEnd"/>
      <w:r w:rsidRPr="00C10045">
        <w:t xml:space="preserve"> information about their rights in Icelandic society. Around 10% of victims who have visited </w:t>
      </w:r>
      <w:proofErr w:type="spellStart"/>
      <w:r w:rsidRPr="00C10045">
        <w:t>Bjarkarhlíð</w:t>
      </w:r>
      <w:proofErr w:type="spellEnd"/>
      <w:r w:rsidRPr="00C10045">
        <w:t xml:space="preserve"> and </w:t>
      </w:r>
      <w:proofErr w:type="spellStart"/>
      <w:r w:rsidRPr="00C10045">
        <w:t>Bjarmahlíð</w:t>
      </w:r>
      <w:proofErr w:type="spellEnd"/>
      <w:r w:rsidRPr="00C10045">
        <w:t xml:space="preserve"> are immigrants or people of foreign origin.</w:t>
      </w:r>
    </w:p>
    <w:p w14:paraId="77A98D81" w14:textId="77777777" w:rsidR="00C10045" w:rsidRPr="00C10045" w:rsidRDefault="00C10045" w:rsidP="008431CB">
      <w:pPr>
        <w:pStyle w:val="SingleTxtG"/>
        <w:numPr>
          <w:ilvl w:val="0"/>
          <w:numId w:val="8"/>
        </w:numPr>
        <w:ind w:left="1134" w:firstLine="0"/>
      </w:pPr>
      <w:r w:rsidRPr="00C10045">
        <w:t xml:space="preserve">The Women’s Shelter (Icel. </w:t>
      </w:r>
      <w:proofErr w:type="spellStart"/>
      <w:r w:rsidRPr="00C10045">
        <w:rPr>
          <w:i/>
          <w:iCs/>
        </w:rPr>
        <w:t>Kvennaathvarfið</w:t>
      </w:r>
      <w:proofErr w:type="spellEnd"/>
      <w:r w:rsidRPr="00C10045">
        <w:t xml:space="preserve">) is an emergency shelter for women and their children who have had to flee their homes because of violence. Around 59% of the women staying in the shelter are immigrants. This high percentage is believed to be because this group has fewer opportunities of finding shelter elsewhere, rather than being an indication that foreign women are more prone to being subjected to violence than native Icelandic women. </w:t>
      </w:r>
    </w:p>
    <w:p w14:paraId="3EA67318" w14:textId="77777777" w:rsidR="00C10045" w:rsidRPr="00C10045" w:rsidRDefault="00C10045" w:rsidP="008431CB">
      <w:pPr>
        <w:pStyle w:val="SingleTxtG"/>
        <w:numPr>
          <w:ilvl w:val="0"/>
          <w:numId w:val="8"/>
        </w:numPr>
        <w:ind w:left="1134" w:firstLine="0"/>
      </w:pPr>
      <w:r w:rsidRPr="00C10045">
        <w:t>W.O.M.E.N. in Iceland (The Women of Multicultural Ethnicity Network in Iceland) is a civil society organisation that has the aim to fight for the rights of women of foreign origin in the labour market, the justice system, the immigration system, the healthcare and welfare system and other areas of society. W.O.M.E.N. offers counselling for women of foreign origin on their rights and the resources that are available to them in Iceland. The counselling is free of charge to its users and the counsellors working for the organisation speak numerous languages, including Icelandic, English, Spanish and Russian.</w:t>
      </w:r>
    </w:p>
    <w:p w14:paraId="129A227C" w14:textId="77777777" w:rsidR="00C10045" w:rsidRPr="00C10045" w:rsidRDefault="00C10045" w:rsidP="008431CB">
      <w:pPr>
        <w:pStyle w:val="SingleTxtG"/>
        <w:numPr>
          <w:ilvl w:val="0"/>
          <w:numId w:val="8"/>
        </w:numPr>
        <w:ind w:left="1134" w:firstLine="0"/>
      </w:pPr>
      <w:r w:rsidRPr="00C10045">
        <w:t xml:space="preserve">The Directorate of Equality brochure, </w:t>
      </w:r>
      <w:r w:rsidRPr="00C10045">
        <w:rPr>
          <w:i/>
          <w:iCs/>
        </w:rPr>
        <w:t>Your Rights - Important information for immigrants in Iceland</w:t>
      </w:r>
      <w:r w:rsidRPr="00C10045">
        <w:t>, includes information on the rights of people in Iceland regarding domestic violence, sexual violence and human trafficking and where and how to seek help and counselling in such cases. The brochure is issued in print and digital form, in Icelandic, English, Polish, Spanish, Thai, Russian, Arabic, French and Ukrainian, and is promoted regularly. It is also available through public bodies and civil society organisations that provide services to immigrants. There has also been an increased emphasis on educating women seeking international protection about resources in connection with gender-based violence and the rules and criteria in use in Iceland (concluding observations 22b and c).</w:t>
      </w:r>
    </w:p>
    <w:p w14:paraId="3E299C74" w14:textId="77777777" w:rsidR="00C10045" w:rsidRPr="00C10045" w:rsidRDefault="00C10045" w:rsidP="008431CB">
      <w:pPr>
        <w:pStyle w:val="SingleTxtG"/>
        <w:numPr>
          <w:ilvl w:val="0"/>
          <w:numId w:val="8"/>
        </w:numPr>
        <w:ind w:left="1134" w:firstLine="0"/>
      </w:pPr>
      <w:r w:rsidRPr="00C10045">
        <w:t xml:space="preserve">Financial support has been given to projects that aim to empower immigrant women, including through the project </w:t>
      </w:r>
      <w:r w:rsidRPr="00C10045">
        <w:rPr>
          <w:i/>
          <w:iCs/>
        </w:rPr>
        <w:t>Courageous steps: Migrant Women Combatting Gender Based Violence</w:t>
      </w:r>
      <w:r w:rsidRPr="00C10045">
        <w:t xml:space="preserve"> which is intended to combat gender-based and sexual violence through workshops on feminist self-development and self-defence. Another project for empowering immigrant women that has received financial support is </w:t>
      </w:r>
      <w:proofErr w:type="spellStart"/>
      <w:r w:rsidRPr="00C10045">
        <w:rPr>
          <w:i/>
          <w:iCs/>
        </w:rPr>
        <w:t>Mállíðan</w:t>
      </w:r>
      <w:proofErr w:type="spellEnd"/>
      <w:r w:rsidRPr="00C10045">
        <w:t>, a support group for women to learn Icelandic in connection with women’s safety and health, which empowers women in using and understanding Icelandic (concluding observation 22b).</w:t>
      </w:r>
    </w:p>
    <w:p w14:paraId="5D63EAD3" w14:textId="2B9DFB5F" w:rsidR="00C10045" w:rsidRPr="00C10045" w:rsidRDefault="0015727B" w:rsidP="0015727B">
      <w:pPr>
        <w:pStyle w:val="H4G"/>
        <w:rPr>
          <w:rFonts w:eastAsia="SimSun"/>
        </w:rPr>
      </w:pPr>
      <w:r>
        <w:rPr>
          <w:rFonts w:eastAsia="SimSun"/>
        </w:rPr>
        <w:tab/>
      </w:r>
      <w:r>
        <w:rPr>
          <w:rFonts w:eastAsia="SimSun"/>
        </w:rPr>
        <w:tab/>
      </w:r>
      <w:r w:rsidR="00C10045" w:rsidRPr="00C10045">
        <w:rPr>
          <w:rFonts w:eastAsia="SimSun"/>
        </w:rPr>
        <w:t>Actions in connection with COVID-19</w:t>
      </w:r>
    </w:p>
    <w:p w14:paraId="5D3494F1" w14:textId="77777777" w:rsidR="00C10045" w:rsidRPr="00C10045" w:rsidRDefault="00C10045" w:rsidP="008431CB">
      <w:pPr>
        <w:pStyle w:val="SingleTxtG"/>
        <w:numPr>
          <w:ilvl w:val="0"/>
          <w:numId w:val="8"/>
        </w:numPr>
        <w:ind w:left="1134" w:firstLine="0"/>
      </w:pPr>
      <w:r w:rsidRPr="00C10045">
        <w:t>The administration’s responses to the COVID-19 pandemic aimed at minimising the societal effects of quarantine measures and reducing conditions that could increase the risk of violence. For example, preschools and primary schools were kept open and curfews were not imposed. Service resources for victims of violence were not suspended either but adapted their services to the quarantine rules. The administration decided, in response to an increase in reports of domestic violence and reports to the child protection authorities at the start of the pandemic, to take systematic action and raise awareness to combat violence, especially domestic violence and violence against children. The administration devoted 1.5 million Euros to these actions, with matching contributions from its partners. The actions specifically targeted vulnerable groups, including children, women immigrants, the elderly and people with disabilities.</w:t>
      </w:r>
    </w:p>
    <w:p w14:paraId="4542B7CB" w14:textId="77777777" w:rsidR="00C10045" w:rsidRPr="00C10045" w:rsidRDefault="00C10045" w:rsidP="008431CB">
      <w:pPr>
        <w:pStyle w:val="SingleTxtG"/>
        <w:numPr>
          <w:ilvl w:val="0"/>
          <w:numId w:val="8"/>
        </w:numPr>
        <w:ind w:left="1134" w:firstLine="0"/>
      </w:pPr>
      <w:r w:rsidRPr="00C10045">
        <w:t xml:space="preserve">Seventeen civil society organisation projects received special grants to boost their support services. The actions that were launched due to the COVID-19 pandemic have been the foundation for amended procedures and increased long-term support for victims of violence. One of these projects entailed the development and strengthening of the services of the </w:t>
      </w:r>
      <w:proofErr w:type="gramStart"/>
      <w:r w:rsidRPr="00C10045">
        <w:t>112 emergency</w:t>
      </w:r>
      <w:proofErr w:type="gramEnd"/>
      <w:r w:rsidRPr="00C10045">
        <w:t xml:space="preserve"> hotline and to open an information portal about violence on the 112.is website, in Icelandic and English. Emergency personnel respond by phone and through on-line chat 24 hours a day. Automatic translation is available of all information on the portal and is useful for a substantial majority of immigrants in Iceland. The portal contains information about services and resources provided by public entities, civil-society organisations and private entities. It also contains information about assistance for perpetrators of violence, as well as on digital violence, human trafficking and other types of violence.</w:t>
      </w:r>
    </w:p>
    <w:p w14:paraId="2B91C336" w14:textId="77777777" w:rsidR="00C10045" w:rsidRPr="00C10045" w:rsidRDefault="00C10045" w:rsidP="008431CB">
      <w:pPr>
        <w:pStyle w:val="SingleTxtG"/>
        <w:numPr>
          <w:ilvl w:val="0"/>
          <w:numId w:val="8"/>
        </w:numPr>
        <w:ind w:left="1134" w:firstLine="0"/>
      </w:pPr>
      <w:r w:rsidRPr="00C10045">
        <w:t xml:space="preserve">The </w:t>
      </w:r>
      <w:proofErr w:type="spellStart"/>
      <w:r w:rsidRPr="00C10045">
        <w:t>Landspítali</w:t>
      </w:r>
      <w:proofErr w:type="spellEnd"/>
      <w:r w:rsidRPr="00C10045">
        <w:t xml:space="preserve"> hospital training unit and the Development Centre for Primary Healthcare in Iceland work together to provide education about domestic violence, its symptoms and remedies. Educational material has been published and made available on the Development Centre for Primary Healthcare website. This material is intended to provide general information about domestic violence to staff members of health establishments, to promote awareness and increase discussion. Training courses on domestic violence and how to respond to it have also been held for professionals in health care centres and hospitals during the past eight to ten years, in cooperation with a midwife at </w:t>
      </w:r>
      <w:proofErr w:type="spellStart"/>
      <w:r w:rsidRPr="00C10045">
        <w:t>Landspítali</w:t>
      </w:r>
      <w:proofErr w:type="spellEnd"/>
      <w:r w:rsidRPr="00C10045">
        <w:t>. In 2023, operational procedures were created and made accessible to all on the website of the Development Centre for Primary Healthcare. The operational procedures anticipate, among other things, asking questions regarding violence when medical history is determined, with the intent to help health care workers to ask questions, show support and guide their clients.</w:t>
      </w:r>
    </w:p>
    <w:p w14:paraId="11FAA7A4" w14:textId="77777777" w:rsidR="00C10045" w:rsidRPr="00C10045" w:rsidRDefault="00C10045" w:rsidP="008431CB">
      <w:pPr>
        <w:pStyle w:val="SingleTxtG"/>
        <w:numPr>
          <w:ilvl w:val="0"/>
          <w:numId w:val="8"/>
        </w:numPr>
        <w:ind w:left="1134" w:firstLine="0"/>
      </w:pPr>
      <w:r w:rsidRPr="00C10045">
        <w:t>A parliamentary bill amending the Healthcare Practitioners Act was adopted in May 2023, which clarified their authorisation to notify to the police cases where domestic violence or violence in an intimate relationship can threaten the life or health of a patient. These amendments permit healthcare professionals to notify the police of domestic violence at the request of a patient. In such cases, the police may be given a patient's general personal data, information about their injuries and other personal data regarding the situation of the patient and the violence they have been subjected to, that are considered necessary for the police to take the necessary measures to ensure necessary protection and support for the patient.</w:t>
      </w:r>
    </w:p>
    <w:p w14:paraId="57FDFAD2" w14:textId="0C050B5B" w:rsidR="00C10045" w:rsidRPr="00C10045" w:rsidRDefault="00491410" w:rsidP="00491410">
      <w:pPr>
        <w:pStyle w:val="H23G"/>
        <w:rPr>
          <w:rFonts w:eastAsia="SimSun"/>
        </w:rPr>
      </w:pPr>
      <w:r>
        <w:rPr>
          <w:rFonts w:eastAsia="SimSun"/>
        </w:rPr>
        <w:tab/>
      </w:r>
      <w:r>
        <w:rPr>
          <w:rFonts w:eastAsia="SimSun"/>
        </w:rPr>
        <w:tab/>
      </w:r>
      <w:r w:rsidR="00C10045" w:rsidRPr="00C10045">
        <w:rPr>
          <w:rFonts w:eastAsia="SimSun"/>
        </w:rPr>
        <w:t>Human trafficking</w:t>
      </w:r>
    </w:p>
    <w:p w14:paraId="458C25A0" w14:textId="6027F719" w:rsidR="00C10045" w:rsidRPr="00C10045" w:rsidRDefault="00491410" w:rsidP="00491410">
      <w:pPr>
        <w:pStyle w:val="H4G"/>
        <w:rPr>
          <w:rFonts w:eastAsia="SimSun"/>
        </w:rPr>
      </w:pPr>
      <w:r>
        <w:rPr>
          <w:rFonts w:eastAsia="SimSun"/>
        </w:rPr>
        <w:tab/>
      </w:r>
      <w:r>
        <w:rPr>
          <w:rFonts w:eastAsia="SimSun"/>
        </w:rPr>
        <w:tab/>
      </w:r>
      <w:r w:rsidR="00C10045" w:rsidRPr="00C10045">
        <w:rPr>
          <w:rFonts w:eastAsia="SimSun"/>
        </w:rPr>
        <w:t>The administration’s focus</w:t>
      </w:r>
    </w:p>
    <w:p w14:paraId="2C8C5513" w14:textId="77777777" w:rsidR="00C10045" w:rsidRPr="00C10045" w:rsidRDefault="00C10045" w:rsidP="008431CB">
      <w:pPr>
        <w:pStyle w:val="SingleTxtG"/>
        <w:numPr>
          <w:ilvl w:val="0"/>
          <w:numId w:val="8"/>
        </w:numPr>
        <w:ind w:left="1134" w:firstLine="0"/>
      </w:pPr>
      <w:r w:rsidRPr="00C10045">
        <w:t xml:space="preserve">An increased focus has been placed on action against human trafficking, which includes law-making, the implementation of action plans and participation in international cooperation against this type of criminal activity. The Action Plan on Government Emphases in Actions against Human Trafficking and Other Types of Exploitation was published in 2019 and is based on ten actions. There are four types of actions: i. prevention; ii. assistance, support and protection; iii. investigation and prosecution </w:t>
      </w:r>
      <w:proofErr w:type="gramStart"/>
      <w:r w:rsidRPr="00C10045">
        <w:t>and;</w:t>
      </w:r>
      <w:proofErr w:type="gramEnd"/>
      <w:r w:rsidRPr="00C10045">
        <w:t xml:space="preserve"> iv. cooperation and consultation. </w:t>
      </w:r>
    </w:p>
    <w:p w14:paraId="1EA88D99" w14:textId="77777777" w:rsidR="00C10045" w:rsidRPr="00C10045" w:rsidRDefault="00C10045" w:rsidP="008431CB">
      <w:pPr>
        <w:pStyle w:val="SingleTxtG"/>
        <w:numPr>
          <w:ilvl w:val="0"/>
          <w:numId w:val="8"/>
        </w:numPr>
        <w:ind w:left="1134" w:firstLine="0"/>
      </w:pPr>
      <w:r w:rsidRPr="00C10045">
        <w:t xml:space="preserve">In 2023, the Council of Europe’s Group of Experts on Action against Trafficking in Human Beings (GRETA) published its third report on Iceland. The report highlighted some shortcomings in Iceland’s efforts to combat human trafficking. A new action plan on human trafficking is being drafted based on that report, to comply with the observations therein. </w:t>
      </w:r>
    </w:p>
    <w:p w14:paraId="434CFC4D" w14:textId="77777777" w:rsidR="00C10045" w:rsidRPr="00C10045" w:rsidRDefault="00C10045" w:rsidP="008431CB">
      <w:pPr>
        <w:pStyle w:val="SingleTxtG"/>
        <w:numPr>
          <w:ilvl w:val="0"/>
          <w:numId w:val="8"/>
        </w:numPr>
        <w:ind w:left="1134" w:firstLine="0"/>
      </w:pPr>
      <w:r w:rsidRPr="00C10045">
        <w:t>In 2023, 500 million ISK were permanently added to the contribution to the police to combat organised crime, including human trafficking. In 2025, the number of police officers in the country was increased by 50, including two new positions on the Reykjavík police commissioner’s human trafficking team. Funding for actions to tackle human trafficking and for the benefit of victims is allotted on an annual basis to the institutions and organisations discharging responsibilities in this regard, including the police, public prosecutor, courts, social services and the welfare system, institutions monitoring the labour market, such as the Internal Revenue service, the Directorate of Labour and others, in addition to civil society organisations that receive grants from the public sector in order to exercise their missions. The State has additionally allotted funding to individual projects designed to combat all forms of violence and support both victims and perpetrators of violence.</w:t>
      </w:r>
    </w:p>
    <w:p w14:paraId="7B77E804" w14:textId="4633C714" w:rsidR="00C10045" w:rsidRPr="00C10045" w:rsidRDefault="00491410" w:rsidP="00491410">
      <w:pPr>
        <w:pStyle w:val="H4G"/>
        <w:rPr>
          <w:rFonts w:eastAsia="SimSun"/>
        </w:rPr>
      </w:pPr>
      <w:r>
        <w:rPr>
          <w:rFonts w:eastAsia="SimSun"/>
        </w:rPr>
        <w:tab/>
      </w:r>
      <w:r>
        <w:rPr>
          <w:rFonts w:eastAsia="SimSun"/>
        </w:rPr>
        <w:tab/>
      </w:r>
      <w:r w:rsidR="00C10045" w:rsidRPr="00C10045">
        <w:rPr>
          <w:rFonts w:eastAsia="SimSun"/>
        </w:rPr>
        <w:t>Legislation on human trafficking</w:t>
      </w:r>
    </w:p>
    <w:p w14:paraId="420CDDAF" w14:textId="77777777" w:rsidR="00C10045" w:rsidRPr="00C10045" w:rsidRDefault="00C10045" w:rsidP="008431CB">
      <w:pPr>
        <w:pStyle w:val="SingleTxtG"/>
        <w:numPr>
          <w:ilvl w:val="0"/>
          <w:numId w:val="8"/>
        </w:numPr>
        <w:ind w:left="1134" w:firstLine="0"/>
      </w:pPr>
      <w:r w:rsidRPr="00C10045">
        <w:t xml:space="preserve">Work has been ongoing, in accordance with the </w:t>
      </w:r>
      <w:proofErr w:type="gramStart"/>
      <w:r w:rsidRPr="00C10045">
        <w:t>aforementioned 2019</w:t>
      </w:r>
      <w:proofErr w:type="gramEnd"/>
      <w:r w:rsidRPr="00C10045">
        <w:t xml:space="preserve"> action plan, to comprehensively review the legislation and regulatory acts regarding human trafficking, as well as reviewing rules and procedures relating to temporary residence permits.</w:t>
      </w:r>
    </w:p>
    <w:p w14:paraId="02A162B6" w14:textId="77777777" w:rsidR="00C10045" w:rsidRPr="00C10045" w:rsidRDefault="00C10045" w:rsidP="008431CB">
      <w:pPr>
        <w:pStyle w:val="SingleTxtG"/>
        <w:numPr>
          <w:ilvl w:val="0"/>
          <w:numId w:val="8"/>
        </w:numPr>
        <w:ind w:left="1134" w:firstLine="0"/>
      </w:pPr>
      <w:r w:rsidRPr="00C10045">
        <w:t xml:space="preserve">Amendments relating to human trafficking were made to Article 227a of the General Penal Code in 2021 to further improve protection for victims of human trafficking, particularly people applying for international protection, migrant workers and foreign nationals, especially women and children of foreign origin. They also make it easier to prosecute those responsible for the offences. The provision was extended to add types of exploitation in line with known manifestations of human trafficking and now also covers exploitation of another person for prostitution or other sexual purposes, forced marriage, enslavement or bondage, forced labour or servitude, including begging, and forced criminality. The provision was also amended </w:t>
      </w:r>
      <w:proofErr w:type="gramStart"/>
      <w:r w:rsidRPr="00C10045">
        <w:t>with regard to</w:t>
      </w:r>
      <w:proofErr w:type="gramEnd"/>
      <w:r w:rsidRPr="00C10045">
        <w:t xml:space="preserve"> the modalities of perpetration, adding the modalities of taking advantage of a victim’s ignorance or vulnerability or exploiting one’s own superiority. The objective of these amendments is to make it easier for the authorities to combat human trafficking for forced labour. The scope of Article 277a of the General Penal Code now includes situations where a person does not have access to the appropriate protective equipment when working in construction, is made to live in unsuitable accommodation and/or is not paid the agreed wage pursuant to collective agreements, for example due to ignorance, vulnerability or threats. The Opinion of the Judicial Affairs and Education Committee states that a victim’s consent has no impact on criminal liability in very serious cases where the victim is in a very vulnerable situation.</w:t>
      </w:r>
    </w:p>
    <w:p w14:paraId="04549552" w14:textId="77777777" w:rsidR="00C10045" w:rsidRPr="00C10045" w:rsidRDefault="00C10045" w:rsidP="008431CB">
      <w:pPr>
        <w:pStyle w:val="SingleTxtG"/>
        <w:numPr>
          <w:ilvl w:val="0"/>
          <w:numId w:val="8"/>
        </w:numPr>
        <w:ind w:left="1134" w:firstLine="0"/>
      </w:pPr>
      <w:r w:rsidRPr="00C10045">
        <w:t xml:space="preserve">There are two types of residence permits in the Foreign Nationals Act No 80/2016 that pertain to victims of human trafficking. One allows granting a possible victim of human trafficking and their child a residence permit for up to nine months under Article 75 of the Act, even when the basic requirements for a residence permit under Article 55 of the Act are not fulfilled. This provision is modelled on Article 13 of the Council of Europe’s Convention on Action against Trafficking in Human Beings and furthermore complies with the obligations under Article 10(2) of the Convention and Article 7(1) of the Palermo Protocol. It is important to give victims of human trafficking time for recovery and to escape the influence of human traffickers which is what the provision is intended for. It is also permissible, under Article 76 of the Act, to grant a renewable residence permit of up to one year to a victim of human trafficking and their child even when they do not fulfil the </w:t>
      </w:r>
      <w:proofErr w:type="gramStart"/>
      <w:r w:rsidRPr="00C10045">
        <w:t>aforementioned basic</w:t>
      </w:r>
      <w:proofErr w:type="gramEnd"/>
      <w:r w:rsidRPr="00C10045">
        <w:t xml:space="preserve"> requirements of Article 55 of the Foreign Nationals Act.</w:t>
      </w:r>
    </w:p>
    <w:p w14:paraId="3BF11CEB" w14:textId="22A456AE" w:rsidR="00C10045" w:rsidRPr="00C10045" w:rsidRDefault="00491410" w:rsidP="00491410">
      <w:pPr>
        <w:pStyle w:val="H4G"/>
        <w:rPr>
          <w:rFonts w:eastAsia="SimSun"/>
        </w:rPr>
      </w:pPr>
      <w:r>
        <w:rPr>
          <w:rFonts w:eastAsia="SimSun"/>
        </w:rPr>
        <w:tab/>
      </w:r>
      <w:r>
        <w:rPr>
          <w:rFonts w:eastAsia="SimSun"/>
        </w:rPr>
        <w:tab/>
      </w:r>
      <w:r w:rsidR="00C10045" w:rsidRPr="00C10045">
        <w:rPr>
          <w:rFonts w:eastAsia="SimSun"/>
        </w:rPr>
        <w:t>Statistics on human trafficking</w:t>
      </w:r>
    </w:p>
    <w:p w14:paraId="2BEF41B3" w14:textId="77777777" w:rsidR="00C10045" w:rsidRPr="00C10045" w:rsidRDefault="00C10045" w:rsidP="008431CB">
      <w:pPr>
        <w:pStyle w:val="SingleTxtG"/>
        <w:numPr>
          <w:ilvl w:val="0"/>
          <w:numId w:val="8"/>
        </w:numPr>
        <w:ind w:left="1134" w:firstLine="0"/>
      </w:pPr>
      <w:r w:rsidRPr="00C10045">
        <w:t xml:space="preserve">During the period 2020-2024, 324 cases were recorded in the police database as human trafficking offences or possible human trafficking. If only the 2023-2024 period is examined, 245 cases were recorded in the police database as possible human trafficking offences or human trafficking, and 46 of them were investigated. One of these cases involved a fake marriage, three concerned the exploitation of a child, eleven concerned sexual exploitation, seventeen involved forced labour and fourteen were undefined or unclear. In these cases, 63 individuals were recorded as the victims of human trafficking, including eight children, but the percentage of men and women was almost equal. In fourteen of these instances the individuals were Lithuanian, twelve were Romanian, eleven Vietnamese, nine Chinese and seventeen from thirteen other States. Two human trafficking cases were sent to the prosecutor in 2020 to 2024. One of the cases was dismissed, and the other went to trial; cf. the judgement of the Court of Appeals No 324/2022. In that case, the accused woman was acquitted as it was considered unlikely that there was enough evidence to convict her for human trafficking. </w:t>
      </w:r>
    </w:p>
    <w:p w14:paraId="14B82E85" w14:textId="77777777" w:rsidR="00C10045" w:rsidRPr="00C10045" w:rsidRDefault="00C10045" w:rsidP="008431CB">
      <w:pPr>
        <w:pStyle w:val="SingleTxtG"/>
        <w:numPr>
          <w:ilvl w:val="0"/>
          <w:numId w:val="8"/>
        </w:numPr>
        <w:ind w:left="1134" w:firstLine="0"/>
      </w:pPr>
      <w:r w:rsidRPr="00C10045">
        <w:t xml:space="preserve">In 2024, 55 individuals came to </w:t>
      </w:r>
      <w:proofErr w:type="spellStart"/>
      <w:r w:rsidRPr="00C10045">
        <w:t>Bjarkarhlíð</w:t>
      </w:r>
      <w:proofErr w:type="spellEnd"/>
      <w:r w:rsidRPr="00C10045">
        <w:t xml:space="preserve"> as victims of human trafficking, of which 55% were men and 45% were women. Out of these cases, 80% concerned trafficking for forced labour and 11% concerned trafficking for prostitution. However, it must be taken into consideration that the statistics for 2024 are somewhat affected by one of the most extensive cases in Iceland so far, concerning the restaurant sector. So far, the case is still being investigated. All the victims in the prostitution trafficking cases were women. </w:t>
      </w:r>
      <w:proofErr w:type="spellStart"/>
      <w:r w:rsidRPr="00C10045">
        <w:t>Bjarkarhlíð</w:t>
      </w:r>
      <w:proofErr w:type="spellEnd"/>
      <w:r w:rsidRPr="00C10045">
        <w:t xml:space="preserve"> referred most of the cases to the police or to social services for further assistance.</w:t>
      </w:r>
    </w:p>
    <w:p w14:paraId="78DD6A85" w14:textId="3DD88CA9" w:rsidR="00C10045" w:rsidRPr="00C10045" w:rsidRDefault="00491410" w:rsidP="00491410">
      <w:pPr>
        <w:pStyle w:val="H4G"/>
        <w:rPr>
          <w:rFonts w:eastAsia="SimSun"/>
        </w:rPr>
      </w:pPr>
      <w:r>
        <w:rPr>
          <w:rFonts w:eastAsia="SimSun"/>
        </w:rPr>
        <w:tab/>
      </w:r>
      <w:r>
        <w:rPr>
          <w:rFonts w:eastAsia="SimSun"/>
        </w:rPr>
        <w:tab/>
      </w:r>
      <w:r w:rsidR="00C10045" w:rsidRPr="00C10045">
        <w:rPr>
          <w:rFonts w:eastAsia="SimSun"/>
        </w:rPr>
        <w:t>Services for victims of human trafficking</w:t>
      </w:r>
    </w:p>
    <w:p w14:paraId="614C7816" w14:textId="77777777" w:rsidR="00C10045" w:rsidRPr="00C10045" w:rsidRDefault="00C10045" w:rsidP="008431CB">
      <w:pPr>
        <w:pStyle w:val="SingleTxtG"/>
        <w:numPr>
          <w:ilvl w:val="0"/>
          <w:numId w:val="8"/>
        </w:numPr>
        <w:ind w:left="1134" w:firstLine="0"/>
      </w:pPr>
      <w:r w:rsidRPr="00C10045">
        <w:t xml:space="preserve">Diverse services are available to victims of human trafficking, including housing, financial and legal assistance. The </w:t>
      </w:r>
      <w:proofErr w:type="spellStart"/>
      <w:r w:rsidRPr="00C10045">
        <w:t>Bjarkarhlíð</w:t>
      </w:r>
      <w:proofErr w:type="spellEnd"/>
      <w:r w:rsidRPr="00C10045">
        <w:t xml:space="preserve"> service centre for victims of abuse has had an active human trafficking team from 2020, based on an agreement with administrative authorities, and the team’s work was taken over by a coordination expert in 2024, when the administration granted additional funds to </w:t>
      </w:r>
      <w:proofErr w:type="spellStart"/>
      <w:r w:rsidRPr="00C10045">
        <w:t>Bjarkarhlíð</w:t>
      </w:r>
      <w:proofErr w:type="spellEnd"/>
      <w:r w:rsidRPr="00C10045">
        <w:t xml:space="preserve">. </w:t>
      </w:r>
      <w:proofErr w:type="spellStart"/>
      <w:r w:rsidRPr="00C10045">
        <w:t>Bjarkarhlíð</w:t>
      </w:r>
      <w:proofErr w:type="spellEnd"/>
      <w:r w:rsidRPr="00C10045">
        <w:t xml:space="preserve"> coordinates the work and responses of those involved in welfare services for victims of human trafficking and puts victims in touch with municipal social services, which gives them the assistance they need, including financial assistance and housing. The Ministry of Social Affairs and Housing has had an agreement with the Women’s Shelter to receive women victims of human trafficking, and the Directorate of Labour gives temporary shelter to male victims of human trafficking until they receive services from the municipality where they live or where the offence occurred, when the victims do not have personal ID numbers. In large-scale cases, a special team is established to coordinate the actions to be taken, </w:t>
      </w:r>
      <w:proofErr w:type="gramStart"/>
      <w:r w:rsidRPr="00C10045">
        <w:t>similar to</w:t>
      </w:r>
      <w:proofErr w:type="gramEnd"/>
      <w:r w:rsidRPr="00C10045">
        <w:t xml:space="preserve"> what happened in the spring and summer of 2024 in the most extensive human trafficking case that has occurred in Iceland so far. Furthermore, victims of human trafficking have the right to emergency assistance through the public healthcare system in Iceland. Additionally, the police </w:t>
      </w:r>
      <w:proofErr w:type="gramStart"/>
      <w:r w:rsidRPr="00C10045">
        <w:t>is</w:t>
      </w:r>
      <w:proofErr w:type="gramEnd"/>
      <w:r w:rsidRPr="00C10045">
        <w:t xml:space="preserve"> required to appoint a legal representative for victims of human trafficking who request one, in accordance with Article 41(2) of the Code of Criminal Procedure No 88/2008 (concluding observation 18).</w:t>
      </w:r>
    </w:p>
    <w:p w14:paraId="4DA7C2ED" w14:textId="77777777" w:rsidR="00C10045" w:rsidRPr="00C10045" w:rsidRDefault="00C10045" w:rsidP="008431CB">
      <w:pPr>
        <w:pStyle w:val="SingleTxtG"/>
        <w:numPr>
          <w:ilvl w:val="0"/>
          <w:numId w:val="8"/>
        </w:numPr>
        <w:ind w:left="1134" w:firstLine="0"/>
      </w:pPr>
      <w:r w:rsidRPr="00C10045">
        <w:t>A web portal concerning human trafficking was opened on the www.112.is/mansal website in June 2021. This is an information portal where victims of human trafficking can find information about what assistance is available to them and the public can find information on how to identify human trafficking and its manifestations.</w:t>
      </w:r>
    </w:p>
    <w:p w14:paraId="37EDDD42" w14:textId="77777777" w:rsidR="00C10045" w:rsidRPr="00C10045" w:rsidRDefault="00C10045" w:rsidP="00C10045">
      <w:pPr>
        <w:pStyle w:val="SingleTxtG"/>
        <w:rPr>
          <w:i/>
          <w:iCs/>
        </w:rPr>
      </w:pPr>
      <w:r w:rsidRPr="00C10045">
        <w:rPr>
          <w:i/>
          <w:iCs/>
        </w:rPr>
        <w:t>Awareness-raising and increased expert knowledge</w:t>
      </w:r>
    </w:p>
    <w:p w14:paraId="3B4DFAAE" w14:textId="77777777" w:rsidR="00C10045" w:rsidRPr="00C10045" w:rsidRDefault="00C10045" w:rsidP="008431CB">
      <w:pPr>
        <w:pStyle w:val="SingleTxtG"/>
        <w:numPr>
          <w:ilvl w:val="0"/>
          <w:numId w:val="8"/>
        </w:numPr>
        <w:ind w:left="1134" w:firstLine="0"/>
      </w:pPr>
      <w:r w:rsidRPr="00C10045">
        <w:t>Efforts have been made, based on the 2019 action plan, to increase expert knowledge and skills among the professions involved in handling human trafficking cases, regarding the nature and characteristics of the various manifestations of human trafficking. A plan has been constructed to encourage awareness-raising among employed persons, along with awareness-raising among the public, to decrease demand for services that often thrive on human trafficking.</w:t>
      </w:r>
    </w:p>
    <w:p w14:paraId="3996A68D" w14:textId="77777777" w:rsidR="00C10045" w:rsidRPr="00C10045" w:rsidRDefault="00C10045" w:rsidP="008431CB">
      <w:pPr>
        <w:pStyle w:val="SingleTxtG"/>
        <w:numPr>
          <w:ilvl w:val="0"/>
          <w:numId w:val="8"/>
        </w:numPr>
        <w:ind w:left="1134" w:firstLine="0"/>
      </w:pPr>
      <w:r w:rsidRPr="00C10045">
        <w:t>The Icelandic administration has taken several measures to improve the identification of human trafficking victims, such as issuing instructions about human trafficking for the police force, a handbook for Directorate of Immigration staff on how to identify and interview possible human trafficking victims, and an information portal for victims, in several languages, on indications of human trafficking and where to seek help. In 2022, the Ministry of Justice published a brochure on indications of human trafficking in Icelandic, English and Polish, that is intended to assist those who may need to identify possible human trafficking victims, which is also useful for the public. Furthermore, the brochure contains information for victims and others on resources and resorts related to human trafficking. It has been distributed to various institutions and civil society organisations that might come across human trafficking victims. (concluding observation 18).</w:t>
      </w:r>
    </w:p>
    <w:p w14:paraId="638031AF" w14:textId="77777777" w:rsidR="00C10045" w:rsidRPr="00C10045" w:rsidRDefault="00C10045" w:rsidP="008431CB">
      <w:pPr>
        <w:pStyle w:val="SingleTxtG"/>
        <w:numPr>
          <w:ilvl w:val="0"/>
          <w:numId w:val="8"/>
        </w:numPr>
        <w:ind w:left="1134" w:firstLine="0"/>
      </w:pPr>
      <w:r w:rsidRPr="00C10045">
        <w:t xml:space="preserve">The Social Affairs School, the Women’s Shelter, the </w:t>
      </w:r>
      <w:proofErr w:type="gramStart"/>
      <w:r w:rsidRPr="00C10045">
        <w:t>112 emergency</w:t>
      </w:r>
      <w:proofErr w:type="gramEnd"/>
      <w:r w:rsidRPr="00C10045">
        <w:t xml:space="preserve"> hotline, Administration of Occupational Safety and Health and the Directorate of Equality received a grant to develop an information video about human trafficking. Ultimately, this collaboration was extended, and the Red Cross was included in the project. With its participation, the video was dubbed in English, Polish, Spanish and Russian. The videos have been introduced, </w:t>
      </w:r>
      <w:r w:rsidRPr="00C10045">
        <w:rPr>
          <w:i/>
          <w:iCs/>
        </w:rPr>
        <w:t>inter alia</w:t>
      </w:r>
      <w:r w:rsidRPr="00C10045">
        <w:t>, to the member associations of the Icelandic Confederation of Labour (ASÍ) and have been used by the Social Affairs School as teaching material for workplace union representatives.</w:t>
      </w:r>
    </w:p>
    <w:p w14:paraId="47FEE4D5" w14:textId="77777777" w:rsidR="00C10045" w:rsidRPr="00C10045" w:rsidRDefault="00C10045" w:rsidP="008431CB">
      <w:pPr>
        <w:pStyle w:val="SingleTxtG"/>
        <w:numPr>
          <w:ilvl w:val="0"/>
          <w:numId w:val="8"/>
        </w:numPr>
        <w:ind w:left="1134" w:firstLine="0"/>
      </w:pPr>
      <w:r w:rsidRPr="00C10045">
        <w:t xml:space="preserve">Under the equality legislation, a Gender Equality Forum must be convened every two years. In 2025, there was a special focus on human trafficking. The Forum’s heading was </w:t>
      </w:r>
      <w:r w:rsidRPr="00C10045">
        <w:rPr>
          <w:i/>
          <w:iCs/>
        </w:rPr>
        <w:t>Human Trafficking: Icelandic Reality - Challenges and Ways to Fight It</w:t>
      </w:r>
      <w:r w:rsidRPr="00C10045">
        <w:t>. The Forum discussed the importance for Iceland to take purposeful steps in the fight against human trafficking for sexual purposes and organised criminal activity.</w:t>
      </w:r>
    </w:p>
    <w:p w14:paraId="189DAC8D" w14:textId="77777777" w:rsidR="00C10045" w:rsidRPr="00C10045" w:rsidRDefault="00C10045" w:rsidP="008431CB">
      <w:pPr>
        <w:pStyle w:val="SingleTxtG"/>
        <w:numPr>
          <w:ilvl w:val="0"/>
          <w:numId w:val="8"/>
        </w:numPr>
        <w:ind w:left="1134" w:firstLine="0"/>
      </w:pPr>
      <w:r w:rsidRPr="00C10045">
        <w:t>Work has been ongoing, in keeping with the action plan, to further knowledge of human trafficking within the police force and the public prosecutor’s office. Additionally, efforts have been ongoing to strengthen the police’s jurisdictional initiative and ensure the prioritisation of the investigation and prosecution of human trafficking offences.</w:t>
      </w:r>
    </w:p>
    <w:p w14:paraId="73F169A6" w14:textId="77777777" w:rsidR="00C10045" w:rsidRPr="00C10045" w:rsidRDefault="00C10045" w:rsidP="008431CB">
      <w:pPr>
        <w:pStyle w:val="SingleTxtG"/>
        <w:numPr>
          <w:ilvl w:val="0"/>
          <w:numId w:val="8"/>
        </w:numPr>
        <w:ind w:left="1134" w:firstLine="0"/>
      </w:pPr>
      <w:r w:rsidRPr="00C10045">
        <w:t xml:space="preserve">Furthermore, efforts have been made to increase skills within the justice administration system in the identification and seizing of the proceeds of human trafficking offences. Communications with foreign law enforcement institutions and local parties have additionally been strengthened </w:t>
      </w:r>
      <w:proofErr w:type="gramStart"/>
      <w:r w:rsidRPr="00C10045">
        <w:t>in order to</w:t>
      </w:r>
      <w:proofErr w:type="gramEnd"/>
      <w:r w:rsidRPr="00C10045">
        <w:t xml:space="preserve"> combat human trafficking and increase efficiency in the investigation of offences. The administration has also strengthened its cooperation with other States to assist and protect victims of human trafficking.</w:t>
      </w:r>
    </w:p>
    <w:p w14:paraId="0F6EE9A3" w14:textId="77777777" w:rsidR="00C10045" w:rsidRPr="00C10045" w:rsidRDefault="00C10045" w:rsidP="008431CB">
      <w:pPr>
        <w:pStyle w:val="SingleTxtG"/>
        <w:numPr>
          <w:ilvl w:val="0"/>
          <w:numId w:val="8"/>
        </w:numPr>
        <w:ind w:left="1134" w:firstLine="0"/>
      </w:pPr>
      <w:r w:rsidRPr="00C10045">
        <w:t xml:space="preserve">Iceland actively participates in international cooperation against human trafficking, including the Council of the Baltic Sea States’ Task Force Against Trafficking in Human Beings. The Task Force meets regularly throughout the year and works on policy development, training and educational efforts. In 2022 a working group against human trafficking was established within the Nordic Council of Ministers, with representatives from all the Nordic Countries. During Iceland’s presidency in 2023, the Icelandic administration conducted courses on human trafficking and organised a conference on human trafficking in the autumn of 2023. Additionally, a sub-group has been established within the police force to increase communication about cases and procedures. </w:t>
      </w:r>
    </w:p>
    <w:p w14:paraId="2D05CE16" w14:textId="4C377FA8" w:rsidR="00C10045" w:rsidRPr="00C10045" w:rsidRDefault="00491410" w:rsidP="00491410">
      <w:pPr>
        <w:pStyle w:val="H23G"/>
        <w:rPr>
          <w:rFonts w:eastAsia="SimSun"/>
        </w:rPr>
      </w:pPr>
      <w:r>
        <w:rPr>
          <w:rFonts w:eastAsia="SimSun"/>
        </w:rPr>
        <w:tab/>
      </w:r>
      <w:r>
        <w:rPr>
          <w:rFonts w:eastAsia="SimSun"/>
        </w:rPr>
        <w:tab/>
      </w:r>
      <w:r w:rsidR="00C10045" w:rsidRPr="00C10045">
        <w:rPr>
          <w:rFonts w:eastAsia="SimSun"/>
        </w:rPr>
        <w:t>Immigrants and refugees on the labour market</w:t>
      </w:r>
    </w:p>
    <w:p w14:paraId="52BFDA7D" w14:textId="77777777" w:rsidR="00C10045" w:rsidRPr="00C10045" w:rsidRDefault="00C10045" w:rsidP="008431CB">
      <w:pPr>
        <w:pStyle w:val="SingleTxtG"/>
        <w:numPr>
          <w:ilvl w:val="0"/>
          <w:numId w:val="8"/>
        </w:numPr>
        <w:ind w:left="1134" w:firstLine="0"/>
      </w:pPr>
      <w:r w:rsidRPr="00C10045">
        <w:t xml:space="preserve">In November 2023, a green book on matters concerning immigrants and refugees was published. It evaluated the situation and the challenges and identified opportunities for the future. In September 2024, the OECD published a detailed report that was drawn up in collaboration with the administration, under the title </w:t>
      </w:r>
      <w:r w:rsidRPr="00C10045">
        <w:rPr>
          <w:i/>
          <w:iCs/>
        </w:rPr>
        <w:t xml:space="preserve">Skills and Labour Market Integration of </w:t>
      </w:r>
      <w:r w:rsidRPr="00C10045">
        <w:t>Immigrants</w:t>
      </w:r>
      <w:r w:rsidRPr="00C10045">
        <w:rPr>
          <w:i/>
          <w:iCs/>
        </w:rPr>
        <w:t xml:space="preserve"> and their Children in Iceland</w:t>
      </w:r>
      <w:r w:rsidRPr="00C10045">
        <w:t>. A draft policy in the form of a white book was published in May 2025.</w:t>
      </w:r>
    </w:p>
    <w:p w14:paraId="252DC59A" w14:textId="77777777" w:rsidR="00C10045" w:rsidRPr="00C10045" w:rsidRDefault="00C10045" w:rsidP="008431CB">
      <w:pPr>
        <w:pStyle w:val="SingleTxtG"/>
        <w:numPr>
          <w:ilvl w:val="0"/>
          <w:numId w:val="8"/>
        </w:numPr>
        <w:ind w:left="1134" w:firstLine="0"/>
      </w:pPr>
      <w:r w:rsidRPr="00C10045">
        <w:t xml:space="preserve">The situation assessment from the green book is set out in thematic chapters on education, the labour market and society. The assessment was used as a basis for identifying ten key subjects of the upcoming policy development. These include the aim to create an inclusive society where immigrants are expected to participate at all levels, ensuring that immigrants are involved in decision-making about matters concerning them and to boost instruction in Icelandic as a second language. </w:t>
      </w:r>
    </w:p>
    <w:p w14:paraId="680276C4" w14:textId="77777777" w:rsidR="00C10045" w:rsidRPr="00C10045" w:rsidRDefault="00C10045" w:rsidP="008431CB">
      <w:pPr>
        <w:pStyle w:val="SingleTxtG"/>
        <w:numPr>
          <w:ilvl w:val="0"/>
          <w:numId w:val="8"/>
        </w:numPr>
        <w:ind w:left="1134" w:firstLine="0"/>
      </w:pPr>
      <w:r w:rsidRPr="00C10045">
        <w:t xml:space="preserve">The percentage of immigrants in the population of Iceland has risen from 10.8% at the beginning of 2016 to 18.6% at the beginning of 2024. The percentage of employed foreign nationals has also increased from 13% of the total number of working people in the labour market at the beginning of 2016 to 23% in July 2023. The total number of foreign nationals among the total number of unemployed persons has increased considerably above the percentage of working people. At the start of 2016, foreign nationals were 20% of the people in the unemployment register, whereas in June 2023, they were 48% of the total number of unemployed people. As has already been stated, no official registers are kept about race, ethnicity or nationality in Iceland. Therefore, there is no data available from the public authorities about the percentage of groups in these categories. </w:t>
      </w:r>
    </w:p>
    <w:p w14:paraId="41932488" w14:textId="77777777" w:rsidR="00C10045" w:rsidRPr="00C10045" w:rsidRDefault="00C10045" w:rsidP="008431CB">
      <w:pPr>
        <w:pStyle w:val="SingleTxtG"/>
        <w:numPr>
          <w:ilvl w:val="0"/>
          <w:numId w:val="8"/>
        </w:numPr>
        <w:ind w:left="1134" w:firstLine="0"/>
      </w:pPr>
      <w:r w:rsidRPr="00C10045">
        <w:t>In Iceland, the principle is, as in all the EEA States, that all citizens within the area shall have full access to labour market participation. The rights of people from outside the area are governed by special rules. These are set out in the Foreign Nationals Act No 80/2016, which governs the rights of foreign nationals living in Iceland, and the Foreign Nationals’ Right to Work Act No 97/2002. Under these Acts, the principle is that all foreign nationals must have a work and residence permit to work in Iceland except when they are specifically exempt from the work permit requirement, e.g. foreign nationals who have been granted a residence permit because of international protection, and foreign nationals who have been granted permanent residence.</w:t>
      </w:r>
    </w:p>
    <w:p w14:paraId="44ED3B64" w14:textId="77777777" w:rsidR="00C10045" w:rsidRPr="00C10045" w:rsidRDefault="00C10045" w:rsidP="008431CB">
      <w:pPr>
        <w:pStyle w:val="SingleTxtG"/>
        <w:numPr>
          <w:ilvl w:val="0"/>
          <w:numId w:val="8"/>
        </w:numPr>
        <w:ind w:left="1134" w:firstLine="0"/>
      </w:pPr>
      <w:r w:rsidRPr="00C10045">
        <w:t xml:space="preserve">According to the Immigrant Affairs Act No 116/2012, the Minister handling that policy area shall submit an implementation plan for immigrant issues for four years at a time. A parliamentary resolution on an implementation plan for immigrant issues for 2022-2025 was adopted in June 2022. It is based on five main pillars: community, family, education, the labour market and refugees. The tasks to be implemented under the plan include forming a policy on immigrants, refugees and multiculturalism. The plan has, </w:t>
      </w:r>
      <w:r w:rsidRPr="00C10045">
        <w:rPr>
          <w:i/>
          <w:iCs/>
        </w:rPr>
        <w:t>inter alia</w:t>
      </w:r>
      <w:r w:rsidRPr="00C10045">
        <w:t>, been the basis of a 2023 amendment to the Foreign Nationals Act No 80/2016 to exempt those who have received a residence permit on humanitarian grounds, or because of a special connection to Iceland, from the requirement regarding a temporary work permit provided in the Foreign Nationals’ Right to Work Act No 97/2002.</w:t>
      </w:r>
    </w:p>
    <w:p w14:paraId="5C0C37D4" w14:textId="77777777" w:rsidR="00C10045" w:rsidRPr="00C10045" w:rsidRDefault="00C10045" w:rsidP="008431CB">
      <w:pPr>
        <w:pStyle w:val="SingleTxtG"/>
        <w:numPr>
          <w:ilvl w:val="0"/>
          <w:numId w:val="8"/>
        </w:numPr>
        <w:ind w:left="1134" w:firstLine="0"/>
      </w:pPr>
      <w:r w:rsidRPr="00C10045">
        <w:t xml:space="preserve">The Foreign Nationals’ Right to Work Act No 97/2002 was amended in 2022 to provide that individuals who are transferred by a company that has a local unit in Iceland can receive residence and work permits based on work requiring expert knowledge. In March 2023, a ministerial authorisation was established to publish, in a regulation, a list of jobs requiring expert knowledge when there is a temporary need for such workers in Iceland. This means that the Directorate of Labour is authorised to grant temporary work permits for jobs that have been listed in such a regulation. At first, an authorisation on this basis was for two-year temporary work permits, but the authorisation was expanded for up to four years through a legal amendment that entered into force in July 2023. Additionally, the spouses and registered partners of foreign nationals who have received a work permit based on their expert knowledge, and their children up to eighteen years of age who are under their care and supported by them, are exempt from the requirement for a work permit. The period of temporary extension of a work permit due to lack of workers was also extended from one year to two years. Additionally, the stipulation that it was not permissible to grant a new work permit to a foreign national who had already held such a permit until they had been away from the country continuously for two years, was repealed. In the same round of amendments, the time limit for granting a temporary work permit to athletes was extended from one year to two years, as well as raising the maximum employment ratio of foreign nationals studying in Iceland from 40% to 60%. These recent amendments to the Right to Work Act have therefore considerably extended the authorisation for foreign nationals to live and work in </w:t>
      </w:r>
      <w:proofErr w:type="spellStart"/>
      <w:r w:rsidRPr="00C10045">
        <w:t>Iceland.However</w:t>
      </w:r>
      <w:proofErr w:type="spellEnd"/>
      <w:r w:rsidRPr="00C10045">
        <w:t>, there are no current plans to replace work permits for a specific type of work and for a specific time, with work permits for work with a specific employer (concluding observation 20c).</w:t>
      </w:r>
    </w:p>
    <w:p w14:paraId="5BC6AB50" w14:textId="77777777" w:rsidR="00C10045" w:rsidRPr="00C10045" w:rsidRDefault="00C10045" w:rsidP="008431CB">
      <w:pPr>
        <w:pStyle w:val="SingleTxtG"/>
        <w:numPr>
          <w:ilvl w:val="0"/>
          <w:numId w:val="8"/>
        </w:numPr>
        <w:ind w:left="1134" w:firstLine="0"/>
      </w:pPr>
      <w:r w:rsidRPr="00C10045">
        <w:t>On 22 June 2024, Althingi adopted amendments to Act No 55/1980 on Working Terms and Pension Rights Insurance, in relation to cooperation and monitoring in the labour market, which entered into force on 1 January 2025. These amendments include the requirement for the Minister of Social Affairs and Housing to appoint cooperation committee on actions against criminal activities in the labour market in keeping with Article 8 of the Act. The cooperation committee is composed of representatives of the administration and social partner organisations. The cooperation committee is tasked with making a proposal for a public policy and action plan on focus points and actions to counter criminal activities in the local labour market and is to deliver its proposal to the Minister within one year of the general elections. The committee expected to submit its proposal to the government by the end of 2025. The committee is required to submit reports to the Minister, as it considers necessary and if the Minister requests it.</w:t>
      </w:r>
    </w:p>
    <w:p w14:paraId="6FA6FA18" w14:textId="77777777" w:rsidR="00C10045" w:rsidRPr="00C10045" w:rsidRDefault="00C10045" w:rsidP="008431CB">
      <w:pPr>
        <w:pStyle w:val="SingleTxtG"/>
        <w:numPr>
          <w:ilvl w:val="0"/>
          <w:numId w:val="8"/>
        </w:numPr>
        <w:ind w:left="1134" w:firstLine="0"/>
      </w:pPr>
      <w:r w:rsidRPr="00C10045">
        <w:t xml:space="preserve">Actions to be taken on matters concerning applicants for international protection, refugees and immigrants were adopted in 2024, with the objective to promote better, more efficient and clearer implementation within this policy area. Following this, considerable efforts were made to shorten the length of the procedure for granting international protection to applicants. Additionally, the Minister of Justice plans to make a proposal for amending the Foreign Nationals Act, </w:t>
      </w:r>
      <w:r w:rsidRPr="00C10045">
        <w:rPr>
          <w:i/>
          <w:iCs/>
        </w:rPr>
        <w:t>inter alia</w:t>
      </w:r>
      <w:r w:rsidRPr="00C10045">
        <w:t xml:space="preserve"> with the aim to coordinate the rules therein with the rules used by neighbouring States, and to make the system more efficient. The aim is for the system to function better for those who really need it.</w:t>
      </w:r>
    </w:p>
    <w:p w14:paraId="73D56958" w14:textId="77777777" w:rsidR="00C10045" w:rsidRPr="00C10045" w:rsidRDefault="00C10045" w:rsidP="008431CB">
      <w:pPr>
        <w:pStyle w:val="SingleTxtG"/>
        <w:numPr>
          <w:ilvl w:val="0"/>
          <w:numId w:val="8"/>
        </w:numPr>
        <w:ind w:left="1134" w:firstLine="0"/>
      </w:pPr>
      <w:r w:rsidRPr="00C10045">
        <w:t xml:space="preserve">In 2023 the Multicultural Information Centre merged with the Directorate of Labour, becoming a new department within that institution but keeping its name. The aim of the merger was to offer, in one place, comprehensive and integrated services for immigrants, refugees and applicants for international protection, since communicating information to this group has proved to be challenging. The Directorate of Labour’s Multicultural Information Centre offers support, counselling and information in the context of issues concerning immigrants and refugees in Iceland and has the role of promoting communication between people of different origins and to reinforce services for immigrants living in Iceland. The counselling service is free of charge and available in several languages. The Directorate of Labour also offers basic services for applicants for international protections, e.g. concerning housing, medical check-ups, psychologists’ services, assistance regarding schooling for children, etc. For individuals who have been granted international protection in Iceland, the Directorate of Labour’s counsellors </w:t>
      </w:r>
      <w:proofErr w:type="gramStart"/>
      <w:r w:rsidRPr="00C10045">
        <w:t>offer assistance</w:t>
      </w:r>
      <w:proofErr w:type="gramEnd"/>
      <w:r w:rsidRPr="00C10045">
        <w:t xml:space="preserve"> in finding work and attending courses in Icelandic, education about Icelandic society and other job-related courses when appropriate (concluding observation 20a).</w:t>
      </w:r>
    </w:p>
    <w:p w14:paraId="5D375445" w14:textId="77777777" w:rsidR="00C10045" w:rsidRPr="00C10045" w:rsidRDefault="00C10045" w:rsidP="008431CB">
      <w:pPr>
        <w:pStyle w:val="SingleTxtG"/>
        <w:numPr>
          <w:ilvl w:val="0"/>
          <w:numId w:val="8"/>
        </w:numPr>
        <w:ind w:left="1134" w:firstLine="0"/>
      </w:pPr>
      <w:r w:rsidRPr="00C10045">
        <w:t xml:space="preserve">The awareness-raising campaign </w:t>
      </w:r>
      <w:r w:rsidRPr="00C10045">
        <w:rPr>
          <w:i/>
          <w:iCs/>
        </w:rPr>
        <w:t>Away with discrimination</w:t>
      </w:r>
      <w:r w:rsidRPr="00C10045">
        <w:t xml:space="preserve"> (Icel. </w:t>
      </w:r>
      <w:r w:rsidRPr="00C10045">
        <w:rPr>
          <w:i/>
          <w:iCs/>
        </w:rPr>
        <w:t xml:space="preserve">Burt </w:t>
      </w:r>
      <w:proofErr w:type="spellStart"/>
      <w:r w:rsidRPr="00C10045">
        <w:rPr>
          <w:i/>
          <w:iCs/>
        </w:rPr>
        <w:t>með</w:t>
      </w:r>
      <w:proofErr w:type="spellEnd"/>
      <w:r w:rsidRPr="00C10045">
        <w:rPr>
          <w:i/>
          <w:iCs/>
        </w:rPr>
        <w:t xml:space="preserve"> </w:t>
      </w:r>
      <w:proofErr w:type="spellStart"/>
      <w:r w:rsidRPr="00C10045">
        <w:rPr>
          <w:i/>
          <w:iCs/>
        </w:rPr>
        <w:t>mismunun</w:t>
      </w:r>
      <w:proofErr w:type="spellEnd"/>
      <w:r w:rsidRPr="00C10045">
        <w:t>) was launched by the Directorate of Equality in May 2025. The campaign’s objective is to spread information about the various manifestations of discrimination, e.g. when buying services or during hiring processes. The Directorate of Equality website includes information in both Icelandic and English and people can read about what a prohibition of discrimination entails under the equality legislation, as well as being able to seek further assistance from the Directorate. The Directorate of Equality has especially urged businesses, institutions and civil society organisations to become familiar with this information. It has also conducted courses on equality and discrimination in the labour market for staff and managers in workplaces, covering the obligations of employers and the rights of workers under the equality legislation. Courses have also been conducted for managers and for elected officials of municipalities, on integration and mainstreaming of gender and equality issues at the municipal level, including in employee matters, when allotting financing and in the rendering of services (concluding observation 20b).</w:t>
      </w:r>
    </w:p>
    <w:p w14:paraId="2EA8CC49" w14:textId="77777777" w:rsidR="00C10045" w:rsidRPr="00C10045" w:rsidRDefault="00C10045" w:rsidP="008431CB">
      <w:pPr>
        <w:pStyle w:val="SingleTxtG"/>
        <w:numPr>
          <w:ilvl w:val="0"/>
          <w:numId w:val="8"/>
        </w:numPr>
        <w:ind w:left="1134" w:firstLine="0"/>
      </w:pPr>
      <w:r w:rsidRPr="00C10045">
        <w:t xml:space="preserve">There is a high employment rate among immigrants in Iceland. However, more immigrants than natives hold jobs where they are unable to use their education. This is an indicator that the education, experience and skills of immigrants is underutilised. Research shows that immigrants do not have an equal standing with educated native people in the labour market and the main reasons for this are language difficulties, lack of a network of contacts and an undervaluing of the education of immigrants. The </w:t>
      </w:r>
      <w:proofErr w:type="gramStart"/>
      <w:r w:rsidRPr="00C10045">
        <w:t>aforementioned 2022-2025</w:t>
      </w:r>
      <w:proofErr w:type="gramEnd"/>
      <w:r w:rsidRPr="00C10045">
        <w:t xml:space="preserve"> implementation plan for immigrant issues includes actions intended to meet this challenge and to promote respect for the education of immigrants. One example is an action under the auspices of the Ministry of Education and Children which entails evaluating prior knowledge with the aim for all students whose native language is not Icelandic to receive an evaluation of their knowledge, experience and educational status when starting school in Iceland. Another action pertains to a recognition of immigrants’ prior learning, the aim of which is for immigrants who have work experience and skills obtained in their native country to be able to receive recognition of prior learning in their native language and support resources in order to be able to finish their formal education at the upper secondary and tertiary level. Recognition of prior learning entails a structured process where a formal assessment is made of the general knowledge and skills of an individual. The evaluation can be based on an individual’s schooling, work experience, vocational education, leisure studies, adult education, social activities and life experiences. Both actions are well advanced, and the first steps have been taken to simplify the evaluation of prior education and job qualifications through one application portal for recognition of all education regardless of the subject. </w:t>
      </w:r>
    </w:p>
    <w:p w14:paraId="1CB1D19B" w14:textId="77777777" w:rsidR="00C10045" w:rsidRPr="00C10045" w:rsidRDefault="00C10045" w:rsidP="008431CB">
      <w:pPr>
        <w:pStyle w:val="SingleTxtG"/>
        <w:numPr>
          <w:ilvl w:val="0"/>
          <w:numId w:val="8"/>
        </w:numPr>
        <w:ind w:left="1134" w:firstLine="0"/>
      </w:pPr>
      <w:r w:rsidRPr="00C10045">
        <w:t>The objective of adult education is to offer adults who have received short formal schooling appropriate learning opportunities and to make it easier for them to restart their education, in keeping with the Adult Education Act No 27/2010. The percentage of individuals with legal nationality in another country among those who attend interviews with counsellors within the adult education sector has risen from 16% in 2020 to 30% in 2024. The percentage of individuals with legal nationality in another country receiving adult education was 25% in 2020 and 51% in 2024.</w:t>
      </w:r>
    </w:p>
    <w:p w14:paraId="6CC2ECEA" w14:textId="77777777" w:rsidR="00C10045" w:rsidRPr="00C10045" w:rsidRDefault="00C10045" w:rsidP="008431CB">
      <w:pPr>
        <w:pStyle w:val="SingleTxtG"/>
        <w:numPr>
          <w:ilvl w:val="0"/>
          <w:numId w:val="8"/>
        </w:numPr>
        <w:ind w:left="1134" w:firstLine="0"/>
      </w:pPr>
      <w:r w:rsidRPr="00C10045">
        <w:t xml:space="preserve">An implementation plan for immigrant issues is the basis for ongoing efforts to increase the number of teachers and professionals of foreign origin within the education system. This includes the development and establishment of courses in Icelandic that will become part of the five-year teaching degree. There are also plans to facilitate the access of immigrants who already have a teaching degree obtained in their native country, to a teaching certification in Iceland so that their knowledge, experience and skills can be of use for the society in Iceland. </w:t>
      </w:r>
    </w:p>
    <w:p w14:paraId="0D07C366" w14:textId="77777777" w:rsidR="00C10045" w:rsidRPr="00C10045" w:rsidRDefault="00C10045" w:rsidP="008431CB">
      <w:pPr>
        <w:pStyle w:val="SingleTxtG"/>
        <w:numPr>
          <w:ilvl w:val="0"/>
          <w:numId w:val="8"/>
        </w:numPr>
        <w:ind w:left="1134" w:firstLine="0"/>
        <w:rPr>
          <w:b/>
          <w:bCs/>
        </w:rPr>
      </w:pPr>
      <w:proofErr w:type="gramStart"/>
      <w:r w:rsidRPr="00C10045">
        <w:t>A number of</w:t>
      </w:r>
      <w:proofErr w:type="gramEnd"/>
      <w:r w:rsidRPr="00C10045">
        <w:t xml:space="preserve"> surveys have been conducted in recent years to specifically examine the situation of immigrants in Iceland. Additionally, there are important surveys already in the planning stages. For example, the administration has given financial support to research within the University of Iceland, on the one hand on how labelling affects the perception of first- and second-generation immigrants of the justice system (Icel.: </w:t>
      </w:r>
      <w:proofErr w:type="spellStart"/>
      <w:r w:rsidRPr="00C10045">
        <w:rPr>
          <w:i/>
          <w:iCs/>
        </w:rPr>
        <w:t>Afbrot</w:t>
      </w:r>
      <w:proofErr w:type="spellEnd"/>
      <w:r w:rsidRPr="00C10045">
        <w:rPr>
          <w:i/>
          <w:iCs/>
        </w:rPr>
        <w:t xml:space="preserve"> </w:t>
      </w:r>
      <w:proofErr w:type="spellStart"/>
      <w:r w:rsidRPr="00C10045">
        <w:rPr>
          <w:i/>
          <w:iCs/>
        </w:rPr>
        <w:t>og</w:t>
      </w:r>
      <w:proofErr w:type="spellEnd"/>
      <w:r w:rsidRPr="00C10045">
        <w:rPr>
          <w:i/>
          <w:iCs/>
        </w:rPr>
        <w:t xml:space="preserve"> </w:t>
      </w:r>
      <w:proofErr w:type="spellStart"/>
      <w:r w:rsidRPr="00C10045">
        <w:rPr>
          <w:i/>
          <w:iCs/>
        </w:rPr>
        <w:t>stimplun</w:t>
      </w:r>
      <w:proofErr w:type="spellEnd"/>
      <w:r w:rsidRPr="00C10045">
        <w:rPr>
          <w:i/>
          <w:iCs/>
        </w:rPr>
        <w:t xml:space="preserve"> </w:t>
      </w:r>
      <w:proofErr w:type="spellStart"/>
      <w:r w:rsidRPr="00C10045">
        <w:rPr>
          <w:i/>
          <w:iCs/>
        </w:rPr>
        <w:t>ungmenna</w:t>
      </w:r>
      <w:proofErr w:type="spellEnd"/>
      <w:r w:rsidRPr="00C10045">
        <w:rPr>
          <w:i/>
          <w:iCs/>
        </w:rPr>
        <w:t xml:space="preserve"> </w:t>
      </w:r>
      <w:proofErr w:type="spellStart"/>
      <w:r w:rsidRPr="00C10045">
        <w:rPr>
          <w:i/>
          <w:iCs/>
        </w:rPr>
        <w:t>af</w:t>
      </w:r>
      <w:proofErr w:type="spellEnd"/>
      <w:r w:rsidRPr="00C10045">
        <w:rPr>
          <w:i/>
          <w:iCs/>
        </w:rPr>
        <w:t xml:space="preserve"> </w:t>
      </w:r>
      <w:proofErr w:type="spellStart"/>
      <w:r w:rsidRPr="00C10045">
        <w:rPr>
          <w:i/>
          <w:iCs/>
        </w:rPr>
        <w:t>erlendum</w:t>
      </w:r>
      <w:proofErr w:type="spellEnd"/>
      <w:r w:rsidRPr="00C10045">
        <w:rPr>
          <w:i/>
          <w:iCs/>
        </w:rPr>
        <w:t xml:space="preserve"> </w:t>
      </w:r>
      <w:proofErr w:type="spellStart"/>
      <w:r w:rsidRPr="00C10045">
        <w:rPr>
          <w:i/>
          <w:iCs/>
        </w:rPr>
        <w:t>uppruna</w:t>
      </w:r>
      <w:proofErr w:type="spellEnd"/>
      <w:r w:rsidRPr="00C10045">
        <w:rPr>
          <w:i/>
          <w:iCs/>
        </w:rPr>
        <w:t xml:space="preserve">: </w:t>
      </w:r>
      <w:proofErr w:type="spellStart"/>
      <w:r w:rsidRPr="00C10045">
        <w:rPr>
          <w:i/>
          <w:iCs/>
        </w:rPr>
        <w:t>Rannsókn</w:t>
      </w:r>
      <w:proofErr w:type="spellEnd"/>
      <w:r w:rsidRPr="00C10045">
        <w:rPr>
          <w:i/>
          <w:iCs/>
        </w:rPr>
        <w:t xml:space="preserve"> á </w:t>
      </w:r>
      <w:proofErr w:type="spellStart"/>
      <w:r w:rsidRPr="00C10045">
        <w:rPr>
          <w:i/>
          <w:iCs/>
        </w:rPr>
        <w:t>samskörun</w:t>
      </w:r>
      <w:proofErr w:type="spellEnd"/>
      <w:r w:rsidRPr="00C10045">
        <w:t xml:space="preserve">; En.: </w:t>
      </w:r>
      <w:r w:rsidRPr="00C10045">
        <w:rPr>
          <w:i/>
          <w:iCs/>
        </w:rPr>
        <w:t xml:space="preserve">Crime and </w:t>
      </w:r>
      <w:proofErr w:type="spellStart"/>
      <w:r w:rsidRPr="00C10045">
        <w:rPr>
          <w:i/>
          <w:iCs/>
        </w:rPr>
        <w:t>labeling</w:t>
      </w:r>
      <w:proofErr w:type="spellEnd"/>
      <w:r w:rsidRPr="00C10045">
        <w:rPr>
          <w:i/>
          <w:iCs/>
        </w:rPr>
        <w:t xml:space="preserve"> of immigrant youth: Research on intersectionality</w:t>
      </w:r>
      <w:r w:rsidRPr="00C10045">
        <w:t xml:space="preserve">), and on the other hand on the experiences and perceptions of young people, aged 16-25, of bullying based on racial and cultural prejudices, with the aim to developing measures to prevent such violence (Icel.: </w:t>
      </w:r>
      <w:proofErr w:type="spellStart"/>
      <w:r w:rsidRPr="00C10045">
        <w:rPr>
          <w:i/>
          <w:iCs/>
        </w:rPr>
        <w:t>Reynsla</w:t>
      </w:r>
      <w:proofErr w:type="spellEnd"/>
      <w:r w:rsidRPr="00C10045">
        <w:rPr>
          <w:i/>
          <w:iCs/>
        </w:rPr>
        <w:t xml:space="preserve"> </w:t>
      </w:r>
      <w:proofErr w:type="spellStart"/>
      <w:r w:rsidRPr="00C10045">
        <w:rPr>
          <w:i/>
          <w:iCs/>
        </w:rPr>
        <w:t>og</w:t>
      </w:r>
      <w:proofErr w:type="spellEnd"/>
      <w:r w:rsidRPr="00C10045">
        <w:rPr>
          <w:i/>
          <w:iCs/>
        </w:rPr>
        <w:t xml:space="preserve"> </w:t>
      </w:r>
      <w:proofErr w:type="spellStart"/>
      <w:r w:rsidRPr="00C10045">
        <w:rPr>
          <w:i/>
          <w:iCs/>
        </w:rPr>
        <w:t>upplifun</w:t>
      </w:r>
      <w:proofErr w:type="spellEnd"/>
      <w:r w:rsidRPr="00C10045">
        <w:rPr>
          <w:i/>
          <w:iCs/>
        </w:rPr>
        <w:t xml:space="preserve"> </w:t>
      </w:r>
      <w:proofErr w:type="spellStart"/>
      <w:r w:rsidRPr="00C10045">
        <w:rPr>
          <w:i/>
          <w:iCs/>
        </w:rPr>
        <w:t>ungs</w:t>
      </w:r>
      <w:proofErr w:type="spellEnd"/>
      <w:r w:rsidRPr="00C10045">
        <w:rPr>
          <w:i/>
          <w:iCs/>
        </w:rPr>
        <w:t xml:space="preserve"> </w:t>
      </w:r>
      <w:proofErr w:type="spellStart"/>
      <w:r w:rsidRPr="00C10045">
        <w:rPr>
          <w:i/>
          <w:iCs/>
        </w:rPr>
        <w:t>fólks</w:t>
      </w:r>
      <w:proofErr w:type="spellEnd"/>
      <w:r w:rsidRPr="00C10045">
        <w:rPr>
          <w:i/>
          <w:iCs/>
        </w:rPr>
        <w:t xml:space="preserve"> á </w:t>
      </w:r>
      <w:proofErr w:type="spellStart"/>
      <w:r w:rsidRPr="00C10045">
        <w:rPr>
          <w:i/>
          <w:iCs/>
        </w:rPr>
        <w:t>Íslandi</w:t>
      </w:r>
      <w:proofErr w:type="spellEnd"/>
      <w:r w:rsidRPr="00C10045">
        <w:rPr>
          <w:i/>
          <w:iCs/>
        </w:rPr>
        <w:t xml:space="preserve"> </w:t>
      </w:r>
      <w:proofErr w:type="spellStart"/>
      <w:r w:rsidRPr="00C10045">
        <w:rPr>
          <w:i/>
          <w:iCs/>
        </w:rPr>
        <w:t>af</w:t>
      </w:r>
      <w:proofErr w:type="spellEnd"/>
      <w:r w:rsidRPr="00C10045">
        <w:rPr>
          <w:i/>
          <w:iCs/>
        </w:rPr>
        <w:t xml:space="preserve"> </w:t>
      </w:r>
      <w:proofErr w:type="spellStart"/>
      <w:r w:rsidRPr="00C10045">
        <w:rPr>
          <w:i/>
          <w:iCs/>
        </w:rPr>
        <w:t>einelti</w:t>
      </w:r>
      <w:proofErr w:type="spellEnd"/>
      <w:r w:rsidRPr="00C10045">
        <w:rPr>
          <w:i/>
          <w:iCs/>
        </w:rPr>
        <w:t xml:space="preserve"> </w:t>
      </w:r>
      <w:proofErr w:type="spellStart"/>
      <w:r w:rsidRPr="00C10045">
        <w:rPr>
          <w:i/>
          <w:iCs/>
        </w:rPr>
        <w:t>sem</w:t>
      </w:r>
      <w:proofErr w:type="spellEnd"/>
      <w:r w:rsidRPr="00C10045">
        <w:rPr>
          <w:i/>
          <w:iCs/>
        </w:rPr>
        <w:t xml:space="preserve"> </w:t>
      </w:r>
      <w:proofErr w:type="spellStart"/>
      <w:r w:rsidRPr="00C10045">
        <w:rPr>
          <w:i/>
          <w:iCs/>
        </w:rPr>
        <w:t>einkennist</w:t>
      </w:r>
      <w:proofErr w:type="spellEnd"/>
      <w:r w:rsidRPr="00C10045">
        <w:rPr>
          <w:i/>
          <w:iCs/>
        </w:rPr>
        <w:t xml:space="preserve"> </w:t>
      </w:r>
      <w:proofErr w:type="spellStart"/>
      <w:r w:rsidRPr="00C10045">
        <w:rPr>
          <w:i/>
          <w:iCs/>
        </w:rPr>
        <w:t>af</w:t>
      </w:r>
      <w:proofErr w:type="spellEnd"/>
      <w:r w:rsidRPr="00C10045">
        <w:rPr>
          <w:i/>
          <w:iCs/>
        </w:rPr>
        <w:t xml:space="preserve"> </w:t>
      </w:r>
      <w:proofErr w:type="spellStart"/>
      <w:r w:rsidRPr="00C10045">
        <w:rPr>
          <w:i/>
          <w:iCs/>
        </w:rPr>
        <w:t>kynþátta</w:t>
      </w:r>
      <w:proofErr w:type="spellEnd"/>
      <w:r w:rsidRPr="00C10045">
        <w:rPr>
          <w:i/>
          <w:iCs/>
        </w:rPr>
        <w:t xml:space="preserve">- </w:t>
      </w:r>
      <w:proofErr w:type="spellStart"/>
      <w:r w:rsidRPr="00C10045">
        <w:rPr>
          <w:i/>
          <w:iCs/>
        </w:rPr>
        <w:t>og</w:t>
      </w:r>
      <w:proofErr w:type="spellEnd"/>
      <w:r w:rsidRPr="00C10045">
        <w:rPr>
          <w:i/>
          <w:iCs/>
        </w:rPr>
        <w:t xml:space="preserve"> </w:t>
      </w:r>
      <w:proofErr w:type="spellStart"/>
      <w:r w:rsidRPr="00C10045">
        <w:rPr>
          <w:i/>
          <w:iCs/>
        </w:rPr>
        <w:t>menningarfordómum</w:t>
      </w:r>
      <w:proofErr w:type="spellEnd"/>
      <w:r w:rsidRPr="00C10045">
        <w:t xml:space="preserve">; En.: </w:t>
      </w:r>
      <w:r w:rsidRPr="00C10045">
        <w:rPr>
          <w:i/>
          <w:iCs/>
        </w:rPr>
        <w:t>Experiences and perception by young people in Iceland of bullying characterised by racial and cultural prejudices</w:t>
      </w:r>
      <w:r w:rsidRPr="00C10045">
        <w:t>).</w:t>
      </w:r>
    </w:p>
    <w:p w14:paraId="7DDFD33A" w14:textId="6BB79E8E" w:rsidR="00C10045" w:rsidRPr="00C10045" w:rsidRDefault="00491410" w:rsidP="00491410">
      <w:pPr>
        <w:pStyle w:val="H1G"/>
        <w:rPr>
          <w:rFonts w:eastAsia="SimSun"/>
        </w:rPr>
      </w:pPr>
      <w:r>
        <w:rPr>
          <w:rFonts w:eastAsia="SimSun"/>
        </w:rPr>
        <w:tab/>
      </w:r>
      <w:r>
        <w:rPr>
          <w:rFonts w:eastAsia="SimSun"/>
        </w:rPr>
        <w:tab/>
      </w:r>
      <w:r w:rsidR="00C10045" w:rsidRPr="00C10045">
        <w:rPr>
          <w:rFonts w:eastAsia="SimSun"/>
        </w:rPr>
        <w:t xml:space="preserve">Article 6 </w:t>
      </w:r>
    </w:p>
    <w:p w14:paraId="0EB75A99" w14:textId="4EC93150" w:rsidR="00C10045" w:rsidRPr="00C10045" w:rsidRDefault="00491410" w:rsidP="00491410">
      <w:pPr>
        <w:pStyle w:val="H23G"/>
        <w:rPr>
          <w:rFonts w:eastAsia="SimSun"/>
          <w:bCs/>
        </w:rPr>
      </w:pPr>
      <w:r>
        <w:rPr>
          <w:rFonts w:eastAsia="SimSun"/>
        </w:rPr>
        <w:tab/>
      </w:r>
      <w:r>
        <w:rPr>
          <w:rFonts w:eastAsia="SimSun"/>
        </w:rPr>
        <w:tab/>
      </w:r>
      <w:r w:rsidR="00C10045" w:rsidRPr="00C10045">
        <w:rPr>
          <w:rFonts w:eastAsia="SimSun"/>
        </w:rPr>
        <w:t>The Equality Complaints Committee</w:t>
      </w:r>
    </w:p>
    <w:p w14:paraId="2B1B633E" w14:textId="77777777" w:rsidR="00C10045" w:rsidRPr="00C10045" w:rsidRDefault="00C10045" w:rsidP="008431CB">
      <w:pPr>
        <w:pStyle w:val="SingleTxtG"/>
        <w:numPr>
          <w:ilvl w:val="0"/>
          <w:numId w:val="8"/>
        </w:numPr>
        <w:ind w:left="1134" w:firstLine="0"/>
        <w:rPr>
          <w:b/>
          <w:bCs/>
        </w:rPr>
      </w:pPr>
      <w:r w:rsidRPr="00C10045">
        <w:t xml:space="preserve">Complaints about discrimination based on racial origin, ethnicity and other elements of the equality legislation can be submitted to the Equality Complaints Committee. The Equality Complaints Committee is operated </w:t>
      </w:r>
      <w:proofErr w:type="gramStart"/>
      <w:r w:rsidRPr="00C10045">
        <w:t>on the basis of</w:t>
      </w:r>
      <w:proofErr w:type="gramEnd"/>
      <w:r w:rsidRPr="00C10045">
        <w:t xml:space="preserve"> the Act on the Administration of Matters Concerning Equality No 151/2020 and is independent and autonomous. The Committee handles complaints it receives and decides whether the provisions of the equality legislation have been violated. If the Equality Complaints Committee finds that the legislation has been violated, it is authorised to instruct those concerned to take specific remediation measures. The Committee’s rulings are binding for those concerned and cannot be appealed to a higher authority. The Directorate of Equality can, at the request of a complainant, take appropriate measures to enforce the rulings of the Equality Complaints Committee. If the judgement is not respected, the Directorate of Equality can instruct those concerned to remediate the situation within a reasonable period and may impose per diem fines until the ruling has been complied with. However, those concerned are also authorised to refer the Committee’s rulings to the courts (concluding observation 12).</w:t>
      </w:r>
    </w:p>
    <w:p w14:paraId="54BB1C30" w14:textId="77777777" w:rsidR="00C10045" w:rsidRPr="00C10045" w:rsidRDefault="00C10045" w:rsidP="008431CB">
      <w:pPr>
        <w:pStyle w:val="SingleTxtG"/>
        <w:numPr>
          <w:ilvl w:val="0"/>
          <w:numId w:val="8"/>
        </w:numPr>
        <w:ind w:left="1134" w:firstLine="0"/>
        <w:rPr>
          <w:b/>
          <w:bCs/>
        </w:rPr>
      </w:pPr>
      <w:r w:rsidRPr="00C10045">
        <w:t xml:space="preserve">The Committee received 86 complaints regarding discrimination in 2020-2023. The Committee received 21 complaints in 2023 and ruled in 22 cases. The Committee found that infringements had taken place in 8 cases and two complains were withdrawn. Most of the cases concerned gender-based discrimination. Other cases concerned discrimination based on disability, race, ethnicity, religion and age, as well as instances of cases concerning multiple discrimination, on the one hand based on age and gender and on the other based on age and race. In 2023, rulings were made in three cases that concerned discrimination based on ethnicity and/or race. The Committee found that there had not been a violation in two of the cases, while the third case was dismissed. </w:t>
      </w:r>
    </w:p>
    <w:p w14:paraId="29352F09" w14:textId="77777777" w:rsidR="00C10045" w:rsidRPr="00C10045" w:rsidRDefault="00C10045" w:rsidP="008431CB">
      <w:pPr>
        <w:pStyle w:val="SingleTxtG"/>
        <w:numPr>
          <w:ilvl w:val="0"/>
          <w:numId w:val="8"/>
        </w:numPr>
        <w:ind w:left="1134" w:firstLine="0"/>
        <w:rPr>
          <w:b/>
          <w:bCs/>
        </w:rPr>
      </w:pPr>
      <w:r w:rsidRPr="00C10045">
        <w:t>One ruling was made in a case concerning discrimination based on ethnicity and race in 2024. That case hinged on a notification to child protection authorities about the situation of a child. The Committee concluded that the decision of the elementary school to notify authorities about the child’s situation was justifiable and objective, with reference to the extensive notification obligations of teachers and school authorities under the Child Protection Act No 80/2002.</w:t>
      </w:r>
    </w:p>
    <w:p w14:paraId="785A3EB0" w14:textId="77777777" w:rsidR="00C10045" w:rsidRPr="00C10045" w:rsidRDefault="00C10045" w:rsidP="008431CB">
      <w:pPr>
        <w:pStyle w:val="SingleTxtG"/>
        <w:numPr>
          <w:ilvl w:val="0"/>
          <w:numId w:val="8"/>
        </w:numPr>
        <w:ind w:left="1134" w:firstLine="0"/>
        <w:rPr>
          <w:b/>
          <w:bCs/>
        </w:rPr>
      </w:pPr>
      <w:r w:rsidRPr="00C10045">
        <w:t>In 2025, one case of racially motivated discrimination was referred to the Committee. The case concerned a comment on a social media platform. The case was dismissed on the grounds that the comment was not made in reference to the activities of administrative authorities or a private party and was therefore outside of the scope of the equality legislation. However, the Committee informed the complainant that the comment could possibly fall under the provisions of Article 233a of the General Penal Code and the complainant could therefore take the complaint to the police.</w:t>
      </w:r>
    </w:p>
    <w:p w14:paraId="3923DEA6" w14:textId="57C17B68" w:rsidR="00C10045" w:rsidRPr="00C10045" w:rsidRDefault="005A3688" w:rsidP="005A3688">
      <w:pPr>
        <w:pStyle w:val="H23G"/>
        <w:rPr>
          <w:rFonts w:eastAsia="SimSun"/>
          <w:bCs/>
        </w:rPr>
      </w:pPr>
      <w:r>
        <w:rPr>
          <w:rFonts w:eastAsia="SimSun"/>
        </w:rPr>
        <w:tab/>
      </w:r>
      <w:r>
        <w:rPr>
          <w:rFonts w:eastAsia="SimSun"/>
        </w:rPr>
        <w:tab/>
      </w:r>
      <w:r w:rsidR="00C10045" w:rsidRPr="00C10045">
        <w:rPr>
          <w:rFonts w:eastAsia="SimSun"/>
        </w:rPr>
        <w:t>The courts</w:t>
      </w:r>
    </w:p>
    <w:p w14:paraId="302151C2" w14:textId="77777777" w:rsidR="00C10045" w:rsidRPr="00C10045" w:rsidRDefault="00C10045" w:rsidP="008431CB">
      <w:pPr>
        <w:pStyle w:val="SingleTxtG"/>
        <w:numPr>
          <w:ilvl w:val="0"/>
          <w:numId w:val="8"/>
        </w:numPr>
        <w:ind w:left="1134" w:firstLine="0"/>
        <w:rPr>
          <w:b/>
          <w:bCs/>
        </w:rPr>
      </w:pPr>
      <w:r w:rsidRPr="00C10045">
        <w:t xml:space="preserve">As already mentioned, Article 233a of the General Penal Code provides for a prohibition of hate speech. An examination of judicial practice shows that the provision is most often applied due to discrimination based on sexual orientation, although there are examples of racial discrimination cases as well. In 2020-2025, judgement was passed in three cases that concerned this provision; two of them concerned hate speech based on sexual orientation. One case concerned racially motivated hate speech; see the judgement of the North-east Iceland District Court </w:t>
      </w:r>
      <w:bookmarkStart w:id="1" w:name="_Hlk204168528"/>
      <w:r w:rsidRPr="00C10045">
        <w:t>in case No S-27/2021.</w:t>
      </w:r>
      <w:bookmarkEnd w:id="1"/>
      <w:r w:rsidRPr="00C10045">
        <w:t xml:space="preserve"> In that case, two individuals were convicted for bodily assault and racial abuse </w:t>
      </w:r>
      <w:proofErr w:type="gramStart"/>
      <w:r w:rsidRPr="00C10045">
        <w:t>on the basis of</w:t>
      </w:r>
      <w:proofErr w:type="gramEnd"/>
      <w:r w:rsidRPr="00C10045">
        <w:t xml:space="preserve"> Article 233a of the General Penal Code. One of the accused was sentenced to three months incarceration and the other to six months (concluding observation 8).</w:t>
      </w:r>
    </w:p>
    <w:p w14:paraId="094A55F3" w14:textId="77777777" w:rsidR="00C10045" w:rsidRPr="00C10045" w:rsidRDefault="00C10045" w:rsidP="008431CB">
      <w:pPr>
        <w:pStyle w:val="SingleTxtG"/>
        <w:numPr>
          <w:ilvl w:val="0"/>
          <w:numId w:val="8"/>
        </w:numPr>
        <w:ind w:left="1134" w:firstLine="0"/>
        <w:rPr>
          <w:b/>
          <w:bCs/>
        </w:rPr>
      </w:pPr>
      <w:r w:rsidRPr="00C10045">
        <w:t xml:space="preserve">The Court of Appeal judgement in case No 812/2023 concerned a demand for an injunction against a specified website. The demand was based, </w:t>
      </w:r>
      <w:r w:rsidRPr="00C10045">
        <w:rPr>
          <w:i/>
          <w:iCs/>
        </w:rPr>
        <w:t>inter alia</w:t>
      </w:r>
      <w:r w:rsidRPr="00C10045">
        <w:t xml:space="preserve">, on Article 233a of the General Penal Code, since the website was considered to contain hate speech and antisemitic material. The injunction was denied, with the Court of Appeal noting that an expression of opinion must reach a certain threshold to qualify as hate speech towards those it is directed against. Judicial practice provides that when a position is taken </w:t>
      </w:r>
      <w:proofErr w:type="gramStart"/>
      <w:r w:rsidRPr="00C10045">
        <w:t>with regard to</w:t>
      </w:r>
      <w:proofErr w:type="gramEnd"/>
      <w:r w:rsidRPr="00C10045">
        <w:t xml:space="preserve"> whether the expression of opinions on a website is covered by the provision of Article 233a, consideration must be taken of the fact that the provision entails a limitation of the freedom of expression in combination with punishable conduct. Therefore, the interpretation of the provision must be predictable (concluding observation 8).</w:t>
      </w:r>
    </w:p>
    <w:p w14:paraId="03CFEFEC" w14:textId="0D2157D3" w:rsidR="00C10045" w:rsidRPr="00C10045" w:rsidRDefault="00491410" w:rsidP="00491410">
      <w:pPr>
        <w:pStyle w:val="H23G"/>
        <w:rPr>
          <w:rFonts w:eastAsia="SimSun"/>
        </w:rPr>
      </w:pPr>
      <w:r>
        <w:rPr>
          <w:rFonts w:eastAsia="SimSun"/>
        </w:rPr>
        <w:tab/>
      </w:r>
      <w:r>
        <w:rPr>
          <w:rFonts w:eastAsia="SimSun"/>
        </w:rPr>
        <w:tab/>
      </w:r>
      <w:r w:rsidR="00C10045" w:rsidRPr="00C10045">
        <w:rPr>
          <w:rFonts w:eastAsia="SimSun"/>
        </w:rPr>
        <w:t>The Althingi Ombudsman</w:t>
      </w:r>
    </w:p>
    <w:p w14:paraId="5B33DD64" w14:textId="77777777" w:rsidR="00C10045" w:rsidRPr="00C10045" w:rsidRDefault="00C10045" w:rsidP="008431CB">
      <w:pPr>
        <w:pStyle w:val="SingleTxtG"/>
        <w:numPr>
          <w:ilvl w:val="0"/>
          <w:numId w:val="8"/>
        </w:numPr>
        <w:ind w:left="1134" w:firstLine="0"/>
        <w:rPr>
          <w:b/>
          <w:bCs/>
        </w:rPr>
      </w:pPr>
      <w:r w:rsidRPr="00C10045">
        <w:t xml:space="preserve">The role of the Althingi Ombudsman is to safeguard the rights of citizens vis-à-vis the State and municipalities, to ensure equality within the administration system and ensure that administrative activities are otherwise carried out in accordance with the law and the principles of good governance. All individuals can submit complaints to the Althingi Ombudsman and after examining a case, the Ombudsman can issue an opinion that can constitute a recommendation, criticism, advice or instructions to the administration. </w:t>
      </w:r>
    </w:p>
    <w:p w14:paraId="6FC1290E" w14:textId="205C6D53" w:rsidR="00C10045" w:rsidRPr="00C10045" w:rsidRDefault="00491410" w:rsidP="00491410">
      <w:pPr>
        <w:pStyle w:val="H1G"/>
        <w:rPr>
          <w:rFonts w:eastAsia="SimSun"/>
        </w:rPr>
      </w:pPr>
      <w:r>
        <w:rPr>
          <w:rFonts w:eastAsia="SimSun"/>
        </w:rPr>
        <w:tab/>
      </w:r>
      <w:r>
        <w:rPr>
          <w:rFonts w:eastAsia="SimSun"/>
        </w:rPr>
        <w:tab/>
      </w:r>
      <w:r w:rsidR="00C10045" w:rsidRPr="00C10045">
        <w:rPr>
          <w:rFonts w:eastAsia="SimSun"/>
        </w:rPr>
        <w:t>Article 7 of the Convention</w:t>
      </w:r>
    </w:p>
    <w:p w14:paraId="6050F538" w14:textId="2E21E36A" w:rsidR="00C10045" w:rsidRPr="00C10045" w:rsidRDefault="00491410" w:rsidP="00491410">
      <w:pPr>
        <w:pStyle w:val="H23G"/>
        <w:rPr>
          <w:rFonts w:eastAsia="SimSun"/>
        </w:rPr>
      </w:pPr>
      <w:r>
        <w:rPr>
          <w:rFonts w:eastAsia="SimSun"/>
        </w:rPr>
        <w:tab/>
      </w:r>
      <w:r>
        <w:rPr>
          <w:rFonts w:eastAsia="SimSun"/>
        </w:rPr>
        <w:tab/>
      </w:r>
      <w:r w:rsidR="00C10045" w:rsidRPr="00C10045">
        <w:rPr>
          <w:rFonts w:eastAsia="SimSun"/>
        </w:rPr>
        <w:t>Education and culture</w:t>
      </w:r>
    </w:p>
    <w:p w14:paraId="1CDC5E5B" w14:textId="77777777" w:rsidR="00C10045" w:rsidRPr="00C10045" w:rsidRDefault="00C10045" w:rsidP="008431CB">
      <w:pPr>
        <w:pStyle w:val="SingleTxtG"/>
        <w:numPr>
          <w:ilvl w:val="0"/>
          <w:numId w:val="8"/>
        </w:numPr>
        <w:ind w:left="1134" w:firstLine="0"/>
        <w:rPr>
          <w:b/>
          <w:bCs/>
        </w:rPr>
      </w:pPr>
      <w:r w:rsidRPr="00C10045">
        <w:t>The basic principle of the Icelandic education system is equal opportunities for education, regardless of gender, economic status, residence, disability and cultural or social background. The current education policy entails equal opportunities for education and access to education at the pre-primary, primary and secondary level of education. Access to education for all is one of the fundamental factors of the Icelandic education system policy.</w:t>
      </w:r>
    </w:p>
    <w:p w14:paraId="4D1C89F2" w14:textId="77777777" w:rsidR="00C10045" w:rsidRPr="00C10045" w:rsidRDefault="00C10045" w:rsidP="008431CB">
      <w:pPr>
        <w:pStyle w:val="SingleTxtG"/>
        <w:numPr>
          <w:ilvl w:val="0"/>
          <w:numId w:val="8"/>
        </w:numPr>
        <w:ind w:left="1134" w:firstLine="0"/>
        <w:rPr>
          <w:b/>
          <w:bCs/>
        </w:rPr>
      </w:pPr>
      <w:r w:rsidRPr="00C10045">
        <w:t>Iceland became a signatory to the 1960 UNESCO Convention against Discrimination in Education in 2021. Iceland has, in this regard, placed an emphasis on ensuring access for everyone to a good, inclusive education and implementing Sustainable Development Goal 4, on education, under the leadership of UNESCO.</w:t>
      </w:r>
    </w:p>
    <w:p w14:paraId="5AE4EE4A" w14:textId="77777777" w:rsidR="00C10045" w:rsidRPr="00C10045" w:rsidRDefault="00C10045" w:rsidP="008431CB">
      <w:pPr>
        <w:pStyle w:val="SingleTxtG"/>
        <w:numPr>
          <w:ilvl w:val="0"/>
          <w:numId w:val="8"/>
        </w:numPr>
        <w:ind w:left="1134" w:firstLine="0"/>
        <w:rPr>
          <w:b/>
          <w:bCs/>
        </w:rPr>
      </w:pPr>
      <w:r w:rsidRPr="00C10045">
        <w:t>In the spring of 2021, Althingi adopted Education Policy 2030, the objective of which is to enhance education in Iceland. The Education Policy is based on five pillars: Equal opportunities for all, superior teaching, skills for the future, putting well-being first, and quality in the forefront. The Policy emphasises equal opportunities and education for all and the objective is to take into consideration the needs, abilities and competence of each student while working with their individual strengths and interests. The Icelandic Education Policy promotes a robust and flexible education system that is intended to promote equal opportunities for accessible education. The Policy aims to ensure equal opportunities for all, on their own terms and without any discrimination, to develop and increase their competence (concluding observation 20d).</w:t>
      </w:r>
    </w:p>
    <w:p w14:paraId="1B9683DF" w14:textId="77777777" w:rsidR="00C10045" w:rsidRPr="00C10045" w:rsidRDefault="00C10045" w:rsidP="008431CB">
      <w:pPr>
        <w:pStyle w:val="SingleTxtG"/>
        <w:numPr>
          <w:ilvl w:val="0"/>
          <w:numId w:val="8"/>
        </w:numPr>
        <w:ind w:left="1134" w:firstLine="0"/>
        <w:rPr>
          <w:b/>
          <w:bCs/>
        </w:rPr>
      </w:pPr>
      <w:r w:rsidRPr="00C10045">
        <w:t xml:space="preserve">The Education Policy is introduced through three action plans that cover three time periods. The first Action Plan, which covered the period of 2021-2024, defined nine primary actions. The Action Plan was the result of extensive consultation and analysis that had been ongoing since 2018. The aim of that work was to clarify the vision for the development and structuring of the Icelandic education system for the future, in view of the challenges it faces, which include rapid societal and technological changes. The work also took into consideration the report of the Working Group on students with a first language other than Icelandic, which was submitted in May 2020 and included an analysis of the situation of students within the education system who have diverse linguistic and cultural backgrounds. </w:t>
      </w:r>
    </w:p>
    <w:p w14:paraId="784DC691" w14:textId="77777777" w:rsidR="00C10045" w:rsidRPr="00C10045" w:rsidRDefault="00C10045" w:rsidP="008431CB">
      <w:pPr>
        <w:pStyle w:val="SingleTxtG"/>
        <w:numPr>
          <w:ilvl w:val="0"/>
          <w:numId w:val="8"/>
        </w:numPr>
        <w:ind w:left="1134" w:firstLine="0"/>
        <w:rPr>
          <w:b/>
          <w:bCs/>
        </w:rPr>
      </w:pPr>
      <w:r w:rsidRPr="00C10045">
        <w:t xml:space="preserve">The growing number of immigrants has created new challenges for the Icelandic education system, since the number of students with diverse cultural and linguistic backgrounds at all levels has been growing annually in recent years. One of the main actions of the 2021-2024 Action Plan concerned support for students with diverse linguistic and cultural backgrounds. The aim was for the Icelandic education system to meet the educational and social needs of these students at all school levels and in all types of schools so they can stand on an equal footing with their peers, attain good proficiency in Icelandic, and take an active part in learning, playing and Icelandic society. In keeping with that, some amendments were made to the 2023 national primary school curriculum, which entailed an increased focus on Icelandic as a second language in the primary school curriculum. The main objective of the amendments to the national curriculum is to ensure that children whose native language is not Icelandic, and other multilingual children, are ensured an education that will prepare them for active participation in society and in higher learning. Additionally, the national pre-primary school curriculum was updated, </w:t>
      </w:r>
      <w:r w:rsidRPr="00C10045">
        <w:rPr>
          <w:i/>
          <w:iCs/>
        </w:rPr>
        <w:t>inter alia</w:t>
      </w:r>
      <w:r w:rsidRPr="00C10045">
        <w:t xml:space="preserve"> to include an emphasis on the role of pre-primary schools in equalising the social circumstances of children, providing inclusive education and ensuring the active participation of all children through inclusive communication. </w:t>
      </w:r>
    </w:p>
    <w:p w14:paraId="5AC7B098" w14:textId="77777777" w:rsidR="00C10045" w:rsidRPr="00C10045" w:rsidRDefault="00C10045" w:rsidP="008431CB">
      <w:pPr>
        <w:pStyle w:val="SingleTxtG"/>
        <w:numPr>
          <w:ilvl w:val="0"/>
          <w:numId w:val="8"/>
        </w:numPr>
        <w:ind w:left="1134" w:firstLine="0"/>
        <w:rPr>
          <w:b/>
          <w:bCs/>
        </w:rPr>
      </w:pPr>
      <w:r w:rsidRPr="00C10045">
        <w:t>The second Education Policy 2030 Action Plan, for the years 2025-2027, was announced in July 2025. The actions therein are based on wide-ranging consultation with the school and academic community in recent years, and on the experience gained from the implementation of the first Action Plan. The actions of the Plan are set out under the five pillars of the Education Policy 2030, with four actions underpinning each pillar. Among these is an action that entails meeting the needs of children and young people and promoting the active participation of multilingual children in Icelandic society. This includes boosting the teaching of Icelandic as a second language, an emphasis on systematic participation by children of foreign origin in school and the living environment and strengthening support and follow-up in the teaching of Icelandic to children and young people with diverse language and cultural backgrounds. As a central service institution for education that develops school services, consultation services, tools and resources to support school services on a national scale, the Directorate of Education and School Services plays a key role in the introduction of actions.</w:t>
      </w:r>
    </w:p>
    <w:p w14:paraId="39CEA43D" w14:textId="77777777" w:rsidR="00C10045" w:rsidRPr="00C10045" w:rsidRDefault="00C10045" w:rsidP="008431CB">
      <w:pPr>
        <w:pStyle w:val="SingleTxtG"/>
        <w:numPr>
          <w:ilvl w:val="0"/>
          <w:numId w:val="8"/>
        </w:numPr>
        <w:ind w:left="1134" w:firstLine="0"/>
        <w:rPr>
          <w:b/>
          <w:bCs/>
        </w:rPr>
      </w:pPr>
      <w:r w:rsidRPr="00C10045">
        <w:t xml:space="preserve">Research has been ongoing to find the reasons why upper secondary students withdraw from school, especially boys and students whose native language is not Icelandic. The aim is to use this information on the causes of withdrawal in </w:t>
      </w:r>
      <w:proofErr w:type="gramStart"/>
      <w:r w:rsidRPr="00C10045">
        <w:t>policy-making</w:t>
      </w:r>
      <w:proofErr w:type="gramEnd"/>
      <w:r w:rsidRPr="00C10045">
        <w:t xml:space="preserve">, </w:t>
      </w:r>
      <w:r w:rsidRPr="00C10045">
        <w:rPr>
          <w:i/>
          <w:iCs/>
        </w:rPr>
        <w:t>inter alia</w:t>
      </w:r>
      <w:r w:rsidRPr="00C10045">
        <w:t xml:space="preserve"> to form more focused solutions to prevent withdrawal, as well as preventive and compensatory measures. A report on withdrawal from Icelandic upper-secondary schools was published in January 2022 and contains an analysis of data from Statistics Iceland and the Ministry of Education and Children. The conclusions of the report indicate that withdrawal is a manifestation of unequal opportunities, including due to the social and economic background of the students. The factors influencing withdrawal include living with a single parent, having a disabled parent or being of foreign origin. Statistics connected with students’ foreign background show that young people who were born abroad, and both of whose parents were of foreign origin, are more likely to withdraw from upper-secondary education than other students. Additionally, young people from Poland, who belong to the largest group of immigrants in Iceland, are at more risk of withdrawal. The same applies to young people from Asian countries. In this regard it is significant at what point in their lives these young people arrived in Iceland. It can be presumed that the younger they are when they arrive, the better their command of the Icelandic language will become, which has a significant effect on their educational success and leads to stronger social bonds. Following the publication of the report, a wide-ranging presentation of its conclusions was carried out, with discussions on possible ways to reduce even further withdrawal and educational delays within the education system, both at the primary and secondary level. A special working group on early support within the education system was also appointed to seek ways to improve students’ well-being and boost their educational results, with an emphasis on early support, </w:t>
      </w:r>
      <w:proofErr w:type="gramStart"/>
      <w:r w:rsidRPr="00C10045">
        <w:t>in order to</w:t>
      </w:r>
      <w:proofErr w:type="gramEnd"/>
      <w:r w:rsidRPr="00C10045">
        <w:t xml:space="preserve"> reduce school avoidance and withdrawal. The working group submitted a memorandum to the Ministry of Education and Children in September 2023, and its conclusions were, </w:t>
      </w:r>
      <w:r w:rsidRPr="00C10045">
        <w:rPr>
          <w:i/>
          <w:iCs/>
        </w:rPr>
        <w:t>inter alia</w:t>
      </w:r>
      <w:r w:rsidRPr="00C10045">
        <w:t xml:space="preserve">, used in the administration’s work and </w:t>
      </w:r>
      <w:proofErr w:type="gramStart"/>
      <w:r w:rsidRPr="00C10045">
        <w:t>policy-making</w:t>
      </w:r>
      <w:proofErr w:type="gramEnd"/>
      <w:r w:rsidRPr="00C10045">
        <w:t>.</w:t>
      </w:r>
    </w:p>
    <w:p w14:paraId="477F9D03" w14:textId="77777777" w:rsidR="00C10045" w:rsidRPr="00C10045" w:rsidRDefault="00C10045" w:rsidP="008431CB">
      <w:pPr>
        <w:pStyle w:val="SingleTxtG"/>
        <w:numPr>
          <w:ilvl w:val="0"/>
          <w:numId w:val="8"/>
        </w:numPr>
        <w:ind w:left="1134" w:firstLine="0"/>
        <w:rPr>
          <w:b/>
          <w:bCs/>
        </w:rPr>
      </w:pPr>
      <w:r w:rsidRPr="00C10045">
        <w:t>Act No 91/2023 on the Directorate of Education and School Services entered into force in December 2023. The Directorate of Education and School Services is intended to endorse important reforms in the country’s pre-primary, primary and secondary schools in accordance with Education Policy 2030 and to promote exceptional education and prosperity for all children through support and systematic services for the country’s pre-primary, primary and secondary schools. The objective is to support municipal school, leisure activity and school service staff and children and young people within the education system, and to positively influence children’s rights, including their right to an education, with a view to children’s equality and prohibition of discrimination. This effort is intended to increase central support for school activities with the aim to assert a positive influence on the education of children and young people with specific needs, e.g. children with a diverse cultural and language background.</w:t>
      </w:r>
    </w:p>
    <w:p w14:paraId="05B768AA" w14:textId="77777777" w:rsidR="00C10045" w:rsidRPr="00C10045" w:rsidRDefault="00C10045" w:rsidP="008431CB">
      <w:pPr>
        <w:pStyle w:val="SingleTxtG"/>
        <w:numPr>
          <w:ilvl w:val="0"/>
          <w:numId w:val="8"/>
        </w:numPr>
        <w:ind w:left="1134" w:firstLine="0"/>
        <w:rPr>
          <w:b/>
          <w:bCs/>
        </w:rPr>
      </w:pPr>
      <w:r w:rsidRPr="00C10045">
        <w:t xml:space="preserve">The Directorate of Education and School Services has formulated a strategy for the publication of educational material, e.g. by preparing a check list for authors of educational material. The check list includes, for example, that care should be taken to discuss issues concerning minority groups in a way that enables them to identify with the curriculum. Additionally, it states that generalisations should be avoided where the education material portrays other nations or specific groups, and care should be taken to keep the portrayal factual and free of exaggeration, both in terms of text and images. To enforce this, the editors at the Directorate of Education and School Services review all the material that is published, using the check list as a guide. Additionally, all educational material is presented to experts in the relevant fields, who </w:t>
      </w:r>
      <w:proofErr w:type="gramStart"/>
      <w:r w:rsidRPr="00C10045">
        <w:t>have the opportunity to</w:t>
      </w:r>
      <w:proofErr w:type="gramEnd"/>
      <w:r w:rsidRPr="00C10045">
        <w:t xml:space="preserve"> comment on it.</w:t>
      </w:r>
    </w:p>
    <w:p w14:paraId="6836FCCD" w14:textId="77777777" w:rsidR="00C10045" w:rsidRPr="00C10045" w:rsidRDefault="00C10045" w:rsidP="008431CB">
      <w:pPr>
        <w:pStyle w:val="SingleTxtG"/>
        <w:numPr>
          <w:ilvl w:val="0"/>
          <w:numId w:val="8"/>
        </w:numPr>
        <w:ind w:left="1134" w:firstLine="0"/>
        <w:rPr>
          <w:b/>
          <w:bCs/>
        </w:rPr>
      </w:pPr>
      <w:r w:rsidRPr="00C10045">
        <w:t>The Frigg database is part of the administration's Education Policy 2030 and is operated by the Directorate of Education and School Services. Frigg is intended to provide uniform recording of information on students in pre-primary, primary and secondary schools. This information has hitherto been kept by different institutions and in different systems but is now intended to be collated into one central database across all schools, school levels and regions. Additionally, there are plans to submit a bill of amendment for various laws, to reinforce the legal environment for the development of the database, including to strengthen the permissions to process and record sensitive personal data, with the aim to ensure a comprehensive overview of the situation within the whole education system and the individual or collective situation of children. The first stage of Frigg is expected to be launched for the primary school level in the 2025-2026 school year.</w:t>
      </w:r>
    </w:p>
    <w:p w14:paraId="208D2369" w14:textId="77777777" w:rsidR="00C10045" w:rsidRPr="00C10045" w:rsidRDefault="00C10045" w:rsidP="008431CB">
      <w:pPr>
        <w:pStyle w:val="SingleTxtG"/>
        <w:numPr>
          <w:ilvl w:val="0"/>
          <w:numId w:val="8"/>
        </w:numPr>
        <w:ind w:left="1134" w:firstLine="0"/>
        <w:rPr>
          <w:b/>
          <w:bCs/>
        </w:rPr>
      </w:pPr>
      <w:r w:rsidRPr="00C10045">
        <w:t xml:space="preserve">Project MEMM, which stands for education, acceptance and culture (Icel. </w:t>
      </w:r>
      <w:proofErr w:type="spellStart"/>
      <w:r w:rsidRPr="00C10045">
        <w:rPr>
          <w:i/>
          <w:iCs/>
        </w:rPr>
        <w:t>menntun</w:t>
      </w:r>
      <w:proofErr w:type="spellEnd"/>
      <w:r w:rsidRPr="00C10045">
        <w:rPr>
          <w:i/>
          <w:iCs/>
        </w:rPr>
        <w:t xml:space="preserve">, </w:t>
      </w:r>
      <w:proofErr w:type="spellStart"/>
      <w:r w:rsidRPr="00C10045">
        <w:rPr>
          <w:i/>
          <w:iCs/>
        </w:rPr>
        <w:t>móttaka</w:t>
      </w:r>
      <w:proofErr w:type="spellEnd"/>
      <w:r w:rsidRPr="00C10045">
        <w:rPr>
          <w:i/>
          <w:iCs/>
        </w:rPr>
        <w:t xml:space="preserve"> </w:t>
      </w:r>
      <w:proofErr w:type="spellStart"/>
      <w:r w:rsidRPr="00C10045">
        <w:rPr>
          <w:i/>
          <w:iCs/>
        </w:rPr>
        <w:t>og</w:t>
      </w:r>
      <w:proofErr w:type="spellEnd"/>
      <w:r w:rsidRPr="00C10045">
        <w:rPr>
          <w:i/>
          <w:iCs/>
        </w:rPr>
        <w:t xml:space="preserve"> </w:t>
      </w:r>
      <w:proofErr w:type="spellStart"/>
      <w:r w:rsidRPr="00C10045">
        <w:t>menning</w:t>
      </w:r>
      <w:proofErr w:type="spellEnd"/>
      <w:r w:rsidRPr="00C10045">
        <w:t>) is a temporary development project based on the idea that education should be equal and accessible for all children, regardless of their background, and that school staff, teachers and managers should have access to consultancy, training and tools to support the education of children with diverse language and cultural backgrounds. The project covers pre-primary, primary and secondary schools and leisure activities throughout the country and is carried out in extensive cooperation between the main institutions, municipalities and civil society organisations, with harmonisation and cooperation as the guiding principles. The objective of MEMM is to promote the inclusivity and active participation of children with a diverse language background, set up a coordinated procedure for nation-wide reception, education and services, and to develop and ensure powerful consultancy, education materials and tools for the education community, as well as support to untangle more complicated situations. The project emphasis is on Icelandic as a second language, inclusion, multi-cultural and multi-lingual education, literacy support and situation assessment, cooperation with parents, education and work development for teachers, and the development and distribution of study materials and other tools that support school and leisure activities. The plan is for this development project to have run its course at the end of 2026, when a proposal for future arrangements will be submitted.</w:t>
      </w:r>
    </w:p>
    <w:p w14:paraId="61942BF0" w14:textId="77777777" w:rsidR="00C10045" w:rsidRPr="00C10045" w:rsidRDefault="00C10045" w:rsidP="008431CB">
      <w:pPr>
        <w:pStyle w:val="SingleTxtG"/>
        <w:numPr>
          <w:ilvl w:val="0"/>
          <w:numId w:val="8"/>
        </w:numPr>
        <w:ind w:left="1134" w:firstLine="0"/>
        <w:rPr>
          <w:b/>
          <w:bCs/>
        </w:rPr>
      </w:pPr>
      <w:r w:rsidRPr="00C10045">
        <w:t xml:space="preserve">The website </w:t>
      </w:r>
      <w:r w:rsidRPr="00C10045">
        <w:rPr>
          <w:i/>
          <w:iCs/>
        </w:rPr>
        <w:t>Together against prejudice</w:t>
      </w:r>
      <w:r w:rsidRPr="00C10045">
        <w:t xml:space="preserve"> (Icel. </w:t>
      </w:r>
      <w:r w:rsidRPr="00C10045">
        <w:rPr>
          <w:i/>
          <w:iCs/>
        </w:rPr>
        <w:t xml:space="preserve">Saman </w:t>
      </w:r>
      <w:proofErr w:type="spellStart"/>
      <w:r w:rsidRPr="00C10045">
        <w:rPr>
          <w:i/>
          <w:iCs/>
        </w:rPr>
        <w:t>gegn</w:t>
      </w:r>
      <w:proofErr w:type="spellEnd"/>
      <w:r w:rsidRPr="00C10045">
        <w:rPr>
          <w:i/>
          <w:iCs/>
        </w:rPr>
        <w:t xml:space="preserve"> </w:t>
      </w:r>
      <w:proofErr w:type="spellStart"/>
      <w:r w:rsidRPr="00C10045">
        <w:rPr>
          <w:i/>
          <w:iCs/>
        </w:rPr>
        <w:t>fordómum</w:t>
      </w:r>
      <w:proofErr w:type="spellEnd"/>
      <w:r w:rsidRPr="00C10045">
        <w:t>) was introduced by the Ministry of Education and Children and the Directorate of Education and School Services in February 2025. The website is intended to educate people and draw attention to prejudice and hate speech in society. The website includes diverse educational materials, including on prejudice, hate speech and multiculturalism, and tools intended to promote increased awareness and understanding among the public. It also includes information for both teachers and students, as well as instructions on how to respond to prejudice should one witnesses or experience it.</w:t>
      </w:r>
    </w:p>
    <w:p w14:paraId="0C668A41" w14:textId="77777777" w:rsidR="00C10045" w:rsidRPr="00C10045" w:rsidRDefault="00C10045" w:rsidP="008431CB">
      <w:pPr>
        <w:pStyle w:val="SingleTxtG"/>
        <w:numPr>
          <w:ilvl w:val="0"/>
          <w:numId w:val="8"/>
        </w:numPr>
        <w:ind w:left="1134" w:firstLine="0"/>
        <w:rPr>
          <w:b/>
          <w:bCs/>
        </w:rPr>
      </w:pPr>
      <w:r w:rsidRPr="00C10045">
        <w:t xml:space="preserve">An Action Plan on matters concerning the Icelandic language for 2024-2026 was adopted in 2024 and includes 22 actions, of which fourteen directly or indirectly concern immigrants. The Action Plan focuses on supporting children of foreign origin and their families. It states that consideration must be given to Icelandic language education for children and young people, adult immigrants and students of Icelandic, </w:t>
      </w:r>
      <w:proofErr w:type="gramStart"/>
      <w:r w:rsidRPr="00C10045">
        <w:t>in order to</w:t>
      </w:r>
      <w:proofErr w:type="gramEnd"/>
      <w:r w:rsidRPr="00C10045">
        <w:t xml:space="preserve"> respond to changed circumstances in society. Opportunities to learn Icelandic free of charge have increased, e.g. through free access to language-learning apps, as well as the Icelandic National Broadcasting Service’s language website, RÚV-</w:t>
      </w:r>
      <w:proofErr w:type="spellStart"/>
      <w:r w:rsidRPr="00C10045">
        <w:t>orð</w:t>
      </w:r>
      <w:proofErr w:type="spellEnd"/>
      <w:r w:rsidRPr="00C10045">
        <w:t>. In August 2025, the Ministry of Education and Children opened applications for grants to promote cooperation and innovation in the teaching of Icelandic to immigrants. Up to 200 million ISK will be allotted to this cooperation project in November 2025.</w:t>
      </w:r>
    </w:p>
    <w:p w14:paraId="54D2A0F3" w14:textId="77777777" w:rsidR="00C10045" w:rsidRPr="00C10045" w:rsidRDefault="00C10045" w:rsidP="008431CB">
      <w:pPr>
        <w:pStyle w:val="SingleTxtG"/>
        <w:numPr>
          <w:ilvl w:val="0"/>
          <w:numId w:val="8"/>
        </w:numPr>
        <w:ind w:left="1134" w:firstLine="0"/>
        <w:rPr>
          <w:b/>
          <w:bCs/>
        </w:rPr>
      </w:pPr>
      <w:r w:rsidRPr="00C10045">
        <w:t xml:space="preserve">In January 2024, the Ministry of Education and Children and the University of Iceland signed an agreement to develop a digital assessment of the competence in the Icelandic language among immigrants, under the aegis of the University of Iceland Language Centre. The project is part of the Action Plan on matters concerning the Icelandic language and is in line with the administration's Education Policy 2030, regarding support for students with a diverse language and cultural background. It entails the design of a standardised online exam for assessing Icelandic language competence in keeping with the Council of Europe’s Common European Framework of Reference for Languages standard, which is used to assess language competence. The competence assessment is intended to increase access to and simplify the process of assessing the Icelandic language competence of immigrants to make it easier for them to use their knowledge and skills and take an active part in society and the labour market. </w:t>
      </w:r>
    </w:p>
    <w:p w14:paraId="2F75731A" w14:textId="77777777" w:rsidR="00C10045" w:rsidRPr="00C10045" w:rsidRDefault="00C10045" w:rsidP="008431CB">
      <w:pPr>
        <w:pStyle w:val="SingleTxtG"/>
        <w:numPr>
          <w:ilvl w:val="0"/>
          <w:numId w:val="8"/>
        </w:numPr>
        <w:ind w:left="1134" w:firstLine="0"/>
        <w:rPr>
          <w:b/>
          <w:bCs/>
        </w:rPr>
      </w:pPr>
      <w:r w:rsidRPr="00C10045">
        <w:t xml:space="preserve">Most municipalities support children’s leisure activities through subsidies, which are usually a specific amount of money per child per annum and is intended to subsidise leisure activities. The leisure subsidies are intended to equalise the opportunities of children to participate in leisure activities and the objective is that all children and young people aged 6-18 can participate in leisure activities regardless of their economic and social circumstances. The amount of the subsidies varies between municipalities, and a few municipalities do not offer such subsidies. During COVID-19, the administration decided to allocate special sports and leisure subsidies for low-income families to decrease the risk of children withdrawing from sports and leisure activities due to the pandemic. The aim was to equalise children’s opportunities for participation in organised leisure activities despite financial difficulties. Videos about these special subsidies were distributed in different languages, i.e. English, Polish, Spanish, Arabic, Lithuanian, Romanian, Farsi, Thai, Kurdish and Vietnamese, as well as Icelandic, to reach as many members of society as possible, with a special focus on families with diverse language backgrounds. </w:t>
      </w:r>
    </w:p>
    <w:p w14:paraId="47CD8AB4" w14:textId="4E175D79" w:rsidR="00C10045" w:rsidRPr="00C10045" w:rsidRDefault="00491410" w:rsidP="00491410">
      <w:pPr>
        <w:pStyle w:val="H23G"/>
        <w:rPr>
          <w:rFonts w:eastAsia="SimSun"/>
        </w:rPr>
      </w:pPr>
      <w:r>
        <w:rPr>
          <w:rFonts w:eastAsia="SimSun"/>
        </w:rPr>
        <w:tab/>
      </w:r>
      <w:r>
        <w:rPr>
          <w:rFonts w:eastAsia="SimSun"/>
        </w:rPr>
        <w:tab/>
      </w:r>
      <w:r w:rsidR="00C10045" w:rsidRPr="00C10045">
        <w:rPr>
          <w:rFonts w:eastAsia="SimSun"/>
        </w:rPr>
        <w:t>Training of police officers</w:t>
      </w:r>
    </w:p>
    <w:p w14:paraId="334F0890" w14:textId="77777777" w:rsidR="00C10045" w:rsidRPr="00C10045" w:rsidRDefault="00C10045" w:rsidP="008431CB">
      <w:pPr>
        <w:pStyle w:val="SingleTxtG"/>
        <w:numPr>
          <w:ilvl w:val="0"/>
          <w:numId w:val="8"/>
        </w:numPr>
        <w:ind w:left="1134" w:firstLine="0"/>
        <w:rPr>
          <w:b/>
          <w:bCs/>
        </w:rPr>
      </w:pPr>
      <w:r w:rsidRPr="00C10045">
        <w:t xml:space="preserve">Training is regularly provided for police officers on hate crime, hate speech and related subjects. This includes courses on police work and the multicultural society, covering the diversity of society and things that police officers must keep in mind when working in a multicultural society, as well as how to recognise hate crimes and hate speech and methods of investigating such cases. Police science education includes a mandatory course on diversity and police work. The course is intended to provide a sociological angle on societal problems, police work, equality and diversity in modern societies. The course covers marginalised groups and seeks to increase understanding of society’s power structures. Basic police training also includes a mandatory course on human rights, covering all the major human rights conventions Iceland is party to and Iceland’s obligations under them. Additionally, the Centre for Police Training and Professional Development has regularly conducted courses for police officers on hate crime, hate speech and related subjects. This has included police work in a diverse society, communicating with marginalised groups and a workshop for Icelandic and Polish police officers on multiculturalism and hate crime, as well as a digital course for all police staff on hate crime and multiculturalism. </w:t>
      </w:r>
    </w:p>
    <w:p w14:paraId="7A0848BC" w14:textId="77777777" w:rsidR="00C10045" w:rsidRPr="00C10045" w:rsidRDefault="00C10045" w:rsidP="008431CB">
      <w:pPr>
        <w:pStyle w:val="SingleTxtG"/>
        <w:numPr>
          <w:ilvl w:val="0"/>
          <w:numId w:val="8"/>
        </w:numPr>
        <w:ind w:left="1134" w:firstLine="0"/>
        <w:rPr>
          <w:b/>
          <w:bCs/>
        </w:rPr>
      </w:pPr>
      <w:r w:rsidRPr="00C10045">
        <w:t xml:space="preserve">Police staff has had access to courses relating to hate crime and multiculturalism. In 2024, 200 police officers had attended this training in recent years. In 2017, courses on hate crime and the handling of such offences were conducted for police officers and prosecutors, so-called TAHCLE (Training Against Hate Crime for Law Enforcement) and PAHCT (Prosecutors and Hate Crimes Training) training. This is a </w:t>
      </w:r>
      <w:r w:rsidRPr="00C10045">
        <w:rPr>
          <w:i/>
          <w:iCs/>
        </w:rPr>
        <w:t xml:space="preserve">train the </w:t>
      </w:r>
      <w:proofErr w:type="gramStart"/>
      <w:r w:rsidRPr="00C10045">
        <w:rPr>
          <w:i/>
          <w:iCs/>
        </w:rPr>
        <w:t>trainers</w:t>
      </w:r>
      <w:proofErr w:type="gramEnd"/>
      <w:r w:rsidRPr="00C10045">
        <w:t xml:space="preserve"> arrangement, the objective of which is that those who receive this training will be able to train their co-workers. Continuing education courses in both TAHCLE and PAHCT were conducted in the spring of 2024. The training is offered in cooperation with the OSCE/ODIHR office. Nearly all the police commissioners in the country, as well as the chief prosecutor, attended the course. </w:t>
      </w:r>
    </w:p>
    <w:p w14:paraId="2ADB5EFE" w14:textId="77777777" w:rsidR="00C10045" w:rsidRPr="00C10045" w:rsidRDefault="00C10045" w:rsidP="008431CB">
      <w:pPr>
        <w:pStyle w:val="SingleTxtG"/>
        <w:numPr>
          <w:ilvl w:val="0"/>
          <w:numId w:val="8"/>
        </w:numPr>
        <w:ind w:left="1134" w:firstLine="0"/>
        <w:rPr>
          <w:b/>
          <w:bCs/>
        </w:rPr>
      </w:pPr>
      <w:r w:rsidRPr="00C10045">
        <w:t xml:space="preserve">Police staff have also received training concerning human trafficking. A consultancy team on human trafficking was set up within the police force in 2021. The team’s role is to advice all the police departments in the country on the detection and investigation of cases where there is suspicion of human trafficking. The objective is to disseminate experience and knowledge to police staff and to keep track of statistics and the progress of human trafficking cases within the country’s justice administration system. The police department in the South Peninsula district, in cooperation with the Icelandic Confederation of Labour, the </w:t>
      </w:r>
      <w:proofErr w:type="gramStart"/>
      <w:r w:rsidRPr="00C10045">
        <w:t>Workers‘ Educational</w:t>
      </w:r>
      <w:proofErr w:type="gramEnd"/>
      <w:r w:rsidRPr="00C10045">
        <w:t xml:space="preserve"> Association and </w:t>
      </w:r>
      <w:proofErr w:type="spellStart"/>
      <w:r w:rsidRPr="00C10045">
        <w:t>Stígamót</w:t>
      </w:r>
      <w:proofErr w:type="spellEnd"/>
      <w:r w:rsidRPr="00C10045">
        <w:t xml:space="preserve"> – Centre for survivors of sexual violence, also conducted a course on human trafficking in 2023, covering the formal framework of human trafficking cases and necessary responses by the authorities and civil society organisations (concluding observation 18).</w:t>
      </w:r>
    </w:p>
    <w:p w14:paraId="3CD7F224" w14:textId="77777777" w:rsidR="00C10045" w:rsidRPr="00C10045" w:rsidRDefault="00C10045" w:rsidP="008431CB">
      <w:pPr>
        <w:pStyle w:val="SingleTxtG"/>
        <w:numPr>
          <w:ilvl w:val="0"/>
          <w:numId w:val="8"/>
        </w:numPr>
        <w:ind w:left="1134" w:firstLine="0"/>
        <w:rPr>
          <w:b/>
          <w:bCs/>
        </w:rPr>
      </w:pPr>
      <w:r w:rsidRPr="00C10045">
        <w:t xml:space="preserve">The Centre for Police Training and Professional Development oversees training in the handling of human trafficking cases. Courses were held in 2023 for both police and prosecutors on how to investigate human trafficking cases and prosecute them. Police experts have also gone abroad to attend courses and lectures on human trafficking. A team of ten from Iceland attended simulation training held by OSCE and CBSS at the beginning of November 2023. It was attended by representatives of the police and prosecutor’s office, the Directorate of Immigration, Bjarkarhlíð, social services and the labour movement’s occupational safety and health committee, as well as one self-employed attorney. The National Agency for Children and Families convened an online information meeting about human trafficking for, </w:t>
      </w:r>
      <w:r w:rsidRPr="00C10045">
        <w:rPr>
          <w:i/>
          <w:iCs/>
        </w:rPr>
        <w:t>inter alia</w:t>
      </w:r>
      <w:r w:rsidRPr="00C10045">
        <w:t>, staff from the child protection authorities, social services and school authorities. Around 250 people participated. Directorate of Immigration staff have also received special presentations on human trafficking, in addition to which the Directorate has a five-person human trafficking team that regularly reviews procedures and processes.</w:t>
      </w:r>
    </w:p>
    <w:p w14:paraId="43712DF0" w14:textId="7A998BDB" w:rsidR="00C10045" w:rsidRPr="00C10045" w:rsidRDefault="00491410" w:rsidP="00491410">
      <w:pPr>
        <w:pStyle w:val="H23G"/>
        <w:rPr>
          <w:rFonts w:eastAsia="SimSun"/>
        </w:rPr>
      </w:pPr>
      <w:r>
        <w:rPr>
          <w:rFonts w:eastAsia="SimSun"/>
        </w:rPr>
        <w:tab/>
      </w:r>
      <w:r>
        <w:rPr>
          <w:rFonts w:eastAsia="SimSun"/>
        </w:rPr>
        <w:tab/>
      </w:r>
      <w:r w:rsidR="00C10045" w:rsidRPr="00C10045">
        <w:rPr>
          <w:rFonts w:eastAsia="SimSun"/>
        </w:rPr>
        <w:t xml:space="preserve">Media </w:t>
      </w:r>
    </w:p>
    <w:p w14:paraId="67FC2860" w14:textId="77777777" w:rsidR="00C10045" w:rsidRPr="00C10045" w:rsidRDefault="00C10045" w:rsidP="008431CB">
      <w:pPr>
        <w:pStyle w:val="SingleTxtG"/>
        <w:numPr>
          <w:ilvl w:val="0"/>
          <w:numId w:val="8"/>
        </w:numPr>
        <w:ind w:left="1134" w:firstLine="0"/>
        <w:rPr>
          <w:b/>
          <w:bCs/>
        </w:rPr>
      </w:pPr>
      <w:r w:rsidRPr="00C10045">
        <w:t xml:space="preserve">Article 26 of the Media Act No 38/2011 provides that media service providers “shall respect human rights and equality as well as the right to personal privacy except in cases where the media service provider’s democratic role and the right of the public to information dictate otherwise”. Amendments to the Media Act No 38/2011 were adopted in March 2024, introducing into the Act the provisions of EU Directive 2018/1808 amending the Media Services Directive 2010/13/EU. These amendments entailed, </w:t>
      </w:r>
      <w:r w:rsidRPr="00C10045">
        <w:rPr>
          <w:i/>
          <w:iCs/>
        </w:rPr>
        <w:t>inter alia</w:t>
      </w:r>
      <w:r w:rsidRPr="00C10045">
        <w:t xml:space="preserve">, amending Article 27 of the Media Act, which provides for prohibition of hate speech, by removing the wording “systematic” (Icel. </w:t>
      </w:r>
      <w:proofErr w:type="spellStart"/>
      <w:r w:rsidRPr="00C10045">
        <w:rPr>
          <w:i/>
          <w:iCs/>
        </w:rPr>
        <w:t>með</w:t>
      </w:r>
      <w:proofErr w:type="spellEnd"/>
      <w:r w:rsidRPr="00C10045">
        <w:rPr>
          <w:i/>
          <w:iCs/>
        </w:rPr>
        <w:t xml:space="preserve"> </w:t>
      </w:r>
      <w:proofErr w:type="spellStart"/>
      <w:r w:rsidRPr="00C10045">
        <w:rPr>
          <w:i/>
          <w:iCs/>
        </w:rPr>
        <w:t>markvissum</w:t>
      </w:r>
      <w:proofErr w:type="spellEnd"/>
      <w:r w:rsidRPr="00C10045">
        <w:rPr>
          <w:i/>
          <w:iCs/>
        </w:rPr>
        <w:t xml:space="preserve"> </w:t>
      </w:r>
      <w:proofErr w:type="spellStart"/>
      <w:r w:rsidRPr="00C10045">
        <w:rPr>
          <w:i/>
          <w:iCs/>
        </w:rPr>
        <w:t>hætti</w:t>
      </w:r>
      <w:proofErr w:type="spellEnd"/>
      <w:r w:rsidRPr="00C10045">
        <w:t xml:space="preserve">). The provision now stipulates that media outlets are prohibited from encouraging terrorism and other punishable acts and from inciting hatred based on race, gender, sexual orientation, gender identity, gender expression, age, disability, language, politics, life stance or religious beliefs, genealogical characteristics, nationality, social class, cultural, economic, social or other position in society. </w:t>
      </w:r>
    </w:p>
    <w:p w14:paraId="4FA5E30F" w14:textId="77777777" w:rsidR="00C10045" w:rsidRPr="00C10045" w:rsidRDefault="00C10045" w:rsidP="008431CB">
      <w:pPr>
        <w:pStyle w:val="SingleTxtG"/>
        <w:numPr>
          <w:ilvl w:val="0"/>
          <w:numId w:val="8"/>
        </w:numPr>
        <w:ind w:left="1134" w:firstLine="0"/>
        <w:rPr>
          <w:b/>
          <w:bCs/>
        </w:rPr>
      </w:pPr>
      <w:r w:rsidRPr="00C10045">
        <w:t>The explanatory comments attached to the bill proposing the law state that the amendment is not intended to lead to a media outlet or media service provider possibly being held liable for individual statements made, e.g., during interviews, since the possibility to sue, on the basis of the General Penal Code, those who make hateful statements will remain in place. The liability of the media outlet or media service provider will come into play e.g. in case of repeated instances where no efforts are made to prevent hateful statements or propaganda. Furthermore, the amendment is not intended to only apply to premeditated offences by a media outlet (concluding observation 14b).</w:t>
      </w:r>
    </w:p>
    <w:p w14:paraId="2A049DC7" w14:textId="77777777" w:rsidR="00C10045" w:rsidRPr="00C10045" w:rsidRDefault="00C10045" w:rsidP="008431CB">
      <w:pPr>
        <w:pStyle w:val="SingleTxtG"/>
        <w:numPr>
          <w:ilvl w:val="0"/>
          <w:numId w:val="8"/>
        </w:numPr>
        <w:ind w:left="1134" w:firstLine="0"/>
        <w:rPr>
          <w:b/>
          <w:bCs/>
        </w:rPr>
      </w:pPr>
      <w:r w:rsidRPr="00C10045">
        <w:t>The Media Commission is an independent regulatory committee under the aegis of the Ministry of Culture, Innovation and Higher Education. Among of the roles of the Media Commission is to contribute to the attainment of the objectives and purpose of the Media Act and to promote information and media literacy among the public. Enquiries regarding violations of the Media Act are to be submitted to the Media Commission, and the Commission can also decide to open cases at its own initiative. The Media Commission is authorised to impose non-criminal fines on media service providers in relation to violations of Article 27(a), of the Media Act, on encouraging criminal activity. Such violations can also be punishable if the offence is serious. On the other hand, the Media Commission is not authorised to impose non-criminal fines on media service providers in relation to violations of Article 27(b) of the Act. However, cases concerning violations of point (b) of the provision may be finalised by issuing an opinion.</w:t>
      </w:r>
    </w:p>
    <w:p w14:paraId="0E25A148" w14:textId="77777777" w:rsidR="00C10045" w:rsidRPr="00C10045" w:rsidRDefault="00C10045" w:rsidP="008431CB">
      <w:pPr>
        <w:pStyle w:val="SingleTxtG"/>
        <w:numPr>
          <w:ilvl w:val="0"/>
          <w:numId w:val="8"/>
        </w:numPr>
        <w:ind w:left="1134" w:firstLine="0"/>
        <w:rPr>
          <w:b/>
          <w:bCs/>
        </w:rPr>
      </w:pPr>
      <w:r w:rsidRPr="00C10045">
        <w:t xml:space="preserve">The Media Commission has hitherto not issued any decisions or opinions based on Article 27(a) of the Media Act, concerning the prohibition of encouraging criminal activity, and has only received a few complaints and tips. Neither has the Media Commission issued any opinion concluding that a media service provider has violated point (b) of the provision. However, the rules on the prohibition of hate propaganda were applied in an opinion, dated 5 February 2019, in case No 2/2019, that concerned a possible violation of those rules by the Icelandic National Broadcasting Service. With reference to the comments that were the subject of the complaint, the protective scope of Article 27 of the Media Act and other conditions that the provision entails, including the severity of the comments, the Media Commission did not agree that the rules on hate speech had been violated. The Media Commission also received nine complaints and tips based on Article 27 of the Media Act in 2019-2025 which the Commission did not find sufficient grounds to examine, </w:t>
      </w:r>
      <w:r w:rsidRPr="00C10045">
        <w:rPr>
          <w:i/>
          <w:iCs/>
        </w:rPr>
        <w:t>inter alia</w:t>
      </w:r>
      <w:r w:rsidRPr="00C10045">
        <w:t xml:space="preserve"> on the basis that the platform where the comments were published fell outside the scope of the Media Act and that the level of severity was not considered to have been reached. In case No 2025/82, the Media Commission recorded that it was not envisaged that the Commission could impose sanctions for hateful comments or propaganda, but only for encouraging criminal activity. The Commission concluded that the coverage to which the tips pertained was a matter for the ethics committee of the Union of Icelandic Journalists and therefore there was no reason examine the case in substance. However, the Commission recorded that, generally speaking, there was reason to monitor whether media outlets or media service providers were repeatedly negligent in taking measures to prevent interviewees or programme makers from making hateful statements or spreading propaganda, since, in accordance with the comments in the explanatory memorandum to the bill amending the Media Act, a media outlet could be held liable for such repeated conduct. In September 2025, the Media Committee was handling one complaint concerning Article 27(b) of the Media Act.</w:t>
      </w:r>
    </w:p>
    <w:p w14:paraId="54A8ED4B" w14:textId="77777777" w:rsidR="00C10045" w:rsidRPr="00C10045" w:rsidRDefault="00C10045" w:rsidP="008431CB">
      <w:pPr>
        <w:pStyle w:val="SingleTxtG"/>
        <w:numPr>
          <w:ilvl w:val="0"/>
          <w:numId w:val="8"/>
        </w:numPr>
        <w:ind w:left="1134" w:firstLine="0"/>
        <w:rPr>
          <w:b/>
          <w:bCs/>
        </w:rPr>
      </w:pPr>
      <w:r w:rsidRPr="00C10045">
        <w:t xml:space="preserve">The 2024 amendment of the Media Act also handed to the Media Commission the role of monitoring video sharing platforms. </w:t>
      </w:r>
      <w:r w:rsidRPr="00C10045">
        <w:rPr>
          <w:i/>
          <w:iCs/>
        </w:rPr>
        <w:t>Video sharing platforms</w:t>
      </w:r>
      <w:r w:rsidRPr="00C10045">
        <w:t xml:space="preserve"> refers to websites, apps and specific social media platforms that share video content, whether originating from the platform itself or </w:t>
      </w:r>
      <w:proofErr w:type="gramStart"/>
      <w:r w:rsidRPr="00C10045">
        <w:t>user-generated</w:t>
      </w:r>
      <w:proofErr w:type="gramEnd"/>
      <w:r w:rsidRPr="00C10045">
        <w:t xml:space="preserve">. According to Article 36b of the Media Act, video sharing platforms shall take appropriate measures to protect the public from material, user-generated material and business offers that entail encouraging violence or hatred towards a group or individuals within a group on the basis of race, gender, sexual orientation, gender identity, gender expression, age, disability, language, politics, life stance or religious beliefs, genealogical characteristics, nationality, social class, cultural, economic, social or other position in society; see point (a). It shall also take appropriate measures to protect the public from material, user-generated material and business offers that entail encouragement to conduct that </w:t>
      </w:r>
      <w:proofErr w:type="gramStart"/>
      <w:r w:rsidRPr="00C10045">
        <w:t>is considered to be</w:t>
      </w:r>
      <w:proofErr w:type="gramEnd"/>
      <w:r w:rsidRPr="00C10045">
        <w:t xml:space="preserve"> a punishable offence, especially inciting terrorist acts and conduct relating to racial hatred and xenophobia; see point (b).</w:t>
      </w:r>
    </w:p>
    <w:p w14:paraId="6FA4418A" w14:textId="77777777" w:rsidR="00C10045" w:rsidRPr="00C10045" w:rsidRDefault="00C10045" w:rsidP="008431CB">
      <w:pPr>
        <w:pStyle w:val="SingleTxtG"/>
        <w:numPr>
          <w:ilvl w:val="0"/>
          <w:numId w:val="8"/>
        </w:numPr>
        <w:ind w:left="1134" w:firstLine="0"/>
      </w:pPr>
      <w:r w:rsidRPr="00C10045">
        <w:t>Article 36d lays out the obligations of video sharing platforms, including in relation to Article 36b, and the Media Commission is authorised to levy non-criminal fines against video sharing platforms for violating that provision. Such violations can also be punishable if the offence is serious. The Media Commission has not issued any decisions or opinions due to violations by video sharing platforms and has not received any such complaints.</w:t>
      </w:r>
    </w:p>
    <w:p w14:paraId="0B734F89" w14:textId="77777777" w:rsidR="00C10045" w:rsidRPr="00C10045" w:rsidRDefault="00C10045" w:rsidP="008431CB">
      <w:pPr>
        <w:pStyle w:val="SingleTxtG"/>
        <w:numPr>
          <w:ilvl w:val="0"/>
          <w:numId w:val="8"/>
        </w:numPr>
        <w:ind w:left="1134" w:firstLine="0"/>
      </w:pPr>
      <w:r w:rsidRPr="00C10045">
        <w:t xml:space="preserve">The 2024 amendments to the Media Act also added a new provision, Article 5a, concerning the temporary suspension of the reception of audiovisual material from other EEA states for reasons of public safety. This entails that should a media service provider clearly, significantly and seriously violate the provision of Article 27 of the Act or harm or threaten public safety, including national security and State defences, the Media Commission can temporarily suspend the reception of such audiovisual material, provided that the applicable conditions are met. </w:t>
      </w:r>
    </w:p>
    <w:p w14:paraId="61BEECBF" w14:textId="4971CD6B" w:rsidR="00C10045" w:rsidRPr="00C10045" w:rsidRDefault="00C10045" w:rsidP="008431CB">
      <w:pPr>
        <w:pStyle w:val="SingleTxtG"/>
        <w:numPr>
          <w:ilvl w:val="0"/>
          <w:numId w:val="8"/>
        </w:numPr>
        <w:ind w:left="1134" w:firstLine="0"/>
      </w:pPr>
      <w:r w:rsidRPr="00C10045">
        <w:t xml:space="preserve">At the beginning of 2024, the Icelandic Safer Internet Centre (SAFT) was transferred from the civil society organisation Home and School (Icel. </w:t>
      </w:r>
      <w:proofErr w:type="spellStart"/>
      <w:r w:rsidRPr="00C10045">
        <w:rPr>
          <w:i/>
          <w:iCs/>
        </w:rPr>
        <w:t>Heimili</w:t>
      </w:r>
      <w:proofErr w:type="spellEnd"/>
      <w:r w:rsidRPr="00C10045">
        <w:rPr>
          <w:i/>
          <w:iCs/>
        </w:rPr>
        <w:t xml:space="preserve"> </w:t>
      </w:r>
      <w:proofErr w:type="spellStart"/>
      <w:r w:rsidRPr="00C10045">
        <w:rPr>
          <w:i/>
          <w:iCs/>
        </w:rPr>
        <w:t>og</w:t>
      </w:r>
      <w:proofErr w:type="spellEnd"/>
      <w:r w:rsidRPr="00C10045">
        <w:rPr>
          <w:i/>
          <w:iCs/>
        </w:rPr>
        <w:t xml:space="preserve"> </w:t>
      </w:r>
      <w:proofErr w:type="spellStart"/>
      <w:r w:rsidRPr="00C10045">
        <w:rPr>
          <w:i/>
          <w:iCs/>
        </w:rPr>
        <w:t>skóli</w:t>
      </w:r>
      <w:proofErr w:type="spellEnd"/>
      <w:r w:rsidRPr="00C10045">
        <w:t xml:space="preserve">) to the Media Commission, and the SAFT project has been transferred from the Ministry of Education and Children to the Ministry of Culture, Innovation and Higher Education. This change also means that the Media Commission will, </w:t>
      </w:r>
      <w:r w:rsidRPr="00C10045">
        <w:rPr>
          <w:i/>
          <w:iCs/>
        </w:rPr>
        <w:t>inter alia</w:t>
      </w:r>
      <w:r w:rsidRPr="00C10045">
        <w:t>, act as a liaison and contracting party with the European Union within the EU’s Safer Internet Programme (SAFT) and will handle its implementation in formal cooperation with domestic stakeholders. Education for children and young people about the internet and media issues has always been a top priority of the SAFT project, along with raising awareness about responsible internet and media use and digital civic awareness (concluding observation 14</w:t>
      </w:r>
      <w:r w:rsidR="00795C9B">
        <w:t> </w:t>
      </w:r>
      <w:r w:rsidRPr="00C10045">
        <w:t>c).</w:t>
      </w:r>
    </w:p>
    <w:p w14:paraId="748D3B24" w14:textId="77777777" w:rsidR="00C10045" w:rsidRPr="00C10045" w:rsidRDefault="00C10045" w:rsidP="008431CB">
      <w:pPr>
        <w:pStyle w:val="SingleTxtG"/>
        <w:numPr>
          <w:ilvl w:val="0"/>
          <w:numId w:val="8"/>
        </w:numPr>
        <w:ind w:left="1134" w:firstLine="0"/>
      </w:pPr>
      <w:r w:rsidRPr="00C10045">
        <w:t xml:space="preserve">An information and media literacy week was conducted for the first time in Iceland in February 2023. Its focus was on raising awareness about the importance of information and media literacy and digital civic awareness, which is considered important for fostering critical thinking so that the public can draw sensible conclusions from the information they come across. Primary schools have received educational materials, both videos and teaching instructions. A seminar on media literacy has also been conducted, and a new website has been launched where information on media literacy can be found. </w:t>
      </w:r>
    </w:p>
    <w:p w14:paraId="2A47BBEE" w14:textId="679407B3" w:rsidR="00C10045" w:rsidRPr="008431CB" w:rsidRDefault="008431CB" w:rsidP="008431CB">
      <w:pPr>
        <w:pStyle w:val="SingleTxtG"/>
        <w:spacing w:before="240" w:after="0" w:line="240" w:lineRule="atLeast"/>
        <w:ind w:left="0" w:right="0"/>
        <w:jc w:val="center"/>
        <w:rPr>
          <w:u w:val="single"/>
        </w:rPr>
      </w:pPr>
      <w:r>
        <w:rPr>
          <w:u w:val="single"/>
        </w:rPr>
        <w:tab/>
      </w:r>
      <w:r>
        <w:rPr>
          <w:u w:val="single"/>
        </w:rPr>
        <w:tab/>
      </w:r>
      <w:r>
        <w:rPr>
          <w:u w:val="single"/>
        </w:rPr>
        <w:tab/>
      </w:r>
    </w:p>
    <w:sectPr w:rsidR="00C10045" w:rsidRPr="008431CB" w:rsidSect="00CB1FB9">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481F1" w14:textId="77777777" w:rsidR="001D79DB" w:rsidRPr="00A0297D" w:rsidRDefault="001D79DB" w:rsidP="00A0297D">
      <w:pPr>
        <w:pStyle w:val="Footer"/>
      </w:pPr>
    </w:p>
  </w:endnote>
  <w:endnote w:type="continuationSeparator" w:id="0">
    <w:p w14:paraId="54989B3D" w14:textId="77777777" w:rsidR="001D79DB" w:rsidRPr="00A0297D" w:rsidRDefault="001D79D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DDB81" w14:textId="77777777" w:rsidR="005C4AE9" w:rsidRDefault="005C4AE9" w:rsidP="00A26CAD">
    <w:pPr>
      <w:pStyle w:val="Footer"/>
      <w:tabs>
        <w:tab w:val="right" w:pos="9638"/>
      </w:tabs>
    </w:pPr>
    <w:r w:rsidRPr="002961A2">
      <w:rPr>
        <w:b/>
        <w:bCs/>
        <w:sz w:val="18"/>
      </w:rPr>
      <w:fldChar w:fldCharType="begin"/>
    </w:r>
    <w:r w:rsidRPr="002961A2">
      <w:rPr>
        <w:b/>
        <w:bCs/>
        <w:sz w:val="18"/>
      </w:rPr>
      <w:instrText xml:space="preserve"> PAGE  \* MERGEFORMAT </w:instrText>
    </w:r>
    <w:r w:rsidRPr="002961A2">
      <w:rPr>
        <w:b/>
        <w:bCs/>
        <w:sz w:val="18"/>
      </w:rPr>
      <w:fldChar w:fldCharType="separate"/>
    </w:r>
    <w:r w:rsidR="000E1377">
      <w:rPr>
        <w:b/>
        <w:bCs/>
        <w:noProof/>
        <w:sz w:val="18"/>
      </w:rPr>
      <w:t>2</w:t>
    </w:r>
    <w:r w:rsidRPr="002961A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63B7" w14:textId="77777777" w:rsidR="005C4AE9" w:rsidRDefault="005C4AE9" w:rsidP="002961A2">
    <w:pPr>
      <w:pStyle w:val="Footer"/>
      <w:tabs>
        <w:tab w:val="right" w:pos="9638"/>
      </w:tabs>
    </w:pPr>
    <w:r>
      <w:tab/>
    </w:r>
    <w:r w:rsidRPr="002961A2">
      <w:rPr>
        <w:b/>
        <w:bCs/>
        <w:sz w:val="18"/>
      </w:rPr>
      <w:fldChar w:fldCharType="begin"/>
    </w:r>
    <w:r w:rsidRPr="002961A2">
      <w:rPr>
        <w:b/>
        <w:bCs/>
        <w:sz w:val="18"/>
      </w:rPr>
      <w:instrText xml:space="preserve"> PAGE  \* MERGEFORMAT </w:instrText>
    </w:r>
    <w:r w:rsidRPr="002961A2">
      <w:rPr>
        <w:b/>
        <w:bCs/>
        <w:sz w:val="18"/>
      </w:rPr>
      <w:fldChar w:fldCharType="separate"/>
    </w:r>
    <w:r w:rsidR="000E1377">
      <w:rPr>
        <w:b/>
        <w:bCs/>
        <w:noProof/>
        <w:sz w:val="18"/>
      </w:rPr>
      <w:t>21</w:t>
    </w:r>
    <w:r w:rsidRPr="002961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9DFEF" w14:textId="77777777" w:rsidR="000E1377" w:rsidRDefault="000E1377" w:rsidP="000E1377">
    <w:pPr>
      <w:pStyle w:val="Footer"/>
    </w:pPr>
    <w:r>
      <w:rPr>
        <w:noProof/>
        <w:lang w:val="en-US"/>
      </w:rPr>
      <w:drawing>
        <wp:anchor distT="0" distB="0" distL="114300" distR="114300" simplePos="0" relativeHeight="251658240" behindDoc="1" locked="1" layoutInCell="1" allowOverlap="1" wp14:anchorId="6333EAA8" wp14:editId="59BE277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53754D" w14:textId="21D6CCF6" w:rsidR="000E1377" w:rsidRPr="000E1377" w:rsidRDefault="000E1377" w:rsidP="000E1377">
    <w:pPr>
      <w:pStyle w:val="Footer"/>
      <w:ind w:right="1134"/>
      <w:rPr>
        <w:rFonts w:ascii="C39T30Lfz" w:hAnsi="C39T30Lfz" w:hint="eastAsia"/>
        <w:sz w:val="56"/>
      </w:rPr>
    </w:pPr>
    <w:r>
      <w:rPr>
        <w:rFonts w:ascii="C39T30Lfz" w:hAnsi="C39T30Lfz"/>
        <w:noProof/>
        <w:sz w:val="56"/>
        <w:lang w:val="en-US"/>
      </w:rPr>
      <w:drawing>
        <wp:anchor distT="0" distB="0" distL="114300" distR="114300" simplePos="0" relativeHeight="251658241" behindDoc="0" locked="0" layoutInCell="1" allowOverlap="1" wp14:anchorId="6EFBEFEB" wp14:editId="522FEA5A">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CMR/2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MR/2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03C66" w14:textId="77777777" w:rsidR="001D79DB" w:rsidRPr="00A0297D" w:rsidRDefault="001D79DB" w:rsidP="00A0297D">
      <w:pPr>
        <w:tabs>
          <w:tab w:val="right" w:pos="2155"/>
        </w:tabs>
        <w:spacing w:after="80" w:line="240" w:lineRule="auto"/>
        <w:ind w:left="680"/>
      </w:pPr>
      <w:r>
        <w:rPr>
          <w:u w:val="single"/>
        </w:rPr>
        <w:tab/>
      </w:r>
    </w:p>
  </w:footnote>
  <w:footnote w:type="continuationSeparator" w:id="0">
    <w:p w14:paraId="706BF50E" w14:textId="77777777" w:rsidR="001D79DB" w:rsidRPr="00A0297D" w:rsidRDefault="001D79DB" w:rsidP="00A0297D">
      <w:pPr>
        <w:tabs>
          <w:tab w:val="right" w:pos="2155"/>
        </w:tabs>
        <w:spacing w:after="80" w:line="240" w:lineRule="auto"/>
        <w:ind w:left="680"/>
      </w:pPr>
      <w:r>
        <w:rPr>
          <w:u w:val="single"/>
        </w:rPr>
        <w:tab/>
      </w:r>
    </w:p>
  </w:footnote>
  <w:footnote w:id="1">
    <w:p w14:paraId="133E72C3" w14:textId="77777777" w:rsidR="005C4AE9" w:rsidRPr="00A8626E" w:rsidRDefault="005C4AE9" w:rsidP="00BC5BF4">
      <w:pPr>
        <w:pStyle w:val="FootnoteText"/>
        <w:spacing w:after="0" w:line="240" w:lineRule="auto"/>
        <w:rPr>
          <w:szCs w:val="18"/>
        </w:rPr>
      </w:pPr>
      <w:r w:rsidRPr="00A8626E">
        <w:rPr>
          <w:szCs w:val="18"/>
        </w:rPr>
        <w:tab/>
      </w:r>
      <w:r w:rsidRPr="00A8626E">
        <w:rPr>
          <w:rStyle w:val="FootnoteReference"/>
          <w:szCs w:val="18"/>
          <w:vertAlign w:val="baseline"/>
        </w:rPr>
        <w:t>*</w:t>
      </w:r>
      <w:r w:rsidRPr="00A8626E">
        <w:rPr>
          <w:szCs w:val="18"/>
        </w:rP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D14C" w14:textId="211D1FEC" w:rsidR="005C4AE9" w:rsidRDefault="005C4AE9" w:rsidP="002961A2">
    <w:pPr>
      <w:pStyle w:val="Header"/>
    </w:pPr>
    <w:r>
      <w:t>CERD/C/</w:t>
    </w:r>
    <w:r w:rsidR="00EA5A77">
      <w:t>ISL</w:t>
    </w:r>
    <w:r w:rsidR="00B016B8">
      <w:t>/24-2</w:t>
    </w:r>
    <w:r w:rsidR="00E55D06">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774E1" w14:textId="3EAE1558" w:rsidR="005C4AE9" w:rsidRDefault="005C4AE9" w:rsidP="002961A2">
    <w:pPr>
      <w:pStyle w:val="Header"/>
      <w:jc w:val="right"/>
    </w:pPr>
    <w:r>
      <w:t>CERD/C/</w:t>
    </w:r>
    <w:r w:rsidR="00C10045">
      <w:t>ISL</w:t>
    </w:r>
    <w:r w:rsidR="00F76831">
      <w:t>/24-2</w:t>
    </w:r>
    <w:r w:rsidR="00C10045">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D3110" w14:textId="31119366" w:rsidR="005D4070" w:rsidRPr="005D4070" w:rsidRDefault="004A252C" w:rsidP="002D6E61">
    <w:pPr>
      <w:rPr>
        <w:lang w:val="en-CH"/>
      </w:rPr>
    </w:pPr>
    <w:r>
      <w:rPr>
        <w:lang w:val="en-CH"/>
      </w:rPr>
      <w:tab/>
    </w:r>
    <w:r>
      <w:rPr>
        <w:lang w:val="en-CH"/>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5541FC"/>
    <w:multiLevelType w:val="hybridMultilevel"/>
    <w:tmpl w:val="89D8C2DA"/>
    <w:lvl w:ilvl="0" w:tplc="2000000F">
      <w:start w:val="1"/>
      <w:numFmt w:val="decimal"/>
      <w:lvlText w:val="%1."/>
      <w:lvlJc w:val="left"/>
      <w:pPr>
        <w:ind w:left="360" w:hanging="360"/>
      </w:pPr>
      <w:rPr>
        <w:rFonts w:hint="default"/>
        <w:b w:val="0"/>
        <w:bCs w:val="0"/>
        <w:color w:val="auto"/>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7F10BEC"/>
    <w:multiLevelType w:val="hybridMultilevel"/>
    <w:tmpl w:val="652235AC"/>
    <w:lvl w:ilvl="0" w:tplc="65ACE1A2">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7616869">
    <w:abstractNumId w:val="4"/>
  </w:num>
  <w:num w:numId="2" w16cid:durableId="738361070">
    <w:abstractNumId w:val="2"/>
  </w:num>
  <w:num w:numId="3" w16cid:durableId="85345505">
    <w:abstractNumId w:val="0"/>
  </w:num>
  <w:num w:numId="4" w16cid:durableId="1361541549">
    <w:abstractNumId w:val="6"/>
  </w:num>
  <w:num w:numId="5" w16cid:durableId="1615751948">
    <w:abstractNumId w:val="7"/>
  </w:num>
  <w:num w:numId="6" w16cid:durableId="2125608846">
    <w:abstractNumId w:val="1"/>
  </w:num>
  <w:num w:numId="7" w16cid:durableId="548611155">
    <w:abstractNumId w:val="3"/>
  </w:num>
  <w:num w:numId="8" w16cid:durableId="110993034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fr-CH"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CH" w:vendorID="64" w:dllVersion="0" w:nlCheck="1" w:checkStyle="0"/>
  <w:activeWritingStyle w:appName="MSWord" w:lang="en-CA" w:vendorID="64" w:dllVersion="0" w:nlCheck="1" w:checkStyle="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E8"/>
    <w:rsid w:val="00014F3E"/>
    <w:rsid w:val="00015D28"/>
    <w:rsid w:val="000368DA"/>
    <w:rsid w:val="00040CB5"/>
    <w:rsid w:val="0004468D"/>
    <w:rsid w:val="00046E92"/>
    <w:rsid w:val="00090DB9"/>
    <w:rsid w:val="000930EF"/>
    <w:rsid w:val="000968C4"/>
    <w:rsid w:val="000A078A"/>
    <w:rsid w:val="000A6933"/>
    <w:rsid w:val="000B1BE5"/>
    <w:rsid w:val="000C3579"/>
    <w:rsid w:val="000C5DE0"/>
    <w:rsid w:val="000D1B37"/>
    <w:rsid w:val="000D64A4"/>
    <w:rsid w:val="000E1377"/>
    <w:rsid w:val="000F001E"/>
    <w:rsid w:val="000F3F48"/>
    <w:rsid w:val="00102379"/>
    <w:rsid w:val="00102CC6"/>
    <w:rsid w:val="00117F3D"/>
    <w:rsid w:val="00120EA1"/>
    <w:rsid w:val="0012782E"/>
    <w:rsid w:val="001346DF"/>
    <w:rsid w:val="001428FE"/>
    <w:rsid w:val="00146291"/>
    <w:rsid w:val="0015727B"/>
    <w:rsid w:val="001961E6"/>
    <w:rsid w:val="001A3E55"/>
    <w:rsid w:val="001B0779"/>
    <w:rsid w:val="001B39A3"/>
    <w:rsid w:val="001B3B04"/>
    <w:rsid w:val="001C6B9F"/>
    <w:rsid w:val="001D79DB"/>
    <w:rsid w:val="001E5ACC"/>
    <w:rsid w:val="001E7C35"/>
    <w:rsid w:val="0020387B"/>
    <w:rsid w:val="00212A68"/>
    <w:rsid w:val="002137FE"/>
    <w:rsid w:val="00223BBC"/>
    <w:rsid w:val="00243470"/>
    <w:rsid w:val="00247E2C"/>
    <w:rsid w:val="00260718"/>
    <w:rsid w:val="00264DE4"/>
    <w:rsid w:val="00270DA0"/>
    <w:rsid w:val="0027136B"/>
    <w:rsid w:val="00285A7A"/>
    <w:rsid w:val="0029361D"/>
    <w:rsid w:val="002961A2"/>
    <w:rsid w:val="002B3D7A"/>
    <w:rsid w:val="002C174A"/>
    <w:rsid w:val="002C2DF4"/>
    <w:rsid w:val="002C4C6C"/>
    <w:rsid w:val="002D388B"/>
    <w:rsid w:val="002D6C53"/>
    <w:rsid w:val="002D6E61"/>
    <w:rsid w:val="002E134E"/>
    <w:rsid w:val="002F5595"/>
    <w:rsid w:val="003056D7"/>
    <w:rsid w:val="00307688"/>
    <w:rsid w:val="00320899"/>
    <w:rsid w:val="00331D42"/>
    <w:rsid w:val="00334F6A"/>
    <w:rsid w:val="00342AC8"/>
    <w:rsid w:val="003456D4"/>
    <w:rsid w:val="003515B6"/>
    <w:rsid w:val="00360609"/>
    <w:rsid w:val="0037087F"/>
    <w:rsid w:val="003B4550"/>
    <w:rsid w:val="003B6E99"/>
    <w:rsid w:val="003C0A13"/>
    <w:rsid w:val="003D4419"/>
    <w:rsid w:val="004029E9"/>
    <w:rsid w:val="00405398"/>
    <w:rsid w:val="004341B8"/>
    <w:rsid w:val="00434500"/>
    <w:rsid w:val="00461253"/>
    <w:rsid w:val="00462C55"/>
    <w:rsid w:val="0047570E"/>
    <w:rsid w:val="00480006"/>
    <w:rsid w:val="00491410"/>
    <w:rsid w:val="004A252C"/>
    <w:rsid w:val="004C448A"/>
    <w:rsid w:val="004C6284"/>
    <w:rsid w:val="004D60FB"/>
    <w:rsid w:val="005042C2"/>
    <w:rsid w:val="00505F1D"/>
    <w:rsid w:val="005278A8"/>
    <w:rsid w:val="0053016D"/>
    <w:rsid w:val="00543679"/>
    <w:rsid w:val="005529A4"/>
    <w:rsid w:val="00557F19"/>
    <w:rsid w:val="00576F8B"/>
    <w:rsid w:val="0058587E"/>
    <w:rsid w:val="00585E40"/>
    <w:rsid w:val="005A3688"/>
    <w:rsid w:val="005A509A"/>
    <w:rsid w:val="005B3211"/>
    <w:rsid w:val="005C4AE9"/>
    <w:rsid w:val="005D4070"/>
    <w:rsid w:val="005D50AB"/>
    <w:rsid w:val="005E6B51"/>
    <w:rsid w:val="005F0382"/>
    <w:rsid w:val="006301E3"/>
    <w:rsid w:val="00642AD7"/>
    <w:rsid w:val="0065271E"/>
    <w:rsid w:val="00671529"/>
    <w:rsid w:val="00682C02"/>
    <w:rsid w:val="006B2D3E"/>
    <w:rsid w:val="006B6AEC"/>
    <w:rsid w:val="006C7DA9"/>
    <w:rsid w:val="006D71F2"/>
    <w:rsid w:val="006E3071"/>
    <w:rsid w:val="006E7CD8"/>
    <w:rsid w:val="006F0D8A"/>
    <w:rsid w:val="00713177"/>
    <w:rsid w:val="00723D53"/>
    <w:rsid w:val="00725990"/>
    <w:rsid w:val="00726328"/>
    <w:rsid w:val="007268F9"/>
    <w:rsid w:val="00727D3A"/>
    <w:rsid w:val="007324BF"/>
    <w:rsid w:val="0073434E"/>
    <w:rsid w:val="00735147"/>
    <w:rsid w:val="00736685"/>
    <w:rsid w:val="00756270"/>
    <w:rsid w:val="00765502"/>
    <w:rsid w:val="007662AB"/>
    <w:rsid w:val="007830CF"/>
    <w:rsid w:val="00795C9B"/>
    <w:rsid w:val="007C52B0"/>
    <w:rsid w:val="007E429B"/>
    <w:rsid w:val="007E464B"/>
    <w:rsid w:val="007E484C"/>
    <w:rsid w:val="007E5230"/>
    <w:rsid w:val="008205EF"/>
    <w:rsid w:val="0082349E"/>
    <w:rsid w:val="008431CB"/>
    <w:rsid w:val="00864475"/>
    <w:rsid w:val="008747FF"/>
    <w:rsid w:val="00883988"/>
    <w:rsid w:val="008B2E82"/>
    <w:rsid w:val="008B533A"/>
    <w:rsid w:val="008D55AA"/>
    <w:rsid w:val="008E0F96"/>
    <w:rsid w:val="00914AFD"/>
    <w:rsid w:val="00915C76"/>
    <w:rsid w:val="00915F30"/>
    <w:rsid w:val="00924EC4"/>
    <w:rsid w:val="00931EDD"/>
    <w:rsid w:val="009411B4"/>
    <w:rsid w:val="009614D0"/>
    <w:rsid w:val="009704B0"/>
    <w:rsid w:val="009813E0"/>
    <w:rsid w:val="009824AF"/>
    <w:rsid w:val="0098620F"/>
    <w:rsid w:val="009A3F21"/>
    <w:rsid w:val="009B4D94"/>
    <w:rsid w:val="009D0139"/>
    <w:rsid w:val="009D7D15"/>
    <w:rsid w:val="009E0D01"/>
    <w:rsid w:val="009F5CDC"/>
    <w:rsid w:val="009F5E35"/>
    <w:rsid w:val="00A0297D"/>
    <w:rsid w:val="00A05080"/>
    <w:rsid w:val="00A2528B"/>
    <w:rsid w:val="00A2633C"/>
    <w:rsid w:val="00A26CAD"/>
    <w:rsid w:val="00A42761"/>
    <w:rsid w:val="00A45B8B"/>
    <w:rsid w:val="00A775CF"/>
    <w:rsid w:val="00A77E82"/>
    <w:rsid w:val="00A8196B"/>
    <w:rsid w:val="00A8626E"/>
    <w:rsid w:val="00AA402B"/>
    <w:rsid w:val="00AB536E"/>
    <w:rsid w:val="00AC09B4"/>
    <w:rsid w:val="00AC3EF9"/>
    <w:rsid w:val="00AC4AE8"/>
    <w:rsid w:val="00B016B8"/>
    <w:rsid w:val="00B06045"/>
    <w:rsid w:val="00B22A3D"/>
    <w:rsid w:val="00B2498F"/>
    <w:rsid w:val="00B50173"/>
    <w:rsid w:val="00B51277"/>
    <w:rsid w:val="00B53E5E"/>
    <w:rsid w:val="00B60990"/>
    <w:rsid w:val="00B65189"/>
    <w:rsid w:val="00B722E9"/>
    <w:rsid w:val="00BA46E7"/>
    <w:rsid w:val="00BC5BF4"/>
    <w:rsid w:val="00BD031B"/>
    <w:rsid w:val="00BE38D7"/>
    <w:rsid w:val="00BF38C5"/>
    <w:rsid w:val="00C01462"/>
    <w:rsid w:val="00C10045"/>
    <w:rsid w:val="00C27F32"/>
    <w:rsid w:val="00C30B3B"/>
    <w:rsid w:val="00C34FBF"/>
    <w:rsid w:val="00C35A27"/>
    <w:rsid w:val="00C5221A"/>
    <w:rsid w:val="00C55AE8"/>
    <w:rsid w:val="00C70D87"/>
    <w:rsid w:val="00C773F7"/>
    <w:rsid w:val="00C87F9F"/>
    <w:rsid w:val="00CA1E0F"/>
    <w:rsid w:val="00CB1FB9"/>
    <w:rsid w:val="00CC6109"/>
    <w:rsid w:val="00CD6BFA"/>
    <w:rsid w:val="00CE5018"/>
    <w:rsid w:val="00CE7E7B"/>
    <w:rsid w:val="00D02EBE"/>
    <w:rsid w:val="00D14DEA"/>
    <w:rsid w:val="00D279F0"/>
    <w:rsid w:val="00D300A6"/>
    <w:rsid w:val="00D42F17"/>
    <w:rsid w:val="00D548BB"/>
    <w:rsid w:val="00D62889"/>
    <w:rsid w:val="00D6368B"/>
    <w:rsid w:val="00D81C07"/>
    <w:rsid w:val="00DA7116"/>
    <w:rsid w:val="00DB22BD"/>
    <w:rsid w:val="00DC3086"/>
    <w:rsid w:val="00DD75DC"/>
    <w:rsid w:val="00DE1D1B"/>
    <w:rsid w:val="00DF0B0F"/>
    <w:rsid w:val="00DF57F5"/>
    <w:rsid w:val="00DF5C7B"/>
    <w:rsid w:val="00E02C2B"/>
    <w:rsid w:val="00E14486"/>
    <w:rsid w:val="00E15182"/>
    <w:rsid w:val="00E23B39"/>
    <w:rsid w:val="00E26F6A"/>
    <w:rsid w:val="00E3661E"/>
    <w:rsid w:val="00E5223E"/>
    <w:rsid w:val="00E55D06"/>
    <w:rsid w:val="00E80255"/>
    <w:rsid w:val="00E90B32"/>
    <w:rsid w:val="00EA18D4"/>
    <w:rsid w:val="00EA35AC"/>
    <w:rsid w:val="00EA5A77"/>
    <w:rsid w:val="00ED428A"/>
    <w:rsid w:val="00ED6C48"/>
    <w:rsid w:val="00ED79E4"/>
    <w:rsid w:val="00EE1900"/>
    <w:rsid w:val="00EE3F6F"/>
    <w:rsid w:val="00EF207A"/>
    <w:rsid w:val="00F027B3"/>
    <w:rsid w:val="00F07385"/>
    <w:rsid w:val="00F47685"/>
    <w:rsid w:val="00F5120F"/>
    <w:rsid w:val="00F630FD"/>
    <w:rsid w:val="00F633AA"/>
    <w:rsid w:val="00F65F5D"/>
    <w:rsid w:val="00F76831"/>
    <w:rsid w:val="00F76B6F"/>
    <w:rsid w:val="00F86A3A"/>
    <w:rsid w:val="00FD545E"/>
    <w:rsid w:val="00FF18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1075E"/>
  <w15:docId w15:val="{7A1EEFDF-0773-49C5-9815-5E85292C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688"/>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65271E"/>
    <w:pPr>
      <w:keepNext/>
      <w:keepLines/>
      <w:tabs>
        <w:tab w:val="right" w:pos="851"/>
      </w:tabs>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FootnoteTextChar"/>
    <w:uiPriority w:val="99"/>
    <w:qFormat/>
    <w:rsid w:val="0065271E"/>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Знак Знак Char,Footnote Text Char Знак Char,Текст сноски Знак Знак Знак Знак Char,stile 1 Char,f Char,Texte de note de bas de page Char,Footnote Text1 Char,fn Char,Footnote Text Char Char Char,Car Char"/>
    <w:basedOn w:val="DefaultParagraphFont"/>
    <w:link w:val="FootnoteText"/>
    <w:uiPriority w:val="99"/>
    <w:rsid w:val="0065271E"/>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SUPERS,ftref,BVI fnr,16 Point,Superscript 6 Point,Footnote,Footnote symbol,Footnote Refernece,Texto de nota al pie,Fußnotenzeichen_Raxen,Footnote number,4_G Char,4_G Char Char,4_G Char Char Char,ftref Char Char Char Char,Ref"/>
    <w:uiPriority w:val="99"/>
    <w:qFormat/>
    <w:rsid w:val="0065271E"/>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uiPriority w:val="99"/>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ParNoG">
    <w:name w:val="_ParNo_G"/>
    <w:basedOn w:val="Normal"/>
    <w:qFormat/>
    <w:rsid w:val="0065271E"/>
    <w:pPr>
      <w:numPr>
        <w:numId w:val="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65271E"/>
    <w:rPr>
      <w:color w:val="0000FF"/>
      <w:u w:val="none"/>
    </w:rPr>
  </w:style>
  <w:style w:type="character" w:styleId="FollowedHyperlink">
    <w:name w:val="FollowedHyperlink"/>
    <w:basedOn w:val="DefaultParagraphFont"/>
    <w:uiPriority w:val="99"/>
    <w:semiHidden/>
    <w:rsid w:val="0065271E"/>
    <w:rPr>
      <w:color w:val="0000FF"/>
      <w:u w:val="none"/>
    </w:rPr>
  </w:style>
  <w:style w:type="character" w:customStyle="1" w:styleId="SingleTxtGChar">
    <w:name w:val="_ Single Txt_G Char"/>
    <w:link w:val="SingleTxtG"/>
    <w:locked/>
    <w:rsid w:val="0065271E"/>
    <w:rPr>
      <w:rFonts w:ascii="Times New Roman" w:hAnsi="Times New Roman" w:cs="Times New Roman"/>
      <w:sz w:val="20"/>
      <w:szCs w:val="20"/>
    </w:rPr>
  </w:style>
  <w:style w:type="table" w:customStyle="1" w:styleId="TableGrid1">
    <w:name w:val="Table Grid1"/>
    <w:basedOn w:val="TableNormal"/>
    <w:rsid w:val="0065271E"/>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msonormal0">
    <w:name w:val="msonormal"/>
    <w:basedOn w:val="Normal"/>
    <w:uiPriority w:val="99"/>
    <w:rsid w:val="0065271E"/>
    <w:pPr>
      <w:spacing w:before="100" w:beforeAutospacing="1" w:after="100" w:afterAutospacing="1" w:line="240" w:lineRule="auto"/>
    </w:pPr>
    <w:rPr>
      <w:sz w:val="24"/>
      <w:szCs w:val="24"/>
      <w:lang w:val="en-US"/>
    </w:rPr>
  </w:style>
  <w:style w:type="paragraph" w:styleId="NormalWeb">
    <w:name w:val="Normal (Web)"/>
    <w:basedOn w:val="Normal"/>
    <w:uiPriority w:val="99"/>
    <w:unhideWhenUsed/>
    <w:rsid w:val="0065271E"/>
    <w:pPr>
      <w:spacing w:before="100" w:beforeAutospacing="1" w:after="100" w:afterAutospacing="1" w:line="240" w:lineRule="auto"/>
    </w:pPr>
    <w:rPr>
      <w:sz w:val="24"/>
      <w:szCs w:val="24"/>
      <w:lang w:val="en-US"/>
    </w:rPr>
  </w:style>
  <w:style w:type="paragraph" w:styleId="CommentText">
    <w:name w:val="annotation text"/>
    <w:basedOn w:val="Normal"/>
    <w:link w:val="CommentTextChar"/>
    <w:uiPriority w:val="99"/>
    <w:unhideWhenUsed/>
    <w:rsid w:val="0065271E"/>
    <w:pPr>
      <w:spacing w:after="160" w:line="240" w:lineRule="auto"/>
    </w:pPr>
    <w:rPr>
      <w:rFonts w:ascii="Calibri" w:eastAsia="Calibri" w:hAnsi="Calibri"/>
      <w:lang w:val="x-none"/>
    </w:rPr>
  </w:style>
  <w:style w:type="character" w:customStyle="1" w:styleId="CommentTextChar">
    <w:name w:val="Comment Text Char"/>
    <w:basedOn w:val="DefaultParagraphFont"/>
    <w:link w:val="CommentText"/>
    <w:uiPriority w:val="99"/>
    <w:rsid w:val="0065271E"/>
    <w:rPr>
      <w:rFonts w:ascii="Calibri" w:eastAsia="Calibri" w:hAnsi="Calibri" w:cs="Times New Roman"/>
      <w:sz w:val="20"/>
      <w:szCs w:val="20"/>
      <w:lang w:val="x-none" w:eastAsia="en-US"/>
    </w:rPr>
  </w:style>
  <w:style w:type="paragraph" w:styleId="NoSpacing">
    <w:name w:val="No Spacing"/>
    <w:uiPriority w:val="1"/>
    <w:qFormat/>
    <w:rsid w:val="0065271E"/>
    <w:pPr>
      <w:spacing w:after="0" w:line="240" w:lineRule="auto"/>
    </w:pPr>
    <w:rPr>
      <w:rFonts w:ascii="Calibri" w:eastAsia="Calibri" w:hAnsi="Calibri" w:cs="Times New Roman"/>
      <w:lang w:val="fr-FR" w:eastAsia="en-US"/>
    </w:rPr>
  </w:style>
  <w:style w:type="paragraph" w:styleId="Revision">
    <w:name w:val="Revision"/>
    <w:uiPriority w:val="99"/>
    <w:semiHidden/>
    <w:rsid w:val="0065271E"/>
    <w:pPr>
      <w:spacing w:after="0" w:line="240" w:lineRule="auto"/>
    </w:pPr>
    <w:rPr>
      <w:rFonts w:ascii="Calibri" w:eastAsia="Calibri" w:hAnsi="Calibri" w:cs="Times New Roman"/>
      <w:lang w:val="fr-FR" w:eastAsia="en-US"/>
    </w:rPr>
  </w:style>
  <w:style w:type="character" w:customStyle="1" w:styleId="ListParagraphChar">
    <w:name w:val="List Paragraph Char"/>
    <w:aliases w:val="References Char,Grille claire - Accent 31 Char,Liste couleur - Accent 111 Char,Liste couleur - Accent 11 Char,Liste couleur - Accent 112 Char"/>
    <w:link w:val="ListParagraph"/>
    <w:uiPriority w:val="99"/>
    <w:locked/>
    <w:rsid w:val="0065271E"/>
    <w:rPr>
      <w:lang w:val="x-none" w:eastAsia="x-none"/>
    </w:rPr>
  </w:style>
  <w:style w:type="paragraph" w:styleId="ListParagraph">
    <w:name w:val="List Paragraph"/>
    <w:aliases w:val="References,Grille claire - Accent 31,Liste couleur - Accent 111,Liste couleur - Accent 11,Liste couleur - Accent 112"/>
    <w:basedOn w:val="Normal"/>
    <w:link w:val="ListParagraphChar"/>
    <w:uiPriority w:val="34"/>
    <w:qFormat/>
    <w:rsid w:val="0065271E"/>
    <w:pPr>
      <w:ind w:left="720"/>
      <w:contextualSpacing/>
    </w:pPr>
    <w:rPr>
      <w:rFonts w:asciiTheme="minorHAnsi" w:eastAsia="SimSun" w:hAnsiTheme="minorHAnsi" w:cstheme="minorBidi"/>
      <w:sz w:val="22"/>
      <w:szCs w:val="22"/>
      <w:lang w:val="x-none" w:eastAsia="x-none"/>
    </w:rPr>
  </w:style>
  <w:style w:type="paragraph" w:customStyle="1" w:styleId="Default">
    <w:name w:val="Default"/>
    <w:uiPriority w:val="99"/>
    <w:rsid w:val="0065271E"/>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customStyle="1" w:styleId="twunmatched">
    <w:name w:val="twunmatched"/>
    <w:basedOn w:val="Normal"/>
    <w:uiPriority w:val="99"/>
    <w:rsid w:val="0065271E"/>
    <w:pPr>
      <w:spacing w:before="100" w:beforeAutospacing="1" w:after="100" w:afterAutospacing="1" w:line="240" w:lineRule="auto"/>
    </w:pPr>
    <w:rPr>
      <w:sz w:val="24"/>
      <w:szCs w:val="24"/>
      <w:lang w:eastAsia="fr-FR"/>
    </w:rPr>
  </w:style>
  <w:style w:type="character" w:styleId="CommentReference">
    <w:name w:val="annotation reference"/>
    <w:uiPriority w:val="99"/>
    <w:semiHidden/>
    <w:unhideWhenUsed/>
    <w:rsid w:val="0065271E"/>
    <w:rPr>
      <w:sz w:val="16"/>
      <w:szCs w:val="16"/>
    </w:rPr>
  </w:style>
  <w:style w:type="character" w:customStyle="1" w:styleId="st">
    <w:name w:val="st"/>
    <w:basedOn w:val="DefaultParagraphFont"/>
    <w:rsid w:val="0065271E"/>
  </w:style>
  <w:style w:type="character" w:customStyle="1" w:styleId="shorttext">
    <w:name w:val="short_text"/>
    <w:basedOn w:val="DefaultParagraphFont"/>
    <w:rsid w:val="0065271E"/>
  </w:style>
  <w:style w:type="character" w:customStyle="1" w:styleId="uccresultamount">
    <w:name w:val="uccresultamount"/>
    <w:basedOn w:val="DefaultParagraphFont"/>
    <w:rsid w:val="0065271E"/>
  </w:style>
  <w:style w:type="character" w:customStyle="1" w:styleId="SDestinataire">
    <w:name w:val="SDestinataire"/>
    <w:uiPriority w:val="1"/>
    <w:rsid w:val="0065271E"/>
    <w:rPr>
      <w:rFonts w:ascii="Arial Narrow" w:hAnsi="Arial Narrow" w:hint="default"/>
      <w:sz w:val="28"/>
    </w:rPr>
  </w:style>
  <w:style w:type="character" w:styleId="Emphasis">
    <w:name w:val="Emphasis"/>
    <w:basedOn w:val="DefaultParagraphFont"/>
    <w:uiPriority w:val="20"/>
    <w:qFormat/>
    <w:rsid w:val="0065271E"/>
    <w:rPr>
      <w:i/>
      <w:iCs/>
    </w:rPr>
  </w:style>
  <w:style w:type="character" w:customStyle="1" w:styleId="HChGChar">
    <w:name w:val="_ H _Ch_G Char"/>
    <w:link w:val="HChG"/>
    <w:rsid w:val="0065271E"/>
    <w:rPr>
      <w:rFonts w:ascii="Times New Roman" w:eastAsia="Times New Roman" w:hAnsi="Times New Roman" w:cs="Times New Roman"/>
      <w:b/>
      <w:sz w:val="28"/>
      <w:szCs w:val="20"/>
      <w:lang w:eastAsia="en-US"/>
    </w:rPr>
  </w:style>
  <w:style w:type="character" w:customStyle="1" w:styleId="H23GChar">
    <w:name w:val="_ H_2/3_G Char"/>
    <w:link w:val="H23G"/>
    <w:locked/>
    <w:rsid w:val="0065271E"/>
    <w:rPr>
      <w:rFonts w:ascii="Times New Roman" w:eastAsia="Times New Roman" w:hAnsi="Times New Roman" w:cs="Times New Roman"/>
      <w:b/>
      <w:sz w:val="20"/>
      <w:szCs w:val="20"/>
      <w:lang w:eastAsia="en-US"/>
    </w:rPr>
  </w:style>
  <w:style w:type="character" w:styleId="Strong">
    <w:name w:val="Strong"/>
    <w:basedOn w:val="DefaultParagraphFont"/>
    <w:uiPriority w:val="22"/>
    <w:qFormat/>
    <w:rsid w:val="008B2E82"/>
    <w:rPr>
      <w:b/>
      <w:bCs/>
    </w:rPr>
  </w:style>
  <w:style w:type="character" w:customStyle="1" w:styleId="H1GChar">
    <w:name w:val="_ H_1_G Char"/>
    <w:link w:val="H1G"/>
    <w:locked/>
    <w:rsid w:val="008B2E82"/>
    <w:rPr>
      <w:rFonts w:ascii="Times New Roman" w:eastAsia="Times New Roman" w:hAnsi="Times New Roman" w:cs="Times New Roman"/>
      <w:b/>
      <w:sz w:val="24"/>
      <w:szCs w:val="20"/>
      <w:lang w:eastAsia="en-US"/>
    </w:rPr>
  </w:style>
  <w:style w:type="paragraph" w:customStyle="1" w:styleId="al">
    <w:name w:val="al"/>
    <w:basedOn w:val="Normal"/>
    <w:rsid w:val="008B2E82"/>
    <w:pPr>
      <w:spacing w:before="100" w:beforeAutospacing="1" w:after="100" w:afterAutospacing="1" w:line="240" w:lineRule="auto"/>
    </w:pPr>
    <w:rPr>
      <w:sz w:val="24"/>
      <w:szCs w:val="24"/>
      <w:lang w:val="fr-FR" w:eastAsia="fr-FR"/>
    </w:rPr>
  </w:style>
  <w:style w:type="character" w:customStyle="1" w:styleId="num-art">
    <w:name w:val="num-art"/>
    <w:basedOn w:val="DefaultParagraphFont"/>
    <w:rsid w:val="008B2E82"/>
  </w:style>
  <w:style w:type="character" w:customStyle="1" w:styleId="zrenv">
    <w:name w:val="zrenv"/>
    <w:basedOn w:val="DefaultParagraphFont"/>
    <w:rsid w:val="008B2E82"/>
  </w:style>
  <w:style w:type="character" w:customStyle="1" w:styleId="y2iqfc">
    <w:name w:val="y2iqfc"/>
    <w:basedOn w:val="DefaultParagraphFont"/>
    <w:rsid w:val="008B2E82"/>
  </w:style>
  <w:style w:type="character" w:customStyle="1" w:styleId="chapeau">
    <w:name w:val="chapeau"/>
    <w:basedOn w:val="DefaultParagraphFont"/>
    <w:rsid w:val="008B2E82"/>
  </w:style>
  <w:style w:type="character" w:customStyle="1" w:styleId="rynqvb">
    <w:name w:val="rynqvb"/>
    <w:basedOn w:val="DefaultParagraphFont"/>
    <w:rsid w:val="008B2E82"/>
  </w:style>
  <w:style w:type="character" w:customStyle="1" w:styleId="hwtze">
    <w:name w:val="hwtze"/>
    <w:basedOn w:val="DefaultParagraphFont"/>
    <w:rsid w:val="008B2E82"/>
  </w:style>
  <w:style w:type="paragraph" w:styleId="CommentSubject">
    <w:name w:val="annotation subject"/>
    <w:basedOn w:val="CommentText"/>
    <w:next w:val="CommentText"/>
    <w:link w:val="CommentSubjectChar"/>
    <w:uiPriority w:val="99"/>
    <w:semiHidden/>
    <w:unhideWhenUsed/>
    <w:rsid w:val="008B2E82"/>
    <w:pPr>
      <w:spacing w:after="0"/>
    </w:pPr>
    <w:rPr>
      <w:rFonts w:asciiTheme="minorHAnsi" w:eastAsiaTheme="minorHAnsi" w:hAnsiTheme="minorHAnsi" w:cstheme="minorBidi"/>
      <w:b/>
      <w:bCs/>
      <w:kern w:val="2"/>
      <w:lang w:val="fr-FR"/>
      <w14:ligatures w14:val="standardContextual"/>
    </w:rPr>
  </w:style>
  <w:style w:type="character" w:customStyle="1" w:styleId="CommentSubjectChar">
    <w:name w:val="Comment Subject Char"/>
    <w:basedOn w:val="CommentTextChar"/>
    <w:link w:val="CommentSubject"/>
    <w:uiPriority w:val="99"/>
    <w:semiHidden/>
    <w:rsid w:val="008B2E82"/>
    <w:rPr>
      <w:rFonts w:ascii="Calibri" w:eastAsiaTheme="minorHAnsi" w:hAnsi="Calibri" w:cs="Times New Roman"/>
      <w:b/>
      <w:bCs/>
      <w:kern w:val="2"/>
      <w:sz w:val="20"/>
      <w:szCs w:val="20"/>
      <w:lang w:val="fr-FR" w:eastAsia="en-US"/>
      <w14:ligatures w14:val="standardContextual"/>
    </w:rPr>
  </w:style>
  <w:style w:type="paragraph" w:styleId="TOCHeading">
    <w:name w:val="TOC Heading"/>
    <w:basedOn w:val="Heading1"/>
    <w:next w:val="Normal"/>
    <w:uiPriority w:val="39"/>
    <w:unhideWhenUsed/>
    <w:qFormat/>
    <w:rsid w:val="008B2E82"/>
    <w:pPr>
      <w:keepNext/>
      <w:keepLines/>
      <w:spacing w:before="240" w:line="259" w:lineRule="auto"/>
      <w:ind w:left="0"/>
      <w:outlineLvl w:val="9"/>
    </w:pPr>
    <w:rPr>
      <w:rFonts w:asciiTheme="majorHAnsi" w:eastAsiaTheme="majorEastAsia" w:hAnsiTheme="majorHAnsi" w:cstheme="majorBidi"/>
      <w:sz w:val="32"/>
      <w:szCs w:val="32"/>
      <w:lang w:val="fr-FR" w:eastAsia="fr-FR"/>
    </w:rPr>
  </w:style>
  <w:style w:type="paragraph" w:styleId="TOC2">
    <w:name w:val="toc 2"/>
    <w:basedOn w:val="Normal"/>
    <w:next w:val="Normal"/>
    <w:autoRedefine/>
    <w:uiPriority w:val="39"/>
    <w:unhideWhenUsed/>
    <w:rsid w:val="008B2E82"/>
    <w:pPr>
      <w:spacing w:after="100" w:line="240" w:lineRule="auto"/>
      <w:ind w:left="240"/>
    </w:pPr>
    <w:rPr>
      <w:rFonts w:asciiTheme="minorHAnsi" w:eastAsiaTheme="minorHAnsi" w:hAnsiTheme="minorHAnsi" w:cstheme="minorBidi"/>
      <w:kern w:val="2"/>
      <w:sz w:val="24"/>
      <w:szCs w:val="24"/>
      <w:lang w:val="fr-FR"/>
      <w14:ligatures w14:val="standardContextual"/>
    </w:rPr>
  </w:style>
  <w:style w:type="paragraph" w:styleId="TOC1">
    <w:name w:val="toc 1"/>
    <w:basedOn w:val="Normal"/>
    <w:next w:val="Normal"/>
    <w:autoRedefine/>
    <w:uiPriority w:val="39"/>
    <w:unhideWhenUsed/>
    <w:rsid w:val="008B2E82"/>
    <w:pPr>
      <w:spacing w:after="100" w:line="240" w:lineRule="auto"/>
    </w:pPr>
    <w:rPr>
      <w:rFonts w:asciiTheme="minorHAnsi" w:eastAsiaTheme="minorHAnsi" w:hAnsiTheme="minorHAnsi" w:cstheme="minorBidi"/>
      <w:kern w:val="2"/>
      <w:sz w:val="24"/>
      <w:szCs w:val="24"/>
      <w:lang w:val="fr-FR"/>
      <w14:ligatures w14:val="standardContextual"/>
    </w:rPr>
  </w:style>
  <w:style w:type="paragraph" w:styleId="TOC3">
    <w:name w:val="toc 3"/>
    <w:basedOn w:val="Normal"/>
    <w:next w:val="Normal"/>
    <w:autoRedefine/>
    <w:uiPriority w:val="39"/>
    <w:unhideWhenUsed/>
    <w:rsid w:val="008B2E82"/>
    <w:pPr>
      <w:spacing w:after="100" w:line="240" w:lineRule="auto"/>
      <w:ind w:left="480"/>
    </w:pPr>
    <w:rPr>
      <w:rFonts w:asciiTheme="minorHAnsi" w:eastAsiaTheme="minorHAnsi" w:hAnsiTheme="minorHAnsi" w:cstheme="minorBidi"/>
      <w:kern w:val="2"/>
      <w:sz w:val="24"/>
      <w:szCs w:val="24"/>
      <w:lang w:val="fr-FR"/>
      <w14:ligatures w14:val="standardContextual"/>
    </w:rPr>
  </w:style>
  <w:style w:type="paragraph" w:styleId="TOC4">
    <w:name w:val="toc 4"/>
    <w:basedOn w:val="Normal"/>
    <w:next w:val="Normal"/>
    <w:autoRedefine/>
    <w:uiPriority w:val="39"/>
    <w:unhideWhenUsed/>
    <w:rsid w:val="008B2E82"/>
    <w:pPr>
      <w:spacing w:after="100" w:line="240" w:lineRule="auto"/>
      <w:ind w:left="720"/>
    </w:pPr>
    <w:rPr>
      <w:rFonts w:asciiTheme="minorHAnsi" w:eastAsiaTheme="minorHAnsi" w:hAnsiTheme="minorHAnsi" w:cstheme="minorBidi"/>
      <w:kern w:val="2"/>
      <w:sz w:val="24"/>
      <w:szCs w:val="24"/>
      <w:lang w:val="fr-FR"/>
      <w14:ligatures w14:val="standardContextual"/>
    </w:rPr>
  </w:style>
  <w:style w:type="paragraph" w:customStyle="1" w:styleId="Content1">
    <w:name w:val="Content1"/>
    <w:basedOn w:val="Normal"/>
    <w:link w:val="Content1Char"/>
    <w:qFormat/>
    <w:rsid w:val="00F76B6F"/>
    <w:pPr>
      <w:spacing w:before="240" w:after="240" w:line="240" w:lineRule="auto"/>
      <w:ind w:left="-851"/>
    </w:pPr>
    <w:rPr>
      <w:sz w:val="24"/>
      <w:szCs w:val="24"/>
      <w:lang w:val="en-US"/>
    </w:rPr>
  </w:style>
  <w:style w:type="character" w:customStyle="1" w:styleId="Content1Char">
    <w:name w:val="Content1 Char"/>
    <w:basedOn w:val="DefaultParagraphFont"/>
    <w:link w:val="Content1"/>
    <w:rsid w:val="00F76B6F"/>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E5223E"/>
  </w:style>
  <w:style w:type="character" w:customStyle="1" w:styleId="eop">
    <w:name w:val="eop"/>
    <w:basedOn w:val="DefaultParagraphFont"/>
    <w:rsid w:val="00E5223E"/>
  </w:style>
  <w:style w:type="paragraph" w:customStyle="1" w:styleId="paragraph">
    <w:name w:val="paragraph"/>
    <w:basedOn w:val="Normal"/>
    <w:rsid w:val="00E5223E"/>
    <w:pPr>
      <w:spacing w:before="100" w:beforeAutospacing="1" w:after="100" w:afterAutospacing="1" w:line="240" w:lineRule="auto"/>
    </w:pPr>
    <w:rPr>
      <w:sz w:val="24"/>
      <w:szCs w:val="24"/>
      <w:lang w:val="en-CA" w:eastAsia="en-CA"/>
    </w:rPr>
  </w:style>
  <w:style w:type="paragraph" w:styleId="Title">
    <w:name w:val="Title"/>
    <w:basedOn w:val="Normal"/>
    <w:next w:val="Normal"/>
    <w:link w:val="TitleChar"/>
    <w:uiPriority w:val="10"/>
    <w:qFormat/>
    <w:rsid w:val="00E5223E"/>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E5223E"/>
    <w:rPr>
      <w:rFonts w:asciiTheme="majorHAnsi" w:eastAsiaTheme="majorEastAsia" w:hAnsiTheme="majorHAnsi" w:cstheme="majorBidi"/>
      <w:spacing w:val="-10"/>
      <w:kern w:val="28"/>
      <w:sz w:val="56"/>
      <w:szCs w:val="56"/>
      <w:lang w:val="en-US" w:eastAsia="en-US"/>
    </w:rPr>
  </w:style>
  <w:style w:type="character" w:styleId="UnresolvedMention">
    <w:name w:val="Unresolved Mention"/>
    <w:basedOn w:val="DefaultParagraphFont"/>
    <w:uiPriority w:val="99"/>
    <w:semiHidden/>
    <w:unhideWhenUsed/>
    <w:rsid w:val="00E5223E"/>
    <w:rPr>
      <w:color w:val="605E5C"/>
      <w:shd w:val="clear" w:color="auto" w:fill="E1DFDD"/>
    </w:rPr>
  </w:style>
  <w:style w:type="character" w:styleId="Mention">
    <w:name w:val="Mention"/>
    <w:basedOn w:val="DefaultParagraphFont"/>
    <w:uiPriority w:val="99"/>
    <w:unhideWhenUsed/>
    <w:rsid w:val="00E5223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2025-12-23T10:51:02+00:00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5575A7-C749-4A21-A813-7057EC04B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7502BB-3CA4-49B6-86B3-AD3CFF502955}">
  <ds:schemaRefs>
    <ds:schemaRef ds:uri="http://schemas.openxmlformats.org/officeDocument/2006/bibliography"/>
  </ds:schemaRefs>
</ds:datastoreItem>
</file>

<file path=customXml/itemProps3.xml><?xml version="1.0" encoding="utf-8"?>
<ds:datastoreItem xmlns:ds="http://schemas.openxmlformats.org/officeDocument/2006/customXml" ds:itemID="{1DA4BCDF-CDCC-43CE-B4EB-6A9CEE8D7BE7}">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4.xml><?xml version="1.0" encoding="utf-8"?>
<ds:datastoreItem xmlns:ds="http://schemas.openxmlformats.org/officeDocument/2006/customXml" ds:itemID="{E00FDE1D-09DD-4338-8188-4FF31B5CFA6A}">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Template>
  <TotalTime>11</TotalTime>
  <Pages>27</Pages>
  <Words>15571</Words>
  <Characters>88758</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CERD/C/CMR/22-23</vt:lpstr>
    </vt:vector>
  </TitlesOfParts>
  <Company>DCM</Company>
  <LinksUpToDate>false</LinksUpToDate>
  <CharactersWithSpaces>104121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CERD/C/CMR/22-23</dc:title>
  <dc:subject>1917790</dc:subject>
  <dc:creator>Giltsoff</dc:creator>
  <cp:keywords/>
  <dc:description/>
  <cp:lastModifiedBy>Kalpana Singh</cp:lastModifiedBy>
  <cp:revision>10</cp:revision>
  <cp:lastPrinted>2019-10-11T08:15:00Z</cp:lastPrinted>
  <dcterms:created xsi:type="dcterms:W3CDTF">2026-04-29T09:59:00Z</dcterms:created>
  <dcterms:modified xsi:type="dcterms:W3CDTF">2026-04-29T10:20:00Z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b77875e-5908-45a0-9cb4-dec9ae074618_Enabled">
    <vt:lpwstr>true</vt:lpwstr>
  </property>
  <property fmtid="{D5CDD505-2E9C-101B-9397-08002B2CF9AE}" pid="3" name="MSIP_Label_8b77875e-5908-45a0-9cb4-dec9ae074618_SetDate">
    <vt:lpwstr>2025-12-23T10:51:02Z</vt:lpwstr>
  </property>
  <property fmtid="{D5CDD505-2E9C-101B-9397-08002B2CF9AE}" pid="4" name="MSIP_Label_8b77875e-5908-45a0-9cb4-dec9ae074618_Method">
    <vt:lpwstr>Standard</vt:lpwstr>
  </property>
  <property fmtid="{D5CDD505-2E9C-101B-9397-08002B2CF9AE}" pid="5" name="MSIP_Label_8b77875e-5908-45a0-9cb4-dec9ae074618_Name">
    <vt:lpwstr>8b77875e-5908-45a0-9cb4-dec9ae074618</vt:lpwstr>
  </property>
  <property fmtid="{D5CDD505-2E9C-101B-9397-08002B2CF9AE}" pid="6" name="MSIP_Label_8b77875e-5908-45a0-9cb4-dec9ae074618_SiteId">
    <vt:lpwstr>0f9e35db-544f-4f60-bdcc-5ea416e6dc70</vt:lpwstr>
  </property>
  <property fmtid="{D5CDD505-2E9C-101B-9397-08002B2CF9AE}" pid="7" name="MSIP_Label_8b77875e-5908-45a0-9cb4-dec9ae074618_ActionId">
    <vt:lpwstr>43de5575-017f-4a27-8997-cc55d49f1d35</vt:lpwstr>
  </property>
  <property fmtid="{D5CDD505-2E9C-101B-9397-08002B2CF9AE}" pid="8" name="MSIP_Label_8b77875e-5908-45a0-9cb4-dec9ae074618_ContentBits">
    <vt:lpwstr>0</vt:lpwstr>
  </property>
  <property fmtid="{D5CDD505-2E9C-101B-9397-08002B2CF9AE}" pid="9" name="ContentTypeId">
    <vt:lpwstr>0x0101001193CD93B399A24291B7775C5A053C9B</vt:lpwstr>
  </property>
  <property fmtid="{D5CDD505-2E9C-101B-9397-08002B2CF9AE}" pid="10" name="MediaServiceImageTags">
    <vt:lpwstr/>
  </property>
</Properties>
</file>