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17960" w14:textId="7E7D19B3" w:rsidR="00F37CD6" w:rsidRPr="00207915" w:rsidRDefault="009C6870" w:rsidP="00207915">
      <w:pPr>
        <w:tabs>
          <w:tab w:val="left" w:pos="4762"/>
        </w:tabs>
        <w:bidi w:val="0"/>
        <w:ind w:left="5040"/>
        <w:rPr>
          <w:rFonts w:asciiTheme="majorBidi" w:hAnsiTheme="majorBidi" w:cstheme="majorBidi"/>
          <w:rtl/>
        </w:rPr>
      </w:pPr>
      <w:r w:rsidRPr="00207915">
        <w:rPr>
          <w:rFonts w:asciiTheme="majorBidi" w:hAnsiTheme="majorBidi" w:cstheme="majorBidi"/>
          <w:rtl/>
        </w:rPr>
        <w:tab/>
      </w:r>
      <w:r w:rsidRPr="00207915">
        <w:rPr>
          <w:rFonts w:asciiTheme="majorBidi" w:hAnsiTheme="majorBidi" w:cstheme="majorBidi"/>
          <w:rtl/>
        </w:rPr>
        <w:tab/>
      </w:r>
      <w:r w:rsidRPr="00207915">
        <w:rPr>
          <w:rFonts w:asciiTheme="majorBidi" w:hAnsiTheme="majorBidi" w:cstheme="majorBidi"/>
          <w:rtl/>
        </w:rPr>
        <w:tab/>
      </w:r>
      <w:r w:rsidRPr="00207915">
        <w:rPr>
          <w:rFonts w:asciiTheme="majorBidi" w:hAnsiTheme="majorBidi" w:cstheme="majorBidi"/>
          <w:rtl/>
        </w:rPr>
        <w:tab/>
      </w:r>
      <w:r w:rsidRPr="00207915">
        <w:rPr>
          <w:rFonts w:asciiTheme="majorBidi" w:hAnsiTheme="majorBidi" w:cstheme="majorBidi"/>
          <w:rtl/>
        </w:rPr>
        <w:tab/>
      </w:r>
      <w:r w:rsidR="00A772F4" w:rsidRPr="00207915">
        <w:rPr>
          <w:rFonts w:asciiTheme="majorBidi" w:hAnsiTheme="majorBidi" w:cstheme="majorBidi"/>
          <w:rtl/>
        </w:rPr>
        <w:tab/>
      </w:r>
      <w:r w:rsidRPr="00207915">
        <w:rPr>
          <w:rFonts w:asciiTheme="majorBidi" w:hAnsiTheme="majorBidi" w:cstheme="majorBidi"/>
        </w:rPr>
        <w:t>August</w:t>
      </w:r>
      <w:r w:rsidR="00F37CD6" w:rsidRPr="00207915">
        <w:rPr>
          <w:rFonts w:asciiTheme="majorBidi" w:hAnsiTheme="majorBidi" w:cstheme="majorBidi"/>
        </w:rPr>
        <w:t xml:space="preserve"> </w:t>
      </w:r>
      <w:r w:rsidR="00D64F34" w:rsidRPr="00207915">
        <w:rPr>
          <w:rFonts w:asciiTheme="majorBidi" w:hAnsiTheme="majorBidi" w:cstheme="majorBidi"/>
        </w:rPr>
        <w:t>1</w:t>
      </w:r>
      <w:r w:rsidR="00856456" w:rsidRPr="00207915">
        <w:rPr>
          <w:rFonts w:asciiTheme="majorBidi" w:hAnsiTheme="majorBidi" w:cstheme="majorBidi"/>
        </w:rPr>
        <w:t>7</w:t>
      </w:r>
      <w:r w:rsidRPr="00207915">
        <w:rPr>
          <w:rFonts w:asciiTheme="majorBidi" w:hAnsiTheme="majorBidi" w:cstheme="majorBidi"/>
        </w:rPr>
        <w:t>, 2023</w:t>
      </w:r>
    </w:p>
    <w:p w14:paraId="2A39FD7E" w14:textId="77777777" w:rsidR="00F37CD6" w:rsidRPr="00207915" w:rsidRDefault="00F37CD6" w:rsidP="00207915">
      <w:pPr>
        <w:rPr>
          <w:rFonts w:asciiTheme="majorBidi" w:hAnsiTheme="majorBidi" w:cstheme="majorBidi"/>
          <w:rtl/>
        </w:rPr>
      </w:pPr>
    </w:p>
    <w:p w14:paraId="0DBE854C" w14:textId="041E52DD" w:rsidR="00F37CD6" w:rsidRPr="00207915" w:rsidRDefault="00F37CD6" w:rsidP="00207915">
      <w:pPr>
        <w:bidi w:val="0"/>
        <w:jc w:val="center"/>
        <w:rPr>
          <w:rFonts w:asciiTheme="majorBidi" w:hAnsiTheme="majorBidi" w:cstheme="majorBidi"/>
          <w:b/>
          <w:bCs/>
          <w:u w:val="single"/>
        </w:rPr>
      </w:pPr>
      <w:r w:rsidRPr="00207915">
        <w:rPr>
          <w:rFonts w:asciiTheme="majorBidi" w:hAnsiTheme="majorBidi" w:cstheme="majorBidi"/>
          <w:b/>
          <w:bCs/>
          <w:u w:val="single"/>
        </w:rPr>
        <w:t>Re:</w:t>
      </w:r>
      <w:r w:rsidR="009C6870" w:rsidRPr="00207915">
        <w:rPr>
          <w:rFonts w:asciiTheme="majorBidi" w:hAnsiTheme="majorBidi" w:cstheme="majorBidi"/>
          <w:b/>
          <w:bCs/>
          <w:u w:val="single"/>
        </w:rPr>
        <w:t xml:space="preserve"> CRPD – DRAFT- Deputy </w:t>
      </w:r>
      <w:r w:rsidR="004C79AE" w:rsidRPr="00207915">
        <w:rPr>
          <w:rFonts w:asciiTheme="majorBidi" w:hAnsiTheme="majorBidi" w:cstheme="majorBidi"/>
          <w:b/>
          <w:bCs/>
          <w:u w:val="single"/>
        </w:rPr>
        <w:t>AG</w:t>
      </w:r>
    </w:p>
    <w:p w14:paraId="610C62C3" w14:textId="77777777" w:rsidR="009C6870" w:rsidRPr="00207915" w:rsidRDefault="009C6870" w:rsidP="00207915">
      <w:pPr>
        <w:bidi w:val="0"/>
        <w:rPr>
          <w:rFonts w:asciiTheme="majorBidi" w:hAnsiTheme="majorBidi" w:cstheme="majorBidi"/>
        </w:rPr>
      </w:pPr>
    </w:p>
    <w:p w14:paraId="3335CED9" w14:textId="77777777" w:rsidR="009C6870" w:rsidRPr="00207915" w:rsidRDefault="009C6870" w:rsidP="00207915">
      <w:pPr>
        <w:bidi w:val="0"/>
        <w:rPr>
          <w:rFonts w:asciiTheme="majorBidi" w:hAnsiTheme="majorBidi" w:cstheme="majorBidi"/>
        </w:rPr>
      </w:pPr>
      <w:r w:rsidRPr="00207915">
        <w:rPr>
          <w:rFonts w:asciiTheme="majorBidi" w:hAnsiTheme="majorBidi" w:cstheme="majorBidi"/>
        </w:rPr>
        <w:t>Ms. Chairperson,</w:t>
      </w:r>
    </w:p>
    <w:p w14:paraId="324D25E9" w14:textId="77777777" w:rsidR="009C6870" w:rsidRPr="00207915" w:rsidRDefault="009C6870" w:rsidP="00207915">
      <w:pPr>
        <w:bidi w:val="0"/>
        <w:rPr>
          <w:rFonts w:asciiTheme="majorBidi" w:hAnsiTheme="majorBidi" w:cstheme="majorBidi"/>
        </w:rPr>
      </w:pPr>
      <w:r w:rsidRPr="00207915">
        <w:rPr>
          <w:rFonts w:asciiTheme="majorBidi" w:hAnsiTheme="majorBidi" w:cstheme="majorBidi"/>
        </w:rPr>
        <w:t>Distinguished members of the Committee on the Rights of Persons with Disabilities,</w:t>
      </w:r>
    </w:p>
    <w:p w14:paraId="54B435A2" w14:textId="77777777" w:rsidR="009C6870" w:rsidRPr="00207915" w:rsidRDefault="009C6870" w:rsidP="00207915">
      <w:pPr>
        <w:bidi w:val="0"/>
        <w:rPr>
          <w:rFonts w:asciiTheme="majorBidi" w:hAnsiTheme="majorBidi" w:cstheme="majorBidi"/>
        </w:rPr>
      </w:pPr>
      <w:r w:rsidRPr="00207915">
        <w:rPr>
          <w:rFonts w:asciiTheme="majorBidi" w:hAnsiTheme="majorBidi" w:cstheme="majorBidi"/>
        </w:rPr>
        <w:t>It is a great honor and privilege for me to appear before this esteemed committee as one of the Heads of the Israeli delegation. On behalf of the State of Israel, I would like to extend our warm greetings and reaffirm our unwavering commitment to promoting and protecting human rights in general and especially the rights of persons with disabilities. Today, we come together to share our progress, challenges, and aspirations in our collective pursuit of the full realization of the rights of persons with disabilities.</w:t>
      </w:r>
    </w:p>
    <w:p w14:paraId="22B3491A" w14:textId="308C709F" w:rsidR="00D64F34" w:rsidRPr="00207915" w:rsidRDefault="00D64F34" w:rsidP="00207915">
      <w:pPr>
        <w:bidi w:val="0"/>
        <w:spacing w:before="240"/>
        <w:rPr>
          <w:rFonts w:asciiTheme="majorBidi" w:hAnsiTheme="majorBidi" w:cstheme="majorBidi"/>
        </w:rPr>
      </w:pPr>
      <w:r w:rsidRPr="00207915">
        <w:rPr>
          <w:rFonts w:asciiTheme="majorBidi" w:hAnsiTheme="majorBidi" w:cstheme="majorBidi"/>
        </w:rPr>
        <w:t xml:space="preserve">As the Deputy Attorney General for international law, I am entrusted, together with my team, with providing legal advice on various areas of international law to Israel's Government on any legal matter. Our team consists of attorneys that specialize in different fields of international law, including a division dedicated to international human rights law and specifically the human rights treaty bodies. </w:t>
      </w:r>
    </w:p>
    <w:p w14:paraId="12DFEB05" w14:textId="204FF113" w:rsidR="009C6870" w:rsidRPr="00207915" w:rsidRDefault="009C6870" w:rsidP="00207915">
      <w:pPr>
        <w:bidi w:val="0"/>
        <w:rPr>
          <w:rFonts w:asciiTheme="majorBidi" w:hAnsiTheme="majorBidi" w:cstheme="majorBidi"/>
        </w:rPr>
      </w:pPr>
      <w:r w:rsidRPr="00207915">
        <w:rPr>
          <w:rFonts w:asciiTheme="majorBidi" w:hAnsiTheme="majorBidi" w:cstheme="majorBidi"/>
        </w:rPr>
        <w:t>Israel is fully dedicated to upholding the principles enshrined in the Convention on the Rights of Persons with Disabilities and fulfilling our obligations therein. Having been intensely involved, alongside other countries and civil society</w:t>
      </w:r>
      <w:r w:rsidR="00180132" w:rsidRPr="00207915">
        <w:rPr>
          <w:rFonts w:asciiTheme="majorBidi" w:hAnsiTheme="majorBidi" w:cstheme="majorBidi"/>
        </w:rPr>
        <w:t>,</w:t>
      </w:r>
      <w:r w:rsidRPr="00207915">
        <w:rPr>
          <w:rFonts w:asciiTheme="majorBidi" w:hAnsiTheme="majorBidi" w:cstheme="majorBidi"/>
        </w:rPr>
        <w:t xml:space="preserve"> in the drafting stages, it was only natural for us to sign the Convention and later ratify it in 2012.</w:t>
      </w:r>
      <w:r w:rsidR="00180132" w:rsidRPr="00207915">
        <w:rPr>
          <w:rFonts w:asciiTheme="majorBidi" w:hAnsiTheme="majorBidi" w:cstheme="majorBidi"/>
        </w:rPr>
        <w:t xml:space="preserve"> </w:t>
      </w:r>
      <w:r w:rsidR="00180132" w:rsidRPr="00207915">
        <w:rPr>
          <w:rFonts w:asciiTheme="majorBidi" w:hAnsiTheme="majorBidi" w:cstheme="majorBidi"/>
        </w:rPr>
        <w:lastRenderedPageBreak/>
        <w:t xml:space="preserve">Acknowledging </w:t>
      </w:r>
      <w:r w:rsidRPr="00207915">
        <w:rPr>
          <w:rFonts w:asciiTheme="majorBidi" w:hAnsiTheme="majorBidi" w:cstheme="majorBidi"/>
        </w:rPr>
        <w:t>the paramount importance of international cooperation and collaboration, we are fully committed to engaging in constructive dialogue with this esteemed committee.</w:t>
      </w:r>
    </w:p>
    <w:p w14:paraId="3347C76E" w14:textId="5D34E507" w:rsidR="009C6870" w:rsidRPr="00207915" w:rsidRDefault="000B40AB" w:rsidP="00207915">
      <w:pPr>
        <w:bidi w:val="0"/>
        <w:rPr>
          <w:rFonts w:asciiTheme="majorBidi" w:hAnsiTheme="majorBidi" w:cstheme="majorBidi"/>
        </w:rPr>
      </w:pPr>
      <w:r w:rsidRPr="00207915">
        <w:rPr>
          <w:rFonts w:asciiTheme="majorBidi" w:hAnsiTheme="majorBidi" w:cstheme="majorBidi"/>
        </w:rPr>
        <w:tab/>
      </w:r>
      <w:r w:rsidR="009C6870" w:rsidRPr="00207915">
        <w:rPr>
          <w:rFonts w:asciiTheme="majorBidi" w:hAnsiTheme="majorBidi" w:cstheme="majorBidi"/>
        </w:rPr>
        <w:t xml:space="preserve">At the core of our commitment </w:t>
      </w:r>
      <w:r w:rsidR="00E61C75" w:rsidRPr="00207915">
        <w:rPr>
          <w:rFonts w:asciiTheme="majorBidi" w:hAnsiTheme="majorBidi" w:cstheme="majorBidi"/>
        </w:rPr>
        <w:t xml:space="preserve">to the Convention </w:t>
      </w:r>
      <w:r w:rsidR="009C6870" w:rsidRPr="00207915">
        <w:rPr>
          <w:rFonts w:asciiTheme="majorBidi" w:hAnsiTheme="majorBidi" w:cstheme="majorBidi"/>
        </w:rPr>
        <w:t xml:space="preserve">lies </w:t>
      </w:r>
      <w:r w:rsidR="000F4CBE" w:rsidRPr="00207915">
        <w:rPr>
          <w:rFonts w:asciiTheme="majorBidi" w:hAnsiTheme="majorBidi" w:cstheme="majorBidi"/>
        </w:rPr>
        <w:t xml:space="preserve">a </w:t>
      </w:r>
      <w:r w:rsidR="009C6870" w:rsidRPr="00207915">
        <w:rPr>
          <w:rFonts w:asciiTheme="majorBidi" w:hAnsiTheme="majorBidi" w:cstheme="majorBidi"/>
        </w:rPr>
        <w:t xml:space="preserve">comprehensive legislative framework, with the </w:t>
      </w:r>
      <w:r w:rsidR="009C6870" w:rsidRPr="00C46129">
        <w:rPr>
          <w:rFonts w:asciiTheme="majorBidi" w:hAnsiTheme="majorBidi" w:cstheme="majorBidi"/>
          <w:i/>
          <w:iCs/>
        </w:rPr>
        <w:t>Equal Rights for Persons with Disabilities Law</w:t>
      </w:r>
      <w:r w:rsidR="009C6870" w:rsidRPr="00207915">
        <w:rPr>
          <w:rFonts w:asciiTheme="majorBidi" w:hAnsiTheme="majorBidi" w:cstheme="majorBidi"/>
        </w:rPr>
        <w:t xml:space="preserve"> </w:t>
      </w:r>
      <w:r w:rsidR="004C79AE" w:rsidRPr="00207915">
        <w:rPr>
          <w:rFonts w:asciiTheme="majorBidi" w:hAnsiTheme="majorBidi" w:cstheme="majorBidi"/>
        </w:rPr>
        <w:t>–</w:t>
      </w:r>
      <w:r w:rsidR="009C6870" w:rsidRPr="00207915">
        <w:rPr>
          <w:rFonts w:asciiTheme="majorBidi" w:hAnsiTheme="majorBidi" w:cstheme="majorBidi"/>
        </w:rPr>
        <w:t xml:space="preserve"> enacted in 1998, years before the Convention </w:t>
      </w:r>
      <w:r w:rsidR="000F4CBE" w:rsidRPr="00207915">
        <w:rPr>
          <w:rFonts w:asciiTheme="majorBidi" w:hAnsiTheme="majorBidi" w:cstheme="majorBidi"/>
        </w:rPr>
        <w:t xml:space="preserve">came </w:t>
      </w:r>
      <w:r w:rsidR="009C6870" w:rsidRPr="00207915">
        <w:rPr>
          <w:rFonts w:asciiTheme="majorBidi" w:hAnsiTheme="majorBidi" w:cstheme="majorBidi"/>
        </w:rPr>
        <w:t xml:space="preserve">into force </w:t>
      </w:r>
      <w:r w:rsidR="004C79AE" w:rsidRPr="00207915">
        <w:rPr>
          <w:rFonts w:asciiTheme="majorBidi" w:hAnsiTheme="majorBidi" w:cstheme="majorBidi"/>
        </w:rPr>
        <w:t>–</w:t>
      </w:r>
      <w:r w:rsidR="009C6870" w:rsidRPr="00207915">
        <w:rPr>
          <w:rFonts w:asciiTheme="majorBidi" w:hAnsiTheme="majorBidi" w:cstheme="majorBidi"/>
        </w:rPr>
        <w:t xml:space="preserve"> leading the way. This groundbreaking law serves as the </w:t>
      </w:r>
      <w:r w:rsidR="000F4CBE" w:rsidRPr="00207915">
        <w:rPr>
          <w:rFonts w:asciiTheme="majorBidi" w:hAnsiTheme="majorBidi" w:cstheme="majorBidi"/>
        </w:rPr>
        <w:t xml:space="preserve">cornerstone </w:t>
      </w:r>
      <w:r w:rsidR="009C6870" w:rsidRPr="00207915">
        <w:rPr>
          <w:rFonts w:asciiTheme="majorBidi" w:hAnsiTheme="majorBidi" w:cstheme="majorBidi"/>
        </w:rPr>
        <w:t xml:space="preserve">of our efforts to advance equality and combat discrimination against persons with disabilities. Having </w:t>
      </w:r>
      <w:r w:rsidR="00034410" w:rsidRPr="00207915">
        <w:rPr>
          <w:rFonts w:asciiTheme="majorBidi" w:hAnsiTheme="majorBidi" w:cstheme="majorBidi"/>
        </w:rPr>
        <w:t xml:space="preserve">been considerably </w:t>
      </w:r>
      <w:r w:rsidR="000F4CBE" w:rsidRPr="00207915">
        <w:rPr>
          <w:rFonts w:asciiTheme="majorBidi" w:hAnsiTheme="majorBidi" w:cstheme="majorBidi"/>
        </w:rPr>
        <w:t>expan</w:t>
      </w:r>
      <w:r w:rsidR="00034410" w:rsidRPr="00207915">
        <w:rPr>
          <w:rFonts w:asciiTheme="majorBidi" w:hAnsiTheme="majorBidi" w:cstheme="majorBidi"/>
        </w:rPr>
        <w:t>ded by virtue of a number of amendments</w:t>
      </w:r>
      <w:r w:rsidR="000F4CBE" w:rsidRPr="00207915">
        <w:rPr>
          <w:rFonts w:asciiTheme="majorBidi" w:hAnsiTheme="majorBidi" w:cstheme="majorBidi"/>
        </w:rPr>
        <w:t xml:space="preserve"> </w:t>
      </w:r>
      <w:r w:rsidR="009C6870" w:rsidRPr="00207915">
        <w:rPr>
          <w:rFonts w:asciiTheme="majorBidi" w:hAnsiTheme="majorBidi" w:cstheme="majorBidi"/>
        </w:rPr>
        <w:t xml:space="preserve">since its original enactment, the </w:t>
      </w:r>
      <w:r w:rsidR="009C6870" w:rsidRPr="00C46129">
        <w:rPr>
          <w:rFonts w:asciiTheme="majorBidi" w:hAnsiTheme="majorBidi" w:cstheme="majorBidi"/>
          <w:i/>
          <w:iCs/>
        </w:rPr>
        <w:t>Equal Rights Law</w:t>
      </w:r>
      <w:r w:rsidR="009C6870" w:rsidRPr="00207915">
        <w:rPr>
          <w:rFonts w:asciiTheme="majorBidi" w:hAnsiTheme="majorBidi" w:cstheme="majorBidi"/>
        </w:rPr>
        <w:t xml:space="preserve"> combines general provisions </w:t>
      </w:r>
      <w:r w:rsidR="00180132" w:rsidRPr="00207915">
        <w:rPr>
          <w:rFonts w:asciiTheme="majorBidi" w:hAnsiTheme="majorBidi" w:cstheme="majorBidi"/>
        </w:rPr>
        <w:t>echoing</w:t>
      </w:r>
      <w:r w:rsidR="009C6870" w:rsidRPr="00207915">
        <w:rPr>
          <w:rFonts w:asciiTheme="majorBidi" w:hAnsiTheme="majorBidi" w:cstheme="majorBidi"/>
        </w:rPr>
        <w:t xml:space="preserve"> the principles of the Convention </w:t>
      </w:r>
      <w:r w:rsidR="004C79AE" w:rsidRPr="00207915">
        <w:rPr>
          <w:rFonts w:asciiTheme="majorBidi" w:hAnsiTheme="majorBidi" w:cstheme="majorBidi"/>
        </w:rPr>
        <w:t>–</w:t>
      </w:r>
      <w:r w:rsidR="00180132" w:rsidRPr="00207915">
        <w:rPr>
          <w:rFonts w:asciiTheme="majorBidi" w:hAnsiTheme="majorBidi" w:cstheme="majorBidi"/>
        </w:rPr>
        <w:t xml:space="preserve"> </w:t>
      </w:r>
      <w:r w:rsidR="009C6870" w:rsidRPr="00207915">
        <w:rPr>
          <w:rFonts w:asciiTheme="majorBidi" w:hAnsiTheme="majorBidi" w:cstheme="majorBidi"/>
        </w:rPr>
        <w:t xml:space="preserve">equality, human dignity, and autonomy </w:t>
      </w:r>
      <w:r w:rsidR="004C79AE" w:rsidRPr="00207915">
        <w:rPr>
          <w:rFonts w:asciiTheme="majorBidi" w:hAnsiTheme="majorBidi" w:cstheme="majorBidi"/>
        </w:rPr>
        <w:t>–</w:t>
      </w:r>
      <w:r w:rsidR="00034410" w:rsidRPr="00207915">
        <w:rPr>
          <w:rFonts w:asciiTheme="majorBidi" w:hAnsiTheme="majorBidi" w:cstheme="majorBidi"/>
        </w:rPr>
        <w:t xml:space="preserve">with </w:t>
      </w:r>
      <w:r w:rsidR="009C6870" w:rsidRPr="00207915">
        <w:rPr>
          <w:rFonts w:asciiTheme="majorBidi" w:hAnsiTheme="majorBidi" w:cstheme="majorBidi"/>
        </w:rPr>
        <w:t xml:space="preserve">detailed provisions relating to equality in employment, as well as equality in the provision of public services and accessibility of public places and services. </w:t>
      </w:r>
    </w:p>
    <w:p w14:paraId="63BA8BAB" w14:textId="270D2C2D" w:rsidR="009C6870" w:rsidRPr="00207915" w:rsidRDefault="009C6870" w:rsidP="00207915">
      <w:pPr>
        <w:bidi w:val="0"/>
        <w:rPr>
          <w:rFonts w:asciiTheme="majorBidi" w:hAnsiTheme="majorBidi" w:cstheme="majorBidi"/>
        </w:rPr>
      </w:pPr>
      <w:r w:rsidRPr="00207915">
        <w:rPr>
          <w:rFonts w:asciiTheme="majorBidi" w:hAnsiTheme="majorBidi" w:cstheme="majorBidi"/>
        </w:rPr>
        <w:t>In Israel, equality has been firmly entrenched within our legal system through legislation and extensive case law, with the Israeli High Court of Justice playing a pivotal role in advancing the principle of equality in general</w:t>
      </w:r>
      <w:r w:rsidR="004C79AE" w:rsidRPr="00207915">
        <w:rPr>
          <w:rFonts w:asciiTheme="majorBidi" w:hAnsiTheme="majorBidi" w:cstheme="majorBidi"/>
        </w:rPr>
        <w:t>,</w:t>
      </w:r>
      <w:r w:rsidRPr="00207915">
        <w:rPr>
          <w:rFonts w:asciiTheme="majorBidi" w:hAnsiTheme="majorBidi" w:cstheme="majorBidi"/>
        </w:rPr>
        <w:t xml:space="preserve"> </w:t>
      </w:r>
      <w:r w:rsidRPr="00257698">
        <w:rPr>
          <w:rFonts w:asciiTheme="majorBidi" w:hAnsiTheme="majorBidi" w:cstheme="majorBidi"/>
        </w:rPr>
        <w:t>and</w:t>
      </w:r>
      <w:r w:rsidRPr="00207915">
        <w:rPr>
          <w:rFonts w:asciiTheme="majorBidi" w:hAnsiTheme="majorBidi" w:cstheme="majorBidi"/>
        </w:rPr>
        <w:t xml:space="preserve"> in relation to persons with disabilities in particular. We deeply value the contributions of civil society and non-governmental organizations (NGOs) in shaping our policies and programs. Throughout the drafting and implementation of the Convention, we have sought the engagement of NGOs. Their inputs and expertise have been instrumental </w:t>
      </w:r>
      <w:r w:rsidR="000F4CBE" w:rsidRPr="00207915">
        <w:rPr>
          <w:rFonts w:asciiTheme="majorBidi" w:hAnsiTheme="majorBidi" w:cstheme="majorBidi"/>
        </w:rPr>
        <w:t>in improving</w:t>
      </w:r>
      <w:r w:rsidRPr="00207915">
        <w:rPr>
          <w:rFonts w:asciiTheme="majorBidi" w:hAnsiTheme="majorBidi" w:cstheme="majorBidi"/>
        </w:rPr>
        <w:t xml:space="preserve"> our national efforts. We have participated in a joint project with civil society organizations in partnership with the Minerva Center for Human Rights at the Hebrew University of Jerusalem, aimed at enhancing cooperation and dialogue </w:t>
      </w:r>
      <w:r w:rsidR="000F4CBE" w:rsidRPr="00207915">
        <w:rPr>
          <w:rFonts w:asciiTheme="majorBidi" w:hAnsiTheme="majorBidi" w:cstheme="majorBidi"/>
        </w:rPr>
        <w:t xml:space="preserve">among </w:t>
      </w:r>
      <w:r w:rsidRPr="00207915">
        <w:rPr>
          <w:rFonts w:asciiTheme="majorBidi" w:hAnsiTheme="majorBidi" w:cstheme="majorBidi"/>
        </w:rPr>
        <w:t xml:space="preserve">State Authorities, civil society and academia in the reporting process to the UN Human Rights Treaty Bodies. </w:t>
      </w:r>
    </w:p>
    <w:p w14:paraId="068D0E9E" w14:textId="02F9B89C" w:rsidR="009C6870" w:rsidRPr="00207915" w:rsidRDefault="009C6870" w:rsidP="00207915">
      <w:pPr>
        <w:bidi w:val="0"/>
        <w:rPr>
          <w:rFonts w:asciiTheme="majorBidi" w:hAnsiTheme="majorBidi" w:cstheme="majorBidi"/>
        </w:rPr>
      </w:pPr>
      <w:r w:rsidRPr="00207915">
        <w:rPr>
          <w:rFonts w:asciiTheme="majorBidi" w:hAnsiTheme="majorBidi" w:cstheme="majorBidi"/>
        </w:rPr>
        <w:t xml:space="preserve">Central to our decision-making processes is the vital involvement of Disabled Persons Organizations (DPOs). Through ongoing dialogue and collaboration, we have ensured the active participation of Disabled Persons Organizations in legislative and policy developments. Their invaluable contributions were especially prominent in the drafting and enactment of the </w:t>
      </w:r>
      <w:r w:rsidRPr="00C46129">
        <w:rPr>
          <w:rFonts w:asciiTheme="majorBidi" w:hAnsiTheme="majorBidi" w:cstheme="majorBidi"/>
          <w:i/>
          <w:iCs/>
        </w:rPr>
        <w:t>Equal Rights Law</w:t>
      </w:r>
      <w:r w:rsidRPr="00207915">
        <w:rPr>
          <w:rFonts w:asciiTheme="majorBidi" w:hAnsiTheme="majorBidi" w:cstheme="majorBidi"/>
        </w:rPr>
        <w:t xml:space="preserve"> and in its many Regulations. The Law enshrines DPOs right to be heard</w:t>
      </w:r>
      <w:r w:rsidR="004C79AE" w:rsidRPr="00207915">
        <w:rPr>
          <w:rFonts w:asciiTheme="majorBidi" w:hAnsiTheme="majorBidi" w:cstheme="majorBidi"/>
        </w:rPr>
        <w:t>,</w:t>
      </w:r>
      <w:r w:rsidRPr="00207915">
        <w:rPr>
          <w:rFonts w:asciiTheme="majorBidi" w:hAnsiTheme="majorBidi" w:cstheme="majorBidi"/>
        </w:rPr>
        <w:t xml:space="preserve"> by requiring relevant authorities to consult with organizations </w:t>
      </w:r>
      <w:r w:rsidRPr="00207915">
        <w:rPr>
          <w:rFonts w:asciiTheme="majorBidi" w:hAnsiTheme="majorBidi" w:cstheme="majorBidi"/>
        </w:rPr>
        <w:lastRenderedPageBreak/>
        <w:t>working on the rights of persons with disabilities</w:t>
      </w:r>
      <w:r w:rsidR="004C79AE" w:rsidRPr="00207915">
        <w:rPr>
          <w:rFonts w:asciiTheme="majorBidi" w:hAnsiTheme="majorBidi" w:cstheme="majorBidi"/>
        </w:rPr>
        <w:t>,</w:t>
      </w:r>
      <w:r w:rsidRPr="00207915">
        <w:rPr>
          <w:rFonts w:asciiTheme="majorBidi" w:hAnsiTheme="majorBidi" w:cstheme="majorBidi"/>
        </w:rPr>
        <w:t xml:space="preserve"> when formulating regulations under the Law. </w:t>
      </w:r>
    </w:p>
    <w:p w14:paraId="6C7681A9" w14:textId="731697D8" w:rsidR="009C6870" w:rsidRPr="00207915" w:rsidRDefault="009C6870" w:rsidP="00207915">
      <w:pPr>
        <w:bidi w:val="0"/>
        <w:rPr>
          <w:rFonts w:asciiTheme="majorBidi" w:hAnsiTheme="majorBidi" w:cstheme="majorBidi"/>
        </w:rPr>
      </w:pPr>
      <w:r w:rsidRPr="00207915">
        <w:rPr>
          <w:rFonts w:asciiTheme="majorBidi" w:hAnsiTheme="majorBidi" w:cstheme="majorBidi"/>
        </w:rPr>
        <w:t xml:space="preserve">Over the years, the State of Israel has taken significant steps to promote the rights of persons with disabilities in various spheres. The implementation of the </w:t>
      </w:r>
      <w:r w:rsidRPr="00207915">
        <w:rPr>
          <w:rFonts w:asciiTheme="majorBidi" w:hAnsiTheme="majorBidi" w:cstheme="majorBidi"/>
          <w:i/>
          <w:iCs/>
        </w:rPr>
        <w:t>Equal Rights Law</w:t>
      </w:r>
      <w:r w:rsidRPr="00207915">
        <w:rPr>
          <w:rFonts w:asciiTheme="majorBidi" w:hAnsiTheme="majorBidi" w:cstheme="majorBidi"/>
        </w:rPr>
        <w:t xml:space="preserve"> and </w:t>
      </w:r>
      <w:r w:rsidR="00C43EBA" w:rsidRPr="00207915">
        <w:rPr>
          <w:rFonts w:asciiTheme="majorBidi" w:hAnsiTheme="majorBidi" w:cstheme="majorBidi"/>
        </w:rPr>
        <w:t xml:space="preserve">its accompanying </w:t>
      </w:r>
      <w:r w:rsidRPr="00207915">
        <w:rPr>
          <w:rFonts w:asciiTheme="majorBidi" w:hAnsiTheme="majorBidi" w:cstheme="majorBidi"/>
        </w:rPr>
        <w:t xml:space="preserve">Regulations has played a crucial role in ensuring accessibility </w:t>
      </w:r>
      <w:r w:rsidR="00227CE1" w:rsidRPr="00207915">
        <w:rPr>
          <w:rFonts w:asciiTheme="majorBidi" w:hAnsiTheme="majorBidi" w:cstheme="majorBidi"/>
        </w:rPr>
        <w:t xml:space="preserve">to services provided by, and places operated by, the </w:t>
      </w:r>
      <w:r w:rsidRPr="00207915">
        <w:rPr>
          <w:rFonts w:asciiTheme="majorBidi" w:hAnsiTheme="majorBidi" w:cstheme="majorBidi"/>
        </w:rPr>
        <w:t xml:space="preserve">public sector. </w:t>
      </w:r>
      <w:r w:rsidR="00C43EBA" w:rsidRPr="00207915">
        <w:rPr>
          <w:rFonts w:asciiTheme="majorBidi" w:hAnsiTheme="majorBidi" w:cstheme="majorBidi"/>
        </w:rPr>
        <w:t xml:space="preserve">These comprehensive </w:t>
      </w:r>
      <w:r w:rsidRPr="00207915">
        <w:rPr>
          <w:rFonts w:asciiTheme="majorBidi" w:hAnsiTheme="majorBidi" w:cstheme="majorBidi"/>
        </w:rPr>
        <w:t>Regulations</w:t>
      </w:r>
      <w:r w:rsidR="00C43EBA" w:rsidRPr="00207915">
        <w:rPr>
          <w:rFonts w:asciiTheme="majorBidi" w:hAnsiTheme="majorBidi" w:cstheme="majorBidi"/>
        </w:rPr>
        <w:t>,</w:t>
      </w:r>
      <w:r w:rsidRPr="00207915">
        <w:rPr>
          <w:rFonts w:asciiTheme="majorBidi" w:hAnsiTheme="majorBidi" w:cstheme="majorBidi"/>
        </w:rPr>
        <w:t xml:space="preserve"> which include specific timelines, </w:t>
      </w:r>
      <w:r w:rsidR="00C43EBA" w:rsidRPr="00207915">
        <w:rPr>
          <w:rFonts w:asciiTheme="majorBidi" w:hAnsiTheme="majorBidi" w:cstheme="majorBidi"/>
        </w:rPr>
        <w:t>have facilitated su</w:t>
      </w:r>
      <w:r w:rsidR="000002DA" w:rsidRPr="00207915">
        <w:rPr>
          <w:rFonts w:asciiTheme="majorBidi" w:hAnsiTheme="majorBidi" w:cstheme="majorBidi"/>
        </w:rPr>
        <w:t xml:space="preserve">stained </w:t>
      </w:r>
      <w:r w:rsidRPr="00207915">
        <w:rPr>
          <w:rFonts w:asciiTheme="majorBidi" w:hAnsiTheme="majorBidi" w:cstheme="majorBidi"/>
        </w:rPr>
        <w:t>progress</w:t>
      </w:r>
      <w:r w:rsidR="00C43EBA" w:rsidRPr="00207915">
        <w:rPr>
          <w:rFonts w:asciiTheme="majorBidi" w:hAnsiTheme="majorBidi" w:cstheme="majorBidi"/>
        </w:rPr>
        <w:t>.</w:t>
      </w:r>
      <w:r w:rsidRPr="00207915">
        <w:rPr>
          <w:rFonts w:asciiTheme="majorBidi" w:hAnsiTheme="majorBidi" w:cstheme="majorBidi"/>
        </w:rPr>
        <w:t xml:space="preserve"> </w:t>
      </w:r>
      <w:r w:rsidR="00C43EBA" w:rsidRPr="00207915">
        <w:rPr>
          <w:rFonts w:asciiTheme="majorBidi" w:hAnsiTheme="majorBidi" w:cstheme="majorBidi"/>
        </w:rPr>
        <w:t xml:space="preserve">As a result, nearly all government </w:t>
      </w:r>
      <w:r w:rsidR="00C43EBA" w:rsidRPr="00257698">
        <w:rPr>
          <w:rFonts w:asciiTheme="majorBidi" w:hAnsiTheme="majorBidi" w:cstheme="majorBidi"/>
        </w:rPr>
        <w:t>offices</w:t>
      </w:r>
      <w:r w:rsidR="00C43EBA" w:rsidRPr="00207915">
        <w:rPr>
          <w:rFonts w:asciiTheme="majorBidi" w:hAnsiTheme="majorBidi" w:cstheme="majorBidi"/>
        </w:rPr>
        <w:t xml:space="preserve"> </w:t>
      </w:r>
      <w:r w:rsidR="00097605" w:rsidRPr="00207915">
        <w:rPr>
          <w:rFonts w:asciiTheme="majorBidi" w:hAnsiTheme="majorBidi" w:cstheme="majorBidi"/>
        </w:rPr>
        <w:t xml:space="preserve">that </w:t>
      </w:r>
      <w:r w:rsidR="000002DA" w:rsidRPr="00207915">
        <w:rPr>
          <w:rFonts w:asciiTheme="majorBidi" w:hAnsiTheme="majorBidi" w:cstheme="majorBidi"/>
        </w:rPr>
        <w:t xml:space="preserve">are open </w:t>
      </w:r>
      <w:r w:rsidR="00097605" w:rsidRPr="00207915">
        <w:rPr>
          <w:rFonts w:asciiTheme="majorBidi" w:hAnsiTheme="majorBidi" w:cstheme="majorBidi"/>
        </w:rPr>
        <w:t>to the public,</w:t>
      </w:r>
      <w:r w:rsidR="00C43EBA" w:rsidRPr="00207915">
        <w:rPr>
          <w:rFonts w:asciiTheme="majorBidi" w:hAnsiTheme="majorBidi" w:cstheme="majorBidi"/>
        </w:rPr>
        <w:t xml:space="preserve"> </w:t>
      </w:r>
      <w:r w:rsidR="000002DA" w:rsidRPr="00207915">
        <w:rPr>
          <w:rFonts w:asciiTheme="majorBidi" w:hAnsiTheme="majorBidi" w:cstheme="majorBidi"/>
        </w:rPr>
        <w:t xml:space="preserve">as well as </w:t>
      </w:r>
      <w:r w:rsidR="00035E73">
        <w:rPr>
          <w:rFonts w:asciiTheme="majorBidi" w:hAnsiTheme="majorBidi" w:cstheme="majorBidi"/>
        </w:rPr>
        <w:t xml:space="preserve">the </w:t>
      </w:r>
      <w:r w:rsidR="000002DA" w:rsidRPr="00207915">
        <w:rPr>
          <w:rFonts w:asciiTheme="majorBidi" w:hAnsiTheme="majorBidi" w:cstheme="majorBidi"/>
        </w:rPr>
        <w:t xml:space="preserve">services that they provide are now </w:t>
      </w:r>
      <w:r w:rsidR="00506F25" w:rsidRPr="00207915">
        <w:rPr>
          <w:rFonts w:asciiTheme="majorBidi" w:hAnsiTheme="majorBidi" w:cstheme="majorBidi"/>
        </w:rPr>
        <w:t>accessible</w:t>
      </w:r>
      <w:r w:rsidR="00C43EBA" w:rsidRPr="00207915">
        <w:rPr>
          <w:rFonts w:asciiTheme="majorBidi" w:hAnsiTheme="majorBidi" w:cstheme="majorBidi"/>
        </w:rPr>
        <w:t xml:space="preserve"> </w:t>
      </w:r>
      <w:r w:rsidR="000002DA" w:rsidRPr="00207915">
        <w:rPr>
          <w:rFonts w:asciiTheme="majorBidi" w:hAnsiTheme="majorBidi" w:cstheme="majorBidi"/>
        </w:rPr>
        <w:t xml:space="preserve">to </w:t>
      </w:r>
      <w:r w:rsidRPr="00207915">
        <w:rPr>
          <w:rFonts w:asciiTheme="majorBidi" w:hAnsiTheme="majorBidi" w:cstheme="majorBidi"/>
        </w:rPr>
        <w:t xml:space="preserve">persons with </w:t>
      </w:r>
      <w:r w:rsidR="000002DA" w:rsidRPr="00207915">
        <w:rPr>
          <w:rFonts w:asciiTheme="majorBidi" w:hAnsiTheme="majorBidi" w:cstheme="majorBidi"/>
        </w:rPr>
        <w:t xml:space="preserve">a range of </w:t>
      </w:r>
      <w:r w:rsidRPr="00207915">
        <w:rPr>
          <w:rFonts w:asciiTheme="majorBidi" w:hAnsiTheme="majorBidi" w:cstheme="majorBidi"/>
        </w:rPr>
        <w:t>disabilities.</w:t>
      </w:r>
    </w:p>
    <w:p w14:paraId="19592E6D" w14:textId="2AFD7FC2" w:rsidR="009C6870" w:rsidRPr="00207915" w:rsidRDefault="009C6870" w:rsidP="00207915">
      <w:pPr>
        <w:bidi w:val="0"/>
        <w:rPr>
          <w:rFonts w:asciiTheme="majorBidi" w:hAnsiTheme="majorBidi" w:cstheme="majorBidi"/>
        </w:rPr>
      </w:pPr>
      <w:r w:rsidRPr="00207915">
        <w:rPr>
          <w:rFonts w:asciiTheme="majorBidi" w:hAnsiTheme="majorBidi" w:cstheme="majorBidi"/>
        </w:rPr>
        <w:t xml:space="preserve">Recognizing the pressing need to enhance social protection and to raise living standards for persons with disabilities, consistent with Article 28 of the Convention and following an active campaign </w:t>
      </w:r>
      <w:r w:rsidR="004A453B" w:rsidRPr="00207915">
        <w:rPr>
          <w:rFonts w:asciiTheme="majorBidi" w:hAnsiTheme="majorBidi" w:cstheme="majorBidi"/>
        </w:rPr>
        <w:t>by</w:t>
      </w:r>
      <w:r w:rsidRPr="00207915">
        <w:rPr>
          <w:rFonts w:asciiTheme="majorBidi" w:hAnsiTheme="majorBidi" w:cstheme="majorBidi"/>
        </w:rPr>
        <w:t xml:space="preserve"> persons with disabilities, disability allowances in Israel have been substantially increased. Currently, the monthly disability allowance per person</w:t>
      </w:r>
      <w:r w:rsidR="00180132" w:rsidRPr="00207915">
        <w:rPr>
          <w:rFonts w:asciiTheme="majorBidi" w:hAnsiTheme="majorBidi" w:cstheme="majorBidi"/>
        </w:rPr>
        <w:t xml:space="preserve"> </w:t>
      </w:r>
      <w:r w:rsidRPr="00207915">
        <w:rPr>
          <w:rFonts w:asciiTheme="majorBidi" w:hAnsiTheme="majorBidi" w:cstheme="majorBidi"/>
        </w:rPr>
        <w:t xml:space="preserve">is 4,063 New Israeli Shekels, equivalent to approximately 1,106 US </w:t>
      </w:r>
      <w:r w:rsidR="006460AE" w:rsidRPr="00207915">
        <w:rPr>
          <w:rFonts w:asciiTheme="majorBidi" w:hAnsiTheme="majorBidi" w:cstheme="majorBidi"/>
        </w:rPr>
        <w:t>dollars</w:t>
      </w:r>
      <w:r w:rsidRPr="00207915">
        <w:rPr>
          <w:rFonts w:asciiTheme="majorBidi" w:hAnsiTheme="majorBidi" w:cstheme="majorBidi"/>
        </w:rPr>
        <w:t xml:space="preserve">. </w:t>
      </w:r>
      <w:r w:rsidR="006460AE" w:rsidRPr="00207915">
        <w:rPr>
          <w:rFonts w:asciiTheme="majorBidi" w:hAnsiTheme="majorBidi" w:cstheme="majorBidi"/>
        </w:rPr>
        <w:t xml:space="preserve">With the aim </w:t>
      </w:r>
      <w:r w:rsidR="006460AE" w:rsidRPr="00257698">
        <w:rPr>
          <w:rFonts w:asciiTheme="majorBidi" w:hAnsiTheme="majorBidi" w:cstheme="majorBidi"/>
        </w:rPr>
        <w:t>of focusing on individuals most in need of governmental assistance</w:t>
      </w:r>
      <w:r w:rsidRPr="00257698">
        <w:rPr>
          <w:rFonts w:asciiTheme="majorBidi" w:hAnsiTheme="majorBidi" w:cstheme="majorBidi"/>
        </w:rPr>
        <w:t xml:space="preserve">, the </w:t>
      </w:r>
      <w:r w:rsidRPr="00C46129">
        <w:rPr>
          <w:rFonts w:asciiTheme="majorBidi" w:hAnsiTheme="majorBidi" w:cstheme="majorBidi"/>
        </w:rPr>
        <w:t xml:space="preserve">staged increases in the disability allowance over the last few years have been based </w:t>
      </w:r>
      <w:r w:rsidR="004A453B" w:rsidRPr="00C46129">
        <w:rPr>
          <w:rFonts w:asciiTheme="majorBidi" w:hAnsiTheme="majorBidi" w:cstheme="majorBidi"/>
        </w:rPr>
        <w:t xml:space="preserve">on </w:t>
      </w:r>
      <w:r w:rsidRPr="00C46129">
        <w:rPr>
          <w:rFonts w:asciiTheme="majorBidi" w:hAnsiTheme="majorBidi" w:cstheme="majorBidi"/>
        </w:rPr>
        <w:t>the pre-existing eligibility criteria.</w:t>
      </w:r>
      <w:r w:rsidR="00180132" w:rsidRPr="00207915">
        <w:rPr>
          <w:rFonts w:asciiTheme="majorBidi" w:hAnsiTheme="majorBidi" w:cstheme="majorBidi"/>
        </w:rPr>
        <w:t xml:space="preserve"> </w:t>
      </w:r>
    </w:p>
    <w:p w14:paraId="0D56D328" w14:textId="3F648FC4" w:rsidR="009C6870" w:rsidRPr="00207915" w:rsidRDefault="009C6870" w:rsidP="00207915">
      <w:pPr>
        <w:bidi w:val="0"/>
        <w:rPr>
          <w:rFonts w:asciiTheme="majorBidi" w:hAnsiTheme="majorBidi" w:cstheme="majorBidi"/>
        </w:rPr>
      </w:pPr>
      <w:r w:rsidRPr="00207915">
        <w:rPr>
          <w:rFonts w:asciiTheme="majorBidi" w:hAnsiTheme="majorBidi" w:cstheme="majorBidi"/>
        </w:rPr>
        <w:t>In further alignment with our dedication to international treaties</w:t>
      </w:r>
      <w:r w:rsidR="00FB08DE" w:rsidRPr="00207915">
        <w:rPr>
          <w:rFonts w:asciiTheme="majorBidi" w:hAnsiTheme="majorBidi" w:cstheme="majorBidi"/>
        </w:rPr>
        <w:t xml:space="preserve"> that promote the rights of persons with disabilities</w:t>
      </w:r>
      <w:r w:rsidRPr="00207915">
        <w:rPr>
          <w:rFonts w:asciiTheme="majorBidi" w:hAnsiTheme="majorBidi" w:cstheme="majorBidi"/>
        </w:rPr>
        <w:t>, Israel became a party to the Marrakesh Treaty on March</w:t>
      </w:r>
      <w:r w:rsidR="00AD4926" w:rsidRPr="00207915">
        <w:rPr>
          <w:rFonts w:asciiTheme="majorBidi" w:hAnsiTheme="majorBidi" w:cstheme="majorBidi"/>
        </w:rPr>
        <w:t xml:space="preserve"> 21,</w:t>
      </w:r>
      <w:r w:rsidRPr="00207915">
        <w:rPr>
          <w:rFonts w:asciiTheme="majorBidi" w:hAnsiTheme="majorBidi" w:cstheme="majorBidi"/>
        </w:rPr>
        <w:t xml:space="preserve"> 2016. Administered by the World Intellectual Property Organization, this treaty seeks to facilitate access to published works for persons who are blind, visually impaired, or otherwise print disabled. By joining this treaty and incorporating its provisions </w:t>
      </w:r>
      <w:r w:rsidR="004A453B" w:rsidRPr="00207915">
        <w:rPr>
          <w:rFonts w:asciiTheme="majorBidi" w:hAnsiTheme="majorBidi" w:cstheme="majorBidi"/>
        </w:rPr>
        <w:t>in</w:t>
      </w:r>
      <w:r w:rsidRPr="00207915">
        <w:rPr>
          <w:rFonts w:asciiTheme="majorBidi" w:hAnsiTheme="majorBidi" w:cstheme="majorBidi"/>
        </w:rPr>
        <w:t xml:space="preserve">to </w:t>
      </w:r>
      <w:r w:rsidR="00E45677" w:rsidRPr="00207915">
        <w:rPr>
          <w:rFonts w:asciiTheme="majorBidi" w:hAnsiTheme="majorBidi" w:cstheme="majorBidi"/>
        </w:rPr>
        <w:t xml:space="preserve">domestic </w:t>
      </w:r>
      <w:r w:rsidRPr="00207915">
        <w:rPr>
          <w:rFonts w:asciiTheme="majorBidi" w:hAnsiTheme="majorBidi" w:cstheme="majorBidi"/>
        </w:rPr>
        <w:t xml:space="preserve">law, we reaffirm our commitment to enhancing accessibility and expanding the freedom of information and speech for persons with disabilities. </w:t>
      </w:r>
    </w:p>
    <w:p w14:paraId="56EF6AEA" w14:textId="774844C2" w:rsidR="009C6870" w:rsidRPr="00207915" w:rsidRDefault="009C6870" w:rsidP="00207915">
      <w:pPr>
        <w:bidi w:val="0"/>
        <w:rPr>
          <w:rFonts w:asciiTheme="majorBidi" w:hAnsiTheme="majorBidi" w:cstheme="majorBidi"/>
        </w:rPr>
      </w:pPr>
      <w:r w:rsidRPr="00207915">
        <w:rPr>
          <w:rFonts w:asciiTheme="majorBidi" w:hAnsiTheme="majorBidi" w:cstheme="majorBidi"/>
        </w:rPr>
        <w:t xml:space="preserve">Additionally, we take pride in highlighting Amendment No. 18 to the </w:t>
      </w:r>
      <w:r w:rsidRPr="00C46129">
        <w:rPr>
          <w:rFonts w:asciiTheme="majorBidi" w:hAnsiTheme="majorBidi" w:cstheme="majorBidi"/>
          <w:i/>
          <w:iCs/>
        </w:rPr>
        <w:t>Legal Capacity and Guardianship Law</w:t>
      </w:r>
      <w:r w:rsidRPr="00207915">
        <w:rPr>
          <w:rFonts w:asciiTheme="majorBidi" w:hAnsiTheme="majorBidi" w:cstheme="majorBidi"/>
        </w:rPr>
        <w:t xml:space="preserve">, enacted in 2016. Inspired by the principles of the Convention, Article 12 in particular, this amendment places a strong emphasis on the uniqueness of each individual and the utmost respect for each </w:t>
      </w:r>
      <w:r w:rsidR="004A453B" w:rsidRPr="00207915">
        <w:rPr>
          <w:rFonts w:asciiTheme="majorBidi" w:hAnsiTheme="majorBidi" w:cstheme="majorBidi"/>
        </w:rPr>
        <w:t>individual</w:t>
      </w:r>
      <w:r w:rsidRPr="00207915">
        <w:rPr>
          <w:rFonts w:asciiTheme="majorBidi" w:hAnsiTheme="majorBidi" w:cstheme="majorBidi"/>
        </w:rPr>
        <w:t xml:space="preserve">'s will. It recognizes that decisions affecting persons with disabilities should be made with their active participation, independence, and autonomy in mind. The Amendment specifically provides that a guardian shall not be appointed unless there is a genuine necessity to do so </w:t>
      </w:r>
      <w:r w:rsidR="0091647D">
        <w:rPr>
          <w:rFonts w:asciiTheme="majorBidi" w:hAnsiTheme="majorBidi" w:cstheme="majorBidi"/>
        </w:rPr>
        <w:t xml:space="preserve">in order </w:t>
      </w:r>
      <w:r w:rsidRPr="00207915">
        <w:rPr>
          <w:rFonts w:asciiTheme="majorBidi" w:hAnsiTheme="majorBidi" w:cstheme="majorBidi"/>
        </w:rPr>
        <w:t xml:space="preserve">to protect the person's best interests and it is impossible to fulfill the purpose for which a guardian was appointed by way of less restrictive alternatives. The Law also establishes two such alternatives – an "enduring power of attorney" and "a supporter of decision-making". This amendment </w:t>
      </w:r>
      <w:r w:rsidR="004A453B" w:rsidRPr="00207915">
        <w:rPr>
          <w:rFonts w:asciiTheme="majorBidi" w:hAnsiTheme="majorBidi" w:cstheme="majorBidi"/>
        </w:rPr>
        <w:t>represent</w:t>
      </w:r>
      <w:r w:rsidR="004537FA" w:rsidRPr="00207915">
        <w:rPr>
          <w:rFonts w:asciiTheme="majorBidi" w:hAnsiTheme="majorBidi" w:cstheme="majorBidi"/>
        </w:rPr>
        <w:t>s</w:t>
      </w:r>
      <w:r w:rsidRPr="00207915">
        <w:rPr>
          <w:rFonts w:asciiTheme="majorBidi" w:hAnsiTheme="majorBidi" w:cstheme="majorBidi"/>
        </w:rPr>
        <w:t xml:space="preserve"> a major step forward in ensuring the exercise of legal capacity </w:t>
      </w:r>
      <w:r w:rsidR="004A453B" w:rsidRPr="00207915">
        <w:rPr>
          <w:rFonts w:asciiTheme="majorBidi" w:hAnsiTheme="majorBidi" w:cstheme="majorBidi"/>
        </w:rPr>
        <w:t>for</w:t>
      </w:r>
      <w:r w:rsidRPr="00207915">
        <w:rPr>
          <w:rFonts w:asciiTheme="majorBidi" w:hAnsiTheme="majorBidi" w:cstheme="majorBidi"/>
        </w:rPr>
        <w:t xml:space="preserve"> persons with disabilities in </w:t>
      </w:r>
      <w:r w:rsidR="00E168B2" w:rsidRPr="00207915">
        <w:rPr>
          <w:rFonts w:asciiTheme="majorBidi" w:hAnsiTheme="majorBidi" w:cstheme="majorBidi"/>
        </w:rPr>
        <w:t>accordance with</w:t>
      </w:r>
      <w:r w:rsidRPr="00207915">
        <w:rPr>
          <w:rFonts w:asciiTheme="majorBidi" w:hAnsiTheme="majorBidi" w:cstheme="majorBidi"/>
        </w:rPr>
        <w:t xml:space="preserve"> the Convention</w:t>
      </w:r>
      <w:r w:rsidR="00E168B2" w:rsidRPr="00207915">
        <w:rPr>
          <w:rFonts w:asciiTheme="majorBidi" w:hAnsiTheme="majorBidi" w:cstheme="majorBidi"/>
        </w:rPr>
        <w:t>.</w:t>
      </w:r>
      <w:r w:rsidRPr="00207915">
        <w:rPr>
          <w:rFonts w:asciiTheme="majorBidi" w:hAnsiTheme="majorBidi" w:cstheme="majorBidi"/>
        </w:rPr>
        <w:t xml:space="preserve"> </w:t>
      </w:r>
      <w:r w:rsidR="00E168B2" w:rsidRPr="00207915">
        <w:rPr>
          <w:rFonts w:asciiTheme="majorBidi" w:hAnsiTheme="majorBidi" w:cstheme="majorBidi"/>
        </w:rPr>
        <w:t>T</w:t>
      </w:r>
      <w:r w:rsidRPr="00207915">
        <w:rPr>
          <w:rFonts w:asciiTheme="majorBidi" w:hAnsiTheme="majorBidi" w:cstheme="majorBidi"/>
        </w:rPr>
        <w:t xml:space="preserve">he Ministry of Justice is currently taking steps to enhance implementation of the Amendment </w:t>
      </w:r>
      <w:r w:rsidR="00E168B2" w:rsidRPr="00207915">
        <w:rPr>
          <w:rFonts w:asciiTheme="majorBidi" w:hAnsiTheme="majorBidi" w:cstheme="majorBidi"/>
        </w:rPr>
        <w:t>and</w:t>
      </w:r>
      <w:r w:rsidRPr="00207915">
        <w:rPr>
          <w:rFonts w:asciiTheme="majorBidi" w:hAnsiTheme="majorBidi" w:cstheme="majorBidi"/>
        </w:rPr>
        <w:t xml:space="preserve"> raise awareness </w:t>
      </w:r>
      <w:r w:rsidR="00E168B2" w:rsidRPr="00207915">
        <w:rPr>
          <w:rFonts w:asciiTheme="majorBidi" w:hAnsiTheme="majorBidi" w:cstheme="majorBidi"/>
        </w:rPr>
        <w:t xml:space="preserve">of </w:t>
      </w:r>
      <w:r w:rsidRPr="00207915">
        <w:rPr>
          <w:rFonts w:asciiTheme="majorBidi" w:hAnsiTheme="majorBidi" w:cstheme="majorBidi"/>
        </w:rPr>
        <w:t>its</w:t>
      </w:r>
      <w:r w:rsidR="00E168B2" w:rsidRPr="00207915">
        <w:rPr>
          <w:rFonts w:asciiTheme="majorBidi" w:hAnsiTheme="majorBidi" w:cstheme="majorBidi"/>
        </w:rPr>
        <w:t xml:space="preserve"> key</w:t>
      </w:r>
      <w:r w:rsidRPr="00207915">
        <w:rPr>
          <w:rFonts w:asciiTheme="majorBidi" w:hAnsiTheme="majorBidi" w:cstheme="majorBidi"/>
        </w:rPr>
        <w:t xml:space="preserve"> provisions.</w:t>
      </w:r>
    </w:p>
    <w:p w14:paraId="39E5747D" w14:textId="0FEC2EBE" w:rsidR="009C6870" w:rsidRPr="00207915" w:rsidRDefault="009C6870" w:rsidP="00207915">
      <w:pPr>
        <w:bidi w:val="0"/>
        <w:rPr>
          <w:rFonts w:asciiTheme="majorBidi" w:hAnsiTheme="majorBidi" w:cstheme="majorBidi"/>
        </w:rPr>
      </w:pPr>
      <w:r w:rsidRPr="00207915">
        <w:rPr>
          <w:rFonts w:asciiTheme="majorBidi" w:hAnsiTheme="majorBidi" w:cstheme="majorBidi"/>
        </w:rPr>
        <w:t xml:space="preserve">Looking ahead, we are excited to share recent legislative developments in the form of the </w:t>
      </w:r>
      <w:r w:rsidRPr="00C46129">
        <w:rPr>
          <w:rFonts w:asciiTheme="majorBidi" w:hAnsiTheme="majorBidi" w:cstheme="majorBidi"/>
          <w:i/>
          <w:iCs/>
        </w:rPr>
        <w:t>Social Services for Persons with Disabilities Law</w:t>
      </w:r>
      <w:r w:rsidRPr="00207915">
        <w:rPr>
          <w:rFonts w:asciiTheme="majorBidi" w:hAnsiTheme="majorBidi" w:cstheme="majorBidi"/>
        </w:rPr>
        <w:t xml:space="preserve">, </w:t>
      </w:r>
      <w:r w:rsidR="00B3460F" w:rsidRPr="00207915">
        <w:rPr>
          <w:rFonts w:asciiTheme="majorBidi" w:hAnsiTheme="majorBidi" w:cstheme="majorBidi"/>
        </w:rPr>
        <w:t>adopted</w:t>
      </w:r>
      <w:r w:rsidRPr="00207915">
        <w:rPr>
          <w:rFonts w:asciiTheme="majorBidi" w:hAnsiTheme="majorBidi" w:cstheme="majorBidi"/>
        </w:rPr>
        <w:t xml:space="preserve"> by the Knesset on June 27, 2022. This Law, </w:t>
      </w:r>
      <w:r w:rsidR="000002DA" w:rsidRPr="00207915">
        <w:rPr>
          <w:rFonts w:asciiTheme="majorBidi" w:hAnsiTheme="majorBidi" w:cstheme="majorBidi"/>
        </w:rPr>
        <w:t xml:space="preserve">formulated in </w:t>
      </w:r>
      <w:r w:rsidRPr="00207915">
        <w:rPr>
          <w:rFonts w:asciiTheme="majorBidi" w:hAnsiTheme="majorBidi" w:cstheme="majorBidi"/>
        </w:rPr>
        <w:t xml:space="preserve">consultation with </w:t>
      </w:r>
      <w:r w:rsidR="006460AE" w:rsidRPr="00207915">
        <w:rPr>
          <w:rFonts w:asciiTheme="majorBidi" w:hAnsiTheme="majorBidi" w:cstheme="majorBidi"/>
        </w:rPr>
        <w:t>Academia</w:t>
      </w:r>
      <w:r w:rsidRPr="00207915">
        <w:rPr>
          <w:rFonts w:asciiTheme="majorBidi" w:hAnsiTheme="majorBidi" w:cstheme="majorBidi"/>
        </w:rPr>
        <w:t xml:space="preserve">, the Commission on Equal Rights of Persons with Disabilities, persons with disabilities, and other civil society organizations, </w:t>
      </w:r>
      <w:r w:rsidR="00EE5E19" w:rsidRPr="00207915">
        <w:rPr>
          <w:rFonts w:asciiTheme="majorBidi" w:hAnsiTheme="majorBidi" w:cstheme="majorBidi"/>
        </w:rPr>
        <w:t xml:space="preserve">establishes </w:t>
      </w:r>
      <w:r w:rsidRPr="00207915">
        <w:rPr>
          <w:rFonts w:asciiTheme="majorBidi" w:hAnsiTheme="majorBidi" w:cstheme="majorBidi"/>
        </w:rPr>
        <w:t xml:space="preserve">a comprehensive system for the provision of social services to persons with disabilities under the aegis of the Ministry of Welfare and Social </w:t>
      </w:r>
      <w:r w:rsidR="00035E73">
        <w:rPr>
          <w:rFonts w:asciiTheme="majorBidi" w:hAnsiTheme="majorBidi" w:cstheme="majorBidi"/>
        </w:rPr>
        <w:t>Affairs</w:t>
      </w:r>
      <w:r w:rsidRPr="00207915">
        <w:rPr>
          <w:rFonts w:asciiTheme="majorBidi" w:hAnsiTheme="majorBidi" w:cstheme="majorBidi"/>
        </w:rPr>
        <w:t xml:space="preserve">. The Law expressly states that services will be provided in accordance with the principles of the Convention and the </w:t>
      </w:r>
      <w:r w:rsidRPr="00C46129">
        <w:rPr>
          <w:rFonts w:asciiTheme="majorBidi" w:hAnsiTheme="majorBidi" w:cstheme="majorBidi"/>
          <w:i/>
          <w:iCs/>
        </w:rPr>
        <w:t>Equal Rights Law</w:t>
      </w:r>
      <w:r w:rsidRPr="00207915">
        <w:rPr>
          <w:rFonts w:asciiTheme="majorBidi" w:hAnsiTheme="majorBidi" w:cstheme="majorBidi"/>
        </w:rPr>
        <w:t>, plac</w:t>
      </w:r>
      <w:r w:rsidR="00EE5E19" w:rsidRPr="00207915">
        <w:rPr>
          <w:rFonts w:asciiTheme="majorBidi" w:hAnsiTheme="majorBidi" w:cstheme="majorBidi"/>
        </w:rPr>
        <w:t>ing</w:t>
      </w:r>
      <w:r w:rsidRPr="00207915">
        <w:rPr>
          <w:rFonts w:asciiTheme="majorBidi" w:hAnsiTheme="majorBidi" w:cstheme="majorBidi"/>
        </w:rPr>
        <w:t xml:space="preserve"> a strong emphasis on the active integration of persons with disabilities into the community, their right to choose appropriate services and their right to independent and autonomous living. </w:t>
      </w:r>
    </w:p>
    <w:p w14:paraId="32B2C550" w14:textId="47E32493" w:rsidR="009C6870" w:rsidRPr="00207915" w:rsidRDefault="009C6870" w:rsidP="00207915">
      <w:pPr>
        <w:bidi w:val="0"/>
        <w:rPr>
          <w:rFonts w:asciiTheme="majorBidi" w:hAnsiTheme="majorBidi" w:cstheme="majorBidi"/>
          <w:rtl/>
        </w:rPr>
      </w:pPr>
      <w:r w:rsidRPr="00207915">
        <w:rPr>
          <w:rFonts w:asciiTheme="majorBidi" w:hAnsiTheme="majorBidi" w:cstheme="majorBidi"/>
        </w:rPr>
        <w:t xml:space="preserve">In addition to general principles, the new Law contains </w:t>
      </w:r>
      <w:r w:rsidR="00B60217" w:rsidRPr="00207915">
        <w:rPr>
          <w:rFonts w:asciiTheme="majorBidi" w:hAnsiTheme="majorBidi" w:cstheme="majorBidi"/>
        </w:rPr>
        <w:t xml:space="preserve">specific </w:t>
      </w:r>
      <w:r w:rsidRPr="00207915">
        <w:rPr>
          <w:rFonts w:asciiTheme="majorBidi" w:hAnsiTheme="majorBidi" w:cstheme="majorBidi"/>
        </w:rPr>
        <w:t xml:space="preserve">provisions, such as the requirement </w:t>
      </w:r>
      <w:r w:rsidR="00B60217" w:rsidRPr="00207915">
        <w:rPr>
          <w:rFonts w:asciiTheme="majorBidi" w:hAnsiTheme="majorBidi" w:cstheme="majorBidi"/>
        </w:rPr>
        <w:t xml:space="preserve">for </w:t>
      </w:r>
      <w:r w:rsidRPr="00207915">
        <w:rPr>
          <w:rFonts w:asciiTheme="majorBidi" w:hAnsiTheme="majorBidi" w:cstheme="majorBidi"/>
        </w:rPr>
        <w:t xml:space="preserve">the Welfare and Social </w:t>
      </w:r>
      <w:r w:rsidR="00035E73">
        <w:rPr>
          <w:rFonts w:asciiTheme="majorBidi" w:hAnsiTheme="majorBidi" w:cstheme="majorBidi"/>
        </w:rPr>
        <w:t>Affairs</w:t>
      </w:r>
      <w:r w:rsidR="00035E73" w:rsidRPr="00207915">
        <w:rPr>
          <w:rFonts w:asciiTheme="majorBidi" w:hAnsiTheme="majorBidi" w:cstheme="majorBidi"/>
        </w:rPr>
        <w:t xml:space="preserve"> </w:t>
      </w:r>
      <w:r w:rsidRPr="00207915">
        <w:rPr>
          <w:rFonts w:asciiTheme="majorBidi" w:hAnsiTheme="majorBidi" w:cstheme="majorBidi"/>
        </w:rPr>
        <w:t xml:space="preserve">Minister </w:t>
      </w:r>
      <w:r w:rsidR="00B60217" w:rsidRPr="00207915">
        <w:rPr>
          <w:rFonts w:asciiTheme="majorBidi" w:hAnsiTheme="majorBidi" w:cstheme="majorBidi"/>
        </w:rPr>
        <w:t xml:space="preserve">to </w:t>
      </w:r>
      <w:r w:rsidR="005D40FB" w:rsidRPr="00207915">
        <w:rPr>
          <w:rFonts w:asciiTheme="majorBidi" w:hAnsiTheme="majorBidi" w:cstheme="majorBidi"/>
        </w:rPr>
        <w:t xml:space="preserve">formulate </w:t>
      </w:r>
      <w:r w:rsidRPr="00207915">
        <w:rPr>
          <w:rFonts w:asciiTheme="majorBidi" w:hAnsiTheme="majorBidi" w:cstheme="majorBidi"/>
        </w:rPr>
        <w:t xml:space="preserve">a plan for the transition of persons with disabilities to the community and for the gradual reduction of the scope of residency of persons with disabilities in </w:t>
      </w:r>
      <w:r w:rsidR="00B60217" w:rsidRPr="00207915">
        <w:rPr>
          <w:rFonts w:asciiTheme="majorBidi" w:hAnsiTheme="majorBidi" w:cstheme="majorBidi"/>
        </w:rPr>
        <w:t>large</w:t>
      </w:r>
      <w:r w:rsidR="00B2582A" w:rsidRPr="00207915">
        <w:rPr>
          <w:rFonts w:asciiTheme="majorBidi" w:hAnsiTheme="majorBidi" w:cstheme="majorBidi"/>
        </w:rPr>
        <w:t xml:space="preserve"> full-care facilities</w:t>
      </w:r>
      <w:r w:rsidRPr="00207915">
        <w:rPr>
          <w:rFonts w:asciiTheme="majorBidi" w:hAnsiTheme="majorBidi" w:cstheme="majorBidi"/>
        </w:rPr>
        <w:t xml:space="preserve">. </w:t>
      </w:r>
      <w:r w:rsidR="005D40FB" w:rsidRPr="00207915">
        <w:rPr>
          <w:rFonts w:asciiTheme="majorBidi" w:hAnsiTheme="majorBidi" w:cstheme="majorBidi"/>
        </w:rPr>
        <w:t>T</w:t>
      </w:r>
      <w:r w:rsidRPr="00207915">
        <w:rPr>
          <w:rFonts w:asciiTheme="majorBidi" w:hAnsiTheme="majorBidi" w:cstheme="majorBidi"/>
        </w:rPr>
        <w:t xml:space="preserve">he Minister </w:t>
      </w:r>
      <w:r w:rsidR="005D40FB" w:rsidRPr="00207915">
        <w:rPr>
          <w:rFonts w:asciiTheme="majorBidi" w:hAnsiTheme="majorBidi" w:cstheme="majorBidi"/>
        </w:rPr>
        <w:t xml:space="preserve">is </w:t>
      </w:r>
      <w:r w:rsidRPr="00207915">
        <w:rPr>
          <w:rFonts w:asciiTheme="majorBidi" w:hAnsiTheme="majorBidi" w:cstheme="majorBidi"/>
        </w:rPr>
        <w:t>oblig</w:t>
      </w:r>
      <w:r w:rsidR="005D40FB" w:rsidRPr="00207915">
        <w:rPr>
          <w:rFonts w:asciiTheme="majorBidi" w:hAnsiTheme="majorBidi" w:cstheme="majorBidi"/>
        </w:rPr>
        <w:t>ed</w:t>
      </w:r>
      <w:r w:rsidRPr="00207915">
        <w:rPr>
          <w:rFonts w:asciiTheme="majorBidi" w:hAnsiTheme="majorBidi" w:cstheme="majorBidi"/>
        </w:rPr>
        <w:t xml:space="preserve"> to report</w:t>
      </w:r>
      <w:r w:rsidR="005D40FB" w:rsidRPr="00207915">
        <w:rPr>
          <w:rFonts w:asciiTheme="majorBidi" w:hAnsiTheme="majorBidi" w:cstheme="majorBidi"/>
        </w:rPr>
        <w:t xml:space="preserve"> annually</w:t>
      </w:r>
      <w:r w:rsidRPr="00207915">
        <w:rPr>
          <w:rFonts w:asciiTheme="majorBidi" w:hAnsiTheme="majorBidi" w:cstheme="majorBidi"/>
        </w:rPr>
        <w:t xml:space="preserve"> to the Knesset on implementation</w:t>
      </w:r>
      <w:r w:rsidR="005D40FB" w:rsidRPr="00207915">
        <w:rPr>
          <w:rFonts w:asciiTheme="majorBidi" w:hAnsiTheme="majorBidi" w:cstheme="majorBidi"/>
        </w:rPr>
        <w:t xml:space="preserve"> of the plan</w:t>
      </w:r>
      <w:r w:rsidRPr="00207915">
        <w:rPr>
          <w:rFonts w:asciiTheme="majorBidi" w:hAnsiTheme="majorBidi" w:cstheme="majorBidi"/>
        </w:rPr>
        <w:t xml:space="preserve">. </w:t>
      </w:r>
    </w:p>
    <w:p w14:paraId="0F48691B" w14:textId="0CBB46DF" w:rsidR="009C6870" w:rsidRPr="00207915" w:rsidRDefault="009C6870" w:rsidP="00207915">
      <w:pPr>
        <w:bidi w:val="0"/>
        <w:rPr>
          <w:rFonts w:asciiTheme="majorBidi" w:hAnsiTheme="majorBidi" w:cstheme="majorBidi"/>
        </w:rPr>
      </w:pPr>
      <w:r w:rsidRPr="00207915">
        <w:rPr>
          <w:rFonts w:asciiTheme="majorBidi" w:hAnsiTheme="majorBidi" w:cstheme="majorBidi"/>
        </w:rPr>
        <w:t xml:space="preserve">With this combination of general and </w:t>
      </w:r>
      <w:r w:rsidR="00B60217" w:rsidRPr="00207915">
        <w:rPr>
          <w:rFonts w:asciiTheme="majorBidi" w:hAnsiTheme="majorBidi" w:cstheme="majorBidi"/>
        </w:rPr>
        <w:t xml:space="preserve">specific </w:t>
      </w:r>
      <w:r w:rsidRPr="00207915">
        <w:rPr>
          <w:rFonts w:asciiTheme="majorBidi" w:hAnsiTheme="majorBidi" w:cstheme="majorBidi"/>
        </w:rPr>
        <w:t xml:space="preserve">provisions echoing the Convention, and </w:t>
      </w:r>
      <w:r w:rsidR="00B60217" w:rsidRPr="00207915">
        <w:rPr>
          <w:rFonts w:asciiTheme="majorBidi" w:hAnsiTheme="majorBidi" w:cstheme="majorBidi"/>
        </w:rPr>
        <w:t xml:space="preserve">its </w:t>
      </w:r>
      <w:r w:rsidRPr="00207915">
        <w:rPr>
          <w:rFonts w:asciiTheme="majorBidi" w:hAnsiTheme="majorBidi" w:cstheme="majorBidi"/>
        </w:rPr>
        <w:t xml:space="preserve">entry into force in January 2024, the new </w:t>
      </w:r>
      <w:r w:rsidRPr="00C46129">
        <w:rPr>
          <w:rFonts w:asciiTheme="majorBidi" w:hAnsiTheme="majorBidi" w:cstheme="majorBidi"/>
          <w:i/>
          <w:iCs/>
        </w:rPr>
        <w:t>Social Services Law</w:t>
      </w:r>
      <w:r w:rsidRPr="00207915">
        <w:rPr>
          <w:rFonts w:asciiTheme="majorBidi" w:hAnsiTheme="majorBidi" w:cstheme="majorBidi"/>
        </w:rPr>
        <w:t xml:space="preserve"> represents a significant leap forward in advancing the equality of persons with disabilities in Israeli society. </w:t>
      </w:r>
    </w:p>
    <w:p w14:paraId="49591728" w14:textId="77777777" w:rsidR="00035E73" w:rsidRDefault="00035E73" w:rsidP="00207915">
      <w:pPr>
        <w:bidi w:val="0"/>
        <w:rPr>
          <w:rFonts w:asciiTheme="majorBidi" w:hAnsiTheme="majorBidi" w:cstheme="majorBidi"/>
        </w:rPr>
      </w:pPr>
    </w:p>
    <w:p w14:paraId="1D53875A" w14:textId="77777777" w:rsidR="00035E73" w:rsidRDefault="00035E73" w:rsidP="00035E73">
      <w:pPr>
        <w:bidi w:val="0"/>
        <w:rPr>
          <w:rFonts w:asciiTheme="majorBidi" w:hAnsiTheme="majorBidi" w:cstheme="majorBidi"/>
        </w:rPr>
      </w:pPr>
      <w:r>
        <w:rPr>
          <w:rFonts w:asciiTheme="majorBidi" w:hAnsiTheme="majorBidi" w:cstheme="majorBidi"/>
        </w:rPr>
        <w:t>**********</w:t>
      </w:r>
    </w:p>
    <w:p w14:paraId="67F4D885" w14:textId="4CBD82E6" w:rsidR="009C6870" w:rsidRPr="00207915" w:rsidRDefault="009C6870" w:rsidP="00035E73">
      <w:pPr>
        <w:bidi w:val="0"/>
        <w:rPr>
          <w:rFonts w:asciiTheme="majorBidi" w:hAnsiTheme="majorBidi" w:cstheme="majorBidi"/>
        </w:rPr>
      </w:pPr>
      <w:r w:rsidRPr="00207915">
        <w:rPr>
          <w:rFonts w:asciiTheme="majorBidi" w:hAnsiTheme="majorBidi" w:cstheme="majorBidi"/>
        </w:rPr>
        <w:t>Ms. Chairperson,</w:t>
      </w:r>
    </w:p>
    <w:p w14:paraId="7EADA535" w14:textId="77777777" w:rsidR="00035E73" w:rsidRDefault="009C6870" w:rsidP="00035E73">
      <w:pPr>
        <w:bidi w:val="0"/>
        <w:rPr>
          <w:rFonts w:asciiTheme="majorBidi" w:hAnsiTheme="majorBidi" w:cstheme="majorBidi"/>
        </w:rPr>
      </w:pPr>
      <w:r w:rsidRPr="00207915">
        <w:rPr>
          <w:rFonts w:asciiTheme="majorBidi" w:hAnsiTheme="majorBidi" w:cstheme="majorBidi"/>
        </w:rPr>
        <w:t xml:space="preserve">As I conclude my opening remarks, I express our deepest gratitude for the opportunity to present Israel's progress and efforts in promoting the rights of persons with disabilities. We </w:t>
      </w:r>
      <w:r w:rsidR="00B60217" w:rsidRPr="00207915">
        <w:rPr>
          <w:rFonts w:asciiTheme="majorBidi" w:hAnsiTheme="majorBidi" w:cstheme="majorBidi"/>
        </w:rPr>
        <w:t xml:space="preserve">remain </w:t>
      </w:r>
      <w:r w:rsidRPr="00207915">
        <w:rPr>
          <w:rFonts w:asciiTheme="majorBidi" w:hAnsiTheme="majorBidi" w:cstheme="majorBidi"/>
        </w:rPr>
        <w:t xml:space="preserve">acutely aware that challenges persist and that the </w:t>
      </w:r>
      <w:r w:rsidR="00B60217" w:rsidRPr="00207915">
        <w:rPr>
          <w:rFonts w:asciiTheme="majorBidi" w:hAnsiTheme="majorBidi" w:cstheme="majorBidi"/>
        </w:rPr>
        <w:t xml:space="preserve">journey </w:t>
      </w:r>
      <w:r w:rsidRPr="00207915">
        <w:rPr>
          <w:rFonts w:asciiTheme="majorBidi" w:hAnsiTheme="majorBidi" w:cstheme="majorBidi"/>
        </w:rPr>
        <w:t>to</w:t>
      </w:r>
      <w:r w:rsidR="00B60217" w:rsidRPr="00207915">
        <w:rPr>
          <w:rFonts w:asciiTheme="majorBidi" w:hAnsiTheme="majorBidi" w:cstheme="majorBidi"/>
        </w:rPr>
        <w:t>ward</w:t>
      </w:r>
      <w:r w:rsidRPr="00207915">
        <w:rPr>
          <w:rFonts w:asciiTheme="majorBidi" w:hAnsiTheme="majorBidi" w:cstheme="majorBidi"/>
        </w:rPr>
        <w:t xml:space="preserve"> full inclusion is ongoing. </w:t>
      </w:r>
    </w:p>
    <w:p w14:paraId="37234A7F" w14:textId="6ABA0DBB" w:rsidR="009C6870" w:rsidRPr="00207915" w:rsidRDefault="009C6870" w:rsidP="00035E73">
      <w:pPr>
        <w:bidi w:val="0"/>
        <w:rPr>
          <w:rFonts w:asciiTheme="majorBidi" w:hAnsiTheme="majorBidi" w:cstheme="majorBidi"/>
        </w:rPr>
      </w:pPr>
      <w:r w:rsidRPr="00207915">
        <w:rPr>
          <w:rFonts w:asciiTheme="majorBidi" w:hAnsiTheme="majorBidi" w:cstheme="majorBidi"/>
        </w:rPr>
        <w:t>We highly value the guidance and expertise of this</w:t>
      </w:r>
      <w:r w:rsidR="00B60217" w:rsidRPr="00207915">
        <w:rPr>
          <w:rFonts w:asciiTheme="majorBidi" w:hAnsiTheme="majorBidi" w:cstheme="majorBidi"/>
        </w:rPr>
        <w:t xml:space="preserve"> esteemed</w:t>
      </w:r>
      <w:r w:rsidRPr="00207915">
        <w:rPr>
          <w:rFonts w:asciiTheme="majorBidi" w:hAnsiTheme="majorBidi" w:cstheme="majorBidi"/>
        </w:rPr>
        <w:t xml:space="preserve"> committee and are fully committed to </w:t>
      </w:r>
      <w:r w:rsidR="00B60217" w:rsidRPr="00207915">
        <w:rPr>
          <w:rFonts w:asciiTheme="majorBidi" w:hAnsiTheme="majorBidi" w:cstheme="majorBidi"/>
        </w:rPr>
        <w:t xml:space="preserve">fostering </w:t>
      </w:r>
      <w:r w:rsidRPr="00207915">
        <w:rPr>
          <w:rFonts w:asciiTheme="majorBidi" w:hAnsiTheme="majorBidi" w:cstheme="majorBidi"/>
        </w:rPr>
        <w:t xml:space="preserve">continued dialogue, collaboration, and learning. </w:t>
      </w:r>
    </w:p>
    <w:p w14:paraId="5FEDBE5B" w14:textId="77777777" w:rsidR="009C6870" w:rsidRPr="00207915" w:rsidRDefault="009C6870" w:rsidP="00207915">
      <w:pPr>
        <w:bidi w:val="0"/>
        <w:rPr>
          <w:rFonts w:asciiTheme="majorBidi" w:hAnsiTheme="majorBidi" w:cstheme="majorBidi"/>
        </w:rPr>
      </w:pPr>
      <w:r w:rsidRPr="00207915">
        <w:rPr>
          <w:rFonts w:asciiTheme="majorBidi" w:hAnsiTheme="majorBidi" w:cstheme="majorBidi"/>
        </w:rPr>
        <w:t>Thank you for your kind attention.</w:t>
      </w:r>
    </w:p>
    <w:p w14:paraId="3EAC8931" w14:textId="77777777" w:rsidR="00A772F4" w:rsidRPr="00207915" w:rsidRDefault="00A772F4" w:rsidP="00207915">
      <w:pPr>
        <w:bidi w:val="0"/>
        <w:rPr>
          <w:rFonts w:asciiTheme="majorBidi" w:hAnsiTheme="majorBidi" w:cstheme="majorBidi"/>
        </w:rPr>
      </w:pPr>
    </w:p>
    <w:p w14:paraId="7C17F85C" w14:textId="77777777" w:rsidR="00A772F4" w:rsidRPr="00207915" w:rsidRDefault="00A772F4" w:rsidP="00207915">
      <w:pPr>
        <w:rPr>
          <w:rFonts w:asciiTheme="majorBidi" w:hAnsiTheme="majorBidi" w:cstheme="majorBidi"/>
          <w:rtl/>
        </w:rPr>
      </w:pPr>
    </w:p>
    <w:p w14:paraId="3E9FE047" w14:textId="77777777" w:rsidR="00A772F4" w:rsidRPr="00207915" w:rsidRDefault="00A772F4" w:rsidP="00207915">
      <w:pPr>
        <w:rPr>
          <w:rFonts w:asciiTheme="majorBidi" w:hAnsiTheme="majorBidi" w:cstheme="majorBidi"/>
          <w:rtl/>
        </w:rPr>
      </w:pPr>
    </w:p>
    <w:p w14:paraId="166BCB34" w14:textId="77777777" w:rsidR="00F37CD6" w:rsidRPr="00207915" w:rsidRDefault="00F37CD6" w:rsidP="00207915">
      <w:pPr>
        <w:rPr>
          <w:rFonts w:asciiTheme="majorBidi" w:hAnsiTheme="majorBidi" w:cstheme="majorBidi"/>
          <w:rtl/>
        </w:rPr>
      </w:pPr>
    </w:p>
    <w:p w14:paraId="405F4156" w14:textId="77777777" w:rsidR="00F37CD6" w:rsidRPr="00207915" w:rsidRDefault="00F37CD6" w:rsidP="00207915">
      <w:pPr>
        <w:rPr>
          <w:rFonts w:asciiTheme="majorBidi" w:hAnsiTheme="majorBidi" w:cstheme="majorBidi"/>
          <w:rtl/>
        </w:rPr>
      </w:pPr>
    </w:p>
    <w:p w14:paraId="77A8A711" w14:textId="77777777" w:rsidR="00BF5D7B" w:rsidRPr="00207915" w:rsidRDefault="00BF5D7B" w:rsidP="00207915">
      <w:pPr>
        <w:rPr>
          <w:rFonts w:asciiTheme="majorBidi" w:hAnsiTheme="majorBidi" w:cstheme="majorBidi"/>
          <w:rtl/>
        </w:rPr>
      </w:pPr>
    </w:p>
    <w:p w14:paraId="0708817C" w14:textId="77777777" w:rsidR="005C5F10" w:rsidRPr="00207915" w:rsidRDefault="005C5F10">
      <w:pPr>
        <w:rPr>
          <w:rFonts w:asciiTheme="majorBidi" w:hAnsiTheme="majorBidi" w:cstheme="majorBidi"/>
        </w:rPr>
      </w:pPr>
    </w:p>
    <w:sectPr w:rsidR="005C5F10" w:rsidRPr="00207915" w:rsidSect="0089755E">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701" w:left="1797" w:header="720" w:footer="498" w:gutter="0"/>
      <w:paperSrc w:first="1" w:other="1"/>
      <w:cols w:space="720"/>
      <w:titlePg/>
      <w:bidi/>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66135" w14:textId="77777777" w:rsidR="00707242" w:rsidRDefault="00707242">
      <w:pPr>
        <w:spacing w:line="240" w:lineRule="auto"/>
      </w:pPr>
      <w:r>
        <w:separator/>
      </w:r>
    </w:p>
  </w:endnote>
  <w:endnote w:type="continuationSeparator" w:id="0">
    <w:p w14:paraId="3337D0E5" w14:textId="77777777" w:rsidR="00707242" w:rsidRDefault="007072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Narkisim">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5C12" w14:textId="77777777" w:rsidR="00C71C40" w:rsidRDefault="00AD5BEB">
    <w:pPr>
      <w:pStyle w:val="Footer"/>
      <w:framePr w:wrap="around" w:vAnchor="text" w:hAnchor="margin" w:xAlign="center" w:y="1"/>
      <w:rPr>
        <w:rStyle w:val="PageNumber"/>
        <w:rtl/>
      </w:rPr>
    </w:pPr>
    <w:r>
      <w:rPr>
        <w:rStyle w:val="PageNumber"/>
        <w:rtl/>
      </w:rPr>
      <w:fldChar w:fldCharType="begin"/>
    </w:r>
    <w:r>
      <w:rPr>
        <w:rStyle w:val="PageNumber"/>
      </w:rPr>
      <w:instrText xml:space="preserve">PAGE  </w:instrText>
    </w:r>
    <w:r>
      <w:rPr>
        <w:rStyle w:val="PageNumber"/>
        <w:rtl/>
      </w:rPr>
      <w:fldChar w:fldCharType="separate"/>
    </w:r>
    <w:r>
      <w:rPr>
        <w:rStyle w:val="PageNumber"/>
        <w:rtl/>
      </w:rPr>
      <w:t>1</w:t>
    </w:r>
    <w:r>
      <w:rPr>
        <w:rStyle w:val="PageNumber"/>
        <w:rtl/>
      </w:rPr>
      <w:fldChar w:fldCharType="end"/>
    </w:r>
  </w:p>
  <w:p w14:paraId="3C58F049" w14:textId="77777777" w:rsidR="00C71C40" w:rsidRDefault="00450D54">
    <w:pPr>
      <w:pStyle w:val="Footer"/>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981D8" w14:textId="2CD60735" w:rsidR="00C71C40" w:rsidRPr="00752E77" w:rsidRDefault="00AD5BEB">
    <w:pPr>
      <w:pStyle w:val="Footer"/>
      <w:jc w:val="center"/>
      <w:rPr>
        <w:rtl/>
      </w:rPr>
    </w:pPr>
    <w:r w:rsidRPr="00752E77">
      <w:rPr>
        <w:rStyle w:val="PageNumber"/>
        <w:rtl/>
      </w:rPr>
      <w:fldChar w:fldCharType="begin"/>
    </w:r>
    <w:r w:rsidRPr="00752E77">
      <w:rPr>
        <w:rStyle w:val="PageNumber"/>
        <w:rtl/>
      </w:rPr>
      <w:instrText xml:space="preserve"> </w:instrText>
    </w:r>
    <w:r w:rsidRPr="00752E77">
      <w:rPr>
        <w:rStyle w:val="PageNumber"/>
      </w:rPr>
      <w:instrText>PAGE</w:instrText>
    </w:r>
    <w:r w:rsidRPr="00752E77">
      <w:rPr>
        <w:rStyle w:val="PageNumber"/>
        <w:rtl/>
      </w:rPr>
      <w:instrText xml:space="preserve"> </w:instrText>
    </w:r>
    <w:r w:rsidRPr="00752E77">
      <w:rPr>
        <w:rStyle w:val="PageNumber"/>
        <w:rtl/>
      </w:rPr>
      <w:fldChar w:fldCharType="separate"/>
    </w:r>
    <w:r w:rsidR="00BA02BE">
      <w:rPr>
        <w:rStyle w:val="PageNumber"/>
        <w:noProof/>
        <w:rtl/>
      </w:rPr>
      <w:t>5</w:t>
    </w:r>
    <w:r w:rsidRPr="00752E77">
      <w:rPr>
        <w:rStyle w:val="PageNumbe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E354E" w14:textId="77777777" w:rsidR="00C177F0" w:rsidRDefault="00C177F0" w:rsidP="00E4544E">
    <w:pPr>
      <w:pStyle w:val="Footer"/>
      <w:tabs>
        <w:tab w:val="clear" w:pos="4153"/>
        <w:tab w:val="left" w:pos="1366"/>
        <w:tab w:val="left" w:leader="underscore" w:pos="7036"/>
      </w:tabs>
      <w:spacing w:line="276" w:lineRule="auto"/>
      <w:jc w:val="center"/>
      <w:rPr>
        <w:rtl/>
      </w:rPr>
    </w:pPr>
    <w:r>
      <w:rPr>
        <w:rtl/>
      </w:rPr>
      <w:t>__________________________________________________________</w:t>
    </w:r>
  </w:p>
  <w:p w14:paraId="70AFABA1" w14:textId="77777777" w:rsidR="00A12713" w:rsidRPr="00C177F0" w:rsidRDefault="000C0947" w:rsidP="00E4544E">
    <w:pPr>
      <w:pStyle w:val="Footer"/>
      <w:spacing w:line="276" w:lineRule="auto"/>
      <w:jc w:val="center"/>
      <w:rPr>
        <w:rtl/>
      </w:rPr>
    </w:pPr>
    <w:r>
      <w:rPr>
        <w:rFonts w:hint="cs"/>
        <w:rtl/>
      </w:rPr>
      <w:t>דרך מנחם בגין</w:t>
    </w:r>
    <w:r w:rsidR="00C177F0" w:rsidRPr="00CE719E">
      <w:rPr>
        <w:rtl/>
      </w:rPr>
      <w:t xml:space="preserve"> </w:t>
    </w:r>
    <w:r>
      <w:rPr>
        <w:rFonts w:hint="cs"/>
        <w:rtl/>
      </w:rPr>
      <w:t>125</w:t>
    </w:r>
    <w:r w:rsidR="00C177F0" w:rsidRPr="00CE719E">
      <w:rPr>
        <w:rtl/>
      </w:rPr>
      <w:t xml:space="preserve">, ת.ד. </w:t>
    </w:r>
    <w:r>
      <w:rPr>
        <w:rFonts w:hint="cs"/>
        <w:rtl/>
      </w:rPr>
      <w:t>7377</w:t>
    </w:r>
    <w:r w:rsidR="00C177F0" w:rsidRPr="00CE719E">
      <w:rPr>
        <w:rtl/>
      </w:rPr>
      <w:t xml:space="preserve"> תל אביב 6</w:t>
    </w:r>
    <w:r>
      <w:rPr>
        <w:rFonts w:hint="cs"/>
        <w:rtl/>
      </w:rPr>
      <w:t>7012</w:t>
    </w:r>
    <w:r w:rsidR="00CB771F">
      <w:rPr>
        <w:rFonts w:hint="cs"/>
        <w:rtl/>
      </w:rPr>
      <w:t>01</w:t>
    </w:r>
    <w:r w:rsidR="00C177F0" w:rsidRPr="00CE719E">
      <w:rPr>
        <w:rtl/>
      </w:rPr>
      <w:t xml:space="preserve"> טל'</w:t>
    </w:r>
    <w:r w:rsidR="00AC05AC">
      <w:rPr>
        <w:rFonts w:hint="cs"/>
        <w:rtl/>
      </w:rPr>
      <w:t xml:space="preserve"> 073-3928</w:t>
    </w:r>
    <w:r w:rsidR="00CB771F">
      <w:rPr>
        <w:rFonts w:hint="cs"/>
        <w:rtl/>
      </w:rPr>
      <w:t>752</w:t>
    </w:r>
    <w:r w:rsidR="00AC05AC">
      <w:rPr>
        <w:rFonts w:hint="cs"/>
        <w:rtl/>
      </w:rPr>
      <w:t xml:space="preserve"> </w:t>
    </w:r>
    <w:r w:rsidR="00C177F0" w:rsidRPr="00CE719E">
      <w:rPr>
        <w:rtl/>
      </w:rPr>
      <w:t>פקס</w:t>
    </w:r>
    <w:r w:rsidR="00AC05AC">
      <w:rPr>
        <w:rFonts w:hint="cs"/>
        <w:rtl/>
      </w:rPr>
      <w:t xml:space="preserve"> 073-3928726</w:t>
    </w:r>
    <w:r w:rsidR="00C177F0" w:rsidRPr="00CE719E">
      <w:rPr>
        <w:rtl/>
      </w:rPr>
      <w:t xml:space="preserve"> </w:t>
    </w:r>
    <w:r w:rsidR="00C177F0" w:rsidRPr="00CE719E">
      <w:rPr>
        <w:rtl/>
      </w:rPr>
      <w:br/>
    </w:r>
    <w:r w:rsidR="00C177F0">
      <w:t xml:space="preserve">P.O. Box </w:t>
    </w:r>
    <w:r>
      <w:t>7377</w:t>
    </w:r>
    <w:r w:rsidR="00C177F0">
      <w:t xml:space="preserve"> Tel-Aviv 6</w:t>
    </w:r>
    <w:r>
      <w:t>7012</w:t>
    </w:r>
    <w:r w:rsidR="00CB771F">
      <w:t>01</w:t>
    </w:r>
    <w:r w:rsidR="00C177F0">
      <w:t xml:space="preserve"> Tel: 972-</w:t>
    </w:r>
    <w:r w:rsidR="00AC05AC">
      <w:t>7</w:t>
    </w:r>
    <w:r w:rsidR="00C177F0">
      <w:t>3-</w:t>
    </w:r>
    <w:r w:rsidR="00CB771F">
      <w:t>3928752</w:t>
    </w:r>
    <w:r w:rsidR="00C177F0">
      <w:t xml:space="preserve"> Fax: 972-</w:t>
    </w:r>
    <w:r w:rsidR="00AC05AC">
      <w:t>7</w:t>
    </w:r>
    <w:r w:rsidR="00C177F0">
      <w:t>3-</w:t>
    </w:r>
    <w:r w:rsidR="00AC05AC">
      <w:t>3928726</w:t>
    </w:r>
    <w:r w:rsidR="00E4544E">
      <w:br/>
    </w:r>
    <w:r w:rsidR="00C177F0">
      <w:t xml:space="preserve">E-Mail: </w:t>
    </w:r>
    <w:hyperlink r:id="rId1" w:history="1">
      <w:r w:rsidR="00C177F0" w:rsidRPr="00C177F0">
        <w:rPr>
          <w:rStyle w:val="Hyperlink"/>
          <w:color w:val="0000FF"/>
          <w:u w:val="single"/>
        </w:rPr>
        <w:t>international@justice.gov.il</w:t>
      </w:r>
    </w:hyperlink>
    <w:r w:rsidR="00C177F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C101C" w14:textId="77777777" w:rsidR="00707242" w:rsidRDefault="00707242">
      <w:pPr>
        <w:spacing w:line="240" w:lineRule="auto"/>
      </w:pPr>
      <w:r>
        <w:separator/>
      </w:r>
    </w:p>
  </w:footnote>
  <w:footnote w:type="continuationSeparator" w:id="0">
    <w:p w14:paraId="0279D899" w14:textId="77777777" w:rsidR="00707242" w:rsidRDefault="007072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10207" w:type="dxa"/>
      <w:tblInd w:w="-937" w:type="dxa"/>
      <w:tblLayout w:type="fixed"/>
      <w:tblLook w:val="0000" w:firstRow="0" w:lastRow="0" w:firstColumn="0" w:lastColumn="0" w:noHBand="0" w:noVBand="0"/>
    </w:tblPr>
    <w:tblGrid>
      <w:gridCol w:w="5387"/>
      <w:gridCol w:w="4820"/>
    </w:tblGrid>
    <w:tr w:rsidR="00E4544E" w:rsidRPr="00493703" w14:paraId="742535E8" w14:textId="77777777" w:rsidTr="004279FE">
      <w:trPr>
        <w:trHeight w:val="709"/>
      </w:trPr>
      <w:tc>
        <w:tcPr>
          <w:tcW w:w="5387" w:type="dxa"/>
          <w:vAlign w:val="center"/>
        </w:tcPr>
        <w:p w14:paraId="4E4187F8" w14:textId="77777777" w:rsidR="00E4544E" w:rsidRPr="00493703" w:rsidRDefault="00E4544E" w:rsidP="00E4544E">
          <w:pPr>
            <w:pStyle w:val="Header"/>
            <w:spacing w:line="240" w:lineRule="auto"/>
            <w:jc w:val="center"/>
            <w:rPr>
              <w:spacing w:val="60"/>
              <w:szCs w:val="28"/>
              <w:rtl/>
            </w:rPr>
          </w:pPr>
          <w:r w:rsidRPr="003B64FD">
            <w:rPr>
              <w:b/>
              <w:bCs/>
              <w:rtl/>
            </w:rPr>
            <w:t>המשנה ליוע</w:t>
          </w:r>
          <w:r>
            <w:rPr>
              <w:rFonts w:hint="cs"/>
              <w:b/>
              <w:bCs/>
              <w:rtl/>
            </w:rPr>
            <w:t>צת</w:t>
          </w:r>
          <w:r w:rsidRPr="003B64FD">
            <w:rPr>
              <w:b/>
              <w:bCs/>
              <w:rtl/>
            </w:rPr>
            <w:t xml:space="preserve"> המשפטי</w:t>
          </w:r>
          <w:r>
            <w:rPr>
              <w:rFonts w:hint="cs"/>
              <w:b/>
              <w:bCs/>
              <w:rtl/>
            </w:rPr>
            <w:t>ת</w:t>
          </w:r>
          <w:r w:rsidRPr="003B64FD">
            <w:rPr>
              <w:b/>
              <w:bCs/>
              <w:rtl/>
            </w:rPr>
            <w:t xml:space="preserve"> לממשלה (משפט בין-לאומי)</w:t>
          </w:r>
        </w:p>
      </w:tc>
      <w:tc>
        <w:tcPr>
          <w:tcW w:w="4820" w:type="dxa"/>
          <w:vAlign w:val="center"/>
        </w:tcPr>
        <w:p w14:paraId="430A106E" w14:textId="77777777" w:rsidR="00E4544E" w:rsidRPr="002A7060" w:rsidRDefault="00E4544E" w:rsidP="00E4544E">
          <w:pPr>
            <w:pStyle w:val="Header"/>
            <w:bidi w:val="0"/>
            <w:spacing w:line="240" w:lineRule="auto"/>
            <w:jc w:val="center"/>
            <w:rPr>
              <w:spacing w:val="60"/>
              <w:sz w:val="22"/>
              <w:szCs w:val="28"/>
            </w:rPr>
          </w:pPr>
          <w:r>
            <w:rPr>
              <w:rFonts w:eastAsiaTheme="minorHAnsi" w:cs="Times New Roman"/>
              <w:b/>
              <w:bCs/>
              <w:sz w:val="22"/>
              <w:szCs w:val="22"/>
              <w:lang w:eastAsia="en-US"/>
            </w:rPr>
            <w:t>Deputy Attorney General (International Law)</w:t>
          </w:r>
        </w:p>
      </w:tc>
    </w:tr>
  </w:tbl>
  <w:p w14:paraId="5291FF57" w14:textId="77777777" w:rsidR="00C71C40" w:rsidRPr="005502F1" w:rsidRDefault="00450D54" w:rsidP="00E4544E">
    <w:pPr>
      <w:pStyle w:val="Header"/>
      <w:rPr>
        <w:rt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B410A" w14:textId="77777777" w:rsidR="006E51A7" w:rsidRDefault="006E51A7" w:rsidP="00F62943">
    <w:pPr>
      <w:pStyle w:val="NoSpacing"/>
      <w:jc w:val="center"/>
      <w:rPr>
        <w:b/>
        <w:bCs/>
        <w:spacing w:val="60"/>
        <w:szCs w:val="28"/>
        <w:rtl/>
      </w:rPr>
    </w:pPr>
    <w:r>
      <w:object w:dxaOrig="1319" w:dyaOrig="1205" w14:anchorId="05F15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0.5pt">
          <v:imagedata r:id="rId1" o:title=""/>
        </v:shape>
        <o:OLEObject Type="Embed" ProgID="Word.Picture.8" ShapeID="_x0000_i1025" DrawAspect="Content" ObjectID="_1754231567" r:id="rId2"/>
      </w:object>
    </w:r>
  </w:p>
  <w:p w14:paraId="79EAE8E8" w14:textId="77777777" w:rsidR="006E51A7" w:rsidRPr="00493703" w:rsidRDefault="006E51A7" w:rsidP="00F62943">
    <w:pPr>
      <w:pStyle w:val="NoSpacing"/>
      <w:jc w:val="center"/>
      <w:rPr>
        <w:b/>
        <w:bCs/>
        <w:spacing w:val="60"/>
        <w:szCs w:val="28"/>
        <w:rtl/>
      </w:rPr>
    </w:pPr>
    <w:r w:rsidRPr="00493703">
      <w:rPr>
        <w:b/>
        <w:bCs/>
        <w:spacing w:val="60"/>
        <w:szCs w:val="28"/>
        <w:rtl/>
      </w:rPr>
      <w:t>מדינת ישראל</w:t>
    </w:r>
  </w:p>
  <w:p w14:paraId="43F60909" w14:textId="77777777" w:rsidR="006E51A7" w:rsidRPr="00493703" w:rsidRDefault="006E51A7" w:rsidP="00F62943">
    <w:pPr>
      <w:pStyle w:val="NoSpacing"/>
      <w:jc w:val="center"/>
      <w:rPr>
        <w:b/>
        <w:bCs/>
        <w:spacing w:val="60"/>
        <w:szCs w:val="28"/>
      </w:rPr>
    </w:pPr>
    <w:r w:rsidRPr="00493703">
      <w:rPr>
        <w:b/>
        <w:bCs/>
        <w:spacing w:val="60"/>
        <w:szCs w:val="28"/>
        <w:rtl/>
      </w:rPr>
      <w:t>משרד המשפטים</w:t>
    </w:r>
  </w:p>
  <w:p w14:paraId="50C588BE" w14:textId="77777777" w:rsidR="006E51A7" w:rsidRPr="00493703" w:rsidRDefault="006E51A7" w:rsidP="00F62943">
    <w:pPr>
      <w:pStyle w:val="NoSpacing"/>
      <w:bidi w:val="0"/>
      <w:jc w:val="center"/>
      <w:rPr>
        <w:b/>
        <w:bCs/>
        <w:spacing w:val="60"/>
        <w:szCs w:val="28"/>
      </w:rPr>
    </w:pPr>
    <w:r w:rsidRPr="00493703">
      <w:rPr>
        <w:b/>
        <w:bCs/>
        <w:spacing w:val="60"/>
        <w:szCs w:val="28"/>
      </w:rPr>
      <w:t xml:space="preserve">State of </w:t>
    </w:r>
    <w:smartTag w:uri="schemas-workshare-com/workshare" w:element="PolicySmartTags.CWSPolicyTagAction_6">
      <w:smartTag w:uri="urn:schemas-microsoft-com:office:smarttags" w:element="place">
        <w:r w:rsidRPr="00493703">
          <w:rPr>
            <w:b/>
            <w:bCs/>
            <w:spacing w:val="60"/>
            <w:szCs w:val="28"/>
          </w:rPr>
          <w:t>Israel</w:t>
        </w:r>
      </w:smartTag>
    </w:smartTag>
  </w:p>
  <w:p w14:paraId="451BBF22" w14:textId="77777777" w:rsidR="006E51A7" w:rsidRPr="00493703" w:rsidRDefault="006E51A7" w:rsidP="00F62943">
    <w:pPr>
      <w:pStyle w:val="NoSpacing"/>
      <w:bidi w:val="0"/>
      <w:jc w:val="center"/>
      <w:rPr>
        <w:b/>
        <w:bCs/>
        <w:spacing w:val="60"/>
        <w:szCs w:val="28"/>
      </w:rPr>
    </w:pPr>
    <w:r w:rsidRPr="00493703">
      <w:rPr>
        <w:b/>
        <w:bCs/>
        <w:spacing w:val="60"/>
        <w:szCs w:val="28"/>
      </w:rPr>
      <w:t>Ministry of Justice</w:t>
    </w:r>
  </w:p>
  <w:p w14:paraId="54805A96" w14:textId="77777777" w:rsidR="006E51A7" w:rsidRPr="00493703" w:rsidRDefault="006E51A7" w:rsidP="00F62943">
    <w:pPr>
      <w:pStyle w:val="NoSpacing"/>
      <w:jc w:val="center"/>
      <w:rPr>
        <w:b/>
        <w:bCs/>
        <w:spacing w:val="60"/>
        <w:szCs w:val="28"/>
        <w:rtl/>
      </w:rPr>
    </w:pPr>
  </w:p>
  <w:tbl>
    <w:tblPr>
      <w:bidiVisual/>
      <w:tblW w:w="10207" w:type="dxa"/>
      <w:tblInd w:w="-937" w:type="dxa"/>
      <w:tblLayout w:type="fixed"/>
      <w:tblLook w:val="0000" w:firstRow="0" w:lastRow="0" w:firstColumn="0" w:lastColumn="0" w:noHBand="0" w:noVBand="0"/>
    </w:tblPr>
    <w:tblGrid>
      <w:gridCol w:w="5387"/>
      <w:gridCol w:w="4820"/>
    </w:tblGrid>
    <w:tr w:rsidR="00F62943" w:rsidRPr="00493703" w14:paraId="3016BC28" w14:textId="77777777" w:rsidTr="00F62943">
      <w:trPr>
        <w:trHeight w:val="709"/>
      </w:trPr>
      <w:tc>
        <w:tcPr>
          <w:tcW w:w="5387" w:type="dxa"/>
          <w:vAlign w:val="center"/>
        </w:tcPr>
        <w:p w14:paraId="5B200129" w14:textId="77777777" w:rsidR="00F62943" w:rsidRPr="00493703" w:rsidRDefault="00F62943" w:rsidP="00F62943">
          <w:pPr>
            <w:pStyle w:val="Header"/>
            <w:spacing w:line="240" w:lineRule="auto"/>
            <w:jc w:val="center"/>
            <w:rPr>
              <w:spacing w:val="60"/>
              <w:szCs w:val="28"/>
              <w:rtl/>
            </w:rPr>
          </w:pPr>
          <w:r w:rsidRPr="003B64FD">
            <w:rPr>
              <w:b/>
              <w:bCs/>
              <w:rtl/>
            </w:rPr>
            <w:t>המשנה ליוע</w:t>
          </w:r>
          <w:r>
            <w:rPr>
              <w:rFonts w:hint="cs"/>
              <w:b/>
              <w:bCs/>
              <w:rtl/>
            </w:rPr>
            <w:t>צת</w:t>
          </w:r>
          <w:r w:rsidRPr="003B64FD">
            <w:rPr>
              <w:b/>
              <w:bCs/>
              <w:rtl/>
            </w:rPr>
            <w:t xml:space="preserve"> המשפטי</w:t>
          </w:r>
          <w:r>
            <w:rPr>
              <w:rFonts w:hint="cs"/>
              <w:b/>
              <w:bCs/>
              <w:rtl/>
            </w:rPr>
            <w:t>ת</w:t>
          </w:r>
          <w:r w:rsidRPr="003B64FD">
            <w:rPr>
              <w:b/>
              <w:bCs/>
              <w:rtl/>
            </w:rPr>
            <w:t xml:space="preserve"> לממשלה (משפט בין-לאומי)</w:t>
          </w:r>
        </w:p>
      </w:tc>
      <w:tc>
        <w:tcPr>
          <w:tcW w:w="4820" w:type="dxa"/>
          <w:vAlign w:val="center"/>
        </w:tcPr>
        <w:p w14:paraId="75D96579" w14:textId="77777777" w:rsidR="00F62943" w:rsidRPr="002A7060" w:rsidRDefault="00F62943" w:rsidP="00F62943">
          <w:pPr>
            <w:pStyle w:val="Header"/>
            <w:bidi w:val="0"/>
            <w:spacing w:line="240" w:lineRule="auto"/>
            <w:jc w:val="center"/>
            <w:rPr>
              <w:spacing w:val="60"/>
              <w:sz w:val="22"/>
              <w:szCs w:val="28"/>
            </w:rPr>
          </w:pPr>
          <w:r>
            <w:rPr>
              <w:rFonts w:eastAsiaTheme="minorHAnsi" w:cs="Times New Roman"/>
              <w:b/>
              <w:bCs/>
              <w:sz w:val="22"/>
              <w:szCs w:val="22"/>
              <w:lang w:eastAsia="en-US"/>
            </w:rPr>
            <w:t>Deputy Attorney General (International Law)</w:t>
          </w:r>
        </w:p>
      </w:tc>
    </w:tr>
  </w:tbl>
  <w:p w14:paraId="733D2544" w14:textId="77777777" w:rsidR="00C71C40" w:rsidRPr="00A772F4" w:rsidRDefault="00450D54" w:rsidP="00F62943">
    <w:pPr>
      <w:pStyle w:val="NoSpacing"/>
      <w:jc w:val="center"/>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1353E9"/>
    <w:multiLevelType w:val="hybridMultilevel"/>
    <w:tmpl w:val="0832C6D0"/>
    <w:lvl w:ilvl="0" w:tplc="C944B4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E53CCC"/>
    <w:multiLevelType w:val="hybridMultilevel"/>
    <w:tmpl w:val="F8FA5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9A56A1"/>
    <w:multiLevelType w:val="hybridMultilevel"/>
    <w:tmpl w:val="8662E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8505254">
    <w:abstractNumId w:val="1"/>
  </w:num>
  <w:num w:numId="2" w16cid:durableId="1443376520">
    <w:abstractNumId w:val="2"/>
  </w:num>
  <w:num w:numId="3" w16cid:durableId="980691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8"/>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870"/>
    <w:rsid w:val="000002DA"/>
    <w:rsid w:val="00007A54"/>
    <w:rsid w:val="00007BA4"/>
    <w:rsid w:val="00031B0E"/>
    <w:rsid w:val="00034410"/>
    <w:rsid w:val="00035E73"/>
    <w:rsid w:val="0004014D"/>
    <w:rsid w:val="00094469"/>
    <w:rsid w:val="00097605"/>
    <w:rsid w:val="000A3CCE"/>
    <w:rsid w:val="000B40AB"/>
    <w:rsid w:val="000C0947"/>
    <w:rsid w:val="000E53D0"/>
    <w:rsid w:val="000F4CBE"/>
    <w:rsid w:val="00103E39"/>
    <w:rsid w:val="0014401C"/>
    <w:rsid w:val="00180132"/>
    <w:rsid w:val="001A7FEE"/>
    <w:rsid w:val="001B7E5D"/>
    <w:rsid w:val="001C4630"/>
    <w:rsid w:val="001C5453"/>
    <w:rsid w:val="00207915"/>
    <w:rsid w:val="002166AC"/>
    <w:rsid w:val="00227CE1"/>
    <w:rsid w:val="00234053"/>
    <w:rsid w:val="00257698"/>
    <w:rsid w:val="00266368"/>
    <w:rsid w:val="00270B47"/>
    <w:rsid w:val="002A51CD"/>
    <w:rsid w:val="002A7060"/>
    <w:rsid w:val="002B68E6"/>
    <w:rsid w:val="002C7A0A"/>
    <w:rsid w:val="00392DBA"/>
    <w:rsid w:val="0042491B"/>
    <w:rsid w:val="00450D54"/>
    <w:rsid w:val="004537FA"/>
    <w:rsid w:val="00477A88"/>
    <w:rsid w:val="004A453B"/>
    <w:rsid w:val="004C79AE"/>
    <w:rsid w:val="00506F25"/>
    <w:rsid w:val="00516248"/>
    <w:rsid w:val="005502F1"/>
    <w:rsid w:val="005541F7"/>
    <w:rsid w:val="00582BE5"/>
    <w:rsid w:val="00592969"/>
    <w:rsid w:val="00593A8D"/>
    <w:rsid w:val="005C5F10"/>
    <w:rsid w:val="005D40FB"/>
    <w:rsid w:val="005D6805"/>
    <w:rsid w:val="006131F3"/>
    <w:rsid w:val="00614745"/>
    <w:rsid w:val="00617F89"/>
    <w:rsid w:val="006460AE"/>
    <w:rsid w:val="00646BB9"/>
    <w:rsid w:val="00654EF1"/>
    <w:rsid w:val="00683424"/>
    <w:rsid w:val="006B2587"/>
    <w:rsid w:val="006E51A7"/>
    <w:rsid w:val="00707242"/>
    <w:rsid w:val="00732E40"/>
    <w:rsid w:val="00746125"/>
    <w:rsid w:val="00752E77"/>
    <w:rsid w:val="007A3FE2"/>
    <w:rsid w:val="007D5329"/>
    <w:rsid w:val="008501E6"/>
    <w:rsid w:val="00856456"/>
    <w:rsid w:val="0087673C"/>
    <w:rsid w:val="008C438A"/>
    <w:rsid w:val="008D37C2"/>
    <w:rsid w:val="008D68F0"/>
    <w:rsid w:val="008E02D1"/>
    <w:rsid w:val="008F1EB1"/>
    <w:rsid w:val="008F3A20"/>
    <w:rsid w:val="008F5650"/>
    <w:rsid w:val="009039D9"/>
    <w:rsid w:val="009045CE"/>
    <w:rsid w:val="0091647D"/>
    <w:rsid w:val="009224C4"/>
    <w:rsid w:val="00944041"/>
    <w:rsid w:val="00987692"/>
    <w:rsid w:val="00995304"/>
    <w:rsid w:val="009B077C"/>
    <w:rsid w:val="009C1B89"/>
    <w:rsid w:val="009C57A4"/>
    <w:rsid w:val="009C6870"/>
    <w:rsid w:val="009F7CD6"/>
    <w:rsid w:val="00A106EF"/>
    <w:rsid w:val="00A12713"/>
    <w:rsid w:val="00A25263"/>
    <w:rsid w:val="00A507DB"/>
    <w:rsid w:val="00A772F4"/>
    <w:rsid w:val="00AC05AC"/>
    <w:rsid w:val="00AD1E0F"/>
    <w:rsid w:val="00AD4926"/>
    <w:rsid w:val="00AD5BEB"/>
    <w:rsid w:val="00AE1F80"/>
    <w:rsid w:val="00B17BAC"/>
    <w:rsid w:val="00B2582A"/>
    <w:rsid w:val="00B31EC4"/>
    <w:rsid w:val="00B3460F"/>
    <w:rsid w:val="00B5568B"/>
    <w:rsid w:val="00B60217"/>
    <w:rsid w:val="00B65795"/>
    <w:rsid w:val="00B750BE"/>
    <w:rsid w:val="00B8057B"/>
    <w:rsid w:val="00BA02BE"/>
    <w:rsid w:val="00BD6F26"/>
    <w:rsid w:val="00BF2637"/>
    <w:rsid w:val="00BF5D7B"/>
    <w:rsid w:val="00C10325"/>
    <w:rsid w:val="00C177F0"/>
    <w:rsid w:val="00C22087"/>
    <w:rsid w:val="00C43EBA"/>
    <w:rsid w:val="00C440CB"/>
    <w:rsid w:val="00C46129"/>
    <w:rsid w:val="00C4774A"/>
    <w:rsid w:val="00C66BCC"/>
    <w:rsid w:val="00C80A6A"/>
    <w:rsid w:val="00C95DC7"/>
    <w:rsid w:val="00CB771F"/>
    <w:rsid w:val="00D13708"/>
    <w:rsid w:val="00D13A04"/>
    <w:rsid w:val="00D5330B"/>
    <w:rsid w:val="00D64F34"/>
    <w:rsid w:val="00DA6A70"/>
    <w:rsid w:val="00DB0BE9"/>
    <w:rsid w:val="00E168B2"/>
    <w:rsid w:val="00E4544E"/>
    <w:rsid w:val="00E45677"/>
    <w:rsid w:val="00E61C75"/>
    <w:rsid w:val="00E82875"/>
    <w:rsid w:val="00EE5E19"/>
    <w:rsid w:val="00F2460D"/>
    <w:rsid w:val="00F33C91"/>
    <w:rsid w:val="00F37CD6"/>
    <w:rsid w:val="00F62943"/>
    <w:rsid w:val="00F83C70"/>
    <w:rsid w:val="00F85474"/>
    <w:rsid w:val="00F927CB"/>
    <w:rsid w:val="00FB08DE"/>
    <w:rsid w:val="00FB71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schemas-workshare-com/workshare" w:url=" " w:name="PolicySmartTags.CWSPolicyTagAction_6"/>
  <w:smartTagType w:namespaceuri="urn:schemas-microsoft-com:office:smarttags" w:name="place"/>
  <w:shapeDefaults>
    <o:shapedefaults v:ext="edit" spidmax="4098"/>
    <o:shapelayout v:ext="edit">
      <o:idmap v:ext="edit" data="1"/>
    </o:shapelayout>
  </w:shapeDefaults>
  <w:decimalSymbol w:val="."/>
  <w:listSeparator w:val=","/>
  <w14:docId w14:val="42066242"/>
  <w15:docId w15:val="{51800AF2-5F6D-4C09-90ED-5C52B923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פורמט בינל - טקסט"/>
    <w:qFormat/>
    <w:rsid w:val="00A772F4"/>
    <w:pPr>
      <w:bidi/>
      <w:spacing w:before="120" w:after="120" w:line="360" w:lineRule="auto"/>
      <w:jc w:val="both"/>
    </w:pPr>
    <w:rPr>
      <w:rFonts w:ascii="Times New Roman" w:eastAsia="Times New Roman" w:hAnsi="Times New Roman" w:cs="David"/>
      <w:sz w:val="24"/>
      <w:szCs w:val="24"/>
      <w:lang w:eastAsia="he-IL"/>
    </w:rPr>
  </w:style>
  <w:style w:type="paragraph" w:styleId="Heading2">
    <w:name w:val="heading 2"/>
    <w:basedOn w:val="Normal"/>
    <w:link w:val="Heading2Char"/>
    <w:uiPriority w:val="9"/>
    <w:qFormat/>
    <w:rsid w:val="0014401C"/>
    <w:pPr>
      <w:bidi w:val="0"/>
      <w:spacing w:before="100" w:beforeAutospacing="1" w:after="100" w:afterAutospacing="1" w:line="240" w:lineRule="auto"/>
      <w:jc w:val="left"/>
      <w:outlineLvl w:val="1"/>
    </w:pPr>
    <w:rPr>
      <w:rFonts w:cs="Times New Roman"/>
      <w:b/>
      <w:bCs/>
      <w:sz w:val="36"/>
      <w:szCs w:val="36"/>
      <w:lang w:eastAsia="en-US"/>
    </w:rPr>
  </w:style>
  <w:style w:type="paragraph" w:styleId="Heading3">
    <w:name w:val="heading 3"/>
    <w:basedOn w:val="Normal"/>
    <w:next w:val="Normal"/>
    <w:link w:val="Heading3Char"/>
    <w:uiPriority w:val="9"/>
    <w:semiHidden/>
    <w:unhideWhenUsed/>
    <w:qFormat/>
    <w:rsid w:val="0014401C"/>
    <w:pPr>
      <w:keepNext/>
      <w:keepLines/>
      <w:spacing w:before="40" w:line="276" w:lineRule="auto"/>
      <w:jc w:val="left"/>
      <w:outlineLvl w:val="2"/>
    </w:pPr>
    <w:rPr>
      <w:rFonts w:asciiTheme="majorHAnsi" w:eastAsiaTheme="majorEastAsia" w:hAnsiTheme="majorHAnsi" w:cstheme="majorBidi"/>
      <w:color w:val="243F60"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166AC"/>
    <w:pPr>
      <w:tabs>
        <w:tab w:val="center" w:pos="4153"/>
        <w:tab w:val="right" w:pos="8306"/>
      </w:tabs>
    </w:pPr>
  </w:style>
  <w:style w:type="character" w:customStyle="1" w:styleId="HeaderChar">
    <w:name w:val="Header Char"/>
    <w:basedOn w:val="DefaultParagraphFont"/>
    <w:link w:val="Header"/>
    <w:uiPriority w:val="99"/>
    <w:rsid w:val="002166AC"/>
    <w:rPr>
      <w:rFonts w:ascii="Times New Roman" w:eastAsia="Times New Roman" w:hAnsi="Times New Roman" w:cs="Narkisim"/>
      <w:sz w:val="24"/>
      <w:szCs w:val="24"/>
      <w:lang w:eastAsia="he-IL"/>
    </w:rPr>
  </w:style>
  <w:style w:type="paragraph" w:styleId="Footer">
    <w:name w:val="footer"/>
    <w:basedOn w:val="Normal"/>
    <w:link w:val="FooterChar"/>
    <w:uiPriority w:val="99"/>
    <w:rsid w:val="002166AC"/>
    <w:pPr>
      <w:tabs>
        <w:tab w:val="center" w:pos="4153"/>
        <w:tab w:val="right" w:pos="8306"/>
      </w:tabs>
    </w:pPr>
  </w:style>
  <w:style w:type="character" w:customStyle="1" w:styleId="FooterChar">
    <w:name w:val="Footer Char"/>
    <w:basedOn w:val="DefaultParagraphFont"/>
    <w:link w:val="Footer"/>
    <w:uiPriority w:val="99"/>
    <w:rsid w:val="002166AC"/>
    <w:rPr>
      <w:rFonts w:ascii="Times New Roman" w:eastAsia="Times New Roman" w:hAnsi="Times New Roman" w:cs="Narkisim"/>
      <w:sz w:val="24"/>
      <w:szCs w:val="24"/>
      <w:lang w:eastAsia="he-IL"/>
    </w:rPr>
  </w:style>
  <w:style w:type="character" w:styleId="PageNumber">
    <w:name w:val="page number"/>
    <w:basedOn w:val="DefaultParagraphFont"/>
    <w:rsid w:val="002166AC"/>
  </w:style>
  <w:style w:type="character" w:styleId="Hyperlink">
    <w:name w:val="Hyperlink"/>
    <w:unhideWhenUsed/>
    <w:rsid w:val="002166AC"/>
    <w:rPr>
      <w:strike w:val="0"/>
      <w:dstrike w:val="0"/>
      <w:color w:val="000065"/>
      <w:u w:val="none"/>
      <w:effect w:val="none"/>
    </w:rPr>
  </w:style>
  <w:style w:type="paragraph" w:styleId="BalloonText">
    <w:name w:val="Balloon Text"/>
    <w:basedOn w:val="Normal"/>
    <w:link w:val="BalloonTextChar"/>
    <w:uiPriority w:val="99"/>
    <w:semiHidden/>
    <w:unhideWhenUsed/>
    <w:rsid w:val="00216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6AC"/>
    <w:rPr>
      <w:rFonts w:ascii="Tahoma" w:eastAsia="Times New Roman" w:hAnsi="Tahoma" w:cs="Tahoma"/>
      <w:sz w:val="16"/>
      <w:szCs w:val="16"/>
      <w:lang w:eastAsia="he-IL"/>
    </w:rPr>
  </w:style>
  <w:style w:type="character" w:styleId="CommentReference">
    <w:name w:val="annotation reference"/>
    <w:basedOn w:val="DefaultParagraphFont"/>
    <w:uiPriority w:val="99"/>
    <w:semiHidden/>
    <w:unhideWhenUsed/>
    <w:rsid w:val="002166AC"/>
    <w:rPr>
      <w:sz w:val="16"/>
      <w:szCs w:val="16"/>
    </w:rPr>
  </w:style>
  <w:style w:type="paragraph" w:styleId="CommentText">
    <w:name w:val="annotation text"/>
    <w:basedOn w:val="Normal"/>
    <w:link w:val="CommentTextChar"/>
    <w:uiPriority w:val="99"/>
    <w:semiHidden/>
    <w:unhideWhenUsed/>
    <w:rsid w:val="002166AC"/>
    <w:pPr>
      <w:spacing w:line="240" w:lineRule="auto"/>
    </w:pPr>
    <w:rPr>
      <w:sz w:val="20"/>
      <w:szCs w:val="20"/>
    </w:rPr>
  </w:style>
  <w:style w:type="character" w:customStyle="1" w:styleId="CommentTextChar">
    <w:name w:val="Comment Text Char"/>
    <w:basedOn w:val="DefaultParagraphFont"/>
    <w:link w:val="CommentText"/>
    <w:uiPriority w:val="99"/>
    <w:semiHidden/>
    <w:rsid w:val="002166AC"/>
    <w:rPr>
      <w:rFonts w:ascii="Times New Roman" w:eastAsia="Times New Roman" w:hAnsi="Times New Roman" w:cs="Narkisim"/>
      <w:sz w:val="20"/>
      <w:szCs w:val="20"/>
      <w:lang w:eastAsia="he-IL"/>
    </w:rPr>
  </w:style>
  <w:style w:type="paragraph" w:styleId="CommentSubject">
    <w:name w:val="annotation subject"/>
    <w:basedOn w:val="CommentText"/>
    <w:next w:val="CommentText"/>
    <w:link w:val="CommentSubjectChar"/>
    <w:uiPriority w:val="99"/>
    <w:semiHidden/>
    <w:unhideWhenUsed/>
    <w:rsid w:val="002166AC"/>
    <w:rPr>
      <w:b/>
      <w:bCs/>
    </w:rPr>
  </w:style>
  <w:style w:type="character" w:customStyle="1" w:styleId="CommentSubjectChar">
    <w:name w:val="Comment Subject Char"/>
    <w:basedOn w:val="CommentTextChar"/>
    <w:link w:val="CommentSubject"/>
    <w:uiPriority w:val="99"/>
    <w:semiHidden/>
    <w:rsid w:val="002166AC"/>
    <w:rPr>
      <w:rFonts w:ascii="Times New Roman" w:eastAsia="Times New Roman" w:hAnsi="Times New Roman" w:cs="Narkisim"/>
      <w:b/>
      <w:bCs/>
      <w:sz w:val="20"/>
      <w:szCs w:val="20"/>
      <w:lang w:eastAsia="he-IL"/>
    </w:rPr>
  </w:style>
  <w:style w:type="table" w:styleId="TableGrid">
    <w:name w:val="Table Grid"/>
    <w:basedOn w:val="TableNormal"/>
    <w:uiPriority w:val="59"/>
    <w:rsid w:val="00477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42491B"/>
    <w:pPr>
      <w:keepLines/>
      <w:tabs>
        <w:tab w:val="left" w:pos="397"/>
        <w:tab w:val="left" w:pos="794"/>
        <w:tab w:val="left" w:pos="1191"/>
        <w:tab w:val="left" w:pos="1588"/>
        <w:tab w:val="left" w:pos="1985"/>
        <w:tab w:val="left" w:pos="2381"/>
        <w:tab w:val="left" w:pos="2778"/>
        <w:tab w:val="left" w:pos="3175"/>
        <w:tab w:val="left" w:pos="3572"/>
      </w:tabs>
      <w:spacing w:line="240" w:lineRule="auto"/>
    </w:pPr>
    <w:rPr>
      <w:rFonts w:ascii="Arial" w:hAnsi="Arial"/>
      <w:noProof/>
      <w:szCs w:val="28"/>
    </w:rPr>
  </w:style>
  <w:style w:type="paragraph" w:styleId="ListParagraph">
    <w:name w:val="List Paragraph"/>
    <w:basedOn w:val="Normal"/>
    <w:uiPriority w:val="34"/>
    <w:qFormat/>
    <w:rsid w:val="000E53D0"/>
    <w:pPr>
      <w:spacing w:after="160" w:line="259" w:lineRule="auto"/>
      <w:ind w:left="720"/>
      <w:contextualSpacing/>
      <w:jc w:val="left"/>
    </w:pPr>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uiPriority w:val="9"/>
    <w:rsid w:val="0014401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14401C"/>
    <w:rPr>
      <w:rFonts w:asciiTheme="majorHAnsi" w:eastAsiaTheme="majorEastAsia" w:hAnsiTheme="majorHAnsi" w:cstheme="majorBidi"/>
      <w:color w:val="243F60" w:themeColor="accent1" w:themeShade="7F"/>
      <w:sz w:val="24"/>
      <w:szCs w:val="24"/>
    </w:rPr>
  </w:style>
  <w:style w:type="character" w:customStyle="1" w:styleId="jlqj4b">
    <w:name w:val="jlqj4b"/>
    <w:basedOn w:val="DefaultParagraphFont"/>
    <w:rsid w:val="0014401C"/>
  </w:style>
  <w:style w:type="paragraph" w:styleId="NoSpacing">
    <w:name w:val="No Spacing"/>
    <w:uiPriority w:val="1"/>
    <w:qFormat/>
    <w:rsid w:val="00A772F4"/>
    <w:pPr>
      <w:bidi/>
      <w:spacing w:after="0" w:line="240" w:lineRule="auto"/>
      <w:jc w:val="both"/>
    </w:pPr>
    <w:rPr>
      <w:rFonts w:ascii="Times New Roman" w:eastAsia="Times New Roman" w:hAnsi="Times New Roman" w:cs="David"/>
      <w:sz w:val="24"/>
      <w:szCs w:val="24"/>
      <w:lang w:eastAsia="he-IL"/>
    </w:rPr>
  </w:style>
  <w:style w:type="paragraph" w:customStyle="1" w:styleId="a">
    <w:name w:val="ציטוט מפסק דין"/>
    <w:basedOn w:val="Normal"/>
    <w:next w:val="Normal"/>
    <w:link w:val="a0"/>
    <w:qFormat/>
    <w:rsid w:val="00A772F4"/>
    <w:pPr>
      <w:spacing w:before="240" w:after="240" w:line="276" w:lineRule="auto"/>
      <w:ind w:left="720"/>
    </w:pPr>
    <w:rPr>
      <w:rFonts w:ascii="David" w:hAnsi="David"/>
      <w:bCs/>
    </w:rPr>
  </w:style>
  <w:style w:type="character" w:customStyle="1" w:styleId="a0">
    <w:name w:val="ציטוט מפסק דין תו"/>
    <w:basedOn w:val="DefaultParagraphFont"/>
    <w:link w:val="a"/>
    <w:rsid w:val="00A772F4"/>
    <w:rPr>
      <w:rFonts w:ascii="David" w:eastAsia="Times New Roman" w:hAnsi="David" w:cs="David"/>
      <w:bCs/>
      <w:sz w:val="24"/>
      <w:szCs w:val="24"/>
      <w:lang w:eastAsia="he-IL"/>
    </w:rPr>
  </w:style>
  <w:style w:type="paragraph" w:styleId="Revision">
    <w:name w:val="Revision"/>
    <w:hidden/>
    <w:uiPriority w:val="99"/>
    <w:semiHidden/>
    <w:rsid w:val="004C79AE"/>
    <w:pPr>
      <w:spacing w:after="0" w:line="240" w:lineRule="auto"/>
    </w:pPr>
    <w:rPr>
      <w:rFonts w:ascii="Times New Roman" w:eastAsia="Times New Roman" w:hAnsi="Times New Roman" w:cs="David"/>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29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international@justice.gov.il"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C6A3B0B-D738-4639-AB67-632DAE36C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1343</Words>
  <Characters>7660</Characters>
  <Application>Microsoft Office Word</Application>
  <DocSecurity>4</DocSecurity>
  <Lines>63</Lines>
  <Paragraphs>17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MOJ</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Dari Nof</dc:creator>
  <cp:lastModifiedBy>Robert</cp:lastModifiedBy>
  <cp:revision>2</cp:revision>
  <cp:lastPrinted>2023-08-17T06:48:00Z</cp:lastPrinted>
  <dcterms:created xsi:type="dcterms:W3CDTF">2023-08-22T15:46:00Z</dcterms:created>
  <dcterms:modified xsi:type="dcterms:W3CDTF">2023-08-22T15:46:00Z</dcterms:modified>
</cp:coreProperties>
</file>