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60A34" w14:textId="1286F534" w:rsidR="00840D45" w:rsidRDefault="00063D2E" w:rsidP="002D6273">
      <w:pPr>
        <w:jc w:val="center"/>
        <w:rPr>
          <w:rFonts w:asciiTheme="majorBidi" w:hAnsiTheme="majorBidi" w:cstheme="majorBidi"/>
          <w:b/>
          <w:bCs/>
          <w:lang w:bidi="fa-IR"/>
        </w:rPr>
      </w:pPr>
      <w:r w:rsidRPr="00063D2E">
        <w:rPr>
          <w:rFonts w:asciiTheme="majorBidi" w:hAnsiTheme="majorBidi" w:cstheme="majorBidi"/>
          <w:b/>
          <w:bCs/>
          <w:lang w:bidi="fa-IR"/>
        </w:rPr>
        <w:t>Systemic Failures in Addressing Gender-Based Violence in the Netherlands</w:t>
      </w:r>
    </w:p>
    <w:p w14:paraId="76A4E47B" w14:textId="77777777" w:rsidR="002D6273" w:rsidRDefault="002D6273" w:rsidP="002D6273">
      <w:pPr>
        <w:jc w:val="center"/>
        <w:rPr>
          <w:rFonts w:asciiTheme="majorBidi" w:hAnsiTheme="majorBidi" w:cstheme="majorBidi"/>
          <w:b/>
          <w:bCs/>
          <w:lang w:bidi="fa-IR"/>
        </w:rPr>
      </w:pPr>
    </w:p>
    <w:p w14:paraId="1E238286" w14:textId="74045B08" w:rsidR="002D6273" w:rsidRPr="00063D2E" w:rsidRDefault="002D6273" w:rsidP="002D6273">
      <w:pPr>
        <w:rPr>
          <w:rFonts w:asciiTheme="majorBidi" w:hAnsiTheme="majorBidi" w:cstheme="majorBidi"/>
          <w:b/>
          <w:bCs/>
          <w:lang w:bidi="fa-IR"/>
        </w:rPr>
      </w:pPr>
      <w:r>
        <w:rPr>
          <w:rFonts w:asciiTheme="majorBidi" w:hAnsiTheme="majorBidi" w:cstheme="majorBidi"/>
          <w:b/>
          <w:bCs/>
          <w:lang w:bidi="fa-IR"/>
        </w:rPr>
        <w:t>Introduction</w:t>
      </w:r>
    </w:p>
    <w:p w14:paraId="31C0D08A" w14:textId="703F593A" w:rsidR="00063D2E" w:rsidRDefault="00063D2E" w:rsidP="00063D2E">
      <w:pPr>
        <w:jc w:val="both"/>
        <w:rPr>
          <w:rFonts w:asciiTheme="majorBidi" w:hAnsiTheme="majorBidi" w:cstheme="majorBidi"/>
          <w:lang w:bidi="fa-IR"/>
        </w:rPr>
      </w:pPr>
      <w:r w:rsidRPr="00063D2E">
        <w:rPr>
          <w:rFonts w:asciiTheme="majorBidi" w:hAnsiTheme="majorBidi" w:cstheme="majorBidi"/>
          <w:lang w:bidi="fa-IR"/>
        </w:rPr>
        <w:t>Despite its progressive international image, the Kingdom of the Netherlands continues to grapple with a severe and entrenched crisis of domestic violence (DV) and intimate partner violence (IPV). This report</w:t>
      </w:r>
      <w:r>
        <w:rPr>
          <w:rFonts w:asciiTheme="majorBidi" w:hAnsiTheme="majorBidi" w:cstheme="majorBidi"/>
          <w:lang w:bidi="fa-IR"/>
        </w:rPr>
        <w:t xml:space="preserve"> </w:t>
      </w:r>
      <w:r w:rsidRPr="00063D2E">
        <w:rPr>
          <w:rFonts w:asciiTheme="majorBidi" w:hAnsiTheme="majorBidi" w:cstheme="majorBidi"/>
          <w:lang w:bidi="fa-IR"/>
        </w:rPr>
        <w:t>documents systemic failures in prevention, protection, and prosecution, particularly affecting marginalized women. It highlights a stark discrepancy between the Netherlands' obligations under the Convention on the Elimination of All Forms of Discrimination Against Women (CEDAW) and the lived reality of survivors. Key issues include disproportionately high rates of violence against women, especially migrants and refugees; critical gaps in immediate support services; judicial inadequacies in recognizing non-physical violence; and discriminatory treatment by state authorities.</w:t>
      </w:r>
    </w:p>
    <w:p w14:paraId="7566178E" w14:textId="4AD7ADE9" w:rsidR="00063D2E" w:rsidRDefault="00063D2E" w:rsidP="00063D2E">
      <w:pPr>
        <w:jc w:val="both"/>
        <w:rPr>
          <w:rFonts w:asciiTheme="majorBidi" w:hAnsiTheme="majorBidi" w:cstheme="majorBidi"/>
          <w:b/>
          <w:bCs/>
          <w:lang w:bidi="fa-IR"/>
        </w:rPr>
      </w:pPr>
      <w:r w:rsidRPr="00063D2E">
        <w:rPr>
          <w:rFonts w:asciiTheme="majorBidi" w:hAnsiTheme="majorBidi" w:cstheme="majorBidi"/>
          <w:b/>
          <w:bCs/>
          <w:lang w:bidi="fa-IR"/>
        </w:rPr>
        <w:t>Prevalence and Reporting Trends</w:t>
      </w:r>
    </w:p>
    <w:p w14:paraId="54B2E1D4" w14:textId="06711DD2" w:rsidR="00063D2E" w:rsidRPr="00063D2E" w:rsidRDefault="00063D2E" w:rsidP="00063D2E">
      <w:pPr>
        <w:jc w:val="both"/>
        <w:rPr>
          <w:rFonts w:asciiTheme="majorBidi" w:hAnsiTheme="majorBidi" w:cstheme="majorBidi"/>
          <w:lang w:bidi="fa-IR"/>
        </w:rPr>
      </w:pPr>
      <w:r w:rsidRPr="00063D2E">
        <w:rPr>
          <w:rFonts w:asciiTheme="majorBidi" w:hAnsiTheme="majorBidi" w:cstheme="majorBidi"/>
          <w:lang w:bidi="fa-IR"/>
        </w:rPr>
        <w:t xml:space="preserve">Recent figures from the national domestic violence reporting </w:t>
      </w:r>
      <w:proofErr w:type="spellStart"/>
      <w:r w:rsidRPr="00063D2E">
        <w:rPr>
          <w:rFonts w:asciiTheme="majorBidi" w:hAnsiTheme="majorBidi" w:cstheme="majorBidi"/>
          <w:lang w:bidi="fa-IR"/>
        </w:rPr>
        <w:t>centre</w:t>
      </w:r>
      <w:proofErr w:type="spellEnd"/>
      <w:r w:rsidRPr="00063D2E">
        <w:rPr>
          <w:rFonts w:asciiTheme="majorBidi" w:hAnsiTheme="majorBidi" w:cstheme="majorBidi"/>
          <w:lang w:bidi="fa-IR"/>
        </w:rPr>
        <w:t xml:space="preserve">, </w:t>
      </w:r>
      <w:proofErr w:type="spellStart"/>
      <w:r w:rsidRPr="00063D2E">
        <w:rPr>
          <w:rFonts w:asciiTheme="majorBidi" w:hAnsiTheme="majorBidi" w:cstheme="majorBidi"/>
          <w:lang w:bidi="fa-IR"/>
        </w:rPr>
        <w:t>Veilig</w:t>
      </w:r>
      <w:proofErr w:type="spellEnd"/>
      <w:r w:rsidRPr="00063D2E">
        <w:rPr>
          <w:rFonts w:asciiTheme="majorBidi" w:hAnsiTheme="majorBidi" w:cstheme="majorBidi"/>
          <w:lang w:bidi="fa-IR"/>
        </w:rPr>
        <w:t xml:space="preserve"> </w:t>
      </w:r>
      <w:proofErr w:type="spellStart"/>
      <w:r w:rsidRPr="00063D2E">
        <w:rPr>
          <w:rFonts w:asciiTheme="majorBidi" w:hAnsiTheme="majorBidi" w:cstheme="majorBidi"/>
          <w:lang w:bidi="fa-IR"/>
        </w:rPr>
        <w:t>Thuis</w:t>
      </w:r>
      <w:proofErr w:type="spellEnd"/>
      <w:r w:rsidRPr="00063D2E">
        <w:rPr>
          <w:rFonts w:asciiTheme="majorBidi" w:hAnsiTheme="majorBidi" w:cstheme="majorBidi"/>
          <w:lang w:bidi="fa-IR"/>
        </w:rPr>
        <w:t xml:space="preserve">, indicate a sustained rise in reports of domestic violence in 2025. Between January and June 2025, </w:t>
      </w:r>
      <w:proofErr w:type="spellStart"/>
      <w:r w:rsidRPr="00063D2E">
        <w:rPr>
          <w:rFonts w:asciiTheme="majorBidi" w:hAnsiTheme="majorBidi" w:cstheme="majorBidi"/>
          <w:lang w:bidi="fa-IR"/>
        </w:rPr>
        <w:t>Veilig</w:t>
      </w:r>
      <w:proofErr w:type="spellEnd"/>
      <w:r w:rsidRPr="00063D2E">
        <w:rPr>
          <w:rFonts w:asciiTheme="majorBidi" w:hAnsiTheme="majorBidi" w:cstheme="majorBidi"/>
          <w:lang w:bidi="fa-IR"/>
        </w:rPr>
        <w:t xml:space="preserve"> </w:t>
      </w:r>
      <w:proofErr w:type="spellStart"/>
      <w:r w:rsidRPr="00063D2E">
        <w:rPr>
          <w:rFonts w:asciiTheme="majorBidi" w:hAnsiTheme="majorBidi" w:cstheme="majorBidi"/>
          <w:lang w:bidi="fa-IR"/>
        </w:rPr>
        <w:t>Thuis</w:t>
      </w:r>
      <w:proofErr w:type="spellEnd"/>
      <w:r w:rsidRPr="00063D2E">
        <w:rPr>
          <w:rFonts w:asciiTheme="majorBidi" w:hAnsiTheme="majorBidi" w:cstheme="majorBidi"/>
          <w:lang w:bidi="fa-IR"/>
        </w:rPr>
        <w:t xml:space="preserve"> received approximately 66,000 reports of suspected domestic violence and child abuse, reflecting a steady increase compared to prior years and indicating persistent high levels of violence within homes. Among these, about 38 % of reports involved violence by a partner or former partner. Almost 70 % of reports to </w:t>
      </w:r>
      <w:proofErr w:type="spellStart"/>
      <w:r w:rsidRPr="00063D2E">
        <w:rPr>
          <w:rFonts w:asciiTheme="majorBidi" w:hAnsiTheme="majorBidi" w:cstheme="majorBidi"/>
          <w:lang w:bidi="fa-IR"/>
        </w:rPr>
        <w:t>Veilig</w:t>
      </w:r>
      <w:proofErr w:type="spellEnd"/>
      <w:r w:rsidRPr="00063D2E">
        <w:rPr>
          <w:rFonts w:asciiTheme="majorBidi" w:hAnsiTheme="majorBidi" w:cstheme="majorBidi"/>
          <w:lang w:bidi="fa-IR"/>
        </w:rPr>
        <w:t xml:space="preserve"> </w:t>
      </w:r>
      <w:proofErr w:type="spellStart"/>
      <w:r w:rsidRPr="00063D2E">
        <w:rPr>
          <w:rFonts w:asciiTheme="majorBidi" w:hAnsiTheme="majorBidi" w:cstheme="majorBidi"/>
          <w:lang w:bidi="fa-IR"/>
        </w:rPr>
        <w:t>Thuis</w:t>
      </w:r>
      <w:proofErr w:type="spellEnd"/>
      <w:r w:rsidRPr="00063D2E">
        <w:rPr>
          <w:rFonts w:asciiTheme="majorBidi" w:hAnsiTheme="majorBidi" w:cstheme="majorBidi"/>
          <w:lang w:bidi="fa-IR"/>
        </w:rPr>
        <w:t xml:space="preserve"> were initiated by the police or judicial authorities, highlighting formal recognition of severity in many cases</w:t>
      </w:r>
      <w:r w:rsidR="00AA22D0">
        <w:rPr>
          <w:rStyle w:val="FootnoteReference"/>
          <w:rFonts w:asciiTheme="majorBidi" w:hAnsiTheme="majorBidi" w:cstheme="majorBidi"/>
          <w:lang w:bidi="fa-IR"/>
        </w:rPr>
        <w:footnoteReference w:id="1"/>
      </w:r>
      <w:r w:rsidRPr="00063D2E">
        <w:rPr>
          <w:rFonts w:asciiTheme="majorBidi" w:hAnsiTheme="majorBidi" w:cstheme="majorBidi"/>
          <w:lang w:bidi="fa-IR"/>
        </w:rPr>
        <w:t xml:space="preserve">. </w:t>
      </w:r>
    </w:p>
    <w:p w14:paraId="6D8E5F99" w14:textId="79D43E50" w:rsidR="00063D2E" w:rsidRPr="00063D2E" w:rsidRDefault="00063D2E" w:rsidP="00AA22D0">
      <w:pPr>
        <w:jc w:val="both"/>
        <w:rPr>
          <w:rFonts w:asciiTheme="majorBidi" w:hAnsiTheme="majorBidi" w:cstheme="majorBidi"/>
          <w:lang w:bidi="fa-IR"/>
        </w:rPr>
      </w:pPr>
      <w:r w:rsidRPr="00063D2E">
        <w:rPr>
          <w:rFonts w:asciiTheme="majorBidi" w:hAnsiTheme="majorBidi" w:cstheme="majorBidi"/>
          <w:lang w:bidi="fa-IR"/>
        </w:rPr>
        <w:t xml:space="preserve">Despite these figures, under-reporting remains a major issue. A national survey and analysis documented in GREVIO’s 2025 evaluation shows that although approximately 10 % of women reported experiencing domestic violence in the 12 months before the survey, only a small fraction contacted formal support or law enforcement — just </w:t>
      </w:r>
      <w:r w:rsidR="00AA22D0" w:rsidRPr="00AA22D0">
        <w:rPr>
          <w:rFonts w:asciiTheme="majorBidi" w:hAnsiTheme="majorBidi" w:cstheme="majorBidi"/>
          <w:lang w:bidi="fa-IR"/>
        </w:rPr>
        <w:t>3.6% of female victims of physical violence and 8,6% of female victims of ex-partner stalking stated that they had contacted the police for these forms of violence</w:t>
      </w:r>
      <w:r w:rsidRPr="00063D2E">
        <w:rPr>
          <w:rFonts w:asciiTheme="majorBidi" w:hAnsiTheme="majorBidi" w:cstheme="majorBidi"/>
          <w:lang w:bidi="fa-IR"/>
        </w:rPr>
        <w:t>. This disparity suggests significant barriers to reporting, including fear, stigma, and lack of trust in institutions</w:t>
      </w:r>
      <w:r w:rsidR="00AA22D0">
        <w:rPr>
          <w:rStyle w:val="FootnoteReference"/>
          <w:rFonts w:asciiTheme="majorBidi" w:hAnsiTheme="majorBidi" w:cstheme="majorBidi"/>
          <w:lang w:bidi="fa-IR"/>
        </w:rPr>
        <w:footnoteReference w:id="2"/>
      </w:r>
      <w:r w:rsidRPr="00063D2E">
        <w:rPr>
          <w:rFonts w:asciiTheme="majorBidi" w:hAnsiTheme="majorBidi" w:cstheme="majorBidi"/>
          <w:lang w:bidi="fa-IR"/>
        </w:rPr>
        <w:t xml:space="preserve">. </w:t>
      </w:r>
    </w:p>
    <w:p w14:paraId="09F66BC5" w14:textId="2B6F92B5" w:rsidR="00063D2E" w:rsidRPr="00063D2E" w:rsidRDefault="00063D2E" w:rsidP="004E1D97">
      <w:pPr>
        <w:jc w:val="both"/>
        <w:rPr>
          <w:rFonts w:asciiTheme="majorBidi" w:hAnsiTheme="majorBidi" w:cstheme="majorBidi"/>
          <w:lang w:bidi="fa-IR"/>
        </w:rPr>
      </w:pPr>
      <w:r w:rsidRPr="00063D2E">
        <w:rPr>
          <w:rFonts w:asciiTheme="majorBidi" w:hAnsiTheme="majorBidi" w:cstheme="majorBidi"/>
          <w:lang w:bidi="fa-IR"/>
        </w:rPr>
        <w:t>Independent surveys further illustrate the scale of the issue</w:t>
      </w:r>
      <w:r w:rsidR="00AA22D0">
        <w:rPr>
          <w:rFonts w:asciiTheme="majorBidi" w:hAnsiTheme="majorBidi" w:cstheme="majorBidi"/>
          <w:lang w:bidi="fa-IR"/>
        </w:rPr>
        <w:t>;</w:t>
      </w:r>
      <w:r w:rsidRPr="00063D2E">
        <w:rPr>
          <w:rFonts w:asciiTheme="majorBidi" w:hAnsiTheme="majorBidi" w:cstheme="majorBidi"/>
          <w:lang w:bidi="fa-IR"/>
        </w:rPr>
        <w:t xml:space="preserve"> a large public opinion survey indicated that one third of women in the Netherlands have been in a physically abusive relationship</w:t>
      </w:r>
      <w:r w:rsidR="004E1D97">
        <w:rPr>
          <w:rFonts w:asciiTheme="majorBidi" w:hAnsiTheme="majorBidi" w:cstheme="majorBidi"/>
          <w:lang w:bidi="fa-IR"/>
        </w:rPr>
        <w:t>.</w:t>
      </w:r>
      <w:r w:rsidRPr="00063D2E">
        <w:rPr>
          <w:rFonts w:asciiTheme="majorBidi" w:hAnsiTheme="majorBidi" w:cstheme="majorBidi"/>
          <w:lang w:bidi="fa-IR"/>
        </w:rPr>
        <w:t xml:space="preserve"> </w:t>
      </w:r>
      <w:r w:rsidR="004E1D97" w:rsidRPr="004E1D97">
        <w:rPr>
          <w:rFonts w:asciiTheme="majorBidi" w:hAnsiTheme="majorBidi" w:cstheme="majorBidi"/>
          <w:lang w:bidi="fa-IR"/>
        </w:rPr>
        <w:t>In addition to physical violence, 44 percent of women experienced recurring verbal abuse like shouting, name-calling, and ridicule in their relationship</w:t>
      </w:r>
      <w:r w:rsidRPr="00063D2E">
        <w:rPr>
          <w:rFonts w:asciiTheme="majorBidi" w:hAnsiTheme="majorBidi" w:cstheme="majorBidi"/>
          <w:lang w:bidi="fa-IR"/>
        </w:rPr>
        <w:t>. Only about one in seven respondents feared physical violence in recent years, but verbal and controlling abuse were significantly more prevalent</w:t>
      </w:r>
      <w:r w:rsidR="004E1D97">
        <w:rPr>
          <w:rStyle w:val="FootnoteReference"/>
          <w:rFonts w:asciiTheme="majorBidi" w:hAnsiTheme="majorBidi" w:cstheme="majorBidi"/>
          <w:lang w:bidi="fa-IR"/>
        </w:rPr>
        <w:footnoteReference w:id="3"/>
      </w:r>
      <w:r w:rsidR="004E1D97">
        <w:rPr>
          <w:rFonts w:asciiTheme="majorBidi" w:hAnsiTheme="majorBidi" w:cstheme="majorBidi"/>
          <w:lang w:bidi="fa-IR"/>
        </w:rPr>
        <w:t>.</w:t>
      </w:r>
    </w:p>
    <w:p w14:paraId="1EC30541" w14:textId="4233FED0" w:rsidR="00063D2E" w:rsidRPr="00063D2E" w:rsidRDefault="00063D2E" w:rsidP="00063D2E">
      <w:pPr>
        <w:jc w:val="both"/>
        <w:rPr>
          <w:rFonts w:asciiTheme="majorBidi" w:hAnsiTheme="majorBidi" w:cstheme="majorBidi"/>
          <w:b/>
          <w:bCs/>
          <w:lang w:bidi="fa-IR"/>
        </w:rPr>
      </w:pPr>
      <w:r w:rsidRPr="00063D2E">
        <w:rPr>
          <w:rFonts w:asciiTheme="majorBidi" w:hAnsiTheme="majorBidi" w:cstheme="majorBidi"/>
          <w:b/>
          <w:bCs/>
          <w:lang w:bidi="fa-IR"/>
        </w:rPr>
        <w:lastRenderedPageBreak/>
        <w:t>Femicide and Extreme Violence</w:t>
      </w:r>
    </w:p>
    <w:p w14:paraId="69EDA53A" w14:textId="3454D518" w:rsidR="00063D2E" w:rsidRPr="00063D2E" w:rsidRDefault="00063D2E" w:rsidP="00063D2E">
      <w:pPr>
        <w:jc w:val="both"/>
        <w:rPr>
          <w:rFonts w:asciiTheme="majorBidi" w:hAnsiTheme="majorBidi" w:cstheme="majorBidi"/>
          <w:lang w:bidi="fa-IR"/>
        </w:rPr>
      </w:pPr>
      <w:r w:rsidRPr="00063D2E">
        <w:rPr>
          <w:rFonts w:asciiTheme="majorBidi" w:hAnsiTheme="majorBidi" w:cstheme="majorBidi"/>
          <w:lang w:bidi="fa-IR"/>
        </w:rPr>
        <w:t>Femicide — the killing of women because of their gender or in a domestic context — remains a persistent and concerning outcome of intimate partner violence. Statistics Netherlands (CBS) reports that the number of women killed by a partner or ex-partner has not decreased in the past 15 years, with an average of 43 women per year becoming victims of murder or manslaughter. Many of these cases involve divorced women and younger adults (aged 20–40). The rate of intimate partner femicide in the Netherlands stands at approximately 2.7 women per million per year, underscoring lethal risks associated with domestic violence</w:t>
      </w:r>
      <w:r w:rsidR="002D6273">
        <w:rPr>
          <w:rStyle w:val="FootnoteReference"/>
          <w:rFonts w:asciiTheme="majorBidi" w:hAnsiTheme="majorBidi" w:cstheme="majorBidi"/>
          <w:lang w:bidi="fa-IR"/>
        </w:rPr>
        <w:footnoteReference w:id="4"/>
      </w:r>
      <w:r w:rsidRPr="00063D2E">
        <w:rPr>
          <w:rFonts w:asciiTheme="majorBidi" w:hAnsiTheme="majorBidi" w:cstheme="majorBidi"/>
          <w:lang w:bidi="fa-IR"/>
        </w:rPr>
        <w:t xml:space="preserve">. </w:t>
      </w:r>
    </w:p>
    <w:p w14:paraId="1B2DC8B9" w14:textId="77777777" w:rsidR="00063D2E" w:rsidRPr="00063D2E" w:rsidRDefault="00063D2E" w:rsidP="00063D2E">
      <w:pPr>
        <w:jc w:val="both"/>
        <w:rPr>
          <w:rFonts w:asciiTheme="majorBidi" w:hAnsiTheme="majorBidi" w:cstheme="majorBidi"/>
          <w:lang w:bidi="fa-IR"/>
        </w:rPr>
      </w:pPr>
      <w:r w:rsidRPr="00063D2E">
        <w:rPr>
          <w:rFonts w:asciiTheme="majorBidi" w:hAnsiTheme="majorBidi" w:cstheme="majorBidi"/>
          <w:b/>
          <w:bCs/>
          <w:lang w:bidi="fa-IR"/>
        </w:rPr>
        <w:t>Structural and Institutional Barriers</w:t>
      </w:r>
    </w:p>
    <w:p w14:paraId="467A1B34" w14:textId="77777777" w:rsidR="00063D2E" w:rsidRPr="00063D2E" w:rsidRDefault="00063D2E" w:rsidP="00063D2E">
      <w:pPr>
        <w:jc w:val="both"/>
        <w:rPr>
          <w:rFonts w:asciiTheme="majorBidi" w:hAnsiTheme="majorBidi" w:cstheme="majorBidi"/>
          <w:lang w:bidi="fa-IR"/>
        </w:rPr>
      </w:pPr>
      <w:r w:rsidRPr="00063D2E">
        <w:rPr>
          <w:rFonts w:asciiTheme="majorBidi" w:hAnsiTheme="majorBidi" w:cstheme="majorBidi"/>
          <w:lang w:bidi="fa-IR"/>
        </w:rPr>
        <w:t>Expert bodies monitoring compliance with international standards have highlighted systemic challenges:</w:t>
      </w:r>
    </w:p>
    <w:p w14:paraId="1E122ADD" w14:textId="3A030FF1" w:rsidR="00063D2E" w:rsidRPr="002D6273" w:rsidRDefault="00063D2E" w:rsidP="002D6273">
      <w:pPr>
        <w:pStyle w:val="ListParagraph"/>
        <w:numPr>
          <w:ilvl w:val="0"/>
          <w:numId w:val="3"/>
        </w:numPr>
        <w:jc w:val="both"/>
        <w:rPr>
          <w:rFonts w:asciiTheme="majorBidi" w:hAnsiTheme="majorBidi" w:cstheme="majorBidi"/>
          <w:b/>
          <w:bCs/>
          <w:lang w:bidi="fa-IR"/>
        </w:rPr>
      </w:pPr>
      <w:r w:rsidRPr="002D6273">
        <w:rPr>
          <w:rFonts w:asciiTheme="majorBidi" w:hAnsiTheme="majorBidi" w:cstheme="majorBidi"/>
          <w:b/>
          <w:bCs/>
          <w:lang w:bidi="fa-IR"/>
        </w:rPr>
        <w:t>Gender-Neutral Approaches and Power Dynamics:</w:t>
      </w:r>
    </w:p>
    <w:p w14:paraId="557263FE" w14:textId="422087E2" w:rsidR="00063D2E" w:rsidRPr="00063D2E" w:rsidRDefault="00063D2E" w:rsidP="00063D2E">
      <w:pPr>
        <w:jc w:val="both"/>
        <w:rPr>
          <w:rFonts w:asciiTheme="majorBidi" w:hAnsiTheme="majorBidi" w:cstheme="majorBidi"/>
          <w:lang w:bidi="fa-IR"/>
        </w:rPr>
      </w:pPr>
      <w:r w:rsidRPr="00063D2E">
        <w:rPr>
          <w:rFonts w:asciiTheme="majorBidi" w:hAnsiTheme="majorBidi" w:cstheme="majorBidi"/>
          <w:lang w:bidi="fa-IR"/>
        </w:rPr>
        <w:br/>
      </w:r>
      <w:r w:rsidRPr="002D6273">
        <w:rPr>
          <w:rFonts w:asciiTheme="majorBidi" w:hAnsiTheme="majorBidi" w:cstheme="majorBidi"/>
          <w:lang w:bidi="fa-IR"/>
        </w:rPr>
        <w:t xml:space="preserve">GREVIO — the Council of Europe’s monitoring body for the Istanbul Convention — has </w:t>
      </w:r>
      <w:r w:rsidR="002D6273" w:rsidRPr="002D6273">
        <w:rPr>
          <w:rFonts w:asciiTheme="majorBidi" w:hAnsiTheme="majorBidi" w:cstheme="majorBidi"/>
          <w:lang w:bidi="fa-IR"/>
        </w:rPr>
        <w:t>criticized</w:t>
      </w:r>
      <w:r w:rsidRPr="002D6273">
        <w:rPr>
          <w:rFonts w:asciiTheme="majorBidi" w:hAnsiTheme="majorBidi" w:cstheme="majorBidi"/>
          <w:lang w:bidi="fa-IR"/>
        </w:rPr>
        <w:t xml:space="preserve"> Dutch policy for its gender-neutral framing of domestic violence (defining it as “violence in a dependency relationship”), which can obscure the disproportionate impact on women and the unequal power structures inherent in intimate partner violence. GREVIO warns that such approaches risk undermining effective protection and support, and may influence outcomes in family law, including custody decisions</w:t>
      </w:r>
      <w:r w:rsidR="002D6273">
        <w:rPr>
          <w:rStyle w:val="FootnoteReference"/>
          <w:rFonts w:asciiTheme="majorBidi" w:hAnsiTheme="majorBidi" w:cstheme="majorBidi"/>
          <w:lang w:bidi="fa-IR"/>
        </w:rPr>
        <w:footnoteReference w:id="5"/>
      </w:r>
      <w:r w:rsidRPr="00063D2E">
        <w:rPr>
          <w:rFonts w:asciiTheme="majorBidi" w:hAnsiTheme="majorBidi" w:cstheme="majorBidi"/>
          <w:lang w:bidi="fa-IR"/>
        </w:rPr>
        <w:t xml:space="preserve">. </w:t>
      </w:r>
    </w:p>
    <w:p w14:paraId="7A57363F" w14:textId="2DC6BF4B" w:rsidR="00063D2E" w:rsidRPr="002D6273" w:rsidRDefault="00063D2E" w:rsidP="002D6273">
      <w:pPr>
        <w:pStyle w:val="ListParagraph"/>
        <w:numPr>
          <w:ilvl w:val="0"/>
          <w:numId w:val="3"/>
        </w:numPr>
        <w:jc w:val="both"/>
        <w:rPr>
          <w:rFonts w:asciiTheme="majorBidi" w:hAnsiTheme="majorBidi" w:cstheme="majorBidi"/>
          <w:b/>
          <w:bCs/>
          <w:lang w:bidi="fa-IR"/>
        </w:rPr>
      </w:pPr>
      <w:r w:rsidRPr="002D6273">
        <w:rPr>
          <w:rFonts w:asciiTheme="majorBidi" w:hAnsiTheme="majorBidi" w:cstheme="majorBidi"/>
          <w:b/>
          <w:bCs/>
          <w:lang w:bidi="fa-IR"/>
        </w:rPr>
        <w:t>Under-Reporting and Trust Deficit:</w:t>
      </w:r>
    </w:p>
    <w:p w14:paraId="2072F9C4" w14:textId="07404A06" w:rsidR="00063D2E" w:rsidRPr="00063D2E" w:rsidRDefault="00063D2E" w:rsidP="00063D2E">
      <w:pPr>
        <w:jc w:val="both"/>
        <w:rPr>
          <w:rFonts w:asciiTheme="majorBidi" w:hAnsiTheme="majorBidi" w:cstheme="majorBidi"/>
          <w:lang w:bidi="fa-IR"/>
        </w:rPr>
      </w:pPr>
      <w:r w:rsidRPr="00063D2E">
        <w:rPr>
          <w:rFonts w:asciiTheme="majorBidi" w:hAnsiTheme="majorBidi" w:cstheme="majorBidi"/>
          <w:lang w:bidi="fa-IR"/>
        </w:rPr>
        <w:t xml:space="preserve">The gap between estimated prevalence and reported cases reveals a trust deficit in reporting mechanisms. Fear of involvement by child protective services, social stigma, and </w:t>
      </w:r>
      <w:r w:rsidR="002D6273" w:rsidRPr="002D6273">
        <w:rPr>
          <w:rFonts w:asciiTheme="majorBidi" w:hAnsiTheme="majorBidi" w:cstheme="majorBidi"/>
          <w:lang w:bidi="fa-IR"/>
        </w:rPr>
        <w:t>skepticism</w:t>
      </w:r>
      <w:r w:rsidRPr="00063D2E">
        <w:rPr>
          <w:rFonts w:asciiTheme="majorBidi" w:hAnsiTheme="majorBidi" w:cstheme="majorBidi"/>
          <w:lang w:bidi="fa-IR"/>
        </w:rPr>
        <w:t xml:space="preserve"> about law enforcement responsiveness discourage victims from seeking help. Expert bodies suggest that improving trust and accessibility of reporting mechanisms would increase reporting and early intervention</w:t>
      </w:r>
      <w:r w:rsidR="002D6273">
        <w:rPr>
          <w:rStyle w:val="FootnoteReference"/>
          <w:rFonts w:asciiTheme="majorBidi" w:hAnsiTheme="majorBidi" w:cstheme="majorBidi"/>
          <w:lang w:bidi="fa-IR"/>
        </w:rPr>
        <w:footnoteReference w:id="6"/>
      </w:r>
      <w:r w:rsidR="002D6273">
        <w:rPr>
          <w:rFonts w:asciiTheme="majorBidi" w:hAnsiTheme="majorBidi" w:cstheme="majorBidi"/>
          <w:lang w:bidi="fa-IR"/>
        </w:rPr>
        <w:t>.</w:t>
      </w:r>
    </w:p>
    <w:p w14:paraId="652A05DA" w14:textId="77777777" w:rsidR="00E17D07" w:rsidRPr="00E17D07" w:rsidRDefault="00E17D07" w:rsidP="00E17D07">
      <w:pPr>
        <w:jc w:val="both"/>
        <w:rPr>
          <w:rFonts w:asciiTheme="majorBidi" w:hAnsiTheme="majorBidi" w:cstheme="majorBidi"/>
          <w:lang w:bidi="fa-IR"/>
        </w:rPr>
      </w:pPr>
      <w:r w:rsidRPr="00E17D07">
        <w:rPr>
          <w:rFonts w:asciiTheme="majorBidi" w:hAnsiTheme="majorBidi" w:cstheme="majorBidi"/>
          <w:b/>
          <w:bCs/>
          <w:lang w:bidi="fa-IR"/>
        </w:rPr>
        <w:t>Shelter and Support Services</w:t>
      </w:r>
    </w:p>
    <w:p w14:paraId="182F6D1D" w14:textId="39035F12" w:rsidR="00E17D07" w:rsidRPr="00E17D07" w:rsidRDefault="00E17D07" w:rsidP="00E17D07">
      <w:pPr>
        <w:jc w:val="both"/>
        <w:rPr>
          <w:rFonts w:asciiTheme="majorBidi" w:hAnsiTheme="majorBidi" w:cstheme="majorBidi"/>
          <w:lang w:bidi="fa-IR"/>
        </w:rPr>
      </w:pPr>
      <w:r w:rsidRPr="00E17D07">
        <w:rPr>
          <w:rFonts w:asciiTheme="majorBidi" w:hAnsiTheme="majorBidi" w:cstheme="majorBidi"/>
          <w:lang w:bidi="fa-IR"/>
        </w:rPr>
        <w:t xml:space="preserve">There is a shortage of safe shelter spaces for survivors. According to the 2025 Safe Shelters Monitor, the Netherlands had approximately 1,024 shelter places for victims of domestic and sexual violence — equivalent to one space per 17,500 inhabitants. In contrast, minimum standards under the Istanbul Convention suggest a target of around 1,780 places (one per 10,000 inhabitants), indicating a substantial gap in providing safe refuge. While the government has made additional </w:t>
      </w:r>
      <w:r w:rsidRPr="00E17D07">
        <w:rPr>
          <w:rFonts w:asciiTheme="majorBidi" w:hAnsiTheme="majorBidi" w:cstheme="majorBidi"/>
          <w:lang w:bidi="fa-IR"/>
        </w:rPr>
        <w:lastRenderedPageBreak/>
        <w:t>funding commitments to expand capacity, shortages persist, particularly for women in precarious migration situations or with specific needs</w:t>
      </w:r>
      <w:r w:rsidR="00FE74F9">
        <w:rPr>
          <w:rStyle w:val="FootnoteReference"/>
          <w:rFonts w:asciiTheme="majorBidi" w:hAnsiTheme="majorBidi" w:cstheme="majorBidi"/>
          <w:lang w:bidi="fa-IR"/>
        </w:rPr>
        <w:footnoteReference w:id="7"/>
      </w:r>
      <w:r w:rsidR="00FE74F9">
        <w:rPr>
          <w:rFonts w:asciiTheme="majorBidi" w:hAnsiTheme="majorBidi" w:cstheme="majorBidi"/>
          <w:lang w:bidi="fa-IR"/>
        </w:rPr>
        <w:t>.</w:t>
      </w:r>
    </w:p>
    <w:p w14:paraId="3B6BF20A" w14:textId="77777777" w:rsidR="00E17D07" w:rsidRPr="00E17D07" w:rsidRDefault="00E17D07" w:rsidP="00E17D07">
      <w:pPr>
        <w:jc w:val="both"/>
        <w:rPr>
          <w:rFonts w:asciiTheme="majorBidi" w:hAnsiTheme="majorBidi" w:cstheme="majorBidi"/>
          <w:lang w:bidi="fa-IR"/>
        </w:rPr>
      </w:pPr>
      <w:r w:rsidRPr="00E17D07">
        <w:rPr>
          <w:rFonts w:asciiTheme="majorBidi" w:hAnsiTheme="majorBidi" w:cstheme="majorBidi"/>
          <w:b/>
          <w:bCs/>
          <w:lang w:bidi="fa-IR"/>
        </w:rPr>
        <w:t>Awareness and Public Perception</w:t>
      </w:r>
    </w:p>
    <w:p w14:paraId="37312CB2" w14:textId="499809EC" w:rsidR="00E17D07" w:rsidRPr="00E17D07" w:rsidRDefault="00E17D07" w:rsidP="00E17D07">
      <w:pPr>
        <w:jc w:val="both"/>
        <w:rPr>
          <w:rFonts w:asciiTheme="majorBidi" w:hAnsiTheme="majorBidi" w:cstheme="majorBidi"/>
          <w:lang w:bidi="fa-IR"/>
        </w:rPr>
      </w:pPr>
      <w:r w:rsidRPr="00E17D07">
        <w:rPr>
          <w:rFonts w:asciiTheme="majorBidi" w:hAnsiTheme="majorBidi" w:cstheme="majorBidi"/>
          <w:lang w:bidi="fa-IR"/>
        </w:rPr>
        <w:t xml:space="preserve">Awareness campaigns and changes in reporting mechanisms have increased the number of consultations and calls to support hotlines. In 2025, </w:t>
      </w:r>
      <w:proofErr w:type="spellStart"/>
      <w:r w:rsidRPr="00E17D07">
        <w:rPr>
          <w:rFonts w:asciiTheme="majorBidi" w:hAnsiTheme="majorBidi" w:cstheme="majorBidi"/>
          <w:lang w:bidi="fa-IR"/>
        </w:rPr>
        <w:t>Veilig</w:t>
      </w:r>
      <w:proofErr w:type="spellEnd"/>
      <w:r w:rsidRPr="00E17D07">
        <w:rPr>
          <w:rFonts w:asciiTheme="majorBidi" w:hAnsiTheme="majorBidi" w:cstheme="majorBidi"/>
          <w:lang w:bidi="fa-IR"/>
        </w:rPr>
        <w:t xml:space="preserve"> </w:t>
      </w:r>
      <w:proofErr w:type="spellStart"/>
      <w:r w:rsidRPr="00E17D07">
        <w:rPr>
          <w:rFonts w:asciiTheme="majorBidi" w:hAnsiTheme="majorBidi" w:cstheme="majorBidi"/>
          <w:lang w:bidi="fa-IR"/>
        </w:rPr>
        <w:t>Thuis</w:t>
      </w:r>
      <w:proofErr w:type="spellEnd"/>
      <w:r w:rsidRPr="00E17D07">
        <w:rPr>
          <w:rFonts w:asciiTheme="majorBidi" w:hAnsiTheme="majorBidi" w:cstheme="majorBidi"/>
          <w:lang w:bidi="fa-IR"/>
        </w:rPr>
        <w:t xml:space="preserve"> recorded a 31 % increase in calls to its abuse hotline, reflecting both heightened awareness and growing public concern about femicide and domestic violence. However, long waiting times and limited availability of 24/7 support services remain challenges that can exacerbate risks for victims</w:t>
      </w:r>
      <w:r w:rsidR="00FE74F9" w:rsidRPr="008834E4">
        <w:rPr>
          <w:rStyle w:val="FootnoteReference"/>
          <w:rFonts w:asciiTheme="majorBidi" w:hAnsiTheme="majorBidi" w:cstheme="majorBidi"/>
          <w:lang w:bidi="fa-IR"/>
        </w:rPr>
        <w:footnoteReference w:id="8"/>
      </w:r>
      <w:r w:rsidR="00FE74F9" w:rsidRPr="008834E4">
        <w:rPr>
          <w:rFonts w:asciiTheme="majorBidi" w:hAnsiTheme="majorBidi" w:cstheme="majorBidi"/>
          <w:lang w:bidi="fa-IR"/>
        </w:rPr>
        <w:t>.</w:t>
      </w:r>
    </w:p>
    <w:p w14:paraId="25EED7D6" w14:textId="79E2A196" w:rsidR="00E17D07" w:rsidRPr="00E17D07" w:rsidRDefault="00E17D07" w:rsidP="00E17D07">
      <w:pPr>
        <w:jc w:val="both"/>
        <w:rPr>
          <w:rFonts w:asciiTheme="majorBidi" w:hAnsiTheme="majorBidi" w:cstheme="majorBidi"/>
          <w:lang w:bidi="fa-IR"/>
        </w:rPr>
      </w:pPr>
      <w:r w:rsidRPr="00E17D07">
        <w:rPr>
          <w:rFonts w:asciiTheme="majorBidi" w:hAnsiTheme="majorBidi" w:cstheme="majorBidi"/>
          <w:b/>
          <w:bCs/>
          <w:lang w:bidi="fa-IR"/>
        </w:rPr>
        <w:t>Recommendations</w:t>
      </w:r>
    </w:p>
    <w:p w14:paraId="113E160D" w14:textId="1D396C9C" w:rsidR="001E27A2" w:rsidRPr="001E27A2" w:rsidRDefault="00E17D07" w:rsidP="00E17D07">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Expand and Sustain Shelter Capacity</w:t>
      </w:r>
    </w:p>
    <w:p w14:paraId="56DAED1B" w14:textId="61B8E77C"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 xml:space="preserve">The Netherlands is currently nearly 800 women’s shelter beds short of the international standard set by the Istanbul Convention (1 shelter place per 10,000 inhabitants versus the current 1 per ~17,500). Municipalities report waiting lists, forcing many victims to remain in dangerous situations without safe refuge. The government must urgently allocate increased long-term funding to reach and exceed minimum shelter capacity, including tailored spaces for women with children and victims with intersectional vulnerabilities (e.g., migrants without secure residence). </w:t>
      </w:r>
    </w:p>
    <w:p w14:paraId="36BA1EB9" w14:textId="3F086880" w:rsidR="001E27A2" w:rsidRPr="001E27A2" w:rsidRDefault="00E17D07" w:rsidP="001E27A2">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Strengthen Gender-Sensitive Legal Frameworks</w:t>
      </w:r>
    </w:p>
    <w:p w14:paraId="27C6FFC6" w14:textId="015802DA"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 xml:space="preserve">Current Dutch policy tends to frame “domestic violence” in gender-neutral terms, which expert bodies warn risks overlooking the disproportionate impact on women and underlying power imbalances. Laws and policies should explicitly </w:t>
      </w:r>
      <w:r w:rsidR="008834E4" w:rsidRPr="00E17D07">
        <w:rPr>
          <w:rFonts w:asciiTheme="majorBidi" w:hAnsiTheme="majorBidi" w:cstheme="majorBidi"/>
          <w:lang w:bidi="fa-IR"/>
        </w:rPr>
        <w:t>recognize</w:t>
      </w:r>
      <w:r w:rsidRPr="00E17D07">
        <w:rPr>
          <w:rFonts w:asciiTheme="majorBidi" w:hAnsiTheme="majorBidi" w:cstheme="majorBidi"/>
          <w:lang w:bidi="fa-IR"/>
        </w:rPr>
        <w:t xml:space="preserve"> gendered dynamics in intimate partner violence to improve detection, intervention, and protection — particularly in custody and visitation decisions where violence history must be a mandatory factor. </w:t>
      </w:r>
    </w:p>
    <w:p w14:paraId="004E72A7" w14:textId="77777777" w:rsidR="001E27A2" w:rsidRPr="001E27A2" w:rsidRDefault="00E17D07" w:rsidP="00E17D07">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Improve Early Intervention and Risk Assessment</w:t>
      </w:r>
    </w:p>
    <w:p w14:paraId="184F160A" w14:textId="43FEDD5C"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 xml:space="preserve">Stable femicide rates over the past decade suggest that current responses are not adequately preventing escalation to lethal violence. Authorities should adopt comprehensive risk assessment tools and protocols for professionals (police, judiciary, social workers, health providers) that identify coercive control and patterns of escalating abuse before they result in severe harm or death. </w:t>
      </w:r>
    </w:p>
    <w:p w14:paraId="140A2551" w14:textId="64464DE5" w:rsidR="001E27A2" w:rsidRDefault="00E17D07" w:rsidP="001E27A2">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Enhance Coordinated Support Services</w:t>
      </w:r>
    </w:p>
    <w:p w14:paraId="2D0D3F92" w14:textId="130D9C7F"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lastRenderedPageBreak/>
        <w:t xml:space="preserve">Building on promising models like </w:t>
      </w:r>
      <w:r w:rsidR="008834E4" w:rsidRPr="00E17D07">
        <w:rPr>
          <w:rFonts w:asciiTheme="majorBidi" w:hAnsiTheme="majorBidi" w:cstheme="majorBidi"/>
          <w:lang w:bidi="fa-IR"/>
        </w:rPr>
        <w:t>centralized</w:t>
      </w:r>
      <w:r w:rsidRPr="00E17D07">
        <w:rPr>
          <w:rFonts w:asciiTheme="majorBidi" w:hAnsiTheme="majorBidi" w:cstheme="majorBidi"/>
          <w:lang w:bidi="fa-IR"/>
        </w:rPr>
        <w:t xml:space="preserve"> support </w:t>
      </w:r>
      <w:r w:rsidR="008834E4" w:rsidRPr="00E17D07">
        <w:rPr>
          <w:rFonts w:asciiTheme="majorBidi" w:hAnsiTheme="majorBidi" w:cstheme="majorBidi"/>
          <w:lang w:bidi="fa-IR"/>
        </w:rPr>
        <w:t>centers</w:t>
      </w:r>
      <w:r w:rsidRPr="00E17D07">
        <w:rPr>
          <w:rFonts w:asciiTheme="majorBidi" w:hAnsiTheme="majorBidi" w:cstheme="majorBidi"/>
          <w:lang w:bidi="fa-IR"/>
        </w:rPr>
        <w:t xml:space="preserve"> (e.g., Filomena model), the government should scale up integrated </w:t>
      </w:r>
      <w:r w:rsidR="008834E4" w:rsidRPr="00E17D07">
        <w:rPr>
          <w:rFonts w:asciiTheme="majorBidi" w:hAnsiTheme="majorBidi" w:cstheme="majorBidi"/>
          <w:lang w:bidi="fa-IR"/>
        </w:rPr>
        <w:t>centers</w:t>
      </w:r>
      <w:r w:rsidRPr="00E17D07">
        <w:rPr>
          <w:rFonts w:asciiTheme="majorBidi" w:hAnsiTheme="majorBidi" w:cstheme="majorBidi"/>
          <w:lang w:bidi="fa-IR"/>
        </w:rPr>
        <w:t xml:space="preserve"> where victims can receive coordinated legal, psychological, medical, and forensic assistance under one roof, with pathways for follow-up and case monitoring. Coordination between authorities and civil society </w:t>
      </w:r>
      <w:r w:rsidR="008834E4" w:rsidRPr="00E17D07">
        <w:rPr>
          <w:rFonts w:asciiTheme="majorBidi" w:hAnsiTheme="majorBidi" w:cstheme="majorBidi"/>
          <w:lang w:bidi="fa-IR"/>
        </w:rPr>
        <w:t>organizations</w:t>
      </w:r>
      <w:r w:rsidRPr="00E17D07">
        <w:rPr>
          <w:rFonts w:asciiTheme="majorBidi" w:hAnsiTheme="majorBidi" w:cstheme="majorBidi"/>
          <w:lang w:bidi="fa-IR"/>
        </w:rPr>
        <w:t xml:space="preserve"> should be strengthened nationwide. </w:t>
      </w:r>
    </w:p>
    <w:p w14:paraId="52F72B68" w14:textId="77777777" w:rsidR="001E27A2" w:rsidRPr="001E27A2" w:rsidRDefault="00E17D07" w:rsidP="00E17D07">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Facilitate Access to Justice and Reporting</w:t>
      </w:r>
    </w:p>
    <w:p w14:paraId="704C97E2" w14:textId="3BEEA0DC"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Barriers to reporting — including fear of child protective interventions or complex procedures — must be addressed. Simplified and victim-</w:t>
      </w:r>
      <w:r w:rsidR="008834E4" w:rsidRPr="00E17D07">
        <w:rPr>
          <w:rFonts w:asciiTheme="majorBidi" w:hAnsiTheme="majorBidi" w:cstheme="majorBidi"/>
          <w:lang w:bidi="fa-IR"/>
        </w:rPr>
        <w:t>centered</w:t>
      </w:r>
      <w:r w:rsidRPr="00E17D07">
        <w:rPr>
          <w:rFonts w:asciiTheme="majorBidi" w:hAnsiTheme="majorBidi" w:cstheme="majorBidi"/>
          <w:lang w:bidi="fa-IR"/>
        </w:rPr>
        <w:t xml:space="preserve"> reporting mechanisms, supported by legal aid and confidential pathways, should be expanded. Law enforcement must receive enhanced training to take all complaints seriously and respond proactively, rather than minimizing or deferring action. </w:t>
      </w:r>
    </w:p>
    <w:p w14:paraId="16EC617A" w14:textId="77777777" w:rsidR="001E27A2" w:rsidRPr="001E27A2" w:rsidRDefault="00E17D07" w:rsidP="00E17D07">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Protect Migrant and Vulnerable Women</w:t>
      </w:r>
    </w:p>
    <w:p w14:paraId="456B9CC2" w14:textId="7E46B500"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 xml:space="preserve">Women with insecure residence status should have guaranteed access to shelters and protective services without fear of deportation. Implementation of EU Directive protections that ensure access to shelter and recovery services regardless of residence status should be actively monitored and enforced. </w:t>
      </w:r>
    </w:p>
    <w:p w14:paraId="391FD8CC" w14:textId="77777777" w:rsidR="001E27A2" w:rsidRPr="001E27A2" w:rsidRDefault="00E17D07" w:rsidP="00E17D07">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Mandatory Gender-Aware Training</w:t>
      </w:r>
    </w:p>
    <w:p w14:paraId="4C69886E" w14:textId="638F8F28"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All professionals likely to encounter victims or perpetrators — including police officers, judges, mediators, social workers, health professionals and educators — should receive mandatory, ongoing gender-aware training on power dynamics, coercive control, cultural competence, and trauma-informed response. This will reduce re-</w:t>
      </w:r>
      <w:r w:rsidR="001E27A2" w:rsidRPr="00E17D07">
        <w:rPr>
          <w:rFonts w:asciiTheme="majorBidi" w:hAnsiTheme="majorBidi" w:cstheme="majorBidi"/>
          <w:lang w:bidi="fa-IR"/>
        </w:rPr>
        <w:t>victimization</w:t>
      </w:r>
      <w:r w:rsidRPr="00E17D07">
        <w:rPr>
          <w:rFonts w:asciiTheme="majorBidi" w:hAnsiTheme="majorBidi" w:cstheme="majorBidi"/>
          <w:lang w:bidi="fa-IR"/>
        </w:rPr>
        <w:t xml:space="preserve"> and improve the quality of intervention. </w:t>
      </w:r>
    </w:p>
    <w:p w14:paraId="1A97B43E" w14:textId="77777777" w:rsidR="001E27A2" w:rsidRPr="001E27A2" w:rsidRDefault="00E17D07" w:rsidP="00E17D07">
      <w:pPr>
        <w:numPr>
          <w:ilvl w:val="0"/>
          <w:numId w:val="2"/>
        </w:numPr>
        <w:jc w:val="both"/>
        <w:rPr>
          <w:rFonts w:asciiTheme="majorBidi" w:hAnsiTheme="majorBidi" w:cstheme="majorBidi"/>
          <w:lang w:bidi="fa-IR"/>
        </w:rPr>
      </w:pPr>
      <w:r w:rsidRPr="00E17D07">
        <w:rPr>
          <w:rFonts w:asciiTheme="majorBidi" w:hAnsiTheme="majorBidi" w:cstheme="majorBidi"/>
          <w:b/>
          <w:bCs/>
          <w:lang w:bidi="fa-IR"/>
        </w:rPr>
        <w:t>Public Awareness and Education Campaigns</w:t>
      </w:r>
    </w:p>
    <w:p w14:paraId="07A3C885" w14:textId="4C9DF296" w:rsidR="00E17D07" w:rsidRPr="00E17D07" w:rsidRDefault="00E17D07" w:rsidP="001E27A2">
      <w:pPr>
        <w:ind w:left="720"/>
        <w:jc w:val="both"/>
        <w:rPr>
          <w:rFonts w:asciiTheme="majorBidi" w:hAnsiTheme="majorBidi" w:cstheme="majorBidi"/>
          <w:lang w:bidi="fa-IR"/>
        </w:rPr>
      </w:pPr>
      <w:r w:rsidRPr="00E17D07">
        <w:rPr>
          <w:rFonts w:asciiTheme="majorBidi" w:hAnsiTheme="majorBidi" w:cstheme="majorBidi"/>
          <w:lang w:bidi="fa-IR"/>
        </w:rPr>
        <w:t>In addition to formal responses, the government should expand public campaigns to challenge harmful gender stereotypes and raise awareness of the gendered nature and indicators of domestic violence. Early education on healthy relationships and recognition of abuse in school curricula can contribute to long-term prevention</w:t>
      </w:r>
      <w:r w:rsidR="008834E4">
        <w:rPr>
          <w:rFonts w:asciiTheme="majorBidi" w:hAnsiTheme="majorBidi" w:cstheme="majorBidi"/>
          <w:lang w:bidi="fa-IR"/>
        </w:rPr>
        <w:t>.</w:t>
      </w:r>
    </w:p>
    <w:p w14:paraId="5CE893CF" w14:textId="741DA7D6" w:rsidR="00063D2E" w:rsidRPr="00063D2E" w:rsidRDefault="00063D2E" w:rsidP="00063D2E">
      <w:pPr>
        <w:jc w:val="both"/>
        <w:rPr>
          <w:rFonts w:asciiTheme="majorBidi" w:hAnsiTheme="majorBidi" w:cstheme="majorBidi"/>
          <w:lang w:bidi="fa-IR"/>
        </w:rPr>
      </w:pPr>
    </w:p>
    <w:p w14:paraId="24981934" w14:textId="77777777" w:rsidR="00063D2E" w:rsidRPr="00063D2E" w:rsidRDefault="00063D2E" w:rsidP="00063D2E">
      <w:pPr>
        <w:jc w:val="both"/>
        <w:rPr>
          <w:rFonts w:asciiTheme="majorBidi" w:hAnsiTheme="majorBidi" w:cstheme="majorBidi"/>
          <w:lang w:bidi="fa-IR"/>
        </w:rPr>
      </w:pPr>
    </w:p>
    <w:sectPr w:rsidR="00063D2E" w:rsidRPr="00063D2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B757F" w14:textId="77777777" w:rsidR="0012456E" w:rsidRDefault="0012456E" w:rsidP="00AA22D0">
      <w:pPr>
        <w:spacing w:after="0" w:line="240" w:lineRule="auto"/>
      </w:pPr>
      <w:r>
        <w:separator/>
      </w:r>
    </w:p>
  </w:endnote>
  <w:endnote w:type="continuationSeparator" w:id="0">
    <w:p w14:paraId="332F7BE6" w14:textId="77777777" w:rsidR="0012456E" w:rsidRDefault="0012456E" w:rsidP="00AA2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08078" w14:textId="77777777" w:rsidR="0012456E" w:rsidRDefault="0012456E" w:rsidP="00AA22D0">
      <w:pPr>
        <w:spacing w:after="0" w:line="240" w:lineRule="auto"/>
      </w:pPr>
      <w:r>
        <w:separator/>
      </w:r>
    </w:p>
  </w:footnote>
  <w:footnote w:type="continuationSeparator" w:id="0">
    <w:p w14:paraId="36B85C4C" w14:textId="77777777" w:rsidR="0012456E" w:rsidRDefault="0012456E" w:rsidP="00AA22D0">
      <w:pPr>
        <w:spacing w:after="0" w:line="240" w:lineRule="auto"/>
      </w:pPr>
      <w:r>
        <w:continuationSeparator/>
      </w:r>
    </w:p>
  </w:footnote>
  <w:footnote w:id="1">
    <w:p w14:paraId="3C91A46E" w14:textId="4B3E03A2" w:rsidR="00AA22D0" w:rsidRPr="008C7B6B" w:rsidRDefault="00AA22D0">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https://nltimes.nl/2025/10/24/domestic-violence-reports-rising-steadily-66000-first-half-2025</w:t>
      </w:r>
    </w:p>
  </w:footnote>
  <w:footnote w:id="2">
    <w:p w14:paraId="5E677FF7" w14:textId="4D8CA63B" w:rsidR="00AA22D0" w:rsidRPr="008C7B6B" w:rsidRDefault="00AA22D0">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https://www.eerstekamer.nl/overig/20251127/thematische_evaluatie_grevio_2025/document</w:t>
      </w:r>
    </w:p>
  </w:footnote>
  <w:footnote w:id="3">
    <w:p w14:paraId="725C0085" w14:textId="372DB0BA" w:rsidR="004E1D97" w:rsidRPr="008C7B6B" w:rsidRDefault="004E1D97">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https://nltimes.nl/2025/09/19/third-women-netherlands-abusive-partner-ex</w:t>
      </w:r>
    </w:p>
  </w:footnote>
  <w:footnote w:id="4">
    <w:p w14:paraId="357FC027" w14:textId="50E989E3" w:rsidR="002D6273" w:rsidRPr="008C7B6B" w:rsidRDefault="002D6273">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https://www.cbs.nl/en-gb/news/2025/48/number-of-women-killed-by-partner-or-ex-unchanged-in-15-years</w:t>
      </w:r>
    </w:p>
  </w:footnote>
  <w:footnote w:id="5">
    <w:p w14:paraId="7509CEC7" w14:textId="7F64CF77" w:rsidR="002D6273" w:rsidRPr="008C7B6B" w:rsidRDefault="002D6273">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https://www.reuters.com/world/netherlands-must-better-recognise-role-gender-domestic-violence-expert-body-says-2025-10-24</w:t>
      </w:r>
    </w:p>
  </w:footnote>
  <w:footnote w:id="6">
    <w:p w14:paraId="48646A59" w14:textId="4B7FD3C2" w:rsidR="002D6273" w:rsidRPr="008C7B6B" w:rsidRDefault="002D6273">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https://www.eerstekamer.nl/overig/20251127/thematische_evaluatie_grevio_2025/document</w:t>
      </w:r>
    </w:p>
  </w:footnote>
  <w:footnote w:id="7">
    <w:p w14:paraId="516306D6" w14:textId="70ABF379" w:rsidR="00FE74F9" w:rsidRPr="008C7B6B" w:rsidRDefault="00FE74F9">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https://rm.coe.int/grevio-inf-2025-15-add-govenrment-comments-on-the-final-report-nl/488029a2ff</w:t>
      </w:r>
    </w:p>
  </w:footnote>
  <w:footnote w:id="8">
    <w:p w14:paraId="68C17933" w14:textId="6FC9CF43" w:rsidR="00FE74F9" w:rsidRPr="008C7B6B" w:rsidRDefault="00FE74F9">
      <w:pPr>
        <w:pStyle w:val="FootnoteText"/>
        <w:rPr>
          <w:rFonts w:asciiTheme="majorBidi" w:hAnsiTheme="majorBidi" w:cstheme="majorBidi"/>
        </w:rPr>
      </w:pPr>
      <w:r w:rsidRPr="008C7B6B">
        <w:rPr>
          <w:rStyle w:val="FootnoteReference"/>
          <w:rFonts w:asciiTheme="majorBidi" w:hAnsiTheme="majorBidi" w:cstheme="majorBidi"/>
        </w:rPr>
        <w:footnoteRef/>
      </w:r>
      <w:r w:rsidRPr="008C7B6B">
        <w:rPr>
          <w:rFonts w:asciiTheme="majorBidi" w:hAnsiTheme="majorBidi" w:cstheme="majorBidi"/>
        </w:rPr>
        <w:t xml:space="preserve"> </w:t>
      </w:r>
      <w:r w:rsidRPr="008C7B6B">
        <w:rPr>
          <w:rFonts w:asciiTheme="majorBidi" w:hAnsiTheme="majorBidi" w:cstheme="majorBidi"/>
        </w:rPr>
        <w:t>https://nltimes.nl/2025/08/03/record-calls-dutch-abuse-hotline-femicide-fears-grow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00A2"/>
    <w:multiLevelType w:val="multilevel"/>
    <w:tmpl w:val="FDE4B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E216AD"/>
    <w:multiLevelType w:val="hybridMultilevel"/>
    <w:tmpl w:val="7A9E7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E2795A"/>
    <w:multiLevelType w:val="hybridMultilevel"/>
    <w:tmpl w:val="BBCAD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4611579">
    <w:abstractNumId w:val="2"/>
  </w:num>
  <w:num w:numId="2" w16cid:durableId="2101439185">
    <w:abstractNumId w:val="0"/>
  </w:num>
  <w:num w:numId="3" w16cid:durableId="1247880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05E"/>
    <w:rsid w:val="00063D2E"/>
    <w:rsid w:val="0012456E"/>
    <w:rsid w:val="001B534F"/>
    <w:rsid w:val="001E27A2"/>
    <w:rsid w:val="002D6273"/>
    <w:rsid w:val="00333EDF"/>
    <w:rsid w:val="004E1D97"/>
    <w:rsid w:val="00840D45"/>
    <w:rsid w:val="008834E4"/>
    <w:rsid w:val="008C7B6B"/>
    <w:rsid w:val="00951908"/>
    <w:rsid w:val="00AA22D0"/>
    <w:rsid w:val="00CB0C66"/>
    <w:rsid w:val="00D1105E"/>
    <w:rsid w:val="00D21556"/>
    <w:rsid w:val="00D837C6"/>
    <w:rsid w:val="00E17D07"/>
    <w:rsid w:val="00F43B5A"/>
    <w:rsid w:val="00FE74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B2C96"/>
  <w15:chartTrackingRefBased/>
  <w15:docId w15:val="{85E2AF67-8391-4F43-A94B-7CD13D41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0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10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10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10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10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10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0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0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0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0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10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10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10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10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1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05E"/>
    <w:rPr>
      <w:rFonts w:eastAsiaTheme="majorEastAsia" w:cstheme="majorBidi"/>
      <w:color w:val="272727" w:themeColor="text1" w:themeTint="D8"/>
    </w:rPr>
  </w:style>
  <w:style w:type="paragraph" w:styleId="Title">
    <w:name w:val="Title"/>
    <w:basedOn w:val="Normal"/>
    <w:next w:val="Normal"/>
    <w:link w:val="TitleChar"/>
    <w:uiPriority w:val="10"/>
    <w:qFormat/>
    <w:rsid w:val="00D11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05E"/>
    <w:pPr>
      <w:spacing w:before="160"/>
      <w:jc w:val="center"/>
    </w:pPr>
    <w:rPr>
      <w:i/>
      <w:iCs/>
      <w:color w:val="404040" w:themeColor="text1" w:themeTint="BF"/>
    </w:rPr>
  </w:style>
  <w:style w:type="character" w:customStyle="1" w:styleId="QuoteChar">
    <w:name w:val="Quote Char"/>
    <w:basedOn w:val="DefaultParagraphFont"/>
    <w:link w:val="Quote"/>
    <w:uiPriority w:val="29"/>
    <w:rsid w:val="00D1105E"/>
    <w:rPr>
      <w:i/>
      <w:iCs/>
      <w:color w:val="404040" w:themeColor="text1" w:themeTint="BF"/>
    </w:rPr>
  </w:style>
  <w:style w:type="paragraph" w:styleId="ListParagraph">
    <w:name w:val="List Paragraph"/>
    <w:basedOn w:val="Normal"/>
    <w:uiPriority w:val="34"/>
    <w:qFormat/>
    <w:rsid w:val="00D1105E"/>
    <w:pPr>
      <w:ind w:left="720"/>
      <w:contextualSpacing/>
    </w:pPr>
  </w:style>
  <w:style w:type="character" w:styleId="IntenseEmphasis">
    <w:name w:val="Intense Emphasis"/>
    <w:basedOn w:val="DefaultParagraphFont"/>
    <w:uiPriority w:val="21"/>
    <w:qFormat/>
    <w:rsid w:val="00D1105E"/>
    <w:rPr>
      <w:i/>
      <w:iCs/>
      <w:color w:val="2F5496" w:themeColor="accent1" w:themeShade="BF"/>
    </w:rPr>
  </w:style>
  <w:style w:type="paragraph" w:styleId="IntenseQuote">
    <w:name w:val="Intense Quote"/>
    <w:basedOn w:val="Normal"/>
    <w:next w:val="Normal"/>
    <w:link w:val="IntenseQuoteChar"/>
    <w:uiPriority w:val="30"/>
    <w:qFormat/>
    <w:rsid w:val="00D110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105E"/>
    <w:rPr>
      <w:i/>
      <w:iCs/>
      <w:color w:val="2F5496" w:themeColor="accent1" w:themeShade="BF"/>
    </w:rPr>
  </w:style>
  <w:style w:type="character" w:styleId="IntenseReference">
    <w:name w:val="Intense Reference"/>
    <w:basedOn w:val="DefaultParagraphFont"/>
    <w:uiPriority w:val="32"/>
    <w:qFormat/>
    <w:rsid w:val="00D1105E"/>
    <w:rPr>
      <w:b/>
      <w:bCs/>
      <w:smallCaps/>
      <w:color w:val="2F5496" w:themeColor="accent1" w:themeShade="BF"/>
      <w:spacing w:val="5"/>
    </w:rPr>
  </w:style>
  <w:style w:type="character" w:styleId="Hyperlink">
    <w:name w:val="Hyperlink"/>
    <w:basedOn w:val="DefaultParagraphFont"/>
    <w:uiPriority w:val="99"/>
    <w:unhideWhenUsed/>
    <w:rsid w:val="00063D2E"/>
    <w:rPr>
      <w:color w:val="0563C1" w:themeColor="hyperlink"/>
      <w:u w:val="single"/>
    </w:rPr>
  </w:style>
  <w:style w:type="character" w:styleId="UnresolvedMention">
    <w:name w:val="Unresolved Mention"/>
    <w:basedOn w:val="DefaultParagraphFont"/>
    <w:uiPriority w:val="99"/>
    <w:semiHidden/>
    <w:unhideWhenUsed/>
    <w:rsid w:val="00063D2E"/>
    <w:rPr>
      <w:color w:val="605E5C"/>
      <w:shd w:val="clear" w:color="auto" w:fill="E1DFDD"/>
    </w:rPr>
  </w:style>
  <w:style w:type="paragraph" w:styleId="FootnoteText">
    <w:name w:val="footnote text"/>
    <w:basedOn w:val="Normal"/>
    <w:link w:val="FootnoteTextChar"/>
    <w:uiPriority w:val="99"/>
    <w:semiHidden/>
    <w:unhideWhenUsed/>
    <w:rsid w:val="00AA22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22D0"/>
    <w:rPr>
      <w:sz w:val="20"/>
      <w:szCs w:val="20"/>
    </w:rPr>
  </w:style>
  <w:style w:type="character" w:styleId="FootnoteReference">
    <w:name w:val="footnote reference"/>
    <w:basedOn w:val="DefaultParagraphFont"/>
    <w:uiPriority w:val="99"/>
    <w:semiHidden/>
    <w:unhideWhenUsed/>
    <w:rsid w:val="00AA22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86E62-F62F-42EB-AFB3-18E5A5222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686</TotalTime>
  <Pages>4</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7</cp:revision>
  <dcterms:created xsi:type="dcterms:W3CDTF">2025-12-26T08:21:00Z</dcterms:created>
  <dcterms:modified xsi:type="dcterms:W3CDTF">2025-12-26T19:49:00Z</dcterms:modified>
</cp:coreProperties>
</file>