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555" w:rsidRPr="007D16D5" w:rsidRDefault="004C6555" w:rsidP="007D16D5">
      <w:pPr>
        <w:pStyle w:val="ListeParagraf"/>
        <w:ind w:left="0"/>
        <w:jc w:val="both"/>
        <w:rPr>
          <w:rFonts w:eastAsiaTheme="minorHAnsi"/>
          <w:color w:val="000000" w:themeColor="text1"/>
          <w:lang w:eastAsia="en-US"/>
        </w:rPr>
      </w:pPr>
      <w:bookmarkStart w:id="0" w:name="_GoBack"/>
      <w:bookmarkEnd w:id="0"/>
    </w:p>
    <w:p w:rsidR="004C6555" w:rsidRPr="000A66BC" w:rsidRDefault="000A66BC" w:rsidP="000A66BC">
      <w:pPr>
        <w:pStyle w:val="ListeParagraf"/>
        <w:ind w:left="0"/>
        <w:jc w:val="center"/>
        <w:rPr>
          <w:rFonts w:eastAsiaTheme="minorHAnsi"/>
          <w:b/>
          <w:color w:val="000000" w:themeColor="text1"/>
          <w:sz w:val="28"/>
          <w:u w:val="single"/>
          <w:lang w:eastAsia="en-US"/>
        </w:rPr>
      </w:pPr>
      <w:r w:rsidRPr="000A66BC">
        <w:rPr>
          <w:rFonts w:eastAsiaTheme="minorHAnsi"/>
          <w:b/>
          <w:color w:val="000000" w:themeColor="text1"/>
          <w:sz w:val="28"/>
          <w:u w:val="single"/>
          <w:lang w:eastAsia="en-US"/>
        </w:rPr>
        <w:t xml:space="preserve">CONTRIBUTION OF THE </w:t>
      </w:r>
      <w:r w:rsidR="00A82C0B">
        <w:rPr>
          <w:rFonts w:eastAsiaTheme="minorHAnsi"/>
          <w:b/>
          <w:color w:val="000000" w:themeColor="text1"/>
          <w:sz w:val="28"/>
          <w:u w:val="single"/>
          <w:lang w:eastAsia="en-US"/>
        </w:rPr>
        <w:t>OMBUDSMAN</w:t>
      </w:r>
      <w:r w:rsidRPr="000A66BC">
        <w:rPr>
          <w:rFonts w:eastAsiaTheme="minorHAnsi"/>
          <w:b/>
          <w:color w:val="000000" w:themeColor="text1"/>
          <w:sz w:val="28"/>
          <w:u w:val="single"/>
          <w:lang w:eastAsia="en-US"/>
        </w:rPr>
        <w:t xml:space="preserve"> INSTITUTION</w:t>
      </w:r>
    </w:p>
    <w:p w:rsidR="004C6555" w:rsidRPr="007D16D5" w:rsidRDefault="004C6555" w:rsidP="007D16D5">
      <w:pPr>
        <w:pStyle w:val="ListeParagraf"/>
        <w:ind w:left="0"/>
        <w:jc w:val="both"/>
        <w:rPr>
          <w:rFonts w:eastAsiaTheme="minorHAnsi"/>
          <w:color w:val="000000" w:themeColor="text1"/>
          <w:lang w:eastAsia="en-US"/>
        </w:rPr>
      </w:pPr>
    </w:p>
    <w:p w:rsidR="00A73F91" w:rsidRDefault="00B66975" w:rsidP="00A73F91">
      <w:pPr>
        <w:pStyle w:val="ListeParagraf"/>
        <w:ind w:left="0"/>
        <w:jc w:val="both"/>
        <w:rPr>
          <w:color w:val="000000" w:themeColor="text1"/>
          <w:lang w:val="en-US"/>
        </w:rPr>
      </w:pPr>
      <w:r w:rsidRPr="007D16D5">
        <w:rPr>
          <w:rFonts w:eastAsiaTheme="minorHAnsi"/>
          <w:color w:val="000000" w:themeColor="text1"/>
          <w:lang w:eastAsia="en-US"/>
        </w:rPr>
        <w:t xml:space="preserve">As is known, the Paris Principles, adopted by the UN General Assembly </w:t>
      </w:r>
      <w:r w:rsidRPr="007D16D5">
        <w:rPr>
          <w:color w:val="000000" w:themeColor="text1"/>
        </w:rPr>
        <w:t xml:space="preserve">with resolution 48/134 on 20 December 1993, </w:t>
      </w:r>
      <w:r w:rsidR="00A73F91">
        <w:rPr>
          <w:color w:val="000000" w:themeColor="text1"/>
        </w:rPr>
        <w:t>is</w:t>
      </w:r>
      <w:r w:rsidRPr="007D16D5">
        <w:rPr>
          <w:color w:val="000000" w:themeColor="text1"/>
        </w:rPr>
        <w:t xml:space="preserve"> a fundamental text that </w:t>
      </w:r>
      <w:r w:rsidR="00A73F91" w:rsidRPr="00A73F91">
        <w:rPr>
          <w:color w:val="000000" w:themeColor="text1"/>
          <w:lang w:val="en-US"/>
        </w:rPr>
        <w:t>set out the minimum standards that NHRIs must meet in order to be considered credible and to operate effectively.</w:t>
      </w:r>
    </w:p>
    <w:p w:rsidR="00A73F91" w:rsidRDefault="00A73F91" w:rsidP="00A73F91">
      <w:pPr>
        <w:rPr>
          <w:b/>
          <w:bCs/>
          <w:color w:val="000000" w:themeColor="text1"/>
          <w:lang w:val="en-US"/>
        </w:rPr>
      </w:pPr>
    </w:p>
    <w:p w:rsidR="00A73F91" w:rsidRPr="00A73F91" w:rsidRDefault="00A73F91" w:rsidP="00A73F91">
      <w:pPr>
        <w:jc w:val="both"/>
        <w:rPr>
          <w:color w:val="000000" w:themeColor="text1"/>
          <w:lang w:val="en-US"/>
        </w:rPr>
      </w:pPr>
      <w:r w:rsidRPr="00A73F91">
        <w:rPr>
          <w:bCs/>
          <w:color w:val="000000" w:themeColor="text1"/>
          <w:lang w:val="en-US"/>
        </w:rPr>
        <w:t>The key pillars of the Paris Principles are pluralism, independence and effectiveness.</w:t>
      </w:r>
      <w:r>
        <w:rPr>
          <w:color w:val="000000" w:themeColor="text1"/>
          <w:lang w:val="en-US"/>
        </w:rPr>
        <w:t xml:space="preserve"> </w:t>
      </w:r>
      <w:r w:rsidRPr="00A73F91">
        <w:rPr>
          <w:color w:val="000000" w:themeColor="text1"/>
          <w:lang w:val="en-US"/>
        </w:rPr>
        <w:t>The Paris Principles set out requirements in relation to:</w:t>
      </w:r>
    </w:p>
    <w:p w:rsidR="00A73F91" w:rsidRPr="00A73F91" w:rsidRDefault="00A73F91" w:rsidP="00A73F91">
      <w:pPr>
        <w:pStyle w:val="ListeParagraf"/>
        <w:numPr>
          <w:ilvl w:val="0"/>
          <w:numId w:val="4"/>
        </w:numPr>
        <w:jc w:val="both"/>
        <w:rPr>
          <w:color w:val="000000" w:themeColor="text1"/>
          <w:lang w:val="en-US"/>
        </w:rPr>
      </w:pPr>
      <w:r w:rsidRPr="00A73F91">
        <w:rPr>
          <w:b/>
          <w:bCs/>
          <w:color w:val="000000" w:themeColor="text1"/>
          <w:lang w:val="en-US"/>
        </w:rPr>
        <w:t>Broad mandate,</w:t>
      </w:r>
      <w:r w:rsidRPr="00A73F91">
        <w:rPr>
          <w:color w:val="000000" w:themeColor="text1"/>
          <w:lang w:val="en-US"/>
        </w:rPr>
        <w:t> so that NHRIs are able to promote and protect all human rights</w:t>
      </w:r>
    </w:p>
    <w:p w:rsidR="00A73F91" w:rsidRPr="00A73F91" w:rsidRDefault="00A73F91" w:rsidP="00A73F91">
      <w:pPr>
        <w:pStyle w:val="ListeParagraf"/>
        <w:numPr>
          <w:ilvl w:val="0"/>
          <w:numId w:val="4"/>
        </w:numPr>
        <w:jc w:val="both"/>
        <w:rPr>
          <w:color w:val="000000" w:themeColor="text1"/>
          <w:lang w:val="en-US"/>
        </w:rPr>
      </w:pPr>
      <w:r w:rsidRPr="00A73F91">
        <w:rPr>
          <w:b/>
          <w:bCs/>
          <w:color w:val="000000" w:themeColor="text1"/>
          <w:lang w:val="en-US"/>
        </w:rPr>
        <w:t>Broad functions</w:t>
      </w:r>
      <w:r w:rsidRPr="00A73F91">
        <w:rPr>
          <w:color w:val="000000" w:themeColor="text1"/>
          <w:lang w:val="en-US"/>
        </w:rPr>
        <w:t>, so that NHRIs are able to deliver on their mandate by providing advice, reporting and monitoring, handling complaints and human rights education, among other “responsibilities”</w:t>
      </w:r>
    </w:p>
    <w:p w:rsidR="00A73F91" w:rsidRPr="00A73F91" w:rsidRDefault="00A73F91" w:rsidP="00A73F91">
      <w:pPr>
        <w:pStyle w:val="ListeParagraf"/>
        <w:numPr>
          <w:ilvl w:val="0"/>
          <w:numId w:val="4"/>
        </w:numPr>
        <w:jc w:val="both"/>
        <w:rPr>
          <w:color w:val="000000" w:themeColor="text1"/>
          <w:lang w:val="en-US"/>
        </w:rPr>
      </w:pPr>
      <w:r w:rsidRPr="00A73F91">
        <w:rPr>
          <w:b/>
          <w:bCs/>
          <w:color w:val="000000" w:themeColor="text1"/>
          <w:lang w:val="en-US"/>
        </w:rPr>
        <w:t>Independence from government</w:t>
      </w:r>
      <w:r w:rsidRPr="00A73F91">
        <w:rPr>
          <w:color w:val="000000" w:themeColor="text1"/>
          <w:lang w:val="en-US"/>
        </w:rPr>
        <w:t>, set out in legislation or the Constitution</w:t>
      </w:r>
    </w:p>
    <w:p w:rsidR="00A73F91" w:rsidRPr="00A73F91" w:rsidRDefault="00A73F91" w:rsidP="00A73F91">
      <w:pPr>
        <w:pStyle w:val="ListeParagraf"/>
        <w:numPr>
          <w:ilvl w:val="0"/>
          <w:numId w:val="4"/>
        </w:numPr>
        <w:jc w:val="both"/>
        <w:rPr>
          <w:color w:val="000000" w:themeColor="text1"/>
          <w:lang w:val="en-US"/>
        </w:rPr>
      </w:pPr>
      <w:r w:rsidRPr="00A73F91">
        <w:rPr>
          <w:b/>
          <w:bCs/>
          <w:color w:val="000000" w:themeColor="text1"/>
          <w:lang w:val="en-US"/>
        </w:rPr>
        <w:t>Pluralism</w:t>
      </w:r>
      <w:r w:rsidRPr="00A73F91">
        <w:rPr>
          <w:color w:val="000000" w:themeColor="text1"/>
          <w:lang w:val="en-US"/>
        </w:rPr>
        <w:t>, to ensure that the composition of NHRIs reflects the “social forces (of civilian society) involved in the promotion and protection of human rights”</w:t>
      </w:r>
    </w:p>
    <w:p w:rsidR="00A73F91" w:rsidRPr="00A73F91" w:rsidRDefault="00A73F91" w:rsidP="00A73F91">
      <w:pPr>
        <w:pStyle w:val="ListeParagraf"/>
        <w:numPr>
          <w:ilvl w:val="0"/>
          <w:numId w:val="4"/>
        </w:numPr>
        <w:jc w:val="both"/>
        <w:rPr>
          <w:color w:val="000000" w:themeColor="text1"/>
          <w:lang w:val="en-US"/>
        </w:rPr>
      </w:pPr>
      <w:r w:rsidRPr="00A73F91">
        <w:rPr>
          <w:b/>
          <w:bCs/>
          <w:color w:val="000000" w:themeColor="text1"/>
          <w:lang w:val="en-US"/>
        </w:rPr>
        <w:t>Adequate powers</w:t>
      </w:r>
      <w:r w:rsidRPr="00A73F91">
        <w:rPr>
          <w:color w:val="000000" w:themeColor="text1"/>
          <w:lang w:val="en-US"/>
        </w:rPr>
        <w:t>, so that NHRIs can initiate inquiries and investigations, gather the evidence and documents they need, consult with NGOs and State institutions and publicise their reports, findings and recommendations</w:t>
      </w:r>
    </w:p>
    <w:p w:rsidR="00A73F91" w:rsidRPr="00A73F91" w:rsidRDefault="00A73F91" w:rsidP="00A73F91">
      <w:pPr>
        <w:pStyle w:val="ListeParagraf"/>
        <w:numPr>
          <w:ilvl w:val="0"/>
          <w:numId w:val="4"/>
        </w:numPr>
        <w:jc w:val="both"/>
        <w:rPr>
          <w:color w:val="000000" w:themeColor="text1"/>
          <w:lang w:val="en-US"/>
        </w:rPr>
      </w:pPr>
      <w:r w:rsidRPr="00A73F91">
        <w:rPr>
          <w:b/>
          <w:bCs/>
          <w:color w:val="000000" w:themeColor="text1"/>
          <w:lang w:val="en-US"/>
        </w:rPr>
        <w:t>Adequate resources</w:t>
      </w:r>
      <w:r w:rsidRPr="00A73F91">
        <w:rPr>
          <w:color w:val="000000" w:themeColor="text1"/>
          <w:lang w:val="en-US"/>
        </w:rPr>
        <w:t>, so that NHRIs have the funding, staffing, infrastructure and institutional capacity to perform their functions and discharge their responsibilities</w:t>
      </w:r>
    </w:p>
    <w:p w:rsidR="00A73F91" w:rsidRPr="00A73F91" w:rsidRDefault="00A73F91" w:rsidP="00A73F91">
      <w:pPr>
        <w:pStyle w:val="ListeParagraf"/>
        <w:numPr>
          <w:ilvl w:val="0"/>
          <w:numId w:val="4"/>
        </w:numPr>
        <w:jc w:val="both"/>
        <w:rPr>
          <w:color w:val="000000" w:themeColor="text1"/>
          <w:lang w:val="en-US"/>
        </w:rPr>
      </w:pPr>
      <w:r w:rsidRPr="00A73F91">
        <w:rPr>
          <w:b/>
          <w:bCs/>
          <w:color w:val="000000" w:themeColor="text1"/>
          <w:lang w:val="en-US"/>
        </w:rPr>
        <w:t>Cooperative work</w:t>
      </w:r>
      <w:r w:rsidRPr="00A73F91">
        <w:rPr>
          <w:color w:val="000000" w:themeColor="text1"/>
          <w:lang w:val="en-US"/>
        </w:rPr>
        <w:t>, recognising that effective human rights work requires NHRIs to collaborate with other State institutions, NGOs and civil society groups</w:t>
      </w:r>
    </w:p>
    <w:p w:rsidR="00A73F91" w:rsidRPr="00A73F91" w:rsidRDefault="00A73F91" w:rsidP="00A73F91">
      <w:pPr>
        <w:pStyle w:val="ListeParagraf"/>
        <w:numPr>
          <w:ilvl w:val="0"/>
          <w:numId w:val="4"/>
        </w:numPr>
        <w:jc w:val="both"/>
        <w:rPr>
          <w:color w:val="000000" w:themeColor="text1"/>
          <w:lang w:val="en-US"/>
        </w:rPr>
      </w:pPr>
      <w:r w:rsidRPr="00A73F91">
        <w:rPr>
          <w:b/>
          <w:bCs/>
          <w:color w:val="000000" w:themeColor="text1"/>
          <w:lang w:val="en-US"/>
        </w:rPr>
        <w:t>International engagement</w:t>
      </w:r>
      <w:r w:rsidRPr="00A73F91">
        <w:rPr>
          <w:color w:val="000000" w:themeColor="text1"/>
          <w:lang w:val="en-US"/>
        </w:rPr>
        <w:t>, so that NHRIs can contribute their knowledge and expertise to international and regional human rights bodies and mechanisms.</w:t>
      </w:r>
    </w:p>
    <w:p w:rsidR="00B66975" w:rsidRPr="007D16D5" w:rsidRDefault="00B66975" w:rsidP="007D16D5">
      <w:pPr>
        <w:pStyle w:val="ListeParagraf"/>
        <w:ind w:left="0"/>
        <w:jc w:val="both"/>
        <w:rPr>
          <w:rFonts w:eastAsiaTheme="minorHAnsi"/>
          <w:color w:val="000000" w:themeColor="text1"/>
          <w:lang w:eastAsia="en-US"/>
        </w:rPr>
      </w:pPr>
    </w:p>
    <w:p w:rsidR="00F86138" w:rsidRDefault="00B66975" w:rsidP="007D16D5">
      <w:pPr>
        <w:pStyle w:val="ListeParagraf"/>
        <w:ind w:left="0"/>
        <w:contextualSpacing w:val="0"/>
        <w:jc w:val="both"/>
        <w:rPr>
          <w:bCs/>
          <w:color w:val="000000" w:themeColor="text1"/>
        </w:rPr>
      </w:pPr>
      <w:r w:rsidRPr="007D16D5">
        <w:rPr>
          <w:color w:val="000000" w:themeColor="text1"/>
        </w:rPr>
        <w:t xml:space="preserve">The Ombudsman Institution </w:t>
      </w:r>
      <w:r w:rsidR="00A73F91">
        <w:rPr>
          <w:color w:val="000000" w:themeColor="text1"/>
        </w:rPr>
        <w:t xml:space="preserve">of Republic of Türkiye </w:t>
      </w:r>
      <w:r w:rsidRPr="007D16D5">
        <w:rPr>
          <w:color w:val="000000" w:themeColor="text1"/>
        </w:rPr>
        <w:t xml:space="preserve">exercises its powers, duties and responsibilities in full compliance </w:t>
      </w:r>
      <w:r w:rsidR="00EC64DF" w:rsidRPr="007D16D5">
        <w:rPr>
          <w:bCs/>
          <w:color w:val="000000" w:themeColor="text1"/>
        </w:rPr>
        <w:t xml:space="preserve">with the </w:t>
      </w:r>
      <w:r w:rsidR="00A73F91">
        <w:rPr>
          <w:bCs/>
          <w:color w:val="000000" w:themeColor="text1"/>
        </w:rPr>
        <w:t>Paris Principles.</w:t>
      </w:r>
    </w:p>
    <w:p w:rsidR="00A73F91" w:rsidRPr="007D16D5" w:rsidRDefault="00A73F91" w:rsidP="007D16D5">
      <w:pPr>
        <w:pStyle w:val="ListeParagraf"/>
        <w:ind w:left="0"/>
        <w:contextualSpacing w:val="0"/>
        <w:jc w:val="both"/>
        <w:rPr>
          <w:color w:val="000000" w:themeColor="text1"/>
        </w:rPr>
      </w:pPr>
    </w:p>
    <w:p w:rsidR="00A73F91" w:rsidRPr="0041189B" w:rsidRDefault="00F73592" w:rsidP="007D16D5">
      <w:pPr>
        <w:pStyle w:val="ListeParagraf"/>
        <w:ind w:left="0"/>
        <w:jc w:val="both"/>
        <w:rPr>
          <w:bCs/>
          <w:i/>
          <w:color w:val="000000" w:themeColor="text1"/>
        </w:rPr>
      </w:pPr>
      <w:r w:rsidRPr="007D16D5">
        <w:rPr>
          <w:bCs/>
          <w:color w:val="000000" w:themeColor="text1"/>
        </w:rPr>
        <w:t xml:space="preserve">The Ombudsman Institution </w:t>
      </w:r>
      <w:r w:rsidR="00A73F91">
        <w:rPr>
          <w:bCs/>
          <w:color w:val="000000" w:themeColor="text1"/>
        </w:rPr>
        <w:t>is</w:t>
      </w:r>
      <w:r w:rsidRPr="007D16D5">
        <w:rPr>
          <w:bCs/>
          <w:color w:val="000000" w:themeColor="text1"/>
        </w:rPr>
        <w:t xml:space="preserve"> a constitutional </w:t>
      </w:r>
      <w:r w:rsidR="00A73F91">
        <w:rPr>
          <w:bCs/>
          <w:color w:val="000000" w:themeColor="text1"/>
        </w:rPr>
        <w:t xml:space="preserve">institution </w:t>
      </w:r>
      <w:r w:rsidRPr="007D16D5">
        <w:rPr>
          <w:bCs/>
          <w:color w:val="000000" w:themeColor="text1"/>
        </w:rPr>
        <w:t>with the</w:t>
      </w:r>
      <w:r w:rsidR="00A73F91">
        <w:rPr>
          <w:bCs/>
          <w:color w:val="000000" w:themeColor="text1"/>
        </w:rPr>
        <w:t xml:space="preserve"> 74</w:t>
      </w:r>
      <w:r w:rsidR="00A73F91" w:rsidRPr="00A73F91">
        <w:rPr>
          <w:bCs/>
          <w:color w:val="000000" w:themeColor="text1"/>
          <w:vertAlign w:val="superscript"/>
        </w:rPr>
        <w:t>th</w:t>
      </w:r>
      <w:r w:rsidR="00A73F91">
        <w:rPr>
          <w:bCs/>
          <w:color w:val="000000" w:themeColor="text1"/>
        </w:rPr>
        <w:t xml:space="preserve"> article of the </w:t>
      </w:r>
      <w:r w:rsidR="00A73F91" w:rsidRPr="007D16D5">
        <w:rPr>
          <w:color w:val="000000" w:themeColor="text1"/>
        </w:rPr>
        <w:t>Constitution of the Republic of Turkey,</w:t>
      </w:r>
      <w:r w:rsidR="00A73F91" w:rsidRPr="00A73F91">
        <w:rPr>
          <w:color w:val="000000" w:themeColor="text1"/>
        </w:rPr>
        <w:t xml:space="preserve"> </w:t>
      </w:r>
      <w:r w:rsidR="00A73F91" w:rsidRPr="007D16D5">
        <w:rPr>
          <w:color w:val="000000" w:themeColor="text1"/>
        </w:rPr>
        <w:t>numbered 2709</w:t>
      </w:r>
      <w:r w:rsidR="00A73F91">
        <w:rPr>
          <w:color w:val="000000" w:themeColor="text1"/>
        </w:rPr>
        <w:t xml:space="preserve">. According to the article, </w:t>
      </w:r>
      <w:r w:rsidR="0041189B" w:rsidRPr="0041189B">
        <w:rPr>
          <w:i/>
          <w:color w:val="000000" w:themeColor="text1"/>
        </w:rPr>
        <w:t>“</w:t>
      </w:r>
      <w:r w:rsidR="0041189B" w:rsidRPr="0041189B">
        <w:rPr>
          <w:i/>
        </w:rPr>
        <w:t>The Institution of the Ombudsperson established under the Grand National Assembly of Turkey examines complaints on the functioning of the administration</w:t>
      </w:r>
      <w:r w:rsidR="0041189B">
        <w:rPr>
          <w:i/>
        </w:rPr>
        <w:t>.”</w:t>
      </w:r>
    </w:p>
    <w:p w:rsidR="007D16D5" w:rsidRPr="007D16D5" w:rsidRDefault="007D16D5" w:rsidP="007D16D5">
      <w:pPr>
        <w:pStyle w:val="ListeParagraf"/>
        <w:ind w:left="0"/>
        <w:jc w:val="both"/>
        <w:rPr>
          <w:color w:val="000000" w:themeColor="text1"/>
        </w:rPr>
      </w:pPr>
    </w:p>
    <w:p w:rsidR="007D16D5" w:rsidRPr="007D16D5" w:rsidRDefault="007D16D5" w:rsidP="007D16D5">
      <w:pPr>
        <w:pStyle w:val="ListeParagraf"/>
        <w:ind w:left="0"/>
        <w:jc w:val="both"/>
        <w:rPr>
          <w:color w:val="000000" w:themeColor="text1"/>
        </w:rPr>
      </w:pPr>
      <w:r w:rsidRPr="007D16D5">
        <w:rPr>
          <w:color w:val="000000" w:themeColor="text1"/>
        </w:rPr>
        <w:t>In this context, the point of compliance with the Paris Principles is discussed below.</w:t>
      </w:r>
    </w:p>
    <w:p w:rsidR="007D16D5" w:rsidRPr="007D16D5" w:rsidRDefault="007D16D5" w:rsidP="007D16D5">
      <w:pPr>
        <w:pStyle w:val="ListeParagraf"/>
        <w:ind w:left="0"/>
        <w:jc w:val="both"/>
        <w:rPr>
          <w:color w:val="000000" w:themeColor="text1"/>
        </w:rPr>
      </w:pPr>
    </w:p>
    <w:p w:rsidR="007D16D5" w:rsidRPr="007D16D5" w:rsidRDefault="007D16D5" w:rsidP="007D16D5">
      <w:pPr>
        <w:pStyle w:val="ListeParagraf"/>
        <w:numPr>
          <w:ilvl w:val="0"/>
          <w:numId w:val="2"/>
        </w:numPr>
        <w:jc w:val="both"/>
        <w:rPr>
          <w:b/>
          <w:color w:val="000000" w:themeColor="text1"/>
        </w:rPr>
      </w:pPr>
      <w:r w:rsidRPr="007D16D5">
        <w:rPr>
          <w:b/>
          <w:color w:val="000000" w:themeColor="text1"/>
        </w:rPr>
        <w:t>Independence</w:t>
      </w:r>
    </w:p>
    <w:p w:rsidR="007D16D5" w:rsidRDefault="007D16D5" w:rsidP="007D16D5">
      <w:pPr>
        <w:pStyle w:val="GvdeMetni"/>
        <w:spacing w:after="0"/>
        <w:jc w:val="both"/>
        <w:rPr>
          <w:color w:val="000000" w:themeColor="text1"/>
          <w:lang w:val="tr-TR"/>
        </w:rPr>
      </w:pPr>
    </w:p>
    <w:p w:rsidR="004C6555" w:rsidRPr="0041189B" w:rsidRDefault="007D16D5" w:rsidP="0041189B">
      <w:pPr>
        <w:pStyle w:val="GvdeMetni"/>
        <w:spacing w:after="0"/>
        <w:jc w:val="both"/>
      </w:pPr>
      <w:r w:rsidRPr="007D16D5">
        <w:rPr>
          <w:color w:val="000000" w:themeColor="text1"/>
          <w:lang w:val="tr-TR"/>
        </w:rPr>
        <w:t xml:space="preserve">The Ombudsman Institution is a constitutional institution. </w:t>
      </w:r>
      <w:r w:rsidR="0041189B" w:rsidRPr="007D16D5">
        <w:rPr>
          <w:color w:val="000000" w:themeColor="text1"/>
          <w:lang w:val="tr-TR"/>
        </w:rPr>
        <w:t xml:space="preserve">Article 74 </w:t>
      </w:r>
      <w:r w:rsidRPr="007D16D5">
        <w:rPr>
          <w:color w:val="000000" w:themeColor="text1"/>
          <w:lang w:val="tr-TR"/>
        </w:rPr>
        <w:t xml:space="preserve">entitled </w:t>
      </w:r>
      <w:r w:rsidRPr="007D16D5">
        <w:rPr>
          <w:i/>
          <w:color w:val="000000" w:themeColor="text1"/>
          <w:lang w:val="tr-TR"/>
        </w:rPr>
        <w:t>“The right to petition, to obtain information and to apply to the ombudsman”</w:t>
      </w:r>
      <w:r w:rsidRPr="007D16D5">
        <w:rPr>
          <w:b/>
          <w:color w:val="000000" w:themeColor="text1"/>
          <w:lang w:val="tr-TR"/>
        </w:rPr>
        <w:t xml:space="preserve"> </w:t>
      </w:r>
      <w:r w:rsidRPr="007D16D5">
        <w:rPr>
          <w:color w:val="000000" w:themeColor="text1"/>
          <w:lang w:val="tr-TR"/>
        </w:rPr>
        <w:t xml:space="preserve">states </w:t>
      </w:r>
      <w:r w:rsidRPr="007D16D5">
        <w:rPr>
          <w:i/>
          <w:color w:val="000000" w:themeColor="text1"/>
          <w:lang w:val="tr-TR"/>
        </w:rPr>
        <w:t xml:space="preserve">that </w:t>
      </w:r>
      <w:r w:rsidRPr="0041189B">
        <w:rPr>
          <w:i/>
          <w:color w:val="000000" w:themeColor="text1"/>
          <w:lang w:val="tr-TR"/>
        </w:rPr>
        <w:t xml:space="preserve">“(…) </w:t>
      </w:r>
      <w:r w:rsidR="0041189B" w:rsidRPr="0041189B">
        <w:rPr>
          <w:i/>
        </w:rPr>
        <w:t xml:space="preserve">The Institution of the Ombudsperson established under the Grand National Assembly of Turkey examines complaints on the functioning of the administration. (Paragraph added on September 12, 2010; Act No. 5982) The Chief Ombudsperson shall be elected by the Grand National Assembly of Turkey for a term of four years by secret ballot. In the first two ballots, a two-thirds majority of the total number of members, and in the third ballot an absolute majority of the total number </w:t>
      </w:r>
      <w:r w:rsidR="0041189B" w:rsidRPr="0041189B">
        <w:rPr>
          <w:i/>
        </w:rPr>
        <w:lastRenderedPageBreak/>
        <w:t>of members shall be required. If an absolute majority cannot be obtained in the third ballot, a fourth ballot shall be held between the two candidates who have received the greatest number of votes in the third ballot; the candidate who receives the greatest number of votes in the fourth ballot shall be elected. (Paragraph added on September 12, 2010; Act No. 5982) The way of exercising these rights referred to in this article, the establishment, duties, functioning of the Ombudsperson Institution and its proceedings after the examination and the procedures and principles regarding the qualifications, elections and personnel rights of the Chief Ombudsperson and ombudspersons shall be laid down in law.”</w:t>
      </w:r>
    </w:p>
    <w:p w:rsidR="0041189B" w:rsidRPr="007D16D5" w:rsidRDefault="0041189B" w:rsidP="0041189B">
      <w:pPr>
        <w:pStyle w:val="GvdeMetni"/>
        <w:spacing w:after="0"/>
        <w:jc w:val="both"/>
        <w:rPr>
          <w:color w:val="000000" w:themeColor="text1"/>
        </w:rPr>
      </w:pPr>
    </w:p>
    <w:p w:rsidR="007D16D5" w:rsidRPr="0041189B" w:rsidRDefault="007D16D5" w:rsidP="0041189B">
      <w:pPr>
        <w:pStyle w:val="Default"/>
        <w:jc w:val="both"/>
        <w:rPr>
          <w:i/>
          <w:sz w:val="23"/>
          <w:szCs w:val="23"/>
        </w:rPr>
      </w:pPr>
      <w:r w:rsidRPr="007D16D5">
        <w:rPr>
          <w:color w:val="000000" w:themeColor="text1"/>
          <w:lang w:val="tr-TR"/>
        </w:rPr>
        <w:t xml:space="preserve">In this context, Article 1 of the Ombudsman Institution Law No. 6328 states that the Institution is </w:t>
      </w:r>
      <w:r w:rsidRPr="007D16D5">
        <w:rPr>
          <w:i/>
          <w:color w:val="000000" w:themeColor="text1"/>
          <w:lang w:val="tr-TR"/>
        </w:rPr>
        <w:t xml:space="preserve">an independent and effective complaint mechanism </w:t>
      </w:r>
      <w:r w:rsidRPr="007D16D5">
        <w:rPr>
          <w:color w:val="000000" w:themeColor="text1"/>
          <w:lang w:val="tr-TR"/>
        </w:rPr>
        <w:t xml:space="preserve">, and Article 4 states that it </w:t>
      </w:r>
      <w:r w:rsidRPr="0041189B">
        <w:rPr>
          <w:i/>
          <w:color w:val="000000" w:themeColor="text1"/>
          <w:lang w:val="tr-TR"/>
        </w:rPr>
        <w:t>is</w:t>
      </w:r>
      <w:r w:rsidRPr="007D16D5">
        <w:rPr>
          <w:color w:val="000000" w:themeColor="text1"/>
          <w:lang w:val="tr-TR"/>
        </w:rPr>
        <w:t xml:space="preserve"> </w:t>
      </w:r>
      <w:r w:rsidRPr="007D16D5">
        <w:rPr>
          <w:i/>
          <w:color w:val="000000" w:themeColor="text1"/>
          <w:lang w:val="tr-TR"/>
        </w:rPr>
        <w:t>affiliated to the Presidency of the Grand National Assembly of Turkey, has a public legal personality a</w:t>
      </w:r>
      <w:r w:rsidR="0041189B">
        <w:rPr>
          <w:i/>
          <w:color w:val="000000" w:themeColor="text1"/>
          <w:lang w:val="tr-TR"/>
        </w:rPr>
        <w:t>nd a special budget</w:t>
      </w:r>
      <w:r w:rsidRPr="007D16D5">
        <w:rPr>
          <w:i/>
          <w:color w:val="000000" w:themeColor="text1"/>
          <w:lang w:val="tr-TR"/>
        </w:rPr>
        <w:t xml:space="preserve">. </w:t>
      </w:r>
      <w:r w:rsidRPr="007D16D5">
        <w:rPr>
          <w:color w:val="000000" w:themeColor="text1"/>
          <w:lang w:val="tr-TR"/>
        </w:rPr>
        <w:t xml:space="preserve">Article 12 </w:t>
      </w:r>
      <w:r w:rsidRPr="007D16D5">
        <w:t xml:space="preserve">titled </w:t>
      </w:r>
      <w:r w:rsidR="0041189B">
        <w:t>“</w:t>
      </w:r>
      <w:r w:rsidRPr="007D16D5">
        <w:t>Independence and Impartiality</w:t>
      </w:r>
      <w:r w:rsidR="0041189B">
        <w:t>”</w:t>
      </w:r>
      <w:r w:rsidRPr="007D16D5">
        <w:t xml:space="preserve"> </w:t>
      </w:r>
      <w:r w:rsidRPr="007D16D5">
        <w:rPr>
          <w:color w:val="000000" w:themeColor="text1"/>
          <w:lang w:val="tr-TR"/>
        </w:rPr>
        <w:t xml:space="preserve">states that </w:t>
      </w:r>
      <w:r w:rsidRPr="0041189B">
        <w:rPr>
          <w:i/>
          <w:color w:val="000000" w:themeColor="text1"/>
          <w:lang w:val="tr-TR"/>
        </w:rPr>
        <w:t>“</w:t>
      </w:r>
      <w:r w:rsidR="0041189B" w:rsidRPr="0041189B">
        <w:rPr>
          <w:i/>
          <w:sz w:val="23"/>
          <w:szCs w:val="23"/>
        </w:rPr>
        <w:t xml:space="preserve">No authority, organ, institution or person can issue orders or instructions or circulars or advices to the Chief Ombudsmen or ombudsmen in the exercise of their duties. (2) The Chief Ombudsman and ombudsmen must act in compliance with the principle of the independence and impartiality during the exercise of their duties.” </w:t>
      </w:r>
    </w:p>
    <w:p w:rsidR="0041189B" w:rsidRPr="0041189B" w:rsidRDefault="0041189B" w:rsidP="0041189B">
      <w:pPr>
        <w:pStyle w:val="Default"/>
        <w:jc w:val="both"/>
        <w:rPr>
          <w:sz w:val="23"/>
          <w:szCs w:val="23"/>
        </w:rPr>
      </w:pPr>
    </w:p>
    <w:p w:rsidR="007D16D5" w:rsidRPr="007D16D5" w:rsidRDefault="007D16D5" w:rsidP="007D16D5">
      <w:pPr>
        <w:pStyle w:val="GvdeMetni"/>
        <w:spacing w:after="0"/>
        <w:jc w:val="both"/>
        <w:rPr>
          <w:color w:val="000000" w:themeColor="text1"/>
          <w:lang w:val="tr-TR"/>
        </w:rPr>
      </w:pPr>
      <w:r w:rsidRPr="007D16D5">
        <w:rPr>
          <w:color w:val="000000" w:themeColor="text1"/>
          <w:lang w:val="tr-TR"/>
        </w:rPr>
        <w:t xml:space="preserve">In addition, according to Law No. 6328, the Chief </w:t>
      </w:r>
      <w:r w:rsidR="00A82C0B">
        <w:rPr>
          <w:color w:val="000000" w:themeColor="text1"/>
          <w:lang w:val="tr-TR"/>
        </w:rPr>
        <w:t>Ombudsman</w:t>
      </w:r>
      <w:r w:rsidRPr="007D16D5">
        <w:rPr>
          <w:color w:val="000000" w:themeColor="text1"/>
          <w:lang w:val="tr-TR"/>
        </w:rPr>
        <w:t xml:space="preserve"> and </w:t>
      </w:r>
      <w:r w:rsidR="00A82C0B">
        <w:rPr>
          <w:color w:val="000000" w:themeColor="text1"/>
          <w:lang w:val="tr-TR"/>
        </w:rPr>
        <w:t>ombudspersons</w:t>
      </w:r>
      <w:r w:rsidRPr="007D16D5">
        <w:rPr>
          <w:color w:val="000000" w:themeColor="text1"/>
          <w:lang w:val="tr-TR"/>
        </w:rPr>
        <w:t xml:space="preserve"> cannot be members of any party during their applications and duties during the election process </w:t>
      </w:r>
      <w:r w:rsidRPr="007D16D5">
        <w:rPr>
          <w:i/>
          <w:color w:val="000000" w:themeColor="text1"/>
          <w:lang w:val="tr-TR"/>
        </w:rPr>
        <w:t xml:space="preserve">(Articles 10 and 30) , </w:t>
      </w:r>
      <w:r w:rsidRPr="007D16D5">
        <w:rPr>
          <w:color w:val="000000" w:themeColor="text1"/>
          <w:lang w:val="tr-TR"/>
        </w:rPr>
        <w:t xml:space="preserve">they must be elected by the General Assembly of the Parliament and the Joint Committee with a two-thirds majority </w:t>
      </w:r>
      <w:r w:rsidRPr="007D16D5">
        <w:rPr>
          <w:i/>
          <w:color w:val="000000" w:themeColor="text1"/>
          <w:lang w:val="tr-TR"/>
        </w:rPr>
        <w:t xml:space="preserve">(Article 11) , </w:t>
      </w:r>
      <w:r w:rsidRPr="007D16D5">
        <w:rPr>
          <w:color w:val="000000" w:themeColor="text1"/>
          <w:lang w:val="tr-TR"/>
        </w:rPr>
        <w:t xml:space="preserve">they have a status similar to parliamentary immunity </w:t>
      </w:r>
      <w:r w:rsidRPr="007D16D5">
        <w:rPr>
          <w:i/>
          <w:color w:val="000000" w:themeColor="text1"/>
          <w:lang w:val="tr-TR"/>
        </w:rPr>
        <w:t xml:space="preserve">(they can only be investigated with the permission of the Speaker of the Grand National Assembly of Turkey due to a criminal charge related to their duties, Article 31), </w:t>
      </w:r>
      <w:r w:rsidRPr="007D16D5">
        <w:rPr>
          <w:color w:val="000000" w:themeColor="text1"/>
          <w:lang w:val="tr-TR"/>
        </w:rPr>
        <w:t xml:space="preserve">they cannot engage in any other work </w:t>
      </w:r>
      <w:r w:rsidRPr="007D16D5">
        <w:rPr>
          <w:i/>
          <w:color w:val="000000" w:themeColor="text1"/>
          <w:lang w:val="tr-TR"/>
        </w:rPr>
        <w:t xml:space="preserve">(Article 30) , </w:t>
      </w:r>
      <w:r w:rsidRPr="007D16D5">
        <w:rPr>
          <w:color w:val="000000" w:themeColor="text1"/>
          <w:lang w:val="tr-TR"/>
        </w:rPr>
        <w:t xml:space="preserve">their financial means </w:t>
      </w:r>
      <w:r w:rsidRPr="007D16D5">
        <w:rPr>
          <w:i/>
          <w:color w:val="000000" w:themeColor="text1"/>
          <w:lang w:val="tr-TR"/>
        </w:rPr>
        <w:t xml:space="preserve">(having a special budget, Article 4) </w:t>
      </w:r>
      <w:r w:rsidRPr="007D16D5">
        <w:rPr>
          <w:color w:val="000000" w:themeColor="text1"/>
          <w:lang w:val="tr-TR"/>
        </w:rPr>
        <w:t>express the independence of the Institution. These legislative provisions enable the Institution to perform its authorities, duties and responsibilities as an independent audit mechanism.</w:t>
      </w:r>
    </w:p>
    <w:p w:rsidR="007D16D5" w:rsidRPr="007D16D5" w:rsidRDefault="007D16D5" w:rsidP="007D16D5">
      <w:pPr>
        <w:pStyle w:val="GvdeMetni"/>
        <w:spacing w:after="0"/>
        <w:jc w:val="both"/>
        <w:rPr>
          <w:color w:val="000000" w:themeColor="text1"/>
          <w:lang w:val="tr-TR"/>
        </w:rPr>
      </w:pPr>
    </w:p>
    <w:p w:rsidR="004C6555" w:rsidRPr="007D16D5" w:rsidRDefault="007D16D5" w:rsidP="007D16D5">
      <w:pPr>
        <w:pStyle w:val="GvdeMetni"/>
        <w:spacing w:after="0"/>
        <w:jc w:val="both"/>
        <w:rPr>
          <w:color w:val="000000" w:themeColor="text1"/>
          <w:lang w:val="tr-TR"/>
        </w:rPr>
      </w:pPr>
      <w:r w:rsidRPr="007D16D5">
        <w:rPr>
          <w:color w:val="000000" w:themeColor="text1"/>
          <w:lang w:val="tr-TR"/>
        </w:rPr>
        <w:t>The independent nature of the Ombudsman Institution is in line with the Paris Principles, except for the fact that it does not have the power to conduct ex officio investigations.</w:t>
      </w:r>
    </w:p>
    <w:p w:rsidR="007D16D5" w:rsidRPr="007D16D5" w:rsidRDefault="007D16D5" w:rsidP="007D16D5">
      <w:pPr>
        <w:pStyle w:val="GvdeMetni"/>
        <w:spacing w:after="0"/>
        <w:jc w:val="both"/>
      </w:pPr>
    </w:p>
    <w:p w:rsidR="004C6555" w:rsidRPr="00F86138" w:rsidRDefault="00B66975" w:rsidP="00F86138">
      <w:pPr>
        <w:jc w:val="both"/>
      </w:pPr>
      <w:r w:rsidRPr="00F86138">
        <w:t xml:space="preserve">It has been voiced and continues to be voiced on many platforms that the Ombudsman Institution should also have the authority to conduct an ex officio investigation, which is available in many Ombudsman Institutions. The institution </w:t>
      </w:r>
      <w:r w:rsidRPr="00F86138">
        <w:rPr>
          <w:rFonts w:eastAsia="Times New Roman"/>
          <w:lang w:eastAsia="tr-TR"/>
        </w:rPr>
        <w:t xml:space="preserve">has many tools at its disposal for the development of fundamental rights and freedoms, </w:t>
      </w:r>
      <w:r w:rsidR="0041189B">
        <w:rPr>
          <w:rFonts w:eastAsia="Times New Roman"/>
          <w:lang w:eastAsia="tr-TR"/>
        </w:rPr>
        <w:t>such as</w:t>
      </w:r>
      <w:r w:rsidRPr="00F86138">
        <w:rPr>
          <w:rFonts w:eastAsia="Times New Roman"/>
          <w:lang w:eastAsia="tr-TR"/>
        </w:rPr>
        <w:t xml:space="preserve"> 'Annual Report' </w:t>
      </w:r>
      <w:r w:rsidR="0041189B">
        <w:rPr>
          <w:rFonts w:eastAsia="Times New Roman"/>
          <w:lang w:eastAsia="tr-TR"/>
        </w:rPr>
        <w:t xml:space="preserve">which </w:t>
      </w:r>
      <w:r w:rsidRPr="00F86138">
        <w:rPr>
          <w:rFonts w:eastAsia="Times New Roman"/>
          <w:lang w:eastAsia="tr-TR"/>
        </w:rPr>
        <w:t xml:space="preserve">is presented to the Turkish Grand National Assembly every year, and 'Special Reports' </w:t>
      </w:r>
      <w:r w:rsidR="0041189B">
        <w:rPr>
          <w:rFonts w:eastAsia="Times New Roman"/>
          <w:lang w:eastAsia="tr-TR"/>
        </w:rPr>
        <w:t xml:space="preserve">which </w:t>
      </w:r>
      <w:r w:rsidRPr="00F86138">
        <w:rPr>
          <w:rFonts w:eastAsia="Times New Roman"/>
          <w:lang w:eastAsia="tr-TR"/>
        </w:rPr>
        <w:t xml:space="preserve">are prepared on necessary issues. </w:t>
      </w:r>
      <w:r w:rsidRPr="00F86138">
        <w:t>Although it lacks the authority to conduct an ex officio investigation, special reports can be prepared on various issues.</w:t>
      </w:r>
    </w:p>
    <w:p w:rsidR="007D16D5" w:rsidRPr="007D16D5" w:rsidRDefault="007D16D5" w:rsidP="007D16D5">
      <w:pPr>
        <w:spacing w:after="0" w:line="240" w:lineRule="auto"/>
        <w:jc w:val="both"/>
        <w:rPr>
          <w:rFonts w:cs="Times New Roman"/>
          <w:szCs w:val="24"/>
        </w:rPr>
      </w:pPr>
    </w:p>
    <w:p w:rsidR="007D16D5" w:rsidRPr="007D16D5" w:rsidRDefault="007D16D5" w:rsidP="007D16D5">
      <w:pPr>
        <w:pStyle w:val="ListeParagraf"/>
        <w:numPr>
          <w:ilvl w:val="0"/>
          <w:numId w:val="2"/>
        </w:numPr>
        <w:jc w:val="both"/>
        <w:rPr>
          <w:b/>
        </w:rPr>
      </w:pPr>
      <w:r w:rsidRPr="007D16D5">
        <w:rPr>
          <w:b/>
        </w:rPr>
        <w:t>Accessibility</w:t>
      </w:r>
    </w:p>
    <w:p w:rsidR="007D16D5" w:rsidRPr="007D16D5" w:rsidRDefault="007D16D5" w:rsidP="007D16D5">
      <w:pPr>
        <w:autoSpaceDE w:val="0"/>
        <w:autoSpaceDN w:val="0"/>
        <w:adjustRightInd w:val="0"/>
        <w:spacing w:after="0" w:line="240" w:lineRule="auto"/>
        <w:jc w:val="both"/>
        <w:rPr>
          <w:rFonts w:cs="Times New Roman"/>
          <w:color w:val="000000" w:themeColor="text1"/>
          <w:szCs w:val="24"/>
        </w:rPr>
      </w:pPr>
    </w:p>
    <w:p w:rsidR="007D16D5" w:rsidRDefault="0041189B" w:rsidP="007D16D5">
      <w:pPr>
        <w:autoSpaceDE w:val="0"/>
        <w:autoSpaceDN w:val="0"/>
        <w:adjustRightInd w:val="0"/>
        <w:spacing w:after="0" w:line="240" w:lineRule="auto"/>
        <w:jc w:val="both"/>
        <w:rPr>
          <w:rFonts w:cs="Times New Roman"/>
          <w:color w:val="000000" w:themeColor="text1"/>
          <w:szCs w:val="24"/>
        </w:rPr>
      </w:pPr>
      <w:r>
        <w:rPr>
          <w:rFonts w:cs="Times New Roman"/>
          <w:color w:val="000000" w:themeColor="text1"/>
          <w:szCs w:val="24"/>
        </w:rPr>
        <w:t>According to Law No.</w:t>
      </w:r>
      <w:r w:rsidR="007D16D5" w:rsidRPr="007D16D5">
        <w:rPr>
          <w:rFonts w:cs="Times New Roman"/>
          <w:color w:val="000000" w:themeColor="text1"/>
          <w:szCs w:val="24"/>
        </w:rPr>
        <w:t xml:space="preserve">6328, </w:t>
      </w:r>
      <w:r>
        <w:rPr>
          <w:rFonts w:cs="Times New Roman"/>
          <w:color w:val="000000" w:themeColor="text1"/>
          <w:szCs w:val="24"/>
        </w:rPr>
        <w:t>a</w:t>
      </w:r>
      <w:r w:rsidR="007D16D5" w:rsidRPr="007D16D5">
        <w:rPr>
          <w:rFonts w:cs="Times New Roman"/>
          <w:color w:val="000000" w:themeColor="text1"/>
          <w:szCs w:val="24"/>
        </w:rPr>
        <w:t>ll domestic and foreign real and legal persons can apply to the institution</w:t>
      </w:r>
      <w:r>
        <w:rPr>
          <w:rFonts w:cs="Times New Roman"/>
          <w:color w:val="000000" w:themeColor="text1"/>
          <w:szCs w:val="24"/>
        </w:rPr>
        <w:t xml:space="preserve"> and it is free of charge. They can apply </w:t>
      </w:r>
      <w:r w:rsidR="007D16D5" w:rsidRPr="007D16D5">
        <w:rPr>
          <w:rFonts w:cs="Times New Roman"/>
          <w:color w:val="000000" w:themeColor="text1"/>
          <w:szCs w:val="24"/>
        </w:rPr>
        <w:t xml:space="preserve">in person or through their legal representatives, including languages other than Turkish. Applications can be made in person, </w:t>
      </w:r>
      <w:r w:rsidR="007D16D5" w:rsidRPr="007D16D5">
        <w:rPr>
          <w:rFonts w:cs="Times New Roman"/>
          <w:color w:val="000000" w:themeColor="text1"/>
          <w:szCs w:val="24"/>
        </w:rPr>
        <w:lastRenderedPageBreak/>
        <w:t>by mail, via electronic application on the official website of the institution, or through governorship and district governorship offices.</w:t>
      </w:r>
    </w:p>
    <w:p w:rsidR="00F86138" w:rsidRPr="007D16D5" w:rsidRDefault="00F86138" w:rsidP="007D16D5">
      <w:pPr>
        <w:autoSpaceDE w:val="0"/>
        <w:autoSpaceDN w:val="0"/>
        <w:adjustRightInd w:val="0"/>
        <w:spacing w:after="0" w:line="240" w:lineRule="auto"/>
        <w:jc w:val="both"/>
        <w:rPr>
          <w:rFonts w:cs="Times New Roman"/>
          <w:color w:val="000000" w:themeColor="text1"/>
          <w:szCs w:val="24"/>
        </w:rPr>
      </w:pPr>
    </w:p>
    <w:p w:rsidR="007D16D5" w:rsidRDefault="007D16D5" w:rsidP="007D16D5">
      <w:pPr>
        <w:autoSpaceDE w:val="0"/>
        <w:autoSpaceDN w:val="0"/>
        <w:adjustRightInd w:val="0"/>
        <w:spacing w:after="0" w:line="240" w:lineRule="auto"/>
        <w:jc w:val="both"/>
        <w:rPr>
          <w:rFonts w:cs="Times New Roman"/>
          <w:color w:val="000000" w:themeColor="text1"/>
          <w:szCs w:val="24"/>
        </w:rPr>
      </w:pPr>
      <w:r w:rsidRPr="007D16D5">
        <w:rPr>
          <w:rFonts w:cs="Times New Roman"/>
          <w:color w:val="000000" w:themeColor="text1"/>
          <w:szCs w:val="24"/>
        </w:rPr>
        <w:t xml:space="preserve">In addition, there is a KDK children's web page where only children can apply directly, and children can apply electronically at </w:t>
      </w:r>
      <w:hyperlink r:id="rId7" w:history="1">
        <w:r w:rsidRPr="007D16D5">
          <w:rPr>
            <w:rStyle w:val="Kpr"/>
            <w:rFonts w:cs="Times New Roman"/>
            <w:szCs w:val="24"/>
          </w:rPr>
          <w:t>www.kdkcocuk.gov.tr .</w:t>
        </w:r>
      </w:hyperlink>
    </w:p>
    <w:p w:rsidR="00F86138" w:rsidRPr="007D16D5" w:rsidRDefault="00F86138" w:rsidP="007D16D5">
      <w:pPr>
        <w:autoSpaceDE w:val="0"/>
        <w:autoSpaceDN w:val="0"/>
        <w:adjustRightInd w:val="0"/>
        <w:spacing w:after="0" w:line="240" w:lineRule="auto"/>
        <w:jc w:val="both"/>
        <w:rPr>
          <w:rFonts w:cs="Times New Roman"/>
          <w:color w:val="000000" w:themeColor="text1"/>
          <w:szCs w:val="24"/>
        </w:rPr>
      </w:pPr>
    </w:p>
    <w:p w:rsidR="007D16D5" w:rsidRDefault="007D16D5" w:rsidP="007D16D5">
      <w:pPr>
        <w:autoSpaceDE w:val="0"/>
        <w:autoSpaceDN w:val="0"/>
        <w:adjustRightInd w:val="0"/>
        <w:spacing w:after="0" w:line="240" w:lineRule="auto"/>
        <w:jc w:val="both"/>
        <w:rPr>
          <w:rFonts w:cs="Times New Roman"/>
          <w:color w:val="000000" w:themeColor="text1"/>
          <w:szCs w:val="24"/>
        </w:rPr>
      </w:pPr>
      <w:r w:rsidRPr="007D16D5">
        <w:rPr>
          <w:rFonts w:cs="Times New Roman"/>
          <w:color w:val="000000" w:themeColor="text1"/>
          <w:szCs w:val="24"/>
        </w:rPr>
        <w:t>The institution has chosen a method based on minimizing the formality and the conditions of violation of interests in recording the applications. Again, as a result of an individual-oriented understanding at the basis of the working philosophy, it is aimed to eliminate the victimization.</w:t>
      </w:r>
    </w:p>
    <w:p w:rsidR="00F86138" w:rsidRPr="007D16D5" w:rsidRDefault="00F86138" w:rsidP="007D16D5">
      <w:pPr>
        <w:autoSpaceDE w:val="0"/>
        <w:autoSpaceDN w:val="0"/>
        <w:adjustRightInd w:val="0"/>
        <w:spacing w:after="0" w:line="240" w:lineRule="auto"/>
        <w:jc w:val="both"/>
        <w:rPr>
          <w:rFonts w:cs="Times New Roman"/>
          <w:color w:val="000000" w:themeColor="text1"/>
          <w:szCs w:val="24"/>
        </w:rPr>
      </w:pPr>
    </w:p>
    <w:p w:rsidR="007D16D5" w:rsidRPr="007D16D5" w:rsidRDefault="007D16D5" w:rsidP="007D16D5">
      <w:pPr>
        <w:pStyle w:val="GvdeMetni"/>
        <w:spacing w:after="0"/>
        <w:jc w:val="both"/>
        <w:rPr>
          <w:color w:val="000000" w:themeColor="text1"/>
        </w:rPr>
      </w:pPr>
      <w:r w:rsidRPr="007D16D5">
        <w:rPr>
          <w:color w:val="000000" w:themeColor="text1"/>
        </w:rPr>
        <w:t>The institution's accessibility is fully compatible with the Paris Principles.</w:t>
      </w:r>
    </w:p>
    <w:p w:rsidR="007D16D5" w:rsidRPr="007D16D5" w:rsidRDefault="007D16D5" w:rsidP="007D16D5">
      <w:pPr>
        <w:spacing w:after="0" w:line="240" w:lineRule="auto"/>
        <w:jc w:val="both"/>
        <w:rPr>
          <w:rFonts w:cs="Times New Roman"/>
          <w:szCs w:val="24"/>
        </w:rPr>
      </w:pPr>
    </w:p>
    <w:p w:rsidR="007D16D5" w:rsidRPr="007D16D5" w:rsidRDefault="007D16D5" w:rsidP="007D16D5">
      <w:pPr>
        <w:pStyle w:val="ListeParagraf"/>
        <w:numPr>
          <w:ilvl w:val="0"/>
          <w:numId w:val="2"/>
        </w:numPr>
        <w:jc w:val="both"/>
        <w:rPr>
          <w:b/>
        </w:rPr>
      </w:pPr>
      <w:r w:rsidRPr="007D16D5">
        <w:rPr>
          <w:b/>
        </w:rPr>
        <w:t>Extent of Authority, Duties and Responsibilities</w:t>
      </w:r>
    </w:p>
    <w:p w:rsidR="007D16D5" w:rsidRDefault="007D16D5" w:rsidP="007D16D5">
      <w:pPr>
        <w:pStyle w:val="GvdeMetni"/>
        <w:spacing w:after="0"/>
        <w:jc w:val="both"/>
        <w:rPr>
          <w:color w:val="000000" w:themeColor="text1"/>
        </w:rPr>
      </w:pPr>
    </w:p>
    <w:p w:rsidR="007D16D5" w:rsidRDefault="007D16D5" w:rsidP="0044316D">
      <w:pPr>
        <w:pStyle w:val="Default"/>
        <w:jc w:val="both"/>
        <w:rPr>
          <w:color w:val="000000" w:themeColor="text1"/>
        </w:rPr>
      </w:pPr>
      <w:r w:rsidRPr="007D16D5">
        <w:rPr>
          <w:color w:val="000000" w:themeColor="text1"/>
        </w:rPr>
        <w:t xml:space="preserve">Article 1 of the </w:t>
      </w:r>
      <w:r w:rsidR="0041189B">
        <w:rPr>
          <w:color w:val="000000" w:themeColor="text1"/>
        </w:rPr>
        <w:t xml:space="preserve">aforementioned </w:t>
      </w:r>
      <w:r w:rsidRPr="007D16D5">
        <w:rPr>
          <w:color w:val="000000" w:themeColor="text1"/>
        </w:rPr>
        <w:t xml:space="preserve">Law states that the Institution will examine, investigate and make recommendations </w:t>
      </w:r>
      <w:r w:rsidR="0041189B">
        <w:rPr>
          <w:rFonts w:eastAsia="ヒラギノ明朝 Pro W3"/>
          <w:i/>
          <w:color w:val="000000" w:themeColor="text1"/>
        </w:rPr>
        <w:t>on all kinds of act</w:t>
      </w:r>
      <w:r w:rsidRPr="007D16D5">
        <w:rPr>
          <w:rFonts w:eastAsia="ヒラギノ明朝 Pro W3"/>
          <w:i/>
          <w:color w:val="000000" w:themeColor="text1"/>
        </w:rPr>
        <w:t xml:space="preserve">s and </w:t>
      </w:r>
      <w:r w:rsidR="0041189B" w:rsidRPr="007D16D5">
        <w:rPr>
          <w:rFonts w:eastAsia="ヒラギノ明朝 Pro W3"/>
          <w:i/>
          <w:color w:val="000000" w:themeColor="text1"/>
        </w:rPr>
        <w:t>actions</w:t>
      </w:r>
      <w:r w:rsidRPr="007D16D5">
        <w:rPr>
          <w:rFonts w:eastAsia="ヒラギノ明朝 Pro W3"/>
          <w:i/>
          <w:color w:val="000000" w:themeColor="text1"/>
        </w:rPr>
        <w:t xml:space="preserve">, attitudes and </w:t>
      </w:r>
      <w:r w:rsidRPr="007D16D5">
        <w:rPr>
          <w:i/>
          <w:color w:val="000000" w:themeColor="text1"/>
        </w:rPr>
        <w:t xml:space="preserve">behaviors of the administration; </w:t>
      </w:r>
      <w:r w:rsidR="0044316D">
        <w:rPr>
          <w:color w:val="000000" w:themeColor="text1"/>
        </w:rPr>
        <w:t>and Article 3 stipulates that</w:t>
      </w:r>
      <w:r w:rsidRPr="007D16D5">
        <w:rPr>
          <w:i/>
          <w:color w:val="000000" w:themeColor="text1"/>
        </w:rPr>
        <w:t xml:space="preserve"> </w:t>
      </w:r>
      <w:r w:rsidR="0044316D" w:rsidRPr="0044316D">
        <w:rPr>
          <w:color w:val="000000" w:themeColor="text1"/>
        </w:rPr>
        <w:t>“</w:t>
      </w:r>
      <w:r w:rsidRPr="0044316D">
        <w:rPr>
          <w:color w:val="000000" w:themeColor="text1"/>
        </w:rPr>
        <w:t>the administration</w:t>
      </w:r>
      <w:r w:rsidR="0044316D" w:rsidRPr="0044316D">
        <w:rPr>
          <w:color w:val="000000" w:themeColor="text1"/>
        </w:rPr>
        <w:t>”</w:t>
      </w:r>
      <w:r w:rsidRPr="0044316D">
        <w:rPr>
          <w:color w:val="000000" w:themeColor="text1"/>
        </w:rPr>
        <w:t xml:space="preserve"> includes </w:t>
      </w:r>
      <w:r w:rsidR="0044316D" w:rsidRPr="0044316D">
        <w:rPr>
          <w:color w:val="000000" w:themeColor="text1"/>
        </w:rPr>
        <w:t>the public administrations under the central government, social security institutions, local administrations, affiliated administrations of local administrations, local administrative unions, organizations with the circulating capital, the funds established under laws, public organizations, public economic enterprises, associated public organizations, and their affiliates and subsidiaries, professional organizations with public institution status, and private legal ent</w:t>
      </w:r>
      <w:r w:rsidR="0044316D">
        <w:rPr>
          <w:color w:val="000000" w:themeColor="text1"/>
        </w:rPr>
        <w:t>ities providing public services.</w:t>
      </w:r>
    </w:p>
    <w:p w:rsidR="0044316D" w:rsidRPr="007D16D5" w:rsidRDefault="0044316D" w:rsidP="0044316D">
      <w:pPr>
        <w:pStyle w:val="Default"/>
        <w:jc w:val="both"/>
        <w:rPr>
          <w:color w:val="000000" w:themeColor="text1"/>
        </w:rPr>
      </w:pPr>
    </w:p>
    <w:p w:rsidR="007D16D5" w:rsidRPr="007D16D5" w:rsidRDefault="007D16D5" w:rsidP="007D16D5">
      <w:pPr>
        <w:pStyle w:val="GvdeMetni"/>
        <w:spacing w:after="0"/>
        <w:jc w:val="both"/>
        <w:rPr>
          <w:color w:val="000000" w:themeColor="text1"/>
        </w:rPr>
      </w:pPr>
      <w:r w:rsidRPr="007D16D5">
        <w:rPr>
          <w:color w:val="000000" w:themeColor="text1"/>
        </w:rPr>
        <w:t xml:space="preserve">Therefore, all units of the administration under the executive body, their </w:t>
      </w:r>
      <w:r w:rsidR="0044316D">
        <w:rPr>
          <w:color w:val="000000" w:themeColor="text1"/>
        </w:rPr>
        <w:t>acts</w:t>
      </w:r>
      <w:r w:rsidRPr="007D16D5">
        <w:rPr>
          <w:color w:val="000000" w:themeColor="text1"/>
        </w:rPr>
        <w:t xml:space="preserve"> and actions, attitudes and behaviors are within the scope of the Institution's investigation and research.</w:t>
      </w:r>
    </w:p>
    <w:p w:rsidR="007D16D5" w:rsidRPr="007D16D5" w:rsidRDefault="007D16D5" w:rsidP="007D16D5">
      <w:pPr>
        <w:pStyle w:val="GvdeMetni"/>
        <w:spacing w:after="0"/>
        <w:jc w:val="both"/>
        <w:rPr>
          <w:color w:val="000000" w:themeColor="text1"/>
        </w:rPr>
      </w:pPr>
    </w:p>
    <w:p w:rsidR="0044316D" w:rsidRDefault="007D16D5" w:rsidP="0044316D">
      <w:pPr>
        <w:pStyle w:val="GvdeMetni"/>
        <w:spacing w:after="0"/>
        <w:jc w:val="both"/>
        <w:rPr>
          <w:color w:val="000000" w:themeColor="text1"/>
        </w:rPr>
      </w:pPr>
      <w:r w:rsidRPr="007D16D5">
        <w:rPr>
          <w:color w:val="000000" w:themeColor="text1"/>
        </w:rPr>
        <w:t xml:space="preserve">The institution is authorized to examine the </w:t>
      </w:r>
      <w:r w:rsidR="0044316D">
        <w:rPr>
          <w:color w:val="000000" w:themeColor="text1"/>
        </w:rPr>
        <w:t>acts</w:t>
      </w:r>
      <w:r w:rsidRPr="007D16D5">
        <w:rPr>
          <w:color w:val="000000" w:themeColor="text1"/>
        </w:rPr>
        <w:t xml:space="preserve">, actions, attitudes and behaviors of the central administration and its provincial units, local administration institutions in terms of location and service, social security institutions, professional organizations with the status of public institutions, and also private legal entities providing public services, with the </w:t>
      </w:r>
      <w:r w:rsidR="0044316D">
        <w:rPr>
          <w:color w:val="000000" w:themeColor="text1"/>
        </w:rPr>
        <w:t>exceptions specified below:</w:t>
      </w:r>
    </w:p>
    <w:p w:rsidR="0044316D" w:rsidRDefault="0044316D" w:rsidP="0044316D">
      <w:pPr>
        <w:pStyle w:val="GvdeMetni"/>
        <w:spacing w:after="0"/>
        <w:jc w:val="both"/>
        <w:rPr>
          <w:color w:val="000000" w:themeColor="text1"/>
        </w:rPr>
      </w:pPr>
    </w:p>
    <w:p w:rsidR="0044316D" w:rsidRDefault="0044316D" w:rsidP="0044316D">
      <w:pPr>
        <w:pStyle w:val="Default"/>
        <w:numPr>
          <w:ilvl w:val="0"/>
          <w:numId w:val="5"/>
        </w:numPr>
        <w:spacing w:after="63"/>
        <w:jc w:val="both"/>
        <w:rPr>
          <w:sz w:val="23"/>
          <w:szCs w:val="23"/>
        </w:rPr>
      </w:pPr>
      <w:r>
        <w:rPr>
          <w:sz w:val="23"/>
          <w:szCs w:val="23"/>
        </w:rPr>
        <w:t xml:space="preserve">the acts concerning the execution of the legislative power; </w:t>
      </w:r>
    </w:p>
    <w:p w:rsidR="0044316D" w:rsidRDefault="0044316D" w:rsidP="0044316D">
      <w:pPr>
        <w:pStyle w:val="Default"/>
        <w:numPr>
          <w:ilvl w:val="0"/>
          <w:numId w:val="5"/>
        </w:numPr>
        <w:spacing w:after="63"/>
        <w:jc w:val="both"/>
        <w:rPr>
          <w:sz w:val="23"/>
          <w:szCs w:val="23"/>
        </w:rPr>
      </w:pPr>
      <w:r>
        <w:rPr>
          <w:sz w:val="23"/>
          <w:szCs w:val="23"/>
        </w:rPr>
        <w:t xml:space="preserve">the acts concerning the execution of the judicial power; </w:t>
      </w:r>
    </w:p>
    <w:p w:rsidR="0044316D" w:rsidRDefault="0044316D" w:rsidP="0044316D">
      <w:pPr>
        <w:pStyle w:val="Default"/>
        <w:numPr>
          <w:ilvl w:val="0"/>
          <w:numId w:val="5"/>
        </w:numPr>
        <w:jc w:val="both"/>
        <w:rPr>
          <w:sz w:val="23"/>
          <w:szCs w:val="23"/>
        </w:rPr>
      </w:pPr>
      <w:r>
        <w:rPr>
          <w:sz w:val="23"/>
          <w:szCs w:val="23"/>
        </w:rPr>
        <w:t xml:space="preserve">the acts of the Turkish Armed Forces, which are purely of military nature. </w:t>
      </w:r>
    </w:p>
    <w:p w:rsidR="007D16D5" w:rsidRPr="007D16D5" w:rsidRDefault="007D16D5" w:rsidP="0044316D">
      <w:pPr>
        <w:pStyle w:val="GvdeMetni"/>
        <w:spacing w:after="0"/>
        <w:ind w:left="360"/>
        <w:jc w:val="both"/>
        <w:rPr>
          <w:color w:val="000000" w:themeColor="text1"/>
        </w:rPr>
      </w:pPr>
      <w:r w:rsidRPr="007D16D5">
        <w:rPr>
          <w:color w:val="000000" w:themeColor="text1"/>
        </w:rPr>
        <w:t xml:space="preserve"> </w:t>
      </w:r>
    </w:p>
    <w:p w:rsidR="0044316D" w:rsidRPr="0044316D" w:rsidRDefault="0044316D" w:rsidP="0044316D">
      <w:pPr>
        <w:pStyle w:val="Default"/>
        <w:pageBreakBefore/>
        <w:jc w:val="both"/>
        <w:rPr>
          <w:i/>
          <w:sz w:val="23"/>
          <w:szCs w:val="23"/>
        </w:rPr>
      </w:pPr>
      <w:r>
        <w:rPr>
          <w:color w:val="000000" w:themeColor="text1"/>
        </w:rPr>
        <w:lastRenderedPageBreak/>
        <w:t>I</w:t>
      </w:r>
      <w:r w:rsidR="007D16D5" w:rsidRPr="007D16D5">
        <w:t xml:space="preserve">n </w:t>
      </w:r>
      <w:r>
        <w:t xml:space="preserve">the </w:t>
      </w:r>
      <w:r w:rsidR="007D16D5" w:rsidRPr="007D16D5">
        <w:t>Article 18 of the Law</w:t>
      </w:r>
      <w:r>
        <w:t xml:space="preserve"> no.6328</w:t>
      </w:r>
      <w:r w:rsidR="007D16D5" w:rsidRPr="007D16D5">
        <w:t xml:space="preserve">, </w:t>
      </w:r>
      <w:r w:rsidR="007D16D5" w:rsidRPr="007D16D5">
        <w:rPr>
          <w:rFonts w:eastAsia="ヒラギノ明朝 Pro W3"/>
        </w:rPr>
        <w:t xml:space="preserve">it is stipulated that </w:t>
      </w:r>
      <w:r w:rsidRPr="0044316D">
        <w:rPr>
          <w:rFonts w:eastAsia="ヒラギノ明朝 Pro W3"/>
          <w:i/>
        </w:rPr>
        <w:t>“</w:t>
      </w:r>
      <w:r w:rsidRPr="0044316D">
        <w:rPr>
          <w:i/>
          <w:sz w:val="23"/>
          <w:szCs w:val="23"/>
        </w:rPr>
        <w:t xml:space="preserve">The information and documents which the Institution may request in connection with the matter it examines and investigates shall be submitted to the Institution within thirty days following the date of notification of such request. Upon request of the Chief Ombudsman or ombudsman, the relevant authority shall launch an investigation about those who refuse to submit the documents or information requested within this period without any justifiable reason. </w:t>
      </w:r>
    </w:p>
    <w:p w:rsidR="0044316D" w:rsidRDefault="0044316D" w:rsidP="0044316D">
      <w:pPr>
        <w:autoSpaceDE w:val="0"/>
        <w:autoSpaceDN w:val="0"/>
        <w:adjustRightInd w:val="0"/>
        <w:spacing w:after="0" w:line="240" w:lineRule="auto"/>
        <w:jc w:val="both"/>
        <w:rPr>
          <w:sz w:val="23"/>
          <w:szCs w:val="23"/>
        </w:rPr>
      </w:pPr>
      <w:r w:rsidRPr="0044316D">
        <w:rPr>
          <w:i/>
          <w:sz w:val="23"/>
          <w:szCs w:val="23"/>
        </w:rPr>
        <w:t>(2) The information or documents which are state secrets or trade secrets may not be submitted to the Institution by the highest ranking post or board of the competent authorities by providing justifications for such refusal. However, such information or documents which are state secrets may be examined on the spot by the Chief Ombudsman or an ombudsman assigned by the Chief Ombudsman.”</w:t>
      </w:r>
      <w:r>
        <w:rPr>
          <w:sz w:val="23"/>
          <w:szCs w:val="23"/>
        </w:rPr>
        <w:t xml:space="preserve"> </w:t>
      </w:r>
    </w:p>
    <w:p w:rsidR="0044316D" w:rsidRPr="0044316D" w:rsidRDefault="0044316D" w:rsidP="0044316D">
      <w:pPr>
        <w:pStyle w:val="Default"/>
        <w:jc w:val="both"/>
        <w:rPr>
          <w:i/>
          <w:sz w:val="23"/>
          <w:szCs w:val="23"/>
        </w:rPr>
      </w:pPr>
    </w:p>
    <w:p w:rsidR="0044316D" w:rsidRPr="007D16D5" w:rsidRDefault="0044316D" w:rsidP="0044316D">
      <w:pPr>
        <w:autoSpaceDE w:val="0"/>
        <w:autoSpaceDN w:val="0"/>
        <w:adjustRightInd w:val="0"/>
        <w:spacing w:after="0" w:line="240" w:lineRule="auto"/>
        <w:jc w:val="both"/>
        <w:rPr>
          <w:rFonts w:cs="Times New Roman"/>
          <w:color w:val="000000" w:themeColor="text1"/>
          <w:szCs w:val="24"/>
        </w:rPr>
      </w:pPr>
    </w:p>
    <w:p w:rsidR="007D16D5" w:rsidRPr="007D16D5" w:rsidRDefault="0044316D" w:rsidP="007D16D5">
      <w:pPr>
        <w:autoSpaceDE w:val="0"/>
        <w:autoSpaceDN w:val="0"/>
        <w:adjustRightInd w:val="0"/>
        <w:spacing w:after="0" w:line="240" w:lineRule="auto"/>
        <w:jc w:val="both"/>
        <w:rPr>
          <w:rFonts w:cs="Times New Roman"/>
          <w:color w:val="000000" w:themeColor="text1"/>
          <w:szCs w:val="24"/>
        </w:rPr>
      </w:pPr>
      <w:r>
        <w:rPr>
          <w:rFonts w:cs="Times New Roman"/>
          <w:color w:val="000000" w:themeColor="text1"/>
          <w:szCs w:val="24"/>
        </w:rPr>
        <w:t>The I</w:t>
      </w:r>
      <w:r w:rsidR="00F86138">
        <w:rPr>
          <w:rFonts w:cs="Times New Roman"/>
          <w:color w:val="000000" w:themeColor="text1"/>
          <w:szCs w:val="24"/>
        </w:rPr>
        <w:t>nstitution</w:t>
      </w:r>
      <w:r>
        <w:rPr>
          <w:rFonts w:cs="Times New Roman"/>
          <w:color w:val="000000" w:themeColor="text1"/>
          <w:szCs w:val="24"/>
        </w:rPr>
        <w:t xml:space="preserve"> also</w:t>
      </w:r>
      <w:r w:rsidR="00F86138">
        <w:rPr>
          <w:rFonts w:cs="Times New Roman"/>
          <w:color w:val="000000" w:themeColor="text1"/>
          <w:szCs w:val="24"/>
        </w:rPr>
        <w:t xml:space="preserve"> </w:t>
      </w:r>
      <w:r w:rsidR="007D16D5" w:rsidRPr="007D16D5">
        <w:rPr>
          <w:rFonts w:cs="Times New Roman"/>
          <w:color w:val="000000" w:themeColor="text1"/>
          <w:szCs w:val="24"/>
        </w:rPr>
        <w:t xml:space="preserve">has </w:t>
      </w:r>
      <w:r w:rsidR="007D16D5" w:rsidRPr="0044316D">
        <w:rPr>
          <w:rFonts w:cs="Times New Roman"/>
          <w:color w:val="000000" w:themeColor="text1"/>
          <w:szCs w:val="24"/>
        </w:rPr>
        <w:t>the authority to appoint experts and hear witnesses</w:t>
      </w:r>
      <w:r>
        <w:rPr>
          <w:rFonts w:cs="Times New Roman"/>
          <w:i/>
          <w:color w:val="000000" w:themeColor="text1"/>
          <w:szCs w:val="24"/>
        </w:rPr>
        <w:t>.</w:t>
      </w:r>
    </w:p>
    <w:p w:rsidR="007D16D5" w:rsidRPr="007D16D5" w:rsidRDefault="007D16D5" w:rsidP="007D16D5">
      <w:pPr>
        <w:autoSpaceDE w:val="0"/>
        <w:autoSpaceDN w:val="0"/>
        <w:adjustRightInd w:val="0"/>
        <w:spacing w:after="0" w:line="240" w:lineRule="auto"/>
        <w:ind w:left="360"/>
        <w:jc w:val="both"/>
        <w:rPr>
          <w:rFonts w:cs="Times New Roman"/>
          <w:color w:val="000000" w:themeColor="text1"/>
          <w:szCs w:val="24"/>
        </w:rPr>
      </w:pPr>
    </w:p>
    <w:p w:rsidR="007D16D5" w:rsidRPr="007D16D5" w:rsidRDefault="007D16D5" w:rsidP="007D16D5">
      <w:pPr>
        <w:autoSpaceDE w:val="0"/>
        <w:autoSpaceDN w:val="0"/>
        <w:adjustRightInd w:val="0"/>
        <w:spacing w:after="0" w:line="240" w:lineRule="auto"/>
        <w:jc w:val="both"/>
        <w:rPr>
          <w:rFonts w:eastAsia="ヒラギノ明朝 Pro W3" w:cs="Times New Roman"/>
          <w:szCs w:val="24"/>
        </w:rPr>
      </w:pPr>
      <w:r w:rsidRPr="007D16D5">
        <w:rPr>
          <w:rFonts w:cs="Times New Roman"/>
          <w:color w:val="000000" w:themeColor="text1"/>
          <w:szCs w:val="24"/>
        </w:rPr>
        <w:t>Another</w:t>
      </w:r>
      <w:r w:rsidR="0044316D">
        <w:rPr>
          <w:rFonts w:cs="Times New Roman"/>
          <w:color w:val="000000" w:themeColor="text1"/>
          <w:szCs w:val="24"/>
        </w:rPr>
        <w:t xml:space="preserve"> important competence of the I</w:t>
      </w:r>
      <w:r w:rsidRPr="007D16D5">
        <w:rPr>
          <w:rFonts w:cs="Times New Roman"/>
          <w:color w:val="000000" w:themeColor="text1"/>
          <w:szCs w:val="24"/>
        </w:rPr>
        <w:t xml:space="preserve">nstitution is the preparation of </w:t>
      </w:r>
      <w:r w:rsidRPr="0044316D">
        <w:rPr>
          <w:rFonts w:cs="Times New Roman"/>
          <w:color w:val="000000" w:themeColor="text1"/>
          <w:szCs w:val="24"/>
        </w:rPr>
        <w:t>annual reports</w:t>
      </w:r>
      <w:r w:rsidRPr="007D16D5">
        <w:rPr>
          <w:rFonts w:cs="Times New Roman"/>
          <w:color w:val="000000" w:themeColor="text1"/>
          <w:szCs w:val="24"/>
        </w:rPr>
        <w:t>.</w:t>
      </w:r>
      <w:r w:rsidRPr="007D16D5">
        <w:rPr>
          <w:rFonts w:cs="Times New Roman"/>
          <w:i/>
          <w:color w:val="000000" w:themeColor="text1"/>
          <w:szCs w:val="24"/>
        </w:rPr>
        <w:t xml:space="preserve"> </w:t>
      </w:r>
      <w:r w:rsidRPr="007D16D5">
        <w:rPr>
          <w:rFonts w:cs="Times New Roman"/>
          <w:color w:val="000000" w:themeColor="text1"/>
          <w:szCs w:val="24"/>
        </w:rPr>
        <w:t xml:space="preserve">Pursuant to Articles 7 and 22 of the Establishment Law, the Institution prepares a </w:t>
      </w:r>
      <w:r w:rsidRPr="007D16D5">
        <w:rPr>
          <w:rFonts w:eastAsia="ヒラギノ明朝 Pro W3" w:cs="Times New Roman"/>
          <w:szCs w:val="24"/>
        </w:rPr>
        <w:t xml:space="preserve">report at the end of each calendar year, including its findings, suggestions and evaluations on the applications it accepts, and submits it to the Turkish Grand National Assembly in line with the principles of transparency and accountability. The report is shared with the public by being published in the Official Gazette after being discussed in the General Assembly. In addition, all annual reports are published on the Institution's website ( </w:t>
      </w:r>
      <w:hyperlink r:id="rId8" w:history="1">
        <w:r w:rsidRPr="007D16D5">
          <w:rPr>
            <w:rStyle w:val="Kpr"/>
            <w:rFonts w:eastAsia="ヒラギノ明朝 Pro W3" w:cs="Times New Roman"/>
            <w:szCs w:val="24"/>
          </w:rPr>
          <w:t xml:space="preserve">www.ombudsman.gov.tr </w:t>
        </w:r>
      </w:hyperlink>
      <w:r w:rsidRPr="007D16D5">
        <w:rPr>
          <w:rFonts w:eastAsia="ヒラギノ明朝 Pro W3" w:cs="Times New Roman"/>
          <w:szCs w:val="24"/>
        </w:rPr>
        <w:t>).</w:t>
      </w:r>
    </w:p>
    <w:p w:rsidR="007D16D5" w:rsidRPr="007D16D5" w:rsidRDefault="007D16D5" w:rsidP="007D16D5">
      <w:pPr>
        <w:autoSpaceDE w:val="0"/>
        <w:autoSpaceDN w:val="0"/>
        <w:adjustRightInd w:val="0"/>
        <w:spacing w:after="0" w:line="240" w:lineRule="auto"/>
        <w:jc w:val="both"/>
        <w:rPr>
          <w:rFonts w:eastAsia="ヒラギノ明朝 Pro W3" w:cs="Times New Roman"/>
          <w:szCs w:val="24"/>
        </w:rPr>
      </w:pPr>
    </w:p>
    <w:p w:rsidR="007D16D5" w:rsidRPr="0044316D" w:rsidRDefault="0044316D" w:rsidP="007D16D5">
      <w:pPr>
        <w:autoSpaceDE w:val="0"/>
        <w:autoSpaceDN w:val="0"/>
        <w:adjustRightInd w:val="0"/>
        <w:spacing w:after="0" w:line="240" w:lineRule="auto"/>
        <w:jc w:val="both"/>
        <w:rPr>
          <w:rFonts w:eastAsia="ヒラギノ明朝 Pro W3" w:cs="Times New Roman"/>
          <w:szCs w:val="24"/>
        </w:rPr>
      </w:pPr>
      <w:r>
        <w:rPr>
          <w:rFonts w:eastAsia="ヒラギノ明朝 Pro W3" w:cs="Times New Roman"/>
          <w:szCs w:val="24"/>
        </w:rPr>
        <w:t>T</w:t>
      </w:r>
      <w:r w:rsidR="007D16D5" w:rsidRPr="007D16D5">
        <w:rPr>
          <w:rFonts w:eastAsia="ヒラギノ明朝 Pro W3" w:cs="Times New Roman"/>
          <w:szCs w:val="24"/>
        </w:rPr>
        <w:t xml:space="preserve">he Institution </w:t>
      </w:r>
      <w:r>
        <w:rPr>
          <w:rFonts w:eastAsia="ヒラギノ明朝 Pro W3" w:cs="Times New Roman"/>
          <w:szCs w:val="24"/>
        </w:rPr>
        <w:t xml:space="preserve">can also </w:t>
      </w:r>
      <w:r w:rsidR="007D16D5" w:rsidRPr="007D16D5">
        <w:rPr>
          <w:rFonts w:eastAsia="ヒラギノ明朝 Pro W3" w:cs="Times New Roman"/>
          <w:szCs w:val="24"/>
        </w:rPr>
        <w:t xml:space="preserve">prepare </w:t>
      </w:r>
      <w:r>
        <w:rPr>
          <w:rFonts w:eastAsia="ヒラギノ明朝 Pro W3" w:cs="Times New Roman"/>
          <w:szCs w:val="24"/>
        </w:rPr>
        <w:t>“</w:t>
      </w:r>
      <w:r w:rsidR="007D16D5" w:rsidRPr="007D16D5">
        <w:rPr>
          <w:rFonts w:eastAsia="ヒラギノ明朝 Pro W3" w:cs="Times New Roman"/>
          <w:szCs w:val="24"/>
        </w:rPr>
        <w:t>special reports</w:t>
      </w:r>
      <w:r>
        <w:rPr>
          <w:rFonts w:eastAsia="ヒラギノ明朝 Pro W3" w:cs="Times New Roman"/>
          <w:szCs w:val="24"/>
        </w:rPr>
        <w:t>”</w:t>
      </w:r>
      <w:r w:rsidR="007D16D5" w:rsidRPr="007D16D5">
        <w:rPr>
          <w:rFonts w:eastAsia="ヒラギノ明朝 Pro W3" w:cs="Times New Roman"/>
          <w:szCs w:val="24"/>
        </w:rPr>
        <w:t xml:space="preserve">. In accordance with </w:t>
      </w:r>
      <w:r>
        <w:rPr>
          <w:rFonts w:eastAsia="ヒラギノ明朝 Pro W3" w:cs="Times New Roman"/>
          <w:szCs w:val="24"/>
        </w:rPr>
        <w:t xml:space="preserve">the articles 7 and 22 of the </w:t>
      </w:r>
      <w:r w:rsidR="007D16D5" w:rsidRPr="007D16D5">
        <w:rPr>
          <w:rFonts w:eastAsia="ヒラギノ明朝 Pro W3" w:cs="Times New Roman"/>
          <w:szCs w:val="24"/>
        </w:rPr>
        <w:t>Law</w:t>
      </w:r>
      <w:r>
        <w:rPr>
          <w:rFonts w:eastAsia="ヒラギノ明朝 Pro W3" w:cs="Times New Roman"/>
          <w:szCs w:val="24"/>
        </w:rPr>
        <w:t xml:space="preserve"> No.6328</w:t>
      </w:r>
      <w:r w:rsidR="007D16D5" w:rsidRPr="007D16D5">
        <w:rPr>
          <w:rFonts w:eastAsia="ヒラギノ明朝 Pro W3" w:cs="Times New Roman"/>
          <w:szCs w:val="24"/>
        </w:rPr>
        <w:t xml:space="preserve"> , the Institution has the authority to prepare </w:t>
      </w:r>
      <w:r w:rsidR="007D16D5" w:rsidRPr="007D16D5">
        <w:rPr>
          <w:rFonts w:eastAsia="ヒラギノ明朝 Pro W3" w:cs="Times New Roman"/>
          <w:i/>
          <w:szCs w:val="24"/>
        </w:rPr>
        <w:t xml:space="preserve">special reports </w:t>
      </w:r>
      <w:r w:rsidR="007D16D5" w:rsidRPr="007D16D5">
        <w:rPr>
          <w:rFonts w:eastAsia="ヒラギノ明朝 Pro W3" w:cs="Times New Roman"/>
          <w:szCs w:val="24"/>
        </w:rPr>
        <w:t>on the subjects it deems necessary without waiting fo</w:t>
      </w:r>
      <w:r>
        <w:rPr>
          <w:rFonts w:eastAsia="ヒラギノ明朝 Pro W3" w:cs="Times New Roman"/>
          <w:szCs w:val="24"/>
        </w:rPr>
        <w:t>r the annual report</w:t>
      </w:r>
      <w:r w:rsidR="007D16D5" w:rsidRPr="007D16D5">
        <w:rPr>
          <w:rFonts w:eastAsia="ヒラギノ明朝 Pro W3" w:cs="Times New Roman"/>
          <w:szCs w:val="24"/>
        </w:rPr>
        <w:t>. In this way, the Institution has the opportunity to contribute to the solution of problems regarding the fu</w:t>
      </w:r>
      <w:r>
        <w:rPr>
          <w:rFonts w:eastAsia="ヒラギノ明朝 Pro W3" w:cs="Times New Roman"/>
          <w:szCs w:val="24"/>
        </w:rPr>
        <w:t>nctioning of the administration</w:t>
      </w:r>
      <w:r w:rsidR="007D16D5" w:rsidRPr="007D16D5">
        <w:rPr>
          <w:rFonts w:eastAsia="ヒラギノ明朝 Pro W3" w:cs="Times New Roman"/>
          <w:szCs w:val="24"/>
        </w:rPr>
        <w:t>.</w:t>
      </w:r>
      <w:r>
        <w:rPr>
          <w:rFonts w:eastAsia="ヒラギノ明朝 Pro W3" w:cs="Times New Roman"/>
          <w:szCs w:val="24"/>
        </w:rPr>
        <w:t xml:space="preserve"> </w:t>
      </w:r>
      <w:r w:rsidR="007D16D5" w:rsidRPr="007D16D5">
        <w:rPr>
          <w:rFonts w:eastAsia="ヒラギノ明朝 Pro W3" w:cs="Times New Roman"/>
          <w:szCs w:val="24"/>
        </w:rPr>
        <w:t xml:space="preserve">In addition, the Institution </w:t>
      </w:r>
      <w:r w:rsidR="007D16D5" w:rsidRPr="007D16D5">
        <w:rPr>
          <w:rFonts w:cs="Times New Roman"/>
          <w:color w:val="000000" w:themeColor="text1"/>
          <w:szCs w:val="24"/>
        </w:rPr>
        <w:t>has the authority to make statements when deemed necessary</w:t>
      </w:r>
      <w:r>
        <w:rPr>
          <w:rFonts w:cs="Times New Roman"/>
          <w:color w:val="000000" w:themeColor="text1"/>
          <w:szCs w:val="24"/>
        </w:rPr>
        <w:t>.</w:t>
      </w:r>
    </w:p>
    <w:p w:rsidR="007D16D5" w:rsidRPr="007D16D5" w:rsidRDefault="007D16D5" w:rsidP="007D16D5">
      <w:pPr>
        <w:autoSpaceDE w:val="0"/>
        <w:autoSpaceDN w:val="0"/>
        <w:adjustRightInd w:val="0"/>
        <w:spacing w:after="0" w:line="240" w:lineRule="auto"/>
        <w:jc w:val="both"/>
        <w:rPr>
          <w:rFonts w:cs="Times New Roman"/>
          <w:color w:val="000000" w:themeColor="text1"/>
          <w:szCs w:val="24"/>
        </w:rPr>
      </w:pPr>
    </w:p>
    <w:p w:rsidR="007D16D5" w:rsidRPr="007D16D5" w:rsidRDefault="001679BF" w:rsidP="007D16D5">
      <w:pPr>
        <w:pStyle w:val="GvdeMetni"/>
        <w:spacing w:after="0"/>
        <w:jc w:val="both"/>
        <w:rPr>
          <w:color w:val="000000" w:themeColor="text1"/>
        </w:rPr>
      </w:pPr>
      <w:r>
        <w:rPr>
          <w:color w:val="000000" w:themeColor="text1"/>
        </w:rPr>
        <w:t>In this context, the extent</w:t>
      </w:r>
      <w:r w:rsidR="007D16D5" w:rsidRPr="007D16D5">
        <w:rPr>
          <w:color w:val="000000" w:themeColor="text1"/>
        </w:rPr>
        <w:t xml:space="preserve"> of the </w:t>
      </w:r>
      <w:r w:rsidR="0044316D">
        <w:rPr>
          <w:color w:val="000000" w:themeColor="text1"/>
        </w:rPr>
        <w:t>Institution</w:t>
      </w:r>
      <w:r>
        <w:rPr>
          <w:color w:val="000000" w:themeColor="text1"/>
        </w:rPr>
        <w:t>’</w:t>
      </w:r>
      <w:r w:rsidR="0044316D">
        <w:rPr>
          <w:color w:val="000000" w:themeColor="text1"/>
        </w:rPr>
        <w:t>s</w:t>
      </w:r>
      <w:r w:rsidR="007D16D5" w:rsidRPr="007D16D5">
        <w:rPr>
          <w:color w:val="000000" w:themeColor="text1"/>
        </w:rPr>
        <w:t xml:space="preserve"> author</w:t>
      </w:r>
      <w:r>
        <w:rPr>
          <w:color w:val="000000" w:themeColor="text1"/>
        </w:rPr>
        <w:t xml:space="preserve">ity, duties and responsibility </w:t>
      </w:r>
      <w:r w:rsidR="007D16D5" w:rsidRPr="007D16D5">
        <w:rPr>
          <w:color w:val="000000" w:themeColor="text1"/>
        </w:rPr>
        <w:t>is fully compatible with the Paris Principles.</w:t>
      </w:r>
    </w:p>
    <w:p w:rsidR="007D16D5" w:rsidRPr="007D16D5" w:rsidRDefault="007D16D5" w:rsidP="007D16D5">
      <w:pPr>
        <w:spacing w:after="0" w:line="240" w:lineRule="auto"/>
        <w:jc w:val="both"/>
        <w:rPr>
          <w:rFonts w:cs="Times New Roman"/>
          <w:szCs w:val="24"/>
        </w:rPr>
      </w:pPr>
    </w:p>
    <w:p w:rsidR="007D16D5" w:rsidRPr="007D16D5" w:rsidRDefault="007D16D5" w:rsidP="007D16D5">
      <w:pPr>
        <w:pStyle w:val="ListeParagraf"/>
        <w:numPr>
          <w:ilvl w:val="0"/>
          <w:numId w:val="2"/>
        </w:numPr>
        <w:jc w:val="both"/>
        <w:rPr>
          <w:b/>
        </w:rPr>
      </w:pPr>
      <w:r w:rsidRPr="007D16D5">
        <w:rPr>
          <w:b/>
        </w:rPr>
        <w:t>Operation of an Effective and Independent Complaint Mechanism</w:t>
      </w:r>
    </w:p>
    <w:p w:rsidR="007D16D5" w:rsidRDefault="007D16D5" w:rsidP="007D16D5">
      <w:pPr>
        <w:autoSpaceDE w:val="0"/>
        <w:autoSpaceDN w:val="0"/>
        <w:adjustRightInd w:val="0"/>
        <w:spacing w:after="0" w:line="240" w:lineRule="auto"/>
        <w:jc w:val="both"/>
        <w:rPr>
          <w:rFonts w:cs="Times New Roman"/>
          <w:color w:val="000000" w:themeColor="text1"/>
          <w:szCs w:val="24"/>
        </w:rPr>
      </w:pPr>
    </w:p>
    <w:p w:rsidR="007D16D5" w:rsidRPr="00D711D5" w:rsidRDefault="007D16D5" w:rsidP="007D16D5">
      <w:pPr>
        <w:autoSpaceDE w:val="0"/>
        <w:autoSpaceDN w:val="0"/>
        <w:adjustRightInd w:val="0"/>
        <w:spacing w:after="0" w:line="240" w:lineRule="auto"/>
        <w:jc w:val="both"/>
      </w:pPr>
      <w:r w:rsidRPr="007D16D5">
        <w:rPr>
          <w:rFonts w:cs="Times New Roman"/>
          <w:color w:val="000000" w:themeColor="text1"/>
          <w:szCs w:val="24"/>
        </w:rPr>
        <w:t xml:space="preserve">Pursuant to Article 74 of the Constitution, application to the Ombudsman is a constitutional right for everyone. </w:t>
      </w:r>
      <w:r w:rsidR="001679BF">
        <w:rPr>
          <w:rFonts w:cs="Times New Roman"/>
          <w:color w:val="000000" w:themeColor="text1"/>
          <w:szCs w:val="24"/>
        </w:rPr>
        <w:t xml:space="preserve">It is also stipulated in the </w:t>
      </w:r>
      <w:r w:rsidRPr="007D16D5">
        <w:rPr>
          <w:rFonts w:cs="Times New Roman"/>
          <w:color w:val="000000" w:themeColor="text1"/>
          <w:szCs w:val="24"/>
        </w:rPr>
        <w:t>Article 17 of the Law</w:t>
      </w:r>
      <w:r w:rsidR="001679BF">
        <w:rPr>
          <w:rFonts w:cs="Times New Roman"/>
          <w:color w:val="000000" w:themeColor="text1"/>
          <w:szCs w:val="24"/>
        </w:rPr>
        <w:t xml:space="preserve"> No.6328 and</w:t>
      </w:r>
      <w:r w:rsidRPr="007D16D5">
        <w:rPr>
          <w:rFonts w:cs="Times New Roman"/>
          <w:color w:val="000000" w:themeColor="text1"/>
          <w:szCs w:val="24"/>
        </w:rPr>
        <w:t xml:space="preserve"> </w:t>
      </w:r>
      <w:r w:rsidR="001679BF">
        <w:rPr>
          <w:rFonts w:cs="Times New Roman"/>
          <w:color w:val="000000" w:themeColor="text1"/>
          <w:szCs w:val="24"/>
        </w:rPr>
        <w:t>the articles</w:t>
      </w:r>
      <w:r w:rsidRPr="007D16D5">
        <w:rPr>
          <w:rFonts w:cs="Times New Roman"/>
          <w:color w:val="000000" w:themeColor="text1"/>
          <w:szCs w:val="24"/>
        </w:rPr>
        <w:t xml:space="preserve"> 7, 8, 9, 10, 11 and 12 of the </w:t>
      </w:r>
      <w:r w:rsidR="001679BF">
        <w:t>Regulation on Procedures and Principles Concerning the Implementation of Law on the Ombudsman Institution</w:t>
      </w:r>
      <w:r w:rsidR="001679BF">
        <w:rPr>
          <w:rFonts w:cs="Times New Roman"/>
          <w:color w:val="000000" w:themeColor="text1"/>
          <w:szCs w:val="24"/>
        </w:rPr>
        <w:t>.</w:t>
      </w:r>
      <w:r w:rsidRPr="007D16D5">
        <w:rPr>
          <w:rFonts w:cs="Times New Roman"/>
          <w:color w:val="000000" w:themeColor="text1"/>
          <w:szCs w:val="24"/>
        </w:rPr>
        <w:t xml:space="preserve"> Following the preliminary examination carried out in accordance with </w:t>
      </w:r>
      <w:r w:rsidR="001679BF">
        <w:rPr>
          <w:rFonts w:cs="Times New Roman"/>
          <w:color w:val="000000" w:themeColor="text1"/>
          <w:szCs w:val="24"/>
        </w:rPr>
        <w:t>the a</w:t>
      </w:r>
      <w:r w:rsidRPr="007D16D5">
        <w:rPr>
          <w:rFonts w:cs="Times New Roman"/>
          <w:color w:val="000000" w:themeColor="text1"/>
          <w:szCs w:val="24"/>
        </w:rPr>
        <w:t xml:space="preserve">rticles 18 and 19 of the </w:t>
      </w:r>
      <w:r w:rsidR="001679BF">
        <w:rPr>
          <w:rFonts w:cs="Times New Roman"/>
          <w:color w:val="000000" w:themeColor="text1"/>
          <w:szCs w:val="24"/>
        </w:rPr>
        <w:t>Regulation</w:t>
      </w:r>
      <w:r w:rsidRPr="007D16D5">
        <w:rPr>
          <w:rFonts w:cs="Times New Roman"/>
          <w:color w:val="000000" w:themeColor="text1"/>
          <w:szCs w:val="24"/>
        </w:rPr>
        <w:t xml:space="preserve">, a decision of </w:t>
      </w:r>
      <w:r w:rsidR="00D711D5">
        <w:t xml:space="preserve">unexaminability </w:t>
      </w:r>
      <w:r w:rsidR="00D711D5">
        <w:rPr>
          <w:rFonts w:cs="Times New Roman"/>
          <w:i/>
          <w:color w:val="000000" w:themeColor="text1"/>
          <w:szCs w:val="24"/>
        </w:rPr>
        <w:t xml:space="preserve"> </w:t>
      </w:r>
      <w:r w:rsidR="00D711D5" w:rsidRPr="00D711D5">
        <w:rPr>
          <w:rFonts w:cs="Times New Roman"/>
          <w:color w:val="000000" w:themeColor="text1"/>
          <w:szCs w:val="24"/>
        </w:rPr>
        <w:t>shall be given for applications that do not meet the required conditions</w:t>
      </w:r>
      <w:r w:rsidR="00D711D5">
        <w:rPr>
          <w:rFonts w:cs="Times New Roman"/>
          <w:color w:val="000000" w:themeColor="text1"/>
          <w:szCs w:val="24"/>
        </w:rPr>
        <w:t>.</w:t>
      </w:r>
      <w:r w:rsidR="00D711D5" w:rsidRPr="00D711D5">
        <w:t xml:space="preserve"> </w:t>
      </w:r>
      <w:r w:rsidR="00D711D5">
        <w:t xml:space="preserve">The complaints lodged without exhausting the administrative remedies shall be decided to be sent to the relevant administration. </w:t>
      </w:r>
      <w:r w:rsidR="00D711D5" w:rsidRPr="00D711D5">
        <w:rPr>
          <w:i/>
        </w:rPr>
        <w:t>(Referral Decision)</w:t>
      </w:r>
      <w:r w:rsidR="00D711D5">
        <w:t xml:space="preserve"> In that case, </w:t>
      </w:r>
      <w:r w:rsidRPr="007D16D5">
        <w:rPr>
          <w:rFonts w:cs="Times New Roman"/>
          <w:color w:val="000000" w:themeColor="text1"/>
          <w:szCs w:val="24"/>
        </w:rPr>
        <w:t>the administration is invited to a friendly solution and it is stated</w:t>
      </w:r>
      <w:r w:rsidR="00D711D5">
        <w:rPr>
          <w:rFonts w:cs="Times New Roman"/>
          <w:color w:val="000000" w:themeColor="text1"/>
          <w:szCs w:val="24"/>
        </w:rPr>
        <w:t xml:space="preserve"> in the decision</w:t>
      </w:r>
      <w:r w:rsidRPr="007D16D5">
        <w:rPr>
          <w:rFonts w:cs="Times New Roman"/>
          <w:color w:val="000000" w:themeColor="text1"/>
          <w:szCs w:val="24"/>
        </w:rPr>
        <w:t xml:space="preserve"> that the applicant and the Institution should be informed about the result of the process. In this way, most of the Referral Decisions are concluded with a friendly solution by the administration and the grievances of the applicants are eliminated.</w:t>
      </w:r>
    </w:p>
    <w:p w:rsidR="007D16D5" w:rsidRPr="007D16D5" w:rsidRDefault="007D16D5" w:rsidP="007D16D5">
      <w:pPr>
        <w:autoSpaceDE w:val="0"/>
        <w:autoSpaceDN w:val="0"/>
        <w:adjustRightInd w:val="0"/>
        <w:spacing w:after="0" w:line="240" w:lineRule="auto"/>
        <w:jc w:val="both"/>
        <w:rPr>
          <w:rFonts w:cs="Times New Roman"/>
          <w:color w:val="000000" w:themeColor="text1"/>
          <w:szCs w:val="24"/>
        </w:rPr>
      </w:pPr>
    </w:p>
    <w:p w:rsidR="007D16D5" w:rsidRPr="007D16D5" w:rsidRDefault="007D16D5" w:rsidP="007D16D5">
      <w:pPr>
        <w:autoSpaceDE w:val="0"/>
        <w:autoSpaceDN w:val="0"/>
        <w:adjustRightInd w:val="0"/>
        <w:spacing w:after="0" w:line="240" w:lineRule="auto"/>
        <w:jc w:val="both"/>
        <w:rPr>
          <w:rFonts w:cs="Times New Roman"/>
          <w:color w:val="000000" w:themeColor="text1"/>
          <w:szCs w:val="24"/>
        </w:rPr>
      </w:pPr>
      <w:r w:rsidRPr="007D16D5">
        <w:rPr>
          <w:rFonts w:cs="Times New Roman"/>
          <w:color w:val="000000" w:themeColor="text1"/>
          <w:szCs w:val="24"/>
        </w:rPr>
        <w:t xml:space="preserve">Applications that pass the preliminary examination are examined on the merits in accordance with the provisions of Articles 22, 23, 24 and 25 of the Regulation. As a result of the examination and investigation conducted </w:t>
      </w:r>
      <w:r w:rsidR="003C0D86">
        <w:rPr>
          <w:rFonts w:cs="Times New Roman"/>
          <w:color w:val="000000" w:themeColor="text1"/>
          <w:szCs w:val="24"/>
        </w:rPr>
        <w:t>on the merits, a recommendation or a</w:t>
      </w:r>
      <w:r w:rsidRPr="007D16D5">
        <w:rPr>
          <w:rFonts w:cs="Times New Roman"/>
          <w:color w:val="000000" w:themeColor="text1"/>
          <w:szCs w:val="24"/>
        </w:rPr>
        <w:t xml:space="preserve"> </w:t>
      </w:r>
      <w:r w:rsidR="003C0D86">
        <w:rPr>
          <w:rFonts w:cs="Times New Roman"/>
          <w:color w:val="000000" w:themeColor="text1"/>
          <w:szCs w:val="24"/>
        </w:rPr>
        <w:t xml:space="preserve">rejection decision can be issued </w:t>
      </w:r>
      <w:r w:rsidRPr="007D16D5">
        <w:rPr>
          <w:rFonts w:cs="Times New Roman"/>
          <w:color w:val="000000" w:themeColor="text1"/>
          <w:szCs w:val="24"/>
        </w:rPr>
        <w:t>depending on the nature of the application and/or violation. The decisions given as a result of the examination on the merits and the details of the process are regulated in detail in Articles 31, 32, 32A, 33 and 34 of the Regulation.</w:t>
      </w:r>
    </w:p>
    <w:p w:rsidR="007D16D5" w:rsidRPr="007D16D5" w:rsidRDefault="007D16D5" w:rsidP="007D16D5">
      <w:pPr>
        <w:autoSpaceDE w:val="0"/>
        <w:autoSpaceDN w:val="0"/>
        <w:adjustRightInd w:val="0"/>
        <w:spacing w:after="0" w:line="240" w:lineRule="auto"/>
        <w:jc w:val="both"/>
        <w:rPr>
          <w:rFonts w:cs="Times New Roman"/>
          <w:color w:val="000000" w:themeColor="text1"/>
          <w:szCs w:val="24"/>
        </w:rPr>
      </w:pPr>
    </w:p>
    <w:p w:rsidR="00FD78C4" w:rsidRPr="00FD78C4" w:rsidRDefault="007D16D5" w:rsidP="00FD78C4">
      <w:pPr>
        <w:pStyle w:val="Default"/>
        <w:jc w:val="both"/>
      </w:pPr>
      <w:r w:rsidRPr="007D16D5">
        <w:rPr>
          <w:color w:val="000000" w:themeColor="text1"/>
        </w:rPr>
        <w:t xml:space="preserve">There are two important issues that need to be noted in the examination and investigation conducted on the merits. First, the Institution is obliged to </w:t>
      </w:r>
      <w:r w:rsidR="00FD78C4">
        <w:rPr>
          <w:color w:val="000000" w:themeColor="text1"/>
        </w:rPr>
        <w:t>finalise</w:t>
      </w:r>
      <w:r w:rsidRPr="007D16D5">
        <w:rPr>
          <w:color w:val="000000" w:themeColor="text1"/>
        </w:rPr>
        <w:t xml:space="preserve"> the applications within </w:t>
      </w:r>
      <w:r w:rsidRPr="007D16D5">
        <w:rPr>
          <w:i/>
          <w:color w:val="000000" w:themeColor="text1"/>
        </w:rPr>
        <w:t xml:space="preserve">a maximum of 6 months </w:t>
      </w:r>
      <w:r w:rsidRPr="007D16D5">
        <w:rPr>
          <w:color w:val="000000" w:themeColor="text1"/>
        </w:rPr>
        <w:t xml:space="preserve">in accordance with the provision of Article 20 of the </w:t>
      </w:r>
      <w:r w:rsidR="00FD78C4">
        <w:rPr>
          <w:color w:val="000000" w:themeColor="text1"/>
        </w:rPr>
        <w:t>Law</w:t>
      </w:r>
      <w:r w:rsidRPr="007D16D5">
        <w:rPr>
          <w:color w:val="000000" w:themeColor="text1"/>
        </w:rPr>
        <w:t xml:space="preserve">. The other is that, in accordance with the eighth paragraph of Article 17 of the Law, </w:t>
      </w:r>
      <w:r w:rsidR="00FD78C4">
        <w:rPr>
          <w:sz w:val="23"/>
          <w:szCs w:val="23"/>
        </w:rPr>
        <w:t>any application filed during the term of litigation shall suspend the ongoing term of litigation</w:t>
      </w:r>
      <w:r w:rsidR="00B3160C">
        <w:rPr>
          <w:sz w:val="23"/>
          <w:szCs w:val="23"/>
        </w:rPr>
        <w:t>.</w:t>
      </w:r>
      <w:r w:rsidR="00FD78C4">
        <w:rPr>
          <w:sz w:val="23"/>
          <w:szCs w:val="23"/>
        </w:rPr>
        <w:t xml:space="preserve"> </w:t>
      </w:r>
    </w:p>
    <w:p w:rsidR="007D16D5" w:rsidRPr="007D16D5" w:rsidRDefault="007D16D5" w:rsidP="007D16D5">
      <w:pPr>
        <w:autoSpaceDE w:val="0"/>
        <w:autoSpaceDN w:val="0"/>
        <w:adjustRightInd w:val="0"/>
        <w:spacing w:after="0" w:line="240" w:lineRule="auto"/>
        <w:jc w:val="both"/>
        <w:rPr>
          <w:rFonts w:cs="Times New Roman"/>
          <w:color w:val="000000" w:themeColor="text1"/>
          <w:szCs w:val="24"/>
        </w:rPr>
      </w:pPr>
    </w:p>
    <w:p w:rsidR="007D16D5" w:rsidRPr="007D16D5" w:rsidRDefault="007D16D5" w:rsidP="007D16D5">
      <w:pPr>
        <w:pStyle w:val="GvdeMetni"/>
        <w:spacing w:after="0"/>
        <w:jc w:val="both"/>
        <w:rPr>
          <w:color w:val="000000" w:themeColor="text1"/>
        </w:rPr>
      </w:pPr>
      <w:r w:rsidRPr="007D16D5">
        <w:rPr>
          <w:color w:val="000000" w:themeColor="text1"/>
        </w:rPr>
        <w:t>The core elements of the organization's complaints-handling system are fully compliant with the Paris Principles.</w:t>
      </w:r>
    </w:p>
    <w:p w:rsidR="007D16D5" w:rsidRPr="007D16D5" w:rsidRDefault="007D16D5" w:rsidP="007D16D5">
      <w:pPr>
        <w:spacing w:after="0" w:line="240" w:lineRule="auto"/>
        <w:jc w:val="both"/>
        <w:rPr>
          <w:rFonts w:cs="Times New Roman"/>
          <w:szCs w:val="24"/>
        </w:rPr>
      </w:pPr>
    </w:p>
    <w:p w:rsidR="007D16D5" w:rsidRPr="007D16D5" w:rsidRDefault="007D16D5" w:rsidP="007D16D5">
      <w:pPr>
        <w:pStyle w:val="ListeParagraf"/>
        <w:numPr>
          <w:ilvl w:val="0"/>
          <w:numId w:val="2"/>
        </w:numPr>
        <w:jc w:val="both"/>
        <w:rPr>
          <w:b/>
        </w:rPr>
      </w:pPr>
      <w:r w:rsidRPr="007D16D5">
        <w:rPr>
          <w:b/>
        </w:rPr>
        <w:t>Nature of Institutional Decisions</w:t>
      </w:r>
    </w:p>
    <w:p w:rsidR="007D16D5" w:rsidRDefault="007D16D5" w:rsidP="007D16D5">
      <w:pPr>
        <w:spacing w:after="0" w:line="240" w:lineRule="auto"/>
        <w:jc w:val="both"/>
        <w:rPr>
          <w:rFonts w:cs="Times New Roman"/>
          <w:color w:val="000000" w:themeColor="text1"/>
          <w:szCs w:val="24"/>
        </w:rPr>
      </w:pPr>
    </w:p>
    <w:p w:rsidR="007D16D5" w:rsidRDefault="007D16D5" w:rsidP="007D16D5">
      <w:pPr>
        <w:spacing w:after="0" w:line="240" w:lineRule="auto"/>
        <w:jc w:val="both"/>
        <w:rPr>
          <w:rFonts w:cs="Times New Roman"/>
          <w:szCs w:val="24"/>
        </w:rPr>
      </w:pPr>
      <w:r w:rsidRPr="007D16D5">
        <w:rPr>
          <w:rFonts w:cs="Times New Roman"/>
          <w:color w:val="000000" w:themeColor="text1"/>
          <w:szCs w:val="24"/>
        </w:rPr>
        <w:t>Our institution examines complaints against administrations and makes recommendations if it is determined that the administration's activities are contrary to law, equity or good management principles.</w:t>
      </w:r>
      <w:r w:rsidR="00D96E75">
        <w:rPr>
          <w:rFonts w:cs="Times New Roman"/>
          <w:color w:val="000000" w:themeColor="text1"/>
          <w:szCs w:val="24"/>
        </w:rPr>
        <w:t xml:space="preserve"> By this way, t</w:t>
      </w:r>
      <w:r>
        <w:rPr>
          <w:rFonts w:cs="Times New Roman"/>
          <w:color w:val="000000" w:themeColor="text1"/>
          <w:szCs w:val="24"/>
        </w:rPr>
        <w:t xml:space="preserve">he institution </w:t>
      </w:r>
      <w:r w:rsidRPr="007D16D5">
        <w:rPr>
          <w:rFonts w:cs="Times New Roman"/>
          <w:szCs w:val="24"/>
        </w:rPr>
        <w:t>positively influences the p</w:t>
      </w:r>
      <w:r w:rsidR="00D96E75">
        <w:rPr>
          <w:rFonts w:cs="Times New Roman"/>
          <w:szCs w:val="24"/>
        </w:rPr>
        <w:t>ractices of the administrations.</w:t>
      </w:r>
    </w:p>
    <w:p w:rsidR="00D96E75" w:rsidRPr="007D16D5" w:rsidRDefault="00D96E75" w:rsidP="007D16D5">
      <w:pPr>
        <w:spacing w:after="0" w:line="240" w:lineRule="auto"/>
        <w:jc w:val="both"/>
        <w:rPr>
          <w:rFonts w:cs="Times New Roman"/>
          <w:color w:val="000000" w:themeColor="text1"/>
          <w:szCs w:val="24"/>
        </w:rPr>
      </w:pPr>
    </w:p>
    <w:p w:rsidR="007D16D5" w:rsidRPr="007D16D5" w:rsidRDefault="00D96E75" w:rsidP="007D16D5">
      <w:pPr>
        <w:spacing w:after="0" w:line="240" w:lineRule="auto"/>
        <w:jc w:val="both"/>
        <w:rPr>
          <w:rFonts w:cs="Times New Roman"/>
          <w:color w:val="000000" w:themeColor="text1"/>
          <w:szCs w:val="24"/>
        </w:rPr>
      </w:pPr>
      <w:r>
        <w:rPr>
          <w:rFonts w:cs="Times New Roman"/>
          <w:color w:val="000000" w:themeColor="text1"/>
          <w:szCs w:val="24"/>
        </w:rPr>
        <w:t>A</w:t>
      </w:r>
      <w:r w:rsidR="007D16D5" w:rsidRPr="007D16D5">
        <w:rPr>
          <w:rFonts w:cs="Times New Roman"/>
          <w:color w:val="000000" w:themeColor="text1"/>
          <w:szCs w:val="24"/>
        </w:rPr>
        <w:t xml:space="preserve">dministrations that do not comply with the recommendations are announced to the public through the press and the officials of these administrations are invited to the </w:t>
      </w:r>
      <w:r>
        <w:rPr>
          <w:rFonts w:cs="Times New Roman"/>
          <w:color w:val="000000" w:themeColor="text1"/>
          <w:szCs w:val="24"/>
        </w:rPr>
        <w:t>TGNA</w:t>
      </w:r>
      <w:r w:rsidR="007D16D5" w:rsidRPr="007D16D5">
        <w:rPr>
          <w:rFonts w:cs="Times New Roman"/>
          <w:color w:val="000000" w:themeColor="text1"/>
          <w:szCs w:val="24"/>
        </w:rPr>
        <w:t xml:space="preserve"> Joint Committee during the annual report discussions.</w:t>
      </w:r>
    </w:p>
    <w:p w:rsidR="007D16D5" w:rsidRPr="007D16D5" w:rsidRDefault="007D16D5" w:rsidP="007D16D5">
      <w:pPr>
        <w:spacing w:after="0" w:line="240" w:lineRule="auto"/>
        <w:jc w:val="both"/>
        <w:rPr>
          <w:rFonts w:cs="Times New Roman"/>
          <w:color w:val="000000" w:themeColor="text1"/>
          <w:szCs w:val="24"/>
        </w:rPr>
      </w:pPr>
    </w:p>
    <w:p w:rsidR="007D16D5" w:rsidRPr="00856455" w:rsidRDefault="007D16D5" w:rsidP="007D16D5">
      <w:pPr>
        <w:spacing w:after="0" w:line="240" w:lineRule="auto"/>
        <w:jc w:val="both"/>
        <w:rPr>
          <w:rFonts w:cs="Times New Roman"/>
          <w:szCs w:val="24"/>
        </w:rPr>
      </w:pPr>
      <w:r w:rsidRPr="007D16D5">
        <w:rPr>
          <w:rFonts w:cs="Times New Roman"/>
          <w:color w:val="000000" w:themeColor="text1"/>
          <w:szCs w:val="24"/>
        </w:rPr>
        <w:t xml:space="preserve">In order to increase the rate of compliance of the administrations with the decisions in our institution, Press Consultancy and the Corporate Communication Unit </w:t>
      </w:r>
      <w:r w:rsidR="003B0B8B">
        <w:rPr>
          <w:rFonts w:cs="Times New Roman"/>
          <w:color w:val="000000" w:themeColor="text1"/>
          <w:szCs w:val="24"/>
        </w:rPr>
        <w:t xml:space="preserve">and </w:t>
      </w:r>
      <w:r w:rsidR="003B0B8B" w:rsidRPr="007D16D5">
        <w:rPr>
          <w:rFonts w:cs="Times New Roman"/>
          <w:color w:val="000000" w:themeColor="text1"/>
          <w:szCs w:val="24"/>
        </w:rPr>
        <w:t xml:space="preserve">Research, Follow-up and Evaluation Office </w:t>
      </w:r>
      <w:r w:rsidRPr="007D16D5">
        <w:rPr>
          <w:rFonts w:cs="Times New Roman"/>
          <w:color w:val="000000" w:themeColor="text1"/>
          <w:szCs w:val="24"/>
        </w:rPr>
        <w:t xml:space="preserve">were established to make the corporate communication functional; </w:t>
      </w:r>
      <w:r w:rsidR="003B0B8B">
        <w:rPr>
          <w:rFonts w:cs="Times New Roman"/>
          <w:color w:val="000000" w:themeColor="text1"/>
          <w:szCs w:val="24"/>
        </w:rPr>
        <w:t>and</w:t>
      </w:r>
      <w:r w:rsidRPr="007D16D5">
        <w:rPr>
          <w:rFonts w:cs="Times New Roman"/>
          <w:color w:val="000000" w:themeColor="text1"/>
          <w:szCs w:val="24"/>
        </w:rPr>
        <w:t xml:space="preserve"> to systematically follow up the recommendations, referrals and friendly s</w:t>
      </w:r>
      <w:r w:rsidR="003B0B8B">
        <w:rPr>
          <w:rFonts w:cs="Times New Roman"/>
          <w:color w:val="000000" w:themeColor="text1"/>
          <w:szCs w:val="24"/>
        </w:rPr>
        <w:t>ettlement decisions effectively.</w:t>
      </w:r>
      <w:r w:rsidRPr="007D16D5">
        <w:rPr>
          <w:rFonts w:cs="Times New Roman"/>
          <w:color w:val="000000" w:themeColor="text1"/>
          <w:szCs w:val="24"/>
        </w:rPr>
        <w:t xml:space="preserve"> </w:t>
      </w:r>
      <w:r w:rsidR="00856455">
        <w:rPr>
          <w:rFonts w:cs="Times New Roman"/>
          <w:szCs w:val="24"/>
        </w:rPr>
        <w:t>T</w:t>
      </w:r>
      <w:r w:rsidR="00856455" w:rsidRPr="007D16D5">
        <w:rPr>
          <w:rFonts w:cs="Times New Roman"/>
          <w:szCs w:val="24"/>
        </w:rPr>
        <w:t xml:space="preserve">he compliance rate with the recommendations made due to non-compliance with the principles of good governance is </w:t>
      </w:r>
      <w:r w:rsidR="00856455">
        <w:rPr>
          <w:rFonts w:cs="Times New Roman"/>
          <w:szCs w:val="24"/>
        </w:rPr>
        <w:t>around 85%, which is above the general compliance rate.</w:t>
      </w:r>
    </w:p>
    <w:p w:rsidR="007D16D5" w:rsidRPr="007D16D5" w:rsidRDefault="007D16D5" w:rsidP="007D16D5">
      <w:pPr>
        <w:spacing w:after="0" w:line="240" w:lineRule="auto"/>
        <w:jc w:val="both"/>
        <w:rPr>
          <w:rFonts w:cs="Times New Roman"/>
          <w:color w:val="000000" w:themeColor="text1"/>
          <w:szCs w:val="24"/>
        </w:rPr>
      </w:pPr>
    </w:p>
    <w:p w:rsidR="007D16D5" w:rsidRDefault="007D16D5" w:rsidP="007D16D5">
      <w:pPr>
        <w:spacing w:after="0" w:line="240" w:lineRule="auto"/>
        <w:jc w:val="both"/>
        <w:rPr>
          <w:rFonts w:cs="Times New Roman"/>
          <w:color w:val="000000" w:themeColor="text1"/>
          <w:szCs w:val="24"/>
        </w:rPr>
      </w:pPr>
      <w:r w:rsidRPr="007D16D5">
        <w:rPr>
          <w:rFonts w:cs="Times New Roman"/>
          <w:color w:val="000000" w:themeColor="text1"/>
          <w:szCs w:val="24"/>
        </w:rPr>
        <w:t>Apart from this, the Ombudsman Institution is in constant communication with the administration as an institution that makes decisions within the understanding of justice based on human rights and not in favor of any party to the dispute. The institution acts in cooperation with the administrations to resolve the applications of individuals by taking initiatives to reach a consensus and by consulting with the relevant administrations after the recommendations.</w:t>
      </w:r>
    </w:p>
    <w:p w:rsidR="007D16D5" w:rsidRPr="007D16D5" w:rsidRDefault="007D16D5" w:rsidP="007D16D5">
      <w:pPr>
        <w:spacing w:after="0" w:line="240" w:lineRule="auto"/>
        <w:jc w:val="both"/>
        <w:rPr>
          <w:rFonts w:cs="Times New Roman"/>
          <w:color w:val="000000" w:themeColor="text1"/>
          <w:szCs w:val="24"/>
        </w:rPr>
      </w:pPr>
    </w:p>
    <w:p w:rsidR="007D16D5" w:rsidRPr="007D16D5" w:rsidRDefault="007D16D5" w:rsidP="007D16D5">
      <w:pPr>
        <w:spacing w:after="0" w:line="240" w:lineRule="auto"/>
        <w:jc w:val="both"/>
        <w:rPr>
          <w:rFonts w:cs="Times New Roman"/>
          <w:color w:val="000000" w:themeColor="text1"/>
          <w:szCs w:val="24"/>
        </w:rPr>
      </w:pPr>
      <w:r w:rsidRPr="007D16D5">
        <w:rPr>
          <w:rFonts w:cs="Times New Roman"/>
          <w:color w:val="000000" w:themeColor="text1"/>
          <w:szCs w:val="24"/>
        </w:rPr>
        <w:t xml:space="preserve">In addition, in order to spread the culture of seeking rights, administrations are invited </w:t>
      </w:r>
      <w:r w:rsidR="003B0B8B">
        <w:rPr>
          <w:rFonts w:cs="Times New Roman"/>
          <w:color w:val="000000" w:themeColor="text1"/>
          <w:szCs w:val="24"/>
        </w:rPr>
        <w:t>to activities such as workshops</w:t>
      </w:r>
      <w:r w:rsidRPr="007D16D5">
        <w:rPr>
          <w:rFonts w:cs="Times New Roman"/>
          <w:color w:val="000000" w:themeColor="text1"/>
          <w:szCs w:val="24"/>
        </w:rPr>
        <w:t>, symposiums , etc. organized by our Institution and communication channels are tried to be kept open.</w:t>
      </w:r>
    </w:p>
    <w:p w:rsidR="007D16D5" w:rsidRPr="007D16D5" w:rsidRDefault="007D16D5" w:rsidP="007D16D5">
      <w:pPr>
        <w:spacing w:after="0" w:line="240" w:lineRule="auto"/>
        <w:jc w:val="both"/>
        <w:rPr>
          <w:rFonts w:cs="Times New Roman"/>
          <w:color w:val="000000" w:themeColor="text1"/>
          <w:szCs w:val="24"/>
        </w:rPr>
      </w:pPr>
    </w:p>
    <w:p w:rsidR="007D16D5" w:rsidRPr="007D16D5" w:rsidRDefault="003B0B8B" w:rsidP="007D16D5">
      <w:pPr>
        <w:pStyle w:val="GvdeMetni"/>
        <w:spacing w:after="0"/>
        <w:jc w:val="both"/>
        <w:rPr>
          <w:color w:val="000000" w:themeColor="text1"/>
        </w:rPr>
      </w:pPr>
      <w:r>
        <w:rPr>
          <w:color w:val="000000" w:themeColor="text1"/>
        </w:rPr>
        <w:t>The nature of the I</w:t>
      </w:r>
      <w:r w:rsidR="007D16D5" w:rsidRPr="007D16D5">
        <w:rPr>
          <w:color w:val="000000" w:themeColor="text1"/>
        </w:rPr>
        <w:t>nstitution's decisions is fully compatible with the Paris Principles.</w:t>
      </w:r>
    </w:p>
    <w:p w:rsidR="007D16D5" w:rsidRDefault="007D16D5" w:rsidP="007D16D5">
      <w:pPr>
        <w:spacing w:after="0" w:line="240" w:lineRule="auto"/>
        <w:jc w:val="both"/>
        <w:rPr>
          <w:rFonts w:cs="Times New Roman"/>
          <w:szCs w:val="24"/>
        </w:rPr>
      </w:pPr>
    </w:p>
    <w:p w:rsidR="003B0B8B" w:rsidRDefault="003B0B8B" w:rsidP="007D16D5">
      <w:pPr>
        <w:spacing w:after="0" w:line="240" w:lineRule="auto"/>
        <w:jc w:val="both"/>
        <w:rPr>
          <w:rFonts w:cs="Times New Roman"/>
          <w:szCs w:val="24"/>
        </w:rPr>
      </w:pPr>
    </w:p>
    <w:p w:rsidR="003B0B8B" w:rsidRPr="007D16D5" w:rsidRDefault="003B0B8B" w:rsidP="007D16D5">
      <w:pPr>
        <w:spacing w:after="0" w:line="240" w:lineRule="auto"/>
        <w:jc w:val="both"/>
        <w:rPr>
          <w:rFonts w:cs="Times New Roman"/>
          <w:szCs w:val="24"/>
        </w:rPr>
      </w:pPr>
    </w:p>
    <w:p w:rsidR="007D16D5" w:rsidRPr="007D16D5" w:rsidRDefault="007D16D5" w:rsidP="007D16D5">
      <w:pPr>
        <w:pStyle w:val="ListeParagraf"/>
        <w:numPr>
          <w:ilvl w:val="0"/>
          <w:numId w:val="2"/>
        </w:numPr>
        <w:jc w:val="both"/>
        <w:rPr>
          <w:b/>
        </w:rPr>
      </w:pPr>
      <w:r w:rsidRPr="007D16D5">
        <w:rPr>
          <w:b/>
        </w:rPr>
        <w:t xml:space="preserve">Authority to </w:t>
      </w:r>
      <w:r w:rsidR="00A82C0B">
        <w:rPr>
          <w:b/>
        </w:rPr>
        <w:t>Investigation</w:t>
      </w:r>
      <w:r w:rsidRPr="007D16D5">
        <w:rPr>
          <w:b/>
        </w:rPr>
        <w:t xml:space="preserve"> in Terms of Good Management Principles</w:t>
      </w:r>
    </w:p>
    <w:p w:rsidR="007D16D5" w:rsidRDefault="007D16D5" w:rsidP="007D16D5">
      <w:pPr>
        <w:pStyle w:val="GvdeMetni"/>
        <w:spacing w:after="0"/>
        <w:jc w:val="both"/>
      </w:pPr>
    </w:p>
    <w:p w:rsidR="007D16D5" w:rsidRPr="00856455" w:rsidRDefault="007D16D5" w:rsidP="00856455">
      <w:pPr>
        <w:pStyle w:val="Default"/>
        <w:jc w:val="both"/>
      </w:pPr>
      <w:r w:rsidRPr="00856455">
        <w:t xml:space="preserve">The Ombudsman Institution examines complaints that include violations of the principles of good governance in terms of law and fairness. Within the framework of the regulation in Article 1 of the Law, </w:t>
      </w:r>
      <w:r w:rsidR="00856455" w:rsidRPr="00856455">
        <w:t>it examines, investigates, and submit recommendations concerning all sorts of acts and actions as well as attitudes and behaviours of the administration within the framework of an understanding of human rights-based justice and legality and conformity with principles of fairness. T</w:t>
      </w:r>
      <w:r w:rsidRPr="00856455">
        <w:t>he Ombudsman Institution examines rights violations that occur in the implementation of the principles of good governance within the scope of the complaint application mechanism.</w:t>
      </w:r>
    </w:p>
    <w:p w:rsidR="007D16D5" w:rsidRPr="007D16D5" w:rsidRDefault="007D16D5" w:rsidP="007D16D5">
      <w:pPr>
        <w:pStyle w:val="GvdeMetni"/>
        <w:spacing w:after="0"/>
        <w:jc w:val="both"/>
      </w:pPr>
    </w:p>
    <w:p w:rsidR="007D16D5" w:rsidRDefault="007D16D5" w:rsidP="007D16D5">
      <w:pPr>
        <w:spacing w:after="0" w:line="240" w:lineRule="auto"/>
        <w:jc w:val="both"/>
        <w:rPr>
          <w:rFonts w:cs="Times New Roman"/>
          <w:szCs w:val="24"/>
        </w:rPr>
      </w:pPr>
      <w:r w:rsidRPr="007D16D5">
        <w:rPr>
          <w:rFonts w:cs="Times New Roman"/>
          <w:szCs w:val="24"/>
        </w:rPr>
        <w:t>Therefore, the Institution is also tasked with examining whether the administrations act in accordance with the principles of good governance. In this respect, every application made to the Institution is also examined in terms of the principles of good governance and, if necessary, recommendations can be made on this issue. In this way, it contributes to the progress of reforms in the field of public administration.</w:t>
      </w:r>
    </w:p>
    <w:p w:rsidR="007D16D5" w:rsidRPr="007D16D5" w:rsidRDefault="007D16D5" w:rsidP="007D16D5">
      <w:pPr>
        <w:spacing w:after="0" w:line="240" w:lineRule="auto"/>
        <w:jc w:val="both"/>
        <w:rPr>
          <w:rFonts w:cs="Times New Roman"/>
          <w:szCs w:val="24"/>
        </w:rPr>
      </w:pPr>
    </w:p>
    <w:p w:rsidR="007D16D5" w:rsidRDefault="007D16D5" w:rsidP="007D16D5">
      <w:pPr>
        <w:spacing w:after="0" w:line="240" w:lineRule="auto"/>
        <w:jc w:val="both"/>
        <w:rPr>
          <w:rFonts w:cs="Times New Roman"/>
          <w:szCs w:val="24"/>
        </w:rPr>
      </w:pPr>
      <w:r w:rsidRPr="007D16D5">
        <w:rPr>
          <w:rFonts w:cs="Times New Roman"/>
          <w:szCs w:val="24"/>
        </w:rPr>
        <w:t>In addition, a “Guide to Good Governance Principles” has been prepared with the aim of embedding a “citizen-friendly” approach in the administrative mechanism, ensuring the full supremacy of law by protecting fundamental rights and freedoms in the performance of services, and ensuring that good governance principles are adopted by public administration actors and used as the basis for work and transactions.</w:t>
      </w:r>
    </w:p>
    <w:p w:rsidR="007D16D5" w:rsidRPr="007D16D5" w:rsidRDefault="007D16D5" w:rsidP="007D16D5">
      <w:pPr>
        <w:spacing w:after="0" w:line="240" w:lineRule="auto"/>
        <w:jc w:val="both"/>
        <w:rPr>
          <w:rFonts w:cs="Times New Roman"/>
          <w:szCs w:val="24"/>
        </w:rPr>
      </w:pPr>
    </w:p>
    <w:p w:rsidR="007D16D5" w:rsidRPr="007D16D5" w:rsidRDefault="007D16D5" w:rsidP="007D16D5">
      <w:pPr>
        <w:pStyle w:val="GvdeMetni"/>
        <w:spacing w:after="0"/>
        <w:jc w:val="both"/>
      </w:pPr>
      <w:r w:rsidRPr="007D16D5">
        <w:t xml:space="preserve">In terms of good governance principles, the Institution's </w:t>
      </w:r>
      <w:r w:rsidR="00A82C0B">
        <w:t>investigation</w:t>
      </w:r>
      <w:r w:rsidRPr="007D16D5">
        <w:t xml:space="preserve"> authority </w:t>
      </w:r>
      <w:r w:rsidRPr="007D16D5">
        <w:rPr>
          <w:color w:val="000000" w:themeColor="text1"/>
        </w:rPr>
        <w:t>is fully compatible with the Paris Principles.</w:t>
      </w:r>
    </w:p>
    <w:p w:rsidR="007D16D5" w:rsidRPr="007D16D5" w:rsidRDefault="007D16D5" w:rsidP="007D16D5">
      <w:pPr>
        <w:spacing w:after="0" w:line="240" w:lineRule="auto"/>
        <w:jc w:val="both"/>
        <w:rPr>
          <w:rFonts w:cs="Times New Roman"/>
          <w:szCs w:val="24"/>
        </w:rPr>
      </w:pPr>
    </w:p>
    <w:p w:rsidR="00C34E44" w:rsidRPr="008316C0" w:rsidRDefault="00C34E44" w:rsidP="008316C0">
      <w:pPr>
        <w:spacing w:after="0" w:line="240" w:lineRule="auto"/>
        <w:jc w:val="both"/>
        <w:rPr>
          <w:rFonts w:cs="Times New Roman"/>
          <w:szCs w:val="24"/>
        </w:rPr>
      </w:pPr>
    </w:p>
    <w:p w:rsidR="003A52A1" w:rsidRPr="007D16D5" w:rsidRDefault="003A52A1" w:rsidP="007D16D5">
      <w:pPr>
        <w:spacing w:after="0" w:line="240" w:lineRule="auto"/>
        <w:jc w:val="both"/>
        <w:rPr>
          <w:rFonts w:cs="Times New Roman"/>
          <w:color w:val="000000" w:themeColor="text1"/>
          <w:szCs w:val="24"/>
        </w:rPr>
      </w:pPr>
    </w:p>
    <w:sectPr w:rsidR="003A52A1" w:rsidRPr="007D16D5">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1A2F" w:rsidRDefault="00F31A2F" w:rsidP="00B66975">
      <w:pPr>
        <w:spacing w:after="0" w:line="240" w:lineRule="auto"/>
      </w:pPr>
      <w:r>
        <w:separator/>
      </w:r>
    </w:p>
  </w:endnote>
  <w:endnote w:type="continuationSeparator" w:id="0">
    <w:p w:rsidR="00F31A2F" w:rsidRDefault="00F31A2F" w:rsidP="00B66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ヒラギノ明朝 Pro W3">
    <w:altName w:val="Arial Unicode MS"/>
    <w:charset w:val="4E"/>
    <w:family w:val="auto"/>
    <w:pitch w:val="variable"/>
    <w:sig w:usb0="E00002FF" w:usb1="7AC7FFFF" w:usb2="00000012" w:usb3="00000000" w:csb0="0002000D"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0524881"/>
      <w:docPartObj>
        <w:docPartGallery w:val="Page Numbers (Bottom of Page)"/>
        <w:docPartUnique/>
      </w:docPartObj>
    </w:sdtPr>
    <w:sdtEndPr/>
    <w:sdtContent>
      <w:sdt>
        <w:sdtPr>
          <w:id w:val="-1769616900"/>
          <w:docPartObj>
            <w:docPartGallery w:val="Page Numbers (Top of Page)"/>
            <w:docPartUnique/>
          </w:docPartObj>
        </w:sdtPr>
        <w:sdtEndPr/>
        <w:sdtContent>
          <w:p w:rsidR="004C6555" w:rsidRDefault="004C6555">
            <w:pPr>
              <w:pStyle w:val="AltBilgi"/>
              <w:jc w:val="right"/>
            </w:pPr>
            <w:r>
              <w:t xml:space="preserve">Page </w:t>
            </w:r>
            <w:r>
              <w:rPr>
                <w:b/>
                <w:bCs/>
                <w:szCs w:val="24"/>
              </w:rPr>
              <w:fldChar w:fldCharType="begin"/>
            </w:r>
            <w:r>
              <w:rPr>
                <w:b/>
                <w:bCs/>
              </w:rPr>
              <w:instrText>PAGE</w:instrText>
            </w:r>
            <w:r>
              <w:rPr>
                <w:b/>
                <w:bCs/>
                <w:szCs w:val="24"/>
              </w:rPr>
              <w:fldChar w:fldCharType="separate"/>
            </w:r>
            <w:r w:rsidR="00926EDE">
              <w:rPr>
                <w:b/>
                <w:bCs/>
                <w:noProof/>
              </w:rPr>
              <w:t>1</w:t>
            </w:r>
            <w:r>
              <w:rPr>
                <w:b/>
                <w:bCs/>
                <w:szCs w:val="24"/>
              </w:rPr>
              <w:fldChar w:fldCharType="end"/>
            </w:r>
            <w:r>
              <w:t xml:space="preserve">/ </w:t>
            </w:r>
            <w:r>
              <w:rPr>
                <w:b/>
                <w:bCs/>
                <w:szCs w:val="24"/>
              </w:rPr>
              <w:fldChar w:fldCharType="begin"/>
            </w:r>
            <w:r>
              <w:rPr>
                <w:b/>
                <w:bCs/>
              </w:rPr>
              <w:instrText>NUMPAGES</w:instrText>
            </w:r>
            <w:r>
              <w:rPr>
                <w:b/>
                <w:bCs/>
                <w:szCs w:val="24"/>
              </w:rPr>
              <w:fldChar w:fldCharType="separate"/>
            </w:r>
            <w:r w:rsidR="00926EDE">
              <w:rPr>
                <w:b/>
                <w:bCs/>
                <w:noProof/>
              </w:rPr>
              <w:t>1</w:t>
            </w:r>
            <w:r>
              <w:rPr>
                <w:b/>
                <w:bCs/>
                <w:szCs w:val="24"/>
              </w:rPr>
              <w:fldChar w:fldCharType="end"/>
            </w:r>
          </w:p>
        </w:sdtContent>
      </w:sdt>
    </w:sdtContent>
  </w:sdt>
  <w:p w:rsidR="004C6555" w:rsidRDefault="004C655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1A2F" w:rsidRDefault="00F31A2F" w:rsidP="00B66975">
      <w:pPr>
        <w:spacing w:after="0" w:line="240" w:lineRule="auto"/>
      </w:pPr>
      <w:r>
        <w:separator/>
      </w:r>
    </w:p>
  </w:footnote>
  <w:footnote w:type="continuationSeparator" w:id="0">
    <w:p w:rsidR="00F31A2F" w:rsidRDefault="00F31A2F" w:rsidP="00B669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Ak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0"/>
      <w:gridCol w:w="4525"/>
      <w:gridCol w:w="1857"/>
    </w:tblGrid>
    <w:tr w:rsidR="004C6555" w:rsidTr="000557AA">
      <w:tc>
        <w:tcPr>
          <w:tcW w:w="2680" w:type="dxa"/>
        </w:tcPr>
        <w:p w:rsidR="004C6555" w:rsidRDefault="004C6555" w:rsidP="004C6555">
          <w:r>
            <w:rPr>
              <w:noProof/>
              <w:lang w:val="tr-TR" w:eastAsia="tr-TR"/>
            </w:rPr>
            <w:drawing>
              <wp:inline distT="0" distB="0" distL="0" distR="0" wp14:anchorId="6B490A92" wp14:editId="6C276C16">
                <wp:extent cx="948906" cy="900427"/>
                <wp:effectExtent l="0" t="0" r="3810" b="0"/>
                <wp:docPr id="29" name="Resim 2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8906" cy="900427"/>
                        </a:xfrm>
                        <a:prstGeom prst="rect">
                          <a:avLst/>
                        </a:prstGeom>
                        <a:noFill/>
                        <a:ln>
                          <a:noFill/>
                        </a:ln>
                      </pic:spPr>
                    </pic:pic>
                  </a:graphicData>
                </a:graphic>
              </wp:inline>
            </w:drawing>
          </w:r>
        </w:p>
      </w:tc>
      <w:tc>
        <w:tcPr>
          <w:tcW w:w="4525" w:type="dxa"/>
        </w:tcPr>
        <w:p w:rsidR="004C6555" w:rsidRPr="00CA2092" w:rsidRDefault="004C6555" w:rsidP="004C6555">
          <w:pPr>
            <w:jc w:val="center"/>
          </w:pPr>
        </w:p>
        <w:p w:rsidR="004C6555" w:rsidRPr="00F86138" w:rsidRDefault="004C6555" w:rsidP="004C6555">
          <w:pPr>
            <w:jc w:val="center"/>
            <w:rPr>
              <w:rFonts w:ascii="Times New Roman" w:hAnsi="Times New Roman" w:cs="Times New Roman"/>
              <w:b/>
              <w:bCs/>
              <w:sz w:val="24"/>
            </w:rPr>
          </w:pPr>
          <w:r w:rsidRPr="00F86138">
            <w:rPr>
              <w:rFonts w:ascii="Times New Roman" w:hAnsi="Times New Roman" w:cs="Times New Roman"/>
              <w:b/>
              <w:bCs/>
              <w:sz w:val="24"/>
            </w:rPr>
            <w:t>GRAND NATIONAL ASSEMBLY OF Türkiye</w:t>
          </w:r>
        </w:p>
        <w:p w:rsidR="004C6555" w:rsidRPr="00CA2092" w:rsidRDefault="00A82C0B" w:rsidP="004C6555">
          <w:pPr>
            <w:jc w:val="center"/>
            <w:rPr>
              <w:noProof/>
            </w:rPr>
          </w:pPr>
          <w:r>
            <w:rPr>
              <w:rFonts w:ascii="Times New Roman" w:hAnsi="Times New Roman" w:cs="Times New Roman"/>
              <w:b/>
              <w:bCs/>
              <w:sz w:val="24"/>
            </w:rPr>
            <w:t>THE</w:t>
          </w:r>
          <w:r w:rsidRPr="00F86138">
            <w:rPr>
              <w:rFonts w:ascii="Times New Roman" w:hAnsi="Times New Roman" w:cs="Times New Roman"/>
              <w:b/>
              <w:bCs/>
              <w:sz w:val="24"/>
            </w:rPr>
            <w:t xml:space="preserve"> </w:t>
          </w:r>
          <w:r>
            <w:rPr>
              <w:rFonts w:ascii="Times New Roman" w:hAnsi="Times New Roman" w:cs="Times New Roman"/>
              <w:b/>
              <w:bCs/>
              <w:sz w:val="24"/>
            </w:rPr>
            <w:t>OMBUDSMAN INSTITUTION</w:t>
          </w:r>
        </w:p>
      </w:tc>
      <w:tc>
        <w:tcPr>
          <w:tcW w:w="1857" w:type="dxa"/>
        </w:tcPr>
        <w:p w:rsidR="004C6555" w:rsidRDefault="004C6555" w:rsidP="004C6555">
          <w:pPr>
            <w:jc w:val="right"/>
            <w:rPr>
              <w:noProof/>
            </w:rPr>
          </w:pPr>
          <w:r>
            <w:rPr>
              <w:noProof/>
              <w:lang w:val="tr-TR" w:eastAsia="tr-TR"/>
            </w:rPr>
            <w:drawing>
              <wp:inline distT="0" distB="0" distL="0" distR="0" wp14:anchorId="3F6A7B4F" wp14:editId="73094E27">
                <wp:extent cx="948906" cy="771224"/>
                <wp:effectExtent l="0" t="0" r="3810" b="0"/>
                <wp:docPr id="30" name="Resim 30" descr="C:\Users\Salih\AppData\Local\Microsoft\Windows\INetCache\Content.Wor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alih\AppData\Local\Microsoft\Windows\INetCache\Content.Word\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8906" cy="771224"/>
                        </a:xfrm>
                        <a:prstGeom prst="rect">
                          <a:avLst/>
                        </a:prstGeom>
                        <a:noFill/>
                        <a:ln>
                          <a:noFill/>
                        </a:ln>
                      </pic:spPr>
                    </pic:pic>
                  </a:graphicData>
                </a:graphic>
              </wp:inline>
            </w:drawing>
          </w:r>
        </w:p>
      </w:tc>
    </w:tr>
  </w:tbl>
  <w:p w:rsidR="004C6555" w:rsidRDefault="004C6555">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F5C54"/>
    <w:multiLevelType w:val="hybridMultilevel"/>
    <w:tmpl w:val="C052994E"/>
    <w:lvl w:ilvl="0" w:tplc="041F000B">
      <w:start w:val="1"/>
      <w:numFmt w:val="bullet"/>
      <w:lvlText w:val=""/>
      <w:lvlJc w:val="left"/>
      <w:pPr>
        <w:ind w:left="1286" w:hanging="360"/>
      </w:pPr>
      <w:rPr>
        <w:rFonts w:ascii="Wingdings" w:hAnsi="Wingdings" w:hint="default"/>
      </w:rPr>
    </w:lvl>
    <w:lvl w:ilvl="1" w:tplc="041F0003" w:tentative="1">
      <w:start w:val="1"/>
      <w:numFmt w:val="bullet"/>
      <w:lvlText w:val="o"/>
      <w:lvlJc w:val="left"/>
      <w:pPr>
        <w:ind w:left="2006" w:hanging="360"/>
      </w:pPr>
      <w:rPr>
        <w:rFonts w:ascii="Courier New" w:hAnsi="Courier New" w:cs="Courier New" w:hint="default"/>
      </w:rPr>
    </w:lvl>
    <w:lvl w:ilvl="2" w:tplc="041F0005" w:tentative="1">
      <w:start w:val="1"/>
      <w:numFmt w:val="bullet"/>
      <w:lvlText w:val=""/>
      <w:lvlJc w:val="left"/>
      <w:pPr>
        <w:ind w:left="2726" w:hanging="360"/>
      </w:pPr>
      <w:rPr>
        <w:rFonts w:ascii="Wingdings" w:hAnsi="Wingdings" w:hint="default"/>
      </w:rPr>
    </w:lvl>
    <w:lvl w:ilvl="3" w:tplc="041F0001" w:tentative="1">
      <w:start w:val="1"/>
      <w:numFmt w:val="bullet"/>
      <w:lvlText w:val=""/>
      <w:lvlJc w:val="left"/>
      <w:pPr>
        <w:ind w:left="3446" w:hanging="360"/>
      </w:pPr>
      <w:rPr>
        <w:rFonts w:ascii="Symbol" w:hAnsi="Symbol" w:hint="default"/>
      </w:rPr>
    </w:lvl>
    <w:lvl w:ilvl="4" w:tplc="041F0003" w:tentative="1">
      <w:start w:val="1"/>
      <w:numFmt w:val="bullet"/>
      <w:lvlText w:val="o"/>
      <w:lvlJc w:val="left"/>
      <w:pPr>
        <w:ind w:left="4166" w:hanging="360"/>
      </w:pPr>
      <w:rPr>
        <w:rFonts w:ascii="Courier New" w:hAnsi="Courier New" w:cs="Courier New" w:hint="default"/>
      </w:rPr>
    </w:lvl>
    <w:lvl w:ilvl="5" w:tplc="041F0005" w:tentative="1">
      <w:start w:val="1"/>
      <w:numFmt w:val="bullet"/>
      <w:lvlText w:val=""/>
      <w:lvlJc w:val="left"/>
      <w:pPr>
        <w:ind w:left="4886" w:hanging="360"/>
      </w:pPr>
      <w:rPr>
        <w:rFonts w:ascii="Wingdings" w:hAnsi="Wingdings" w:hint="default"/>
      </w:rPr>
    </w:lvl>
    <w:lvl w:ilvl="6" w:tplc="041F0001" w:tentative="1">
      <w:start w:val="1"/>
      <w:numFmt w:val="bullet"/>
      <w:lvlText w:val=""/>
      <w:lvlJc w:val="left"/>
      <w:pPr>
        <w:ind w:left="5606" w:hanging="360"/>
      </w:pPr>
      <w:rPr>
        <w:rFonts w:ascii="Symbol" w:hAnsi="Symbol" w:hint="default"/>
      </w:rPr>
    </w:lvl>
    <w:lvl w:ilvl="7" w:tplc="041F0003" w:tentative="1">
      <w:start w:val="1"/>
      <w:numFmt w:val="bullet"/>
      <w:lvlText w:val="o"/>
      <w:lvlJc w:val="left"/>
      <w:pPr>
        <w:ind w:left="6326" w:hanging="360"/>
      </w:pPr>
      <w:rPr>
        <w:rFonts w:ascii="Courier New" w:hAnsi="Courier New" w:cs="Courier New" w:hint="default"/>
      </w:rPr>
    </w:lvl>
    <w:lvl w:ilvl="8" w:tplc="041F0005" w:tentative="1">
      <w:start w:val="1"/>
      <w:numFmt w:val="bullet"/>
      <w:lvlText w:val=""/>
      <w:lvlJc w:val="left"/>
      <w:pPr>
        <w:ind w:left="7046" w:hanging="360"/>
      </w:pPr>
      <w:rPr>
        <w:rFonts w:ascii="Wingdings" w:hAnsi="Wingdings" w:hint="default"/>
      </w:rPr>
    </w:lvl>
  </w:abstractNum>
  <w:abstractNum w:abstractNumId="1" w15:restartNumberingAfterBreak="0">
    <w:nsid w:val="14E2554B"/>
    <w:multiLevelType w:val="multilevel"/>
    <w:tmpl w:val="EAB24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8960E7"/>
    <w:multiLevelType w:val="hybridMultilevel"/>
    <w:tmpl w:val="95EC1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114EB4"/>
    <w:multiLevelType w:val="hybridMultilevel"/>
    <w:tmpl w:val="9AC4F93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3A63492"/>
    <w:multiLevelType w:val="hybridMultilevel"/>
    <w:tmpl w:val="EB0CA890"/>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A4A"/>
    <w:rsid w:val="000A66BC"/>
    <w:rsid w:val="001679BF"/>
    <w:rsid w:val="002125A8"/>
    <w:rsid w:val="00326412"/>
    <w:rsid w:val="003A52A1"/>
    <w:rsid w:val="003B0B8B"/>
    <w:rsid w:val="003C0D86"/>
    <w:rsid w:val="003C18C4"/>
    <w:rsid w:val="003E4A4A"/>
    <w:rsid w:val="0041189B"/>
    <w:rsid w:val="0044316D"/>
    <w:rsid w:val="004C6555"/>
    <w:rsid w:val="00582291"/>
    <w:rsid w:val="00662A5B"/>
    <w:rsid w:val="00716CD0"/>
    <w:rsid w:val="007270AF"/>
    <w:rsid w:val="007D16D5"/>
    <w:rsid w:val="008316C0"/>
    <w:rsid w:val="00856455"/>
    <w:rsid w:val="00926EDE"/>
    <w:rsid w:val="00A73F91"/>
    <w:rsid w:val="00A82C0B"/>
    <w:rsid w:val="00AA7982"/>
    <w:rsid w:val="00B3160C"/>
    <w:rsid w:val="00B66975"/>
    <w:rsid w:val="00BB793A"/>
    <w:rsid w:val="00C34E44"/>
    <w:rsid w:val="00D711D5"/>
    <w:rsid w:val="00D96E75"/>
    <w:rsid w:val="00DD6CD0"/>
    <w:rsid w:val="00EC64DF"/>
    <w:rsid w:val="00F31A2F"/>
    <w:rsid w:val="00F73592"/>
    <w:rsid w:val="00F86138"/>
    <w:rsid w:val="00FD78C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C5B1D8-4847-4FBC-ABFB-76DF36046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C64DF"/>
    <w:pPr>
      <w:spacing w:after="0" w:line="240" w:lineRule="auto"/>
      <w:ind w:left="720"/>
      <w:contextualSpacing/>
    </w:pPr>
    <w:rPr>
      <w:rFonts w:eastAsia="Times New Roman" w:cs="Times New Roman"/>
      <w:szCs w:val="24"/>
      <w:lang w:eastAsia="tr-TR"/>
    </w:rPr>
  </w:style>
  <w:style w:type="paragraph" w:styleId="stBilgi">
    <w:name w:val="header"/>
    <w:basedOn w:val="Normal"/>
    <w:link w:val="stBilgiChar"/>
    <w:uiPriority w:val="99"/>
    <w:unhideWhenUsed/>
    <w:rsid w:val="00F73592"/>
    <w:pPr>
      <w:tabs>
        <w:tab w:val="center" w:pos="4536"/>
        <w:tab w:val="right" w:pos="9072"/>
      </w:tabs>
      <w:spacing w:after="0" w:line="240" w:lineRule="auto"/>
    </w:pPr>
    <w:rPr>
      <w:rFonts w:eastAsia="Times New Roman" w:cs="Times New Roman"/>
      <w:szCs w:val="24"/>
      <w:lang w:eastAsia="tr-TR"/>
    </w:rPr>
  </w:style>
  <w:style w:type="character" w:customStyle="1" w:styleId="stBilgiChar">
    <w:name w:val="Üst Bilgi Char"/>
    <w:basedOn w:val="VarsaylanParagrafYazTipi"/>
    <w:link w:val="stBilgi"/>
    <w:uiPriority w:val="99"/>
    <w:rsid w:val="00F73592"/>
    <w:rPr>
      <w:rFonts w:eastAsia="Times New Roman" w:cs="Times New Roman"/>
      <w:szCs w:val="24"/>
      <w:lang w:val="en" w:eastAsia="tr-TR"/>
    </w:rPr>
  </w:style>
  <w:style w:type="paragraph" w:styleId="DipnotMetni">
    <w:name w:val="footnote text"/>
    <w:basedOn w:val="Normal"/>
    <w:link w:val="DipnotMetniChar"/>
    <w:uiPriority w:val="99"/>
    <w:semiHidden/>
    <w:unhideWhenUsed/>
    <w:rsid w:val="00B66975"/>
    <w:pPr>
      <w:spacing w:after="0" w:line="240" w:lineRule="auto"/>
    </w:pPr>
    <w:rPr>
      <w:rFonts w:asciiTheme="minorHAnsi" w:hAnsiTheme="minorHAnsi"/>
      <w:sz w:val="20"/>
      <w:szCs w:val="20"/>
    </w:rPr>
  </w:style>
  <w:style w:type="character" w:customStyle="1" w:styleId="DipnotMetniChar">
    <w:name w:val="Dipnot Metni Char"/>
    <w:basedOn w:val="VarsaylanParagrafYazTipi"/>
    <w:link w:val="DipnotMetni"/>
    <w:uiPriority w:val="99"/>
    <w:semiHidden/>
    <w:rsid w:val="00B66975"/>
    <w:rPr>
      <w:rFonts w:asciiTheme="minorHAnsi" w:hAnsiTheme="minorHAnsi"/>
      <w:sz w:val="20"/>
      <w:szCs w:val="20"/>
    </w:rPr>
  </w:style>
  <w:style w:type="character" w:styleId="DipnotBavurusu">
    <w:name w:val="footnote reference"/>
    <w:basedOn w:val="VarsaylanParagrafYazTipi"/>
    <w:uiPriority w:val="99"/>
    <w:semiHidden/>
    <w:unhideWhenUsed/>
    <w:rsid w:val="00B66975"/>
    <w:rPr>
      <w:vertAlign w:val="superscript"/>
    </w:rPr>
  </w:style>
  <w:style w:type="paragraph" w:styleId="AltBilgi">
    <w:name w:val="footer"/>
    <w:basedOn w:val="Normal"/>
    <w:link w:val="AltBilgiChar"/>
    <w:uiPriority w:val="99"/>
    <w:unhideWhenUsed/>
    <w:rsid w:val="004C655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C6555"/>
  </w:style>
  <w:style w:type="table" w:customStyle="1" w:styleId="TabloKlavuzuAk1">
    <w:name w:val="Tablo Kılavuzu Açık1"/>
    <w:basedOn w:val="NormalTablo"/>
    <w:uiPriority w:val="40"/>
    <w:rsid w:val="004C6555"/>
    <w:pPr>
      <w:spacing w:after="0" w:line="240" w:lineRule="auto"/>
    </w:pPr>
    <w:rPr>
      <w:rFonts w:asciiTheme="minorHAnsi" w:hAnsiTheme="minorHAnsi"/>
      <w:sz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GvdeMetni">
    <w:name w:val="Body Text"/>
    <w:basedOn w:val="Normal"/>
    <w:link w:val="GvdeMetniChar"/>
    <w:rsid w:val="007D16D5"/>
    <w:pPr>
      <w:spacing w:after="120" w:line="240" w:lineRule="auto"/>
    </w:pPr>
    <w:rPr>
      <w:rFonts w:eastAsia="Times New Roman" w:cs="Times New Roman"/>
      <w:szCs w:val="24"/>
      <w:lang w:eastAsia="da-DK"/>
    </w:rPr>
  </w:style>
  <w:style w:type="character" w:customStyle="1" w:styleId="GvdeMetniChar">
    <w:name w:val="Gövde Metni Char"/>
    <w:basedOn w:val="VarsaylanParagrafYazTipi"/>
    <w:link w:val="GvdeMetni"/>
    <w:rsid w:val="007D16D5"/>
    <w:rPr>
      <w:rFonts w:eastAsia="Times New Roman" w:cs="Times New Roman"/>
      <w:szCs w:val="24"/>
      <w:lang w:val="en" w:eastAsia="da-DK"/>
    </w:rPr>
  </w:style>
  <w:style w:type="character" w:styleId="Kpr">
    <w:name w:val="Hyperlink"/>
    <w:basedOn w:val="VarsaylanParagrafYazTipi"/>
    <w:uiPriority w:val="99"/>
    <w:unhideWhenUsed/>
    <w:rsid w:val="007D16D5"/>
    <w:rPr>
      <w:color w:val="0563C1" w:themeColor="hyperlink"/>
      <w:u w:val="single"/>
    </w:rPr>
  </w:style>
  <w:style w:type="paragraph" w:customStyle="1" w:styleId="Default">
    <w:name w:val="Default"/>
    <w:rsid w:val="0041189B"/>
    <w:pPr>
      <w:autoSpaceDE w:val="0"/>
      <w:autoSpaceDN w:val="0"/>
      <w:adjustRightInd w:val="0"/>
      <w:spacing w:after="0" w:line="240" w:lineRule="auto"/>
    </w:pPr>
    <w:rPr>
      <w:rFonts w:cs="Times New Roman"/>
      <w:color w:val="00000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843054">
      <w:bodyDiv w:val="1"/>
      <w:marLeft w:val="0"/>
      <w:marRight w:val="0"/>
      <w:marTop w:val="0"/>
      <w:marBottom w:val="0"/>
      <w:divBdr>
        <w:top w:val="none" w:sz="0" w:space="0" w:color="auto"/>
        <w:left w:val="none" w:sz="0" w:space="0" w:color="auto"/>
        <w:bottom w:val="none" w:sz="0" w:space="0" w:color="auto"/>
        <w:right w:val="none" w:sz="0" w:space="0" w:color="auto"/>
      </w:divBdr>
    </w:div>
    <w:div w:id="1564411355">
      <w:bodyDiv w:val="1"/>
      <w:marLeft w:val="0"/>
      <w:marRight w:val="0"/>
      <w:marTop w:val="0"/>
      <w:marBottom w:val="0"/>
      <w:divBdr>
        <w:top w:val="none" w:sz="0" w:space="0" w:color="auto"/>
        <w:left w:val="none" w:sz="0" w:space="0" w:color="auto"/>
        <w:bottom w:val="none" w:sz="0" w:space="0" w:color="auto"/>
        <w:right w:val="none" w:sz="0" w:space="0" w:color="auto"/>
      </w:divBdr>
    </w:div>
    <w:div w:id="1853371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mbudsman.gov.tr"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kdkcocuk.gov.t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DF0B41-FF93-4BE6-A2FC-63493CF717E0}"/>
</file>

<file path=customXml/itemProps2.xml><?xml version="1.0" encoding="utf-8"?>
<ds:datastoreItem xmlns:ds="http://schemas.openxmlformats.org/officeDocument/2006/customXml" ds:itemID="{21A84FB0-0B5E-4D14-B888-E3D31798F6FE}"/>
</file>

<file path=docProps/app.xml><?xml version="1.0" encoding="utf-8"?>
<Properties xmlns="http://schemas.openxmlformats.org/officeDocument/2006/extended-properties" xmlns:vt="http://schemas.openxmlformats.org/officeDocument/2006/docPropsVTypes">
  <Template>Normal</Template>
  <TotalTime>1</TotalTime>
  <Pages>7</Pages>
  <Words>2472</Words>
  <Characters>14095</Characters>
  <Application>Microsoft Office Word</Application>
  <DocSecurity>4</DocSecurity>
  <Lines>117</Lines>
  <Paragraphs>33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Emrecan YUMUŞ</dc:creator>
  <cp:keywords/>
  <dc:description/>
  <cp:lastModifiedBy>Hande HAZNECİ</cp:lastModifiedBy>
  <cp:revision>2</cp:revision>
  <dcterms:created xsi:type="dcterms:W3CDTF">2024-10-17T13:34:00Z</dcterms:created>
  <dcterms:modified xsi:type="dcterms:W3CDTF">2024-10-17T13:34:00Z</dcterms:modified>
</cp:coreProperties>
</file>