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3E519" w14:textId="77777777" w:rsidR="008B5C65" w:rsidRDefault="008B5C65" w:rsidP="00F223BA">
      <w:pPr>
        <w:jc w:val="center"/>
      </w:pPr>
    </w:p>
    <w:p w14:paraId="3A65B2A6" w14:textId="420118DE" w:rsidR="00F223BA" w:rsidRDefault="0077564B" w:rsidP="00F223BA">
      <w:pPr>
        <w:jc w:val="center"/>
      </w:pPr>
      <w:r w:rsidRPr="00883EAA">
        <w:rPr>
          <w:rFonts w:ascii="MetaPro-Norm" w:hAnsi="MetaPro-Norm"/>
          <w:noProof/>
          <w:color w:val="000000" w:themeColor="text1"/>
        </w:rPr>
        <w:drawing>
          <wp:inline distT="0" distB="0" distL="0" distR="0" wp14:anchorId="1AA57B1D" wp14:editId="7C4A3AEF">
            <wp:extent cx="1517650" cy="1517650"/>
            <wp:effectExtent l="0" t="0" r="6350" b="635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1734" cy="1521734"/>
                    </a:xfrm>
                    <a:prstGeom prst="rect">
                      <a:avLst/>
                    </a:prstGeom>
                    <a:noFill/>
                    <a:ln>
                      <a:noFill/>
                    </a:ln>
                  </pic:spPr>
                </pic:pic>
              </a:graphicData>
            </a:graphic>
          </wp:inline>
        </w:drawing>
      </w:r>
    </w:p>
    <w:p w14:paraId="688C4601" w14:textId="77777777" w:rsidR="00DD55C0" w:rsidRPr="00883EAA" w:rsidRDefault="00DD55C0" w:rsidP="00DD55C0">
      <w:pPr>
        <w:spacing w:after="0"/>
        <w:jc w:val="center"/>
        <w:rPr>
          <w:rFonts w:ascii="MetaPro-Norm" w:hAnsi="MetaPro-Norm"/>
          <w:b/>
          <w:bCs/>
        </w:rPr>
      </w:pPr>
      <w:r w:rsidRPr="00883EAA">
        <w:rPr>
          <w:rFonts w:ascii="MetaPro-Norm" w:hAnsi="MetaPro-Norm"/>
          <w:b/>
          <w:bCs/>
        </w:rPr>
        <w:t xml:space="preserve">Human Rights Watch Submission </w:t>
      </w:r>
    </w:p>
    <w:p w14:paraId="686672B2" w14:textId="420C9FEB" w:rsidR="00DD55C0" w:rsidRPr="00883EAA" w:rsidRDefault="00DD55C0" w:rsidP="00DD55C0">
      <w:pPr>
        <w:spacing w:after="0"/>
        <w:jc w:val="center"/>
        <w:rPr>
          <w:rFonts w:ascii="MetaPro-Norm" w:hAnsi="MetaPro-Norm"/>
          <w:b/>
          <w:bCs/>
        </w:rPr>
      </w:pPr>
      <w:r w:rsidRPr="00883EAA">
        <w:rPr>
          <w:rFonts w:ascii="MetaPro-Norm" w:hAnsi="MetaPro-Norm"/>
          <w:b/>
          <w:bCs/>
        </w:rPr>
        <w:t xml:space="preserve">to the United Nations </w:t>
      </w:r>
      <w:r w:rsidR="006A1548" w:rsidRPr="006A1548">
        <w:rPr>
          <w:rFonts w:ascii="MetaPro-Norm" w:hAnsi="MetaPro-Norm"/>
          <w:b/>
          <w:bCs/>
        </w:rPr>
        <w:t>Committee on Economic, Social and Cultural Rights</w:t>
      </w:r>
    </w:p>
    <w:p w14:paraId="3D4B0ACE" w14:textId="60B6C63E" w:rsidR="00DD55C0" w:rsidRPr="00883EAA" w:rsidRDefault="00DD55C0" w:rsidP="00DD55C0">
      <w:pPr>
        <w:spacing w:after="0"/>
        <w:jc w:val="center"/>
        <w:rPr>
          <w:rFonts w:ascii="MetaPro-Norm" w:hAnsi="MetaPro-Norm" w:cstheme="minorHAnsi"/>
          <w:b/>
          <w:bCs/>
        </w:rPr>
      </w:pPr>
      <w:r w:rsidRPr="00883EAA">
        <w:rPr>
          <w:rFonts w:ascii="MetaPro-Norm" w:hAnsi="MetaPro-Norm" w:cstheme="minorHAnsi"/>
          <w:b/>
          <w:bCs/>
        </w:rPr>
        <w:t xml:space="preserve">Review of </w:t>
      </w:r>
      <w:r w:rsidR="00C308DB">
        <w:rPr>
          <w:rFonts w:ascii="MetaPro-Norm" w:hAnsi="MetaPro-Norm" w:cstheme="minorHAnsi"/>
          <w:b/>
          <w:bCs/>
        </w:rPr>
        <w:t>Malawi</w:t>
      </w:r>
    </w:p>
    <w:p w14:paraId="02EA4925" w14:textId="565EF645" w:rsidR="00DD55C0" w:rsidRPr="00883EAA" w:rsidRDefault="009E4BD3" w:rsidP="00F223BA">
      <w:pPr>
        <w:spacing w:after="0"/>
        <w:jc w:val="center"/>
        <w:rPr>
          <w:rFonts w:ascii="MetaPro-Norm" w:hAnsi="MetaPro-Norm" w:cstheme="minorHAnsi"/>
          <w:b/>
          <w:bCs/>
        </w:rPr>
      </w:pPr>
      <w:bookmarkStart w:id="0" w:name="_Hlk120698938"/>
      <w:r>
        <w:rPr>
          <w:rFonts w:ascii="MetaPro-Norm" w:hAnsi="MetaPro-Norm" w:cstheme="minorHAnsi"/>
          <w:b/>
          <w:bCs/>
        </w:rPr>
        <w:t>72</w:t>
      </w:r>
      <w:r w:rsidR="00E452E2">
        <w:rPr>
          <w:rFonts w:ascii="MetaPro-Norm" w:hAnsi="MetaPro-Norm" w:cstheme="minorHAnsi"/>
          <w:b/>
          <w:bCs/>
        </w:rPr>
        <w:t xml:space="preserve">nd </w:t>
      </w:r>
      <w:r w:rsidR="00F223BA" w:rsidRPr="003B3CC2">
        <w:rPr>
          <w:rFonts w:ascii="MetaPro-Norm" w:hAnsi="MetaPro-Norm" w:cstheme="minorHAnsi"/>
          <w:b/>
          <w:bCs/>
        </w:rPr>
        <w:t>Pre-Sessional Working Group</w:t>
      </w:r>
    </w:p>
    <w:bookmarkEnd w:id="0"/>
    <w:p w14:paraId="65234B79" w14:textId="12C0B635" w:rsidR="00F223BA" w:rsidRDefault="00AE5009" w:rsidP="00641165">
      <w:pPr>
        <w:spacing w:after="0"/>
        <w:jc w:val="center"/>
        <w:rPr>
          <w:rFonts w:ascii="MetaPro-Norm" w:hAnsi="MetaPro-Norm"/>
          <w:b/>
          <w:bCs/>
          <w:i/>
          <w:iCs/>
        </w:rPr>
      </w:pPr>
      <w:r>
        <w:rPr>
          <w:rFonts w:ascii="MetaPro-Norm" w:hAnsi="MetaPro-Norm"/>
          <w:b/>
          <w:bCs/>
          <w:i/>
          <w:iCs/>
        </w:rPr>
        <w:t>January</w:t>
      </w:r>
      <w:r w:rsidR="00DD55C0" w:rsidRPr="7FB91F82">
        <w:rPr>
          <w:rFonts w:ascii="MetaPro-Norm" w:hAnsi="MetaPro-Norm"/>
          <w:b/>
          <w:bCs/>
          <w:i/>
          <w:iCs/>
        </w:rPr>
        <w:t xml:space="preserve"> 202</w:t>
      </w:r>
      <w:r>
        <w:rPr>
          <w:rFonts w:ascii="MetaPro-Norm" w:hAnsi="MetaPro-Norm"/>
          <w:b/>
          <w:bCs/>
          <w:i/>
          <w:iCs/>
        </w:rPr>
        <w:t>3</w:t>
      </w:r>
    </w:p>
    <w:p w14:paraId="061ABDDD" w14:textId="77777777" w:rsidR="00641165" w:rsidRPr="00641165" w:rsidRDefault="00641165" w:rsidP="00641165">
      <w:pPr>
        <w:spacing w:after="0"/>
        <w:jc w:val="center"/>
        <w:rPr>
          <w:rFonts w:ascii="MetaPro-Norm" w:hAnsi="MetaPro-Norm"/>
          <w:b/>
          <w:bCs/>
          <w:i/>
          <w:iCs/>
        </w:rPr>
      </w:pPr>
    </w:p>
    <w:p w14:paraId="77A4A2A0" w14:textId="77777777" w:rsidR="00F76303" w:rsidRPr="00F223BA" w:rsidRDefault="00F76303" w:rsidP="00F223BA">
      <w:pPr>
        <w:spacing w:after="0"/>
        <w:rPr>
          <w:rFonts w:ascii="MetaPro-Norm" w:hAnsi="MetaPro-Norm" w:cstheme="minorHAnsi"/>
          <w:b/>
          <w:bCs/>
        </w:rPr>
      </w:pPr>
    </w:p>
    <w:p w14:paraId="013F43E9" w14:textId="31830B84" w:rsidR="0077564B" w:rsidRDefault="00537AB1" w:rsidP="00122BEC">
      <w:pPr>
        <w:pStyle w:val="Body"/>
        <w:rPr>
          <w:rFonts w:ascii="MetaPro-Norm" w:eastAsia="MetaPro-Norm" w:hAnsi="MetaPro-Norm" w:cs="MetaPro-Norm"/>
          <w:sz w:val="22"/>
          <w:szCs w:val="22"/>
        </w:rPr>
      </w:pPr>
      <w:r>
        <w:rPr>
          <w:rFonts w:ascii="MetaPro-Norm" w:eastAsia="MetaPro-Norm" w:hAnsi="MetaPro-Norm" w:cs="MetaPro-Norm"/>
          <w:sz w:val="22"/>
          <w:szCs w:val="22"/>
        </w:rPr>
        <w:t>We write in advance of the 72</w:t>
      </w:r>
      <w:r w:rsidR="00E452E2">
        <w:rPr>
          <w:rFonts w:ascii="MetaPro-Norm" w:eastAsia="MetaPro-Norm" w:hAnsi="MetaPro-Norm" w:cs="MetaPro-Norm"/>
          <w:sz w:val="22"/>
          <w:szCs w:val="22"/>
        </w:rPr>
        <w:t>nd</w:t>
      </w:r>
      <w:r>
        <w:rPr>
          <w:rFonts w:ascii="MetaPro-Norm" w:eastAsia="MetaPro-Norm" w:hAnsi="MetaPro-Norm" w:cs="MetaPro-Norm"/>
          <w:sz w:val="22"/>
          <w:szCs w:val="22"/>
          <w:vertAlign w:val="superscript"/>
        </w:rPr>
        <w:t xml:space="preserve"> </w:t>
      </w:r>
      <w:r>
        <w:rPr>
          <w:rFonts w:ascii="MetaPro-Norm" w:eastAsia="MetaPro-Norm" w:hAnsi="MetaPro-Norm" w:cs="MetaPro-Norm"/>
          <w:sz w:val="22"/>
          <w:szCs w:val="22"/>
        </w:rPr>
        <w:t xml:space="preserve">pre-session of the Committee on Economic, Social and Cultural Rights regarding </w:t>
      </w:r>
      <w:r w:rsidR="009B545A">
        <w:rPr>
          <w:rFonts w:ascii="MetaPro-Norm" w:eastAsia="MetaPro-Norm" w:hAnsi="MetaPro-Norm" w:cs="MetaPro-Norm"/>
          <w:sz w:val="22"/>
          <w:szCs w:val="22"/>
        </w:rPr>
        <w:t>Malawi</w:t>
      </w:r>
      <w:r>
        <w:rPr>
          <w:rFonts w:ascii="MetaPro-Norm" w:eastAsia="MetaPro-Norm" w:hAnsi="MetaPro-Norm" w:cs="MetaPro-Norm"/>
          <w:sz w:val="22"/>
          <w:szCs w:val="22"/>
        </w:rPr>
        <w:t xml:space="preserve">’s compliance with the International Covenant on Economic, Social and Cultural Rights. This submission includes information on </w:t>
      </w:r>
      <w:r w:rsidR="00122BEC">
        <w:rPr>
          <w:rFonts w:ascii="MetaPro-Norm" w:eastAsia="MetaPro-Norm" w:hAnsi="MetaPro-Norm" w:cs="MetaPro-Norm"/>
          <w:sz w:val="22"/>
          <w:szCs w:val="22"/>
        </w:rPr>
        <w:t>teenage pregnancy</w:t>
      </w:r>
      <w:r w:rsidR="00F044B4">
        <w:rPr>
          <w:rFonts w:ascii="MetaPro-Norm" w:eastAsia="MetaPro-Norm" w:hAnsi="MetaPro-Norm" w:cs="MetaPro-Norm"/>
          <w:sz w:val="22"/>
          <w:szCs w:val="22"/>
        </w:rPr>
        <w:t xml:space="preserve"> and child marriage as barriers to the right to education</w:t>
      </w:r>
      <w:r w:rsidR="00EE4E46">
        <w:rPr>
          <w:rFonts w:ascii="MetaPro-Norm" w:eastAsia="MetaPro-Norm" w:hAnsi="MetaPro-Norm" w:cs="MetaPro-Norm"/>
          <w:sz w:val="22"/>
          <w:szCs w:val="22"/>
        </w:rPr>
        <w:t>,</w:t>
      </w:r>
      <w:r w:rsidR="00364E20" w:rsidRPr="00457C07">
        <w:rPr>
          <w:rFonts w:ascii="MetaPro-Norm" w:eastAsia="MetaPro-Norm" w:hAnsi="MetaPro-Norm" w:cs="MetaPro-Norm"/>
          <w:sz w:val="22"/>
          <w:szCs w:val="22"/>
        </w:rPr>
        <w:t xml:space="preserve"> </w:t>
      </w:r>
      <w:r w:rsidR="0005794E">
        <w:rPr>
          <w:rFonts w:ascii="MetaPro-Norm" w:eastAsia="MetaPro-Norm" w:hAnsi="MetaPro-Norm" w:cs="MetaPro-Norm"/>
          <w:sz w:val="22"/>
          <w:szCs w:val="22"/>
        </w:rPr>
        <w:t xml:space="preserve">government-endorsed online learning during the Covid-19 </w:t>
      </w:r>
      <w:r w:rsidR="00E20CB5">
        <w:rPr>
          <w:rFonts w:ascii="MetaPro-Norm" w:eastAsia="MetaPro-Norm" w:hAnsi="MetaPro-Norm" w:cs="MetaPro-Norm"/>
          <w:sz w:val="22"/>
          <w:szCs w:val="22"/>
        </w:rPr>
        <w:t>p</w:t>
      </w:r>
      <w:r w:rsidR="0005794E">
        <w:rPr>
          <w:rFonts w:ascii="MetaPro-Norm" w:eastAsia="MetaPro-Norm" w:hAnsi="MetaPro-Norm" w:cs="MetaPro-Norm"/>
          <w:sz w:val="22"/>
          <w:szCs w:val="22"/>
        </w:rPr>
        <w:t xml:space="preserve">andemic, and </w:t>
      </w:r>
      <w:r w:rsidR="00457C07">
        <w:rPr>
          <w:rFonts w:ascii="MetaPro-Norm" w:eastAsia="MetaPro-Norm" w:hAnsi="MetaPro-Norm" w:cs="MetaPro-Norm"/>
          <w:sz w:val="22"/>
          <w:szCs w:val="22"/>
        </w:rPr>
        <w:t>the protection of education from attack</w:t>
      </w:r>
      <w:r w:rsidR="0005794E">
        <w:rPr>
          <w:rFonts w:ascii="MetaPro-Norm" w:eastAsia="MetaPro-Norm" w:hAnsi="MetaPro-Norm" w:cs="MetaPro-Norm"/>
          <w:sz w:val="22"/>
          <w:szCs w:val="22"/>
        </w:rPr>
        <w:t>.</w:t>
      </w:r>
    </w:p>
    <w:p w14:paraId="5EEE5AC1" w14:textId="791C958C" w:rsidR="00B34CB9" w:rsidRDefault="00B34CB9" w:rsidP="00122BEC">
      <w:pPr>
        <w:pStyle w:val="Body"/>
        <w:rPr>
          <w:rFonts w:ascii="MetaPro-Norm" w:eastAsia="MetaPro-Norm" w:hAnsi="MetaPro-Norm" w:cs="MetaPro-Norm"/>
          <w:sz w:val="22"/>
          <w:szCs w:val="22"/>
        </w:rPr>
      </w:pPr>
    </w:p>
    <w:p w14:paraId="58A20A3A" w14:textId="6BD89ED9" w:rsidR="00B34CB9" w:rsidRDefault="00C719BB" w:rsidP="00122BEC">
      <w:pPr>
        <w:pStyle w:val="Body"/>
        <w:rPr>
          <w:rFonts w:ascii="MetaPro-Norm" w:eastAsia="MetaPro-Norm" w:hAnsi="MetaPro-Norm" w:cs="MetaPro-Norm"/>
          <w:b/>
          <w:bCs/>
          <w:sz w:val="22"/>
          <w:szCs w:val="22"/>
        </w:rPr>
      </w:pPr>
      <w:r w:rsidRPr="0058382A">
        <w:rPr>
          <w:rFonts w:ascii="MetaPro-Norm" w:eastAsia="MetaPro-Norm" w:hAnsi="MetaPro-Norm" w:cs="MetaPro-Norm"/>
          <w:b/>
          <w:sz w:val="22"/>
          <w:szCs w:val="22"/>
        </w:rPr>
        <w:t xml:space="preserve">Teenage Pregnancy and </w:t>
      </w:r>
      <w:r w:rsidR="004B6A91" w:rsidRPr="0058382A">
        <w:rPr>
          <w:rFonts w:ascii="MetaPro-Norm" w:eastAsia="MetaPro-Norm" w:hAnsi="MetaPro-Norm" w:cs="MetaPro-Norm"/>
          <w:b/>
          <w:sz w:val="22"/>
          <w:szCs w:val="22"/>
        </w:rPr>
        <w:t>Child Marriage: Barriers to the Right</w:t>
      </w:r>
      <w:r w:rsidRPr="0058382A">
        <w:rPr>
          <w:rFonts w:ascii="MetaPro-Norm" w:eastAsia="MetaPro-Norm" w:hAnsi="MetaPro-Norm" w:cs="MetaPro-Norm"/>
          <w:b/>
          <w:sz w:val="22"/>
          <w:szCs w:val="22"/>
        </w:rPr>
        <w:t xml:space="preserve"> to Education (article</w:t>
      </w:r>
      <w:r w:rsidR="00362DC4" w:rsidRPr="0058382A">
        <w:rPr>
          <w:rFonts w:ascii="MetaPro-Norm" w:eastAsia="MetaPro-Norm" w:hAnsi="MetaPro-Norm" w:cs="MetaPro-Norm"/>
          <w:b/>
          <w:sz w:val="22"/>
          <w:szCs w:val="22"/>
        </w:rPr>
        <w:t>s 2</w:t>
      </w:r>
      <w:r w:rsidR="000B1CDF" w:rsidRPr="0058382A">
        <w:rPr>
          <w:rFonts w:ascii="MetaPro-Norm" w:eastAsia="MetaPro-Norm" w:hAnsi="MetaPro-Norm" w:cs="MetaPro-Norm"/>
          <w:b/>
          <w:sz w:val="22"/>
          <w:szCs w:val="22"/>
        </w:rPr>
        <w:t>, 3, and</w:t>
      </w:r>
      <w:r w:rsidRPr="0058382A">
        <w:rPr>
          <w:rFonts w:ascii="MetaPro-Norm" w:eastAsia="MetaPro-Norm" w:hAnsi="MetaPro-Norm" w:cs="MetaPro-Norm"/>
          <w:b/>
          <w:sz w:val="22"/>
          <w:szCs w:val="22"/>
        </w:rPr>
        <w:t xml:space="preserve"> </w:t>
      </w:r>
      <w:r w:rsidR="00CE4C66" w:rsidRPr="0058382A">
        <w:rPr>
          <w:rFonts w:ascii="MetaPro-Norm" w:eastAsia="MetaPro-Norm" w:hAnsi="MetaPro-Norm" w:cs="MetaPro-Norm"/>
          <w:b/>
          <w:sz w:val="22"/>
          <w:szCs w:val="22"/>
        </w:rPr>
        <w:t>13</w:t>
      </w:r>
      <w:r w:rsidR="000B1CDF" w:rsidRPr="0058382A">
        <w:rPr>
          <w:rFonts w:ascii="MetaPro-Norm" w:eastAsia="MetaPro-Norm" w:hAnsi="MetaPro-Norm" w:cs="MetaPro-Norm"/>
          <w:b/>
          <w:sz w:val="22"/>
          <w:szCs w:val="22"/>
        </w:rPr>
        <w:t>)</w:t>
      </w:r>
    </w:p>
    <w:p w14:paraId="2A875BD7" w14:textId="5158E747" w:rsidR="00F42FFC" w:rsidRDefault="00F42FFC" w:rsidP="00AE5E25">
      <w:pPr>
        <w:spacing w:after="0" w:line="240" w:lineRule="auto"/>
        <w:rPr>
          <w:rFonts w:ascii="MetaPro-Norm" w:hAnsi="MetaPro-Norm"/>
        </w:rPr>
      </w:pPr>
      <w:r w:rsidRPr="003B3CC2">
        <w:rPr>
          <w:rFonts w:ascii="MetaPro-Norm" w:hAnsi="MetaPro-Norm"/>
        </w:rPr>
        <w:t xml:space="preserve">From 2004 to 2020, the adolescent birth rate in </w:t>
      </w:r>
      <w:r>
        <w:rPr>
          <w:rFonts w:ascii="MetaPro-Norm" w:hAnsi="MetaPro-Norm"/>
        </w:rPr>
        <w:t>Malawi</w:t>
      </w:r>
      <w:r w:rsidRPr="003B3CC2">
        <w:rPr>
          <w:rFonts w:ascii="MetaPro-Norm" w:hAnsi="MetaPro-Norm"/>
        </w:rPr>
        <w:t xml:space="preserve"> was </w:t>
      </w:r>
      <w:r w:rsidR="007E3C65">
        <w:rPr>
          <w:rFonts w:ascii="MetaPro-Norm" w:hAnsi="MetaPro-Norm"/>
        </w:rPr>
        <w:t>138</w:t>
      </w:r>
      <w:r w:rsidRPr="003B3CC2">
        <w:rPr>
          <w:rFonts w:ascii="MetaPro-Norm" w:hAnsi="MetaPro-Norm"/>
        </w:rPr>
        <w:t xml:space="preserve"> per 1,000 adolescent girls and women aged 15-19.</w:t>
      </w:r>
      <w:r w:rsidR="0058382A" w:rsidRPr="00C05FB7">
        <w:rPr>
          <w:rStyle w:val="FootnoteReference"/>
        </w:rPr>
        <w:footnoteReference w:id="2"/>
      </w:r>
      <w:r w:rsidRPr="003B3CC2">
        <w:rPr>
          <w:rFonts w:ascii="MetaPro-Norm" w:hAnsi="MetaPro-Norm"/>
        </w:rPr>
        <w:t xml:space="preserve"> This is </w:t>
      </w:r>
      <w:r w:rsidR="737CB680" w:rsidRPr="003B3CC2">
        <w:rPr>
          <w:rFonts w:ascii="MetaPro-Norm" w:hAnsi="MetaPro-Norm"/>
        </w:rPr>
        <w:t xml:space="preserve">above </w:t>
      </w:r>
      <w:r w:rsidRPr="003B3CC2">
        <w:rPr>
          <w:rFonts w:ascii="MetaPro-Norm" w:hAnsi="MetaPro-Norm"/>
        </w:rPr>
        <w:t xml:space="preserve">the regional rate in </w:t>
      </w:r>
      <w:r w:rsidR="007A6537">
        <w:rPr>
          <w:rFonts w:ascii="MetaPro-Norm" w:hAnsi="MetaPro-Norm"/>
        </w:rPr>
        <w:t>East and Southern Africa</w:t>
      </w:r>
      <w:r w:rsidRPr="003B3CC2">
        <w:rPr>
          <w:rFonts w:ascii="MetaPro-Norm" w:hAnsi="MetaPro-Norm"/>
        </w:rPr>
        <w:t xml:space="preserve"> </w:t>
      </w:r>
      <w:r w:rsidR="002057B6">
        <w:rPr>
          <w:rFonts w:ascii="MetaPro-Norm" w:hAnsi="MetaPro-Norm"/>
        </w:rPr>
        <w:t xml:space="preserve">and </w:t>
      </w:r>
      <w:r w:rsidR="00B53886">
        <w:rPr>
          <w:rFonts w:ascii="MetaPro-Norm" w:hAnsi="MetaPro-Norm"/>
        </w:rPr>
        <w:t>more than three times</w:t>
      </w:r>
      <w:r w:rsidRPr="003B3CC2">
        <w:rPr>
          <w:rFonts w:ascii="MetaPro-Norm" w:hAnsi="MetaPro-Norm"/>
        </w:rPr>
        <w:t xml:space="preserve"> the world rate.</w:t>
      </w:r>
      <w:r w:rsidR="00495C12">
        <w:rPr>
          <w:rStyle w:val="FootnoteReference"/>
        </w:rPr>
        <w:footnoteReference w:id="3"/>
      </w:r>
      <w:r w:rsidRPr="003B3CC2">
        <w:rPr>
          <w:rFonts w:ascii="MetaPro-Norm" w:hAnsi="MetaPro-Norm"/>
        </w:rPr>
        <w:t xml:space="preserve"> </w:t>
      </w:r>
      <w:r w:rsidR="008B3BF0">
        <w:rPr>
          <w:rFonts w:ascii="MetaPro-Norm" w:hAnsi="MetaPro-Norm"/>
        </w:rPr>
        <w:t>R</w:t>
      </w:r>
      <w:r w:rsidR="00A35E8A">
        <w:rPr>
          <w:rFonts w:ascii="MetaPro-Norm" w:hAnsi="MetaPro-Norm"/>
        </w:rPr>
        <w:t xml:space="preserve">ecent data on </w:t>
      </w:r>
      <w:r w:rsidR="00624E47">
        <w:rPr>
          <w:rFonts w:ascii="MetaPro-Norm" w:hAnsi="MetaPro-Norm"/>
        </w:rPr>
        <w:t>child marriage</w:t>
      </w:r>
      <w:r w:rsidR="00D45680">
        <w:rPr>
          <w:rFonts w:ascii="MetaPro-Norm" w:hAnsi="MetaPro-Norm"/>
        </w:rPr>
        <w:t xml:space="preserve"> in Malawi</w:t>
      </w:r>
      <w:r w:rsidR="00624E47">
        <w:rPr>
          <w:rFonts w:ascii="MetaPro-Norm" w:hAnsi="MetaPro-Norm"/>
        </w:rPr>
        <w:t xml:space="preserve"> is </w:t>
      </w:r>
      <w:r w:rsidR="008B3BF0">
        <w:rPr>
          <w:rFonts w:ascii="MetaPro-Norm" w:hAnsi="MetaPro-Norm"/>
        </w:rPr>
        <w:t>un</w:t>
      </w:r>
      <w:r w:rsidR="00624E47">
        <w:rPr>
          <w:rFonts w:ascii="MetaPro-Norm" w:hAnsi="MetaPro-Norm"/>
        </w:rPr>
        <w:t xml:space="preserve">available, </w:t>
      </w:r>
      <w:r w:rsidR="008B3BF0">
        <w:rPr>
          <w:rFonts w:ascii="MetaPro-Norm" w:hAnsi="MetaPro-Norm"/>
        </w:rPr>
        <w:t xml:space="preserve">but </w:t>
      </w:r>
      <w:r w:rsidR="006507D7">
        <w:rPr>
          <w:rFonts w:ascii="MetaPro-Norm" w:hAnsi="MetaPro-Norm"/>
        </w:rPr>
        <w:t xml:space="preserve">Malawi’s 2015-2016 demographic and health survey indicates that </w:t>
      </w:r>
      <w:r w:rsidR="00735F62">
        <w:rPr>
          <w:rFonts w:ascii="MetaPro-Norm" w:hAnsi="MetaPro-Norm"/>
        </w:rPr>
        <w:t>42</w:t>
      </w:r>
      <w:r w:rsidRPr="003B3CC2">
        <w:rPr>
          <w:rFonts w:ascii="MetaPro-Norm" w:hAnsi="MetaPro-Norm"/>
        </w:rPr>
        <w:t xml:space="preserve"> percent of girls in the country are married before the age of 18, and</w:t>
      </w:r>
      <w:r w:rsidR="62CEA3BB" w:rsidRPr="003B3CC2">
        <w:rPr>
          <w:rFonts w:ascii="MetaPro-Norm" w:hAnsi="MetaPro-Norm"/>
        </w:rPr>
        <w:t xml:space="preserve"> 9 percent of girls are married before the age of 15</w:t>
      </w:r>
      <w:r w:rsidRPr="003B3CC2">
        <w:rPr>
          <w:rFonts w:ascii="MetaPro-Norm" w:hAnsi="MetaPro-Norm"/>
        </w:rPr>
        <w:t>.</w:t>
      </w:r>
      <w:r w:rsidRPr="00C05FB7">
        <w:rPr>
          <w:rStyle w:val="FootnoteReference"/>
        </w:rPr>
        <w:footnoteReference w:id="4"/>
      </w:r>
      <w:r w:rsidRPr="003B3CC2">
        <w:rPr>
          <w:rFonts w:ascii="MetaPro-Norm" w:hAnsi="MetaPro-Norm"/>
        </w:rPr>
        <w:t xml:space="preserve"> </w:t>
      </w:r>
      <w:r w:rsidR="00D76752" w:rsidRPr="007A72D3">
        <w:rPr>
          <w:rFonts w:ascii="MetaPro-Norm" w:hAnsi="MetaPro-Norm"/>
        </w:rPr>
        <w:t>Pregnancy is both a barrier to girls continuing their education and often a consequence of girls dropping out of school. Numerous studies have shown that the longer a girl stays in school, the less likely she is to be married as a child or become pregnant during her teenage years.</w:t>
      </w:r>
      <w:r w:rsidR="00D76752">
        <w:rPr>
          <w:rStyle w:val="FootnoteReference"/>
        </w:rPr>
        <w:footnoteReference w:id="5"/>
      </w:r>
    </w:p>
    <w:p w14:paraId="272991A7" w14:textId="77777777" w:rsidR="001603DB" w:rsidRDefault="001603DB" w:rsidP="00122BEC">
      <w:pPr>
        <w:pStyle w:val="Body"/>
        <w:rPr>
          <w:rFonts w:ascii="MetaPro-Norm" w:hAnsi="MetaPro-Norm"/>
          <w:sz w:val="22"/>
          <w:szCs w:val="22"/>
        </w:rPr>
      </w:pPr>
    </w:p>
    <w:p w14:paraId="3B21456A" w14:textId="45480878" w:rsidR="004B1A57" w:rsidRDefault="00162B7C" w:rsidP="00122BEC">
      <w:pPr>
        <w:pStyle w:val="Body"/>
        <w:rPr>
          <w:rFonts w:ascii="MetaPro-Norm" w:hAnsi="MetaPro-Norm"/>
          <w:sz w:val="22"/>
          <w:szCs w:val="22"/>
        </w:rPr>
      </w:pPr>
      <w:r>
        <w:rPr>
          <w:rFonts w:ascii="MetaPro-Norm" w:hAnsi="MetaPro-Norm"/>
          <w:sz w:val="22"/>
          <w:szCs w:val="22"/>
        </w:rPr>
        <w:t xml:space="preserve">In 2017, Malawi </w:t>
      </w:r>
      <w:r w:rsidR="002F1B10" w:rsidRPr="002F1B10">
        <w:rPr>
          <w:rFonts w:ascii="MetaPro-Norm" w:hAnsi="MetaPro-Norm"/>
          <w:sz w:val="22"/>
          <w:szCs w:val="22"/>
        </w:rPr>
        <w:t>removed from its Constitution a provision allowing children between the ages of 15 and 18 to marry with parental consent</w:t>
      </w:r>
      <w:r w:rsidR="005377ED">
        <w:rPr>
          <w:rFonts w:ascii="MetaPro-Norm" w:hAnsi="MetaPro-Norm"/>
          <w:sz w:val="22"/>
          <w:szCs w:val="22"/>
        </w:rPr>
        <w:t xml:space="preserve">, thereby aligning </w:t>
      </w:r>
      <w:r w:rsidR="005377ED" w:rsidRPr="005377ED">
        <w:rPr>
          <w:rFonts w:ascii="MetaPro-Norm" w:hAnsi="MetaPro-Norm"/>
          <w:sz w:val="22"/>
          <w:szCs w:val="22"/>
        </w:rPr>
        <w:t>the minimum age of marriage with the Marriage, Divorce and Family Relations Act,</w:t>
      </w:r>
      <w:r w:rsidR="00C27539">
        <w:rPr>
          <w:rStyle w:val="FootnoteReference"/>
          <w:szCs w:val="22"/>
        </w:rPr>
        <w:footnoteReference w:id="6"/>
      </w:r>
      <w:r w:rsidR="005377ED" w:rsidRPr="005377ED">
        <w:rPr>
          <w:rFonts w:ascii="MetaPro-Norm" w:hAnsi="MetaPro-Norm"/>
          <w:sz w:val="22"/>
          <w:szCs w:val="22"/>
        </w:rPr>
        <w:t xml:space="preserve"> a law that sets 18 as the </w:t>
      </w:r>
      <w:r w:rsidR="00C27539">
        <w:rPr>
          <w:rFonts w:ascii="MetaPro-Norm" w:hAnsi="MetaPro-Norm"/>
          <w:sz w:val="22"/>
          <w:szCs w:val="22"/>
        </w:rPr>
        <w:t xml:space="preserve">minimum </w:t>
      </w:r>
      <w:r w:rsidR="005377ED" w:rsidRPr="005377ED">
        <w:rPr>
          <w:rFonts w:ascii="MetaPro-Norm" w:hAnsi="MetaPro-Norm"/>
          <w:sz w:val="22"/>
          <w:szCs w:val="22"/>
        </w:rPr>
        <w:t>age of marriage.</w:t>
      </w:r>
      <w:r w:rsidR="00C27539">
        <w:rPr>
          <w:rStyle w:val="FootnoteReference"/>
          <w:szCs w:val="22"/>
        </w:rPr>
        <w:footnoteReference w:id="7"/>
      </w:r>
    </w:p>
    <w:p w14:paraId="1D6D4FBD" w14:textId="77777777" w:rsidR="00EE5594" w:rsidRDefault="00EE5594" w:rsidP="00EE5594">
      <w:pPr>
        <w:pStyle w:val="Body"/>
      </w:pPr>
    </w:p>
    <w:p w14:paraId="0BCB2E3C" w14:textId="287B10E5" w:rsidR="00C056D5" w:rsidRDefault="00011942" w:rsidP="004E06CF">
      <w:pPr>
        <w:pStyle w:val="Body"/>
        <w:rPr>
          <w:rFonts w:ascii="MetaPro-Norm" w:hAnsi="MetaPro-Norm"/>
          <w:sz w:val="22"/>
          <w:szCs w:val="22"/>
        </w:rPr>
      </w:pPr>
      <w:r w:rsidRPr="00011942">
        <w:rPr>
          <w:rFonts w:ascii="MetaPro-Norm" w:hAnsi="MetaPro-Norm"/>
          <w:sz w:val="22"/>
          <w:szCs w:val="22"/>
        </w:rPr>
        <w:t>Malawi ha</w:t>
      </w:r>
      <w:r>
        <w:rPr>
          <w:rFonts w:ascii="MetaPro-Norm" w:hAnsi="MetaPro-Norm"/>
          <w:sz w:val="22"/>
          <w:szCs w:val="22"/>
        </w:rPr>
        <w:t>s</w:t>
      </w:r>
      <w:r w:rsidRPr="00011942">
        <w:rPr>
          <w:rFonts w:ascii="MetaPro-Norm" w:hAnsi="MetaPro-Norm"/>
          <w:sz w:val="22"/>
          <w:szCs w:val="22"/>
        </w:rPr>
        <w:t xml:space="preserve"> adopted</w:t>
      </w:r>
      <w:r>
        <w:rPr>
          <w:rFonts w:ascii="MetaPro-Norm" w:hAnsi="MetaPro-Norm"/>
          <w:sz w:val="22"/>
          <w:szCs w:val="22"/>
        </w:rPr>
        <w:t xml:space="preserve"> a</w:t>
      </w:r>
      <w:r w:rsidRPr="00011942">
        <w:rPr>
          <w:rFonts w:ascii="MetaPro-Norm" w:hAnsi="MetaPro-Norm"/>
          <w:sz w:val="22"/>
          <w:szCs w:val="22"/>
        </w:rPr>
        <w:t xml:space="preserve"> </w:t>
      </w:r>
      <w:r>
        <w:rPr>
          <w:rFonts w:ascii="MetaPro-Norm" w:hAnsi="MetaPro-Norm"/>
          <w:sz w:val="22"/>
          <w:szCs w:val="22"/>
        </w:rPr>
        <w:t>readmission</w:t>
      </w:r>
      <w:r w:rsidRPr="00011942">
        <w:rPr>
          <w:rFonts w:ascii="MetaPro-Norm" w:hAnsi="MetaPro-Norm"/>
          <w:sz w:val="22"/>
          <w:szCs w:val="22"/>
        </w:rPr>
        <w:t xml:space="preserve"> polic</w:t>
      </w:r>
      <w:r>
        <w:rPr>
          <w:rFonts w:ascii="MetaPro-Norm" w:hAnsi="MetaPro-Norm"/>
          <w:sz w:val="22"/>
          <w:szCs w:val="22"/>
        </w:rPr>
        <w:t xml:space="preserve">y </w:t>
      </w:r>
      <w:r w:rsidR="008E3337">
        <w:rPr>
          <w:rFonts w:ascii="MetaPro-Norm" w:hAnsi="MetaPro-Norm"/>
          <w:sz w:val="22"/>
          <w:szCs w:val="22"/>
        </w:rPr>
        <w:t>(</w:t>
      </w:r>
      <w:r w:rsidR="00994DD0">
        <w:rPr>
          <w:rFonts w:ascii="MetaPro-Norm" w:hAnsi="MetaPro-Norm"/>
          <w:sz w:val="22"/>
          <w:szCs w:val="22"/>
        </w:rPr>
        <w:t xml:space="preserve">introduced in 1993 and </w:t>
      </w:r>
      <w:r w:rsidR="008E3337">
        <w:rPr>
          <w:rFonts w:ascii="MetaPro-Norm" w:hAnsi="MetaPro-Norm"/>
          <w:sz w:val="22"/>
          <w:szCs w:val="22"/>
        </w:rPr>
        <w:t>revised in 2016</w:t>
      </w:r>
      <w:r w:rsidR="006221F8">
        <w:rPr>
          <w:rFonts w:ascii="MetaPro-Norm" w:hAnsi="MetaPro-Norm"/>
          <w:sz w:val="22"/>
          <w:szCs w:val="22"/>
        </w:rPr>
        <w:t xml:space="preserve">) </w:t>
      </w:r>
      <w:r w:rsidRPr="00011942">
        <w:rPr>
          <w:rFonts w:ascii="MetaPro-Norm" w:hAnsi="MetaPro-Norm"/>
          <w:sz w:val="22"/>
          <w:szCs w:val="22"/>
        </w:rPr>
        <w:t>to ensure that pregnant girls can resume their education after giving birth.</w:t>
      </w:r>
      <w:r w:rsidR="00740DF7">
        <w:rPr>
          <w:rFonts w:ascii="MetaPro-Norm" w:hAnsi="MetaPro-Norm"/>
          <w:sz w:val="22"/>
          <w:szCs w:val="22"/>
        </w:rPr>
        <w:t xml:space="preserve"> </w:t>
      </w:r>
      <w:r>
        <w:rPr>
          <w:rFonts w:ascii="MetaPro-Norm" w:hAnsi="MetaPro-Norm"/>
          <w:sz w:val="22"/>
          <w:szCs w:val="22"/>
        </w:rPr>
        <w:t>It</w:t>
      </w:r>
      <w:r w:rsidR="00C056D5" w:rsidRPr="00C056D5">
        <w:rPr>
          <w:rFonts w:ascii="MetaPro-Norm" w:hAnsi="MetaPro-Norm"/>
          <w:sz w:val="22"/>
          <w:szCs w:val="22"/>
        </w:rPr>
        <w:t xml:space="preserve"> states that girls are not allowed to remain in school while pregnant but are expected to return to school one year after giving birth. Students, their parents or guardians, and the school’s head teacher are expected to fill in a standard school dropout and readmission form detailing both processes. This provision replaced a previous</w:t>
      </w:r>
      <w:r w:rsidR="008469E6">
        <w:rPr>
          <w:rFonts w:ascii="MetaPro-Norm" w:hAnsi="MetaPro-Norm"/>
          <w:sz w:val="22"/>
          <w:szCs w:val="22"/>
        </w:rPr>
        <w:t xml:space="preserve"> and more complex</w:t>
      </w:r>
      <w:r w:rsidR="00C056D5" w:rsidRPr="00C056D5">
        <w:rPr>
          <w:rFonts w:ascii="MetaPro-Norm" w:hAnsi="MetaPro-Norm"/>
          <w:sz w:val="22"/>
          <w:szCs w:val="22"/>
        </w:rPr>
        <w:t xml:space="preserve"> requirement for students to submit letters</w:t>
      </w:r>
      <w:r w:rsidR="00311091">
        <w:rPr>
          <w:rFonts w:ascii="MetaPro-Norm" w:hAnsi="MetaPro-Norm"/>
          <w:sz w:val="22"/>
          <w:szCs w:val="22"/>
        </w:rPr>
        <w:t xml:space="preserve"> to </w:t>
      </w:r>
      <w:r w:rsidR="00311091" w:rsidRPr="00311091">
        <w:rPr>
          <w:rFonts w:ascii="MetaPro-Norm" w:hAnsi="MetaPro-Norm"/>
          <w:sz w:val="22"/>
          <w:szCs w:val="22"/>
        </w:rPr>
        <w:t>education officials</w:t>
      </w:r>
      <w:r w:rsidR="00C056D5" w:rsidRPr="00C056D5">
        <w:rPr>
          <w:rFonts w:ascii="MetaPro-Norm" w:hAnsi="MetaPro-Norm"/>
          <w:sz w:val="22"/>
          <w:szCs w:val="22"/>
        </w:rPr>
        <w:t>.</w:t>
      </w:r>
      <w:r w:rsidR="00E20B46" w:rsidRPr="5B02E693">
        <w:rPr>
          <w:rStyle w:val="FootnoteReference"/>
        </w:rPr>
        <w:footnoteReference w:id="8"/>
      </w:r>
      <w:r w:rsidR="004E06CF">
        <w:rPr>
          <w:rFonts w:ascii="MetaPro-Norm" w:hAnsi="MetaPro-Norm"/>
          <w:sz w:val="22"/>
          <w:szCs w:val="22"/>
        </w:rPr>
        <w:t xml:space="preserve"> </w:t>
      </w:r>
      <w:r w:rsidR="00840935">
        <w:rPr>
          <w:rFonts w:ascii="MetaPro-Norm" w:hAnsi="MetaPro-Norm"/>
          <w:sz w:val="22"/>
          <w:szCs w:val="22"/>
        </w:rPr>
        <w:t xml:space="preserve">Malawi also </w:t>
      </w:r>
      <w:r w:rsidR="00ED66A3">
        <w:rPr>
          <w:rFonts w:ascii="MetaPro-Norm" w:hAnsi="MetaPro-Norm"/>
          <w:sz w:val="22"/>
          <w:szCs w:val="22"/>
        </w:rPr>
        <w:t>provides</w:t>
      </w:r>
      <w:r w:rsidR="00840935">
        <w:rPr>
          <w:rFonts w:ascii="MetaPro-Norm" w:hAnsi="MetaPro-Norm"/>
          <w:sz w:val="22"/>
          <w:szCs w:val="22"/>
        </w:rPr>
        <w:t xml:space="preserve"> s</w:t>
      </w:r>
      <w:r w:rsidR="00C056D5" w:rsidRPr="00C056D5">
        <w:rPr>
          <w:rFonts w:ascii="MetaPro-Norm" w:hAnsi="MetaPro-Norm"/>
          <w:sz w:val="22"/>
          <w:szCs w:val="22"/>
        </w:rPr>
        <w:t xml:space="preserve">tudents readmitted after pregnancy counseling and psychosocial </w:t>
      </w:r>
      <w:r w:rsidR="00ED66A3">
        <w:rPr>
          <w:rFonts w:ascii="MetaPro-Norm" w:hAnsi="MetaPro-Norm"/>
          <w:sz w:val="22"/>
          <w:szCs w:val="22"/>
        </w:rPr>
        <w:t xml:space="preserve">as well as remedial academic </w:t>
      </w:r>
      <w:r w:rsidR="00C056D5" w:rsidRPr="00C056D5">
        <w:rPr>
          <w:rFonts w:ascii="MetaPro-Norm" w:hAnsi="MetaPro-Norm"/>
          <w:sz w:val="22"/>
          <w:szCs w:val="22"/>
        </w:rPr>
        <w:t>support.</w:t>
      </w:r>
    </w:p>
    <w:p w14:paraId="1BD4E669" w14:textId="51980809" w:rsidR="00823AD7" w:rsidRDefault="00823AD7" w:rsidP="00C056D5">
      <w:pPr>
        <w:pStyle w:val="Body"/>
        <w:rPr>
          <w:rFonts w:ascii="MetaPro-Norm" w:hAnsi="MetaPro-Norm"/>
          <w:sz w:val="22"/>
          <w:szCs w:val="22"/>
        </w:rPr>
      </w:pPr>
    </w:p>
    <w:p w14:paraId="50791C75" w14:textId="423FC38A" w:rsidR="00823AD7" w:rsidRDefault="00823AD7" w:rsidP="00C056D5">
      <w:pPr>
        <w:pStyle w:val="Body"/>
        <w:rPr>
          <w:rFonts w:ascii="MetaPro-Norm" w:hAnsi="MetaPro-Norm"/>
          <w:sz w:val="22"/>
          <w:szCs w:val="22"/>
        </w:rPr>
      </w:pPr>
      <w:r>
        <w:rPr>
          <w:rFonts w:ascii="MetaPro-Norm" w:hAnsi="MetaPro-Norm"/>
          <w:sz w:val="22"/>
          <w:szCs w:val="22"/>
        </w:rPr>
        <w:t xml:space="preserve">However, </w:t>
      </w:r>
      <w:r w:rsidR="00111A0F">
        <w:rPr>
          <w:rFonts w:ascii="MetaPro-Norm" w:hAnsi="MetaPro-Norm"/>
          <w:sz w:val="22"/>
          <w:szCs w:val="22"/>
        </w:rPr>
        <w:t>s</w:t>
      </w:r>
      <w:r w:rsidR="00111A0F" w:rsidRPr="00111A0F">
        <w:rPr>
          <w:rFonts w:ascii="MetaPro-Norm" w:hAnsi="MetaPro-Norm"/>
          <w:sz w:val="22"/>
          <w:szCs w:val="22"/>
        </w:rPr>
        <w:t xml:space="preserve">trong social and </w:t>
      </w:r>
      <w:r w:rsidR="5A657BF1" w:rsidRPr="00111A0F">
        <w:rPr>
          <w:rFonts w:ascii="MetaPro-Norm" w:hAnsi="MetaPro-Norm"/>
          <w:sz w:val="22"/>
          <w:szCs w:val="22"/>
        </w:rPr>
        <w:t>traditional</w:t>
      </w:r>
      <w:r w:rsidR="00111A0F" w:rsidRPr="00111A0F">
        <w:rPr>
          <w:rFonts w:ascii="MetaPro-Norm" w:hAnsi="MetaPro-Norm"/>
          <w:sz w:val="22"/>
          <w:szCs w:val="22"/>
        </w:rPr>
        <w:t xml:space="preserve"> norms drive the practice of child marriage in Malawi. Many communities view child marriage as being in the best interests of girls and their families, and some families see child marriage as a way to improve their economic status, through </w:t>
      </w:r>
      <w:r w:rsidR="7F2793C7" w:rsidRPr="00111A0F">
        <w:rPr>
          <w:rFonts w:ascii="MetaPro-Norm" w:hAnsi="MetaPro-Norm"/>
          <w:sz w:val="22"/>
          <w:szCs w:val="22"/>
        </w:rPr>
        <w:t>the money or goods</w:t>
      </w:r>
      <w:r w:rsidR="00111A0F" w:rsidRPr="00111A0F">
        <w:rPr>
          <w:rFonts w:ascii="MetaPro-Norm" w:hAnsi="MetaPro-Norm"/>
          <w:sz w:val="22"/>
          <w:szCs w:val="22"/>
        </w:rPr>
        <w:t xml:space="preserve"> the groom </w:t>
      </w:r>
      <w:r w:rsidR="00C36429" w:rsidRPr="00111A0F">
        <w:rPr>
          <w:rFonts w:ascii="MetaPro-Norm" w:hAnsi="MetaPro-Norm"/>
          <w:sz w:val="22"/>
          <w:szCs w:val="22"/>
        </w:rPr>
        <w:t xml:space="preserve">gives </w:t>
      </w:r>
      <w:r w:rsidR="00111A0F" w:rsidRPr="00111A0F">
        <w:rPr>
          <w:rFonts w:ascii="MetaPro-Norm" w:hAnsi="MetaPro-Norm"/>
          <w:sz w:val="22"/>
          <w:szCs w:val="22"/>
        </w:rPr>
        <w:t>to the bride’s family, or through continued support by their daughter’s husband. For some girls, marriage may suggest a route to escape poverty. Adolescent pregnancy is also stigmatized in Malawi, and marriage is regarded as a means of protecting girls who become pregnant from undermining family honor.</w:t>
      </w:r>
      <w:r w:rsidR="00294F50" w:rsidRPr="7D37B11C">
        <w:rPr>
          <w:rStyle w:val="FootnoteReference"/>
        </w:rPr>
        <w:footnoteReference w:id="9"/>
      </w:r>
    </w:p>
    <w:p w14:paraId="67B647BC" w14:textId="77777777" w:rsidR="00F76303" w:rsidRDefault="00F76303" w:rsidP="00C056D5">
      <w:pPr>
        <w:pStyle w:val="Body"/>
        <w:rPr>
          <w:rFonts w:ascii="MetaPro-Norm" w:hAnsi="MetaPro-Norm"/>
          <w:sz w:val="22"/>
          <w:szCs w:val="22"/>
        </w:rPr>
      </w:pPr>
    </w:p>
    <w:p w14:paraId="502ECD63" w14:textId="6C37CCA4" w:rsidR="00EA37CD" w:rsidRDefault="00FF6DAA" w:rsidP="00AE5E25">
      <w:pPr>
        <w:pStyle w:val="Body"/>
        <w:rPr>
          <w:rFonts w:ascii="MetaPro-Norm" w:hAnsi="MetaPro-Norm"/>
          <w:sz w:val="22"/>
          <w:szCs w:val="22"/>
        </w:rPr>
      </w:pPr>
      <w:r>
        <w:rPr>
          <w:rFonts w:ascii="MetaPro-Norm" w:hAnsi="MetaPro-Norm"/>
          <w:sz w:val="22"/>
          <w:szCs w:val="22"/>
        </w:rPr>
        <w:t xml:space="preserve">Moreover, </w:t>
      </w:r>
      <w:r w:rsidR="23B55EF7">
        <w:rPr>
          <w:rFonts w:ascii="MetaPro-Norm" w:hAnsi="MetaPro-Norm"/>
          <w:sz w:val="22"/>
          <w:szCs w:val="22"/>
        </w:rPr>
        <w:t>community and</w:t>
      </w:r>
      <w:r w:rsidRPr="00FF6DAA">
        <w:rPr>
          <w:rFonts w:ascii="MetaPro-Norm" w:hAnsi="MetaPro-Norm"/>
          <w:sz w:val="22"/>
          <w:szCs w:val="22"/>
        </w:rPr>
        <w:t xml:space="preserve"> societal pressure</w:t>
      </w:r>
      <w:r w:rsidR="7485A310" w:rsidRPr="00FF6DAA">
        <w:rPr>
          <w:rFonts w:ascii="MetaPro-Norm" w:hAnsi="MetaPro-Norm"/>
          <w:sz w:val="22"/>
          <w:szCs w:val="22"/>
        </w:rPr>
        <w:t>s</w:t>
      </w:r>
      <w:r w:rsidRPr="00FF6DAA">
        <w:rPr>
          <w:rFonts w:ascii="MetaPro-Norm" w:hAnsi="MetaPro-Norm"/>
          <w:sz w:val="22"/>
          <w:szCs w:val="22"/>
        </w:rPr>
        <w:t xml:space="preserve"> </w:t>
      </w:r>
      <w:r w:rsidR="7A49B1E1" w:rsidRPr="00FF6DAA">
        <w:rPr>
          <w:rFonts w:ascii="MetaPro-Norm" w:hAnsi="MetaPro-Norm"/>
          <w:sz w:val="22"/>
          <w:szCs w:val="22"/>
        </w:rPr>
        <w:t>push</w:t>
      </w:r>
      <w:r w:rsidRPr="00FF6DAA">
        <w:rPr>
          <w:rFonts w:ascii="MetaPro-Norm" w:hAnsi="MetaPro-Norm"/>
          <w:sz w:val="22"/>
          <w:szCs w:val="22"/>
        </w:rPr>
        <w:t xml:space="preserve"> women and girls to get pregnant soon after marriage. Many girls interviewed by Human Rights Watch </w:t>
      </w:r>
      <w:r>
        <w:rPr>
          <w:rFonts w:ascii="MetaPro-Norm" w:hAnsi="MetaPro-Norm"/>
          <w:sz w:val="22"/>
          <w:szCs w:val="22"/>
        </w:rPr>
        <w:t>in 201</w:t>
      </w:r>
      <w:r w:rsidR="00792D3C">
        <w:rPr>
          <w:rFonts w:ascii="MetaPro-Norm" w:hAnsi="MetaPro-Norm"/>
          <w:sz w:val="22"/>
          <w:szCs w:val="22"/>
        </w:rPr>
        <w:t>3</w:t>
      </w:r>
      <w:r>
        <w:rPr>
          <w:rFonts w:ascii="MetaPro-Norm" w:hAnsi="MetaPro-Norm"/>
          <w:sz w:val="22"/>
          <w:szCs w:val="22"/>
        </w:rPr>
        <w:t xml:space="preserve"> </w:t>
      </w:r>
      <w:r w:rsidRPr="00FF6DAA">
        <w:rPr>
          <w:rFonts w:ascii="MetaPro-Norm" w:hAnsi="MetaPro-Norm"/>
          <w:sz w:val="22"/>
          <w:szCs w:val="22"/>
        </w:rPr>
        <w:t>had poor knowledge of reproductive health and contraception use and lack</w:t>
      </w:r>
      <w:r w:rsidR="00C0765D">
        <w:rPr>
          <w:rFonts w:ascii="MetaPro-Norm" w:hAnsi="MetaPro-Norm"/>
          <w:sz w:val="22"/>
          <w:szCs w:val="22"/>
        </w:rPr>
        <w:t>ed</w:t>
      </w:r>
      <w:r w:rsidRPr="00FF6DAA">
        <w:rPr>
          <w:rFonts w:ascii="MetaPro-Norm" w:hAnsi="MetaPro-Norm"/>
          <w:sz w:val="22"/>
          <w:szCs w:val="22"/>
        </w:rPr>
        <w:t xml:space="preserve"> access to such information and services.</w:t>
      </w:r>
      <w:r w:rsidR="00746B48" w:rsidRPr="7FB91F82">
        <w:rPr>
          <w:rStyle w:val="FootnoteReference"/>
        </w:rPr>
        <w:footnoteReference w:id="10"/>
      </w:r>
    </w:p>
    <w:p w14:paraId="30E7F024" w14:textId="529A6E65" w:rsidR="00E12C4C" w:rsidRDefault="00203E09" w:rsidP="0085469F">
      <w:pPr>
        <w:pStyle w:val="Body"/>
        <w:rPr>
          <w:rFonts w:ascii="MetaPro-Norm" w:hAnsi="MetaPro-Norm"/>
          <w:sz w:val="22"/>
          <w:szCs w:val="22"/>
        </w:rPr>
      </w:pPr>
      <w:r w:rsidRPr="000C5B21">
        <w:rPr>
          <w:rFonts w:ascii="MetaPro-Norm" w:hAnsi="MetaPro-Norm"/>
          <w:sz w:val="22"/>
          <w:szCs w:val="22"/>
        </w:rPr>
        <w:t xml:space="preserve">Abortion in Malawi </w:t>
      </w:r>
      <w:r w:rsidR="00896297" w:rsidRPr="000C5B21">
        <w:rPr>
          <w:rFonts w:ascii="MetaPro-Norm" w:hAnsi="MetaPro-Norm"/>
          <w:sz w:val="22"/>
          <w:szCs w:val="22"/>
        </w:rPr>
        <w:t xml:space="preserve">is illegal and punishable </w:t>
      </w:r>
      <w:r w:rsidR="00A65FF3" w:rsidRPr="000C5B21">
        <w:rPr>
          <w:rFonts w:ascii="MetaPro-Norm" w:hAnsi="MetaPro-Norm"/>
          <w:sz w:val="22"/>
          <w:szCs w:val="22"/>
        </w:rPr>
        <w:t>by</w:t>
      </w:r>
      <w:r w:rsidR="00896297" w:rsidRPr="000C5B21">
        <w:rPr>
          <w:rFonts w:ascii="MetaPro-Norm" w:hAnsi="MetaPro-Norm"/>
          <w:sz w:val="22"/>
          <w:szCs w:val="22"/>
        </w:rPr>
        <w:t xml:space="preserve"> imprisonment</w:t>
      </w:r>
      <w:r w:rsidR="00CD3F15" w:rsidRPr="000C5B21">
        <w:rPr>
          <w:rFonts w:ascii="MetaPro-Norm" w:hAnsi="MetaPro-Norm"/>
          <w:sz w:val="22"/>
          <w:szCs w:val="22"/>
        </w:rPr>
        <w:t>,</w:t>
      </w:r>
      <w:r w:rsidR="00CD3F15" w:rsidRPr="000C5B21">
        <w:rPr>
          <w:rStyle w:val="FootnoteReference"/>
          <w:szCs w:val="22"/>
        </w:rPr>
        <w:footnoteReference w:id="11"/>
      </w:r>
      <w:r w:rsidR="00CD3F15" w:rsidRPr="000C5B21">
        <w:rPr>
          <w:rFonts w:ascii="MetaPro-Norm" w:hAnsi="MetaPro-Norm"/>
          <w:sz w:val="22"/>
          <w:szCs w:val="22"/>
        </w:rPr>
        <w:t xml:space="preserve"> </w:t>
      </w:r>
      <w:r w:rsidR="00A65FF3" w:rsidRPr="000C5B21">
        <w:rPr>
          <w:rFonts w:ascii="MetaPro-Norm" w:hAnsi="MetaPro-Norm"/>
          <w:sz w:val="22"/>
          <w:szCs w:val="22"/>
        </w:rPr>
        <w:t xml:space="preserve">unless surgical intervention is done in good faith </w:t>
      </w:r>
      <w:r w:rsidR="009801C1" w:rsidRPr="000C5B21">
        <w:rPr>
          <w:rFonts w:ascii="MetaPro-Norm" w:hAnsi="MetaPro-Norm"/>
          <w:sz w:val="22"/>
          <w:szCs w:val="22"/>
        </w:rPr>
        <w:t>for the</w:t>
      </w:r>
      <w:r w:rsidR="00A65FF3" w:rsidRPr="000C5B21">
        <w:rPr>
          <w:rFonts w:ascii="MetaPro-Norm" w:hAnsi="MetaPro-Norm"/>
          <w:sz w:val="22"/>
          <w:szCs w:val="22"/>
        </w:rPr>
        <w:t xml:space="preserve"> “preserv</w:t>
      </w:r>
      <w:r w:rsidR="009801C1" w:rsidRPr="000C5B21">
        <w:rPr>
          <w:rFonts w:ascii="MetaPro-Norm" w:hAnsi="MetaPro-Norm"/>
          <w:sz w:val="22"/>
          <w:szCs w:val="22"/>
        </w:rPr>
        <w:t>ation of the mother’s</w:t>
      </w:r>
      <w:r w:rsidR="00A65FF3" w:rsidRPr="000C5B21">
        <w:rPr>
          <w:rFonts w:ascii="MetaPro-Norm" w:hAnsi="MetaPro-Norm"/>
          <w:sz w:val="22"/>
          <w:szCs w:val="22"/>
        </w:rPr>
        <w:t xml:space="preserve"> life.”</w:t>
      </w:r>
      <w:r w:rsidR="00A65FF3" w:rsidRPr="000C5B21">
        <w:rPr>
          <w:rStyle w:val="FootnoteReference"/>
          <w:szCs w:val="22"/>
        </w:rPr>
        <w:footnoteReference w:id="12"/>
      </w:r>
      <w:r w:rsidR="00A65FF3" w:rsidRPr="000C5B21">
        <w:rPr>
          <w:rFonts w:ascii="MetaPro-Norm" w:hAnsi="MetaPro-Norm"/>
          <w:sz w:val="22"/>
          <w:szCs w:val="22"/>
        </w:rPr>
        <w:t xml:space="preserve"> </w:t>
      </w:r>
      <w:r w:rsidR="00B35356" w:rsidRPr="000C5B21">
        <w:rPr>
          <w:rFonts w:ascii="MetaPro-Norm" w:hAnsi="MetaPro-Norm"/>
          <w:sz w:val="22"/>
          <w:szCs w:val="22"/>
        </w:rPr>
        <w:t>Malawi was due to debate the Termination of Pregnancy Bill in Parliament</w:t>
      </w:r>
      <w:r w:rsidR="00F85E9C">
        <w:rPr>
          <w:rFonts w:ascii="MetaPro-Norm" w:hAnsi="MetaPro-Norm"/>
          <w:sz w:val="22"/>
          <w:szCs w:val="22"/>
        </w:rPr>
        <w:t xml:space="preserve"> in February 2021</w:t>
      </w:r>
      <w:r w:rsidR="00E96F83">
        <w:rPr>
          <w:rFonts w:ascii="MetaPro-Norm" w:hAnsi="MetaPro-Norm"/>
          <w:sz w:val="22"/>
          <w:szCs w:val="22"/>
        </w:rPr>
        <w:t xml:space="preserve">, but the </w:t>
      </w:r>
      <w:r w:rsidR="004C759C">
        <w:rPr>
          <w:rFonts w:ascii="MetaPro-Norm" w:hAnsi="MetaPro-Norm"/>
          <w:sz w:val="22"/>
          <w:szCs w:val="22"/>
        </w:rPr>
        <w:t>bill was tabled</w:t>
      </w:r>
      <w:r w:rsidR="004B4F6E" w:rsidRPr="000C5B21">
        <w:rPr>
          <w:rFonts w:ascii="MetaPro-Norm" w:hAnsi="MetaPro-Norm"/>
          <w:sz w:val="22"/>
          <w:szCs w:val="22"/>
        </w:rPr>
        <w:t>.</w:t>
      </w:r>
      <w:r w:rsidR="00ED3693" w:rsidRPr="000C5B21">
        <w:rPr>
          <w:rStyle w:val="FootnoteReference"/>
          <w:szCs w:val="22"/>
        </w:rPr>
        <w:footnoteReference w:id="13"/>
      </w:r>
    </w:p>
    <w:p w14:paraId="59E0281A" w14:textId="77777777" w:rsidR="00B35356" w:rsidRDefault="00B35356" w:rsidP="0085469F">
      <w:pPr>
        <w:pStyle w:val="Body"/>
        <w:rPr>
          <w:rFonts w:ascii="MetaPro-Norm" w:hAnsi="MetaPro-Norm"/>
          <w:sz w:val="22"/>
          <w:szCs w:val="22"/>
        </w:rPr>
      </w:pPr>
    </w:p>
    <w:p w14:paraId="6764B263" w14:textId="77777777" w:rsidR="000F06FD" w:rsidRPr="003B3CC2" w:rsidRDefault="000F06FD" w:rsidP="000F06FD">
      <w:pPr>
        <w:spacing w:after="0"/>
        <w:rPr>
          <w:rFonts w:ascii="MetaPro-Norm" w:hAnsi="MetaPro-Norm" w:cstheme="minorHAnsi"/>
          <w:i/>
          <w:iCs/>
        </w:rPr>
      </w:pPr>
      <w:r w:rsidRPr="003B3CC2">
        <w:rPr>
          <w:rFonts w:ascii="MetaPro-Norm" w:hAnsi="MetaPro-Norm" w:cstheme="minorHAnsi"/>
          <w:i/>
          <w:iCs/>
        </w:rPr>
        <w:t>Human Rights Watch encourages the Committee to:</w:t>
      </w:r>
    </w:p>
    <w:p w14:paraId="1E1F465E" w14:textId="4F55899F" w:rsidR="00630F08" w:rsidRPr="00B274C7" w:rsidRDefault="000F06FD" w:rsidP="00B274C7">
      <w:pPr>
        <w:pStyle w:val="ListParagraph"/>
        <w:numPr>
          <w:ilvl w:val="0"/>
          <w:numId w:val="3"/>
        </w:numPr>
        <w:spacing w:after="0"/>
        <w:rPr>
          <w:rFonts w:ascii="MetaPro-Norm" w:hAnsi="MetaPro-Norm" w:cstheme="minorHAnsi"/>
        </w:rPr>
      </w:pPr>
      <w:r w:rsidRPr="003B3CC2">
        <w:rPr>
          <w:rFonts w:ascii="MetaPro-Norm" w:hAnsi="MetaPro-Norm"/>
        </w:rPr>
        <w:t xml:space="preserve">Commend </w:t>
      </w:r>
      <w:r>
        <w:rPr>
          <w:rFonts w:ascii="MetaPro-Norm" w:hAnsi="MetaPro-Norm"/>
        </w:rPr>
        <w:t>Malawi</w:t>
      </w:r>
      <w:r w:rsidRPr="003B3CC2">
        <w:rPr>
          <w:rFonts w:ascii="MetaPro-Norm" w:hAnsi="MetaPro-Norm"/>
        </w:rPr>
        <w:t xml:space="preserve"> for </w:t>
      </w:r>
      <w:r w:rsidR="00630F08" w:rsidRPr="002F1B10">
        <w:rPr>
          <w:rFonts w:ascii="MetaPro-Norm" w:hAnsi="MetaPro-Norm"/>
        </w:rPr>
        <w:t>remov</w:t>
      </w:r>
      <w:r w:rsidR="00630F08">
        <w:rPr>
          <w:rFonts w:ascii="MetaPro-Norm" w:hAnsi="MetaPro-Norm"/>
        </w:rPr>
        <w:t>ing</w:t>
      </w:r>
      <w:r w:rsidR="00630F08" w:rsidRPr="002F1B10">
        <w:rPr>
          <w:rFonts w:ascii="MetaPro-Norm" w:hAnsi="MetaPro-Norm"/>
        </w:rPr>
        <w:t xml:space="preserve"> from its Constitution </w:t>
      </w:r>
      <w:r w:rsidR="00630F08">
        <w:rPr>
          <w:rFonts w:ascii="MetaPro-Norm" w:hAnsi="MetaPro-Norm"/>
        </w:rPr>
        <w:t>the</w:t>
      </w:r>
      <w:r w:rsidR="00630F08" w:rsidRPr="002F1B10">
        <w:rPr>
          <w:rFonts w:ascii="MetaPro-Norm" w:hAnsi="MetaPro-Norm"/>
        </w:rPr>
        <w:t xml:space="preserve"> provision allowing children between the ages of 15 and 18 to marry with parental consent</w:t>
      </w:r>
      <w:r w:rsidR="00630F08">
        <w:rPr>
          <w:rFonts w:ascii="MetaPro-Norm" w:hAnsi="MetaPro-Norm"/>
        </w:rPr>
        <w:t>.</w:t>
      </w:r>
    </w:p>
    <w:p w14:paraId="14ABB125" w14:textId="0FC1AEA2" w:rsidR="00153378" w:rsidRDefault="00153378" w:rsidP="00153378">
      <w:pPr>
        <w:spacing w:after="0"/>
        <w:rPr>
          <w:rFonts w:ascii="MetaPro-Norm" w:hAnsi="MetaPro-Norm" w:cstheme="minorHAnsi"/>
        </w:rPr>
      </w:pPr>
    </w:p>
    <w:p w14:paraId="145523BE" w14:textId="699A3909" w:rsidR="00153378" w:rsidRPr="007A54F8" w:rsidRDefault="007A54F8" w:rsidP="007A54F8">
      <w:pPr>
        <w:spacing w:after="0"/>
        <w:rPr>
          <w:rFonts w:ascii="MetaPro-Norm" w:hAnsi="MetaPro-Norm" w:cstheme="minorHAnsi"/>
          <w:i/>
          <w:iCs/>
        </w:rPr>
      </w:pPr>
      <w:r w:rsidRPr="003B3CC2">
        <w:rPr>
          <w:rFonts w:ascii="MetaPro-Norm" w:hAnsi="MetaPro-Norm" w:cstheme="minorHAnsi"/>
          <w:i/>
          <w:iCs/>
        </w:rPr>
        <w:t xml:space="preserve">Human Rights Watch also encourages the Committee to call on the government of </w:t>
      </w:r>
      <w:r>
        <w:rPr>
          <w:rFonts w:ascii="MetaPro-Norm" w:hAnsi="MetaPro-Norm" w:cstheme="minorHAnsi"/>
          <w:i/>
          <w:iCs/>
        </w:rPr>
        <w:t>Malawi</w:t>
      </w:r>
      <w:r w:rsidRPr="003B3CC2">
        <w:rPr>
          <w:rFonts w:ascii="MetaPro-Norm" w:hAnsi="MetaPro-Norm" w:cstheme="minorHAnsi"/>
          <w:i/>
          <w:iCs/>
        </w:rPr>
        <w:t xml:space="preserve"> to:</w:t>
      </w:r>
    </w:p>
    <w:p w14:paraId="094FB621" w14:textId="3EAAB139" w:rsidR="0039632E" w:rsidRDefault="007A54F8" w:rsidP="7FB91F82">
      <w:pPr>
        <w:pStyle w:val="ListParagraph"/>
        <w:numPr>
          <w:ilvl w:val="0"/>
          <w:numId w:val="3"/>
        </w:numPr>
        <w:spacing w:after="0"/>
        <w:rPr>
          <w:rFonts w:ascii="MetaPro-Norm" w:hAnsi="MetaPro-Norm"/>
        </w:rPr>
      </w:pPr>
      <w:r w:rsidRPr="7FB91F82">
        <w:rPr>
          <w:rFonts w:ascii="MetaPro-Norm" w:hAnsi="MetaPro-Norm"/>
        </w:rPr>
        <w:t>C</w:t>
      </w:r>
      <w:r w:rsidR="00C25847">
        <w:rPr>
          <w:rFonts w:ascii="MetaPro-Norm" w:hAnsi="MetaPro-Norm"/>
        </w:rPr>
        <w:t xml:space="preserve">ontinue </w:t>
      </w:r>
      <w:r w:rsidR="0039632E" w:rsidRPr="7FB91F82">
        <w:rPr>
          <w:rFonts w:ascii="MetaPro-Norm" w:hAnsi="MetaPro-Norm"/>
        </w:rPr>
        <w:t>to combat child marriage</w:t>
      </w:r>
      <w:r w:rsidR="00503F46">
        <w:rPr>
          <w:rFonts w:ascii="MetaPro-Norm" w:hAnsi="MetaPro-Norm"/>
        </w:rPr>
        <w:t xml:space="preserve"> through national strategies</w:t>
      </w:r>
      <w:r w:rsidR="0039632E" w:rsidRPr="7FB91F82">
        <w:rPr>
          <w:rFonts w:ascii="MetaPro-Norm" w:hAnsi="MetaPro-Norm"/>
        </w:rPr>
        <w:t xml:space="preserve">, with input from women’s and children’s rights groups, health professionals, and other service providers; </w:t>
      </w:r>
      <w:r w:rsidR="00451E91">
        <w:rPr>
          <w:rFonts w:ascii="MetaPro-Norm" w:hAnsi="MetaPro-Norm"/>
        </w:rPr>
        <w:t xml:space="preserve">and </w:t>
      </w:r>
      <w:r w:rsidR="0039632E" w:rsidRPr="7FB91F82">
        <w:rPr>
          <w:rFonts w:ascii="MetaPro-Norm" w:hAnsi="MetaPro-Norm"/>
        </w:rPr>
        <w:t>coordinate efforts among all relevant ministries.</w:t>
      </w:r>
    </w:p>
    <w:p w14:paraId="0CC3E6AE" w14:textId="77777777" w:rsidR="0076725C" w:rsidRPr="003B3CC2" w:rsidRDefault="0076725C" w:rsidP="0076725C">
      <w:pPr>
        <w:pStyle w:val="ListParagraph"/>
        <w:numPr>
          <w:ilvl w:val="0"/>
          <w:numId w:val="3"/>
        </w:numPr>
        <w:spacing w:after="0"/>
        <w:rPr>
          <w:rFonts w:ascii="MetaPro-Norm" w:hAnsi="MetaPro-Norm" w:cstheme="minorHAnsi"/>
        </w:rPr>
      </w:pPr>
      <w:r w:rsidRPr="003B3CC2">
        <w:rPr>
          <w:rFonts w:ascii="MetaPro-Norm" w:hAnsi="MetaPro-Norm"/>
        </w:rPr>
        <w:t>Address social, financial, and systemic barriers that inhibit adolescent mothers from continuing their education.</w:t>
      </w:r>
    </w:p>
    <w:p w14:paraId="6A813167" w14:textId="41B3A918" w:rsidR="0076725C" w:rsidRPr="003B3CC2" w:rsidRDefault="4FD4ACE7" w:rsidP="5B02E693">
      <w:pPr>
        <w:pStyle w:val="ListParagraph"/>
        <w:numPr>
          <w:ilvl w:val="0"/>
          <w:numId w:val="3"/>
        </w:numPr>
        <w:spacing w:after="0"/>
        <w:rPr>
          <w:rFonts w:ascii="MetaPro-Norm" w:hAnsi="MetaPro-Norm"/>
        </w:rPr>
      </w:pPr>
      <w:r w:rsidRPr="5B02E693">
        <w:rPr>
          <w:rFonts w:ascii="MetaPro-Norm" w:hAnsi="MetaPro-Norm"/>
        </w:rPr>
        <w:lastRenderedPageBreak/>
        <w:t xml:space="preserve">Adopt a continuation policy </w:t>
      </w:r>
      <w:r w:rsidR="41D6B08A" w:rsidRPr="5B02E693">
        <w:rPr>
          <w:rFonts w:ascii="MetaPro-Norm" w:hAnsi="MetaPro-Norm"/>
        </w:rPr>
        <w:t xml:space="preserve">that allows </w:t>
      </w:r>
      <w:r w:rsidR="0076725C" w:rsidRPr="5B02E693">
        <w:rPr>
          <w:rFonts w:ascii="MetaPro-Norm" w:hAnsi="MetaPro-Norm"/>
        </w:rPr>
        <w:t xml:space="preserve">students who are pregnant, mothers, and/or married </w:t>
      </w:r>
      <w:r w:rsidR="31599133" w:rsidRPr="5B02E693">
        <w:rPr>
          <w:rFonts w:ascii="MetaPro-Norm" w:hAnsi="MetaPro-Norm"/>
        </w:rPr>
        <w:t xml:space="preserve">to </w:t>
      </w:r>
      <w:r w:rsidR="0076725C" w:rsidRPr="5B02E693">
        <w:rPr>
          <w:rFonts w:ascii="MetaPro-Norm" w:hAnsi="MetaPro-Norm"/>
        </w:rPr>
        <w:t xml:space="preserve">continue their education </w:t>
      </w:r>
      <w:r w:rsidR="0D5BFA1D" w:rsidRPr="5B02E693">
        <w:rPr>
          <w:rFonts w:ascii="MetaPro-Norm" w:hAnsi="MetaPro-Norm"/>
        </w:rPr>
        <w:t xml:space="preserve">while pregnant and </w:t>
      </w:r>
      <w:r w:rsidR="0076725C" w:rsidRPr="5B02E693">
        <w:rPr>
          <w:rFonts w:ascii="MetaPro-Norm" w:hAnsi="MetaPro-Norm"/>
        </w:rPr>
        <w:t>after giving birth</w:t>
      </w:r>
      <w:r w:rsidR="00A1741D">
        <w:rPr>
          <w:rFonts w:ascii="MetaPro-Norm" w:hAnsi="MetaPro-Norm"/>
        </w:rPr>
        <w:t>.</w:t>
      </w:r>
    </w:p>
    <w:p w14:paraId="52754DCB" w14:textId="1EEFD4D1" w:rsidR="0076725C" w:rsidRPr="003B3CC2" w:rsidRDefault="2F271F80" w:rsidP="5B02E693">
      <w:pPr>
        <w:pStyle w:val="ListParagraph"/>
        <w:numPr>
          <w:ilvl w:val="0"/>
          <w:numId w:val="3"/>
        </w:numPr>
        <w:spacing w:after="0"/>
        <w:rPr>
          <w:rFonts w:ascii="MetaPro-Norm" w:hAnsi="MetaPro-Norm"/>
        </w:rPr>
      </w:pPr>
      <w:r w:rsidRPr="5B02E693">
        <w:rPr>
          <w:rFonts w:ascii="MetaPro-Norm" w:hAnsi="MetaPro-Norm"/>
        </w:rPr>
        <w:t>Take steps to e</w:t>
      </w:r>
      <w:r w:rsidR="0076725C" w:rsidRPr="5B02E693">
        <w:rPr>
          <w:rFonts w:ascii="MetaPro-Norm" w:hAnsi="MetaPro-Norm"/>
        </w:rPr>
        <w:t>nsure that schools are free from stigma and discrimination.</w:t>
      </w:r>
    </w:p>
    <w:p w14:paraId="79364181" w14:textId="06BEFAEE" w:rsidR="0076725C" w:rsidRDefault="0076725C" w:rsidP="7FB91F82">
      <w:pPr>
        <w:pStyle w:val="ListParagraph"/>
        <w:numPr>
          <w:ilvl w:val="0"/>
          <w:numId w:val="3"/>
        </w:numPr>
        <w:spacing w:after="0"/>
        <w:rPr>
          <w:rFonts w:ascii="MetaPro-Norm" w:hAnsi="MetaPro-Norm"/>
        </w:rPr>
      </w:pPr>
      <w:r w:rsidRPr="7D37B11C">
        <w:rPr>
          <w:rFonts w:ascii="MetaPro-Norm" w:hAnsi="MetaPro-Norm"/>
        </w:rPr>
        <w:t>Ensure that adolescents have confidential access to modern forms of contraceptives</w:t>
      </w:r>
      <w:r w:rsidR="00A42AD5">
        <w:rPr>
          <w:rFonts w:ascii="MetaPro-Norm" w:hAnsi="MetaPro-Norm"/>
        </w:rPr>
        <w:t xml:space="preserve"> </w:t>
      </w:r>
      <w:r w:rsidRPr="7D37B11C">
        <w:rPr>
          <w:rFonts w:ascii="MetaPro-Norm" w:hAnsi="MetaPro-Norm"/>
        </w:rPr>
        <w:t>and information on sexual and reproductive health rights, including through comprehensive sexuality education.</w:t>
      </w:r>
    </w:p>
    <w:p w14:paraId="06CB97F3" w14:textId="32C9BE32" w:rsidR="004C7630" w:rsidRPr="000C5B21" w:rsidRDefault="004C7630" w:rsidP="7FB91F82">
      <w:pPr>
        <w:pStyle w:val="ListParagraph"/>
        <w:numPr>
          <w:ilvl w:val="0"/>
          <w:numId w:val="3"/>
        </w:numPr>
        <w:spacing w:after="0"/>
        <w:rPr>
          <w:rFonts w:ascii="MetaPro-Norm" w:hAnsi="MetaPro-Norm"/>
        </w:rPr>
      </w:pPr>
      <w:r w:rsidRPr="000C5B21">
        <w:rPr>
          <w:rFonts w:ascii="MetaPro-Norm" w:hAnsi="MetaPro-Norm"/>
        </w:rPr>
        <w:t>Resubmit the Termination of Pregnancy Bill for debate in parliament</w:t>
      </w:r>
      <w:r w:rsidR="00A42AD5" w:rsidRPr="000C5B21">
        <w:rPr>
          <w:rFonts w:ascii="MetaPro-Norm" w:hAnsi="MetaPro-Norm"/>
        </w:rPr>
        <w:t xml:space="preserve"> a</w:t>
      </w:r>
      <w:r w:rsidRPr="000C5B21">
        <w:rPr>
          <w:rFonts w:ascii="MetaPro-Norm" w:hAnsi="MetaPro-Norm"/>
        </w:rPr>
        <w:t>nd carry out public awareness campaigns on the dangers of unsafe abortions</w:t>
      </w:r>
      <w:r w:rsidR="00A42AD5" w:rsidRPr="000C5B21">
        <w:rPr>
          <w:rFonts w:ascii="MetaPro-Norm" w:hAnsi="MetaPro-Norm"/>
        </w:rPr>
        <w:t>.</w:t>
      </w:r>
    </w:p>
    <w:p w14:paraId="5A2306AC" w14:textId="77777777" w:rsidR="0076725C" w:rsidRPr="00700BF6" w:rsidRDefault="0076725C" w:rsidP="00700BF6">
      <w:pPr>
        <w:spacing w:after="0"/>
        <w:rPr>
          <w:rFonts w:ascii="MetaPro-Norm" w:hAnsi="MetaPro-Norm" w:cstheme="minorHAnsi"/>
        </w:rPr>
      </w:pPr>
    </w:p>
    <w:p w14:paraId="17D4438D" w14:textId="6C44A8BB" w:rsidR="00E1419F" w:rsidRPr="00AE5E25" w:rsidRDefault="00154097" w:rsidP="00AE5E25">
      <w:pPr>
        <w:pStyle w:val="Body"/>
        <w:rPr>
          <w:rFonts w:ascii="MetaPro-Norm" w:hAnsi="MetaPro-Norm"/>
          <w:b/>
          <w:bCs/>
          <w:sz w:val="22"/>
          <w:szCs w:val="22"/>
        </w:rPr>
      </w:pPr>
      <w:r w:rsidRPr="00353BCB">
        <w:rPr>
          <w:rFonts w:ascii="MetaPro-Norm" w:hAnsi="MetaPro-Norm"/>
          <w:b/>
          <w:sz w:val="22"/>
          <w:szCs w:val="22"/>
        </w:rPr>
        <w:t xml:space="preserve">Government-Endorsed Online Learning </w:t>
      </w:r>
      <w:r w:rsidR="00004DDA">
        <w:rPr>
          <w:rFonts w:ascii="MetaPro-Norm" w:hAnsi="MetaPro-Norm"/>
          <w:b/>
          <w:sz w:val="22"/>
          <w:szCs w:val="22"/>
        </w:rPr>
        <w:t>d</w:t>
      </w:r>
      <w:r w:rsidRPr="00353BCB">
        <w:rPr>
          <w:rFonts w:ascii="MetaPro-Norm" w:hAnsi="MetaPro-Norm"/>
          <w:b/>
          <w:sz w:val="22"/>
          <w:szCs w:val="22"/>
        </w:rPr>
        <w:t>uring the Covid-19 Pandemic</w:t>
      </w:r>
      <w:r w:rsidR="00D127F9" w:rsidRPr="00353BCB">
        <w:rPr>
          <w:rFonts w:ascii="MetaPro-Norm" w:hAnsi="MetaPro-Norm"/>
          <w:b/>
          <w:sz w:val="22"/>
          <w:szCs w:val="22"/>
        </w:rPr>
        <w:t xml:space="preserve"> (article 13</w:t>
      </w:r>
      <w:r w:rsidR="00060DE8" w:rsidRPr="00353BCB">
        <w:rPr>
          <w:rFonts w:ascii="MetaPro-Norm" w:hAnsi="MetaPro-Norm"/>
          <w:b/>
          <w:sz w:val="22"/>
          <w:szCs w:val="22"/>
        </w:rPr>
        <w:t>)</w:t>
      </w:r>
    </w:p>
    <w:p w14:paraId="638DA942" w14:textId="66E2C84B" w:rsidR="00E1419F" w:rsidRDefault="00F14F7F" w:rsidP="00453F8D">
      <w:pPr>
        <w:pStyle w:val="Body"/>
        <w:rPr>
          <w:rFonts w:ascii="MetaPro-Norm" w:hAnsi="MetaPro-Norm"/>
          <w:sz w:val="22"/>
          <w:szCs w:val="22"/>
        </w:rPr>
      </w:pPr>
      <w:r>
        <w:rPr>
          <w:rFonts w:ascii="MetaPro-Norm" w:hAnsi="MetaPro-Norm"/>
          <w:sz w:val="22"/>
          <w:szCs w:val="22"/>
        </w:rPr>
        <w:t xml:space="preserve">In a global investigation of education technology (EdTech) products endorsed by the world’s most populous countries for children’s education during the pandemic, </w:t>
      </w:r>
      <w:r w:rsidR="00C10A86">
        <w:rPr>
          <w:rFonts w:ascii="MetaPro-Norm" w:hAnsi="MetaPro-Norm"/>
          <w:sz w:val="22"/>
          <w:szCs w:val="22"/>
        </w:rPr>
        <w:t xml:space="preserve">Human Rights Watch found </w:t>
      </w:r>
      <w:r w:rsidR="00663263">
        <w:rPr>
          <w:rFonts w:ascii="MetaPro-Norm" w:hAnsi="MetaPro-Norm"/>
          <w:sz w:val="22"/>
          <w:szCs w:val="22"/>
        </w:rPr>
        <w:t xml:space="preserve">that the Malawian government </w:t>
      </w:r>
      <w:r w:rsidR="00C31C76">
        <w:rPr>
          <w:rFonts w:ascii="MetaPro-Norm" w:hAnsi="MetaPro-Norm"/>
          <w:sz w:val="22"/>
          <w:szCs w:val="22"/>
        </w:rPr>
        <w:t xml:space="preserve">violated </w:t>
      </w:r>
      <w:r w:rsidR="00563BDE">
        <w:rPr>
          <w:rFonts w:ascii="MetaPro-Norm" w:hAnsi="MetaPro-Norm"/>
          <w:sz w:val="22"/>
          <w:szCs w:val="22"/>
        </w:rPr>
        <w:t xml:space="preserve">children’s </w:t>
      </w:r>
      <w:r w:rsidR="00F04012">
        <w:rPr>
          <w:rFonts w:ascii="MetaPro-Norm" w:hAnsi="MetaPro-Norm"/>
          <w:sz w:val="22"/>
          <w:szCs w:val="22"/>
        </w:rPr>
        <w:t>right to privacy and other rights.</w:t>
      </w:r>
      <w:r w:rsidR="00420D1F">
        <w:rPr>
          <w:rStyle w:val="FootnoteReference"/>
          <w:szCs w:val="22"/>
        </w:rPr>
        <w:footnoteReference w:id="14"/>
      </w:r>
    </w:p>
    <w:p w14:paraId="0ADAB0F6" w14:textId="77777777" w:rsidR="002D6686" w:rsidRDefault="002D6686" w:rsidP="00453F8D">
      <w:pPr>
        <w:pStyle w:val="Body"/>
        <w:rPr>
          <w:rFonts w:ascii="MetaPro-Norm" w:hAnsi="MetaPro-Norm"/>
          <w:sz w:val="22"/>
          <w:szCs w:val="22"/>
        </w:rPr>
      </w:pPr>
    </w:p>
    <w:p w14:paraId="3A3FA738" w14:textId="4F872465" w:rsidR="008B1003" w:rsidRDefault="002D6686" w:rsidP="00453F8D">
      <w:pPr>
        <w:pStyle w:val="Body"/>
        <w:rPr>
          <w:rFonts w:ascii="MetaPro-Norm" w:hAnsi="MetaPro-Norm"/>
          <w:sz w:val="22"/>
          <w:szCs w:val="22"/>
        </w:rPr>
      </w:pPr>
      <w:r>
        <w:rPr>
          <w:rFonts w:ascii="MetaPro-Norm" w:hAnsi="MetaPro-Norm"/>
          <w:sz w:val="22"/>
          <w:szCs w:val="22"/>
        </w:rPr>
        <w:t xml:space="preserve">Human Rights Watch </w:t>
      </w:r>
      <w:r w:rsidR="003C4FFB">
        <w:rPr>
          <w:rFonts w:ascii="MetaPro-Norm" w:hAnsi="MetaPro-Norm"/>
          <w:sz w:val="22"/>
          <w:szCs w:val="22"/>
        </w:rPr>
        <w:t xml:space="preserve">analyzed </w:t>
      </w:r>
      <w:proofErr w:type="spellStart"/>
      <w:r w:rsidR="003C4FFB">
        <w:rPr>
          <w:rFonts w:ascii="MetaPro-Norm" w:hAnsi="MetaPro-Norm"/>
          <w:sz w:val="22"/>
          <w:szCs w:val="22"/>
        </w:rPr>
        <w:t>Notesmaster</w:t>
      </w:r>
      <w:proofErr w:type="spellEnd"/>
      <w:r w:rsidR="00607489">
        <w:rPr>
          <w:rFonts w:ascii="MetaPro-Norm" w:hAnsi="MetaPro-Norm"/>
          <w:sz w:val="22"/>
          <w:szCs w:val="22"/>
        </w:rPr>
        <w:t xml:space="preserve">, an EdTech website that was </w:t>
      </w:r>
      <w:r w:rsidR="00CE74EC">
        <w:rPr>
          <w:rFonts w:ascii="MetaPro-Norm" w:hAnsi="MetaPro-Norm"/>
          <w:sz w:val="22"/>
          <w:szCs w:val="22"/>
        </w:rPr>
        <w:t xml:space="preserve">used </w:t>
      </w:r>
      <w:r w:rsidR="008B1003">
        <w:rPr>
          <w:rFonts w:ascii="MetaPro-Norm" w:hAnsi="MetaPro-Norm"/>
          <w:sz w:val="22"/>
          <w:szCs w:val="22"/>
        </w:rPr>
        <w:t xml:space="preserve">by </w:t>
      </w:r>
      <w:r w:rsidR="00004DDA">
        <w:rPr>
          <w:rFonts w:ascii="MetaPro-Norm" w:hAnsi="MetaPro-Norm"/>
          <w:sz w:val="22"/>
          <w:szCs w:val="22"/>
        </w:rPr>
        <w:t>Malawi’s</w:t>
      </w:r>
      <w:r w:rsidR="008B1003">
        <w:rPr>
          <w:rFonts w:ascii="MetaPro-Norm" w:hAnsi="MetaPro-Norm"/>
          <w:sz w:val="22"/>
          <w:szCs w:val="22"/>
        </w:rPr>
        <w:t xml:space="preserve"> </w:t>
      </w:r>
      <w:r w:rsidR="00004DDA">
        <w:rPr>
          <w:rFonts w:ascii="MetaPro-Norm" w:hAnsi="MetaPro-Norm"/>
          <w:sz w:val="22"/>
          <w:szCs w:val="22"/>
        </w:rPr>
        <w:t>E</w:t>
      </w:r>
      <w:r w:rsidR="008B1003">
        <w:rPr>
          <w:rFonts w:ascii="MetaPro-Norm" w:hAnsi="MetaPro-Norm"/>
          <w:sz w:val="22"/>
          <w:szCs w:val="22"/>
        </w:rPr>
        <w:t xml:space="preserve">ducation </w:t>
      </w:r>
      <w:r w:rsidR="00004DDA">
        <w:rPr>
          <w:rFonts w:ascii="MetaPro-Norm" w:hAnsi="MetaPro-Norm"/>
          <w:sz w:val="22"/>
          <w:szCs w:val="22"/>
        </w:rPr>
        <w:t>M</w:t>
      </w:r>
      <w:r w:rsidR="008B1003">
        <w:rPr>
          <w:rFonts w:ascii="MetaPro-Norm" w:hAnsi="MetaPro-Norm"/>
          <w:sz w:val="22"/>
          <w:szCs w:val="22"/>
        </w:rPr>
        <w:t xml:space="preserve">inistry </w:t>
      </w:r>
      <w:r w:rsidR="00CE74EC">
        <w:rPr>
          <w:rFonts w:ascii="MetaPro-Norm" w:hAnsi="MetaPro-Norm"/>
          <w:sz w:val="22"/>
          <w:szCs w:val="22"/>
        </w:rPr>
        <w:t>as its primary means of delivering online education to secondary school students</w:t>
      </w:r>
      <w:r w:rsidR="009A3AC5">
        <w:rPr>
          <w:rFonts w:ascii="MetaPro-Norm" w:hAnsi="MetaPro-Norm"/>
          <w:sz w:val="22"/>
          <w:szCs w:val="22"/>
        </w:rPr>
        <w:t xml:space="preserve"> during the pandemic</w:t>
      </w:r>
      <w:r w:rsidR="00CE74EC">
        <w:rPr>
          <w:rFonts w:ascii="MetaPro-Norm" w:hAnsi="MetaPro-Norm"/>
          <w:sz w:val="22"/>
          <w:szCs w:val="22"/>
        </w:rPr>
        <w:t xml:space="preserve">. </w:t>
      </w:r>
      <w:r w:rsidR="002A47E1">
        <w:rPr>
          <w:rFonts w:ascii="MetaPro-Norm" w:hAnsi="MetaPro-Norm"/>
          <w:sz w:val="22"/>
          <w:szCs w:val="22"/>
        </w:rPr>
        <w:t xml:space="preserve">The website was developed in partnership with </w:t>
      </w:r>
      <w:proofErr w:type="spellStart"/>
      <w:r w:rsidR="002A47E1">
        <w:rPr>
          <w:rFonts w:ascii="MetaPro-Norm" w:hAnsi="MetaPro-Norm"/>
          <w:sz w:val="22"/>
          <w:szCs w:val="22"/>
        </w:rPr>
        <w:t>Notesmaster</w:t>
      </w:r>
      <w:proofErr w:type="spellEnd"/>
      <w:r w:rsidR="002A47E1">
        <w:rPr>
          <w:rFonts w:ascii="MetaPro-Norm" w:hAnsi="MetaPro-Norm"/>
          <w:sz w:val="22"/>
          <w:szCs w:val="22"/>
        </w:rPr>
        <w:t>, its parent company of the same name</w:t>
      </w:r>
      <w:r w:rsidR="0016084C">
        <w:rPr>
          <w:rFonts w:ascii="MetaPro-Norm" w:hAnsi="MetaPro-Norm"/>
          <w:sz w:val="22"/>
          <w:szCs w:val="22"/>
        </w:rPr>
        <w:t xml:space="preserve">. </w:t>
      </w:r>
      <w:r w:rsidR="00C106D5">
        <w:rPr>
          <w:rFonts w:ascii="MetaPro-Norm" w:hAnsi="MetaPro-Norm"/>
          <w:sz w:val="22"/>
          <w:szCs w:val="22"/>
        </w:rPr>
        <w:t xml:space="preserve">As most Malawian children were not likely to have access to </w:t>
      </w:r>
      <w:r w:rsidR="00F70BAE">
        <w:rPr>
          <w:rFonts w:ascii="MetaPro-Norm" w:hAnsi="MetaPro-Norm"/>
          <w:sz w:val="22"/>
          <w:szCs w:val="22"/>
        </w:rPr>
        <w:t xml:space="preserve">affordable, reliable </w:t>
      </w:r>
      <w:r w:rsidR="00C106D5">
        <w:rPr>
          <w:rFonts w:ascii="MetaPro-Norm" w:hAnsi="MetaPro-Norm"/>
          <w:sz w:val="22"/>
          <w:szCs w:val="22"/>
        </w:rPr>
        <w:t>internet</w:t>
      </w:r>
      <w:r w:rsidR="001766D2">
        <w:rPr>
          <w:rFonts w:ascii="MetaPro-Norm" w:hAnsi="MetaPro-Norm"/>
          <w:sz w:val="22"/>
          <w:szCs w:val="22"/>
        </w:rPr>
        <w:t>,</w:t>
      </w:r>
      <w:r w:rsidR="004E3CA0">
        <w:rPr>
          <w:rStyle w:val="FootnoteReference"/>
          <w:szCs w:val="22"/>
        </w:rPr>
        <w:footnoteReference w:id="15"/>
      </w:r>
      <w:r w:rsidR="001766D2">
        <w:rPr>
          <w:rFonts w:ascii="MetaPro-Norm" w:hAnsi="MetaPro-Norm"/>
          <w:sz w:val="22"/>
          <w:szCs w:val="22"/>
        </w:rPr>
        <w:t xml:space="preserve"> </w:t>
      </w:r>
      <w:r w:rsidR="009A4BDB">
        <w:rPr>
          <w:rFonts w:ascii="MetaPro-Norm" w:hAnsi="MetaPro-Norm"/>
          <w:sz w:val="22"/>
          <w:szCs w:val="22"/>
        </w:rPr>
        <w:t xml:space="preserve">access to the website was provided </w:t>
      </w:r>
      <w:r w:rsidR="004562C1">
        <w:rPr>
          <w:rFonts w:ascii="MetaPro-Norm" w:hAnsi="MetaPro-Norm"/>
          <w:sz w:val="22"/>
          <w:szCs w:val="22"/>
        </w:rPr>
        <w:t xml:space="preserve">to students </w:t>
      </w:r>
      <w:r w:rsidR="009A4BDB">
        <w:rPr>
          <w:rFonts w:ascii="MetaPro-Norm" w:hAnsi="MetaPro-Norm"/>
          <w:sz w:val="22"/>
          <w:szCs w:val="22"/>
        </w:rPr>
        <w:t xml:space="preserve">at no cost through a partnership with Telekom Networks Malawi, </w:t>
      </w:r>
      <w:r w:rsidR="003F4874">
        <w:rPr>
          <w:rFonts w:ascii="MetaPro-Norm" w:hAnsi="MetaPro-Norm"/>
          <w:sz w:val="22"/>
          <w:szCs w:val="22"/>
        </w:rPr>
        <w:t>a</w:t>
      </w:r>
      <w:r w:rsidR="005C500B">
        <w:rPr>
          <w:rFonts w:ascii="MetaPro-Norm" w:hAnsi="MetaPro-Norm"/>
          <w:sz w:val="22"/>
          <w:szCs w:val="22"/>
        </w:rPr>
        <w:t xml:space="preserve"> major</w:t>
      </w:r>
      <w:r w:rsidR="003F4874">
        <w:rPr>
          <w:rFonts w:ascii="MetaPro-Norm" w:hAnsi="MetaPro-Norm"/>
          <w:sz w:val="22"/>
          <w:szCs w:val="22"/>
        </w:rPr>
        <w:t xml:space="preserve"> telecommunications provider</w:t>
      </w:r>
      <w:r w:rsidR="00730806">
        <w:rPr>
          <w:rFonts w:ascii="MetaPro-Norm" w:hAnsi="MetaPro-Norm"/>
          <w:sz w:val="22"/>
          <w:szCs w:val="22"/>
        </w:rPr>
        <w:t xml:space="preserve"> in the country</w:t>
      </w:r>
      <w:r w:rsidR="003F4874">
        <w:rPr>
          <w:rFonts w:ascii="MetaPro-Norm" w:hAnsi="MetaPro-Norm"/>
          <w:sz w:val="22"/>
          <w:szCs w:val="22"/>
        </w:rPr>
        <w:t>.</w:t>
      </w:r>
      <w:r w:rsidR="00086E80">
        <w:rPr>
          <w:rStyle w:val="FootnoteReference"/>
          <w:szCs w:val="22"/>
        </w:rPr>
        <w:footnoteReference w:id="16"/>
      </w:r>
    </w:p>
    <w:p w14:paraId="6EE1380A" w14:textId="77777777" w:rsidR="00D22DFC" w:rsidRDefault="00D22DFC" w:rsidP="00453F8D">
      <w:pPr>
        <w:pStyle w:val="Body"/>
        <w:rPr>
          <w:rFonts w:ascii="MetaPro-Norm" w:hAnsi="MetaPro-Norm"/>
          <w:sz w:val="22"/>
          <w:szCs w:val="22"/>
        </w:rPr>
      </w:pPr>
    </w:p>
    <w:p w14:paraId="32302183" w14:textId="0C53A4F9" w:rsidR="00C56306" w:rsidRDefault="00D22DFC" w:rsidP="00453F8D">
      <w:pPr>
        <w:pStyle w:val="Body"/>
        <w:rPr>
          <w:rFonts w:ascii="MetaPro-Norm" w:hAnsi="MetaPro-Norm"/>
          <w:sz w:val="22"/>
          <w:szCs w:val="22"/>
        </w:rPr>
      </w:pPr>
      <w:proofErr w:type="spellStart"/>
      <w:r>
        <w:rPr>
          <w:rFonts w:ascii="MetaPro-Norm" w:hAnsi="MetaPro-Norm"/>
          <w:sz w:val="22"/>
          <w:szCs w:val="22"/>
        </w:rPr>
        <w:t>Notesmaster</w:t>
      </w:r>
      <w:proofErr w:type="spellEnd"/>
      <w:r>
        <w:rPr>
          <w:rFonts w:ascii="MetaPro-Norm" w:hAnsi="MetaPro-Norm"/>
          <w:sz w:val="22"/>
          <w:szCs w:val="22"/>
        </w:rPr>
        <w:t xml:space="preserve"> </w:t>
      </w:r>
      <w:r w:rsidR="00457E8A">
        <w:rPr>
          <w:rFonts w:ascii="MetaPro-Norm" w:hAnsi="MetaPro-Norm"/>
          <w:sz w:val="22"/>
          <w:szCs w:val="22"/>
        </w:rPr>
        <w:t xml:space="preserve">was found surveilling children </w:t>
      </w:r>
      <w:r w:rsidR="00151F79">
        <w:rPr>
          <w:rFonts w:ascii="MetaPro-Norm" w:hAnsi="MetaPro-Norm"/>
          <w:sz w:val="22"/>
          <w:szCs w:val="22"/>
        </w:rPr>
        <w:t xml:space="preserve">not only within its online learning platform, but also tracking them across the internet, </w:t>
      </w:r>
      <w:r w:rsidR="00457E8A">
        <w:rPr>
          <w:rFonts w:ascii="MetaPro-Norm" w:hAnsi="MetaPro-Norm"/>
          <w:sz w:val="22"/>
          <w:szCs w:val="22"/>
        </w:rPr>
        <w:t xml:space="preserve">outside </w:t>
      </w:r>
      <w:r w:rsidR="00151F79">
        <w:rPr>
          <w:rFonts w:ascii="MetaPro-Norm" w:hAnsi="MetaPro-Norm"/>
          <w:sz w:val="22"/>
          <w:szCs w:val="22"/>
        </w:rPr>
        <w:t xml:space="preserve">of </w:t>
      </w:r>
      <w:r w:rsidR="00457E8A">
        <w:rPr>
          <w:rFonts w:ascii="MetaPro-Norm" w:hAnsi="MetaPro-Norm"/>
          <w:sz w:val="22"/>
          <w:szCs w:val="22"/>
        </w:rPr>
        <w:t>school hours, and deep into their private lives.</w:t>
      </w:r>
      <w:r w:rsidR="00637F3E">
        <w:rPr>
          <w:rStyle w:val="FootnoteReference"/>
          <w:szCs w:val="22"/>
        </w:rPr>
        <w:footnoteReference w:id="17"/>
      </w:r>
      <w:r w:rsidR="00637F3E">
        <w:rPr>
          <w:rFonts w:ascii="MetaPro-Norm" w:hAnsi="MetaPro-Norm"/>
          <w:sz w:val="22"/>
          <w:szCs w:val="22"/>
        </w:rPr>
        <w:t xml:space="preserve"> </w:t>
      </w:r>
      <w:r w:rsidR="004869DA">
        <w:rPr>
          <w:rFonts w:ascii="MetaPro-Norm" w:hAnsi="MetaPro-Norm"/>
          <w:sz w:val="22"/>
          <w:szCs w:val="22"/>
        </w:rPr>
        <w:t xml:space="preserve">Human Rights Watch observed 14 ad trackers </w:t>
      </w:r>
      <w:r w:rsidR="0060606F">
        <w:rPr>
          <w:rFonts w:ascii="MetaPro-Norm" w:hAnsi="MetaPro-Norm"/>
          <w:sz w:val="22"/>
          <w:szCs w:val="22"/>
        </w:rPr>
        <w:t xml:space="preserve">and 15 third-party cookies </w:t>
      </w:r>
      <w:r w:rsidR="00C73E8F">
        <w:rPr>
          <w:rFonts w:ascii="MetaPro-Norm" w:hAnsi="MetaPro-Norm"/>
          <w:sz w:val="22"/>
          <w:szCs w:val="22"/>
        </w:rPr>
        <w:t xml:space="preserve">sending children’s data to </w:t>
      </w:r>
      <w:r w:rsidR="0060606F">
        <w:rPr>
          <w:rFonts w:ascii="MetaPro-Norm" w:hAnsi="MetaPro-Norm"/>
          <w:sz w:val="22"/>
          <w:szCs w:val="22"/>
        </w:rPr>
        <w:t xml:space="preserve">a combined </w:t>
      </w:r>
      <w:r w:rsidR="001A3785">
        <w:rPr>
          <w:rFonts w:ascii="MetaPro-Norm" w:hAnsi="MetaPro-Norm"/>
          <w:sz w:val="22"/>
          <w:szCs w:val="22"/>
        </w:rPr>
        <w:t>1</w:t>
      </w:r>
      <w:r w:rsidR="0060606F">
        <w:rPr>
          <w:rFonts w:ascii="MetaPro-Norm" w:hAnsi="MetaPro-Norm"/>
          <w:sz w:val="22"/>
          <w:szCs w:val="22"/>
        </w:rPr>
        <w:t>6</w:t>
      </w:r>
      <w:r w:rsidR="001A3785">
        <w:rPr>
          <w:rFonts w:ascii="MetaPro-Norm" w:hAnsi="MetaPro-Norm"/>
          <w:sz w:val="22"/>
          <w:szCs w:val="22"/>
        </w:rPr>
        <w:t xml:space="preserve"> advertising technology (AdTech) companies</w:t>
      </w:r>
      <w:r w:rsidR="00001C14">
        <w:rPr>
          <w:rFonts w:ascii="MetaPro-Norm" w:hAnsi="MetaPro-Norm"/>
          <w:sz w:val="22"/>
          <w:szCs w:val="22"/>
        </w:rPr>
        <w:t xml:space="preserve">. </w:t>
      </w:r>
      <w:r w:rsidR="00C051E0">
        <w:rPr>
          <w:rFonts w:ascii="MetaPro-Norm" w:hAnsi="MetaPro-Norm"/>
          <w:sz w:val="22"/>
          <w:szCs w:val="22"/>
        </w:rPr>
        <w:t xml:space="preserve">In most instances, </w:t>
      </w:r>
      <w:proofErr w:type="spellStart"/>
      <w:r w:rsidR="00C051E0">
        <w:rPr>
          <w:rFonts w:ascii="MetaPro-Norm" w:hAnsi="MetaPro-Norm"/>
          <w:sz w:val="22"/>
          <w:szCs w:val="22"/>
        </w:rPr>
        <w:t>Notesmaster</w:t>
      </w:r>
      <w:proofErr w:type="spellEnd"/>
      <w:r w:rsidR="00C051E0">
        <w:rPr>
          <w:rFonts w:ascii="MetaPro-Norm" w:hAnsi="MetaPro-Norm"/>
          <w:sz w:val="22"/>
          <w:szCs w:val="22"/>
        </w:rPr>
        <w:t xml:space="preserve"> transmitted this data to domains owned by these companies </w:t>
      </w:r>
      <w:r w:rsidR="00793B21">
        <w:rPr>
          <w:rFonts w:ascii="MetaPro-Norm" w:hAnsi="MetaPro-Norm"/>
          <w:sz w:val="22"/>
          <w:szCs w:val="22"/>
        </w:rPr>
        <w:t>that are</w:t>
      </w:r>
      <w:r w:rsidR="00C051E0">
        <w:rPr>
          <w:rFonts w:ascii="MetaPro-Norm" w:hAnsi="MetaPro-Norm"/>
          <w:sz w:val="22"/>
          <w:szCs w:val="22"/>
        </w:rPr>
        <w:t xml:space="preserve"> intended </w:t>
      </w:r>
      <w:r w:rsidR="00C56306">
        <w:rPr>
          <w:rFonts w:ascii="MetaPro-Norm" w:hAnsi="MetaPro-Norm"/>
          <w:sz w:val="22"/>
          <w:szCs w:val="22"/>
        </w:rPr>
        <w:t xml:space="preserve">to receive and </w:t>
      </w:r>
      <w:r w:rsidR="000E4423">
        <w:rPr>
          <w:rFonts w:ascii="MetaPro-Norm" w:hAnsi="MetaPro-Norm"/>
          <w:sz w:val="22"/>
          <w:szCs w:val="22"/>
        </w:rPr>
        <w:t>process</w:t>
      </w:r>
      <w:r w:rsidR="00C56306">
        <w:rPr>
          <w:rFonts w:ascii="MetaPro-Norm" w:hAnsi="MetaPro-Norm"/>
          <w:sz w:val="22"/>
          <w:szCs w:val="22"/>
        </w:rPr>
        <w:t xml:space="preserve"> incoming data for commercial or advertising purposes.</w:t>
      </w:r>
    </w:p>
    <w:p w14:paraId="0E2F52DF" w14:textId="77777777" w:rsidR="005E247F" w:rsidRDefault="005E247F" w:rsidP="00453F8D">
      <w:pPr>
        <w:pStyle w:val="Body"/>
        <w:rPr>
          <w:rFonts w:ascii="MetaPro-Norm" w:hAnsi="MetaPro-Norm"/>
          <w:sz w:val="22"/>
          <w:szCs w:val="22"/>
        </w:rPr>
      </w:pPr>
    </w:p>
    <w:p w14:paraId="2518187B" w14:textId="3E4601D4" w:rsidR="00C56306" w:rsidRDefault="005E247F" w:rsidP="009356EE">
      <w:pPr>
        <w:pStyle w:val="Body"/>
        <w:rPr>
          <w:rFonts w:ascii="MetaPro-Norm" w:hAnsi="MetaPro-Norm"/>
          <w:sz w:val="22"/>
          <w:szCs w:val="22"/>
        </w:rPr>
      </w:pPr>
      <w:r>
        <w:rPr>
          <w:rFonts w:ascii="MetaPro-Norm" w:hAnsi="MetaPro-Norm"/>
          <w:sz w:val="22"/>
          <w:szCs w:val="22"/>
        </w:rPr>
        <w:t xml:space="preserve">Among these, Human Rights Watch detected </w:t>
      </w:r>
      <w:proofErr w:type="spellStart"/>
      <w:r>
        <w:rPr>
          <w:rFonts w:ascii="MetaPro-Norm" w:hAnsi="MetaPro-Norm"/>
          <w:sz w:val="22"/>
          <w:szCs w:val="22"/>
        </w:rPr>
        <w:t>Notesmaster</w:t>
      </w:r>
      <w:proofErr w:type="spellEnd"/>
      <w:r>
        <w:rPr>
          <w:rFonts w:ascii="MetaPro-Norm" w:hAnsi="MetaPro-Norm"/>
          <w:sz w:val="22"/>
          <w:szCs w:val="22"/>
        </w:rPr>
        <w:t xml:space="preserve"> transmitting children’s data to Oracle’s </w:t>
      </w:r>
      <w:proofErr w:type="spellStart"/>
      <w:r>
        <w:rPr>
          <w:rFonts w:ascii="MetaPro-Norm" w:hAnsi="MetaPro-Norm"/>
          <w:sz w:val="22"/>
          <w:szCs w:val="22"/>
        </w:rPr>
        <w:t>BlueKai</w:t>
      </w:r>
      <w:proofErr w:type="spellEnd"/>
      <w:r>
        <w:rPr>
          <w:rFonts w:ascii="MetaPro-Norm" w:hAnsi="MetaPro-Norm"/>
          <w:sz w:val="22"/>
          <w:szCs w:val="22"/>
        </w:rPr>
        <w:t xml:space="preserve"> Data Management Platform</w:t>
      </w:r>
      <w:r w:rsidR="006877D9">
        <w:rPr>
          <w:rFonts w:ascii="MetaPro-Norm" w:hAnsi="MetaPro-Norm"/>
          <w:sz w:val="22"/>
          <w:szCs w:val="22"/>
        </w:rPr>
        <w:t>, a data broker that has amassed one of the world’s largest troves of data on people online</w:t>
      </w:r>
      <w:r w:rsidR="00C56306">
        <w:rPr>
          <w:rFonts w:ascii="MetaPro-Norm" w:hAnsi="MetaPro-Norm"/>
          <w:sz w:val="22"/>
          <w:szCs w:val="22"/>
        </w:rPr>
        <w:t>.</w:t>
      </w:r>
      <w:r w:rsidR="00C56306">
        <w:rPr>
          <w:rStyle w:val="FootnoteReference"/>
          <w:szCs w:val="22"/>
        </w:rPr>
        <w:footnoteReference w:id="18"/>
      </w:r>
      <w:r w:rsidR="006877D9">
        <w:rPr>
          <w:rFonts w:ascii="MetaPro-Norm" w:hAnsi="MetaPro-Norm"/>
          <w:sz w:val="22"/>
          <w:szCs w:val="22"/>
        </w:rPr>
        <w:t xml:space="preserve"> </w:t>
      </w:r>
      <w:r w:rsidR="006B6979" w:rsidRPr="006B6979">
        <w:rPr>
          <w:rFonts w:ascii="MetaPro-Norm" w:hAnsi="MetaPro-Norm"/>
          <w:sz w:val="22"/>
          <w:szCs w:val="22"/>
        </w:rPr>
        <w:t xml:space="preserve">In June 2020, TechCrunch reported that </w:t>
      </w:r>
      <w:proofErr w:type="spellStart"/>
      <w:r w:rsidR="006B6979" w:rsidRPr="006B6979">
        <w:rPr>
          <w:rFonts w:ascii="MetaPro-Norm" w:hAnsi="MetaPro-Norm"/>
          <w:sz w:val="22"/>
          <w:szCs w:val="22"/>
        </w:rPr>
        <w:t>BlueKai</w:t>
      </w:r>
      <w:proofErr w:type="spellEnd"/>
      <w:r w:rsidR="006B6979" w:rsidRPr="006B6979">
        <w:rPr>
          <w:rFonts w:ascii="MetaPro-Norm" w:hAnsi="MetaPro-Norm"/>
          <w:sz w:val="22"/>
          <w:szCs w:val="22"/>
        </w:rPr>
        <w:t xml:space="preserve"> had left one of its servers unprotected, spilling data on billions of records on people—names, home addresses, other personally identifiable data—out onto the open web for anyone to find</w:t>
      </w:r>
      <w:r w:rsidR="000A361A">
        <w:rPr>
          <w:rFonts w:ascii="MetaPro-Norm" w:hAnsi="MetaPro-Norm"/>
          <w:sz w:val="22"/>
          <w:szCs w:val="22"/>
        </w:rPr>
        <w:t xml:space="preserve">, resulting in one of the most significant </w:t>
      </w:r>
      <w:r w:rsidR="000A361A">
        <w:rPr>
          <w:rFonts w:ascii="MetaPro-Norm" w:hAnsi="MetaPro-Norm"/>
          <w:sz w:val="22"/>
          <w:szCs w:val="22"/>
        </w:rPr>
        <w:lastRenderedPageBreak/>
        <w:t>data security incidents of 2020.</w:t>
      </w:r>
      <w:r w:rsidR="00197536">
        <w:rPr>
          <w:rStyle w:val="FootnoteReference"/>
          <w:szCs w:val="22"/>
        </w:rPr>
        <w:footnoteReference w:id="19"/>
      </w:r>
      <w:r w:rsidR="00197536">
        <w:rPr>
          <w:rFonts w:ascii="MetaPro-Norm" w:hAnsi="MetaPro-Norm"/>
          <w:sz w:val="22"/>
          <w:szCs w:val="22"/>
        </w:rPr>
        <w:t xml:space="preserve"> Human Rights Watch detected </w:t>
      </w:r>
      <w:proofErr w:type="spellStart"/>
      <w:r w:rsidR="00197536">
        <w:rPr>
          <w:rFonts w:ascii="MetaPro-Norm" w:hAnsi="MetaPro-Norm"/>
          <w:sz w:val="22"/>
          <w:szCs w:val="22"/>
        </w:rPr>
        <w:t>Notesmaster</w:t>
      </w:r>
      <w:proofErr w:type="spellEnd"/>
      <w:r w:rsidR="00197536">
        <w:rPr>
          <w:rFonts w:ascii="MetaPro-Norm" w:hAnsi="MetaPro-Norm"/>
          <w:sz w:val="22"/>
          <w:szCs w:val="22"/>
        </w:rPr>
        <w:t xml:space="preserve"> sending children’s data </w:t>
      </w:r>
      <w:r w:rsidR="009356EE">
        <w:rPr>
          <w:rFonts w:ascii="MetaPro-Norm" w:hAnsi="MetaPro-Norm"/>
          <w:sz w:val="22"/>
          <w:szCs w:val="22"/>
        </w:rPr>
        <w:t xml:space="preserve">to </w:t>
      </w:r>
      <w:r w:rsidR="00197536">
        <w:rPr>
          <w:rFonts w:ascii="MetaPro-Norm" w:hAnsi="MetaPro-Norm"/>
          <w:sz w:val="22"/>
          <w:szCs w:val="22"/>
        </w:rPr>
        <w:t xml:space="preserve">Oracle’s </w:t>
      </w:r>
      <w:proofErr w:type="spellStart"/>
      <w:r w:rsidR="00197536">
        <w:rPr>
          <w:rFonts w:ascii="MetaPro-Norm" w:hAnsi="MetaPro-Norm"/>
          <w:sz w:val="22"/>
          <w:szCs w:val="22"/>
        </w:rPr>
        <w:t>BlueKai</w:t>
      </w:r>
      <w:proofErr w:type="spellEnd"/>
      <w:r w:rsidR="009356EE">
        <w:rPr>
          <w:rFonts w:ascii="MetaPro-Norm" w:hAnsi="MetaPro-Norm"/>
          <w:sz w:val="22"/>
          <w:szCs w:val="22"/>
        </w:rPr>
        <w:t>, both before and after the reported data breach</w:t>
      </w:r>
      <w:r w:rsidR="00C56306" w:rsidRPr="0051322A">
        <w:rPr>
          <w:rFonts w:ascii="MetaPro-Norm" w:hAnsi="MetaPro-Norm"/>
          <w:sz w:val="22"/>
          <w:szCs w:val="22"/>
        </w:rPr>
        <w:t>.</w:t>
      </w:r>
      <w:r w:rsidR="00C56306">
        <w:rPr>
          <w:rStyle w:val="FootnoteReference"/>
          <w:szCs w:val="22"/>
        </w:rPr>
        <w:footnoteReference w:id="20"/>
      </w:r>
    </w:p>
    <w:p w14:paraId="5B431F34" w14:textId="77777777" w:rsidR="00C56306" w:rsidRDefault="00C56306" w:rsidP="00453F8D">
      <w:pPr>
        <w:pStyle w:val="Body"/>
        <w:rPr>
          <w:rFonts w:ascii="MetaPro-Norm" w:hAnsi="MetaPro-Norm"/>
          <w:sz w:val="22"/>
          <w:szCs w:val="22"/>
        </w:rPr>
      </w:pPr>
    </w:p>
    <w:p w14:paraId="13FEC379" w14:textId="1C62AD41" w:rsidR="00151F79" w:rsidRDefault="00B84D47" w:rsidP="00453F8D">
      <w:pPr>
        <w:pStyle w:val="Body"/>
        <w:rPr>
          <w:rFonts w:ascii="MetaPro-Norm" w:hAnsi="MetaPro-Norm"/>
          <w:sz w:val="22"/>
          <w:szCs w:val="22"/>
        </w:rPr>
      </w:pPr>
      <w:r w:rsidRPr="7FB91F82">
        <w:rPr>
          <w:rFonts w:ascii="MetaPro-Norm" w:hAnsi="MetaPro-Norm"/>
          <w:sz w:val="22"/>
          <w:szCs w:val="22"/>
        </w:rPr>
        <w:t xml:space="preserve">In addition, Human Rights Watch observed </w:t>
      </w:r>
      <w:proofErr w:type="spellStart"/>
      <w:r w:rsidRPr="7FB91F82">
        <w:rPr>
          <w:rFonts w:ascii="MetaPro-Norm" w:hAnsi="MetaPro-Norm"/>
          <w:sz w:val="22"/>
          <w:szCs w:val="22"/>
        </w:rPr>
        <w:t>Notesmaster</w:t>
      </w:r>
      <w:proofErr w:type="spellEnd"/>
      <w:r w:rsidRPr="7FB91F82">
        <w:rPr>
          <w:rFonts w:ascii="MetaPro-Norm" w:hAnsi="MetaPro-Norm"/>
          <w:sz w:val="22"/>
          <w:szCs w:val="22"/>
        </w:rPr>
        <w:t xml:space="preserve"> collecting and sending children’s data to Meta </w:t>
      </w:r>
      <w:r w:rsidR="00FA72A6">
        <w:rPr>
          <w:rFonts w:ascii="MetaPro-Norm" w:hAnsi="MetaPro-Norm"/>
          <w:sz w:val="22"/>
          <w:szCs w:val="22"/>
        </w:rPr>
        <w:t xml:space="preserve">(formerly Facebook) </w:t>
      </w:r>
      <w:r w:rsidRPr="7FB91F82">
        <w:rPr>
          <w:rFonts w:ascii="MetaPro-Norm" w:hAnsi="MetaPro-Norm"/>
          <w:sz w:val="22"/>
          <w:szCs w:val="22"/>
        </w:rPr>
        <w:t xml:space="preserve">through </w:t>
      </w:r>
      <w:r w:rsidR="000C0311" w:rsidRPr="7FB91F82">
        <w:rPr>
          <w:rFonts w:ascii="MetaPro-Norm" w:hAnsi="MetaPro-Norm"/>
          <w:sz w:val="22"/>
          <w:szCs w:val="22"/>
        </w:rPr>
        <w:t xml:space="preserve">Facebook Pixel, an AdTech tool that could not only be used by </w:t>
      </w:r>
      <w:proofErr w:type="spellStart"/>
      <w:r w:rsidR="000C0311" w:rsidRPr="7FB91F82">
        <w:rPr>
          <w:rFonts w:ascii="MetaPro-Norm" w:hAnsi="MetaPro-Norm"/>
          <w:sz w:val="22"/>
          <w:szCs w:val="22"/>
        </w:rPr>
        <w:t>Notesmaster</w:t>
      </w:r>
      <w:proofErr w:type="spellEnd"/>
      <w:r w:rsidR="000C0311" w:rsidRPr="7FB91F82">
        <w:rPr>
          <w:rFonts w:ascii="MetaPro-Norm" w:hAnsi="MetaPro-Norm"/>
          <w:sz w:val="22"/>
          <w:szCs w:val="22"/>
        </w:rPr>
        <w:t xml:space="preserve"> to later target its child users with ads on Facebook and Instagram, but also allowed Meta to retain and use this data for its own advertising purposes. </w:t>
      </w:r>
      <w:proofErr w:type="spellStart"/>
      <w:r w:rsidR="00FE53FA" w:rsidRPr="7FB91F82">
        <w:rPr>
          <w:rFonts w:ascii="MetaPro-Norm" w:hAnsi="MetaPro-Norm"/>
          <w:sz w:val="22"/>
          <w:szCs w:val="22"/>
        </w:rPr>
        <w:t>Notesmaster</w:t>
      </w:r>
      <w:proofErr w:type="spellEnd"/>
      <w:r w:rsidR="00FE53FA" w:rsidRPr="7FB91F82">
        <w:rPr>
          <w:rFonts w:ascii="MetaPro-Norm" w:hAnsi="MetaPro-Norm"/>
          <w:sz w:val="22"/>
          <w:szCs w:val="22"/>
        </w:rPr>
        <w:t xml:space="preserve"> sent children’s data to Google’s advertising platform</w:t>
      </w:r>
      <w:r w:rsidR="00024145" w:rsidRPr="7FB91F82">
        <w:rPr>
          <w:rFonts w:ascii="MetaPro-Norm" w:hAnsi="MetaPro-Norm"/>
          <w:sz w:val="22"/>
          <w:szCs w:val="22"/>
        </w:rPr>
        <w:t xml:space="preserve">, and </w:t>
      </w:r>
      <w:r w:rsidR="00A33387" w:rsidRPr="7FB91F82">
        <w:rPr>
          <w:rFonts w:ascii="MetaPro-Norm" w:hAnsi="MetaPro-Norm"/>
          <w:sz w:val="22"/>
          <w:szCs w:val="22"/>
        </w:rPr>
        <w:t xml:space="preserve">through its use of Google Analytics’ </w:t>
      </w:r>
      <w:r w:rsidR="00FA72A6">
        <w:rPr>
          <w:rFonts w:ascii="MetaPro-Norm" w:hAnsi="MetaPro-Norm"/>
          <w:sz w:val="22"/>
          <w:szCs w:val="22"/>
        </w:rPr>
        <w:t>“</w:t>
      </w:r>
      <w:r w:rsidR="00A33387" w:rsidRPr="7FB91F82">
        <w:rPr>
          <w:rFonts w:ascii="MetaPro-Norm" w:hAnsi="MetaPro-Norm"/>
          <w:sz w:val="22"/>
          <w:szCs w:val="22"/>
        </w:rPr>
        <w:t>remarketing audiences,</w:t>
      </w:r>
      <w:r w:rsidR="00FA72A6">
        <w:rPr>
          <w:rFonts w:ascii="MetaPro-Norm" w:hAnsi="MetaPro-Norm"/>
          <w:sz w:val="22"/>
          <w:szCs w:val="22"/>
        </w:rPr>
        <w:t>”</w:t>
      </w:r>
      <w:r w:rsidR="00A33387" w:rsidRPr="7FB91F82">
        <w:rPr>
          <w:rFonts w:ascii="MetaPro-Norm" w:hAnsi="MetaPro-Norm"/>
          <w:sz w:val="22"/>
          <w:szCs w:val="22"/>
        </w:rPr>
        <w:t xml:space="preserve"> an AdTech tool that allow</w:t>
      </w:r>
      <w:r w:rsidR="0066368C" w:rsidRPr="7FB91F82">
        <w:rPr>
          <w:rFonts w:ascii="MetaPro-Norm" w:hAnsi="MetaPro-Norm"/>
          <w:sz w:val="22"/>
          <w:szCs w:val="22"/>
        </w:rPr>
        <w:t>ed</w:t>
      </w:r>
      <w:r w:rsidR="00A33387" w:rsidRPr="7FB91F82">
        <w:rPr>
          <w:rFonts w:ascii="MetaPro-Norm" w:hAnsi="MetaPro-Norm"/>
          <w:sz w:val="22"/>
          <w:szCs w:val="22"/>
        </w:rPr>
        <w:t xml:space="preserve"> </w:t>
      </w:r>
      <w:proofErr w:type="spellStart"/>
      <w:r w:rsidR="00A33387" w:rsidRPr="7FB91F82">
        <w:rPr>
          <w:rFonts w:ascii="MetaPro-Norm" w:hAnsi="MetaPro-Norm"/>
          <w:sz w:val="22"/>
          <w:szCs w:val="22"/>
        </w:rPr>
        <w:t>Notesmaster</w:t>
      </w:r>
      <w:proofErr w:type="spellEnd"/>
      <w:r w:rsidR="00A33387" w:rsidRPr="7FB91F82">
        <w:rPr>
          <w:rFonts w:ascii="MetaPro-Norm" w:hAnsi="MetaPro-Norm"/>
          <w:sz w:val="22"/>
          <w:szCs w:val="22"/>
        </w:rPr>
        <w:t xml:space="preserve"> to target its users with ads across the internet.</w:t>
      </w:r>
      <w:r w:rsidR="009F13F6">
        <w:rPr>
          <w:rStyle w:val="FootnoteReference"/>
          <w:szCs w:val="22"/>
        </w:rPr>
        <w:footnoteReference w:id="21"/>
      </w:r>
    </w:p>
    <w:p w14:paraId="272F45D3" w14:textId="71C4827C" w:rsidR="00A33387" w:rsidRDefault="00A33387" w:rsidP="00453F8D">
      <w:pPr>
        <w:pStyle w:val="Body"/>
        <w:rPr>
          <w:rFonts w:ascii="MetaPro-Norm" w:hAnsi="MetaPro-Norm"/>
          <w:sz w:val="22"/>
          <w:szCs w:val="22"/>
        </w:rPr>
      </w:pPr>
    </w:p>
    <w:p w14:paraId="6FEE1360" w14:textId="77777777" w:rsidR="00740669" w:rsidRPr="00704D69" w:rsidRDefault="00740669" w:rsidP="00740669">
      <w:pPr>
        <w:pStyle w:val="Body"/>
        <w:rPr>
          <w:rFonts w:ascii="MetaPro-Norm" w:hAnsi="MetaPro-Norm"/>
          <w:sz w:val="22"/>
          <w:szCs w:val="22"/>
        </w:rPr>
      </w:pPr>
      <w:r w:rsidRPr="00704D69">
        <w:rPr>
          <w:rFonts w:ascii="MetaPro-Norm" w:hAnsi="MetaPro-Norm"/>
          <w:sz w:val="22"/>
          <w:szCs w:val="22"/>
        </w:rPr>
        <w:t xml:space="preserve">In doing so, </w:t>
      </w:r>
      <w:proofErr w:type="spellStart"/>
      <w:r>
        <w:rPr>
          <w:rFonts w:ascii="MetaPro-Norm" w:hAnsi="MetaPro-Norm"/>
          <w:sz w:val="22"/>
          <w:szCs w:val="22"/>
        </w:rPr>
        <w:t>Notesmaster</w:t>
      </w:r>
      <w:proofErr w:type="spellEnd"/>
      <w:r w:rsidRPr="00704D69">
        <w:rPr>
          <w:rFonts w:ascii="MetaPro-Norm" w:hAnsi="MetaPro-Norm"/>
          <w:sz w:val="22"/>
          <w:szCs w:val="22"/>
        </w:rPr>
        <w:t xml:space="preserve"> permitted these companies the opportunity to stitch together and analyze the data they received to guess at a child’s personal characteristics and interests (“profiling”), and to predict what a child might do next and how they might be influenced. Access to these insights could then be sold to anyone—advertisers, data brokers, and others—who sought to target a defined group of people with similar characteristics online.</w:t>
      </w:r>
    </w:p>
    <w:p w14:paraId="1B6A2B5C" w14:textId="77777777" w:rsidR="00740669" w:rsidRPr="00704D69" w:rsidRDefault="00740669" w:rsidP="00740669">
      <w:pPr>
        <w:pStyle w:val="Body"/>
        <w:rPr>
          <w:rFonts w:ascii="MetaPro-Norm" w:hAnsi="MetaPro-Norm"/>
          <w:sz w:val="22"/>
          <w:szCs w:val="22"/>
        </w:rPr>
      </w:pPr>
    </w:p>
    <w:p w14:paraId="530E2809" w14:textId="4E91D10B" w:rsidR="00740669" w:rsidRDefault="00EA0893" w:rsidP="00740669">
      <w:pPr>
        <w:pStyle w:val="Body"/>
        <w:rPr>
          <w:rFonts w:ascii="MetaPro-Norm" w:hAnsi="MetaPro-Norm"/>
          <w:sz w:val="22"/>
          <w:szCs w:val="22"/>
        </w:rPr>
      </w:pPr>
      <w:r w:rsidRPr="00EA0893">
        <w:rPr>
          <w:rFonts w:ascii="MetaPro-Norm" w:hAnsi="MetaPro-Norm"/>
          <w:sz w:val="22"/>
          <w:szCs w:val="22"/>
        </w:rPr>
        <w:t xml:space="preserve">Profiling and targeting children on the basis of their actual or inferred characteristics not only infringes on their privacy, but also risks abusing or violating their other rights, particularly when this information is used to anticipate and guide them toward outcomes that are harmful or not in their best interest. </w:t>
      </w:r>
      <w:r w:rsidR="00740669">
        <w:rPr>
          <w:rFonts w:ascii="MetaPro-Norm" w:hAnsi="MetaPro-Norm"/>
          <w:sz w:val="22"/>
          <w:szCs w:val="22"/>
        </w:rPr>
        <w:t>The C</w:t>
      </w:r>
      <w:r w:rsidR="00740669" w:rsidRPr="000F5A38">
        <w:rPr>
          <w:rFonts w:ascii="MetaPro-Norm" w:hAnsi="MetaPro-Norm"/>
          <w:sz w:val="22"/>
          <w:szCs w:val="22"/>
        </w:rPr>
        <w:t>ommittee</w:t>
      </w:r>
      <w:r w:rsidR="00740669">
        <w:rPr>
          <w:rFonts w:ascii="MetaPro-Norm" w:hAnsi="MetaPro-Norm"/>
          <w:sz w:val="22"/>
          <w:szCs w:val="22"/>
        </w:rPr>
        <w:t xml:space="preserve"> on the Rights of the Child</w:t>
      </w:r>
      <w:r w:rsidR="00740669" w:rsidRPr="000F5A38">
        <w:rPr>
          <w:rFonts w:ascii="MetaPro-Norm" w:hAnsi="MetaPro-Norm"/>
          <w:sz w:val="22"/>
          <w:szCs w:val="22"/>
        </w:rPr>
        <w:t xml:space="preserve"> has warned that such processing and use of children’s data “may result in violations or abuses of children’s rights</w:t>
      </w:r>
      <w:r w:rsidR="000D6674">
        <w:rPr>
          <w:rFonts w:ascii="MetaPro-Norm" w:hAnsi="MetaPro-Norm"/>
          <w:sz w:val="22"/>
          <w:szCs w:val="22"/>
        </w:rPr>
        <w:t>,</w:t>
      </w:r>
      <w:r w:rsidR="00740669">
        <w:rPr>
          <w:rFonts w:ascii="MetaPro-Norm" w:hAnsi="MetaPro-Norm"/>
          <w:sz w:val="22"/>
          <w:szCs w:val="22"/>
        </w:rPr>
        <w:t>”</w:t>
      </w:r>
      <w:r w:rsidR="00740669">
        <w:rPr>
          <w:rStyle w:val="FootnoteReference"/>
          <w:szCs w:val="22"/>
        </w:rPr>
        <w:footnoteReference w:id="22"/>
      </w:r>
      <w:r w:rsidR="00740669" w:rsidRPr="000F5A38">
        <w:rPr>
          <w:rFonts w:ascii="MetaPro-Norm" w:hAnsi="MetaPro-Norm"/>
          <w:sz w:val="22"/>
          <w:szCs w:val="22"/>
        </w:rPr>
        <w:t xml:space="preserve"> and has called on states to “prohibit by law the profiling or targeting of children of any age for commercial purposes on the basis of a digital record of their actual or inferred characteristics, including group or collective data, targeting by association or affinity profiling.”</w:t>
      </w:r>
      <w:r w:rsidR="00740669">
        <w:rPr>
          <w:rStyle w:val="FootnoteReference"/>
          <w:szCs w:val="22"/>
        </w:rPr>
        <w:footnoteReference w:id="23"/>
      </w:r>
    </w:p>
    <w:p w14:paraId="1AFD0990" w14:textId="77777777" w:rsidR="007176D2" w:rsidRDefault="007176D2" w:rsidP="00740669">
      <w:pPr>
        <w:pStyle w:val="Body"/>
        <w:rPr>
          <w:rFonts w:ascii="MetaPro-Norm" w:hAnsi="MetaPro-Norm"/>
          <w:sz w:val="22"/>
          <w:szCs w:val="22"/>
        </w:rPr>
      </w:pPr>
    </w:p>
    <w:p w14:paraId="589DF508" w14:textId="588AD22E" w:rsidR="007176D2" w:rsidRPr="00944CB9" w:rsidRDefault="00DC3AE3" w:rsidP="00740669">
      <w:pPr>
        <w:pStyle w:val="Body"/>
        <w:rPr>
          <w:rFonts w:ascii="MetaPro-Norm" w:hAnsi="MetaPro-Norm"/>
          <w:sz w:val="22"/>
          <w:szCs w:val="22"/>
        </w:rPr>
      </w:pPr>
      <w:proofErr w:type="spellStart"/>
      <w:r>
        <w:rPr>
          <w:rFonts w:ascii="MetaPro-Norm" w:hAnsi="MetaPro-Norm"/>
          <w:sz w:val="22"/>
          <w:szCs w:val="22"/>
        </w:rPr>
        <w:t>Notesmaster</w:t>
      </w:r>
      <w:proofErr w:type="spellEnd"/>
      <w:r>
        <w:rPr>
          <w:rFonts w:ascii="MetaPro-Norm" w:hAnsi="MetaPro-Norm"/>
          <w:sz w:val="22"/>
          <w:szCs w:val="22"/>
        </w:rPr>
        <w:t xml:space="preserve"> </w:t>
      </w:r>
      <w:r w:rsidR="00250AEF">
        <w:rPr>
          <w:rFonts w:ascii="MetaPro-Norm" w:hAnsi="MetaPro-Norm"/>
          <w:sz w:val="22"/>
          <w:szCs w:val="22"/>
        </w:rPr>
        <w:t>also deployed</w:t>
      </w:r>
      <w:r w:rsidR="00820E95">
        <w:rPr>
          <w:rFonts w:ascii="MetaPro-Norm" w:hAnsi="MetaPro-Norm"/>
          <w:sz w:val="22"/>
          <w:szCs w:val="22"/>
        </w:rPr>
        <w:t xml:space="preserve"> </w:t>
      </w:r>
      <w:r w:rsidR="007C6CA5">
        <w:rPr>
          <w:rFonts w:ascii="MetaPro-Norm" w:hAnsi="MetaPro-Norm"/>
          <w:sz w:val="22"/>
          <w:szCs w:val="22"/>
        </w:rPr>
        <w:t>“</w:t>
      </w:r>
      <w:r w:rsidR="00820E95">
        <w:rPr>
          <w:rFonts w:ascii="MetaPro-Norm" w:hAnsi="MetaPro-Norm"/>
          <w:sz w:val="22"/>
          <w:szCs w:val="22"/>
        </w:rPr>
        <w:t>key logging,</w:t>
      </w:r>
      <w:r w:rsidR="007C6CA5">
        <w:rPr>
          <w:rFonts w:ascii="MetaPro-Norm" w:hAnsi="MetaPro-Norm"/>
          <w:sz w:val="22"/>
          <w:szCs w:val="22"/>
        </w:rPr>
        <w:t>”</w:t>
      </w:r>
      <w:r w:rsidR="00820E95">
        <w:rPr>
          <w:rFonts w:ascii="MetaPro-Norm" w:hAnsi="MetaPro-Norm"/>
          <w:sz w:val="22"/>
          <w:szCs w:val="22"/>
        </w:rPr>
        <w:t xml:space="preserve"> a particularly invasive procedure that surreptitiously captures personal information that people enter on forms</w:t>
      </w:r>
      <w:r w:rsidR="00CF5A92">
        <w:rPr>
          <w:rFonts w:ascii="MetaPro-Norm" w:hAnsi="MetaPro-Norm"/>
          <w:sz w:val="22"/>
          <w:szCs w:val="22"/>
        </w:rPr>
        <w:t xml:space="preserve"> </w:t>
      </w:r>
      <w:r w:rsidR="00820E95">
        <w:rPr>
          <w:rFonts w:ascii="MetaPro-Norm" w:hAnsi="MetaPro-Norm"/>
          <w:sz w:val="22"/>
          <w:szCs w:val="22"/>
        </w:rPr>
        <w:t>before they hit submi</w:t>
      </w:r>
      <w:r w:rsidR="00B07AE2">
        <w:rPr>
          <w:rFonts w:ascii="MetaPro-Norm" w:hAnsi="MetaPro-Norm"/>
          <w:sz w:val="22"/>
          <w:szCs w:val="22"/>
        </w:rPr>
        <w:t>t, much less consent</w:t>
      </w:r>
      <w:r w:rsidR="00820E95">
        <w:rPr>
          <w:rFonts w:ascii="MetaPro-Norm" w:hAnsi="MetaPro-Norm"/>
          <w:sz w:val="22"/>
          <w:szCs w:val="22"/>
        </w:rPr>
        <w:t xml:space="preserve">. </w:t>
      </w:r>
      <w:r w:rsidR="00250AEF">
        <w:rPr>
          <w:rFonts w:ascii="MetaPro-Norm" w:hAnsi="MetaPro-Norm"/>
          <w:sz w:val="22"/>
          <w:szCs w:val="22"/>
        </w:rPr>
        <w:t xml:space="preserve">Human Rights Watch detected </w:t>
      </w:r>
      <w:proofErr w:type="spellStart"/>
      <w:r w:rsidR="00250AEF">
        <w:rPr>
          <w:rFonts w:ascii="MetaPro-Norm" w:hAnsi="MetaPro-Norm"/>
          <w:sz w:val="22"/>
          <w:szCs w:val="22"/>
        </w:rPr>
        <w:t>Notesmaster</w:t>
      </w:r>
      <w:proofErr w:type="spellEnd"/>
      <w:r w:rsidR="00250AEF">
        <w:rPr>
          <w:rFonts w:ascii="MetaPro-Norm" w:hAnsi="MetaPro-Norm"/>
          <w:sz w:val="22"/>
          <w:szCs w:val="22"/>
        </w:rPr>
        <w:t xml:space="preserve"> </w:t>
      </w:r>
      <w:r w:rsidR="00052111">
        <w:rPr>
          <w:rFonts w:ascii="MetaPro-Norm" w:hAnsi="MetaPro-Norm"/>
          <w:sz w:val="22"/>
          <w:szCs w:val="22"/>
        </w:rPr>
        <w:t xml:space="preserve">using key logging to </w:t>
      </w:r>
      <w:r w:rsidR="0057394F">
        <w:rPr>
          <w:rFonts w:ascii="MetaPro-Norm" w:hAnsi="MetaPro-Norm"/>
          <w:sz w:val="22"/>
          <w:szCs w:val="22"/>
        </w:rPr>
        <w:t xml:space="preserve">send </w:t>
      </w:r>
      <w:r w:rsidR="00167E50">
        <w:rPr>
          <w:rFonts w:ascii="MetaPro-Norm" w:hAnsi="MetaPro-Norm"/>
          <w:sz w:val="22"/>
          <w:szCs w:val="22"/>
        </w:rPr>
        <w:t xml:space="preserve">child </w:t>
      </w:r>
      <w:r w:rsidR="0057394F">
        <w:rPr>
          <w:rFonts w:ascii="MetaPro-Norm" w:hAnsi="MetaPro-Norm"/>
          <w:sz w:val="22"/>
          <w:szCs w:val="22"/>
        </w:rPr>
        <w:t>users’ names, usernames, passwords, and other information to YouTube.</w:t>
      </w:r>
    </w:p>
    <w:p w14:paraId="539CA198" w14:textId="085963E6" w:rsidR="00A33387" w:rsidRDefault="00A33387" w:rsidP="00453F8D">
      <w:pPr>
        <w:pStyle w:val="Body"/>
        <w:rPr>
          <w:rFonts w:ascii="MetaPro-Norm" w:hAnsi="MetaPro-Norm"/>
          <w:sz w:val="22"/>
          <w:szCs w:val="22"/>
        </w:rPr>
      </w:pPr>
    </w:p>
    <w:p w14:paraId="75099E87" w14:textId="0B65DBD9" w:rsidR="006A470A" w:rsidRDefault="00593D25" w:rsidP="00E4390B">
      <w:pPr>
        <w:spacing w:after="0" w:line="252" w:lineRule="auto"/>
        <w:rPr>
          <w:rFonts w:ascii="MetaPro-Norm" w:hAnsi="MetaPro-Norm"/>
        </w:rPr>
      </w:pPr>
      <w:r>
        <w:rPr>
          <w:rFonts w:ascii="MetaPro-Norm" w:hAnsi="MetaPro-Norm"/>
        </w:rPr>
        <w:t xml:space="preserve">Children were compelled to give up their privacy for their learning. </w:t>
      </w:r>
      <w:r w:rsidR="00E4390B">
        <w:rPr>
          <w:rFonts w:ascii="MetaPro-Norm" w:hAnsi="MetaPro-Norm"/>
        </w:rPr>
        <w:t xml:space="preserve">Human Rights Watch finds that these tracking techniques, designed for advertising and commercial purposes, are neither proportionate nor necessary for </w:t>
      </w:r>
      <w:proofErr w:type="spellStart"/>
      <w:r w:rsidR="00E4390B">
        <w:rPr>
          <w:rFonts w:ascii="MetaPro-Norm" w:hAnsi="MetaPro-Norm"/>
        </w:rPr>
        <w:t>Notesmaster</w:t>
      </w:r>
      <w:proofErr w:type="spellEnd"/>
      <w:r w:rsidR="00E4390B">
        <w:rPr>
          <w:rFonts w:ascii="MetaPro-Norm" w:hAnsi="MetaPro-Norm"/>
        </w:rPr>
        <w:t xml:space="preserve"> to function or to deliver educational content. Their use on children in an educational setting arbitrarily interferes with children’s right to privacy.</w:t>
      </w:r>
    </w:p>
    <w:p w14:paraId="5930DEFE" w14:textId="77777777" w:rsidR="00150786" w:rsidRDefault="00150786" w:rsidP="00E4390B">
      <w:pPr>
        <w:spacing w:after="0" w:line="252" w:lineRule="auto"/>
        <w:rPr>
          <w:rFonts w:ascii="MetaPro-Norm" w:hAnsi="MetaPro-Norm"/>
        </w:rPr>
      </w:pPr>
    </w:p>
    <w:p w14:paraId="07C87019" w14:textId="12BC7C7F" w:rsidR="00150786" w:rsidRDefault="00150786" w:rsidP="006936A1">
      <w:pPr>
        <w:spacing w:after="0" w:line="252" w:lineRule="auto"/>
        <w:rPr>
          <w:rFonts w:ascii="MetaPro-Norm" w:hAnsi="MetaPro-Norm"/>
        </w:rPr>
      </w:pPr>
      <w:r>
        <w:rPr>
          <w:rFonts w:ascii="MetaPro-Norm" w:hAnsi="MetaPro-Norm"/>
        </w:rPr>
        <w:t xml:space="preserve">Children who relied on </w:t>
      </w:r>
      <w:proofErr w:type="spellStart"/>
      <w:r>
        <w:rPr>
          <w:rFonts w:ascii="MetaPro-Norm" w:hAnsi="MetaPro-Norm"/>
        </w:rPr>
        <w:t>Notesmaster</w:t>
      </w:r>
      <w:proofErr w:type="spellEnd"/>
      <w:r>
        <w:rPr>
          <w:rFonts w:ascii="MetaPro-Norm" w:hAnsi="MetaPro-Norm"/>
        </w:rPr>
        <w:t xml:space="preserve"> as their primary source of education during school closures could not </w:t>
      </w:r>
      <w:r w:rsidRPr="00DF54E9">
        <w:rPr>
          <w:rFonts w:ascii="MetaPro-Norm" w:hAnsi="MetaPro-Norm"/>
        </w:rPr>
        <w:t>reasonably object to such surveillance</w:t>
      </w:r>
      <w:r>
        <w:rPr>
          <w:rFonts w:ascii="MetaPro-Norm" w:hAnsi="MetaPro-Norm"/>
        </w:rPr>
        <w:t xml:space="preserve"> </w:t>
      </w:r>
      <w:r w:rsidRPr="00DF54E9">
        <w:rPr>
          <w:rFonts w:ascii="MetaPro-Norm" w:hAnsi="MetaPro-Norm"/>
        </w:rPr>
        <w:t>without opting out of compulsory education and giving up on formal learning during the pandemic.</w:t>
      </w:r>
      <w:r>
        <w:rPr>
          <w:rFonts w:ascii="MetaPro-Norm" w:hAnsi="MetaPro-Norm"/>
        </w:rPr>
        <w:t xml:space="preserve"> </w:t>
      </w:r>
      <w:proofErr w:type="spellStart"/>
      <w:r>
        <w:rPr>
          <w:rFonts w:ascii="MetaPro-Norm" w:hAnsi="MetaPro-Norm"/>
        </w:rPr>
        <w:t>Notesmaster</w:t>
      </w:r>
      <w:proofErr w:type="spellEnd"/>
      <w:r>
        <w:rPr>
          <w:rFonts w:ascii="MetaPro-Norm" w:hAnsi="MetaPro-Norm"/>
        </w:rPr>
        <w:t xml:space="preserve"> did not allow children to decline to be tracked.</w:t>
      </w:r>
      <w:r w:rsidR="006936A1">
        <w:rPr>
          <w:rFonts w:ascii="MetaPro-Norm" w:hAnsi="MetaPro-Norm"/>
        </w:rPr>
        <w:t xml:space="preserve"> </w:t>
      </w:r>
      <w:r w:rsidRPr="00B466D7">
        <w:rPr>
          <w:rFonts w:ascii="MetaPro-Norm" w:hAnsi="MetaPro-Norm"/>
        </w:rPr>
        <w:t>As these tracking</w:t>
      </w:r>
      <w:r>
        <w:rPr>
          <w:rFonts w:ascii="MetaPro-Norm" w:hAnsi="MetaPro-Norm"/>
        </w:rPr>
        <w:t xml:space="preserve"> </w:t>
      </w:r>
      <w:r w:rsidRPr="00B466D7">
        <w:rPr>
          <w:rFonts w:ascii="MetaPro-Norm" w:hAnsi="MetaPro-Norm"/>
        </w:rPr>
        <w:t>technologies were invisible to the user, children had no reasonably practical way of knowing</w:t>
      </w:r>
      <w:r>
        <w:rPr>
          <w:rFonts w:ascii="MetaPro-Norm" w:hAnsi="MetaPro-Norm"/>
        </w:rPr>
        <w:t xml:space="preserve"> </w:t>
      </w:r>
      <w:r w:rsidRPr="00B466D7">
        <w:rPr>
          <w:rFonts w:ascii="MetaPro-Norm" w:hAnsi="MetaPro-Norm"/>
        </w:rPr>
        <w:t xml:space="preserve">the existence and extent of these data practices, much less the impacts on their rights. </w:t>
      </w:r>
    </w:p>
    <w:p w14:paraId="1989FBF9" w14:textId="77777777" w:rsidR="00795B4B" w:rsidRDefault="00795B4B" w:rsidP="00E4390B">
      <w:pPr>
        <w:spacing w:after="0" w:line="252" w:lineRule="auto"/>
        <w:rPr>
          <w:rFonts w:ascii="MetaPro-Norm" w:hAnsi="MetaPro-Norm"/>
        </w:rPr>
      </w:pPr>
    </w:p>
    <w:p w14:paraId="738128E8" w14:textId="0B7B32EB" w:rsidR="00795B4B" w:rsidRDefault="00795B4B" w:rsidP="00E4390B">
      <w:pPr>
        <w:spacing w:after="0" w:line="252" w:lineRule="auto"/>
        <w:rPr>
          <w:rFonts w:ascii="MetaPro-Norm" w:hAnsi="MetaPro-Norm"/>
        </w:rPr>
      </w:pPr>
      <w:r w:rsidRPr="00975EAF">
        <w:rPr>
          <w:rFonts w:ascii="MetaPro-Norm" w:hAnsi="MetaPro-Norm"/>
        </w:rPr>
        <w:t xml:space="preserve">Human Rights Watch did not find evidence that </w:t>
      </w:r>
      <w:r w:rsidR="00D129B0">
        <w:rPr>
          <w:rFonts w:ascii="MetaPro-Norm" w:hAnsi="MetaPro-Norm"/>
        </w:rPr>
        <w:t>Malawi’s</w:t>
      </w:r>
      <w:r>
        <w:rPr>
          <w:rFonts w:ascii="MetaPro-Norm" w:hAnsi="MetaPro-Norm"/>
        </w:rPr>
        <w:t xml:space="preserve"> </w:t>
      </w:r>
      <w:r w:rsidR="00D129B0">
        <w:rPr>
          <w:rFonts w:ascii="MetaPro-Norm" w:hAnsi="MetaPro-Norm"/>
        </w:rPr>
        <w:t>E</w:t>
      </w:r>
      <w:r>
        <w:rPr>
          <w:rFonts w:ascii="MetaPro-Norm" w:hAnsi="MetaPro-Norm"/>
        </w:rPr>
        <w:t xml:space="preserve">ducation </w:t>
      </w:r>
      <w:r w:rsidR="00D129B0">
        <w:rPr>
          <w:rFonts w:ascii="MetaPro-Norm" w:hAnsi="MetaPro-Norm"/>
        </w:rPr>
        <w:t>M</w:t>
      </w:r>
      <w:r>
        <w:rPr>
          <w:rFonts w:ascii="MetaPro-Norm" w:hAnsi="MetaPro-Norm"/>
        </w:rPr>
        <w:t>inistry</w:t>
      </w:r>
      <w:r w:rsidRPr="00975EAF">
        <w:rPr>
          <w:rFonts w:ascii="MetaPro-Norm" w:hAnsi="MetaPro-Norm"/>
        </w:rPr>
        <w:t xml:space="preserve"> </w:t>
      </w:r>
      <w:r>
        <w:rPr>
          <w:rFonts w:ascii="MetaPro-Norm" w:hAnsi="MetaPro-Norm"/>
        </w:rPr>
        <w:t xml:space="preserve">took measures to prevent or mitigate children’s rights abuses through </w:t>
      </w:r>
      <w:proofErr w:type="spellStart"/>
      <w:r>
        <w:rPr>
          <w:rFonts w:ascii="MetaPro-Norm" w:hAnsi="MetaPro-Norm"/>
        </w:rPr>
        <w:t>Notemaster’s</w:t>
      </w:r>
      <w:proofErr w:type="spellEnd"/>
      <w:r>
        <w:rPr>
          <w:rFonts w:ascii="MetaPro-Norm" w:hAnsi="MetaPro-Norm"/>
        </w:rPr>
        <w:t xml:space="preserve"> data practices, or that the </w:t>
      </w:r>
      <w:r w:rsidR="00DD35D9">
        <w:rPr>
          <w:rFonts w:ascii="MetaPro-Norm" w:hAnsi="MetaPro-Norm"/>
        </w:rPr>
        <w:t>E</w:t>
      </w:r>
      <w:r>
        <w:rPr>
          <w:rFonts w:ascii="MetaPro-Norm" w:hAnsi="MetaPro-Norm"/>
        </w:rPr>
        <w:t xml:space="preserve">ducation </w:t>
      </w:r>
      <w:r w:rsidR="00DD35D9">
        <w:rPr>
          <w:rFonts w:ascii="MetaPro-Norm" w:hAnsi="MetaPro-Norm"/>
        </w:rPr>
        <w:t>M</w:t>
      </w:r>
      <w:r>
        <w:rPr>
          <w:rFonts w:ascii="MetaPro-Norm" w:hAnsi="MetaPro-Norm"/>
        </w:rPr>
        <w:t>inistry</w:t>
      </w:r>
      <w:r w:rsidRPr="00975EAF">
        <w:rPr>
          <w:rFonts w:ascii="MetaPro-Norm" w:hAnsi="MetaPro-Norm"/>
        </w:rPr>
        <w:t xml:space="preserve"> checked whether </w:t>
      </w:r>
      <w:proofErr w:type="spellStart"/>
      <w:r>
        <w:rPr>
          <w:rFonts w:ascii="MetaPro-Norm" w:hAnsi="MetaPro-Norm"/>
        </w:rPr>
        <w:t>Notesmaster</w:t>
      </w:r>
      <w:proofErr w:type="spellEnd"/>
      <w:r w:rsidRPr="00975EAF">
        <w:rPr>
          <w:rFonts w:ascii="MetaPro-Norm" w:hAnsi="MetaPro-Norm"/>
        </w:rPr>
        <w:t xml:space="preserve"> </w:t>
      </w:r>
      <w:r>
        <w:rPr>
          <w:rFonts w:ascii="MetaPro-Norm" w:hAnsi="MetaPro-Norm"/>
        </w:rPr>
        <w:t>was</w:t>
      </w:r>
      <w:r w:rsidRPr="00975EAF">
        <w:rPr>
          <w:rFonts w:ascii="MetaPro-Norm" w:hAnsi="MetaPro-Norm"/>
        </w:rPr>
        <w:t xml:space="preserve"> safe for children to use. As a result, children whose families were able to afford access to the internet and connected devices, or who made hard sacrifices in order to do so, </w:t>
      </w:r>
      <w:r>
        <w:rPr>
          <w:rFonts w:ascii="MetaPro-Norm" w:hAnsi="MetaPro-Norm"/>
        </w:rPr>
        <w:t>were exposed to the risks of misuse or exploitation of their data.</w:t>
      </w:r>
    </w:p>
    <w:p w14:paraId="2F44A499" w14:textId="77777777" w:rsidR="00795B4B" w:rsidRDefault="00795B4B" w:rsidP="00795B4B">
      <w:pPr>
        <w:pStyle w:val="Body"/>
        <w:rPr>
          <w:rFonts w:ascii="MetaPro-Norm" w:hAnsi="MetaPro-Norm"/>
          <w:sz w:val="22"/>
          <w:szCs w:val="22"/>
        </w:rPr>
      </w:pPr>
    </w:p>
    <w:p w14:paraId="01E6781E" w14:textId="4B8EECB5" w:rsidR="002B3F2E" w:rsidRDefault="00795B4B" w:rsidP="00453F8D">
      <w:pPr>
        <w:pStyle w:val="Body"/>
        <w:rPr>
          <w:rFonts w:ascii="MetaPro-Norm" w:hAnsi="MetaPro-Norm"/>
          <w:sz w:val="22"/>
          <w:szCs w:val="22"/>
        </w:rPr>
      </w:pPr>
      <w:r>
        <w:rPr>
          <w:rFonts w:ascii="MetaPro-Norm" w:hAnsi="MetaPro-Norm"/>
          <w:sz w:val="22"/>
          <w:szCs w:val="22"/>
        </w:rPr>
        <w:t xml:space="preserve">The </w:t>
      </w:r>
      <w:r w:rsidR="00DD35D9">
        <w:rPr>
          <w:rFonts w:ascii="MetaPro-Norm" w:hAnsi="MetaPro-Norm"/>
          <w:sz w:val="22"/>
          <w:szCs w:val="22"/>
        </w:rPr>
        <w:t>E</w:t>
      </w:r>
      <w:r>
        <w:rPr>
          <w:rFonts w:ascii="MetaPro-Norm" w:hAnsi="MetaPro-Norm"/>
          <w:sz w:val="22"/>
          <w:szCs w:val="22"/>
        </w:rPr>
        <w:t xml:space="preserve">ducation </w:t>
      </w:r>
      <w:r w:rsidR="00DD35D9">
        <w:rPr>
          <w:rFonts w:ascii="MetaPro-Norm" w:hAnsi="MetaPro-Norm"/>
          <w:sz w:val="22"/>
          <w:szCs w:val="22"/>
        </w:rPr>
        <w:t>M</w:t>
      </w:r>
      <w:r>
        <w:rPr>
          <w:rFonts w:ascii="MetaPro-Norm" w:hAnsi="MetaPro-Norm"/>
          <w:sz w:val="22"/>
          <w:szCs w:val="22"/>
        </w:rPr>
        <w:t xml:space="preserve">inistry did not respond to Human Rights Watch’s request for comment. </w:t>
      </w:r>
      <w:proofErr w:type="spellStart"/>
      <w:r>
        <w:rPr>
          <w:rFonts w:ascii="MetaPro-Norm" w:hAnsi="MetaPro-Norm"/>
          <w:sz w:val="22"/>
          <w:szCs w:val="22"/>
        </w:rPr>
        <w:t>Notesmaster</w:t>
      </w:r>
      <w:proofErr w:type="spellEnd"/>
      <w:r>
        <w:rPr>
          <w:rFonts w:ascii="MetaPro-Norm" w:hAnsi="MetaPro-Norm"/>
          <w:sz w:val="22"/>
          <w:szCs w:val="22"/>
        </w:rPr>
        <w:t xml:space="preserve"> </w:t>
      </w:r>
      <w:r w:rsidR="00E237AF">
        <w:rPr>
          <w:rFonts w:ascii="MetaPro-Norm" w:hAnsi="MetaPro-Norm"/>
          <w:sz w:val="22"/>
          <w:szCs w:val="22"/>
        </w:rPr>
        <w:t>denied that it shares children’s data with third-party advertising companies and stated that it doe</w:t>
      </w:r>
      <w:r w:rsidR="003F03C3">
        <w:rPr>
          <w:rFonts w:ascii="MetaPro-Norm" w:hAnsi="MetaPro-Norm"/>
          <w:sz w:val="22"/>
          <w:szCs w:val="22"/>
        </w:rPr>
        <w:t>s not display advertising on its site.</w:t>
      </w:r>
      <w:r w:rsidR="00DF5681">
        <w:rPr>
          <w:rStyle w:val="FootnoteReference"/>
          <w:szCs w:val="22"/>
        </w:rPr>
        <w:footnoteReference w:id="24"/>
      </w:r>
      <w:r w:rsidR="0012794F">
        <w:rPr>
          <w:rFonts w:ascii="MetaPro-Norm" w:hAnsi="MetaPro-Norm"/>
          <w:sz w:val="22"/>
          <w:szCs w:val="22"/>
        </w:rPr>
        <w:t xml:space="preserve"> </w:t>
      </w:r>
      <w:r>
        <w:rPr>
          <w:rFonts w:ascii="MetaPro-Norm" w:hAnsi="MetaPro-Norm"/>
          <w:sz w:val="22"/>
          <w:szCs w:val="22"/>
        </w:rPr>
        <w:t xml:space="preserve">In its response, </w:t>
      </w:r>
      <w:r w:rsidRPr="008F3FC9">
        <w:rPr>
          <w:rFonts w:ascii="MetaPro-Norm" w:hAnsi="MetaPro-Norm"/>
          <w:sz w:val="22"/>
          <w:szCs w:val="22"/>
        </w:rPr>
        <w:t xml:space="preserve">Oracle confirmed the data leak, and said that an investigation it conducted in 2020 did not uncover evidence that data relating to children were involved. Oracle stated that any receipt of data related to children would be a violation of Oracle’s agreements and policy, and did not address whether it had nonetheless received child users’ data from six EdTech websites, including </w:t>
      </w:r>
      <w:proofErr w:type="spellStart"/>
      <w:r>
        <w:rPr>
          <w:rFonts w:ascii="MetaPro-Norm" w:hAnsi="MetaPro-Norm"/>
          <w:sz w:val="22"/>
          <w:szCs w:val="22"/>
        </w:rPr>
        <w:t>Notesmaster</w:t>
      </w:r>
      <w:proofErr w:type="spellEnd"/>
      <w:r w:rsidRPr="008F3FC9">
        <w:rPr>
          <w:rFonts w:ascii="MetaPro-Norm" w:hAnsi="MetaPro-Norm"/>
          <w:sz w:val="22"/>
          <w:szCs w:val="22"/>
        </w:rPr>
        <w:t xml:space="preserve">. The company did not address whether data received from </w:t>
      </w:r>
      <w:proofErr w:type="spellStart"/>
      <w:r>
        <w:rPr>
          <w:rFonts w:ascii="MetaPro-Norm" w:hAnsi="MetaPro-Norm"/>
          <w:sz w:val="22"/>
          <w:szCs w:val="22"/>
        </w:rPr>
        <w:t>Notesmaster</w:t>
      </w:r>
      <w:proofErr w:type="spellEnd"/>
      <w:r w:rsidRPr="008F3FC9">
        <w:rPr>
          <w:rFonts w:ascii="MetaPro-Norm" w:hAnsi="MetaPro-Norm"/>
          <w:sz w:val="22"/>
          <w:szCs w:val="22"/>
        </w:rPr>
        <w:t xml:space="preserve"> were exposed as part of the 2020 security breach, and whether it had informed </w:t>
      </w:r>
      <w:proofErr w:type="spellStart"/>
      <w:r>
        <w:rPr>
          <w:rFonts w:ascii="MetaPro-Norm" w:hAnsi="MetaPro-Norm"/>
          <w:sz w:val="22"/>
          <w:szCs w:val="22"/>
        </w:rPr>
        <w:t>Notesmaster</w:t>
      </w:r>
      <w:proofErr w:type="spellEnd"/>
      <w:r w:rsidRPr="008F3FC9">
        <w:rPr>
          <w:rFonts w:ascii="MetaPro-Norm" w:hAnsi="MetaPro-Norm"/>
          <w:sz w:val="22"/>
          <w:szCs w:val="22"/>
        </w:rPr>
        <w:t xml:space="preserve"> or the other EdTech websites about the security breach.</w:t>
      </w:r>
      <w:r>
        <w:rPr>
          <w:rStyle w:val="FootnoteReference"/>
          <w:szCs w:val="22"/>
        </w:rPr>
        <w:footnoteReference w:id="25"/>
      </w:r>
      <w:r>
        <w:rPr>
          <w:rFonts w:ascii="MetaPro-Norm" w:hAnsi="MetaPro-Norm"/>
          <w:sz w:val="22"/>
          <w:szCs w:val="22"/>
        </w:rPr>
        <w:t xml:space="preserve"> </w:t>
      </w:r>
    </w:p>
    <w:p w14:paraId="4694FD59" w14:textId="77777777" w:rsidR="002B3F2E" w:rsidRDefault="002B3F2E" w:rsidP="00453F8D">
      <w:pPr>
        <w:pStyle w:val="Body"/>
        <w:rPr>
          <w:rFonts w:ascii="MetaPro-Norm" w:hAnsi="MetaPro-Norm"/>
          <w:sz w:val="22"/>
          <w:szCs w:val="22"/>
        </w:rPr>
      </w:pPr>
    </w:p>
    <w:p w14:paraId="4F152E2F" w14:textId="637D1C64" w:rsidR="00151F79" w:rsidRDefault="002B3F2E" w:rsidP="00453F8D">
      <w:pPr>
        <w:pStyle w:val="Body"/>
        <w:rPr>
          <w:rFonts w:ascii="MetaPro-Norm" w:hAnsi="MetaPro-Norm"/>
          <w:sz w:val="22"/>
          <w:szCs w:val="22"/>
        </w:rPr>
      </w:pPr>
      <w:r w:rsidRPr="002B3F2E">
        <w:rPr>
          <w:rFonts w:ascii="MetaPro-Norm" w:hAnsi="MetaPro-Norm"/>
          <w:sz w:val="22"/>
          <w:szCs w:val="22"/>
        </w:rPr>
        <w:t xml:space="preserve">Meta did not address whether it was receiving children’s user data from </w:t>
      </w:r>
      <w:proofErr w:type="spellStart"/>
      <w:r w:rsidR="0012794F">
        <w:rPr>
          <w:rFonts w:ascii="MetaPro-Norm" w:hAnsi="MetaPro-Norm"/>
          <w:sz w:val="22"/>
          <w:szCs w:val="22"/>
        </w:rPr>
        <w:t>Notesmaster</w:t>
      </w:r>
      <w:proofErr w:type="spellEnd"/>
      <w:r w:rsidR="0012794F" w:rsidRPr="002B3F2E">
        <w:rPr>
          <w:rFonts w:ascii="MetaPro-Norm" w:hAnsi="MetaPro-Norm"/>
          <w:sz w:val="22"/>
          <w:szCs w:val="22"/>
        </w:rPr>
        <w:t xml:space="preserve"> and</w:t>
      </w:r>
      <w:r w:rsidRPr="002B3F2E">
        <w:rPr>
          <w:rFonts w:ascii="MetaPro-Norm" w:hAnsi="MetaPro-Norm"/>
          <w:sz w:val="22"/>
          <w:szCs w:val="22"/>
        </w:rPr>
        <w:t xml:space="preserve"> said that it was their customers’ responsibility to comply with their policies and applicable laws that prohibit the collection of children’s data.</w:t>
      </w:r>
      <w:r w:rsidR="00D1515E">
        <w:rPr>
          <w:rStyle w:val="FootnoteReference"/>
          <w:szCs w:val="22"/>
        </w:rPr>
        <w:footnoteReference w:id="26"/>
      </w:r>
    </w:p>
    <w:p w14:paraId="4C43DBA9" w14:textId="77777777" w:rsidR="005A461C" w:rsidRDefault="005A461C" w:rsidP="00C056D5">
      <w:pPr>
        <w:pStyle w:val="Body"/>
        <w:rPr>
          <w:rFonts w:ascii="MetaPro-Norm" w:hAnsi="MetaPro-Norm"/>
          <w:sz w:val="22"/>
          <w:szCs w:val="22"/>
        </w:rPr>
      </w:pPr>
    </w:p>
    <w:p w14:paraId="360F81D5" w14:textId="42202C3C" w:rsidR="003E15FD" w:rsidRPr="00F538A8" w:rsidRDefault="003E15FD" w:rsidP="00F538A8">
      <w:pPr>
        <w:pStyle w:val="Body"/>
        <w:rPr>
          <w:rFonts w:ascii="MetaPro-Norm" w:hAnsi="MetaPro-Norm"/>
          <w:i/>
          <w:iCs/>
          <w:sz w:val="22"/>
          <w:szCs w:val="22"/>
        </w:rPr>
      </w:pPr>
      <w:r w:rsidRPr="00F538A8">
        <w:rPr>
          <w:rFonts w:ascii="MetaPro-Norm" w:hAnsi="MetaPro-Norm"/>
          <w:i/>
          <w:iCs/>
          <w:sz w:val="22"/>
          <w:szCs w:val="22"/>
        </w:rPr>
        <w:t>Human Rights Watch recommends that the Committee ask the government of Malawi:</w:t>
      </w:r>
    </w:p>
    <w:p w14:paraId="47E371C7" w14:textId="7FB12D8C" w:rsidR="003E15FD" w:rsidRDefault="003E15FD" w:rsidP="003E15FD">
      <w:pPr>
        <w:pStyle w:val="Body"/>
        <w:numPr>
          <w:ilvl w:val="0"/>
          <w:numId w:val="5"/>
        </w:numPr>
        <w:rPr>
          <w:rFonts w:ascii="MetaPro-Norm" w:hAnsi="MetaPro-Norm"/>
          <w:sz w:val="22"/>
          <w:szCs w:val="22"/>
        </w:rPr>
      </w:pPr>
      <w:r w:rsidRPr="003E15FD">
        <w:rPr>
          <w:rFonts w:ascii="MetaPro-Norm" w:hAnsi="MetaPro-Norm"/>
          <w:sz w:val="22"/>
          <w:szCs w:val="22"/>
        </w:rPr>
        <w:t xml:space="preserve">Does the government have plans to </w:t>
      </w:r>
      <w:r w:rsidR="00DD5D19">
        <w:rPr>
          <w:rFonts w:ascii="MetaPro-Norm" w:hAnsi="MetaPro-Norm"/>
          <w:sz w:val="22"/>
          <w:szCs w:val="22"/>
        </w:rPr>
        <w:t xml:space="preserve">amend its proposed draft data protection law to </w:t>
      </w:r>
      <w:r w:rsidR="00C549CE">
        <w:rPr>
          <w:rFonts w:ascii="MetaPro-Norm" w:hAnsi="MetaPro-Norm"/>
          <w:sz w:val="22"/>
          <w:szCs w:val="22"/>
        </w:rPr>
        <w:t xml:space="preserve">incorporate </w:t>
      </w:r>
      <w:r w:rsidRPr="003E15FD">
        <w:rPr>
          <w:rFonts w:ascii="MetaPro-Norm" w:hAnsi="MetaPro-Norm"/>
          <w:sz w:val="22"/>
          <w:szCs w:val="22"/>
        </w:rPr>
        <w:t>comprehensive</w:t>
      </w:r>
      <w:r w:rsidR="000C78FC">
        <w:rPr>
          <w:rFonts w:ascii="MetaPro-Norm" w:hAnsi="MetaPro-Norm"/>
          <w:sz w:val="22"/>
          <w:szCs w:val="22"/>
        </w:rPr>
        <w:t xml:space="preserve"> protections for</w:t>
      </w:r>
      <w:r w:rsidRPr="003E15FD">
        <w:rPr>
          <w:rFonts w:ascii="MetaPro-Norm" w:hAnsi="MetaPro-Norm"/>
          <w:sz w:val="22"/>
          <w:szCs w:val="22"/>
        </w:rPr>
        <w:t xml:space="preserve"> </w:t>
      </w:r>
      <w:r w:rsidR="00AC3ADC">
        <w:rPr>
          <w:rFonts w:ascii="MetaPro-Norm" w:hAnsi="MetaPro-Norm"/>
          <w:sz w:val="22"/>
          <w:szCs w:val="22"/>
        </w:rPr>
        <w:t>child</w:t>
      </w:r>
      <w:r w:rsidR="000C78FC">
        <w:rPr>
          <w:rFonts w:ascii="MetaPro-Norm" w:hAnsi="MetaPro-Norm"/>
          <w:sz w:val="22"/>
          <w:szCs w:val="22"/>
        </w:rPr>
        <w:t>ren</w:t>
      </w:r>
      <w:r w:rsidRPr="003E15FD">
        <w:rPr>
          <w:rFonts w:ascii="MetaPro-Norm" w:hAnsi="MetaPro-Norm"/>
          <w:sz w:val="22"/>
          <w:szCs w:val="22"/>
        </w:rPr>
        <w:t>?</w:t>
      </w:r>
    </w:p>
    <w:p w14:paraId="21007763" w14:textId="1DA51907" w:rsidR="003E15FD" w:rsidRDefault="003E15FD" w:rsidP="00F538A8">
      <w:pPr>
        <w:pStyle w:val="Body"/>
        <w:numPr>
          <w:ilvl w:val="0"/>
          <w:numId w:val="5"/>
        </w:numPr>
        <w:rPr>
          <w:rFonts w:ascii="MetaPro-Norm" w:hAnsi="MetaPro-Norm"/>
          <w:sz w:val="22"/>
          <w:szCs w:val="22"/>
        </w:rPr>
      </w:pPr>
      <w:r w:rsidRPr="003E15FD">
        <w:rPr>
          <w:rFonts w:ascii="MetaPro-Norm" w:hAnsi="MetaPro-Norm"/>
          <w:sz w:val="22"/>
          <w:szCs w:val="22"/>
        </w:rPr>
        <w:t xml:space="preserve">What recourse or remedy does the government provide, or is planning to provide, to </w:t>
      </w:r>
      <w:r w:rsidR="00AE27FE">
        <w:rPr>
          <w:rFonts w:ascii="MetaPro-Norm" w:hAnsi="MetaPro-Norm"/>
          <w:sz w:val="22"/>
          <w:szCs w:val="22"/>
        </w:rPr>
        <w:t>children</w:t>
      </w:r>
      <w:r w:rsidRPr="003E15FD">
        <w:rPr>
          <w:rFonts w:ascii="MetaPro-Norm" w:hAnsi="MetaPro-Norm"/>
          <w:sz w:val="22"/>
          <w:szCs w:val="22"/>
        </w:rPr>
        <w:t xml:space="preserve"> who have experienced infringements of their rights as a result of their use of </w:t>
      </w:r>
      <w:proofErr w:type="spellStart"/>
      <w:r>
        <w:rPr>
          <w:rFonts w:ascii="MetaPro-Norm" w:hAnsi="MetaPro-Norm"/>
          <w:sz w:val="22"/>
          <w:szCs w:val="22"/>
        </w:rPr>
        <w:t>Notesmaster</w:t>
      </w:r>
      <w:proofErr w:type="spellEnd"/>
      <w:r w:rsidRPr="003E15FD">
        <w:rPr>
          <w:rFonts w:ascii="MetaPro-Norm" w:hAnsi="MetaPro-Norm"/>
          <w:sz w:val="22"/>
          <w:szCs w:val="22"/>
        </w:rPr>
        <w:t xml:space="preserve"> and whose data remain at risk of misuse and exploitation?</w:t>
      </w:r>
    </w:p>
    <w:p w14:paraId="6C3FAFF3" w14:textId="77777777" w:rsidR="0084302C" w:rsidRPr="00F538A8" w:rsidRDefault="0084302C" w:rsidP="0084302C">
      <w:pPr>
        <w:pStyle w:val="Body"/>
        <w:ind w:left="720"/>
        <w:rPr>
          <w:rFonts w:ascii="MetaPro-Norm" w:hAnsi="MetaPro-Norm"/>
          <w:sz w:val="22"/>
          <w:szCs w:val="22"/>
        </w:rPr>
      </w:pPr>
    </w:p>
    <w:p w14:paraId="7E722B96" w14:textId="47814738" w:rsidR="003E15FD" w:rsidRPr="003E15FD" w:rsidRDefault="003E15FD" w:rsidP="003E15FD">
      <w:pPr>
        <w:pStyle w:val="Body"/>
        <w:rPr>
          <w:rFonts w:ascii="MetaPro-Norm" w:hAnsi="MetaPro-Norm"/>
          <w:i/>
          <w:iCs/>
          <w:sz w:val="22"/>
          <w:szCs w:val="22"/>
        </w:rPr>
      </w:pPr>
      <w:r w:rsidRPr="003E15FD">
        <w:rPr>
          <w:rFonts w:ascii="MetaPro-Norm" w:hAnsi="MetaPro-Norm"/>
          <w:i/>
          <w:iCs/>
          <w:sz w:val="22"/>
          <w:szCs w:val="22"/>
        </w:rPr>
        <w:t>Human Rights Watch recommends that the Committee call on the government of Malawi to:</w:t>
      </w:r>
    </w:p>
    <w:p w14:paraId="4DE7A35A" w14:textId="3A6DD12E" w:rsidR="005F51E6" w:rsidRDefault="003E15FD" w:rsidP="005F51E6">
      <w:pPr>
        <w:pStyle w:val="Body"/>
        <w:numPr>
          <w:ilvl w:val="0"/>
          <w:numId w:val="6"/>
        </w:numPr>
        <w:rPr>
          <w:rFonts w:ascii="MetaPro-Norm" w:hAnsi="MetaPro-Norm"/>
          <w:sz w:val="22"/>
          <w:szCs w:val="22"/>
        </w:rPr>
      </w:pPr>
      <w:r w:rsidRPr="003E15FD">
        <w:rPr>
          <w:rFonts w:ascii="MetaPro-Norm" w:hAnsi="MetaPro-Norm"/>
          <w:sz w:val="22"/>
          <w:szCs w:val="22"/>
        </w:rPr>
        <w:t>A</w:t>
      </w:r>
      <w:r w:rsidR="00C549CE">
        <w:rPr>
          <w:rFonts w:ascii="MetaPro-Norm" w:hAnsi="MetaPro-Norm"/>
          <w:sz w:val="22"/>
          <w:szCs w:val="22"/>
        </w:rPr>
        <w:t>mend and a</w:t>
      </w:r>
      <w:r w:rsidRPr="003E15FD">
        <w:rPr>
          <w:rFonts w:ascii="MetaPro-Norm" w:hAnsi="MetaPro-Norm"/>
          <w:sz w:val="22"/>
          <w:szCs w:val="22"/>
        </w:rPr>
        <w:t xml:space="preserve">dopt </w:t>
      </w:r>
      <w:r w:rsidR="00C549CE">
        <w:rPr>
          <w:rFonts w:ascii="MetaPro-Norm" w:hAnsi="MetaPro-Norm"/>
          <w:sz w:val="22"/>
          <w:szCs w:val="22"/>
        </w:rPr>
        <w:t xml:space="preserve">its </w:t>
      </w:r>
      <w:r w:rsidR="00720C77">
        <w:rPr>
          <w:rFonts w:ascii="MetaPro-Norm" w:hAnsi="MetaPro-Norm"/>
          <w:sz w:val="22"/>
          <w:szCs w:val="22"/>
        </w:rPr>
        <w:t xml:space="preserve">proposed </w:t>
      </w:r>
      <w:r w:rsidR="00C549CE">
        <w:rPr>
          <w:rFonts w:ascii="MetaPro-Norm" w:hAnsi="MetaPro-Norm"/>
          <w:sz w:val="22"/>
          <w:szCs w:val="22"/>
        </w:rPr>
        <w:t xml:space="preserve">draft </w:t>
      </w:r>
      <w:r w:rsidRPr="003E15FD">
        <w:rPr>
          <w:rFonts w:ascii="MetaPro-Norm" w:hAnsi="MetaPro-Norm"/>
          <w:sz w:val="22"/>
          <w:szCs w:val="22"/>
        </w:rPr>
        <w:t>data protection law</w:t>
      </w:r>
      <w:r w:rsidR="00C549CE">
        <w:rPr>
          <w:rFonts w:ascii="MetaPro-Norm" w:hAnsi="MetaPro-Norm"/>
          <w:sz w:val="22"/>
          <w:szCs w:val="22"/>
        </w:rPr>
        <w:t xml:space="preserve"> to </w:t>
      </w:r>
      <w:r w:rsidR="00720C77">
        <w:rPr>
          <w:rFonts w:ascii="MetaPro-Norm" w:hAnsi="MetaPro-Norm"/>
          <w:sz w:val="22"/>
          <w:szCs w:val="22"/>
        </w:rPr>
        <w:t>incorporate comprehensive protections for children</w:t>
      </w:r>
      <w:r w:rsidR="00EC7AC2">
        <w:rPr>
          <w:rFonts w:ascii="MetaPro-Norm" w:hAnsi="MetaPro-Norm"/>
          <w:sz w:val="22"/>
          <w:szCs w:val="22"/>
        </w:rPr>
        <w:t xml:space="preserve">. </w:t>
      </w:r>
      <w:r w:rsidR="000716C4">
        <w:rPr>
          <w:rFonts w:ascii="MetaPro-Norm" w:hAnsi="MetaPro-Norm"/>
          <w:sz w:val="22"/>
          <w:szCs w:val="22"/>
        </w:rPr>
        <w:t>Such protections should</w:t>
      </w:r>
      <w:r w:rsidR="00A322F3">
        <w:rPr>
          <w:rFonts w:ascii="MetaPro-Norm" w:hAnsi="MetaPro-Norm"/>
          <w:sz w:val="22"/>
          <w:szCs w:val="22"/>
        </w:rPr>
        <w:t xml:space="preserve"> require that any processing of children’s data meet strict requirements of necessity and proportionality, regardless of consent.</w:t>
      </w:r>
    </w:p>
    <w:p w14:paraId="70125A68" w14:textId="37A1329D" w:rsidR="003E15FD" w:rsidRDefault="003E15FD" w:rsidP="005F51E6">
      <w:pPr>
        <w:pStyle w:val="Body"/>
        <w:numPr>
          <w:ilvl w:val="0"/>
          <w:numId w:val="6"/>
        </w:numPr>
        <w:rPr>
          <w:rFonts w:ascii="MetaPro-Norm" w:hAnsi="MetaPro-Norm"/>
          <w:sz w:val="22"/>
          <w:szCs w:val="22"/>
        </w:rPr>
      </w:pPr>
      <w:r w:rsidRPr="005F51E6">
        <w:rPr>
          <w:rFonts w:ascii="MetaPro-Norm" w:hAnsi="MetaPro-Norm"/>
          <w:sz w:val="22"/>
          <w:szCs w:val="22"/>
        </w:rPr>
        <w:t xml:space="preserve">Provide remedies for children whose data were collected through their use of </w:t>
      </w:r>
      <w:proofErr w:type="spellStart"/>
      <w:r w:rsidR="005F51E6">
        <w:rPr>
          <w:rFonts w:ascii="MetaPro-Norm" w:hAnsi="MetaPro-Norm"/>
          <w:sz w:val="22"/>
          <w:szCs w:val="22"/>
        </w:rPr>
        <w:t>Notesmaster</w:t>
      </w:r>
      <w:proofErr w:type="spellEnd"/>
      <w:r w:rsidRPr="005F51E6">
        <w:rPr>
          <w:rFonts w:ascii="MetaPro-Norm" w:hAnsi="MetaPro-Norm"/>
          <w:sz w:val="22"/>
          <w:szCs w:val="22"/>
        </w:rPr>
        <w:t xml:space="preserve">. To do so, the </w:t>
      </w:r>
      <w:r w:rsidR="003F1022">
        <w:rPr>
          <w:rFonts w:ascii="MetaPro-Norm" w:hAnsi="MetaPro-Norm"/>
          <w:sz w:val="22"/>
          <w:szCs w:val="22"/>
        </w:rPr>
        <w:t>E</w:t>
      </w:r>
      <w:r w:rsidR="00876E6C">
        <w:rPr>
          <w:rFonts w:ascii="MetaPro-Norm" w:hAnsi="MetaPro-Norm"/>
          <w:sz w:val="22"/>
          <w:szCs w:val="22"/>
        </w:rPr>
        <w:t xml:space="preserve">ducation </w:t>
      </w:r>
      <w:r w:rsidR="003F1022">
        <w:rPr>
          <w:rFonts w:ascii="MetaPro-Norm" w:hAnsi="MetaPro-Norm"/>
          <w:sz w:val="22"/>
          <w:szCs w:val="22"/>
        </w:rPr>
        <w:t>M</w:t>
      </w:r>
      <w:r w:rsidR="00876E6C">
        <w:rPr>
          <w:rFonts w:ascii="MetaPro-Norm" w:hAnsi="MetaPro-Norm"/>
          <w:sz w:val="22"/>
          <w:szCs w:val="22"/>
        </w:rPr>
        <w:t>inistry</w:t>
      </w:r>
      <w:r w:rsidRPr="005F51E6">
        <w:rPr>
          <w:rFonts w:ascii="MetaPro-Norm" w:hAnsi="MetaPro-Norm"/>
          <w:sz w:val="22"/>
          <w:szCs w:val="22"/>
        </w:rPr>
        <w:t xml:space="preserve"> should:</w:t>
      </w:r>
    </w:p>
    <w:p w14:paraId="1488F6D3" w14:textId="77777777" w:rsidR="00505604" w:rsidRPr="005F51E6" w:rsidRDefault="00505604" w:rsidP="00A47BED">
      <w:pPr>
        <w:pStyle w:val="Body"/>
        <w:rPr>
          <w:rFonts w:ascii="MetaPro-Norm" w:hAnsi="MetaPro-Norm"/>
          <w:sz w:val="22"/>
          <w:szCs w:val="22"/>
        </w:rPr>
      </w:pPr>
    </w:p>
    <w:p w14:paraId="112BCA7A" w14:textId="643F5BFC" w:rsidR="005F51E6" w:rsidRDefault="00876E6C" w:rsidP="005F51E6">
      <w:pPr>
        <w:pStyle w:val="Body"/>
        <w:numPr>
          <w:ilvl w:val="1"/>
          <w:numId w:val="6"/>
        </w:numPr>
        <w:rPr>
          <w:rFonts w:ascii="MetaPro-Norm" w:hAnsi="MetaPro-Norm"/>
          <w:sz w:val="22"/>
          <w:szCs w:val="22"/>
        </w:rPr>
      </w:pPr>
      <w:r>
        <w:rPr>
          <w:rFonts w:ascii="MetaPro-Norm" w:hAnsi="MetaPro-Norm"/>
          <w:sz w:val="22"/>
          <w:szCs w:val="22"/>
        </w:rPr>
        <w:t xml:space="preserve">Require </w:t>
      </w:r>
      <w:proofErr w:type="spellStart"/>
      <w:r>
        <w:rPr>
          <w:rFonts w:ascii="MetaPro-Norm" w:hAnsi="MetaPro-Norm"/>
          <w:sz w:val="22"/>
          <w:szCs w:val="22"/>
        </w:rPr>
        <w:t>Notesmaster</w:t>
      </w:r>
      <w:proofErr w:type="spellEnd"/>
      <w:r>
        <w:rPr>
          <w:rFonts w:ascii="MetaPro-Norm" w:hAnsi="MetaPro-Norm"/>
          <w:sz w:val="22"/>
          <w:szCs w:val="22"/>
        </w:rPr>
        <w:t xml:space="preserve"> to i</w:t>
      </w:r>
      <w:r w:rsidRPr="003E15FD">
        <w:rPr>
          <w:rFonts w:ascii="MetaPro-Norm" w:hAnsi="MetaPro-Norm"/>
          <w:sz w:val="22"/>
          <w:szCs w:val="22"/>
        </w:rPr>
        <w:t xml:space="preserve">mmediately </w:t>
      </w:r>
      <w:r w:rsidR="003E15FD" w:rsidRPr="003E15FD">
        <w:rPr>
          <w:rFonts w:ascii="MetaPro-Norm" w:hAnsi="MetaPro-Norm"/>
          <w:sz w:val="22"/>
          <w:szCs w:val="22"/>
        </w:rPr>
        <w:t xml:space="preserve">remove all ad tracking technologies from </w:t>
      </w:r>
      <w:r>
        <w:rPr>
          <w:rFonts w:ascii="MetaPro-Norm" w:hAnsi="MetaPro-Norm"/>
          <w:sz w:val="22"/>
          <w:szCs w:val="22"/>
        </w:rPr>
        <w:t>its website</w:t>
      </w:r>
      <w:r w:rsidR="00E959DF">
        <w:rPr>
          <w:rFonts w:ascii="MetaPro-Norm" w:hAnsi="MetaPro-Norm"/>
          <w:sz w:val="22"/>
          <w:szCs w:val="22"/>
        </w:rPr>
        <w:t>,</w:t>
      </w:r>
      <w:r w:rsidRPr="003E15FD">
        <w:rPr>
          <w:rFonts w:ascii="MetaPro-Norm" w:hAnsi="MetaPro-Norm"/>
          <w:sz w:val="22"/>
          <w:szCs w:val="22"/>
        </w:rPr>
        <w:t xml:space="preserve"> </w:t>
      </w:r>
      <w:r w:rsidR="003E15FD" w:rsidRPr="003E15FD">
        <w:rPr>
          <w:rFonts w:ascii="MetaPro-Norm" w:hAnsi="MetaPro-Norm"/>
          <w:sz w:val="22"/>
          <w:szCs w:val="22"/>
        </w:rPr>
        <w:t>and delete any children’s data collected during the pandemic.</w:t>
      </w:r>
    </w:p>
    <w:p w14:paraId="4C56ADA5" w14:textId="77777777" w:rsidR="003F3201" w:rsidRDefault="003E15FD" w:rsidP="003F3201">
      <w:pPr>
        <w:pStyle w:val="Body"/>
        <w:numPr>
          <w:ilvl w:val="1"/>
          <w:numId w:val="6"/>
        </w:numPr>
        <w:rPr>
          <w:rFonts w:ascii="MetaPro-Norm" w:hAnsi="MetaPro-Norm"/>
          <w:sz w:val="22"/>
          <w:szCs w:val="22"/>
        </w:rPr>
      </w:pPr>
      <w:r w:rsidRPr="005F51E6">
        <w:rPr>
          <w:rFonts w:ascii="MetaPro-Norm" w:hAnsi="MetaPro-Norm"/>
          <w:sz w:val="22"/>
          <w:szCs w:val="22"/>
        </w:rPr>
        <w:t>Immediately notify and guide affected schools, teachers, parents, and children to prevent further collection and misuse of children’s data.</w:t>
      </w:r>
    </w:p>
    <w:p w14:paraId="7FF6FC76" w14:textId="005BB9AE" w:rsidR="003F3201" w:rsidRDefault="003E15FD" w:rsidP="003F3201">
      <w:pPr>
        <w:pStyle w:val="Body"/>
        <w:numPr>
          <w:ilvl w:val="1"/>
          <w:numId w:val="6"/>
        </w:numPr>
        <w:rPr>
          <w:rFonts w:ascii="MetaPro-Norm" w:hAnsi="MetaPro-Norm"/>
          <w:sz w:val="22"/>
          <w:szCs w:val="22"/>
        </w:rPr>
      </w:pPr>
      <w:r w:rsidRPr="003F3201">
        <w:rPr>
          <w:rFonts w:ascii="MetaPro-Norm" w:hAnsi="MetaPro-Norm"/>
          <w:sz w:val="22"/>
          <w:szCs w:val="22"/>
        </w:rPr>
        <w:t xml:space="preserve">Require AdTech companies to identify and immediately delete any children’s data they received from </w:t>
      </w:r>
      <w:proofErr w:type="spellStart"/>
      <w:r w:rsidR="003F3201">
        <w:rPr>
          <w:rFonts w:ascii="MetaPro-Norm" w:hAnsi="MetaPro-Norm"/>
          <w:sz w:val="22"/>
          <w:szCs w:val="22"/>
        </w:rPr>
        <w:t>Notesmaster</w:t>
      </w:r>
      <w:proofErr w:type="spellEnd"/>
      <w:r w:rsidRPr="003F3201">
        <w:rPr>
          <w:rFonts w:ascii="MetaPro-Norm" w:hAnsi="MetaPro-Norm"/>
          <w:sz w:val="22"/>
          <w:szCs w:val="22"/>
        </w:rPr>
        <w:t xml:space="preserve"> during the pandemic.</w:t>
      </w:r>
    </w:p>
    <w:p w14:paraId="59EEEF19" w14:textId="77777777" w:rsidR="003F3201" w:rsidRDefault="003F3201" w:rsidP="003F3201">
      <w:pPr>
        <w:pStyle w:val="Body"/>
        <w:ind w:left="1440"/>
        <w:rPr>
          <w:rFonts w:ascii="MetaPro-Norm" w:hAnsi="MetaPro-Norm"/>
          <w:sz w:val="22"/>
          <w:szCs w:val="22"/>
        </w:rPr>
      </w:pPr>
    </w:p>
    <w:p w14:paraId="0DC88F24" w14:textId="6B50A757" w:rsidR="003E15FD" w:rsidRDefault="003E15FD" w:rsidP="003F3201">
      <w:pPr>
        <w:pStyle w:val="Body"/>
        <w:numPr>
          <w:ilvl w:val="0"/>
          <w:numId w:val="6"/>
        </w:numPr>
        <w:rPr>
          <w:rFonts w:ascii="MetaPro-Norm" w:hAnsi="MetaPro-Norm"/>
          <w:sz w:val="22"/>
          <w:szCs w:val="22"/>
        </w:rPr>
      </w:pPr>
      <w:r w:rsidRPr="003F3201">
        <w:rPr>
          <w:rFonts w:ascii="MetaPro-Norm" w:hAnsi="MetaPro-Norm"/>
          <w:sz w:val="22"/>
          <w:szCs w:val="22"/>
        </w:rPr>
        <w:lastRenderedPageBreak/>
        <w:t xml:space="preserve">Ensure that any services that are endorsed or procured to deliver online education are safe for children. In coordination with data protection authorities and other relevant institutions, the </w:t>
      </w:r>
      <w:r w:rsidR="00821DC4">
        <w:rPr>
          <w:rFonts w:ascii="MetaPro-Norm" w:hAnsi="MetaPro-Norm"/>
          <w:sz w:val="22"/>
          <w:szCs w:val="22"/>
        </w:rPr>
        <w:t>E</w:t>
      </w:r>
      <w:r w:rsidRPr="003F3201">
        <w:rPr>
          <w:rFonts w:ascii="MetaPro-Norm" w:hAnsi="MetaPro-Norm"/>
          <w:sz w:val="22"/>
          <w:szCs w:val="22"/>
        </w:rPr>
        <w:t xml:space="preserve">ducation </w:t>
      </w:r>
      <w:r w:rsidR="00821DC4">
        <w:rPr>
          <w:rFonts w:ascii="MetaPro-Norm" w:hAnsi="MetaPro-Norm"/>
          <w:sz w:val="22"/>
          <w:szCs w:val="22"/>
        </w:rPr>
        <w:t>M</w:t>
      </w:r>
      <w:r w:rsidRPr="003F3201">
        <w:rPr>
          <w:rFonts w:ascii="MetaPro-Norm" w:hAnsi="MetaPro-Norm"/>
          <w:sz w:val="22"/>
          <w:szCs w:val="22"/>
        </w:rPr>
        <w:t>inistry should:</w:t>
      </w:r>
    </w:p>
    <w:p w14:paraId="716D0A12" w14:textId="77777777" w:rsidR="00631DCE" w:rsidRPr="003F3201" w:rsidRDefault="00631DCE" w:rsidP="00631DCE">
      <w:pPr>
        <w:pStyle w:val="Body"/>
        <w:ind w:left="720"/>
        <w:rPr>
          <w:rFonts w:ascii="MetaPro-Norm" w:hAnsi="MetaPro-Norm"/>
          <w:sz w:val="22"/>
          <w:szCs w:val="22"/>
        </w:rPr>
      </w:pPr>
    </w:p>
    <w:p w14:paraId="342C4BDD" w14:textId="77777777" w:rsidR="003F3201" w:rsidRDefault="003E15FD" w:rsidP="003F3201">
      <w:pPr>
        <w:pStyle w:val="Body"/>
        <w:numPr>
          <w:ilvl w:val="1"/>
          <w:numId w:val="6"/>
        </w:numPr>
        <w:rPr>
          <w:rFonts w:ascii="MetaPro-Norm" w:hAnsi="MetaPro-Norm"/>
          <w:sz w:val="22"/>
          <w:szCs w:val="22"/>
        </w:rPr>
      </w:pPr>
      <w:r w:rsidRPr="003E15FD">
        <w:rPr>
          <w:rFonts w:ascii="MetaPro-Norm" w:hAnsi="MetaPro-Norm"/>
          <w:sz w:val="22"/>
          <w:szCs w:val="22"/>
        </w:rPr>
        <w:t>Require all actors providing digital educational services to children to identify, prevent, and mitigate negative impacts on children’s rights, including across their business relationships and global operations.</w:t>
      </w:r>
    </w:p>
    <w:p w14:paraId="21395A4C" w14:textId="77777777" w:rsidR="003F3201" w:rsidRDefault="003E15FD" w:rsidP="003F3201">
      <w:pPr>
        <w:pStyle w:val="Body"/>
        <w:numPr>
          <w:ilvl w:val="1"/>
          <w:numId w:val="6"/>
        </w:numPr>
        <w:rPr>
          <w:rFonts w:ascii="MetaPro-Norm" w:hAnsi="MetaPro-Norm"/>
          <w:sz w:val="22"/>
          <w:szCs w:val="22"/>
        </w:rPr>
      </w:pPr>
      <w:r w:rsidRPr="003F3201">
        <w:rPr>
          <w:rFonts w:ascii="MetaPro-Norm" w:hAnsi="MetaPro-Norm"/>
          <w:sz w:val="22"/>
          <w:szCs w:val="22"/>
        </w:rPr>
        <w:t>Require child data protection impact assessments of any educational technology provider seeking public investment, procurement, or endorsement.</w:t>
      </w:r>
    </w:p>
    <w:p w14:paraId="2A920371" w14:textId="77777777" w:rsidR="002A6865" w:rsidRDefault="003E15FD" w:rsidP="002A6865">
      <w:pPr>
        <w:pStyle w:val="Body"/>
        <w:numPr>
          <w:ilvl w:val="1"/>
          <w:numId w:val="6"/>
        </w:numPr>
        <w:rPr>
          <w:rFonts w:ascii="MetaPro-Norm" w:hAnsi="MetaPro-Norm"/>
          <w:sz w:val="22"/>
          <w:szCs w:val="22"/>
        </w:rPr>
      </w:pPr>
      <w:r w:rsidRPr="003F3201">
        <w:rPr>
          <w:rFonts w:ascii="MetaPro-Norm" w:hAnsi="MetaPro-Norm"/>
          <w:sz w:val="22"/>
          <w:szCs w:val="22"/>
        </w:rPr>
        <w:t>Ensure that public and private educational institutions enter into written contracts with EdTech providers that include protections for children’s data.</w:t>
      </w:r>
    </w:p>
    <w:p w14:paraId="7DE28779" w14:textId="481A0DD8" w:rsidR="003E15FD" w:rsidRPr="002A6865" w:rsidRDefault="003E15FD" w:rsidP="002A6865">
      <w:pPr>
        <w:pStyle w:val="Body"/>
        <w:numPr>
          <w:ilvl w:val="1"/>
          <w:numId w:val="6"/>
        </w:numPr>
        <w:rPr>
          <w:rFonts w:ascii="MetaPro-Norm" w:hAnsi="MetaPro-Norm"/>
          <w:sz w:val="22"/>
          <w:szCs w:val="22"/>
        </w:rPr>
      </w:pPr>
      <w:r w:rsidRPr="002A6865">
        <w:rPr>
          <w:rFonts w:ascii="MetaPro-Norm" w:hAnsi="MetaPro-Norm"/>
          <w:sz w:val="22"/>
          <w:szCs w:val="22"/>
        </w:rPr>
        <w:t>Define and provide special protections for categories of sensitive personal data that should never be collected from children in educational settings.</w:t>
      </w:r>
    </w:p>
    <w:p w14:paraId="462D4905" w14:textId="77777777" w:rsidR="000035CE" w:rsidRPr="00154097" w:rsidRDefault="000035CE" w:rsidP="00C056D5">
      <w:pPr>
        <w:pStyle w:val="Body"/>
        <w:rPr>
          <w:rFonts w:ascii="MetaPro-Norm" w:hAnsi="MetaPro-Norm"/>
          <w:b/>
          <w:bCs/>
          <w:sz w:val="22"/>
          <w:szCs w:val="22"/>
        </w:rPr>
      </w:pPr>
    </w:p>
    <w:p w14:paraId="06E46626" w14:textId="00661468" w:rsidR="00EA37CD" w:rsidRDefault="00EA37CD" w:rsidP="00C056D5">
      <w:pPr>
        <w:pStyle w:val="Body"/>
        <w:rPr>
          <w:rFonts w:ascii="MetaPro-Norm" w:hAnsi="MetaPro-Norm"/>
          <w:b/>
          <w:bCs/>
          <w:sz w:val="22"/>
          <w:szCs w:val="22"/>
        </w:rPr>
      </w:pPr>
      <w:r w:rsidRPr="00EA37CD">
        <w:rPr>
          <w:rFonts w:ascii="MetaPro-Norm" w:hAnsi="MetaPro-Norm"/>
          <w:b/>
          <w:bCs/>
          <w:sz w:val="22"/>
          <w:szCs w:val="22"/>
        </w:rPr>
        <w:t xml:space="preserve">Protection of Education from Attack </w:t>
      </w:r>
      <w:r w:rsidRPr="00EB10B7">
        <w:rPr>
          <w:rFonts w:ascii="MetaPro-Norm" w:hAnsi="MetaPro-Norm"/>
          <w:b/>
          <w:bCs/>
          <w:sz w:val="22"/>
          <w:szCs w:val="22"/>
        </w:rPr>
        <w:t xml:space="preserve">(article </w:t>
      </w:r>
      <w:r w:rsidR="00EB10B7" w:rsidRPr="00EB10B7">
        <w:rPr>
          <w:rFonts w:ascii="MetaPro-Norm" w:hAnsi="MetaPro-Norm"/>
          <w:b/>
          <w:bCs/>
          <w:sz w:val="22"/>
          <w:szCs w:val="22"/>
        </w:rPr>
        <w:t>13</w:t>
      </w:r>
      <w:r w:rsidRPr="00EB10B7">
        <w:rPr>
          <w:rFonts w:ascii="MetaPro-Norm" w:hAnsi="MetaPro-Norm"/>
          <w:b/>
          <w:bCs/>
          <w:sz w:val="22"/>
          <w:szCs w:val="22"/>
        </w:rPr>
        <w:t>)</w:t>
      </w:r>
    </w:p>
    <w:p w14:paraId="1FDF5A85" w14:textId="7EE65913" w:rsidR="00A06B3B" w:rsidRPr="003B3CC2" w:rsidRDefault="0B851642" w:rsidP="00A06B3B">
      <w:pPr>
        <w:spacing w:after="0" w:line="240" w:lineRule="auto"/>
        <w:rPr>
          <w:rFonts w:ascii="MetaPro-Norm" w:hAnsi="MetaPro-Norm"/>
        </w:rPr>
      </w:pPr>
      <w:r w:rsidRPr="003B3CC2">
        <w:rPr>
          <w:rFonts w:ascii="MetaPro-Norm" w:hAnsi="MetaPro-Norm"/>
        </w:rPr>
        <w:t>T</w:t>
      </w:r>
      <w:r w:rsidR="00A06B3B" w:rsidRPr="003B3CC2">
        <w:rPr>
          <w:rFonts w:ascii="MetaPro-Norm" w:hAnsi="MetaPro-Norm"/>
        </w:rPr>
        <w:t>he Safe Schools Declaration is an inter-governmental political commitment that provides countries the opportunity to express political support for the protection of students, teachers, and schools during times of armed conflict,</w:t>
      </w:r>
      <w:r w:rsidR="00A06B3B" w:rsidRPr="00C05FB7">
        <w:rPr>
          <w:rStyle w:val="FootnoteReference"/>
        </w:rPr>
        <w:footnoteReference w:id="27"/>
      </w:r>
      <w:r w:rsidR="00A06B3B" w:rsidRPr="003B3CC2">
        <w:rPr>
          <w:rFonts w:ascii="MetaPro-Norm" w:hAnsi="MetaPro-Norm"/>
        </w:rPr>
        <w:t xml:space="preserve"> the importance of the continuation of education during armed conflict, and the implementation of the Guidelines for Protecting Schools and Universities from Military Use during Armed Conflict.</w:t>
      </w:r>
      <w:r w:rsidR="00A06B3B" w:rsidRPr="00C05FB7">
        <w:rPr>
          <w:rStyle w:val="FootnoteReference"/>
        </w:rPr>
        <w:footnoteReference w:id="28"/>
      </w:r>
      <w:r w:rsidR="00A06B3B" w:rsidRPr="003B3CC2">
        <w:rPr>
          <w:rFonts w:ascii="MetaPro-Norm" w:hAnsi="MetaPro-Norm"/>
        </w:rPr>
        <w:t xml:space="preserve"> </w:t>
      </w:r>
      <w:r w:rsidR="3DD720D3" w:rsidRPr="003B3CC2">
        <w:rPr>
          <w:rFonts w:ascii="MetaPro-Norm" w:hAnsi="MetaPro-Norm"/>
        </w:rPr>
        <w:t xml:space="preserve">Malawi </w:t>
      </w:r>
      <w:r w:rsidR="00A06B3B" w:rsidRPr="003B3CC2">
        <w:rPr>
          <w:rFonts w:ascii="MetaPro-Norm" w:hAnsi="MetaPro-Norm"/>
        </w:rPr>
        <w:t>endorsed the Safe Schools Declaration in</w:t>
      </w:r>
      <w:r w:rsidR="003279FD">
        <w:rPr>
          <w:rFonts w:ascii="MetaPro-Norm" w:hAnsi="MetaPro-Norm"/>
        </w:rPr>
        <w:t xml:space="preserve"> </w:t>
      </w:r>
      <w:r w:rsidR="00C97273">
        <w:rPr>
          <w:rFonts w:ascii="MetaPro-Norm" w:hAnsi="MetaPro-Norm"/>
        </w:rPr>
        <w:t>February 2020</w:t>
      </w:r>
      <w:r w:rsidR="00A06B3B" w:rsidRPr="003B3CC2">
        <w:rPr>
          <w:rFonts w:ascii="MetaPro-Norm" w:hAnsi="MetaPro-Norm"/>
        </w:rPr>
        <w:t>.</w:t>
      </w:r>
      <w:r w:rsidR="00A06B3B" w:rsidRPr="00C05FB7">
        <w:rPr>
          <w:rStyle w:val="FootnoteReference"/>
        </w:rPr>
        <w:footnoteReference w:id="29"/>
      </w:r>
    </w:p>
    <w:p w14:paraId="00495028" w14:textId="7A4C18DA" w:rsidR="00EA37CD" w:rsidRDefault="00EA37CD" w:rsidP="00C056D5">
      <w:pPr>
        <w:pStyle w:val="Body"/>
        <w:rPr>
          <w:rFonts w:ascii="MetaPro-Norm" w:hAnsi="MetaPro-Norm"/>
          <w:sz w:val="22"/>
          <w:szCs w:val="22"/>
        </w:rPr>
      </w:pPr>
    </w:p>
    <w:p w14:paraId="7C3FCD8D" w14:textId="77777777" w:rsidR="00DE16C3" w:rsidRPr="003B3CC2" w:rsidRDefault="00DE16C3" w:rsidP="00DE16C3">
      <w:pPr>
        <w:spacing w:after="0" w:line="240" w:lineRule="auto"/>
        <w:rPr>
          <w:rFonts w:ascii="MetaPro-Norm" w:hAnsi="MetaPro-Norm"/>
        </w:rPr>
      </w:pPr>
      <w:r w:rsidRPr="003B3CC2">
        <w:rPr>
          <w:rFonts w:ascii="MetaPro-Norm" w:hAnsi="MetaPro-Norm"/>
        </w:rPr>
        <w:t>In October 2020, the African Committee of Experts on the Rights and Welfare of the Child issued a general comment on children and armed conflict in Africa, in which they stated that “all State Parties should either ban the use of schools for military purposes, or, at a minimum, enact concrete measures to deter the use of schools for military purposes in accordance with the Safe Schools Declaration’s Guidelines on Protecting Schools and Universities from Military Use during Armed Conflict, including through their legislation, doctrine, military manuals, rules of engagement, operational orders, and other means of dissemination to encourage appropriate practice throughout the chain of command.”</w:t>
      </w:r>
      <w:r w:rsidRPr="00C05FB7">
        <w:rPr>
          <w:rStyle w:val="FootnoteReference"/>
        </w:rPr>
        <w:footnoteReference w:id="30"/>
      </w:r>
      <w:r w:rsidRPr="003B3CC2">
        <w:rPr>
          <w:rFonts w:ascii="MetaPro-Norm" w:hAnsi="MetaPro-Norm"/>
        </w:rPr>
        <w:t xml:space="preserve"> In January 2021, the African Union began requiring countries contributing troops to its peace operations to “ensure that schools are not attacked and used for military purposes.”</w:t>
      </w:r>
      <w:r w:rsidRPr="00C738D2">
        <w:rPr>
          <w:rStyle w:val="FootnoteReference"/>
        </w:rPr>
        <w:footnoteReference w:id="31"/>
      </w:r>
    </w:p>
    <w:p w14:paraId="36BDA631" w14:textId="77777777" w:rsidR="00DE16C3" w:rsidRDefault="00DE16C3" w:rsidP="00DE16C3">
      <w:pPr>
        <w:spacing w:after="0" w:line="240" w:lineRule="auto"/>
        <w:rPr>
          <w:rFonts w:ascii="MetaPro-Norm" w:hAnsi="MetaPro-Norm"/>
        </w:rPr>
      </w:pPr>
    </w:p>
    <w:p w14:paraId="249D64F8" w14:textId="7B40A14A" w:rsidR="00DE16C3" w:rsidRPr="003B3CC2" w:rsidRDefault="00DE16C3" w:rsidP="00DE16C3">
      <w:pPr>
        <w:spacing w:after="0" w:line="240" w:lineRule="auto"/>
        <w:rPr>
          <w:rFonts w:ascii="MetaPro-Norm" w:hAnsi="MetaPro-Norm"/>
          <w:highlight w:val="yellow"/>
        </w:rPr>
      </w:pPr>
      <w:r w:rsidRPr="003B3CC2">
        <w:rPr>
          <w:rFonts w:ascii="MetaPro-Norm" w:hAnsi="MetaPro-Norm"/>
        </w:rPr>
        <w:t>As of</w:t>
      </w:r>
      <w:r w:rsidR="0087009D">
        <w:rPr>
          <w:rFonts w:ascii="MetaPro-Norm" w:hAnsi="MetaPro-Norm"/>
        </w:rPr>
        <w:t xml:space="preserve"> September </w:t>
      </w:r>
      <w:r w:rsidRPr="003B3CC2">
        <w:rPr>
          <w:rFonts w:ascii="MetaPro-Norm" w:hAnsi="MetaPro-Norm"/>
        </w:rPr>
        <w:t xml:space="preserve">2022, </w:t>
      </w:r>
      <w:r w:rsidR="004D06B6">
        <w:rPr>
          <w:rFonts w:ascii="MetaPro-Norm" w:hAnsi="MetaPro-Norm"/>
        </w:rPr>
        <w:t>Malawi</w:t>
      </w:r>
      <w:r w:rsidRPr="003B3CC2">
        <w:rPr>
          <w:rFonts w:ascii="MetaPro-Norm" w:hAnsi="MetaPro-Norm"/>
        </w:rPr>
        <w:t xml:space="preserve"> provides </w:t>
      </w:r>
      <w:r w:rsidR="008B241D">
        <w:rPr>
          <w:rFonts w:ascii="MetaPro-Norm" w:hAnsi="MetaPro-Norm"/>
        </w:rPr>
        <w:t>7</w:t>
      </w:r>
      <w:r w:rsidR="0DB72E56">
        <w:rPr>
          <w:rFonts w:ascii="MetaPro-Norm" w:hAnsi="MetaPro-Norm"/>
        </w:rPr>
        <w:t>31</w:t>
      </w:r>
      <w:r w:rsidR="008B241D">
        <w:rPr>
          <w:rFonts w:ascii="MetaPro-Norm" w:hAnsi="MetaPro-Norm"/>
        </w:rPr>
        <w:t xml:space="preserve"> </w:t>
      </w:r>
      <w:r w:rsidR="609C5958" w:rsidRPr="003B3CC2">
        <w:rPr>
          <w:rFonts w:ascii="MetaPro-Norm" w:hAnsi="MetaPro-Norm"/>
        </w:rPr>
        <w:t xml:space="preserve">troops </w:t>
      </w:r>
      <w:r w:rsidRPr="003B3CC2">
        <w:rPr>
          <w:rFonts w:ascii="MetaPro-Norm" w:hAnsi="MetaPro-Norm"/>
        </w:rPr>
        <w:t>to</w:t>
      </w:r>
      <w:r w:rsidRPr="35BE1A1D" w:rsidDel="00DE16C3">
        <w:rPr>
          <w:rFonts w:ascii="MetaPro-Norm" w:hAnsi="MetaPro-Norm"/>
        </w:rPr>
        <w:t xml:space="preserve"> </w:t>
      </w:r>
      <w:r>
        <w:rPr>
          <w:rFonts w:ascii="MetaPro-Norm" w:hAnsi="MetaPro-Norm"/>
        </w:rPr>
        <w:t>UN</w:t>
      </w:r>
      <w:r w:rsidRPr="003B3CC2">
        <w:rPr>
          <w:rFonts w:ascii="MetaPro-Norm" w:hAnsi="MetaPro-Norm"/>
        </w:rPr>
        <w:t xml:space="preserve"> peacekeeping missions.</w:t>
      </w:r>
      <w:r w:rsidRPr="00C738D2">
        <w:rPr>
          <w:rStyle w:val="FootnoteReference"/>
        </w:rPr>
        <w:footnoteReference w:id="32"/>
      </w:r>
      <w:r w:rsidRPr="00C738D2">
        <w:rPr>
          <w:rFonts w:ascii="MetaPro-Medi" w:hAnsi="MetaPro-Medi"/>
        </w:rPr>
        <w:t xml:space="preserve"> </w:t>
      </w:r>
      <w:r w:rsidRPr="003B3CC2">
        <w:rPr>
          <w:rFonts w:ascii="MetaPro-Norm" w:hAnsi="MetaPro-Norm"/>
        </w:rPr>
        <w:t xml:space="preserve">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w:t>
      </w:r>
      <w:r w:rsidRPr="003B3CC2">
        <w:rPr>
          <w:rFonts w:ascii="MetaPro-Norm" w:hAnsi="MetaPro-Norm"/>
        </w:rPr>
        <w:lastRenderedPageBreak/>
        <w:t>particularly to uniformed personnel. Furthermore … United Nations peace operations personnel shall at no time and for no amount of time use schools for military purposes.”</w:t>
      </w:r>
      <w:r w:rsidRPr="00C738D2">
        <w:rPr>
          <w:rStyle w:val="FootnoteReference"/>
        </w:rPr>
        <w:footnoteReference w:id="33"/>
      </w:r>
    </w:p>
    <w:p w14:paraId="54625C34" w14:textId="08155497" w:rsidR="00C97273" w:rsidRDefault="00C97273" w:rsidP="00C056D5">
      <w:pPr>
        <w:pStyle w:val="Body"/>
        <w:rPr>
          <w:rFonts w:ascii="MetaPro-Norm" w:hAnsi="MetaPro-Norm"/>
          <w:sz w:val="22"/>
          <w:szCs w:val="22"/>
        </w:rPr>
      </w:pPr>
    </w:p>
    <w:p w14:paraId="59F21FF8" w14:textId="2DABE320" w:rsidR="000E1107" w:rsidRPr="003B3CC2" w:rsidRDefault="000E1107" w:rsidP="000E1107">
      <w:pPr>
        <w:spacing w:after="0" w:line="240" w:lineRule="auto"/>
        <w:rPr>
          <w:rFonts w:ascii="MetaPro-Norm" w:hAnsi="MetaPro-Norm" w:cstheme="minorHAnsi"/>
          <w:i/>
          <w:iCs/>
        </w:rPr>
      </w:pPr>
      <w:r w:rsidRPr="003B3CC2">
        <w:rPr>
          <w:rFonts w:ascii="MetaPro-Norm" w:hAnsi="MetaPro-Norm" w:cstheme="minorHAnsi"/>
          <w:i/>
          <w:iCs/>
        </w:rPr>
        <w:t xml:space="preserve">Human Rights Watch recommends that the Committee pose the following questions to the government of </w:t>
      </w:r>
      <w:r>
        <w:rPr>
          <w:rFonts w:ascii="MetaPro-Norm" w:hAnsi="MetaPro-Norm" w:cstheme="minorHAnsi"/>
          <w:i/>
          <w:iCs/>
        </w:rPr>
        <w:t>Malawi</w:t>
      </w:r>
      <w:r w:rsidRPr="003B3CC2">
        <w:rPr>
          <w:rFonts w:ascii="MetaPro-Norm" w:hAnsi="MetaPro-Norm" w:cstheme="minorHAnsi"/>
          <w:i/>
          <w:iCs/>
        </w:rPr>
        <w:t>:</w:t>
      </w:r>
    </w:p>
    <w:p w14:paraId="38C1455C" w14:textId="35A910A4" w:rsidR="000E1107" w:rsidRPr="003B3CC2" w:rsidRDefault="000E1107" w:rsidP="000E1107">
      <w:pPr>
        <w:pStyle w:val="ListParagraph"/>
        <w:numPr>
          <w:ilvl w:val="0"/>
          <w:numId w:val="2"/>
        </w:numPr>
        <w:spacing w:after="0" w:line="240" w:lineRule="auto"/>
        <w:rPr>
          <w:rFonts w:ascii="MetaPro-Norm" w:hAnsi="MetaPro-Norm" w:cstheme="minorHAnsi"/>
        </w:rPr>
      </w:pPr>
      <w:r w:rsidRPr="003B3CC2">
        <w:rPr>
          <w:rFonts w:ascii="MetaPro-Norm" w:hAnsi="MetaPro-Norm"/>
        </w:rPr>
        <w:t xml:space="preserve">What steps has </w:t>
      </w:r>
      <w:r>
        <w:rPr>
          <w:rFonts w:ascii="MetaPro-Norm" w:hAnsi="MetaPro-Norm"/>
        </w:rPr>
        <w:t>Malawi</w:t>
      </w:r>
      <w:r w:rsidRPr="003B3CC2">
        <w:rPr>
          <w:rFonts w:ascii="MetaPro-Norm" w:hAnsi="MetaPro-Norm"/>
        </w:rPr>
        <w:t xml:space="preserve"> taken to implement the commitments in the Safe Schools Declaration?</w:t>
      </w:r>
    </w:p>
    <w:p w14:paraId="698EB336" w14:textId="3A4F8870" w:rsidR="000E1107" w:rsidRPr="003B3CC2" w:rsidRDefault="000E1107" w:rsidP="35BE1A1D">
      <w:pPr>
        <w:pStyle w:val="ListParagraph"/>
        <w:numPr>
          <w:ilvl w:val="0"/>
          <w:numId w:val="2"/>
        </w:numPr>
        <w:spacing w:after="0" w:line="240" w:lineRule="auto"/>
        <w:rPr>
          <w:rFonts w:ascii="MetaPro-Norm" w:hAnsi="MetaPro-Norm"/>
        </w:rPr>
      </w:pPr>
      <w:r w:rsidRPr="35BE1A1D">
        <w:rPr>
          <w:rFonts w:ascii="MetaPro-Norm" w:hAnsi="MetaPro-Norm"/>
        </w:rPr>
        <w:t>Do any</w:t>
      </w:r>
      <w:r w:rsidRPr="35BE1A1D" w:rsidDel="000E1107">
        <w:rPr>
          <w:rFonts w:ascii="MetaPro-Norm" w:hAnsi="MetaPro-Norm"/>
        </w:rPr>
        <w:t xml:space="preserve"> </w:t>
      </w:r>
      <w:r w:rsidR="67934121" w:rsidRPr="35BE1A1D">
        <w:rPr>
          <w:rFonts w:ascii="MetaPro-Norm" w:hAnsi="MetaPro-Norm"/>
        </w:rPr>
        <w:t xml:space="preserve">Malawian </w:t>
      </w:r>
      <w:r w:rsidRPr="35BE1A1D">
        <w:rPr>
          <w:rFonts w:ascii="MetaPro-Norm" w:hAnsi="MetaPro-Norm"/>
        </w:rPr>
        <w:t>laws, policies, or trainings provide explicit protection for schools and universities from military use during armed conflict?</w:t>
      </w:r>
    </w:p>
    <w:p w14:paraId="227E01D3" w14:textId="00E0C4D9" w:rsidR="000E1107" w:rsidRPr="009365AF" w:rsidRDefault="000E1107" w:rsidP="000E1107">
      <w:pPr>
        <w:pStyle w:val="ListParagraph"/>
        <w:numPr>
          <w:ilvl w:val="0"/>
          <w:numId w:val="2"/>
        </w:numPr>
        <w:spacing w:after="0" w:line="240" w:lineRule="auto"/>
        <w:rPr>
          <w:rFonts w:ascii="MetaPro-Norm" w:hAnsi="MetaPro-Norm" w:cstheme="minorHAnsi"/>
        </w:rPr>
      </w:pPr>
      <w:r w:rsidRPr="003B3CC2">
        <w:rPr>
          <w:rFonts w:ascii="MetaPro-Norm" w:hAnsi="MetaPro-Norm"/>
        </w:rPr>
        <w:t xml:space="preserve">Does pre-deployment training for </w:t>
      </w:r>
      <w:r>
        <w:rPr>
          <w:rFonts w:ascii="MetaPro-Norm" w:hAnsi="MetaPro-Norm"/>
        </w:rPr>
        <w:t>Malawi</w:t>
      </w:r>
      <w:r w:rsidR="001D1F80">
        <w:rPr>
          <w:rFonts w:ascii="MetaPro-Norm" w:hAnsi="MetaPro-Norm"/>
        </w:rPr>
        <w:t>an</w:t>
      </w:r>
      <w:r w:rsidRPr="003B3CC2">
        <w:rPr>
          <w:rFonts w:ascii="MetaPro-Norm" w:hAnsi="MetaPro-Norm"/>
        </w:rPr>
        <w:t xml:space="preserve"> peacekeepers include the ban on using schools in military operations?</w:t>
      </w:r>
    </w:p>
    <w:p w14:paraId="5718C202" w14:textId="77777777" w:rsidR="000E1107" w:rsidRPr="003B3CC2" w:rsidRDefault="000E1107" w:rsidP="000E1107">
      <w:pPr>
        <w:pStyle w:val="ListParagraph"/>
        <w:spacing w:after="0" w:line="240" w:lineRule="auto"/>
        <w:rPr>
          <w:rFonts w:ascii="MetaPro-Norm" w:hAnsi="MetaPro-Norm" w:cstheme="minorHAnsi"/>
        </w:rPr>
      </w:pPr>
    </w:p>
    <w:p w14:paraId="6BD7B611" w14:textId="77777777" w:rsidR="000E1107" w:rsidRPr="003B3CC2" w:rsidRDefault="000E1107" w:rsidP="000E1107">
      <w:pPr>
        <w:spacing w:after="0"/>
        <w:rPr>
          <w:rFonts w:ascii="MetaPro-Norm" w:hAnsi="MetaPro-Norm" w:cstheme="minorHAnsi"/>
          <w:i/>
          <w:iCs/>
        </w:rPr>
      </w:pPr>
      <w:r w:rsidRPr="003B3CC2">
        <w:rPr>
          <w:rFonts w:ascii="MetaPro-Norm" w:hAnsi="MetaPro-Norm" w:cstheme="minorHAnsi"/>
          <w:i/>
          <w:iCs/>
        </w:rPr>
        <w:t>Human Rights Watch encourages the Committee to:</w:t>
      </w:r>
    </w:p>
    <w:p w14:paraId="4D70A73B" w14:textId="311CD65D" w:rsidR="000E1107" w:rsidRPr="003B3CC2" w:rsidRDefault="000E1107" w:rsidP="000E1107">
      <w:pPr>
        <w:pStyle w:val="ListParagraph"/>
        <w:numPr>
          <w:ilvl w:val="0"/>
          <w:numId w:val="1"/>
        </w:numPr>
        <w:spacing w:after="0"/>
        <w:rPr>
          <w:rFonts w:ascii="MetaPro-Norm" w:hAnsi="MetaPro-Norm" w:cstheme="minorHAnsi"/>
        </w:rPr>
      </w:pPr>
      <w:r w:rsidRPr="003B3CC2">
        <w:rPr>
          <w:rFonts w:ascii="MetaPro-Norm" w:hAnsi="MetaPro-Norm"/>
        </w:rPr>
        <w:t xml:space="preserve">Congratulate </w:t>
      </w:r>
      <w:r w:rsidR="000B3AAE">
        <w:rPr>
          <w:rFonts w:ascii="MetaPro-Norm" w:hAnsi="MetaPro-Norm"/>
        </w:rPr>
        <w:t>Malawi</w:t>
      </w:r>
      <w:r w:rsidRPr="003B3CC2">
        <w:rPr>
          <w:rFonts w:ascii="MetaPro-Norm" w:hAnsi="MetaPro-Norm"/>
        </w:rPr>
        <w:t xml:space="preserve"> for endorsing the Safe Schools Declaration.</w:t>
      </w:r>
    </w:p>
    <w:p w14:paraId="75CC626A" w14:textId="4B0564A9" w:rsidR="000E1107" w:rsidRPr="003B3CC2" w:rsidRDefault="000E1107" w:rsidP="000E1107">
      <w:pPr>
        <w:pStyle w:val="ListParagraph"/>
        <w:numPr>
          <w:ilvl w:val="0"/>
          <w:numId w:val="1"/>
        </w:numPr>
        <w:spacing w:after="0"/>
        <w:rPr>
          <w:rFonts w:ascii="MetaPro-Norm" w:hAnsi="MetaPro-Norm"/>
        </w:rPr>
      </w:pPr>
      <w:r w:rsidRPr="003B3CC2">
        <w:rPr>
          <w:rFonts w:ascii="MetaPro-Norm" w:hAnsi="MetaPro-Norm"/>
        </w:rPr>
        <w:t xml:space="preserve">Recommend that the government of </w:t>
      </w:r>
      <w:r w:rsidR="000B3AAE">
        <w:rPr>
          <w:rFonts w:ascii="MetaPro-Norm" w:hAnsi="MetaPro-Norm"/>
        </w:rPr>
        <w:t>Malawi</w:t>
      </w:r>
      <w:r w:rsidRPr="003B3CC2">
        <w:rPr>
          <w:rFonts w:ascii="MetaPro-Norm" w:hAnsi="MetaPro-Norm"/>
        </w:rPr>
        <w:t xml:space="preserve"> implement the commitments of the Safe Schools Declaration and share any good practices with other countries in the African Union.</w:t>
      </w:r>
    </w:p>
    <w:p w14:paraId="355AD7BC" w14:textId="77777777" w:rsidR="005F597E" w:rsidRPr="00EA37CD" w:rsidRDefault="005F597E" w:rsidP="00C056D5">
      <w:pPr>
        <w:pStyle w:val="Body"/>
        <w:rPr>
          <w:rFonts w:ascii="MetaPro-Norm" w:hAnsi="MetaPro-Norm"/>
          <w:sz w:val="22"/>
          <w:szCs w:val="22"/>
        </w:rPr>
      </w:pPr>
    </w:p>
    <w:sectPr w:rsidR="005F597E" w:rsidRPr="00EA37C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DD318" w14:textId="77777777" w:rsidR="00E36AD0" w:rsidRDefault="00E36AD0" w:rsidP="00F42FFC">
      <w:pPr>
        <w:spacing w:after="0" w:line="240" w:lineRule="auto"/>
      </w:pPr>
      <w:r>
        <w:separator/>
      </w:r>
    </w:p>
  </w:endnote>
  <w:endnote w:type="continuationSeparator" w:id="0">
    <w:p w14:paraId="1070F554" w14:textId="77777777" w:rsidR="00E36AD0" w:rsidRDefault="00E36AD0" w:rsidP="00F42FFC">
      <w:pPr>
        <w:spacing w:after="0" w:line="240" w:lineRule="auto"/>
      </w:pPr>
      <w:r>
        <w:continuationSeparator/>
      </w:r>
    </w:p>
  </w:endnote>
  <w:endnote w:type="continuationNotice" w:id="1">
    <w:p w14:paraId="4CBE4476" w14:textId="77777777" w:rsidR="00E36AD0" w:rsidRDefault="00E36A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taPro-Medi">
    <w:altName w:val="Calibri"/>
    <w:panose1 w:val="00000000000000000000"/>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taPro-Norm">
    <w:altName w:val="Calibri"/>
    <w:panose1 w:val="00000000000000000000"/>
    <w:charset w:val="00"/>
    <w:family w:val="swiss"/>
    <w:notTrueType/>
    <w:pitch w:val="variable"/>
    <w:sig w:usb0="A00002FF" w:usb1="4000207B"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etaPro-Norm" w:hAnsi="MetaPro-Norm"/>
      </w:rPr>
      <w:id w:val="-359212883"/>
      <w:docPartObj>
        <w:docPartGallery w:val="Page Numbers (Bottom of Page)"/>
        <w:docPartUnique/>
      </w:docPartObj>
    </w:sdtPr>
    <w:sdtEndPr>
      <w:rPr>
        <w:noProof/>
      </w:rPr>
    </w:sdtEndPr>
    <w:sdtContent>
      <w:p w14:paraId="7FB47947" w14:textId="16BD3FF6" w:rsidR="000B3AAE" w:rsidRPr="000B3AAE" w:rsidRDefault="000B3AAE">
        <w:pPr>
          <w:pStyle w:val="Footer"/>
          <w:jc w:val="center"/>
          <w:rPr>
            <w:rFonts w:ascii="MetaPro-Norm" w:hAnsi="MetaPro-Norm"/>
          </w:rPr>
        </w:pPr>
        <w:r w:rsidRPr="000B3AAE">
          <w:rPr>
            <w:rFonts w:ascii="MetaPro-Norm" w:hAnsi="MetaPro-Norm"/>
          </w:rPr>
          <w:fldChar w:fldCharType="begin"/>
        </w:r>
        <w:r w:rsidRPr="000B3AAE">
          <w:rPr>
            <w:rFonts w:ascii="MetaPro-Norm" w:hAnsi="MetaPro-Norm"/>
          </w:rPr>
          <w:instrText xml:space="preserve"> PAGE   \* MERGEFORMAT </w:instrText>
        </w:r>
        <w:r w:rsidRPr="000B3AAE">
          <w:rPr>
            <w:rFonts w:ascii="MetaPro-Norm" w:hAnsi="MetaPro-Norm"/>
          </w:rPr>
          <w:fldChar w:fldCharType="separate"/>
        </w:r>
        <w:r w:rsidRPr="000B3AAE">
          <w:rPr>
            <w:rFonts w:ascii="MetaPro-Norm" w:hAnsi="MetaPro-Norm"/>
            <w:noProof/>
          </w:rPr>
          <w:t>2</w:t>
        </w:r>
        <w:r w:rsidRPr="000B3AAE">
          <w:rPr>
            <w:rFonts w:ascii="MetaPro-Norm" w:hAnsi="MetaPro-Norm"/>
            <w:noProof/>
          </w:rPr>
          <w:fldChar w:fldCharType="end"/>
        </w:r>
      </w:p>
    </w:sdtContent>
  </w:sdt>
  <w:p w14:paraId="47EDB06E" w14:textId="77777777" w:rsidR="000B3AAE" w:rsidRDefault="000B3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E2071" w14:textId="77777777" w:rsidR="00E36AD0" w:rsidRDefault="00E36AD0" w:rsidP="00F42FFC">
      <w:pPr>
        <w:spacing w:after="0" w:line="240" w:lineRule="auto"/>
      </w:pPr>
      <w:r>
        <w:separator/>
      </w:r>
    </w:p>
  </w:footnote>
  <w:footnote w:type="continuationSeparator" w:id="0">
    <w:p w14:paraId="347D908B" w14:textId="77777777" w:rsidR="00E36AD0" w:rsidRDefault="00E36AD0" w:rsidP="00F42FFC">
      <w:pPr>
        <w:spacing w:after="0" w:line="240" w:lineRule="auto"/>
      </w:pPr>
      <w:r>
        <w:continuationSeparator/>
      </w:r>
    </w:p>
  </w:footnote>
  <w:footnote w:type="continuationNotice" w:id="1">
    <w:p w14:paraId="50F030D3" w14:textId="77777777" w:rsidR="00E36AD0" w:rsidRDefault="00E36AD0">
      <w:pPr>
        <w:spacing w:after="0" w:line="240" w:lineRule="auto"/>
      </w:pPr>
    </w:p>
  </w:footnote>
  <w:footnote w:id="2">
    <w:p w14:paraId="3484A5DB" w14:textId="77777777" w:rsidR="0058382A" w:rsidRPr="005D120B" w:rsidRDefault="0058382A" w:rsidP="0058382A">
      <w:pPr>
        <w:pStyle w:val="FootnoteText"/>
      </w:pPr>
      <w:r w:rsidRPr="00D94521">
        <w:rPr>
          <w:rStyle w:val="FootnoteReference"/>
          <w:rFonts w:cstheme="minorHAnsi"/>
          <w:szCs w:val="22"/>
        </w:rPr>
        <w:footnoteRef/>
      </w:r>
      <w:r w:rsidRPr="00843DFD">
        <w:rPr>
          <w:rFonts w:cstheme="minorHAnsi"/>
          <w:sz w:val="18"/>
          <w:szCs w:val="18"/>
        </w:rPr>
        <w:t xml:space="preserve"> </w:t>
      </w:r>
      <w:r w:rsidRPr="005D120B">
        <w:t xml:space="preserve">United Nations Population Fund (UNFPA), “Seeing the Unseen: The case for action in the neglected crisis of unintended pregnancy,” 2022, </w:t>
      </w:r>
      <w:hyperlink r:id="rId1" w:history="1">
        <w:r w:rsidRPr="005D120B">
          <w:t>https://www.unfpa.org/sites/default/files/pub-pdf/EN_SWP22%20report_0.pdf</w:t>
        </w:r>
      </w:hyperlink>
      <w:r w:rsidRPr="005D120B">
        <w:t xml:space="preserve"> (accessed December 6, 2022).</w:t>
      </w:r>
    </w:p>
  </w:footnote>
  <w:footnote w:id="3">
    <w:p w14:paraId="28E457F8" w14:textId="6747E0C2" w:rsidR="00495C12" w:rsidRDefault="00495C12">
      <w:pPr>
        <w:pStyle w:val="FootnoteText"/>
      </w:pPr>
      <w:r>
        <w:rPr>
          <w:rStyle w:val="FootnoteReference"/>
        </w:rPr>
        <w:footnoteRef/>
      </w:r>
      <w:r>
        <w:t xml:space="preserve"> Ibid.</w:t>
      </w:r>
    </w:p>
  </w:footnote>
  <w:footnote w:id="4">
    <w:p w14:paraId="62D96918" w14:textId="54349CD5" w:rsidR="00F42FFC" w:rsidRPr="002F322F" w:rsidRDefault="00F42FFC" w:rsidP="002F322F">
      <w:pPr>
        <w:pStyle w:val="FootnoteText"/>
        <w:rPr>
          <w:rFonts w:cstheme="minorHAnsi"/>
          <w:sz w:val="18"/>
          <w:szCs w:val="18"/>
        </w:rPr>
      </w:pPr>
      <w:r w:rsidRPr="00D94521">
        <w:rPr>
          <w:rStyle w:val="FootnoteReference"/>
          <w:rFonts w:cstheme="minorHAnsi"/>
          <w:szCs w:val="22"/>
        </w:rPr>
        <w:footnoteRef/>
      </w:r>
      <w:r w:rsidRPr="00843DFD">
        <w:rPr>
          <w:rFonts w:cstheme="minorHAnsi"/>
          <w:sz w:val="18"/>
          <w:szCs w:val="18"/>
        </w:rPr>
        <w:t xml:space="preserve"> </w:t>
      </w:r>
      <w:r w:rsidR="00786F5C" w:rsidRPr="002F322F">
        <w:t xml:space="preserve">National Statistical Office, </w:t>
      </w:r>
      <w:r w:rsidR="002F322F" w:rsidRPr="002F322F">
        <w:t>Malawi Demographic and Health Survey 2015-1</w:t>
      </w:r>
      <w:r w:rsidR="002F4719">
        <w:t xml:space="preserve">6, February 2017, </w:t>
      </w:r>
      <w:r w:rsidR="002F4719" w:rsidRPr="002F4719">
        <w:t>https://dhsprogram.com/pubs/pdf/FR319/FR319.pdf</w:t>
      </w:r>
      <w:r w:rsidR="002F4719">
        <w:t>, (accessed January 5, 2023)</w:t>
      </w:r>
      <w:bookmarkStart w:id="1" w:name="_Hlk118282963"/>
      <w:r w:rsidRPr="005D120B">
        <w:rPr>
          <w:szCs w:val="16"/>
        </w:rPr>
        <w:t>.</w:t>
      </w:r>
    </w:p>
    <w:bookmarkEnd w:id="1"/>
  </w:footnote>
  <w:footnote w:id="5">
    <w:p w14:paraId="0C36DE42" w14:textId="77777777" w:rsidR="00D76752" w:rsidRPr="007A72D3" w:rsidRDefault="00D76752" w:rsidP="00D76752">
      <w:pPr>
        <w:pStyle w:val="FootnoteText"/>
      </w:pPr>
      <w:r>
        <w:rPr>
          <w:rStyle w:val="FootnoteReference"/>
        </w:rPr>
        <w:footnoteRef/>
      </w:r>
      <w:r>
        <w:t xml:space="preserve"> </w:t>
      </w:r>
      <w:r w:rsidRPr="00D76752">
        <w:t xml:space="preserve">UNFPA, </w:t>
      </w:r>
      <w:r w:rsidRPr="00D76752">
        <w:rPr>
          <w:i/>
          <w:iCs/>
        </w:rPr>
        <w:t>Worlds Apart: Reproductive health and rights in an age of inequality</w:t>
      </w:r>
      <w:r w:rsidRPr="00D76752">
        <w:t xml:space="preserve">, the State of World Population 2017, </w:t>
      </w:r>
      <w:hyperlink r:id="rId2" w:history="1">
        <w:r w:rsidRPr="00D76752">
          <w:rPr>
            <w:rStyle w:val="Hyperlink"/>
            <w:color w:val="auto"/>
            <w:u w:val="none"/>
          </w:rPr>
          <w:t>https://www.unfpa.org/sites/default/files/sowp/downloads/UNFPA_PUB_2017_EN_SWOP.pdf</w:t>
        </w:r>
      </w:hyperlink>
      <w:r w:rsidRPr="00D76752">
        <w:t xml:space="preserve"> (accessed December 8, 2022).</w:t>
      </w:r>
    </w:p>
  </w:footnote>
  <w:footnote w:id="6">
    <w:p w14:paraId="1D3F149F" w14:textId="77777777" w:rsidR="00C27539" w:rsidRPr="00AC0212" w:rsidRDefault="00C27539" w:rsidP="00C27539">
      <w:pPr>
        <w:pStyle w:val="FootnoteText"/>
      </w:pPr>
      <w:r>
        <w:rPr>
          <w:rStyle w:val="FootnoteReference"/>
        </w:rPr>
        <w:footnoteRef/>
      </w:r>
      <w:r>
        <w:t xml:space="preserve"> Available at </w:t>
      </w:r>
      <w:r w:rsidRPr="005D120B">
        <w:rPr>
          <w:szCs w:val="16"/>
        </w:rPr>
        <w:t>“Malawi</w:t>
      </w:r>
      <w:r>
        <w:rPr>
          <w:szCs w:val="16"/>
        </w:rPr>
        <w:t xml:space="preserve">: Marriage </w:t>
      </w:r>
      <w:r w:rsidRPr="00192AF5">
        <w:rPr>
          <w:szCs w:val="16"/>
        </w:rPr>
        <w:t>Registration,”</w:t>
      </w:r>
      <w:r>
        <w:rPr>
          <w:szCs w:val="16"/>
        </w:rPr>
        <w:t xml:space="preserve"> UNICEF,</w:t>
      </w:r>
      <w:r w:rsidRPr="00192AF5">
        <w:rPr>
          <w:szCs w:val="16"/>
        </w:rPr>
        <w:t xml:space="preserve"> </w:t>
      </w:r>
      <w:hyperlink r:id="rId3" w:history="1">
        <w:r w:rsidRPr="00192AF5">
          <w:rPr>
            <w:rStyle w:val="Hyperlink"/>
            <w:color w:val="auto"/>
            <w:szCs w:val="16"/>
            <w:u w:val="none"/>
          </w:rPr>
          <w:t>https://data.unicef.org/crvs/malawi/</w:t>
        </w:r>
      </w:hyperlink>
      <w:r w:rsidRPr="00192AF5">
        <w:rPr>
          <w:szCs w:val="16"/>
        </w:rPr>
        <w:t xml:space="preserve"> (accessed December 6, 2022).</w:t>
      </w:r>
    </w:p>
  </w:footnote>
  <w:footnote w:id="7">
    <w:p w14:paraId="7779B8B6" w14:textId="3B8E8AC9" w:rsidR="00C27539" w:rsidRDefault="00C27539">
      <w:pPr>
        <w:pStyle w:val="FootnoteText"/>
      </w:pPr>
      <w:r>
        <w:rPr>
          <w:rStyle w:val="FootnoteReference"/>
        </w:rPr>
        <w:footnoteRef/>
      </w:r>
      <w:r>
        <w:t xml:space="preserve"> </w:t>
      </w:r>
      <w:r w:rsidR="00B66C25" w:rsidRPr="000352FA">
        <w:t xml:space="preserve">Human Rights Watch, “Malawi Amends Constitution to Remove Child Marriage Loophole,” February 23, 2017, </w:t>
      </w:r>
      <w:hyperlink r:id="rId4" w:history="1">
        <w:r w:rsidR="000352FA" w:rsidRPr="000352FA">
          <w:rPr>
            <w:rStyle w:val="Hyperlink"/>
            <w:color w:val="auto"/>
            <w:u w:val="none"/>
          </w:rPr>
          <w:t>https://www.hrw.org/news/2017/02/24/malawi-amends-constitution-remove-child-marriage-loophole</w:t>
        </w:r>
      </w:hyperlink>
      <w:r w:rsidR="000352FA" w:rsidRPr="000352FA">
        <w:t xml:space="preserve"> (accessed December 8, 2022).</w:t>
      </w:r>
    </w:p>
  </w:footnote>
  <w:footnote w:id="8">
    <w:p w14:paraId="6734A2EE" w14:textId="2C917A62" w:rsidR="00E20B46" w:rsidRPr="00601ACF" w:rsidRDefault="00E20B46">
      <w:pPr>
        <w:pStyle w:val="FootnoteText"/>
      </w:pPr>
      <w:r>
        <w:rPr>
          <w:rStyle w:val="FootnoteReference"/>
        </w:rPr>
        <w:footnoteRef/>
      </w:r>
      <w:r>
        <w:t xml:space="preserve"> </w:t>
      </w:r>
      <w:r w:rsidR="000E27F1">
        <w:t xml:space="preserve">Human Rights Watch, </w:t>
      </w:r>
      <w:r w:rsidR="00601ACF">
        <w:t>“</w:t>
      </w:r>
      <w:r w:rsidR="00601ACF" w:rsidRPr="00601ACF">
        <w:t xml:space="preserve">A Brighter Future: Empowering Pregnant Girls and Adolescent Mothers to </w:t>
      </w:r>
      <w:r w:rsidR="00601ACF" w:rsidRPr="00AF6EF7">
        <w:t xml:space="preserve">Stay in School,” </w:t>
      </w:r>
      <w:r w:rsidR="00402BA4" w:rsidRPr="00AF6EF7">
        <w:t>August 2020, Index</w:t>
      </w:r>
      <w:r w:rsidR="00311091">
        <w:t xml:space="preserve">; </w:t>
      </w:r>
      <w:r w:rsidR="005171DF" w:rsidRPr="0043192C">
        <w:rPr>
          <w:rFonts w:cstheme="minorHAnsi"/>
          <w:szCs w:val="16"/>
        </w:rPr>
        <w:t>Human Rights Watch,</w:t>
      </w:r>
      <w:r w:rsidR="005171DF" w:rsidRPr="00891673">
        <w:rPr>
          <w:rFonts w:cstheme="minorHAnsi"/>
          <w:i/>
          <w:iCs/>
          <w:szCs w:val="16"/>
        </w:rPr>
        <w:t xml:space="preserve"> Leave No Girl behind in Africa: Discrimination in Education against Pregnant Girls and Adolescent Mothers</w:t>
      </w:r>
      <w:r w:rsidR="005171DF" w:rsidRPr="0043192C">
        <w:rPr>
          <w:rFonts w:cstheme="minorHAnsi"/>
          <w:szCs w:val="16"/>
        </w:rPr>
        <w:t xml:space="preserve">, </w:t>
      </w:r>
      <w:r w:rsidR="005171DF">
        <w:rPr>
          <w:rFonts w:cstheme="minorHAnsi"/>
          <w:szCs w:val="16"/>
        </w:rPr>
        <w:t xml:space="preserve">(New York: </w:t>
      </w:r>
      <w:r w:rsidR="005171DF" w:rsidRPr="0043192C">
        <w:rPr>
          <w:rFonts w:cstheme="minorHAnsi"/>
          <w:szCs w:val="16"/>
        </w:rPr>
        <w:t>Human Rights Watch</w:t>
      </w:r>
      <w:r w:rsidR="005171DF">
        <w:rPr>
          <w:rFonts w:cstheme="minorHAnsi"/>
          <w:szCs w:val="16"/>
        </w:rPr>
        <w:t xml:space="preserve">, </w:t>
      </w:r>
      <w:r w:rsidR="005171DF" w:rsidRPr="0043192C">
        <w:rPr>
          <w:rFonts w:cstheme="minorHAnsi"/>
          <w:szCs w:val="16"/>
        </w:rPr>
        <w:t>2018</w:t>
      </w:r>
      <w:r w:rsidR="005171DF">
        <w:rPr>
          <w:rFonts w:cstheme="minorHAnsi"/>
          <w:szCs w:val="16"/>
        </w:rPr>
        <w:t xml:space="preserve">) </w:t>
      </w:r>
      <w:r w:rsidR="005171DF" w:rsidRPr="00C216B7">
        <w:rPr>
          <w:rFonts w:cstheme="minorHAnsi"/>
          <w:szCs w:val="16"/>
        </w:rPr>
        <w:t>https://www.hrw.org/sites/default/files/report_pdf/au0618_web.pdf</w:t>
      </w:r>
      <w:r w:rsidR="005171DF">
        <w:rPr>
          <w:rFonts w:cstheme="minorHAnsi"/>
          <w:szCs w:val="16"/>
        </w:rPr>
        <w:t>.</w:t>
      </w:r>
    </w:p>
  </w:footnote>
  <w:footnote w:id="9">
    <w:p w14:paraId="4608DBFE" w14:textId="6F00BDDA" w:rsidR="00294F50" w:rsidRDefault="00294F50">
      <w:pPr>
        <w:pStyle w:val="FootnoteText"/>
      </w:pPr>
      <w:r>
        <w:rPr>
          <w:rStyle w:val="FootnoteReference"/>
        </w:rPr>
        <w:footnoteRef/>
      </w:r>
      <w:r>
        <w:t xml:space="preserve"> </w:t>
      </w:r>
      <w:r w:rsidR="00FC4984" w:rsidRPr="004F448D">
        <w:t xml:space="preserve">Human Rights Watch submission to the Committee on the Rights of the Child concerning Malawi, November 21, 2016, </w:t>
      </w:r>
      <w:hyperlink r:id="rId5" w:history="1">
        <w:r w:rsidR="004F448D" w:rsidRPr="004F448D">
          <w:rPr>
            <w:rStyle w:val="Hyperlink"/>
            <w:color w:val="auto"/>
            <w:u w:val="none"/>
          </w:rPr>
          <w:t>https://www.hrw.org/news/2016/11/21/human-rights-watch-submission-committee-rights-child-concerning-malawi</w:t>
        </w:r>
      </w:hyperlink>
      <w:r w:rsidR="004F448D" w:rsidRPr="004F448D">
        <w:t xml:space="preserve"> (accessed December 8, 2022).</w:t>
      </w:r>
    </w:p>
  </w:footnote>
  <w:footnote w:id="10">
    <w:p w14:paraId="79C31FCB" w14:textId="1C8BB3C6" w:rsidR="00746B48" w:rsidRPr="008F19D2" w:rsidRDefault="00746B48">
      <w:pPr>
        <w:pStyle w:val="FootnoteText"/>
      </w:pPr>
      <w:r>
        <w:rPr>
          <w:rStyle w:val="FootnoteReference"/>
        </w:rPr>
        <w:footnoteRef/>
      </w:r>
      <w:r>
        <w:t xml:space="preserve"> </w:t>
      </w:r>
      <w:r w:rsidR="00E320AE" w:rsidRPr="008F19D2">
        <w:t xml:space="preserve">Human Rights Watch, </w:t>
      </w:r>
      <w:r w:rsidR="00E320AE" w:rsidRPr="008F19D2">
        <w:rPr>
          <w:i/>
          <w:iCs/>
        </w:rPr>
        <w:t>I’ve Never Experienced Happiness: Child Marriage in Malawi</w:t>
      </w:r>
      <w:r w:rsidR="00E320AE" w:rsidRPr="008F19D2">
        <w:t xml:space="preserve">, </w:t>
      </w:r>
      <w:r w:rsidR="000A1A38" w:rsidRPr="008F19D2">
        <w:t xml:space="preserve">March 2014, </w:t>
      </w:r>
      <w:hyperlink r:id="rId6" w:history="1">
        <w:r w:rsidR="008F19D2" w:rsidRPr="008F19D2">
          <w:rPr>
            <w:rStyle w:val="Hyperlink"/>
            <w:color w:val="auto"/>
            <w:u w:val="none"/>
          </w:rPr>
          <w:t>https://www.hrw.org/sites/default/files/reports/malawi0314_ForUpload.pdf</w:t>
        </w:r>
      </w:hyperlink>
      <w:r w:rsidR="008F19D2" w:rsidRPr="008F19D2">
        <w:t xml:space="preserve"> (accessed December 8, 2022).</w:t>
      </w:r>
    </w:p>
  </w:footnote>
  <w:footnote w:id="11">
    <w:p w14:paraId="36394D9E" w14:textId="0948BC66" w:rsidR="00CD3F15" w:rsidRPr="00D30FC5" w:rsidRDefault="00CD3F15" w:rsidP="00CD3F15">
      <w:pPr>
        <w:pStyle w:val="FootnoteText"/>
        <w:rPr>
          <w:lang w:val="fr-FR"/>
        </w:rPr>
      </w:pPr>
      <w:r>
        <w:rPr>
          <w:rStyle w:val="FootnoteReference"/>
        </w:rPr>
        <w:footnoteRef/>
      </w:r>
      <w:r w:rsidRPr="00D30FC5">
        <w:rPr>
          <w:lang w:val="fr-FR"/>
        </w:rPr>
        <w:t xml:space="preserve"> </w:t>
      </w:r>
      <w:r w:rsidR="0085469F" w:rsidRPr="00D30FC5">
        <w:rPr>
          <w:lang w:val="fr-FR"/>
        </w:rPr>
        <w:t xml:space="preserve">Malawi </w:t>
      </w:r>
      <w:proofErr w:type="spellStart"/>
      <w:r w:rsidR="0085469F" w:rsidRPr="00D30FC5">
        <w:rPr>
          <w:lang w:val="fr-FR"/>
        </w:rPr>
        <w:t>Penal</w:t>
      </w:r>
      <w:proofErr w:type="spellEnd"/>
      <w:r w:rsidR="0085469F" w:rsidRPr="00D30FC5">
        <w:rPr>
          <w:lang w:val="fr-FR"/>
        </w:rPr>
        <w:t xml:space="preserve"> Code</w:t>
      </w:r>
      <w:r w:rsidRPr="00D30FC5">
        <w:rPr>
          <w:lang w:val="fr-FR"/>
        </w:rPr>
        <w:t xml:space="preserve">, </w:t>
      </w:r>
      <w:proofErr w:type="spellStart"/>
      <w:r w:rsidR="004C5200" w:rsidRPr="00D30FC5">
        <w:rPr>
          <w:lang w:val="fr-FR"/>
        </w:rPr>
        <w:t>c</w:t>
      </w:r>
      <w:r w:rsidRPr="00D30FC5">
        <w:rPr>
          <w:lang w:val="fr-FR"/>
        </w:rPr>
        <w:t>hapter</w:t>
      </w:r>
      <w:proofErr w:type="spellEnd"/>
      <w:r w:rsidRPr="00D30FC5">
        <w:rPr>
          <w:lang w:val="fr-FR"/>
        </w:rPr>
        <w:t xml:space="preserve"> XV, </w:t>
      </w:r>
      <w:r w:rsidR="004C5200" w:rsidRPr="00D30FC5">
        <w:rPr>
          <w:lang w:val="fr-FR"/>
        </w:rPr>
        <w:t>s</w:t>
      </w:r>
      <w:r w:rsidRPr="00D30FC5">
        <w:rPr>
          <w:lang w:val="fr-FR"/>
        </w:rPr>
        <w:t>ections 149-151.</w:t>
      </w:r>
    </w:p>
  </w:footnote>
  <w:footnote w:id="12">
    <w:p w14:paraId="17CE57D1" w14:textId="1690FB57" w:rsidR="00A65FF3" w:rsidRPr="00ED3693" w:rsidRDefault="00A65FF3" w:rsidP="00A65FF3">
      <w:pPr>
        <w:pStyle w:val="FootnoteText"/>
      </w:pPr>
      <w:r>
        <w:rPr>
          <w:rStyle w:val="FootnoteReference"/>
        </w:rPr>
        <w:footnoteRef/>
      </w:r>
      <w:r w:rsidRPr="00ED3693">
        <w:t xml:space="preserve"> </w:t>
      </w:r>
      <w:r w:rsidR="0085469F" w:rsidRPr="00ED3693">
        <w:t>Ibid.</w:t>
      </w:r>
      <w:r w:rsidRPr="00ED3693">
        <w:t xml:space="preserve">, </w:t>
      </w:r>
      <w:r w:rsidR="004C5200">
        <w:t>c</w:t>
      </w:r>
      <w:r w:rsidRPr="00ED3693">
        <w:t xml:space="preserve">hapter XXII, </w:t>
      </w:r>
      <w:r w:rsidR="004C5200">
        <w:t>s</w:t>
      </w:r>
      <w:r w:rsidRPr="00ED3693">
        <w:t>ection 243.</w:t>
      </w:r>
    </w:p>
  </w:footnote>
  <w:footnote w:id="13">
    <w:p w14:paraId="4EAB2FD1" w14:textId="6D9F758F" w:rsidR="00ED3693" w:rsidRDefault="00ED3693">
      <w:pPr>
        <w:pStyle w:val="FootnoteText"/>
      </w:pPr>
      <w:r>
        <w:rPr>
          <w:rStyle w:val="FootnoteReference"/>
        </w:rPr>
        <w:footnoteRef/>
      </w:r>
      <w:r>
        <w:t xml:space="preserve"> Southern Africa Litigation Centr</w:t>
      </w:r>
      <w:r w:rsidR="0072638F">
        <w:t>e</w:t>
      </w:r>
      <w:r>
        <w:t xml:space="preserve">, </w:t>
      </w:r>
      <w:r w:rsidR="00755DDF">
        <w:t>“</w:t>
      </w:r>
      <w:r w:rsidR="00755DDF" w:rsidRPr="00755DDF">
        <w:t>Malawi’s obligation to enact the Termination of Pregnancy Bill</w:t>
      </w:r>
      <w:r w:rsidR="00755DDF">
        <w:t xml:space="preserve">,” September 27, 2021, </w:t>
      </w:r>
      <w:r w:rsidR="00755DDF" w:rsidRPr="00755DDF">
        <w:t>https://www.southernafricalitigationcentre.org/2021/09/27/malawis-obligation-to-enact-the-termination-of-pregnancy-bill/</w:t>
      </w:r>
      <w:r w:rsidR="00755DDF">
        <w:t xml:space="preserve"> (accessed January 5, 2023).</w:t>
      </w:r>
    </w:p>
  </w:footnote>
  <w:footnote w:id="14">
    <w:p w14:paraId="088F0512" w14:textId="77777777" w:rsidR="00420D1F" w:rsidRPr="00336670" w:rsidRDefault="00420D1F" w:rsidP="00420D1F">
      <w:pPr>
        <w:pStyle w:val="FootnoteText"/>
      </w:pPr>
      <w:r>
        <w:rPr>
          <w:rStyle w:val="FootnoteReference"/>
        </w:rPr>
        <w:footnoteRef/>
      </w:r>
      <w:r>
        <w:t xml:space="preserve"> </w:t>
      </w:r>
      <w:r w:rsidRPr="00F47F27">
        <w:t xml:space="preserve">Human Rights Watch, “How Dare They Peep into My Private Life?”, May 25, 2022, </w:t>
      </w:r>
      <w:hyperlink r:id="rId7" w:history="1">
        <w:r w:rsidRPr="00F47F27">
          <w:rPr>
            <w:rStyle w:val="Hyperlink"/>
            <w:color w:val="auto"/>
            <w:u w:val="none"/>
          </w:rPr>
          <w:t>https://www.hrw.org/report/2022/05/25/how-dare-they-peep-my-private-life/childrens-rights-violations-governments</w:t>
        </w:r>
      </w:hyperlink>
      <w:r w:rsidRPr="00F47F27">
        <w:t xml:space="preserve"> (accessed December 12, 2022).</w:t>
      </w:r>
    </w:p>
  </w:footnote>
  <w:footnote w:id="15">
    <w:p w14:paraId="74A6D75F" w14:textId="2C7AAA22" w:rsidR="004E3CA0" w:rsidRDefault="004E3CA0">
      <w:pPr>
        <w:pStyle w:val="FootnoteText"/>
      </w:pPr>
      <w:r>
        <w:rPr>
          <w:rStyle w:val="FootnoteReference"/>
        </w:rPr>
        <w:footnoteRef/>
      </w:r>
      <w:r>
        <w:t xml:space="preserve"> </w:t>
      </w:r>
      <w:r w:rsidRPr="005D36DD">
        <w:t xml:space="preserve">Human Rights Watch, “Years Don’t Wait for Them,” May 17, 2021, </w:t>
      </w:r>
      <w:hyperlink r:id="rId8" w:history="1">
        <w:r w:rsidR="00447DA6" w:rsidRPr="005D36DD">
          <w:rPr>
            <w:rStyle w:val="Hyperlink"/>
            <w:color w:val="auto"/>
            <w:u w:val="none"/>
          </w:rPr>
          <w:t>https://www.hrw.org/report/2021/05/17/years-dont-wait-them/increased-inequalities-childrens-right-education-due-covid</w:t>
        </w:r>
      </w:hyperlink>
      <w:r w:rsidR="00447DA6" w:rsidRPr="005D36DD">
        <w:t xml:space="preserve"> (accessed December 21, 2022); Freedom House, “Freedom on the Net 2021, Malawi,”</w:t>
      </w:r>
      <w:r w:rsidR="005D36DD" w:rsidRPr="005D36DD">
        <w:t xml:space="preserve"> 2022,</w:t>
      </w:r>
      <w:r w:rsidR="00447DA6" w:rsidRPr="005D36DD">
        <w:t xml:space="preserve"> </w:t>
      </w:r>
      <w:hyperlink r:id="rId9" w:history="1">
        <w:r w:rsidR="00447DA6" w:rsidRPr="005D36DD">
          <w:rPr>
            <w:rStyle w:val="Hyperlink"/>
            <w:color w:val="auto"/>
            <w:u w:val="none"/>
          </w:rPr>
          <w:t>https://freedomhouse.org/country/malawi/freedom-net/2021</w:t>
        </w:r>
      </w:hyperlink>
      <w:r w:rsidR="00447DA6" w:rsidRPr="005D36DD">
        <w:t xml:space="preserve"> (accessed December 21, 2022).</w:t>
      </w:r>
    </w:p>
  </w:footnote>
  <w:footnote w:id="16">
    <w:p w14:paraId="6469F5E4" w14:textId="391C7A6B" w:rsidR="00086E80" w:rsidRPr="000846EA" w:rsidRDefault="00086E80">
      <w:pPr>
        <w:pStyle w:val="FootnoteText"/>
      </w:pPr>
      <w:r>
        <w:rPr>
          <w:rStyle w:val="FootnoteReference"/>
        </w:rPr>
        <w:footnoteRef/>
      </w:r>
      <w:r>
        <w:t xml:space="preserve"> </w:t>
      </w:r>
      <w:r w:rsidR="0079553A" w:rsidRPr="000846EA">
        <w:t xml:space="preserve">Speech by Dr. William </w:t>
      </w:r>
      <w:proofErr w:type="spellStart"/>
      <w:r w:rsidR="0079553A" w:rsidRPr="000846EA">
        <w:t>Susuwel</w:t>
      </w:r>
      <w:r w:rsidR="00D30121" w:rsidRPr="000846EA">
        <w:t>e</w:t>
      </w:r>
      <w:proofErr w:type="spellEnd"/>
      <w:r w:rsidR="00D30121" w:rsidRPr="000846EA">
        <w:t>-</w:t>
      </w:r>
      <w:r w:rsidR="0079553A" w:rsidRPr="000846EA">
        <w:t>Banda, Minister of Education, Science and Technology</w:t>
      </w:r>
      <w:r w:rsidR="00D30121" w:rsidRPr="000846EA">
        <w:t>, April 21, 2020,</w:t>
      </w:r>
    </w:p>
    <w:p w14:paraId="1B8D310B" w14:textId="3E473636" w:rsidR="0079553A" w:rsidRDefault="003E700E">
      <w:pPr>
        <w:pStyle w:val="FootnoteText"/>
      </w:pPr>
      <w:hyperlink r:id="rId10" w:history="1">
        <w:r w:rsidR="0079553A" w:rsidRPr="000846EA">
          <w:rPr>
            <w:rStyle w:val="Hyperlink"/>
            <w:color w:val="auto"/>
            <w:u w:val="none"/>
          </w:rPr>
          <w:t>https://www.facebook.com/permalink.php?id=262009470606274&amp;story_fbid=1659255777548296</w:t>
        </w:r>
      </w:hyperlink>
      <w:r w:rsidR="0079553A" w:rsidRPr="000846EA">
        <w:t xml:space="preserve"> (accessed December 15, 2022)</w:t>
      </w:r>
      <w:r w:rsidR="000846EA" w:rsidRPr="000846EA">
        <w:t>.</w:t>
      </w:r>
    </w:p>
  </w:footnote>
  <w:footnote w:id="17">
    <w:p w14:paraId="4D2CA02C" w14:textId="6FE13C49" w:rsidR="00637F3E" w:rsidRDefault="00637F3E">
      <w:pPr>
        <w:pStyle w:val="FootnoteText"/>
      </w:pPr>
      <w:r>
        <w:rPr>
          <w:rStyle w:val="FootnoteReference"/>
        </w:rPr>
        <w:footnoteRef/>
      </w:r>
      <w:r>
        <w:t xml:space="preserve"> </w:t>
      </w:r>
      <w:r w:rsidRPr="00C03685">
        <w:t xml:space="preserve">Human Rights Watch, “Privacy Snapshot: </w:t>
      </w:r>
      <w:proofErr w:type="spellStart"/>
      <w:r w:rsidR="00870DD5">
        <w:t>Notesmaster</w:t>
      </w:r>
      <w:proofErr w:type="spellEnd"/>
      <w:r w:rsidRPr="00C03685">
        <w:t xml:space="preserve">,” June 2021, </w:t>
      </w:r>
      <w:hyperlink r:id="rId11" w:history="1">
        <w:r w:rsidRPr="00C03685">
          <w:rPr>
            <w:rStyle w:val="Hyperlink"/>
            <w:color w:val="auto"/>
            <w:u w:val="none"/>
          </w:rPr>
          <w:t>https://features.hrw.org/features/StudentsNotProducts/files/privacy_snapshots/Privacy%20Snapshot%20-%20Malawi%20Notesmaster.pdf</w:t>
        </w:r>
      </w:hyperlink>
      <w:r w:rsidRPr="00C03685">
        <w:t xml:space="preserve"> (accessed December 1</w:t>
      </w:r>
      <w:r w:rsidR="005350D8">
        <w:t>5</w:t>
      </w:r>
      <w:r w:rsidRPr="00C03685">
        <w:t>, 2022)</w:t>
      </w:r>
      <w:r w:rsidR="000846EA">
        <w:t>.</w:t>
      </w:r>
    </w:p>
  </w:footnote>
  <w:footnote w:id="18">
    <w:p w14:paraId="66B50131" w14:textId="3C4C6C99" w:rsidR="00C56306" w:rsidRPr="007F59BB" w:rsidRDefault="00C56306" w:rsidP="00C56306">
      <w:pPr>
        <w:pStyle w:val="FootnoteText"/>
      </w:pPr>
      <w:r>
        <w:rPr>
          <w:rStyle w:val="FootnoteReference"/>
        </w:rPr>
        <w:footnoteRef/>
      </w:r>
      <w:r>
        <w:t xml:space="preserve"> </w:t>
      </w:r>
      <w:r w:rsidRPr="0004710D">
        <w:t xml:space="preserve">By one estimate, </w:t>
      </w:r>
      <w:proofErr w:type="spellStart"/>
      <w:r w:rsidRPr="0004710D">
        <w:t>BlueKai</w:t>
      </w:r>
      <w:proofErr w:type="spellEnd"/>
      <w:r w:rsidRPr="0004710D">
        <w:t xml:space="preserve"> tracks over one percent of all web traffic in the world. See </w:t>
      </w:r>
      <w:proofErr w:type="spellStart"/>
      <w:r w:rsidRPr="0004710D">
        <w:t>Cliqz</w:t>
      </w:r>
      <w:proofErr w:type="spellEnd"/>
      <w:r w:rsidRPr="0004710D">
        <w:t>, Who Tracks Me, “</w:t>
      </w:r>
      <w:proofErr w:type="spellStart"/>
      <w:r w:rsidRPr="0004710D">
        <w:t>BlueKai</w:t>
      </w:r>
      <w:proofErr w:type="spellEnd"/>
      <w:r w:rsidRPr="0004710D">
        <w:t xml:space="preserve">,” https://whotracks.me/trackers/bluekai.html (accessed July 12, 2021); Bennett Cyphers and Gennie Gebhart, “Behind the One-Way Mirror: A Deep Dive </w:t>
      </w:r>
      <w:proofErr w:type="gramStart"/>
      <w:r w:rsidRPr="0004710D">
        <w:t>Into</w:t>
      </w:r>
      <w:proofErr w:type="gramEnd"/>
      <w:r w:rsidRPr="0004710D">
        <w:t xml:space="preserve"> the Technology of Corporate Surveillance,” Electronic Frontier Foundation, December 2, 2019, https://www.eff.org/wp/behind-the-one-way-mirror (accessed July 12, 2021).</w:t>
      </w:r>
    </w:p>
  </w:footnote>
  <w:footnote w:id="19">
    <w:p w14:paraId="19116B7D" w14:textId="7FCE4C27" w:rsidR="00197536" w:rsidRDefault="00197536">
      <w:pPr>
        <w:pStyle w:val="FootnoteText"/>
      </w:pPr>
      <w:r>
        <w:rPr>
          <w:rStyle w:val="FootnoteReference"/>
        </w:rPr>
        <w:footnoteRef/>
      </w:r>
      <w:r>
        <w:t xml:space="preserve"> Zack Whittaker, “Oracle’s </w:t>
      </w:r>
      <w:proofErr w:type="spellStart"/>
      <w:r>
        <w:t>BlueKai</w:t>
      </w:r>
      <w:proofErr w:type="spellEnd"/>
      <w:r>
        <w:t xml:space="preserve"> Tracks You Across the Web. That Data Spilled Online,” </w:t>
      </w:r>
      <w:r>
        <w:rPr>
          <w:i/>
          <w:iCs/>
        </w:rPr>
        <w:t>TechCrunch</w:t>
      </w:r>
      <w:r>
        <w:t>, June 19, 2020, https://techcrunch.com/2020/06/19/oracle-bluekai-web-tracking/ (accessed July 12, 2021).</w:t>
      </w:r>
    </w:p>
  </w:footnote>
  <w:footnote w:id="20">
    <w:p w14:paraId="48FBAFD5" w14:textId="77777777" w:rsidR="00C56306" w:rsidRPr="00700CCB" w:rsidRDefault="00C56306" w:rsidP="00C56306">
      <w:pPr>
        <w:pStyle w:val="FootnoteText"/>
      </w:pPr>
      <w:r>
        <w:rPr>
          <w:rStyle w:val="FootnoteReference"/>
        </w:rPr>
        <w:footnoteRef/>
      </w:r>
      <w:r>
        <w:t xml:space="preserve"> </w:t>
      </w:r>
      <w:r w:rsidRPr="00F47F27">
        <w:t>Human Rights Watch, “How Dare They Peep into My Private Life?”</w:t>
      </w:r>
      <w:r>
        <w:t xml:space="preserve">, </w:t>
      </w:r>
      <w:r w:rsidRPr="00F47F27">
        <w:t>May 25, 2022</w:t>
      </w:r>
      <w:r>
        <w:t>.</w:t>
      </w:r>
    </w:p>
  </w:footnote>
  <w:footnote w:id="21">
    <w:p w14:paraId="116A54FA" w14:textId="2539B487" w:rsidR="009F13F6" w:rsidRPr="009F13F6" w:rsidRDefault="009F13F6">
      <w:pPr>
        <w:pStyle w:val="FootnoteText"/>
      </w:pPr>
      <w:r>
        <w:rPr>
          <w:rStyle w:val="FootnoteReference"/>
        </w:rPr>
        <w:footnoteRef/>
      </w:r>
      <w:r>
        <w:t xml:space="preserve"> </w:t>
      </w:r>
      <w:r w:rsidR="00360AF5" w:rsidRPr="00C03685">
        <w:t xml:space="preserve">Human Rights Watch, “Privacy Snapshot: </w:t>
      </w:r>
      <w:proofErr w:type="spellStart"/>
      <w:r w:rsidR="00360AF5">
        <w:t>Notesmaster</w:t>
      </w:r>
      <w:proofErr w:type="spellEnd"/>
      <w:r w:rsidR="00360AF5" w:rsidRPr="00C03685">
        <w:t>,” June 2021</w:t>
      </w:r>
      <w:r w:rsidR="00360AF5">
        <w:t>.</w:t>
      </w:r>
    </w:p>
  </w:footnote>
  <w:footnote w:id="22">
    <w:p w14:paraId="6122C346" w14:textId="77777777" w:rsidR="00740669" w:rsidRPr="00822200" w:rsidRDefault="00740669" w:rsidP="00740669">
      <w:pPr>
        <w:spacing w:after="0"/>
        <w:rPr>
          <w:rFonts w:ascii="MetaPro-Norm" w:hAnsi="MetaPro-Norm"/>
          <w:sz w:val="16"/>
          <w:szCs w:val="20"/>
        </w:rPr>
      </w:pPr>
      <w:r>
        <w:rPr>
          <w:rStyle w:val="FootnoteReference"/>
        </w:rPr>
        <w:footnoteRef/>
      </w:r>
      <w:r>
        <w:t xml:space="preserve"> </w:t>
      </w:r>
      <w:r w:rsidRPr="00D02D0D">
        <w:rPr>
          <w:rFonts w:ascii="MetaPro-Norm" w:hAnsi="MetaPro-Norm"/>
          <w:sz w:val="16"/>
          <w:szCs w:val="20"/>
        </w:rPr>
        <w:t>United Nations Committee on the Rights of the Child, General Comment No. 25 on Children’s Rights in Relation to the Digital Environment, U.N. Doc. CRC/C/GC/25 (2021), para. 40.</w:t>
      </w:r>
    </w:p>
  </w:footnote>
  <w:footnote w:id="23">
    <w:p w14:paraId="0DAA44C0" w14:textId="77777777" w:rsidR="00740669" w:rsidRPr="00D02D0D" w:rsidRDefault="00740669" w:rsidP="00740669">
      <w:pPr>
        <w:pStyle w:val="FootnoteText"/>
      </w:pPr>
      <w:r>
        <w:rPr>
          <w:rStyle w:val="FootnoteReference"/>
        </w:rPr>
        <w:footnoteRef/>
      </w:r>
      <w:r>
        <w:t xml:space="preserve"> </w:t>
      </w:r>
      <w:r w:rsidRPr="00822200">
        <w:t>Ibid., para. 42.</w:t>
      </w:r>
    </w:p>
  </w:footnote>
  <w:footnote w:id="24">
    <w:p w14:paraId="2FD1EEF1" w14:textId="510B1F86" w:rsidR="00DF5681" w:rsidRDefault="00DF5681">
      <w:pPr>
        <w:pStyle w:val="FootnoteText"/>
      </w:pPr>
      <w:r>
        <w:rPr>
          <w:rStyle w:val="FootnoteReference"/>
        </w:rPr>
        <w:footnoteRef/>
      </w:r>
      <w:r>
        <w:t xml:space="preserve"> Human Rights Watch email correspondence with Dean Dundas, </w:t>
      </w:r>
      <w:r w:rsidR="00A97007">
        <w:t>Managing Director</w:t>
      </w:r>
      <w:r w:rsidR="00C046CF">
        <w:t xml:space="preserve">, </w:t>
      </w:r>
      <w:proofErr w:type="spellStart"/>
      <w:r w:rsidR="00A97007">
        <w:t>Notesmaster</w:t>
      </w:r>
      <w:proofErr w:type="spellEnd"/>
      <w:r w:rsidR="00C046CF">
        <w:t>, April 20, 2022.</w:t>
      </w:r>
    </w:p>
  </w:footnote>
  <w:footnote w:id="25">
    <w:p w14:paraId="6B969BCD" w14:textId="1E915816" w:rsidR="00795B4B" w:rsidRDefault="00795B4B" w:rsidP="00795B4B">
      <w:pPr>
        <w:pStyle w:val="FootnoteText"/>
      </w:pPr>
      <w:r>
        <w:rPr>
          <w:rStyle w:val="FootnoteReference"/>
        </w:rPr>
        <w:footnoteRef/>
      </w:r>
      <w:r>
        <w:t xml:space="preserve"> </w:t>
      </w:r>
      <w:r w:rsidRPr="008F3FC9">
        <w:t>Human Rights Watch email correspondence with Dorian Daley, Executive Vice President and General Counsel</w:t>
      </w:r>
      <w:r w:rsidR="007E6311">
        <w:t xml:space="preserve">, </w:t>
      </w:r>
      <w:r w:rsidRPr="008F3FC9">
        <w:t>Oracle, April 15, 2022.</w:t>
      </w:r>
    </w:p>
  </w:footnote>
  <w:footnote w:id="26">
    <w:p w14:paraId="152E2280" w14:textId="0121B19E" w:rsidR="00D1515E" w:rsidRDefault="00D1515E">
      <w:pPr>
        <w:pStyle w:val="FootnoteText"/>
      </w:pPr>
      <w:r>
        <w:rPr>
          <w:rStyle w:val="FootnoteReference"/>
        </w:rPr>
        <w:footnoteRef/>
      </w:r>
      <w:r>
        <w:t xml:space="preserve"> Human Rights Watch email correspondence with Miranda Sissons, Director, Human Rights Policy, Meta, April 15, 2022.</w:t>
      </w:r>
    </w:p>
  </w:footnote>
  <w:footnote w:id="27">
    <w:p w14:paraId="5FF201F6" w14:textId="4A8D85AA" w:rsidR="00A06B3B" w:rsidRPr="00843DFD" w:rsidRDefault="00A06B3B" w:rsidP="00A06B3B">
      <w:pPr>
        <w:pStyle w:val="FootnoteText"/>
        <w:rPr>
          <w:rFonts w:cstheme="minorHAnsi"/>
          <w:sz w:val="18"/>
          <w:szCs w:val="18"/>
        </w:rPr>
      </w:pPr>
      <w:r w:rsidRPr="00D81D9E">
        <w:rPr>
          <w:rStyle w:val="FootnoteReference"/>
          <w:rFonts w:cstheme="minorHAnsi"/>
          <w:szCs w:val="22"/>
        </w:rPr>
        <w:footnoteRef/>
      </w:r>
      <w:r w:rsidRPr="00843DFD">
        <w:rPr>
          <w:rFonts w:cstheme="minorHAnsi"/>
          <w:sz w:val="18"/>
          <w:szCs w:val="18"/>
        </w:rPr>
        <w:t xml:space="preserve"> </w:t>
      </w:r>
      <w:r w:rsidRPr="00043251">
        <w:rPr>
          <w:rFonts w:cstheme="minorHAnsi"/>
          <w:szCs w:val="16"/>
        </w:rPr>
        <w:t xml:space="preserve">Safe Schools Declaration, May 28, 2015, </w:t>
      </w:r>
      <w:r w:rsidRPr="00891673">
        <w:rPr>
          <w:rFonts w:cstheme="minorHAnsi"/>
          <w:szCs w:val="16"/>
        </w:rPr>
        <w:t>https://www.regjeringen.no/globalassets/departementene/ud/vedlegg/utvikling/safe_schools_declaration.pdf</w:t>
      </w:r>
      <w:r w:rsidRPr="00043251">
        <w:rPr>
          <w:rFonts w:cstheme="minorHAnsi"/>
          <w:szCs w:val="16"/>
        </w:rPr>
        <w:t xml:space="preserve"> (accessed </w:t>
      </w:r>
      <w:r w:rsidR="00B544D5">
        <w:rPr>
          <w:rFonts w:cstheme="minorHAnsi"/>
          <w:szCs w:val="16"/>
        </w:rPr>
        <w:t>December 8</w:t>
      </w:r>
      <w:r w:rsidRPr="00043251">
        <w:rPr>
          <w:rFonts w:cstheme="minorHAnsi"/>
          <w:szCs w:val="16"/>
        </w:rPr>
        <w:t>, 2022).</w:t>
      </w:r>
    </w:p>
  </w:footnote>
  <w:footnote w:id="28">
    <w:p w14:paraId="6242122E" w14:textId="0030FAEC" w:rsidR="00A06B3B" w:rsidRPr="00843DFD" w:rsidRDefault="00A06B3B" w:rsidP="00A06B3B">
      <w:pPr>
        <w:pStyle w:val="FootnoteText"/>
        <w:rPr>
          <w:sz w:val="18"/>
          <w:szCs w:val="18"/>
        </w:rPr>
      </w:pPr>
      <w:r w:rsidRPr="00D81D9E">
        <w:rPr>
          <w:rStyle w:val="FootnoteReference"/>
          <w:rFonts w:cstheme="minorHAnsi"/>
          <w:szCs w:val="22"/>
        </w:rPr>
        <w:footnoteRef/>
      </w:r>
      <w:r w:rsidRPr="00843DFD">
        <w:rPr>
          <w:rFonts w:cstheme="minorHAnsi"/>
          <w:sz w:val="18"/>
          <w:szCs w:val="18"/>
        </w:rPr>
        <w:t xml:space="preserve"> </w:t>
      </w:r>
      <w:r w:rsidRPr="00F20A0A">
        <w:rPr>
          <w:rFonts w:cstheme="minorHAnsi"/>
          <w:szCs w:val="16"/>
        </w:rPr>
        <w:t>GCPEA,</w:t>
      </w:r>
      <w:r>
        <w:rPr>
          <w:rFonts w:cstheme="minorHAnsi"/>
          <w:sz w:val="18"/>
          <w:szCs w:val="18"/>
        </w:rPr>
        <w:t xml:space="preserve"> </w:t>
      </w:r>
      <w:r w:rsidRPr="00043251">
        <w:rPr>
          <w:rFonts w:cstheme="minorHAnsi"/>
          <w:szCs w:val="16"/>
        </w:rPr>
        <w:t xml:space="preserve">Guidelines for Protecting Schools and Universities from Military Use during Armed Conflict, March 18, 2014, </w:t>
      </w:r>
      <w:r w:rsidRPr="00F20A0A">
        <w:rPr>
          <w:rFonts w:cstheme="minorHAnsi"/>
          <w:szCs w:val="16"/>
        </w:rPr>
        <w:t>http://protectingeducation.org/sites/default/files/documents/guidelines_en.pdf</w:t>
      </w:r>
      <w:r w:rsidRPr="00043251">
        <w:rPr>
          <w:rFonts w:cstheme="minorHAnsi"/>
          <w:szCs w:val="16"/>
        </w:rPr>
        <w:t xml:space="preserve"> (accessed </w:t>
      </w:r>
      <w:r w:rsidR="00B544D5">
        <w:rPr>
          <w:rFonts w:cstheme="minorHAnsi"/>
          <w:szCs w:val="16"/>
        </w:rPr>
        <w:t>December 8</w:t>
      </w:r>
      <w:r w:rsidRPr="00043251">
        <w:rPr>
          <w:rFonts w:cstheme="minorHAnsi"/>
          <w:szCs w:val="16"/>
        </w:rPr>
        <w:t>, 2022).</w:t>
      </w:r>
    </w:p>
  </w:footnote>
  <w:footnote w:id="29">
    <w:p w14:paraId="1BC06A6C" w14:textId="3F2F92B8" w:rsidR="00A06B3B" w:rsidRPr="0097461F" w:rsidRDefault="00A06B3B" w:rsidP="00A06B3B">
      <w:pPr>
        <w:pStyle w:val="FootnoteText"/>
      </w:pPr>
      <w:r w:rsidRPr="00D81D9E">
        <w:rPr>
          <w:rStyle w:val="FootnoteReference"/>
          <w:szCs w:val="22"/>
        </w:rPr>
        <w:footnoteRef/>
      </w:r>
      <w:r w:rsidRPr="0015159D">
        <w:rPr>
          <w:sz w:val="18"/>
          <w:szCs w:val="18"/>
        </w:rPr>
        <w:t xml:space="preserve"> </w:t>
      </w:r>
      <w:r w:rsidR="0015159D" w:rsidRPr="00441ACF">
        <w:t>GCPEA, “Safe Schools Declaration Endorsements,”</w:t>
      </w:r>
      <w:r w:rsidR="00604C77" w:rsidRPr="00441ACF">
        <w:t xml:space="preserve"> 2022, </w:t>
      </w:r>
      <w:hyperlink r:id="rId12" w:history="1">
        <w:r w:rsidR="00441ACF" w:rsidRPr="00441ACF">
          <w:rPr>
            <w:rStyle w:val="Hyperlink"/>
            <w:color w:val="auto"/>
            <w:u w:val="none"/>
          </w:rPr>
          <w:t>https://ssd.protectingeducation.org/endorsement/</w:t>
        </w:r>
      </w:hyperlink>
      <w:r w:rsidR="00441ACF" w:rsidRPr="00441ACF">
        <w:t xml:space="preserve"> (accessed December 8, 2022).</w:t>
      </w:r>
    </w:p>
  </w:footnote>
  <w:footnote w:id="30">
    <w:p w14:paraId="4537364A" w14:textId="77777777" w:rsidR="00DE16C3" w:rsidRPr="007A2D9C" w:rsidRDefault="00DE16C3" w:rsidP="00DE16C3">
      <w:pPr>
        <w:pStyle w:val="FootnoteText"/>
      </w:pPr>
      <w:r w:rsidRPr="00D54EAC">
        <w:rPr>
          <w:rStyle w:val="FootnoteReference"/>
          <w:szCs w:val="22"/>
        </w:rPr>
        <w:footnoteRef/>
      </w:r>
      <w:r w:rsidRPr="00843DFD">
        <w:rPr>
          <w:sz w:val="18"/>
          <w:szCs w:val="18"/>
        </w:rPr>
        <w:t xml:space="preserve"> </w:t>
      </w:r>
      <w:r w:rsidRPr="00043251">
        <w:rPr>
          <w:szCs w:val="16"/>
        </w:rPr>
        <w:t>African Committee on the Rights and Welfare of the Child, General Comment on Article 22: Children in Armed Conflict, (2020), para. 59.</w:t>
      </w:r>
    </w:p>
  </w:footnote>
  <w:footnote w:id="31">
    <w:p w14:paraId="722A9790" w14:textId="2822077D" w:rsidR="00DE16C3" w:rsidRPr="00C27ABD" w:rsidRDefault="00DE16C3" w:rsidP="00DE16C3">
      <w:pPr>
        <w:pStyle w:val="FootnoteText"/>
        <w:rPr>
          <w:sz w:val="18"/>
          <w:szCs w:val="18"/>
        </w:rPr>
      </w:pPr>
      <w:r w:rsidRPr="00D54EAC">
        <w:rPr>
          <w:rStyle w:val="FootnoteReference"/>
          <w:szCs w:val="22"/>
        </w:rPr>
        <w:footnoteRef/>
      </w:r>
      <w:r w:rsidRPr="00C27ABD">
        <w:rPr>
          <w:sz w:val="18"/>
          <w:szCs w:val="18"/>
        </w:rPr>
        <w:t xml:space="preserve"> </w:t>
      </w:r>
      <w:r w:rsidRPr="00043251">
        <w:rPr>
          <w:szCs w:val="16"/>
        </w:rPr>
        <w:t xml:space="preserve">African Union, Peace and Security Department, “International Day to Protect Education from Attack: Joint Statement by African Union Commission’s Department of Political Affairs, Peace and Security (PAPS); Department of Health, Humanitarian Affairs and Social Development and Save the Children International,” </w:t>
      </w:r>
      <w:r>
        <w:rPr>
          <w:szCs w:val="16"/>
        </w:rPr>
        <w:t xml:space="preserve">September 9, 2021, </w:t>
      </w:r>
      <w:r w:rsidRPr="003F70B1">
        <w:rPr>
          <w:szCs w:val="16"/>
        </w:rPr>
        <w:t>https://www.peaceau.org/en/article/international-day-to-protect-education-from-attack-joint-statement-by-african-union-commission-s-department-of-political-affairs-peace-and-security-paps-department-of-health-humanitarian-affairs-and-social-development-and-save-the-children-international</w:t>
      </w:r>
      <w:r w:rsidRPr="00043251">
        <w:rPr>
          <w:szCs w:val="16"/>
        </w:rPr>
        <w:t xml:space="preserve"> (accessed </w:t>
      </w:r>
      <w:r w:rsidR="00E80D85">
        <w:rPr>
          <w:szCs w:val="16"/>
        </w:rPr>
        <w:t>December 5</w:t>
      </w:r>
      <w:r w:rsidRPr="00043251">
        <w:rPr>
          <w:szCs w:val="16"/>
        </w:rPr>
        <w:t>, 2022).</w:t>
      </w:r>
    </w:p>
  </w:footnote>
  <w:footnote w:id="32">
    <w:p w14:paraId="6705519E" w14:textId="1B200AB8" w:rsidR="00DE16C3" w:rsidRPr="00843DFD" w:rsidRDefault="00DE16C3" w:rsidP="00DE16C3">
      <w:pPr>
        <w:pStyle w:val="FootnoteText"/>
        <w:rPr>
          <w:sz w:val="18"/>
          <w:szCs w:val="18"/>
        </w:rPr>
      </w:pPr>
      <w:r w:rsidRPr="00D54EAC">
        <w:rPr>
          <w:rStyle w:val="FootnoteReference"/>
          <w:szCs w:val="22"/>
        </w:rPr>
        <w:footnoteRef/>
      </w:r>
      <w:r w:rsidRPr="00843DFD">
        <w:rPr>
          <w:sz w:val="18"/>
          <w:szCs w:val="18"/>
        </w:rPr>
        <w:t xml:space="preserve"> </w:t>
      </w:r>
      <w:r w:rsidRPr="00043251">
        <w:rPr>
          <w:szCs w:val="16"/>
        </w:rPr>
        <w:t xml:space="preserve">United Nations Peacekeeping, </w:t>
      </w:r>
      <w:r>
        <w:rPr>
          <w:szCs w:val="16"/>
        </w:rPr>
        <w:t>“</w:t>
      </w:r>
      <w:r w:rsidRPr="00043251">
        <w:rPr>
          <w:szCs w:val="16"/>
        </w:rPr>
        <w:t>Troop and Police Contributors,</w:t>
      </w:r>
      <w:r>
        <w:rPr>
          <w:szCs w:val="16"/>
        </w:rPr>
        <w:t>”</w:t>
      </w:r>
      <w:r w:rsidRPr="00043251">
        <w:rPr>
          <w:szCs w:val="16"/>
        </w:rPr>
        <w:t xml:space="preserve"> </w:t>
      </w:r>
      <w:r w:rsidRPr="003F70B1">
        <w:rPr>
          <w:szCs w:val="16"/>
        </w:rPr>
        <w:t>https://peacekeeping.un.org/en/troop-and-police-contributors</w:t>
      </w:r>
      <w:r w:rsidRPr="00043251">
        <w:rPr>
          <w:szCs w:val="16"/>
        </w:rPr>
        <w:t xml:space="preserve"> (accessed </w:t>
      </w:r>
      <w:r w:rsidR="00412905">
        <w:rPr>
          <w:szCs w:val="16"/>
        </w:rPr>
        <w:t>December 8</w:t>
      </w:r>
      <w:r w:rsidRPr="00043251">
        <w:rPr>
          <w:szCs w:val="16"/>
        </w:rPr>
        <w:t>, 2022).</w:t>
      </w:r>
      <w:r w:rsidRPr="00843DFD">
        <w:rPr>
          <w:sz w:val="18"/>
          <w:szCs w:val="18"/>
        </w:rPr>
        <w:t xml:space="preserve"> </w:t>
      </w:r>
    </w:p>
  </w:footnote>
  <w:footnote w:id="33">
    <w:p w14:paraId="5219003A" w14:textId="77777777" w:rsidR="00DE16C3" w:rsidRPr="00DD5F37" w:rsidRDefault="00DE16C3" w:rsidP="00DE16C3">
      <w:pPr>
        <w:pStyle w:val="Footer"/>
        <w:rPr>
          <w:sz w:val="18"/>
          <w:szCs w:val="18"/>
        </w:rPr>
      </w:pPr>
      <w:r w:rsidRPr="00D54EAC">
        <w:rPr>
          <w:rStyle w:val="FootnoteReference"/>
        </w:rPr>
        <w:footnoteRef/>
      </w:r>
      <w:r w:rsidRPr="00DD5F37">
        <w:rPr>
          <w:sz w:val="18"/>
          <w:szCs w:val="18"/>
        </w:rPr>
        <w:t xml:space="preserve"> </w:t>
      </w:r>
      <w:r w:rsidRPr="00B77582">
        <w:rPr>
          <w:rFonts w:ascii="MetaPro-Norm" w:hAnsi="MetaPro-Norm"/>
          <w:sz w:val="16"/>
          <w:szCs w:val="16"/>
        </w:rPr>
        <w:t>UN Department of Peacekeeping Operations, Department of Field Support and Department of Political Affairs, “Child Protection in UN Peace Operations (Policy),” June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68A"/>
    <w:multiLevelType w:val="hybridMultilevel"/>
    <w:tmpl w:val="76BEB30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2" w15:restartNumberingAfterBreak="0">
    <w:nsid w:val="4DBC6AC8"/>
    <w:multiLevelType w:val="hybridMultilevel"/>
    <w:tmpl w:val="AF96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171890"/>
    <w:multiLevelType w:val="hybridMultilevel"/>
    <w:tmpl w:val="27A64F30"/>
    <w:lvl w:ilvl="0" w:tplc="740A0EF4">
      <w:start w:val="1"/>
      <w:numFmt w:val="bullet"/>
      <w:lvlText w:val=""/>
      <w:lvlJc w:val="left"/>
      <w:pPr>
        <w:ind w:left="720" w:hanging="360"/>
      </w:pPr>
      <w:rPr>
        <w:rFonts w:ascii="Symbol" w:hAnsi="Symbol" w:hint="default"/>
      </w:rPr>
    </w:lvl>
    <w:lvl w:ilvl="1" w:tplc="1938C454">
      <w:start w:val="1"/>
      <w:numFmt w:val="bullet"/>
      <w:lvlText w:val="o"/>
      <w:lvlJc w:val="left"/>
      <w:pPr>
        <w:ind w:left="1440" w:hanging="360"/>
      </w:pPr>
      <w:rPr>
        <w:rFonts w:ascii="Courier New" w:hAnsi="Courier New" w:hint="default"/>
      </w:rPr>
    </w:lvl>
    <w:lvl w:ilvl="2" w:tplc="6748B580">
      <w:start w:val="1"/>
      <w:numFmt w:val="bullet"/>
      <w:lvlText w:val=""/>
      <w:lvlJc w:val="left"/>
      <w:pPr>
        <w:ind w:left="2160" w:hanging="360"/>
      </w:pPr>
      <w:rPr>
        <w:rFonts w:ascii="Wingdings" w:hAnsi="Wingdings" w:hint="default"/>
      </w:rPr>
    </w:lvl>
    <w:lvl w:ilvl="3" w:tplc="99B06D9E">
      <w:start w:val="1"/>
      <w:numFmt w:val="bullet"/>
      <w:lvlText w:val=""/>
      <w:lvlJc w:val="left"/>
      <w:pPr>
        <w:ind w:left="2880" w:hanging="360"/>
      </w:pPr>
      <w:rPr>
        <w:rFonts w:ascii="Symbol" w:hAnsi="Symbol" w:hint="default"/>
      </w:rPr>
    </w:lvl>
    <w:lvl w:ilvl="4" w:tplc="D6B0BF94">
      <w:start w:val="1"/>
      <w:numFmt w:val="bullet"/>
      <w:lvlText w:val="o"/>
      <w:lvlJc w:val="left"/>
      <w:pPr>
        <w:ind w:left="3600" w:hanging="360"/>
      </w:pPr>
      <w:rPr>
        <w:rFonts w:ascii="Courier New" w:hAnsi="Courier New" w:hint="default"/>
      </w:rPr>
    </w:lvl>
    <w:lvl w:ilvl="5" w:tplc="47A625BA">
      <w:start w:val="1"/>
      <w:numFmt w:val="bullet"/>
      <w:lvlText w:val=""/>
      <w:lvlJc w:val="left"/>
      <w:pPr>
        <w:ind w:left="4320" w:hanging="360"/>
      </w:pPr>
      <w:rPr>
        <w:rFonts w:ascii="Wingdings" w:hAnsi="Wingdings" w:hint="default"/>
      </w:rPr>
    </w:lvl>
    <w:lvl w:ilvl="6" w:tplc="C1AC6C8E">
      <w:start w:val="1"/>
      <w:numFmt w:val="bullet"/>
      <w:lvlText w:val=""/>
      <w:lvlJc w:val="left"/>
      <w:pPr>
        <w:ind w:left="5040" w:hanging="360"/>
      </w:pPr>
      <w:rPr>
        <w:rFonts w:ascii="Symbol" w:hAnsi="Symbol" w:hint="default"/>
      </w:rPr>
    </w:lvl>
    <w:lvl w:ilvl="7" w:tplc="F580DE32">
      <w:start w:val="1"/>
      <w:numFmt w:val="bullet"/>
      <w:lvlText w:val="o"/>
      <w:lvlJc w:val="left"/>
      <w:pPr>
        <w:ind w:left="5760" w:hanging="360"/>
      </w:pPr>
      <w:rPr>
        <w:rFonts w:ascii="Courier New" w:hAnsi="Courier New" w:hint="default"/>
      </w:rPr>
    </w:lvl>
    <w:lvl w:ilvl="8" w:tplc="B4C6A50E">
      <w:start w:val="1"/>
      <w:numFmt w:val="bullet"/>
      <w:lvlText w:val=""/>
      <w:lvlJc w:val="left"/>
      <w:pPr>
        <w:ind w:left="6480" w:hanging="360"/>
      </w:pPr>
      <w:rPr>
        <w:rFonts w:ascii="Wingdings" w:hAnsi="Wingdings" w:hint="default"/>
      </w:rPr>
    </w:lvl>
  </w:abstractNum>
  <w:abstractNum w:abstractNumId="4"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5" w15:restartNumberingAfterBreak="0">
    <w:nsid w:val="700C1E64"/>
    <w:multiLevelType w:val="hybridMultilevel"/>
    <w:tmpl w:val="B0985B10"/>
    <w:lvl w:ilvl="0" w:tplc="F6AA759E">
      <w:start w:val="1"/>
      <w:numFmt w:val="bullet"/>
      <w:lvlText w:val=""/>
      <w:lvlJc w:val="left"/>
      <w:pPr>
        <w:ind w:left="720" w:hanging="360"/>
      </w:pPr>
      <w:rPr>
        <w:rFonts w:ascii="Symbol" w:hAnsi="Symbol" w:hint="default"/>
      </w:rPr>
    </w:lvl>
    <w:lvl w:ilvl="1" w:tplc="BCF6A6C2">
      <w:start w:val="1"/>
      <w:numFmt w:val="bullet"/>
      <w:lvlText w:val="o"/>
      <w:lvlJc w:val="left"/>
      <w:pPr>
        <w:ind w:left="1440" w:hanging="360"/>
      </w:pPr>
      <w:rPr>
        <w:rFonts w:ascii="Courier New" w:hAnsi="Courier New" w:hint="default"/>
      </w:rPr>
    </w:lvl>
    <w:lvl w:ilvl="2" w:tplc="FB64AF1E">
      <w:start w:val="1"/>
      <w:numFmt w:val="bullet"/>
      <w:lvlText w:val=""/>
      <w:lvlJc w:val="left"/>
      <w:pPr>
        <w:ind w:left="2160" w:hanging="360"/>
      </w:pPr>
      <w:rPr>
        <w:rFonts w:ascii="Wingdings" w:hAnsi="Wingdings" w:hint="default"/>
      </w:rPr>
    </w:lvl>
    <w:lvl w:ilvl="3" w:tplc="9E0A8F3A">
      <w:start w:val="1"/>
      <w:numFmt w:val="bullet"/>
      <w:lvlText w:val=""/>
      <w:lvlJc w:val="left"/>
      <w:pPr>
        <w:ind w:left="2880" w:hanging="360"/>
      </w:pPr>
      <w:rPr>
        <w:rFonts w:ascii="Symbol" w:hAnsi="Symbol" w:hint="default"/>
      </w:rPr>
    </w:lvl>
    <w:lvl w:ilvl="4" w:tplc="0A6075A4">
      <w:start w:val="1"/>
      <w:numFmt w:val="bullet"/>
      <w:lvlText w:val="o"/>
      <w:lvlJc w:val="left"/>
      <w:pPr>
        <w:ind w:left="3600" w:hanging="360"/>
      </w:pPr>
      <w:rPr>
        <w:rFonts w:ascii="Courier New" w:hAnsi="Courier New" w:hint="default"/>
      </w:rPr>
    </w:lvl>
    <w:lvl w:ilvl="5" w:tplc="7CB25764">
      <w:start w:val="1"/>
      <w:numFmt w:val="bullet"/>
      <w:lvlText w:val=""/>
      <w:lvlJc w:val="left"/>
      <w:pPr>
        <w:ind w:left="4320" w:hanging="360"/>
      </w:pPr>
      <w:rPr>
        <w:rFonts w:ascii="Wingdings" w:hAnsi="Wingdings" w:hint="default"/>
      </w:rPr>
    </w:lvl>
    <w:lvl w:ilvl="6" w:tplc="15549AF6">
      <w:start w:val="1"/>
      <w:numFmt w:val="bullet"/>
      <w:lvlText w:val=""/>
      <w:lvlJc w:val="left"/>
      <w:pPr>
        <w:ind w:left="5040" w:hanging="360"/>
      </w:pPr>
      <w:rPr>
        <w:rFonts w:ascii="Symbol" w:hAnsi="Symbol" w:hint="default"/>
      </w:rPr>
    </w:lvl>
    <w:lvl w:ilvl="7" w:tplc="7924ECEA">
      <w:start w:val="1"/>
      <w:numFmt w:val="bullet"/>
      <w:lvlText w:val="o"/>
      <w:lvlJc w:val="left"/>
      <w:pPr>
        <w:ind w:left="5760" w:hanging="360"/>
      </w:pPr>
      <w:rPr>
        <w:rFonts w:ascii="Courier New" w:hAnsi="Courier New" w:hint="default"/>
      </w:rPr>
    </w:lvl>
    <w:lvl w:ilvl="8" w:tplc="7194CC06">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1F"/>
    <w:rsid w:val="00000F19"/>
    <w:rsid w:val="00001C14"/>
    <w:rsid w:val="000035CE"/>
    <w:rsid w:val="0000397D"/>
    <w:rsid w:val="00004DDA"/>
    <w:rsid w:val="00011942"/>
    <w:rsid w:val="00011A54"/>
    <w:rsid w:val="00024145"/>
    <w:rsid w:val="00034E2E"/>
    <w:rsid w:val="000352FA"/>
    <w:rsid w:val="00045EB3"/>
    <w:rsid w:val="0004710D"/>
    <w:rsid w:val="000476B1"/>
    <w:rsid w:val="000500D9"/>
    <w:rsid w:val="00052111"/>
    <w:rsid w:val="0005794E"/>
    <w:rsid w:val="00057F1C"/>
    <w:rsid w:val="00060DE8"/>
    <w:rsid w:val="0006312C"/>
    <w:rsid w:val="000716C4"/>
    <w:rsid w:val="000846EA"/>
    <w:rsid w:val="0008634D"/>
    <w:rsid w:val="00086E80"/>
    <w:rsid w:val="000A1A38"/>
    <w:rsid w:val="000A361A"/>
    <w:rsid w:val="000B1CDF"/>
    <w:rsid w:val="000B2E77"/>
    <w:rsid w:val="000B3AAE"/>
    <w:rsid w:val="000C02E6"/>
    <w:rsid w:val="000C0311"/>
    <w:rsid w:val="000C0FDB"/>
    <w:rsid w:val="000C5B21"/>
    <w:rsid w:val="000C78FC"/>
    <w:rsid w:val="000D32AB"/>
    <w:rsid w:val="000D6674"/>
    <w:rsid w:val="000E1107"/>
    <w:rsid w:val="000E27F1"/>
    <w:rsid w:val="000E4423"/>
    <w:rsid w:val="000E54C3"/>
    <w:rsid w:val="000F06FD"/>
    <w:rsid w:val="000F5A38"/>
    <w:rsid w:val="00111A0F"/>
    <w:rsid w:val="001165AE"/>
    <w:rsid w:val="00122BEC"/>
    <w:rsid w:val="001269C7"/>
    <w:rsid w:val="0012751D"/>
    <w:rsid w:val="0012794F"/>
    <w:rsid w:val="001309C9"/>
    <w:rsid w:val="00143B95"/>
    <w:rsid w:val="00150786"/>
    <w:rsid w:val="0015159D"/>
    <w:rsid w:val="00151F79"/>
    <w:rsid w:val="00153378"/>
    <w:rsid w:val="00154097"/>
    <w:rsid w:val="001603DB"/>
    <w:rsid w:val="0016084C"/>
    <w:rsid w:val="00162B7C"/>
    <w:rsid w:val="00165BD7"/>
    <w:rsid w:val="00167E50"/>
    <w:rsid w:val="001760CF"/>
    <w:rsid w:val="001766D2"/>
    <w:rsid w:val="00182D5A"/>
    <w:rsid w:val="0018646D"/>
    <w:rsid w:val="00192AF5"/>
    <w:rsid w:val="00195B3B"/>
    <w:rsid w:val="00197536"/>
    <w:rsid w:val="001A3785"/>
    <w:rsid w:val="001B5DD4"/>
    <w:rsid w:val="001D0D90"/>
    <w:rsid w:val="001D1F80"/>
    <w:rsid w:val="001D36F8"/>
    <w:rsid w:val="001F2084"/>
    <w:rsid w:val="001F4B78"/>
    <w:rsid w:val="001F5483"/>
    <w:rsid w:val="001F584D"/>
    <w:rsid w:val="001F6DB0"/>
    <w:rsid w:val="00203E09"/>
    <w:rsid w:val="002057B6"/>
    <w:rsid w:val="00206C33"/>
    <w:rsid w:val="0022075C"/>
    <w:rsid w:val="0022202F"/>
    <w:rsid w:val="00250AEF"/>
    <w:rsid w:val="00252211"/>
    <w:rsid w:val="00253123"/>
    <w:rsid w:val="00257B47"/>
    <w:rsid w:val="0026459B"/>
    <w:rsid w:val="002754B9"/>
    <w:rsid w:val="0027664A"/>
    <w:rsid w:val="0028313F"/>
    <w:rsid w:val="00294F50"/>
    <w:rsid w:val="002A47E1"/>
    <w:rsid w:val="002A647C"/>
    <w:rsid w:val="002A6865"/>
    <w:rsid w:val="002B0AB6"/>
    <w:rsid w:val="002B2554"/>
    <w:rsid w:val="002B3F2E"/>
    <w:rsid w:val="002C3DDC"/>
    <w:rsid w:val="002C55F2"/>
    <w:rsid w:val="002D6686"/>
    <w:rsid w:val="002E0416"/>
    <w:rsid w:val="002E15E6"/>
    <w:rsid w:val="002F1B10"/>
    <w:rsid w:val="002F322F"/>
    <w:rsid w:val="002F4719"/>
    <w:rsid w:val="002F7343"/>
    <w:rsid w:val="00311091"/>
    <w:rsid w:val="00313081"/>
    <w:rsid w:val="00317F67"/>
    <w:rsid w:val="00325B94"/>
    <w:rsid w:val="003279FD"/>
    <w:rsid w:val="00336670"/>
    <w:rsid w:val="003531F1"/>
    <w:rsid w:val="00353BCB"/>
    <w:rsid w:val="00356D36"/>
    <w:rsid w:val="00360AF5"/>
    <w:rsid w:val="00362DC4"/>
    <w:rsid w:val="00364E20"/>
    <w:rsid w:val="00365994"/>
    <w:rsid w:val="003756ED"/>
    <w:rsid w:val="003806DA"/>
    <w:rsid w:val="00390D90"/>
    <w:rsid w:val="0039632E"/>
    <w:rsid w:val="003A062A"/>
    <w:rsid w:val="003A24CE"/>
    <w:rsid w:val="003B7944"/>
    <w:rsid w:val="003C4FFB"/>
    <w:rsid w:val="003E15FD"/>
    <w:rsid w:val="003E700E"/>
    <w:rsid w:val="003F03C3"/>
    <w:rsid w:val="003F1022"/>
    <w:rsid w:val="003F2E2A"/>
    <w:rsid w:val="003F3201"/>
    <w:rsid w:val="003F4874"/>
    <w:rsid w:val="003F4CEC"/>
    <w:rsid w:val="00401D63"/>
    <w:rsid w:val="00402890"/>
    <w:rsid w:val="00402BA4"/>
    <w:rsid w:val="00406F34"/>
    <w:rsid w:val="00411295"/>
    <w:rsid w:val="00412905"/>
    <w:rsid w:val="0041696E"/>
    <w:rsid w:val="00420D1F"/>
    <w:rsid w:val="00441ACF"/>
    <w:rsid w:val="00446352"/>
    <w:rsid w:val="00447DA6"/>
    <w:rsid w:val="00451E91"/>
    <w:rsid w:val="00453F8D"/>
    <w:rsid w:val="00455085"/>
    <w:rsid w:val="004562C1"/>
    <w:rsid w:val="00457C07"/>
    <w:rsid w:val="00457E8A"/>
    <w:rsid w:val="00480122"/>
    <w:rsid w:val="00481580"/>
    <w:rsid w:val="004829B4"/>
    <w:rsid w:val="00482C0A"/>
    <w:rsid w:val="004837A5"/>
    <w:rsid w:val="004856B6"/>
    <w:rsid w:val="004869DA"/>
    <w:rsid w:val="0049243E"/>
    <w:rsid w:val="0049586C"/>
    <w:rsid w:val="00495C12"/>
    <w:rsid w:val="004963C8"/>
    <w:rsid w:val="00496C35"/>
    <w:rsid w:val="004A422E"/>
    <w:rsid w:val="004B0824"/>
    <w:rsid w:val="004B1A57"/>
    <w:rsid w:val="004B4F6E"/>
    <w:rsid w:val="004B6A91"/>
    <w:rsid w:val="004B74A1"/>
    <w:rsid w:val="004C5200"/>
    <w:rsid w:val="004C759C"/>
    <w:rsid w:val="004C7630"/>
    <w:rsid w:val="004D06B6"/>
    <w:rsid w:val="004D0D47"/>
    <w:rsid w:val="004D72A6"/>
    <w:rsid w:val="004E06CF"/>
    <w:rsid w:val="004E3CA0"/>
    <w:rsid w:val="004E73CF"/>
    <w:rsid w:val="004F448D"/>
    <w:rsid w:val="004F4508"/>
    <w:rsid w:val="00503F46"/>
    <w:rsid w:val="00505604"/>
    <w:rsid w:val="00510421"/>
    <w:rsid w:val="0051322A"/>
    <w:rsid w:val="00513715"/>
    <w:rsid w:val="005171DF"/>
    <w:rsid w:val="00517CE9"/>
    <w:rsid w:val="00527C3D"/>
    <w:rsid w:val="005350D8"/>
    <w:rsid w:val="005377ED"/>
    <w:rsid w:val="00537AB1"/>
    <w:rsid w:val="00540698"/>
    <w:rsid w:val="00550104"/>
    <w:rsid w:val="00550561"/>
    <w:rsid w:val="00557D1F"/>
    <w:rsid w:val="00563182"/>
    <w:rsid w:val="00563BDE"/>
    <w:rsid w:val="0057394F"/>
    <w:rsid w:val="00575A52"/>
    <w:rsid w:val="00576443"/>
    <w:rsid w:val="005806D6"/>
    <w:rsid w:val="0058382A"/>
    <w:rsid w:val="00593D25"/>
    <w:rsid w:val="005A461C"/>
    <w:rsid w:val="005A655D"/>
    <w:rsid w:val="005C291A"/>
    <w:rsid w:val="005C33F8"/>
    <w:rsid w:val="005C4564"/>
    <w:rsid w:val="005C500B"/>
    <w:rsid w:val="005D120B"/>
    <w:rsid w:val="005D36DD"/>
    <w:rsid w:val="005D5C9E"/>
    <w:rsid w:val="005E22D0"/>
    <w:rsid w:val="005E247F"/>
    <w:rsid w:val="005F41A0"/>
    <w:rsid w:val="005F51E6"/>
    <w:rsid w:val="005F597E"/>
    <w:rsid w:val="00601ACF"/>
    <w:rsid w:val="00604C77"/>
    <w:rsid w:val="0060606F"/>
    <w:rsid w:val="006068F9"/>
    <w:rsid w:val="00607489"/>
    <w:rsid w:val="006101AE"/>
    <w:rsid w:val="006117A0"/>
    <w:rsid w:val="006201E4"/>
    <w:rsid w:val="006221F8"/>
    <w:rsid w:val="00624E47"/>
    <w:rsid w:val="0063034E"/>
    <w:rsid w:val="00630F08"/>
    <w:rsid w:val="00631395"/>
    <w:rsid w:val="00631DCE"/>
    <w:rsid w:val="00637F3E"/>
    <w:rsid w:val="00641165"/>
    <w:rsid w:val="006507D7"/>
    <w:rsid w:val="00657092"/>
    <w:rsid w:val="00663263"/>
    <w:rsid w:val="0066368C"/>
    <w:rsid w:val="00671AC7"/>
    <w:rsid w:val="00674F02"/>
    <w:rsid w:val="006772FD"/>
    <w:rsid w:val="00684D24"/>
    <w:rsid w:val="00685BF0"/>
    <w:rsid w:val="006877D9"/>
    <w:rsid w:val="006936A1"/>
    <w:rsid w:val="006A1548"/>
    <w:rsid w:val="006A470A"/>
    <w:rsid w:val="006A5AAD"/>
    <w:rsid w:val="006B6979"/>
    <w:rsid w:val="006C5880"/>
    <w:rsid w:val="006C67BD"/>
    <w:rsid w:val="006E081D"/>
    <w:rsid w:val="006E1CEC"/>
    <w:rsid w:val="006E2C2E"/>
    <w:rsid w:val="006F3045"/>
    <w:rsid w:val="006F3E66"/>
    <w:rsid w:val="006F3F6B"/>
    <w:rsid w:val="006F787E"/>
    <w:rsid w:val="00700BF6"/>
    <w:rsid w:val="00700CCB"/>
    <w:rsid w:val="00704D69"/>
    <w:rsid w:val="00707E96"/>
    <w:rsid w:val="00711652"/>
    <w:rsid w:val="00713B3F"/>
    <w:rsid w:val="007176D2"/>
    <w:rsid w:val="007204ED"/>
    <w:rsid w:val="00720C77"/>
    <w:rsid w:val="007256B2"/>
    <w:rsid w:val="0072638F"/>
    <w:rsid w:val="00730806"/>
    <w:rsid w:val="00735F62"/>
    <w:rsid w:val="00740669"/>
    <w:rsid w:val="00740B95"/>
    <w:rsid w:val="00740DF7"/>
    <w:rsid w:val="00741A9E"/>
    <w:rsid w:val="00746B48"/>
    <w:rsid w:val="00755DDF"/>
    <w:rsid w:val="0076725C"/>
    <w:rsid w:val="0077564B"/>
    <w:rsid w:val="00777A84"/>
    <w:rsid w:val="007846AD"/>
    <w:rsid w:val="00786F5C"/>
    <w:rsid w:val="00792D3C"/>
    <w:rsid w:val="00793B21"/>
    <w:rsid w:val="0079553A"/>
    <w:rsid w:val="00795B4B"/>
    <w:rsid w:val="0079665F"/>
    <w:rsid w:val="007A214D"/>
    <w:rsid w:val="007A545C"/>
    <w:rsid w:val="007A54F8"/>
    <w:rsid w:val="007A6537"/>
    <w:rsid w:val="007B1DB2"/>
    <w:rsid w:val="007B7EBC"/>
    <w:rsid w:val="007C6CA5"/>
    <w:rsid w:val="007D1D44"/>
    <w:rsid w:val="007E1633"/>
    <w:rsid w:val="007E3C65"/>
    <w:rsid w:val="007E5757"/>
    <w:rsid w:val="007E6311"/>
    <w:rsid w:val="007E6503"/>
    <w:rsid w:val="007F0286"/>
    <w:rsid w:val="007F59BB"/>
    <w:rsid w:val="007F6D70"/>
    <w:rsid w:val="00805B50"/>
    <w:rsid w:val="00820E95"/>
    <w:rsid w:val="00821DC4"/>
    <w:rsid w:val="00822200"/>
    <w:rsid w:val="00823AD7"/>
    <w:rsid w:val="00824ED1"/>
    <w:rsid w:val="008255FB"/>
    <w:rsid w:val="00826BA3"/>
    <w:rsid w:val="008336B4"/>
    <w:rsid w:val="00840935"/>
    <w:rsid w:val="0084302C"/>
    <w:rsid w:val="00843650"/>
    <w:rsid w:val="00844CCC"/>
    <w:rsid w:val="00844FFC"/>
    <w:rsid w:val="00845989"/>
    <w:rsid w:val="008469E6"/>
    <w:rsid w:val="0085469F"/>
    <w:rsid w:val="0087009D"/>
    <w:rsid w:val="00870DD5"/>
    <w:rsid w:val="00876E6C"/>
    <w:rsid w:val="00881B2F"/>
    <w:rsid w:val="0089611E"/>
    <w:rsid w:val="00896297"/>
    <w:rsid w:val="008A3845"/>
    <w:rsid w:val="008B1003"/>
    <w:rsid w:val="008B1DB5"/>
    <w:rsid w:val="008B241D"/>
    <w:rsid w:val="008B3BF0"/>
    <w:rsid w:val="008B5C65"/>
    <w:rsid w:val="008B694D"/>
    <w:rsid w:val="008C2944"/>
    <w:rsid w:val="008C4EE9"/>
    <w:rsid w:val="008E3337"/>
    <w:rsid w:val="008E4517"/>
    <w:rsid w:val="008E51F2"/>
    <w:rsid w:val="008F19D2"/>
    <w:rsid w:val="008F21FC"/>
    <w:rsid w:val="008F3C63"/>
    <w:rsid w:val="008F3FC9"/>
    <w:rsid w:val="009054F4"/>
    <w:rsid w:val="00911C31"/>
    <w:rsid w:val="0091300A"/>
    <w:rsid w:val="00921170"/>
    <w:rsid w:val="00933111"/>
    <w:rsid w:val="009356EE"/>
    <w:rsid w:val="00944CB9"/>
    <w:rsid w:val="00945EA7"/>
    <w:rsid w:val="0095135A"/>
    <w:rsid w:val="009534BC"/>
    <w:rsid w:val="00956E8E"/>
    <w:rsid w:val="009630A1"/>
    <w:rsid w:val="0096358E"/>
    <w:rsid w:val="0097461F"/>
    <w:rsid w:val="009801C1"/>
    <w:rsid w:val="00981FB3"/>
    <w:rsid w:val="00984594"/>
    <w:rsid w:val="00985A45"/>
    <w:rsid w:val="00985AF3"/>
    <w:rsid w:val="00990C97"/>
    <w:rsid w:val="009922D3"/>
    <w:rsid w:val="00994DD0"/>
    <w:rsid w:val="009954D3"/>
    <w:rsid w:val="009958C4"/>
    <w:rsid w:val="00997286"/>
    <w:rsid w:val="009A1A1C"/>
    <w:rsid w:val="009A3AC5"/>
    <w:rsid w:val="009A4BDB"/>
    <w:rsid w:val="009A5A26"/>
    <w:rsid w:val="009B0654"/>
    <w:rsid w:val="009B4F64"/>
    <w:rsid w:val="009B545A"/>
    <w:rsid w:val="009B595C"/>
    <w:rsid w:val="009C0075"/>
    <w:rsid w:val="009C01ED"/>
    <w:rsid w:val="009D1C04"/>
    <w:rsid w:val="009E4BD3"/>
    <w:rsid w:val="009F13F6"/>
    <w:rsid w:val="00A05575"/>
    <w:rsid w:val="00A06B3B"/>
    <w:rsid w:val="00A1741D"/>
    <w:rsid w:val="00A23D13"/>
    <w:rsid w:val="00A23F75"/>
    <w:rsid w:val="00A30B6E"/>
    <w:rsid w:val="00A3117D"/>
    <w:rsid w:val="00A322F3"/>
    <w:rsid w:val="00A33387"/>
    <w:rsid w:val="00A35E8A"/>
    <w:rsid w:val="00A42112"/>
    <w:rsid w:val="00A42AD5"/>
    <w:rsid w:val="00A43899"/>
    <w:rsid w:val="00A47BED"/>
    <w:rsid w:val="00A577EA"/>
    <w:rsid w:val="00A61B74"/>
    <w:rsid w:val="00A65FF3"/>
    <w:rsid w:val="00A8243B"/>
    <w:rsid w:val="00A87DB5"/>
    <w:rsid w:val="00A97007"/>
    <w:rsid w:val="00AB4042"/>
    <w:rsid w:val="00AC0212"/>
    <w:rsid w:val="00AC3ADC"/>
    <w:rsid w:val="00AC79E7"/>
    <w:rsid w:val="00AE1C4E"/>
    <w:rsid w:val="00AE27FE"/>
    <w:rsid w:val="00AE5009"/>
    <w:rsid w:val="00AE5E25"/>
    <w:rsid w:val="00AE7A43"/>
    <w:rsid w:val="00AF6EF7"/>
    <w:rsid w:val="00AF7A45"/>
    <w:rsid w:val="00B07AE2"/>
    <w:rsid w:val="00B20E91"/>
    <w:rsid w:val="00B258DD"/>
    <w:rsid w:val="00B274C7"/>
    <w:rsid w:val="00B30E2C"/>
    <w:rsid w:val="00B34CB9"/>
    <w:rsid w:val="00B35356"/>
    <w:rsid w:val="00B53886"/>
    <w:rsid w:val="00B544D5"/>
    <w:rsid w:val="00B66235"/>
    <w:rsid w:val="00B66C25"/>
    <w:rsid w:val="00B764E6"/>
    <w:rsid w:val="00B84D47"/>
    <w:rsid w:val="00BA6B0B"/>
    <w:rsid w:val="00BB5371"/>
    <w:rsid w:val="00BC016F"/>
    <w:rsid w:val="00BC15D2"/>
    <w:rsid w:val="00BD1215"/>
    <w:rsid w:val="00BD7DAC"/>
    <w:rsid w:val="00BE2EAE"/>
    <w:rsid w:val="00BF12A9"/>
    <w:rsid w:val="00C0216B"/>
    <w:rsid w:val="00C03685"/>
    <w:rsid w:val="00C046CF"/>
    <w:rsid w:val="00C051E0"/>
    <w:rsid w:val="00C056D5"/>
    <w:rsid w:val="00C0765D"/>
    <w:rsid w:val="00C106D5"/>
    <w:rsid w:val="00C10A86"/>
    <w:rsid w:val="00C25847"/>
    <w:rsid w:val="00C27539"/>
    <w:rsid w:val="00C27BF6"/>
    <w:rsid w:val="00C308DB"/>
    <w:rsid w:val="00C31C76"/>
    <w:rsid w:val="00C32063"/>
    <w:rsid w:val="00C350B8"/>
    <w:rsid w:val="00C36429"/>
    <w:rsid w:val="00C43A1D"/>
    <w:rsid w:val="00C549CE"/>
    <w:rsid w:val="00C56306"/>
    <w:rsid w:val="00C719BB"/>
    <w:rsid w:val="00C719C5"/>
    <w:rsid w:val="00C73E8F"/>
    <w:rsid w:val="00C7755D"/>
    <w:rsid w:val="00C82E25"/>
    <w:rsid w:val="00C85EE4"/>
    <w:rsid w:val="00C93220"/>
    <w:rsid w:val="00C96F60"/>
    <w:rsid w:val="00C97273"/>
    <w:rsid w:val="00CA0536"/>
    <w:rsid w:val="00CA3650"/>
    <w:rsid w:val="00CA65A9"/>
    <w:rsid w:val="00CA7A75"/>
    <w:rsid w:val="00CB15C2"/>
    <w:rsid w:val="00CC4CC7"/>
    <w:rsid w:val="00CC77FC"/>
    <w:rsid w:val="00CC783D"/>
    <w:rsid w:val="00CD3F15"/>
    <w:rsid w:val="00CE4A2C"/>
    <w:rsid w:val="00CE4C66"/>
    <w:rsid w:val="00CE6FD9"/>
    <w:rsid w:val="00CE74EC"/>
    <w:rsid w:val="00CF5A92"/>
    <w:rsid w:val="00D02D0D"/>
    <w:rsid w:val="00D10318"/>
    <w:rsid w:val="00D127F9"/>
    <w:rsid w:val="00D129B0"/>
    <w:rsid w:val="00D1515E"/>
    <w:rsid w:val="00D15E65"/>
    <w:rsid w:val="00D21356"/>
    <w:rsid w:val="00D22DFC"/>
    <w:rsid w:val="00D24195"/>
    <w:rsid w:val="00D250C9"/>
    <w:rsid w:val="00D30121"/>
    <w:rsid w:val="00D30FC5"/>
    <w:rsid w:val="00D34086"/>
    <w:rsid w:val="00D45680"/>
    <w:rsid w:val="00D51539"/>
    <w:rsid w:val="00D51B1E"/>
    <w:rsid w:val="00D579D6"/>
    <w:rsid w:val="00D7647D"/>
    <w:rsid w:val="00D76752"/>
    <w:rsid w:val="00D77BC9"/>
    <w:rsid w:val="00D87B5A"/>
    <w:rsid w:val="00D90B4D"/>
    <w:rsid w:val="00DA2E34"/>
    <w:rsid w:val="00DB6EBB"/>
    <w:rsid w:val="00DC3AE3"/>
    <w:rsid w:val="00DC64C0"/>
    <w:rsid w:val="00DD0D28"/>
    <w:rsid w:val="00DD2832"/>
    <w:rsid w:val="00DD35D9"/>
    <w:rsid w:val="00DD55C0"/>
    <w:rsid w:val="00DD5D19"/>
    <w:rsid w:val="00DE16C3"/>
    <w:rsid w:val="00DE4107"/>
    <w:rsid w:val="00DF5681"/>
    <w:rsid w:val="00DF7800"/>
    <w:rsid w:val="00DF7F72"/>
    <w:rsid w:val="00E12C4C"/>
    <w:rsid w:val="00E1419F"/>
    <w:rsid w:val="00E20B46"/>
    <w:rsid w:val="00E20CB5"/>
    <w:rsid w:val="00E237AF"/>
    <w:rsid w:val="00E31AFE"/>
    <w:rsid w:val="00E320AE"/>
    <w:rsid w:val="00E36AD0"/>
    <w:rsid w:val="00E37108"/>
    <w:rsid w:val="00E41407"/>
    <w:rsid w:val="00E4390B"/>
    <w:rsid w:val="00E452E2"/>
    <w:rsid w:val="00E46C4A"/>
    <w:rsid w:val="00E5238C"/>
    <w:rsid w:val="00E54F53"/>
    <w:rsid w:val="00E6141D"/>
    <w:rsid w:val="00E80D85"/>
    <w:rsid w:val="00E81711"/>
    <w:rsid w:val="00E84E94"/>
    <w:rsid w:val="00E959DF"/>
    <w:rsid w:val="00E96F83"/>
    <w:rsid w:val="00EA0893"/>
    <w:rsid w:val="00EA37CD"/>
    <w:rsid w:val="00EB0A4B"/>
    <w:rsid w:val="00EB10B7"/>
    <w:rsid w:val="00EB428D"/>
    <w:rsid w:val="00EC7AC2"/>
    <w:rsid w:val="00ED0C93"/>
    <w:rsid w:val="00ED3693"/>
    <w:rsid w:val="00ED66A3"/>
    <w:rsid w:val="00EE4E46"/>
    <w:rsid w:val="00EE5594"/>
    <w:rsid w:val="00EF3D70"/>
    <w:rsid w:val="00EF6A92"/>
    <w:rsid w:val="00F04012"/>
    <w:rsid w:val="00F044B4"/>
    <w:rsid w:val="00F06E59"/>
    <w:rsid w:val="00F076DC"/>
    <w:rsid w:val="00F14F7F"/>
    <w:rsid w:val="00F223BA"/>
    <w:rsid w:val="00F269BC"/>
    <w:rsid w:val="00F42FFC"/>
    <w:rsid w:val="00F4735D"/>
    <w:rsid w:val="00F47B3F"/>
    <w:rsid w:val="00F47F27"/>
    <w:rsid w:val="00F5180E"/>
    <w:rsid w:val="00F538A8"/>
    <w:rsid w:val="00F620CA"/>
    <w:rsid w:val="00F70818"/>
    <w:rsid w:val="00F70BAE"/>
    <w:rsid w:val="00F76303"/>
    <w:rsid w:val="00F7724C"/>
    <w:rsid w:val="00F82901"/>
    <w:rsid w:val="00F85E9C"/>
    <w:rsid w:val="00F86312"/>
    <w:rsid w:val="00F904C4"/>
    <w:rsid w:val="00F90E1E"/>
    <w:rsid w:val="00F9246C"/>
    <w:rsid w:val="00FA05C4"/>
    <w:rsid w:val="00FA0806"/>
    <w:rsid w:val="00FA23B4"/>
    <w:rsid w:val="00FA72A6"/>
    <w:rsid w:val="00FB1221"/>
    <w:rsid w:val="00FC4984"/>
    <w:rsid w:val="00FE049F"/>
    <w:rsid w:val="00FE3209"/>
    <w:rsid w:val="00FE53FA"/>
    <w:rsid w:val="00FF6DAA"/>
    <w:rsid w:val="073B0DBD"/>
    <w:rsid w:val="0A196F4A"/>
    <w:rsid w:val="0A403FE3"/>
    <w:rsid w:val="0B851642"/>
    <w:rsid w:val="0D5BFA1D"/>
    <w:rsid w:val="0DB72E56"/>
    <w:rsid w:val="126B6C9E"/>
    <w:rsid w:val="14A6F3D3"/>
    <w:rsid w:val="15F77EB0"/>
    <w:rsid w:val="17D72E04"/>
    <w:rsid w:val="18F4EF6E"/>
    <w:rsid w:val="1A90BFCF"/>
    <w:rsid w:val="1AF32C9E"/>
    <w:rsid w:val="1AFAF21C"/>
    <w:rsid w:val="21938A4B"/>
    <w:rsid w:val="225746B2"/>
    <w:rsid w:val="23B55EF7"/>
    <w:rsid w:val="27B4EC36"/>
    <w:rsid w:val="28A2A997"/>
    <w:rsid w:val="2A3E79F8"/>
    <w:rsid w:val="2F271F80"/>
    <w:rsid w:val="31599133"/>
    <w:rsid w:val="31807F72"/>
    <w:rsid w:val="342249BC"/>
    <w:rsid w:val="3554813A"/>
    <w:rsid w:val="35BE1A1D"/>
    <w:rsid w:val="38BD0C8B"/>
    <w:rsid w:val="3B3E62C4"/>
    <w:rsid w:val="3D8A2E19"/>
    <w:rsid w:val="3DD720D3"/>
    <w:rsid w:val="3E3AD7B7"/>
    <w:rsid w:val="400BF7B1"/>
    <w:rsid w:val="4012C6A7"/>
    <w:rsid w:val="41D6B08A"/>
    <w:rsid w:val="42211654"/>
    <w:rsid w:val="481DC842"/>
    <w:rsid w:val="4DA7E965"/>
    <w:rsid w:val="4FD4ACE7"/>
    <w:rsid w:val="50A496D5"/>
    <w:rsid w:val="51CCA858"/>
    <w:rsid w:val="529E62A8"/>
    <w:rsid w:val="536878B9"/>
    <w:rsid w:val="55D1ED9C"/>
    <w:rsid w:val="59EE8E19"/>
    <w:rsid w:val="5A657BF1"/>
    <w:rsid w:val="5B02E693"/>
    <w:rsid w:val="5C5D0B8A"/>
    <w:rsid w:val="5E027535"/>
    <w:rsid w:val="609C5958"/>
    <w:rsid w:val="62AA2FA7"/>
    <w:rsid w:val="62CEA3BB"/>
    <w:rsid w:val="67934121"/>
    <w:rsid w:val="6C5F4070"/>
    <w:rsid w:val="6D00786A"/>
    <w:rsid w:val="6E9C48CB"/>
    <w:rsid w:val="6EAF6B96"/>
    <w:rsid w:val="6F951ACA"/>
    <w:rsid w:val="7038192C"/>
    <w:rsid w:val="737CB680"/>
    <w:rsid w:val="7485A310"/>
    <w:rsid w:val="7A49B1E1"/>
    <w:rsid w:val="7A4D64B4"/>
    <w:rsid w:val="7D37B11C"/>
    <w:rsid w:val="7F2793C7"/>
    <w:rsid w:val="7F95B676"/>
    <w:rsid w:val="7FB91F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38CBD"/>
  <w15:chartTrackingRefBased/>
  <w15:docId w15:val="{3BDF7CE3-BCE1-459B-AA81-F02E63942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BF12A9"/>
    <w:rPr>
      <w:rFonts w:ascii="MetaPro-Medi" w:hAnsi="MetaPro-Medi"/>
      <w:sz w:val="22"/>
      <w:vertAlign w:val="superscript"/>
    </w:rPr>
  </w:style>
  <w:style w:type="paragraph" w:customStyle="1" w:styleId="Body">
    <w:name w:val="Body"/>
    <w:rsid w:val="00537AB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basedOn w:val="Normal"/>
    <w:link w:val="FootnoteTextChar"/>
    <w:uiPriority w:val="99"/>
    <w:unhideWhenUsed/>
    <w:rsid w:val="005D120B"/>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5D120B"/>
    <w:rPr>
      <w:rFonts w:ascii="MetaPro-Norm" w:hAnsi="MetaPro-Norm"/>
      <w:sz w:val="16"/>
      <w:szCs w:val="20"/>
    </w:rPr>
  </w:style>
  <w:style w:type="character" w:styleId="Hyperlink">
    <w:name w:val="Hyperlink"/>
    <w:basedOn w:val="DefaultParagraphFont"/>
    <w:uiPriority w:val="99"/>
    <w:unhideWhenUsed/>
    <w:rsid w:val="00206C33"/>
    <w:rPr>
      <w:color w:val="0563C1" w:themeColor="hyperlink"/>
      <w:u w:val="single"/>
    </w:rPr>
  </w:style>
  <w:style w:type="character" w:styleId="UnresolvedMention">
    <w:name w:val="Unresolved Mention"/>
    <w:basedOn w:val="DefaultParagraphFont"/>
    <w:uiPriority w:val="99"/>
    <w:semiHidden/>
    <w:unhideWhenUsed/>
    <w:rsid w:val="00206C33"/>
    <w:rPr>
      <w:color w:val="605E5C"/>
      <w:shd w:val="clear" w:color="auto" w:fill="E1DFDD"/>
    </w:rPr>
  </w:style>
  <w:style w:type="paragraph" w:styleId="Footer">
    <w:name w:val="footer"/>
    <w:basedOn w:val="Normal"/>
    <w:link w:val="FooterChar"/>
    <w:uiPriority w:val="99"/>
    <w:unhideWhenUsed/>
    <w:rsid w:val="00DE1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6C3"/>
  </w:style>
  <w:style w:type="character" w:customStyle="1" w:styleId="Heading1Char">
    <w:name w:val="Heading 1 Char"/>
    <w:basedOn w:val="DefaultParagraphFont"/>
    <w:link w:val="Heading1"/>
    <w:uiPriority w:val="9"/>
    <w:rsid w:val="0015159D"/>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846AD"/>
    <w:rPr>
      <w:sz w:val="16"/>
      <w:szCs w:val="16"/>
    </w:rPr>
  </w:style>
  <w:style w:type="paragraph" w:styleId="CommentText">
    <w:name w:val="annotation text"/>
    <w:basedOn w:val="Normal"/>
    <w:link w:val="CommentTextChar"/>
    <w:uiPriority w:val="99"/>
    <w:unhideWhenUsed/>
    <w:rsid w:val="007846AD"/>
    <w:pPr>
      <w:spacing w:line="240" w:lineRule="auto"/>
    </w:pPr>
    <w:rPr>
      <w:sz w:val="20"/>
      <w:szCs w:val="20"/>
    </w:rPr>
  </w:style>
  <w:style w:type="character" w:customStyle="1" w:styleId="CommentTextChar">
    <w:name w:val="Comment Text Char"/>
    <w:basedOn w:val="DefaultParagraphFont"/>
    <w:link w:val="CommentText"/>
    <w:uiPriority w:val="99"/>
    <w:rsid w:val="007846AD"/>
    <w:rPr>
      <w:sz w:val="20"/>
      <w:szCs w:val="20"/>
    </w:rPr>
  </w:style>
  <w:style w:type="paragraph" w:styleId="CommentSubject">
    <w:name w:val="annotation subject"/>
    <w:basedOn w:val="CommentText"/>
    <w:next w:val="CommentText"/>
    <w:link w:val="CommentSubjectChar"/>
    <w:uiPriority w:val="99"/>
    <w:semiHidden/>
    <w:unhideWhenUsed/>
    <w:rsid w:val="007846AD"/>
    <w:rPr>
      <w:b/>
      <w:bCs/>
    </w:rPr>
  </w:style>
  <w:style w:type="character" w:customStyle="1" w:styleId="CommentSubjectChar">
    <w:name w:val="Comment Subject Char"/>
    <w:basedOn w:val="CommentTextChar"/>
    <w:link w:val="CommentSubject"/>
    <w:uiPriority w:val="99"/>
    <w:semiHidden/>
    <w:rsid w:val="007846AD"/>
    <w:rPr>
      <w:b/>
      <w:bCs/>
      <w:sz w:val="20"/>
      <w:szCs w:val="20"/>
    </w:rPr>
  </w:style>
  <w:style w:type="paragraph" w:styleId="ListParagraph">
    <w:name w:val="List Paragraph"/>
    <w:basedOn w:val="Normal"/>
    <w:uiPriority w:val="34"/>
    <w:qFormat/>
    <w:rsid w:val="000E1107"/>
    <w:pPr>
      <w:ind w:left="720"/>
      <w:contextualSpacing/>
    </w:pPr>
  </w:style>
  <w:style w:type="paragraph" w:styleId="Header">
    <w:name w:val="header"/>
    <w:basedOn w:val="Normal"/>
    <w:link w:val="HeaderChar"/>
    <w:uiPriority w:val="99"/>
    <w:unhideWhenUsed/>
    <w:rsid w:val="000B3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AAE"/>
  </w:style>
  <w:style w:type="paragraph" w:styleId="Revision">
    <w:name w:val="Revision"/>
    <w:hidden/>
    <w:uiPriority w:val="99"/>
    <w:semiHidden/>
    <w:rsid w:val="00E1419F"/>
    <w:pPr>
      <w:spacing w:after="0" w:line="240" w:lineRule="auto"/>
    </w:pPr>
  </w:style>
  <w:style w:type="character" w:styleId="FollowedHyperlink">
    <w:name w:val="FollowedHyperlink"/>
    <w:basedOn w:val="DefaultParagraphFont"/>
    <w:uiPriority w:val="99"/>
    <w:semiHidden/>
    <w:unhideWhenUsed/>
    <w:rsid w:val="00B20E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996">
      <w:bodyDiv w:val="1"/>
      <w:marLeft w:val="0"/>
      <w:marRight w:val="0"/>
      <w:marTop w:val="0"/>
      <w:marBottom w:val="0"/>
      <w:divBdr>
        <w:top w:val="none" w:sz="0" w:space="0" w:color="auto"/>
        <w:left w:val="none" w:sz="0" w:space="0" w:color="auto"/>
        <w:bottom w:val="none" w:sz="0" w:space="0" w:color="auto"/>
        <w:right w:val="none" w:sz="0" w:space="0" w:color="auto"/>
      </w:divBdr>
    </w:div>
    <w:div w:id="10842926">
      <w:bodyDiv w:val="1"/>
      <w:marLeft w:val="0"/>
      <w:marRight w:val="0"/>
      <w:marTop w:val="0"/>
      <w:marBottom w:val="0"/>
      <w:divBdr>
        <w:top w:val="none" w:sz="0" w:space="0" w:color="auto"/>
        <w:left w:val="none" w:sz="0" w:space="0" w:color="auto"/>
        <w:bottom w:val="none" w:sz="0" w:space="0" w:color="auto"/>
        <w:right w:val="none" w:sz="0" w:space="0" w:color="auto"/>
      </w:divBdr>
    </w:div>
    <w:div w:id="22873946">
      <w:bodyDiv w:val="1"/>
      <w:marLeft w:val="0"/>
      <w:marRight w:val="0"/>
      <w:marTop w:val="0"/>
      <w:marBottom w:val="0"/>
      <w:divBdr>
        <w:top w:val="none" w:sz="0" w:space="0" w:color="auto"/>
        <w:left w:val="none" w:sz="0" w:space="0" w:color="auto"/>
        <w:bottom w:val="none" w:sz="0" w:space="0" w:color="auto"/>
        <w:right w:val="none" w:sz="0" w:space="0" w:color="auto"/>
      </w:divBdr>
    </w:div>
    <w:div w:id="60108180">
      <w:bodyDiv w:val="1"/>
      <w:marLeft w:val="0"/>
      <w:marRight w:val="0"/>
      <w:marTop w:val="0"/>
      <w:marBottom w:val="0"/>
      <w:divBdr>
        <w:top w:val="none" w:sz="0" w:space="0" w:color="auto"/>
        <w:left w:val="none" w:sz="0" w:space="0" w:color="auto"/>
        <w:bottom w:val="none" w:sz="0" w:space="0" w:color="auto"/>
        <w:right w:val="none" w:sz="0" w:space="0" w:color="auto"/>
      </w:divBdr>
    </w:div>
    <w:div w:id="103698494">
      <w:bodyDiv w:val="1"/>
      <w:marLeft w:val="0"/>
      <w:marRight w:val="0"/>
      <w:marTop w:val="0"/>
      <w:marBottom w:val="0"/>
      <w:divBdr>
        <w:top w:val="none" w:sz="0" w:space="0" w:color="auto"/>
        <w:left w:val="none" w:sz="0" w:space="0" w:color="auto"/>
        <w:bottom w:val="none" w:sz="0" w:space="0" w:color="auto"/>
        <w:right w:val="none" w:sz="0" w:space="0" w:color="auto"/>
      </w:divBdr>
    </w:div>
    <w:div w:id="106317459">
      <w:bodyDiv w:val="1"/>
      <w:marLeft w:val="0"/>
      <w:marRight w:val="0"/>
      <w:marTop w:val="0"/>
      <w:marBottom w:val="0"/>
      <w:divBdr>
        <w:top w:val="none" w:sz="0" w:space="0" w:color="auto"/>
        <w:left w:val="none" w:sz="0" w:space="0" w:color="auto"/>
        <w:bottom w:val="none" w:sz="0" w:space="0" w:color="auto"/>
        <w:right w:val="none" w:sz="0" w:space="0" w:color="auto"/>
      </w:divBdr>
    </w:div>
    <w:div w:id="934829994">
      <w:bodyDiv w:val="1"/>
      <w:marLeft w:val="0"/>
      <w:marRight w:val="0"/>
      <w:marTop w:val="0"/>
      <w:marBottom w:val="0"/>
      <w:divBdr>
        <w:top w:val="none" w:sz="0" w:space="0" w:color="auto"/>
        <w:left w:val="none" w:sz="0" w:space="0" w:color="auto"/>
        <w:bottom w:val="none" w:sz="0" w:space="0" w:color="auto"/>
        <w:right w:val="none" w:sz="0" w:space="0" w:color="auto"/>
      </w:divBdr>
    </w:div>
    <w:div w:id="1075779057">
      <w:bodyDiv w:val="1"/>
      <w:marLeft w:val="0"/>
      <w:marRight w:val="0"/>
      <w:marTop w:val="0"/>
      <w:marBottom w:val="0"/>
      <w:divBdr>
        <w:top w:val="none" w:sz="0" w:space="0" w:color="auto"/>
        <w:left w:val="none" w:sz="0" w:space="0" w:color="auto"/>
        <w:bottom w:val="none" w:sz="0" w:space="0" w:color="auto"/>
        <w:right w:val="none" w:sz="0" w:space="0" w:color="auto"/>
      </w:divBdr>
      <w:divsChild>
        <w:div w:id="311720221">
          <w:marLeft w:val="0"/>
          <w:marRight w:val="0"/>
          <w:marTop w:val="0"/>
          <w:marBottom w:val="0"/>
          <w:divBdr>
            <w:top w:val="single" w:sz="2" w:space="0" w:color="auto"/>
            <w:left w:val="single" w:sz="2" w:space="0" w:color="auto"/>
            <w:bottom w:val="single" w:sz="2" w:space="0" w:color="auto"/>
            <w:right w:val="single" w:sz="2" w:space="0" w:color="auto"/>
          </w:divBdr>
        </w:div>
      </w:divsChild>
    </w:div>
    <w:div w:id="1094128363">
      <w:bodyDiv w:val="1"/>
      <w:marLeft w:val="0"/>
      <w:marRight w:val="0"/>
      <w:marTop w:val="0"/>
      <w:marBottom w:val="0"/>
      <w:divBdr>
        <w:top w:val="none" w:sz="0" w:space="0" w:color="auto"/>
        <w:left w:val="none" w:sz="0" w:space="0" w:color="auto"/>
        <w:bottom w:val="none" w:sz="0" w:space="0" w:color="auto"/>
        <w:right w:val="none" w:sz="0" w:space="0" w:color="auto"/>
      </w:divBdr>
    </w:div>
    <w:div w:id="1569608615">
      <w:bodyDiv w:val="1"/>
      <w:marLeft w:val="0"/>
      <w:marRight w:val="0"/>
      <w:marTop w:val="0"/>
      <w:marBottom w:val="0"/>
      <w:divBdr>
        <w:top w:val="none" w:sz="0" w:space="0" w:color="auto"/>
        <w:left w:val="none" w:sz="0" w:space="0" w:color="auto"/>
        <w:bottom w:val="none" w:sz="0" w:space="0" w:color="auto"/>
        <w:right w:val="none" w:sz="0" w:space="0" w:color="auto"/>
      </w:divBdr>
    </w:div>
    <w:div w:id="1587760139">
      <w:bodyDiv w:val="1"/>
      <w:marLeft w:val="0"/>
      <w:marRight w:val="0"/>
      <w:marTop w:val="0"/>
      <w:marBottom w:val="0"/>
      <w:divBdr>
        <w:top w:val="none" w:sz="0" w:space="0" w:color="auto"/>
        <w:left w:val="none" w:sz="0" w:space="0" w:color="auto"/>
        <w:bottom w:val="none" w:sz="0" w:space="0" w:color="auto"/>
        <w:right w:val="none" w:sz="0" w:space="0" w:color="auto"/>
      </w:divBdr>
    </w:div>
    <w:div w:id="1809975425">
      <w:bodyDiv w:val="1"/>
      <w:marLeft w:val="0"/>
      <w:marRight w:val="0"/>
      <w:marTop w:val="0"/>
      <w:marBottom w:val="0"/>
      <w:divBdr>
        <w:top w:val="none" w:sz="0" w:space="0" w:color="auto"/>
        <w:left w:val="none" w:sz="0" w:space="0" w:color="auto"/>
        <w:bottom w:val="none" w:sz="0" w:space="0" w:color="auto"/>
        <w:right w:val="none" w:sz="0" w:space="0" w:color="auto"/>
      </w:divBdr>
      <w:divsChild>
        <w:div w:id="1624310430">
          <w:marLeft w:val="0"/>
          <w:marRight w:val="0"/>
          <w:marTop w:val="0"/>
          <w:marBottom w:val="0"/>
          <w:divBdr>
            <w:top w:val="none" w:sz="0" w:space="0" w:color="auto"/>
            <w:left w:val="none" w:sz="0" w:space="0" w:color="auto"/>
            <w:bottom w:val="none" w:sz="0" w:space="0" w:color="auto"/>
            <w:right w:val="none" w:sz="0" w:space="0" w:color="auto"/>
          </w:divBdr>
        </w:div>
      </w:divsChild>
    </w:div>
    <w:div w:id="1950310982">
      <w:bodyDiv w:val="1"/>
      <w:marLeft w:val="0"/>
      <w:marRight w:val="0"/>
      <w:marTop w:val="0"/>
      <w:marBottom w:val="0"/>
      <w:divBdr>
        <w:top w:val="none" w:sz="0" w:space="0" w:color="auto"/>
        <w:left w:val="none" w:sz="0" w:space="0" w:color="auto"/>
        <w:bottom w:val="none" w:sz="0" w:space="0" w:color="auto"/>
        <w:right w:val="none" w:sz="0" w:space="0" w:color="auto"/>
      </w:divBdr>
    </w:div>
    <w:div w:id="205962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21/05/17/years-dont-wait-them/increased-inequalities-childrens-right-education-due-covid" TargetMode="External"/><Relationship Id="rId3" Type="http://schemas.openxmlformats.org/officeDocument/2006/relationships/hyperlink" Target="https://data.unicef.org/crvs/malawi/" TargetMode="External"/><Relationship Id="rId7" Type="http://schemas.openxmlformats.org/officeDocument/2006/relationships/hyperlink" Target="https://www.hrw.org/report/2022/05/25/how-dare-they-peep-my-private-life/childrens-rights-violations-governments" TargetMode="External"/><Relationship Id="rId12" Type="http://schemas.openxmlformats.org/officeDocument/2006/relationships/hyperlink" Target="https://ssd.protectingeducation.org/endorsement/" TargetMode="External"/><Relationship Id="rId2" Type="http://schemas.openxmlformats.org/officeDocument/2006/relationships/hyperlink" Target="https://www.unfpa.org/sites/default/files/sowp/downloads/UNFPA_PUB_2017_EN_SWOP.pdf" TargetMode="External"/><Relationship Id="rId1" Type="http://schemas.openxmlformats.org/officeDocument/2006/relationships/hyperlink" Target="https://www.unfpa.org/sites/default/files/pub-pdf/EN_SWP22%20report_0.pdf" TargetMode="External"/><Relationship Id="rId6" Type="http://schemas.openxmlformats.org/officeDocument/2006/relationships/hyperlink" Target="https://www.hrw.org/sites/default/files/reports/malawi0314_ForUpload.pdf" TargetMode="External"/><Relationship Id="rId11" Type="http://schemas.openxmlformats.org/officeDocument/2006/relationships/hyperlink" Target="https://features.hrw.org/features/StudentsNotProducts/files/privacy_snapshots/Privacy%20Snapshot%20-%20Malawi%20Notesmaster.pdf" TargetMode="External"/><Relationship Id="rId5" Type="http://schemas.openxmlformats.org/officeDocument/2006/relationships/hyperlink" Target="https://www.hrw.org/news/2016/11/21/human-rights-watch-submission-committee-rights-child-concerning-malawi" TargetMode="External"/><Relationship Id="rId10" Type="http://schemas.openxmlformats.org/officeDocument/2006/relationships/hyperlink" Target="https://www.facebook.com/permalink.php?id=262009470606274&amp;story_fbid=1659255777548296" TargetMode="External"/><Relationship Id="rId4" Type="http://schemas.openxmlformats.org/officeDocument/2006/relationships/hyperlink" Target="https://www.hrw.org/news/2017/02/24/malawi-amends-constitution-remove-child-marriage-loophole" TargetMode="External"/><Relationship Id="rId9" Type="http://schemas.openxmlformats.org/officeDocument/2006/relationships/hyperlink" Target="https://freedomhouse.org/country/malawi/freedom-net/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3AB55-B34E-4EC8-AFFD-DFC4CE689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dcterms:created xsi:type="dcterms:W3CDTF">2023-01-13T10:10:00Z</dcterms:created>
  <dcterms:modified xsi:type="dcterms:W3CDTF">2023-01-13T10:10:00Z</dcterms:modified>
</cp:coreProperties>
</file>