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5" w14:textId="0980A298" w:rsidR="004719A2" w:rsidRDefault="00F44DA1" w:rsidP="00D06D24">
      <w:pPr>
        <w:bidi w:val="0"/>
        <w:jc w:val="center"/>
        <w:rPr>
          <w:rFonts w:asciiTheme="majorBidi" w:hAnsiTheme="majorBidi" w:cstheme="majorBidi"/>
          <w:b/>
          <w:bCs/>
        </w:rPr>
      </w:pPr>
      <w:r w:rsidRPr="00D06D24">
        <w:rPr>
          <w:rFonts w:asciiTheme="majorBidi" w:hAnsiTheme="majorBidi" w:cstheme="majorBidi"/>
          <w:b/>
        </w:rPr>
        <w:t xml:space="preserve">Report Submitted by the International Alliance for Peace and Development to the Committee on the Elimination of Racial </w:t>
      </w:r>
      <w:r w:rsidR="00D06D24" w:rsidRPr="00D06D24">
        <w:rPr>
          <w:rFonts w:asciiTheme="majorBidi" w:hAnsiTheme="majorBidi" w:cstheme="majorBidi"/>
          <w:b/>
        </w:rPr>
        <w:t>Discrimination,</w:t>
      </w:r>
      <w:r w:rsidR="00D06D24">
        <w:rPr>
          <w:rFonts w:asciiTheme="majorBidi" w:hAnsiTheme="majorBidi" w:cstheme="majorBidi"/>
          <w:b/>
        </w:rPr>
        <w:t xml:space="preserve"> </w:t>
      </w:r>
      <w:r w:rsidR="00D06D24">
        <w:rPr>
          <w:rFonts w:asciiTheme="majorBidi" w:hAnsiTheme="majorBidi" w:cstheme="majorBidi"/>
          <w:b/>
          <w:bCs/>
        </w:rPr>
        <w:t>99</w:t>
      </w:r>
      <w:r w:rsidR="00D06D24">
        <w:rPr>
          <w:rFonts w:asciiTheme="majorBidi" w:hAnsiTheme="majorBidi" w:cstheme="majorBidi"/>
          <w:b/>
          <w:bCs/>
          <w:vertAlign w:val="superscript"/>
        </w:rPr>
        <w:t>th</w:t>
      </w:r>
      <w:r w:rsidR="00D06D24">
        <w:rPr>
          <w:rFonts w:asciiTheme="majorBidi" w:hAnsiTheme="majorBidi" w:cstheme="majorBidi"/>
          <w:b/>
          <w:bCs/>
        </w:rPr>
        <w:t xml:space="preserve"> SESSION</w:t>
      </w:r>
    </w:p>
    <w:p w14:paraId="07416806" w14:textId="77777777" w:rsidR="00D06D24" w:rsidRPr="005D6F2F" w:rsidRDefault="00D06D24" w:rsidP="005D6F2F">
      <w:pPr>
        <w:bidi w:val="0"/>
        <w:jc w:val="center"/>
        <w:rPr>
          <w:rFonts w:asciiTheme="majorBidi" w:hAnsiTheme="majorBidi" w:cstheme="majorBidi"/>
          <w:b/>
          <w:sz w:val="32"/>
          <w:szCs w:val="32"/>
        </w:rPr>
      </w:pPr>
      <w:r w:rsidRPr="005D6F2F">
        <w:rPr>
          <w:rFonts w:asciiTheme="majorBidi" w:hAnsiTheme="majorBidi" w:cstheme="majorBidi"/>
          <w:b/>
          <w:sz w:val="32"/>
          <w:szCs w:val="32"/>
        </w:rPr>
        <w:t>Palestine</w:t>
      </w:r>
    </w:p>
    <w:p w14:paraId="26EA5812" w14:textId="77777777" w:rsidR="00D06D24" w:rsidRDefault="00D06D24" w:rsidP="00D06D24">
      <w:pPr>
        <w:bidi w:val="0"/>
        <w:jc w:val="center"/>
        <w:rPr>
          <w:rFonts w:asciiTheme="majorBidi" w:hAnsiTheme="majorBidi" w:cstheme="majorBidi"/>
          <w:b/>
          <w:bCs/>
        </w:rPr>
      </w:pPr>
    </w:p>
    <w:p w14:paraId="03418E7D" w14:textId="77777777" w:rsidR="00D06D24" w:rsidRPr="00D06D24" w:rsidRDefault="00D06D24" w:rsidP="00D06D24">
      <w:pPr>
        <w:bidi w:val="0"/>
        <w:jc w:val="center"/>
        <w:rPr>
          <w:rFonts w:asciiTheme="majorBidi" w:hAnsiTheme="majorBidi" w:cstheme="majorBidi"/>
          <w:b/>
        </w:rPr>
      </w:pPr>
    </w:p>
    <w:p w14:paraId="6338BF81" w14:textId="77777777" w:rsidR="001837BF" w:rsidRPr="00D06D24" w:rsidRDefault="00F44DA1" w:rsidP="00D06D24">
      <w:pPr>
        <w:bidi w:val="0"/>
        <w:rPr>
          <w:rFonts w:asciiTheme="majorBidi" w:hAnsiTheme="majorBidi" w:cstheme="majorBidi"/>
        </w:rPr>
      </w:pPr>
      <w:r w:rsidRPr="00D06D24">
        <w:rPr>
          <w:rFonts w:asciiTheme="majorBidi" w:hAnsiTheme="majorBidi" w:cstheme="majorBidi"/>
          <w:b/>
        </w:rPr>
        <w:t>Submitted to:</w:t>
      </w:r>
      <w:r w:rsidRPr="00D06D24">
        <w:rPr>
          <w:rFonts w:asciiTheme="majorBidi" w:hAnsiTheme="majorBidi" w:cstheme="majorBidi"/>
        </w:rPr>
        <w:t xml:space="preserve"> The Office of the United Nations High Commissioner for Human Rights to complete the requirements of the report submitted by Poland to the Committee on the Elimination of Racial Discrimination.</w:t>
      </w:r>
      <w:bookmarkStart w:id="0" w:name="_ihe4xufjaba2" w:colFirst="0" w:colLast="0"/>
      <w:bookmarkStart w:id="1" w:name="_t8qmpdo7akap" w:colFirst="0" w:colLast="0"/>
      <w:bookmarkEnd w:id="0"/>
      <w:bookmarkEnd w:id="1"/>
    </w:p>
    <w:p w14:paraId="0C03A3A2" w14:textId="18D3340B" w:rsidR="001837BF" w:rsidRPr="005D6F2F" w:rsidRDefault="00F44DA1" w:rsidP="005D6F2F">
      <w:pPr>
        <w:bidi w:val="0"/>
        <w:jc w:val="left"/>
        <w:rPr>
          <w:rFonts w:asciiTheme="majorBidi" w:hAnsiTheme="majorBidi" w:cstheme="majorBidi"/>
          <w:bCs/>
        </w:rPr>
      </w:pPr>
      <w:r w:rsidRPr="00D06D24">
        <w:rPr>
          <w:rFonts w:asciiTheme="majorBidi" w:hAnsiTheme="majorBidi" w:cstheme="majorBidi"/>
          <w:b/>
          <w:bCs/>
        </w:rPr>
        <w:t>Submitted on</w:t>
      </w:r>
      <w:r w:rsidRPr="00D06D24">
        <w:rPr>
          <w:rFonts w:asciiTheme="majorBidi" w:hAnsiTheme="majorBidi" w:cstheme="majorBidi"/>
        </w:rPr>
        <w:t xml:space="preserve">: The State of </w:t>
      </w:r>
      <w:r w:rsidR="005D6F2F" w:rsidRPr="005D6F2F">
        <w:rPr>
          <w:rFonts w:asciiTheme="majorBidi" w:hAnsiTheme="majorBidi" w:cstheme="majorBidi"/>
          <w:bCs/>
        </w:rPr>
        <w:t>Palestine</w:t>
      </w:r>
    </w:p>
    <w:p w14:paraId="02A931EE" w14:textId="77777777" w:rsidR="001837BF" w:rsidRPr="00D06D24" w:rsidRDefault="001837BF" w:rsidP="00D06D24">
      <w:pPr>
        <w:bidi w:val="0"/>
        <w:rPr>
          <w:rFonts w:asciiTheme="majorBidi" w:hAnsiTheme="majorBidi" w:cstheme="majorBidi"/>
          <w:b/>
          <w:bCs/>
          <w:lang w:bidi="ar-EG"/>
        </w:rPr>
      </w:pPr>
      <w:r w:rsidRPr="00D06D24">
        <w:rPr>
          <w:rFonts w:asciiTheme="majorBidi" w:hAnsiTheme="majorBidi" w:cstheme="majorBidi"/>
          <w:b/>
          <w:bCs/>
          <w:lang w:bidi="ar-EG"/>
        </w:rPr>
        <w:t>Submitted by:</w:t>
      </w:r>
    </w:p>
    <w:p w14:paraId="2FED3427" w14:textId="77777777" w:rsidR="001837BF" w:rsidRPr="00D06D24" w:rsidRDefault="001837BF" w:rsidP="00D06D24">
      <w:pPr>
        <w:bidi w:val="0"/>
        <w:rPr>
          <w:rFonts w:asciiTheme="majorBidi" w:hAnsiTheme="majorBidi" w:cstheme="majorBidi"/>
          <w:lang w:bidi="ar-EG"/>
        </w:rPr>
      </w:pPr>
      <w:r w:rsidRPr="00D06D24">
        <w:rPr>
          <w:rFonts w:asciiTheme="majorBidi" w:hAnsiTheme="majorBidi" w:cstheme="majorBidi"/>
          <w:lang w:bidi="ar-EG"/>
        </w:rPr>
        <w:t>International Alliance for peace and development</w:t>
      </w:r>
    </w:p>
    <w:p w14:paraId="39F69AF5" w14:textId="77777777" w:rsidR="001837BF" w:rsidRPr="00D06D24" w:rsidRDefault="001837BF" w:rsidP="00D06D24">
      <w:pPr>
        <w:bidi w:val="0"/>
        <w:rPr>
          <w:rFonts w:asciiTheme="majorBidi" w:hAnsiTheme="majorBidi" w:cstheme="majorBidi"/>
          <w:lang w:bidi="ar-EG"/>
        </w:rPr>
      </w:pPr>
      <w:r w:rsidRPr="00D06D24">
        <w:rPr>
          <w:rFonts w:asciiTheme="majorBidi" w:hAnsiTheme="majorBidi" w:cstheme="majorBidi"/>
          <w:noProof/>
        </w:rPr>
        <w:drawing>
          <wp:inline distT="0" distB="0" distL="0" distR="0" wp14:anchorId="443B48EF" wp14:editId="3169D2F7">
            <wp:extent cx="1781175" cy="1219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81175" cy="1219200"/>
                    </a:xfrm>
                    <a:prstGeom prst="rect">
                      <a:avLst/>
                    </a:prstGeom>
                    <a:noFill/>
                    <a:ln>
                      <a:noFill/>
                    </a:ln>
                  </pic:spPr>
                </pic:pic>
              </a:graphicData>
            </a:graphic>
          </wp:inline>
        </w:drawing>
      </w:r>
    </w:p>
    <w:p w14:paraId="44A36ADE" w14:textId="77777777" w:rsidR="001837BF" w:rsidRPr="00D06D24" w:rsidRDefault="001837BF" w:rsidP="00D06D24">
      <w:pPr>
        <w:bidi w:val="0"/>
        <w:rPr>
          <w:rStyle w:val="Hyperlink"/>
          <w:rFonts w:asciiTheme="majorBidi" w:hAnsiTheme="majorBidi" w:cstheme="majorBidi"/>
        </w:rPr>
      </w:pPr>
      <w:hyperlink r:id="rId8" w:history="1">
        <w:r w:rsidRPr="00D06D24">
          <w:rPr>
            <w:rStyle w:val="Hyperlink"/>
            <w:rFonts w:asciiTheme="majorBidi" w:hAnsiTheme="majorBidi" w:cstheme="majorBidi"/>
          </w:rPr>
          <w:t>https://iapd.international/en/</w:t>
        </w:r>
      </w:hyperlink>
    </w:p>
    <w:p w14:paraId="4C479386" w14:textId="77777777" w:rsidR="001837BF" w:rsidRPr="00D06D24" w:rsidRDefault="001837BF" w:rsidP="00D06D24">
      <w:pPr>
        <w:bidi w:val="0"/>
        <w:rPr>
          <w:rStyle w:val="Hyperlink"/>
          <w:rFonts w:asciiTheme="majorBidi" w:hAnsiTheme="majorBidi" w:cstheme="majorBidi"/>
        </w:rPr>
      </w:pPr>
    </w:p>
    <w:p w14:paraId="70F36374" w14:textId="77777777" w:rsidR="001837BF" w:rsidRPr="00D06D24" w:rsidRDefault="001837BF" w:rsidP="00D06D24">
      <w:pPr>
        <w:bidi w:val="0"/>
        <w:rPr>
          <w:rFonts w:asciiTheme="majorBidi" w:hAnsiTheme="majorBidi" w:cstheme="majorBidi"/>
          <w:lang w:bidi="ar-EG"/>
        </w:rPr>
      </w:pPr>
      <w:r w:rsidRPr="00D06D24">
        <w:rPr>
          <w:rFonts w:asciiTheme="majorBidi" w:hAnsiTheme="majorBidi" w:cstheme="majorBidi"/>
        </w:rPr>
        <w:t>The IAPDA seeks to promote for peace and sustainable development all over the world. The IAPDA works to counter hatred, violence and extremism and to work side by side with the UN mechanism and other affective institutions all over the world. The IAPDA follows its vision by networking in order to mobilize efforts, cooperation and integration</w:t>
      </w:r>
      <w:r w:rsidRPr="00D06D24">
        <w:rPr>
          <w:rFonts w:asciiTheme="majorBidi" w:hAnsiTheme="majorBidi" w:cstheme="majorBidi"/>
          <w:shd w:val="clear" w:color="auto" w:fill="FAFAFA"/>
        </w:rPr>
        <w:t>.</w:t>
      </w:r>
      <w:r w:rsidRPr="00D06D24">
        <w:rPr>
          <w:rFonts w:asciiTheme="majorBidi" w:hAnsiTheme="majorBidi" w:cstheme="majorBidi"/>
        </w:rPr>
        <w:t xml:space="preserve"> IAPD goals are</w:t>
      </w:r>
      <w:r w:rsidRPr="00D06D24">
        <w:rPr>
          <w:rFonts w:asciiTheme="majorBidi" w:hAnsiTheme="majorBidi" w:cstheme="majorBidi"/>
          <w:shd w:val="clear" w:color="auto" w:fill="FFFFFF" w:themeFill="background1"/>
        </w:rPr>
        <w:t xml:space="preserve"> </w:t>
      </w:r>
      <w:r w:rsidRPr="00D06D24">
        <w:rPr>
          <w:rFonts w:asciiTheme="majorBidi" w:hAnsiTheme="majorBidi" w:cstheme="majorBidi"/>
        </w:rPr>
        <w:t xml:space="preserve">Promote respecting human rights and strengthening communication with international mechanisms to protect human rights and Support UN, international and regional bodies in achieving sustainable development goals 2030. </w:t>
      </w:r>
    </w:p>
    <w:p w14:paraId="00000009" w14:textId="638F7175" w:rsidR="004719A2" w:rsidRPr="00D06D24" w:rsidRDefault="001837BF" w:rsidP="00D06D24">
      <w:pPr>
        <w:bidi w:val="0"/>
        <w:rPr>
          <w:rFonts w:asciiTheme="majorBidi" w:hAnsiTheme="majorBidi" w:cstheme="majorBidi"/>
        </w:rPr>
      </w:pPr>
      <w:r w:rsidRPr="00D06D24">
        <w:rPr>
          <w:rFonts w:asciiTheme="majorBidi" w:hAnsiTheme="majorBidi" w:cstheme="majorBidi"/>
          <w:b/>
        </w:rPr>
        <w:t xml:space="preserve"> </w:t>
      </w:r>
    </w:p>
    <w:p w14:paraId="0000000D" w14:textId="77777777" w:rsidR="004719A2" w:rsidRPr="00D06D24" w:rsidRDefault="00F44DA1" w:rsidP="00D06D24">
      <w:pPr>
        <w:pStyle w:val="Heading2"/>
        <w:bidi w:val="0"/>
        <w:rPr>
          <w:rFonts w:asciiTheme="majorBidi" w:hAnsiTheme="majorBidi" w:cstheme="majorBidi"/>
        </w:rPr>
      </w:pPr>
      <w:bookmarkStart w:id="2" w:name="_gjdgxs" w:colFirst="0" w:colLast="0"/>
      <w:bookmarkStart w:id="3" w:name="_623wyntrq5q5" w:colFirst="0" w:colLast="0"/>
      <w:bookmarkEnd w:id="2"/>
      <w:bookmarkEnd w:id="3"/>
      <w:r w:rsidRPr="00D06D24">
        <w:rPr>
          <w:rFonts w:asciiTheme="majorBidi" w:hAnsiTheme="majorBidi" w:cstheme="majorBidi"/>
        </w:rPr>
        <w:lastRenderedPageBreak/>
        <w:t xml:space="preserve">Introduction </w:t>
      </w:r>
      <w:r w:rsidRPr="00D06D24">
        <w:rPr>
          <w:rFonts w:asciiTheme="majorBidi" w:hAnsiTheme="majorBidi" w:cstheme="majorBidi"/>
        </w:rPr>
        <w:tab/>
      </w:r>
    </w:p>
    <w:p w14:paraId="0000000F" w14:textId="77777777" w:rsidR="004719A2" w:rsidRPr="00D06D24" w:rsidRDefault="00F44DA1" w:rsidP="00D06D24">
      <w:pPr>
        <w:bidi w:val="0"/>
        <w:rPr>
          <w:rFonts w:asciiTheme="majorBidi" w:hAnsiTheme="majorBidi" w:cstheme="majorBidi"/>
        </w:rPr>
      </w:pPr>
      <w:r w:rsidRPr="00D06D24">
        <w:rPr>
          <w:rFonts w:asciiTheme="majorBidi" w:hAnsiTheme="majorBidi" w:cstheme="majorBidi"/>
        </w:rPr>
        <w:t>The International Alliance for Peace and Development (Switzerland) presents this report to clarify and track the situation of racial discrimination in Palestine and to monitor the most important positive and negative development. Palestine ratified the International Convention on the Elimination of All Forms of Racial Discrimination on April 2, 2017. Palestine has not been reviewed since its accession to the Convention. Based on the examination of the situation of racial discrimination in Palestine and communication with stakeholders, cases of racial discrimination in Palestine are notable.</w:t>
      </w:r>
    </w:p>
    <w:p w14:paraId="00000012" w14:textId="77777777" w:rsidR="004719A2" w:rsidRPr="00D06D24" w:rsidRDefault="00F44DA1" w:rsidP="00D06D24">
      <w:pPr>
        <w:bidi w:val="0"/>
        <w:rPr>
          <w:rFonts w:asciiTheme="majorBidi" w:hAnsiTheme="majorBidi" w:cstheme="majorBidi"/>
        </w:rPr>
      </w:pPr>
      <w:r w:rsidRPr="00D06D24">
        <w:rPr>
          <w:rFonts w:asciiTheme="majorBidi" w:hAnsiTheme="majorBidi" w:cstheme="majorBidi"/>
        </w:rPr>
        <w:t>The Alliance has collected and compiled available information on the human rights situation in Palestine and contacted a number of stakeholders to conduct this report, which sheds light on the incidents and developments in the situation of racial discrimination in Palestine.</w:t>
      </w:r>
    </w:p>
    <w:p w14:paraId="00000014" w14:textId="77777777" w:rsidR="004719A2" w:rsidRPr="00D06D24" w:rsidRDefault="00F44DA1" w:rsidP="00D06D24">
      <w:pPr>
        <w:pStyle w:val="Heading2"/>
        <w:bidi w:val="0"/>
        <w:rPr>
          <w:rFonts w:asciiTheme="majorBidi" w:hAnsiTheme="majorBidi" w:cstheme="majorBidi"/>
        </w:rPr>
      </w:pPr>
      <w:bookmarkStart w:id="4" w:name="_mvmxx1slagwc" w:colFirst="0" w:colLast="0"/>
      <w:bookmarkEnd w:id="4"/>
      <w:r w:rsidRPr="00D06D24">
        <w:rPr>
          <w:rFonts w:asciiTheme="majorBidi" w:hAnsiTheme="majorBidi" w:cstheme="majorBidi"/>
        </w:rPr>
        <w:t>Legislative Framework:</w:t>
      </w:r>
    </w:p>
    <w:p w14:paraId="00000016" w14:textId="77777777" w:rsidR="004719A2" w:rsidRPr="00D06D24" w:rsidRDefault="00F44DA1" w:rsidP="00D06D24">
      <w:pPr>
        <w:bidi w:val="0"/>
        <w:rPr>
          <w:rFonts w:asciiTheme="majorBidi" w:hAnsiTheme="majorBidi" w:cstheme="majorBidi"/>
        </w:rPr>
      </w:pPr>
      <w:r w:rsidRPr="00D06D24">
        <w:rPr>
          <w:rFonts w:asciiTheme="majorBidi" w:hAnsiTheme="majorBidi" w:cstheme="majorBidi"/>
        </w:rPr>
        <w:t xml:space="preserve">The Palestinian Amended Basic Law of 2003, which has supreme legislative status among the laws in force in Palestine, guarantees equality among all Palestinians and prohibits discrimination on any ground. Article 9 states that: “Palestinians are equal before the law and the judiciary, without distinction as to race, sex, </w:t>
      </w:r>
      <w:proofErr w:type="spellStart"/>
      <w:r w:rsidRPr="00D06D24">
        <w:rPr>
          <w:rFonts w:asciiTheme="majorBidi" w:hAnsiTheme="majorBidi" w:cstheme="majorBidi"/>
        </w:rPr>
        <w:t>colour</w:t>
      </w:r>
      <w:proofErr w:type="spellEnd"/>
      <w:r w:rsidRPr="00D06D24">
        <w:rPr>
          <w:rFonts w:asciiTheme="majorBidi" w:hAnsiTheme="majorBidi" w:cstheme="majorBidi"/>
        </w:rPr>
        <w:t>, religion, political opinion or disability.”</w:t>
      </w:r>
      <w:r w:rsidRPr="00D06D24">
        <w:rPr>
          <w:rFonts w:asciiTheme="majorBidi" w:hAnsiTheme="majorBidi" w:cstheme="majorBidi"/>
          <w:vertAlign w:val="superscript"/>
        </w:rPr>
        <w:footnoteReference w:id="1"/>
      </w:r>
    </w:p>
    <w:p w14:paraId="00000018" w14:textId="77777777" w:rsidR="004719A2" w:rsidRPr="00D06D24" w:rsidRDefault="00F44DA1" w:rsidP="00D06D24">
      <w:pPr>
        <w:bidi w:val="0"/>
        <w:rPr>
          <w:rFonts w:asciiTheme="majorBidi" w:hAnsiTheme="majorBidi" w:cstheme="majorBidi"/>
        </w:rPr>
      </w:pPr>
      <w:r w:rsidRPr="00D06D24">
        <w:rPr>
          <w:rFonts w:asciiTheme="majorBidi" w:hAnsiTheme="majorBidi" w:cstheme="majorBidi"/>
        </w:rPr>
        <w:t xml:space="preserve">Article 546 of the draft Palestinian penal code of 2011 criminalizes acts of discrimination, which it punishes by imprisonment and a fine, and defines discrimination as: “Any differentiation among natural persons on the basis of national or social origin, </w:t>
      </w:r>
      <w:proofErr w:type="spellStart"/>
      <w:r w:rsidRPr="00D06D24">
        <w:rPr>
          <w:rFonts w:asciiTheme="majorBidi" w:hAnsiTheme="majorBidi" w:cstheme="majorBidi"/>
        </w:rPr>
        <w:t>colour</w:t>
      </w:r>
      <w:proofErr w:type="spellEnd"/>
      <w:r w:rsidRPr="00D06D24">
        <w:rPr>
          <w:rFonts w:asciiTheme="majorBidi" w:hAnsiTheme="majorBidi" w:cstheme="majorBidi"/>
        </w:rPr>
        <w:t>, sex, family status, health status, disability, political opinion, trade union affiliation, or actual or presumed affiliation or non-affiliation with a race, nation, lineage or specific religion.”</w:t>
      </w:r>
      <w:r w:rsidRPr="00D06D24">
        <w:rPr>
          <w:rFonts w:asciiTheme="majorBidi" w:hAnsiTheme="majorBidi" w:cstheme="majorBidi"/>
          <w:vertAlign w:val="superscript"/>
        </w:rPr>
        <w:footnoteReference w:id="2"/>
      </w:r>
    </w:p>
    <w:p w14:paraId="0000001A" w14:textId="77777777" w:rsidR="004719A2" w:rsidRPr="00D06D24" w:rsidRDefault="00F44DA1" w:rsidP="00D06D24">
      <w:pPr>
        <w:bidi w:val="0"/>
        <w:rPr>
          <w:rFonts w:asciiTheme="majorBidi" w:hAnsiTheme="majorBidi" w:cstheme="majorBidi"/>
        </w:rPr>
      </w:pPr>
      <w:r w:rsidRPr="00D06D24">
        <w:rPr>
          <w:rFonts w:asciiTheme="majorBidi" w:hAnsiTheme="majorBidi" w:cstheme="majorBidi"/>
        </w:rPr>
        <w:t xml:space="preserve">The current legal framework in the occupied Palestinian territory is a mixture of Jordanian, Egyptian, Palestinian, Ottoman and British laws, as well as Israeli military orders, many of which were inherited from the colonial period. Furthermore, different laws apply to the West Bank and the Gaza Strip. This lack of a unified legal </w:t>
      </w:r>
      <w:r w:rsidRPr="00D06D24">
        <w:rPr>
          <w:rFonts w:asciiTheme="majorBidi" w:hAnsiTheme="majorBidi" w:cstheme="majorBidi"/>
        </w:rPr>
        <w:lastRenderedPageBreak/>
        <w:t>framework is the root of many inconsistencies and gaps in the current legislation. This is also the case for personal status laws</w:t>
      </w:r>
      <w:r w:rsidRPr="00D06D24">
        <w:rPr>
          <w:rFonts w:asciiTheme="majorBidi" w:hAnsiTheme="majorBidi" w:cstheme="majorBidi"/>
          <w:vertAlign w:val="superscript"/>
        </w:rPr>
        <w:footnoteReference w:id="3"/>
      </w:r>
      <w:r w:rsidRPr="00D06D24">
        <w:rPr>
          <w:rFonts w:asciiTheme="majorBidi" w:hAnsiTheme="majorBidi" w:cstheme="majorBidi"/>
        </w:rPr>
        <w:t>.</w:t>
      </w:r>
    </w:p>
    <w:p w14:paraId="0000001D" w14:textId="5AFF3DDC" w:rsidR="004719A2" w:rsidRPr="00D06D24" w:rsidRDefault="00F44DA1" w:rsidP="00D06D24">
      <w:pPr>
        <w:bidi w:val="0"/>
        <w:rPr>
          <w:rFonts w:asciiTheme="majorBidi" w:hAnsiTheme="majorBidi" w:cstheme="majorBidi"/>
        </w:rPr>
      </w:pPr>
      <w:r w:rsidRPr="00D06D24">
        <w:rPr>
          <w:rFonts w:asciiTheme="majorBidi" w:hAnsiTheme="majorBidi" w:cstheme="majorBidi"/>
        </w:rPr>
        <w:t>For Muslims, the Jordanian Personal Status Law No. 61 of 1976 is applied in the West Bank and the Egyptian Law of Family Rights of 1954 in the Gaza Strip. Many articles of these two laws contradict more recent Palestinian laws and decisions of the Palestinian National Authority (PNA)</w:t>
      </w:r>
      <w:r w:rsidRPr="00D06D24">
        <w:rPr>
          <w:rFonts w:asciiTheme="majorBidi" w:hAnsiTheme="majorBidi" w:cstheme="majorBidi"/>
          <w:vertAlign w:val="superscript"/>
        </w:rPr>
        <w:footnoteReference w:id="4"/>
      </w:r>
      <w:r w:rsidRPr="00D06D24">
        <w:rPr>
          <w:rFonts w:asciiTheme="majorBidi" w:hAnsiTheme="majorBidi" w:cstheme="majorBidi"/>
        </w:rPr>
        <w:t xml:space="preserve">. Which is a </w:t>
      </w:r>
      <w:r w:rsidRPr="00D06D24">
        <w:rPr>
          <w:rFonts w:asciiTheme="majorBidi" w:eastAsia="Verdana" w:hAnsiTheme="majorBidi" w:cstheme="majorBidi"/>
          <w:highlight w:val="white"/>
        </w:rPr>
        <w:t xml:space="preserve">distinction </w:t>
      </w:r>
      <w:r w:rsidRPr="00D06D24">
        <w:rPr>
          <w:rFonts w:asciiTheme="majorBidi" w:hAnsiTheme="majorBidi" w:cstheme="majorBidi"/>
        </w:rPr>
        <w:t xml:space="preserve">based </w:t>
      </w:r>
      <w:r w:rsidR="005312D4" w:rsidRPr="00D06D24">
        <w:rPr>
          <w:rFonts w:asciiTheme="majorBidi" w:hAnsiTheme="majorBidi" w:cstheme="majorBidi"/>
        </w:rPr>
        <w:t>on the</w:t>
      </w:r>
      <w:r w:rsidRPr="00D06D24">
        <w:rPr>
          <w:rFonts w:asciiTheme="majorBidi" w:hAnsiTheme="majorBidi" w:cstheme="majorBidi"/>
        </w:rPr>
        <w:t xml:space="preserve"> </w:t>
      </w:r>
      <w:r w:rsidRPr="00D06D24">
        <w:rPr>
          <w:rFonts w:asciiTheme="majorBidi" w:eastAsia="Verdana" w:hAnsiTheme="majorBidi" w:cstheme="majorBidi"/>
          <w:highlight w:val="white"/>
        </w:rPr>
        <w:t>ethnic origin.</w:t>
      </w:r>
    </w:p>
    <w:p w14:paraId="00000026" w14:textId="77777777" w:rsidR="004719A2" w:rsidRPr="00D06D24" w:rsidRDefault="00F44DA1" w:rsidP="00D06D24">
      <w:pPr>
        <w:bidi w:val="0"/>
        <w:rPr>
          <w:rFonts w:asciiTheme="majorBidi" w:hAnsiTheme="majorBidi" w:cstheme="majorBidi"/>
        </w:rPr>
      </w:pPr>
      <w:r w:rsidRPr="00D06D24">
        <w:rPr>
          <w:rFonts w:asciiTheme="majorBidi" w:hAnsiTheme="majorBidi" w:cstheme="majorBidi"/>
        </w:rPr>
        <w:t>According to the Jordanian Personal Status Law of 1976 (Article 5), the legal age of consent for marriage is fifteen years for girls and sixteen years for boys. The idea that people under eighteen years are able to fully understand the consequences of their commitment and consent to marriage is inconsistent with other laws applicable in the Palestinian Territory, which treat individuals under eighteen years as minors and protects them as such. In particular, article 1 of the Palestinian Child Law No. 7 of 2004 considers people under eighteen years old as minors, irrespectively of their sex. So does the Jordanian Juvenile Law No. 16 of 1954, and other applicable laws in a variety of fields</w:t>
      </w:r>
      <w:r w:rsidRPr="00D06D24">
        <w:rPr>
          <w:rFonts w:asciiTheme="majorBidi" w:hAnsiTheme="majorBidi" w:cstheme="majorBidi"/>
          <w:vertAlign w:val="superscript"/>
        </w:rPr>
        <w:footnoteReference w:id="5"/>
      </w:r>
      <w:r w:rsidRPr="00D06D24">
        <w:rPr>
          <w:rFonts w:asciiTheme="majorBidi" w:hAnsiTheme="majorBidi" w:cstheme="majorBidi"/>
        </w:rPr>
        <w:t>. Despite the contradiction, the different ages for marriage between females and males is also a discriminatory practice.</w:t>
      </w:r>
    </w:p>
    <w:p w14:paraId="00000028" w14:textId="77777777" w:rsidR="004719A2" w:rsidRPr="00D06D24" w:rsidRDefault="00F44DA1" w:rsidP="00D06D24">
      <w:pPr>
        <w:bidi w:val="0"/>
        <w:rPr>
          <w:rFonts w:asciiTheme="majorBidi" w:hAnsiTheme="majorBidi" w:cstheme="majorBidi"/>
        </w:rPr>
      </w:pPr>
      <w:r w:rsidRPr="00D06D24">
        <w:rPr>
          <w:rFonts w:asciiTheme="majorBidi" w:hAnsiTheme="majorBidi" w:cstheme="majorBidi"/>
        </w:rPr>
        <w:t>Moreover, according to the Jordanian Personal Status Law of 1976 and the Egyptian Family Rights Law of 1954, women need the consent of a male guardian in order to get married for the first time, regardless of their age. However, men are not subjected to the same obligation. This difference of treatment contradicts the principle of equality enshrined in the Palestinian Basic Law</w:t>
      </w:r>
      <w:r w:rsidRPr="00D06D24">
        <w:rPr>
          <w:rFonts w:asciiTheme="majorBidi" w:hAnsiTheme="majorBidi" w:cstheme="majorBidi"/>
          <w:vertAlign w:val="superscript"/>
        </w:rPr>
        <w:footnoteReference w:id="6"/>
      </w:r>
      <w:r w:rsidRPr="00D06D24">
        <w:rPr>
          <w:rFonts w:asciiTheme="majorBidi" w:hAnsiTheme="majorBidi" w:cstheme="majorBidi"/>
        </w:rPr>
        <w:t>.</w:t>
      </w:r>
    </w:p>
    <w:p w14:paraId="0000002A" w14:textId="2D2703C3" w:rsidR="004719A2" w:rsidRPr="00D06D24" w:rsidRDefault="00F44DA1" w:rsidP="00D06D24">
      <w:pPr>
        <w:bidi w:val="0"/>
        <w:rPr>
          <w:rFonts w:asciiTheme="majorBidi" w:hAnsiTheme="majorBidi" w:cstheme="majorBidi"/>
        </w:rPr>
      </w:pPr>
      <w:r w:rsidRPr="00D06D24">
        <w:rPr>
          <w:rFonts w:asciiTheme="majorBidi" w:hAnsiTheme="majorBidi" w:cstheme="majorBidi"/>
        </w:rPr>
        <w:t xml:space="preserve">Furthermore, there </w:t>
      </w:r>
      <w:r w:rsidR="005312D4" w:rsidRPr="00D06D24">
        <w:rPr>
          <w:rFonts w:asciiTheme="majorBidi" w:hAnsiTheme="majorBidi" w:cstheme="majorBidi"/>
        </w:rPr>
        <w:t>is inconsistencies</w:t>
      </w:r>
      <w:r w:rsidRPr="00D06D24">
        <w:rPr>
          <w:rFonts w:asciiTheme="majorBidi" w:hAnsiTheme="majorBidi" w:cstheme="majorBidi"/>
        </w:rPr>
        <w:t xml:space="preserve"> between the personal status laws on the one hand, and the Palestinian Evidence Act No. 4 of 2001 and the Palestinian Law of Penal Procedures No. 3 of 2001 on the other hand. The Law of Penal Procedures and the Evidence Act set the rules for testifying in civil, commercial and criminal courts. The former grants equal weight to women and men’s testimonies, whereas the personal status laws give more weight to men’s testimonies. This difference of </w:t>
      </w:r>
      <w:r w:rsidRPr="00D06D24">
        <w:rPr>
          <w:rFonts w:asciiTheme="majorBidi" w:hAnsiTheme="majorBidi" w:cstheme="majorBidi"/>
        </w:rPr>
        <w:lastRenderedPageBreak/>
        <w:t>treatment contradicts the principle of equality enshrined in the Palestinian Basic Law</w:t>
      </w:r>
      <w:r w:rsidRPr="00D06D24">
        <w:rPr>
          <w:rFonts w:asciiTheme="majorBidi" w:hAnsiTheme="majorBidi" w:cstheme="majorBidi"/>
          <w:vertAlign w:val="superscript"/>
        </w:rPr>
        <w:footnoteReference w:id="7"/>
      </w:r>
      <w:r w:rsidRPr="00D06D24">
        <w:rPr>
          <w:rFonts w:asciiTheme="majorBidi" w:hAnsiTheme="majorBidi" w:cstheme="majorBidi"/>
        </w:rPr>
        <w:t>.</w:t>
      </w:r>
    </w:p>
    <w:p w14:paraId="0000002C" w14:textId="04785ACD" w:rsidR="004719A2" w:rsidRPr="00D06D24" w:rsidRDefault="00F44DA1" w:rsidP="00D06D24">
      <w:pPr>
        <w:bidi w:val="0"/>
        <w:rPr>
          <w:rFonts w:asciiTheme="majorBidi" w:hAnsiTheme="majorBidi" w:cstheme="majorBidi"/>
        </w:rPr>
      </w:pPr>
      <w:r w:rsidRPr="00D06D24">
        <w:rPr>
          <w:rFonts w:asciiTheme="majorBidi" w:hAnsiTheme="majorBidi" w:cstheme="majorBidi"/>
        </w:rPr>
        <w:t xml:space="preserve"> The current personal status laws applicable for Muslims do not grant women the same rights as men in filing for divorce. Women are also disadvantaged in terms of custody rights (Articles 154 to 166 of the Jordanian Personal Status Law). As a consequence, children’s best interests are often overlooked when courts rule on custody issues</w:t>
      </w:r>
      <w:r w:rsidRPr="00D06D24">
        <w:rPr>
          <w:rFonts w:asciiTheme="majorBidi" w:hAnsiTheme="majorBidi" w:cstheme="majorBidi"/>
          <w:vertAlign w:val="superscript"/>
        </w:rPr>
        <w:footnoteReference w:id="8"/>
      </w:r>
      <w:r w:rsidRPr="00D06D24">
        <w:rPr>
          <w:rFonts w:asciiTheme="majorBidi" w:hAnsiTheme="majorBidi" w:cstheme="majorBidi"/>
        </w:rPr>
        <w:t xml:space="preserve">. Which is a </w:t>
      </w:r>
      <w:r w:rsidR="005312D4" w:rsidRPr="00D06D24">
        <w:rPr>
          <w:rFonts w:asciiTheme="majorBidi" w:hAnsiTheme="majorBidi" w:cstheme="majorBidi"/>
        </w:rPr>
        <w:t>discrimination</w:t>
      </w:r>
      <w:r w:rsidRPr="00D06D24">
        <w:rPr>
          <w:rFonts w:asciiTheme="majorBidi" w:hAnsiTheme="majorBidi" w:cstheme="majorBidi"/>
        </w:rPr>
        <w:t xml:space="preserve"> against women. Personal status laws do not clearly define how the common property of spouses is to be used after the marriage is dissolved. This legal gap constitutes a threat to women’s economic security</w:t>
      </w:r>
      <w:r w:rsidRPr="00D06D24">
        <w:rPr>
          <w:rFonts w:asciiTheme="majorBidi" w:hAnsiTheme="majorBidi" w:cstheme="majorBidi"/>
          <w:vertAlign w:val="superscript"/>
        </w:rPr>
        <w:footnoteReference w:id="9"/>
      </w:r>
      <w:r w:rsidRPr="00D06D24">
        <w:rPr>
          <w:rFonts w:asciiTheme="majorBidi" w:hAnsiTheme="majorBidi" w:cstheme="majorBidi"/>
        </w:rPr>
        <w:t>.</w:t>
      </w:r>
    </w:p>
    <w:p w14:paraId="0000002E" w14:textId="77777777" w:rsidR="004719A2" w:rsidRPr="00D06D24" w:rsidRDefault="00F44DA1" w:rsidP="00D06D24">
      <w:pPr>
        <w:pStyle w:val="Heading2"/>
        <w:bidi w:val="0"/>
        <w:rPr>
          <w:rFonts w:asciiTheme="majorBidi" w:hAnsiTheme="majorBidi" w:cstheme="majorBidi"/>
        </w:rPr>
      </w:pPr>
      <w:bookmarkStart w:id="5" w:name="_jqehokzi3b0n" w:colFirst="0" w:colLast="0"/>
      <w:bookmarkEnd w:id="5"/>
      <w:r w:rsidRPr="00D06D24">
        <w:rPr>
          <w:rFonts w:asciiTheme="majorBidi" w:hAnsiTheme="majorBidi" w:cstheme="majorBidi"/>
        </w:rPr>
        <w:t xml:space="preserve">Secondly: Gender-Based Discrimination </w:t>
      </w:r>
    </w:p>
    <w:p w14:paraId="6D17B87A" w14:textId="77777777" w:rsidR="005312D4" w:rsidRPr="00D06D24" w:rsidRDefault="005312D4" w:rsidP="00D06D24">
      <w:pPr>
        <w:bidi w:val="0"/>
        <w:rPr>
          <w:rFonts w:asciiTheme="majorBidi" w:hAnsiTheme="majorBidi" w:cstheme="majorBidi"/>
        </w:rPr>
      </w:pPr>
    </w:p>
    <w:p w14:paraId="00000030" w14:textId="184012A3" w:rsidR="004719A2" w:rsidRPr="00D06D24" w:rsidRDefault="00F44DA1" w:rsidP="00D06D24">
      <w:pPr>
        <w:bidi w:val="0"/>
        <w:rPr>
          <w:rFonts w:asciiTheme="majorBidi" w:hAnsiTheme="majorBidi" w:cstheme="majorBidi"/>
        </w:rPr>
      </w:pPr>
      <w:r w:rsidRPr="00D06D24">
        <w:rPr>
          <w:rFonts w:asciiTheme="majorBidi" w:hAnsiTheme="majorBidi" w:cstheme="majorBidi"/>
        </w:rPr>
        <w:t xml:space="preserve"> Even though women represented 61 per cent of the university graduates, this did not translate into their greater participation in the </w:t>
      </w:r>
      <w:proofErr w:type="spellStart"/>
      <w:r w:rsidRPr="00D06D24">
        <w:rPr>
          <w:rFonts w:asciiTheme="majorBidi" w:hAnsiTheme="majorBidi" w:cstheme="majorBidi"/>
        </w:rPr>
        <w:t>labour</w:t>
      </w:r>
      <w:proofErr w:type="spellEnd"/>
      <w:r w:rsidRPr="00D06D24">
        <w:rPr>
          <w:rFonts w:asciiTheme="majorBidi" w:hAnsiTheme="majorBidi" w:cstheme="majorBidi"/>
        </w:rPr>
        <w:t xml:space="preserve"> force and in particular in positions of power and decision-making</w:t>
      </w:r>
      <w:r w:rsidRPr="00D06D24">
        <w:rPr>
          <w:rFonts w:asciiTheme="majorBidi" w:hAnsiTheme="majorBidi" w:cstheme="majorBidi"/>
          <w:vertAlign w:val="superscript"/>
        </w:rPr>
        <w:footnoteReference w:id="10"/>
      </w:r>
      <w:r w:rsidRPr="00D06D24">
        <w:rPr>
          <w:rFonts w:asciiTheme="majorBidi" w:hAnsiTheme="majorBidi" w:cstheme="majorBidi"/>
        </w:rPr>
        <w:t>. Palestinian women faced societal violence due to traditions and stereotypes which saw women as someone who should stay home and raise children or work as a teacher or a nurse, and also suffered violence by the occupation, and thus deserved all the support possible</w:t>
      </w:r>
      <w:r w:rsidRPr="00D06D24">
        <w:rPr>
          <w:rFonts w:asciiTheme="majorBidi" w:hAnsiTheme="majorBidi" w:cstheme="majorBidi"/>
          <w:vertAlign w:val="superscript"/>
        </w:rPr>
        <w:footnoteReference w:id="11"/>
      </w:r>
      <w:r w:rsidRPr="00D06D24">
        <w:rPr>
          <w:rFonts w:asciiTheme="majorBidi" w:hAnsiTheme="majorBidi" w:cstheme="majorBidi"/>
        </w:rPr>
        <w:t>.</w:t>
      </w:r>
    </w:p>
    <w:p w14:paraId="0000003A" w14:textId="77777777" w:rsidR="004719A2" w:rsidRPr="00D06D24" w:rsidRDefault="00F44DA1" w:rsidP="00D06D24">
      <w:pPr>
        <w:bidi w:val="0"/>
        <w:rPr>
          <w:rFonts w:asciiTheme="majorBidi" w:hAnsiTheme="majorBidi" w:cstheme="majorBidi"/>
        </w:rPr>
      </w:pPr>
      <w:r w:rsidRPr="00D06D24">
        <w:rPr>
          <w:rFonts w:asciiTheme="majorBidi" w:hAnsiTheme="majorBidi" w:cstheme="majorBidi"/>
        </w:rPr>
        <w:t xml:space="preserve">Women in Palestine face unacceptable violations regarding their fundamental rights as citizens. They suffer violence (physical, psychological, economic, sexual and early marriage), discrimination and denial of their rights. This situation impedes them to play their social, economic and political role, essential to the development of the Palestinian society as a whole. Despite the Government of Palestine’s </w:t>
      </w:r>
      <w:r w:rsidRPr="00D06D24">
        <w:rPr>
          <w:rFonts w:asciiTheme="majorBidi" w:eastAsia="Arial" w:hAnsiTheme="majorBidi" w:cstheme="majorBidi"/>
          <w:highlight w:val="white"/>
        </w:rPr>
        <w:t xml:space="preserve">endorsement </w:t>
      </w:r>
      <w:r w:rsidRPr="00D06D24">
        <w:rPr>
          <w:rFonts w:asciiTheme="majorBidi" w:hAnsiTheme="majorBidi" w:cstheme="majorBidi"/>
        </w:rPr>
        <w:t xml:space="preserve">of the Convention on the Elimination of All Forms of Discrimination against Women and the UN Resolution 1325 on the role of women in peace building process, concrete State actions are still weak. In a context where patriarchal rules </w:t>
      </w:r>
      <w:r w:rsidRPr="00D06D24">
        <w:rPr>
          <w:rFonts w:asciiTheme="majorBidi" w:hAnsiTheme="majorBidi" w:cstheme="majorBidi"/>
        </w:rPr>
        <w:lastRenderedPageBreak/>
        <w:t>govern the position and the role of women and where the protracted Israeli occupation entails a rising in violence against women</w:t>
      </w:r>
      <w:r w:rsidRPr="00D06D24">
        <w:rPr>
          <w:rFonts w:asciiTheme="majorBidi" w:hAnsiTheme="majorBidi" w:cstheme="majorBidi"/>
          <w:vertAlign w:val="superscript"/>
        </w:rPr>
        <w:footnoteReference w:id="12"/>
      </w:r>
      <w:r w:rsidRPr="00D06D24">
        <w:rPr>
          <w:rFonts w:asciiTheme="majorBidi" w:hAnsiTheme="majorBidi" w:cstheme="majorBidi"/>
        </w:rPr>
        <w:t>.</w:t>
      </w:r>
    </w:p>
    <w:p w14:paraId="0000003C" w14:textId="77777777" w:rsidR="004719A2" w:rsidRPr="00D06D24" w:rsidRDefault="00F44DA1" w:rsidP="00D06D24">
      <w:pPr>
        <w:pStyle w:val="Heading2"/>
        <w:bidi w:val="0"/>
        <w:rPr>
          <w:rFonts w:asciiTheme="majorBidi" w:hAnsiTheme="majorBidi" w:cstheme="majorBidi"/>
        </w:rPr>
      </w:pPr>
      <w:bookmarkStart w:id="6" w:name="_lrp3wmb4e43w" w:colFirst="0" w:colLast="0"/>
      <w:bookmarkEnd w:id="6"/>
      <w:r w:rsidRPr="00D06D24">
        <w:rPr>
          <w:rFonts w:asciiTheme="majorBidi" w:hAnsiTheme="majorBidi" w:cstheme="majorBidi"/>
        </w:rPr>
        <w:t>Thirdly: Discriminatory Practices by the Israeli Occupying Power Against the Palestinians</w:t>
      </w:r>
      <w:r w:rsidRPr="00D06D24">
        <w:rPr>
          <w:rFonts w:asciiTheme="majorBidi" w:eastAsia="Calibri" w:hAnsiTheme="majorBidi" w:cstheme="majorBidi"/>
          <w:vertAlign w:val="superscript"/>
        </w:rPr>
        <w:footnoteReference w:id="13"/>
      </w:r>
      <w:r w:rsidRPr="00D06D24">
        <w:rPr>
          <w:rFonts w:asciiTheme="majorBidi" w:eastAsia="Calibri" w:hAnsiTheme="majorBidi" w:cstheme="majorBidi"/>
          <w:vertAlign w:val="superscript"/>
        </w:rPr>
        <w:t>:</w:t>
      </w:r>
    </w:p>
    <w:p w14:paraId="08195AE2" w14:textId="77777777" w:rsidR="005312D4" w:rsidRPr="00D06D24" w:rsidRDefault="005312D4" w:rsidP="00D06D24">
      <w:pPr>
        <w:bidi w:val="0"/>
        <w:rPr>
          <w:rFonts w:asciiTheme="majorBidi" w:hAnsiTheme="majorBidi" w:cstheme="majorBidi"/>
        </w:rPr>
      </w:pPr>
    </w:p>
    <w:p w14:paraId="0000003E" w14:textId="420D022D" w:rsidR="004719A2" w:rsidRPr="00D06D24" w:rsidRDefault="00F44DA1" w:rsidP="00D06D24">
      <w:pPr>
        <w:bidi w:val="0"/>
        <w:rPr>
          <w:rFonts w:asciiTheme="majorBidi" w:hAnsiTheme="majorBidi" w:cstheme="majorBidi"/>
        </w:rPr>
      </w:pPr>
      <w:r w:rsidRPr="00D06D24">
        <w:rPr>
          <w:rFonts w:asciiTheme="majorBidi" w:hAnsiTheme="majorBidi" w:cstheme="majorBidi"/>
        </w:rPr>
        <w:t>The 2.7 million Palestinians living in the West Bank face regular legal discrimination under the Israeli occupation. The Israeli soldiers use excessive force against Palestinians in almost all cases, and they are not held accountable. The situation is more difficult for 300,000 Palestinians living in Area C of the West Bank. They are tried by the Israeli soldiers under martial law in military courts with a conviction rate of 99.74 per cent. About 6,000 of them, including 356 minors, have been detained as security prisoners, in circumstances that could involve weeks of incommunicado detention, which could amount to torture. Another 442, including 3 minors, have been held as administrative prisoners based on secret information without trial. Israeli soldiers also killed 16 Palestinians and wounded 4,200 of them in the period from January 2017 to June 2018.</w:t>
      </w:r>
    </w:p>
    <w:p w14:paraId="00000040" w14:textId="4305AE0F" w:rsidR="004719A2" w:rsidRPr="00D06D24" w:rsidRDefault="00F44DA1" w:rsidP="00D06D24">
      <w:pPr>
        <w:bidi w:val="0"/>
        <w:rPr>
          <w:rFonts w:asciiTheme="majorBidi" w:hAnsiTheme="majorBidi" w:cstheme="majorBidi"/>
        </w:rPr>
      </w:pPr>
      <w:r w:rsidRPr="00D06D24">
        <w:rPr>
          <w:rFonts w:asciiTheme="majorBidi" w:hAnsiTheme="majorBidi" w:cstheme="majorBidi"/>
        </w:rPr>
        <w:t>The expansion of Israeli settlements and army checkpoints have divided the West Bank into several separate Palestinian areas. Area C, which covers 60 per cent of the West Bank and contains the most fertile land, was supposed to be the main land of the future Palestinian state. Instead, Israeli settlers are building new towns, connected by roads for settlers only, and</w:t>
      </w:r>
      <w:r w:rsidR="005312D4" w:rsidRPr="00D06D24">
        <w:rPr>
          <w:rFonts w:asciiTheme="majorBidi" w:hAnsiTheme="majorBidi" w:cstheme="majorBidi"/>
        </w:rPr>
        <w:t xml:space="preserve"> </w:t>
      </w:r>
      <w:r w:rsidRPr="00D06D24">
        <w:rPr>
          <w:rFonts w:asciiTheme="majorBidi" w:hAnsiTheme="majorBidi" w:cstheme="majorBidi"/>
        </w:rPr>
        <w:t xml:space="preserve">they intensively cultivate the Palestinian farmland, while the original Palestinians do not get permits to build homes there, and their farms are deprived of water, controlled by the Israeli occupying Power. There were about 12,500 Palestinian buildings under demolition orders in July 2015. Some of entire villages, such as Khan al-Ahmar and </w:t>
      </w:r>
      <w:proofErr w:type="spellStart"/>
      <w:r w:rsidRPr="00D06D24">
        <w:rPr>
          <w:rFonts w:asciiTheme="majorBidi" w:hAnsiTheme="majorBidi" w:cstheme="majorBidi"/>
        </w:rPr>
        <w:t>Susya</w:t>
      </w:r>
      <w:proofErr w:type="spellEnd"/>
      <w:r w:rsidRPr="00D06D24">
        <w:rPr>
          <w:rFonts w:asciiTheme="majorBidi" w:hAnsiTheme="majorBidi" w:cstheme="majorBidi"/>
        </w:rPr>
        <w:t>, have been immediately threatened with forced relocation to make room for settlers.</w:t>
      </w:r>
    </w:p>
    <w:p w14:paraId="00000042" w14:textId="77777777" w:rsidR="004719A2" w:rsidRPr="00D06D24" w:rsidRDefault="00F44DA1" w:rsidP="00D06D24">
      <w:pPr>
        <w:bidi w:val="0"/>
        <w:rPr>
          <w:rFonts w:asciiTheme="majorBidi" w:hAnsiTheme="majorBidi" w:cstheme="majorBidi"/>
        </w:rPr>
      </w:pPr>
      <w:r w:rsidRPr="00D06D24">
        <w:rPr>
          <w:rFonts w:asciiTheme="majorBidi" w:hAnsiTheme="majorBidi" w:cstheme="majorBidi"/>
        </w:rPr>
        <w:t>Palestinian diplomats in Geneva have filed a complaint against Israel for what they say are breaches of its obligations under a UN anti-racism treaty, triggering what may be a lengthy and high-profile investigation.</w:t>
      </w:r>
    </w:p>
    <w:p w14:paraId="00000045" w14:textId="16A3A073" w:rsidR="004719A2" w:rsidRPr="00D06D24" w:rsidRDefault="00F44DA1" w:rsidP="00D06D24">
      <w:pPr>
        <w:bidi w:val="0"/>
        <w:rPr>
          <w:rFonts w:asciiTheme="majorBidi" w:hAnsiTheme="majorBidi" w:cstheme="majorBidi"/>
        </w:rPr>
      </w:pPr>
      <w:r w:rsidRPr="00D06D24">
        <w:rPr>
          <w:rFonts w:asciiTheme="majorBidi" w:hAnsiTheme="majorBidi" w:cstheme="majorBidi"/>
        </w:rPr>
        <w:lastRenderedPageBreak/>
        <w:t>The complaint, handed in by the Palestinian ambassador to the UN, accuses Israel of policies and practices that have “the common aim of displacing and replacing the Palestinian people, for the purpose of maintaining a colonial occupation”. Violations in the occupied territories, which the complaint defined as the West Bank, Gaza and East Jerusalem, sought to maintain “a Jewish demographic majority in the entirety of historic Palestine”</w:t>
      </w:r>
      <w:r w:rsidR="005312D4" w:rsidRPr="00D06D24">
        <w:rPr>
          <w:rStyle w:val="FootnoteReference"/>
          <w:rFonts w:asciiTheme="majorBidi" w:hAnsiTheme="majorBidi" w:cstheme="majorBidi"/>
        </w:rPr>
        <w:footnoteReference w:id="14"/>
      </w:r>
      <w:r w:rsidRPr="00D06D24">
        <w:rPr>
          <w:rFonts w:asciiTheme="majorBidi" w:hAnsiTheme="majorBidi" w:cstheme="majorBidi"/>
        </w:rPr>
        <w:t>.</w:t>
      </w:r>
    </w:p>
    <w:p w14:paraId="00000047" w14:textId="77777777" w:rsidR="004719A2" w:rsidRPr="00D06D24" w:rsidRDefault="00F44DA1" w:rsidP="00D06D24">
      <w:pPr>
        <w:pStyle w:val="Heading2"/>
        <w:bidi w:val="0"/>
        <w:rPr>
          <w:rFonts w:asciiTheme="majorBidi" w:hAnsiTheme="majorBidi" w:cstheme="majorBidi"/>
        </w:rPr>
      </w:pPr>
      <w:r w:rsidRPr="00D06D24">
        <w:rPr>
          <w:rFonts w:asciiTheme="majorBidi" w:hAnsiTheme="majorBidi" w:cstheme="majorBidi"/>
        </w:rPr>
        <w:t>Fourthly: Recommendations</w:t>
      </w:r>
    </w:p>
    <w:p w14:paraId="00000048" w14:textId="77777777" w:rsidR="004719A2" w:rsidRPr="00D06D24" w:rsidRDefault="004719A2" w:rsidP="00D06D24">
      <w:pPr>
        <w:bidi w:val="0"/>
        <w:rPr>
          <w:rFonts w:asciiTheme="majorBidi" w:hAnsiTheme="majorBidi" w:cstheme="majorBidi"/>
        </w:rPr>
      </w:pPr>
    </w:p>
    <w:p w14:paraId="0000004D" w14:textId="77777777" w:rsidR="004719A2" w:rsidRPr="00D06D24" w:rsidRDefault="00F44DA1" w:rsidP="00D06D24">
      <w:pPr>
        <w:numPr>
          <w:ilvl w:val="0"/>
          <w:numId w:val="1"/>
        </w:numPr>
        <w:pBdr>
          <w:top w:val="nil"/>
          <w:left w:val="nil"/>
          <w:bottom w:val="nil"/>
          <w:right w:val="nil"/>
          <w:between w:val="nil"/>
        </w:pBdr>
        <w:bidi w:val="0"/>
        <w:spacing w:after="0"/>
        <w:rPr>
          <w:rFonts w:asciiTheme="majorBidi" w:hAnsiTheme="majorBidi" w:cstheme="majorBidi"/>
        </w:rPr>
      </w:pPr>
      <w:r w:rsidRPr="00D06D24">
        <w:rPr>
          <w:rFonts w:asciiTheme="majorBidi" w:hAnsiTheme="majorBidi" w:cstheme="majorBidi"/>
        </w:rPr>
        <w:t>Palestine should take effective measures to protect women from discrimination.</w:t>
      </w:r>
    </w:p>
    <w:p w14:paraId="0000004E" w14:textId="77777777" w:rsidR="004719A2" w:rsidRPr="00D06D24" w:rsidRDefault="00F44DA1" w:rsidP="00D06D24">
      <w:pPr>
        <w:numPr>
          <w:ilvl w:val="0"/>
          <w:numId w:val="1"/>
        </w:numPr>
        <w:pBdr>
          <w:top w:val="nil"/>
          <w:left w:val="nil"/>
          <w:bottom w:val="nil"/>
          <w:right w:val="nil"/>
          <w:between w:val="nil"/>
        </w:pBdr>
        <w:bidi w:val="0"/>
        <w:spacing w:after="0"/>
        <w:rPr>
          <w:rFonts w:asciiTheme="majorBidi" w:hAnsiTheme="majorBidi" w:cstheme="majorBidi"/>
        </w:rPr>
      </w:pPr>
      <w:r w:rsidRPr="00D06D24">
        <w:rPr>
          <w:rFonts w:asciiTheme="majorBidi" w:hAnsiTheme="majorBidi" w:cstheme="majorBidi"/>
        </w:rPr>
        <w:t>Palestine should take effective measures to pass laws in accordance with CEDAW.</w:t>
      </w:r>
    </w:p>
    <w:p w14:paraId="0000004F" w14:textId="501E9C97" w:rsidR="004719A2" w:rsidRPr="00D06D24" w:rsidRDefault="005312D4" w:rsidP="00D06D24">
      <w:pPr>
        <w:numPr>
          <w:ilvl w:val="0"/>
          <w:numId w:val="1"/>
        </w:numPr>
        <w:pBdr>
          <w:top w:val="nil"/>
          <w:left w:val="nil"/>
          <w:bottom w:val="nil"/>
          <w:right w:val="nil"/>
          <w:between w:val="nil"/>
        </w:pBdr>
        <w:bidi w:val="0"/>
        <w:spacing w:after="0"/>
        <w:rPr>
          <w:rFonts w:asciiTheme="majorBidi" w:hAnsiTheme="majorBidi" w:cstheme="majorBidi"/>
        </w:rPr>
      </w:pPr>
      <w:r w:rsidRPr="00D06D24">
        <w:rPr>
          <w:rFonts w:asciiTheme="majorBidi" w:hAnsiTheme="majorBidi" w:cstheme="majorBidi"/>
        </w:rPr>
        <w:t>Palestine should</w:t>
      </w:r>
      <w:r w:rsidR="00F44DA1" w:rsidRPr="00D06D24">
        <w:rPr>
          <w:rFonts w:asciiTheme="majorBidi" w:hAnsiTheme="majorBidi" w:cstheme="majorBidi"/>
        </w:rPr>
        <w:t xml:space="preserve"> amend its existing laws to comply with the Convention.</w:t>
      </w:r>
    </w:p>
    <w:p w14:paraId="00000050" w14:textId="28CEA439" w:rsidR="004719A2" w:rsidRPr="00D06D24" w:rsidRDefault="00F44DA1" w:rsidP="00D06D24">
      <w:pPr>
        <w:numPr>
          <w:ilvl w:val="0"/>
          <w:numId w:val="1"/>
        </w:numPr>
        <w:pBdr>
          <w:top w:val="nil"/>
          <w:left w:val="nil"/>
          <w:bottom w:val="nil"/>
          <w:right w:val="nil"/>
          <w:between w:val="nil"/>
        </w:pBdr>
        <w:bidi w:val="0"/>
        <w:spacing w:after="0"/>
        <w:rPr>
          <w:rFonts w:asciiTheme="majorBidi" w:hAnsiTheme="majorBidi" w:cstheme="majorBidi"/>
        </w:rPr>
      </w:pPr>
      <w:r w:rsidRPr="00D06D24">
        <w:rPr>
          <w:rFonts w:asciiTheme="majorBidi" w:hAnsiTheme="majorBidi" w:cstheme="majorBidi"/>
        </w:rPr>
        <w:t xml:space="preserve">The Israeli occupying Power authorities should be pressured to stop </w:t>
      </w:r>
      <w:r w:rsidR="005312D4" w:rsidRPr="00D06D24">
        <w:rPr>
          <w:rFonts w:asciiTheme="majorBidi" w:hAnsiTheme="majorBidi" w:cstheme="majorBidi"/>
        </w:rPr>
        <w:t>i</w:t>
      </w:r>
      <w:r w:rsidRPr="00D06D24">
        <w:rPr>
          <w:rFonts w:asciiTheme="majorBidi" w:hAnsiTheme="majorBidi" w:cstheme="majorBidi"/>
        </w:rPr>
        <w:t>t</w:t>
      </w:r>
      <w:r w:rsidR="005312D4" w:rsidRPr="00D06D24">
        <w:rPr>
          <w:rFonts w:asciiTheme="majorBidi" w:hAnsiTheme="majorBidi" w:cstheme="majorBidi"/>
        </w:rPr>
        <w:t xml:space="preserve">s </w:t>
      </w:r>
      <w:r w:rsidRPr="00D06D24">
        <w:rPr>
          <w:rFonts w:asciiTheme="majorBidi" w:hAnsiTheme="majorBidi" w:cstheme="majorBidi"/>
        </w:rPr>
        <w:t>racist practices against the Palestinians.</w:t>
      </w:r>
    </w:p>
    <w:p w14:paraId="00000051" w14:textId="77777777" w:rsidR="004719A2" w:rsidRPr="00D06D24" w:rsidRDefault="004719A2" w:rsidP="00D06D24">
      <w:pPr>
        <w:pBdr>
          <w:top w:val="nil"/>
          <w:left w:val="nil"/>
          <w:bottom w:val="nil"/>
          <w:right w:val="nil"/>
          <w:between w:val="nil"/>
        </w:pBdr>
        <w:bidi w:val="0"/>
        <w:spacing w:after="0"/>
        <w:rPr>
          <w:rFonts w:asciiTheme="majorBidi" w:hAnsiTheme="majorBidi" w:cstheme="majorBidi"/>
        </w:rPr>
      </w:pPr>
    </w:p>
    <w:p w14:paraId="00000052" w14:textId="77777777" w:rsidR="004719A2" w:rsidRPr="00D06D24" w:rsidRDefault="004719A2" w:rsidP="00D06D24">
      <w:pPr>
        <w:pBdr>
          <w:top w:val="nil"/>
          <w:left w:val="nil"/>
          <w:bottom w:val="nil"/>
          <w:right w:val="nil"/>
          <w:between w:val="nil"/>
        </w:pBdr>
        <w:bidi w:val="0"/>
        <w:ind w:left="720" w:hanging="720"/>
        <w:rPr>
          <w:rFonts w:asciiTheme="majorBidi" w:hAnsiTheme="majorBidi" w:cstheme="majorBidi"/>
          <w:color w:val="000000"/>
        </w:rPr>
      </w:pPr>
    </w:p>
    <w:sectPr w:rsidR="004719A2" w:rsidRPr="00D06D24">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6C7CC6" w14:textId="77777777" w:rsidR="00D05C65" w:rsidRDefault="00D05C65">
      <w:pPr>
        <w:spacing w:after="0" w:line="240" w:lineRule="auto"/>
      </w:pPr>
      <w:r>
        <w:separator/>
      </w:r>
    </w:p>
  </w:endnote>
  <w:endnote w:type="continuationSeparator" w:id="0">
    <w:p w14:paraId="5133A2D1" w14:textId="77777777" w:rsidR="00D05C65" w:rsidRDefault="00D05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54" w14:textId="54B301F3" w:rsidR="004719A2" w:rsidRDefault="00F44DA1">
    <w:pPr>
      <w:pBdr>
        <w:top w:val="nil"/>
        <w:left w:val="nil"/>
        <w:bottom w:val="nil"/>
        <w:right w:val="nil"/>
        <w:between w:val="nil"/>
      </w:pBdr>
      <w:tabs>
        <w:tab w:val="center" w:pos="4680"/>
        <w:tab w:val="right" w:pos="9360"/>
      </w:tabs>
      <w:spacing w:after="0" w:line="240" w:lineRule="auto"/>
      <w:rPr>
        <w:color w:val="000000"/>
      </w:rPr>
    </w:pPr>
    <w:r>
      <w:rPr>
        <w:color w:val="000000"/>
      </w:rPr>
      <w:fldChar w:fldCharType="begin"/>
    </w:r>
    <w:r>
      <w:rPr>
        <w:color w:val="000000"/>
      </w:rPr>
      <w:instrText>PAGE</w:instrText>
    </w:r>
    <w:r>
      <w:rPr>
        <w:color w:val="000000"/>
      </w:rPr>
      <w:fldChar w:fldCharType="separate"/>
    </w:r>
    <w:r w:rsidR="005312D4">
      <w:rPr>
        <w:rFonts w:cs="Times New Roman"/>
        <w:noProof/>
        <w:color w:val="000000"/>
        <w:rtl/>
      </w:rPr>
      <w:t>1</w:t>
    </w:r>
    <w:r>
      <w:rPr>
        <w:color w:val="000000"/>
      </w:rPr>
      <w:fldChar w:fldCharType="end"/>
    </w:r>
  </w:p>
  <w:p w14:paraId="00000055" w14:textId="77777777" w:rsidR="004719A2" w:rsidRDefault="004719A2">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D119B7" w14:textId="77777777" w:rsidR="00D05C65" w:rsidRDefault="00D05C65">
      <w:pPr>
        <w:spacing w:after="0" w:line="240" w:lineRule="auto"/>
      </w:pPr>
      <w:r>
        <w:separator/>
      </w:r>
    </w:p>
  </w:footnote>
  <w:footnote w:type="continuationSeparator" w:id="0">
    <w:p w14:paraId="11E22662" w14:textId="77777777" w:rsidR="00D05C65" w:rsidRDefault="00D05C65">
      <w:pPr>
        <w:spacing w:after="0" w:line="240" w:lineRule="auto"/>
      </w:pPr>
      <w:r>
        <w:continuationSeparator/>
      </w:r>
    </w:p>
  </w:footnote>
  <w:footnote w:id="1">
    <w:p w14:paraId="00000057" w14:textId="77777777" w:rsidR="004719A2" w:rsidRPr="005312D4" w:rsidRDefault="00F44DA1" w:rsidP="005312D4">
      <w:pPr>
        <w:bidi w:val="0"/>
        <w:spacing w:after="0"/>
        <w:jc w:val="left"/>
        <w:rPr>
          <w:sz w:val="18"/>
          <w:szCs w:val="18"/>
        </w:rPr>
      </w:pPr>
      <w:r w:rsidRPr="005312D4">
        <w:rPr>
          <w:sz w:val="18"/>
          <w:szCs w:val="18"/>
          <w:vertAlign w:val="superscript"/>
        </w:rPr>
        <w:footnoteRef/>
      </w:r>
      <w:r w:rsidRPr="005312D4">
        <w:rPr>
          <w:sz w:val="18"/>
          <w:szCs w:val="18"/>
        </w:rPr>
        <w:t xml:space="preserve"> To: Committee </w:t>
      </w:r>
      <w:proofErr w:type="gramStart"/>
      <w:r w:rsidRPr="005312D4">
        <w:rPr>
          <w:sz w:val="18"/>
          <w:szCs w:val="18"/>
        </w:rPr>
        <w:t>On</w:t>
      </w:r>
      <w:proofErr w:type="gramEnd"/>
      <w:r w:rsidRPr="005312D4">
        <w:rPr>
          <w:sz w:val="18"/>
          <w:szCs w:val="18"/>
        </w:rPr>
        <w:t xml:space="preserve"> The Elimination Of Racial Discrimination, From: Independent Commission for Human Rights ICHR. (NHRIs), April 2019, Palestine, P.11 </w:t>
      </w:r>
      <w:hyperlink r:id="rId1">
        <w:r w:rsidRPr="005312D4">
          <w:rPr>
            <w:color w:val="0000FF"/>
            <w:sz w:val="18"/>
            <w:szCs w:val="18"/>
            <w:u w:val="single"/>
          </w:rPr>
          <w:t>https://tbinternet.ohchr.org/_layouts/15/treatybodyexternal/Download.aspx?symbolno=CERD%2fC%2fPSE%2f1-2&amp;Lang=en</w:t>
        </w:r>
      </w:hyperlink>
    </w:p>
  </w:footnote>
  <w:footnote w:id="2">
    <w:p w14:paraId="00000056" w14:textId="77777777" w:rsidR="004719A2" w:rsidRPr="005312D4" w:rsidRDefault="00F44DA1" w:rsidP="005312D4">
      <w:pPr>
        <w:bidi w:val="0"/>
        <w:spacing w:after="0"/>
        <w:jc w:val="left"/>
        <w:rPr>
          <w:sz w:val="18"/>
          <w:szCs w:val="18"/>
        </w:rPr>
      </w:pPr>
      <w:r w:rsidRPr="005312D4">
        <w:rPr>
          <w:sz w:val="18"/>
          <w:szCs w:val="18"/>
          <w:vertAlign w:val="superscript"/>
        </w:rPr>
        <w:footnoteRef/>
      </w:r>
      <w:r w:rsidRPr="005312D4">
        <w:rPr>
          <w:sz w:val="18"/>
          <w:szCs w:val="18"/>
        </w:rPr>
        <w:t xml:space="preserve"> Ibid.</w:t>
      </w:r>
    </w:p>
  </w:footnote>
  <w:footnote w:id="3">
    <w:p w14:paraId="00000058" w14:textId="77777777" w:rsidR="004719A2" w:rsidRPr="005312D4" w:rsidRDefault="00F44DA1" w:rsidP="005312D4">
      <w:pPr>
        <w:bidi w:val="0"/>
        <w:spacing w:after="0"/>
        <w:jc w:val="left"/>
        <w:rPr>
          <w:sz w:val="18"/>
          <w:szCs w:val="18"/>
        </w:rPr>
      </w:pPr>
      <w:r w:rsidRPr="005312D4">
        <w:rPr>
          <w:sz w:val="18"/>
          <w:szCs w:val="18"/>
          <w:vertAlign w:val="superscript"/>
        </w:rPr>
        <w:footnoteRef/>
      </w:r>
      <w:r w:rsidRPr="005312D4">
        <w:rPr>
          <w:sz w:val="18"/>
          <w:szCs w:val="18"/>
        </w:rPr>
        <w:t xml:space="preserve"> Palestinian Women and Personal Status Law, Policy Brief. Ramallah and Geneva, May 2012, P.1-3 </w:t>
      </w:r>
      <w:hyperlink r:id="rId2">
        <w:r w:rsidRPr="005312D4">
          <w:rPr>
            <w:color w:val="0000FF"/>
            <w:sz w:val="18"/>
            <w:szCs w:val="18"/>
            <w:u w:val="single"/>
          </w:rPr>
          <w:t>https://www.dcaf.ch/sites/default/files/publications/documents/Policy_Brief_Perso_Status_EN_Final.pdf</w:t>
        </w:r>
      </w:hyperlink>
      <w:r w:rsidRPr="005312D4">
        <w:rPr>
          <w:sz w:val="18"/>
          <w:szCs w:val="18"/>
        </w:rPr>
        <w:t xml:space="preserve"> </w:t>
      </w:r>
    </w:p>
  </w:footnote>
  <w:footnote w:id="4">
    <w:p w14:paraId="00000059" w14:textId="77777777" w:rsidR="004719A2" w:rsidRPr="005312D4" w:rsidRDefault="00F44DA1" w:rsidP="005312D4">
      <w:pPr>
        <w:tabs>
          <w:tab w:val="left" w:pos="3528"/>
        </w:tabs>
        <w:bidi w:val="0"/>
        <w:spacing w:after="0"/>
        <w:jc w:val="left"/>
        <w:rPr>
          <w:sz w:val="18"/>
          <w:szCs w:val="18"/>
        </w:rPr>
      </w:pPr>
      <w:r w:rsidRPr="005312D4">
        <w:rPr>
          <w:sz w:val="18"/>
          <w:szCs w:val="18"/>
          <w:vertAlign w:val="superscript"/>
        </w:rPr>
        <w:footnoteRef/>
      </w:r>
      <w:r w:rsidRPr="005312D4">
        <w:rPr>
          <w:sz w:val="18"/>
          <w:szCs w:val="18"/>
        </w:rPr>
        <w:t xml:space="preserve"> Ibid.</w:t>
      </w:r>
      <w:r w:rsidRPr="005312D4">
        <w:rPr>
          <w:sz w:val="18"/>
          <w:szCs w:val="18"/>
        </w:rPr>
        <w:tab/>
      </w:r>
    </w:p>
  </w:footnote>
  <w:footnote w:id="5">
    <w:p w14:paraId="0000005A" w14:textId="77777777" w:rsidR="004719A2" w:rsidRPr="005312D4" w:rsidRDefault="00F44DA1" w:rsidP="005312D4">
      <w:pPr>
        <w:bidi w:val="0"/>
        <w:spacing w:after="0"/>
        <w:jc w:val="left"/>
        <w:rPr>
          <w:sz w:val="18"/>
          <w:szCs w:val="18"/>
        </w:rPr>
      </w:pPr>
      <w:r w:rsidRPr="005312D4">
        <w:rPr>
          <w:sz w:val="18"/>
          <w:szCs w:val="18"/>
          <w:vertAlign w:val="superscript"/>
        </w:rPr>
        <w:footnoteRef/>
      </w:r>
      <w:r w:rsidRPr="005312D4">
        <w:rPr>
          <w:sz w:val="18"/>
          <w:szCs w:val="18"/>
        </w:rPr>
        <w:t xml:space="preserve"> Ibid.</w:t>
      </w:r>
    </w:p>
  </w:footnote>
  <w:footnote w:id="6">
    <w:p w14:paraId="0000005B" w14:textId="77777777" w:rsidR="004719A2" w:rsidRPr="005312D4" w:rsidRDefault="00F44DA1" w:rsidP="005312D4">
      <w:pPr>
        <w:bidi w:val="0"/>
        <w:spacing w:after="0"/>
        <w:jc w:val="left"/>
        <w:rPr>
          <w:sz w:val="18"/>
          <w:szCs w:val="18"/>
        </w:rPr>
      </w:pPr>
      <w:r w:rsidRPr="005312D4">
        <w:rPr>
          <w:sz w:val="18"/>
          <w:szCs w:val="18"/>
          <w:vertAlign w:val="superscript"/>
        </w:rPr>
        <w:footnoteRef/>
      </w:r>
      <w:r w:rsidRPr="005312D4">
        <w:rPr>
          <w:sz w:val="18"/>
          <w:szCs w:val="18"/>
        </w:rPr>
        <w:t xml:space="preserve"> Ibid.</w:t>
      </w:r>
    </w:p>
  </w:footnote>
  <w:footnote w:id="7">
    <w:p w14:paraId="0000005C" w14:textId="77777777" w:rsidR="004719A2" w:rsidRPr="005312D4" w:rsidRDefault="00F44DA1" w:rsidP="005312D4">
      <w:pPr>
        <w:bidi w:val="0"/>
        <w:spacing w:after="0"/>
        <w:jc w:val="left"/>
        <w:rPr>
          <w:sz w:val="18"/>
          <w:szCs w:val="18"/>
        </w:rPr>
      </w:pPr>
      <w:r w:rsidRPr="005312D4">
        <w:rPr>
          <w:sz w:val="18"/>
          <w:szCs w:val="18"/>
          <w:vertAlign w:val="superscript"/>
        </w:rPr>
        <w:footnoteRef/>
      </w:r>
      <w:r w:rsidRPr="005312D4">
        <w:rPr>
          <w:sz w:val="18"/>
          <w:szCs w:val="18"/>
        </w:rPr>
        <w:t xml:space="preserve"> Ibid.</w:t>
      </w:r>
    </w:p>
  </w:footnote>
  <w:footnote w:id="8">
    <w:p w14:paraId="0000005E" w14:textId="77777777" w:rsidR="004719A2" w:rsidRPr="005312D4" w:rsidRDefault="00F44DA1" w:rsidP="005312D4">
      <w:pPr>
        <w:bidi w:val="0"/>
        <w:spacing w:after="0"/>
        <w:jc w:val="left"/>
        <w:rPr>
          <w:sz w:val="18"/>
          <w:szCs w:val="18"/>
        </w:rPr>
      </w:pPr>
      <w:r w:rsidRPr="005312D4">
        <w:rPr>
          <w:sz w:val="18"/>
          <w:szCs w:val="18"/>
          <w:vertAlign w:val="superscript"/>
        </w:rPr>
        <w:footnoteRef/>
      </w:r>
      <w:r w:rsidRPr="005312D4">
        <w:rPr>
          <w:sz w:val="18"/>
          <w:szCs w:val="18"/>
        </w:rPr>
        <w:t xml:space="preserve"> Ibid.</w:t>
      </w:r>
    </w:p>
  </w:footnote>
  <w:footnote w:id="9">
    <w:p w14:paraId="0000005D" w14:textId="77777777" w:rsidR="004719A2" w:rsidRPr="005312D4" w:rsidRDefault="00F44DA1" w:rsidP="005312D4">
      <w:pPr>
        <w:bidi w:val="0"/>
        <w:spacing w:after="0"/>
        <w:jc w:val="left"/>
        <w:rPr>
          <w:sz w:val="18"/>
          <w:szCs w:val="18"/>
        </w:rPr>
      </w:pPr>
      <w:r w:rsidRPr="005312D4">
        <w:rPr>
          <w:sz w:val="18"/>
          <w:szCs w:val="18"/>
          <w:vertAlign w:val="superscript"/>
        </w:rPr>
        <w:footnoteRef/>
      </w:r>
      <w:r w:rsidRPr="005312D4">
        <w:rPr>
          <w:sz w:val="18"/>
          <w:szCs w:val="18"/>
        </w:rPr>
        <w:t xml:space="preserve"> Ibid.</w:t>
      </w:r>
    </w:p>
  </w:footnote>
  <w:footnote w:id="10">
    <w:p w14:paraId="0000005F" w14:textId="77777777" w:rsidR="004719A2" w:rsidRPr="005312D4" w:rsidRDefault="00F44DA1" w:rsidP="005312D4">
      <w:pPr>
        <w:bidi w:val="0"/>
        <w:spacing w:after="0"/>
        <w:jc w:val="left"/>
        <w:rPr>
          <w:sz w:val="18"/>
          <w:szCs w:val="18"/>
        </w:rPr>
      </w:pPr>
      <w:r w:rsidRPr="005312D4">
        <w:rPr>
          <w:sz w:val="18"/>
          <w:szCs w:val="18"/>
          <w:vertAlign w:val="superscript"/>
        </w:rPr>
        <w:footnoteRef/>
      </w:r>
      <w:r w:rsidRPr="005312D4">
        <w:rPr>
          <w:sz w:val="18"/>
          <w:szCs w:val="18"/>
        </w:rPr>
        <w:t xml:space="preserve"> Committee on the Elimination of Discrimination against Women considers the report of the State of Palestine, 11 July 2018 </w:t>
      </w:r>
      <w:hyperlink r:id="rId3">
        <w:r w:rsidRPr="005312D4">
          <w:rPr>
            <w:color w:val="0000FF"/>
            <w:sz w:val="18"/>
            <w:szCs w:val="18"/>
            <w:u w:val="single"/>
          </w:rPr>
          <w:t>https://www.ohchr.org/EN/NewsEvents/Pages/DisplayNews.aspx?NewsID=23377&amp;LangID=E</w:t>
        </w:r>
      </w:hyperlink>
      <w:r w:rsidRPr="005312D4">
        <w:rPr>
          <w:sz w:val="18"/>
          <w:szCs w:val="18"/>
        </w:rPr>
        <w:t xml:space="preserve"> </w:t>
      </w:r>
    </w:p>
  </w:footnote>
  <w:footnote w:id="11">
    <w:p w14:paraId="00000060" w14:textId="77777777" w:rsidR="004719A2" w:rsidRPr="005312D4" w:rsidRDefault="00F44DA1" w:rsidP="005312D4">
      <w:pPr>
        <w:tabs>
          <w:tab w:val="left" w:pos="1164"/>
        </w:tabs>
        <w:bidi w:val="0"/>
        <w:spacing w:after="0"/>
        <w:jc w:val="left"/>
        <w:rPr>
          <w:sz w:val="18"/>
          <w:szCs w:val="18"/>
        </w:rPr>
      </w:pPr>
      <w:r w:rsidRPr="005312D4">
        <w:rPr>
          <w:sz w:val="18"/>
          <w:szCs w:val="18"/>
          <w:vertAlign w:val="superscript"/>
        </w:rPr>
        <w:footnoteRef/>
      </w:r>
      <w:r w:rsidRPr="005312D4">
        <w:rPr>
          <w:sz w:val="18"/>
          <w:szCs w:val="18"/>
        </w:rPr>
        <w:t xml:space="preserve"> Ibid.</w:t>
      </w:r>
      <w:r w:rsidRPr="005312D4">
        <w:rPr>
          <w:sz w:val="18"/>
          <w:szCs w:val="18"/>
        </w:rPr>
        <w:tab/>
      </w:r>
    </w:p>
  </w:footnote>
  <w:footnote w:id="12">
    <w:p w14:paraId="00000061" w14:textId="77777777" w:rsidR="004719A2" w:rsidRPr="005312D4" w:rsidRDefault="00F44DA1" w:rsidP="005312D4">
      <w:pPr>
        <w:bidi w:val="0"/>
        <w:spacing w:after="0"/>
        <w:jc w:val="left"/>
        <w:rPr>
          <w:sz w:val="18"/>
          <w:szCs w:val="18"/>
        </w:rPr>
      </w:pPr>
      <w:r w:rsidRPr="005312D4">
        <w:rPr>
          <w:sz w:val="18"/>
          <w:szCs w:val="18"/>
          <w:vertAlign w:val="superscript"/>
        </w:rPr>
        <w:footnoteRef/>
      </w:r>
      <w:r w:rsidRPr="005312D4">
        <w:rPr>
          <w:sz w:val="18"/>
          <w:szCs w:val="18"/>
        </w:rPr>
        <w:t xml:space="preserve"> Women in Palestine face violence, discrimination and denial of their rights, 8 March 2018 </w:t>
      </w:r>
      <w:hyperlink r:id="rId4">
        <w:r w:rsidRPr="005312D4">
          <w:rPr>
            <w:color w:val="0000FF"/>
            <w:sz w:val="18"/>
            <w:szCs w:val="18"/>
            <w:u w:val="single"/>
          </w:rPr>
          <w:t>https://www.alianzaporlasolidaridad.org/en/noticias/women-palestine-face-violence-discrimination-denial-rights</w:t>
        </w:r>
      </w:hyperlink>
      <w:r w:rsidRPr="005312D4">
        <w:rPr>
          <w:sz w:val="18"/>
          <w:szCs w:val="18"/>
        </w:rPr>
        <w:t xml:space="preserve"> </w:t>
      </w:r>
    </w:p>
  </w:footnote>
  <w:footnote w:id="13">
    <w:p w14:paraId="00000062" w14:textId="77777777" w:rsidR="004719A2" w:rsidRPr="005312D4" w:rsidRDefault="00F44DA1" w:rsidP="005312D4">
      <w:pPr>
        <w:tabs>
          <w:tab w:val="left" w:pos="2088"/>
          <w:tab w:val="left" w:pos="2568"/>
        </w:tabs>
        <w:bidi w:val="0"/>
        <w:spacing w:after="0"/>
        <w:jc w:val="left"/>
        <w:rPr>
          <w:sz w:val="18"/>
          <w:szCs w:val="18"/>
        </w:rPr>
      </w:pPr>
      <w:r w:rsidRPr="005312D4">
        <w:rPr>
          <w:sz w:val="18"/>
          <w:szCs w:val="18"/>
          <w:vertAlign w:val="superscript"/>
        </w:rPr>
        <w:footnoteRef/>
      </w:r>
      <w:r w:rsidRPr="005312D4">
        <w:rPr>
          <w:sz w:val="18"/>
          <w:szCs w:val="18"/>
        </w:rPr>
        <w:t xml:space="preserve"> Ibid.</w:t>
      </w:r>
      <w:r w:rsidRPr="005312D4">
        <w:rPr>
          <w:sz w:val="18"/>
          <w:szCs w:val="18"/>
        </w:rPr>
        <w:tab/>
      </w:r>
      <w:r w:rsidRPr="005312D4">
        <w:rPr>
          <w:sz w:val="18"/>
          <w:szCs w:val="18"/>
        </w:rPr>
        <w:tab/>
      </w:r>
    </w:p>
  </w:footnote>
  <w:footnote w:id="14">
    <w:p w14:paraId="0109BE92" w14:textId="77777777" w:rsidR="005312D4" w:rsidRDefault="005312D4" w:rsidP="005312D4">
      <w:pPr>
        <w:pStyle w:val="NormalWeb"/>
        <w:spacing w:before="0" w:beforeAutospacing="0" w:after="0" w:afterAutospacing="0"/>
        <w:jc w:val="both"/>
      </w:pPr>
      <w:r>
        <w:rPr>
          <w:rStyle w:val="FootnoteReference"/>
        </w:rPr>
        <w:footnoteRef/>
      </w:r>
      <w:r>
        <w:rPr>
          <w:rtl/>
        </w:rPr>
        <w:t xml:space="preserve"> </w:t>
      </w:r>
      <w:r>
        <w:rPr>
          <w:rFonts w:ascii="Calibri" w:hAnsi="Calibri" w:cs="Calibri"/>
          <w:color w:val="000000"/>
          <w:sz w:val="20"/>
          <w:szCs w:val="20"/>
        </w:rPr>
        <w:t xml:space="preserve">The Guardian,  </w:t>
      </w:r>
      <w:hyperlink r:id="rId5" w:history="1">
        <w:r>
          <w:rPr>
            <w:rStyle w:val="Hyperlink"/>
            <w:rFonts w:ascii="Calibri" w:hAnsi="Calibri" w:cs="Calibri"/>
            <w:sz w:val="20"/>
            <w:szCs w:val="20"/>
          </w:rPr>
          <w:t>https://www.theguardian.com/world/2018/apr/23/palestinians-file-complaint-against-israel-under-anti-racism-treaty</w:t>
        </w:r>
      </w:hyperlink>
    </w:p>
    <w:p w14:paraId="1E4F1C4B" w14:textId="1A857CE3" w:rsidR="005312D4" w:rsidRPr="005312D4" w:rsidRDefault="005312D4">
      <w:pPr>
        <w:pStyle w:val="FootnoteText"/>
      </w:pPr>
      <w:bookmarkStart w:id="7" w:name="_GoBack"/>
      <w:bookmarkEnd w:id="7"/>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AF477D"/>
    <w:multiLevelType w:val="multilevel"/>
    <w:tmpl w:val="8DDCD3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9A2"/>
    <w:rsid w:val="001837BF"/>
    <w:rsid w:val="004719A2"/>
    <w:rsid w:val="005312D4"/>
    <w:rsid w:val="005D6F2F"/>
    <w:rsid w:val="00D05C65"/>
    <w:rsid w:val="00D06D24"/>
    <w:rsid w:val="00F44D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F6D4C"/>
  <w15:docId w15:val="{41929832-FF99-4E6D-8EE9-41D1E05CE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8"/>
        <w:szCs w:val="28"/>
        <w:lang w:val="en-US" w:eastAsia="en-US" w:bidi="ar-SA"/>
      </w:rPr>
    </w:rPrDefault>
    <w:pPrDefault>
      <w:pPr>
        <w:bidi/>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mbria" w:eastAsia="Cambria" w:hAnsi="Cambria" w:cs="Cambria"/>
      <w:b/>
      <w:sz w:val="32"/>
      <w:szCs w:val="32"/>
    </w:rPr>
  </w:style>
  <w:style w:type="paragraph" w:styleId="Heading2">
    <w:name w:val="heading 2"/>
    <w:basedOn w:val="Normal"/>
    <w:next w:val="Normal"/>
    <w:uiPriority w:val="9"/>
    <w:unhideWhenUsed/>
    <w:qFormat/>
    <w:pPr>
      <w:keepNext/>
      <w:keepLines/>
      <w:spacing w:before="200" w:after="0"/>
      <w:outlineLvl w:val="1"/>
    </w:pPr>
    <w:rPr>
      <w:rFonts w:ascii="Cambria" w:eastAsia="Cambria" w:hAnsi="Cambria" w:cs="Cambria"/>
      <w:b/>
      <w:color w:val="000000"/>
    </w:rPr>
  </w:style>
  <w:style w:type="paragraph" w:styleId="Heading3">
    <w:name w:val="heading 3"/>
    <w:basedOn w:val="Normal"/>
    <w:next w:val="Normal"/>
    <w:uiPriority w:val="9"/>
    <w:unhideWhenUsed/>
    <w:qFormat/>
    <w:pPr>
      <w:keepNext/>
      <w:keepLines/>
      <w:spacing w:before="200" w:after="0"/>
      <w:outlineLvl w:val="2"/>
    </w:pPr>
    <w:rPr>
      <w:rFonts w:ascii="Cambria" w:eastAsia="Cambria" w:hAnsi="Cambria" w:cs="Cambria"/>
      <w:b/>
      <w:color w:val="4F81BD"/>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FootnoteText">
    <w:name w:val="footnote text"/>
    <w:basedOn w:val="Normal"/>
    <w:link w:val="FootnoteTextChar"/>
    <w:uiPriority w:val="99"/>
    <w:semiHidden/>
    <w:unhideWhenUsed/>
    <w:rsid w:val="005312D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12D4"/>
    <w:rPr>
      <w:sz w:val="20"/>
      <w:szCs w:val="20"/>
    </w:rPr>
  </w:style>
  <w:style w:type="character" w:styleId="FootnoteReference">
    <w:name w:val="footnote reference"/>
    <w:basedOn w:val="DefaultParagraphFont"/>
    <w:uiPriority w:val="99"/>
    <w:semiHidden/>
    <w:unhideWhenUsed/>
    <w:rsid w:val="005312D4"/>
    <w:rPr>
      <w:vertAlign w:val="superscript"/>
    </w:rPr>
  </w:style>
  <w:style w:type="paragraph" w:styleId="NormalWeb">
    <w:name w:val="Normal (Web)"/>
    <w:basedOn w:val="Normal"/>
    <w:uiPriority w:val="99"/>
    <w:semiHidden/>
    <w:unhideWhenUsed/>
    <w:rsid w:val="005312D4"/>
    <w:pPr>
      <w:bidi w:val="0"/>
      <w:spacing w:before="100" w:beforeAutospacing="1" w:after="100" w:afterAutospacing="1" w:line="240" w:lineRule="auto"/>
      <w:jc w:val="left"/>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5312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62608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apd.international/en/"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EN/NewsEvents/Pages/DisplayNews.aspx?NewsID=23377&amp;LangID=E" TargetMode="External"/><Relationship Id="rId2" Type="http://schemas.openxmlformats.org/officeDocument/2006/relationships/hyperlink" Target="https://www.dcaf.ch/sites/default/files/publications/documents/Policy_Brief_Perso_Status_EN_Final.pdf" TargetMode="External"/><Relationship Id="rId1" Type="http://schemas.openxmlformats.org/officeDocument/2006/relationships/hyperlink" Target="https://tbinternet.ohchr.org/_layouts/15/treatybodyexternal/Download.aspx?symbolno=CERD%2fC%2fPSE%2f1-2&amp;Lang=en" TargetMode="External"/><Relationship Id="rId5" Type="http://schemas.openxmlformats.org/officeDocument/2006/relationships/hyperlink" Target="https://www.theguardian.com/world/2018/apr/23/palestinians-file-complaint-against-israel-under-anti-racism-treaty" TargetMode="External"/><Relationship Id="rId4" Type="http://schemas.openxmlformats.org/officeDocument/2006/relationships/hyperlink" Target="https://www.alianzaporlasolidaridad.org/en/noticias/women-palestine-face-violence-discrimination-denial-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E1F56B-73B7-454A-BA0E-33B006DA3520}"/>
</file>

<file path=customXml/itemProps2.xml><?xml version="1.0" encoding="utf-8"?>
<ds:datastoreItem xmlns:ds="http://schemas.openxmlformats.org/officeDocument/2006/customXml" ds:itemID="{CD7156B8-CAAE-4C59-8F14-6EAD7F304F41}"/>
</file>

<file path=customXml/itemProps3.xml><?xml version="1.0" encoding="utf-8"?>
<ds:datastoreItem xmlns:ds="http://schemas.openxmlformats.org/officeDocument/2006/customXml" ds:itemID="{9663D4E6-6374-4414-AA6F-D9C8A76D2956}"/>
</file>

<file path=docProps/app.xml><?xml version="1.0" encoding="utf-8"?>
<Properties xmlns="http://schemas.openxmlformats.org/officeDocument/2006/extended-properties" xmlns:vt="http://schemas.openxmlformats.org/officeDocument/2006/docPropsVTypes">
  <Template>Normal</Template>
  <TotalTime>29</TotalTime>
  <Pages>6</Pages>
  <Words>1511</Words>
  <Characters>8618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3</cp:revision>
  <dcterms:created xsi:type="dcterms:W3CDTF">2019-07-11T10:57:00Z</dcterms:created>
  <dcterms:modified xsi:type="dcterms:W3CDTF">2019-07-11T12:11:00Z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