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4AE4A" w14:textId="77777777" w:rsidR="00263E23" w:rsidRDefault="00263E23" w:rsidP="00263E23">
      <w:pPr>
        <w:jc w:val="center"/>
      </w:pPr>
      <w:r>
        <w:br/>
      </w:r>
      <w:r>
        <w:rPr>
          <w:noProof/>
        </w:rPr>
        <w:drawing>
          <wp:inline distT="0" distB="0" distL="0" distR="0" wp14:anchorId="1A2506AF" wp14:editId="4C8F8609">
            <wp:extent cx="2328560" cy="2037491"/>
            <wp:effectExtent l="0" t="0" r="0" b="0"/>
            <wp:docPr id="1810403716" name="drawing" descr="A logo with a bird head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03716" name="drawing" descr="A logo with a bird head and stars&#10;&#10;AI-generated content may be incorrect."/>
                    <pic:cNvPicPr/>
                  </pic:nvPicPr>
                  <pic:blipFill>
                    <a:blip r:embed="rId7">
                      <a:extLst>
                        <a:ext uri="{28A0092B-C50C-407E-A947-70E740481C1C}">
                          <a14:useLocalDpi xmlns:a14="http://schemas.microsoft.com/office/drawing/2010/main"/>
                        </a:ext>
                      </a:extLst>
                    </a:blip>
                    <a:stretch>
                      <a:fillRect/>
                    </a:stretch>
                  </pic:blipFill>
                  <pic:spPr>
                    <a:xfrm>
                      <a:off x="0" y="0"/>
                      <a:ext cx="2328560" cy="2037491"/>
                    </a:xfrm>
                    <a:prstGeom prst="rect">
                      <a:avLst/>
                    </a:prstGeom>
                  </pic:spPr>
                </pic:pic>
              </a:graphicData>
            </a:graphic>
          </wp:inline>
        </w:drawing>
      </w:r>
    </w:p>
    <w:p w14:paraId="7FCEFFE8" w14:textId="77777777" w:rsidR="00263E23" w:rsidRDefault="00263E23" w:rsidP="00263E23">
      <w:pPr>
        <w:jc w:val="center"/>
      </w:pPr>
    </w:p>
    <w:p w14:paraId="433C5BDF" w14:textId="0A41D0A6" w:rsidR="00263E23" w:rsidRDefault="00263E23" w:rsidP="00263E23">
      <w:pPr>
        <w:jc w:val="center"/>
      </w:pPr>
      <w:r>
        <w:br/>
      </w:r>
      <w:r>
        <w:br/>
      </w:r>
      <w:r w:rsidRPr="70DCF742">
        <w:rPr>
          <w:rFonts w:ascii="Verdana Pro" w:eastAsia="Verdana Pro" w:hAnsi="Verdana Pro" w:cs="Verdana Pro"/>
          <w:b/>
          <w:bCs/>
          <w:color w:val="0A2F41" w:themeColor="accent1" w:themeShade="80"/>
          <w:sz w:val="32"/>
          <w:szCs w:val="32"/>
        </w:rPr>
        <w:t>The Democratic Republic of the Congo</w:t>
      </w:r>
      <w:r>
        <w:br/>
      </w:r>
      <w:r>
        <w:br/>
      </w:r>
      <w:r w:rsidRPr="70DCF742">
        <w:rPr>
          <w:rFonts w:ascii="Verdana Pro" w:eastAsia="Verdana Pro" w:hAnsi="Verdana Pro" w:cs="Verdana Pro"/>
          <w:b/>
          <w:bCs/>
        </w:rPr>
        <w:t>NGO Submission to the U.N. Human Rights Committee</w:t>
      </w:r>
      <w:r>
        <w:br/>
      </w:r>
      <w:r w:rsidRPr="70DCF742">
        <w:rPr>
          <w:rFonts w:ascii="Verdana Pro" w:eastAsia="Verdana Pro" w:hAnsi="Verdana Pro" w:cs="Verdana Pro"/>
          <w:b/>
          <w:bCs/>
        </w:rPr>
        <w:t>145th Session</w:t>
      </w:r>
      <w:r>
        <w:br/>
      </w:r>
      <w:r w:rsidRPr="70DCF742">
        <w:rPr>
          <w:rFonts w:ascii="Verdana Pro" w:eastAsia="Verdana Pro" w:hAnsi="Verdana Pro" w:cs="Verdana Pro"/>
          <w:b/>
          <w:bCs/>
        </w:rPr>
        <w:t>List of Issues</w:t>
      </w:r>
      <w:r>
        <w:rPr>
          <w:rFonts w:ascii="Verdana Pro" w:eastAsia="Verdana Pro" w:hAnsi="Verdana Pro" w:cs="Verdana Pro"/>
          <w:b/>
          <w:bCs/>
        </w:rPr>
        <w:t xml:space="preserve"> Prior to Reporting</w:t>
      </w:r>
      <w:r w:rsidRPr="70DCF742">
        <w:rPr>
          <w:rFonts w:ascii="Verdana Pro" w:eastAsia="Verdana Pro" w:hAnsi="Verdana Pro" w:cs="Verdana Pro"/>
          <w:b/>
          <w:bCs/>
        </w:rPr>
        <w:t xml:space="preserve"> </w:t>
      </w:r>
      <w:r>
        <w:br/>
      </w:r>
      <w:r w:rsidRPr="70DCF742">
        <w:rPr>
          <w:rFonts w:ascii="Verdana Pro" w:eastAsia="Verdana Pro" w:hAnsi="Verdana Pro" w:cs="Verdana Pro"/>
          <w:b/>
          <w:bCs/>
        </w:rPr>
        <w:t xml:space="preserve">(March </w:t>
      </w:r>
      <w:r>
        <w:rPr>
          <w:rFonts w:ascii="Verdana Pro" w:eastAsia="Verdana Pro" w:hAnsi="Verdana Pro" w:cs="Verdana Pro"/>
          <w:b/>
          <w:bCs/>
        </w:rPr>
        <w:t xml:space="preserve">2 – 19, </w:t>
      </w:r>
      <w:r w:rsidRPr="70DCF742">
        <w:rPr>
          <w:rFonts w:ascii="Verdana Pro" w:eastAsia="Verdana Pro" w:hAnsi="Verdana Pro" w:cs="Verdana Pro"/>
          <w:b/>
          <w:bCs/>
        </w:rPr>
        <w:t>2026)</w:t>
      </w:r>
    </w:p>
    <w:p w14:paraId="6329E324" w14:textId="77777777" w:rsidR="00263E23" w:rsidRDefault="00263E23" w:rsidP="00263E23">
      <w:pPr>
        <w:jc w:val="center"/>
        <w:rPr>
          <w:rFonts w:ascii="Verdana Pro" w:hAnsi="Verdana Pro"/>
          <w:b/>
          <w:bCs/>
        </w:rPr>
      </w:pPr>
      <w:r w:rsidRPr="005F6A35">
        <w:rPr>
          <w:rFonts w:ascii="Verdana Pro" w:hAnsi="Verdana Pro"/>
          <w:b/>
          <w:bCs/>
        </w:rPr>
        <w:t>Geneva</w:t>
      </w:r>
    </w:p>
    <w:p w14:paraId="4C0E8394" w14:textId="77777777" w:rsidR="00263E23" w:rsidRDefault="00263E23" w:rsidP="00263E23">
      <w:pPr>
        <w:jc w:val="center"/>
        <w:rPr>
          <w:rFonts w:ascii="Times New Roman" w:eastAsia="Times New Roman" w:hAnsi="Times New Roman" w:cs="Times New Roman"/>
          <w:b/>
          <w:bCs/>
        </w:rPr>
      </w:pPr>
      <w:r w:rsidRPr="005F6A35">
        <w:rPr>
          <w:rFonts w:ascii="Verdana Pro" w:hAnsi="Verdana Pro"/>
          <w:b/>
          <w:bCs/>
        </w:rPr>
        <w:t>Submitted on January 5, 2026</w:t>
      </w:r>
      <w:r>
        <w:br/>
      </w:r>
      <w:r>
        <w:br/>
      </w:r>
      <w:r>
        <w:br/>
      </w:r>
      <w:r>
        <w:br/>
      </w:r>
    </w:p>
    <w:p w14:paraId="52D00B54" w14:textId="77777777" w:rsidR="00263E23" w:rsidRDefault="00263E23" w:rsidP="00263E23">
      <w:pPr>
        <w:jc w:val="center"/>
        <w:rPr>
          <w:rFonts w:ascii="Times New Roman" w:eastAsia="Times New Roman" w:hAnsi="Times New Roman" w:cs="Times New Roman"/>
          <w:b/>
          <w:bCs/>
        </w:rPr>
      </w:pPr>
    </w:p>
    <w:p w14:paraId="0CAF04E4" w14:textId="77777777" w:rsidR="00263E23" w:rsidRDefault="00263E23" w:rsidP="00263E23">
      <w:pPr>
        <w:jc w:val="center"/>
        <w:rPr>
          <w:rFonts w:ascii="Times New Roman" w:eastAsia="Times New Roman" w:hAnsi="Times New Roman" w:cs="Times New Roman"/>
          <w:b/>
          <w:bCs/>
        </w:rPr>
      </w:pPr>
    </w:p>
    <w:p w14:paraId="18FF945A" w14:textId="124F7102" w:rsidR="00263E23" w:rsidRPr="00263E23" w:rsidRDefault="00263E23" w:rsidP="00263E23">
      <w:pPr>
        <w:jc w:val="center"/>
        <w:rPr>
          <w:rFonts w:ascii="Verdana Pro" w:hAnsi="Verdana Pro"/>
          <w:b/>
          <w:bCs/>
        </w:rPr>
      </w:pPr>
      <w:r w:rsidRPr="70DCF742">
        <w:rPr>
          <w:rFonts w:ascii="Times New Roman" w:eastAsia="Times New Roman" w:hAnsi="Times New Roman" w:cs="Times New Roman"/>
          <w:b/>
          <w:bCs/>
        </w:rPr>
        <w:t xml:space="preserve">Submitted by: </w:t>
      </w:r>
      <w:r w:rsidRPr="70DCF742">
        <w:rPr>
          <w:rFonts w:ascii="Times New Roman" w:eastAsia="Times New Roman" w:hAnsi="Times New Roman" w:cs="Times New Roman"/>
        </w:rPr>
        <w:t xml:space="preserve">The Carter Center </w:t>
      </w:r>
      <w:r>
        <w:br/>
      </w:r>
      <w:r w:rsidRPr="70DCF742">
        <w:rPr>
          <w:rFonts w:ascii="Times New Roman" w:eastAsia="Times New Roman" w:hAnsi="Times New Roman" w:cs="Times New Roman"/>
          <w:b/>
          <w:bCs/>
        </w:rPr>
        <w:t xml:space="preserve">Contact name: </w:t>
      </w:r>
      <w:r w:rsidRPr="70DCF742">
        <w:rPr>
          <w:rFonts w:ascii="Times New Roman" w:eastAsia="Times New Roman" w:hAnsi="Times New Roman" w:cs="Times New Roman"/>
        </w:rPr>
        <w:t>David Carroll, Director, Democracy Program</w:t>
      </w:r>
      <w:r>
        <w:br/>
      </w:r>
      <w:r w:rsidRPr="70DCF742">
        <w:rPr>
          <w:rFonts w:ascii="Times New Roman" w:eastAsia="Times New Roman" w:hAnsi="Times New Roman" w:cs="Times New Roman"/>
          <w:b/>
          <w:bCs/>
        </w:rPr>
        <w:t xml:space="preserve">Contact email: </w:t>
      </w:r>
      <w:r w:rsidRPr="70DCF742">
        <w:rPr>
          <w:rFonts w:ascii="Times New Roman" w:eastAsia="Times New Roman" w:hAnsi="Times New Roman" w:cs="Times New Roman"/>
        </w:rPr>
        <w:t>djcarro@emory.edu</w:t>
      </w:r>
      <w:r>
        <w:br/>
      </w:r>
      <w:r w:rsidRPr="70DCF742">
        <w:rPr>
          <w:rFonts w:ascii="Times New Roman" w:eastAsia="Times New Roman" w:hAnsi="Times New Roman" w:cs="Times New Roman"/>
          <w:b/>
          <w:bCs/>
        </w:rPr>
        <w:t>Website:</w:t>
      </w:r>
      <w:r w:rsidRPr="70DCF742">
        <w:rPr>
          <w:rFonts w:ascii="Times New Roman" w:eastAsia="Times New Roman" w:hAnsi="Times New Roman" w:cs="Times New Roman"/>
        </w:rPr>
        <w:t xml:space="preserve"> www.cartercenter.org</w:t>
      </w:r>
    </w:p>
    <w:p w14:paraId="1FEAF812" w14:textId="77777777" w:rsidR="00263E23" w:rsidRDefault="00263E23" w:rsidP="00263E23">
      <w:r>
        <w:br/>
      </w:r>
    </w:p>
    <w:p w14:paraId="4AB441BC" w14:textId="3BAE571C" w:rsidR="00263E23" w:rsidRPr="00263E23" w:rsidRDefault="00263E23" w:rsidP="00263E23">
      <w:r>
        <w:br w:type="page"/>
      </w:r>
      <w:r w:rsidRPr="70DCF742">
        <w:rPr>
          <w:rFonts w:ascii="Times New Roman" w:eastAsia="Times New Roman" w:hAnsi="Times New Roman" w:cs="Times New Roman"/>
          <w:b/>
          <w:bCs/>
          <w:sz w:val="28"/>
          <w:szCs w:val="28"/>
        </w:rPr>
        <w:lastRenderedPageBreak/>
        <w:t>Table of Contents:</w:t>
      </w:r>
      <w:r>
        <w:br/>
      </w:r>
      <w:r>
        <w:br/>
      </w:r>
      <w:r>
        <w:tab/>
      </w:r>
      <w:r w:rsidRPr="70DCF742">
        <w:rPr>
          <w:rFonts w:ascii="Times New Roman" w:eastAsia="Times New Roman" w:hAnsi="Times New Roman" w:cs="Times New Roman"/>
          <w:sz w:val="28"/>
          <w:szCs w:val="28"/>
        </w:rPr>
        <w:t>Reporting Organization</w:t>
      </w:r>
      <w:r>
        <w:br/>
      </w:r>
      <w:r>
        <w:tab/>
      </w:r>
      <w:r w:rsidRPr="70DCF742">
        <w:rPr>
          <w:rFonts w:ascii="Times New Roman" w:eastAsia="Times New Roman" w:hAnsi="Times New Roman" w:cs="Times New Roman"/>
          <w:sz w:val="28"/>
          <w:szCs w:val="28"/>
        </w:rPr>
        <w:t>The Carter Center in The Democratic Republic of the Congo</w:t>
      </w:r>
      <w:r>
        <w:br/>
      </w:r>
      <w:r>
        <w:tab/>
      </w:r>
      <w:r w:rsidRPr="70DCF742">
        <w:rPr>
          <w:rFonts w:ascii="Times New Roman" w:eastAsia="Times New Roman" w:hAnsi="Times New Roman" w:cs="Times New Roman"/>
          <w:sz w:val="28"/>
          <w:szCs w:val="28"/>
        </w:rPr>
        <w:t>Issues and Suggested Questions for the Human Rights Committee</w:t>
      </w:r>
      <w:r>
        <w:br/>
      </w:r>
      <w:r>
        <w:tab/>
      </w:r>
      <w:r>
        <w:tab/>
      </w:r>
      <w:r w:rsidRPr="70DCF742">
        <w:rPr>
          <w:rFonts w:ascii="Times New Roman" w:eastAsia="Times New Roman" w:hAnsi="Times New Roman" w:cs="Times New Roman"/>
          <w:sz w:val="28"/>
          <w:szCs w:val="28"/>
        </w:rPr>
        <w:t>Articles 2 &amp; 14</w:t>
      </w:r>
      <w:r>
        <w:br/>
      </w:r>
      <w:r>
        <w:tab/>
      </w:r>
      <w:r>
        <w:tab/>
      </w:r>
      <w:r w:rsidRPr="70DCF742">
        <w:rPr>
          <w:rFonts w:ascii="Times New Roman" w:eastAsia="Times New Roman" w:hAnsi="Times New Roman" w:cs="Times New Roman"/>
          <w:sz w:val="28"/>
          <w:szCs w:val="28"/>
        </w:rPr>
        <w:t>Articles 3 &amp; 27</w:t>
      </w:r>
      <w:r>
        <w:br/>
      </w:r>
      <w:r>
        <w:tab/>
      </w:r>
      <w:r>
        <w:tab/>
      </w:r>
      <w:r w:rsidRPr="70DCF742">
        <w:rPr>
          <w:rFonts w:ascii="Times New Roman" w:eastAsia="Times New Roman" w:hAnsi="Times New Roman" w:cs="Times New Roman"/>
          <w:sz w:val="28"/>
          <w:szCs w:val="28"/>
        </w:rPr>
        <w:t>Articles 6 &amp; 9</w:t>
      </w:r>
      <w:r>
        <w:br/>
      </w:r>
      <w:r>
        <w:tab/>
      </w:r>
      <w:r>
        <w:tab/>
      </w:r>
      <w:r w:rsidRPr="70DCF742">
        <w:rPr>
          <w:rFonts w:ascii="Times New Roman" w:eastAsia="Times New Roman" w:hAnsi="Times New Roman" w:cs="Times New Roman"/>
          <w:sz w:val="28"/>
          <w:szCs w:val="28"/>
        </w:rPr>
        <w:t>Articles 19 &amp; 20</w:t>
      </w:r>
      <w:r>
        <w:br/>
      </w:r>
      <w:r>
        <w:tab/>
      </w:r>
      <w:r>
        <w:tab/>
      </w:r>
      <w:r w:rsidRPr="70DCF742">
        <w:rPr>
          <w:rFonts w:ascii="Times New Roman" w:eastAsia="Times New Roman" w:hAnsi="Times New Roman" w:cs="Times New Roman"/>
          <w:sz w:val="28"/>
          <w:szCs w:val="28"/>
        </w:rPr>
        <w:t>Articles 21 &amp; 22</w:t>
      </w:r>
      <w:r>
        <w:br/>
      </w:r>
      <w:r>
        <w:tab/>
      </w:r>
      <w:r>
        <w:tab/>
      </w:r>
      <w:r w:rsidRPr="70DCF742">
        <w:rPr>
          <w:rFonts w:ascii="Times New Roman" w:eastAsia="Times New Roman" w:hAnsi="Times New Roman" w:cs="Times New Roman"/>
          <w:sz w:val="28"/>
          <w:szCs w:val="28"/>
        </w:rPr>
        <w:t>Article 25</w:t>
      </w:r>
      <w:r>
        <w:br/>
      </w:r>
      <w:r>
        <w:tab/>
      </w:r>
      <w:r>
        <w:br/>
      </w:r>
      <w:r>
        <w:br/>
      </w:r>
      <w:r>
        <w:br/>
      </w:r>
      <w:r>
        <w:br/>
      </w:r>
      <w:r>
        <w:br/>
      </w:r>
    </w:p>
    <w:p w14:paraId="004AAB02" w14:textId="77777777" w:rsidR="00263E23" w:rsidRDefault="00263E23" w:rsidP="00263E23">
      <w:pPr>
        <w:spacing w:after="0" w:line="257" w:lineRule="auto"/>
      </w:pPr>
      <w:r>
        <w:br w:type="page"/>
      </w:r>
    </w:p>
    <w:p w14:paraId="3E589431" w14:textId="1FB78E5C" w:rsidR="002B5417" w:rsidRPr="002B5417" w:rsidRDefault="00263E23" w:rsidP="002B5417">
      <w:pPr>
        <w:pStyle w:val="ListParagraph"/>
        <w:numPr>
          <w:ilvl w:val="0"/>
          <w:numId w:val="9"/>
        </w:numPr>
        <w:spacing w:after="0" w:line="276" w:lineRule="auto"/>
        <w:ind w:left="0" w:firstLine="360"/>
        <w:rPr>
          <w:rFonts w:ascii="Times New Roman" w:eastAsia="Times New Roman" w:hAnsi="Times New Roman" w:cs="Times New Roman"/>
          <w:color w:val="000000" w:themeColor="text1"/>
        </w:rPr>
      </w:pPr>
      <w:r w:rsidRPr="002B5417">
        <w:rPr>
          <w:rFonts w:ascii="Times New Roman" w:eastAsia="Times New Roman" w:hAnsi="Times New Roman" w:cs="Times New Roman"/>
          <w:b/>
          <w:bCs/>
          <w:sz w:val="28"/>
          <w:szCs w:val="28"/>
        </w:rPr>
        <w:lastRenderedPageBreak/>
        <w:t>Reporting</w:t>
      </w:r>
      <w:r w:rsidRPr="002B5417">
        <w:rPr>
          <w:rFonts w:ascii="Times New Roman" w:eastAsia="Times New Roman" w:hAnsi="Times New Roman" w:cs="Times New Roman"/>
          <w:b/>
          <w:bCs/>
          <w:sz w:val="28"/>
          <w:szCs w:val="28"/>
        </w:rPr>
        <w:t xml:space="preserve"> </w:t>
      </w:r>
      <w:r w:rsidRPr="002B5417">
        <w:rPr>
          <w:rFonts w:ascii="Times New Roman" w:eastAsia="Times New Roman" w:hAnsi="Times New Roman" w:cs="Times New Roman"/>
          <w:b/>
          <w:bCs/>
          <w:sz w:val="28"/>
          <w:szCs w:val="28"/>
        </w:rPr>
        <w:t>Organization:</w:t>
      </w:r>
      <w:r>
        <w:br/>
      </w:r>
      <w:r>
        <w:br/>
      </w:r>
      <w:r w:rsidRPr="002B5417">
        <w:rPr>
          <w:rFonts w:ascii="Times New Roman" w:eastAsia="Times New Roman" w:hAnsi="Times New Roman" w:cs="Times New Roman"/>
        </w:rPr>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r>
        <w:br/>
      </w:r>
      <w:r w:rsidRPr="002B5417">
        <w:rPr>
          <w:rFonts w:ascii="Times New Roman" w:eastAsia="Times New Roman" w:hAnsi="Times New Roman" w:cs="Times New Roman"/>
        </w:rPr>
        <w:t>The Carter Center’s Democracy Program works globally to promote democratic elections and governance consistent with human rights. The Center has monitored more than 120 elections in 40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w:t>
      </w:r>
      <w:r>
        <w:br/>
      </w:r>
      <w:r>
        <w:br/>
      </w:r>
      <w:r w:rsidR="002B5417" w:rsidRPr="002B5417">
        <w:rPr>
          <w:rFonts w:ascii="Times New Roman" w:eastAsia="Times New Roman" w:hAnsi="Times New Roman" w:cs="Times New Roman"/>
          <w:b/>
          <w:bCs/>
          <w:sz w:val="28"/>
          <w:szCs w:val="28"/>
        </w:rPr>
        <w:t xml:space="preserve">2.  </w:t>
      </w:r>
      <w:r w:rsidRPr="002B5417">
        <w:rPr>
          <w:rFonts w:ascii="Times New Roman" w:eastAsia="Times New Roman" w:hAnsi="Times New Roman" w:cs="Times New Roman"/>
          <w:b/>
          <w:bCs/>
          <w:sz w:val="28"/>
          <w:szCs w:val="28"/>
        </w:rPr>
        <w:t>The Carter Center in the Democratic Republic of the Congo (DRC)</w:t>
      </w:r>
    </w:p>
    <w:p w14:paraId="4B8F19CF" w14:textId="6FCD9EF8" w:rsidR="00263E23" w:rsidRPr="002B5417" w:rsidRDefault="00263E23" w:rsidP="002B5417">
      <w:pPr>
        <w:pStyle w:val="ListParagraph"/>
        <w:spacing w:after="0" w:line="276" w:lineRule="auto"/>
        <w:ind w:left="0"/>
        <w:rPr>
          <w:rFonts w:ascii="Times New Roman" w:eastAsia="Times New Roman" w:hAnsi="Times New Roman" w:cs="Times New Roman"/>
          <w:color w:val="000000" w:themeColor="text1"/>
        </w:rPr>
      </w:pPr>
      <w:r w:rsidRPr="002B5417">
        <w:rPr>
          <w:rFonts w:ascii="Times New Roman" w:eastAsia="Times New Roman" w:hAnsi="Times New Roman" w:cs="Times New Roman"/>
          <w:color w:val="000000" w:themeColor="text1"/>
        </w:rPr>
        <w:t xml:space="preserve">The Carter Center has engaged in the Democratic Republic of the Congo (DRC) since 2006, when it deployed its first long-term international observation mission following the country’s return to multiparty elections after decades of conflict and authoritarian rule. A second long-term mission followed in 2011, and an expert mission was deployed in 2018. The Carter Center’s 2018 Election Report is available </w:t>
      </w:r>
      <w:hyperlink r:id="rId8">
        <w:r w:rsidRPr="002B5417">
          <w:rPr>
            <w:rStyle w:val="Hyperlink"/>
            <w:rFonts w:ascii="Times New Roman" w:eastAsia="Times New Roman" w:hAnsi="Times New Roman" w:cs="Times New Roman"/>
          </w:rPr>
          <w:t>here</w:t>
        </w:r>
      </w:hyperlink>
      <w:r w:rsidRPr="002B5417">
        <w:rPr>
          <w:rFonts w:ascii="Times New Roman" w:eastAsia="Times New Roman" w:hAnsi="Times New Roman" w:cs="Times New Roman"/>
          <w:color w:val="000000" w:themeColor="text1"/>
        </w:rPr>
        <w:t>.</w:t>
      </w:r>
    </w:p>
    <w:p w14:paraId="4BDDE8E0" w14:textId="77777777" w:rsidR="00263E23" w:rsidRDefault="00263E23" w:rsidP="00263E23">
      <w:pPr>
        <w:spacing w:after="0" w:line="276" w:lineRule="auto"/>
        <w:jc w:val="both"/>
        <w:rPr>
          <w:rFonts w:ascii="Times New Roman" w:eastAsia="Times New Roman" w:hAnsi="Times New Roman" w:cs="Times New Roman"/>
          <w:color w:val="000000" w:themeColor="text1"/>
        </w:rPr>
      </w:pPr>
    </w:p>
    <w:p w14:paraId="1B3BB6F7" w14:textId="77777777" w:rsidR="00263E23" w:rsidRDefault="00263E23" w:rsidP="00263E23">
      <w:pPr>
        <w:spacing w:after="0" w:line="276" w:lineRule="auto"/>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These earlier efforts helped document systemic weaknesses in election administration, transparency, and public confidence, which are challenges that continued to shape the DRC’s political </w:t>
      </w:r>
      <w:r>
        <w:rPr>
          <w:rFonts w:ascii="Times New Roman" w:eastAsia="Times New Roman" w:hAnsi="Times New Roman" w:cs="Times New Roman"/>
          <w:color w:val="000000" w:themeColor="text1"/>
        </w:rPr>
        <w:t xml:space="preserve">and electoral </w:t>
      </w:r>
      <w:r w:rsidRPr="70DCF742">
        <w:rPr>
          <w:rFonts w:ascii="Times New Roman" w:eastAsia="Times New Roman" w:hAnsi="Times New Roman" w:cs="Times New Roman"/>
          <w:color w:val="000000" w:themeColor="text1"/>
        </w:rPr>
        <w:t>landscape heading into the 2023 general elections.</w:t>
      </w:r>
    </w:p>
    <w:p w14:paraId="5CE6D02F" w14:textId="77777777" w:rsidR="00263E23" w:rsidRDefault="00263E23" w:rsidP="00263E23">
      <w:pPr>
        <w:spacing w:after="0" w:line="276" w:lineRule="auto"/>
        <w:jc w:val="both"/>
        <w:rPr>
          <w:rFonts w:ascii="Times New Roman" w:eastAsia="Times New Roman" w:hAnsi="Times New Roman" w:cs="Times New Roman"/>
          <w:color w:val="000000" w:themeColor="text1"/>
        </w:rPr>
      </w:pPr>
    </w:p>
    <w:p w14:paraId="1DCD8C98" w14:textId="77777777" w:rsidR="00263E23" w:rsidRDefault="00263E23" w:rsidP="00263E23">
      <w:pPr>
        <w:spacing w:after="0" w:line="276" w:lineRule="auto"/>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In 2023, The Carter Center was formally invited by the government of the DRC to observe the December 20 elections and launched a full international election observation mission in September of that year. The mission comprised a nine-person core team based in Kinshasa and 24 long-term observers deployed across 11 provinces, all of whom spent several months monitoring pre-election developments, engaging national and local stakeholders, and collecting data. On election day, 43 observers from 22 countries visited 154 polling stations to assess opening, voting, and closing procedures, and a Carter Center team remained in country through April 2024 to follow the post-election environment. </w:t>
      </w:r>
    </w:p>
    <w:p w14:paraId="71975DCF" w14:textId="77777777" w:rsidR="00263E23" w:rsidRDefault="00263E23" w:rsidP="00263E23">
      <w:pPr>
        <w:spacing w:after="0" w:line="276" w:lineRule="auto"/>
        <w:jc w:val="both"/>
        <w:rPr>
          <w:rFonts w:ascii="Times New Roman" w:eastAsia="Times New Roman" w:hAnsi="Times New Roman" w:cs="Times New Roman"/>
          <w:color w:val="000000" w:themeColor="text1"/>
        </w:rPr>
      </w:pPr>
    </w:p>
    <w:p w14:paraId="56F6D00D" w14:textId="77777777" w:rsidR="00263E23" w:rsidRDefault="00263E23" w:rsidP="00263E23">
      <w:pPr>
        <w:spacing w:after="0" w:line="276" w:lineRule="auto"/>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The December 2023 elections represented a pivotal moment for the DRC’s democracy. While the polls were held within the constitutional deadline and included local elections in provincial capitals, they were marked by serious operational challenges, including widespread delays, </w:t>
      </w:r>
      <w:r w:rsidRPr="70DCF742">
        <w:rPr>
          <w:rFonts w:ascii="Times New Roman" w:eastAsia="Times New Roman" w:hAnsi="Times New Roman" w:cs="Times New Roman"/>
          <w:color w:val="000000" w:themeColor="text1"/>
        </w:rPr>
        <w:lastRenderedPageBreak/>
        <w:t xml:space="preserve">temporary closures linked to malfunctioning voting machines, and some polling stations failing to open altogether. These conditions forced the </w:t>
      </w:r>
      <w:r w:rsidRPr="67140D5E">
        <w:rPr>
          <w:rFonts w:ascii="Times New Roman" w:eastAsia="Times New Roman" w:hAnsi="Times New Roman" w:cs="Times New Roman"/>
        </w:rPr>
        <w:t>Independent National Electoral Commission</w:t>
      </w:r>
      <w:r w:rsidRPr="67140D5E">
        <w:rPr>
          <w:rFonts w:ascii="Times New Roman" w:eastAsia="Times New Roman" w:hAnsi="Times New Roman" w:cs="Times New Roman"/>
          <w:color w:val="000000" w:themeColor="text1"/>
        </w:rPr>
        <w:t xml:space="preserve"> </w:t>
      </w:r>
    </w:p>
    <w:p w14:paraId="55985452" w14:textId="77777777" w:rsidR="00263E23" w:rsidRDefault="00263E23" w:rsidP="00263E23">
      <w:pPr>
        <w:spacing w:after="0" w:line="276" w:lineRule="auto"/>
        <w:jc w:val="both"/>
        <w:rPr>
          <w:rFonts w:ascii="Times New Roman" w:eastAsia="Times New Roman" w:hAnsi="Times New Roman" w:cs="Times New Roman"/>
          <w:color w:val="000000" w:themeColor="text1"/>
        </w:rPr>
      </w:pPr>
      <w:r w:rsidRPr="67140D5E">
        <w:rPr>
          <w:rFonts w:ascii="Times New Roman" w:eastAsia="Times New Roman" w:hAnsi="Times New Roman" w:cs="Times New Roman"/>
          <w:color w:val="000000" w:themeColor="text1"/>
        </w:rPr>
        <w:t>(“</w:t>
      </w:r>
      <w:r w:rsidRPr="70DCF742">
        <w:rPr>
          <w:rFonts w:ascii="Times New Roman" w:eastAsia="Times New Roman" w:hAnsi="Times New Roman" w:cs="Times New Roman"/>
          <w:color w:val="000000" w:themeColor="text1"/>
        </w:rPr>
        <w:t>CENI</w:t>
      </w:r>
      <w:r w:rsidRPr="67140D5E">
        <w:rPr>
          <w:rFonts w:ascii="Times New Roman" w:eastAsia="Times New Roman" w:hAnsi="Times New Roman" w:cs="Times New Roman"/>
          <w:color w:val="000000" w:themeColor="text1"/>
        </w:rPr>
        <w:t>” in French)</w:t>
      </w:r>
      <w:r w:rsidRPr="70DCF742">
        <w:rPr>
          <w:rFonts w:ascii="Times New Roman" w:eastAsia="Times New Roman" w:hAnsi="Times New Roman" w:cs="Times New Roman"/>
          <w:color w:val="000000" w:themeColor="text1"/>
        </w:rPr>
        <w:t xml:space="preserve"> to extend voting </w:t>
      </w:r>
      <w:r w:rsidRPr="67140D5E">
        <w:rPr>
          <w:rFonts w:ascii="Times New Roman" w:eastAsia="Times New Roman" w:hAnsi="Times New Roman" w:cs="Times New Roman"/>
          <w:color w:val="000000" w:themeColor="text1"/>
        </w:rPr>
        <w:t xml:space="preserve">to </w:t>
      </w:r>
      <w:r w:rsidRPr="70DCF742">
        <w:rPr>
          <w:rFonts w:ascii="Times New Roman" w:eastAsia="Times New Roman" w:hAnsi="Times New Roman" w:cs="Times New Roman"/>
          <w:color w:val="000000" w:themeColor="text1"/>
        </w:rPr>
        <w:t>December 21</w:t>
      </w:r>
      <w:r w:rsidRPr="67140D5E">
        <w:rPr>
          <w:rFonts w:ascii="Times New Roman" w:eastAsia="Times New Roman" w:hAnsi="Times New Roman" w:cs="Times New Roman"/>
          <w:color w:val="000000" w:themeColor="text1"/>
        </w:rPr>
        <w:t>, 2023.</w:t>
      </w:r>
      <w:r w:rsidRPr="70DCF742">
        <w:rPr>
          <w:rFonts w:ascii="Times New Roman" w:eastAsia="Times New Roman" w:hAnsi="Times New Roman" w:cs="Times New Roman"/>
          <w:color w:val="000000" w:themeColor="text1"/>
        </w:rPr>
        <w:t xml:space="preserve"> Despite these obstacles, citizens’ strong </w:t>
      </w:r>
      <w:r>
        <w:rPr>
          <w:rFonts w:ascii="Times New Roman" w:eastAsia="Times New Roman" w:hAnsi="Times New Roman" w:cs="Times New Roman"/>
          <w:color w:val="000000" w:themeColor="text1"/>
        </w:rPr>
        <w:t>participation</w:t>
      </w:r>
      <w:r w:rsidRPr="70DCF742">
        <w:rPr>
          <w:rFonts w:ascii="Times New Roman" w:eastAsia="Times New Roman" w:hAnsi="Times New Roman" w:cs="Times New Roman"/>
          <w:color w:val="000000" w:themeColor="text1"/>
        </w:rPr>
        <w:t xml:space="preserve"> as voters, party agents, and observers demonstrated a clear commitment to democratic </w:t>
      </w:r>
      <w:r w:rsidRPr="67140D5E">
        <w:rPr>
          <w:rFonts w:ascii="Times New Roman" w:eastAsia="Times New Roman" w:hAnsi="Times New Roman" w:cs="Times New Roman"/>
          <w:color w:val="000000" w:themeColor="text1"/>
        </w:rPr>
        <w:t>elections.</w:t>
      </w:r>
      <w:r w:rsidRPr="70DCF742">
        <w:rPr>
          <w:rFonts w:ascii="Times New Roman" w:eastAsia="Times New Roman" w:hAnsi="Times New Roman" w:cs="Times New Roman"/>
          <w:color w:val="000000" w:themeColor="text1"/>
        </w:rPr>
        <w:t xml:space="preserve"> Yet public confidence </w:t>
      </w:r>
      <w:r w:rsidRPr="67140D5E">
        <w:rPr>
          <w:rFonts w:ascii="Times New Roman" w:eastAsia="Times New Roman" w:hAnsi="Times New Roman" w:cs="Times New Roman"/>
          <w:color w:val="000000" w:themeColor="text1"/>
        </w:rPr>
        <w:t xml:space="preserve">in the electoral process </w:t>
      </w:r>
      <w:r w:rsidRPr="70DCF742">
        <w:rPr>
          <w:rFonts w:ascii="Times New Roman" w:eastAsia="Times New Roman" w:hAnsi="Times New Roman" w:cs="Times New Roman"/>
          <w:color w:val="000000" w:themeColor="text1"/>
        </w:rPr>
        <w:t>remained low due to the legacy of past elections, concerns over voter registration and transparency, and the prevalence of illegible voter ID cards. The CENI made notable efforts to deploy materials and consult stakeholders, but its operations were constrained by tight timelines and limited capacity. In this context, The Carter Center’s sustained presence and reporting provided critical independent assessment and support for strengthening electoral integrity as the country moves toward future electoral cycles.</w:t>
      </w:r>
      <w:r>
        <w:rPr>
          <w:rFonts w:ascii="Times New Roman" w:eastAsia="Times New Roman" w:hAnsi="Times New Roman" w:cs="Times New Roman"/>
          <w:color w:val="000000" w:themeColor="text1"/>
        </w:rPr>
        <w:t xml:space="preserve"> The Carter Center’s election report for the 2023 election is available </w:t>
      </w:r>
      <w:hyperlink r:id="rId9">
        <w:r w:rsidRPr="67140D5E">
          <w:rPr>
            <w:rStyle w:val="Hyperlink"/>
            <w:rFonts w:ascii="Times New Roman" w:eastAsia="Times New Roman" w:hAnsi="Times New Roman" w:cs="Times New Roman"/>
          </w:rPr>
          <w:t>here</w:t>
        </w:r>
      </w:hyperlink>
      <w:r w:rsidRPr="67140D5E">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p>
    <w:p w14:paraId="4FE7A036" w14:textId="77777777" w:rsidR="00263E23" w:rsidRDefault="00263E23" w:rsidP="00263E23">
      <w:pPr>
        <w:spacing w:line="257" w:lineRule="auto"/>
        <w:jc w:val="both"/>
      </w:pPr>
    </w:p>
    <w:p w14:paraId="2A5D141C" w14:textId="06C6FD1D" w:rsidR="00263E23" w:rsidRPr="002B5417" w:rsidRDefault="00263E23" w:rsidP="002B5417">
      <w:pPr>
        <w:pStyle w:val="ListParagraph"/>
        <w:numPr>
          <w:ilvl w:val="0"/>
          <w:numId w:val="9"/>
        </w:numPr>
        <w:spacing w:after="0"/>
        <w:ind w:left="450"/>
        <w:jc w:val="both"/>
        <w:rPr>
          <w:rFonts w:ascii="Times New Roman" w:eastAsia="Times New Roman" w:hAnsi="Times New Roman" w:cs="Times New Roman"/>
          <w:b/>
          <w:bCs/>
          <w:color w:val="000000" w:themeColor="text1"/>
          <w:sz w:val="28"/>
          <w:szCs w:val="28"/>
        </w:rPr>
      </w:pPr>
      <w:r w:rsidRPr="002B5417">
        <w:rPr>
          <w:rFonts w:ascii="Times New Roman" w:eastAsia="Times New Roman" w:hAnsi="Times New Roman" w:cs="Times New Roman"/>
          <w:b/>
          <w:bCs/>
          <w:color w:val="000000" w:themeColor="text1"/>
          <w:sz w:val="28"/>
          <w:szCs w:val="28"/>
        </w:rPr>
        <w:t>Issues and Suggested Questions for the Human Rights Committee</w:t>
      </w:r>
    </w:p>
    <w:p w14:paraId="18212BD6" w14:textId="77777777" w:rsidR="002B5417" w:rsidRPr="002B5417" w:rsidRDefault="002B5417" w:rsidP="002B5417">
      <w:pPr>
        <w:spacing w:after="0"/>
        <w:jc w:val="both"/>
        <w:rPr>
          <w:rFonts w:ascii="Times New Roman" w:eastAsia="Times New Roman" w:hAnsi="Times New Roman" w:cs="Times New Roman"/>
          <w:b/>
          <w:bCs/>
          <w:color w:val="000000" w:themeColor="text1"/>
          <w:sz w:val="28"/>
          <w:szCs w:val="28"/>
        </w:rPr>
      </w:pPr>
    </w:p>
    <w:p w14:paraId="4FD945AC" w14:textId="77777777" w:rsidR="00263E23" w:rsidRDefault="00263E23" w:rsidP="00263E23">
      <w:pPr>
        <w:spacing w:after="8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This submission </w:t>
      </w:r>
      <w:r>
        <w:rPr>
          <w:rFonts w:ascii="Times New Roman" w:eastAsia="Times New Roman" w:hAnsi="Times New Roman" w:cs="Times New Roman"/>
          <w:color w:val="000000" w:themeColor="text1"/>
        </w:rPr>
        <w:t>is based</w:t>
      </w:r>
      <w:r w:rsidRPr="70DCF742">
        <w:rPr>
          <w:rFonts w:ascii="Times New Roman" w:eastAsia="Times New Roman" w:hAnsi="Times New Roman" w:cs="Times New Roman"/>
          <w:color w:val="000000" w:themeColor="text1"/>
        </w:rPr>
        <w:t xml:space="preserve"> on the data collected by The Carter Center’s 2018 expert election observation mission to the Democratic Republic of the Congo and its international election observation mission for the general elections</w:t>
      </w:r>
      <w:r>
        <w:rPr>
          <w:rFonts w:ascii="Times New Roman" w:eastAsia="Times New Roman" w:hAnsi="Times New Roman" w:cs="Times New Roman"/>
          <w:color w:val="000000" w:themeColor="text1"/>
        </w:rPr>
        <w:t xml:space="preserve"> in 2023</w:t>
      </w:r>
      <w:r w:rsidRPr="70DCF742">
        <w:rPr>
          <w:rFonts w:ascii="Times New Roman" w:eastAsia="Times New Roman" w:hAnsi="Times New Roman" w:cs="Times New Roman"/>
          <w:color w:val="000000" w:themeColor="text1"/>
        </w:rPr>
        <w:t xml:space="preserve">. It addresses gaps in the legal and institutional framework for elections in the DRC, as well as observed issues in the implementation of electoral processes during the 2018 and 2023 electoral cycles. This submission offers questions that the Committee may consider asking of the State Party to ensure that all stages of the electoral process are implemented </w:t>
      </w:r>
      <w:r w:rsidRPr="67140D5E">
        <w:rPr>
          <w:rFonts w:ascii="Times New Roman" w:eastAsia="Times New Roman" w:hAnsi="Times New Roman" w:cs="Times New Roman"/>
          <w:color w:val="000000" w:themeColor="text1"/>
        </w:rPr>
        <w:t>to</w:t>
      </w:r>
      <w:r>
        <w:rPr>
          <w:rFonts w:ascii="Times New Roman" w:eastAsia="Times New Roman" w:hAnsi="Times New Roman" w:cs="Times New Roman"/>
          <w:color w:val="000000" w:themeColor="text1"/>
        </w:rPr>
        <w:t xml:space="preserve"> fulfill</w:t>
      </w:r>
      <w:r w:rsidRPr="70DCF742">
        <w:rPr>
          <w:rFonts w:ascii="Times New Roman" w:eastAsia="Times New Roman" w:hAnsi="Times New Roman" w:cs="Times New Roman"/>
          <w:color w:val="000000" w:themeColor="text1"/>
        </w:rPr>
        <w:t xml:space="preserve"> DRC’s obligations under the ICCPR in the future.</w:t>
      </w:r>
      <w:r>
        <w:br/>
      </w:r>
    </w:p>
    <w:p w14:paraId="5D52A69B" w14:textId="1235B576" w:rsidR="00263E23" w:rsidRPr="002B5417" w:rsidRDefault="00263E23" w:rsidP="002B5417">
      <w:pPr>
        <w:pStyle w:val="ListParagraph"/>
        <w:numPr>
          <w:ilvl w:val="1"/>
          <w:numId w:val="9"/>
        </w:numPr>
        <w:spacing w:after="200"/>
        <w:ind w:left="630" w:hanging="54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Articles 2 and 14: Right to an Effective Remedy and</w:t>
      </w:r>
      <w:r w:rsidRPr="002B5417" w:rsidDel="00FC03F2">
        <w:rPr>
          <w:rFonts w:ascii="Times New Roman" w:eastAsia="Times New Roman" w:hAnsi="Times New Roman" w:cs="Times New Roman"/>
          <w:b/>
          <w:bCs/>
          <w:color w:val="000000" w:themeColor="text1"/>
          <w:sz w:val="26"/>
          <w:szCs w:val="26"/>
        </w:rPr>
        <w:t xml:space="preserve"> </w:t>
      </w:r>
      <w:r w:rsidRPr="002B5417">
        <w:rPr>
          <w:rFonts w:ascii="Times New Roman" w:eastAsia="Times New Roman" w:hAnsi="Times New Roman" w:cs="Times New Roman"/>
          <w:b/>
          <w:bCs/>
          <w:color w:val="000000" w:themeColor="text1"/>
          <w:sz w:val="26"/>
          <w:szCs w:val="26"/>
        </w:rPr>
        <w:t>Right to a Fair and Public Hearing</w:t>
      </w:r>
    </w:p>
    <w:p w14:paraId="46CE8151" w14:textId="6EF66066" w:rsidR="00263E23" w:rsidRPr="005F6A35" w:rsidRDefault="00263E23" w:rsidP="00263E23">
      <w:r w:rsidRPr="70DCF742">
        <w:rPr>
          <w:rFonts w:ascii="Times New Roman" w:eastAsia="Times New Roman" w:hAnsi="Times New Roman" w:cs="Times New Roman"/>
        </w:rPr>
        <w:t xml:space="preserve">Article 2(3) ICCPR requires the DRC to ensure an effective remedy for violations of Covenant rights. Article 14(1) guarantees equal access to courts and a fair and public hearing by a competent, independent and impartial tribunal. The Carter Center’s 2018 expert mission and 2023 election observation mission point to persistent shortcomings in the electoral dispute resolution system, affecting both the effectiveness of remedies and the independence, transparency and </w:t>
      </w:r>
      <w:r w:rsidRPr="67140D5E">
        <w:rPr>
          <w:rFonts w:ascii="Times New Roman" w:eastAsia="Times New Roman" w:hAnsi="Times New Roman" w:cs="Times New Roman"/>
        </w:rPr>
        <w:t>effectiveness</w:t>
      </w:r>
      <w:r w:rsidRPr="70DCF742">
        <w:rPr>
          <w:rFonts w:ascii="Times New Roman" w:eastAsia="Times New Roman" w:hAnsi="Times New Roman" w:cs="Times New Roman"/>
        </w:rPr>
        <w:t xml:space="preserve"> of proceedings.</w:t>
      </w:r>
      <w:r>
        <w:br/>
      </w:r>
      <w:r>
        <w:br/>
      </w:r>
      <w:r w:rsidRPr="70DCF742">
        <w:rPr>
          <w:rFonts w:ascii="Times New Roman" w:eastAsia="Times New Roman" w:hAnsi="Times New Roman" w:cs="Times New Roman"/>
          <w:b/>
          <w:bCs/>
          <w:i/>
          <w:iCs/>
        </w:rPr>
        <w:t>Extremely short deadlines and over-formalistic procedures:</w:t>
      </w:r>
      <w:r>
        <w:br/>
      </w:r>
      <w:r>
        <w:rPr>
          <w:rFonts w:ascii="Times New Roman" w:eastAsia="Times New Roman" w:hAnsi="Times New Roman" w:cs="Times New Roman"/>
        </w:rPr>
        <w:t xml:space="preserve">The legal framework for the </w:t>
      </w:r>
      <w:r w:rsidRPr="70DCF742">
        <w:rPr>
          <w:rFonts w:ascii="Times New Roman" w:eastAsia="Times New Roman" w:hAnsi="Times New Roman" w:cs="Times New Roman"/>
        </w:rPr>
        <w:t>2018 and 2023</w:t>
      </w:r>
      <w:r>
        <w:rPr>
          <w:rFonts w:ascii="Times New Roman" w:eastAsia="Times New Roman" w:hAnsi="Times New Roman" w:cs="Times New Roman"/>
        </w:rPr>
        <w:t xml:space="preserve"> elections</w:t>
      </w:r>
      <w:r w:rsidRPr="67140D5E">
        <w:rPr>
          <w:rFonts w:ascii="Times New Roman" w:eastAsia="Times New Roman" w:hAnsi="Times New Roman" w:cs="Times New Roman"/>
        </w:rPr>
        <w:t xml:space="preserve"> provided</w:t>
      </w:r>
      <w:r w:rsidRPr="70DCF742">
        <w:rPr>
          <w:rFonts w:ascii="Times New Roman" w:eastAsia="Times New Roman" w:hAnsi="Times New Roman" w:cs="Times New Roman"/>
        </w:rPr>
        <w:t xml:space="preserve"> two days to challenge presidential results and eight days for other elections</w:t>
      </w:r>
      <w:r w:rsidR="002B5417">
        <w:rPr>
          <w:rFonts w:ascii="Times New Roman" w:eastAsia="Times New Roman" w:hAnsi="Times New Roman" w:cs="Times New Roman"/>
        </w:rPr>
        <w:t>.</w:t>
      </w:r>
      <w:r w:rsidRPr="70DCF742">
        <w:rPr>
          <w:rFonts w:ascii="Times New Roman" w:eastAsia="Times New Roman" w:hAnsi="Times New Roman" w:cs="Times New Roman"/>
        </w:rPr>
        <w:t xml:space="preserve"> </w:t>
      </w:r>
      <w:r w:rsidR="002B5417">
        <w:rPr>
          <w:rFonts w:ascii="Times New Roman" w:eastAsia="Times New Roman" w:hAnsi="Times New Roman" w:cs="Times New Roman"/>
        </w:rPr>
        <w:t>T</w:t>
      </w:r>
      <w:r w:rsidRPr="70DCF742">
        <w:rPr>
          <w:rFonts w:ascii="Times New Roman" w:eastAsia="Times New Roman" w:hAnsi="Times New Roman" w:cs="Times New Roman"/>
        </w:rPr>
        <w:t xml:space="preserve">he Constitutional Court then had seven days to decide presidential challenges and two months for other cases. Petitions must comply with strict formal rules and include supporting evidence; parties have three days to respond, and the public prosecutor must give an opinion within 48 hours. </w:t>
      </w:r>
      <w:r>
        <w:rPr>
          <w:rFonts w:ascii="Times New Roman" w:eastAsia="Times New Roman" w:hAnsi="Times New Roman" w:cs="Times New Roman"/>
        </w:rPr>
        <w:t>The Carter Center</w:t>
      </w:r>
      <w:r w:rsidRPr="70DCF742">
        <w:rPr>
          <w:rFonts w:ascii="Times New Roman" w:eastAsia="Times New Roman" w:hAnsi="Times New Roman" w:cs="Times New Roman"/>
        </w:rPr>
        <w:t xml:space="preserve"> f</w:t>
      </w:r>
      <w:r>
        <w:rPr>
          <w:rFonts w:ascii="Times New Roman" w:eastAsia="Times New Roman" w:hAnsi="Times New Roman" w:cs="Times New Roman"/>
        </w:rPr>
        <w:t>ound</w:t>
      </w:r>
      <w:r w:rsidRPr="70DCF742">
        <w:rPr>
          <w:rFonts w:ascii="Times New Roman" w:eastAsia="Times New Roman" w:hAnsi="Times New Roman" w:cs="Times New Roman"/>
        </w:rPr>
        <w:t xml:space="preserve"> that, in a country of the DRC’s </w:t>
      </w:r>
      <w:r>
        <w:rPr>
          <w:rFonts w:ascii="Times New Roman" w:eastAsia="Times New Roman" w:hAnsi="Times New Roman" w:cs="Times New Roman"/>
        </w:rPr>
        <w:t xml:space="preserve">geographical </w:t>
      </w:r>
      <w:r w:rsidRPr="70DCF742">
        <w:rPr>
          <w:rFonts w:ascii="Times New Roman" w:eastAsia="Times New Roman" w:hAnsi="Times New Roman" w:cs="Times New Roman"/>
        </w:rPr>
        <w:t xml:space="preserve">size and with limited communications infrastructure, these </w:t>
      </w:r>
      <w:r>
        <w:rPr>
          <w:rFonts w:ascii="Times New Roman" w:eastAsia="Times New Roman" w:hAnsi="Times New Roman" w:cs="Times New Roman"/>
        </w:rPr>
        <w:t>time</w:t>
      </w:r>
      <w:r w:rsidRPr="70DCF742">
        <w:rPr>
          <w:rFonts w:ascii="Times New Roman" w:eastAsia="Times New Roman" w:hAnsi="Times New Roman" w:cs="Times New Roman"/>
        </w:rPr>
        <w:t>lines</w:t>
      </w:r>
      <w:r w:rsidRPr="70DCF742" w:rsidDel="00A570D6">
        <w:rPr>
          <w:rFonts w:ascii="Times New Roman" w:eastAsia="Times New Roman" w:hAnsi="Times New Roman" w:cs="Times New Roman"/>
        </w:rPr>
        <w:t xml:space="preserve"> </w:t>
      </w:r>
      <w:r>
        <w:rPr>
          <w:rFonts w:ascii="Times New Roman" w:eastAsia="Times New Roman" w:hAnsi="Times New Roman" w:cs="Times New Roman"/>
        </w:rPr>
        <w:lastRenderedPageBreak/>
        <w:t>were</w:t>
      </w:r>
      <w:r w:rsidRPr="70DCF742">
        <w:rPr>
          <w:rFonts w:ascii="Times New Roman" w:eastAsia="Times New Roman" w:hAnsi="Times New Roman" w:cs="Times New Roman"/>
        </w:rPr>
        <w:t xml:space="preserve"> too short </w:t>
      </w:r>
      <w:r>
        <w:rPr>
          <w:rFonts w:ascii="Times New Roman" w:eastAsia="Times New Roman" w:hAnsi="Times New Roman" w:cs="Times New Roman"/>
        </w:rPr>
        <w:t>for candidates to gather evidence, present petitions and for the courts to effectively review petitions. The Carter Center recommends</w:t>
      </w:r>
      <w:r w:rsidRPr="70DCF742">
        <w:rPr>
          <w:rFonts w:ascii="Times New Roman" w:eastAsia="Times New Roman" w:hAnsi="Times New Roman" w:cs="Times New Roman"/>
        </w:rPr>
        <w:t xml:space="preserve"> extending the time limit for lodging appeals against presidential results from 48 hours to five days to facilitate appeals without undermining the need for </w:t>
      </w:r>
      <w:r>
        <w:rPr>
          <w:rFonts w:ascii="Times New Roman" w:eastAsia="Times New Roman" w:hAnsi="Times New Roman" w:cs="Times New Roman"/>
        </w:rPr>
        <w:t>timely</w:t>
      </w:r>
      <w:r w:rsidRPr="70DCF742">
        <w:rPr>
          <w:rFonts w:ascii="Times New Roman" w:eastAsia="Times New Roman" w:hAnsi="Times New Roman" w:cs="Times New Roman"/>
        </w:rPr>
        <w:t xml:space="preserve"> finalization of election results.</w:t>
      </w:r>
    </w:p>
    <w:p w14:paraId="7B43E7AC" w14:textId="7CDD0A4F" w:rsidR="00263E23" w:rsidRDefault="00263E23" w:rsidP="00263E23">
      <w:pPr>
        <w:spacing w:after="0"/>
        <w:rPr>
          <w:rFonts w:ascii="Times New Roman" w:eastAsia="Times New Roman" w:hAnsi="Times New Roman" w:cs="Times New Roman"/>
          <w:color w:val="000000" w:themeColor="text1"/>
          <w:sz w:val="22"/>
          <w:szCs w:val="22"/>
        </w:rPr>
      </w:pPr>
      <w:r w:rsidRPr="70DCF742">
        <w:rPr>
          <w:rFonts w:ascii="Times New Roman" w:eastAsia="Times New Roman" w:hAnsi="Times New Roman" w:cs="Times New Roman"/>
          <w:b/>
          <w:bCs/>
          <w:i/>
          <w:iCs/>
          <w:color w:val="000000" w:themeColor="text1"/>
        </w:rPr>
        <w:t xml:space="preserve">Independence and Impartiality of Courts Hearing Electoral Disputes: </w:t>
      </w:r>
      <w:r>
        <w:br/>
      </w:r>
      <w:r w:rsidRPr="70DCF742">
        <w:rPr>
          <w:rFonts w:ascii="Times New Roman" w:eastAsia="Times New Roman" w:hAnsi="Times New Roman" w:cs="Times New Roman"/>
          <w:color w:val="000000" w:themeColor="text1"/>
        </w:rPr>
        <w:t>The 2018 mission reported concerns that all nine Constitutional Court judges were perceived</w:t>
      </w:r>
      <w:r w:rsidRPr="67140D5E">
        <w:rPr>
          <w:rFonts w:ascii="Times New Roman" w:eastAsia="Times New Roman" w:hAnsi="Times New Roman" w:cs="Times New Roman"/>
          <w:color w:val="000000" w:themeColor="text1"/>
        </w:rPr>
        <w:t xml:space="preserve"> by the public</w:t>
      </w:r>
      <w:r w:rsidRPr="70DCF742">
        <w:rPr>
          <w:rFonts w:ascii="Times New Roman" w:eastAsia="Times New Roman" w:hAnsi="Times New Roman" w:cs="Times New Roman"/>
          <w:color w:val="000000" w:themeColor="text1"/>
        </w:rPr>
        <w:t xml:space="preserve"> as close to the then-incumbent president, undermining confidence in the court’s independence when adjudicating presidential results. In the 2023 elections, the Carter Center documented a new wave of litigation seeking “rectification of material errors” after initial appeals of legislative results. A total of 134 appeals were lodged by invalidated representatives and other candidates whose first appeals had been rejected. On April 22, 2024, the Constitutional Court upheld 19 of these appeals, reinstating 19 national deputies and confirming 29 candidates previously declared elected. However, the Court did not publish its full decisions on the initial appeals or explain the “errors” it was correcting. It</w:t>
      </w:r>
      <w:r w:rsidRPr="70DCF742" w:rsidDel="00DA7E5A">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merely noted that some candidates initially declared elected were replaced by other candidates at the end of the rectification process. The Carter Center concludes that this practice is not in line with international standards and not likely to instill confidence in the election appeals process that the Constitutional Court is required to conduct transparently and impartially.</w:t>
      </w:r>
      <w:r>
        <w:br/>
      </w:r>
    </w:p>
    <w:p w14:paraId="771BBD39" w14:textId="77777777" w:rsidR="00263E23" w:rsidRDefault="00263E23" w:rsidP="00263E23">
      <w:pPr>
        <w:spacing w:after="0"/>
        <w:jc w:val="both"/>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color w:val="000000" w:themeColor="text1"/>
        </w:rPr>
        <w:t>Questions for Consideration</w:t>
      </w:r>
    </w:p>
    <w:p w14:paraId="7E372AC4" w14:textId="77777777" w:rsidR="00263E23" w:rsidRDefault="00263E23" w:rsidP="00263E23">
      <w:pPr>
        <w:pStyle w:val="ListParagraph"/>
        <w:numPr>
          <w:ilvl w:val="0"/>
          <w:numId w:val="6"/>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specific legislative reforms will the DRC undertake to adjust deadlines for challenging provisional results so that complainants have a realistic opportunity to gather evidence and present their case?</w:t>
      </w:r>
    </w:p>
    <w:p w14:paraId="2570932C" w14:textId="77777777" w:rsidR="00263E23" w:rsidRDefault="00263E23" w:rsidP="00263E23">
      <w:pPr>
        <w:pStyle w:val="ListParagraph"/>
        <w:numPr>
          <w:ilvl w:val="0"/>
          <w:numId w:val="6"/>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measures will the State party take to ensure that the Constitutional Court and other courts hearing electoral disputes are, and are perceived to be, independent and impartial, including with respect to appointment procedures, security of tenure, and protection from executive and partisan influence</w:t>
      </w:r>
      <w:r>
        <w:rPr>
          <w:rFonts w:ascii="Times New Roman" w:eastAsia="Times New Roman" w:hAnsi="Times New Roman" w:cs="Times New Roman"/>
          <w:color w:val="000000" w:themeColor="text1"/>
        </w:rPr>
        <w:t>?</w:t>
      </w:r>
    </w:p>
    <w:p w14:paraId="72650362" w14:textId="697C7C2F" w:rsidR="00263E23" w:rsidRPr="002B5417" w:rsidRDefault="00263E23" w:rsidP="00263E23">
      <w:pPr>
        <w:pStyle w:val="ListParagraph"/>
        <w:numPr>
          <w:ilvl w:val="0"/>
          <w:numId w:val="6"/>
        </w:numPr>
        <w:spacing w:before="220" w:after="220"/>
        <w:rPr>
          <w:rFonts w:ascii="Times New Roman" w:eastAsia="Times New Roman" w:hAnsi="Times New Roman" w:cs="Times New Roman"/>
          <w:color w:val="000000" w:themeColor="text1"/>
          <w:sz w:val="22"/>
          <w:szCs w:val="22"/>
        </w:rPr>
      </w:pPr>
      <w:r w:rsidRPr="70DCF742">
        <w:rPr>
          <w:rFonts w:ascii="Times New Roman" w:eastAsia="Times New Roman" w:hAnsi="Times New Roman" w:cs="Times New Roman"/>
          <w:color w:val="000000" w:themeColor="text1"/>
        </w:rPr>
        <w:t>What steps will the DRC take to ensure that courts provide prompt and effective remedies for violations of campaign, assembly, and movement rights during elections, including situations where local authorities impose unlawful restrictions such as blanket bans on campaign activities?</w:t>
      </w:r>
    </w:p>
    <w:p w14:paraId="4725086F" w14:textId="77777777" w:rsidR="002B5417" w:rsidRPr="00263E23" w:rsidRDefault="002B5417" w:rsidP="002B5417">
      <w:pPr>
        <w:pStyle w:val="ListParagraph"/>
        <w:spacing w:before="220" w:after="220"/>
        <w:rPr>
          <w:rFonts w:ascii="Times New Roman" w:eastAsia="Times New Roman" w:hAnsi="Times New Roman" w:cs="Times New Roman"/>
          <w:color w:val="000000" w:themeColor="text1"/>
          <w:sz w:val="22"/>
          <w:szCs w:val="22"/>
        </w:rPr>
      </w:pPr>
    </w:p>
    <w:p w14:paraId="7EC5582C" w14:textId="0B19402B" w:rsidR="00263E23" w:rsidRPr="002B5417" w:rsidRDefault="00263E23" w:rsidP="002B5417">
      <w:pPr>
        <w:pStyle w:val="ListParagraph"/>
        <w:numPr>
          <w:ilvl w:val="1"/>
          <w:numId w:val="9"/>
        </w:numPr>
        <w:spacing w:after="80"/>
        <w:ind w:left="720" w:hanging="54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Articles 3 and 27: Equal Rights of Women and Men and Rights of Minorities</w:t>
      </w:r>
    </w:p>
    <w:p w14:paraId="73D485FE"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Article 3 requires equal enjoyment of civil and political rights by women and men. Article 27 protects minorities’ rights to participate in public life and in decisions affecting them. The Carter Center’s findings show under-representation and discrimination affecting women and minority or marginalized groups.</w:t>
      </w:r>
    </w:p>
    <w:p w14:paraId="2497D161" w14:textId="490F0555" w:rsidR="00263E23" w:rsidRPr="00263E23" w:rsidRDefault="00263E23" w:rsidP="00263E23">
      <w:pPr>
        <w:spacing w:before="240" w:after="240"/>
        <w:rPr>
          <w:rFonts w:ascii="Times New Roman" w:eastAsia="Times New Roman" w:hAnsi="Times New Roman" w:cs="Times New Roman"/>
        </w:rPr>
      </w:pPr>
      <w:r w:rsidRPr="70DCF742">
        <w:rPr>
          <w:rFonts w:ascii="Times New Roman" w:eastAsia="Times New Roman" w:hAnsi="Times New Roman" w:cs="Times New Roman"/>
          <w:b/>
          <w:bCs/>
          <w:i/>
          <w:iCs/>
          <w:color w:val="000000" w:themeColor="text1"/>
        </w:rPr>
        <w:lastRenderedPageBreak/>
        <w:t xml:space="preserve">Persistent under-representation of women: </w:t>
      </w:r>
      <w:r>
        <w:br/>
      </w:r>
      <w:r w:rsidRPr="70DCF742">
        <w:rPr>
          <w:rFonts w:ascii="Times New Roman" w:eastAsia="Times New Roman" w:hAnsi="Times New Roman" w:cs="Times New Roman"/>
          <w:color w:val="000000" w:themeColor="text1"/>
        </w:rPr>
        <w:t xml:space="preserve">In the 2018 elections, only one woman </w:t>
      </w:r>
      <w:r w:rsidRPr="67140D5E">
        <w:rPr>
          <w:rFonts w:ascii="Times New Roman" w:eastAsia="Times New Roman" w:hAnsi="Times New Roman" w:cs="Times New Roman"/>
          <w:color w:val="000000" w:themeColor="text1"/>
        </w:rPr>
        <w:t xml:space="preserve">out of 21 candidates </w:t>
      </w:r>
      <w:r w:rsidR="00C06C9B">
        <w:rPr>
          <w:rFonts w:ascii="Times New Roman" w:eastAsia="Times New Roman" w:hAnsi="Times New Roman" w:cs="Times New Roman"/>
          <w:color w:val="000000" w:themeColor="text1"/>
        </w:rPr>
        <w:t>contested</w:t>
      </w:r>
      <w:r w:rsidRPr="70DCF742">
        <w:rPr>
          <w:rFonts w:ascii="Times New Roman" w:eastAsia="Times New Roman" w:hAnsi="Times New Roman" w:cs="Times New Roman"/>
          <w:color w:val="000000" w:themeColor="text1"/>
        </w:rPr>
        <w:t xml:space="preserve"> for president and around 10% of </w:t>
      </w:r>
      <w:r w:rsidRPr="67140D5E">
        <w:rPr>
          <w:rFonts w:ascii="Times New Roman" w:eastAsia="Times New Roman" w:hAnsi="Times New Roman" w:cs="Times New Roman"/>
          <w:color w:val="000000" w:themeColor="text1"/>
        </w:rPr>
        <w:t xml:space="preserve">National Assembly </w:t>
      </w:r>
      <w:r w:rsidRPr="70DCF742">
        <w:rPr>
          <w:rFonts w:ascii="Times New Roman" w:eastAsia="Times New Roman" w:hAnsi="Times New Roman" w:cs="Times New Roman"/>
          <w:color w:val="000000" w:themeColor="text1"/>
        </w:rPr>
        <w:t>seats were held by women. The 2023 elections showed similar patterns, only 2 of 26 presidential candidates were women; women were 17% of National Assembly candidates and 25.4% of provincial candidates. They ultimately held</w:t>
      </w:r>
      <w:r w:rsidRPr="70DCF742" w:rsidDel="004275FB">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13.83% of National Assembly seats and 10.4% of provincial seats, with some provinces electing no women at all. Despite constitutional parity provisions and financial incentives, the 2023 report notes that these measures were weak, often non-binding, and poorly implemented.</w:t>
      </w:r>
      <w:r w:rsidRPr="67140D5E">
        <w:rPr>
          <w:rFonts w:ascii="Times New Roman" w:eastAsia="Times New Roman" w:hAnsi="Times New Roman" w:cs="Times New Roman"/>
          <w:color w:val="000000" w:themeColor="text1"/>
        </w:rPr>
        <w:t xml:space="preserve"> Article 13, passed in 2022, provides </w:t>
      </w:r>
      <w:r w:rsidRPr="005F6A35">
        <w:rPr>
          <w:rFonts w:ascii="Times New Roman" w:eastAsia="Times New Roman" w:hAnsi="Times New Roman" w:cs="Times New Roman"/>
        </w:rPr>
        <w:t>voluntary, incentive-based measures</w:t>
      </w:r>
      <w:r w:rsidRPr="67140D5E">
        <w:rPr>
          <w:rFonts w:ascii="Times New Roman" w:eastAsia="Times New Roman" w:hAnsi="Times New Roman" w:cs="Times New Roman"/>
        </w:rPr>
        <w:t xml:space="preserve"> designed to promote gender parity in political candidate lists. </w:t>
      </w:r>
    </w:p>
    <w:p w14:paraId="6F483AB8" w14:textId="2F596231" w:rsidR="00263E23" w:rsidRDefault="00263E23" w:rsidP="00263E23">
      <w:pPr>
        <w:spacing w:before="240" w:after="24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Structural barriers and stereotypes:</w:t>
      </w:r>
      <w:r w:rsidRPr="70DCF742">
        <w:rPr>
          <w:rFonts w:ascii="Times New Roman" w:eastAsia="Times New Roman" w:hAnsi="Times New Roman" w:cs="Times New Roman"/>
          <w:i/>
          <w:iCs/>
          <w:color w:val="000000" w:themeColor="text1"/>
        </w:rPr>
        <w:t xml:space="preserve"> </w:t>
      </w:r>
      <w:r>
        <w:br/>
      </w:r>
      <w:r w:rsidRPr="70DCF742">
        <w:rPr>
          <w:rFonts w:ascii="Times New Roman" w:eastAsia="Times New Roman" w:hAnsi="Times New Roman" w:cs="Times New Roman"/>
          <w:color w:val="000000" w:themeColor="text1"/>
        </w:rPr>
        <w:t xml:space="preserve">The Carter Center’s 2018 Expert Mission Report documents that a fourfold increase in non-refundable candidate registration fees, coupled with a shift from list-based to per-candidate fees, created a heavy financial burden that severely impacted the right to </w:t>
      </w:r>
      <w:r>
        <w:rPr>
          <w:rFonts w:ascii="Times New Roman" w:eastAsia="Times New Roman" w:hAnsi="Times New Roman" w:cs="Times New Roman"/>
          <w:color w:val="000000" w:themeColor="text1"/>
        </w:rPr>
        <w:t>run for elections</w:t>
      </w:r>
      <w:r w:rsidRPr="70DCF742">
        <w:rPr>
          <w:rFonts w:ascii="Times New Roman" w:eastAsia="Times New Roman" w:hAnsi="Times New Roman" w:cs="Times New Roman"/>
          <w:color w:val="000000" w:themeColor="text1"/>
        </w:rPr>
        <w:t xml:space="preserve"> for </w:t>
      </w:r>
      <w:r>
        <w:rPr>
          <w:rFonts w:ascii="Times New Roman" w:eastAsia="Times New Roman" w:hAnsi="Times New Roman" w:cs="Times New Roman"/>
          <w:color w:val="000000" w:themeColor="text1"/>
        </w:rPr>
        <w:t xml:space="preserve">historically </w:t>
      </w:r>
      <w:r w:rsidRPr="70DCF742">
        <w:rPr>
          <w:rFonts w:ascii="Times New Roman" w:eastAsia="Times New Roman" w:hAnsi="Times New Roman" w:cs="Times New Roman"/>
          <w:color w:val="000000" w:themeColor="text1"/>
        </w:rPr>
        <w:t>disadvantaged groups. The 2023 report notes that despite national campaigns</w:t>
      </w:r>
      <w:r w:rsidRPr="67140D5E">
        <w:rPr>
          <w:rFonts w:ascii="Times New Roman" w:eastAsia="Times New Roman" w:hAnsi="Times New Roman" w:cs="Times New Roman"/>
          <w:color w:val="000000" w:themeColor="text1"/>
        </w:rPr>
        <w:t>, launched by the Ministry of Gender,</w:t>
      </w:r>
      <w:r w:rsidRPr="70DCF742">
        <w:rPr>
          <w:rFonts w:ascii="Times New Roman" w:eastAsia="Times New Roman" w:hAnsi="Times New Roman" w:cs="Times New Roman"/>
          <w:color w:val="000000" w:themeColor="text1"/>
        </w:rPr>
        <w:t xml:space="preserve"> such as “Positive Masculinity,” “Congo au Féminin,” and “Zero Tolerance” against gender-based violence, persistent and widespread gender stereotypes remain</w:t>
      </w:r>
      <w:r>
        <w:rPr>
          <w:rFonts w:ascii="Times New Roman" w:eastAsia="Times New Roman" w:hAnsi="Times New Roman" w:cs="Times New Roman"/>
          <w:color w:val="000000" w:themeColor="text1"/>
        </w:rPr>
        <w:t>ed</w:t>
      </w:r>
      <w:r w:rsidRPr="70DCF742">
        <w:rPr>
          <w:rFonts w:ascii="Times New Roman" w:eastAsia="Times New Roman" w:hAnsi="Times New Roman" w:cs="Times New Roman"/>
          <w:color w:val="000000" w:themeColor="text1"/>
        </w:rPr>
        <w:t xml:space="preserve"> core obstacles to women’s political participation. Women face strong cultural barriers </w:t>
      </w:r>
      <w:r>
        <w:rPr>
          <w:rFonts w:ascii="Times New Roman" w:eastAsia="Times New Roman" w:hAnsi="Times New Roman" w:cs="Times New Roman"/>
          <w:color w:val="000000" w:themeColor="text1"/>
        </w:rPr>
        <w:t xml:space="preserve">and </w:t>
      </w:r>
      <w:r w:rsidRPr="70DCF742">
        <w:rPr>
          <w:rFonts w:ascii="Times New Roman" w:eastAsia="Times New Roman" w:hAnsi="Times New Roman" w:cs="Times New Roman"/>
          <w:color w:val="000000" w:themeColor="text1"/>
        </w:rPr>
        <w:t>are often confined to support roles within parties</w:t>
      </w:r>
      <w:r>
        <w:rPr>
          <w:rFonts w:ascii="Times New Roman" w:eastAsia="Times New Roman" w:hAnsi="Times New Roman" w:cs="Times New Roman"/>
          <w:color w:val="000000" w:themeColor="text1"/>
        </w:rPr>
        <w:t xml:space="preserve"> with</w:t>
      </w:r>
      <w:r w:rsidRPr="70DCF742">
        <w:rPr>
          <w:rFonts w:ascii="Times New Roman" w:eastAsia="Times New Roman" w:hAnsi="Times New Roman" w:cs="Times New Roman"/>
          <w:color w:val="000000" w:themeColor="text1"/>
        </w:rPr>
        <w:t xml:space="preserve"> limited access to decision-making positions</w:t>
      </w:r>
      <w:r w:rsidRPr="67140D5E">
        <w:rPr>
          <w:rFonts w:ascii="Times New Roman" w:eastAsia="Times New Roman" w:hAnsi="Times New Roman" w:cs="Times New Roman"/>
          <w:color w:val="000000" w:themeColor="text1"/>
        </w:rPr>
        <w:t>. Less</w:t>
      </w:r>
      <w:r w:rsidRPr="70DCF742">
        <w:rPr>
          <w:rFonts w:ascii="Times New Roman" w:eastAsia="Times New Roman" w:hAnsi="Times New Roman" w:cs="Times New Roman"/>
          <w:color w:val="000000" w:themeColor="text1"/>
        </w:rPr>
        <w:t xml:space="preserve"> than 6% of the 920 registered political parties </w:t>
      </w:r>
      <w:r>
        <w:rPr>
          <w:rFonts w:ascii="Times New Roman" w:eastAsia="Times New Roman" w:hAnsi="Times New Roman" w:cs="Times New Roman"/>
          <w:color w:val="000000" w:themeColor="text1"/>
        </w:rPr>
        <w:t>were</w:t>
      </w:r>
      <w:r w:rsidRPr="70DCF742">
        <w:rPr>
          <w:rFonts w:ascii="Times New Roman" w:eastAsia="Times New Roman" w:hAnsi="Times New Roman" w:cs="Times New Roman"/>
          <w:color w:val="000000" w:themeColor="text1"/>
        </w:rPr>
        <w:t xml:space="preserve"> led by women. </w:t>
      </w:r>
    </w:p>
    <w:p w14:paraId="4101A5CC" w14:textId="3666C376" w:rsidR="00263E23" w:rsidRDefault="00263E23" w:rsidP="00263E23">
      <w:pPr>
        <w:spacing w:before="240" w:after="24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 xml:space="preserve">Exclusion of minorities and marginalized communities: </w:t>
      </w:r>
      <w:r>
        <w:br/>
      </w:r>
      <w:r w:rsidRPr="70DCF742">
        <w:rPr>
          <w:rFonts w:ascii="Times New Roman" w:eastAsia="Times New Roman" w:hAnsi="Times New Roman" w:cs="Times New Roman"/>
          <w:color w:val="000000" w:themeColor="text1"/>
        </w:rPr>
        <w:t xml:space="preserve">The Carter Center notes that the legal framework gives priority to indigenous peoples in recruitment to public service and provides for affirmative action for people with disabilities. However, representatives of indigenous peoples and people with disabilities stated that their communities were poorly represented at all levels of the CENI, from lower to decision-making positions. Youth were also </w:t>
      </w:r>
      <w:r>
        <w:rPr>
          <w:rFonts w:ascii="Times New Roman" w:eastAsia="Times New Roman" w:hAnsi="Times New Roman" w:cs="Times New Roman"/>
          <w:color w:val="000000" w:themeColor="text1"/>
        </w:rPr>
        <w:t>re</w:t>
      </w:r>
      <w:r w:rsidRPr="70DCF742">
        <w:rPr>
          <w:rFonts w:ascii="Times New Roman" w:eastAsia="Times New Roman" w:hAnsi="Times New Roman" w:cs="Times New Roman"/>
          <w:color w:val="000000" w:themeColor="text1"/>
        </w:rPr>
        <w:t>present</w:t>
      </w:r>
      <w:r>
        <w:rPr>
          <w:rFonts w:ascii="Times New Roman" w:eastAsia="Times New Roman" w:hAnsi="Times New Roman" w:cs="Times New Roman"/>
          <w:color w:val="000000" w:themeColor="text1"/>
        </w:rPr>
        <w:t>ed</w:t>
      </w:r>
      <w:r w:rsidRPr="70DCF742">
        <w:rPr>
          <w:rFonts w:ascii="Times New Roman" w:eastAsia="Times New Roman" w:hAnsi="Times New Roman" w:cs="Times New Roman"/>
          <w:color w:val="000000" w:themeColor="text1"/>
        </w:rPr>
        <w:t xml:space="preserve"> at lower levels but not in higher </w:t>
      </w:r>
      <w:r>
        <w:rPr>
          <w:rFonts w:ascii="Times New Roman" w:eastAsia="Times New Roman" w:hAnsi="Times New Roman" w:cs="Times New Roman"/>
          <w:color w:val="000000" w:themeColor="text1"/>
        </w:rPr>
        <w:t xml:space="preserve">level </w:t>
      </w:r>
      <w:r w:rsidRPr="70DCF742">
        <w:rPr>
          <w:rFonts w:ascii="Times New Roman" w:eastAsia="Times New Roman" w:hAnsi="Times New Roman" w:cs="Times New Roman"/>
          <w:color w:val="000000" w:themeColor="text1"/>
        </w:rPr>
        <w:t xml:space="preserve">positions. </w:t>
      </w:r>
      <w:r w:rsidRPr="67140D5E">
        <w:rPr>
          <w:rFonts w:ascii="Times New Roman" w:eastAsia="Times New Roman" w:hAnsi="Times New Roman" w:cs="Times New Roman"/>
          <w:color w:val="000000" w:themeColor="text1"/>
        </w:rPr>
        <w:t xml:space="preserve">The 2018 report identified that many polling stations </w:t>
      </w:r>
      <w:r w:rsidR="00413E3A">
        <w:rPr>
          <w:rFonts w:ascii="Times New Roman" w:eastAsia="Times New Roman" w:hAnsi="Times New Roman" w:cs="Times New Roman"/>
          <w:color w:val="000000" w:themeColor="text1"/>
        </w:rPr>
        <w:t>were</w:t>
      </w:r>
      <w:r w:rsidRPr="67140D5E">
        <w:rPr>
          <w:rFonts w:ascii="Times New Roman" w:eastAsia="Times New Roman" w:hAnsi="Times New Roman" w:cs="Times New Roman"/>
          <w:color w:val="000000" w:themeColor="text1"/>
        </w:rPr>
        <w:t xml:space="preserve"> inaccessible, and that very few </w:t>
      </w:r>
      <w:r w:rsidRPr="67140D5E">
        <w:rPr>
          <w:rFonts w:ascii="Times New Roman" w:eastAsia="Times New Roman" w:hAnsi="Times New Roman" w:cs="Times New Roman"/>
          <w:color w:val="000000" w:themeColor="text1"/>
        </w:rPr>
        <w:t>people</w:t>
      </w:r>
      <w:r w:rsidRPr="67140D5E">
        <w:rPr>
          <w:rFonts w:ascii="Times New Roman" w:eastAsia="Times New Roman" w:hAnsi="Times New Roman" w:cs="Times New Roman"/>
          <w:color w:val="000000" w:themeColor="text1"/>
        </w:rPr>
        <w:t xml:space="preserve"> with disabilities were able to stand as candidates or serve as election officials.</w:t>
      </w:r>
    </w:p>
    <w:p w14:paraId="77424DCF"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The </w:t>
      </w:r>
      <w:r w:rsidRPr="67140D5E">
        <w:rPr>
          <w:rFonts w:ascii="Times New Roman" w:eastAsia="Times New Roman" w:hAnsi="Times New Roman" w:cs="Times New Roman"/>
          <w:color w:val="000000" w:themeColor="text1"/>
        </w:rPr>
        <w:t xml:space="preserve">2023 </w:t>
      </w:r>
      <w:r w:rsidRPr="70DCF742">
        <w:rPr>
          <w:rFonts w:ascii="Times New Roman" w:eastAsia="Times New Roman" w:hAnsi="Times New Roman" w:cs="Times New Roman"/>
          <w:color w:val="000000" w:themeColor="text1"/>
        </w:rPr>
        <w:t xml:space="preserve">report </w:t>
      </w:r>
      <w:r w:rsidRPr="67140D5E">
        <w:rPr>
          <w:rFonts w:ascii="Times New Roman" w:eastAsia="Times New Roman" w:hAnsi="Times New Roman" w:cs="Times New Roman"/>
          <w:color w:val="000000" w:themeColor="text1"/>
        </w:rPr>
        <w:t>stressed</w:t>
      </w:r>
      <w:r w:rsidRPr="70DCF742">
        <w:rPr>
          <w:rFonts w:ascii="Times New Roman" w:eastAsia="Times New Roman" w:hAnsi="Times New Roman" w:cs="Times New Roman"/>
          <w:color w:val="000000" w:themeColor="text1"/>
        </w:rPr>
        <w:t xml:space="preserve"> that the CENI’s internal structure is not conducive to targeted inclusion</w:t>
      </w:r>
      <w:r w:rsidRPr="67140D5E">
        <w:rPr>
          <w:rFonts w:ascii="Times New Roman" w:eastAsia="Times New Roman" w:hAnsi="Times New Roman" w:cs="Times New Roman"/>
          <w:color w:val="000000" w:themeColor="text1"/>
        </w:rPr>
        <w:t xml:space="preserve"> due to the low numerical participation of these different minority groups. There is</w:t>
      </w:r>
      <w:r w:rsidRPr="70DCF742" w:rsidDel="008F722B">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 xml:space="preserve">a single main advisor responsible for women, youth, persons with disabilities, and indigenous people, but no dedicated directorate dealing with the distinct needs of each group. Elevating inclusion issues at the organizational level is recommended to increase participation of women and other under-represented groups. </w:t>
      </w:r>
    </w:p>
    <w:p w14:paraId="45B00213" w14:textId="228D1397" w:rsidR="00263E23" w:rsidRDefault="00263E23" w:rsidP="00263E23">
      <w:pPr>
        <w:spacing w:before="240" w:after="24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 xml:space="preserve">Stigmatization of LGBTIQ people and exclusion from political life: </w:t>
      </w:r>
      <w:r>
        <w:br/>
      </w:r>
      <w:r w:rsidRPr="70DCF742">
        <w:rPr>
          <w:rFonts w:ascii="Times New Roman" w:eastAsia="Times New Roman" w:hAnsi="Times New Roman" w:cs="Times New Roman"/>
          <w:color w:val="000000" w:themeColor="text1"/>
        </w:rPr>
        <w:t>The 2018 report notes there is no explicit criminalization of homosexuality</w:t>
      </w:r>
      <w:r>
        <w:rPr>
          <w:rFonts w:ascii="Times New Roman" w:eastAsia="Times New Roman" w:hAnsi="Times New Roman" w:cs="Times New Roman"/>
          <w:color w:val="000000" w:themeColor="text1"/>
        </w:rPr>
        <w:t>,</w:t>
      </w:r>
      <w:r w:rsidRPr="70DCF742">
        <w:rPr>
          <w:rFonts w:ascii="Times New Roman" w:eastAsia="Times New Roman" w:hAnsi="Times New Roman" w:cs="Times New Roman"/>
          <w:color w:val="000000" w:themeColor="text1"/>
        </w:rPr>
        <w:t xml:space="preserve"> but that LGBTIQ persons face discrimination and prosecutions under vague “public decency” provisions, with no </w:t>
      </w:r>
      <w:r w:rsidRPr="70DCF742">
        <w:rPr>
          <w:rFonts w:ascii="Times New Roman" w:eastAsia="Times New Roman" w:hAnsi="Times New Roman" w:cs="Times New Roman"/>
          <w:color w:val="000000" w:themeColor="text1"/>
        </w:rPr>
        <w:lastRenderedPageBreak/>
        <w:t xml:space="preserve">specific protections. The Carter Center </w:t>
      </w:r>
      <w:r w:rsidRPr="67140D5E">
        <w:rPr>
          <w:rFonts w:ascii="Times New Roman" w:eastAsia="Times New Roman" w:hAnsi="Times New Roman" w:cs="Times New Roman"/>
          <w:color w:val="000000" w:themeColor="text1"/>
        </w:rPr>
        <w:t>reported</w:t>
      </w:r>
      <w:r w:rsidRPr="70DCF74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that there was </w:t>
      </w:r>
      <w:r w:rsidRPr="70DCF742">
        <w:rPr>
          <w:rFonts w:ascii="Times New Roman" w:eastAsia="Times New Roman" w:hAnsi="Times New Roman" w:cs="Times New Roman"/>
          <w:color w:val="000000" w:themeColor="text1"/>
        </w:rPr>
        <w:t xml:space="preserve">no open participation of LGBTIQ groups in party politics and </w:t>
      </w:r>
      <w:r w:rsidRPr="67140D5E">
        <w:rPr>
          <w:rFonts w:ascii="Times New Roman" w:eastAsia="Times New Roman" w:hAnsi="Times New Roman" w:cs="Times New Roman"/>
          <w:color w:val="000000" w:themeColor="text1"/>
        </w:rPr>
        <w:t>recommended</w:t>
      </w:r>
      <w:r w:rsidRPr="70DCF742">
        <w:rPr>
          <w:rFonts w:ascii="Times New Roman" w:eastAsia="Times New Roman" w:hAnsi="Times New Roman" w:cs="Times New Roman"/>
          <w:color w:val="000000" w:themeColor="text1"/>
        </w:rPr>
        <w:t xml:space="preserve"> adopting legislation to protect and promote their political participation. In 2023, the media regulator, the Superior Council of Audiovisual and Communication (CSAC), issued a communiqué describing homosexuality and lesbianism as degrading and unconstitutional practices and urged media not to promote pro-LGBTIQ+ campaigns, leading some outlets to suspend programming.</w:t>
      </w:r>
    </w:p>
    <w:p w14:paraId="0C4C60C2" w14:textId="77777777" w:rsidR="00263E23" w:rsidRDefault="00263E23" w:rsidP="00263E23">
      <w:pPr>
        <w:spacing w:before="280" w:after="0"/>
        <w:jc w:val="both"/>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color w:val="000000" w:themeColor="text1"/>
        </w:rPr>
        <w:t>Questions for Consideration:</w:t>
      </w:r>
    </w:p>
    <w:p w14:paraId="69289B63" w14:textId="77777777" w:rsidR="00263E23" w:rsidRDefault="00263E23" w:rsidP="00263E23">
      <w:pPr>
        <w:pStyle w:val="ListParagraph"/>
        <w:numPr>
          <w:ilvl w:val="0"/>
          <w:numId w:val="5"/>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steps will the DRC take to increase women’s representation as candidates and elected officials at all levels, beyond symbolic parity provisions?</w:t>
      </w:r>
    </w:p>
    <w:p w14:paraId="55DE058C" w14:textId="77777777" w:rsidR="00263E23" w:rsidRDefault="00263E23" w:rsidP="00263E23">
      <w:pPr>
        <w:pStyle w:val="ListParagraph"/>
        <w:numPr>
          <w:ilvl w:val="0"/>
          <w:numId w:val="5"/>
        </w:numPr>
        <w:spacing w:before="220" w:after="220"/>
        <w:jc w:val="both"/>
        <w:rPr>
          <w:rFonts w:ascii="Times New Roman" w:eastAsia="Times New Roman" w:hAnsi="Times New Roman" w:cs="Times New Roman"/>
        </w:rPr>
      </w:pPr>
      <w:r w:rsidRPr="67140D5E">
        <w:rPr>
          <w:rFonts w:ascii="Times New Roman" w:eastAsia="Times New Roman" w:hAnsi="Times New Roman" w:cs="Times New Roman"/>
        </w:rPr>
        <w:t>What steps will the State Party take to give effect to provisions for parity in political life to promote equal participation for women?</w:t>
      </w:r>
    </w:p>
    <w:p w14:paraId="4187AADE" w14:textId="77777777" w:rsidR="00263E23" w:rsidRDefault="00263E23" w:rsidP="00263E23">
      <w:pPr>
        <w:pStyle w:val="ListParagraph"/>
        <w:numPr>
          <w:ilvl w:val="0"/>
          <w:numId w:val="5"/>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What measures </w:t>
      </w:r>
      <w:r>
        <w:rPr>
          <w:rFonts w:ascii="Times New Roman" w:eastAsia="Times New Roman" w:hAnsi="Times New Roman" w:cs="Times New Roman"/>
          <w:color w:val="000000" w:themeColor="text1"/>
        </w:rPr>
        <w:t xml:space="preserve">is the State Party taking </w:t>
      </w:r>
      <w:r w:rsidRPr="70DCF742">
        <w:rPr>
          <w:rFonts w:ascii="Times New Roman" w:eastAsia="Times New Roman" w:hAnsi="Times New Roman" w:cs="Times New Roman"/>
          <w:color w:val="000000" w:themeColor="text1"/>
        </w:rPr>
        <w:t xml:space="preserve">to ensure accessible polling stations, adapted electoral materials, and equal political participation for </w:t>
      </w:r>
      <w:r w:rsidRPr="67140D5E">
        <w:rPr>
          <w:rFonts w:ascii="Times New Roman" w:eastAsia="Times New Roman" w:hAnsi="Times New Roman" w:cs="Times New Roman"/>
          <w:color w:val="000000" w:themeColor="text1"/>
        </w:rPr>
        <w:t>people</w:t>
      </w:r>
      <w:r w:rsidRPr="70DCF742">
        <w:rPr>
          <w:rFonts w:ascii="Times New Roman" w:eastAsia="Times New Roman" w:hAnsi="Times New Roman" w:cs="Times New Roman"/>
          <w:color w:val="000000" w:themeColor="text1"/>
        </w:rPr>
        <w:t xml:space="preserve"> with </w:t>
      </w:r>
      <w:r w:rsidRPr="67140D5E">
        <w:rPr>
          <w:rFonts w:ascii="Times New Roman" w:eastAsia="Times New Roman" w:hAnsi="Times New Roman" w:cs="Times New Roman"/>
          <w:color w:val="000000" w:themeColor="text1"/>
        </w:rPr>
        <w:t>disabilities?</w:t>
      </w:r>
    </w:p>
    <w:p w14:paraId="0CB2ECC7" w14:textId="77777777" w:rsidR="00263E23" w:rsidRDefault="00263E23" w:rsidP="00263E23">
      <w:pPr>
        <w:pStyle w:val="ListParagraph"/>
        <w:numPr>
          <w:ilvl w:val="0"/>
          <w:numId w:val="5"/>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What measures will be adopted to ensure that high candidate fees and other financial barriers do not disproportionately exclude women and marginalized communities from </w:t>
      </w:r>
      <w:r>
        <w:rPr>
          <w:rFonts w:ascii="Times New Roman" w:eastAsia="Times New Roman" w:hAnsi="Times New Roman" w:cs="Times New Roman"/>
          <w:color w:val="000000" w:themeColor="text1"/>
        </w:rPr>
        <w:t>running</w:t>
      </w:r>
      <w:r w:rsidRPr="70DCF742">
        <w:rPr>
          <w:rFonts w:ascii="Times New Roman" w:eastAsia="Times New Roman" w:hAnsi="Times New Roman" w:cs="Times New Roman"/>
          <w:color w:val="000000" w:themeColor="text1"/>
        </w:rPr>
        <w:t xml:space="preserve"> for office?</w:t>
      </w:r>
    </w:p>
    <w:p w14:paraId="473257DF" w14:textId="77777777" w:rsidR="00263E23" w:rsidRDefault="00263E23" w:rsidP="00263E23">
      <w:pPr>
        <w:pStyle w:val="ListParagraph"/>
        <w:numPr>
          <w:ilvl w:val="0"/>
          <w:numId w:val="5"/>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mechanisms will the CENI adopt to establish a dedicated institutional structure for inclusion, rather than relying on a single advisor responsible simultaneously for women, youth, indigenous peoples, and persons with disabilities?</w:t>
      </w:r>
    </w:p>
    <w:p w14:paraId="7161EE16" w14:textId="77777777" w:rsidR="00263E23" w:rsidRDefault="00263E23" w:rsidP="00263E23">
      <w:pPr>
        <w:jc w:val="both"/>
        <w:rPr>
          <w:rFonts w:ascii="Times New Roman" w:eastAsia="Times New Roman" w:hAnsi="Times New Roman" w:cs="Times New Roman"/>
        </w:rPr>
      </w:pPr>
    </w:p>
    <w:p w14:paraId="54F7A74B" w14:textId="4E42B54B" w:rsidR="00263E23" w:rsidRPr="002B5417" w:rsidRDefault="00263E23" w:rsidP="002B5417">
      <w:pPr>
        <w:pStyle w:val="ListParagraph"/>
        <w:numPr>
          <w:ilvl w:val="1"/>
          <w:numId w:val="9"/>
        </w:numPr>
        <w:spacing w:after="0"/>
        <w:ind w:left="540" w:hanging="54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Articles 6 and 9: Right to Life &amp; Right to Liberty and Security</w:t>
      </w:r>
    </w:p>
    <w:p w14:paraId="3BD9D844" w14:textId="77777777" w:rsidR="00263E23" w:rsidRDefault="00263E23" w:rsidP="00263E23">
      <w:pPr>
        <w:spacing w:after="0"/>
        <w:jc w:val="both"/>
        <w:rPr>
          <w:rFonts w:ascii="Times New Roman" w:eastAsia="Times New Roman" w:hAnsi="Times New Roman" w:cs="Times New Roman"/>
        </w:rPr>
      </w:pPr>
    </w:p>
    <w:p w14:paraId="2F4A7163" w14:textId="77777777" w:rsidR="00263E23" w:rsidRDefault="00263E23" w:rsidP="00263E23">
      <w:pPr>
        <w:spacing w:after="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Article 6 ICCPR protects the</w:t>
      </w:r>
      <w:r w:rsidRPr="70DCF742" w:rsidDel="008A51F4">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right to life and prohibits arbitrary deprivation of life. States must not only refrain from unlawful killings but also prevent foreseeable threats to life, investigate suspicious deaths, and hold perpetrators accountable. Article 9 ICCPR guarantees the right to liberty and security of person, prohibits arbitrary arrest and detention, and requires that any deprivation of liberty follow lawful procedures, with prompt access to a judge and ability to challenge the legality of detention. In an electoral context, these norms imply that the DRC must protect voters, candidates, journalists, observers, and other stakeholders from lethal and non-lethal violence, refrain from excessive use of force when policing assemblies, avoid arbitrary arrest and detention, and ensure effective investigations and accountability for violations.</w:t>
      </w:r>
    </w:p>
    <w:p w14:paraId="55EC9DC8" w14:textId="0FEF04FB" w:rsidR="00263E23" w:rsidRDefault="00263E23" w:rsidP="00263E23">
      <w:pPr>
        <w:spacing w:before="240" w:after="24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 xml:space="preserve">Use of excessive and sometimes lethal force: </w:t>
      </w:r>
      <w:r>
        <w:br/>
      </w:r>
      <w:r w:rsidRPr="70DCF742">
        <w:rPr>
          <w:rFonts w:ascii="Times New Roman" w:eastAsia="Times New Roman" w:hAnsi="Times New Roman" w:cs="Times New Roman"/>
          <w:color w:val="000000" w:themeColor="text1"/>
        </w:rPr>
        <w:t xml:space="preserve">The 2018 expert mission report </w:t>
      </w:r>
      <w:r w:rsidRPr="67140D5E">
        <w:rPr>
          <w:rFonts w:ascii="Times New Roman" w:eastAsia="Times New Roman" w:hAnsi="Times New Roman" w:cs="Times New Roman"/>
          <w:color w:val="000000" w:themeColor="text1"/>
        </w:rPr>
        <w:t>noted</w:t>
      </w:r>
      <w:r w:rsidRPr="70DCF742">
        <w:rPr>
          <w:rFonts w:ascii="Times New Roman" w:eastAsia="Times New Roman" w:hAnsi="Times New Roman" w:cs="Times New Roman"/>
          <w:color w:val="000000" w:themeColor="text1"/>
        </w:rPr>
        <w:t xml:space="preserve"> that the campaign period was marked by unwarranted restrictions on freedom of assembly and violent policing of rallies. Authorities imposed a blanket suspension of campaigning in Kinshasa on 19 December 2018, contrary to constitutional guarantees of assembly and contrary to the election law’s more limited powers to regulate rallies. </w:t>
      </w:r>
      <w:r w:rsidRPr="70DCF742">
        <w:rPr>
          <w:rFonts w:ascii="Times New Roman" w:eastAsia="Times New Roman" w:hAnsi="Times New Roman" w:cs="Times New Roman"/>
          <w:color w:val="000000" w:themeColor="text1"/>
        </w:rPr>
        <w:lastRenderedPageBreak/>
        <w:t xml:space="preserve">During the campaign, security forces reportedly killed at least 10 people and wounded many using live ammunition at gatherings and rallies. Incidents include killings and injuries in Lubumbashi, Kalemie, Mbuji-Mayi and Tshikapa when security forces fired on supporters of various candidates. In May 2022, an opposition demonstration in Kinshasa against rising costs, opacity of the electoral process and insecurity in the east was violently repressed by police, resulting in dozens of arrests and injuries. In its </w:t>
      </w:r>
      <w:r w:rsidR="00063286">
        <w:rPr>
          <w:rFonts w:ascii="Times New Roman" w:eastAsia="Times New Roman" w:hAnsi="Times New Roman" w:cs="Times New Roman"/>
          <w:color w:val="000000" w:themeColor="text1"/>
        </w:rPr>
        <w:t>election report, The Carter Center</w:t>
      </w:r>
      <w:r w:rsidRPr="70DCF742">
        <w:rPr>
          <w:rFonts w:ascii="Times New Roman" w:eastAsia="Times New Roman" w:hAnsi="Times New Roman" w:cs="Times New Roman"/>
          <w:color w:val="000000" w:themeColor="text1"/>
        </w:rPr>
        <w:t xml:space="preserve"> note</w:t>
      </w:r>
      <w:r w:rsidR="00063286">
        <w:rPr>
          <w:rFonts w:ascii="Times New Roman" w:eastAsia="Times New Roman" w:hAnsi="Times New Roman" w:cs="Times New Roman"/>
          <w:color w:val="000000" w:themeColor="text1"/>
        </w:rPr>
        <w:t>d</w:t>
      </w:r>
      <w:r w:rsidRPr="70DCF742">
        <w:rPr>
          <w:rFonts w:ascii="Times New Roman" w:eastAsia="Times New Roman" w:hAnsi="Times New Roman" w:cs="Times New Roman"/>
          <w:color w:val="000000" w:themeColor="text1"/>
        </w:rPr>
        <w:t xml:space="preserve"> that several election-related violent incidents occurred from voter registration through the post-election period in January 2024, resulting in close to 50 deaths, including at least two candidates. During voting operations, violent incidents were reported in Equateur, Kinshasa, Maniema, Ituri, Nord-Kivu and especially the Kasai provinces, including attacks on CENI agents, destruction or theft of electronic voting devices (EVDs), and arson against CENI offices. The report therefore documents a pattern of deadly and non-deadly violence targeting not only voters and candidates but also election officials and infrastructure.</w:t>
      </w:r>
    </w:p>
    <w:p w14:paraId="716DF20C" w14:textId="5500C86F" w:rsidR="00263E23" w:rsidRDefault="00263E23" w:rsidP="00263E23">
      <w:pPr>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i/>
          <w:iCs/>
        </w:rPr>
        <w:t xml:space="preserve">Politically motivated aggression and detention: </w:t>
      </w:r>
      <w:r>
        <w:br/>
      </w:r>
      <w:r w:rsidRPr="70DCF742">
        <w:rPr>
          <w:rFonts w:ascii="Times New Roman" w:eastAsia="Times New Roman" w:hAnsi="Times New Roman" w:cs="Times New Roman"/>
        </w:rPr>
        <w:t xml:space="preserve">In July 2023, </w:t>
      </w:r>
      <w:r w:rsidR="00CE0E44">
        <w:rPr>
          <w:rFonts w:ascii="Times New Roman" w:eastAsia="Times New Roman" w:hAnsi="Times New Roman" w:cs="Times New Roman"/>
        </w:rPr>
        <w:t xml:space="preserve">an </w:t>
      </w:r>
      <w:r w:rsidRPr="70DCF742">
        <w:rPr>
          <w:rFonts w:ascii="Times New Roman" w:eastAsia="Times New Roman" w:hAnsi="Times New Roman" w:cs="Times New Roman"/>
        </w:rPr>
        <w:t>opposition parliamentarian was found dead in his car</w:t>
      </w:r>
      <w:r w:rsidR="00633AAF">
        <w:rPr>
          <w:rFonts w:ascii="Times New Roman" w:eastAsia="Times New Roman" w:hAnsi="Times New Roman" w:cs="Times New Roman"/>
        </w:rPr>
        <w:t>.</w:t>
      </w:r>
      <w:r w:rsidRPr="70DCF742">
        <w:rPr>
          <w:rFonts w:ascii="Times New Roman" w:eastAsia="Times New Roman" w:hAnsi="Times New Roman" w:cs="Times New Roman"/>
        </w:rPr>
        <w:t xml:space="preserve"> </w:t>
      </w:r>
      <w:r w:rsidR="00633AAF">
        <w:rPr>
          <w:rFonts w:ascii="Times New Roman" w:eastAsia="Times New Roman" w:hAnsi="Times New Roman" w:cs="Times New Roman"/>
        </w:rPr>
        <w:t>H</w:t>
      </w:r>
      <w:r w:rsidRPr="70DCF742">
        <w:rPr>
          <w:rFonts w:ascii="Times New Roman" w:eastAsia="Times New Roman" w:hAnsi="Times New Roman" w:cs="Times New Roman"/>
        </w:rPr>
        <w:t>is killing raised serious concerns about political violence. The 2023 report note</w:t>
      </w:r>
      <w:r w:rsidR="00633AAF">
        <w:rPr>
          <w:rFonts w:ascii="Times New Roman" w:eastAsia="Times New Roman" w:hAnsi="Times New Roman" w:cs="Times New Roman"/>
        </w:rPr>
        <w:t>d</w:t>
      </w:r>
      <w:r w:rsidRPr="70DCF742">
        <w:rPr>
          <w:rFonts w:ascii="Times New Roman" w:eastAsia="Times New Roman" w:hAnsi="Times New Roman" w:cs="Times New Roman"/>
        </w:rPr>
        <w:t xml:space="preserve"> murders and enforced disappearances of journalists and human rights defenders in recent years</w:t>
      </w:r>
      <w:r w:rsidR="00563EF3">
        <w:rPr>
          <w:rFonts w:ascii="Times New Roman" w:eastAsia="Times New Roman" w:hAnsi="Times New Roman" w:cs="Times New Roman"/>
        </w:rPr>
        <w:t>, including a j</w:t>
      </w:r>
      <w:r w:rsidRPr="70DCF742">
        <w:rPr>
          <w:rFonts w:ascii="Times New Roman" w:eastAsia="Times New Roman" w:hAnsi="Times New Roman" w:cs="Times New Roman"/>
        </w:rPr>
        <w:t xml:space="preserve">ournalist </w:t>
      </w:r>
      <w:r w:rsidR="00563EF3">
        <w:rPr>
          <w:rFonts w:ascii="Times New Roman" w:eastAsia="Times New Roman" w:hAnsi="Times New Roman" w:cs="Times New Roman"/>
        </w:rPr>
        <w:t>that</w:t>
      </w:r>
      <w:r w:rsidRPr="70DCF742">
        <w:rPr>
          <w:rFonts w:ascii="Times New Roman" w:eastAsia="Times New Roman" w:hAnsi="Times New Roman" w:cs="Times New Roman"/>
        </w:rPr>
        <w:t xml:space="preserve"> was arrested in September 2023</w:t>
      </w:r>
      <w:r w:rsidR="00563EF3">
        <w:rPr>
          <w:rFonts w:ascii="Times New Roman" w:eastAsia="Times New Roman" w:hAnsi="Times New Roman" w:cs="Times New Roman"/>
        </w:rPr>
        <w:t>. Despite</w:t>
      </w:r>
      <w:r w:rsidRPr="70DCF742">
        <w:rPr>
          <w:rFonts w:ascii="Times New Roman" w:eastAsia="Times New Roman" w:hAnsi="Times New Roman" w:cs="Times New Roman"/>
        </w:rPr>
        <w:t xml:space="preserve"> </w:t>
      </w:r>
      <w:r w:rsidR="00894591">
        <w:rPr>
          <w:rFonts w:ascii="Times New Roman" w:eastAsia="Times New Roman" w:hAnsi="Times New Roman" w:cs="Times New Roman"/>
        </w:rPr>
        <w:t xml:space="preserve">widespread belief that the arrest was </w:t>
      </w:r>
      <w:r w:rsidRPr="70DCF742">
        <w:rPr>
          <w:rFonts w:ascii="Times New Roman" w:eastAsia="Times New Roman" w:hAnsi="Times New Roman" w:cs="Times New Roman"/>
        </w:rPr>
        <w:t>politically motivated case</w:t>
      </w:r>
      <w:r w:rsidR="00894591">
        <w:rPr>
          <w:rFonts w:ascii="Times New Roman" w:eastAsia="Times New Roman" w:hAnsi="Times New Roman" w:cs="Times New Roman"/>
        </w:rPr>
        <w:t xml:space="preserve">, the journalist </w:t>
      </w:r>
      <w:r w:rsidRPr="70DCF742">
        <w:rPr>
          <w:rFonts w:ascii="Times New Roman" w:eastAsia="Times New Roman" w:hAnsi="Times New Roman" w:cs="Times New Roman"/>
        </w:rPr>
        <w:t xml:space="preserve">remained in detention through the elections. These </w:t>
      </w:r>
      <w:r w:rsidR="0001572E">
        <w:rPr>
          <w:rFonts w:ascii="Times New Roman" w:eastAsia="Times New Roman" w:hAnsi="Times New Roman" w:cs="Times New Roman"/>
        </w:rPr>
        <w:t>indicate</w:t>
      </w:r>
      <w:r w:rsidRPr="70DCF742">
        <w:rPr>
          <w:rFonts w:ascii="Times New Roman" w:eastAsia="Times New Roman" w:hAnsi="Times New Roman" w:cs="Times New Roman"/>
        </w:rPr>
        <w:t xml:space="preserve"> repeated violations of the right to life (Art. 6) and liberty and security of person (Art. 9), including arbitrary deprivation of life, excessive use of force, and arbitrary or politically motivated detention.</w:t>
      </w:r>
      <w:r>
        <w:br/>
      </w:r>
      <w:r>
        <w:br/>
      </w:r>
      <w:r w:rsidRPr="70DCF742">
        <w:rPr>
          <w:rFonts w:ascii="Times New Roman" w:eastAsia="Times New Roman" w:hAnsi="Times New Roman" w:cs="Times New Roman"/>
          <w:b/>
          <w:bCs/>
          <w:i/>
          <w:iCs/>
        </w:rPr>
        <w:t>Insecurity in conflict-affected areas and state of siege:</w:t>
      </w:r>
      <w:r>
        <w:br/>
      </w:r>
      <w:r w:rsidRPr="70DCF742">
        <w:rPr>
          <w:rFonts w:ascii="Times New Roman" w:eastAsia="Times New Roman" w:hAnsi="Times New Roman" w:cs="Times New Roman"/>
        </w:rPr>
        <w:t xml:space="preserve">In connection with a Fayulu rally in Butembo, Allied Democratic Forces (ADF) rebels killed 18 people in </w:t>
      </w:r>
      <w:r>
        <w:rPr>
          <w:rFonts w:ascii="Times New Roman" w:eastAsia="Times New Roman" w:hAnsi="Times New Roman" w:cs="Times New Roman"/>
        </w:rPr>
        <w:t xml:space="preserve">the </w:t>
      </w:r>
      <w:r w:rsidRPr="70DCF742">
        <w:rPr>
          <w:rFonts w:ascii="Times New Roman" w:eastAsia="Times New Roman" w:hAnsi="Times New Roman" w:cs="Times New Roman"/>
        </w:rPr>
        <w:t xml:space="preserve">Beni’s Paida </w:t>
      </w:r>
      <w:r w:rsidR="009200CE" w:rsidRPr="70DCF742">
        <w:rPr>
          <w:rFonts w:ascii="Times New Roman" w:eastAsia="Times New Roman" w:hAnsi="Times New Roman" w:cs="Times New Roman"/>
        </w:rPr>
        <w:t>neighborhood</w:t>
      </w:r>
      <w:r w:rsidRPr="70DCF742">
        <w:rPr>
          <w:rFonts w:ascii="Times New Roman" w:eastAsia="Times New Roman" w:hAnsi="Times New Roman" w:cs="Times New Roman"/>
        </w:rPr>
        <w:t xml:space="preserve"> and in Mangolikene village on 6</w:t>
      </w:r>
      <w:r w:rsidR="009200CE">
        <w:rPr>
          <w:rFonts w:ascii="Times New Roman" w:eastAsia="Times New Roman" w:hAnsi="Times New Roman" w:cs="Times New Roman"/>
        </w:rPr>
        <w:t xml:space="preserve"> </w:t>
      </w:r>
      <w:r w:rsidRPr="70DCF742">
        <w:rPr>
          <w:rFonts w:ascii="Times New Roman" w:eastAsia="Times New Roman" w:hAnsi="Times New Roman" w:cs="Times New Roman"/>
        </w:rPr>
        <w:t>–7 December 2018. The campaign of CACH candidate Félix Tshisekedi to Butembo was cancelled after military intelligence warned of a possible ambush by Maï-Maï militias, and armed police refused to provide an escort. In Yumbi (Mai-Ndombe), hundreds were killed in inter-communal clashes between Banunu and Batende communities in mid-December 2018, leading thousands to flee across the river to Congo-Brazzaville.</w:t>
      </w:r>
      <w:r>
        <w:br/>
      </w:r>
      <w:r>
        <w:br/>
      </w:r>
      <w:r w:rsidRPr="70DCF742">
        <w:rPr>
          <w:rFonts w:ascii="Times New Roman" w:eastAsia="Times New Roman" w:hAnsi="Times New Roman" w:cs="Times New Roman"/>
          <w:b/>
          <w:bCs/>
        </w:rPr>
        <w:t>Questions for Consideration:</w:t>
      </w:r>
    </w:p>
    <w:p w14:paraId="21EBA1E2" w14:textId="77777777" w:rsidR="00263E23" w:rsidRDefault="00263E23" w:rsidP="00263E23">
      <w:pPr>
        <w:pStyle w:val="ListParagraph"/>
        <w:numPr>
          <w:ilvl w:val="0"/>
          <w:numId w:val="4"/>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concrete measures of accountability (criminal prosecutions, disciplinary actions, reparations for victims) have been taken in cases where security forces were found responsible for unlawful killings or serious injuries?</w:t>
      </w:r>
    </w:p>
    <w:p w14:paraId="67AE27C0" w14:textId="77777777" w:rsidR="00263E23" w:rsidRDefault="00263E23" w:rsidP="00263E23">
      <w:pPr>
        <w:pStyle w:val="ListParagraph"/>
        <w:numPr>
          <w:ilvl w:val="0"/>
          <w:numId w:val="4"/>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What measures will the State party take to prevent politically motivated arrests, including </w:t>
      </w:r>
      <w:r>
        <w:rPr>
          <w:rFonts w:ascii="Times New Roman" w:eastAsia="Times New Roman" w:hAnsi="Times New Roman" w:cs="Times New Roman"/>
          <w:color w:val="000000" w:themeColor="text1"/>
        </w:rPr>
        <w:t xml:space="preserve">arrest </w:t>
      </w:r>
      <w:r w:rsidRPr="70DCF742">
        <w:rPr>
          <w:rFonts w:ascii="Times New Roman" w:eastAsia="Times New Roman" w:hAnsi="Times New Roman" w:cs="Times New Roman"/>
          <w:color w:val="000000" w:themeColor="text1"/>
        </w:rPr>
        <w:t>of journalists and protesters, and to ensure that no one is detained solely for exercising their rights to freedom of expression, association, and peaceful assembly?</w:t>
      </w:r>
    </w:p>
    <w:p w14:paraId="1F37E9FC" w14:textId="77777777" w:rsidR="00263E23" w:rsidRDefault="00263E23" w:rsidP="00263E23">
      <w:pPr>
        <w:pStyle w:val="ListParagraph"/>
        <w:numPr>
          <w:ilvl w:val="0"/>
          <w:numId w:val="4"/>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lastRenderedPageBreak/>
        <w:t>Will the DRC review and amend provisions of the Penal Code and other laws that allow for broad or vague offences (such as public decency provisions used against LGBTIQ) that facilitate arbitrary arrest and detention?</w:t>
      </w:r>
    </w:p>
    <w:p w14:paraId="201C689F" w14:textId="09C316BC" w:rsidR="00263E23" w:rsidRDefault="00263E23" w:rsidP="00A7254E">
      <w:pPr>
        <w:pStyle w:val="ListParagraph"/>
        <w:numPr>
          <w:ilvl w:val="0"/>
          <w:numId w:val="4"/>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How will the State party ensure that voters, especially in areas affected by armed conflict or inter-communal violence, can exercise their right to vote safely, without facing threats to their life or personal security from either state or non-state actors?</w:t>
      </w:r>
    </w:p>
    <w:p w14:paraId="180AE4B4" w14:textId="77777777" w:rsidR="002B5417" w:rsidRPr="00A7254E" w:rsidRDefault="002B5417" w:rsidP="002B5417">
      <w:pPr>
        <w:pStyle w:val="ListParagraph"/>
        <w:spacing w:before="220" w:after="220"/>
        <w:jc w:val="both"/>
        <w:rPr>
          <w:rFonts w:ascii="Times New Roman" w:eastAsia="Times New Roman" w:hAnsi="Times New Roman" w:cs="Times New Roman"/>
          <w:color w:val="000000" w:themeColor="text1"/>
        </w:rPr>
      </w:pPr>
    </w:p>
    <w:p w14:paraId="7CE66D81" w14:textId="4CAEAABD" w:rsidR="00263E23" w:rsidRPr="002B5417" w:rsidRDefault="00263E23" w:rsidP="002B5417">
      <w:pPr>
        <w:pStyle w:val="ListParagraph"/>
        <w:numPr>
          <w:ilvl w:val="1"/>
          <w:numId w:val="9"/>
        </w:numPr>
        <w:spacing w:after="80"/>
        <w:ind w:left="540" w:hanging="54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Articles 19 and 20: Freedom of Expression &amp; Prohibition of Hate Speech</w:t>
      </w:r>
    </w:p>
    <w:p w14:paraId="2F03F496" w14:textId="6B80000A"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Article 19 of the ICCPR guarantees the right to hold opinions without interference and the right to seek, receive, and impart information and ideas of all kinds, including political speech and electoral debate. Any restriction must be provided by law and strictly necessary and proportionate to protect a legitimate aim such as the rights of others or public order. Article 20(2) requires states to prohibit by law any advocacy of national, racial or religious hatred that constitutes incitement to discrimination, hostility or violence. The DRC has formally incorporated many of these norms into domestic law. The 2023 Carter Center</w:t>
      </w:r>
      <w:r w:rsidR="006E774A">
        <w:rPr>
          <w:rFonts w:ascii="Times New Roman" w:eastAsia="Times New Roman" w:hAnsi="Times New Roman" w:cs="Times New Roman"/>
          <w:color w:val="000000" w:themeColor="text1"/>
        </w:rPr>
        <w:t xml:space="preserve"> election</w:t>
      </w:r>
      <w:r w:rsidRPr="70DCF742">
        <w:rPr>
          <w:rFonts w:ascii="Times New Roman" w:eastAsia="Times New Roman" w:hAnsi="Times New Roman" w:cs="Times New Roman"/>
          <w:color w:val="000000" w:themeColor="text1"/>
        </w:rPr>
        <w:t xml:space="preserve"> report notes that Congolese legislation on the media explicitly references the UDHR (Article 19), the ICCPR (Article 19) and the African Charter on Human and Peoples’ Rights (Article 9), and that the constitution reflects these obligations in Articles 23 and 24, which protect freedom of expression and information. The Carter Center </w:t>
      </w:r>
      <w:r w:rsidR="00B51F04">
        <w:rPr>
          <w:rFonts w:ascii="Times New Roman" w:eastAsia="Times New Roman" w:hAnsi="Times New Roman" w:cs="Times New Roman"/>
          <w:color w:val="000000" w:themeColor="text1"/>
        </w:rPr>
        <w:t>found</w:t>
      </w:r>
      <w:r w:rsidRPr="70DCF742">
        <w:rPr>
          <w:rFonts w:ascii="Times New Roman" w:eastAsia="Times New Roman" w:hAnsi="Times New Roman" w:cs="Times New Roman"/>
          <w:color w:val="000000" w:themeColor="text1"/>
        </w:rPr>
        <w:t xml:space="preserve"> that while the DRC has strengthened press-freedom guarantees, these advances are undermined by overbroad digital offences, political interference in media, and state-linked stigmatizing rhetoric toward LGBTIQ people.</w:t>
      </w:r>
    </w:p>
    <w:p w14:paraId="45CAE8BF" w14:textId="04C5F692" w:rsidR="00263E23" w:rsidRDefault="00263E23" w:rsidP="00263E23">
      <w:pPr>
        <w:spacing w:before="240" w:after="24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 xml:space="preserve">Media legal framework and Digitalization: </w:t>
      </w:r>
      <w:r>
        <w:br/>
      </w:r>
      <w:r w:rsidRPr="70DCF742">
        <w:rPr>
          <w:rFonts w:ascii="Times New Roman" w:eastAsia="Times New Roman" w:hAnsi="Times New Roman" w:cs="Times New Roman"/>
          <w:color w:val="000000" w:themeColor="text1"/>
        </w:rPr>
        <w:t>A 2023 Ordinance-Law on Press Freedom affirms strong guarantees for the right to inform and to be informed and to express opinions, echoing ICCPR Article 19. However, the companion Digital Code creates numerous, vaguely framed offences for online expression; The Carter Center notes that despite legal guarantees, the conditions for the work of journalists can be precarious, especially during elections</w:t>
      </w:r>
      <w:r w:rsidR="009B677C">
        <w:rPr>
          <w:rFonts w:ascii="Times New Roman" w:eastAsia="Times New Roman" w:hAnsi="Times New Roman" w:cs="Times New Roman"/>
          <w:color w:val="000000" w:themeColor="text1"/>
        </w:rPr>
        <w:t>.</w:t>
      </w:r>
      <w:r w:rsidR="00007296">
        <w:rPr>
          <w:rFonts w:ascii="Times New Roman" w:eastAsia="Times New Roman" w:hAnsi="Times New Roman" w:cs="Times New Roman"/>
          <w:color w:val="000000" w:themeColor="text1"/>
        </w:rPr>
        <w:t xml:space="preserve"> A journalist </w:t>
      </w:r>
      <w:r w:rsidRPr="70DCF742">
        <w:rPr>
          <w:rFonts w:ascii="Times New Roman" w:eastAsia="Times New Roman" w:hAnsi="Times New Roman" w:cs="Times New Roman"/>
          <w:color w:val="000000" w:themeColor="text1"/>
        </w:rPr>
        <w:t xml:space="preserve">was arrested on 8 September 2023 and prosecuted for alleged forgery and spreading false information in connection with an article on the suspected assassination of </w:t>
      </w:r>
      <w:r w:rsidR="00007296">
        <w:rPr>
          <w:rFonts w:ascii="Times New Roman" w:eastAsia="Times New Roman" w:hAnsi="Times New Roman" w:cs="Times New Roman"/>
          <w:color w:val="000000" w:themeColor="text1"/>
        </w:rPr>
        <w:t xml:space="preserve">a </w:t>
      </w:r>
      <w:r w:rsidRPr="70DCF742">
        <w:rPr>
          <w:rFonts w:ascii="Times New Roman" w:eastAsia="Times New Roman" w:hAnsi="Times New Roman" w:cs="Times New Roman"/>
          <w:color w:val="000000" w:themeColor="text1"/>
        </w:rPr>
        <w:t xml:space="preserve">former Minister, even though the article was unsigned. </w:t>
      </w:r>
      <w:r w:rsidR="00007296">
        <w:rPr>
          <w:rFonts w:ascii="Times New Roman" w:eastAsia="Times New Roman" w:hAnsi="Times New Roman" w:cs="Times New Roman"/>
          <w:color w:val="000000" w:themeColor="text1"/>
        </w:rPr>
        <w:t>The journalist</w:t>
      </w:r>
      <w:r w:rsidRPr="70DCF742">
        <w:rPr>
          <w:rFonts w:ascii="Times New Roman" w:eastAsia="Times New Roman" w:hAnsi="Times New Roman" w:cs="Times New Roman"/>
          <w:color w:val="000000" w:themeColor="text1"/>
        </w:rPr>
        <w:t xml:space="preserve"> remained in prison throughout the electoral period despite numerous national and international calls for his release and was only freed on 19 March 2024. </w:t>
      </w:r>
    </w:p>
    <w:p w14:paraId="144FC174"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Earlier,</w:t>
      </w:r>
      <w:r w:rsidRPr="70DCF742" w:rsidDel="0096520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The Carter Center </w:t>
      </w:r>
      <w:r w:rsidRPr="70DCF742">
        <w:rPr>
          <w:rFonts w:ascii="Times New Roman" w:eastAsia="Times New Roman" w:hAnsi="Times New Roman" w:cs="Times New Roman"/>
          <w:color w:val="000000" w:themeColor="text1"/>
        </w:rPr>
        <w:t xml:space="preserve">2018 expert mission report identified structural weaknesses in media regulation. While there is pluralism among private outlets, access to public media was unequal: the national broadcaster RTNC devoted over 40% of its campaign airtime to the ruling coalition’s candidate and failed to provide equal access to all contestants. The CSAC could not enforce its own decision on equal airtime; no sanctions were imposed on RTNC or other media outlets for </w:t>
      </w:r>
      <w:r w:rsidRPr="70DCF742">
        <w:rPr>
          <w:rFonts w:ascii="Times New Roman" w:eastAsia="Times New Roman" w:hAnsi="Times New Roman" w:cs="Times New Roman"/>
          <w:color w:val="000000" w:themeColor="text1"/>
        </w:rPr>
        <w:lastRenderedPageBreak/>
        <w:t xml:space="preserve">biased coverage. Moreover, the minister of communication directly sanctioned Radio France Internationale without going through the CSAC, encroaching on the latter’s mandate. </w:t>
      </w:r>
    </w:p>
    <w:p w14:paraId="52BD3F5A" w14:textId="77777777" w:rsidR="00263E23" w:rsidRDefault="00263E23" w:rsidP="00263E23">
      <w:pPr>
        <w:spacing w:before="240" w:after="240"/>
        <w:jc w:val="both"/>
        <w:rPr>
          <w:rFonts w:ascii="Times New Roman" w:eastAsia="Times New Roman" w:hAnsi="Times New Roman" w:cs="Times New Roman"/>
          <w:color w:val="000000" w:themeColor="text1"/>
        </w:rPr>
      </w:pPr>
      <w:r w:rsidRPr="67140D5E">
        <w:rPr>
          <w:rFonts w:ascii="Times New Roman" w:eastAsia="Times New Roman" w:hAnsi="Times New Roman" w:cs="Times New Roman"/>
          <w:color w:val="000000" w:themeColor="text1"/>
        </w:rPr>
        <w:t>The</w:t>
      </w:r>
      <w:r w:rsidRPr="70DCF742">
        <w:rPr>
          <w:rFonts w:ascii="Times New Roman" w:eastAsia="Times New Roman" w:hAnsi="Times New Roman" w:cs="Times New Roman"/>
          <w:color w:val="000000" w:themeColor="text1"/>
        </w:rPr>
        <w:t xml:space="preserve"> importance of digital platforms for political communication </w:t>
      </w:r>
      <w:r>
        <w:rPr>
          <w:rFonts w:ascii="Times New Roman" w:eastAsia="Times New Roman" w:hAnsi="Times New Roman" w:cs="Times New Roman"/>
          <w:color w:val="000000" w:themeColor="text1"/>
        </w:rPr>
        <w:t xml:space="preserve">is fast growing </w:t>
      </w:r>
      <w:r w:rsidRPr="70DCF742">
        <w:rPr>
          <w:rFonts w:ascii="Times New Roman" w:eastAsia="Times New Roman" w:hAnsi="Times New Roman" w:cs="Times New Roman"/>
          <w:color w:val="000000" w:themeColor="text1"/>
        </w:rPr>
        <w:t xml:space="preserve">in the DRC. In 2018, The Carter Center’s expert mission noted that although internet penetration remained relatively low and concentrated in Kinshasa, usage had increased by 66% in one year, and information circulated via social media, particularly Facebook and WhatsApp, increasingly fed into broader public debates. The report </w:t>
      </w:r>
      <w:r w:rsidRPr="67140D5E">
        <w:rPr>
          <w:rFonts w:ascii="Times New Roman" w:eastAsia="Times New Roman" w:hAnsi="Times New Roman" w:cs="Times New Roman"/>
          <w:color w:val="000000" w:themeColor="text1"/>
        </w:rPr>
        <w:t>emphasized</w:t>
      </w:r>
      <w:r w:rsidRPr="70DCF742">
        <w:rPr>
          <w:rFonts w:ascii="Times New Roman" w:eastAsia="Times New Roman" w:hAnsi="Times New Roman" w:cs="Times New Roman"/>
          <w:color w:val="000000" w:themeColor="text1"/>
        </w:rPr>
        <w:t xml:space="preserve"> that freedom of expression and information are guaranteed by Articles 23 and 24 of the constitution, subject to law, public order, and good morals, and situates these guarantees within broader international standards by citing the UN Special Rapporteur on freedom of expression and the Human Rights Committee’s General Comment No. 25 on participation in public affairs.</w:t>
      </w:r>
    </w:p>
    <w:p w14:paraId="41345316" w14:textId="030DE922"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At the same time, the 2018 report documents that the authorities ordered a 20-day shutdown of internet services immediately after the 30 December polls. The Carter Center found that this measure infringed international standards on freedom of expression, decreased the credibility and transparency of the electoral process, hampered the work of observers and the media, and restricted citizens’ access to information. The report concludes that blanket internet shutdowns or wholesale blocking of platforms are disproportionate responses to public-order concerns and calls on authorities to refrain from such measures, in line with guidance from the UN Special Rapporteur on freedom of expression. By contrast, the 2023 </w:t>
      </w:r>
      <w:r w:rsidR="00145637">
        <w:rPr>
          <w:rFonts w:ascii="Times New Roman" w:eastAsia="Times New Roman" w:hAnsi="Times New Roman" w:cs="Times New Roman"/>
          <w:color w:val="000000" w:themeColor="text1"/>
        </w:rPr>
        <w:t>election report</w:t>
      </w:r>
      <w:r w:rsidRPr="70DCF742">
        <w:rPr>
          <w:rFonts w:ascii="Times New Roman" w:eastAsia="Times New Roman" w:hAnsi="Times New Roman" w:cs="Times New Roman"/>
          <w:color w:val="000000" w:themeColor="text1"/>
        </w:rPr>
        <w:t xml:space="preserve"> notes a sharp rise in internet penetration (from 6.2% in 2019 to 27.2% in 2024, an estimated 27M users), with Facebook and WhatsApp emerging as key channels for news and information. While the report documents serious concerns about online hate speech and disinformation, it does not report a post-election internet shutdown comparable to 2018, suggesting improvement in the authorities’ approach to managing online content.</w:t>
      </w:r>
    </w:p>
    <w:p w14:paraId="0F644258" w14:textId="78108915" w:rsidR="00263E23" w:rsidRDefault="00263E23" w:rsidP="00263E23">
      <w:pPr>
        <w:spacing w:after="0"/>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b/>
          <w:bCs/>
          <w:i/>
          <w:iCs/>
          <w:color w:val="000000" w:themeColor="text1"/>
        </w:rPr>
        <w:t xml:space="preserve">Hate speech and protection of targeted groups: </w:t>
      </w:r>
    </w:p>
    <w:p w14:paraId="1451EB29" w14:textId="0F15E043" w:rsidR="00263E23" w:rsidRDefault="00263E23" w:rsidP="00263E23">
      <w:pPr>
        <w:spacing w:after="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In 2018, The Carter Center’s social media monitoring focused on official accounts of leading presidential candidates, their parties and movements, excluded candidates, and the CENI, and included qualitative analysis of fake news, misinformation, hate speech, and violent discourse. By 2023, the information environment had become significantly more digitalized, and the Carter Center </w:t>
      </w:r>
      <w:r w:rsidR="00DB5454">
        <w:rPr>
          <w:rFonts w:ascii="Times New Roman" w:eastAsia="Times New Roman" w:hAnsi="Times New Roman" w:cs="Times New Roman"/>
          <w:color w:val="000000" w:themeColor="text1"/>
        </w:rPr>
        <w:t>mission</w:t>
      </w:r>
      <w:r w:rsidRPr="70DCF742">
        <w:rPr>
          <w:rFonts w:ascii="Times New Roman" w:eastAsia="Times New Roman" w:hAnsi="Times New Roman" w:cs="Times New Roman"/>
          <w:color w:val="000000" w:themeColor="text1"/>
        </w:rPr>
        <w:t xml:space="preserve"> again observed the role of online platforms in disseminating hateful and virulent discourse, including through coordinated “digital armies” used by political actors to provoke and manipulate internet users.</w:t>
      </w:r>
    </w:p>
    <w:p w14:paraId="25B7386C"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The report notes that CSAC adopted directives on electoral campaigning in the media and on the regulation of social networks and established a media monitoring unit to supervise coverage in public and private media and ensure fair treatment of candidates. However, the CSAC’s limited material, human, and technical resources, especially at the provincial level, curtail its ability to </w:t>
      </w:r>
      <w:r w:rsidRPr="70DCF742">
        <w:rPr>
          <w:rFonts w:ascii="Times New Roman" w:eastAsia="Times New Roman" w:hAnsi="Times New Roman" w:cs="Times New Roman"/>
          <w:color w:val="000000" w:themeColor="text1"/>
        </w:rPr>
        <w:lastRenderedPageBreak/>
        <w:t>effectively monitor and sanction hate speech or incitement across a rapidly expanding media ecosystem.</w:t>
      </w:r>
    </w:p>
    <w:p w14:paraId="00FC4761" w14:textId="77777777" w:rsidR="00263E23" w:rsidRDefault="00263E23" w:rsidP="00263E23">
      <w:pPr>
        <w:spacing w:before="240" w:after="240"/>
        <w:jc w:val="both"/>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color w:val="000000" w:themeColor="text1"/>
        </w:rPr>
        <w:t>Questions for consideration:</w:t>
      </w:r>
    </w:p>
    <w:p w14:paraId="694AF3EE" w14:textId="77777777" w:rsidR="00263E23" w:rsidRDefault="00263E23" w:rsidP="00263E23">
      <w:pPr>
        <w:pStyle w:val="ListParagraph"/>
        <w:numPr>
          <w:ilvl w:val="0"/>
          <w:numId w:val="3"/>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How will the DRC align the Digital Code with Article 19, and what safeguards exist to prevent prosecutorial overreach in online speech cases? And what measures will be taken to ensure that journalists are not arbitrarily arrested or prosecuted for their work, in light of the Bujakera case?</w:t>
      </w:r>
    </w:p>
    <w:p w14:paraId="7B7CEB4B" w14:textId="54B394EE" w:rsidR="00263E23" w:rsidRDefault="00263E23" w:rsidP="00263E23">
      <w:pPr>
        <w:pStyle w:val="ListParagraph"/>
        <w:numPr>
          <w:ilvl w:val="0"/>
          <w:numId w:val="3"/>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w:t>
      </w:r>
      <w:r>
        <w:rPr>
          <w:rFonts w:ascii="Times New Roman" w:eastAsia="Times New Roman" w:hAnsi="Times New Roman" w:cs="Times New Roman"/>
          <w:color w:val="000000" w:themeColor="text1"/>
        </w:rPr>
        <w:t>hat steps will the State Party take to address the imposition of</w:t>
      </w:r>
      <w:r w:rsidRPr="70DCF742">
        <w:rPr>
          <w:rFonts w:ascii="Times New Roman" w:eastAsia="Times New Roman" w:hAnsi="Times New Roman" w:cs="Times New Roman"/>
          <w:color w:val="000000" w:themeColor="text1"/>
        </w:rPr>
        <w:t xml:space="preserve"> blanket internet shutdowns, and what alternative, targeted measures will it use for addressing online disinformation or hate speech?</w:t>
      </w:r>
    </w:p>
    <w:p w14:paraId="025B8EE4" w14:textId="77777777" w:rsidR="00263E23" w:rsidRDefault="00263E23" w:rsidP="00263E23">
      <w:pPr>
        <w:pStyle w:val="ListParagraph"/>
        <w:numPr>
          <w:ilvl w:val="0"/>
          <w:numId w:val="3"/>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concrete steps has the State taken to safeguard the independence of CSAC from executive interference and to provide it with sufficient resources and technical capacity to monitor and address violations, including hate speech and incitement, across both traditional and digital media?</w:t>
      </w:r>
    </w:p>
    <w:p w14:paraId="0D857103" w14:textId="77777777" w:rsidR="00263E23" w:rsidRDefault="00263E23" w:rsidP="00263E23">
      <w:pPr>
        <w:pStyle w:val="ListParagraph"/>
        <w:numPr>
          <w:ilvl w:val="0"/>
          <w:numId w:val="3"/>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training or guidance is provided to public officials, regulators, and political actors on avoiding stigmatizing or inflammatory rhetoric in their public communications, particularly in relation to women, LGBTIQ+ persons, ethnic or religious minorities, and other vulnerable groups?</w:t>
      </w:r>
    </w:p>
    <w:p w14:paraId="534D2BB3" w14:textId="77777777" w:rsidR="00263E23" w:rsidRDefault="00263E23" w:rsidP="00263E23">
      <w:pPr>
        <w:pStyle w:val="ListParagraph"/>
        <w:spacing w:before="220" w:after="220"/>
        <w:jc w:val="both"/>
        <w:rPr>
          <w:rFonts w:ascii="Times New Roman" w:eastAsia="Times New Roman" w:hAnsi="Times New Roman" w:cs="Times New Roman"/>
          <w:color w:val="000000" w:themeColor="text1"/>
        </w:rPr>
      </w:pPr>
    </w:p>
    <w:p w14:paraId="529257EE" w14:textId="5157D203" w:rsidR="00263E23" w:rsidRPr="002B5417" w:rsidRDefault="00263E23" w:rsidP="002B5417">
      <w:pPr>
        <w:pStyle w:val="ListParagraph"/>
        <w:numPr>
          <w:ilvl w:val="1"/>
          <w:numId w:val="9"/>
        </w:numPr>
        <w:spacing w:before="200" w:after="200"/>
        <w:ind w:left="720" w:hanging="63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Articles 21 and 22: Right to Peaceful Assembly &amp; Freedom of Association</w:t>
      </w:r>
    </w:p>
    <w:p w14:paraId="5344207F" w14:textId="08655F3C" w:rsidR="00263E23" w:rsidRDefault="00263E23" w:rsidP="00263E23">
      <w:pPr>
        <w:spacing w:after="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Article 21 of the ICCPR guarantees the right of peaceful assembly</w:t>
      </w:r>
      <w:r w:rsidRPr="67140D5E">
        <w:rPr>
          <w:rFonts w:ascii="Times New Roman" w:eastAsia="Times New Roman" w:hAnsi="Times New Roman" w:cs="Times New Roman"/>
          <w:color w:val="000000" w:themeColor="text1"/>
        </w:rPr>
        <w:t>.</w:t>
      </w:r>
      <w:r w:rsidRPr="70DCF742">
        <w:rPr>
          <w:rFonts w:ascii="Times New Roman" w:eastAsia="Times New Roman" w:hAnsi="Times New Roman" w:cs="Times New Roman"/>
          <w:color w:val="000000" w:themeColor="text1"/>
        </w:rPr>
        <w:t xml:space="preserve"> Any restriction must be prescribed by law and strictly necessary in a democratic society for national security, public safety, public order, public health or morals, or the rights and freedoms of others. Article 22 guarantees everyone’s right to freedom of association with others, including the right to form and join organizations such as political parties, trade unions and civil society groups. Restrictions must likewise be lawful and necessary for the same limited set of legitimate aims.</w:t>
      </w:r>
    </w:p>
    <w:p w14:paraId="779F9C92" w14:textId="77777777" w:rsidR="00263E23" w:rsidRDefault="00263E23" w:rsidP="00C06C9B">
      <w:pPr>
        <w:spacing w:before="240" w:after="0"/>
        <w:jc w:val="both"/>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b/>
          <w:bCs/>
          <w:i/>
          <w:iCs/>
          <w:color w:val="000000" w:themeColor="text1"/>
        </w:rPr>
        <w:t>Outdated authorization regime &amp; Constraints on Political and Civic Space:</w:t>
      </w:r>
    </w:p>
    <w:p w14:paraId="41469795" w14:textId="77777777" w:rsidR="00263E23" w:rsidRDefault="00263E23" w:rsidP="00C06C9B">
      <w:pPr>
        <w:spacing w:after="0"/>
        <w:jc w:val="both"/>
        <w:rPr>
          <w:rFonts w:ascii="Times New Roman" w:eastAsia="Times New Roman" w:hAnsi="Times New Roman" w:cs="Times New Roman"/>
          <w:color w:val="000000" w:themeColor="text1"/>
        </w:rPr>
      </w:pPr>
      <w:r w:rsidRPr="67140D5E">
        <w:rPr>
          <w:rFonts w:ascii="Times New Roman" w:eastAsia="Times New Roman" w:hAnsi="Times New Roman" w:cs="Times New Roman"/>
          <w:color w:val="000000" w:themeColor="text1"/>
        </w:rPr>
        <w:t>In</w:t>
      </w:r>
      <w:r>
        <w:rPr>
          <w:rFonts w:ascii="Times New Roman" w:eastAsia="Times New Roman" w:hAnsi="Times New Roman" w:cs="Times New Roman"/>
          <w:color w:val="000000" w:themeColor="text1"/>
        </w:rPr>
        <w:t xml:space="preserve"> the DRC,</w:t>
      </w:r>
      <w:r w:rsidRPr="70DCF74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campaign </w:t>
      </w:r>
      <w:r w:rsidRPr="70DCF742">
        <w:rPr>
          <w:rFonts w:ascii="Times New Roman" w:eastAsia="Times New Roman" w:hAnsi="Times New Roman" w:cs="Times New Roman"/>
          <w:color w:val="000000" w:themeColor="text1"/>
        </w:rPr>
        <w:t>events are governed by Decree Law 96/1999 which requires prior notification and is applied as an authorization regime, despite a constitutional provision that only requires prior information. The continued requirement to seek authorization contravenes Article 26 of the constitution and is inconsistent with ICCPR Article 21.</w:t>
      </w:r>
    </w:p>
    <w:p w14:paraId="4C32036C" w14:textId="77777777" w:rsidR="00263E23" w:rsidRDefault="00263E23" w:rsidP="00263E23">
      <w:pPr>
        <w:spacing w:before="240" w:after="240"/>
        <w:jc w:val="both"/>
        <w:rPr>
          <w:rFonts w:ascii="Times New Roman" w:eastAsia="Times New Roman" w:hAnsi="Times New Roman" w:cs="Times New Roman"/>
          <w:color w:val="000000" w:themeColor="text1"/>
          <w:sz w:val="22"/>
          <w:szCs w:val="22"/>
        </w:rPr>
      </w:pPr>
      <w:r w:rsidRPr="70DCF742">
        <w:rPr>
          <w:rFonts w:ascii="Times New Roman" w:eastAsia="Times New Roman" w:hAnsi="Times New Roman" w:cs="Times New Roman"/>
          <w:color w:val="000000" w:themeColor="text1"/>
        </w:rPr>
        <w:t>In 2018, the governor of Kinshasa suspended all campaign activities in the capital during the last week of campaigning, clearly exceeding legal powers and limiting the opposition’s ability to assemble. Security forces used excessive force to disperse unauthorized gatherings welcoming candidates at airports or routes, in what TCC described as serious violations of citizens’ rights.</w:t>
      </w:r>
    </w:p>
    <w:p w14:paraId="35BA2D56"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lastRenderedPageBreak/>
        <w:t xml:space="preserve">The </w:t>
      </w:r>
      <w:r>
        <w:rPr>
          <w:rFonts w:ascii="Times New Roman" w:eastAsia="Times New Roman" w:hAnsi="Times New Roman" w:cs="Times New Roman"/>
          <w:color w:val="000000" w:themeColor="text1"/>
        </w:rPr>
        <w:t xml:space="preserve">Carter Center found that during the </w:t>
      </w:r>
      <w:r w:rsidRPr="70DCF742">
        <w:rPr>
          <w:rFonts w:ascii="Times New Roman" w:eastAsia="Times New Roman" w:hAnsi="Times New Roman" w:cs="Times New Roman"/>
          <w:color w:val="000000" w:themeColor="text1"/>
        </w:rPr>
        <w:t>2023</w:t>
      </w:r>
      <w:r>
        <w:rPr>
          <w:rFonts w:ascii="Times New Roman" w:eastAsia="Times New Roman" w:hAnsi="Times New Roman" w:cs="Times New Roman"/>
          <w:color w:val="000000" w:themeColor="text1"/>
        </w:rPr>
        <w:t xml:space="preserve"> elections</w:t>
      </w:r>
      <w:r w:rsidRPr="70DCF742" w:rsidDel="00545B1B">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 xml:space="preserve">although the legislative framework formally guarantees the rights of candidates and parties to hold peaceful meetings and demonstrations, political and civic space was constrained at times. In the pre-campaign period, Carter Center observers and interlocutors reported that marches and demonstrations were sometimes prohibited or met with disproportionate force by security services. The </w:t>
      </w:r>
      <w:r>
        <w:rPr>
          <w:rFonts w:ascii="Times New Roman" w:eastAsia="Times New Roman" w:hAnsi="Times New Roman" w:cs="Times New Roman"/>
          <w:color w:val="000000" w:themeColor="text1"/>
        </w:rPr>
        <w:t xml:space="preserve">Center’s </w:t>
      </w:r>
      <w:r w:rsidRPr="70DCF742">
        <w:rPr>
          <w:rFonts w:ascii="Times New Roman" w:eastAsia="Times New Roman" w:hAnsi="Times New Roman" w:cs="Times New Roman"/>
          <w:color w:val="000000" w:themeColor="text1"/>
        </w:rPr>
        <w:t xml:space="preserve">report also highlights the role of civil society and observers in the electoral process. It notes that civil society groups organized voter education activities intended to complement the CENI’s efforts, but that the CENI did not fund any civil society organization for civic and voter education, significantly reducing outreach to underrepresented groups. Additionally, the accreditation procedures for citizen observers and party agents were at times bureaucratic and slow, with thousands of observers reportedly failing to receive accreditation in time for election day. </w:t>
      </w:r>
    </w:p>
    <w:p w14:paraId="426A13AF"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The combination of constrained civic space, occasional repression of demonstrations, and obstacles to observer and party-agent accreditation suggests that the conditions for freely associating and assembling around the electoral process did not fully meet ICCPR standards.</w:t>
      </w:r>
    </w:p>
    <w:p w14:paraId="7A81F970" w14:textId="77777777" w:rsidR="00263E23" w:rsidRDefault="00263E23" w:rsidP="00263E23">
      <w:pPr>
        <w:spacing w:before="280" w:after="0"/>
        <w:jc w:val="both"/>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color w:val="000000" w:themeColor="text1"/>
        </w:rPr>
        <w:t>Questions for Consideration:</w:t>
      </w:r>
    </w:p>
    <w:p w14:paraId="674B27DC" w14:textId="77777777" w:rsidR="00263E23" w:rsidRDefault="00263E23" w:rsidP="00263E23">
      <w:pPr>
        <w:pStyle w:val="ListParagraph"/>
        <w:numPr>
          <w:ilvl w:val="0"/>
          <w:numId w:val="2"/>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w:t>
      </w:r>
      <w:r>
        <w:rPr>
          <w:rFonts w:ascii="Times New Roman" w:eastAsia="Times New Roman" w:hAnsi="Times New Roman" w:cs="Times New Roman"/>
          <w:color w:val="000000" w:themeColor="text1"/>
        </w:rPr>
        <w:t>at measures will the State Party take to</w:t>
      </w:r>
      <w:r w:rsidRPr="70DCF74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ensure </w:t>
      </w:r>
      <w:r w:rsidRPr="67140D5E">
        <w:rPr>
          <w:rFonts w:ascii="Times New Roman" w:eastAsia="Times New Roman" w:hAnsi="Times New Roman" w:cs="Times New Roman"/>
          <w:color w:val="000000" w:themeColor="text1"/>
        </w:rPr>
        <w:t>that</w:t>
      </w:r>
      <w:r w:rsidRPr="70DCF74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its </w:t>
      </w:r>
      <w:r w:rsidRPr="70DCF742">
        <w:rPr>
          <w:rFonts w:ascii="Times New Roman" w:eastAsia="Times New Roman" w:hAnsi="Times New Roman" w:cs="Times New Roman"/>
          <w:color w:val="000000" w:themeColor="text1"/>
        </w:rPr>
        <w:t xml:space="preserve">laws and practices on public assemblies </w:t>
      </w:r>
      <w:r w:rsidRPr="67140D5E">
        <w:rPr>
          <w:rFonts w:ascii="Times New Roman" w:eastAsia="Times New Roman" w:hAnsi="Times New Roman" w:cs="Times New Roman"/>
          <w:color w:val="000000" w:themeColor="text1"/>
        </w:rPr>
        <w:t>comply</w:t>
      </w:r>
      <w:r>
        <w:rPr>
          <w:rFonts w:ascii="Times New Roman" w:eastAsia="Times New Roman" w:hAnsi="Times New Roman" w:cs="Times New Roman"/>
          <w:color w:val="000000" w:themeColor="text1"/>
        </w:rPr>
        <w:t xml:space="preserve"> fully</w:t>
      </w:r>
      <w:r w:rsidRPr="70DCF742">
        <w:rPr>
          <w:rFonts w:ascii="Times New Roman" w:eastAsia="Times New Roman" w:hAnsi="Times New Roman" w:cs="Times New Roman"/>
          <w:color w:val="000000" w:themeColor="text1"/>
        </w:rPr>
        <w:t xml:space="preserve"> with Article 21, including replacing prior authorization with notification?</w:t>
      </w:r>
    </w:p>
    <w:p w14:paraId="49450B99" w14:textId="77777777" w:rsidR="00263E23" w:rsidRDefault="00263E23" w:rsidP="00263E23">
      <w:pPr>
        <w:pStyle w:val="ListParagraph"/>
        <w:numPr>
          <w:ilvl w:val="0"/>
          <w:numId w:val="2"/>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steps will the State take to guarantee that opposition parties and civil society can organize rallies, voter education and observation activities without undue interference or bureaucratic obstruction?</w:t>
      </w:r>
    </w:p>
    <w:p w14:paraId="465DE5DB" w14:textId="77777777" w:rsidR="002B5417" w:rsidRDefault="002B5417" w:rsidP="002B5417">
      <w:pPr>
        <w:pStyle w:val="ListParagraph"/>
        <w:spacing w:before="220" w:after="220"/>
        <w:jc w:val="both"/>
        <w:rPr>
          <w:rFonts w:ascii="Times New Roman" w:eastAsia="Times New Roman" w:hAnsi="Times New Roman" w:cs="Times New Roman"/>
          <w:color w:val="000000" w:themeColor="text1"/>
        </w:rPr>
      </w:pPr>
    </w:p>
    <w:p w14:paraId="78DABCE7" w14:textId="68F0A4C4" w:rsidR="00263E23" w:rsidRPr="002B5417" w:rsidRDefault="00263E23" w:rsidP="002B5417">
      <w:pPr>
        <w:pStyle w:val="ListParagraph"/>
        <w:numPr>
          <w:ilvl w:val="1"/>
          <w:numId w:val="9"/>
        </w:numPr>
        <w:spacing w:after="80"/>
        <w:ind w:left="630" w:hanging="540"/>
        <w:jc w:val="both"/>
        <w:rPr>
          <w:rFonts w:ascii="Times New Roman" w:eastAsia="Times New Roman" w:hAnsi="Times New Roman" w:cs="Times New Roman"/>
          <w:b/>
          <w:bCs/>
          <w:color w:val="000000" w:themeColor="text1"/>
          <w:sz w:val="26"/>
          <w:szCs w:val="26"/>
        </w:rPr>
      </w:pPr>
      <w:r w:rsidRPr="002B5417">
        <w:rPr>
          <w:rFonts w:ascii="Times New Roman" w:eastAsia="Times New Roman" w:hAnsi="Times New Roman" w:cs="Times New Roman"/>
          <w:b/>
          <w:bCs/>
          <w:color w:val="000000" w:themeColor="text1"/>
          <w:sz w:val="26"/>
          <w:szCs w:val="26"/>
        </w:rPr>
        <w:t>Article 25: Right to Participate in Public Affairs</w:t>
      </w:r>
    </w:p>
    <w:p w14:paraId="7A8DDF54"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 xml:space="preserve">Article 25 of the ICCPR guarantees every citizen the right and opportunity, </w:t>
      </w:r>
      <w:r w:rsidRPr="70DCF742">
        <w:rPr>
          <w:rFonts w:ascii="Times New Roman" w:eastAsia="Times New Roman" w:hAnsi="Times New Roman" w:cs="Times New Roman"/>
          <w:i/>
          <w:iCs/>
          <w:color w:val="000000" w:themeColor="text1"/>
        </w:rPr>
        <w:t>without any of the distinctions mentioned in article 2 and without unreasonable restrictions</w:t>
      </w:r>
      <w:r w:rsidRPr="70DCF742">
        <w:rPr>
          <w:rFonts w:ascii="Times New Roman" w:eastAsia="Times New Roman" w:hAnsi="Times New Roman" w:cs="Times New Roman"/>
          <w:color w:val="000000" w:themeColor="text1"/>
        </w:rPr>
        <w:t>, (a) to take part in the conduct of public affairs, (b) to vote and to be elected at genuine periodic elections with universal and equal suffrage and a secret ballot, and (c) to have access, on general terms of equality, to public service. The Human Rights Committee has emphasized in General Comment No. 25 that these rights are at the core of democratic governance and require States to remove obstacles that prevent equal and effective participation and to ensure that elections genuinely reflect the free expression of the will of the electors. The Carter Center’s 2018 expert mission and the 2023 international election observation mission in the DRC identify a series of structural and operational problems that, taken together, raise concerns about the State party’s compliance with article 25 ICCPR.</w:t>
      </w:r>
    </w:p>
    <w:p w14:paraId="2FBD8BA2" w14:textId="77777777" w:rsidR="00263E23" w:rsidRDefault="00263E23" w:rsidP="00C06C9B">
      <w:pPr>
        <w:spacing w:before="240" w:after="0"/>
        <w:jc w:val="both"/>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b/>
          <w:bCs/>
          <w:i/>
          <w:iCs/>
          <w:color w:val="000000" w:themeColor="text1"/>
        </w:rPr>
        <w:t>Disenfranchisement of entire territories:</w:t>
      </w:r>
    </w:p>
    <w:p w14:paraId="15A291E8" w14:textId="77777777" w:rsidR="00263E23" w:rsidRDefault="00263E23" w:rsidP="00263E23">
      <w:pPr>
        <w:spacing w:before="240" w:after="24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lastRenderedPageBreak/>
        <w:t>In 2018, the CENI cancelled the presidential election in Beni, Beni-Ville, Butembo and Yumbi, denying over 1.2 million registered voters the opportunity to vote for president, while still organizing legislative polls later. The Carter Center considered this inconsistent with universal and equal suffrage under Article 25. In 2023, security conditions in the east and a state of siege led to the cancellation of elections in three territories.</w:t>
      </w:r>
    </w:p>
    <w:p w14:paraId="551627BB" w14:textId="77777777" w:rsidR="00A7254E" w:rsidRDefault="00263E23" w:rsidP="00A7254E">
      <w:pPr>
        <w:spacing w:before="240" w:after="0"/>
        <w:jc w:val="both"/>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b/>
          <w:bCs/>
          <w:i/>
          <w:iCs/>
          <w:color w:val="000000" w:themeColor="text1"/>
        </w:rPr>
        <w:t>Under-registration and practical barriers to voting</w:t>
      </w:r>
    </w:p>
    <w:p w14:paraId="2019A12D" w14:textId="17B35024" w:rsidR="00A7254E" w:rsidRPr="00A7254E" w:rsidRDefault="00263E23" w:rsidP="00A7254E">
      <w:pPr>
        <w:spacing w:after="0"/>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color w:val="000000" w:themeColor="text1"/>
        </w:rPr>
        <w:t xml:space="preserve">The </w:t>
      </w:r>
      <w:r>
        <w:rPr>
          <w:rFonts w:ascii="Times New Roman" w:eastAsia="Times New Roman" w:hAnsi="Times New Roman" w:cs="Times New Roman"/>
          <w:color w:val="000000" w:themeColor="text1"/>
        </w:rPr>
        <w:t xml:space="preserve">Carter Center mission in </w:t>
      </w:r>
      <w:r w:rsidRPr="70DCF742">
        <w:rPr>
          <w:rFonts w:ascii="Times New Roman" w:eastAsia="Times New Roman" w:hAnsi="Times New Roman" w:cs="Times New Roman"/>
          <w:color w:val="000000" w:themeColor="text1"/>
        </w:rPr>
        <w:t>2023</w:t>
      </w:r>
      <w:r w:rsidRPr="70DCF742" w:rsidDel="00380128">
        <w:rPr>
          <w:rFonts w:ascii="Times New Roman" w:eastAsia="Times New Roman" w:hAnsi="Times New Roman" w:cs="Times New Roman"/>
          <w:color w:val="000000" w:themeColor="text1"/>
        </w:rPr>
        <w:t xml:space="preserve"> </w:t>
      </w:r>
      <w:r w:rsidRPr="70DCF742">
        <w:rPr>
          <w:rFonts w:ascii="Times New Roman" w:eastAsia="Times New Roman" w:hAnsi="Times New Roman" w:cs="Times New Roman"/>
          <w:color w:val="000000" w:themeColor="text1"/>
        </w:rPr>
        <w:t>found that the voter registration process under-registered eligible citizens, particularly women, internally displaced persons, indigenous peoples and persons with disabilities. Problems with issuing voter cards and delays in publishing lists created uncertainty for many voters about their ability to vote.</w:t>
      </w:r>
      <w:r>
        <w:br/>
      </w:r>
    </w:p>
    <w:p w14:paraId="07C1849C" w14:textId="77777777" w:rsidR="00C06C9B" w:rsidRDefault="00263E23" w:rsidP="00C06C9B">
      <w:pPr>
        <w:spacing w:after="0"/>
        <w:rPr>
          <w:rFonts w:ascii="Times New Roman" w:eastAsia="Times New Roman" w:hAnsi="Times New Roman" w:cs="Times New Roman"/>
          <w:color w:val="000000" w:themeColor="text1"/>
        </w:rPr>
      </w:pPr>
      <w:r w:rsidRPr="70DCF742">
        <w:rPr>
          <w:rFonts w:ascii="Times New Roman" w:eastAsia="Times New Roman" w:hAnsi="Times New Roman" w:cs="Times New Roman"/>
          <w:b/>
          <w:bCs/>
          <w:i/>
          <w:iCs/>
          <w:color w:val="000000" w:themeColor="text1"/>
        </w:rPr>
        <w:t>Unequal opportunity to stand and campaign</w:t>
      </w:r>
    </w:p>
    <w:p w14:paraId="767F541C" w14:textId="64AACE84" w:rsidR="00263E23" w:rsidRDefault="00263E23" w:rsidP="00C06C9B">
      <w:pPr>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High candidate fees introduced in 2018 were found to severely impact the right to stand for disadvantaged groups and are inconsistent with international obligations. The exclusion of key opposition leaders (Bemba and Katumbi) in 2018 and ongoing abuse of state resources and incumbency advantages in 2023 undermined genuine competition.</w:t>
      </w:r>
    </w:p>
    <w:p w14:paraId="207AA4EA" w14:textId="77777777" w:rsidR="00A7254E" w:rsidRDefault="00263E23" w:rsidP="00C06C9B">
      <w:pPr>
        <w:spacing w:after="0"/>
        <w:jc w:val="both"/>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b/>
          <w:bCs/>
          <w:i/>
          <w:iCs/>
          <w:color w:val="000000" w:themeColor="text1"/>
        </w:rPr>
        <w:t>Lack of transparency in results and dispute resolution</w:t>
      </w:r>
    </w:p>
    <w:p w14:paraId="30D25FF1" w14:textId="7B5D76F2" w:rsidR="00263E23" w:rsidRPr="00A7254E" w:rsidRDefault="00263E23" w:rsidP="00C06C9B">
      <w:pPr>
        <w:spacing w:after="0"/>
        <w:jc w:val="both"/>
        <w:rPr>
          <w:rFonts w:ascii="Times New Roman" w:eastAsia="Times New Roman" w:hAnsi="Times New Roman" w:cs="Times New Roman"/>
          <w:b/>
          <w:bCs/>
          <w:i/>
          <w:iCs/>
          <w:color w:val="000000" w:themeColor="text1"/>
        </w:rPr>
      </w:pPr>
      <w:r w:rsidRPr="70DCF742">
        <w:rPr>
          <w:rFonts w:ascii="Times New Roman" w:eastAsia="Times New Roman" w:hAnsi="Times New Roman" w:cs="Times New Roman"/>
          <w:color w:val="000000" w:themeColor="text1"/>
        </w:rPr>
        <w:t xml:space="preserve">The </w:t>
      </w:r>
      <w:r>
        <w:rPr>
          <w:rFonts w:ascii="Times New Roman" w:eastAsia="Times New Roman" w:hAnsi="Times New Roman" w:cs="Times New Roman"/>
          <w:color w:val="000000" w:themeColor="text1"/>
        </w:rPr>
        <w:t xml:space="preserve">Carter Center </w:t>
      </w:r>
      <w:r w:rsidRPr="70DCF742">
        <w:rPr>
          <w:rFonts w:ascii="Times New Roman" w:eastAsia="Times New Roman" w:hAnsi="Times New Roman" w:cs="Times New Roman"/>
          <w:color w:val="000000" w:themeColor="text1"/>
        </w:rPr>
        <w:t xml:space="preserve">2023 </w:t>
      </w:r>
      <w:r>
        <w:rPr>
          <w:rFonts w:ascii="Times New Roman" w:eastAsia="Times New Roman" w:hAnsi="Times New Roman" w:cs="Times New Roman"/>
          <w:color w:val="000000" w:themeColor="text1"/>
        </w:rPr>
        <w:t xml:space="preserve">mission </w:t>
      </w:r>
      <w:r w:rsidRPr="67140D5E">
        <w:rPr>
          <w:rFonts w:ascii="Times New Roman" w:eastAsia="Times New Roman" w:hAnsi="Times New Roman" w:cs="Times New Roman"/>
          <w:color w:val="000000" w:themeColor="text1"/>
        </w:rPr>
        <w:t>pointed</w:t>
      </w:r>
      <w:r w:rsidRPr="70DCF742">
        <w:rPr>
          <w:rFonts w:ascii="Times New Roman" w:eastAsia="Times New Roman" w:hAnsi="Times New Roman" w:cs="Times New Roman"/>
          <w:color w:val="000000" w:themeColor="text1"/>
        </w:rPr>
        <w:t xml:space="preserve"> out that the December 2023 general elections fell short of meeting some key international commitments for democratic elections, among them the requirement of transparency in tabulation and dispute resolution. It highlights the CENI’s deviation from the law in the tabulation process and a lack of transparency in post-election dispute resolution, which contributed to a deep lack of confidence in the fairness of the process among many citizens. The report also recalls the legacy of the 2018 presidential election, where the publication of results was not sufficiently disaggregated to allow independent verification; this legacy continues to undermine public trust and thus the ability of elections to serve as an authentic expression of the popular will, as required by article 25(b) ICCPR, article 21(3) UDHR, and article 17 of the African Charter on Democracy, Elections, and Governance. General Comment No. 25, paras. 20-21, stresses that transparency in vote counting and the availability of remedies for electoral complaints are essential to protect the integrity of the electoral process. The Carter Center’s findings suggest that persistent weaknesses in these areas in both 2018 and 2023 have compromised the perception that Congolese citizens can genuinely express their will periodically and in accordance with the constitution.</w:t>
      </w:r>
    </w:p>
    <w:p w14:paraId="240FF9F7" w14:textId="77777777" w:rsidR="00A7254E" w:rsidRDefault="00A7254E" w:rsidP="00263E23">
      <w:pPr>
        <w:spacing w:after="0"/>
        <w:jc w:val="both"/>
        <w:rPr>
          <w:rFonts w:ascii="Times New Roman" w:eastAsia="Times New Roman" w:hAnsi="Times New Roman" w:cs="Times New Roman"/>
          <w:b/>
          <w:bCs/>
          <w:color w:val="000000" w:themeColor="text1"/>
        </w:rPr>
      </w:pPr>
    </w:p>
    <w:p w14:paraId="11B76EA1" w14:textId="2713221A" w:rsidR="00263E23" w:rsidRDefault="00263E23" w:rsidP="00263E23">
      <w:pPr>
        <w:spacing w:after="0"/>
        <w:jc w:val="both"/>
        <w:rPr>
          <w:rFonts w:ascii="Times New Roman" w:eastAsia="Times New Roman" w:hAnsi="Times New Roman" w:cs="Times New Roman"/>
          <w:b/>
          <w:bCs/>
          <w:color w:val="000000" w:themeColor="text1"/>
        </w:rPr>
      </w:pPr>
      <w:r w:rsidRPr="70DCF742">
        <w:rPr>
          <w:rFonts w:ascii="Times New Roman" w:eastAsia="Times New Roman" w:hAnsi="Times New Roman" w:cs="Times New Roman"/>
          <w:b/>
          <w:bCs/>
          <w:color w:val="000000" w:themeColor="text1"/>
        </w:rPr>
        <w:t>Questions for Consideration:</w:t>
      </w:r>
    </w:p>
    <w:p w14:paraId="451BD44E" w14:textId="77777777" w:rsidR="00263E23" w:rsidRDefault="00263E23" w:rsidP="00263E23">
      <w:pPr>
        <w:pStyle w:val="ListParagraph"/>
        <w:numPr>
          <w:ilvl w:val="0"/>
          <w:numId w:val="1"/>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How will the DRC prevent territorial disenfranchisement in future elections and ensure that voters in conflict-affected territories can exercise their rights under Article 25?</w:t>
      </w:r>
    </w:p>
    <w:p w14:paraId="57AC888E" w14:textId="77777777" w:rsidR="00263E23" w:rsidRDefault="00263E23" w:rsidP="00263E23">
      <w:pPr>
        <w:pStyle w:val="ListParagraph"/>
        <w:numPr>
          <w:ilvl w:val="0"/>
          <w:numId w:val="1"/>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concrete steps will be taken to remedy under-registration and practical barriers to voting for women, indigenous peoples and persons with disabilities?</w:t>
      </w:r>
    </w:p>
    <w:p w14:paraId="10FF8FB9" w14:textId="77777777" w:rsidR="00263E23" w:rsidRDefault="00263E23" w:rsidP="00263E23">
      <w:pPr>
        <w:pStyle w:val="ListParagraph"/>
        <w:numPr>
          <w:ilvl w:val="0"/>
          <w:numId w:val="1"/>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lastRenderedPageBreak/>
        <w:t>What concrete measures are in place, or planned, to prevent and sanction the misuse of state resources during election campaigns and to ensure that all parties and candidates can compete on equal terms?</w:t>
      </w:r>
    </w:p>
    <w:p w14:paraId="37396168" w14:textId="77777777" w:rsidR="00263E23" w:rsidRDefault="00263E23" w:rsidP="00263E23">
      <w:pPr>
        <w:pStyle w:val="ListParagraph"/>
        <w:numPr>
          <w:ilvl w:val="0"/>
          <w:numId w:val="1"/>
        </w:numPr>
        <w:spacing w:before="220" w:after="220"/>
        <w:jc w:val="both"/>
        <w:rPr>
          <w:rFonts w:ascii="Times New Roman" w:eastAsia="Times New Roman" w:hAnsi="Times New Roman" w:cs="Times New Roman"/>
          <w:color w:val="000000" w:themeColor="text1"/>
        </w:rPr>
      </w:pPr>
      <w:r w:rsidRPr="70DCF742">
        <w:rPr>
          <w:rFonts w:ascii="Times New Roman" w:eastAsia="Times New Roman" w:hAnsi="Times New Roman" w:cs="Times New Roman"/>
          <w:color w:val="000000" w:themeColor="text1"/>
        </w:rPr>
        <w:t>What steps will be taken to ensure full transparency of the tabulation process, including publication of detailed polling-station-level results, and to guarantee that all electoral complaints are examined promptly by independent and impartial bodies whose decisions are reasoned and accessible to the public?</w:t>
      </w:r>
    </w:p>
    <w:p w14:paraId="2F5AAB46" w14:textId="77777777" w:rsidR="00263E23" w:rsidRDefault="00263E23" w:rsidP="00263E23">
      <w:pPr>
        <w:spacing w:line="257" w:lineRule="auto"/>
        <w:jc w:val="both"/>
      </w:pPr>
    </w:p>
    <w:p w14:paraId="313DE8BE" w14:textId="34032789" w:rsidR="00263E23" w:rsidRPr="00263E23" w:rsidRDefault="00263E23" w:rsidP="00263E23">
      <w:pPr>
        <w:rPr>
          <w:rFonts w:ascii="Aptos" w:eastAsia="Aptos" w:hAnsi="Aptos" w:cs="Aptos"/>
          <w:b/>
          <w:bCs/>
        </w:rPr>
      </w:pPr>
      <w:r>
        <w:br/>
      </w:r>
      <w:r>
        <w:br/>
      </w:r>
    </w:p>
    <w:sectPr w:rsidR="00263E23" w:rsidRPr="00263E23" w:rsidSect="00263E23">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D975A" w14:textId="77777777" w:rsidR="001A3F7D" w:rsidRDefault="001A3F7D" w:rsidP="00263E23">
      <w:pPr>
        <w:spacing w:after="0" w:line="240" w:lineRule="auto"/>
      </w:pPr>
      <w:r>
        <w:separator/>
      </w:r>
    </w:p>
  </w:endnote>
  <w:endnote w:type="continuationSeparator" w:id="0">
    <w:p w14:paraId="3CE35202" w14:textId="77777777" w:rsidR="001A3F7D" w:rsidRDefault="001A3F7D" w:rsidP="00263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Pro">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264400"/>
      <w:docPartObj>
        <w:docPartGallery w:val="Page Numbers (Bottom of Page)"/>
        <w:docPartUnique/>
      </w:docPartObj>
    </w:sdtPr>
    <w:sdtEndPr>
      <w:rPr>
        <w:noProof/>
      </w:rPr>
    </w:sdtEndPr>
    <w:sdtContent>
      <w:p w14:paraId="299B9930" w14:textId="77777777" w:rsidR="00263E23" w:rsidRDefault="00263E23">
        <w:pPr>
          <w:pStyle w:val="Footer"/>
          <w:jc w:val="center"/>
        </w:pPr>
      </w:p>
      <w:p w14:paraId="22D7CBD9" w14:textId="0DAFBABD" w:rsidR="00263E23" w:rsidRDefault="00263E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DC2C05" w14:textId="77777777" w:rsidR="00263E23" w:rsidRDefault="00263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677DB" w14:textId="77777777" w:rsidR="001A3F7D" w:rsidRDefault="001A3F7D" w:rsidP="00263E23">
      <w:pPr>
        <w:spacing w:after="0" w:line="240" w:lineRule="auto"/>
      </w:pPr>
      <w:r>
        <w:separator/>
      </w:r>
    </w:p>
  </w:footnote>
  <w:footnote w:type="continuationSeparator" w:id="0">
    <w:p w14:paraId="5D3A6139" w14:textId="77777777" w:rsidR="001A3F7D" w:rsidRDefault="001A3F7D" w:rsidP="00263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1F8"/>
    <w:multiLevelType w:val="multilevel"/>
    <w:tmpl w:val="B3983AB2"/>
    <w:lvl w:ilvl="0">
      <w:start w:val="1"/>
      <w:numFmt w:val="decimal"/>
      <w:lvlText w:val="%1."/>
      <w:lvlJc w:val="left"/>
      <w:pPr>
        <w:ind w:left="2160" w:hanging="360"/>
      </w:pPr>
      <w:rPr>
        <w:rFonts w:hint="default"/>
        <w:b/>
        <w:color w:val="auto"/>
        <w:sz w:val="28"/>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136FBBEC"/>
    <w:multiLevelType w:val="hybridMultilevel"/>
    <w:tmpl w:val="FCFE3C80"/>
    <w:lvl w:ilvl="0" w:tplc="56C8C978">
      <w:start w:val="1"/>
      <w:numFmt w:val="decimal"/>
      <w:lvlText w:val="%1."/>
      <w:lvlJc w:val="left"/>
      <w:pPr>
        <w:ind w:left="720" w:hanging="360"/>
      </w:pPr>
    </w:lvl>
    <w:lvl w:ilvl="1" w:tplc="8A2A146A">
      <w:start w:val="1"/>
      <w:numFmt w:val="lowerLetter"/>
      <w:lvlText w:val="%2."/>
      <w:lvlJc w:val="left"/>
      <w:pPr>
        <w:ind w:left="1440" w:hanging="360"/>
      </w:pPr>
    </w:lvl>
    <w:lvl w:ilvl="2" w:tplc="98E05FAA">
      <w:start w:val="1"/>
      <w:numFmt w:val="lowerRoman"/>
      <w:lvlText w:val="%3."/>
      <w:lvlJc w:val="right"/>
      <w:pPr>
        <w:ind w:left="2160" w:hanging="180"/>
      </w:pPr>
    </w:lvl>
    <w:lvl w:ilvl="3" w:tplc="88DE23DC">
      <w:start w:val="1"/>
      <w:numFmt w:val="decimal"/>
      <w:lvlText w:val="%4."/>
      <w:lvlJc w:val="left"/>
      <w:pPr>
        <w:ind w:left="2880" w:hanging="360"/>
      </w:pPr>
    </w:lvl>
    <w:lvl w:ilvl="4" w:tplc="04EAFA6E">
      <w:start w:val="1"/>
      <w:numFmt w:val="lowerLetter"/>
      <w:lvlText w:val="%5."/>
      <w:lvlJc w:val="left"/>
      <w:pPr>
        <w:ind w:left="3600" w:hanging="360"/>
      </w:pPr>
    </w:lvl>
    <w:lvl w:ilvl="5" w:tplc="DE3C4E4C">
      <w:start w:val="1"/>
      <w:numFmt w:val="lowerRoman"/>
      <w:lvlText w:val="%6."/>
      <w:lvlJc w:val="right"/>
      <w:pPr>
        <w:ind w:left="4320" w:hanging="180"/>
      </w:pPr>
    </w:lvl>
    <w:lvl w:ilvl="6" w:tplc="34785F82">
      <w:start w:val="1"/>
      <w:numFmt w:val="decimal"/>
      <w:lvlText w:val="%7."/>
      <w:lvlJc w:val="left"/>
      <w:pPr>
        <w:ind w:left="5040" w:hanging="360"/>
      </w:pPr>
    </w:lvl>
    <w:lvl w:ilvl="7" w:tplc="58320A6A">
      <w:start w:val="1"/>
      <w:numFmt w:val="lowerLetter"/>
      <w:lvlText w:val="%8."/>
      <w:lvlJc w:val="left"/>
      <w:pPr>
        <w:ind w:left="5760" w:hanging="360"/>
      </w:pPr>
    </w:lvl>
    <w:lvl w:ilvl="8" w:tplc="C9FA323A">
      <w:start w:val="1"/>
      <w:numFmt w:val="lowerRoman"/>
      <w:lvlText w:val="%9."/>
      <w:lvlJc w:val="right"/>
      <w:pPr>
        <w:ind w:left="6480" w:hanging="180"/>
      </w:pPr>
    </w:lvl>
  </w:abstractNum>
  <w:abstractNum w:abstractNumId="2" w15:restartNumberingAfterBreak="0">
    <w:nsid w:val="2AF56A50"/>
    <w:multiLevelType w:val="hybridMultilevel"/>
    <w:tmpl w:val="3D707B90"/>
    <w:lvl w:ilvl="0" w:tplc="DECCF342">
      <w:start w:val="1"/>
      <w:numFmt w:val="decimal"/>
      <w:lvlText w:val="%1."/>
      <w:lvlJc w:val="left"/>
      <w:pPr>
        <w:ind w:left="720" w:hanging="360"/>
      </w:pPr>
    </w:lvl>
    <w:lvl w:ilvl="1" w:tplc="C13E23D8">
      <w:start w:val="1"/>
      <w:numFmt w:val="lowerLetter"/>
      <w:lvlText w:val="%2."/>
      <w:lvlJc w:val="left"/>
      <w:pPr>
        <w:ind w:left="1440" w:hanging="360"/>
      </w:pPr>
    </w:lvl>
    <w:lvl w:ilvl="2" w:tplc="8A48507C">
      <w:start w:val="1"/>
      <w:numFmt w:val="lowerRoman"/>
      <w:lvlText w:val="%3."/>
      <w:lvlJc w:val="right"/>
      <w:pPr>
        <w:ind w:left="2160" w:hanging="180"/>
      </w:pPr>
    </w:lvl>
    <w:lvl w:ilvl="3" w:tplc="0BC02572">
      <w:start w:val="1"/>
      <w:numFmt w:val="decimal"/>
      <w:lvlText w:val="%4."/>
      <w:lvlJc w:val="left"/>
      <w:pPr>
        <w:ind w:left="2880" w:hanging="360"/>
      </w:pPr>
    </w:lvl>
    <w:lvl w:ilvl="4" w:tplc="EB86F108">
      <w:start w:val="1"/>
      <w:numFmt w:val="lowerLetter"/>
      <w:lvlText w:val="%5."/>
      <w:lvlJc w:val="left"/>
      <w:pPr>
        <w:ind w:left="3600" w:hanging="360"/>
      </w:pPr>
    </w:lvl>
    <w:lvl w:ilvl="5" w:tplc="81B8D744">
      <w:start w:val="1"/>
      <w:numFmt w:val="lowerRoman"/>
      <w:lvlText w:val="%6."/>
      <w:lvlJc w:val="right"/>
      <w:pPr>
        <w:ind w:left="4320" w:hanging="180"/>
      </w:pPr>
    </w:lvl>
    <w:lvl w:ilvl="6" w:tplc="E3F25FFE">
      <w:start w:val="1"/>
      <w:numFmt w:val="decimal"/>
      <w:lvlText w:val="%7."/>
      <w:lvlJc w:val="left"/>
      <w:pPr>
        <w:ind w:left="5040" w:hanging="360"/>
      </w:pPr>
    </w:lvl>
    <w:lvl w:ilvl="7" w:tplc="190435BA">
      <w:start w:val="1"/>
      <w:numFmt w:val="lowerLetter"/>
      <w:lvlText w:val="%8."/>
      <w:lvlJc w:val="left"/>
      <w:pPr>
        <w:ind w:left="5760" w:hanging="360"/>
      </w:pPr>
    </w:lvl>
    <w:lvl w:ilvl="8" w:tplc="7C4E2FCE">
      <w:start w:val="1"/>
      <w:numFmt w:val="lowerRoman"/>
      <w:lvlText w:val="%9."/>
      <w:lvlJc w:val="right"/>
      <w:pPr>
        <w:ind w:left="6480" w:hanging="180"/>
      </w:pPr>
    </w:lvl>
  </w:abstractNum>
  <w:abstractNum w:abstractNumId="3" w15:restartNumberingAfterBreak="0">
    <w:nsid w:val="320AA882"/>
    <w:multiLevelType w:val="hybridMultilevel"/>
    <w:tmpl w:val="0436D1B6"/>
    <w:lvl w:ilvl="0" w:tplc="D9A42C54">
      <w:start w:val="1"/>
      <w:numFmt w:val="decimal"/>
      <w:lvlText w:val="%1."/>
      <w:lvlJc w:val="left"/>
      <w:pPr>
        <w:ind w:left="720" w:hanging="360"/>
      </w:pPr>
    </w:lvl>
    <w:lvl w:ilvl="1" w:tplc="EAA66AFC">
      <w:start w:val="1"/>
      <w:numFmt w:val="lowerLetter"/>
      <w:lvlText w:val="%2."/>
      <w:lvlJc w:val="left"/>
      <w:pPr>
        <w:ind w:left="1440" w:hanging="360"/>
      </w:pPr>
    </w:lvl>
    <w:lvl w:ilvl="2" w:tplc="CDB2C4FC">
      <w:start w:val="1"/>
      <w:numFmt w:val="lowerRoman"/>
      <w:lvlText w:val="%3."/>
      <w:lvlJc w:val="right"/>
      <w:pPr>
        <w:ind w:left="2160" w:hanging="180"/>
      </w:pPr>
    </w:lvl>
    <w:lvl w:ilvl="3" w:tplc="94AE442C">
      <w:start w:val="1"/>
      <w:numFmt w:val="decimal"/>
      <w:lvlText w:val="%4."/>
      <w:lvlJc w:val="left"/>
      <w:pPr>
        <w:ind w:left="2880" w:hanging="360"/>
      </w:pPr>
    </w:lvl>
    <w:lvl w:ilvl="4" w:tplc="DE54E3AA">
      <w:start w:val="1"/>
      <w:numFmt w:val="lowerLetter"/>
      <w:lvlText w:val="%5."/>
      <w:lvlJc w:val="left"/>
      <w:pPr>
        <w:ind w:left="3600" w:hanging="360"/>
      </w:pPr>
    </w:lvl>
    <w:lvl w:ilvl="5" w:tplc="863890A2">
      <w:start w:val="1"/>
      <w:numFmt w:val="lowerRoman"/>
      <w:lvlText w:val="%6."/>
      <w:lvlJc w:val="right"/>
      <w:pPr>
        <w:ind w:left="4320" w:hanging="180"/>
      </w:pPr>
    </w:lvl>
    <w:lvl w:ilvl="6" w:tplc="18EECECA">
      <w:start w:val="1"/>
      <w:numFmt w:val="decimal"/>
      <w:lvlText w:val="%7."/>
      <w:lvlJc w:val="left"/>
      <w:pPr>
        <w:ind w:left="5040" w:hanging="360"/>
      </w:pPr>
    </w:lvl>
    <w:lvl w:ilvl="7" w:tplc="D4EE462C">
      <w:start w:val="1"/>
      <w:numFmt w:val="lowerLetter"/>
      <w:lvlText w:val="%8."/>
      <w:lvlJc w:val="left"/>
      <w:pPr>
        <w:ind w:left="5760" w:hanging="360"/>
      </w:pPr>
    </w:lvl>
    <w:lvl w:ilvl="8" w:tplc="82BA97A6">
      <w:start w:val="1"/>
      <w:numFmt w:val="lowerRoman"/>
      <w:lvlText w:val="%9."/>
      <w:lvlJc w:val="right"/>
      <w:pPr>
        <w:ind w:left="6480" w:hanging="180"/>
      </w:pPr>
    </w:lvl>
  </w:abstractNum>
  <w:abstractNum w:abstractNumId="4" w15:restartNumberingAfterBreak="0">
    <w:nsid w:val="3B026FAF"/>
    <w:multiLevelType w:val="hybridMultilevel"/>
    <w:tmpl w:val="363E5F60"/>
    <w:lvl w:ilvl="0" w:tplc="F08EFB5A">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F89667"/>
    <w:multiLevelType w:val="hybridMultilevel"/>
    <w:tmpl w:val="9828C9B0"/>
    <w:lvl w:ilvl="0" w:tplc="05306068">
      <w:start w:val="1"/>
      <w:numFmt w:val="decimal"/>
      <w:lvlText w:val="%1."/>
      <w:lvlJc w:val="left"/>
      <w:pPr>
        <w:ind w:left="720" w:hanging="360"/>
      </w:pPr>
    </w:lvl>
    <w:lvl w:ilvl="1" w:tplc="14CC4F3A">
      <w:start w:val="1"/>
      <w:numFmt w:val="lowerLetter"/>
      <w:lvlText w:val="%2."/>
      <w:lvlJc w:val="left"/>
      <w:pPr>
        <w:ind w:left="1440" w:hanging="360"/>
      </w:pPr>
    </w:lvl>
    <w:lvl w:ilvl="2" w:tplc="FE34BBF4">
      <w:start w:val="1"/>
      <w:numFmt w:val="lowerRoman"/>
      <w:lvlText w:val="%3."/>
      <w:lvlJc w:val="right"/>
      <w:pPr>
        <w:ind w:left="2160" w:hanging="180"/>
      </w:pPr>
    </w:lvl>
    <w:lvl w:ilvl="3" w:tplc="3922190E">
      <w:start w:val="1"/>
      <w:numFmt w:val="decimal"/>
      <w:lvlText w:val="%4."/>
      <w:lvlJc w:val="left"/>
      <w:pPr>
        <w:ind w:left="2880" w:hanging="360"/>
      </w:pPr>
    </w:lvl>
    <w:lvl w:ilvl="4" w:tplc="7E16AA24">
      <w:start w:val="1"/>
      <w:numFmt w:val="lowerLetter"/>
      <w:lvlText w:val="%5."/>
      <w:lvlJc w:val="left"/>
      <w:pPr>
        <w:ind w:left="3600" w:hanging="360"/>
      </w:pPr>
    </w:lvl>
    <w:lvl w:ilvl="5" w:tplc="CEECC4F6">
      <w:start w:val="1"/>
      <w:numFmt w:val="lowerRoman"/>
      <w:lvlText w:val="%6."/>
      <w:lvlJc w:val="right"/>
      <w:pPr>
        <w:ind w:left="4320" w:hanging="180"/>
      </w:pPr>
    </w:lvl>
    <w:lvl w:ilvl="6" w:tplc="AAF89482">
      <w:start w:val="1"/>
      <w:numFmt w:val="decimal"/>
      <w:lvlText w:val="%7."/>
      <w:lvlJc w:val="left"/>
      <w:pPr>
        <w:ind w:left="5040" w:hanging="360"/>
      </w:pPr>
    </w:lvl>
    <w:lvl w:ilvl="7" w:tplc="C330892C">
      <w:start w:val="1"/>
      <w:numFmt w:val="lowerLetter"/>
      <w:lvlText w:val="%8."/>
      <w:lvlJc w:val="left"/>
      <w:pPr>
        <w:ind w:left="5760" w:hanging="360"/>
      </w:pPr>
    </w:lvl>
    <w:lvl w:ilvl="8" w:tplc="C6100918">
      <w:start w:val="1"/>
      <w:numFmt w:val="lowerRoman"/>
      <w:lvlText w:val="%9."/>
      <w:lvlJc w:val="right"/>
      <w:pPr>
        <w:ind w:left="6480" w:hanging="180"/>
      </w:pPr>
    </w:lvl>
  </w:abstractNum>
  <w:abstractNum w:abstractNumId="6" w15:restartNumberingAfterBreak="0">
    <w:nsid w:val="4268628D"/>
    <w:multiLevelType w:val="hybridMultilevel"/>
    <w:tmpl w:val="F5901764"/>
    <w:lvl w:ilvl="0" w:tplc="A440BA4E">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25B758"/>
    <w:multiLevelType w:val="hybridMultilevel"/>
    <w:tmpl w:val="32D8DF18"/>
    <w:lvl w:ilvl="0" w:tplc="53A090B4">
      <w:start w:val="1"/>
      <w:numFmt w:val="decimal"/>
      <w:lvlText w:val="%1."/>
      <w:lvlJc w:val="left"/>
      <w:pPr>
        <w:ind w:left="720" w:hanging="360"/>
      </w:pPr>
    </w:lvl>
    <w:lvl w:ilvl="1" w:tplc="EB80130C">
      <w:start w:val="1"/>
      <w:numFmt w:val="lowerLetter"/>
      <w:lvlText w:val="%2."/>
      <w:lvlJc w:val="left"/>
      <w:pPr>
        <w:ind w:left="1440" w:hanging="360"/>
      </w:pPr>
    </w:lvl>
    <w:lvl w:ilvl="2" w:tplc="14D6C4B0">
      <w:start w:val="1"/>
      <w:numFmt w:val="lowerRoman"/>
      <w:lvlText w:val="%3."/>
      <w:lvlJc w:val="right"/>
      <w:pPr>
        <w:ind w:left="2160" w:hanging="180"/>
      </w:pPr>
    </w:lvl>
    <w:lvl w:ilvl="3" w:tplc="0BDEACC4">
      <w:start w:val="1"/>
      <w:numFmt w:val="decimal"/>
      <w:lvlText w:val="%4."/>
      <w:lvlJc w:val="left"/>
      <w:pPr>
        <w:ind w:left="2880" w:hanging="360"/>
      </w:pPr>
    </w:lvl>
    <w:lvl w:ilvl="4" w:tplc="6F8E39A6">
      <w:start w:val="1"/>
      <w:numFmt w:val="lowerLetter"/>
      <w:lvlText w:val="%5."/>
      <w:lvlJc w:val="left"/>
      <w:pPr>
        <w:ind w:left="3600" w:hanging="360"/>
      </w:pPr>
    </w:lvl>
    <w:lvl w:ilvl="5" w:tplc="F8FC6EE4">
      <w:start w:val="1"/>
      <w:numFmt w:val="lowerRoman"/>
      <w:lvlText w:val="%6."/>
      <w:lvlJc w:val="right"/>
      <w:pPr>
        <w:ind w:left="4320" w:hanging="180"/>
      </w:pPr>
    </w:lvl>
    <w:lvl w:ilvl="6" w:tplc="81C85A08">
      <w:start w:val="1"/>
      <w:numFmt w:val="decimal"/>
      <w:lvlText w:val="%7."/>
      <w:lvlJc w:val="left"/>
      <w:pPr>
        <w:ind w:left="5040" w:hanging="360"/>
      </w:pPr>
    </w:lvl>
    <w:lvl w:ilvl="7" w:tplc="55E6E818">
      <w:start w:val="1"/>
      <w:numFmt w:val="lowerLetter"/>
      <w:lvlText w:val="%8."/>
      <w:lvlJc w:val="left"/>
      <w:pPr>
        <w:ind w:left="5760" w:hanging="360"/>
      </w:pPr>
    </w:lvl>
    <w:lvl w:ilvl="8" w:tplc="A0C4EA42">
      <w:start w:val="1"/>
      <w:numFmt w:val="lowerRoman"/>
      <w:lvlText w:val="%9."/>
      <w:lvlJc w:val="right"/>
      <w:pPr>
        <w:ind w:left="6480" w:hanging="180"/>
      </w:pPr>
    </w:lvl>
  </w:abstractNum>
  <w:abstractNum w:abstractNumId="8" w15:restartNumberingAfterBreak="0">
    <w:nsid w:val="58F63A1A"/>
    <w:multiLevelType w:val="hybridMultilevel"/>
    <w:tmpl w:val="1868BA80"/>
    <w:lvl w:ilvl="0" w:tplc="5BBCA39C">
      <w:start w:val="1"/>
      <w:numFmt w:val="decimal"/>
      <w:lvlText w:val="%1."/>
      <w:lvlJc w:val="left"/>
      <w:pPr>
        <w:ind w:left="720" w:hanging="360"/>
      </w:pPr>
    </w:lvl>
    <w:lvl w:ilvl="1" w:tplc="0EE6F780">
      <w:start w:val="1"/>
      <w:numFmt w:val="lowerLetter"/>
      <w:lvlText w:val="%2."/>
      <w:lvlJc w:val="left"/>
      <w:pPr>
        <w:ind w:left="1440" w:hanging="360"/>
      </w:pPr>
    </w:lvl>
    <w:lvl w:ilvl="2" w:tplc="A0101D32">
      <w:start w:val="1"/>
      <w:numFmt w:val="lowerRoman"/>
      <w:lvlText w:val="%3."/>
      <w:lvlJc w:val="right"/>
      <w:pPr>
        <w:ind w:left="2160" w:hanging="180"/>
      </w:pPr>
    </w:lvl>
    <w:lvl w:ilvl="3" w:tplc="7772E35C">
      <w:start w:val="1"/>
      <w:numFmt w:val="decimal"/>
      <w:lvlText w:val="%4."/>
      <w:lvlJc w:val="left"/>
      <w:pPr>
        <w:ind w:left="2880" w:hanging="360"/>
      </w:pPr>
    </w:lvl>
    <w:lvl w:ilvl="4" w:tplc="F60601C8">
      <w:start w:val="1"/>
      <w:numFmt w:val="lowerLetter"/>
      <w:lvlText w:val="%5."/>
      <w:lvlJc w:val="left"/>
      <w:pPr>
        <w:ind w:left="3600" w:hanging="360"/>
      </w:pPr>
    </w:lvl>
    <w:lvl w:ilvl="5" w:tplc="C128B174">
      <w:start w:val="1"/>
      <w:numFmt w:val="lowerRoman"/>
      <w:lvlText w:val="%6."/>
      <w:lvlJc w:val="right"/>
      <w:pPr>
        <w:ind w:left="4320" w:hanging="180"/>
      </w:pPr>
    </w:lvl>
    <w:lvl w:ilvl="6" w:tplc="4762E9A6">
      <w:start w:val="1"/>
      <w:numFmt w:val="decimal"/>
      <w:lvlText w:val="%7."/>
      <w:lvlJc w:val="left"/>
      <w:pPr>
        <w:ind w:left="5040" w:hanging="360"/>
      </w:pPr>
    </w:lvl>
    <w:lvl w:ilvl="7" w:tplc="0866A870">
      <w:start w:val="1"/>
      <w:numFmt w:val="lowerLetter"/>
      <w:lvlText w:val="%8."/>
      <w:lvlJc w:val="left"/>
      <w:pPr>
        <w:ind w:left="5760" w:hanging="360"/>
      </w:pPr>
    </w:lvl>
    <w:lvl w:ilvl="8" w:tplc="46E095B2">
      <w:start w:val="1"/>
      <w:numFmt w:val="lowerRoman"/>
      <w:lvlText w:val="%9."/>
      <w:lvlJc w:val="right"/>
      <w:pPr>
        <w:ind w:left="6480" w:hanging="180"/>
      </w:pPr>
    </w:lvl>
  </w:abstractNum>
  <w:num w:numId="1" w16cid:durableId="201940704">
    <w:abstractNumId w:val="7"/>
  </w:num>
  <w:num w:numId="2" w16cid:durableId="1711030628">
    <w:abstractNumId w:val="2"/>
  </w:num>
  <w:num w:numId="3" w16cid:durableId="1908684268">
    <w:abstractNumId w:val="1"/>
  </w:num>
  <w:num w:numId="4" w16cid:durableId="723676298">
    <w:abstractNumId w:val="5"/>
  </w:num>
  <w:num w:numId="5" w16cid:durableId="1588615489">
    <w:abstractNumId w:val="3"/>
  </w:num>
  <w:num w:numId="6" w16cid:durableId="1063215555">
    <w:abstractNumId w:val="8"/>
  </w:num>
  <w:num w:numId="7" w16cid:durableId="1699550992">
    <w:abstractNumId w:val="4"/>
  </w:num>
  <w:num w:numId="8" w16cid:durableId="2021000714">
    <w:abstractNumId w:val="6"/>
  </w:num>
  <w:num w:numId="9" w16cid:durableId="159928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23"/>
    <w:rsid w:val="00007296"/>
    <w:rsid w:val="0001572E"/>
    <w:rsid w:val="00063286"/>
    <w:rsid w:val="00145637"/>
    <w:rsid w:val="001A3F7D"/>
    <w:rsid w:val="00263E23"/>
    <w:rsid w:val="002B5417"/>
    <w:rsid w:val="00413E3A"/>
    <w:rsid w:val="00563EF3"/>
    <w:rsid w:val="00633AAF"/>
    <w:rsid w:val="006E774A"/>
    <w:rsid w:val="00894591"/>
    <w:rsid w:val="009200CE"/>
    <w:rsid w:val="009B677C"/>
    <w:rsid w:val="00A7254E"/>
    <w:rsid w:val="00B51F04"/>
    <w:rsid w:val="00C06C9B"/>
    <w:rsid w:val="00CB7092"/>
    <w:rsid w:val="00CE0E44"/>
    <w:rsid w:val="00DB54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0CC7"/>
  <w15:chartTrackingRefBased/>
  <w15:docId w15:val="{3F4C54B9-609C-4474-A54E-80C53618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E23"/>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263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E23"/>
    <w:rPr>
      <w:rFonts w:eastAsiaTheme="majorEastAsia" w:cstheme="majorBidi"/>
      <w:color w:val="272727" w:themeColor="text1" w:themeTint="D8"/>
    </w:rPr>
  </w:style>
  <w:style w:type="paragraph" w:styleId="Title">
    <w:name w:val="Title"/>
    <w:basedOn w:val="Normal"/>
    <w:next w:val="Normal"/>
    <w:link w:val="TitleChar"/>
    <w:uiPriority w:val="10"/>
    <w:qFormat/>
    <w:rsid w:val="00263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E23"/>
    <w:pPr>
      <w:spacing w:before="160"/>
      <w:jc w:val="center"/>
    </w:pPr>
    <w:rPr>
      <w:i/>
      <w:iCs/>
      <w:color w:val="404040" w:themeColor="text1" w:themeTint="BF"/>
    </w:rPr>
  </w:style>
  <w:style w:type="character" w:customStyle="1" w:styleId="QuoteChar">
    <w:name w:val="Quote Char"/>
    <w:basedOn w:val="DefaultParagraphFont"/>
    <w:link w:val="Quote"/>
    <w:uiPriority w:val="29"/>
    <w:rsid w:val="00263E23"/>
    <w:rPr>
      <w:i/>
      <w:iCs/>
      <w:color w:val="404040" w:themeColor="text1" w:themeTint="BF"/>
    </w:rPr>
  </w:style>
  <w:style w:type="paragraph" w:styleId="ListParagraph">
    <w:name w:val="List Paragraph"/>
    <w:basedOn w:val="Normal"/>
    <w:uiPriority w:val="34"/>
    <w:qFormat/>
    <w:rsid w:val="00263E23"/>
    <w:pPr>
      <w:ind w:left="720"/>
      <w:contextualSpacing/>
    </w:pPr>
  </w:style>
  <w:style w:type="character" w:styleId="IntenseEmphasis">
    <w:name w:val="Intense Emphasis"/>
    <w:basedOn w:val="DefaultParagraphFont"/>
    <w:uiPriority w:val="21"/>
    <w:qFormat/>
    <w:rsid w:val="00263E23"/>
    <w:rPr>
      <w:i/>
      <w:iCs/>
      <w:color w:val="0F4761" w:themeColor="accent1" w:themeShade="BF"/>
    </w:rPr>
  </w:style>
  <w:style w:type="paragraph" w:styleId="IntenseQuote">
    <w:name w:val="Intense Quote"/>
    <w:basedOn w:val="Normal"/>
    <w:next w:val="Normal"/>
    <w:link w:val="IntenseQuoteChar"/>
    <w:uiPriority w:val="30"/>
    <w:qFormat/>
    <w:rsid w:val="00263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E23"/>
    <w:rPr>
      <w:i/>
      <w:iCs/>
      <w:color w:val="0F4761" w:themeColor="accent1" w:themeShade="BF"/>
    </w:rPr>
  </w:style>
  <w:style w:type="character" w:styleId="IntenseReference">
    <w:name w:val="Intense Reference"/>
    <w:basedOn w:val="DefaultParagraphFont"/>
    <w:uiPriority w:val="32"/>
    <w:qFormat/>
    <w:rsid w:val="00263E23"/>
    <w:rPr>
      <w:b/>
      <w:bCs/>
      <w:smallCaps/>
      <w:color w:val="0F4761" w:themeColor="accent1" w:themeShade="BF"/>
      <w:spacing w:val="5"/>
    </w:rPr>
  </w:style>
  <w:style w:type="character" w:styleId="CommentReference">
    <w:name w:val="annotation reference"/>
    <w:basedOn w:val="DefaultParagraphFont"/>
    <w:uiPriority w:val="99"/>
    <w:semiHidden/>
    <w:unhideWhenUsed/>
    <w:rsid w:val="00263E23"/>
    <w:rPr>
      <w:sz w:val="16"/>
      <w:szCs w:val="16"/>
    </w:rPr>
  </w:style>
  <w:style w:type="paragraph" w:styleId="CommentText">
    <w:name w:val="annotation text"/>
    <w:basedOn w:val="Normal"/>
    <w:link w:val="CommentTextChar"/>
    <w:uiPriority w:val="99"/>
    <w:unhideWhenUsed/>
    <w:rsid w:val="00263E23"/>
    <w:pPr>
      <w:spacing w:line="240" w:lineRule="auto"/>
    </w:pPr>
    <w:rPr>
      <w:sz w:val="20"/>
      <w:szCs w:val="20"/>
    </w:rPr>
  </w:style>
  <w:style w:type="character" w:customStyle="1" w:styleId="CommentTextChar">
    <w:name w:val="Comment Text Char"/>
    <w:basedOn w:val="DefaultParagraphFont"/>
    <w:link w:val="CommentText"/>
    <w:uiPriority w:val="99"/>
    <w:rsid w:val="00263E23"/>
    <w:rPr>
      <w:rFonts w:eastAsiaTheme="minorEastAsia"/>
      <w:kern w:val="0"/>
      <w:sz w:val="20"/>
      <w:szCs w:val="20"/>
      <w:lang w:eastAsia="ja-JP"/>
      <w14:ligatures w14:val="none"/>
    </w:rPr>
  </w:style>
  <w:style w:type="character" w:styleId="Hyperlink">
    <w:name w:val="Hyperlink"/>
    <w:basedOn w:val="DefaultParagraphFont"/>
    <w:uiPriority w:val="99"/>
    <w:unhideWhenUsed/>
    <w:rsid w:val="00263E23"/>
    <w:rPr>
      <w:color w:val="467886"/>
      <w:u w:val="single"/>
    </w:rPr>
  </w:style>
  <w:style w:type="paragraph" w:styleId="Header">
    <w:name w:val="header"/>
    <w:basedOn w:val="Normal"/>
    <w:link w:val="HeaderChar"/>
    <w:uiPriority w:val="99"/>
    <w:unhideWhenUsed/>
    <w:rsid w:val="00263E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E23"/>
    <w:rPr>
      <w:rFonts w:eastAsiaTheme="minorEastAsia"/>
      <w:kern w:val="0"/>
      <w:lang w:eastAsia="ja-JP"/>
      <w14:ligatures w14:val="none"/>
    </w:rPr>
  </w:style>
  <w:style w:type="paragraph" w:styleId="Footer">
    <w:name w:val="footer"/>
    <w:basedOn w:val="Normal"/>
    <w:link w:val="FooterChar"/>
    <w:uiPriority w:val="99"/>
    <w:unhideWhenUsed/>
    <w:rsid w:val="00263E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E23"/>
    <w:rPr>
      <w:rFonts w:eastAsiaTheme="minorEastAsia"/>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tercenter.org/wp-content/uploads/2019/12/drc-2018-election-report-final-e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artercenter.org/wp-content/uploads/2024/07/drc-final-report-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14</Pages>
  <Words>4912</Words>
  <Characters>28736</Characters>
  <Application>Microsoft Office Word</Application>
  <DocSecurity>0</DocSecurity>
  <Lines>478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Obehi Okojie</dc:creator>
  <cp:keywords/>
  <dc:description/>
  <cp:lastModifiedBy>Obehi Okojie</cp:lastModifiedBy>
  <cp:revision>15</cp:revision>
  <dcterms:created xsi:type="dcterms:W3CDTF">2026-01-05T15:25:00Z</dcterms:created>
  <dcterms:modified xsi:type="dcterms:W3CDTF">2026-01-05T16:24:00Z</dcterms:modified>
</cp:coreProperties>
</file>