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FE01AF" w14:textId="6462F133" w:rsidR="007939A1" w:rsidRPr="0090314B" w:rsidRDefault="00184718" w:rsidP="007939A1">
      <w:pPr>
        <w:spacing w:after="120"/>
        <w:rPr>
          <w:rFonts w:asciiTheme="minorHAnsi" w:hAnsiTheme="minorHAnsi" w:cstheme="minorHAnsi"/>
          <w:b/>
          <w:sz w:val="30"/>
          <w:szCs w:val="30"/>
        </w:rPr>
      </w:pPr>
      <w:r>
        <w:rPr>
          <w:rFonts w:asciiTheme="minorHAnsi" w:hAnsiTheme="minorHAnsi" w:cstheme="minorHAnsi"/>
          <w:b/>
          <w:noProof/>
          <w:sz w:val="28"/>
          <w:szCs w:val="28"/>
          <w:u w:val="single"/>
        </w:rPr>
        <w:drawing>
          <wp:anchor distT="0" distB="0" distL="114300" distR="114300" simplePos="0" relativeHeight="251659264" behindDoc="0" locked="0" layoutInCell="1" allowOverlap="1" wp14:anchorId="4D61C83B" wp14:editId="31AC06F5">
            <wp:simplePos x="0" y="0"/>
            <wp:positionH relativeFrom="column">
              <wp:posOffset>3734644</wp:posOffset>
            </wp:positionH>
            <wp:positionV relativeFrom="paragraph">
              <wp:posOffset>-91357</wp:posOffset>
            </wp:positionV>
            <wp:extent cx="2669464" cy="776378"/>
            <wp:effectExtent l="0" t="0" r="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69464" cy="776378"/>
                    </a:xfrm>
                    <a:prstGeom prst="rect">
                      <a:avLst/>
                    </a:prstGeom>
                  </pic:spPr>
                </pic:pic>
              </a:graphicData>
            </a:graphic>
          </wp:anchor>
        </w:drawing>
      </w:r>
      <w:r w:rsidR="007939A1" w:rsidRPr="0090314B">
        <w:rPr>
          <w:rFonts w:asciiTheme="minorHAnsi" w:hAnsiTheme="minorHAnsi" w:cstheme="minorHAnsi"/>
          <w:b/>
          <w:sz w:val="30"/>
          <w:szCs w:val="30"/>
        </w:rPr>
        <w:t xml:space="preserve">BRIEFING ON </w:t>
      </w:r>
      <w:r w:rsidR="00B84BA7">
        <w:rPr>
          <w:rFonts w:asciiTheme="minorHAnsi" w:hAnsiTheme="minorHAnsi" w:cstheme="minorHAnsi"/>
          <w:b/>
          <w:sz w:val="30"/>
          <w:szCs w:val="30"/>
          <w:u w:val="single"/>
        </w:rPr>
        <w:t>SOMALIA</w:t>
      </w:r>
      <w:r w:rsidR="007939A1" w:rsidRPr="0090314B">
        <w:rPr>
          <w:rFonts w:asciiTheme="minorHAnsi" w:hAnsiTheme="minorHAnsi" w:cstheme="minorHAnsi"/>
          <w:b/>
          <w:sz w:val="30"/>
          <w:szCs w:val="30"/>
        </w:rPr>
        <w:t xml:space="preserve"> FOR THE HUMAN RIGHTS COMMITTEE, </w:t>
      </w:r>
      <w:r w:rsidR="002D170B" w:rsidRPr="00F51D34">
        <w:rPr>
          <w:rFonts w:asciiTheme="minorHAnsi" w:hAnsiTheme="minorHAnsi" w:cstheme="minorHAnsi"/>
          <w:b/>
          <w:sz w:val="30"/>
          <w:szCs w:val="30"/>
        </w:rPr>
        <w:t xml:space="preserve">COUNTRY REPORT TASK FORCE, </w:t>
      </w:r>
      <w:r w:rsidR="007939A1" w:rsidRPr="0090314B">
        <w:rPr>
          <w:rFonts w:asciiTheme="minorHAnsi" w:hAnsiTheme="minorHAnsi" w:cstheme="minorHAnsi"/>
          <w:b/>
          <w:sz w:val="30"/>
          <w:szCs w:val="30"/>
        </w:rPr>
        <w:t>12</w:t>
      </w:r>
      <w:r w:rsidR="00E0214B">
        <w:rPr>
          <w:rFonts w:asciiTheme="minorHAnsi" w:hAnsiTheme="minorHAnsi" w:cstheme="minorHAnsi"/>
          <w:b/>
          <w:sz w:val="30"/>
          <w:szCs w:val="30"/>
        </w:rPr>
        <w:t>8</w:t>
      </w:r>
      <w:r w:rsidR="006F5767" w:rsidRPr="006F5767">
        <w:rPr>
          <w:rFonts w:asciiTheme="minorHAnsi" w:hAnsiTheme="minorHAnsi" w:cstheme="minorHAnsi"/>
          <w:b/>
          <w:sz w:val="30"/>
          <w:szCs w:val="30"/>
          <w:vertAlign w:val="superscript"/>
        </w:rPr>
        <w:t>th</w:t>
      </w:r>
      <w:r w:rsidR="006F5767">
        <w:rPr>
          <w:rFonts w:asciiTheme="minorHAnsi" w:hAnsiTheme="minorHAnsi" w:cstheme="minorHAnsi"/>
          <w:b/>
          <w:sz w:val="30"/>
          <w:szCs w:val="30"/>
        </w:rPr>
        <w:t xml:space="preserve"> </w:t>
      </w:r>
      <w:r w:rsidR="007939A1" w:rsidRPr="0090314B">
        <w:rPr>
          <w:rFonts w:asciiTheme="minorHAnsi" w:hAnsiTheme="minorHAnsi" w:cstheme="minorHAnsi"/>
          <w:b/>
          <w:sz w:val="30"/>
          <w:szCs w:val="30"/>
        </w:rPr>
        <w:t>session (</w:t>
      </w:r>
      <w:r w:rsidR="00E0214B">
        <w:rPr>
          <w:rFonts w:asciiTheme="minorHAnsi" w:hAnsiTheme="minorHAnsi" w:cstheme="minorHAnsi"/>
          <w:b/>
          <w:sz w:val="30"/>
          <w:szCs w:val="30"/>
          <w:u w:val="single"/>
        </w:rPr>
        <w:t>March 2020</w:t>
      </w:r>
      <w:r w:rsidR="007939A1" w:rsidRPr="0090314B">
        <w:rPr>
          <w:rFonts w:asciiTheme="minorHAnsi" w:hAnsiTheme="minorHAnsi" w:cstheme="minorHAnsi"/>
          <w:b/>
          <w:sz w:val="30"/>
          <w:szCs w:val="30"/>
        </w:rPr>
        <w:t>)</w:t>
      </w:r>
    </w:p>
    <w:p w14:paraId="0E9367BA" w14:textId="03CA613B" w:rsidR="007939A1" w:rsidRPr="0090314B" w:rsidRDefault="007939A1" w:rsidP="007939A1">
      <w:pPr>
        <w:spacing w:after="120"/>
        <w:rPr>
          <w:rFonts w:asciiTheme="minorHAnsi" w:hAnsiTheme="minorHAnsi" w:cstheme="minorHAnsi"/>
          <w:b/>
          <w:sz w:val="28"/>
          <w:szCs w:val="28"/>
        </w:rPr>
      </w:pPr>
      <w:r w:rsidRPr="0090314B">
        <w:rPr>
          <w:rFonts w:asciiTheme="minorHAnsi" w:hAnsiTheme="minorHAnsi" w:cstheme="minorHAnsi"/>
          <w:i/>
        </w:rPr>
        <w:t xml:space="preserve">From the Global Initiative to End All Corporal Punishment of Children, </w:t>
      </w:r>
      <w:r w:rsidR="00E0214B">
        <w:rPr>
          <w:rFonts w:asciiTheme="minorHAnsi" w:hAnsiTheme="minorHAnsi" w:cstheme="minorHAnsi"/>
          <w:i/>
        </w:rPr>
        <w:t>January 2020</w:t>
      </w:r>
    </w:p>
    <w:p w14:paraId="3AA597AB" w14:textId="77777777" w:rsidR="00DA50D4" w:rsidRPr="0090314B" w:rsidRDefault="00443601" w:rsidP="00E24EB5">
      <w:pPr>
        <w:jc w:val="center"/>
        <w:rPr>
          <w:rFonts w:asciiTheme="minorHAnsi" w:hAnsiTheme="minorHAnsi" w:cstheme="minorHAnsi"/>
          <w:i/>
          <w:color w:val="0000FF"/>
          <w:u w:val="single"/>
        </w:rPr>
      </w:pPr>
      <w:r w:rsidRPr="0090314B">
        <w:rPr>
          <w:rFonts w:asciiTheme="minorHAnsi" w:hAnsiTheme="minorHAnsi" w:cstheme="minorHAnsi"/>
          <w:b/>
          <w:noProof/>
          <w:u w:val="single"/>
        </w:rPr>
        <mc:AlternateContent>
          <mc:Choice Requires="wps">
            <w:drawing>
              <wp:anchor distT="0" distB="0" distL="114300" distR="114300" simplePos="0" relativeHeight="251658240" behindDoc="0" locked="0" layoutInCell="1" allowOverlap="1" wp14:anchorId="548A92A7" wp14:editId="6328FB97">
                <wp:simplePos x="0" y="0"/>
                <wp:positionH relativeFrom="column">
                  <wp:posOffset>93980</wp:posOffset>
                </wp:positionH>
                <wp:positionV relativeFrom="paragraph">
                  <wp:posOffset>259080</wp:posOffset>
                </wp:positionV>
                <wp:extent cx="6100445" cy="257810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578100"/>
                        </a:xfrm>
                        <a:prstGeom prst="rect">
                          <a:avLst/>
                        </a:prstGeom>
                        <a:solidFill>
                          <a:srgbClr val="FFFFFF"/>
                        </a:solidFill>
                        <a:ln w="9525">
                          <a:solidFill>
                            <a:srgbClr val="000000"/>
                          </a:solidFill>
                          <a:miter lim="800000"/>
                          <a:headEnd/>
                          <a:tailEnd/>
                        </a:ln>
                      </wps:spPr>
                      <wps:txbx>
                        <w:txbxContent>
                          <w:p w14:paraId="61ECDE33" w14:textId="488D1B44" w:rsidR="00647D00" w:rsidRPr="00151431" w:rsidRDefault="00647D00" w:rsidP="002D170B">
                            <w:p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This briefing describes the legality of corporal punishment of children in </w:t>
                            </w:r>
                            <w:r w:rsidR="00F978B3">
                              <w:rPr>
                                <w:rFonts w:asciiTheme="minorHAnsi" w:hAnsiTheme="minorHAnsi" w:cstheme="minorHAnsi"/>
                                <w:b/>
                                <w:sz w:val="28"/>
                                <w:szCs w:val="28"/>
                              </w:rPr>
                              <w:t>Somalia</w:t>
                            </w:r>
                            <w:r w:rsidRPr="00647D00">
                              <w:rPr>
                                <w:rFonts w:asciiTheme="minorHAnsi" w:hAnsiTheme="minorHAnsi" w:cstheme="minorHAnsi"/>
                                <w:b/>
                                <w:sz w:val="28"/>
                                <w:szCs w:val="28"/>
                              </w:rPr>
                              <w:t xml:space="preserve">. In light of the obligation under international human rights treaties to prohibit all corporal punishment of children, the global commitment to ending violence against children – including corporal punishment – in the context of the 2030 Agenda for Sustainable Development, the recommendations of the UN Secretary General’s Study on Violence against Children, and those made to </w:t>
                            </w:r>
                            <w:r w:rsidR="00F978B3">
                              <w:rPr>
                                <w:rFonts w:asciiTheme="minorHAnsi" w:hAnsiTheme="minorHAnsi" w:cstheme="minorHAnsi"/>
                                <w:b/>
                                <w:sz w:val="28"/>
                                <w:szCs w:val="28"/>
                              </w:rPr>
                              <w:t>Somalia</w:t>
                            </w:r>
                            <w:r w:rsidRPr="00647D00">
                              <w:rPr>
                                <w:rFonts w:asciiTheme="minorHAnsi" w:hAnsiTheme="minorHAnsi" w:cstheme="minorHAnsi"/>
                                <w:b/>
                                <w:sz w:val="28"/>
                                <w:szCs w:val="28"/>
                              </w:rPr>
                              <w:t xml:space="preserve"> during the Universal Periodic Review in </w:t>
                            </w:r>
                            <w:r w:rsidR="00F978B3">
                              <w:rPr>
                                <w:rFonts w:asciiTheme="minorHAnsi" w:hAnsiTheme="minorHAnsi" w:cstheme="minorHAnsi"/>
                                <w:b/>
                                <w:sz w:val="28"/>
                                <w:szCs w:val="28"/>
                              </w:rPr>
                              <w:t>2011</w:t>
                            </w:r>
                            <w:r w:rsidRPr="00647D00">
                              <w:rPr>
                                <w:rFonts w:asciiTheme="minorHAnsi" w:hAnsiTheme="minorHAnsi" w:cstheme="minorHAnsi"/>
                                <w:b/>
                                <w:sz w:val="28"/>
                                <w:szCs w:val="28"/>
                              </w:rPr>
                              <w:t xml:space="preserve"> </w:t>
                            </w:r>
                            <w:r w:rsidRPr="00151431">
                              <w:rPr>
                                <w:rFonts w:asciiTheme="minorHAnsi" w:hAnsiTheme="minorHAnsi" w:cstheme="minorHAnsi"/>
                                <w:b/>
                                <w:sz w:val="28"/>
                                <w:szCs w:val="28"/>
                              </w:rPr>
                              <w:t xml:space="preserve">and </w:t>
                            </w:r>
                            <w:r w:rsidR="00F978B3">
                              <w:rPr>
                                <w:rFonts w:asciiTheme="minorHAnsi" w:hAnsiTheme="minorHAnsi" w:cstheme="minorHAnsi"/>
                                <w:b/>
                                <w:sz w:val="28"/>
                                <w:szCs w:val="28"/>
                              </w:rPr>
                              <w:t>2013</w:t>
                            </w:r>
                            <w:r w:rsidRPr="00151431">
                              <w:rPr>
                                <w:rFonts w:asciiTheme="minorHAnsi" w:hAnsiTheme="minorHAnsi" w:cstheme="minorHAnsi"/>
                                <w:b/>
                                <w:sz w:val="28"/>
                                <w:szCs w:val="28"/>
                              </w:rPr>
                              <w:t>, we hope the Human Rights Committee will:</w:t>
                            </w:r>
                          </w:p>
                          <w:p w14:paraId="5715487B" w14:textId="4933B5B3" w:rsidR="00647D00" w:rsidRPr="00151431" w:rsidRDefault="00647D00" w:rsidP="002D170B">
                            <w:pPr>
                              <w:numPr>
                                <w:ilvl w:val="0"/>
                                <w:numId w:val="9"/>
                              </w:numPr>
                              <w:spacing w:after="120"/>
                              <w:rPr>
                                <w:rFonts w:asciiTheme="minorHAnsi" w:hAnsiTheme="minorHAnsi" w:cstheme="minorHAnsi"/>
                                <w:b/>
                                <w:sz w:val="28"/>
                                <w:szCs w:val="28"/>
                              </w:rPr>
                            </w:pPr>
                            <w:r w:rsidRPr="00151431">
                              <w:rPr>
                                <w:rFonts w:asciiTheme="minorHAnsi" w:hAnsiTheme="minorHAnsi" w:cstheme="minorHAnsi"/>
                                <w:b/>
                                <w:sz w:val="28"/>
                                <w:szCs w:val="28"/>
                              </w:rPr>
                              <w:t xml:space="preserve">raise the issue of corporal punishment of children in its List of Issues Prior to Reporting for </w:t>
                            </w:r>
                            <w:r w:rsidR="00F978B3">
                              <w:rPr>
                                <w:rFonts w:asciiTheme="minorHAnsi" w:hAnsiTheme="minorHAnsi" w:cstheme="minorHAnsi"/>
                                <w:b/>
                                <w:sz w:val="28"/>
                                <w:szCs w:val="28"/>
                              </w:rPr>
                              <w:t>Somalia</w:t>
                            </w:r>
                            <w:r w:rsidRPr="00151431">
                              <w:rPr>
                                <w:rFonts w:asciiTheme="minorHAnsi" w:hAnsiTheme="minorHAnsi" w:cstheme="minorHAnsi"/>
                                <w:b/>
                                <w:sz w:val="28"/>
                                <w:szCs w:val="28"/>
                              </w:rPr>
                              <w:t xml:space="preserve">, in particular asking </w:t>
                            </w:r>
                            <w:r w:rsidRPr="00151431">
                              <w:rPr>
                                <w:rFonts w:asciiTheme="minorHAnsi" w:hAnsiTheme="minorHAnsi" w:cstheme="minorHAnsi"/>
                                <w:b/>
                                <w:iCs/>
                                <w:sz w:val="28"/>
                                <w:szCs w:val="28"/>
                              </w:rPr>
                              <w:t xml:space="preserve">what progress is being made on </w:t>
                            </w:r>
                            <w:r w:rsidR="00F978B3">
                              <w:rPr>
                                <w:rFonts w:asciiTheme="minorHAnsi" w:hAnsiTheme="minorHAnsi" w:cstheme="minorHAnsi"/>
                                <w:b/>
                                <w:iCs/>
                                <w:sz w:val="28"/>
                                <w:szCs w:val="28"/>
                              </w:rPr>
                              <w:t xml:space="preserve">drafting and </w:t>
                            </w:r>
                            <w:r w:rsidRPr="00151431">
                              <w:rPr>
                                <w:rFonts w:asciiTheme="minorHAnsi" w:hAnsiTheme="minorHAnsi" w:cstheme="minorHAnsi"/>
                                <w:b/>
                                <w:iCs/>
                                <w:sz w:val="28"/>
                                <w:szCs w:val="28"/>
                              </w:rPr>
                              <w:t xml:space="preserve">enacting </w:t>
                            </w:r>
                            <w:r w:rsidR="00F978B3">
                              <w:rPr>
                                <w:rFonts w:asciiTheme="minorHAnsi" w:hAnsiTheme="minorHAnsi" w:cstheme="minorHAnsi"/>
                                <w:b/>
                                <w:sz w:val="28"/>
                                <w:szCs w:val="28"/>
                              </w:rPr>
                              <w:t>legislation</w:t>
                            </w:r>
                            <w:r w:rsidRPr="00151431">
                              <w:rPr>
                                <w:rFonts w:asciiTheme="minorHAnsi" w:hAnsiTheme="minorHAnsi" w:cstheme="minorHAnsi"/>
                                <w:b/>
                                <w:sz w:val="28"/>
                                <w:szCs w:val="28"/>
                              </w:rPr>
                              <w:t xml:space="preserve"> to</w:t>
                            </w:r>
                            <w:r w:rsidRPr="00151431">
                              <w:rPr>
                                <w:rFonts w:asciiTheme="minorHAnsi" w:hAnsiTheme="minorHAnsi" w:cstheme="minorHAnsi"/>
                                <w:sz w:val="28"/>
                                <w:szCs w:val="28"/>
                              </w:rPr>
                              <w:t xml:space="preserve"> </w:t>
                            </w:r>
                            <w:r w:rsidRPr="00151431">
                              <w:rPr>
                                <w:rFonts w:asciiTheme="minorHAnsi" w:hAnsiTheme="minorHAnsi" w:cstheme="minorHAnsi"/>
                                <w:b/>
                                <w:iCs/>
                                <w:sz w:val="28"/>
                                <w:szCs w:val="28"/>
                              </w:rPr>
                              <w:t>prohibit all corp</w:t>
                            </w:r>
                            <w:r w:rsidR="00151431" w:rsidRPr="00151431">
                              <w:rPr>
                                <w:rFonts w:asciiTheme="minorHAnsi" w:hAnsiTheme="minorHAnsi" w:cstheme="minorHAnsi"/>
                                <w:b/>
                                <w:iCs/>
                                <w:sz w:val="28"/>
                                <w:szCs w:val="28"/>
                              </w:rPr>
                              <w:t>oral punishment of children in all</w:t>
                            </w:r>
                            <w:r w:rsidRPr="00151431">
                              <w:rPr>
                                <w:rFonts w:asciiTheme="minorHAnsi" w:hAnsiTheme="minorHAnsi" w:cstheme="minorHAnsi"/>
                                <w:b/>
                                <w:sz w:val="28"/>
                                <w:szCs w:val="28"/>
                              </w:rPr>
                              <w:t xml:space="preserve"> settings, </w:t>
                            </w:r>
                          </w:p>
                          <w:p w14:paraId="796F1D2F" w14:textId="38CFDD87" w:rsidR="00647D00" w:rsidRPr="00151431" w:rsidRDefault="00647D00" w:rsidP="00294B64">
                            <w:pPr>
                              <w:numPr>
                                <w:ilvl w:val="0"/>
                                <w:numId w:val="9"/>
                              </w:numPr>
                              <w:spacing w:after="120"/>
                              <w:rPr>
                                <w:rFonts w:asciiTheme="minorHAnsi" w:hAnsiTheme="minorHAnsi" w:cstheme="minorHAnsi"/>
                                <w:b/>
                                <w:sz w:val="28"/>
                                <w:szCs w:val="28"/>
                              </w:rPr>
                            </w:pPr>
                            <w:r w:rsidRPr="00151431">
                              <w:rPr>
                                <w:rFonts w:asciiTheme="minorHAnsi" w:hAnsiTheme="minorHAnsi" w:cstheme="minorHAnsi"/>
                                <w:b/>
                                <w:sz w:val="28"/>
                                <w:szCs w:val="28"/>
                              </w:rPr>
                              <w:t xml:space="preserve">in its concluding observations on </w:t>
                            </w:r>
                            <w:r w:rsidR="00F978B3">
                              <w:rPr>
                                <w:rFonts w:asciiTheme="minorHAnsi" w:hAnsiTheme="minorHAnsi" w:cstheme="minorHAnsi"/>
                                <w:b/>
                                <w:sz w:val="28"/>
                                <w:szCs w:val="28"/>
                              </w:rPr>
                              <w:t xml:space="preserve">Somalia’s initial </w:t>
                            </w:r>
                            <w:r w:rsidRPr="00151431">
                              <w:rPr>
                                <w:rFonts w:asciiTheme="minorHAnsi" w:hAnsiTheme="minorHAnsi" w:cstheme="minorHAnsi"/>
                                <w:b/>
                                <w:sz w:val="28"/>
                                <w:szCs w:val="28"/>
                              </w:rPr>
                              <w:t>state party report, recommend that</w:t>
                            </w:r>
                            <w:r w:rsidR="00151431" w:rsidRPr="00151431">
                              <w:rPr>
                                <w:rFonts w:asciiTheme="minorHAnsi" w:hAnsiTheme="minorHAnsi" w:cstheme="minorHAnsi"/>
                                <w:b/>
                                <w:sz w:val="28"/>
                                <w:szCs w:val="28"/>
                              </w:rPr>
                              <w:t xml:space="preserve"> </w:t>
                            </w:r>
                            <w:r w:rsidR="00F978B3">
                              <w:rPr>
                                <w:rFonts w:asciiTheme="minorHAnsi" w:hAnsiTheme="minorHAnsi" w:cstheme="minorHAnsi"/>
                                <w:b/>
                                <w:sz w:val="28"/>
                                <w:szCs w:val="28"/>
                              </w:rPr>
                              <w:t>legislation</w:t>
                            </w:r>
                            <w:r w:rsidR="00151431" w:rsidRPr="00151431">
                              <w:rPr>
                                <w:rFonts w:asciiTheme="minorHAnsi" w:hAnsiTheme="minorHAnsi" w:cstheme="minorHAnsi"/>
                                <w:b/>
                                <w:sz w:val="28"/>
                                <w:szCs w:val="28"/>
                              </w:rPr>
                              <w:t xml:space="preserve"> is</w:t>
                            </w:r>
                            <w:r w:rsidR="00F978B3">
                              <w:rPr>
                                <w:rFonts w:asciiTheme="minorHAnsi" w:hAnsiTheme="minorHAnsi" w:cstheme="minorHAnsi"/>
                                <w:b/>
                                <w:sz w:val="28"/>
                                <w:szCs w:val="28"/>
                              </w:rPr>
                              <w:t xml:space="preserve"> drafted and</w:t>
                            </w:r>
                            <w:r w:rsidR="00151431" w:rsidRPr="00151431">
                              <w:rPr>
                                <w:rFonts w:asciiTheme="minorHAnsi" w:hAnsiTheme="minorHAnsi" w:cstheme="minorHAnsi"/>
                                <w:b/>
                                <w:sz w:val="28"/>
                                <w:szCs w:val="28"/>
                              </w:rPr>
                              <w:t xml:space="preserve"> enacted as a matter of priority to </w:t>
                            </w:r>
                            <w:r w:rsidRPr="00151431">
                              <w:rPr>
                                <w:rFonts w:asciiTheme="minorHAnsi" w:hAnsiTheme="minorHAnsi" w:cstheme="minorHAnsi"/>
                                <w:b/>
                                <w:sz w:val="28"/>
                                <w:szCs w:val="28"/>
                              </w:rPr>
                              <w:t>prohibit</w:t>
                            </w:r>
                            <w:r w:rsidR="00151431" w:rsidRPr="00151431">
                              <w:rPr>
                                <w:rFonts w:asciiTheme="minorHAnsi" w:hAnsiTheme="minorHAnsi" w:cstheme="minorHAnsi"/>
                                <w:b/>
                                <w:sz w:val="28"/>
                                <w:szCs w:val="28"/>
                              </w:rPr>
                              <w:t xml:space="preserve"> </w:t>
                            </w:r>
                            <w:r w:rsidRPr="00151431">
                              <w:rPr>
                                <w:rFonts w:asciiTheme="minorHAnsi" w:hAnsiTheme="minorHAnsi" w:cstheme="minorHAnsi"/>
                                <w:b/>
                                <w:sz w:val="28"/>
                                <w:szCs w:val="28"/>
                              </w:rPr>
                              <w:t>all corporal punishment of children in all settings.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03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">
                <v:textbox style="mso-fit-shape-to-text:t">
                  <w:txbxContent>
                    <w:p w14:paraId="61ECDE33" w14:textId="488D1B44" w:rsidR="00647D00" w:rsidRPr="00151431" w:rsidRDefault="00647D00" w:rsidP="002D170B">
                      <w:p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This briefing describes the legality of corporal punishment of children in </w:t>
                      </w:r>
                      <w:r w:rsidR="00F978B3">
                        <w:rPr>
                          <w:rFonts w:asciiTheme="minorHAnsi" w:hAnsiTheme="minorHAnsi" w:cstheme="minorHAnsi"/>
                          <w:b/>
                          <w:sz w:val="28"/>
                          <w:szCs w:val="28"/>
                        </w:rPr>
                        <w:t>Somalia</w:t>
                      </w:r>
                      <w:r w:rsidRPr="00647D00">
                        <w:rPr>
                          <w:rFonts w:asciiTheme="minorHAnsi" w:hAnsiTheme="minorHAnsi" w:cstheme="minorHAnsi"/>
                          <w:b/>
                          <w:sz w:val="28"/>
                          <w:szCs w:val="28"/>
                        </w:rPr>
                        <w:t xml:space="preserve">. In light of the obligation under international human rights treaties to prohibit all corporal punishment of children, the global commitment to ending violence against children – including corporal punishment – in the context of the 2030 Agenda for Sustainable Development, the recommendations of the UN Secretary General’s Study on Violence against Children, and those made to </w:t>
                      </w:r>
                      <w:r w:rsidR="00F978B3">
                        <w:rPr>
                          <w:rFonts w:asciiTheme="minorHAnsi" w:hAnsiTheme="minorHAnsi" w:cstheme="minorHAnsi"/>
                          <w:b/>
                          <w:sz w:val="28"/>
                          <w:szCs w:val="28"/>
                        </w:rPr>
                        <w:t>Somalia</w:t>
                      </w:r>
                      <w:r w:rsidRPr="00647D00">
                        <w:rPr>
                          <w:rFonts w:asciiTheme="minorHAnsi" w:hAnsiTheme="minorHAnsi" w:cstheme="minorHAnsi"/>
                          <w:b/>
                          <w:sz w:val="28"/>
                          <w:szCs w:val="28"/>
                        </w:rPr>
                        <w:t xml:space="preserve"> during the Universal Periodic Review in </w:t>
                      </w:r>
                      <w:r w:rsidR="00F978B3">
                        <w:rPr>
                          <w:rFonts w:asciiTheme="minorHAnsi" w:hAnsiTheme="minorHAnsi" w:cstheme="minorHAnsi"/>
                          <w:b/>
                          <w:sz w:val="28"/>
                          <w:szCs w:val="28"/>
                        </w:rPr>
                        <w:t>2011</w:t>
                      </w:r>
                      <w:r w:rsidRPr="00647D00">
                        <w:rPr>
                          <w:rFonts w:asciiTheme="minorHAnsi" w:hAnsiTheme="minorHAnsi" w:cstheme="minorHAnsi"/>
                          <w:b/>
                          <w:sz w:val="28"/>
                          <w:szCs w:val="28"/>
                        </w:rPr>
                        <w:t xml:space="preserve"> </w:t>
                      </w:r>
                      <w:r w:rsidRPr="00151431">
                        <w:rPr>
                          <w:rFonts w:asciiTheme="minorHAnsi" w:hAnsiTheme="minorHAnsi" w:cstheme="minorHAnsi"/>
                          <w:b/>
                          <w:sz w:val="28"/>
                          <w:szCs w:val="28"/>
                        </w:rPr>
                        <w:t xml:space="preserve">and </w:t>
                      </w:r>
                      <w:r w:rsidR="00F978B3">
                        <w:rPr>
                          <w:rFonts w:asciiTheme="minorHAnsi" w:hAnsiTheme="minorHAnsi" w:cstheme="minorHAnsi"/>
                          <w:b/>
                          <w:sz w:val="28"/>
                          <w:szCs w:val="28"/>
                        </w:rPr>
                        <w:t>2013</w:t>
                      </w:r>
                      <w:r w:rsidRPr="00151431">
                        <w:rPr>
                          <w:rFonts w:asciiTheme="minorHAnsi" w:hAnsiTheme="minorHAnsi" w:cstheme="minorHAnsi"/>
                          <w:b/>
                          <w:sz w:val="28"/>
                          <w:szCs w:val="28"/>
                        </w:rPr>
                        <w:t>, we hope the Human Rights Committee will:</w:t>
                      </w:r>
                    </w:p>
                    <w:p w14:paraId="5715487B" w14:textId="4933B5B3" w:rsidR="00647D00" w:rsidRPr="00151431" w:rsidRDefault="00647D00" w:rsidP="002D170B">
                      <w:pPr>
                        <w:numPr>
                          <w:ilvl w:val="0"/>
                          <w:numId w:val="9"/>
                        </w:numPr>
                        <w:spacing w:after="120"/>
                        <w:rPr>
                          <w:rFonts w:asciiTheme="minorHAnsi" w:hAnsiTheme="minorHAnsi" w:cstheme="minorHAnsi"/>
                          <w:b/>
                          <w:sz w:val="28"/>
                          <w:szCs w:val="28"/>
                        </w:rPr>
                      </w:pPr>
                      <w:r w:rsidRPr="00151431">
                        <w:rPr>
                          <w:rFonts w:asciiTheme="minorHAnsi" w:hAnsiTheme="minorHAnsi" w:cstheme="minorHAnsi"/>
                          <w:b/>
                          <w:sz w:val="28"/>
                          <w:szCs w:val="28"/>
                        </w:rPr>
                        <w:t xml:space="preserve">raise the issue of corporal punishment of children in its List of Issues Prior to Reporting for </w:t>
                      </w:r>
                      <w:r w:rsidR="00F978B3">
                        <w:rPr>
                          <w:rFonts w:asciiTheme="minorHAnsi" w:hAnsiTheme="minorHAnsi" w:cstheme="minorHAnsi"/>
                          <w:b/>
                          <w:sz w:val="28"/>
                          <w:szCs w:val="28"/>
                        </w:rPr>
                        <w:t>Somalia</w:t>
                      </w:r>
                      <w:r w:rsidRPr="00151431">
                        <w:rPr>
                          <w:rFonts w:asciiTheme="minorHAnsi" w:hAnsiTheme="minorHAnsi" w:cstheme="minorHAnsi"/>
                          <w:b/>
                          <w:sz w:val="28"/>
                          <w:szCs w:val="28"/>
                        </w:rPr>
                        <w:t xml:space="preserve">, in particular asking </w:t>
                      </w:r>
                      <w:r w:rsidRPr="00151431">
                        <w:rPr>
                          <w:rFonts w:asciiTheme="minorHAnsi" w:hAnsiTheme="minorHAnsi" w:cstheme="minorHAnsi"/>
                          <w:b/>
                          <w:iCs/>
                          <w:sz w:val="28"/>
                          <w:szCs w:val="28"/>
                        </w:rPr>
                        <w:t xml:space="preserve">what progress is being made on </w:t>
                      </w:r>
                      <w:r w:rsidR="00F978B3">
                        <w:rPr>
                          <w:rFonts w:asciiTheme="minorHAnsi" w:hAnsiTheme="minorHAnsi" w:cstheme="minorHAnsi"/>
                          <w:b/>
                          <w:iCs/>
                          <w:sz w:val="28"/>
                          <w:szCs w:val="28"/>
                        </w:rPr>
                        <w:t xml:space="preserve">drafting and </w:t>
                      </w:r>
                      <w:r w:rsidRPr="00151431">
                        <w:rPr>
                          <w:rFonts w:asciiTheme="minorHAnsi" w:hAnsiTheme="minorHAnsi" w:cstheme="minorHAnsi"/>
                          <w:b/>
                          <w:iCs/>
                          <w:sz w:val="28"/>
                          <w:szCs w:val="28"/>
                        </w:rPr>
                        <w:t xml:space="preserve">enacting </w:t>
                      </w:r>
                      <w:r w:rsidR="00F978B3">
                        <w:rPr>
                          <w:rFonts w:asciiTheme="minorHAnsi" w:hAnsiTheme="minorHAnsi" w:cstheme="minorHAnsi"/>
                          <w:b/>
                          <w:sz w:val="28"/>
                          <w:szCs w:val="28"/>
                        </w:rPr>
                        <w:t>legislation</w:t>
                      </w:r>
                      <w:r w:rsidRPr="00151431">
                        <w:rPr>
                          <w:rFonts w:asciiTheme="minorHAnsi" w:hAnsiTheme="minorHAnsi" w:cstheme="minorHAnsi"/>
                          <w:b/>
                          <w:sz w:val="28"/>
                          <w:szCs w:val="28"/>
                        </w:rPr>
                        <w:t xml:space="preserve"> to</w:t>
                      </w:r>
                      <w:r w:rsidRPr="00151431">
                        <w:rPr>
                          <w:rFonts w:asciiTheme="minorHAnsi" w:hAnsiTheme="minorHAnsi" w:cstheme="minorHAnsi"/>
                          <w:sz w:val="28"/>
                          <w:szCs w:val="28"/>
                        </w:rPr>
                        <w:t xml:space="preserve"> </w:t>
                      </w:r>
                      <w:r w:rsidRPr="00151431">
                        <w:rPr>
                          <w:rFonts w:asciiTheme="minorHAnsi" w:hAnsiTheme="minorHAnsi" w:cstheme="minorHAnsi"/>
                          <w:b/>
                          <w:iCs/>
                          <w:sz w:val="28"/>
                          <w:szCs w:val="28"/>
                        </w:rPr>
                        <w:t>prohibit all corp</w:t>
                      </w:r>
                      <w:r w:rsidR="00151431" w:rsidRPr="00151431">
                        <w:rPr>
                          <w:rFonts w:asciiTheme="minorHAnsi" w:hAnsiTheme="minorHAnsi" w:cstheme="minorHAnsi"/>
                          <w:b/>
                          <w:iCs/>
                          <w:sz w:val="28"/>
                          <w:szCs w:val="28"/>
                        </w:rPr>
                        <w:t>oral punishment of children in all</w:t>
                      </w:r>
                      <w:r w:rsidRPr="00151431">
                        <w:rPr>
                          <w:rFonts w:asciiTheme="minorHAnsi" w:hAnsiTheme="minorHAnsi" w:cstheme="minorHAnsi"/>
                          <w:b/>
                          <w:sz w:val="28"/>
                          <w:szCs w:val="28"/>
                        </w:rPr>
                        <w:t xml:space="preserve"> settings, </w:t>
                      </w:r>
                    </w:p>
                    <w:p w14:paraId="796F1D2F" w14:textId="38CFDD87" w:rsidR="00647D00" w:rsidRPr="00151431" w:rsidRDefault="00647D00" w:rsidP="00294B64">
                      <w:pPr>
                        <w:numPr>
                          <w:ilvl w:val="0"/>
                          <w:numId w:val="9"/>
                        </w:numPr>
                        <w:spacing w:after="120"/>
                        <w:rPr>
                          <w:rFonts w:asciiTheme="minorHAnsi" w:hAnsiTheme="minorHAnsi" w:cstheme="minorHAnsi"/>
                          <w:b/>
                          <w:sz w:val="28"/>
                          <w:szCs w:val="28"/>
                        </w:rPr>
                      </w:pPr>
                      <w:r w:rsidRPr="00151431">
                        <w:rPr>
                          <w:rFonts w:asciiTheme="minorHAnsi" w:hAnsiTheme="minorHAnsi" w:cstheme="minorHAnsi"/>
                          <w:b/>
                          <w:sz w:val="28"/>
                          <w:szCs w:val="28"/>
                        </w:rPr>
                        <w:t xml:space="preserve">in its concluding observations on </w:t>
                      </w:r>
                      <w:r w:rsidR="00F978B3">
                        <w:rPr>
                          <w:rFonts w:asciiTheme="minorHAnsi" w:hAnsiTheme="minorHAnsi" w:cstheme="minorHAnsi"/>
                          <w:b/>
                          <w:sz w:val="28"/>
                          <w:szCs w:val="28"/>
                        </w:rPr>
                        <w:t xml:space="preserve">Somalia’s initial </w:t>
                      </w:r>
                      <w:r w:rsidRPr="00151431">
                        <w:rPr>
                          <w:rFonts w:asciiTheme="minorHAnsi" w:hAnsiTheme="minorHAnsi" w:cstheme="minorHAnsi"/>
                          <w:b/>
                          <w:sz w:val="28"/>
                          <w:szCs w:val="28"/>
                        </w:rPr>
                        <w:t>state party report, recommend that</w:t>
                      </w:r>
                      <w:r w:rsidR="00151431" w:rsidRPr="00151431">
                        <w:rPr>
                          <w:rFonts w:asciiTheme="minorHAnsi" w:hAnsiTheme="minorHAnsi" w:cstheme="minorHAnsi"/>
                          <w:b/>
                          <w:sz w:val="28"/>
                          <w:szCs w:val="28"/>
                        </w:rPr>
                        <w:t xml:space="preserve"> </w:t>
                      </w:r>
                      <w:r w:rsidR="00F978B3">
                        <w:rPr>
                          <w:rFonts w:asciiTheme="minorHAnsi" w:hAnsiTheme="minorHAnsi" w:cstheme="minorHAnsi"/>
                          <w:b/>
                          <w:sz w:val="28"/>
                          <w:szCs w:val="28"/>
                        </w:rPr>
                        <w:t>legislation</w:t>
                      </w:r>
                      <w:r w:rsidR="00151431" w:rsidRPr="00151431">
                        <w:rPr>
                          <w:rFonts w:asciiTheme="minorHAnsi" w:hAnsiTheme="minorHAnsi" w:cstheme="minorHAnsi"/>
                          <w:b/>
                          <w:sz w:val="28"/>
                          <w:szCs w:val="28"/>
                        </w:rPr>
                        <w:t xml:space="preserve"> is</w:t>
                      </w:r>
                      <w:r w:rsidR="00F978B3">
                        <w:rPr>
                          <w:rFonts w:asciiTheme="minorHAnsi" w:hAnsiTheme="minorHAnsi" w:cstheme="minorHAnsi"/>
                          <w:b/>
                          <w:sz w:val="28"/>
                          <w:szCs w:val="28"/>
                        </w:rPr>
                        <w:t xml:space="preserve"> drafted and</w:t>
                      </w:r>
                      <w:r w:rsidR="00151431" w:rsidRPr="00151431">
                        <w:rPr>
                          <w:rFonts w:asciiTheme="minorHAnsi" w:hAnsiTheme="minorHAnsi" w:cstheme="minorHAnsi"/>
                          <w:b/>
                          <w:sz w:val="28"/>
                          <w:szCs w:val="28"/>
                        </w:rPr>
                        <w:t xml:space="preserve"> enacted as a matter of priority to </w:t>
                      </w:r>
                      <w:r w:rsidRPr="00151431">
                        <w:rPr>
                          <w:rFonts w:asciiTheme="minorHAnsi" w:hAnsiTheme="minorHAnsi" w:cstheme="minorHAnsi"/>
                          <w:b/>
                          <w:sz w:val="28"/>
                          <w:szCs w:val="28"/>
                        </w:rPr>
                        <w:t>prohibit</w:t>
                      </w:r>
                      <w:r w:rsidR="00151431" w:rsidRPr="00151431">
                        <w:rPr>
                          <w:rFonts w:asciiTheme="minorHAnsi" w:hAnsiTheme="minorHAnsi" w:cstheme="minorHAnsi"/>
                          <w:b/>
                          <w:sz w:val="28"/>
                          <w:szCs w:val="28"/>
                        </w:rPr>
                        <w:t xml:space="preserve"> </w:t>
                      </w:r>
                      <w:r w:rsidRPr="00151431">
                        <w:rPr>
                          <w:rFonts w:asciiTheme="minorHAnsi" w:hAnsiTheme="minorHAnsi" w:cstheme="minorHAnsi"/>
                          <w:b/>
                          <w:sz w:val="28"/>
                          <w:szCs w:val="28"/>
                        </w:rPr>
                        <w:t>all corporal punishment of children in all settings.</w:t>
                      </w:r>
                    </w:p>
                  </w:txbxContent>
                </v:textbox>
                <w10:wrap type="topAndBottom"/>
              </v:shape>
            </w:pict>
          </mc:Fallback>
        </mc:AlternateContent>
      </w:r>
    </w:p>
    <w:p w14:paraId="0E305B6A" w14:textId="77777777" w:rsidR="0045768C" w:rsidRPr="0090314B" w:rsidRDefault="0045768C">
      <w:pPr>
        <w:spacing w:after="120"/>
        <w:jc w:val="center"/>
        <w:rPr>
          <w:rFonts w:asciiTheme="minorHAnsi" w:hAnsiTheme="minorHAnsi" w:cstheme="minorHAnsi"/>
        </w:rPr>
      </w:pPr>
    </w:p>
    <w:p w14:paraId="52DB5635" w14:textId="4AC59099" w:rsidR="00102B5F" w:rsidRPr="002B59FD" w:rsidRDefault="00231002" w:rsidP="00102B5F">
      <w:pPr>
        <w:spacing w:after="120"/>
        <w:ind w:left="482" w:hanging="482"/>
        <w:rPr>
          <w:rFonts w:asciiTheme="minorHAnsi" w:hAnsiTheme="minorHAnsi" w:cstheme="minorHAnsi"/>
          <w:b/>
          <w:sz w:val="28"/>
          <w:szCs w:val="28"/>
        </w:rPr>
      </w:pPr>
      <w:r>
        <w:rPr>
          <w:rFonts w:asciiTheme="minorHAnsi" w:hAnsiTheme="minorHAnsi" w:cstheme="minorHAnsi"/>
          <w:b/>
          <w:sz w:val="28"/>
          <w:szCs w:val="28"/>
        </w:rPr>
        <w:t>1</w:t>
      </w:r>
      <w:r w:rsidR="00102B5F" w:rsidRPr="002B59FD">
        <w:rPr>
          <w:rFonts w:asciiTheme="minorHAnsi" w:hAnsiTheme="minorHAnsi" w:cstheme="minorHAnsi"/>
          <w:b/>
          <w:sz w:val="28"/>
          <w:szCs w:val="28"/>
        </w:rPr>
        <w:t xml:space="preserve"> The legality of corporal punishment of children in </w:t>
      </w:r>
      <w:r w:rsidR="00B84BA7">
        <w:rPr>
          <w:rFonts w:asciiTheme="minorHAnsi" w:hAnsiTheme="minorHAnsi" w:cstheme="minorHAnsi"/>
          <w:b/>
          <w:sz w:val="28"/>
          <w:szCs w:val="28"/>
        </w:rPr>
        <w:t>Somalia</w:t>
      </w:r>
    </w:p>
    <w:p w14:paraId="4387238B" w14:textId="187239EC" w:rsidR="00102B5F" w:rsidRPr="005A7339" w:rsidRDefault="00231002" w:rsidP="00102B5F">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 xml:space="preserve">.1 </w:t>
      </w:r>
      <w:r w:rsidR="00102B5F" w:rsidRPr="002B59FD">
        <w:rPr>
          <w:rFonts w:asciiTheme="minorHAnsi" w:hAnsiTheme="minorHAnsi" w:cstheme="minorHAnsi"/>
          <w:b/>
          <w:i/>
        </w:rPr>
        <w:t>Summary:</w:t>
      </w:r>
      <w:r w:rsidR="00F978B3">
        <w:rPr>
          <w:rFonts w:asciiTheme="minorHAnsi" w:hAnsiTheme="minorHAnsi" w:cstheme="minorHAnsi"/>
          <w:b/>
          <w:i/>
        </w:rPr>
        <w:t xml:space="preserve"> </w:t>
      </w:r>
      <w:r w:rsidR="00F978B3" w:rsidRPr="00F978B3">
        <w:rPr>
          <w:rFonts w:asciiTheme="minorHAnsi" w:hAnsiTheme="minorHAnsi" w:cstheme="minorHAnsi"/>
        </w:rPr>
        <w:t>Corporal punishment is unlawful under the Somaliland Constitution in some settings, but it is not prohibited elsewhere in Somalia. Children may lawfully be hit and hurt in the guise of “discipline” in the home, alternative care settings, day care, schools and in the penal system.</w:t>
      </w:r>
    </w:p>
    <w:p w14:paraId="64CBE0F9" w14:textId="77777777" w:rsidR="00B84BA7" w:rsidRPr="00B84BA7" w:rsidRDefault="00231002" w:rsidP="00B84BA7">
      <w:pPr>
        <w:spacing w:after="120"/>
        <w:ind w:left="482" w:hanging="482"/>
        <w:rPr>
          <w:rFonts w:asciiTheme="minorHAnsi" w:hAnsiTheme="minorHAnsi" w:cstheme="minorHAnsi"/>
        </w:rPr>
      </w:pPr>
      <w:r>
        <w:rPr>
          <w:rFonts w:asciiTheme="minorHAnsi" w:hAnsiTheme="minorHAnsi" w:cstheme="minorHAnsi"/>
          <w:szCs w:val="26"/>
        </w:rPr>
        <w:t>1</w:t>
      </w:r>
      <w:r w:rsidR="00102B5F" w:rsidRPr="002B59FD">
        <w:rPr>
          <w:rFonts w:asciiTheme="minorHAnsi" w:hAnsiTheme="minorHAnsi" w:cstheme="minorHAnsi"/>
          <w:szCs w:val="26"/>
        </w:rPr>
        <w:t xml:space="preserve">.2 </w:t>
      </w:r>
      <w:r w:rsidR="00102B5F" w:rsidRPr="002B59FD">
        <w:rPr>
          <w:rFonts w:asciiTheme="minorHAnsi" w:hAnsiTheme="minorHAnsi" w:cstheme="minorHAnsi"/>
          <w:b/>
          <w:i/>
          <w:szCs w:val="26"/>
        </w:rPr>
        <w:t>Home (</w:t>
      </w:r>
      <w:r w:rsidR="00102B5F" w:rsidRPr="002B59FD">
        <w:rPr>
          <w:rFonts w:asciiTheme="minorHAnsi" w:hAnsiTheme="minorHAnsi" w:cstheme="minorHAnsi"/>
          <w:b/>
          <w:i/>
          <w:szCs w:val="26"/>
          <w:u w:val="single"/>
        </w:rPr>
        <w:t>lawful</w:t>
      </w:r>
      <w:r w:rsidR="00102B5F" w:rsidRPr="002B59FD">
        <w:rPr>
          <w:rFonts w:asciiTheme="minorHAnsi" w:hAnsiTheme="minorHAnsi" w:cstheme="minorHAnsi"/>
          <w:b/>
          <w:i/>
          <w:szCs w:val="26"/>
        </w:rPr>
        <w:t>):</w:t>
      </w:r>
      <w:r w:rsidR="00102B5F" w:rsidRPr="002B59FD">
        <w:rPr>
          <w:rFonts w:asciiTheme="minorHAnsi" w:hAnsiTheme="minorHAnsi" w:cstheme="minorHAnsi"/>
          <w:szCs w:val="26"/>
        </w:rPr>
        <w:t xml:space="preserve"> </w:t>
      </w:r>
      <w:r w:rsidR="00B84BA7" w:rsidRPr="00B84BA7">
        <w:rPr>
          <w:rFonts w:asciiTheme="minorHAnsi" w:hAnsiTheme="minorHAnsi" w:cstheme="minorHAnsi"/>
        </w:rPr>
        <w:t>Corporal punishment is lawful in the home. Article 439 of the Penal Code 1962 punishes assault but article 442(2) states: “The parent who commits the act referred to in article 439 shall not be punishable.” Article 442(1) of the Code prescribes reduced punishments for homicide and hurt when the perpetrator is the parent. Articles 431 and 432 punish abuse of measures of correction or discipline and ill-treatment of children and members of the family.</w:t>
      </w:r>
    </w:p>
    <w:p w14:paraId="7C82A890" w14:textId="00A38A74" w:rsidR="00B84BA7" w:rsidRPr="00B84BA7" w:rsidRDefault="00C333FE" w:rsidP="00B84BA7">
      <w:pPr>
        <w:spacing w:after="120"/>
        <w:ind w:left="482" w:hanging="482"/>
        <w:rPr>
          <w:rFonts w:asciiTheme="minorHAnsi" w:hAnsiTheme="minorHAnsi" w:cstheme="minorHAnsi"/>
        </w:rPr>
      </w:pPr>
      <w:r>
        <w:rPr>
          <w:rFonts w:asciiTheme="minorHAnsi" w:hAnsiTheme="minorHAnsi" w:cstheme="minorHAnsi"/>
        </w:rPr>
        <w:t xml:space="preserve">1.3 </w:t>
      </w:r>
      <w:r w:rsidR="00B84BA7" w:rsidRPr="00B84BA7">
        <w:rPr>
          <w:rFonts w:asciiTheme="minorHAnsi" w:hAnsiTheme="minorHAnsi" w:cstheme="minorHAnsi"/>
        </w:rPr>
        <w:t xml:space="preserve">The Provisional Federal Constitution 2012 states that human dignity “is the basis for all human rights” and “is inviolable and must be protected by all” (art. 10). It also states that “every person has the right to person security, and this includes … all forms of violence, including any form of violence against women, torture, or inhumane treatment” (art. 15), and “every child has the right to be protected from mistreatment, neglect, abuse, or degradation” (art. 29). It is the duty of each citizen “to promote responsible parenthood” (art. 42). There is no indication that these provisions are to be interpreted as prohibiting all corporal punishment of children. The Government reported to the UPR in 2015 that at the end of 2015 the constitutional review process would commence and legislation would be reviewed and harmonised with the </w:t>
      </w:r>
      <w:r w:rsidR="00B84BA7" w:rsidRPr="00B84BA7">
        <w:rPr>
          <w:rFonts w:asciiTheme="minorHAnsi" w:hAnsiTheme="minorHAnsi" w:cstheme="minorHAnsi"/>
        </w:rPr>
        <w:lastRenderedPageBreak/>
        <w:t>Constitution and international standards.</w:t>
      </w:r>
      <w:r w:rsidR="00B84BA7" w:rsidRPr="00B84BA7">
        <w:rPr>
          <w:rFonts w:asciiTheme="minorHAnsi" w:hAnsiTheme="minorHAnsi" w:cstheme="minorHAnsi"/>
          <w:vertAlign w:val="superscript"/>
        </w:rPr>
        <w:footnoteReference w:id="1"/>
      </w:r>
      <w:r w:rsidR="00B84BA7" w:rsidRPr="00B84BA7">
        <w:rPr>
          <w:rFonts w:asciiTheme="minorHAnsi" w:hAnsiTheme="minorHAnsi" w:cstheme="minorHAnsi"/>
        </w:rPr>
        <w:t xml:space="preserve"> In May 2017, the Ministry of Constitutional Affairs introduced a masterplan for the review of the Provisional Constitution.</w:t>
      </w:r>
      <w:r w:rsidR="00B84BA7" w:rsidRPr="00B84BA7">
        <w:rPr>
          <w:rFonts w:asciiTheme="minorHAnsi" w:hAnsiTheme="minorHAnsi" w:cstheme="minorHAnsi"/>
          <w:vertAlign w:val="superscript"/>
        </w:rPr>
        <w:footnoteReference w:id="2"/>
      </w:r>
    </w:p>
    <w:p w14:paraId="3B89A309" w14:textId="55A4D8EE" w:rsidR="00B84BA7" w:rsidRPr="00B84BA7" w:rsidRDefault="00C333FE" w:rsidP="00B84BA7">
      <w:pPr>
        <w:spacing w:after="120"/>
        <w:ind w:left="482" w:hanging="482"/>
        <w:rPr>
          <w:rFonts w:asciiTheme="minorHAnsi" w:hAnsiTheme="minorHAnsi" w:cstheme="minorHAnsi"/>
        </w:rPr>
      </w:pPr>
      <w:r>
        <w:rPr>
          <w:rFonts w:asciiTheme="minorHAnsi" w:hAnsiTheme="minorHAnsi" w:cstheme="minorHAnsi"/>
        </w:rPr>
        <w:t xml:space="preserve">1.4 </w:t>
      </w:r>
      <w:r w:rsidR="00B84BA7" w:rsidRPr="00B84BA7">
        <w:rPr>
          <w:rFonts w:asciiTheme="minorHAnsi" w:hAnsiTheme="minorHAnsi" w:cstheme="minorHAnsi"/>
        </w:rPr>
        <w:t>In 2019, the Government reported that laws and policies were being reviewed and amended to “enhance child rights and child protection”.</w:t>
      </w:r>
      <w:r w:rsidR="00B84BA7" w:rsidRPr="00B84BA7">
        <w:rPr>
          <w:rFonts w:asciiTheme="minorHAnsi" w:hAnsiTheme="minorHAnsi" w:cstheme="minorHAnsi"/>
          <w:vertAlign w:val="superscript"/>
        </w:rPr>
        <w:footnoteReference w:id="3"/>
      </w:r>
      <w:r w:rsidR="00B84BA7" w:rsidRPr="00B84BA7">
        <w:rPr>
          <w:rFonts w:asciiTheme="minorHAnsi" w:hAnsiTheme="minorHAnsi" w:cstheme="minorHAnsi"/>
        </w:rPr>
        <w:t xml:space="preserve"> The National Development Plan 2017-2019 plans for the drafting of a “National Children’s Policy and Act … drawing on Somalia obligations under the CRC as well as the African Charter and other relevant Instruments”, as well as a National Plan of Action for Children to be developed and implemented at national and sub-national level. The drafting of a Child Rights Bill started in November 2017; as of October 2019 it is still ongoing.</w:t>
      </w:r>
      <w:r w:rsidR="00B84BA7" w:rsidRPr="00B84BA7">
        <w:rPr>
          <w:rFonts w:asciiTheme="minorHAnsi" w:hAnsiTheme="minorHAnsi" w:cstheme="minorHAnsi"/>
          <w:vertAlign w:val="superscript"/>
        </w:rPr>
        <w:footnoteReference w:id="4"/>
      </w:r>
      <w:r w:rsidR="00B84BA7" w:rsidRPr="00B84BA7">
        <w:rPr>
          <w:rFonts w:asciiTheme="minorHAnsi" w:hAnsiTheme="minorHAnsi" w:cstheme="minorHAnsi"/>
        </w:rPr>
        <w:t xml:space="preserve"> </w:t>
      </w:r>
    </w:p>
    <w:p w14:paraId="2A405A86" w14:textId="500E9EBB" w:rsidR="00B84BA7" w:rsidRPr="00B84BA7" w:rsidRDefault="00C333FE" w:rsidP="00B84BA7">
      <w:pPr>
        <w:spacing w:after="120"/>
        <w:ind w:left="482" w:hanging="482"/>
        <w:rPr>
          <w:rFonts w:asciiTheme="minorHAnsi" w:hAnsiTheme="minorHAnsi" w:cstheme="minorHAnsi"/>
        </w:rPr>
      </w:pPr>
      <w:r>
        <w:rPr>
          <w:rFonts w:asciiTheme="minorHAnsi" w:hAnsiTheme="minorHAnsi" w:cstheme="minorHAnsi"/>
        </w:rPr>
        <w:t xml:space="preserve">1.5 </w:t>
      </w:r>
      <w:r w:rsidR="00B84BA7" w:rsidRPr="00B84BA7">
        <w:rPr>
          <w:rFonts w:asciiTheme="minorHAnsi" w:hAnsiTheme="minorHAnsi" w:cstheme="minorHAnsi"/>
        </w:rPr>
        <w:t>In Somaliland, the Constitution 2001 states in article 24(2): “Every person shall have the right to security of his person. Physical punishment and any other injury to the person is prohibited.” Article 128 states that the Constitution “shall be the supreme law of the land, and any law which does not conform to it shall be null and void”. However, further reform is necessary to confirm the applicability of the prohibition to corporal punishment of children in the home and to repeal article 442(2) of the Penal Code. A Family Code is being drafted.</w:t>
      </w:r>
      <w:r w:rsidR="00B84BA7" w:rsidRPr="00B84BA7">
        <w:rPr>
          <w:rFonts w:asciiTheme="minorHAnsi" w:hAnsiTheme="minorHAnsi" w:cstheme="minorHAnsi"/>
          <w:vertAlign w:val="superscript"/>
        </w:rPr>
        <w:footnoteReference w:id="5"/>
      </w:r>
    </w:p>
    <w:p w14:paraId="01DDA0BF" w14:textId="72FD1863" w:rsidR="00B84BA7" w:rsidRPr="00B84BA7" w:rsidRDefault="00C333FE" w:rsidP="00B84BA7">
      <w:pPr>
        <w:spacing w:after="120"/>
        <w:ind w:left="482" w:hanging="482"/>
        <w:rPr>
          <w:rFonts w:asciiTheme="minorHAnsi" w:hAnsiTheme="minorHAnsi" w:cstheme="minorHAnsi"/>
        </w:rPr>
      </w:pPr>
      <w:r>
        <w:rPr>
          <w:rFonts w:asciiTheme="minorHAnsi" w:hAnsiTheme="minorHAnsi" w:cstheme="minorHAnsi"/>
        </w:rPr>
        <w:t xml:space="preserve">1.6 </w:t>
      </w:r>
      <w:r w:rsidR="00B84BA7" w:rsidRPr="00B84BA7">
        <w:rPr>
          <w:rFonts w:asciiTheme="minorHAnsi" w:hAnsiTheme="minorHAnsi" w:cstheme="minorHAnsi"/>
        </w:rPr>
        <w:t xml:space="preserve">The Puntland Constitution 2012 states that every person has a right to life and to “protection of his/her body and </w:t>
      </w:r>
      <w:proofErr w:type="spellStart"/>
      <w:r w:rsidR="00B84BA7" w:rsidRPr="00B84BA7">
        <w:rPr>
          <w:rFonts w:asciiTheme="minorHAnsi" w:hAnsiTheme="minorHAnsi" w:cstheme="minorHAnsi"/>
        </w:rPr>
        <w:t>self esteem</w:t>
      </w:r>
      <w:proofErr w:type="spellEnd"/>
      <w:r w:rsidR="00B84BA7" w:rsidRPr="00B84BA7">
        <w:rPr>
          <w:rFonts w:asciiTheme="minorHAnsi" w:hAnsiTheme="minorHAnsi" w:cstheme="minorHAnsi"/>
        </w:rPr>
        <w:t xml:space="preserve">” (art. 17) but it does not prohibit corporal punishment. </w:t>
      </w:r>
    </w:p>
    <w:p w14:paraId="415EBABC" w14:textId="433547AD" w:rsidR="00B84BA7" w:rsidRPr="00B84BA7" w:rsidRDefault="00231002" w:rsidP="00B84BA7">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w:t>
      </w:r>
      <w:r w:rsidR="00836546">
        <w:rPr>
          <w:rFonts w:asciiTheme="minorHAnsi" w:hAnsiTheme="minorHAnsi" w:cstheme="minorHAnsi"/>
        </w:rPr>
        <w:t>7</w:t>
      </w:r>
      <w:r w:rsidR="00102B5F" w:rsidRPr="002B59FD">
        <w:rPr>
          <w:rFonts w:asciiTheme="minorHAnsi" w:hAnsiTheme="minorHAnsi" w:cstheme="minorHAnsi"/>
        </w:rPr>
        <w:t xml:space="preserve"> </w:t>
      </w:r>
      <w:r w:rsidR="00102B5F" w:rsidRPr="002B59FD">
        <w:rPr>
          <w:rFonts w:asciiTheme="minorHAnsi" w:hAnsiTheme="minorHAnsi" w:cstheme="minorHAnsi"/>
          <w:b/>
          <w:i/>
        </w:rPr>
        <w:t>Alternative care settings (</w:t>
      </w:r>
      <w:r w:rsidR="00C333FE" w:rsidRPr="00C333FE">
        <w:rPr>
          <w:rFonts w:asciiTheme="minorHAnsi" w:hAnsiTheme="minorHAnsi" w:cstheme="minorHAnsi"/>
          <w:b/>
          <w:i/>
          <w:u w:val="single"/>
        </w:rPr>
        <w:t xml:space="preserve">partially </w:t>
      </w:r>
      <w:r w:rsidR="00102B5F" w:rsidRPr="00C333FE">
        <w:rPr>
          <w:rFonts w:asciiTheme="minorHAnsi" w:hAnsiTheme="minorHAnsi" w:cstheme="minorHAnsi"/>
          <w:b/>
          <w:i/>
          <w:u w:val="single"/>
        </w:rPr>
        <w:t>l</w:t>
      </w:r>
      <w:r w:rsidR="00102B5F" w:rsidRPr="00774AB2">
        <w:rPr>
          <w:rFonts w:asciiTheme="minorHAnsi" w:hAnsiTheme="minorHAnsi" w:cstheme="minorHAnsi"/>
          <w:b/>
          <w:i/>
          <w:u w:val="single"/>
        </w:rPr>
        <w:t>awful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B84BA7" w:rsidRPr="00B84BA7">
        <w:rPr>
          <w:rFonts w:asciiTheme="minorHAnsi" w:hAnsiTheme="minorHAnsi" w:cstheme="minorHAnsi"/>
        </w:rPr>
        <w:t>Corporal punishment is not prohibited in alternative care settings. The Provisional Federal Constitution 2012 states that “State power must not be exercised in a manner that violates human dignity” (art. 10) and protects every person from “all forms of violence” (art. 15) and children from “mistreatment, neglect, abuse, or degradation” (art. 29) but there is no indication that this protects children from all corporal punishment.</w:t>
      </w:r>
      <w:r w:rsidR="00C333FE">
        <w:rPr>
          <w:rFonts w:asciiTheme="minorHAnsi" w:hAnsiTheme="minorHAnsi" w:cstheme="minorHAnsi"/>
        </w:rPr>
        <w:t xml:space="preserve"> </w:t>
      </w:r>
      <w:r w:rsidR="00B84BA7" w:rsidRPr="00B84BA7">
        <w:rPr>
          <w:rFonts w:asciiTheme="minorHAnsi" w:hAnsiTheme="minorHAnsi" w:cstheme="minorHAnsi"/>
        </w:rPr>
        <w:t>In Somaliland, corporal punishment is possibly unlawful in institutions under the prohibition of physical punishment in the Constitution 2001 (art. 24) but further law reform is necessary to confirm its applicability to all forms of care.</w:t>
      </w:r>
      <w:r w:rsidR="00C333FE">
        <w:rPr>
          <w:rFonts w:asciiTheme="minorHAnsi" w:hAnsiTheme="minorHAnsi" w:cstheme="minorHAnsi"/>
        </w:rPr>
        <w:t xml:space="preserve"> </w:t>
      </w:r>
      <w:r w:rsidR="00B84BA7" w:rsidRPr="00B84BA7">
        <w:rPr>
          <w:rFonts w:asciiTheme="minorHAnsi" w:hAnsiTheme="minorHAnsi" w:cstheme="minorHAnsi"/>
        </w:rPr>
        <w:t xml:space="preserve">In Puntland, the Constitution 2012 states every person’s right to “protection of his/her body and </w:t>
      </w:r>
      <w:proofErr w:type="spellStart"/>
      <w:r w:rsidR="00B84BA7" w:rsidRPr="00B84BA7">
        <w:rPr>
          <w:rFonts w:asciiTheme="minorHAnsi" w:hAnsiTheme="minorHAnsi" w:cstheme="minorHAnsi"/>
        </w:rPr>
        <w:t>self esteem</w:t>
      </w:r>
      <w:proofErr w:type="spellEnd"/>
      <w:r w:rsidR="00B84BA7" w:rsidRPr="00B84BA7">
        <w:rPr>
          <w:rFonts w:asciiTheme="minorHAnsi" w:hAnsiTheme="minorHAnsi" w:cstheme="minorHAnsi"/>
        </w:rPr>
        <w:t>” (art. 17) but it does not prohibit corporal punishment.</w:t>
      </w:r>
    </w:p>
    <w:p w14:paraId="0D9DA3BF" w14:textId="49AA9B67" w:rsidR="00E0214B" w:rsidRPr="00E0214B" w:rsidRDefault="00231002" w:rsidP="00B84BA7">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w:t>
      </w:r>
      <w:r w:rsidR="00C333FE">
        <w:rPr>
          <w:rFonts w:asciiTheme="minorHAnsi" w:hAnsiTheme="minorHAnsi" w:cstheme="minorHAnsi"/>
        </w:rPr>
        <w:t>8</w:t>
      </w:r>
      <w:r w:rsidR="00102B5F" w:rsidRPr="002B59FD">
        <w:rPr>
          <w:rFonts w:asciiTheme="minorHAnsi" w:hAnsiTheme="minorHAnsi" w:cstheme="minorHAnsi"/>
        </w:rPr>
        <w:t xml:space="preserve"> </w:t>
      </w:r>
      <w:r w:rsidR="00102B5F" w:rsidRPr="002B59FD">
        <w:rPr>
          <w:rFonts w:asciiTheme="minorHAnsi" w:hAnsiTheme="minorHAnsi" w:cstheme="minorHAnsi"/>
          <w:b/>
          <w:i/>
        </w:rPr>
        <w:t>Day care settings (</w:t>
      </w:r>
      <w:r w:rsidR="00836546" w:rsidRPr="00836546">
        <w:rPr>
          <w:rFonts w:asciiTheme="minorHAnsi" w:hAnsiTheme="minorHAnsi" w:cstheme="minorHAnsi"/>
          <w:b/>
          <w:i/>
          <w:u w:val="single"/>
        </w:rPr>
        <w:t xml:space="preserve">partially </w:t>
      </w:r>
      <w:r w:rsidR="00102B5F" w:rsidRPr="00836546">
        <w:rPr>
          <w:rFonts w:asciiTheme="minorHAnsi" w:hAnsiTheme="minorHAnsi" w:cstheme="minorHAnsi"/>
          <w:b/>
          <w:i/>
          <w:u w:val="single"/>
        </w:rPr>
        <w:t>l</w:t>
      </w:r>
      <w:r w:rsidR="00102B5F" w:rsidRPr="00774AB2">
        <w:rPr>
          <w:rFonts w:asciiTheme="minorHAnsi" w:hAnsiTheme="minorHAnsi" w:cstheme="minorHAnsi"/>
          <w:b/>
          <w:i/>
          <w:u w:val="single"/>
        </w:rPr>
        <w:t>awful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B84BA7" w:rsidRPr="00B84BA7">
        <w:rPr>
          <w:rFonts w:asciiTheme="minorHAnsi" w:hAnsiTheme="minorHAnsi" w:cstheme="minorHAnsi"/>
        </w:rPr>
        <w:t>Corporal punishment is lawful in day care in Somalia. The Provisional Federal Constitution 2012 states that “State power must not be exercised in a manner that violates human dignity” (art. 10) and protects every person from “all forms of violence” (art. 15) and children from “mistreatment, neglect, abuse, or degradation” (art. 29) but there is no indication that this protects children from all corporal punishment.</w:t>
      </w:r>
      <w:r w:rsidR="00C333FE">
        <w:rPr>
          <w:rFonts w:asciiTheme="minorHAnsi" w:hAnsiTheme="minorHAnsi" w:cstheme="minorHAnsi"/>
        </w:rPr>
        <w:t xml:space="preserve"> </w:t>
      </w:r>
      <w:r w:rsidR="00B84BA7" w:rsidRPr="00B84BA7">
        <w:rPr>
          <w:rFonts w:asciiTheme="minorHAnsi" w:hAnsiTheme="minorHAnsi" w:cstheme="minorHAnsi"/>
        </w:rPr>
        <w:t>In Somaliland, corporal punish</w:t>
      </w:r>
      <w:bookmarkStart w:id="0" w:name="_GoBack"/>
      <w:bookmarkEnd w:id="0"/>
      <w:r w:rsidR="00B84BA7" w:rsidRPr="00B84BA7">
        <w:rPr>
          <w:rFonts w:asciiTheme="minorHAnsi" w:hAnsiTheme="minorHAnsi" w:cstheme="minorHAnsi"/>
        </w:rPr>
        <w:t>ment is possibly unlawful in institutions under the prohibition of physical punishment in the Constitution 2001 (art. 24) but further law reform is necessary to confirm its applicability to all forms of care.</w:t>
      </w:r>
      <w:r w:rsidR="00C333FE">
        <w:rPr>
          <w:rFonts w:asciiTheme="minorHAnsi" w:hAnsiTheme="minorHAnsi" w:cstheme="minorHAnsi"/>
        </w:rPr>
        <w:t xml:space="preserve"> </w:t>
      </w:r>
      <w:r w:rsidR="00B84BA7" w:rsidRPr="00B84BA7">
        <w:rPr>
          <w:rFonts w:asciiTheme="minorHAnsi" w:hAnsiTheme="minorHAnsi" w:cstheme="minorHAnsi"/>
        </w:rPr>
        <w:t xml:space="preserve">In Puntland, the Constitution 2012 states every person’s right to “protection of his/her body and </w:t>
      </w:r>
      <w:proofErr w:type="spellStart"/>
      <w:r w:rsidR="00B84BA7" w:rsidRPr="00B84BA7">
        <w:rPr>
          <w:rFonts w:asciiTheme="minorHAnsi" w:hAnsiTheme="minorHAnsi" w:cstheme="minorHAnsi"/>
        </w:rPr>
        <w:t>self esteem</w:t>
      </w:r>
      <w:proofErr w:type="spellEnd"/>
      <w:r w:rsidR="00B84BA7" w:rsidRPr="00B84BA7">
        <w:rPr>
          <w:rFonts w:asciiTheme="minorHAnsi" w:hAnsiTheme="minorHAnsi" w:cstheme="minorHAnsi"/>
        </w:rPr>
        <w:t>” (art. 17) but it does not prohibit corporal punishment.</w:t>
      </w:r>
    </w:p>
    <w:p w14:paraId="08405E6C" w14:textId="54818A44" w:rsidR="00E0214B" w:rsidRPr="00E0214B" w:rsidRDefault="00231002" w:rsidP="00B84BA7">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w:t>
      </w:r>
      <w:r w:rsidR="00836546">
        <w:rPr>
          <w:rFonts w:asciiTheme="minorHAnsi" w:hAnsiTheme="minorHAnsi" w:cstheme="minorHAnsi"/>
        </w:rPr>
        <w:t>9</w:t>
      </w:r>
      <w:r w:rsidR="00102B5F" w:rsidRPr="002B59FD">
        <w:rPr>
          <w:rFonts w:asciiTheme="minorHAnsi" w:hAnsiTheme="minorHAnsi" w:cstheme="minorHAnsi"/>
        </w:rPr>
        <w:t xml:space="preserve"> </w:t>
      </w:r>
      <w:r w:rsidR="00102B5F" w:rsidRPr="002B59FD">
        <w:rPr>
          <w:rFonts w:asciiTheme="minorHAnsi" w:hAnsiTheme="minorHAnsi" w:cstheme="minorHAnsi"/>
          <w:b/>
          <w:i/>
        </w:rPr>
        <w:t>Schools (</w:t>
      </w:r>
      <w:r w:rsidR="00836546">
        <w:rPr>
          <w:rFonts w:asciiTheme="minorHAnsi" w:hAnsiTheme="minorHAnsi" w:cstheme="minorHAnsi"/>
          <w:b/>
          <w:i/>
          <w:u w:val="single"/>
        </w:rPr>
        <w:t>partially lawful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bookmarkStart w:id="1" w:name="OLE_LINK11"/>
      <w:bookmarkStart w:id="2" w:name="OLE_LINK12"/>
      <w:r w:rsidR="00B84BA7" w:rsidRPr="00B84BA7">
        <w:rPr>
          <w:rFonts w:asciiTheme="minorHAnsi" w:hAnsiTheme="minorHAnsi" w:cstheme="minorHAnsi"/>
        </w:rPr>
        <w:t>Corporal punishment is lawful in schools. As of October 2019, an Education Act was being drafted.</w:t>
      </w:r>
      <w:r w:rsidR="00B84BA7" w:rsidRPr="00B84BA7">
        <w:rPr>
          <w:rFonts w:asciiTheme="minorHAnsi" w:hAnsiTheme="minorHAnsi" w:cstheme="minorHAnsi"/>
          <w:vertAlign w:val="superscript"/>
        </w:rPr>
        <w:footnoteReference w:id="6"/>
      </w:r>
      <w:r w:rsidR="00B84BA7" w:rsidRPr="00B84BA7">
        <w:rPr>
          <w:rFonts w:asciiTheme="minorHAnsi" w:hAnsiTheme="minorHAnsi" w:cstheme="minorHAnsi"/>
        </w:rPr>
        <w:t xml:space="preserve"> </w:t>
      </w:r>
      <w:r w:rsidR="00C333FE">
        <w:rPr>
          <w:rFonts w:asciiTheme="minorHAnsi" w:hAnsiTheme="minorHAnsi" w:cstheme="minorHAnsi"/>
        </w:rPr>
        <w:t xml:space="preserve"> </w:t>
      </w:r>
      <w:r w:rsidR="00B84BA7" w:rsidRPr="00B84BA7">
        <w:rPr>
          <w:rFonts w:asciiTheme="minorHAnsi" w:hAnsiTheme="minorHAnsi" w:cstheme="minorHAnsi"/>
        </w:rPr>
        <w:t xml:space="preserve">In Puntland, the Ministry of Education issued a Decree stating </w:t>
      </w:r>
      <w:r w:rsidR="00B84BA7" w:rsidRPr="00B84BA7">
        <w:rPr>
          <w:rFonts w:asciiTheme="minorHAnsi" w:hAnsiTheme="minorHAnsi" w:cstheme="minorHAnsi"/>
        </w:rPr>
        <w:lastRenderedPageBreak/>
        <w:t>that corporal punishment should not be used but there is no prohibition in law. The Provisional Federal Constitution 2012 states that “State power must not be exercised in a manner that violates human dignity” (art. 10) and protects every person from “all forms of violence” (art. 15) and children from “mistreatment, neglect, abuse, or degradation” (art. 29) but there is no indication that this protects children from all corporal punishment.</w:t>
      </w:r>
      <w:r w:rsidR="00C333FE">
        <w:rPr>
          <w:rFonts w:asciiTheme="minorHAnsi" w:hAnsiTheme="minorHAnsi" w:cstheme="minorHAnsi"/>
        </w:rPr>
        <w:t xml:space="preserve"> </w:t>
      </w:r>
      <w:r w:rsidR="00B84BA7" w:rsidRPr="00B84BA7">
        <w:rPr>
          <w:rFonts w:asciiTheme="minorHAnsi" w:hAnsiTheme="minorHAnsi" w:cstheme="minorHAnsi"/>
        </w:rPr>
        <w:t>Corporal punishment appears to be unlawful in Somaliland under the prohibition of physical punishment in article 24 of the Somaliland Constitution 2001 (unconfirmed).</w:t>
      </w:r>
    </w:p>
    <w:bookmarkEnd w:id="1"/>
    <w:bookmarkEnd w:id="2"/>
    <w:p w14:paraId="43B43EAA" w14:textId="071C7077" w:rsidR="00B84BA7" w:rsidRDefault="00231002" w:rsidP="00B84BA7">
      <w:pPr>
        <w:spacing w:after="120"/>
        <w:ind w:left="482" w:hanging="482"/>
        <w:rPr>
          <w:rFonts w:asciiTheme="minorHAnsi" w:hAnsiTheme="minorHAnsi" w:cstheme="minorHAnsi"/>
        </w:rPr>
      </w:pPr>
      <w:r>
        <w:rPr>
          <w:rFonts w:asciiTheme="minorHAnsi" w:hAnsiTheme="minorHAnsi" w:cstheme="minorHAnsi"/>
        </w:rPr>
        <w:t>1</w:t>
      </w:r>
      <w:r w:rsidR="00836546">
        <w:rPr>
          <w:rFonts w:asciiTheme="minorHAnsi" w:hAnsiTheme="minorHAnsi" w:cstheme="minorHAnsi"/>
        </w:rPr>
        <w:t>.10</w:t>
      </w:r>
      <w:r w:rsidR="00102B5F" w:rsidRPr="002B59FD">
        <w:rPr>
          <w:rFonts w:asciiTheme="minorHAnsi" w:hAnsiTheme="minorHAnsi" w:cstheme="minorHAnsi"/>
        </w:rPr>
        <w:t xml:space="preserve"> </w:t>
      </w:r>
      <w:r w:rsidR="00102B5F" w:rsidRPr="002B59FD">
        <w:rPr>
          <w:rFonts w:asciiTheme="minorHAnsi" w:hAnsiTheme="minorHAnsi" w:cstheme="minorHAnsi"/>
          <w:b/>
          <w:i/>
        </w:rPr>
        <w:t>Penal institutions (</w:t>
      </w:r>
      <w:r w:rsidR="00C333FE" w:rsidRPr="00C333FE">
        <w:rPr>
          <w:rFonts w:asciiTheme="minorHAnsi" w:hAnsiTheme="minorHAnsi" w:cstheme="minorHAnsi"/>
          <w:b/>
          <w:i/>
          <w:u w:val="single"/>
        </w:rPr>
        <w:t xml:space="preserve">partially </w:t>
      </w:r>
      <w:r w:rsidR="00102B5F" w:rsidRPr="00C333FE">
        <w:rPr>
          <w:rFonts w:asciiTheme="minorHAnsi" w:hAnsiTheme="minorHAnsi" w:cstheme="minorHAnsi"/>
          <w:b/>
          <w:i/>
          <w:u w:val="single"/>
        </w:rPr>
        <w:t>lawful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B84BA7" w:rsidRPr="00B84BA7">
        <w:rPr>
          <w:rFonts w:asciiTheme="minorHAnsi" w:hAnsiTheme="minorHAnsi" w:cstheme="minorHAnsi"/>
        </w:rPr>
        <w:t>There is no explicit prohibition of corporal punishment as a disciplinary measure in penal institutions, though the Transitional Charter of the Somali Republic prohibits “physical or moral violence or action against a person subject to restriction of personal liberty” (art. 16). The Provisional Federal Constitution 2012 states that “State power must not be exercised in a manner that violates human dignity” (art. 10) but there is no indication that this, or the protection from violence, abuse and degradation (arts. 15 and 29) protect children from all corporal punishment. A Juvenile Justice Bill is being drafted to “protect the rights of children in conflict with the law”.</w:t>
      </w:r>
      <w:r w:rsidR="00B84BA7" w:rsidRPr="00B84BA7">
        <w:rPr>
          <w:rFonts w:asciiTheme="minorHAnsi" w:hAnsiTheme="minorHAnsi" w:cstheme="minorHAnsi"/>
          <w:vertAlign w:val="superscript"/>
        </w:rPr>
        <w:footnoteReference w:id="7"/>
      </w:r>
      <w:r w:rsidR="00C333FE">
        <w:rPr>
          <w:rFonts w:asciiTheme="minorHAnsi" w:hAnsiTheme="minorHAnsi" w:cstheme="minorHAnsi"/>
        </w:rPr>
        <w:t xml:space="preserve"> </w:t>
      </w:r>
      <w:r w:rsidR="00B84BA7" w:rsidRPr="00B84BA7">
        <w:rPr>
          <w:rFonts w:asciiTheme="minorHAnsi" w:hAnsiTheme="minorHAnsi" w:cstheme="minorHAnsi"/>
        </w:rPr>
        <w:t>In Somaliland, corporal punishment is unlawful in penal institutions under article 24 of the Constitution 2001.</w:t>
      </w:r>
      <w:r w:rsidR="00C333FE">
        <w:rPr>
          <w:rFonts w:asciiTheme="minorHAnsi" w:hAnsiTheme="minorHAnsi" w:cstheme="minorHAnsi"/>
        </w:rPr>
        <w:t xml:space="preserve"> </w:t>
      </w:r>
      <w:r w:rsidR="00B84BA7" w:rsidRPr="00B84BA7">
        <w:rPr>
          <w:rFonts w:asciiTheme="minorHAnsi" w:hAnsiTheme="minorHAnsi" w:cstheme="minorHAnsi"/>
        </w:rPr>
        <w:t xml:space="preserve">In Puntland, the Constitution 2012 states every person’s right to “protection of his/her body and </w:t>
      </w:r>
      <w:proofErr w:type="spellStart"/>
      <w:r w:rsidR="00B84BA7" w:rsidRPr="00B84BA7">
        <w:rPr>
          <w:rFonts w:asciiTheme="minorHAnsi" w:hAnsiTheme="minorHAnsi" w:cstheme="minorHAnsi"/>
        </w:rPr>
        <w:t>self esteem</w:t>
      </w:r>
      <w:proofErr w:type="spellEnd"/>
      <w:r w:rsidR="00B84BA7" w:rsidRPr="00B84BA7">
        <w:rPr>
          <w:rFonts w:asciiTheme="minorHAnsi" w:hAnsiTheme="minorHAnsi" w:cstheme="minorHAnsi"/>
        </w:rPr>
        <w:t>” (art. 17), the right of an accused person “to protection, security and human dignity” (art. 26) and the “entitlement” of a convicted person “to the universal rights guaranteed to prisoners worldwide” (art. 27), but it does not prohibit corporal punishment.</w:t>
      </w:r>
    </w:p>
    <w:p w14:paraId="1F8795BE" w14:textId="77777777" w:rsidR="00C333FE" w:rsidRDefault="00231002" w:rsidP="00B84BA7">
      <w:pPr>
        <w:spacing w:after="120"/>
        <w:ind w:left="482" w:hanging="482"/>
        <w:rPr>
          <w:rFonts w:asciiTheme="minorHAnsi" w:hAnsiTheme="minorHAnsi" w:cstheme="minorHAnsi"/>
        </w:rPr>
      </w:pPr>
      <w:r>
        <w:rPr>
          <w:rFonts w:asciiTheme="minorHAnsi" w:hAnsiTheme="minorHAnsi" w:cstheme="minorHAnsi"/>
        </w:rPr>
        <w:t>1</w:t>
      </w:r>
      <w:r w:rsidR="00102B5F">
        <w:rPr>
          <w:rFonts w:asciiTheme="minorHAnsi" w:hAnsiTheme="minorHAnsi" w:cstheme="minorHAnsi"/>
        </w:rPr>
        <w:t>.1</w:t>
      </w:r>
      <w:r w:rsidR="00C333FE">
        <w:rPr>
          <w:rFonts w:asciiTheme="minorHAnsi" w:hAnsiTheme="minorHAnsi" w:cstheme="minorHAnsi"/>
        </w:rPr>
        <w:t>1</w:t>
      </w:r>
      <w:r w:rsidR="00102B5F" w:rsidRPr="002B59FD">
        <w:rPr>
          <w:rFonts w:asciiTheme="minorHAnsi" w:hAnsiTheme="minorHAnsi" w:cstheme="minorHAnsi"/>
        </w:rPr>
        <w:t xml:space="preserve"> </w:t>
      </w:r>
      <w:r w:rsidR="00102B5F" w:rsidRPr="002B59FD">
        <w:rPr>
          <w:rFonts w:asciiTheme="minorHAnsi" w:hAnsiTheme="minorHAnsi" w:cstheme="minorHAnsi"/>
          <w:b/>
          <w:i/>
        </w:rPr>
        <w:t>Sentence for crime (</w:t>
      </w:r>
      <w:r w:rsidR="00C333FE" w:rsidRPr="00C333FE">
        <w:rPr>
          <w:rFonts w:asciiTheme="minorHAnsi" w:hAnsiTheme="minorHAnsi" w:cstheme="minorHAnsi"/>
          <w:b/>
          <w:i/>
          <w:u w:val="single"/>
        </w:rPr>
        <w:t>partially lawful</w:t>
      </w:r>
      <w:r w:rsidR="00102B5F" w:rsidRPr="002B59FD">
        <w:rPr>
          <w:rFonts w:asciiTheme="minorHAnsi" w:hAnsiTheme="minorHAnsi" w:cstheme="minorHAnsi"/>
          <w:b/>
          <w:i/>
        </w:rPr>
        <w:t>):</w:t>
      </w:r>
      <w:r w:rsidR="00102B5F" w:rsidRPr="00980821">
        <w:rPr>
          <w:rFonts w:asciiTheme="minorHAnsi" w:hAnsiTheme="minorHAnsi" w:cstheme="minorHAnsi"/>
        </w:rPr>
        <w:t xml:space="preserve"> </w:t>
      </w:r>
      <w:r w:rsidR="00B84BA7" w:rsidRPr="00B84BA7">
        <w:rPr>
          <w:rFonts w:asciiTheme="minorHAnsi" w:hAnsiTheme="minorHAnsi" w:cstheme="minorHAnsi"/>
        </w:rPr>
        <w:t>Corporal punishment is lawful as a sentence for crime under Islamic law, except possibly in Somaliland. The Somali Penal Code and the national Juvenile Courts and Reformatories Law 1970 make no provision for judicial corporal punishment. The Provisional Federal Constitution 2012 states that “State power must not be exercised in a manner that violates human dignity” (art. 10): we do not know if this is interpreted as prohibiting judicial corporal punishment.</w:t>
      </w:r>
      <w:r w:rsidR="00C333FE">
        <w:rPr>
          <w:rFonts w:asciiTheme="minorHAnsi" w:hAnsiTheme="minorHAnsi" w:cstheme="minorHAnsi"/>
        </w:rPr>
        <w:t xml:space="preserve"> </w:t>
      </w:r>
      <w:r w:rsidR="00B84BA7" w:rsidRPr="00B84BA7">
        <w:rPr>
          <w:rFonts w:asciiTheme="minorHAnsi" w:hAnsiTheme="minorHAnsi" w:cstheme="minorHAnsi"/>
        </w:rPr>
        <w:t xml:space="preserve">We have no details of the application of corporal punishment under Islamic law as envisaged when the Transitional Federal Parliament voted to adopt </w:t>
      </w:r>
      <w:proofErr w:type="spellStart"/>
      <w:r w:rsidR="00B84BA7" w:rsidRPr="00B84BA7">
        <w:rPr>
          <w:rFonts w:asciiTheme="minorHAnsi" w:hAnsiTheme="minorHAnsi" w:cstheme="minorHAnsi"/>
        </w:rPr>
        <w:t>Shari’a</w:t>
      </w:r>
      <w:proofErr w:type="spellEnd"/>
      <w:r w:rsidR="00B84BA7" w:rsidRPr="00B84BA7">
        <w:rPr>
          <w:rFonts w:asciiTheme="minorHAnsi" w:hAnsiTheme="minorHAnsi" w:cstheme="minorHAnsi"/>
        </w:rPr>
        <w:t xml:space="preserve"> as the national law in 2009. There are numerous reports of the imposition of harsh punishments in Somalia. Many – but not all – concern extrajudicial punishments imposed by the armed opposition groups in South/Central Somalia.</w:t>
      </w:r>
      <w:r w:rsidR="00B84BA7" w:rsidRPr="00B84BA7">
        <w:rPr>
          <w:rFonts w:asciiTheme="minorHAnsi" w:hAnsiTheme="minorHAnsi" w:cstheme="minorHAnsi"/>
          <w:vertAlign w:val="superscript"/>
        </w:rPr>
        <w:footnoteReference w:id="8"/>
      </w:r>
      <w:r w:rsidR="00B84BA7" w:rsidRPr="00B84BA7">
        <w:rPr>
          <w:rFonts w:asciiTheme="minorHAnsi" w:hAnsiTheme="minorHAnsi" w:cstheme="minorHAnsi"/>
          <w:vertAlign w:val="superscript"/>
        </w:rPr>
        <w:t xml:space="preserve"> </w:t>
      </w:r>
      <w:r w:rsidR="00B84BA7" w:rsidRPr="00B84BA7">
        <w:rPr>
          <w:rFonts w:asciiTheme="minorHAnsi" w:hAnsiTheme="minorHAnsi" w:cstheme="minorHAnsi"/>
        </w:rPr>
        <w:t>There are also reports of amputations and flogging.</w:t>
      </w:r>
      <w:r w:rsidR="00B84BA7" w:rsidRPr="00B84BA7">
        <w:rPr>
          <w:rFonts w:asciiTheme="minorHAnsi" w:hAnsiTheme="minorHAnsi" w:cstheme="minorHAnsi"/>
          <w:vertAlign w:val="superscript"/>
        </w:rPr>
        <w:footnoteReference w:id="9"/>
      </w:r>
      <w:r w:rsidR="00B84BA7" w:rsidRPr="00B84BA7">
        <w:rPr>
          <w:rFonts w:asciiTheme="minorHAnsi" w:hAnsiTheme="minorHAnsi" w:cstheme="minorHAnsi"/>
        </w:rPr>
        <w:t xml:space="preserve"> Amputations carried out by al-Shabaab and </w:t>
      </w:r>
      <w:proofErr w:type="spellStart"/>
      <w:r w:rsidR="00B84BA7" w:rsidRPr="00B84BA7">
        <w:rPr>
          <w:rFonts w:asciiTheme="minorHAnsi" w:hAnsiTheme="minorHAnsi" w:cstheme="minorHAnsi"/>
        </w:rPr>
        <w:t>Hizbul</w:t>
      </w:r>
      <w:proofErr w:type="spellEnd"/>
      <w:r w:rsidR="00B84BA7" w:rsidRPr="00B84BA7">
        <w:rPr>
          <w:rFonts w:asciiTheme="minorHAnsi" w:hAnsiTheme="minorHAnsi" w:cstheme="minorHAnsi"/>
        </w:rPr>
        <w:t xml:space="preserve"> Islam are often in public before large crowds including children.</w:t>
      </w:r>
      <w:r w:rsidR="00B84BA7" w:rsidRPr="00B84BA7">
        <w:rPr>
          <w:rFonts w:asciiTheme="minorHAnsi" w:hAnsiTheme="minorHAnsi" w:cstheme="minorHAnsi"/>
          <w:vertAlign w:val="superscript"/>
        </w:rPr>
        <w:footnoteReference w:id="10"/>
      </w:r>
      <w:r w:rsidR="00C333FE">
        <w:rPr>
          <w:rFonts w:asciiTheme="minorHAnsi" w:hAnsiTheme="minorHAnsi" w:cstheme="minorHAnsi"/>
        </w:rPr>
        <w:t xml:space="preserve"> </w:t>
      </w:r>
    </w:p>
    <w:p w14:paraId="4871EDC0" w14:textId="0776E90E" w:rsidR="00C333FE" w:rsidRDefault="00C333FE" w:rsidP="00B84BA7">
      <w:pPr>
        <w:spacing w:after="120"/>
        <w:ind w:left="482" w:hanging="482"/>
        <w:rPr>
          <w:rFonts w:asciiTheme="minorHAnsi" w:hAnsiTheme="minorHAnsi" w:cstheme="minorHAnsi"/>
        </w:rPr>
      </w:pPr>
      <w:r>
        <w:rPr>
          <w:rFonts w:asciiTheme="minorHAnsi" w:hAnsiTheme="minorHAnsi" w:cstheme="minorHAnsi"/>
        </w:rPr>
        <w:t xml:space="preserve">1.12 </w:t>
      </w:r>
      <w:r w:rsidR="00B84BA7" w:rsidRPr="00B84BA7">
        <w:rPr>
          <w:rFonts w:asciiTheme="minorHAnsi" w:hAnsiTheme="minorHAnsi" w:cstheme="minorHAnsi"/>
        </w:rPr>
        <w:t>In Somaliland, the judicial corporal punishment is unlawful under article 24 of the Constitution 2001 and article 2 of the Juvenile Justice Law 2007.</w:t>
      </w:r>
      <w:r>
        <w:rPr>
          <w:rFonts w:asciiTheme="minorHAnsi" w:hAnsiTheme="minorHAnsi" w:cstheme="minorHAnsi"/>
        </w:rPr>
        <w:t xml:space="preserve"> </w:t>
      </w:r>
    </w:p>
    <w:p w14:paraId="4F78AF62" w14:textId="108B1DE6" w:rsidR="00B84BA7" w:rsidRPr="00B84BA7" w:rsidRDefault="00C333FE" w:rsidP="00B84BA7">
      <w:pPr>
        <w:spacing w:after="120"/>
        <w:ind w:left="482" w:hanging="482"/>
        <w:rPr>
          <w:rFonts w:asciiTheme="minorHAnsi" w:hAnsiTheme="minorHAnsi" w:cstheme="minorHAnsi"/>
        </w:rPr>
      </w:pPr>
      <w:r>
        <w:rPr>
          <w:rFonts w:asciiTheme="minorHAnsi" w:hAnsiTheme="minorHAnsi" w:cstheme="minorHAnsi"/>
        </w:rPr>
        <w:t xml:space="preserve">1.13 </w:t>
      </w:r>
      <w:r w:rsidR="00B84BA7" w:rsidRPr="00B84BA7">
        <w:rPr>
          <w:rFonts w:asciiTheme="minorHAnsi" w:hAnsiTheme="minorHAnsi" w:cstheme="minorHAnsi"/>
        </w:rPr>
        <w:t xml:space="preserve">The Puntland Constitution 2012 states that “no one can be subjected to a punishment that was not decreed by a competent court of Law” (art. 25) and that “any person sentence by a court of Law shall have the right to protection, security and dignity as a human being” and “every prisoner shall be entitled to the universal rights granted to prisoners worldwide” (art. 27). There is no explicit prohibition of corporal punishment and it is not clear that the Constitutional provisions are intended to protect persons in conflict with the law from being sentenced to </w:t>
      </w:r>
      <w:r w:rsidR="00B84BA7" w:rsidRPr="00B84BA7">
        <w:rPr>
          <w:rFonts w:asciiTheme="minorHAnsi" w:hAnsiTheme="minorHAnsi" w:cstheme="minorHAnsi"/>
        </w:rPr>
        <w:lastRenderedPageBreak/>
        <w:t>corporal punishment. In 2009 a new juvenile justice law was being drafted in Puntland: we have no further information.</w:t>
      </w:r>
    </w:p>
    <w:p w14:paraId="49B7A571" w14:textId="7FE39311" w:rsidR="00102B5F" w:rsidRDefault="00102B5F" w:rsidP="00102B5F">
      <w:pPr>
        <w:spacing w:after="120"/>
        <w:ind w:left="482" w:hanging="482"/>
        <w:rPr>
          <w:rFonts w:asciiTheme="minorHAnsi" w:hAnsiTheme="minorHAnsi" w:cstheme="minorHAnsi"/>
          <w:b/>
          <w:sz w:val="22"/>
          <w:szCs w:val="28"/>
        </w:rPr>
      </w:pPr>
    </w:p>
    <w:p w14:paraId="2552C129" w14:textId="77EE4250" w:rsidR="00102B5F" w:rsidRPr="002B59FD" w:rsidRDefault="00231002" w:rsidP="00102B5F">
      <w:pPr>
        <w:spacing w:after="120"/>
        <w:ind w:left="482" w:hanging="482"/>
        <w:rPr>
          <w:rFonts w:asciiTheme="minorHAnsi" w:hAnsiTheme="minorHAnsi" w:cstheme="minorHAnsi"/>
          <w:sz w:val="28"/>
          <w:szCs w:val="28"/>
        </w:rPr>
      </w:pPr>
      <w:r>
        <w:rPr>
          <w:rFonts w:asciiTheme="minorHAnsi" w:hAnsiTheme="minorHAnsi" w:cstheme="minorHAnsi"/>
          <w:b/>
          <w:sz w:val="28"/>
          <w:szCs w:val="28"/>
        </w:rPr>
        <w:t>2</w:t>
      </w:r>
      <w:r w:rsidR="00102B5F" w:rsidRPr="002B59FD">
        <w:rPr>
          <w:rFonts w:asciiTheme="minorHAnsi" w:hAnsiTheme="minorHAnsi" w:cstheme="minorHAnsi"/>
          <w:b/>
          <w:sz w:val="28"/>
          <w:szCs w:val="28"/>
        </w:rPr>
        <w:t xml:space="preserve"> Recommendations during the UPR</w:t>
      </w:r>
    </w:p>
    <w:p w14:paraId="596E603C" w14:textId="2FA61E6C" w:rsidR="00B84BA7" w:rsidRPr="00B84BA7" w:rsidRDefault="00231002" w:rsidP="00B84BA7">
      <w:pPr>
        <w:spacing w:after="120"/>
        <w:ind w:left="482" w:hanging="482"/>
        <w:rPr>
          <w:rFonts w:asciiTheme="minorHAnsi" w:hAnsiTheme="minorHAnsi" w:cstheme="minorHAnsi"/>
          <w:bCs/>
        </w:rPr>
      </w:pPr>
      <w:r>
        <w:rPr>
          <w:rFonts w:asciiTheme="minorHAnsi" w:hAnsiTheme="minorHAnsi" w:cstheme="minorHAnsi"/>
        </w:rPr>
        <w:t>2</w:t>
      </w:r>
      <w:r w:rsidR="00102B5F" w:rsidRPr="002B59FD">
        <w:rPr>
          <w:rFonts w:asciiTheme="minorHAnsi" w:hAnsiTheme="minorHAnsi" w:cstheme="minorHAnsi"/>
        </w:rPr>
        <w:t>.</w:t>
      </w:r>
      <w:r w:rsidR="00B84BA7">
        <w:rPr>
          <w:rFonts w:asciiTheme="minorHAnsi" w:hAnsiTheme="minorHAnsi" w:cstheme="minorHAnsi"/>
        </w:rPr>
        <w:t>1</w:t>
      </w:r>
      <w:r w:rsidR="00102B5F" w:rsidRPr="002B59FD">
        <w:rPr>
          <w:rFonts w:asciiTheme="minorHAnsi" w:hAnsiTheme="minorHAnsi" w:cstheme="minorHAnsi"/>
        </w:rPr>
        <w:t xml:space="preserve"> </w:t>
      </w:r>
      <w:r w:rsidR="00102B5F" w:rsidRPr="002B59FD">
        <w:rPr>
          <w:rFonts w:asciiTheme="minorHAnsi" w:hAnsiTheme="minorHAnsi" w:cstheme="minorHAnsi"/>
          <w:b/>
          <w:i/>
        </w:rPr>
        <w:t>UPR:</w:t>
      </w:r>
      <w:r w:rsidR="00102B5F" w:rsidRPr="002B59FD">
        <w:rPr>
          <w:rFonts w:asciiTheme="minorHAnsi" w:hAnsiTheme="minorHAnsi" w:cstheme="minorHAnsi"/>
          <w:b/>
        </w:rPr>
        <w:t xml:space="preserve"> </w:t>
      </w:r>
      <w:r w:rsidR="00B84BA7" w:rsidRPr="00B84BA7">
        <w:rPr>
          <w:rFonts w:asciiTheme="minorHAnsi" w:hAnsiTheme="minorHAnsi" w:cstheme="minorHAnsi"/>
          <w:bCs/>
        </w:rPr>
        <w:t xml:space="preserve">Somalia was reviewed in </w:t>
      </w:r>
      <w:r w:rsidR="00B84BA7" w:rsidRPr="00B84BA7">
        <w:rPr>
          <w:rFonts w:asciiTheme="minorHAnsi" w:hAnsiTheme="minorHAnsi" w:cstheme="minorHAnsi"/>
          <w:bCs/>
          <w:lang w:val="en-US"/>
        </w:rPr>
        <w:t xml:space="preserve">the first cycle of the Universal Periodic Review in 2011 (session 11). </w:t>
      </w:r>
      <w:r w:rsidR="00B84BA7" w:rsidRPr="00B84BA7">
        <w:rPr>
          <w:rFonts w:asciiTheme="minorHAnsi" w:hAnsiTheme="minorHAnsi" w:cstheme="minorHAnsi"/>
          <w:bCs/>
        </w:rPr>
        <w:t>The Government accepted the recommendation to stop amputations and floggings in the context of the conflict.</w:t>
      </w:r>
      <w:r w:rsidR="00B84BA7" w:rsidRPr="00B84BA7">
        <w:rPr>
          <w:rFonts w:asciiTheme="minorHAnsi" w:hAnsiTheme="minorHAnsi" w:cstheme="minorHAnsi"/>
          <w:bCs/>
          <w:vertAlign w:val="superscript"/>
        </w:rPr>
        <w:footnoteReference w:id="11"/>
      </w:r>
      <w:r w:rsidR="00B84BA7" w:rsidRPr="00B84BA7">
        <w:rPr>
          <w:rFonts w:asciiTheme="minorHAnsi" w:hAnsiTheme="minorHAnsi" w:cstheme="minorHAnsi"/>
          <w:bCs/>
        </w:rPr>
        <w:t xml:space="preserve"> Examination in the second cycle took place in 2016 (session 24). Two recommendations were made on the prohibition of corporal punishment. The Government “noted” the recommendations, and stated that the one related to the prohibition in “all settings, including the home” was “too broadly formulated”.</w:t>
      </w:r>
      <w:r w:rsidR="00B84BA7" w:rsidRPr="00B84BA7">
        <w:rPr>
          <w:rFonts w:asciiTheme="minorHAnsi" w:hAnsiTheme="minorHAnsi" w:cstheme="minorHAnsi"/>
          <w:bCs/>
          <w:vertAlign w:val="superscript"/>
        </w:rPr>
        <w:t xml:space="preserve"> </w:t>
      </w:r>
      <w:r w:rsidR="00B84BA7" w:rsidRPr="00B84BA7">
        <w:rPr>
          <w:rFonts w:asciiTheme="minorHAnsi" w:hAnsiTheme="minorHAnsi" w:cstheme="minorHAnsi"/>
          <w:bCs/>
          <w:vertAlign w:val="superscript"/>
        </w:rPr>
        <w:footnoteReference w:id="12"/>
      </w:r>
      <w:r w:rsidR="00B84BA7" w:rsidRPr="00B84BA7">
        <w:rPr>
          <w:rFonts w:asciiTheme="minorHAnsi" w:hAnsiTheme="minorHAnsi" w:cstheme="minorHAnsi"/>
          <w:bCs/>
        </w:rPr>
        <w:t xml:space="preserve"> </w:t>
      </w:r>
    </w:p>
    <w:p w14:paraId="1E61B955" w14:textId="1FF37223" w:rsidR="00836546" w:rsidRPr="00836546" w:rsidRDefault="00836546" w:rsidP="00836546">
      <w:pPr>
        <w:spacing w:after="120"/>
        <w:ind w:left="482" w:hanging="482"/>
        <w:rPr>
          <w:rFonts w:asciiTheme="minorHAnsi" w:hAnsiTheme="minorHAnsi" w:cstheme="minorHAnsi"/>
          <w:bCs/>
        </w:rPr>
      </w:pPr>
    </w:p>
    <w:p w14:paraId="564DADD7" w14:textId="14691545" w:rsidR="003A08B8" w:rsidRPr="00647D00" w:rsidRDefault="003A08B8" w:rsidP="00647D00">
      <w:pPr>
        <w:spacing w:after="120"/>
        <w:ind w:left="482" w:hanging="482"/>
        <w:rPr>
          <w:rFonts w:asciiTheme="minorHAnsi" w:hAnsiTheme="minorHAnsi" w:cstheme="minorHAnsi"/>
          <w:bCs/>
        </w:rPr>
      </w:pPr>
    </w:p>
    <w:p w14:paraId="0657CD2D" w14:textId="20F2CD61" w:rsidR="00991C11" w:rsidRPr="00C0571D" w:rsidRDefault="00991C11" w:rsidP="00C0571D">
      <w:pPr>
        <w:rPr>
          <w:rFonts w:asciiTheme="minorHAnsi" w:hAnsiTheme="minorHAnsi" w:cstheme="minorHAnsi"/>
        </w:rPr>
      </w:pPr>
    </w:p>
    <w:p w14:paraId="32387731" w14:textId="7084C24D" w:rsidR="00C901EC" w:rsidRPr="0090314B" w:rsidRDefault="00102B5F"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Pr>
          <w:rFonts w:asciiTheme="minorHAnsi" w:hAnsiTheme="minorHAnsi" w:cstheme="minorHAnsi"/>
          <w:i/>
        </w:rPr>
        <w:t>B</w:t>
      </w:r>
      <w:r w:rsidR="00C901EC" w:rsidRPr="0090314B">
        <w:rPr>
          <w:rFonts w:asciiTheme="minorHAnsi" w:hAnsiTheme="minorHAnsi" w:cstheme="minorHAnsi"/>
          <w:i/>
        </w:rPr>
        <w:t>riefing prepared</w:t>
      </w:r>
      <w:r w:rsidR="001C0859" w:rsidRPr="0090314B">
        <w:rPr>
          <w:rFonts w:asciiTheme="minorHAnsi" w:hAnsiTheme="minorHAnsi" w:cstheme="minorHAnsi"/>
          <w:i/>
        </w:rPr>
        <w:t xml:space="preserve"> by the Global Initiative to End All Corporal Punishment of Children</w:t>
      </w:r>
    </w:p>
    <w:p w14:paraId="3B4171F6" w14:textId="77777777" w:rsidR="001C0859" w:rsidRPr="0090314B" w:rsidRDefault="001B08F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6F5767">
          <w:rPr>
            <w:rStyle w:val="Hyperlink"/>
            <w:rFonts w:asciiTheme="minorHAnsi" w:hAnsiTheme="minorHAnsi" w:cstheme="minorHAnsi"/>
            <w:i/>
            <w:color w:val="0096A3"/>
          </w:rPr>
          <w:t>www.endcorporalpunishment.org</w:t>
        </w:r>
      </w:hyperlink>
      <w:r w:rsidR="001C0859" w:rsidRPr="0090314B">
        <w:rPr>
          <w:rFonts w:asciiTheme="minorHAnsi" w:hAnsiTheme="minorHAnsi" w:cstheme="minorHAnsi"/>
          <w:i/>
        </w:rPr>
        <w:t xml:space="preserve">; </w:t>
      </w:r>
      <w:hyperlink r:id="rId13" w:history="1">
        <w:r w:rsidR="001C0859" w:rsidRPr="006F5767">
          <w:rPr>
            <w:rStyle w:val="Hyperlink"/>
            <w:rFonts w:asciiTheme="minorHAnsi" w:hAnsiTheme="minorHAnsi" w:cstheme="minorHAnsi"/>
            <w:i/>
            <w:color w:val="0096A3"/>
          </w:rPr>
          <w:t>info@endcorporalpunishment.org</w:t>
        </w:r>
      </w:hyperlink>
    </w:p>
    <w:sectPr w:rsidR="001C0859" w:rsidRPr="0090314B"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FE4B4E" w14:textId="77777777" w:rsidR="001B08FD" w:rsidRDefault="001B08FD">
      <w:r>
        <w:separator/>
      </w:r>
    </w:p>
  </w:endnote>
  <w:endnote w:type="continuationSeparator" w:id="0">
    <w:p w14:paraId="737872E0" w14:textId="77777777" w:rsidR="001B08FD" w:rsidRDefault="001B0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Calibri"/>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647D00" w:rsidRDefault="00647D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647D00" w:rsidRDefault="00647D0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17C7E1A8" w:rsidR="00647D00" w:rsidRPr="007939A1" w:rsidRDefault="00647D00">
    <w:pPr>
      <w:pStyle w:val="Footer"/>
      <w:jc w:val="center"/>
      <w:rPr>
        <w:rFonts w:asciiTheme="minorHAnsi" w:hAnsiTheme="minorHAnsi" w:cstheme="minorHAnsi"/>
      </w:rPr>
    </w:pPr>
    <w:r w:rsidRPr="007939A1">
      <w:rPr>
        <w:rFonts w:asciiTheme="minorHAnsi" w:hAnsiTheme="minorHAnsi" w:cstheme="minorHAnsi"/>
      </w:rPr>
      <w:fldChar w:fldCharType="begin"/>
    </w:r>
    <w:r w:rsidRPr="007939A1">
      <w:rPr>
        <w:rFonts w:asciiTheme="minorHAnsi" w:hAnsiTheme="minorHAnsi" w:cstheme="minorHAnsi"/>
      </w:rPr>
      <w:instrText xml:space="preserve"> PAGE   \* MERGEFORMAT </w:instrText>
    </w:r>
    <w:r w:rsidRPr="007939A1">
      <w:rPr>
        <w:rFonts w:asciiTheme="minorHAnsi" w:hAnsiTheme="minorHAnsi" w:cstheme="minorHAnsi"/>
      </w:rPr>
      <w:fldChar w:fldCharType="separate"/>
    </w:r>
    <w:r w:rsidR="00E51960">
      <w:rPr>
        <w:rFonts w:asciiTheme="minorHAnsi" w:hAnsiTheme="minorHAnsi" w:cstheme="minorHAnsi"/>
        <w:noProof/>
      </w:rPr>
      <w:t>4</w:t>
    </w:r>
    <w:r w:rsidRPr="007939A1">
      <w:rPr>
        <w:rFonts w:asciiTheme="minorHAnsi" w:hAnsiTheme="minorHAnsi" w:cstheme="minorHAnsi"/>
        <w:noProof/>
      </w:rPr>
      <w:fldChar w:fldCharType="end"/>
    </w:r>
  </w:p>
  <w:p w14:paraId="44F681E0" w14:textId="77777777" w:rsidR="00647D00" w:rsidRDefault="00647D0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4E09F0" w14:textId="77777777" w:rsidR="001B08FD" w:rsidRDefault="001B08FD">
      <w:r>
        <w:separator/>
      </w:r>
    </w:p>
  </w:footnote>
  <w:footnote w:type="continuationSeparator" w:id="0">
    <w:p w14:paraId="76AD832E" w14:textId="77777777" w:rsidR="001B08FD" w:rsidRDefault="001B08FD">
      <w:r>
        <w:continuationSeparator/>
      </w:r>
    </w:p>
  </w:footnote>
  <w:footnote w:id="1">
    <w:p w14:paraId="2E6C7F9A" w14:textId="77777777" w:rsidR="00B84BA7" w:rsidRPr="00E51960" w:rsidRDefault="00B84BA7" w:rsidP="00B84BA7">
      <w:pPr>
        <w:pStyle w:val="FootnoteText"/>
        <w:rPr>
          <w:rFonts w:asciiTheme="minorHAnsi" w:hAnsiTheme="minorHAnsi" w:cstheme="minorHAnsi"/>
        </w:rPr>
      </w:pPr>
      <w:r w:rsidRPr="00E51960">
        <w:rPr>
          <w:rStyle w:val="FootnoteReference"/>
          <w:rFonts w:asciiTheme="minorHAnsi" w:hAnsiTheme="minorHAnsi" w:cstheme="minorHAnsi"/>
        </w:rPr>
        <w:footnoteRef/>
      </w:r>
      <w:r w:rsidRPr="00E51960">
        <w:rPr>
          <w:rFonts w:asciiTheme="minorHAnsi" w:hAnsiTheme="minorHAnsi" w:cstheme="minorHAnsi"/>
        </w:rPr>
        <w:t xml:space="preserve"> </w:t>
      </w:r>
      <w:r w:rsidRPr="00E51960">
        <w:rPr>
          <w:rFonts w:asciiTheme="minorHAnsi" w:eastAsia="Calibri" w:hAnsiTheme="minorHAnsi" w:cstheme="minorHAnsi"/>
          <w:lang w:val="en-US"/>
        </w:rPr>
        <w:t>28 October 2015, A/HRC/WG.6/24/SOM/1, National report to the UPR, para. 10</w:t>
      </w:r>
    </w:p>
  </w:footnote>
  <w:footnote w:id="2">
    <w:p w14:paraId="136803FA" w14:textId="77777777" w:rsidR="00B84BA7" w:rsidRPr="00E51960" w:rsidRDefault="00B84BA7" w:rsidP="00B84BA7">
      <w:pPr>
        <w:pStyle w:val="FootnoteText"/>
        <w:rPr>
          <w:rFonts w:asciiTheme="minorHAnsi" w:hAnsiTheme="minorHAnsi" w:cstheme="minorHAnsi"/>
        </w:rPr>
      </w:pPr>
      <w:r w:rsidRPr="00E51960">
        <w:rPr>
          <w:rStyle w:val="FootnoteReference"/>
          <w:rFonts w:asciiTheme="minorHAnsi" w:hAnsiTheme="minorHAnsi" w:cstheme="minorHAnsi"/>
        </w:rPr>
        <w:footnoteRef/>
      </w:r>
      <w:r w:rsidRPr="00E51960">
        <w:rPr>
          <w:rFonts w:asciiTheme="minorHAnsi" w:hAnsiTheme="minorHAnsi" w:cstheme="minorHAnsi"/>
        </w:rPr>
        <w:t xml:space="preserve"> </w:t>
      </w:r>
      <w:hyperlink r:id="rId1" w:history="1">
        <w:r w:rsidRPr="00E51960">
          <w:rPr>
            <w:rStyle w:val="Hyperlink"/>
            <w:rFonts w:asciiTheme="minorHAnsi" w:hAnsiTheme="minorHAnsi" w:cstheme="minorHAnsi"/>
            <w:color w:val="auto"/>
          </w:rPr>
          <w:t>http://reliefweb.int/report/somalia/constitutional-review-process-kicked-somalia</w:t>
        </w:r>
      </w:hyperlink>
      <w:r w:rsidRPr="00E51960">
        <w:rPr>
          <w:rFonts w:asciiTheme="minorHAnsi" w:hAnsiTheme="minorHAnsi" w:cstheme="minorHAnsi"/>
        </w:rPr>
        <w:t>, 6 June 2017</w:t>
      </w:r>
    </w:p>
  </w:footnote>
  <w:footnote w:id="3">
    <w:p w14:paraId="186D4DD0" w14:textId="77777777" w:rsidR="00B84BA7" w:rsidRPr="00E51960" w:rsidRDefault="00B84BA7" w:rsidP="00B84BA7">
      <w:pPr>
        <w:pStyle w:val="FootnoteText"/>
        <w:rPr>
          <w:rFonts w:asciiTheme="minorHAnsi" w:hAnsiTheme="minorHAnsi" w:cstheme="minorHAnsi"/>
        </w:rPr>
      </w:pPr>
      <w:r w:rsidRPr="00E51960">
        <w:rPr>
          <w:rStyle w:val="FootnoteReference"/>
          <w:rFonts w:asciiTheme="minorHAnsi" w:hAnsiTheme="minorHAnsi" w:cstheme="minorHAnsi"/>
        </w:rPr>
        <w:footnoteRef/>
      </w:r>
      <w:r w:rsidRPr="00E51960">
        <w:rPr>
          <w:rFonts w:asciiTheme="minorHAnsi" w:hAnsiTheme="minorHAnsi" w:cstheme="minorHAnsi"/>
        </w:rPr>
        <w:t xml:space="preserve"> 16 October 2019, CRC/C/SOM/1, Initial report, para. 22</w:t>
      </w:r>
    </w:p>
  </w:footnote>
  <w:footnote w:id="4">
    <w:p w14:paraId="344EDCAF" w14:textId="77777777" w:rsidR="00B84BA7" w:rsidRPr="00E51960" w:rsidRDefault="00B84BA7" w:rsidP="00B84BA7">
      <w:pPr>
        <w:pStyle w:val="FootnoteText"/>
        <w:rPr>
          <w:rFonts w:asciiTheme="minorHAnsi" w:hAnsiTheme="minorHAnsi" w:cstheme="minorHAnsi"/>
        </w:rPr>
      </w:pPr>
      <w:r w:rsidRPr="00E51960">
        <w:rPr>
          <w:rStyle w:val="FootnoteReference"/>
          <w:rFonts w:asciiTheme="minorHAnsi" w:hAnsiTheme="minorHAnsi" w:cstheme="minorHAnsi"/>
        </w:rPr>
        <w:footnoteRef/>
      </w:r>
      <w:r w:rsidRPr="00E51960">
        <w:rPr>
          <w:rFonts w:asciiTheme="minorHAnsi" w:hAnsiTheme="minorHAnsi" w:cstheme="minorHAnsi"/>
        </w:rPr>
        <w:t xml:space="preserve"> 16 October 2019, CRC/C/SOM/1, Initial report, paras. 34 and 37</w:t>
      </w:r>
    </w:p>
  </w:footnote>
  <w:footnote w:id="5">
    <w:p w14:paraId="50750149" w14:textId="77777777" w:rsidR="00B84BA7" w:rsidRPr="00E51960" w:rsidRDefault="00B84BA7" w:rsidP="00B84BA7">
      <w:pPr>
        <w:pStyle w:val="FootnoteText"/>
        <w:rPr>
          <w:rFonts w:asciiTheme="minorHAnsi" w:hAnsiTheme="minorHAnsi" w:cstheme="minorHAnsi"/>
        </w:rPr>
      </w:pPr>
      <w:r w:rsidRPr="00E51960">
        <w:rPr>
          <w:rStyle w:val="FootnoteReference"/>
          <w:rFonts w:asciiTheme="minorHAnsi" w:hAnsiTheme="minorHAnsi" w:cstheme="minorHAnsi"/>
        </w:rPr>
        <w:footnoteRef/>
      </w:r>
      <w:r w:rsidRPr="00E51960">
        <w:rPr>
          <w:rFonts w:asciiTheme="minorHAnsi" w:hAnsiTheme="minorHAnsi" w:cstheme="minorHAnsi"/>
        </w:rPr>
        <w:t xml:space="preserve"> For example, see Hassan Adan Abdi (2010), </w:t>
      </w:r>
      <w:r w:rsidRPr="00E51960">
        <w:rPr>
          <w:rFonts w:asciiTheme="minorHAnsi" w:hAnsiTheme="minorHAnsi" w:cstheme="minorHAnsi"/>
          <w:i/>
        </w:rPr>
        <w:t>Situation Analyses Report, Legal Technical Consultancy: Family Code</w:t>
      </w:r>
      <w:r w:rsidRPr="00E51960">
        <w:rPr>
          <w:rFonts w:asciiTheme="minorHAnsi" w:hAnsiTheme="minorHAnsi" w:cstheme="minorHAnsi"/>
        </w:rPr>
        <w:t xml:space="preserve">, Ministry of Family Affairs and Social Development, Republic of Somaliland, and </w:t>
      </w:r>
      <w:hyperlink r:id="rId2" w:history="1">
        <w:r w:rsidRPr="00E51960">
          <w:rPr>
            <w:rStyle w:val="Hyperlink"/>
            <w:rFonts w:asciiTheme="minorHAnsi" w:hAnsiTheme="minorHAnsi" w:cstheme="minorHAnsi"/>
            <w:color w:val="auto"/>
          </w:rPr>
          <w:t>http://www.somalilandlaw.com</w:t>
        </w:r>
      </w:hyperlink>
      <w:r w:rsidRPr="00E51960">
        <w:rPr>
          <w:rFonts w:asciiTheme="minorHAnsi" w:hAnsiTheme="minorHAnsi" w:cstheme="minorHAnsi"/>
        </w:rPr>
        <w:t xml:space="preserve"> (accessed 13 January 2014)</w:t>
      </w:r>
    </w:p>
  </w:footnote>
  <w:footnote w:id="6">
    <w:p w14:paraId="49F0DD1E" w14:textId="77777777" w:rsidR="00B84BA7" w:rsidRPr="00E51960" w:rsidRDefault="00B84BA7" w:rsidP="00B84BA7">
      <w:pPr>
        <w:pStyle w:val="FootnoteText"/>
        <w:rPr>
          <w:rFonts w:asciiTheme="minorHAnsi" w:hAnsiTheme="minorHAnsi" w:cstheme="minorHAnsi"/>
        </w:rPr>
      </w:pPr>
      <w:r w:rsidRPr="00E51960">
        <w:rPr>
          <w:rStyle w:val="FootnoteReference"/>
          <w:rFonts w:asciiTheme="minorHAnsi" w:hAnsiTheme="minorHAnsi" w:cstheme="minorHAnsi"/>
        </w:rPr>
        <w:footnoteRef/>
      </w:r>
      <w:r w:rsidRPr="00E51960">
        <w:rPr>
          <w:rFonts w:asciiTheme="minorHAnsi" w:hAnsiTheme="minorHAnsi" w:cstheme="minorHAnsi"/>
        </w:rPr>
        <w:t xml:space="preserve"> 16 October 2019, CRC/C/SOM/1, Initial report, para. 253</w:t>
      </w:r>
    </w:p>
  </w:footnote>
  <w:footnote w:id="7">
    <w:p w14:paraId="311109BB" w14:textId="77777777" w:rsidR="00B84BA7" w:rsidRPr="00E51960" w:rsidRDefault="00B84BA7" w:rsidP="00B84BA7">
      <w:pPr>
        <w:pStyle w:val="FootnoteText"/>
        <w:rPr>
          <w:rFonts w:asciiTheme="minorHAnsi" w:hAnsiTheme="minorHAnsi" w:cstheme="minorHAnsi"/>
        </w:rPr>
      </w:pPr>
      <w:r w:rsidRPr="00E51960">
        <w:rPr>
          <w:rStyle w:val="FootnoteReference"/>
          <w:rFonts w:asciiTheme="minorHAnsi" w:hAnsiTheme="minorHAnsi" w:cstheme="minorHAnsi"/>
        </w:rPr>
        <w:footnoteRef/>
      </w:r>
      <w:r w:rsidRPr="00E51960">
        <w:rPr>
          <w:rFonts w:asciiTheme="minorHAnsi" w:hAnsiTheme="minorHAnsi" w:cstheme="minorHAnsi"/>
        </w:rPr>
        <w:t xml:space="preserve"> 16 October 2019, CRC/C/SOM/1, Initial report, para. 46</w:t>
      </w:r>
    </w:p>
  </w:footnote>
  <w:footnote w:id="8">
    <w:p w14:paraId="63ED1446" w14:textId="77777777" w:rsidR="00B84BA7" w:rsidRPr="00E51960" w:rsidRDefault="00B84BA7" w:rsidP="00B84BA7">
      <w:pPr>
        <w:pStyle w:val="FootnoteText"/>
        <w:rPr>
          <w:rFonts w:asciiTheme="minorHAnsi" w:hAnsiTheme="minorHAnsi" w:cstheme="minorHAnsi"/>
          <w:lang w:val="en-US"/>
        </w:rPr>
      </w:pPr>
      <w:r w:rsidRPr="00E51960">
        <w:rPr>
          <w:rStyle w:val="FootnoteReference"/>
          <w:rFonts w:asciiTheme="minorHAnsi" w:hAnsiTheme="minorHAnsi" w:cstheme="minorHAnsi"/>
        </w:rPr>
        <w:footnoteRef/>
      </w:r>
      <w:r w:rsidRPr="00E51960">
        <w:rPr>
          <w:rFonts w:asciiTheme="minorHAnsi" w:hAnsiTheme="minorHAnsi" w:cstheme="minorHAnsi"/>
        </w:rPr>
        <w:t xml:space="preserve"> </w:t>
      </w:r>
      <w:r w:rsidRPr="00E51960">
        <w:rPr>
          <w:rFonts w:asciiTheme="minorHAnsi" w:hAnsiTheme="minorHAnsi" w:cstheme="minorHAnsi"/>
          <w:lang w:val="en-US"/>
        </w:rPr>
        <w:t xml:space="preserve">For example, </w:t>
      </w:r>
      <w:r w:rsidRPr="00E51960">
        <w:rPr>
          <w:rFonts w:asciiTheme="minorHAnsi" w:hAnsiTheme="minorHAnsi" w:cstheme="minorHAnsi"/>
        </w:rPr>
        <w:t xml:space="preserve">see A/HRC/12/44, 17 September 2009, </w:t>
      </w:r>
      <w:r w:rsidRPr="00E51960">
        <w:rPr>
          <w:rFonts w:asciiTheme="minorHAnsi" w:hAnsiTheme="minorHAnsi" w:cstheme="minorHAnsi"/>
          <w:bCs/>
          <w:i/>
        </w:rPr>
        <w:t xml:space="preserve">Report of the independent expert on the situation of human rights in Somalia, </w:t>
      </w:r>
      <w:proofErr w:type="spellStart"/>
      <w:r w:rsidRPr="00E51960">
        <w:rPr>
          <w:rFonts w:asciiTheme="minorHAnsi" w:hAnsiTheme="minorHAnsi" w:cstheme="minorHAnsi"/>
          <w:bCs/>
          <w:i/>
        </w:rPr>
        <w:t>Shamsul</w:t>
      </w:r>
      <w:proofErr w:type="spellEnd"/>
      <w:r w:rsidRPr="00E51960">
        <w:rPr>
          <w:rFonts w:asciiTheme="minorHAnsi" w:hAnsiTheme="minorHAnsi" w:cstheme="minorHAnsi"/>
          <w:bCs/>
          <w:i/>
        </w:rPr>
        <w:t xml:space="preserve"> Bari</w:t>
      </w:r>
    </w:p>
  </w:footnote>
  <w:footnote w:id="9">
    <w:p w14:paraId="192FB1D3" w14:textId="77777777" w:rsidR="00B84BA7" w:rsidRPr="00E51960" w:rsidRDefault="00B84BA7" w:rsidP="00B84BA7">
      <w:pPr>
        <w:pStyle w:val="FootnoteText"/>
        <w:rPr>
          <w:rFonts w:asciiTheme="minorHAnsi" w:hAnsiTheme="minorHAnsi" w:cstheme="minorHAnsi"/>
          <w:lang w:val="en-US"/>
        </w:rPr>
      </w:pPr>
      <w:r w:rsidRPr="00E51960">
        <w:rPr>
          <w:rStyle w:val="FootnoteReference"/>
          <w:rFonts w:asciiTheme="minorHAnsi" w:hAnsiTheme="minorHAnsi" w:cstheme="minorHAnsi"/>
        </w:rPr>
        <w:footnoteRef/>
      </w:r>
      <w:r w:rsidRPr="00E51960">
        <w:rPr>
          <w:rFonts w:asciiTheme="minorHAnsi" w:hAnsiTheme="minorHAnsi" w:cstheme="minorHAnsi"/>
        </w:rPr>
        <w:t xml:space="preserve"> </w:t>
      </w:r>
      <w:r w:rsidRPr="00E51960">
        <w:rPr>
          <w:rFonts w:asciiTheme="minorHAnsi" w:hAnsiTheme="minorHAnsi" w:cstheme="minorHAnsi"/>
          <w:lang w:val="en-US"/>
        </w:rPr>
        <w:t xml:space="preserve">For example, </w:t>
      </w:r>
      <w:r w:rsidRPr="00E51960">
        <w:rPr>
          <w:rFonts w:asciiTheme="minorHAnsi" w:hAnsiTheme="minorHAnsi" w:cstheme="minorHAnsi"/>
        </w:rPr>
        <w:t xml:space="preserve">see A/HRC/13/65, 23 March 2010, </w:t>
      </w:r>
      <w:r w:rsidRPr="00E51960">
        <w:rPr>
          <w:rFonts w:asciiTheme="minorHAnsi" w:hAnsiTheme="minorHAnsi" w:cstheme="minorHAnsi"/>
          <w:bCs/>
          <w:i/>
        </w:rPr>
        <w:t xml:space="preserve">Report of the independent expert on the situation of human rights in Somalia, </w:t>
      </w:r>
      <w:proofErr w:type="spellStart"/>
      <w:r w:rsidRPr="00E51960">
        <w:rPr>
          <w:rFonts w:asciiTheme="minorHAnsi" w:hAnsiTheme="minorHAnsi" w:cstheme="minorHAnsi"/>
          <w:bCs/>
          <w:i/>
        </w:rPr>
        <w:t>Shamsul</w:t>
      </w:r>
      <w:proofErr w:type="spellEnd"/>
      <w:r w:rsidRPr="00E51960">
        <w:rPr>
          <w:rFonts w:asciiTheme="minorHAnsi" w:hAnsiTheme="minorHAnsi" w:cstheme="minorHAnsi"/>
          <w:bCs/>
          <w:i/>
        </w:rPr>
        <w:t xml:space="preserve"> Bari</w:t>
      </w:r>
      <w:r w:rsidRPr="00E51960">
        <w:rPr>
          <w:rFonts w:asciiTheme="minorHAnsi" w:hAnsiTheme="minorHAnsi" w:cstheme="minorHAnsi"/>
        </w:rPr>
        <w:t xml:space="preserve">; A/HRC/12/44, 17 September 2009, </w:t>
      </w:r>
      <w:r w:rsidRPr="00E51960">
        <w:rPr>
          <w:rFonts w:asciiTheme="minorHAnsi" w:hAnsiTheme="minorHAnsi" w:cstheme="minorHAnsi"/>
          <w:bCs/>
          <w:i/>
        </w:rPr>
        <w:t xml:space="preserve">Report of the independent expert on the situation of human rights in Somalia, </w:t>
      </w:r>
      <w:proofErr w:type="spellStart"/>
      <w:r w:rsidRPr="00E51960">
        <w:rPr>
          <w:rFonts w:asciiTheme="minorHAnsi" w:hAnsiTheme="minorHAnsi" w:cstheme="minorHAnsi"/>
          <w:bCs/>
          <w:i/>
        </w:rPr>
        <w:t>Shamsul</w:t>
      </w:r>
      <w:proofErr w:type="spellEnd"/>
      <w:r w:rsidRPr="00E51960">
        <w:rPr>
          <w:rFonts w:asciiTheme="minorHAnsi" w:hAnsiTheme="minorHAnsi" w:cstheme="minorHAnsi"/>
          <w:bCs/>
          <w:i/>
        </w:rPr>
        <w:t xml:space="preserve"> Bari</w:t>
      </w:r>
      <w:r w:rsidRPr="00E51960">
        <w:rPr>
          <w:rFonts w:asciiTheme="minorHAnsi" w:hAnsiTheme="minorHAnsi" w:cstheme="minorHAnsi"/>
        </w:rPr>
        <w:t xml:space="preserve">; Human Rights Watch (2010), </w:t>
      </w:r>
      <w:r w:rsidRPr="00E51960">
        <w:rPr>
          <w:rFonts w:asciiTheme="minorHAnsi" w:hAnsiTheme="minorHAnsi" w:cstheme="minorHAnsi"/>
          <w:i/>
        </w:rPr>
        <w:t>Harsh War, Harsh Peace: Abuses by al-Shabaab, the Transitional Federal Government, and AMISOM in Somalia</w:t>
      </w:r>
      <w:r w:rsidRPr="00E51960">
        <w:rPr>
          <w:rFonts w:asciiTheme="minorHAnsi" w:hAnsiTheme="minorHAnsi" w:cstheme="minorHAnsi"/>
        </w:rPr>
        <w:t>, NY: Human Rights Watch</w:t>
      </w:r>
    </w:p>
  </w:footnote>
  <w:footnote w:id="10">
    <w:p w14:paraId="55C5B0CF" w14:textId="77777777" w:rsidR="00B84BA7" w:rsidRPr="00E51960" w:rsidRDefault="00B84BA7" w:rsidP="00B84BA7">
      <w:pPr>
        <w:pStyle w:val="FootnoteText"/>
        <w:rPr>
          <w:rFonts w:asciiTheme="minorHAnsi" w:hAnsiTheme="minorHAnsi" w:cstheme="minorHAnsi"/>
          <w:lang w:val="en-US"/>
        </w:rPr>
      </w:pPr>
      <w:r w:rsidRPr="00E51960">
        <w:rPr>
          <w:rStyle w:val="FootnoteReference"/>
          <w:rFonts w:asciiTheme="minorHAnsi" w:hAnsiTheme="minorHAnsi" w:cstheme="minorHAnsi"/>
        </w:rPr>
        <w:footnoteRef/>
      </w:r>
      <w:r w:rsidRPr="00E51960">
        <w:rPr>
          <w:rFonts w:asciiTheme="minorHAnsi" w:hAnsiTheme="minorHAnsi" w:cstheme="minorHAnsi"/>
        </w:rPr>
        <w:t xml:space="preserve"> </w:t>
      </w:r>
      <w:hyperlink r:id="rId3" w:history="1">
        <w:r w:rsidRPr="00E51960">
          <w:rPr>
            <w:rStyle w:val="Hyperlink"/>
            <w:rFonts w:asciiTheme="minorHAnsi" w:hAnsiTheme="minorHAnsi" w:cstheme="minorHAnsi"/>
            <w:color w:val="auto"/>
          </w:rPr>
          <w:t>www.handsoffcain.info/</w:t>
        </w:r>
      </w:hyperlink>
      <w:r w:rsidRPr="00E51960">
        <w:rPr>
          <w:rFonts w:asciiTheme="minorHAnsi" w:hAnsiTheme="minorHAnsi" w:cstheme="minorHAnsi"/>
        </w:rPr>
        <w:t xml:space="preserve">, </w:t>
      </w:r>
      <w:r w:rsidRPr="00E51960">
        <w:rPr>
          <w:rFonts w:asciiTheme="minorHAnsi" w:hAnsiTheme="minorHAnsi" w:cstheme="minorHAnsi"/>
          <w:bCs/>
        </w:rPr>
        <w:t>accessed 21 February 2011</w:t>
      </w:r>
    </w:p>
  </w:footnote>
  <w:footnote w:id="11">
    <w:p w14:paraId="7A6ECE7C" w14:textId="77777777" w:rsidR="00B84BA7" w:rsidRPr="00E51960" w:rsidRDefault="00B84BA7" w:rsidP="00B84BA7">
      <w:pPr>
        <w:pStyle w:val="FootnoteText"/>
        <w:rPr>
          <w:rFonts w:asciiTheme="minorHAnsi" w:hAnsiTheme="minorHAnsi" w:cstheme="minorHAnsi"/>
          <w:lang w:val="en-US"/>
        </w:rPr>
      </w:pPr>
      <w:r w:rsidRPr="00E51960">
        <w:rPr>
          <w:rStyle w:val="FootnoteReference"/>
          <w:rFonts w:asciiTheme="minorHAnsi" w:hAnsiTheme="minorHAnsi" w:cstheme="minorHAnsi"/>
        </w:rPr>
        <w:footnoteRef/>
      </w:r>
      <w:r w:rsidRPr="00E51960">
        <w:rPr>
          <w:rFonts w:asciiTheme="minorHAnsi" w:hAnsiTheme="minorHAnsi" w:cstheme="minorHAnsi"/>
        </w:rPr>
        <w:t xml:space="preserve"> SPR/UNOG/000431/11, Information provided by the Government on pending recommendations, para. 98.71</w:t>
      </w:r>
    </w:p>
  </w:footnote>
  <w:footnote w:id="12">
    <w:p w14:paraId="07F47272" w14:textId="77777777" w:rsidR="00B84BA7" w:rsidRPr="00E51960" w:rsidRDefault="00B84BA7" w:rsidP="00B84BA7">
      <w:pPr>
        <w:pStyle w:val="FootnoteText"/>
        <w:rPr>
          <w:rFonts w:asciiTheme="minorHAnsi" w:hAnsiTheme="minorHAnsi" w:cstheme="minorHAnsi"/>
        </w:rPr>
      </w:pPr>
      <w:r w:rsidRPr="00E51960">
        <w:rPr>
          <w:rStyle w:val="FootnoteReference"/>
          <w:rFonts w:asciiTheme="minorHAnsi" w:hAnsiTheme="minorHAnsi" w:cstheme="minorHAnsi"/>
        </w:rPr>
        <w:footnoteRef/>
      </w:r>
      <w:r w:rsidRPr="00E51960">
        <w:rPr>
          <w:rFonts w:asciiTheme="minorHAnsi" w:hAnsiTheme="minorHAnsi" w:cstheme="minorHAnsi"/>
        </w:rPr>
        <w:t xml:space="preserve"> </w:t>
      </w:r>
      <w:r w:rsidRPr="00E51960">
        <w:rPr>
          <w:rFonts w:asciiTheme="minorHAnsi" w:eastAsia="Calibri" w:hAnsiTheme="minorHAnsi" w:cstheme="minorHAnsi"/>
          <w:lang w:val="en-US"/>
        </w:rPr>
        <w:t>13 April 2016, A/HRC/32/12, Report of the working group, paras. 136(25) and 136(73)</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952802"/>
    <w:multiLevelType w:val="multilevel"/>
    <w:tmpl w:val="0220D1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2"/>
  </w:num>
  <w:num w:numId="3">
    <w:abstractNumId w:val="13"/>
  </w:num>
  <w:num w:numId="4">
    <w:abstractNumId w:val="4"/>
  </w:num>
  <w:num w:numId="5">
    <w:abstractNumId w:val="10"/>
  </w:num>
  <w:num w:numId="6">
    <w:abstractNumId w:val="8"/>
  </w:num>
  <w:num w:numId="7">
    <w:abstractNumId w:val="11"/>
  </w:num>
  <w:num w:numId="8">
    <w:abstractNumId w:val="2"/>
  </w:num>
  <w:num w:numId="9">
    <w:abstractNumId w:val="5"/>
  </w:num>
  <w:num w:numId="10">
    <w:abstractNumId w:val="9"/>
  </w:num>
  <w:num w:numId="11">
    <w:abstractNumId w:val="1"/>
  </w:num>
  <w:num w:numId="12">
    <w:abstractNumId w:val="6"/>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6C1F"/>
    <w:rsid w:val="000B7AB8"/>
    <w:rsid w:val="000C258F"/>
    <w:rsid w:val="000C2E75"/>
    <w:rsid w:val="000C4E7B"/>
    <w:rsid w:val="000D2264"/>
    <w:rsid w:val="000D3716"/>
    <w:rsid w:val="000F644D"/>
    <w:rsid w:val="000F6AB1"/>
    <w:rsid w:val="00102B5F"/>
    <w:rsid w:val="001174EC"/>
    <w:rsid w:val="00131A88"/>
    <w:rsid w:val="001356A2"/>
    <w:rsid w:val="0014187D"/>
    <w:rsid w:val="0014488F"/>
    <w:rsid w:val="00145C6A"/>
    <w:rsid w:val="00147F85"/>
    <w:rsid w:val="00150855"/>
    <w:rsid w:val="00151431"/>
    <w:rsid w:val="00162F5A"/>
    <w:rsid w:val="00170DED"/>
    <w:rsid w:val="00184718"/>
    <w:rsid w:val="00186346"/>
    <w:rsid w:val="00187E2A"/>
    <w:rsid w:val="0019312F"/>
    <w:rsid w:val="001A3D87"/>
    <w:rsid w:val="001A4886"/>
    <w:rsid w:val="001B08FD"/>
    <w:rsid w:val="001C0859"/>
    <w:rsid w:val="001C1095"/>
    <w:rsid w:val="001C428B"/>
    <w:rsid w:val="001D53F4"/>
    <w:rsid w:val="001D56D4"/>
    <w:rsid w:val="001E140B"/>
    <w:rsid w:val="001F068F"/>
    <w:rsid w:val="001F68F0"/>
    <w:rsid w:val="002024C5"/>
    <w:rsid w:val="00204B6C"/>
    <w:rsid w:val="00205A1A"/>
    <w:rsid w:val="00215035"/>
    <w:rsid w:val="00220BD0"/>
    <w:rsid w:val="002230EE"/>
    <w:rsid w:val="00231002"/>
    <w:rsid w:val="00232740"/>
    <w:rsid w:val="00237875"/>
    <w:rsid w:val="00242520"/>
    <w:rsid w:val="0025062B"/>
    <w:rsid w:val="002638C7"/>
    <w:rsid w:val="00264AF9"/>
    <w:rsid w:val="00272F68"/>
    <w:rsid w:val="00291851"/>
    <w:rsid w:val="00294B64"/>
    <w:rsid w:val="002A01E3"/>
    <w:rsid w:val="002A06FC"/>
    <w:rsid w:val="002A7206"/>
    <w:rsid w:val="002D170B"/>
    <w:rsid w:val="002D6FD4"/>
    <w:rsid w:val="002E09C9"/>
    <w:rsid w:val="002E10E0"/>
    <w:rsid w:val="002E4E5B"/>
    <w:rsid w:val="002E70F4"/>
    <w:rsid w:val="002F0ECE"/>
    <w:rsid w:val="00302970"/>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08B8"/>
    <w:rsid w:val="003A2838"/>
    <w:rsid w:val="003B3498"/>
    <w:rsid w:val="003C2A68"/>
    <w:rsid w:val="003C3A5C"/>
    <w:rsid w:val="003C4086"/>
    <w:rsid w:val="003E0B57"/>
    <w:rsid w:val="003E3A14"/>
    <w:rsid w:val="003F1015"/>
    <w:rsid w:val="003F32FA"/>
    <w:rsid w:val="00404FA3"/>
    <w:rsid w:val="00414428"/>
    <w:rsid w:val="00425F3B"/>
    <w:rsid w:val="00437B2C"/>
    <w:rsid w:val="00441CD3"/>
    <w:rsid w:val="00443601"/>
    <w:rsid w:val="0044549C"/>
    <w:rsid w:val="00452298"/>
    <w:rsid w:val="0045768C"/>
    <w:rsid w:val="00463C10"/>
    <w:rsid w:val="004720C4"/>
    <w:rsid w:val="004737EE"/>
    <w:rsid w:val="004817BA"/>
    <w:rsid w:val="00490379"/>
    <w:rsid w:val="00496A97"/>
    <w:rsid w:val="004A23E6"/>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2440"/>
    <w:rsid w:val="00543B9A"/>
    <w:rsid w:val="0055158C"/>
    <w:rsid w:val="0055414A"/>
    <w:rsid w:val="0056432B"/>
    <w:rsid w:val="00570C3B"/>
    <w:rsid w:val="00573B93"/>
    <w:rsid w:val="00574FE3"/>
    <w:rsid w:val="00581B3E"/>
    <w:rsid w:val="00581D48"/>
    <w:rsid w:val="00597780"/>
    <w:rsid w:val="00597BD9"/>
    <w:rsid w:val="005A052F"/>
    <w:rsid w:val="005A094D"/>
    <w:rsid w:val="005A643F"/>
    <w:rsid w:val="005A66D2"/>
    <w:rsid w:val="005B26CA"/>
    <w:rsid w:val="005C4DDD"/>
    <w:rsid w:val="005C5782"/>
    <w:rsid w:val="005D632C"/>
    <w:rsid w:val="005D6FD0"/>
    <w:rsid w:val="005E2DC2"/>
    <w:rsid w:val="005E35E7"/>
    <w:rsid w:val="005E665A"/>
    <w:rsid w:val="005E7BC7"/>
    <w:rsid w:val="005E7FE5"/>
    <w:rsid w:val="005F41DC"/>
    <w:rsid w:val="005F4486"/>
    <w:rsid w:val="005F65EC"/>
    <w:rsid w:val="00605D18"/>
    <w:rsid w:val="00610100"/>
    <w:rsid w:val="006101B1"/>
    <w:rsid w:val="0061376B"/>
    <w:rsid w:val="0061399F"/>
    <w:rsid w:val="00620FAB"/>
    <w:rsid w:val="006215DC"/>
    <w:rsid w:val="0062349A"/>
    <w:rsid w:val="00623A0A"/>
    <w:rsid w:val="0062663B"/>
    <w:rsid w:val="006350E4"/>
    <w:rsid w:val="00635B11"/>
    <w:rsid w:val="00647D00"/>
    <w:rsid w:val="00655F1A"/>
    <w:rsid w:val="006636F4"/>
    <w:rsid w:val="00664DF4"/>
    <w:rsid w:val="00681915"/>
    <w:rsid w:val="00683622"/>
    <w:rsid w:val="00690C12"/>
    <w:rsid w:val="006A2DC8"/>
    <w:rsid w:val="006B237E"/>
    <w:rsid w:val="006B76CE"/>
    <w:rsid w:val="006C25C8"/>
    <w:rsid w:val="006C6EBB"/>
    <w:rsid w:val="006D0C54"/>
    <w:rsid w:val="006D40C4"/>
    <w:rsid w:val="006E1FD1"/>
    <w:rsid w:val="006E3A2C"/>
    <w:rsid w:val="006E6660"/>
    <w:rsid w:val="006F5767"/>
    <w:rsid w:val="00702C52"/>
    <w:rsid w:val="0070341B"/>
    <w:rsid w:val="00714F5D"/>
    <w:rsid w:val="00716CCE"/>
    <w:rsid w:val="00721E73"/>
    <w:rsid w:val="00723CE2"/>
    <w:rsid w:val="0072545C"/>
    <w:rsid w:val="00737E41"/>
    <w:rsid w:val="00745D1B"/>
    <w:rsid w:val="007604D4"/>
    <w:rsid w:val="0076626D"/>
    <w:rsid w:val="00766D98"/>
    <w:rsid w:val="00767639"/>
    <w:rsid w:val="0077355C"/>
    <w:rsid w:val="00784AEA"/>
    <w:rsid w:val="00790956"/>
    <w:rsid w:val="007915BB"/>
    <w:rsid w:val="007939A1"/>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4FC"/>
    <w:rsid w:val="00825FA5"/>
    <w:rsid w:val="00827320"/>
    <w:rsid w:val="008320BF"/>
    <w:rsid w:val="008331E5"/>
    <w:rsid w:val="00835EFC"/>
    <w:rsid w:val="00836546"/>
    <w:rsid w:val="00841425"/>
    <w:rsid w:val="00842086"/>
    <w:rsid w:val="008455C6"/>
    <w:rsid w:val="00847A77"/>
    <w:rsid w:val="00847E21"/>
    <w:rsid w:val="00861D14"/>
    <w:rsid w:val="008644FA"/>
    <w:rsid w:val="00865B9B"/>
    <w:rsid w:val="0087342C"/>
    <w:rsid w:val="0088280B"/>
    <w:rsid w:val="00884EE9"/>
    <w:rsid w:val="008925A3"/>
    <w:rsid w:val="008A26A7"/>
    <w:rsid w:val="008A3955"/>
    <w:rsid w:val="008A633C"/>
    <w:rsid w:val="008B273F"/>
    <w:rsid w:val="008B74E3"/>
    <w:rsid w:val="008C11CA"/>
    <w:rsid w:val="008C78D6"/>
    <w:rsid w:val="008D4985"/>
    <w:rsid w:val="008D4A87"/>
    <w:rsid w:val="008D5519"/>
    <w:rsid w:val="008D63AC"/>
    <w:rsid w:val="008D7D4B"/>
    <w:rsid w:val="008E2F21"/>
    <w:rsid w:val="008E3D1E"/>
    <w:rsid w:val="008E4894"/>
    <w:rsid w:val="00902C77"/>
    <w:rsid w:val="0090314B"/>
    <w:rsid w:val="00907FC1"/>
    <w:rsid w:val="00916713"/>
    <w:rsid w:val="00921E92"/>
    <w:rsid w:val="00923377"/>
    <w:rsid w:val="00924C1F"/>
    <w:rsid w:val="0093749B"/>
    <w:rsid w:val="009471F4"/>
    <w:rsid w:val="00963DD6"/>
    <w:rsid w:val="0098296F"/>
    <w:rsid w:val="00982E63"/>
    <w:rsid w:val="00991C11"/>
    <w:rsid w:val="00993D77"/>
    <w:rsid w:val="00994D13"/>
    <w:rsid w:val="009A201E"/>
    <w:rsid w:val="009A2D05"/>
    <w:rsid w:val="009A3D8E"/>
    <w:rsid w:val="009B2828"/>
    <w:rsid w:val="009C24BF"/>
    <w:rsid w:val="009C25E9"/>
    <w:rsid w:val="009C2A38"/>
    <w:rsid w:val="009C5E40"/>
    <w:rsid w:val="009E0C08"/>
    <w:rsid w:val="009F4B59"/>
    <w:rsid w:val="009F5901"/>
    <w:rsid w:val="00A068C6"/>
    <w:rsid w:val="00A1392E"/>
    <w:rsid w:val="00A31CCB"/>
    <w:rsid w:val="00A407CF"/>
    <w:rsid w:val="00A436C7"/>
    <w:rsid w:val="00A460B6"/>
    <w:rsid w:val="00A50D1D"/>
    <w:rsid w:val="00A52185"/>
    <w:rsid w:val="00A66237"/>
    <w:rsid w:val="00A66F36"/>
    <w:rsid w:val="00A84A7C"/>
    <w:rsid w:val="00A8723D"/>
    <w:rsid w:val="00AB131E"/>
    <w:rsid w:val="00AB1753"/>
    <w:rsid w:val="00AC2B4A"/>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4BA7"/>
    <w:rsid w:val="00B87C69"/>
    <w:rsid w:val="00B95040"/>
    <w:rsid w:val="00B9545D"/>
    <w:rsid w:val="00B9701A"/>
    <w:rsid w:val="00BA2A8D"/>
    <w:rsid w:val="00BB5726"/>
    <w:rsid w:val="00BB7182"/>
    <w:rsid w:val="00BD0C3F"/>
    <w:rsid w:val="00BD259A"/>
    <w:rsid w:val="00BD3A69"/>
    <w:rsid w:val="00BD4B13"/>
    <w:rsid w:val="00BE170C"/>
    <w:rsid w:val="00BE6AA8"/>
    <w:rsid w:val="00BE7238"/>
    <w:rsid w:val="00BF5B20"/>
    <w:rsid w:val="00C02A56"/>
    <w:rsid w:val="00C04DD2"/>
    <w:rsid w:val="00C0571D"/>
    <w:rsid w:val="00C05A6B"/>
    <w:rsid w:val="00C14613"/>
    <w:rsid w:val="00C17385"/>
    <w:rsid w:val="00C252DE"/>
    <w:rsid w:val="00C333FE"/>
    <w:rsid w:val="00C37622"/>
    <w:rsid w:val="00C45951"/>
    <w:rsid w:val="00C462CF"/>
    <w:rsid w:val="00C518E3"/>
    <w:rsid w:val="00C61D88"/>
    <w:rsid w:val="00C63547"/>
    <w:rsid w:val="00C7296B"/>
    <w:rsid w:val="00C770C5"/>
    <w:rsid w:val="00C80D14"/>
    <w:rsid w:val="00C901EC"/>
    <w:rsid w:val="00C90493"/>
    <w:rsid w:val="00C91BB2"/>
    <w:rsid w:val="00C95973"/>
    <w:rsid w:val="00C97C42"/>
    <w:rsid w:val="00CC27CD"/>
    <w:rsid w:val="00CD7398"/>
    <w:rsid w:val="00CF3C9D"/>
    <w:rsid w:val="00CF6F86"/>
    <w:rsid w:val="00D04D81"/>
    <w:rsid w:val="00D146FD"/>
    <w:rsid w:val="00D14AE4"/>
    <w:rsid w:val="00D16B7E"/>
    <w:rsid w:val="00D3304F"/>
    <w:rsid w:val="00D3318F"/>
    <w:rsid w:val="00D35287"/>
    <w:rsid w:val="00D46AF1"/>
    <w:rsid w:val="00D47ABA"/>
    <w:rsid w:val="00D52131"/>
    <w:rsid w:val="00D5594E"/>
    <w:rsid w:val="00D64999"/>
    <w:rsid w:val="00D6532A"/>
    <w:rsid w:val="00D65DBB"/>
    <w:rsid w:val="00D67B66"/>
    <w:rsid w:val="00D714F2"/>
    <w:rsid w:val="00D90209"/>
    <w:rsid w:val="00DA50D4"/>
    <w:rsid w:val="00DB01B2"/>
    <w:rsid w:val="00DB4C9E"/>
    <w:rsid w:val="00DD6483"/>
    <w:rsid w:val="00DE45C9"/>
    <w:rsid w:val="00DE4FD8"/>
    <w:rsid w:val="00DF2A6A"/>
    <w:rsid w:val="00DF6CEF"/>
    <w:rsid w:val="00DF6F07"/>
    <w:rsid w:val="00DF6FBF"/>
    <w:rsid w:val="00E0214B"/>
    <w:rsid w:val="00E105D0"/>
    <w:rsid w:val="00E120C8"/>
    <w:rsid w:val="00E12A84"/>
    <w:rsid w:val="00E12F12"/>
    <w:rsid w:val="00E144EC"/>
    <w:rsid w:val="00E20BAF"/>
    <w:rsid w:val="00E218F1"/>
    <w:rsid w:val="00E2463E"/>
    <w:rsid w:val="00E24EB5"/>
    <w:rsid w:val="00E262BB"/>
    <w:rsid w:val="00E348D1"/>
    <w:rsid w:val="00E37399"/>
    <w:rsid w:val="00E376CA"/>
    <w:rsid w:val="00E37F64"/>
    <w:rsid w:val="00E40781"/>
    <w:rsid w:val="00E51960"/>
    <w:rsid w:val="00E520EF"/>
    <w:rsid w:val="00E53F53"/>
    <w:rsid w:val="00E67865"/>
    <w:rsid w:val="00E745E0"/>
    <w:rsid w:val="00E74E94"/>
    <w:rsid w:val="00E8745C"/>
    <w:rsid w:val="00E90F1D"/>
    <w:rsid w:val="00EA073C"/>
    <w:rsid w:val="00EA0CE0"/>
    <w:rsid w:val="00EB3928"/>
    <w:rsid w:val="00EB5CC6"/>
    <w:rsid w:val="00ED1E9E"/>
    <w:rsid w:val="00EE7077"/>
    <w:rsid w:val="00EF577B"/>
    <w:rsid w:val="00EF6D99"/>
    <w:rsid w:val="00F03CDA"/>
    <w:rsid w:val="00F04E1C"/>
    <w:rsid w:val="00F053DA"/>
    <w:rsid w:val="00F22B10"/>
    <w:rsid w:val="00F27919"/>
    <w:rsid w:val="00F312DA"/>
    <w:rsid w:val="00F318C2"/>
    <w:rsid w:val="00F325F7"/>
    <w:rsid w:val="00F33F0E"/>
    <w:rsid w:val="00F47779"/>
    <w:rsid w:val="00F51705"/>
    <w:rsid w:val="00F533DC"/>
    <w:rsid w:val="00F626B2"/>
    <w:rsid w:val="00F63112"/>
    <w:rsid w:val="00F63B63"/>
    <w:rsid w:val="00F7085F"/>
    <w:rsid w:val="00F70EFA"/>
    <w:rsid w:val="00F71467"/>
    <w:rsid w:val="00F73C04"/>
    <w:rsid w:val="00F77D54"/>
    <w:rsid w:val="00F83909"/>
    <w:rsid w:val="00F8476D"/>
    <w:rsid w:val="00F90DC3"/>
    <w:rsid w:val="00F97447"/>
    <w:rsid w:val="00F978B3"/>
    <w:rsid w:val="00FB3818"/>
    <w:rsid w:val="00FB498C"/>
    <w:rsid w:val="00FC3D6C"/>
    <w:rsid w:val="00FD148E"/>
    <w:rsid w:val="00FD3075"/>
    <w:rsid w:val="00FD39E2"/>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5_G"/>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 w:type="character" w:customStyle="1" w:styleId="UnresolvedMention1">
    <w:name w:val="Unresolved Mention1"/>
    <w:basedOn w:val="DefaultParagraphFont"/>
    <w:uiPriority w:val="99"/>
    <w:semiHidden/>
    <w:unhideWhenUsed/>
    <w:rsid w:val="00F312D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176193407">
      <w:bodyDiv w:val="1"/>
      <w:marLeft w:val="0"/>
      <w:marRight w:val="0"/>
      <w:marTop w:val="0"/>
      <w:marBottom w:val="0"/>
      <w:divBdr>
        <w:top w:val="none" w:sz="0" w:space="0" w:color="auto"/>
        <w:left w:val="none" w:sz="0" w:space="0" w:color="auto"/>
        <w:bottom w:val="none" w:sz="0" w:space="0" w:color="auto"/>
        <w:right w:val="none" w:sz="0" w:space="0" w:color="auto"/>
      </w:divBdr>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7707584">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49956817">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55608003">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handsoffcain.info/" TargetMode="External"/><Relationship Id="rId2" Type="http://schemas.openxmlformats.org/officeDocument/2006/relationships/hyperlink" Target="http://www.somalilandlaw.com" TargetMode="External"/><Relationship Id="rId1" Type="http://schemas.openxmlformats.org/officeDocument/2006/relationships/hyperlink" Target="http://reliefweb.int/report/somalia/constitutional-review-process-kicked-somal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4AF50-A55A-4FDE-8311-87F764034F23}"/>
</file>

<file path=customXml/itemProps2.xml><?xml version="1.0" encoding="utf-8"?>
<ds:datastoreItem xmlns:ds="http://schemas.openxmlformats.org/officeDocument/2006/customXml" ds:itemID="{E65DAD68-3DB6-4E1A-BBBD-09810189A1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4.xml><?xml version="1.0" encoding="utf-8"?>
<ds:datastoreItem xmlns:ds="http://schemas.openxmlformats.org/officeDocument/2006/customXml" ds:itemID="{EE742799-3F09-49DF-B5F5-4D14193ED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4</Pages>
  <Words>1469</Words>
  <Characters>8377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9827</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Eloïse Di Gianni</cp:lastModifiedBy>
  <cp:revision>15</cp:revision>
  <cp:lastPrinted>2005-01-04T09:45:00Z</cp:lastPrinted>
  <dcterms:created xsi:type="dcterms:W3CDTF">2019-04-09T16:03:00Z</dcterms:created>
  <dcterms:modified xsi:type="dcterms:W3CDTF">2020-01-09T11:40:00Z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IsMyDocuments">
    <vt:bool>true</vt:bool>
  </property>
</Properties>
</file>