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E1499" w14:textId="693689B4" w:rsidR="00910EFF" w:rsidRPr="00FC1365" w:rsidRDefault="00FC1365" w:rsidP="003A0DC3">
      <w:pPr>
        <w:autoSpaceDE w:val="0"/>
        <w:autoSpaceDN w:val="0"/>
        <w:adjustRightInd w:val="0"/>
        <w:spacing w:line="360" w:lineRule="auto"/>
        <w:rPr>
          <w:rFonts w:eastAsiaTheme="majorEastAsia"/>
          <w:color w:val="2F5496" w:themeColor="accent1" w:themeShade="BF"/>
          <w:sz w:val="22"/>
          <w:szCs w:val="22"/>
        </w:rPr>
      </w:pPr>
      <w:bookmarkStart w:id="0" w:name="_Toc180344872"/>
      <w:r>
        <w:rPr>
          <w:rFonts w:eastAsiaTheme="majorEastAsia"/>
          <w:noProof/>
          <w:color w:val="2F5496" w:themeColor="accent1" w:themeShade="BF"/>
          <w:sz w:val="22"/>
          <w:szCs w:val="22"/>
        </w:rPr>
        <w:drawing>
          <wp:anchor distT="0" distB="0" distL="114300" distR="114300" simplePos="0" relativeHeight="251658240" behindDoc="0" locked="0" layoutInCell="1" allowOverlap="1" wp14:anchorId="6C4DB539" wp14:editId="2B74CAE8">
            <wp:simplePos x="0" y="0"/>
            <wp:positionH relativeFrom="margin">
              <wp:align>center</wp:align>
            </wp:positionH>
            <wp:positionV relativeFrom="paragraph">
              <wp:posOffset>0</wp:posOffset>
            </wp:positionV>
            <wp:extent cx="1136650" cy="914400"/>
            <wp:effectExtent l="0" t="0" r="6350" b="0"/>
            <wp:wrapThrough wrapText="bothSides">
              <wp:wrapPolygon edited="0">
                <wp:start x="0" y="0"/>
                <wp:lineTo x="0" y="21150"/>
                <wp:lineTo x="21359" y="21150"/>
                <wp:lineTo x="21359" y="0"/>
                <wp:lineTo x="0" y="0"/>
              </wp:wrapPolygon>
            </wp:wrapThrough>
            <wp:docPr id="1756159205" name="Picture 1" descr="A pin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159205" name="Picture 1" descr="A pink sign with whit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6650" cy="914400"/>
                    </a:xfrm>
                    <a:prstGeom prst="rect">
                      <a:avLst/>
                    </a:prstGeom>
                  </pic:spPr>
                </pic:pic>
              </a:graphicData>
            </a:graphic>
            <wp14:sizeRelH relativeFrom="margin">
              <wp14:pctWidth>0</wp14:pctWidth>
            </wp14:sizeRelH>
            <wp14:sizeRelV relativeFrom="margin">
              <wp14:pctHeight>0</wp14:pctHeight>
            </wp14:sizeRelV>
          </wp:anchor>
        </w:drawing>
      </w:r>
    </w:p>
    <w:p w14:paraId="3FCBEDA9" w14:textId="77777777" w:rsidR="00FC1365" w:rsidRDefault="00FC1365" w:rsidP="00C9246A">
      <w:pPr>
        <w:spacing w:line="276" w:lineRule="auto"/>
        <w:jc w:val="center"/>
        <w:rPr>
          <w:rFonts w:ascii="Verdana" w:hAnsi="Verdana"/>
          <w:sz w:val="20"/>
          <w:szCs w:val="20"/>
        </w:rPr>
      </w:pPr>
    </w:p>
    <w:p w14:paraId="1768439F" w14:textId="77777777" w:rsidR="00FC1365" w:rsidRDefault="00FC1365" w:rsidP="00C9246A">
      <w:pPr>
        <w:spacing w:line="276" w:lineRule="auto"/>
        <w:jc w:val="center"/>
        <w:rPr>
          <w:rFonts w:ascii="Verdana" w:hAnsi="Verdana"/>
          <w:sz w:val="20"/>
          <w:szCs w:val="20"/>
        </w:rPr>
      </w:pPr>
    </w:p>
    <w:p w14:paraId="3E9E0EF5" w14:textId="77777777" w:rsidR="00FC1365" w:rsidRDefault="00FC1365" w:rsidP="00C9246A">
      <w:pPr>
        <w:spacing w:line="276" w:lineRule="auto"/>
        <w:jc w:val="center"/>
        <w:rPr>
          <w:rFonts w:ascii="Verdana" w:hAnsi="Verdana"/>
          <w:sz w:val="20"/>
          <w:szCs w:val="20"/>
        </w:rPr>
      </w:pPr>
    </w:p>
    <w:p w14:paraId="2256F127" w14:textId="77777777" w:rsidR="00FC1365" w:rsidRDefault="00FC1365" w:rsidP="00C9246A">
      <w:pPr>
        <w:spacing w:line="276" w:lineRule="auto"/>
        <w:jc w:val="center"/>
        <w:rPr>
          <w:rFonts w:ascii="Verdana" w:hAnsi="Verdana"/>
          <w:sz w:val="20"/>
          <w:szCs w:val="20"/>
        </w:rPr>
      </w:pPr>
    </w:p>
    <w:p w14:paraId="2B2F3004" w14:textId="77777777" w:rsidR="00FC1365" w:rsidRDefault="00FC1365" w:rsidP="00C9246A">
      <w:pPr>
        <w:spacing w:line="276" w:lineRule="auto"/>
        <w:jc w:val="center"/>
        <w:rPr>
          <w:rFonts w:ascii="Verdana" w:hAnsi="Verdana"/>
          <w:sz w:val="20"/>
          <w:szCs w:val="20"/>
        </w:rPr>
      </w:pPr>
    </w:p>
    <w:p w14:paraId="77877F98" w14:textId="77777777" w:rsidR="00FC1365" w:rsidRDefault="00FC1365" w:rsidP="00C9246A">
      <w:pPr>
        <w:spacing w:line="276" w:lineRule="auto"/>
        <w:jc w:val="center"/>
        <w:rPr>
          <w:rFonts w:ascii="Verdana" w:hAnsi="Verdana"/>
          <w:sz w:val="20"/>
          <w:szCs w:val="20"/>
        </w:rPr>
      </w:pPr>
    </w:p>
    <w:p w14:paraId="487AA1B0" w14:textId="4C51C1E0" w:rsidR="00971648" w:rsidRPr="00683921" w:rsidRDefault="00971648" w:rsidP="00C9246A">
      <w:pPr>
        <w:spacing w:line="276" w:lineRule="auto"/>
        <w:jc w:val="center"/>
        <w:rPr>
          <w:rFonts w:asciiTheme="majorBidi" w:hAnsiTheme="majorBidi" w:cstheme="majorBidi"/>
        </w:rPr>
      </w:pPr>
      <w:r w:rsidRPr="00683921">
        <w:rPr>
          <w:rFonts w:asciiTheme="majorBidi" w:hAnsiTheme="majorBidi" w:cstheme="majorBidi"/>
        </w:rPr>
        <w:t>UNITED NATIONS COMMITTEE ON THE ELIMINATION OF DISCRIMINATION AGAINST</w:t>
      </w:r>
      <w:r w:rsidR="00B71F0A" w:rsidRPr="00683921">
        <w:rPr>
          <w:rFonts w:asciiTheme="majorBidi" w:hAnsiTheme="majorBidi" w:cstheme="majorBidi"/>
          <w:lang w:val="en-US"/>
        </w:rPr>
        <w:t xml:space="preserve"> </w:t>
      </w:r>
      <w:r w:rsidRPr="00683921">
        <w:rPr>
          <w:rFonts w:asciiTheme="majorBidi" w:hAnsiTheme="majorBidi" w:cstheme="majorBidi"/>
        </w:rPr>
        <w:t>WOMEN</w:t>
      </w:r>
    </w:p>
    <w:p w14:paraId="7B5737CC" w14:textId="77777777" w:rsidR="00FC1365" w:rsidRPr="00FC1365" w:rsidRDefault="00971648" w:rsidP="00FC1365">
      <w:pPr>
        <w:spacing w:line="276" w:lineRule="auto"/>
        <w:jc w:val="center"/>
        <w:rPr>
          <w:rFonts w:asciiTheme="majorBidi" w:hAnsiTheme="majorBidi" w:cstheme="majorBidi"/>
          <w:b/>
          <w:bCs/>
        </w:rPr>
      </w:pPr>
      <w:r w:rsidRPr="00FC1365">
        <w:rPr>
          <w:rFonts w:asciiTheme="majorBidi" w:hAnsiTheme="majorBidi" w:cstheme="majorBidi"/>
          <w:b/>
          <w:bCs/>
        </w:rPr>
        <w:br/>
      </w:r>
      <w:r w:rsidRPr="00683921">
        <w:rPr>
          <w:rFonts w:asciiTheme="majorBidi" w:hAnsiTheme="majorBidi" w:cstheme="majorBidi"/>
          <w:b/>
          <w:bCs/>
        </w:rPr>
        <w:t>90th Session of the CEDAW Committee</w:t>
      </w:r>
      <w:r w:rsidRPr="00683921">
        <w:rPr>
          <w:rFonts w:asciiTheme="majorBidi" w:hAnsiTheme="majorBidi" w:cstheme="majorBidi"/>
          <w:b/>
          <w:bCs/>
        </w:rPr>
        <w:br/>
      </w:r>
      <w:r w:rsidRPr="00683921">
        <w:rPr>
          <w:rFonts w:asciiTheme="majorBidi" w:hAnsiTheme="majorBidi" w:cstheme="majorBidi"/>
        </w:rPr>
        <w:t>03 February – 21 February 2025</w:t>
      </w:r>
      <w:r w:rsidR="00FC1365" w:rsidRPr="00683921">
        <w:rPr>
          <w:rFonts w:asciiTheme="majorBidi" w:hAnsiTheme="majorBidi" w:cstheme="majorBidi"/>
          <w:b/>
          <w:bCs/>
          <w:sz w:val="32"/>
          <w:szCs w:val="32"/>
        </w:rPr>
        <w:br/>
      </w:r>
    </w:p>
    <w:p w14:paraId="367CFE80" w14:textId="77777777" w:rsidR="00FC1365" w:rsidRPr="009F1A37" w:rsidRDefault="00FC1365" w:rsidP="009F1A37">
      <w:pPr>
        <w:spacing w:line="276" w:lineRule="auto"/>
        <w:rPr>
          <w:rFonts w:asciiTheme="majorBidi" w:hAnsiTheme="majorBidi" w:cstheme="majorBidi"/>
        </w:rPr>
      </w:pPr>
    </w:p>
    <w:p w14:paraId="2399B5E1" w14:textId="743C38AF" w:rsidR="00971648" w:rsidRPr="00683921" w:rsidRDefault="00971648" w:rsidP="00FC1365">
      <w:pPr>
        <w:spacing w:line="276" w:lineRule="auto"/>
        <w:jc w:val="center"/>
        <w:rPr>
          <w:rFonts w:asciiTheme="majorBidi" w:hAnsiTheme="majorBidi" w:cstheme="majorBidi"/>
          <w:b/>
          <w:bCs/>
        </w:rPr>
      </w:pPr>
      <w:r w:rsidRPr="009F1A37">
        <w:rPr>
          <w:rFonts w:asciiTheme="majorBidi" w:hAnsiTheme="majorBidi" w:cstheme="majorBidi"/>
          <w:sz w:val="32"/>
          <w:szCs w:val="32"/>
        </w:rPr>
        <w:br/>
      </w:r>
      <w:r w:rsidRPr="00683921">
        <w:rPr>
          <w:rFonts w:asciiTheme="majorBidi" w:hAnsiTheme="majorBidi" w:cstheme="majorBidi"/>
          <w:b/>
          <w:bCs/>
        </w:rPr>
        <w:t>SUBMISSION OF BRIDGE TO EQ</w:t>
      </w:r>
      <w:r w:rsidR="007221EF" w:rsidRPr="00683921">
        <w:rPr>
          <w:rFonts w:asciiTheme="majorBidi" w:hAnsiTheme="majorBidi" w:cstheme="majorBidi"/>
          <w:b/>
          <w:bCs/>
        </w:rPr>
        <w:t>UA</w:t>
      </w:r>
      <w:r w:rsidRPr="00683921">
        <w:rPr>
          <w:rFonts w:asciiTheme="majorBidi" w:hAnsiTheme="majorBidi" w:cstheme="majorBidi"/>
          <w:b/>
          <w:bCs/>
        </w:rPr>
        <w:t>LITY TO THE UN</w:t>
      </w:r>
      <w:r w:rsidR="00FC1365" w:rsidRPr="00683921">
        <w:rPr>
          <w:rFonts w:asciiTheme="majorBidi" w:hAnsiTheme="majorBidi" w:cstheme="majorBidi"/>
          <w:b/>
          <w:bCs/>
        </w:rPr>
        <w:t xml:space="preserve"> </w:t>
      </w:r>
      <w:r w:rsidRPr="00683921">
        <w:rPr>
          <w:rFonts w:asciiTheme="majorBidi" w:hAnsiTheme="majorBidi" w:cstheme="majorBidi"/>
          <w:b/>
          <w:bCs/>
        </w:rPr>
        <w:t>COMMITTEE</w:t>
      </w:r>
      <w:r w:rsidR="00FC1365" w:rsidRPr="00683921">
        <w:rPr>
          <w:rFonts w:asciiTheme="majorBidi" w:hAnsiTheme="majorBidi" w:cstheme="majorBidi"/>
          <w:b/>
          <w:bCs/>
        </w:rPr>
        <w:br/>
      </w:r>
      <w:r w:rsidRPr="00683921">
        <w:rPr>
          <w:rFonts w:asciiTheme="majorBidi" w:hAnsiTheme="majorBidi" w:cstheme="majorBidi"/>
          <w:b/>
          <w:bCs/>
        </w:rPr>
        <w:t>ON THE</w:t>
      </w:r>
      <w:r w:rsidR="00FC1365" w:rsidRPr="00683921">
        <w:rPr>
          <w:rFonts w:asciiTheme="majorBidi" w:hAnsiTheme="majorBidi" w:cstheme="majorBidi"/>
          <w:b/>
          <w:bCs/>
        </w:rPr>
        <w:t xml:space="preserve"> </w:t>
      </w:r>
      <w:r w:rsidRPr="00683921">
        <w:rPr>
          <w:rFonts w:asciiTheme="majorBidi" w:hAnsiTheme="majorBidi" w:cstheme="majorBidi"/>
          <w:b/>
          <w:bCs/>
        </w:rPr>
        <w:t>ELIMINATION OF DISCRIMINATION AGAINST WOMEN IN</w:t>
      </w:r>
      <w:r w:rsidR="007221EF" w:rsidRPr="00683921">
        <w:rPr>
          <w:rFonts w:asciiTheme="majorBidi" w:hAnsiTheme="majorBidi" w:cstheme="majorBidi"/>
          <w:b/>
          <w:bCs/>
        </w:rPr>
        <w:t xml:space="preserve"> </w:t>
      </w:r>
      <w:r w:rsidRPr="00683921">
        <w:rPr>
          <w:rFonts w:asciiTheme="majorBidi" w:hAnsiTheme="majorBidi" w:cstheme="majorBidi"/>
          <w:b/>
          <w:bCs/>
        </w:rPr>
        <w:t xml:space="preserve">VIEW </w:t>
      </w:r>
      <w:r w:rsidR="00FC1365" w:rsidRPr="00683921">
        <w:rPr>
          <w:rFonts w:asciiTheme="majorBidi" w:hAnsiTheme="majorBidi" w:cstheme="majorBidi"/>
          <w:b/>
          <w:bCs/>
        </w:rPr>
        <w:br/>
      </w:r>
      <w:r w:rsidRPr="00683921">
        <w:rPr>
          <w:rFonts w:asciiTheme="majorBidi" w:hAnsiTheme="majorBidi" w:cstheme="majorBidi"/>
          <w:b/>
          <w:bCs/>
        </w:rPr>
        <w:t>OF ITS</w:t>
      </w:r>
      <w:r w:rsidR="00FC1365" w:rsidRPr="00683921">
        <w:rPr>
          <w:rFonts w:asciiTheme="majorBidi" w:hAnsiTheme="majorBidi" w:cstheme="majorBidi"/>
          <w:b/>
          <w:bCs/>
        </w:rPr>
        <w:t xml:space="preserve"> </w:t>
      </w:r>
      <w:r w:rsidRPr="00683921">
        <w:rPr>
          <w:rFonts w:asciiTheme="majorBidi" w:hAnsiTheme="majorBidi" w:cstheme="majorBidi"/>
          <w:b/>
          <w:bCs/>
        </w:rPr>
        <w:t>EXAMINATION OF</w:t>
      </w:r>
      <w:r w:rsidR="00FC1365" w:rsidRPr="00683921">
        <w:rPr>
          <w:rFonts w:asciiTheme="majorBidi" w:hAnsiTheme="majorBidi" w:cstheme="majorBidi"/>
          <w:b/>
          <w:bCs/>
        </w:rPr>
        <w:t xml:space="preserve"> </w:t>
      </w:r>
      <w:r w:rsidRPr="00683921">
        <w:rPr>
          <w:rFonts w:asciiTheme="majorBidi" w:hAnsiTheme="majorBidi" w:cstheme="majorBidi"/>
          <w:b/>
          <w:bCs/>
        </w:rPr>
        <w:t>THE NINTH PERIODIC REPORT OF SRI LANKA</w:t>
      </w:r>
      <w:r w:rsidR="00FC1365" w:rsidRPr="00683921">
        <w:rPr>
          <w:rFonts w:asciiTheme="majorBidi" w:hAnsiTheme="majorBidi" w:cstheme="majorBidi"/>
          <w:b/>
          <w:bCs/>
        </w:rPr>
        <w:t xml:space="preserve"> </w:t>
      </w:r>
      <w:r w:rsidRPr="00683921">
        <w:rPr>
          <w:rFonts w:asciiTheme="majorBidi" w:hAnsiTheme="majorBidi" w:cstheme="majorBidi"/>
          <w:b/>
          <w:bCs/>
        </w:rPr>
        <w:t>UNDER THE</w:t>
      </w:r>
      <w:r w:rsidR="00FC1365" w:rsidRPr="00683921">
        <w:rPr>
          <w:rFonts w:asciiTheme="majorBidi" w:hAnsiTheme="majorBidi" w:cstheme="majorBidi"/>
          <w:b/>
          <w:bCs/>
        </w:rPr>
        <w:t xml:space="preserve"> </w:t>
      </w:r>
      <w:r w:rsidRPr="00683921">
        <w:rPr>
          <w:rFonts w:asciiTheme="majorBidi" w:hAnsiTheme="majorBidi" w:cstheme="majorBidi"/>
          <w:b/>
          <w:bCs/>
        </w:rPr>
        <w:t xml:space="preserve">CONVENTION ON THE ELIMINATION OF ALL FORMS </w:t>
      </w:r>
      <w:r w:rsidR="00FC1365" w:rsidRPr="00683921">
        <w:rPr>
          <w:rFonts w:asciiTheme="majorBidi" w:hAnsiTheme="majorBidi" w:cstheme="majorBidi"/>
          <w:b/>
          <w:bCs/>
        </w:rPr>
        <w:br/>
      </w:r>
      <w:r w:rsidRPr="00683921">
        <w:rPr>
          <w:rFonts w:asciiTheme="majorBidi" w:hAnsiTheme="majorBidi" w:cstheme="majorBidi"/>
          <w:b/>
          <w:bCs/>
        </w:rPr>
        <w:t>OF</w:t>
      </w:r>
      <w:r w:rsidR="00FC1365" w:rsidRPr="00683921">
        <w:rPr>
          <w:rFonts w:asciiTheme="majorBidi" w:hAnsiTheme="majorBidi" w:cstheme="majorBidi"/>
          <w:b/>
          <w:bCs/>
        </w:rPr>
        <w:t xml:space="preserve"> </w:t>
      </w:r>
      <w:r w:rsidRPr="00683921">
        <w:rPr>
          <w:rFonts w:asciiTheme="majorBidi" w:hAnsiTheme="majorBidi" w:cstheme="majorBidi"/>
          <w:b/>
          <w:bCs/>
        </w:rPr>
        <w:t>DISCRIMINATION AGAINST WOMEN</w:t>
      </w:r>
      <w:r w:rsidR="00FC1365" w:rsidRPr="00683921">
        <w:rPr>
          <w:rFonts w:asciiTheme="majorBidi" w:hAnsiTheme="majorBidi" w:cstheme="majorBidi"/>
          <w:b/>
          <w:bCs/>
        </w:rPr>
        <w:br/>
      </w:r>
    </w:p>
    <w:p w14:paraId="5AE34384" w14:textId="5F2BD103" w:rsidR="00971648" w:rsidRPr="00683921" w:rsidRDefault="00971648" w:rsidP="00FC1365">
      <w:pPr>
        <w:spacing w:line="276" w:lineRule="auto"/>
        <w:jc w:val="center"/>
        <w:rPr>
          <w:rFonts w:asciiTheme="majorBidi" w:hAnsiTheme="majorBidi" w:cstheme="majorBidi"/>
        </w:rPr>
      </w:pPr>
      <w:r w:rsidRPr="00683921">
        <w:rPr>
          <w:rFonts w:asciiTheme="majorBidi" w:hAnsiTheme="majorBidi" w:cstheme="majorBidi"/>
        </w:rPr>
        <w:t>Submitted on 06 JANUARY 2025</w:t>
      </w:r>
    </w:p>
    <w:p w14:paraId="25201093" w14:textId="77777777" w:rsidR="00FC1365" w:rsidRPr="00FC1365" w:rsidRDefault="00FC1365" w:rsidP="00C9246A">
      <w:pPr>
        <w:spacing w:line="276" w:lineRule="auto"/>
        <w:jc w:val="both"/>
        <w:rPr>
          <w:rFonts w:asciiTheme="majorBidi" w:hAnsiTheme="majorBidi" w:cstheme="majorBidi"/>
          <w:b/>
          <w:bCs/>
        </w:rPr>
      </w:pPr>
    </w:p>
    <w:p w14:paraId="25437FAD" w14:textId="77777777" w:rsidR="00FC1365" w:rsidRPr="00FC1365" w:rsidRDefault="00FC1365" w:rsidP="00C9246A">
      <w:pPr>
        <w:spacing w:line="276" w:lineRule="auto"/>
        <w:jc w:val="both"/>
        <w:rPr>
          <w:rFonts w:asciiTheme="majorBidi" w:hAnsiTheme="majorBidi" w:cstheme="majorBidi"/>
          <w:b/>
          <w:bCs/>
        </w:rPr>
      </w:pPr>
    </w:p>
    <w:p w14:paraId="5BA2036E" w14:textId="20C4497A" w:rsidR="00971648" w:rsidRPr="00683921" w:rsidRDefault="00971648" w:rsidP="00C9246A">
      <w:pPr>
        <w:spacing w:line="276" w:lineRule="auto"/>
        <w:jc w:val="both"/>
        <w:rPr>
          <w:rFonts w:asciiTheme="majorBidi" w:hAnsiTheme="majorBidi" w:cstheme="majorBidi"/>
          <w:i/>
          <w:iCs/>
        </w:rPr>
      </w:pPr>
      <w:r w:rsidRPr="00FC1365">
        <w:rPr>
          <w:rFonts w:asciiTheme="majorBidi" w:hAnsiTheme="majorBidi" w:cstheme="majorBidi"/>
          <w:b/>
          <w:bCs/>
        </w:rPr>
        <w:br/>
      </w:r>
      <w:r w:rsidRPr="00683921">
        <w:rPr>
          <w:rFonts w:asciiTheme="majorBidi" w:hAnsiTheme="majorBidi" w:cstheme="majorBidi"/>
          <w:i/>
          <w:iCs/>
        </w:rPr>
        <w:t>BRIDGE to Equality (BRIDGE) is jointly implemented by DAST, National Transgender Network Sri Lanka and Young Out Here Trust Sri Lanka in partnership with the International Commission of Jurists since 2021. BRIDGE aims to improve the protection of human rights for Lesbian, Gay, Bisexual, Transgender and Queer (LGBTQ) people in Sri Lanka through the use of international human rights law to enable justice actors (judges, lawyers and other legal professionals), activists and human rights defenders to improve justice outcomes for the LGBTQ community. BRIDGE focuses on overcoming challenges imposed by the current legal framework, as well as the overall promotion and protection of human rights of LGBT</w:t>
      </w:r>
      <w:r w:rsidR="007221EF" w:rsidRPr="00683921">
        <w:rPr>
          <w:rFonts w:asciiTheme="majorBidi" w:hAnsiTheme="majorBidi" w:cstheme="majorBidi"/>
          <w:i/>
          <w:iCs/>
        </w:rPr>
        <w:t>Q</w:t>
      </w:r>
      <w:r w:rsidRPr="00683921">
        <w:rPr>
          <w:rFonts w:asciiTheme="majorBidi" w:hAnsiTheme="majorBidi" w:cstheme="majorBidi"/>
          <w:i/>
          <w:iCs/>
        </w:rPr>
        <w:t xml:space="preserve"> people in Sri Lanka.</w:t>
      </w:r>
    </w:p>
    <w:p w14:paraId="6BD519EC" w14:textId="77777777" w:rsidR="00FC1365" w:rsidRPr="00FC1365" w:rsidRDefault="00FC1365" w:rsidP="00C9246A">
      <w:pPr>
        <w:spacing w:line="276" w:lineRule="auto"/>
        <w:jc w:val="both"/>
        <w:rPr>
          <w:rFonts w:asciiTheme="majorBidi" w:hAnsiTheme="majorBidi" w:cstheme="majorBidi"/>
          <w:i/>
          <w:iCs/>
          <w:sz w:val="20"/>
          <w:szCs w:val="20"/>
        </w:rPr>
      </w:pPr>
    </w:p>
    <w:p w14:paraId="4DEBD7CB" w14:textId="77777777" w:rsidR="00FC1365" w:rsidRPr="00FC1365" w:rsidRDefault="00FC1365" w:rsidP="00C9246A">
      <w:pPr>
        <w:spacing w:line="276" w:lineRule="auto"/>
        <w:jc w:val="both"/>
        <w:rPr>
          <w:rFonts w:asciiTheme="majorBidi" w:hAnsiTheme="majorBidi" w:cstheme="majorBidi"/>
          <w:i/>
          <w:iCs/>
          <w:sz w:val="20"/>
          <w:szCs w:val="20"/>
        </w:rPr>
      </w:pPr>
    </w:p>
    <w:p w14:paraId="16DB8044" w14:textId="77777777" w:rsidR="00FC1365" w:rsidRPr="00FC1365" w:rsidRDefault="00FC1365" w:rsidP="00C9246A">
      <w:pPr>
        <w:spacing w:line="276" w:lineRule="auto"/>
        <w:jc w:val="both"/>
        <w:rPr>
          <w:rFonts w:asciiTheme="majorBidi" w:hAnsiTheme="majorBidi" w:cstheme="majorBidi"/>
          <w:i/>
          <w:iCs/>
          <w:sz w:val="20"/>
          <w:szCs w:val="20"/>
        </w:rPr>
      </w:pPr>
    </w:p>
    <w:p w14:paraId="7B0BF2C6" w14:textId="77777777" w:rsidR="00683921" w:rsidRDefault="00683921" w:rsidP="00FC1365">
      <w:pPr>
        <w:spacing w:line="276" w:lineRule="auto"/>
        <w:jc w:val="center"/>
        <w:rPr>
          <w:rFonts w:asciiTheme="majorBidi" w:hAnsiTheme="majorBidi" w:cstheme="majorBidi"/>
          <w:b/>
          <w:bCs/>
          <w:i/>
          <w:iCs/>
          <w:sz w:val="28"/>
          <w:szCs w:val="28"/>
        </w:rPr>
      </w:pPr>
    </w:p>
    <w:p w14:paraId="716A830D" w14:textId="730DFF66" w:rsidR="00971648" w:rsidRPr="00683921" w:rsidRDefault="00971648" w:rsidP="00FC1365">
      <w:pPr>
        <w:spacing w:line="276" w:lineRule="auto"/>
        <w:jc w:val="center"/>
        <w:rPr>
          <w:rFonts w:asciiTheme="majorBidi" w:hAnsiTheme="majorBidi" w:cstheme="majorBidi"/>
        </w:rPr>
      </w:pPr>
      <w:r w:rsidRPr="00683921">
        <w:rPr>
          <w:rFonts w:asciiTheme="majorBidi" w:hAnsiTheme="majorBidi" w:cstheme="majorBidi"/>
          <w:b/>
          <w:bCs/>
          <w:i/>
          <w:iCs/>
          <w:sz w:val="28"/>
          <w:szCs w:val="28"/>
        </w:rPr>
        <w:br/>
      </w:r>
      <w:r w:rsidRPr="00683921">
        <w:rPr>
          <w:rFonts w:asciiTheme="majorBidi" w:hAnsiTheme="majorBidi" w:cstheme="majorBidi"/>
        </w:rPr>
        <w:t xml:space="preserve">P.O. Box, No.10, Jayamangala Mawatha, Stanley Thilakarathne Road, </w:t>
      </w:r>
      <w:r w:rsidR="00FC1365" w:rsidRPr="00683921">
        <w:rPr>
          <w:rFonts w:asciiTheme="majorBidi" w:hAnsiTheme="majorBidi" w:cstheme="majorBidi"/>
        </w:rPr>
        <w:br/>
      </w:r>
      <w:r w:rsidRPr="00683921">
        <w:rPr>
          <w:rFonts w:asciiTheme="majorBidi" w:hAnsiTheme="majorBidi" w:cstheme="majorBidi"/>
        </w:rPr>
        <w:t>Nugegoda, Sri Lanka</w:t>
      </w:r>
    </w:p>
    <w:p w14:paraId="1E327FBD" w14:textId="0BAF5363" w:rsidR="00971648" w:rsidRPr="00683921" w:rsidRDefault="00971648" w:rsidP="00FC1365">
      <w:pPr>
        <w:spacing w:line="276" w:lineRule="auto"/>
        <w:jc w:val="center"/>
        <w:rPr>
          <w:rFonts w:asciiTheme="majorBidi" w:hAnsiTheme="majorBidi" w:cstheme="majorBidi"/>
          <w:lang w:val="en-US"/>
        </w:rPr>
      </w:pPr>
      <w:r w:rsidRPr="00683921">
        <w:rPr>
          <w:rFonts w:asciiTheme="majorBidi" w:hAnsiTheme="majorBidi" w:cstheme="majorBidi"/>
        </w:rPr>
        <w:t xml:space="preserve">Tel: +94759271002 – Website: </w:t>
      </w:r>
      <w:hyperlink r:id="rId9" w:history="1">
        <w:r w:rsidRPr="00683921">
          <w:rPr>
            <w:rStyle w:val="Hyperlink"/>
            <w:rFonts w:asciiTheme="majorBidi" w:eastAsiaTheme="majorEastAsia" w:hAnsiTheme="majorBidi" w:cstheme="majorBidi"/>
          </w:rPr>
          <w:t>https://bridge2equality.org/</w:t>
        </w:r>
      </w:hyperlink>
      <w:r w:rsidRPr="00683921">
        <w:rPr>
          <w:rFonts w:asciiTheme="majorBidi" w:hAnsiTheme="majorBidi" w:cstheme="majorBidi"/>
        </w:rPr>
        <w:t xml:space="preserve"> </w:t>
      </w:r>
      <w:r w:rsidRPr="00683921">
        <w:rPr>
          <w:rFonts w:asciiTheme="majorBidi" w:hAnsiTheme="majorBidi" w:cstheme="majorBidi"/>
        </w:rPr>
        <w:br/>
        <w:t>E-mail:</w:t>
      </w:r>
      <w:r w:rsidR="003A0DC3" w:rsidRPr="00683921">
        <w:rPr>
          <w:rFonts w:asciiTheme="majorBidi" w:hAnsiTheme="majorBidi" w:cstheme="majorBidi"/>
          <w:lang w:val="en-US"/>
        </w:rPr>
        <w:t xml:space="preserve"> </w:t>
      </w:r>
      <w:hyperlink r:id="rId10" w:history="1">
        <w:r w:rsidR="003A0DC3" w:rsidRPr="00683921">
          <w:rPr>
            <w:rStyle w:val="Hyperlink"/>
            <w:rFonts w:asciiTheme="majorBidi" w:hAnsiTheme="majorBidi" w:cstheme="majorBidi"/>
            <w:lang w:val="en-US"/>
          </w:rPr>
          <w:t>dimithriw94@gmail.com</w:t>
        </w:r>
      </w:hyperlink>
    </w:p>
    <w:p w14:paraId="6BE9AEEF" w14:textId="77777777" w:rsidR="00FC1365" w:rsidRDefault="00FC1365" w:rsidP="00FC1365">
      <w:pPr>
        <w:spacing w:line="276" w:lineRule="auto"/>
        <w:jc w:val="center"/>
        <w:rPr>
          <w:rFonts w:asciiTheme="majorBidi" w:hAnsiTheme="majorBidi" w:cstheme="majorBidi"/>
          <w:sz w:val="20"/>
          <w:szCs w:val="20"/>
        </w:rPr>
      </w:pPr>
    </w:p>
    <w:p w14:paraId="4AD6BF46" w14:textId="77777777" w:rsidR="00FC1365" w:rsidRPr="00FC1365" w:rsidRDefault="00FC1365" w:rsidP="00FC1365">
      <w:pPr>
        <w:spacing w:line="276" w:lineRule="auto"/>
        <w:jc w:val="center"/>
        <w:rPr>
          <w:rFonts w:asciiTheme="majorBidi" w:hAnsiTheme="majorBidi" w:cstheme="majorBidi"/>
          <w:sz w:val="20"/>
          <w:szCs w:val="20"/>
        </w:rPr>
      </w:pPr>
    </w:p>
    <w:p w14:paraId="748F2FFA" w14:textId="55054030" w:rsidR="007221EF" w:rsidRPr="00620EA3" w:rsidRDefault="00FC1365" w:rsidP="00FC1365">
      <w:pPr>
        <w:pStyle w:val="TOC1"/>
        <w:rPr>
          <w:rFonts w:asciiTheme="majorBidi" w:hAnsiTheme="majorBidi"/>
          <w:sz w:val="28"/>
          <w:szCs w:val="28"/>
        </w:rPr>
      </w:pPr>
      <w:r w:rsidRPr="00620EA3">
        <w:rPr>
          <w:rFonts w:asciiTheme="majorBidi" w:hAnsiTheme="majorBidi"/>
          <w:sz w:val="28"/>
          <w:szCs w:val="28"/>
        </w:rPr>
        <w:t>TABLE OF CONTENTS</w:t>
      </w:r>
    </w:p>
    <w:p w14:paraId="196F8666" w14:textId="77777777" w:rsidR="00FC1365" w:rsidRPr="00683921" w:rsidRDefault="00FC1365" w:rsidP="00137149">
      <w:pPr>
        <w:rPr>
          <w:rFonts w:asciiTheme="majorBidi" w:hAnsiTheme="majorBidi" w:cstheme="majorBidi"/>
        </w:rPr>
      </w:pPr>
    </w:p>
    <w:p w14:paraId="47B36BFF" w14:textId="33B61C29" w:rsidR="00137149" w:rsidRPr="0037298B" w:rsidRDefault="003A0DC3" w:rsidP="00137149">
      <w:pPr>
        <w:pStyle w:val="TOC1"/>
        <w:spacing w:before="0"/>
        <w:rPr>
          <w:rFonts w:asciiTheme="majorBidi" w:eastAsiaTheme="minorEastAsia" w:hAnsiTheme="majorBidi"/>
          <w:noProof/>
          <w:kern w:val="2"/>
          <w:sz w:val="28"/>
          <w:szCs w:val="28"/>
          <w:lang w:val="en-US" w:eastAsia="en-US" w:bidi="ta-IN"/>
          <w14:ligatures w14:val="standardContextual"/>
        </w:rPr>
      </w:pPr>
      <w:r w:rsidRPr="00137149">
        <w:rPr>
          <w:rFonts w:asciiTheme="majorBidi" w:hAnsiTheme="majorBidi"/>
        </w:rPr>
        <w:fldChar w:fldCharType="begin"/>
      </w:r>
      <w:r w:rsidRPr="00137149">
        <w:rPr>
          <w:rFonts w:asciiTheme="majorBidi" w:hAnsiTheme="majorBidi"/>
        </w:rPr>
        <w:instrText xml:space="preserve"> TOC \o "1-3" \h \z \u </w:instrText>
      </w:r>
      <w:r w:rsidRPr="00137149">
        <w:rPr>
          <w:rFonts w:asciiTheme="majorBidi" w:hAnsiTheme="majorBidi"/>
        </w:rPr>
        <w:fldChar w:fldCharType="separate"/>
      </w:r>
      <w:hyperlink w:anchor="_Toc187056104" w:history="1">
        <w:r w:rsidR="00137149" w:rsidRPr="0037298B">
          <w:rPr>
            <w:rStyle w:val="Hyperlink"/>
            <w:rFonts w:asciiTheme="majorBidi" w:hAnsiTheme="majorBidi"/>
            <w:noProof/>
            <w:sz w:val="28"/>
            <w:szCs w:val="28"/>
          </w:rPr>
          <w:t>INTRODUCTION</w:t>
        </w:r>
        <w:r w:rsidR="00137149" w:rsidRPr="0037298B">
          <w:rPr>
            <w:rFonts w:asciiTheme="majorBidi" w:hAnsiTheme="majorBidi"/>
            <w:noProof/>
            <w:webHidden/>
            <w:sz w:val="28"/>
            <w:szCs w:val="28"/>
          </w:rPr>
          <w:tab/>
        </w:r>
        <w:r w:rsidR="00137149" w:rsidRPr="0037298B">
          <w:rPr>
            <w:rFonts w:asciiTheme="majorBidi" w:hAnsiTheme="majorBidi"/>
            <w:noProof/>
            <w:webHidden/>
            <w:sz w:val="28"/>
            <w:szCs w:val="28"/>
          </w:rPr>
          <w:fldChar w:fldCharType="begin"/>
        </w:r>
        <w:r w:rsidR="00137149" w:rsidRPr="0037298B">
          <w:rPr>
            <w:rFonts w:asciiTheme="majorBidi" w:hAnsiTheme="majorBidi"/>
            <w:noProof/>
            <w:webHidden/>
            <w:sz w:val="28"/>
            <w:szCs w:val="28"/>
          </w:rPr>
          <w:instrText xml:space="preserve"> PAGEREF _Toc187056104 \h </w:instrText>
        </w:r>
        <w:r w:rsidR="00137149" w:rsidRPr="0037298B">
          <w:rPr>
            <w:rFonts w:asciiTheme="majorBidi" w:hAnsiTheme="majorBidi"/>
            <w:noProof/>
            <w:webHidden/>
            <w:sz w:val="28"/>
            <w:szCs w:val="28"/>
          </w:rPr>
        </w:r>
        <w:r w:rsidR="00137149" w:rsidRPr="0037298B">
          <w:rPr>
            <w:rFonts w:asciiTheme="majorBidi" w:hAnsiTheme="majorBidi"/>
            <w:noProof/>
            <w:webHidden/>
            <w:sz w:val="28"/>
            <w:szCs w:val="28"/>
          </w:rPr>
          <w:fldChar w:fldCharType="separate"/>
        </w:r>
        <w:r w:rsidR="00137149" w:rsidRPr="0037298B">
          <w:rPr>
            <w:rFonts w:asciiTheme="majorBidi" w:hAnsiTheme="majorBidi"/>
            <w:noProof/>
            <w:webHidden/>
            <w:sz w:val="28"/>
            <w:szCs w:val="28"/>
          </w:rPr>
          <w:t>2</w:t>
        </w:r>
        <w:r w:rsidR="00137149" w:rsidRPr="0037298B">
          <w:rPr>
            <w:rFonts w:asciiTheme="majorBidi" w:hAnsiTheme="majorBidi"/>
            <w:noProof/>
            <w:webHidden/>
            <w:sz w:val="28"/>
            <w:szCs w:val="28"/>
          </w:rPr>
          <w:fldChar w:fldCharType="end"/>
        </w:r>
      </w:hyperlink>
    </w:p>
    <w:p w14:paraId="4942FA57" w14:textId="05AA8BD5"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05" w:history="1">
        <w:r w:rsidRPr="0037298B">
          <w:rPr>
            <w:rStyle w:val="Hyperlink"/>
            <w:rFonts w:asciiTheme="majorBidi" w:hAnsiTheme="majorBidi"/>
            <w:noProof/>
            <w:sz w:val="28"/>
            <w:szCs w:val="28"/>
          </w:rPr>
          <w:t>ARTICLE 1:</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_Toc187056105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3</w:t>
        </w:r>
        <w:r w:rsidRPr="0037298B">
          <w:rPr>
            <w:rFonts w:asciiTheme="majorBidi" w:hAnsiTheme="majorBidi"/>
            <w:noProof/>
            <w:webHidden/>
            <w:sz w:val="28"/>
            <w:szCs w:val="28"/>
          </w:rPr>
          <w:fldChar w:fldCharType="end"/>
        </w:r>
      </w:hyperlink>
    </w:p>
    <w:p w14:paraId="298ABA3E" w14:textId="3A5E0D28"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06" w:history="1">
        <w:r w:rsidRPr="0037298B">
          <w:rPr>
            <w:rStyle w:val="Hyperlink"/>
            <w:rFonts w:asciiTheme="majorBidi" w:hAnsiTheme="majorBidi" w:cstheme="majorBidi"/>
            <w:b/>
            <w:bCs/>
            <w:noProof/>
            <w:sz w:val="28"/>
            <w:szCs w:val="28"/>
          </w:rPr>
          <w:t>RECOMMENDATIONS:</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_Toc187056106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4</w:t>
        </w:r>
        <w:r w:rsidRPr="0037298B">
          <w:rPr>
            <w:rFonts w:asciiTheme="majorBidi" w:hAnsiTheme="majorBidi" w:cstheme="majorBidi"/>
            <w:b/>
            <w:bCs/>
            <w:noProof/>
            <w:webHidden/>
            <w:sz w:val="28"/>
            <w:szCs w:val="28"/>
          </w:rPr>
          <w:fldChar w:fldCharType="end"/>
        </w:r>
      </w:hyperlink>
    </w:p>
    <w:p w14:paraId="4A179FCF" w14:textId="53054E07"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07" w:history="1">
        <w:r w:rsidRPr="0037298B">
          <w:rPr>
            <w:rStyle w:val="Hyperlink"/>
            <w:rFonts w:asciiTheme="majorBidi" w:hAnsiTheme="majorBidi"/>
            <w:noProof/>
            <w:sz w:val="28"/>
            <w:szCs w:val="28"/>
          </w:rPr>
          <w:t>ARTICLE 2:</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_Toc187056107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4</w:t>
        </w:r>
        <w:r w:rsidRPr="0037298B">
          <w:rPr>
            <w:rFonts w:asciiTheme="majorBidi" w:hAnsiTheme="majorBidi"/>
            <w:noProof/>
            <w:webHidden/>
            <w:sz w:val="28"/>
            <w:szCs w:val="28"/>
          </w:rPr>
          <w:fldChar w:fldCharType="end"/>
        </w:r>
      </w:hyperlink>
    </w:p>
    <w:p w14:paraId="075AA663" w14:textId="6A9DB33C"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08" w:history="1">
        <w:r w:rsidRPr="0037298B">
          <w:rPr>
            <w:rStyle w:val="Hyperlink"/>
            <w:rFonts w:asciiTheme="majorBidi" w:hAnsiTheme="majorBidi" w:cstheme="majorBidi"/>
            <w:b/>
            <w:bCs/>
            <w:noProof/>
            <w:sz w:val="28"/>
            <w:szCs w:val="28"/>
          </w:rPr>
          <w:t>RECOMMENDATIONS:</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_Toc187056108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6</w:t>
        </w:r>
        <w:r w:rsidRPr="0037298B">
          <w:rPr>
            <w:rFonts w:asciiTheme="majorBidi" w:hAnsiTheme="majorBidi" w:cstheme="majorBidi"/>
            <w:b/>
            <w:bCs/>
            <w:noProof/>
            <w:webHidden/>
            <w:sz w:val="28"/>
            <w:szCs w:val="28"/>
          </w:rPr>
          <w:fldChar w:fldCharType="end"/>
        </w:r>
      </w:hyperlink>
    </w:p>
    <w:p w14:paraId="3BADE3CE" w14:textId="00E3B9B8"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09" w:history="1">
        <w:r w:rsidRPr="0037298B">
          <w:rPr>
            <w:rStyle w:val="Hyperlink"/>
            <w:rFonts w:asciiTheme="majorBidi" w:hAnsiTheme="majorBidi"/>
            <w:noProof/>
            <w:sz w:val="28"/>
            <w:szCs w:val="28"/>
          </w:rPr>
          <w:t>ARTICLE 3:</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_Toc187056109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6</w:t>
        </w:r>
        <w:r w:rsidRPr="0037298B">
          <w:rPr>
            <w:rFonts w:asciiTheme="majorBidi" w:hAnsiTheme="majorBidi"/>
            <w:noProof/>
            <w:webHidden/>
            <w:sz w:val="28"/>
            <w:szCs w:val="28"/>
          </w:rPr>
          <w:fldChar w:fldCharType="end"/>
        </w:r>
      </w:hyperlink>
    </w:p>
    <w:p w14:paraId="19092663" w14:textId="5865E9EF"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10" w:history="1">
        <w:r w:rsidRPr="0037298B">
          <w:rPr>
            <w:rStyle w:val="Hyperlink"/>
            <w:rFonts w:asciiTheme="majorBidi" w:hAnsiTheme="majorBidi" w:cstheme="majorBidi"/>
            <w:b/>
            <w:bCs/>
            <w:noProof/>
            <w:sz w:val="28"/>
            <w:szCs w:val="28"/>
          </w:rPr>
          <w:t>RECOMMENDATIONS:</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_Toc187056110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7</w:t>
        </w:r>
        <w:r w:rsidRPr="0037298B">
          <w:rPr>
            <w:rFonts w:asciiTheme="majorBidi" w:hAnsiTheme="majorBidi" w:cstheme="majorBidi"/>
            <w:b/>
            <w:bCs/>
            <w:noProof/>
            <w:webHidden/>
            <w:sz w:val="28"/>
            <w:szCs w:val="28"/>
          </w:rPr>
          <w:fldChar w:fldCharType="end"/>
        </w:r>
      </w:hyperlink>
    </w:p>
    <w:p w14:paraId="0F12618F" w14:textId="5A65A6C9"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11" w:history="1">
        <w:r w:rsidRPr="0037298B">
          <w:rPr>
            <w:rStyle w:val="Hyperlink"/>
            <w:rFonts w:asciiTheme="majorBidi" w:hAnsiTheme="majorBidi"/>
            <w:noProof/>
            <w:sz w:val="28"/>
            <w:szCs w:val="28"/>
          </w:rPr>
          <w:t>ARTICLE 5:</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_Toc187056111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7</w:t>
        </w:r>
        <w:r w:rsidRPr="0037298B">
          <w:rPr>
            <w:rFonts w:asciiTheme="majorBidi" w:hAnsiTheme="majorBidi"/>
            <w:noProof/>
            <w:webHidden/>
            <w:sz w:val="28"/>
            <w:szCs w:val="28"/>
          </w:rPr>
          <w:fldChar w:fldCharType="end"/>
        </w:r>
      </w:hyperlink>
    </w:p>
    <w:p w14:paraId="4F356A43" w14:textId="5D77C984"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12" w:history="1">
        <w:r w:rsidRPr="0037298B">
          <w:rPr>
            <w:rStyle w:val="Hyperlink"/>
            <w:rFonts w:asciiTheme="majorBidi" w:hAnsiTheme="majorBidi" w:cstheme="majorBidi"/>
            <w:b/>
            <w:bCs/>
            <w:noProof/>
            <w:sz w:val="28"/>
            <w:szCs w:val="28"/>
          </w:rPr>
          <w:t>RECOMMENDATIONS:</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_Toc187056112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9</w:t>
        </w:r>
        <w:r w:rsidRPr="0037298B">
          <w:rPr>
            <w:rFonts w:asciiTheme="majorBidi" w:hAnsiTheme="majorBidi" w:cstheme="majorBidi"/>
            <w:b/>
            <w:bCs/>
            <w:noProof/>
            <w:webHidden/>
            <w:sz w:val="28"/>
            <w:szCs w:val="28"/>
          </w:rPr>
          <w:fldChar w:fldCharType="end"/>
        </w:r>
      </w:hyperlink>
    </w:p>
    <w:p w14:paraId="4F3A78D6" w14:textId="150181A6"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13" w:history="1">
        <w:r w:rsidRPr="0037298B">
          <w:rPr>
            <w:rStyle w:val="Hyperlink"/>
            <w:rFonts w:asciiTheme="majorBidi" w:hAnsiTheme="majorBidi"/>
            <w:noProof/>
            <w:sz w:val="28"/>
            <w:szCs w:val="28"/>
          </w:rPr>
          <w:t>GENERAL RECOMMENDATION NO 35:</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_Toc187056113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9</w:t>
        </w:r>
        <w:r w:rsidRPr="0037298B">
          <w:rPr>
            <w:rFonts w:asciiTheme="majorBidi" w:hAnsiTheme="majorBidi"/>
            <w:noProof/>
            <w:webHidden/>
            <w:sz w:val="28"/>
            <w:szCs w:val="28"/>
          </w:rPr>
          <w:fldChar w:fldCharType="end"/>
        </w:r>
      </w:hyperlink>
    </w:p>
    <w:p w14:paraId="113A842F" w14:textId="51CFFF8A"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14" w:history="1">
        <w:r w:rsidRPr="0037298B">
          <w:rPr>
            <w:rStyle w:val="Hyperlink"/>
            <w:rFonts w:asciiTheme="majorBidi" w:hAnsiTheme="majorBidi" w:cstheme="majorBidi"/>
            <w:b/>
            <w:bCs/>
            <w:noProof/>
            <w:sz w:val="28"/>
            <w:szCs w:val="28"/>
          </w:rPr>
          <w:t>RECOMMENDATIONS:</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_Toc187056114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12</w:t>
        </w:r>
        <w:r w:rsidRPr="0037298B">
          <w:rPr>
            <w:rFonts w:asciiTheme="majorBidi" w:hAnsiTheme="majorBidi" w:cstheme="majorBidi"/>
            <w:b/>
            <w:bCs/>
            <w:noProof/>
            <w:webHidden/>
            <w:sz w:val="28"/>
            <w:szCs w:val="28"/>
          </w:rPr>
          <w:fldChar w:fldCharType="end"/>
        </w:r>
      </w:hyperlink>
    </w:p>
    <w:p w14:paraId="0CEDBBC5" w14:textId="520348EF"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15" w:history="1">
        <w:r w:rsidRPr="0037298B">
          <w:rPr>
            <w:rStyle w:val="Hyperlink"/>
            <w:rFonts w:asciiTheme="majorBidi" w:hAnsiTheme="majorBidi"/>
            <w:noProof/>
            <w:sz w:val="28"/>
            <w:szCs w:val="28"/>
          </w:rPr>
          <w:t>ARTICLE 7:</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_Toc187056115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12</w:t>
        </w:r>
        <w:r w:rsidRPr="0037298B">
          <w:rPr>
            <w:rFonts w:asciiTheme="majorBidi" w:hAnsiTheme="majorBidi"/>
            <w:noProof/>
            <w:webHidden/>
            <w:sz w:val="28"/>
            <w:szCs w:val="28"/>
          </w:rPr>
          <w:fldChar w:fldCharType="end"/>
        </w:r>
      </w:hyperlink>
    </w:p>
    <w:p w14:paraId="17492CFD" w14:textId="64876DAB"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16" w:history="1">
        <w:r w:rsidRPr="0037298B">
          <w:rPr>
            <w:rStyle w:val="Hyperlink"/>
            <w:rFonts w:asciiTheme="majorBidi" w:hAnsiTheme="majorBidi" w:cstheme="majorBidi"/>
            <w:b/>
            <w:bCs/>
            <w:noProof/>
            <w:sz w:val="28"/>
            <w:szCs w:val="28"/>
          </w:rPr>
          <w:t>RECOMMENDATIONS:</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_Toc187056116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13</w:t>
        </w:r>
        <w:r w:rsidRPr="0037298B">
          <w:rPr>
            <w:rFonts w:asciiTheme="majorBidi" w:hAnsiTheme="majorBidi" w:cstheme="majorBidi"/>
            <w:b/>
            <w:bCs/>
            <w:noProof/>
            <w:webHidden/>
            <w:sz w:val="28"/>
            <w:szCs w:val="28"/>
          </w:rPr>
          <w:fldChar w:fldCharType="end"/>
        </w:r>
      </w:hyperlink>
    </w:p>
    <w:p w14:paraId="6D4FB721" w14:textId="12AE8642"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17" w:history="1">
        <w:r w:rsidRPr="0037298B">
          <w:rPr>
            <w:rStyle w:val="Hyperlink"/>
            <w:rFonts w:asciiTheme="majorBidi" w:hAnsiTheme="majorBidi"/>
            <w:noProof/>
            <w:sz w:val="28"/>
            <w:szCs w:val="28"/>
            <w:shd w:val="clear" w:color="auto" w:fill="FFFFFF"/>
          </w:rPr>
          <w:t>ARTICLE 12:</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_Toc187056117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13</w:t>
        </w:r>
        <w:r w:rsidRPr="0037298B">
          <w:rPr>
            <w:rFonts w:asciiTheme="majorBidi" w:hAnsiTheme="majorBidi"/>
            <w:noProof/>
            <w:webHidden/>
            <w:sz w:val="28"/>
            <w:szCs w:val="28"/>
          </w:rPr>
          <w:fldChar w:fldCharType="end"/>
        </w:r>
      </w:hyperlink>
    </w:p>
    <w:p w14:paraId="2631694C" w14:textId="78B641C2"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18" w:history="1">
        <w:r w:rsidRPr="0037298B">
          <w:rPr>
            <w:rStyle w:val="Hyperlink"/>
            <w:rFonts w:asciiTheme="majorBidi" w:hAnsiTheme="majorBidi" w:cstheme="majorBidi"/>
            <w:b/>
            <w:bCs/>
            <w:noProof/>
            <w:sz w:val="28"/>
            <w:szCs w:val="28"/>
          </w:rPr>
          <w:t>RECOMMENDATIONS:</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_Toc187056118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14</w:t>
        </w:r>
        <w:r w:rsidRPr="0037298B">
          <w:rPr>
            <w:rFonts w:asciiTheme="majorBidi" w:hAnsiTheme="majorBidi" w:cstheme="majorBidi"/>
            <w:b/>
            <w:bCs/>
            <w:noProof/>
            <w:webHidden/>
            <w:sz w:val="28"/>
            <w:szCs w:val="28"/>
          </w:rPr>
          <w:fldChar w:fldCharType="end"/>
        </w:r>
      </w:hyperlink>
    </w:p>
    <w:p w14:paraId="50A14946" w14:textId="652F3322"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19" w:history="1">
        <w:r w:rsidRPr="0037298B">
          <w:rPr>
            <w:rStyle w:val="Hyperlink"/>
            <w:rFonts w:asciiTheme="majorBidi" w:hAnsiTheme="majorBidi"/>
            <w:noProof/>
            <w:sz w:val="28"/>
            <w:szCs w:val="28"/>
            <w:shd w:val="clear" w:color="auto" w:fill="FFFFFF"/>
          </w:rPr>
          <w:t>ARTICLE 15:</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_Toc187056119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14</w:t>
        </w:r>
        <w:r w:rsidRPr="0037298B">
          <w:rPr>
            <w:rFonts w:asciiTheme="majorBidi" w:hAnsiTheme="majorBidi"/>
            <w:noProof/>
            <w:webHidden/>
            <w:sz w:val="28"/>
            <w:szCs w:val="28"/>
          </w:rPr>
          <w:fldChar w:fldCharType="end"/>
        </w:r>
      </w:hyperlink>
    </w:p>
    <w:p w14:paraId="5684D2E7" w14:textId="533044FB"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20" w:history="1">
        <w:r w:rsidRPr="0037298B">
          <w:rPr>
            <w:rStyle w:val="Hyperlink"/>
            <w:rFonts w:asciiTheme="majorBidi" w:hAnsiTheme="majorBidi" w:cstheme="majorBidi"/>
            <w:b/>
            <w:bCs/>
            <w:noProof/>
            <w:sz w:val="28"/>
            <w:szCs w:val="28"/>
          </w:rPr>
          <w:t>RECOMMENDATIONS:</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_Toc187056120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17</w:t>
        </w:r>
        <w:r w:rsidRPr="0037298B">
          <w:rPr>
            <w:rFonts w:asciiTheme="majorBidi" w:hAnsiTheme="majorBidi" w:cstheme="majorBidi"/>
            <w:b/>
            <w:bCs/>
            <w:noProof/>
            <w:webHidden/>
            <w:sz w:val="28"/>
            <w:szCs w:val="28"/>
          </w:rPr>
          <w:fldChar w:fldCharType="end"/>
        </w:r>
      </w:hyperlink>
    </w:p>
    <w:p w14:paraId="409BC4E7" w14:textId="21EEB894"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21" w:history="1">
        <w:r w:rsidRPr="0037298B">
          <w:rPr>
            <w:rStyle w:val="Hyperlink"/>
            <w:rFonts w:asciiTheme="majorBidi" w:hAnsiTheme="majorBidi"/>
            <w:noProof/>
            <w:sz w:val="28"/>
            <w:szCs w:val="28"/>
          </w:rPr>
          <w:t>GENERAL RECOMMENDATION NO 33:</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_Toc187056121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17</w:t>
        </w:r>
        <w:r w:rsidRPr="0037298B">
          <w:rPr>
            <w:rFonts w:asciiTheme="majorBidi" w:hAnsiTheme="majorBidi"/>
            <w:noProof/>
            <w:webHidden/>
            <w:sz w:val="28"/>
            <w:szCs w:val="28"/>
          </w:rPr>
          <w:fldChar w:fldCharType="end"/>
        </w:r>
      </w:hyperlink>
    </w:p>
    <w:p w14:paraId="32DDBBB8" w14:textId="5C441DA7"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22" w:history="1">
        <w:r w:rsidRPr="0037298B">
          <w:rPr>
            <w:rStyle w:val="Hyperlink"/>
            <w:rFonts w:asciiTheme="majorBidi" w:hAnsiTheme="majorBidi" w:cstheme="majorBidi"/>
            <w:b/>
            <w:bCs/>
            <w:noProof/>
            <w:sz w:val="28"/>
            <w:szCs w:val="28"/>
          </w:rPr>
          <w:t>RECOMMENDATIONS:</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_Toc187056122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19</w:t>
        </w:r>
        <w:r w:rsidRPr="0037298B">
          <w:rPr>
            <w:rFonts w:asciiTheme="majorBidi" w:hAnsiTheme="majorBidi" w:cstheme="majorBidi"/>
            <w:b/>
            <w:bCs/>
            <w:noProof/>
            <w:webHidden/>
            <w:sz w:val="28"/>
            <w:szCs w:val="28"/>
          </w:rPr>
          <w:fldChar w:fldCharType="end"/>
        </w:r>
      </w:hyperlink>
    </w:p>
    <w:p w14:paraId="7F774799" w14:textId="3A09BF09"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23" w:history="1">
        <w:r w:rsidRPr="0037298B">
          <w:rPr>
            <w:rStyle w:val="Hyperlink"/>
            <w:rFonts w:asciiTheme="majorBidi" w:eastAsia="Arial" w:hAnsiTheme="majorBidi"/>
            <w:noProof/>
            <w:sz w:val="28"/>
            <w:szCs w:val="28"/>
          </w:rPr>
          <w:t>ARTICLE 16:</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_Toc187056123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19</w:t>
        </w:r>
        <w:r w:rsidRPr="0037298B">
          <w:rPr>
            <w:rFonts w:asciiTheme="majorBidi" w:hAnsiTheme="majorBidi"/>
            <w:noProof/>
            <w:webHidden/>
            <w:sz w:val="28"/>
            <w:szCs w:val="28"/>
          </w:rPr>
          <w:fldChar w:fldCharType="end"/>
        </w:r>
      </w:hyperlink>
    </w:p>
    <w:p w14:paraId="1E02BCE8" w14:textId="108A3DA5"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24" w:history="1">
        <w:r w:rsidRPr="0037298B">
          <w:rPr>
            <w:rStyle w:val="Hyperlink"/>
            <w:rFonts w:asciiTheme="majorBidi" w:hAnsiTheme="majorBidi" w:cstheme="majorBidi"/>
            <w:b/>
            <w:bCs/>
            <w:noProof/>
            <w:sz w:val="28"/>
            <w:szCs w:val="28"/>
          </w:rPr>
          <w:t>RECOMMENDATIONS:</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_Toc187056124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20</w:t>
        </w:r>
        <w:r w:rsidRPr="0037298B">
          <w:rPr>
            <w:rFonts w:asciiTheme="majorBidi" w:hAnsiTheme="majorBidi" w:cstheme="majorBidi"/>
            <w:b/>
            <w:bCs/>
            <w:noProof/>
            <w:webHidden/>
            <w:sz w:val="28"/>
            <w:szCs w:val="28"/>
          </w:rPr>
          <w:fldChar w:fldCharType="end"/>
        </w:r>
      </w:hyperlink>
    </w:p>
    <w:p w14:paraId="6A15E1BA" w14:textId="65CC7DAD" w:rsidR="00137149" w:rsidRPr="0037298B" w:rsidRDefault="00137149" w:rsidP="00137149">
      <w:pPr>
        <w:pStyle w:val="TOC1"/>
        <w:spacing w:before="0"/>
        <w:rPr>
          <w:rFonts w:asciiTheme="majorBidi" w:eastAsiaTheme="minorEastAsia" w:hAnsiTheme="majorBidi"/>
          <w:noProof/>
          <w:kern w:val="2"/>
          <w:sz w:val="28"/>
          <w:szCs w:val="28"/>
          <w:lang w:val="en-US" w:eastAsia="en-US" w:bidi="ta-IN"/>
          <w14:ligatures w14:val="standardContextual"/>
        </w:rPr>
      </w:pPr>
      <w:hyperlink w:anchor="_Toc187056125" w:history="1">
        <w:r w:rsidRPr="0037298B">
          <w:rPr>
            <w:rStyle w:val="Hyperlink"/>
            <w:rFonts w:asciiTheme="majorBidi" w:hAnsiTheme="majorBidi"/>
            <w:noProof/>
            <w:sz w:val="28"/>
            <w:szCs w:val="28"/>
          </w:rPr>
          <w:t>ANNEXURE 1 – CASE STUDIES OF LBT WOMEN, SRI LANKA</w:t>
        </w:r>
        <w:r w:rsidRPr="0037298B">
          <w:rPr>
            <w:rFonts w:asciiTheme="majorBidi" w:hAnsiTheme="majorBidi"/>
            <w:noProof/>
            <w:webHidden/>
            <w:sz w:val="28"/>
            <w:szCs w:val="28"/>
          </w:rPr>
          <w:tab/>
        </w:r>
        <w:r w:rsidRPr="0037298B">
          <w:rPr>
            <w:rFonts w:asciiTheme="majorBidi" w:hAnsiTheme="majorBidi"/>
            <w:noProof/>
            <w:webHidden/>
            <w:sz w:val="28"/>
            <w:szCs w:val="28"/>
          </w:rPr>
          <w:fldChar w:fldCharType="begin"/>
        </w:r>
        <w:r w:rsidRPr="0037298B">
          <w:rPr>
            <w:rFonts w:asciiTheme="majorBidi" w:hAnsiTheme="majorBidi"/>
            <w:noProof/>
            <w:webHidden/>
            <w:sz w:val="28"/>
            <w:szCs w:val="28"/>
          </w:rPr>
          <w:instrText xml:space="preserve"> PAGEREF _Toc187056125 \h </w:instrText>
        </w:r>
        <w:r w:rsidRPr="0037298B">
          <w:rPr>
            <w:rFonts w:asciiTheme="majorBidi" w:hAnsiTheme="majorBidi"/>
            <w:noProof/>
            <w:webHidden/>
            <w:sz w:val="28"/>
            <w:szCs w:val="28"/>
          </w:rPr>
        </w:r>
        <w:r w:rsidRPr="0037298B">
          <w:rPr>
            <w:rFonts w:asciiTheme="majorBidi" w:hAnsiTheme="majorBidi"/>
            <w:noProof/>
            <w:webHidden/>
            <w:sz w:val="28"/>
            <w:szCs w:val="28"/>
          </w:rPr>
          <w:fldChar w:fldCharType="separate"/>
        </w:r>
        <w:r w:rsidRPr="0037298B">
          <w:rPr>
            <w:rFonts w:asciiTheme="majorBidi" w:hAnsiTheme="majorBidi"/>
            <w:noProof/>
            <w:webHidden/>
            <w:sz w:val="28"/>
            <w:szCs w:val="28"/>
          </w:rPr>
          <w:t>21</w:t>
        </w:r>
        <w:r w:rsidRPr="0037298B">
          <w:rPr>
            <w:rFonts w:asciiTheme="majorBidi" w:hAnsiTheme="majorBidi"/>
            <w:noProof/>
            <w:webHidden/>
            <w:sz w:val="28"/>
            <w:szCs w:val="28"/>
          </w:rPr>
          <w:fldChar w:fldCharType="end"/>
        </w:r>
      </w:hyperlink>
    </w:p>
    <w:p w14:paraId="6481876B" w14:textId="0F67E786"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26" w:history="1">
        <w:r w:rsidRPr="0037298B">
          <w:rPr>
            <w:rStyle w:val="Hyperlink"/>
            <w:rFonts w:asciiTheme="majorBidi" w:hAnsiTheme="majorBidi" w:cstheme="majorBidi"/>
            <w:b/>
            <w:bCs/>
            <w:noProof/>
            <w:sz w:val="28"/>
            <w:szCs w:val="28"/>
          </w:rPr>
          <w:t>SL_01</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_Toc187056126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21</w:t>
        </w:r>
        <w:r w:rsidRPr="0037298B">
          <w:rPr>
            <w:rFonts w:asciiTheme="majorBidi" w:hAnsiTheme="majorBidi" w:cstheme="majorBidi"/>
            <w:b/>
            <w:bCs/>
            <w:noProof/>
            <w:webHidden/>
            <w:sz w:val="28"/>
            <w:szCs w:val="28"/>
          </w:rPr>
          <w:fldChar w:fldCharType="end"/>
        </w:r>
      </w:hyperlink>
    </w:p>
    <w:p w14:paraId="5834EE75" w14:textId="1DAB7147"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27" w:history="1">
        <w:r w:rsidRPr="0037298B">
          <w:rPr>
            <w:rStyle w:val="Hyperlink"/>
            <w:rFonts w:asciiTheme="majorBidi" w:hAnsiTheme="majorBidi" w:cstheme="majorBidi"/>
            <w:b/>
            <w:bCs/>
            <w:noProof/>
            <w:sz w:val="28"/>
            <w:szCs w:val="28"/>
          </w:rPr>
          <w:t>SL_02</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_Toc187056127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22</w:t>
        </w:r>
        <w:r w:rsidRPr="0037298B">
          <w:rPr>
            <w:rFonts w:asciiTheme="majorBidi" w:hAnsiTheme="majorBidi" w:cstheme="majorBidi"/>
            <w:b/>
            <w:bCs/>
            <w:noProof/>
            <w:webHidden/>
            <w:sz w:val="28"/>
            <w:szCs w:val="28"/>
          </w:rPr>
          <w:fldChar w:fldCharType="end"/>
        </w:r>
      </w:hyperlink>
    </w:p>
    <w:p w14:paraId="01ACEF80" w14:textId="4DC21AA6"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28" w:history="1">
        <w:r w:rsidRPr="0037298B">
          <w:rPr>
            <w:rStyle w:val="Hyperlink"/>
            <w:rFonts w:asciiTheme="majorBidi" w:hAnsiTheme="majorBidi" w:cstheme="majorBidi"/>
            <w:b/>
            <w:bCs/>
            <w:noProof/>
            <w:sz w:val="28"/>
            <w:szCs w:val="28"/>
          </w:rPr>
          <w:t>SL_03</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_Toc187056128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23</w:t>
        </w:r>
        <w:r w:rsidRPr="0037298B">
          <w:rPr>
            <w:rFonts w:asciiTheme="majorBidi" w:hAnsiTheme="majorBidi" w:cstheme="majorBidi"/>
            <w:b/>
            <w:bCs/>
            <w:noProof/>
            <w:webHidden/>
            <w:sz w:val="28"/>
            <w:szCs w:val="28"/>
          </w:rPr>
          <w:fldChar w:fldCharType="end"/>
        </w:r>
      </w:hyperlink>
    </w:p>
    <w:p w14:paraId="626CB1AD" w14:textId="077448DD"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29" w:history="1">
        <w:r w:rsidRPr="0037298B">
          <w:rPr>
            <w:rStyle w:val="Hyperlink"/>
            <w:rFonts w:asciiTheme="majorBidi" w:hAnsiTheme="majorBidi" w:cstheme="majorBidi"/>
            <w:b/>
            <w:bCs/>
            <w:noProof/>
            <w:sz w:val="28"/>
            <w:szCs w:val="28"/>
          </w:rPr>
          <w:t>SL_04</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_Toc187056129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23</w:t>
        </w:r>
        <w:r w:rsidRPr="0037298B">
          <w:rPr>
            <w:rFonts w:asciiTheme="majorBidi" w:hAnsiTheme="majorBidi" w:cstheme="majorBidi"/>
            <w:b/>
            <w:bCs/>
            <w:noProof/>
            <w:webHidden/>
            <w:sz w:val="28"/>
            <w:szCs w:val="28"/>
          </w:rPr>
          <w:fldChar w:fldCharType="end"/>
        </w:r>
      </w:hyperlink>
    </w:p>
    <w:p w14:paraId="7EE9322E" w14:textId="121E9B73"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30" w:history="1">
        <w:r w:rsidRPr="0037298B">
          <w:rPr>
            <w:rStyle w:val="Hyperlink"/>
            <w:rFonts w:asciiTheme="majorBidi" w:hAnsiTheme="majorBidi" w:cstheme="majorBidi"/>
            <w:b/>
            <w:bCs/>
            <w:noProof/>
            <w:sz w:val="28"/>
            <w:szCs w:val="28"/>
          </w:rPr>
          <w:t>SL_05</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_Toc187056130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24</w:t>
        </w:r>
        <w:r w:rsidRPr="0037298B">
          <w:rPr>
            <w:rFonts w:asciiTheme="majorBidi" w:hAnsiTheme="majorBidi" w:cstheme="majorBidi"/>
            <w:b/>
            <w:bCs/>
            <w:noProof/>
            <w:webHidden/>
            <w:sz w:val="28"/>
            <w:szCs w:val="28"/>
          </w:rPr>
          <w:fldChar w:fldCharType="end"/>
        </w:r>
      </w:hyperlink>
    </w:p>
    <w:p w14:paraId="53371AFA" w14:textId="71BD72B0"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31" w:history="1">
        <w:r w:rsidRPr="0037298B">
          <w:rPr>
            <w:rStyle w:val="Hyperlink"/>
            <w:rFonts w:asciiTheme="majorBidi" w:hAnsiTheme="majorBidi" w:cstheme="majorBidi"/>
            <w:b/>
            <w:bCs/>
            <w:noProof/>
            <w:sz w:val="28"/>
            <w:szCs w:val="28"/>
          </w:rPr>
          <w:t>SL_06</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_Toc187056131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25</w:t>
        </w:r>
        <w:r w:rsidRPr="0037298B">
          <w:rPr>
            <w:rFonts w:asciiTheme="majorBidi" w:hAnsiTheme="majorBidi" w:cstheme="majorBidi"/>
            <w:b/>
            <w:bCs/>
            <w:noProof/>
            <w:webHidden/>
            <w:sz w:val="28"/>
            <w:szCs w:val="28"/>
          </w:rPr>
          <w:fldChar w:fldCharType="end"/>
        </w:r>
      </w:hyperlink>
    </w:p>
    <w:p w14:paraId="0412C3DD" w14:textId="1DCF522A"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32" w:history="1">
        <w:r w:rsidRPr="0037298B">
          <w:rPr>
            <w:rStyle w:val="Hyperlink"/>
            <w:rFonts w:asciiTheme="majorBidi" w:hAnsiTheme="majorBidi" w:cstheme="majorBidi"/>
            <w:b/>
            <w:bCs/>
            <w:noProof/>
            <w:sz w:val="28"/>
            <w:szCs w:val="28"/>
          </w:rPr>
          <w:t>SL_07</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_Toc187056132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25</w:t>
        </w:r>
        <w:r w:rsidRPr="0037298B">
          <w:rPr>
            <w:rFonts w:asciiTheme="majorBidi" w:hAnsiTheme="majorBidi" w:cstheme="majorBidi"/>
            <w:b/>
            <w:bCs/>
            <w:noProof/>
            <w:webHidden/>
            <w:sz w:val="28"/>
            <w:szCs w:val="28"/>
          </w:rPr>
          <w:fldChar w:fldCharType="end"/>
        </w:r>
      </w:hyperlink>
    </w:p>
    <w:p w14:paraId="5EF09CFF" w14:textId="647E31A8"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33" w:history="1">
        <w:r w:rsidRPr="0037298B">
          <w:rPr>
            <w:rStyle w:val="Hyperlink"/>
            <w:rFonts w:asciiTheme="majorBidi" w:hAnsiTheme="majorBidi" w:cstheme="majorBidi"/>
            <w:b/>
            <w:bCs/>
            <w:noProof/>
            <w:sz w:val="28"/>
            <w:szCs w:val="28"/>
          </w:rPr>
          <w:t>SL_08</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_Toc187056133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26</w:t>
        </w:r>
        <w:r w:rsidRPr="0037298B">
          <w:rPr>
            <w:rFonts w:asciiTheme="majorBidi" w:hAnsiTheme="majorBidi" w:cstheme="majorBidi"/>
            <w:b/>
            <w:bCs/>
            <w:noProof/>
            <w:webHidden/>
            <w:sz w:val="28"/>
            <w:szCs w:val="28"/>
          </w:rPr>
          <w:fldChar w:fldCharType="end"/>
        </w:r>
      </w:hyperlink>
    </w:p>
    <w:p w14:paraId="4FC3C6D1" w14:textId="647809FD"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34" w:history="1">
        <w:r w:rsidRPr="0037298B">
          <w:rPr>
            <w:rStyle w:val="Hyperlink"/>
            <w:rFonts w:asciiTheme="majorBidi" w:hAnsiTheme="majorBidi" w:cstheme="majorBidi"/>
            <w:b/>
            <w:bCs/>
            <w:noProof/>
            <w:sz w:val="28"/>
            <w:szCs w:val="28"/>
          </w:rPr>
          <w:t>SL_0</w:t>
        </w:r>
        <w:r w:rsidR="004E1F08">
          <w:rPr>
            <w:rStyle w:val="Hyperlink"/>
            <w:rFonts w:asciiTheme="majorBidi" w:hAnsiTheme="majorBidi" w:cstheme="majorBidi"/>
            <w:b/>
            <w:bCs/>
            <w:noProof/>
            <w:sz w:val="28"/>
            <w:szCs w:val="28"/>
          </w:rPr>
          <w:t>9</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_Toc187056134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27</w:t>
        </w:r>
        <w:r w:rsidRPr="0037298B">
          <w:rPr>
            <w:rFonts w:asciiTheme="majorBidi" w:hAnsiTheme="majorBidi" w:cstheme="majorBidi"/>
            <w:b/>
            <w:bCs/>
            <w:noProof/>
            <w:webHidden/>
            <w:sz w:val="28"/>
            <w:szCs w:val="28"/>
          </w:rPr>
          <w:fldChar w:fldCharType="end"/>
        </w:r>
      </w:hyperlink>
    </w:p>
    <w:p w14:paraId="24AF1426" w14:textId="69915845" w:rsidR="00137149" w:rsidRPr="0037298B" w:rsidRDefault="00137149" w:rsidP="00137149">
      <w:pPr>
        <w:pStyle w:val="TOC3"/>
        <w:tabs>
          <w:tab w:val="right" w:pos="9016"/>
        </w:tabs>
        <w:rPr>
          <w:rFonts w:asciiTheme="majorBidi" w:eastAsiaTheme="minorEastAsia" w:hAnsiTheme="majorBidi" w:cstheme="majorBidi"/>
          <w:b/>
          <w:bCs/>
          <w:noProof/>
          <w:kern w:val="2"/>
          <w:sz w:val="28"/>
          <w:szCs w:val="28"/>
          <w:lang w:val="en-US" w:eastAsia="en-US" w:bidi="ta-IN"/>
          <w14:ligatures w14:val="standardContextual"/>
        </w:rPr>
      </w:pPr>
      <w:hyperlink w:anchor="_Toc187056135" w:history="1">
        <w:r w:rsidRPr="0037298B">
          <w:rPr>
            <w:rStyle w:val="Hyperlink"/>
            <w:rFonts w:asciiTheme="majorBidi" w:hAnsiTheme="majorBidi" w:cstheme="majorBidi"/>
            <w:b/>
            <w:bCs/>
            <w:noProof/>
            <w:sz w:val="28"/>
            <w:szCs w:val="28"/>
          </w:rPr>
          <w:t>SL_</w:t>
        </w:r>
        <w:r w:rsidR="004E1F08">
          <w:rPr>
            <w:rStyle w:val="Hyperlink"/>
            <w:rFonts w:asciiTheme="majorBidi" w:hAnsiTheme="majorBidi" w:cstheme="majorBidi"/>
            <w:b/>
            <w:bCs/>
            <w:noProof/>
            <w:sz w:val="28"/>
            <w:szCs w:val="28"/>
          </w:rPr>
          <w:t>10</w:t>
        </w:r>
        <w:r w:rsidRPr="0037298B">
          <w:rPr>
            <w:rFonts w:asciiTheme="majorBidi" w:hAnsiTheme="majorBidi" w:cstheme="majorBidi"/>
            <w:b/>
            <w:bCs/>
            <w:noProof/>
            <w:webHidden/>
            <w:sz w:val="28"/>
            <w:szCs w:val="28"/>
          </w:rPr>
          <w:tab/>
        </w:r>
        <w:r w:rsidRPr="0037298B">
          <w:rPr>
            <w:rFonts w:asciiTheme="majorBidi" w:hAnsiTheme="majorBidi" w:cstheme="majorBidi"/>
            <w:b/>
            <w:bCs/>
            <w:noProof/>
            <w:webHidden/>
            <w:sz w:val="28"/>
            <w:szCs w:val="28"/>
          </w:rPr>
          <w:fldChar w:fldCharType="begin"/>
        </w:r>
        <w:r w:rsidRPr="0037298B">
          <w:rPr>
            <w:rFonts w:asciiTheme="majorBidi" w:hAnsiTheme="majorBidi" w:cstheme="majorBidi"/>
            <w:b/>
            <w:bCs/>
            <w:noProof/>
            <w:webHidden/>
            <w:sz w:val="28"/>
            <w:szCs w:val="28"/>
          </w:rPr>
          <w:instrText xml:space="preserve"> PAGEREF _Toc187056135 \h </w:instrText>
        </w:r>
        <w:r w:rsidRPr="0037298B">
          <w:rPr>
            <w:rFonts w:asciiTheme="majorBidi" w:hAnsiTheme="majorBidi" w:cstheme="majorBidi"/>
            <w:b/>
            <w:bCs/>
            <w:noProof/>
            <w:webHidden/>
            <w:sz w:val="28"/>
            <w:szCs w:val="28"/>
          </w:rPr>
        </w:r>
        <w:r w:rsidRPr="0037298B">
          <w:rPr>
            <w:rFonts w:asciiTheme="majorBidi" w:hAnsiTheme="majorBidi" w:cstheme="majorBidi"/>
            <w:b/>
            <w:bCs/>
            <w:noProof/>
            <w:webHidden/>
            <w:sz w:val="28"/>
            <w:szCs w:val="28"/>
          </w:rPr>
          <w:fldChar w:fldCharType="separate"/>
        </w:r>
        <w:r w:rsidRPr="0037298B">
          <w:rPr>
            <w:rFonts w:asciiTheme="majorBidi" w:hAnsiTheme="majorBidi" w:cstheme="majorBidi"/>
            <w:b/>
            <w:bCs/>
            <w:noProof/>
            <w:webHidden/>
            <w:sz w:val="28"/>
            <w:szCs w:val="28"/>
          </w:rPr>
          <w:t>28</w:t>
        </w:r>
        <w:r w:rsidRPr="0037298B">
          <w:rPr>
            <w:rFonts w:asciiTheme="majorBidi" w:hAnsiTheme="majorBidi" w:cstheme="majorBidi"/>
            <w:b/>
            <w:bCs/>
            <w:noProof/>
            <w:webHidden/>
            <w:sz w:val="28"/>
            <w:szCs w:val="28"/>
          </w:rPr>
          <w:fldChar w:fldCharType="end"/>
        </w:r>
      </w:hyperlink>
    </w:p>
    <w:p w14:paraId="60FDE38B" w14:textId="6BA4AF92" w:rsidR="00971648" w:rsidRPr="00137149" w:rsidRDefault="003A0DC3" w:rsidP="00137149">
      <w:pPr>
        <w:rPr>
          <w:b/>
          <w:bCs/>
        </w:rPr>
      </w:pPr>
      <w:r w:rsidRPr="00137149">
        <w:rPr>
          <w:rFonts w:asciiTheme="majorBidi" w:hAnsiTheme="majorBidi" w:cstheme="majorBidi"/>
          <w:b/>
          <w:bCs/>
        </w:rPr>
        <w:fldChar w:fldCharType="end"/>
      </w:r>
    </w:p>
    <w:p w14:paraId="6BD2FD81" w14:textId="45F73B17" w:rsidR="00971648" w:rsidRDefault="00971648" w:rsidP="00B71F0A">
      <w:pPr>
        <w:spacing w:line="360" w:lineRule="auto"/>
        <w:rPr>
          <w:b/>
          <w:bCs/>
          <w:lang w:val="en-US"/>
        </w:rPr>
      </w:pPr>
    </w:p>
    <w:p w14:paraId="39C6247C" w14:textId="77777777" w:rsidR="003A0DC3" w:rsidRDefault="003A0DC3" w:rsidP="00B71F0A">
      <w:pPr>
        <w:spacing w:line="360" w:lineRule="auto"/>
        <w:rPr>
          <w:b/>
          <w:bCs/>
          <w:lang w:val="en-US"/>
        </w:rPr>
      </w:pPr>
    </w:p>
    <w:p w14:paraId="20594F8C" w14:textId="77777777" w:rsidR="003A0DC3" w:rsidRDefault="003A0DC3" w:rsidP="00B71F0A">
      <w:pPr>
        <w:spacing w:line="360" w:lineRule="auto"/>
        <w:rPr>
          <w:b/>
          <w:bCs/>
          <w:lang w:val="en-US"/>
        </w:rPr>
      </w:pPr>
    </w:p>
    <w:p w14:paraId="7813839D" w14:textId="258F936E" w:rsidR="00910EFF" w:rsidRPr="00683921" w:rsidRDefault="00910EFF" w:rsidP="0062347A">
      <w:pPr>
        <w:pStyle w:val="Heading1"/>
        <w:spacing w:line="360" w:lineRule="auto"/>
        <w:jc w:val="both"/>
        <w:rPr>
          <w:rFonts w:ascii="Times New Roman" w:hAnsi="Times New Roman" w:cs="Times New Roman"/>
          <w:b/>
          <w:bCs/>
          <w:color w:val="auto"/>
          <w:sz w:val="28"/>
          <w:szCs w:val="28"/>
        </w:rPr>
      </w:pPr>
      <w:bookmarkStart w:id="1" w:name="_Toc187056104"/>
      <w:r w:rsidRPr="00683921">
        <w:rPr>
          <w:rFonts w:ascii="Times New Roman" w:hAnsi="Times New Roman" w:cs="Times New Roman"/>
          <w:b/>
          <w:bCs/>
          <w:color w:val="auto"/>
          <w:sz w:val="28"/>
          <w:szCs w:val="28"/>
        </w:rPr>
        <w:t>Introduction</w:t>
      </w:r>
      <w:bookmarkEnd w:id="1"/>
      <w:r w:rsidRPr="00683921">
        <w:rPr>
          <w:rFonts w:ascii="Times New Roman" w:hAnsi="Times New Roman" w:cs="Times New Roman"/>
          <w:b/>
          <w:bCs/>
          <w:color w:val="auto"/>
          <w:sz w:val="28"/>
          <w:szCs w:val="28"/>
        </w:rPr>
        <w:t xml:space="preserve"> </w:t>
      </w:r>
    </w:p>
    <w:p w14:paraId="060035C3" w14:textId="77777777" w:rsidR="00910EFF" w:rsidRPr="00B71F0A" w:rsidRDefault="00910EFF" w:rsidP="0062347A">
      <w:pPr>
        <w:spacing w:line="360" w:lineRule="auto"/>
        <w:jc w:val="both"/>
      </w:pPr>
    </w:p>
    <w:p w14:paraId="38A1C604" w14:textId="2D20BA14" w:rsidR="00621B09" w:rsidRPr="00B71F0A" w:rsidRDefault="00621B09" w:rsidP="0062347A">
      <w:pPr>
        <w:pStyle w:val="ListParagraph"/>
        <w:numPr>
          <w:ilvl w:val="0"/>
          <w:numId w:val="24"/>
        </w:numPr>
        <w:spacing w:line="360" w:lineRule="auto"/>
        <w:jc w:val="both"/>
      </w:pPr>
      <w:r w:rsidRPr="00B71F0A">
        <w:t>During its 90th session, from 03 February – 21 February 2025, the United Nations</w:t>
      </w:r>
      <w:r w:rsidRPr="00B71F0A">
        <w:br/>
        <w:t>Committee on the Elimination of Discrimination against Women (the Committee) is</w:t>
      </w:r>
      <w:r w:rsidRPr="00B71F0A">
        <w:br/>
        <w:t>scheduled to examine Sri Lanka’s implementation of and compliance with its</w:t>
      </w:r>
      <w:r w:rsidRPr="00B71F0A">
        <w:br/>
        <w:t>obligations under the Convention on the Elimination of all Forms of Discrimination</w:t>
      </w:r>
      <w:r w:rsidRPr="00B71F0A">
        <w:br/>
        <w:t>against Women (“CEDAW’) in light of the State party’s ninth periodic report under</w:t>
      </w:r>
      <w:r w:rsidRPr="00B71F0A">
        <w:br/>
        <w:t>Article 18 of the Convention, including the “Replies of Sri Lanka to the list of issues and questions in relation to its ninth periodic report.”</w:t>
      </w:r>
      <w:r w:rsidRPr="00B71F0A">
        <w:rPr>
          <w:rStyle w:val="FootnoteReference"/>
        </w:rPr>
        <w:footnoteReference w:id="1"/>
      </w:r>
    </w:p>
    <w:p w14:paraId="4379AD57" w14:textId="77777777" w:rsidR="00621B09" w:rsidRPr="00B71F0A" w:rsidRDefault="00621B09" w:rsidP="0062347A">
      <w:pPr>
        <w:pStyle w:val="ListParagraph"/>
        <w:spacing w:line="360" w:lineRule="auto"/>
        <w:jc w:val="both"/>
      </w:pPr>
    </w:p>
    <w:p w14:paraId="40BD6FA0" w14:textId="5A93A7C9" w:rsidR="00621B09" w:rsidRPr="00B71F0A" w:rsidRDefault="00621B09" w:rsidP="0062347A">
      <w:pPr>
        <w:pStyle w:val="ListParagraph"/>
        <w:numPr>
          <w:ilvl w:val="0"/>
          <w:numId w:val="24"/>
        </w:numPr>
        <w:spacing w:line="360" w:lineRule="auto"/>
        <w:jc w:val="both"/>
      </w:pPr>
      <w:r w:rsidRPr="00B71F0A">
        <w:t>In this context, BRIDGE to Equality welcomes the</w:t>
      </w:r>
      <w:r w:rsidR="00683921">
        <w:t xml:space="preserve"> </w:t>
      </w:r>
      <w:r w:rsidRPr="00B71F0A">
        <w:t>opportunity to present this submission to the Committee with a view to assisting its</w:t>
      </w:r>
      <w:r w:rsidR="00683921">
        <w:t xml:space="preserve"> </w:t>
      </w:r>
      <w:r w:rsidRPr="00B71F0A">
        <w:t>review of Sri Lanka’s human rights record under CEDAW.</w:t>
      </w:r>
    </w:p>
    <w:p w14:paraId="2C1D62BC" w14:textId="77777777" w:rsidR="00621B09" w:rsidRPr="00B71F0A" w:rsidRDefault="00621B09" w:rsidP="0062347A">
      <w:pPr>
        <w:spacing w:line="360" w:lineRule="auto"/>
        <w:jc w:val="both"/>
        <w:rPr>
          <w:lang w:val="en-US"/>
        </w:rPr>
      </w:pPr>
    </w:p>
    <w:p w14:paraId="25E7C443" w14:textId="13A1936F" w:rsidR="00910EFF" w:rsidRDefault="00910EFF" w:rsidP="0062347A">
      <w:pPr>
        <w:pStyle w:val="ListParagraph"/>
        <w:numPr>
          <w:ilvl w:val="0"/>
          <w:numId w:val="24"/>
        </w:numPr>
        <w:spacing w:line="360" w:lineRule="auto"/>
        <w:jc w:val="both"/>
      </w:pPr>
      <w:r w:rsidRPr="00B71F0A">
        <w:t>LBT women in Sri Lanka face systemic discrimination, with outdated laws denying same-sex couples rights to marriage, adoption, inheritance, healthcare decisions, and cohabitation, while subjecting them to scrutiny and stigma.</w:t>
      </w:r>
      <w:r w:rsidR="005A3976" w:rsidRPr="00B71F0A">
        <w:rPr>
          <w:lang w:val="en-US"/>
        </w:rPr>
        <w:t xml:space="preserve"> </w:t>
      </w:r>
      <w:r w:rsidRPr="00B71F0A">
        <w:t>Colonial-era laws like Penal Code Sections 365</w:t>
      </w:r>
      <w:r w:rsidR="000B6CA2" w:rsidRPr="00B71F0A">
        <w:rPr>
          <w:rStyle w:val="FootnoteReference"/>
        </w:rPr>
        <w:footnoteReference w:id="2"/>
      </w:r>
      <w:r w:rsidRPr="00B71F0A">
        <w:t xml:space="preserve"> and 365A</w:t>
      </w:r>
      <w:r w:rsidR="000B6CA2" w:rsidRPr="00B71F0A">
        <w:rPr>
          <w:rStyle w:val="FootnoteReference"/>
        </w:rPr>
        <w:footnoteReference w:id="3"/>
      </w:r>
      <w:r w:rsidRPr="00B71F0A">
        <w:t>and the Vagrants Ordinance</w:t>
      </w:r>
      <w:r w:rsidR="000B6CA2" w:rsidRPr="00B71F0A">
        <w:rPr>
          <w:rStyle w:val="FootnoteReference"/>
        </w:rPr>
        <w:footnoteReference w:id="4"/>
      </w:r>
      <w:r w:rsidRPr="00B71F0A">
        <w:t xml:space="preserve"> criminalize consensual same-sex conduct, enabling harassment and violating Articles 2 and 15 CEDAW, with repeal efforts yielding limited progress.</w:t>
      </w:r>
      <w:r w:rsidR="005A3976" w:rsidRPr="00B71F0A">
        <w:rPr>
          <w:lang w:val="en-US"/>
        </w:rPr>
        <w:t xml:space="preserve"> </w:t>
      </w:r>
      <w:r w:rsidRPr="00B71F0A">
        <w:t>Societal stigma and gender norms fuel harassment, rejection, and violence against LBT women, with discrimination in healthcare, education, housing, and employment disproportionately impacting marginalized groups.</w:t>
      </w:r>
    </w:p>
    <w:p w14:paraId="4B467CDC" w14:textId="77777777" w:rsidR="00683921" w:rsidRPr="00B71F0A" w:rsidRDefault="00683921" w:rsidP="0062347A">
      <w:pPr>
        <w:spacing w:line="360" w:lineRule="auto"/>
        <w:jc w:val="both"/>
      </w:pPr>
    </w:p>
    <w:p w14:paraId="774ABC70" w14:textId="77777777" w:rsidR="00910EFF" w:rsidRPr="00683921" w:rsidRDefault="00910EFF" w:rsidP="0062347A">
      <w:pPr>
        <w:pStyle w:val="Heading1"/>
        <w:spacing w:line="360" w:lineRule="auto"/>
        <w:jc w:val="both"/>
        <w:rPr>
          <w:rFonts w:ascii="Times New Roman" w:hAnsi="Times New Roman" w:cs="Times New Roman"/>
          <w:b/>
          <w:bCs/>
          <w:color w:val="auto"/>
          <w:sz w:val="28"/>
          <w:szCs w:val="28"/>
        </w:rPr>
      </w:pPr>
      <w:bookmarkStart w:id="2" w:name="_Toc187056105"/>
      <w:bookmarkStart w:id="3" w:name="_Hlk186895366"/>
      <w:r w:rsidRPr="00683921">
        <w:rPr>
          <w:rFonts w:ascii="Times New Roman" w:hAnsi="Times New Roman" w:cs="Times New Roman"/>
          <w:b/>
          <w:bCs/>
          <w:color w:val="auto"/>
          <w:sz w:val="28"/>
          <w:szCs w:val="28"/>
        </w:rPr>
        <w:t>Article 1:</w:t>
      </w:r>
      <w:bookmarkEnd w:id="2"/>
      <w:r w:rsidRPr="00683921">
        <w:rPr>
          <w:rFonts w:ascii="Times New Roman" w:hAnsi="Times New Roman" w:cs="Times New Roman"/>
          <w:b/>
          <w:bCs/>
          <w:color w:val="auto"/>
          <w:sz w:val="28"/>
          <w:szCs w:val="28"/>
        </w:rPr>
        <w:t xml:space="preserve"> </w:t>
      </w:r>
      <w:bookmarkEnd w:id="0"/>
    </w:p>
    <w:p w14:paraId="26E8A837" w14:textId="77777777" w:rsidR="00B71F0A" w:rsidRPr="00B71F0A" w:rsidRDefault="00B71F0A" w:rsidP="0062347A">
      <w:pPr>
        <w:spacing w:line="360" w:lineRule="auto"/>
        <w:rPr>
          <w:lang w:val="en-US"/>
        </w:rPr>
      </w:pPr>
    </w:p>
    <w:p w14:paraId="713D85BF" w14:textId="53EFB2EA" w:rsidR="00F41630" w:rsidRPr="00B71F0A" w:rsidRDefault="00F41630" w:rsidP="0062347A">
      <w:pPr>
        <w:pStyle w:val="ListParagraph"/>
        <w:numPr>
          <w:ilvl w:val="0"/>
          <w:numId w:val="24"/>
        </w:numPr>
        <w:spacing w:line="360" w:lineRule="auto"/>
        <w:jc w:val="both"/>
        <w:rPr>
          <w:lang w:val="en-US"/>
        </w:rPr>
      </w:pPr>
      <w:r w:rsidRPr="00B71F0A">
        <w:t>Sri Lanka’s Constitution prohibits discrimination based on sex, as stipulated in Article 12(1) and Article 12(2).</w:t>
      </w:r>
      <w:r w:rsidRPr="00B71F0A">
        <w:rPr>
          <w:vertAlign w:val="superscript"/>
        </w:rPr>
        <w:footnoteReference w:id="5"/>
      </w:r>
      <w:r w:rsidR="007B7C57" w:rsidRPr="00B71F0A">
        <w:t xml:space="preserve"> </w:t>
      </w:r>
      <w:r w:rsidR="007A0ED4" w:rsidRPr="00B71F0A">
        <w:t>However CEDAW has recommended [</w:t>
      </w:r>
      <w:r w:rsidR="007B7C57" w:rsidRPr="00B71F0A">
        <w:t>CEDAW/C/LKA/Q/9,</w:t>
      </w:r>
      <w:r w:rsidR="007A0ED4" w:rsidRPr="00B71F0A">
        <w:t xml:space="preserve"> para. 19(a)] to incorporate the prohibition of discrimination on the ground of sexual orientation and gender identity, </w:t>
      </w:r>
      <w:r w:rsidRPr="00B71F0A">
        <w:t>the State</w:t>
      </w:r>
      <w:r w:rsidR="007A0ED4" w:rsidRPr="00B71F0A">
        <w:t xml:space="preserve"> despite its claims </w:t>
      </w:r>
      <w:r w:rsidR="007B7C57" w:rsidRPr="00B71F0A">
        <w:t xml:space="preserve">(CEDAW/C/LKA/RQ/9, para. 19) </w:t>
      </w:r>
      <w:r w:rsidR="007A0ED4" w:rsidRPr="00B71F0A">
        <w:t xml:space="preserve">has not done so. </w:t>
      </w:r>
    </w:p>
    <w:p w14:paraId="26A2C19E" w14:textId="77777777" w:rsidR="005A3976" w:rsidRPr="00B71F0A" w:rsidRDefault="005A3976" w:rsidP="0062347A">
      <w:pPr>
        <w:spacing w:line="360" w:lineRule="auto"/>
        <w:jc w:val="both"/>
        <w:rPr>
          <w:lang w:val="en-US"/>
        </w:rPr>
      </w:pPr>
    </w:p>
    <w:p w14:paraId="2D0CD18B" w14:textId="05E618FA" w:rsidR="007A0ED4" w:rsidRPr="00B71F0A" w:rsidRDefault="007A0ED4" w:rsidP="0062347A">
      <w:pPr>
        <w:pStyle w:val="ListParagraph"/>
        <w:numPr>
          <w:ilvl w:val="0"/>
          <w:numId w:val="24"/>
        </w:numPr>
        <w:spacing w:line="360" w:lineRule="auto"/>
        <w:jc w:val="both"/>
        <w:rPr>
          <w:lang w:val="en-US"/>
        </w:rPr>
      </w:pPr>
      <w:r w:rsidRPr="00B71F0A">
        <w:t>The Supreme Court’s Special Determination on the "Gender Equality Act, No. of 2024" (SC SD 54/2024 and SC SD 55/2024)</w:t>
      </w:r>
      <w:r w:rsidRPr="00B71F0A">
        <w:rPr>
          <w:rStyle w:val="FootnoteReference"/>
        </w:rPr>
        <w:footnoteReference w:id="6"/>
      </w:r>
      <w:r w:rsidRPr="00B71F0A">
        <w:t xml:space="preserve"> highlights this gap. </w:t>
      </w:r>
      <w:r w:rsidR="004174C2" w:rsidRPr="00B71F0A">
        <w:t>The Court</w:t>
      </w:r>
      <w:r w:rsidRPr="00B71F0A">
        <w:t xml:space="preserve"> ruled that the term “sex” in Article 12(2) is restricted to biological categories of male and female.</w:t>
      </w:r>
      <w:r w:rsidRPr="00B71F0A">
        <w:rPr>
          <w:rStyle w:val="FootnoteReference"/>
        </w:rPr>
        <w:footnoteReference w:id="7"/>
      </w:r>
      <w:r w:rsidR="001A29EA" w:rsidRPr="00B71F0A">
        <w:t>This interpretation</w:t>
      </w:r>
      <w:r w:rsidRPr="00B71F0A">
        <w:t xml:space="preserve"> explicitly excludes gender identity from constitutional protection, thereby failing to recognize and safeguard the rights of transgender, non-binary, and other gender-diverse individuals.</w:t>
      </w:r>
      <w:r w:rsidR="005A3976" w:rsidRPr="00B71F0A">
        <w:rPr>
          <w:lang w:val="en-US"/>
        </w:rPr>
        <w:t xml:space="preserve"> </w:t>
      </w:r>
      <w:r w:rsidR="00C60C34" w:rsidRPr="00B71F0A">
        <w:t>T</w:t>
      </w:r>
      <w:r w:rsidRPr="00B71F0A">
        <w:t>he Court noted, “Article 12(4) of the Constitution has not recognized such category therein as ‘gender.’” This omission creates significant vulnerabilities for women, particularly those who do not conform to traditional gender norms and jeopardizes the realization of gender equality.</w:t>
      </w:r>
    </w:p>
    <w:p w14:paraId="00CD73A8" w14:textId="77777777" w:rsidR="005A3976" w:rsidRPr="00B71F0A" w:rsidRDefault="005A3976" w:rsidP="0062347A">
      <w:pPr>
        <w:spacing w:line="360" w:lineRule="auto"/>
        <w:jc w:val="both"/>
        <w:rPr>
          <w:lang w:val="en-US"/>
        </w:rPr>
      </w:pPr>
    </w:p>
    <w:p w14:paraId="5FCF8FCB" w14:textId="6BB72B9D" w:rsidR="007A0ED4" w:rsidRPr="00B71F0A" w:rsidRDefault="00C60C34" w:rsidP="0062347A">
      <w:pPr>
        <w:pStyle w:val="ListParagraph"/>
        <w:numPr>
          <w:ilvl w:val="0"/>
          <w:numId w:val="24"/>
        </w:numPr>
        <w:spacing w:line="360" w:lineRule="auto"/>
        <w:jc w:val="both"/>
      </w:pPr>
      <w:r w:rsidRPr="00B71F0A">
        <w:t>However, i</w:t>
      </w:r>
      <w:r w:rsidR="007A0ED4" w:rsidRPr="00B71F0A">
        <w:t>n 2022, the Sri Lankan government has made representation before the UN Human Rights Committee that Article 12 of the Constitution included non-discrimination on the basis of sexual orientation</w:t>
      </w:r>
      <w:r w:rsidR="001A29EA" w:rsidRPr="00B71F0A">
        <w:t>.</w:t>
      </w:r>
      <w:r w:rsidR="007A0ED4" w:rsidRPr="00B71F0A">
        <w:t xml:space="preserve"> </w:t>
      </w:r>
      <w:r w:rsidR="001A29EA" w:rsidRPr="00B71F0A">
        <w:t>T</w:t>
      </w:r>
      <w:r w:rsidR="007A0ED4" w:rsidRPr="00B71F0A">
        <w:t>he Committee in its Concluding Observations noted the non-inclusion of a detailed list of grounds of discrimination which included sexual orientation and gender identity.</w:t>
      </w:r>
      <w:r w:rsidR="007A0ED4" w:rsidRPr="00B71F0A">
        <w:rPr>
          <w:rStyle w:val="FootnoteReference"/>
        </w:rPr>
        <w:footnoteReference w:id="8"/>
      </w:r>
      <w:r w:rsidR="007A0ED4" w:rsidRPr="00B71F0A">
        <w:t xml:space="preserve">  Further, in 2023, during its </w:t>
      </w:r>
      <w:r w:rsidR="007A0ED4" w:rsidRPr="00B71F0A">
        <w:lastRenderedPageBreak/>
        <w:t>Universal Periodic Review (UPR) at the Human Rights Council, Sri Lanka stated that a number of criminal proceedings are being revisited on grounds of non-discrimination based on sexual orientation.</w:t>
      </w:r>
      <w:r w:rsidR="007A0ED4" w:rsidRPr="00B71F0A">
        <w:rPr>
          <w:rStyle w:val="FootnoteReference"/>
        </w:rPr>
        <w:footnoteReference w:id="9"/>
      </w:r>
      <w:r w:rsidR="007A0ED4" w:rsidRPr="00B71F0A">
        <w:t xml:space="preserve"> The Working Group of the UPR made recommendations to decriminalize same-sex sexual conduct</w:t>
      </w:r>
      <w:r w:rsidR="007A0ED4" w:rsidRPr="00B71F0A">
        <w:rPr>
          <w:rStyle w:val="FootnoteReference"/>
        </w:rPr>
        <w:footnoteReference w:id="10"/>
      </w:r>
      <w:r w:rsidR="007A0ED4" w:rsidRPr="00B71F0A">
        <w:t>, but Sri Lanka only took note of these recommendations.</w:t>
      </w:r>
      <w:r w:rsidR="007A0ED4" w:rsidRPr="00B71F0A">
        <w:rPr>
          <w:rStyle w:val="FootnoteReference"/>
        </w:rPr>
        <w:footnoteReference w:id="11"/>
      </w:r>
      <w:r w:rsidR="007A0ED4" w:rsidRPr="00B71F0A">
        <w:t xml:space="preserve">  </w:t>
      </w:r>
    </w:p>
    <w:p w14:paraId="5D125A37" w14:textId="77777777" w:rsidR="00B42B2C" w:rsidRPr="00B71F0A" w:rsidRDefault="00B42B2C" w:rsidP="0062347A">
      <w:pPr>
        <w:spacing w:line="360" w:lineRule="auto"/>
        <w:jc w:val="both"/>
      </w:pPr>
    </w:p>
    <w:p w14:paraId="680704AB" w14:textId="77272F1B" w:rsidR="00B42B2C" w:rsidRPr="00B71F0A" w:rsidRDefault="00B42B2C" w:rsidP="0062347A">
      <w:pPr>
        <w:pStyle w:val="ListParagraph"/>
        <w:numPr>
          <w:ilvl w:val="0"/>
          <w:numId w:val="24"/>
        </w:numPr>
        <w:spacing w:line="360" w:lineRule="auto"/>
        <w:jc w:val="both"/>
      </w:pPr>
      <w:r w:rsidRPr="00B71F0A">
        <w:t>Attempts to include prohibition of SOGIE based discrimination in the National Action Plan for the Protection and Promotion of Human Rights for the periods 2011- 2016 and 2017 - 2021 were dropped due to opposition within the Cabinet.</w:t>
      </w:r>
      <w:r w:rsidRPr="00B71F0A">
        <w:rPr>
          <w:vertAlign w:val="superscript"/>
        </w:rPr>
        <w:footnoteReference w:id="12"/>
      </w:r>
      <w:r w:rsidRPr="00B71F0A">
        <w:rPr>
          <w:vertAlign w:val="superscript"/>
        </w:rPr>
        <w:t xml:space="preserve">  </w:t>
      </w:r>
      <w:r w:rsidRPr="00B71F0A">
        <w:t xml:space="preserve"> </w:t>
      </w:r>
    </w:p>
    <w:p w14:paraId="2F77E17C" w14:textId="77777777" w:rsidR="00F41630" w:rsidRPr="00B71F0A" w:rsidRDefault="00F41630" w:rsidP="0062347A">
      <w:pPr>
        <w:spacing w:line="360" w:lineRule="auto"/>
        <w:jc w:val="both"/>
      </w:pPr>
    </w:p>
    <w:p w14:paraId="3EC895C3" w14:textId="77777777" w:rsidR="00910EFF" w:rsidRDefault="00910EFF" w:rsidP="0062347A">
      <w:pPr>
        <w:pStyle w:val="Heading3"/>
        <w:spacing w:line="360" w:lineRule="auto"/>
        <w:jc w:val="both"/>
        <w:rPr>
          <w:rFonts w:ascii="Times New Roman" w:hAnsi="Times New Roman" w:cs="Times New Roman"/>
          <w:b/>
          <w:bCs/>
          <w:color w:val="auto"/>
          <w:sz w:val="28"/>
          <w:szCs w:val="28"/>
        </w:rPr>
      </w:pPr>
      <w:bookmarkStart w:id="5" w:name="_Toc187056106"/>
      <w:r w:rsidRPr="00683921">
        <w:rPr>
          <w:rFonts w:ascii="Times New Roman" w:hAnsi="Times New Roman" w:cs="Times New Roman"/>
          <w:b/>
          <w:bCs/>
          <w:color w:val="auto"/>
          <w:sz w:val="28"/>
          <w:szCs w:val="28"/>
        </w:rPr>
        <w:t>Recommendations:</w:t>
      </w:r>
      <w:bookmarkEnd w:id="5"/>
    </w:p>
    <w:p w14:paraId="5E7943D4" w14:textId="77777777" w:rsidR="00683921" w:rsidRPr="00683921" w:rsidRDefault="00683921" w:rsidP="0062347A">
      <w:pPr>
        <w:spacing w:line="360" w:lineRule="auto"/>
      </w:pPr>
    </w:p>
    <w:p w14:paraId="755F65FE" w14:textId="461F997E" w:rsidR="0062347A" w:rsidRDefault="00C60C34" w:rsidP="0062347A">
      <w:pPr>
        <w:pStyle w:val="ListParagraph"/>
        <w:numPr>
          <w:ilvl w:val="0"/>
          <w:numId w:val="25"/>
        </w:numPr>
        <w:spacing w:line="360" w:lineRule="auto"/>
        <w:jc w:val="both"/>
      </w:pPr>
      <w:r w:rsidRPr="00B71F0A">
        <w:t xml:space="preserve">Incorporate sexual orientation and gender identity into </w:t>
      </w:r>
      <w:r w:rsidR="001A29EA" w:rsidRPr="00B71F0A">
        <w:t xml:space="preserve">the non-discrimination provision in </w:t>
      </w:r>
      <w:r w:rsidRPr="00B71F0A">
        <w:t xml:space="preserve">Article </w:t>
      </w:r>
      <w:r w:rsidR="004174C2" w:rsidRPr="00B71F0A">
        <w:t>12 (</w:t>
      </w:r>
      <w:r w:rsidR="001A29EA" w:rsidRPr="00B71F0A">
        <w:t xml:space="preserve">2) </w:t>
      </w:r>
      <w:r w:rsidRPr="00B71F0A">
        <w:t xml:space="preserve">of the </w:t>
      </w:r>
      <w:r w:rsidR="001A29EA" w:rsidRPr="00B71F0A">
        <w:t>Co</w:t>
      </w:r>
      <w:r w:rsidRPr="00B71F0A">
        <w:t xml:space="preserve">nstitution </w:t>
      </w:r>
    </w:p>
    <w:p w14:paraId="3288275C" w14:textId="77777777" w:rsidR="0062347A" w:rsidRPr="00B71F0A" w:rsidRDefault="0062347A" w:rsidP="0062347A">
      <w:pPr>
        <w:spacing w:line="360" w:lineRule="auto"/>
        <w:jc w:val="both"/>
      </w:pPr>
    </w:p>
    <w:p w14:paraId="44BBEA55" w14:textId="77777777" w:rsidR="00910EFF" w:rsidRDefault="00910EFF" w:rsidP="0062347A">
      <w:pPr>
        <w:pStyle w:val="Heading1"/>
        <w:spacing w:line="360" w:lineRule="auto"/>
        <w:jc w:val="both"/>
        <w:rPr>
          <w:rFonts w:ascii="Times New Roman" w:hAnsi="Times New Roman" w:cs="Times New Roman"/>
          <w:b/>
          <w:bCs/>
          <w:color w:val="auto"/>
          <w:sz w:val="28"/>
          <w:szCs w:val="28"/>
        </w:rPr>
      </w:pPr>
      <w:bookmarkStart w:id="6" w:name="_Toc187056107"/>
      <w:r w:rsidRPr="00683921">
        <w:rPr>
          <w:rFonts w:ascii="Times New Roman" w:hAnsi="Times New Roman" w:cs="Times New Roman"/>
          <w:b/>
          <w:bCs/>
          <w:color w:val="auto"/>
          <w:sz w:val="28"/>
          <w:szCs w:val="28"/>
        </w:rPr>
        <w:t>Article 2:</w:t>
      </w:r>
      <w:bookmarkEnd w:id="6"/>
      <w:r w:rsidRPr="00683921">
        <w:rPr>
          <w:rFonts w:ascii="Times New Roman" w:hAnsi="Times New Roman" w:cs="Times New Roman"/>
          <w:b/>
          <w:bCs/>
          <w:color w:val="auto"/>
          <w:sz w:val="28"/>
          <w:szCs w:val="28"/>
        </w:rPr>
        <w:t xml:space="preserve"> </w:t>
      </w:r>
    </w:p>
    <w:p w14:paraId="4E189AFA" w14:textId="77777777" w:rsidR="00683921" w:rsidRPr="00683921" w:rsidRDefault="00683921" w:rsidP="0062347A">
      <w:pPr>
        <w:spacing w:line="360" w:lineRule="auto"/>
      </w:pPr>
    </w:p>
    <w:p w14:paraId="7F027DB7" w14:textId="3E6D6C12" w:rsidR="00EE1F94" w:rsidRPr="00B71F0A" w:rsidRDefault="00C60C34" w:rsidP="0062347A">
      <w:pPr>
        <w:pStyle w:val="ListParagraph"/>
        <w:numPr>
          <w:ilvl w:val="0"/>
          <w:numId w:val="24"/>
        </w:numPr>
        <w:spacing w:line="360" w:lineRule="auto"/>
        <w:jc w:val="both"/>
      </w:pPr>
      <w:r w:rsidRPr="00B71F0A">
        <w:t xml:space="preserve">Sri Lanka continues to criminalise </w:t>
      </w:r>
      <w:r w:rsidRPr="00B71F0A">
        <w:rPr>
          <w:lang w:val="en-US"/>
        </w:rPr>
        <w:t>same-sex sexual conduct</w:t>
      </w:r>
      <w:r w:rsidRPr="00B71F0A">
        <w:t>, and e</w:t>
      </w:r>
      <w:r w:rsidR="00910EFF" w:rsidRPr="00B71F0A">
        <w:t xml:space="preserve">fforts to </w:t>
      </w:r>
      <w:r w:rsidR="00910EFF" w:rsidRPr="00B71F0A">
        <w:rPr>
          <w:lang w:val="en-US"/>
        </w:rPr>
        <w:t>decriminalize</w:t>
      </w:r>
      <w:r w:rsidR="00910EFF" w:rsidRPr="00B71F0A">
        <w:rPr>
          <w:rStyle w:val="FootnoteReference"/>
        </w:rPr>
        <w:footnoteReference w:id="13"/>
      </w:r>
      <w:r w:rsidR="00910EFF" w:rsidRPr="00B71F0A">
        <w:t xml:space="preserve">, through </w:t>
      </w:r>
      <w:r w:rsidR="001A29EA" w:rsidRPr="00B71F0A">
        <w:t xml:space="preserve">a </w:t>
      </w:r>
      <w:r w:rsidR="00910EFF" w:rsidRPr="00B71F0A">
        <w:t>Private Member's Bill and the subsequent Supreme Court Special Determination</w:t>
      </w:r>
      <w:r w:rsidR="005A3976" w:rsidRPr="00B71F0A">
        <w:rPr>
          <w:lang w:val="en-US"/>
        </w:rPr>
        <w:t xml:space="preserve"> </w:t>
      </w:r>
      <w:r w:rsidR="00910EFF" w:rsidRPr="00B71F0A">
        <w:t>which affirmed that the Bill aligns with the Constitution</w:t>
      </w:r>
      <w:r w:rsidR="00910EFF" w:rsidRPr="00B71F0A">
        <w:rPr>
          <w:rStyle w:val="FootnoteReference"/>
        </w:rPr>
        <w:footnoteReference w:id="14"/>
      </w:r>
      <w:r w:rsidR="00910EFF" w:rsidRPr="00B71F0A">
        <w:t>, have stalled with no significant progress made since these developments.</w:t>
      </w:r>
    </w:p>
    <w:p w14:paraId="7BB03124" w14:textId="77777777" w:rsidR="00566EF4" w:rsidRPr="00B71F0A" w:rsidRDefault="00566EF4" w:rsidP="0062347A">
      <w:pPr>
        <w:spacing w:line="360" w:lineRule="auto"/>
        <w:jc w:val="both"/>
      </w:pPr>
    </w:p>
    <w:p w14:paraId="0C35FEFD" w14:textId="79B6B816" w:rsidR="00566EF4" w:rsidRPr="00B71F0A" w:rsidRDefault="00EE1F94" w:rsidP="0062347A">
      <w:pPr>
        <w:pStyle w:val="ListParagraph"/>
        <w:numPr>
          <w:ilvl w:val="0"/>
          <w:numId w:val="24"/>
        </w:numPr>
        <w:autoSpaceDE w:val="0"/>
        <w:autoSpaceDN w:val="0"/>
        <w:adjustRightInd w:val="0"/>
        <w:spacing w:line="360" w:lineRule="auto"/>
        <w:jc w:val="both"/>
      </w:pPr>
      <w:r w:rsidRPr="00B71F0A">
        <w:lastRenderedPageBreak/>
        <w:t xml:space="preserve">LBT persons are further discriminated under the </w:t>
      </w:r>
      <w:r w:rsidR="00910EFF" w:rsidRPr="00B71F0A">
        <w:t>Vagrants Ordinance</w:t>
      </w:r>
      <w:r w:rsidR="000B6CA2" w:rsidRPr="00B71F0A">
        <w:rPr>
          <w:lang w:val="en-US"/>
        </w:rPr>
        <w:t xml:space="preserve"> </w:t>
      </w:r>
      <w:r w:rsidR="00910EFF" w:rsidRPr="00B71F0A">
        <w:t xml:space="preserve">which criminalizes </w:t>
      </w:r>
      <w:r w:rsidRPr="00B71F0A">
        <w:t xml:space="preserve">‘gross indecency in public spaces’ </w:t>
      </w:r>
      <w:r w:rsidR="001A29EA" w:rsidRPr="00B71F0A">
        <w:t xml:space="preserve">thus impacting </w:t>
      </w:r>
      <w:r w:rsidR="00910EFF" w:rsidRPr="00B71F0A">
        <w:t xml:space="preserve">the legal framework around </w:t>
      </w:r>
      <w:r w:rsidRPr="00B71F0A">
        <w:t>LBT persons</w:t>
      </w:r>
      <w:r w:rsidR="00910EFF" w:rsidRPr="00B71F0A">
        <w:t xml:space="preserve">. Despite the repeated concern raised by </w:t>
      </w:r>
      <w:r w:rsidR="001A29EA" w:rsidRPr="00B71F0A">
        <w:t xml:space="preserve">the </w:t>
      </w:r>
      <w:r w:rsidR="00910EFF" w:rsidRPr="00B71F0A">
        <w:t xml:space="preserve">CEDAW committee about the discriminatory effect of this Ordinance and recommending its repeal (CEDAW/C/LKA/CO/7, para. 28), CEDAW/C/LKA/CO/8, para. 27 (g), the Ordinance </w:t>
      </w:r>
      <w:r w:rsidR="001A29EA" w:rsidRPr="00B71F0A">
        <w:t>is yet to be</w:t>
      </w:r>
      <w:r w:rsidR="00910EFF" w:rsidRPr="00B71F0A">
        <w:t xml:space="preserve"> repealed</w:t>
      </w:r>
      <w:r w:rsidR="00910EFF" w:rsidRPr="00B71F0A">
        <w:rPr>
          <w:rStyle w:val="FootnoteReference"/>
        </w:rPr>
        <w:footnoteReference w:id="15"/>
      </w:r>
      <w:r w:rsidR="00910EFF" w:rsidRPr="00B71F0A">
        <w:t xml:space="preserve">. </w:t>
      </w:r>
    </w:p>
    <w:p w14:paraId="76F604C5" w14:textId="77777777" w:rsidR="00566EF4" w:rsidRPr="00B71F0A" w:rsidRDefault="00566EF4" w:rsidP="0062347A">
      <w:pPr>
        <w:autoSpaceDE w:val="0"/>
        <w:autoSpaceDN w:val="0"/>
        <w:adjustRightInd w:val="0"/>
        <w:spacing w:line="360" w:lineRule="auto"/>
        <w:jc w:val="both"/>
      </w:pPr>
    </w:p>
    <w:p w14:paraId="5F57C131" w14:textId="05A4615F" w:rsidR="00EE1F94" w:rsidRPr="00B71F0A" w:rsidRDefault="00EE1F94" w:rsidP="0062347A">
      <w:pPr>
        <w:pStyle w:val="ListParagraph"/>
        <w:numPr>
          <w:ilvl w:val="0"/>
          <w:numId w:val="24"/>
        </w:numPr>
        <w:autoSpaceDE w:val="0"/>
        <w:autoSpaceDN w:val="0"/>
        <w:adjustRightInd w:val="0"/>
        <w:spacing w:line="360" w:lineRule="auto"/>
        <w:jc w:val="both"/>
      </w:pPr>
      <w:r w:rsidRPr="00B71F0A">
        <w:t>Sections 365A and the Vagrants Ordinance</w:t>
      </w:r>
      <w:r w:rsidRPr="00B71F0A">
        <w:rPr>
          <w:rStyle w:val="FootnoteReference"/>
        </w:rPr>
        <w:footnoteReference w:id="16"/>
      </w:r>
      <w:r w:rsidRPr="00B71F0A">
        <w:t xml:space="preserve"> impose harsher penalties on same-sex acts compared to heterosexual conduct, contravening Articles 2 and 15 CEDAW. The ambiguous terminology within these laws facilitates arbitrary enforcement and perpetuates discrimination against marginalized groups. CEDAW General Recommendations No. 33 (2015) and No. 28 (2010) highlight the urgent need to eliminate such laws. </w:t>
      </w:r>
    </w:p>
    <w:p w14:paraId="0A8EB502" w14:textId="77777777" w:rsidR="00566EF4" w:rsidRPr="00B71F0A" w:rsidRDefault="00566EF4" w:rsidP="0062347A">
      <w:pPr>
        <w:spacing w:line="360" w:lineRule="auto"/>
        <w:jc w:val="both"/>
      </w:pPr>
    </w:p>
    <w:p w14:paraId="17D01AEF" w14:textId="6DED36AE" w:rsidR="00566EF4" w:rsidRPr="00B71F0A" w:rsidRDefault="00566EF4" w:rsidP="0062347A">
      <w:pPr>
        <w:pStyle w:val="ListParagraph"/>
        <w:numPr>
          <w:ilvl w:val="0"/>
          <w:numId w:val="24"/>
        </w:numPr>
        <w:spacing w:line="360" w:lineRule="auto"/>
        <w:jc w:val="both"/>
      </w:pPr>
      <w:r w:rsidRPr="00B71F0A">
        <w:t>The Independent Expert on Sexual Orientation and Gender Identity (IE SOGI) has described these laws as "tools of social control" that perpetuate harm through their "broad and vague provisions", disproportionately targeting LGBTI individuals and causing severe physical and psychological harm. In his report on the ‘Impact of Colonialism in Violence and Discrimination based on Sexual Orientation and Gender Identity,’ the IE SOGI highlighted how such laws "preserve prevailing gender norms" and "reinforce discriminatory hierarchies using legally sanctioned harassment and arrest of persons characterized as ‘deviant’ by law enforcement.".</w:t>
      </w:r>
      <w:r w:rsidRPr="00B71F0A">
        <w:rPr>
          <w:vertAlign w:val="superscript"/>
        </w:rPr>
        <w:footnoteReference w:id="17"/>
      </w:r>
    </w:p>
    <w:p w14:paraId="449B4B91" w14:textId="77777777" w:rsidR="00EE1F94" w:rsidRPr="00B71F0A" w:rsidRDefault="00EE1F94" w:rsidP="0062347A">
      <w:pPr>
        <w:spacing w:line="360" w:lineRule="auto"/>
        <w:jc w:val="both"/>
      </w:pPr>
    </w:p>
    <w:p w14:paraId="3D61955F" w14:textId="37D76247" w:rsidR="001A29EA" w:rsidRPr="00B71F0A" w:rsidRDefault="00EE1F94" w:rsidP="0062347A">
      <w:pPr>
        <w:pStyle w:val="ListParagraph"/>
        <w:numPr>
          <w:ilvl w:val="0"/>
          <w:numId w:val="24"/>
        </w:numPr>
        <w:spacing w:line="360" w:lineRule="auto"/>
        <w:jc w:val="both"/>
      </w:pPr>
      <w:r w:rsidRPr="00B71F0A">
        <w:t xml:space="preserve">With </w:t>
      </w:r>
      <w:r w:rsidR="001A29EA" w:rsidRPr="00B71F0A">
        <w:t>a new Parliament being elected</w:t>
      </w:r>
      <w:r w:rsidRPr="00B71F0A">
        <w:t xml:space="preserve">, the law to repeal Sections 365 and 365A must be reintroduced. The newly elected government has pledged in its manifesto to prioritize decriminalizing homosexuality by "revising discriminatory laws, including Penal Code </w:t>
      </w:r>
      <w:r w:rsidRPr="00B71F0A">
        <w:lastRenderedPageBreak/>
        <w:t>Sections 365 and 365A,"</w:t>
      </w:r>
      <w:r w:rsidRPr="00B71F0A">
        <w:rPr>
          <w:rStyle w:val="FootnoteReference"/>
        </w:rPr>
        <w:t xml:space="preserve"> </w:t>
      </w:r>
      <w:r w:rsidRPr="00B71F0A">
        <w:rPr>
          <w:rStyle w:val="FootnoteReference"/>
        </w:rPr>
        <w:footnoteReference w:id="18"/>
      </w:r>
      <w:r w:rsidRPr="00B71F0A">
        <w:t xml:space="preserve"> </w:t>
      </w:r>
      <w:r w:rsidR="001A29EA" w:rsidRPr="00B71F0A">
        <w:t>but co</w:t>
      </w:r>
      <w:r w:rsidRPr="00B71F0A">
        <w:t xml:space="preserve">ncrete steps have yet </w:t>
      </w:r>
      <w:r w:rsidR="001A29EA" w:rsidRPr="00B71F0A">
        <w:t xml:space="preserve">to </w:t>
      </w:r>
      <w:r w:rsidRPr="00B71F0A">
        <w:t>be taken to initiate the promised legislative reforms.</w:t>
      </w:r>
    </w:p>
    <w:p w14:paraId="46BC7657" w14:textId="5D8B975D" w:rsidR="00910EFF" w:rsidRDefault="00910EFF" w:rsidP="0062347A">
      <w:pPr>
        <w:pStyle w:val="Heading3"/>
        <w:spacing w:line="360" w:lineRule="auto"/>
        <w:jc w:val="both"/>
        <w:rPr>
          <w:rFonts w:ascii="Times New Roman" w:hAnsi="Times New Roman" w:cs="Times New Roman"/>
          <w:b/>
          <w:bCs/>
          <w:color w:val="auto"/>
          <w:sz w:val="28"/>
          <w:szCs w:val="28"/>
        </w:rPr>
      </w:pPr>
      <w:bookmarkStart w:id="7" w:name="_Toc187056108"/>
      <w:r w:rsidRPr="00683921">
        <w:rPr>
          <w:rFonts w:ascii="Times New Roman" w:hAnsi="Times New Roman" w:cs="Times New Roman"/>
          <w:b/>
          <w:bCs/>
          <w:color w:val="auto"/>
          <w:sz w:val="28"/>
          <w:szCs w:val="28"/>
        </w:rPr>
        <w:t>Recommendations</w:t>
      </w:r>
      <w:r w:rsidR="00683921">
        <w:rPr>
          <w:rFonts w:ascii="Times New Roman" w:hAnsi="Times New Roman" w:cs="Times New Roman"/>
          <w:b/>
          <w:bCs/>
          <w:color w:val="auto"/>
          <w:sz w:val="28"/>
          <w:szCs w:val="28"/>
        </w:rPr>
        <w:t>:</w:t>
      </w:r>
      <w:bookmarkEnd w:id="7"/>
    </w:p>
    <w:p w14:paraId="59E811BF" w14:textId="77777777" w:rsidR="00683921" w:rsidRPr="00683921" w:rsidRDefault="00683921" w:rsidP="0062347A">
      <w:pPr>
        <w:spacing w:line="360" w:lineRule="auto"/>
      </w:pPr>
    </w:p>
    <w:p w14:paraId="3E7D4D10" w14:textId="154DF4BF" w:rsidR="00971648" w:rsidRPr="00B71F0A" w:rsidRDefault="00971648" w:rsidP="0062347A">
      <w:pPr>
        <w:pStyle w:val="ListParagraph"/>
        <w:numPr>
          <w:ilvl w:val="0"/>
          <w:numId w:val="33"/>
        </w:numPr>
        <w:spacing w:line="360" w:lineRule="auto"/>
        <w:jc w:val="both"/>
      </w:pPr>
      <w:r w:rsidRPr="00B71F0A">
        <w:t xml:space="preserve">Urge Sri Lanka to repeal Penal Code Sections 365 and 365A, following the Supreme Court's validation of decriminalization, and </w:t>
      </w:r>
      <w:r w:rsidR="004174C2">
        <w:t>repeal</w:t>
      </w:r>
      <w:r w:rsidR="004174C2" w:rsidRPr="00B71F0A">
        <w:t xml:space="preserve"> </w:t>
      </w:r>
      <w:r w:rsidRPr="00B71F0A">
        <w:t>the Vagrants Ordinance.</w:t>
      </w:r>
    </w:p>
    <w:p w14:paraId="680241A4" w14:textId="77777777" w:rsidR="00971648" w:rsidRPr="00971648" w:rsidRDefault="00971648" w:rsidP="0062347A">
      <w:pPr>
        <w:numPr>
          <w:ilvl w:val="0"/>
          <w:numId w:val="33"/>
        </w:numPr>
        <w:spacing w:line="360" w:lineRule="auto"/>
        <w:jc w:val="both"/>
      </w:pPr>
      <w:r w:rsidRPr="00971648">
        <w:t>Request a clear timeline for introducing and passing decriminalization laws.</w:t>
      </w:r>
    </w:p>
    <w:p w14:paraId="399D20D2" w14:textId="77777777" w:rsidR="00971648" w:rsidRPr="00971648" w:rsidRDefault="00971648" w:rsidP="0062347A">
      <w:pPr>
        <w:numPr>
          <w:ilvl w:val="0"/>
          <w:numId w:val="33"/>
        </w:numPr>
        <w:spacing w:line="360" w:lineRule="auto"/>
        <w:jc w:val="both"/>
      </w:pPr>
      <w:r w:rsidRPr="00971648">
        <w:t>Call for interim measures to prevent arbitrary enforcement and protect LBT persons from harassment and discrimination.</w:t>
      </w:r>
    </w:p>
    <w:p w14:paraId="286560F7" w14:textId="77777777" w:rsidR="00971648" w:rsidRPr="00B71F0A" w:rsidRDefault="00971648" w:rsidP="0062347A">
      <w:pPr>
        <w:spacing w:line="360" w:lineRule="auto"/>
        <w:rPr>
          <w:lang w:val="en-US"/>
        </w:rPr>
      </w:pPr>
    </w:p>
    <w:p w14:paraId="4A9EA316" w14:textId="77777777" w:rsidR="00910EFF" w:rsidRPr="00683921" w:rsidRDefault="00910EFF" w:rsidP="0062347A">
      <w:pPr>
        <w:pStyle w:val="Heading1"/>
        <w:spacing w:line="360" w:lineRule="auto"/>
        <w:jc w:val="both"/>
        <w:rPr>
          <w:rFonts w:ascii="Times New Roman" w:hAnsi="Times New Roman" w:cs="Times New Roman"/>
          <w:b/>
          <w:bCs/>
          <w:color w:val="auto"/>
          <w:sz w:val="28"/>
          <w:szCs w:val="28"/>
        </w:rPr>
      </w:pPr>
      <w:bookmarkStart w:id="8" w:name="_Toc187056109"/>
      <w:r w:rsidRPr="00683921">
        <w:rPr>
          <w:rFonts w:ascii="Times New Roman" w:hAnsi="Times New Roman" w:cs="Times New Roman"/>
          <w:b/>
          <w:bCs/>
          <w:color w:val="auto"/>
          <w:sz w:val="28"/>
          <w:szCs w:val="28"/>
        </w:rPr>
        <w:t>Article 3:</w:t>
      </w:r>
      <w:bookmarkEnd w:id="8"/>
      <w:r w:rsidRPr="00683921">
        <w:rPr>
          <w:rFonts w:ascii="Times New Roman" w:hAnsi="Times New Roman" w:cs="Times New Roman"/>
          <w:b/>
          <w:bCs/>
          <w:color w:val="auto"/>
          <w:sz w:val="28"/>
          <w:szCs w:val="28"/>
        </w:rPr>
        <w:t xml:space="preserve"> </w:t>
      </w:r>
    </w:p>
    <w:p w14:paraId="3F4009D1" w14:textId="77777777" w:rsidR="00683921" w:rsidRPr="00683921" w:rsidRDefault="00683921" w:rsidP="0062347A">
      <w:pPr>
        <w:spacing w:line="360" w:lineRule="auto"/>
      </w:pPr>
    </w:p>
    <w:p w14:paraId="2E957C65" w14:textId="6AB2F6EF" w:rsidR="0092308B" w:rsidRPr="00B71F0A" w:rsidRDefault="00910EFF" w:rsidP="0062347A">
      <w:pPr>
        <w:pStyle w:val="ListParagraph"/>
        <w:numPr>
          <w:ilvl w:val="0"/>
          <w:numId w:val="24"/>
        </w:numPr>
        <w:spacing w:line="360" w:lineRule="auto"/>
        <w:jc w:val="both"/>
      </w:pPr>
      <w:r w:rsidRPr="00B71F0A">
        <w:t>Sri Lanka's key measures for women's empowerment include</w:t>
      </w:r>
      <w:r w:rsidR="005F531E" w:rsidRPr="00B71F0A">
        <w:t xml:space="preserve"> the “National Policy on Gender Equality and Women’s Empowerment”</w:t>
      </w:r>
      <w:r w:rsidR="005F531E" w:rsidRPr="00B71F0A">
        <w:rPr>
          <w:rStyle w:val="FootnoteReference"/>
          <w:b/>
          <w:bCs/>
        </w:rPr>
        <w:t xml:space="preserve"> </w:t>
      </w:r>
      <w:r w:rsidR="005F531E" w:rsidRPr="00B71F0A">
        <w:rPr>
          <w:rStyle w:val="FootnoteReference"/>
          <w:b/>
          <w:bCs/>
        </w:rPr>
        <w:footnoteReference w:id="19"/>
      </w:r>
      <w:r w:rsidR="005F531E" w:rsidRPr="00B71F0A">
        <w:t xml:space="preserve"> </w:t>
      </w:r>
      <w:r w:rsidR="004174C2">
        <w:t>which focuses</w:t>
      </w:r>
      <w:r w:rsidR="004174C2" w:rsidRPr="00B71F0A">
        <w:t xml:space="preserve"> </w:t>
      </w:r>
      <w:r w:rsidRPr="00B71F0A">
        <w:t xml:space="preserve">on </w:t>
      </w:r>
      <w:r w:rsidR="005F531E" w:rsidRPr="00B71F0A">
        <w:t xml:space="preserve">eight thematic areas, including Identity and Autonomy, Economic Empowerment and Productive Employment, Equality in Decision-making, Freedom from Gender-based Violence, and Access to Justice. </w:t>
      </w:r>
      <w:r w:rsidR="0092308B" w:rsidRPr="00B71F0A">
        <w:rPr>
          <w:rStyle w:val="FootnoteReference"/>
        </w:rPr>
        <w:footnoteReference w:id="20"/>
      </w:r>
    </w:p>
    <w:p w14:paraId="66246455" w14:textId="77777777" w:rsidR="001E470E" w:rsidRPr="00B71F0A" w:rsidRDefault="001E470E" w:rsidP="0062347A">
      <w:pPr>
        <w:spacing w:line="360" w:lineRule="auto"/>
        <w:jc w:val="both"/>
        <w:rPr>
          <w:lang w:val="en-US"/>
        </w:rPr>
      </w:pPr>
    </w:p>
    <w:p w14:paraId="47E2DD44" w14:textId="6CC8FCCD" w:rsidR="00545B7E" w:rsidRPr="00B71F0A" w:rsidRDefault="00545B7E" w:rsidP="0062347A">
      <w:pPr>
        <w:pStyle w:val="ListParagraph"/>
        <w:numPr>
          <w:ilvl w:val="0"/>
          <w:numId w:val="24"/>
        </w:numPr>
        <w:spacing w:line="360" w:lineRule="auto"/>
        <w:jc w:val="both"/>
      </w:pPr>
      <w:r w:rsidRPr="00B71F0A">
        <w:t xml:space="preserve">The Women Empowerment Act, No. 37 of 2024, aims to align with CEDAW obligations by establishing a National Commission on Women and an Ombudsman for Women’s Rights. </w:t>
      </w:r>
      <w:r w:rsidR="00DF1236" w:rsidRPr="00B71F0A">
        <w:t xml:space="preserve">It </w:t>
      </w:r>
      <w:r w:rsidRPr="00B71F0A">
        <w:t>mand</w:t>
      </w:r>
      <w:r w:rsidR="00DF1236" w:rsidRPr="00B71F0A">
        <w:t xml:space="preserve">ates </w:t>
      </w:r>
      <w:r w:rsidRPr="00B71F0A">
        <w:t>the development of a national women’s empowerment policy. The Commission can receive complaints, intervene in court cases, recommend legal reforms, and promote women’s rights awareness</w:t>
      </w:r>
      <w:r w:rsidR="00DF1236" w:rsidRPr="00B71F0A">
        <w:t xml:space="preserve">, support by a </w:t>
      </w:r>
      <w:r w:rsidRPr="00B71F0A">
        <w:t>National Fund for Women</w:t>
      </w:r>
      <w:r w:rsidR="00DF1236" w:rsidRPr="00B71F0A">
        <w:t>. Members of the Commission have yet to be appointed.</w:t>
      </w:r>
      <w:r w:rsidR="001E470E" w:rsidRPr="00B71F0A">
        <w:rPr>
          <w:lang w:val="en-US"/>
        </w:rPr>
        <w:t xml:space="preserve"> </w:t>
      </w:r>
      <w:r w:rsidRPr="00B71F0A">
        <w:t xml:space="preserve">The Act notably addresses gender and sexual orientation discrimination, reflecting the impact of the CEDAW Committee's decision in </w:t>
      </w:r>
      <w:r w:rsidR="00DF1236" w:rsidRPr="00B71F0A">
        <w:rPr>
          <w:i/>
          <w:iCs/>
        </w:rPr>
        <w:t xml:space="preserve">Flamer-Caldera v. Sri Lanka (CEDAW/C/81/D/134/2018). </w:t>
      </w:r>
    </w:p>
    <w:p w14:paraId="2EBAF36E" w14:textId="77777777" w:rsidR="001E470E" w:rsidRPr="00B71F0A" w:rsidRDefault="001E470E" w:rsidP="0062347A">
      <w:pPr>
        <w:pStyle w:val="ListParagraph"/>
        <w:spacing w:line="360" w:lineRule="auto"/>
      </w:pPr>
    </w:p>
    <w:p w14:paraId="3740B118" w14:textId="048EE497" w:rsidR="00DF1236" w:rsidRPr="00B71F0A" w:rsidRDefault="00DF1236" w:rsidP="0062347A">
      <w:pPr>
        <w:pStyle w:val="ListParagraph"/>
        <w:numPr>
          <w:ilvl w:val="0"/>
          <w:numId w:val="24"/>
        </w:numPr>
        <w:spacing w:line="360" w:lineRule="auto"/>
        <w:jc w:val="both"/>
      </w:pPr>
      <w:r w:rsidRPr="00B71F0A">
        <w:lastRenderedPageBreak/>
        <w:t xml:space="preserve">In March 2022, the CEDAW Committee delivered a landmark ruling in </w:t>
      </w:r>
      <w:r w:rsidRPr="00B71F0A">
        <w:rPr>
          <w:b/>
          <w:bCs/>
        </w:rPr>
        <w:t>Rosanna Flamer-Caldera v. Sri Lanka</w:t>
      </w:r>
      <w:r w:rsidRPr="00B71F0A">
        <w:rPr>
          <w:rStyle w:val="FootnoteReference"/>
          <w:b/>
          <w:bCs/>
        </w:rPr>
        <w:footnoteReference w:id="21"/>
      </w:r>
      <w:r w:rsidRPr="00B71F0A">
        <w:t xml:space="preserve">, asserting that the criminalization of consensual same-sex sexual conduct under Section 365A of the Sri Lankan Penal Code violated </w:t>
      </w:r>
      <w:r w:rsidRPr="00B71F0A">
        <w:rPr>
          <w:b/>
          <w:bCs/>
        </w:rPr>
        <w:t>Article 2</w:t>
      </w:r>
      <w:r w:rsidRPr="00B71F0A">
        <w:t xml:space="preserve"> CEDAW.</w:t>
      </w:r>
      <w:r w:rsidR="001E470E" w:rsidRPr="00B71F0A">
        <w:rPr>
          <w:lang w:val="en-US"/>
        </w:rPr>
        <w:t xml:space="preserve"> </w:t>
      </w:r>
      <w:r w:rsidRPr="00B71F0A">
        <w:t xml:space="preserve">The CEDAW Committee found that Flamer-Caldera had been subjected to systemic gender-based discrimination and violence due to her sexual orientation. It further highlighted that the Sri Lankan authorities had failed to uphold her right to live free from gender-based violence, as guaranteed under </w:t>
      </w:r>
      <w:r w:rsidRPr="00B71F0A">
        <w:rPr>
          <w:b/>
          <w:bCs/>
        </w:rPr>
        <w:t>Articles 1 and 2</w:t>
      </w:r>
      <w:r w:rsidRPr="00B71F0A">
        <w:t xml:space="preserve"> of CEDAW. The Committee also reaffirmed that non-heterosexual relationships fall within the scope of the </w:t>
      </w:r>
      <w:r w:rsidRPr="00B71F0A">
        <w:rPr>
          <w:b/>
          <w:bCs/>
        </w:rPr>
        <w:t>right to marriage and family relations</w:t>
      </w:r>
      <w:r w:rsidRPr="00B71F0A">
        <w:t xml:space="preserve"> as outlined in </w:t>
      </w:r>
      <w:r w:rsidRPr="00B71F0A">
        <w:rPr>
          <w:b/>
          <w:bCs/>
        </w:rPr>
        <w:t>Article 16</w:t>
      </w:r>
      <w:r w:rsidRPr="00B71F0A">
        <w:t xml:space="preserve"> of the Convention, thereby calling for the recognition of diverse family structures.</w:t>
      </w:r>
      <w:r w:rsidRPr="00B71F0A">
        <w:rPr>
          <w:rStyle w:val="FootnoteReference"/>
        </w:rPr>
        <w:t xml:space="preserve"> </w:t>
      </w:r>
      <w:r w:rsidRPr="00B71F0A">
        <w:rPr>
          <w:rStyle w:val="FootnoteReference"/>
        </w:rPr>
        <w:footnoteReference w:id="22"/>
      </w:r>
    </w:p>
    <w:p w14:paraId="47D6A9D4" w14:textId="77777777" w:rsidR="00DF1236" w:rsidRPr="00B71F0A" w:rsidRDefault="00DF1236" w:rsidP="0062347A">
      <w:pPr>
        <w:tabs>
          <w:tab w:val="left" w:pos="1843"/>
        </w:tabs>
        <w:spacing w:line="360" w:lineRule="auto"/>
        <w:jc w:val="both"/>
      </w:pPr>
    </w:p>
    <w:p w14:paraId="113E0821" w14:textId="43E53727" w:rsidR="00DF1236" w:rsidRPr="00B71F0A" w:rsidRDefault="00DF1236" w:rsidP="0062347A">
      <w:pPr>
        <w:pStyle w:val="ListParagraph"/>
        <w:numPr>
          <w:ilvl w:val="0"/>
          <w:numId w:val="24"/>
        </w:numPr>
        <w:tabs>
          <w:tab w:val="left" w:pos="1843"/>
        </w:tabs>
        <w:spacing w:line="360" w:lineRule="auto"/>
        <w:jc w:val="both"/>
      </w:pPr>
      <w:r w:rsidRPr="00B71F0A">
        <w:t xml:space="preserve">Despite the CEDAW Committee raising the issue [CEDAW/C/LKA/Q/9, para. 19(a)], specifically requesting the State to provide information on the steps taken to decriminalize same-sex intercourse in light of the Committee's decision in </w:t>
      </w:r>
      <w:r w:rsidRPr="00B71F0A">
        <w:rPr>
          <w:i/>
          <w:iCs/>
        </w:rPr>
        <w:t xml:space="preserve">Flamer-Caldera v. Sri Lanka, </w:t>
      </w:r>
      <w:r w:rsidRPr="00B71F0A">
        <w:t xml:space="preserve">the State has </w:t>
      </w:r>
      <w:r w:rsidR="003B167B" w:rsidRPr="00B71F0A">
        <w:t>yet to respond.</w:t>
      </w:r>
      <w:r w:rsidRPr="00B71F0A">
        <w:t xml:space="preserve"> </w:t>
      </w:r>
    </w:p>
    <w:p w14:paraId="13CA92DD" w14:textId="77777777" w:rsidR="00DF1236" w:rsidRPr="00B71F0A" w:rsidRDefault="00DF1236" w:rsidP="0062347A">
      <w:pPr>
        <w:tabs>
          <w:tab w:val="left" w:pos="1843"/>
        </w:tabs>
        <w:spacing w:line="360" w:lineRule="auto"/>
        <w:jc w:val="both"/>
      </w:pPr>
    </w:p>
    <w:p w14:paraId="59E8FD74" w14:textId="4F3AB46F" w:rsidR="00910EFF" w:rsidRDefault="00910EFF" w:rsidP="0062347A">
      <w:pPr>
        <w:pStyle w:val="Heading3"/>
        <w:spacing w:line="360" w:lineRule="auto"/>
        <w:jc w:val="both"/>
        <w:rPr>
          <w:rFonts w:ascii="Times New Roman" w:hAnsi="Times New Roman" w:cs="Times New Roman"/>
          <w:b/>
          <w:bCs/>
          <w:color w:val="auto"/>
          <w:sz w:val="28"/>
          <w:szCs w:val="28"/>
        </w:rPr>
      </w:pPr>
      <w:bookmarkStart w:id="9" w:name="_Toc187056110"/>
      <w:r w:rsidRPr="00683921">
        <w:rPr>
          <w:rFonts w:ascii="Times New Roman" w:hAnsi="Times New Roman" w:cs="Times New Roman"/>
          <w:b/>
          <w:bCs/>
          <w:color w:val="auto"/>
          <w:sz w:val="28"/>
          <w:szCs w:val="28"/>
        </w:rPr>
        <w:t>Recommendations</w:t>
      </w:r>
      <w:r w:rsidR="00683921">
        <w:rPr>
          <w:rFonts w:ascii="Times New Roman" w:hAnsi="Times New Roman" w:cs="Times New Roman"/>
          <w:b/>
          <w:bCs/>
          <w:color w:val="auto"/>
          <w:sz w:val="28"/>
          <w:szCs w:val="28"/>
        </w:rPr>
        <w:t>:</w:t>
      </w:r>
      <w:bookmarkEnd w:id="9"/>
    </w:p>
    <w:p w14:paraId="061B39F8" w14:textId="77777777" w:rsidR="00683921" w:rsidRPr="00683921" w:rsidRDefault="00683921" w:rsidP="0062347A">
      <w:pPr>
        <w:spacing w:line="360" w:lineRule="auto"/>
      </w:pPr>
    </w:p>
    <w:p w14:paraId="11175F8B" w14:textId="66322CC5" w:rsidR="00F6554D" w:rsidRPr="00B71F0A" w:rsidRDefault="00F6554D" w:rsidP="0062347A">
      <w:pPr>
        <w:pStyle w:val="ListParagraph"/>
        <w:numPr>
          <w:ilvl w:val="0"/>
          <w:numId w:val="20"/>
        </w:numPr>
        <w:spacing w:line="360" w:lineRule="auto"/>
        <w:jc w:val="both"/>
      </w:pPr>
      <w:r w:rsidRPr="00B71F0A">
        <w:t>Expedite the appointment of members to the National Commission on Women and the Ombudsman for Women’s Rights to operationalize the Women Empowerment Act.</w:t>
      </w:r>
    </w:p>
    <w:p w14:paraId="0332980F" w14:textId="702DF5B3" w:rsidR="00910EFF" w:rsidRDefault="00F6554D" w:rsidP="0062347A">
      <w:pPr>
        <w:pStyle w:val="ListParagraph"/>
        <w:numPr>
          <w:ilvl w:val="0"/>
          <w:numId w:val="20"/>
        </w:numPr>
        <w:spacing w:line="360" w:lineRule="auto"/>
        <w:jc w:val="both"/>
      </w:pPr>
      <w:r w:rsidRPr="00B71F0A">
        <w:t>Allocate adequate resources for the National Fund for Women to support implementation of gender equality initiatives.</w:t>
      </w:r>
    </w:p>
    <w:p w14:paraId="6B748A69" w14:textId="77777777" w:rsidR="0062347A" w:rsidRPr="00B71F0A" w:rsidRDefault="0062347A" w:rsidP="0062347A">
      <w:pPr>
        <w:spacing w:line="360" w:lineRule="auto"/>
        <w:jc w:val="both"/>
      </w:pPr>
    </w:p>
    <w:p w14:paraId="146DFEAE" w14:textId="77777777" w:rsidR="00910EFF" w:rsidRDefault="00910EFF" w:rsidP="0062347A">
      <w:pPr>
        <w:pStyle w:val="Heading1"/>
        <w:spacing w:line="360" w:lineRule="auto"/>
        <w:jc w:val="both"/>
        <w:rPr>
          <w:rFonts w:ascii="Times New Roman" w:hAnsi="Times New Roman" w:cs="Times New Roman"/>
          <w:b/>
          <w:bCs/>
          <w:color w:val="auto"/>
          <w:sz w:val="28"/>
          <w:szCs w:val="28"/>
        </w:rPr>
      </w:pPr>
      <w:bookmarkStart w:id="10" w:name="_Toc187056111"/>
      <w:r w:rsidRPr="00683921">
        <w:rPr>
          <w:rFonts w:ascii="Times New Roman" w:hAnsi="Times New Roman" w:cs="Times New Roman"/>
          <w:b/>
          <w:bCs/>
          <w:color w:val="auto"/>
          <w:sz w:val="28"/>
          <w:szCs w:val="28"/>
        </w:rPr>
        <w:t>Article 5:</w:t>
      </w:r>
      <w:bookmarkEnd w:id="10"/>
      <w:r w:rsidRPr="00683921">
        <w:rPr>
          <w:rFonts w:ascii="Times New Roman" w:hAnsi="Times New Roman" w:cs="Times New Roman"/>
          <w:b/>
          <w:bCs/>
          <w:color w:val="auto"/>
          <w:sz w:val="28"/>
          <w:szCs w:val="28"/>
        </w:rPr>
        <w:t xml:space="preserve"> </w:t>
      </w:r>
    </w:p>
    <w:p w14:paraId="2DD3356E" w14:textId="77777777" w:rsidR="00683921" w:rsidRPr="00683921" w:rsidRDefault="00683921" w:rsidP="0062347A">
      <w:pPr>
        <w:spacing w:line="360" w:lineRule="auto"/>
      </w:pPr>
    </w:p>
    <w:p w14:paraId="4ED309E9" w14:textId="77777777" w:rsidR="001E470E" w:rsidRPr="00B71F0A" w:rsidRDefault="00566EF4" w:rsidP="0062347A">
      <w:pPr>
        <w:pStyle w:val="ListParagraph"/>
        <w:numPr>
          <w:ilvl w:val="0"/>
          <w:numId w:val="24"/>
        </w:numPr>
        <w:spacing w:line="360" w:lineRule="auto"/>
        <w:jc w:val="both"/>
      </w:pPr>
      <w:r w:rsidRPr="00B71F0A">
        <w:t>In the current context of Sri Lanka, traditional gender roles and stereotypes perpetuate stigma and violence against LBT women, normalizing abuse and unequal treatment</w:t>
      </w:r>
      <w:r w:rsidR="001E470E" w:rsidRPr="00B71F0A">
        <w:rPr>
          <w:lang w:val="en-US"/>
        </w:rPr>
        <w:t>:</w:t>
      </w:r>
    </w:p>
    <w:p w14:paraId="7BDA20DA" w14:textId="77777777" w:rsidR="001E470E" w:rsidRPr="00B71F0A" w:rsidRDefault="001E470E" w:rsidP="0062347A">
      <w:pPr>
        <w:pStyle w:val="ListParagraph"/>
        <w:spacing w:line="360" w:lineRule="auto"/>
        <w:jc w:val="both"/>
        <w:rPr>
          <w:lang w:val="en-US"/>
        </w:rPr>
      </w:pPr>
    </w:p>
    <w:p w14:paraId="36A67BE0" w14:textId="77777777" w:rsidR="001E470E" w:rsidRPr="00B71F0A" w:rsidRDefault="00DF1236" w:rsidP="0062347A">
      <w:pPr>
        <w:pStyle w:val="ListParagraph"/>
        <w:spacing w:line="360" w:lineRule="auto"/>
        <w:jc w:val="both"/>
        <w:rPr>
          <w:lang w:val="en-US"/>
        </w:rPr>
      </w:pPr>
      <w:r w:rsidRPr="00B71F0A">
        <w:lastRenderedPageBreak/>
        <w:t>Testimony:</w:t>
      </w:r>
      <w:r w:rsidRPr="00B71F0A">
        <w:rPr>
          <w:rStyle w:val="FootnoteReference"/>
        </w:rPr>
        <w:footnoteReference w:id="23"/>
      </w:r>
      <w:r w:rsidRPr="00B71F0A">
        <w:t xml:space="preserve"> Hasanthi, a 45-year-old lesbian woman from Maharagama, shares a troubling incident highlighting the persistent discrimination faced by same-sex couples. While taking a walk with her partner, workers nearby mocked their relationship, saying, </w:t>
      </w:r>
      <w:r w:rsidRPr="00B71F0A">
        <w:rPr>
          <w:i/>
          <w:iCs/>
        </w:rPr>
        <w:t>"Girls can handle it, but how about women? Tomorrow or the next day, the police will come to deal with this."</w:t>
      </w:r>
      <w:r w:rsidR="007910EA" w:rsidRPr="00B71F0A">
        <w:t xml:space="preserve"> </w:t>
      </w:r>
      <w:r w:rsidRPr="00B71F0A">
        <w:t xml:space="preserve">Despite trying to ignore the remarks, the couple endured further humiliation as they walked past, leaving Hasanthi feeling ashamed and questioning, </w:t>
      </w:r>
      <w:r w:rsidRPr="00B71F0A">
        <w:rPr>
          <w:i/>
          <w:iCs/>
        </w:rPr>
        <w:t>"Why should we have to live our lives hiding from the world?"</w:t>
      </w:r>
      <w:r w:rsidR="007910EA" w:rsidRPr="00B71F0A">
        <w:t xml:space="preserve"> </w:t>
      </w:r>
    </w:p>
    <w:p w14:paraId="73067C6C" w14:textId="77777777" w:rsidR="001E470E" w:rsidRPr="00B71F0A" w:rsidRDefault="001E470E" w:rsidP="0062347A">
      <w:pPr>
        <w:pStyle w:val="ListParagraph"/>
        <w:spacing w:line="360" w:lineRule="auto"/>
        <w:jc w:val="both"/>
        <w:rPr>
          <w:lang w:val="en-US"/>
        </w:rPr>
      </w:pPr>
    </w:p>
    <w:p w14:paraId="412870F6" w14:textId="77777777" w:rsidR="001E470E" w:rsidRPr="00B71F0A" w:rsidRDefault="00F414E7" w:rsidP="0062347A">
      <w:pPr>
        <w:pStyle w:val="ListParagraph"/>
        <w:spacing w:line="360" w:lineRule="auto"/>
        <w:jc w:val="both"/>
        <w:rPr>
          <w:lang w:val="en-US"/>
        </w:rPr>
      </w:pPr>
      <w:r w:rsidRPr="00B71F0A">
        <w:t>Testimony:</w:t>
      </w:r>
      <w:r w:rsidRPr="00B71F0A">
        <w:rPr>
          <w:rStyle w:val="FootnoteReference"/>
        </w:rPr>
        <w:footnoteReference w:id="24"/>
      </w:r>
      <w:r w:rsidRPr="00B71F0A">
        <w:t xml:space="preserve"> Mallika, a transgender woman from Kelaniya, faces systemic discrimination, reflecting the challenges experienced by many LGBTQI individuals in Sri Lanka. While waiting for a train with friends, a station manager approached them and said, “Why are you standing here? Go away, you freaks. Don’t stand here, leave, go to the back of the platform.” His remarks drew stares from others, humiliating Mallika and her friends. When a friend questioned his behavior, he replied, “We are better men than you. You’re not women, you’re just freaks. Leave now, or I’ll call security and have you thrown out.” </w:t>
      </w:r>
    </w:p>
    <w:p w14:paraId="6E79880C" w14:textId="77777777" w:rsidR="001E470E" w:rsidRPr="00B71F0A" w:rsidRDefault="001E470E" w:rsidP="0062347A">
      <w:pPr>
        <w:pStyle w:val="ListParagraph"/>
        <w:spacing w:line="360" w:lineRule="auto"/>
        <w:jc w:val="both"/>
        <w:rPr>
          <w:lang w:val="en-US"/>
        </w:rPr>
      </w:pPr>
    </w:p>
    <w:p w14:paraId="5F14D29D" w14:textId="47825812" w:rsidR="00F414E7" w:rsidRPr="00B71F0A" w:rsidRDefault="00F414E7" w:rsidP="0062347A">
      <w:pPr>
        <w:pStyle w:val="ListParagraph"/>
        <w:spacing w:line="360" w:lineRule="auto"/>
        <w:jc w:val="both"/>
      </w:pPr>
      <w:r w:rsidRPr="00B71F0A">
        <w:t>Th</w:t>
      </w:r>
      <w:r w:rsidR="00D927CA" w:rsidRPr="00B71F0A">
        <w:t>ese</w:t>
      </w:r>
      <w:r w:rsidRPr="00B71F0A">
        <w:t xml:space="preserve"> incidents underscore the continued societal stigma against lesbian women in Sri Lanka, showing how little has changed despite international rulings like </w:t>
      </w:r>
      <w:r w:rsidRPr="00B71F0A">
        <w:rPr>
          <w:i/>
          <w:iCs/>
        </w:rPr>
        <w:t>Flamer-Caldera v. Sri Lanka</w:t>
      </w:r>
      <w:r w:rsidRPr="00B71F0A">
        <w:t>.</w:t>
      </w:r>
    </w:p>
    <w:p w14:paraId="2BB16881" w14:textId="77777777" w:rsidR="00DF1236" w:rsidRPr="00B71F0A" w:rsidRDefault="00DF1236" w:rsidP="0062347A">
      <w:pPr>
        <w:tabs>
          <w:tab w:val="left" w:pos="1843"/>
        </w:tabs>
        <w:spacing w:line="360" w:lineRule="auto"/>
        <w:jc w:val="both"/>
      </w:pPr>
    </w:p>
    <w:p w14:paraId="64B0285D" w14:textId="5ADFDD6C" w:rsidR="007910EA" w:rsidRPr="00B71F0A" w:rsidRDefault="00DF1236" w:rsidP="0062347A">
      <w:pPr>
        <w:pStyle w:val="ListParagraph"/>
        <w:numPr>
          <w:ilvl w:val="0"/>
          <w:numId w:val="24"/>
        </w:numPr>
        <w:tabs>
          <w:tab w:val="left" w:pos="1843"/>
        </w:tabs>
        <w:spacing w:line="360" w:lineRule="auto"/>
        <w:jc w:val="both"/>
      </w:pPr>
      <w:r w:rsidRPr="00B71F0A">
        <w:t xml:space="preserve">The State has made no substantive progress in addressing these violations. The failure to safeguard LBT women from violence, as outlined in </w:t>
      </w:r>
      <w:r w:rsidRPr="00B71F0A">
        <w:rPr>
          <w:b/>
          <w:bCs/>
        </w:rPr>
        <w:t>General Recommendation No. 19 (1992)</w:t>
      </w:r>
      <w:r w:rsidRPr="00B71F0A">
        <w:t xml:space="preserve"> and </w:t>
      </w:r>
      <w:r w:rsidRPr="00B71F0A">
        <w:rPr>
          <w:b/>
          <w:bCs/>
        </w:rPr>
        <w:t>General Recommendation No. 33 (2015)</w:t>
      </w:r>
      <w:r w:rsidRPr="00B71F0A">
        <w:t xml:space="preserve">, remains unaddressed. Similarly, the call for comprehensive anti-discrimination legislation and support systems in line with </w:t>
      </w:r>
      <w:r w:rsidRPr="00B71F0A">
        <w:rPr>
          <w:b/>
          <w:bCs/>
        </w:rPr>
        <w:t>General Recommendation No. 35 (2017)</w:t>
      </w:r>
      <w:r w:rsidRPr="00B71F0A">
        <w:t xml:space="preserve">, Discriminatory laws, including the criminalization of same-sex sexual conduct under </w:t>
      </w:r>
      <w:r w:rsidRPr="00B71F0A">
        <w:rPr>
          <w:b/>
          <w:bCs/>
        </w:rPr>
        <w:t>Sections 365 and 365A of the Penal Code</w:t>
      </w:r>
      <w:r w:rsidRPr="00B71F0A">
        <w:t xml:space="preserve">, continue to perpetuate systemic violence and inequality, directly contravening </w:t>
      </w:r>
      <w:r w:rsidRPr="00B71F0A">
        <w:rPr>
          <w:b/>
          <w:bCs/>
        </w:rPr>
        <w:t>Articles 1, 2, 5, and 16</w:t>
      </w:r>
      <w:r w:rsidRPr="00B71F0A">
        <w:t xml:space="preserve"> of </w:t>
      </w:r>
      <w:r w:rsidR="00566EF4" w:rsidRPr="00B71F0A">
        <w:t>CEDAW</w:t>
      </w:r>
      <w:r w:rsidRPr="00B71F0A">
        <w:t>.</w:t>
      </w:r>
    </w:p>
    <w:p w14:paraId="0A3A91E1" w14:textId="77777777" w:rsidR="00D927CA" w:rsidRPr="00B71F0A" w:rsidRDefault="00D927CA" w:rsidP="0062347A">
      <w:pPr>
        <w:tabs>
          <w:tab w:val="left" w:pos="1843"/>
        </w:tabs>
        <w:spacing w:line="360" w:lineRule="auto"/>
        <w:jc w:val="both"/>
      </w:pPr>
    </w:p>
    <w:p w14:paraId="13CAC339" w14:textId="40ED9C35" w:rsidR="007910EA" w:rsidRPr="00B71F0A" w:rsidRDefault="007910EA" w:rsidP="0062347A">
      <w:pPr>
        <w:pStyle w:val="ListParagraph"/>
        <w:numPr>
          <w:ilvl w:val="0"/>
          <w:numId w:val="24"/>
        </w:numPr>
        <w:spacing w:line="360" w:lineRule="auto"/>
        <w:jc w:val="both"/>
      </w:pPr>
      <w:r w:rsidRPr="00B71F0A">
        <w:t xml:space="preserve">Further instances perpetuating marginalisation contravening Article 5(a) of CEDAW is highlighted in the National Policy on Gender Equality and Women’s Empowerment </w:t>
      </w:r>
      <w:r w:rsidRPr="00B71F0A">
        <w:lastRenderedPageBreak/>
        <w:t xml:space="preserve">noting the omissions in poverty and food security data that fail to account for </w:t>
      </w:r>
      <w:r w:rsidR="00C2182F" w:rsidRPr="00B71F0A">
        <w:t>intersectionality’s</w:t>
      </w:r>
      <w:r w:rsidRPr="00B71F0A">
        <w:t xml:space="preserve"> such as sexual orientation and gender identity.</w:t>
      </w:r>
      <w:r w:rsidRPr="00B71F0A">
        <w:rPr>
          <w:rStyle w:val="FootnoteReference"/>
          <w:b/>
          <w:bCs/>
        </w:rPr>
        <w:footnoteReference w:id="25"/>
      </w:r>
    </w:p>
    <w:p w14:paraId="2252DF68" w14:textId="77777777" w:rsidR="00DF1236" w:rsidRPr="00B71F0A" w:rsidRDefault="00DF1236" w:rsidP="0062347A">
      <w:pPr>
        <w:spacing w:line="360" w:lineRule="auto"/>
        <w:jc w:val="both"/>
      </w:pPr>
    </w:p>
    <w:p w14:paraId="7E3822EE" w14:textId="64C4244A" w:rsidR="00910EFF" w:rsidRPr="00683921" w:rsidRDefault="00910EFF" w:rsidP="0062347A">
      <w:pPr>
        <w:pStyle w:val="Heading3"/>
        <w:spacing w:line="360" w:lineRule="auto"/>
        <w:jc w:val="both"/>
        <w:rPr>
          <w:rFonts w:ascii="Times New Roman" w:hAnsi="Times New Roman" w:cs="Times New Roman"/>
          <w:b/>
          <w:bCs/>
          <w:color w:val="auto"/>
          <w:sz w:val="28"/>
          <w:szCs w:val="28"/>
          <w:lang w:val="en-US"/>
        </w:rPr>
      </w:pPr>
      <w:bookmarkStart w:id="11" w:name="_Toc187056112"/>
      <w:r w:rsidRPr="00683921">
        <w:rPr>
          <w:rFonts w:ascii="Times New Roman" w:hAnsi="Times New Roman" w:cs="Times New Roman"/>
          <w:b/>
          <w:bCs/>
          <w:color w:val="auto"/>
          <w:sz w:val="28"/>
          <w:szCs w:val="28"/>
        </w:rPr>
        <w:t>Recommendations</w:t>
      </w:r>
      <w:r w:rsidR="00683921">
        <w:rPr>
          <w:rFonts w:ascii="Times New Roman" w:hAnsi="Times New Roman" w:cs="Times New Roman"/>
          <w:b/>
          <w:bCs/>
          <w:color w:val="auto"/>
          <w:sz w:val="28"/>
          <w:szCs w:val="28"/>
        </w:rPr>
        <w:t>:</w:t>
      </w:r>
      <w:bookmarkEnd w:id="11"/>
    </w:p>
    <w:p w14:paraId="3EEB11FB" w14:textId="77777777" w:rsidR="00996DAD" w:rsidRPr="00B71F0A" w:rsidRDefault="00996DAD" w:rsidP="0062347A">
      <w:pPr>
        <w:spacing w:line="360" w:lineRule="auto"/>
        <w:rPr>
          <w:lang w:val="en-US"/>
        </w:rPr>
      </w:pPr>
    </w:p>
    <w:p w14:paraId="18EE4597" w14:textId="237AD842" w:rsidR="00996DAD" w:rsidRPr="00B71F0A" w:rsidRDefault="00996DAD" w:rsidP="0062347A">
      <w:pPr>
        <w:pStyle w:val="ListParagraph"/>
        <w:numPr>
          <w:ilvl w:val="0"/>
          <w:numId w:val="21"/>
        </w:numPr>
        <w:spacing w:line="360" w:lineRule="auto"/>
        <w:jc w:val="both"/>
        <w:rPr>
          <w:lang w:val="en-US"/>
        </w:rPr>
      </w:pPr>
      <w:r w:rsidRPr="00B71F0A">
        <w:t>Engage civil society organizations in the development and implementation of gender equality policies to ensure inclusivity and intersectional perspectives.</w:t>
      </w:r>
    </w:p>
    <w:p w14:paraId="532E1557" w14:textId="6EB82DD3" w:rsidR="00996DAD" w:rsidRPr="00B71F0A" w:rsidRDefault="00996DAD" w:rsidP="0062347A">
      <w:pPr>
        <w:pStyle w:val="ListParagraph"/>
        <w:numPr>
          <w:ilvl w:val="0"/>
          <w:numId w:val="21"/>
        </w:numPr>
        <w:spacing w:line="360" w:lineRule="auto"/>
        <w:jc w:val="both"/>
        <w:rPr>
          <w:lang w:val="en-US"/>
        </w:rPr>
      </w:pPr>
      <w:r w:rsidRPr="00B71F0A">
        <w:t>Implement procedural guidelines for law enforcement and judiciary to handle complaints from LBT individuals with respect</w:t>
      </w:r>
      <w:r w:rsidR="004174C2">
        <w:t xml:space="preserve"> to</w:t>
      </w:r>
      <w:r w:rsidRPr="00B71F0A">
        <w:t xml:space="preserve"> ensuring complainants’ privacy and protection against secondary victimization.</w:t>
      </w:r>
    </w:p>
    <w:p w14:paraId="56CA2D3C" w14:textId="32436C70" w:rsidR="0062347A" w:rsidRPr="0062347A" w:rsidRDefault="00996DAD" w:rsidP="0062347A">
      <w:pPr>
        <w:pStyle w:val="ListParagraph"/>
        <w:numPr>
          <w:ilvl w:val="0"/>
          <w:numId w:val="21"/>
        </w:numPr>
        <w:spacing w:line="360" w:lineRule="auto"/>
        <w:jc w:val="both"/>
        <w:rPr>
          <w:lang w:val="en-US"/>
        </w:rPr>
      </w:pPr>
      <w:r w:rsidRPr="00B71F0A">
        <w:t xml:space="preserve">Ensure that poverty and food security data under the </w:t>
      </w:r>
      <w:r w:rsidRPr="00B71F0A">
        <w:rPr>
          <w:i/>
          <w:iCs/>
        </w:rPr>
        <w:t>National Policy on Gender Equality and Women’s Empowerment</w:t>
      </w:r>
      <w:r w:rsidRPr="00B71F0A">
        <w:t xml:space="preserve"> account for intersectional factors, including sexual orientation and gender identity, to better inform policy decisions and resource allocation.</w:t>
      </w:r>
    </w:p>
    <w:p w14:paraId="2C9CB2B7" w14:textId="77777777" w:rsidR="0062347A" w:rsidRPr="0062347A" w:rsidRDefault="0062347A" w:rsidP="0062347A">
      <w:pPr>
        <w:spacing w:line="360" w:lineRule="auto"/>
        <w:ind w:left="360"/>
        <w:jc w:val="both"/>
        <w:rPr>
          <w:lang w:val="en-US"/>
        </w:rPr>
      </w:pPr>
    </w:p>
    <w:p w14:paraId="4B019CF5" w14:textId="3DC9E0D9" w:rsidR="00910EFF" w:rsidRPr="00683921" w:rsidRDefault="00910EFF" w:rsidP="0062347A">
      <w:pPr>
        <w:pStyle w:val="Heading1"/>
        <w:spacing w:line="360" w:lineRule="auto"/>
        <w:jc w:val="both"/>
        <w:rPr>
          <w:rFonts w:ascii="Times New Roman" w:hAnsi="Times New Roman" w:cs="Times New Roman"/>
          <w:b/>
          <w:bCs/>
          <w:color w:val="auto"/>
          <w:sz w:val="28"/>
          <w:szCs w:val="28"/>
        </w:rPr>
      </w:pPr>
      <w:bookmarkStart w:id="12" w:name="_Toc187056113"/>
      <w:bookmarkStart w:id="13" w:name="_Hlk186887869"/>
      <w:bookmarkEnd w:id="3"/>
      <w:r w:rsidRPr="00683921">
        <w:rPr>
          <w:rFonts w:ascii="Times New Roman" w:hAnsi="Times New Roman" w:cs="Times New Roman"/>
          <w:b/>
          <w:bCs/>
          <w:color w:val="auto"/>
          <w:sz w:val="28"/>
          <w:szCs w:val="28"/>
        </w:rPr>
        <w:t>General Recommendation No 35</w:t>
      </w:r>
      <w:r w:rsidR="00683921">
        <w:rPr>
          <w:rFonts w:ascii="Times New Roman" w:hAnsi="Times New Roman" w:cs="Times New Roman"/>
          <w:b/>
          <w:bCs/>
          <w:color w:val="auto"/>
          <w:sz w:val="28"/>
          <w:szCs w:val="28"/>
        </w:rPr>
        <w:t>:</w:t>
      </w:r>
      <w:bookmarkEnd w:id="12"/>
    </w:p>
    <w:p w14:paraId="5B558DE8" w14:textId="77777777" w:rsidR="004174C2" w:rsidRPr="004174C2" w:rsidRDefault="004174C2" w:rsidP="0062347A">
      <w:pPr>
        <w:spacing w:line="360" w:lineRule="auto"/>
      </w:pPr>
    </w:p>
    <w:bookmarkEnd w:id="13"/>
    <w:p w14:paraId="51C427B5" w14:textId="35D7B434" w:rsidR="00910EFF" w:rsidRPr="00B71F0A" w:rsidRDefault="00B27AD7" w:rsidP="0062347A">
      <w:pPr>
        <w:pStyle w:val="ListParagraph"/>
        <w:numPr>
          <w:ilvl w:val="0"/>
          <w:numId w:val="24"/>
        </w:numPr>
        <w:spacing w:line="360" w:lineRule="auto"/>
        <w:jc w:val="both"/>
      </w:pPr>
      <w:r w:rsidRPr="00B71F0A">
        <w:t xml:space="preserve">LBT women in </w:t>
      </w:r>
      <w:r w:rsidR="00910EFF" w:rsidRPr="00B71F0A">
        <w:t>Sri Lanka face a multitude of violence from the state</w:t>
      </w:r>
      <w:r w:rsidRPr="00B71F0A">
        <w:t xml:space="preserve">, society and family. </w:t>
      </w:r>
      <w:r w:rsidR="00910EFF" w:rsidRPr="00B71F0A">
        <w:t xml:space="preserve">They have limited avenues for recourse and protection due to the legal framework, misuse of law and stigma. </w:t>
      </w:r>
    </w:p>
    <w:p w14:paraId="7B5014E3" w14:textId="77777777" w:rsidR="001E470E" w:rsidRPr="00B71F0A" w:rsidRDefault="001E470E" w:rsidP="0062347A">
      <w:pPr>
        <w:spacing w:line="360" w:lineRule="auto"/>
        <w:jc w:val="both"/>
        <w:rPr>
          <w:lang w:val="en-US"/>
        </w:rPr>
      </w:pPr>
    </w:p>
    <w:p w14:paraId="402B3AB4" w14:textId="737D728D" w:rsidR="00B42B2C" w:rsidRPr="00B71F0A" w:rsidRDefault="00B42B2C" w:rsidP="0062347A">
      <w:pPr>
        <w:pStyle w:val="ListParagraph"/>
        <w:numPr>
          <w:ilvl w:val="0"/>
          <w:numId w:val="24"/>
        </w:numPr>
        <w:spacing w:line="360" w:lineRule="auto"/>
        <w:jc w:val="both"/>
      </w:pPr>
      <w:r w:rsidRPr="00B71F0A">
        <w:t xml:space="preserve">In response to Issue raised [CEDAW/C/LKA/Q/9, para. 11(b)] regarding sexual and gender-based violence (SGBV) against women, and in particular, measures to reinforce national capacities in the areas of investigation, prosecution, and support for witnesses and victims, the state (CEDAW/C/LKA/RQ/9, paras. 72 and 74) highlighted measures such as the establishment of safe homes and the enactment of the Assistance to and Protection of Victims of Crime and Witnesses Act, No. 10 of 2023. </w:t>
      </w:r>
      <w:r w:rsidRPr="00B71F0A">
        <w:rPr>
          <w:rStyle w:val="FootnoteReference"/>
        </w:rPr>
        <w:footnoteReference w:id="26"/>
      </w:r>
    </w:p>
    <w:p w14:paraId="5577D831" w14:textId="77777777" w:rsidR="00B42B2C" w:rsidRPr="00B71F0A" w:rsidRDefault="00B42B2C" w:rsidP="0062347A">
      <w:pPr>
        <w:spacing w:line="360" w:lineRule="auto"/>
        <w:jc w:val="both"/>
      </w:pPr>
    </w:p>
    <w:p w14:paraId="3DE8AF97" w14:textId="77777777" w:rsidR="001E470E" w:rsidRPr="00B71F0A" w:rsidRDefault="00B42B2C" w:rsidP="0062347A">
      <w:pPr>
        <w:pStyle w:val="ListParagraph"/>
        <w:numPr>
          <w:ilvl w:val="0"/>
          <w:numId w:val="24"/>
        </w:numPr>
        <w:spacing w:line="360" w:lineRule="auto"/>
        <w:jc w:val="both"/>
      </w:pPr>
      <w:r w:rsidRPr="00B71F0A">
        <w:lastRenderedPageBreak/>
        <w:t xml:space="preserve">While these initiatives are commendable in intent, they fail to adequately address the specific vulnerabilities of lesbian, bisexual, and transgender (LBT) women. </w:t>
      </w:r>
    </w:p>
    <w:p w14:paraId="22A4FC9D" w14:textId="77777777" w:rsidR="001E470E" w:rsidRPr="00B71F0A" w:rsidRDefault="001E470E" w:rsidP="0062347A">
      <w:pPr>
        <w:pStyle w:val="ListParagraph"/>
        <w:spacing w:line="360" w:lineRule="auto"/>
      </w:pPr>
    </w:p>
    <w:p w14:paraId="635D1B16" w14:textId="77777777" w:rsidR="001E470E" w:rsidRPr="00B71F0A" w:rsidRDefault="00B42B2C" w:rsidP="0062347A">
      <w:pPr>
        <w:pStyle w:val="ListParagraph"/>
        <w:numPr>
          <w:ilvl w:val="0"/>
          <w:numId w:val="24"/>
        </w:numPr>
        <w:spacing w:line="360" w:lineRule="auto"/>
        <w:jc w:val="both"/>
      </w:pPr>
      <w:r w:rsidRPr="00B71F0A">
        <w:t xml:space="preserve">The provision of safe homes remains insufficient to meet the needs of victims of SGBV, particularly in rural areas. Many safe homes lack infrastructure and protocols tailored to address the vulnerabilities of LBT women, leaving them without adequate protection. </w:t>
      </w:r>
    </w:p>
    <w:p w14:paraId="05E50B04" w14:textId="77777777" w:rsidR="001E470E" w:rsidRPr="00B71F0A" w:rsidRDefault="001E470E" w:rsidP="0062347A">
      <w:pPr>
        <w:pStyle w:val="ListParagraph"/>
        <w:spacing w:line="360" w:lineRule="auto"/>
      </w:pPr>
    </w:p>
    <w:p w14:paraId="225D4A8C" w14:textId="63DAFE5D" w:rsidR="00B42B2C" w:rsidRPr="00B71F0A" w:rsidRDefault="00B42B2C" w:rsidP="0062347A">
      <w:pPr>
        <w:pStyle w:val="ListParagraph"/>
        <w:spacing w:line="360" w:lineRule="auto"/>
        <w:jc w:val="both"/>
      </w:pPr>
      <w:r w:rsidRPr="00B71F0A">
        <w:t>Testimony:</w:t>
      </w:r>
      <w:r w:rsidRPr="00B71F0A">
        <w:rPr>
          <w:rStyle w:val="FootnoteReference"/>
        </w:rPr>
        <w:footnoteReference w:id="27"/>
      </w:r>
      <w:r w:rsidRPr="00B71F0A">
        <w:t xml:space="preserve"> </w:t>
      </w:r>
      <w:r w:rsidRPr="00B71F0A">
        <w:rPr>
          <w:lang w:val="en-US"/>
        </w:rPr>
        <w:t xml:space="preserve">Dammy, a former military officer from Kandy, faced severe discrimination due to her sexual orientation and masculine gender expression. After her girlfriend’s family discovered their relationship, her girlfriend’s father and brother brutally beat her, yelling, “Get out of this house, or we will end you. Do not come near our daughter with your disease.” Thrown out and left homeless, she spent the night at </w:t>
      </w:r>
      <w:r w:rsidR="003B167B" w:rsidRPr="00B71F0A">
        <w:rPr>
          <w:lang w:val="en-US"/>
        </w:rPr>
        <w:t>a public beach</w:t>
      </w:r>
      <w:r w:rsidRPr="00B71F0A">
        <w:rPr>
          <w:lang w:val="en-US"/>
        </w:rPr>
        <w:t>, unable to find a safe house that would accommodate her. This experience underscores the critical lack of shelter and protections for LGBTQI individuals facing violence and homelessness.</w:t>
      </w:r>
    </w:p>
    <w:p w14:paraId="7001AE87" w14:textId="77777777" w:rsidR="00B42B2C" w:rsidRPr="00B71F0A" w:rsidRDefault="00B42B2C" w:rsidP="0062347A">
      <w:pPr>
        <w:spacing w:line="360" w:lineRule="auto"/>
        <w:jc w:val="both"/>
      </w:pPr>
    </w:p>
    <w:p w14:paraId="0B9170CD" w14:textId="02BABB0D" w:rsidR="00B42B2C" w:rsidRPr="00B71F0A" w:rsidRDefault="00B42B2C" w:rsidP="0062347A">
      <w:pPr>
        <w:pStyle w:val="ListParagraph"/>
        <w:numPr>
          <w:ilvl w:val="0"/>
          <w:numId w:val="24"/>
        </w:numPr>
        <w:spacing w:line="360" w:lineRule="auto"/>
        <w:jc w:val="both"/>
      </w:pPr>
      <w:r w:rsidRPr="00B71F0A">
        <w:t>These deficiencies contravene CEDAW Article 2(b), which requires States to ensure comprehensive protection against all forms of discrimination. Moreover, civil society organizations report that safe homes prioritize cases of police harassment or financial hardship over domestic violence, perpetuating a hierarchy of needs that overlooks the experiences of many LBT victims.</w:t>
      </w:r>
    </w:p>
    <w:p w14:paraId="65A11068" w14:textId="77777777" w:rsidR="00B42B2C" w:rsidRPr="00B71F0A" w:rsidRDefault="00B42B2C" w:rsidP="0062347A">
      <w:pPr>
        <w:spacing w:line="360" w:lineRule="auto"/>
        <w:jc w:val="both"/>
      </w:pPr>
    </w:p>
    <w:p w14:paraId="5BB528BC" w14:textId="77777777" w:rsidR="00181673" w:rsidRPr="00B71F0A" w:rsidRDefault="00D927CA" w:rsidP="0062347A">
      <w:pPr>
        <w:pStyle w:val="ListParagraph"/>
        <w:numPr>
          <w:ilvl w:val="0"/>
          <w:numId w:val="24"/>
        </w:numPr>
        <w:spacing w:line="360" w:lineRule="auto"/>
        <w:jc w:val="both"/>
      </w:pPr>
      <w:r w:rsidRPr="00B71F0A">
        <w:t xml:space="preserve">Despite the inclusion of gender and sexual orientation in </w:t>
      </w:r>
      <w:r w:rsidR="003B167B" w:rsidRPr="00B71F0A">
        <w:t>the Victim</w:t>
      </w:r>
      <w:r w:rsidR="00B42B2C" w:rsidRPr="00B71F0A">
        <w:t xml:space="preserve"> and Witness Protection Act</w:t>
      </w:r>
      <w:r w:rsidR="00933AE0" w:rsidRPr="00B71F0A">
        <w:t xml:space="preserve">, </w:t>
      </w:r>
      <w:r w:rsidR="003B167B" w:rsidRPr="00B71F0A">
        <w:t>c</w:t>
      </w:r>
      <w:r w:rsidR="00B42B2C" w:rsidRPr="00B71F0A">
        <w:t>ivil society consultations emphasized that the absence of sensitization programs for law enforcement and victim protection officials results in significant gaps in support for LBT women. This failure reflects non-compliance with CEDAW General Recommendation No. 33 (2015)</w:t>
      </w:r>
      <w:r w:rsidR="00933AE0" w:rsidRPr="00B71F0A">
        <w:t xml:space="preserve">. </w:t>
      </w:r>
    </w:p>
    <w:p w14:paraId="4FE890D5" w14:textId="77777777" w:rsidR="00181673" w:rsidRPr="00B71F0A" w:rsidRDefault="00181673" w:rsidP="0062347A">
      <w:pPr>
        <w:pStyle w:val="ListParagraph"/>
        <w:spacing w:line="360" w:lineRule="auto"/>
      </w:pPr>
    </w:p>
    <w:p w14:paraId="032D9040" w14:textId="77777777" w:rsidR="00181673" w:rsidRPr="00B71F0A" w:rsidRDefault="00B42B2C" w:rsidP="0062347A">
      <w:pPr>
        <w:pStyle w:val="ListParagraph"/>
        <w:numPr>
          <w:ilvl w:val="0"/>
          <w:numId w:val="24"/>
        </w:numPr>
        <w:spacing w:line="360" w:lineRule="auto"/>
        <w:jc w:val="both"/>
      </w:pPr>
      <w:r w:rsidRPr="00B71F0A">
        <w:t>The State has not provided disaggregated data to evaluate the effectiveness of its measures, as required under CEDAW Article 18</w:t>
      </w:r>
      <w:r w:rsidR="00933AE0" w:rsidRPr="00B71F0A">
        <w:t xml:space="preserve">, making it </w:t>
      </w:r>
      <w:r w:rsidRPr="00B71F0A">
        <w:t xml:space="preserve">impossible to assess </w:t>
      </w:r>
      <w:r w:rsidR="00933AE0" w:rsidRPr="00B71F0A">
        <w:t xml:space="preserve">these initiatives. </w:t>
      </w:r>
    </w:p>
    <w:p w14:paraId="06038A78" w14:textId="77777777" w:rsidR="00181673" w:rsidRPr="00B71F0A" w:rsidRDefault="00181673" w:rsidP="0062347A">
      <w:pPr>
        <w:pStyle w:val="ListParagraph"/>
        <w:spacing w:line="360" w:lineRule="auto"/>
      </w:pPr>
    </w:p>
    <w:p w14:paraId="5CEB72E2" w14:textId="77777777" w:rsidR="00181673" w:rsidRPr="00B71F0A" w:rsidRDefault="000978DB" w:rsidP="0062347A">
      <w:pPr>
        <w:pStyle w:val="ListParagraph"/>
        <w:numPr>
          <w:ilvl w:val="0"/>
          <w:numId w:val="24"/>
        </w:numPr>
        <w:spacing w:line="360" w:lineRule="auto"/>
        <w:jc w:val="both"/>
      </w:pPr>
      <w:r w:rsidRPr="00B71F0A">
        <w:lastRenderedPageBreak/>
        <w:t xml:space="preserve">Laws like the Prevention of Domestic Violence Act (PDVA) while ostensibly protective, are frequently misapplied, leaving victims hesitant to engage law enforcement due to fear of further abuse and prejudice. The CAT Committee </w:t>
      </w:r>
      <w:r w:rsidRPr="00B71F0A">
        <w:rPr>
          <w:vertAlign w:val="superscript"/>
        </w:rPr>
        <w:footnoteReference w:id="28"/>
      </w:r>
      <w:r w:rsidRPr="00B71F0A">
        <w:rPr>
          <w:vertAlign w:val="superscript"/>
        </w:rPr>
        <w:t xml:space="preserve"> </w:t>
      </w:r>
      <w:r w:rsidRPr="00B71F0A">
        <w:t xml:space="preserve">and CEDAW Committee have emphasized state responsibility to prevent and address gender-based violence, identifying failures to act with due diligence as violations of international human rights law. </w:t>
      </w:r>
    </w:p>
    <w:p w14:paraId="4FA31E0B" w14:textId="77777777" w:rsidR="00181673" w:rsidRPr="00B71F0A" w:rsidRDefault="00181673" w:rsidP="0062347A">
      <w:pPr>
        <w:pStyle w:val="ListParagraph"/>
        <w:spacing w:line="360" w:lineRule="auto"/>
      </w:pPr>
    </w:p>
    <w:p w14:paraId="0419E486" w14:textId="717F8757" w:rsidR="00181673" w:rsidRPr="00B71F0A" w:rsidRDefault="004174C2" w:rsidP="0062347A">
      <w:pPr>
        <w:pStyle w:val="ListParagraph"/>
        <w:numPr>
          <w:ilvl w:val="0"/>
          <w:numId w:val="24"/>
        </w:numPr>
        <w:spacing w:line="360" w:lineRule="auto"/>
        <w:jc w:val="both"/>
      </w:pPr>
      <w:r>
        <w:t xml:space="preserve">The </w:t>
      </w:r>
      <w:r w:rsidR="000978DB" w:rsidRPr="00B71F0A">
        <w:t>CEDAW Committee in its General Recommendation No. 35 (2017) stated that gender-based violence against women, including cases of rape and domestic violence, may amount to torture or cruel, inhuman or degrading treatment in certain circumstances.</w:t>
      </w:r>
      <w:r w:rsidR="000978DB" w:rsidRPr="00B71F0A">
        <w:rPr>
          <w:vertAlign w:val="superscript"/>
        </w:rPr>
        <w:footnoteReference w:id="29"/>
      </w:r>
      <w:r w:rsidR="000978DB" w:rsidRPr="00B71F0A">
        <w:rPr>
          <w:vertAlign w:val="superscript"/>
        </w:rPr>
        <w:t xml:space="preserve"> </w:t>
      </w:r>
      <w:r w:rsidR="000978DB" w:rsidRPr="00B71F0A">
        <w:t xml:space="preserve">In </w:t>
      </w:r>
      <w:r w:rsidR="000978DB" w:rsidRPr="00B71F0A">
        <w:rPr>
          <w:i/>
          <w:iCs/>
        </w:rPr>
        <w:t>González Carreño v. Spain</w:t>
      </w:r>
      <w:r w:rsidR="000978DB" w:rsidRPr="00B71F0A">
        <w:t>, the CEDAW Committee underscored states' accountability for private acts of violence if they neglect prevention measures</w:t>
      </w:r>
      <w:r w:rsidR="000978DB" w:rsidRPr="00B71F0A">
        <w:rPr>
          <w:vertAlign w:val="superscript"/>
        </w:rPr>
        <w:t>.</w:t>
      </w:r>
      <w:r w:rsidR="000978DB" w:rsidRPr="00B71F0A">
        <w:rPr>
          <w:vertAlign w:val="superscript"/>
        </w:rPr>
        <w:footnoteReference w:id="30"/>
      </w:r>
    </w:p>
    <w:p w14:paraId="70609975" w14:textId="77777777" w:rsidR="00181673" w:rsidRPr="00B71F0A" w:rsidRDefault="00181673" w:rsidP="0062347A">
      <w:pPr>
        <w:pStyle w:val="ListParagraph"/>
        <w:spacing w:line="360" w:lineRule="auto"/>
      </w:pPr>
    </w:p>
    <w:p w14:paraId="2B98E22E" w14:textId="77777777" w:rsidR="00181673" w:rsidRPr="00B71F0A" w:rsidRDefault="003B167B" w:rsidP="0062347A">
      <w:pPr>
        <w:pStyle w:val="ListParagraph"/>
        <w:numPr>
          <w:ilvl w:val="0"/>
          <w:numId w:val="24"/>
        </w:numPr>
        <w:spacing w:line="360" w:lineRule="auto"/>
        <w:jc w:val="both"/>
      </w:pPr>
      <w:r w:rsidRPr="00B71F0A">
        <w:t>U</w:t>
      </w:r>
      <w:r w:rsidR="000978DB" w:rsidRPr="00B71F0A">
        <w:t>nder-reporting</w:t>
      </w:r>
      <w:r w:rsidRPr="00B71F0A">
        <w:t xml:space="preserve"> under the PDVA</w:t>
      </w:r>
      <w:r w:rsidR="000978DB" w:rsidRPr="00B71F0A">
        <w:t xml:space="preserve"> </w:t>
      </w:r>
      <w:r w:rsidR="000978DB" w:rsidRPr="00B71F0A">
        <w:rPr>
          <w:vertAlign w:val="superscript"/>
        </w:rPr>
        <w:footnoteReference w:id="31"/>
      </w:r>
      <w:r w:rsidR="000978DB" w:rsidRPr="00B71F0A">
        <w:t xml:space="preserve"> remains widespread due to financial dependence, limited safe spaces, and police tendencies to prioritize reconciliation over protection, even in severe cases like grievous harm</w:t>
      </w:r>
      <w:r w:rsidR="000978DB" w:rsidRPr="00B71F0A">
        <w:rPr>
          <w:vertAlign w:val="superscript"/>
        </w:rPr>
        <w:footnoteReference w:id="32"/>
      </w:r>
      <w:r w:rsidR="000978DB" w:rsidRPr="00B71F0A">
        <w:t>. There have been media reports of high number of deaths in Sri Lanka due to domestic violence.</w:t>
      </w:r>
      <w:r w:rsidR="000978DB" w:rsidRPr="00B71F0A">
        <w:rPr>
          <w:vertAlign w:val="superscript"/>
        </w:rPr>
        <w:footnoteReference w:id="33"/>
      </w:r>
      <w:r w:rsidR="000978DB" w:rsidRPr="00B71F0A">
        <w:rPr>
          <w:vertAlign w:val="superscript"/>
        </w:rPr>
        <w:t xml:space="preserve"> </w:t>
      </w:r>
    </w:p>
    <w:p w14:paraId="2329C811" w14:textId="77777777" w:rsidR="00181673" w:rsidRPr="00B71F0A" w:rsidRDefault="00181673" w:rsidP="0062347A">
      <w:pPr>
        <w:pStyle w:val="ListParagraph"/>
        <w:spacing w:line="360" w:lineRule="auto"/>
      </w:pPr>
    </w:p>
    <w:p w14:paraId="5F927BC9" w14:textId="77777777" w:rsidR="00181673" w:rsidRPr="00B71F0A" w:rsidRDefault="000978DB" w:rsidP="0062347A">
      <w:pPr>
        <w:pStyle w:val="ListParagraph"/>
        <w:numPr>
          <w:ilvl w:val="0"/>
          <w:numId w:val="24"/>
        </w:numPr>
        <w:spacing w:line="360" w:lineRule="auto"/>
        <w:jc w:val="both"/>
      </w:pPr>
      <w:r w:rsidRPr="00B71F0A">
        <w:t>LBT individuals face additional barriers, fearing police reprisal under Penal Code sections 365, 365A, or 399, which often deters them from reporting abuse. LBT women fear of police, partners, and societal stigma often prevents victims from seeking help, perpetuating cycles of violence.</w:t>
      </w:r>
    </w:p>
    <w:p w14:paraId="11A3C310" w14:textId="77777777" w:rsidR="00181673" w:rsidRPr="00B71F0A" w:rsidRDefault="00181673" w:rsidP="0062347A">
      <w:pPr>
        <w:pStyle w:val="ListParagraph"/>
        <w:spacing w:line="360" w:lineRule="auto"/>
      </w:pPr>
    </w:p>
    <w:p w14:paraId="485200AE" w14:textId="60735B4C" w:rsidR="00181673" w:rsidRPr="00B71F0A" w:rsidRDefault="00910EFF" w:rsidP="0062347A">
      <w:pPr>
        <w:pStyle w:val="ListParagraph"/>
        <w:numPr>
          <w:ilvl w:val="0"/>
          <w:numId w:val="24"/>
        </w:numPr>
        <w:spacing w:line="360" w:lineRule="auto"/>
        <w:jc w:val="both"/>
      </w:pPr>
      <w:r w:rsidRPr="00B71F0A">
        <w:lastRenderedPageBreak/>
        <w:t>The state party report (</w:t>
      </w:r>
      <w:fldSimple w:instr=" DOCVARIABLE &quot;sss1&quot; \* MERGEFORMAT ">
        <w:r w:rsidRPr="00B71F0A">
          <w:t>CEDAW/C/LKA/9</w:t>
        </w:r>
      </w:fldSimple>
      <w:r w:rsidRPr="00B71F0A">
        <w:t xml:space="preserve">  </w:t>
      </w:r>
      <w:r w:rsidR="00181673" w:rsidRPr="00B71F0A">
        <w:rPr>
          <w:lang w:val="en-US"/>
        </w:rPr>
        <w:t>para.</w:t>
      </w:r>
      <w:r w:rsidRPr="00B71F0A">
        <w:t xml:space="preserve"> 27</w:t>
      </w:r>
      <w:r w:rsidR="00181673" w:rsidRPr="00B71F0A">
        <w:rPr>
          <w:lang w:val="en-US"/>
        </w:rPr>
        <w:t>)</w:t>
      </w:r>
      <w:r w:rsidRPr="00B71F0A">
        <w:t xml:space="preserve"> in response to the concluding   observations </w:t>
      </w:r>
      <w:r w:rsidR="00181673" w:rsidRPr="00B71F0A">
        <w:rPr>
          <w:lang w:val="en-US"/>
        </w:rPr>
        <w:t>(</w:t>
      </w:r>
      <w:r w:rsidRPr="00B71F0A">
        <w:t>CEDAW/C/LKA/CO/8</w:t>
      </w:r>
      <w:r w:rsidR="00181673" w:rsidRPr="00B71F0A">
        <w:rPr>
          <w:lang w:val="en-US"/>
        </w:rPr>
        <w:t>, para. 7)</w:t>
      </w:r>
      <w:r w:rsidRPr="00B71F0A">
        <w:t xml:space="preserve"> claims </w:t>
      </w:r>
      <w:r w:rsidR="004174C2" w:rsidRPr="00B71F0A">
        <w:t>that</w:t>
      </w:r>
      <w:r w:rsidRPr="00B71F0A">
        <w:t xml:space="preserve"> the Police academy conducts annual TOT programs on human rights including CEDAW which trickle down to the Police service members through the master trainers. However, cases in which </w:t>
      </w:r>
      <w:r w:rsidR="000978DB" w:rsidRPr="00B71F0A">
        <w:t>transgender women</w:t>
      </w:r>
      <w:r w:rsidRPr="00B71F0A">
        <w:t xml:space="preserve"> have been arbitrarily arrested under the </w:t>
      </w:r>
      <w:r w:rsidR="00964539" w:rsidRPr="00B71F0A">
        <w:t>vagrant’s</w:t>
      </w:r>
      <w:r w:rsidRPr="00B71F0A">
        <w:t xml:space="preserve"> ordinance, arrested for false drug charges and subjected </w:t>
      </w:r>
      <w:r w:rsidR="00964539" w:rsidRPr="00B71F0A">
        <w:t xml:space="preserve">to </w:t>
      </w:r>
      <w:r w:rsidRPr="00B71F0A">
        <w:t xml:space="preserve">violence </w:t>
      </w:r>
      <w:r w:rsidR="00964539" w:rsidRPr="00B71F0A">
        <w:t>continue</w:t>
      </w:r>
      <w:r w:rsidRPr="00B71F0A">
        <w:t>.</w:t>
      </w:r>
    </w:p>
    <w:p w14:paraId="0CF0E077" w14:textId="77777777" w:rsidR="00181673" w:rsidRPr="00B71F0A" w:rsidRDefault="00181673" w:rsidP="0062347A">
      <w:pPr>
        <w:pStyle w:val="ListParagraph"/>
        <w:spacing w:line="360" w:lineRule="auto"/>
      </w:pPr>
    </w:p>
    <w:p w14:paraId="73CC0312" w14:textId="7CAE5DD0" w:rsidR="00910EFF" w:rsidRPr="00B71F0A" w:rsidRDefault="00910EFF" w:rsidP="0062347A">
      <w:pPr>
        <w:pStyle w:val="ListParagraph"/>
        <w:numPr>
          <w:ilvl w:val="0"/>
          <w:numId w:val="24"/>
        </w:numPr>
        <w:spacing w:line="360" w:lineRule="auto"/>
        <w:jc w:val="both"/>
        <w:rPr>
          <w:rStyle w:val="Strong"/>
          <w:b w:val="0"/>
          <w:bCs w:val="0"/>
        </w:rPr>
      </w:pPr>
      <w:r w:rsidRPr="00B71F0A">
        <w:t>The state party report also mentioned that</w:t>
      </w:r>
      <w:r w:rsidRPr="00B71F0A">
        <w:rPr>
          <w:rStyle w:val="Strong"/>
          <w:b w:val="0"/>
          <w:bCs w:val="0"/>
          <w:color w:val="000000" w:themeColor="text1"/>
        </w:rPr>
        <w:t xml:space="preserve"> for instance, legal aid is available for those who have low economic statuses in Sri Lanka</w:t>
      </w:r>
      <w:r w:rsidR="007E2243" w:rsidRPr="00B71F0A">
        <w:rPr>
          <w:rStyle w:val="Strong"/>
          <w:b w:val="0"/>
          <w:bCs w:val="0"/>
          <w:color w:val="000000" w:themeColor="text1"/>
        </w:rPr>
        <w:t xml:space="preserve"> with </w:t>
      </w:r>
      <w:r w:rsidR="00964539" w:rsidRPr="00B71F0A">
        <w:rPr>
          <w:rStyle w:val="Strong"/>
          <w:b w:val="0"/>
          <w:bCs w:val="0"/>
          <w:color w:val="000000" w:themeColor="text1"/>
        </w:rPr>
        <w:t xml:space="preserve">the </w:t>
      </w:r>
      <w:r w:rsidR="007E2243" w:rsidRPr="00B71F0A">
        <w:rPr>
          <w:rStyle w:val="Strong"/>
          <w:b w:val="0"/>
          <w:bCs w:val="0"/>
          <w:color w:val="000000" w:themeColor="text1"/>
        </w:rPr>
        <w:t xml:space="preserve">income means test being weaved for LBT persons. </w:t>
      </w:r>
      <w:r w:rsidRPr="00B71F0A">
        <w:rPr>
          <w:rStyle w:val="Strong"/>
          <w:b w:val="0"/>
          <w:bCs w:val="0"/>
          <w:color w:val="000000" w:themeColor="text1"/>
        </w:rPr>
        <w:t xml:space="preserve">However, lawyers when assigned to cases of </w:t>
      </w:r>
      <w:r w:rsidR="000978DB" w:rsidRPr="00B71F0A">
        <w:rPr>
          <w:rStyle w:val="Strong"/>
          <w:b w:val="0"/>
          <w:bCs w:val="0"/>
          <w:color w:val="000000" w:themeColor="text1"/>
        </w:rPr>
        <w:t xml:space="preserve">transgender women, particularly </w:t>
      </w:r>
      <w:r w:rsidRPr="00B71F0A">
        <w:rPr>
          <w:rStyle w:val="Strong"/>
          <w:b w:val="0"/>
          <w:bCs w:val="0"/>
          <w:color w:val="000000" w:themeColor="text1"/>
        </w:rPr>
        <w:t>sex workers, are often compelled to force them to plead guilty and pay a fine instead of arguing the merits of their cases.</w:t>
      </w:r>
    </w:p>
    <w:p w14:paraId="59210390" w14:textId="77777777" w:rsidR="00181673" w:rsidRPr="00B71F0A" w:rsidRDefault="00181673" w:rsidP="0062347A">
      <w:pPr>
        <w:spacing w:line="360" w:lineRule="auto"/>
        <w:jc w:val="both"/>
      </w:pPr>
    </w:p>
    <w:p w14:paraId="749ECDB6" w14:textId="6A4DD60D" w:rsidR="00910EFF" w:rsidRDefault="00910EFF" w:rsidP="0062347A">
      <w:pPr>
        <w:pStyle w:val="Heading3"/>
        <w:spacing w:line="360" w:lineRule="auto"/>
        <w:jc w:val="both"/>
        <w:rPr>
          <w:rFonts w:ascii="Times New Roman" w:hAnsi="Times New Roman" w:cs="Times New Roman"/>
          <w:b/>
          <w:bCs/>
          <w:color w:val="auto"/>
          <w:sz w:val="28"/>
          <w:szCs w:val="28"/>
        </w:rPr>
      </w:pPr>
      <w:bookmarkStart w:id="14" w:name="_Toc187056114"/>
      <w:r w:rsidRPr="00683921">
        <w:rPr>
          <w:rFonts w:ascii="Times New Roman" w:hAnsi="Times New Roman" w:cs="Times New Roman"/>
          <w:b/>
          <w:bCs/>
          <w:color w:val="auto"/>
          <w:sz w:val="28"/>
          <w:szCs w:val="28"/>
        </w:rPr>
        <w:t>Recommendations</w:t>
      </w:r>
      <w:r w:rsidR="00683921">
        <w:rPr>
          <w:rFonts w:ascii="Times New Roman" w:hAnsi="Times New Roman" w:cs="Times New Roman"/>
          <w:b/>
          <w:bCs/>
          <w:color w:val="auto"/>
          <w:sz w:val="28"/>
          <w:szCs w:val="28"/>
        </w:rPr>
        <w:t>:</w:t>
      </w:r>
      <w:bookmarkEnd w:id="14"/>
    </w:p>
    <w:p w14:paraId="3BE810D6" w14:textId="77777777" w:rsidR="00683921" w:rsidRPr="00683921" w:rsidRDefault="00683921" w:rsidP="0062347A">
      <w:pPr>
        <w:spacing w:line="360" w:lineRule="auto"/>
      </w:pPr>
    </w:p>
    <w:p w14:paraId="32BBB0BF" w14:textId="35D7FA56" w:rsidR="00971648" w:rsidRPr="00B71F0A" w:rsidRDefault="00971648" w:rsidP="0062347A">
      <w:pPr>
        <w:pStyle w:val="ListParagraph"/>
        <w:numPr>
          <w:ilvl w:val="0"/>
          <w:numId w:val="34"/>
        </w:numPr>
        <w:spacing w:line="360" w:lineRule="auto"/>
        <w:jc w:val="both"/>
        <w:rPr>
          <w:rFonts w:eastAsia="Arial"/>
        </w:rPr>
      </w:pPr>
      <w:r w:rsidRPr="00B71F0A">
        <w:rPr>
          <w:rFonts w:eastAsia="Arial"/>
        </w:rPr>
        <w:t>Urge the State to establish specialized safe homes and crisis centers for LBT women, with clear non-discriminatory protocols.</w:t>
      </w:r>
    </w:p>
    <w:p w14:paraId="65784EB3" w14:textId="77777777" w:rsidR="00971648" w:rsidRPr="00971648" w:rsidRDefault="00971648" w:rsidP="0062347A">
      <w:pPr>
        <w:numPr>
          <w:ilvl w:val="0"/>
          <w:numId w:val="34"/>
        </w:numPr>
        <w:spacing w:line="360" w:lineRule="auto"/>
        <w:jc w:val="both"/>
        <w:rPr>
          <w:rFonts w:eastAsia="Arial"/>
        </w:rPr>
      </w:pPr>
      <w:r w:rsidRPr="00971648">
        <w:rPr>
          <w:rFonts w:eastAsia="Arial"/>
        </w:rPr>
        <w:t>Recommend procedural guidelines for law enforcement to handle LBT complaints with privacy, safety, and prevention of victimization.</w:t>
      </w:r>
    </w:p>
    <w:p w14:paraId="3C11B6E4" w14:textId="2BA94C23" w:rsidR="00910EFF" w:rsidRDefault="00971648" w:rsidP="0062347A">
      <w:pPr>
        <w:numPr>
          <w:ilvl w:val="0"/>
          <w:numId w:val="34"/>
        </w:numPr>
        <w:spacing w:line="360" w:lineRule="auto"/>
        <w:jc w:val="both"/>
        <w:rPr>
          <w:rFonts w:eastAsia="Arial"/>
        </w:rPr>
      </w:pPr>
      <w:r w:rsidRPr="00971648">
        <w:rPr>
          <w:rFonts w:eastAsia="Arial"/>
        </w:rPr>
        <w:t>Call for disaggregated data on safe home access and removal of prioritization systems disadvantaging LBT victims.</w:t>
      </w:r>
    </w:p>
    <w:p w14:paraId="18F74124" w14:textId="77777777" w:rsidR="0062347A" w:rsidRPr="0062347A" w:rsidRDefault="0062347A" w:rsidP="0062347A">
      <w:pPr>
        <w:spacing w:line="360" w:lineRule="auto"/>
        <w:jc w:val="both"/>
        <w:rPr>
          <w:rFonts w:eastAsia="Arial"/>
        </w:rPr>
      </w:pPr>
    </w:p>
    <w:p w14:paraId="0EA2181B" w14:textId="70F984B5" w:rsidR="00910EFF" w:rsidRDefault="00910EFF" w:rsidP="0062347A">
      <w:pPr>
        <w:pStyle w:val="Heading1"/>
        <w:spacing w:line="360" w:lineRule="auto"/>
        <w:jc w:val="both"/>
        <w:rPr>
          <w:rFonts w:ascii="Times New Roman" w:hAnsi="Times New Roman" w:cs="Times New Roman"/>
          <w:b/>
          <w:bCs/>
          <w:color w:val="auto"/>
          <w:sz w:val="28"/>
          <w:szCs w:val="28"/>
        </w:rPr>
      </w:pPr>
      <w:bookmarkStart w:id="15" w:name="_Toc187056115"/>
      <w:r w:rsidRPr="00683921">
        <w:rPr>
          <w:rFonts w:ascii="Times New Roman" w:hAnsi="Times New Roman" w:cs="Times New Roman"/>
          <w:b/>
          <w:bCs/>
          <w:color w:val="auto"/>
          <w:sz w:val="28"/>
          <w:szCs w:val="28"/>
        </w:rPr>
        <w:t>Article 7:</w:t>
      </w:r>
      <w:bookmarkEnd w:id="15"/>
      <w:r w:rsidRPr="00683921">
        <w:rPr>
          <w:rFonts w:ascii="Times New Roman" w:hAnsi="Times New Roman" w:cs="Times New Roman"/>
          <w:b/>
          <w:bCs/>
          <w:color w:val="auto"/>
          <w:sz w:val="28"/>
          <w:szCs w:val="28"/>
        </w:rPr>
        <w:t xml:space="preserve"> </w:t>
      </w:r>
    </w:p>
    <w:p w14:paraId="4F23C4B8" w14:textId="77777777" w:rsidR="00683921" w:rsidRPr="00683921" w:rsidRDefault="00683921" w:rsidP="0062347A">
      <w:pPr>
        <w:spacing w:line="360" w:lineRule="auto"/>
      </w:pPr>
    </w:p>
    <w:p w14:paraId="18842655" w14:textId="77777777" w:rsidR="00181673" w:rsidRPr="00B71F0A" w:rsidRDefault="00910EFF" w:rsidP="0062347A">
      <w:pPr>
        <w:pStyle w:val="ListParagraph"/>
        <w:numPr>
          <w:ilvl w:val="0"/>
          <w:numId w:val="24"/>
        </w:numPr>
        <w:spacing w:line="360" w:lineRule="auto"/>
        <w:jc w:val="both"/>
      </w:pPr>
      <w:r w:rsidRPr="00B71F0A">
        <w:t xml:space="preserve">Many </w:t>
      </w:r>
      <w:r w:rsidR="000978DB" w:rsidRPr="00B71F0A">
        <w:t>LBT individuals, notably transgender women are</w:t>
      </w:r>
      <w:r w:rsidRPr="00B71F0A">
        <w:t xml:space="preserve"> unable to vote in elections for not possessing national identity cards (NIC). </w:t>
      </w:r>
    </w:p>
    <w:p w14:paraId="657CE712" w14:textId="77777777" w:rsidR="00181673" w:rsidRPr="00B71F0A" w:rsidRDefault="00181673" w:rsidP="0062347A">
      <w:pPr>
        <w:pStyle w:val="ListParagraph"/>
        <w:spacing w:line="360" w:lineRule="auto"/>
        <w:jc w:val="both"/>
      </w:pPr>
    </w:p>
    <w:p w14:paraId="5DF274C8" w14:textId="59E059BA" w:rsidR="000978DB" w:rsidRPr="00B71F0A" w:rsidRDefault="00910EFF" w:rsidP="0062347A">
      <w:pPr>
        <w:pStyle w:val="ListParagraph"/>
        <w:numPr>
          <w:ilvl w:val="0"/>
          <w:numId w:val="24"/>
        </w:numPr>
        <w:spacing w:line="360" w:lineRule="auto"/>
        <w:jc w:val="both"/>
      </w:pPr>
      <w:r w:rsidRPr="00B71F0A">
        <w:t xml:space="preserve">In </w:t>
      </w:r>
      <w:r w:rsidR="004174C2">
        <w:t>some</w:t>
      </w:r>
      <w:r w:rsidR="004174C2" w:rsidRPr="00B71F0A">
        <w:t xml:space="preserve"> </w:t>
      </w:r>
      <w:r w:rsidR="004174C2">
        <w:t>instances</w:t>
      </w:r>
      <w:r w:rsidRPr="00B71F0A">
        <w:t xml:space="preserve">, they live far from their permanent registered addresses and cannot be on the voter registration list of their current place of residence. In order to change one’s permanent registered address a person has to take a ‘leaving residence letter’ from the </w:t>
      </w:r>
      <w:r w:rsidR="00964539" w:rsidRPr="00B71F0A">
        <w:t>‘</w:t>
      </w:r>
      <w:r w:rsidRPr="00B71F0A">
        <w:rPr>
          <w:i/>
          <w:iCs/>
        </w:rPr>
        <w:t xml:space="preserve">gramaniladari’ </w:t>
      </w:r>
      <w:r w:rsidR="00964539" w:rsidRPr="00B71F0A">
        <w:rPr>
          <w:i/>
          <w:iCs/>
        </w:rPr>
        <w:t xml:space="preserve">(village officer) </w:t>
      </w:r>
      <w:r w:rsidRPr="00B71F0A">
        <w:t xml:space="preserve">of the old residence to the the </w:t>
      </w:r>
      <w:r w:rsidR="00964539" w:rsidRPr="00B71F0A">
        <w:t>‘</w:t>
      </w:r>
      <w:r w:rsidRPr="00B71F0A">
        <w:rPr>
          <w:i/>
          <w:iCs/>
        </w:rPr>
        <w:t xml:space="preserve">gramaniladari’ </w:t>
      </w:r>
      <w:r w:rsidRPr="00B71F0A">
        <w:t>of the new residence.</w:t>
      </w:r>
      <w:r w:rsidR="00181673" w:rsidRPr="00B71F0A">
        <w:rPr>
          <w:lang w:val="en-US"/>
        </w:rPr>
        <w:t xml:space="preserve"> </w:t>
      </w:r>
      <w:r w:rsidR="000978DB" w:rsidRPr="00B71F0A">
        <w:t xml:space="preserve">The residency-based voter registration system leads to further marginalisation of transgender individuals. Many transgender persons </w:t>
      </w:r>
      <w:r w:rsidR="00964539" w:rsidRPr="00B71F0A">
        <w:t>are estranged</w:t>
      </w:r>
      <w:r w:rsidR="000978DB" w:rsidRPr="00B71F0A">
        <w:t xml:space="preserve"> </w:t>
      </w:r>
      <w:r w:rsidR="000978DB" w:rsidRPr="00B71F0A">
        <w:lastRenderedPageBreak/>
        <w:t>from families which prevents them from registering in their villages, effectively disenfranchising them.</w:t>
      </w:r>
    </w:p>
    <w:p w14:paraId="3E4791DF" w14:textId="77777777" w:rsidR="005A3976" w:rsidRPr="00B71F0A" w:rsidRDefault="005A3976" w:rsidP="0062347A">
      <w:pPr>
        <w:spacing w:line="360" w:lineRule="auto"/>
        <w:jc w:val="both"/>
        <w:rPr>
          <w:u w:val="single"/>
          <w:lang w:val="en-US"/>
        </w:rPr>
      </w:pPr>
    </w:p>
    <w:p w14:paraId="75358CF7" w14:textId="4A54401D" w:rsidR="005A3976" w:rsidRDefault="005A3976" w:rsidP="0062347A">
      <w:pPr>
        <w:pStyle w:val="Heading3"/>
        <w:spacing w:line="360" w:lineRule="auto"/>
        <w:jc w:val="both"/>
        <w:rPr>
          <w:rFonts w:ascii="Times New Roman" w:hAnsi="Times New Roman" w:cs="Times New Roman"/>
          <w:b/>
          <w:bCs/>
          <w:color w:val="auto"/>
          <w:sz w:val="28"/>
          <w:szCs w:val="28"/>
        </w:rPr>
      </w:pPr>
      <w:bookmarkStart w:id="16" w:name="_Toc187056116"/>
      <w:r w:rsidRPr="00683921">
        <w:rPr>
          <w:rFonts w:ascii="Times New Roman" w:hAnsi="Times New Roman" w:cs="Times New Roman"/>
          <w:b/>
          <w:bCs/>
          <w:color w:val="auto"/>
          <w:sz w:val="28"/>
          <w:szCs w:val="28"/>
        </w:rPr>
        <w:t>Recommendations</w:t>
      </w:r>
      <w:r w:rsidR="00683921">
        <w:rPr>
          <w:rFonts w:ascii="Times New Roman" w:hAnsi="Times New Roman" w:cs="Times New Roman"/>
          <w:b/>
          <w:bCs/>
          <w:color w:val="auto"/>
          <w:sz w:val="28"/>
          <w:szCs w:val="28"/>
        </w:rPr>
        <w:t>:</w:t>
      </w:r>
      <w:bookmarkEnd w:id="16"/>
    </w:p>
    <w:p w14:paraId="5076D8A7" w14:textId="77777777" w:rsidR="00683921" w:rsidRPr="00683921" w:rsidRDefault="00683921" w:rsidP="0062347A">
      <w:pPr>
        <w:spacing w:line="360" w:lineRule="auto"/>
      </w:pPr>
    </w:p>
    <w:p w14:paraId="4DE97D11" w14:textId="30A29C18" w:rsidR="00971648" w:rsidRPr="00B71F0A" w:rsidRDefault="00971648" w:rsidP="0062347A">
      <w:pPr>
        <w:pStyle w:val="ListParagraph"/>
        <w:numPr>
          <w:ilvl w:val="0"/>
          <w:numId w:val="35"/>
        </w:numPr>
        <w:spacing w:line="360" w:lineRule="auto"/>
        <w:jc w:val="both"/>
      </w:pPr>
      <w:r w:rsidRPr="00B71F0A">
        <w:t>Amend voter registration to allow individuals, especially transgender persons, to register based on their current residence without needing a "leaving residence letter."</w:t>
      </w:r>
    </w:p>
    <w:p w14:paraId="116FCA39" w14:textId="77777777" w:rsidR="00971648" w:rsidRPr="00971648" w:rsidRDefault="00971648" w:rsidP="0062347A">
      <w:pPr>
        <w:numPr>
          <w:ilvl w:val="0"/>
          <w:numId w:val="35"/>
        </w:numPr>
        <w:spacing w:line="360" w:lineRule="auto"/>
        <w:jc w:val="both"/>
      </w:pPr>
      <w:r w:rsidRPr="00971648">
        <w:t>Simplify NIC procedures for updating gender markers and personal details, removing discriminatory requirements.</w:t>
      </w:r>
    </w:p>
    <w:p w14:paraId="08ADA668" w14:textId="77777777" w:rsidR="00971648" w:rsidRPr="00971648" w:rsidRDefault="00971648" w:rsidP="0062347A">
      <w:pPr>
        <w:numPr>
          <w:ilvl w:val="0"/>
          <w:numId w:val="35"/>
        </w:numPr>
        <w:spacing w:line="360" w:lineRule="auto"/>
        <w:jc w:val="both"/>
      </w:pPr>
      <w:r w:rsidRPr="00971648">
        <w:t>Establish alternative verification methods for those without family documentation.</w:t>
      </w:r>
    </w:p>
    <w:p w14:paraId="594BEF15" w14:textId="77777777" w:rsidR="00971648" w:rsidRPr="00B71F0A" w:rsidRDefault="00971648" w:rsidP="0062347A">
      <w:pPr>
        <w:spacing w:line="360" w:lineRule="auto"/>
        <w:rPr>
          <w:lang w:val="en-US"/>
        </w:rPr>
      </w:pPr>
    </w:p>
    <w:p w14:paraId="35BC8B80" w14:textId="65944AE6" w:rsidR="00910EFF" w:rsidRPr="00683921" w:rsidRDefault="00910EFF" w:rsidP="0062347A">
      <w:pPr>
        <w:pStyle w:val="Heading1"/>
        <w:spacing w:line="360" w:lineRule="auto"/>
        <w:jc w:val="both"/>
        <w:rPr>
          <w:rFonts w:ascii="Times New Roman" w:hAnsi="Times New Roman" w:cs="Times New Roman"/>
          <w:b/>
          <w:bCs/>
          <w:color w:val="auto"/>
          <w:sz w:val="28"/>
          <w:szCs w:val="28"/>
          <w:shd w:val="clear" w:color="auto" w:fill="FFFFFF"/>
        </w:rPr>
      </w:pPr>
      <w:bookmarkStart w:id="17" w:name="_Toc187056117"/>
      <w:r w:rsidRPr="00683921">
        <w:rPr>
          <w:rFonts w:ascii="Times New Roman" w:hAnsi="Times New Roman" w:cs="Times New Roman"/>
          <w:b/>
          <w:bCs/>
          <w:color w:val="auto"/>
          <w:sz w:val="28"/>
          <w:szCs w:val="28"/>
          <w:shd w:val="clear" w:color="auto" w:fill="FFFFFF"/>
        </w:rPr>
        <w:t>Article 12</w:t>
      </w:r>
      <w:r w:rsidR="00683921">
        <w:rPr>
          <w:rFonts w:ascii="Times New Roman" w:hAnsi="Times New Roman" w:cs="Times New Roman"/>
          <w:b/>
          <w:bCs/>
          <w:color w:val="auto"/>
          <w:sz w:val="28"/>
          <w:szCs w:val="28"/>
          <w:shd w:val="clear" w:color="auto" w:fill="FFFFFF"/>
        </w:rPr>
        <w:t>:</w:t>
      </w:r>
      <w:bookmarkEnd w:id="17"/>
    </w:p>
    <w:p w14:paraId="51C66EF5" w14:textId="77777777" w:rsidR="00BF1E9F" w:rsidRPr="00B71F0A" w:rsidRDefault="00BF1E9F" w:rsidP="0062347A">
      <w:pPr>
        <w:pStyle w:val="ListParagraph"/>
        <w:spacing w:line="360" w:lineRule="auto"/>
        <w:jc w:val="both"/>
        <w:rPr>
          <w:lang w:val="en-US"/>
        </w:rPr>
      </w:pPr>
      <w:bookmarkStart w:id="18" w:name="_Hlk186530158"/>
    </w:p>
    <w:p w14:paraId="53297F18" w14:textId="02C8B265" w:rsidR="00BF1E9F" w:rsidRPr="00B71F0A" w:rsidRDefault="00BC71D8" w:rsidP="0062347A">
      <w:pPr>
        <w:pStyle w:val="ListParagraph"/>
        <w:numPr>
          <w:ilvl w:val="0"/>
          <w:numId w:val="24"/>
        </w:numPr>
        <w:spacing w:line="360" w:lineRule="auto"/>
        <w:jc w:val="both"/>
      </w:pPr>
      <w:r w:rsidRPr="00B71F0A">
        <w:t xml:space="preserve">Stigma and discrimination are common experiences of LBT women when they seek necessary medical care and support. National Policy on Gender Equality and Women’s Empowerment </w:t>
      </w:r>
      <w:r w:rsidR="0092308B" w:rsidRPr="00B71F0A">
        <w:t>highlights that LGBTQI+ individuals face discrimination in healthcare settings, leading to delays or avoidance in seeking care. The lack of confidentiality and disaggregated data on sexual orientation and gender identity reinforces inequities, violating Article 12 of CEDAW.</w:t>
      </w:r>
      <w:r w:rsidR="0092308B" w:rsidRPr="00B71F0A">
        <w:rPr>
          <w:rStyle w:val="FootnoteReference"/>
          <w:b/>
          <w:bCs/>
        </w:rPr>
        <w:footnoteReference w:id="34"/>
      </w:r>
    </w:p>
    <w:p w14:paraId="0ECCF2BB" w14:textId="77777777" w:rsidR="00BF1E9F" w:rsidRPr="00B71F0A" w:rsidRDefault="00BF1E9F" w:rsidP="0062347A">
      <w:pPr>
        <w:pStyle w:val="ListParagraph"/>
        <w:spacing w:line="360" w:lineRule="auto"/>
        <w:jc w:val="both"/>
      </w:pPr>
    </w:p>
    <w:p w14:paraId="350CEAFB" w14:textId="79FD8B11" w:rsidR="0092308B" w:rsidRPr="00B71F0A" w:rsidRDefault="0092308B" w:rsidP="0062347A">
      <w:pPr>
        <w:pStyle w:val="ListParagraph"/>
        <w:spacing w:line="360" w:lineRule="auto"/>
        <w:jc w:val="both"/>
        <w:rPr>
          <w:lang w:val="en-US"/>
        </w:rPr>
      </w:pPr>
      <w:r w:rsidRPr="00B71F0A">
        <w:t>Testimony</w:t>
      </w:r>
      <w:r w:rsidRPr="00B71F0A">
        <w:rPr>
          <w:rStyle w:val="FootnoteReference"/>
        </w:rPr>
        <w:footnoteReference w:id="35"/>
      </w:r>
      <w:r w:rsidRPr="00B71F0A">
        <w:t xml:space="preserve"> : Harishma, a transgender woman, visited the Colombo National Hospital for her monthly diabetes clinic appointment. During her examination, the doctor asked her, "Why are you living like a woman? You even have breasts, don't you? How are they that big?" Despite explaining that she was taking Diane-35 hormone medication and identifying as a transgender woman, the doctor instructed her to remove her T-shirt, examined her chest, and called over five medical students </w:t>
      </w:r>
      <w:r w:rsidR="00933AE0" w:rsidRPr="00B71F0A">
        <w:t>who</w:t>
      </w:r>
      <w:r w:rsidR="00964539" w:rsidRPr="00B71F0A">
        <w:t xml:space="preserve"> </w:t>
      </w:r>
      <w:r w:rsidR="00933AE0" w:rsidRPr="00B71F0A">
        <w:t>then sta</w:t>
      </w:r>
      <w:r w:rsidRPr="00B71F0A">
        <w:t xml:space="preserve">red and laughed leaving Harishma visibly uncomfortable, humiliated, and mentally distressed. </w:t>
      </w:r>
    </w:p>
    <w:p w14:paraId="20905B9D" w14:textId="77777777" w:rsidR="00BF1E9F" w:rsidRPr="0062347A" w:rsidRDefault="00BF1E9F" w:rsidP="0062347A">
      <w:pPr>
        <w:spacing w:line="360" w:lineRule="auto"/>
        <w:jc w:val="both"/>
        <w:rPr>
          <w:lang w:val="en-US"/>
        </w:rPr>
      </w:pPr>
    </w:p>
    <w:p w14:paraId="3821D3A2" w14:textId="778B14A8" w:rsidR="00910EFF" w:rsidRDefault="00910EFF" w:rsidP="0062347A">
      <w:pPr>
        <w:pStyle w:val="Heading3"/>
        <w:spacing w:line="360" w:lineRule="auto"/>
        <w:jc w:val="both"/>
        <w:rPr>
          <w:rFonts w:ascii="Times New Roman" w:hAnsi="Times New Roman" w:cs="Times New Roman"/>
          <w:b/>
          <w:bCs/>
          <w:color w:val="auto"/>
          <w:sz w:val="28"/>
          <w:szCs w:val="28"/>
        </w:rPr>
      </w:pPr>
      <w:bookmarkStart w:id="19" w:name="_Toc187056118"/>
      <w:bookmarkEnd w:id="18"/>
      <w:r w:rsidRPr="00683921">
        <w:rPr>
          <w:rFonts w:ascii="Times New Roman" w:hAnsi="Times New Roman" w:cs="Times New Roman"/>
          <w:b/>
          <w:bCs/>
          <w:color w:val="auto"/>
          <w:sz w:val="28"/>
          <w:szCs w:val="28"/>
        </w:rPr>
        <w:t>Recommendations</w:t>
      </w:r>
      <w:r w:rsidR="00683921">
        <w:rPr>
          <w:rFonts w:ascii="Times New Roman" w:hAnsi="Times New Roman" w:cs="Times New Roman"/>
          <w:b/>
          <w:bCs/>
          <w:color w:val="auto"/>
          <w:sz w:val="28"/>
          <w:szCs w:val="28"/>
        </w:rPr>
        <w:t>:</w:t>
      </w:r>
      <w:bookmarkEnd w:id="19"/>
    </w:p>
    <w:p w14:paraId="1676B51E" w14:textId="77777777" w:rsidR="00683921" w:rsidRPr="00683921" w:rsidRDefault="00683921" w:rsidP="0062347A">
      <w:pPr>
        <w:spacing w:line="360" w:lineRule="auto"/>
      </w:pPr>
    </w:p>
    <w:p w14:paraId="2B97C5C8" w14:textId="3872D67F" w:rsidR="00971648" w:rsidRPr="00B71F0A" w:rsidRDefault="00971648" w:rsidP="0062347A">
      <w:pPr>
        <w:pStyle w:val="ListParagraph"/>
        <w:numPr>
          <w:ilvl w:val="0"/>
          <w:numId w:val="36"/>
        </w:numPr>
        <w:spacing w:line="360" w:lineRule="auto"/>
        <w:jc w:val="both"/>
      </w:pPr>
      <w:r w:rsidRPr="00B71F0A">
        <w:lastRenderedPageBreak/>
        <w:t>Mandate SOGIESC sensitivity training, enforce confidentiality, and recognize gender identity without documentation.</w:t>
      </w:r>
    </w:p>
    <w:p w14:paraId="788B5867" w14:textId="3663ADFB" w:rsidR="00971648" w:rsidRPr="00971648" w:rsidRDefault="00971648" w:rsidP="0062347A">
      <w:pPr>
        <w:numPr>
          <w:ilvl w:val="0"/>
          <w:numId w:val="36"/>
        </w:numPr>
        <w:spacing w:line="360" w:lineRule="auto"/>
        <w:jc w:val="both"/>
      </w:pPr>
      <w:r w:rsidRPr="00971648">
        <w:t>Create complaint mechanisms, monitor compliance, and provide specialized healthcare for gender-affirming care</w:t>
      </w:r>
      <w:r w:rsidRPr="00B71F0A">
        <w:t xml:space="preserve"> and </w:t>
      </w:r>
      <w:r w:rsidRPr="00971648">
        <w:t xml:space="preserve">mental </w:t>
      </w:r>
      <w:r w:rsidRPr="00B71F0A">
        <w:t xml:space="preserve">health </w:t>
      </w:r>
    </w:p>
    <w:p w14:paraId="14CB63F4" w14:textId="77777777" w:rsidR="00971648" w:rsidRPr="00971648" w:rsidRDefault="00971648" w:rsidP="0062347A">
      <w:pPr>
        <w:numPr>
          <w:ilvl w:val="0"/>
          <w:numId w:val="36"/>
        </w:numPr>
        <w:spacing w:line="360" w:lineRule="auto"/>
        <w:jc w:val="both"/>
      </w:pPr>
      <w:r w:rsidRPr="00971648">
        <w:t>Regularly evaluate policies and engage LBT communities to address healthcare disparities.</w:t>
      </w:r>
    </w:p>
    <w:p w14:paraId="59DF373D" w14:textId="77777777" w:rsidR="00971648" w:rsidRPr="00B71F0A" w:rsidRDefault="00971648" w:rsidP="0062347A">
      <w:pPr>
        <w:spacing w:line="360" w:lineRule="auto"/>
        <w:rPr>
          <w:lang w:val="en-US"/>
        </w:rPr>
      </w:pPr>
    </w:p>
    <w:p w14:paraId="1BAA95BA" w14:textId="39F9BA7F" w:rsidR="00910EFF" w:rsidRPr="00683921" w:rsidRDefault="00910EFF" w:rsidP="0062347A">
      <w:pPr>
        <w:pStyle w:val="Heading1"/>
        <w:spacing w:line="360" w:lineRule="auto"/>
        <w:jc w:val="both"/>
        <w:rPr>
          <w:rFonts w:ascii="Times New Roman" w:hAnsi="Times New Roman" w:cs="Times New Roman"/>
          <w:b/>
          <w:bCs/>
          <w:color w:val="auto"/>
          <w:sz w:val="28"/>
          <w:szCs w:val="28"/>
          <w:shd w:val="clear" w:color="auto" w:fill="FFFFFF"/>
        </w:rPr>
      </w:pPr>
      <w:bookmarkStart w:id="20" w:name="_Toc187056119"/>
      <w:r w:rsidRPr="00683921">
        <w:rPr>
          <w:rFonts w:ascii="Times New Roman" w:hAnsi="Times New Roman" w:cs="Times New Roman"/>
          <w:b/>
          <w:bCs/>
          <w:color w:val="auto"/>
          <w:sz w:val="28"/>
          <w:szCs w:val="28"/>
          <w:shd w:val="clear" w:color="auto" w:fill="FFFFFF"/>
        </w:rPr>
        <w:t>Article 15</w:t>
      </w:r>
      <w:r w:rsidR="00683921">
        <w:rPr>
          <w:rFonts w:ascii="Times New Roman" w:hAnsi="Times New Roman" w:cs="Times New Roman"/>
          <w:b/>
          <w:bCs/>
          <w:color w:val="auto"/>
          <w:sz w:val="28"/>
          <w:szCs w:val="28"/>
          <w:shd w:val="clear" w:color="auto" w:fill="FFFFFF"/>
        </w:rPr>
        <w:t>:</w:t>
      </w:r>
      <w:bookmarkEnd w:id="20"/>
    </w:p>
    <w:p w14:paraId="58874229" w14:textId="77777777" w:rsidR="00971648" w:rsidRPr="00B71F0A" w:rsidRDefault="00971648" w:rsidP="0062347A">
      <w:pPr>
        <w:spacing w:line="360" w:lineRule="auto"/>
      </w:pPr>
    </w:p>
    <w:p w14:paraId="6CC33594" w14:textId="77777777" w:rsidR="00BF1E9F" w:rsidRPr="00B71F0A" w:rsidRDefault="00E06821" w:rsidP="0062347A">
      <w:pPr>
        <w:pStyle w:val="ListParagraph"/>
        <w:numPr>
          <w:ilvl w:val="0"/>
          <w:numId w:val="24"/>
        </w:numPr>
        <w:spacing w:line="360" w:lineRule="auto"/>
        <w:jc w:val="both"/>
      </w:pPr>
      <w:r w:rsidRPr="00B71F0A">
        <w:t>Criminalisation of same sex conduct</w:t>
      </w:r>
      <w:r w:rsidR="00910EFF" w:rsidRPr="00B71F0A">
        <w:t xml:space="preserve"> impacts </w:t>
      </w:r>
      <w:r w:rsidRPr="00B71F0A">
        <w:t>LBT women’s</w:t>
      </w:r>
      <w:r w:rsidR="00910EFF" w:rsidRPr="00B71F0A">
        <w:t xml:space="preserve"> access to justice</w:t>
      </w:r>
      <w:r w:rsidRPr="00B71F0A">
        <w:t xml:space="preserve">, especially when engaging with law enforcement. </w:t>
      </w:r>
    </w:p>
    <w:p w14:paraId="3DED5330" w14:textId="77777777" w:rsidR="00BF1E9F" w:rsidRPr="00B71F0A" w:rsidRDefault="00BF1E9F" w:rsidP="0062347A">
      <w:pPr>
        <w:pStyle w:val="ListParagraph"/>
        <w:spacing w:line="360" w:lineRule="auto"/>
        <w:jc w:val="both"/>
      </w:pPr>
    </w:p>
    <w:p w14:paraId="15E63767" w14:textId="77777777" w:rsidR="00BF1E9F" w:rsidRPr="00B71F0A" w:rsidRDefault="00360318" w:rsidP="0062347A">
      <w:pPr>
        <w:pStyle w:val="ListParagraph"/>
        <w:numPr>
          <w:ilvl w:val="0"/>
          <w:numId w:val="24"/>
        </w:numPr>
        <w:spacing w:line="360" w:lineRule="auto"/>
        <w:jc w:val="both"/>
      </w:pPr>
      <w:r w:rsidRPr="00B71F0A">
        <w:t xml:space="preserve">Recalling the Committee’s General Recommendation No. 33 (2015), together with the previous concluding observations (CEDAW/C/LKA/CO/8, para. 15), and in response to the State (CEDAW/C/LKA/RQ/9, para 35), asserting that periodic awareness programs on human rights, fundamental rights, and women’s rights incorporating CEDAW provisions have been conducted by police officers assigned to the Children and Women’s Desks in collaboration with the Bureau for the Prevention of Abuse of Children and Women; while these initiatives are noted, there is limited evidence to support the State’s claims regarding their effectiveness. </w:t>
      </w:r>
    </w:p>
    <w:p w14:paraId="3BE829E2" w14:textId="77777777" w:rsidR="00BF1E9F" w:rsidRPr="00B71F0A" w:rsidRDefault="00BF1E9F" w:rsidP="0062347A">
      <w:pPr>
        <w:pStyle w:val="ListParagraph"/>
        <w:spacing w:line="360" w:lineRule="auto"/>
      </w:pPr>
    </w:p>
    <w:p w14:paraId="6A86A115" w14:textId="77777777" w:rsidR="00BF1E9F" w:rsidRPr="00B71F0A" w:rsidRDefault="00360318" w:rsidP="0062347A">
      <w:pPr>
        <w:pStyle w:val="ListParagraph"/>
        <w:numPr>
          <w:ilvl w:val="0"/>
          <w:numId w:val="24"/>
        </w:numPr>
        <w:spacing w:line="360" w:lineRule="auto"/>
        <w:jc w:val="both"/>
      </w:pPr>
      <w:r w:rsidRPr="00B71F0A">
        <w:t xml:space="preserve">Further efforts seen in the </w:t>
      </w:r>
      <w:r w:rsidR="00636D45" w:rsidRPr="00B71F0A">
        <w:t xml:space="preserve">police </w:t>
      </w:r>
      <w:r w:rsidRPr="00B71F0A">
        <w:t xml:space="preserve">circular </w:t>
      </w:r>
      <w:r w:rsidRPr="00B71F0A">
        <w:rPr>
          <w:i/>
          <w:iCs/>
        </w:rPr>
        <w:t>“Matters to Be Considered When Dealing with Transgender People and People Who Have Undergone Gender Transition,”</w:t>
      </w:r>
      <w:r w:rsidRPr="00B71F0A">
        <w:rPr>
          <w:rStyle w:val="FootnoteReference"/>
        </w:rPr>
        <w:footnoteReference w:id="36"/>
      </w:r>
      <w:r w:rsidRPr="00B71F0A">
        <w:t xml:space="preserve">  which has since been amended to </w:t>
      </w:r>
      <w:r w:rsidRPr="00B71F0A">
        <w:rPr>
          <w:i/>
          <w:iCs/>
        </w:rPr>
        <w:t>“transgender person and person who underwent gender transition”</w:t>
      </w:r>
      <w:r w:rsidRPr="00B71F0A">
        <w:t xml:space="preserve"> with </w:t>
      </w:r>
      <w:r w:rsidRPr="00B71F0A">
        <w:rPr>
          <w:i/>
          <w:iCs/>
        </w:rPr>
        <w:t>“LGBTIQ Community”</w:t>
      </w:r>
      <w:r w:rsidRPr="00B71F0A">
        <w:t xml:space="preserve"> to broaden its scope.</w:t>
      </w:r>
      <w:r w:rsidRPr="00B71F0A">
        <w:rPr>
          <w:rStyle w:val="FootnoteReference"/>
        </w:rPr>
        <w:footnoteReference w:id="37"/>
      </w:r>
      <w:r w:rsidRPr="00B71F0A">
        <w:t xml:space="preserve">  However, despite these directives, ongoing reports indicate that the circular has been poorly implemented. </w:t>
      </w:r>
    </w:p>
    <w:p w14:paraId="49DE8E4D" w14:textId="77777777" w:rsidR="00BF1E9F" w:rsidRPr="00B71F0A" w:rsidRDefault="00BF1E9F" w:rsidP="0062347A">
      <w:pPr>
        <w:pStyle w:val="ListParagraph"/>
        <w:spacing w:line="360" w:lineRule="auto"/>
      </w:pPr>
    </w:p>
    <w:p w14:paraId="4E0FE1F3" w14:textId="40376205" w:rsidR="00BF1E9F" w:rsidRPr="00B71F0A" w:rsidRDefault="00360318" w:rsidP="0062347A">
      <w:pPr>
        <w:pStyle w:val="ListParagraph"/>
        <w:numPr>
          <w:ilvl w:val="0"/>
          <w:numId w:val="24"/>
        </w:numPr>
        <w:spacing w:line="360" w:lineRule="auto"/>
        <w:jc w:val="both"/>
      </w:pPr>
      <w:r w:rsidRPr="00B71F0A">
        <w:lastRenderedPageBreak/>
        <w:t>The HRCSL also issued Guidelines for Police Officers to Protect Transgender</w:t>
      </w:r>
      <w:r w:rsidRPr="00B71F0A">
        <w:rPr>
          <w:rStyle w:val="FootnoteReference"/>
        </w:rPr>
        <w:footnoteReference w:id="38"/>
      </w:r>
      <w:r w:rsidR="00674BC9">
        <w:t xml:space="preserve"> but</w:t>
      </w:r>
      <w:r w:rsidRPr="00B71F0A">
        <w:t xml:space="preserve"> neither the HRCSL nor the police have initiated public awareness campaigns to educate citizens about these guidelines or the remedies available for violations. Activists report that the scope of the guidelines could be expanded to include other state and military officials who also perpetrate violations against LGBTI persons.</w:t>
      </w:r>
    </w:p>
    <w:p w14:paraId="525C1798" w14:textId="77777777" w:rsidR="00BF1E9F" w:rsidRPr="00B71F0A" w:rsidRDefault="00BF1E9F" w:rsidP="0062347A">
      <w:pPr>
        <w:pStyle w:val="ListParagraph"/>
        <w:spacing w:line="360" w:lineRule="auto"/>
        <w:rPr>
          <w:i/>
          <w:iCs/>
        </w:rPr>
      </w:pPr>
    </w:p>
    <w:p w14:paraId="03AA57B7" w14:textId="203B2CAB" w:rsidR="000F6FDC" w:rsidRPr="00B71F0A" w:rsidRDefault="00636D45" w:rsidP="0062347A">
      <w:pPr>
        <w:pStyle w:val="ListParagraph"/>
        <w:numPr>
          <w:ilvl w:val="0"/>
          <w:numId w:val="24"/>
        </w:numPr>
        <w:spacing w:line="360" w:lineRule="auto"/>
        <w:jc w:val="both"/>
      </w:pPr>
      <w:r w:rsidRPr="00B71F0A">
        <w:rPr>
          <w:i/>
          <w:iCs/>
        </w:rPr>
        <w:t xml:space="preserve">A BRIDGE to Equality </w:t>
      </w:r>
      <w:r w:rsidRPr="00B71F0A">
        <w:t>report documented that police were responsible for 96 of the 235 human rights violations against LGBTI persons recorded between August 2021 and March 2023.</w:t>
      </w:r>
      <w:r w:rsidRPr="00B71F0A">
        <w:rPr>
          <w:rStyle w:val="FootnoteReference"/>
          <w:color w:val="000000"/>
        </w:rPr>
        <w:t xml:space="preserve"> </w:t>
      </w:r>
      <w:r w:rsidRPr="00B71F0A">
        <w:rPr>
          <w:rStyle w:val="FootnoteReference"/>
          <w:color w:val="000000"/>
        </w:rPr>
        <w:footnoteReference w:id="39"/>
      </w:r>
      <w:r w:rsidRPr="00B71F0A">
        <w:rPr>
          <w:color w:val="000000"/>
        </w:rPr>
        <w:t xml:space="preserve"> </w:t>
      </w:r>
      <w:r w:rsidRPr="00B71F0A">
        <w:t xml:space="preserve"> These violations include refusal to register complaints, harassment, abuse under public nuisance laws, drug planting, and misuse of public health laws during the COVID-19 pandemic. Police misconduct extends to using detention as a means to solicit sexual bribes or commit sexual abuse, undermining trust in law enforcement and deterring victims from seeking justice.</w:t>
      </w:r>
    </w:p>
    <w:p w14:paraId="38F3B4E3" w14:textId="77777777" w:rsidR="000F6FDC" w:rsidRPr="00B71F0A" w:rsidRDefault="000F6FDC" w:rsidP="0062347A">
      <w:pPr>
        <w:pStyle w:val="ListParagraph"/>
        <w:spacing w:line="360" w:lineRule="auto"/>
      </w:pPr>
    </w:p>
    <w:p w14:paraId="6B01BDFE" w14:textId="5AF8538E" w:rsidR="00636D45" w:rsidRPr="00B71F0A" w:rsidRDefault="00636D45" w:rsidP="0062347A">
      <w:pPr>
        <w:pStyle w:val="ListParagraph"/>
        <w:spacing w:line="360" w:lineRule="auto"/>
        <w:jc w:val="both"/>
      </w:pPr>
      <w:r w:rsidRPr="00B71F0A">
        <w:t>Testimony:</w:t>
      </w:r>
      <w:r w:rsidRPr="00B71F0A">
        <w:rPr>
          <w:rStyle w:val="FootnoteReference"/>
        </w:rPr>
        <w:footnoteReference w:id="40"/>
      </w:r>
      <w:r w:rsidRPr="00B71F0A">
        <w:t xml:space="preserve"> Salitha, a 40-year-old transgender woman, shared her ordeal of police brutality. </w:t>
      </w:r>
      <w:r w:rsidR="000F6FDC" w:rsidRPr="00B71F0A">
        <w:rPr>
          <w:lang w:val="en-US"/>
        </w:rPr>
        <w:t>A</w:t>
      </w:r>
      <w:r w:rsidRPr="00B71F0A">
        <w:t xml:space="preserve"> police officer </w:t>
      </w:r>
      <w:r w:rsidR="000F6FDC" w:rsidRPr="00B71F0A">
        <w:rPr>
          <w:lang w:val="en-US"/>
        </w:rPr>
        <w:t xml:space="preserve">forcibly took her to the station where he verbally abused her, </w:t>
      </w:r>
      <w:r w:rsidRPr="00B71F0A">
        <w:t xml:space="preserve">said, </w:t>
      </w:r>
      <w:r w:rsidRPr="00B71F0A">
        <w:rPr>
          <w:i/>
          <w:iCs/>
        </w:rPr>
        <w:t>“Didn’t I tell you guys who wear women’s clothes not to go out on the streets to do ponnaya</w:t>
      </w:r>
      <w:r w:rsidR="000F6FDC" w:rsidRPr="00B71F0A">
        <w:rPr>
          <w:rStyle w:val="FootnoteReference"/>
          <w:i/>
          <w:iCs/>
        </w:rPr>
        <w:footnoteReference w:id="41"/>
      </w:r>
      <w:r w:rsidRPr="00B71F0A">
        <w:rPr>
          <w:i/>
          <w:iCs/>
        </w:rPr>
        <w:t>?”</w:t>
      </w:r>
      <w:r w:rsidRPr="00B71F0A">
        <w:t xml:space="preserve"> </w:t>
      </w:r>
      <w:r w:rsidR="000F6FDC" w:rsidRPr="00B71F0A">
        <w:rPr>
          <w:lang w:val="en-US"/>
        </w:rPr>
        <w:t xml:space="preserve">She was then brutally assaulted and beaten with brooms, books etc. </w:t>
      </w:r>
    </w:p>
    <w:p w14:paraId="3CE2ACD0" w14:textId="77777777" w:rsidR="00636D45" w:rsidRPr="00B71F0A" w:rsidRDefault="00636D45" w:rsidP="0062347A">
      <w:pPr>
        <w:spacing w:line="360" w:lineRule="auto"/>
        <w:jc w:val="both"/>
      </w:pPr>
    </w:p>
    <w:p w14:paraId="7AD32BBD" w14:textId="77777777" w:rsidR="00DB56AF" w:rsidRPr="00B71F0A" w:rsidRDefault="00636D45" w:rsidP="0062347A">
      <w:pPr>
        <w:pStyle w:val="ListParagraph"/>
        <w:numPr>
          <w:ilvl w:val="0"/>
          <w:numId w:val="24"/>
        </w:numPr>
        <w:spacing w:line="360" w:lineRule="auto"/>
        <w:jc w:val="both"/>
      </w:pPr>
      <w:r w:rsidRPr="00B71F0A">
        <w:t>The Penal Code's provision on unnatural offences continues to be used to target LGBTI persons. Official records from 2022 noted 571 cases of "unnatural offences and grave sexual abuse," with 429 still under investigation.</w:t>
      </w:r>
      <w:r w:rsidRPr="00B71F0A">
        <w:rPr>
          <w:rStyle w:val="FootnoteReference"/>
        </w:rPr>
        <w:footnoteReference w:id="42"/>
      </w:r>
      <w:r w:rsidRPr="00B71F0A">
        <w:t xml:space="preserve"> However, the lack of disaggregated data blurs the distinction between consensual same-sex conduct and non-consensual offences like child abuse, perpetuating harmful misconceptions. Efforts to obtain detailed data through right-to-information requests have been unsuccessful, with activists noting that many incidents go unreported.</w:t>
      </w:r>
      <w:r w:rsidRPr="00B71F0A">
        <w:rPr>
          <w:rStyle w:val="FootnoteReference"/>
        </w:rPr>
        <w:t xml:space="preserve"> </w:t>
      </w:r>
      <w:r w:rsidRPr="00B71F0A">
        <w:rPr>
          <w:rStyle w:val="FootnoteReference"/>
        </w:rPr>
        <w:footnoteReference w:id="43"/>
      </w:r>
      <w:r w:rsidRPr="00B71F0A">
        <w:t xml:space="preserve"> </w:t>
      </w:r>
    </w:p>
    <w:p w14:paraId="0838CDD4" w14:textId="77777777" w:rsidR="00DB56AF" w:rsidRPr="00B71F0A" w:rsidRDefault="00DB56AF" w:rsidP="0062347A">
      <w:pPr>
        <w:pStyle w:val="ListParagraph"/>
        <w:spacing w:line="360" w:lineRule="auto"/>
        <w:jc w:val="both"/>
        <w:rPr>
          <w:lang w:val="en-US"/>
        </w:rPr>
      </w:pPr>
    </w:p>
    <w:p w14:paraId="6E3C0C7F" w14:textId="1241FAA2" w:rsidR="00636D45" w:rsidRPr="00B71F0A" w:rsidRDefault="00636D45" w:rsidP="0062347A">
      <w:pPr>
        <w:pStyle w:val="ListParagraph"/>
        <w:spacing w:line="360" w:lineRule="auto"/>
        <w:jc w:val="both"/>
      </w:pPr>
      <w:r w:rsidRPr="00B71F0A">
        <w:lastRenderedPageBreak/>
        <w:t>Testimony:</w:t>
      </w:r>
      <w:r w:rsidRPr="00B71F0A">
        <w:rPr>
          <w:rStyle w:val="FootnoteReference"/>
        </w:rPr>
        <w:footnoteReference w:id="44"/>
      </w:r>
      <w:r w:rsidRPr="00B71F0A">
        <w:t xml:space="preserve"> Punsara, a 24-year-old transgender male, </w:t>
      </w:r>
      <w:r w:rsidR="000F6FDC" w:rsidRPr="00B71F0A">
        <w:rPr>
          <w:lang w:val="en-US"/>
        </w:rPr>
        <w:t>shared their experience where the</w:t>
      </w:r>
      <w:r w:rsidRPr="00B71F0A">
        <w:t xml:space="preserve"> police failed to take action. </w:t>
      </w:r>
      <w:r w:rsidR="000F6FDC" w:rsidRPr="00B71F0A">
        <w:rPr>
          <w:lang w:val="en-US"/>
        </w:rPr>
        <w:t>They humiliated him</w:t>
      </w:r>
      <w:r w:rsidRPr="00B71F0A">
        <w:t xml:space="preserve">, </w:t>
      </w:r>
      <w:r w:rsidRPr="00B71F0A">
        <w:rPr>
          <w:i/>
          <w:iCs/>
        </w:rPr>
        <w:t>"If you're a girl, stay like a girl. Why are you changing like that? Stay as you were before."</w:t>
      </w:r>
      <w:r w:rsidRPr="00B71F0A">
        <w:t xml:space="preserve"> The officer later publicly mocked Punsara near the court. </w:t>
      </w:r>
    </w:p>
    <w:p w14:paraId="781DE65C" w14:textId="77777777" w:rsidR="000F6FDC" w:rsidRPr="00B71F0A" w:rsidRDefault="000F6FDC" w:rsidP="0062347A">
      <w:pPr>
        <w:spacing w:line="360" w:lineRule="auto"/>
        <w:jc w:val="both"/>
        <w:rPr>
          <w:lang w:val="en-US"/>
        </w:rPr>
      </w:pPr>
    </w:p>
    <w:p w14:paraId="5DB92A0D" w14:textId="77777777" w:rsidR="00DB56AF" w:rsidRPr="00B71F0A" w:rsidRDefault="0070074A" w:rsidP="0062347A">
      <w:pPr>
        <w:pStyle w:val="ListParagraph"/>
        <w:numPr>
          <w:ilvl w:val="0"/>
          <w:numId w:val="24"/>
        </w:numPr>
        <w:spacing w:line="360" w:lineRule="auto"/>
        <w:jc w:val="both"/>
        <w:rPr>
          <w:lang w:val="en-US"/>
        </w:rPr>
      </w:pPr>
      <w:r w:rsidRPr="00B71F0A">
        <w:t>Further, there are precarious legal provisions like the Prevention of Terrorism Act (PTA)</w:t>
      </w:r>
      <w:r w:rsidRPr="00B71F0A">
        <w:rPr>
          <w:rStyle w:val="FootnoteReference"/>
        </w:rPr>
        <w:footnoteReference w:id="45"/>
      </w:r>
      <w:r w:rsidR="008968DE" w:rsidRPr="00B71F0A">
        <w:rPr>
          <w:lang w:val="en-US"/>
        </w:rPr>
        <w:t xml:space="preserve"> which </w:t>
      </w:r>
      <w:r w:rsidR="008968DE" w:rsidRPr="00B71F0A">
        <w:t xml:space="preserve">Transgender individuals fear </w:t>
      </w:r>
      <w:r w:rsidR="008968DE" w:rsidRPr="00B71F0A">
        <w:rPr>
          <w:lang w:val="en-US"/>
        </w:rPr>
        <w:t>due to potential of</w:t>
      </w:r>
      <w:r w:rsidR="008968DE" w:rsidRPr="00B71F0A">
        <w:t xml:space="preserve"> misuse </w:t>
      </w:r>
      <w:r w:rsidR="008968DE" w:rsidRPr="00B71F0A">
        <w:rPr>
          <w:lang w:val="en-US"/>
        </w:rPr>
        <w:t>incase of</w:t>
      </w:r>
      <w:r w:rsidR="008968DE" w:rsidRPr="00B71F0A">
        <w:t xml:space="preserve"> mismatched physical features and identity documents</w:t>
      </w:r>
      <w:r w:rsidR="008968DE" w:rsidRPr="00B71F0A">
        <w:rPr>
          <w:lang w:val="en-US"/>
        </w:rPr>
        <w:t xml:space="preserve">. </w:t>
      </w:r>
    </w:p>
    <w:p w14:paraId="421D3CC3" w14:textId="77777777" w:rsidR="00DB56AF" w:rsidRPr="00B71F0A" w:rsidRDefault="00DB56AF" w:rsidP="0062347A">
      <w:pPr>
        <w:pStyle w:val="ListParagraph"/>
        <w:spacing w:line="360" w:lineRule="auto"/>
        <w:jc w:val="both"/>
        <w:rPr>
          <w:lang w:val="en-US"/>
        </w:rPr>
      </w:pPr>
    </w:p>
    <w:p w14:paraId="679DAB29" w14:textId="77777777" w:rsidR="00DB56AF" w:rsidRPr="00B71F0A" w:rsidRDefault="008968DE" w:rsidP="0062347A">
      <w:pPr>
        <w:pStyle w:val="ListParagraph"/>
        <w:numPr>
          <w:ilvl w:val="0"/>
          <w:numId w:val="24"/>
        </w:numPr>
        <w:spacing w:line="360" w:lineRule="auto"/>
        <w:jc w:val="both"/>
        <w:rPr>
          <w:lang w:val="en-US"/>
        </w:rPr>
      </w:pPr>
      <w:r w:rsidRPr="00B71F0A">
        <w:rPr>
          <w:lang w:val="en-US"/>
        </w:rPr>
        <w:t xml:space="preserve">While the </w:t>
      </w:r>
      <w:r w:rsidRPr="00B71F0A">
        <w:t>Anti-Corruption Act, No. 9 of 2023</w:t>
      </w:r>
      <w:r w:rsidRPr="00B71F0A">
        <w:rPr>
          <w:lang w:val="en-US"/>
        </w:rPr>
        <w:t xml:space="preserve"> </w:t>
      </w:r>
      <w:r w:rsidRPr="00B71F0A">
        <w:t>broadly defin</w:t>
      </w:r>
      <w:r w:rsidR="00DB56AF" w:rsidRPr="00B71F0A">
        <w:rPr>
          <w:lang w:val="en-US"/>
        </w:rPr>
        <w:t>es</w:t>
      </w:r>
      <w:r w:rsidRPr="00B71F0A">
        <w:t xml:space="preserve"> sexual favour</w:t>
      </w:r>
      <w:r w:rsidR="00DB56AF" w:rsidRPr="00B71F0A">
        <w:rPr>
          <w:lang w:val="en-US"/>
        </w:rPr>
        <w:t xml:space="preserve"> where it </w:t>
      </w:r>
      <w:r w:rsidR="00DB56AF" w:rsidRPr="00B71F0A">
        <w:t>could address police abuse</w:t>
      </w:r>
      <w:r w:rsidR="00DB56AF" w:rsidRPr="00B71F0A">
        <w:rPr>
          <w:lang w:val="en-US"/>
        </w:rPr>
        <w:t xml:space="preserve"> for LBT persons</w:t>
      </w:r>
      <w:r w:rsidR="00DB56AF" w:rsidRPr="00B71F0A">
        <w:t>, including demands for sexual bribes—a common experience compounded by fears of detention or being "outed”.</w:t>
      </w:r>
      <w:r w:rsidR="00DB56AF" w:rsidRPr="00B71F0A">
        <w:rPr>
          <w:rStyle w:val="FootnoteReference"/>
        </w:rPr>
        <w:footnoteReference w:id="46"/>
      </w:r>
      <w:r w:rsidR="00DB56AF" w:rsidRPr="00B71F0A">
        <w:t xml:space="preserve">  </w:t>
      </w:r>
      <w:r w:rsidRPr="00B71F0A">
        <w:t xml:space="preserve">Survivors </w:t>
      </w:r>
      <w:r w:rsidR="00DB56AF" w:rsidRPr="00B71F0A">
        <w:rPr>
          <w:lang w:val="en-US"/>
        </w:rPr>
        <w:t xml:space="preserve">still </w:t>
      </w:r>
      <w:r w:rsidRPr="00B71F0A">
        <w:t>avoid reporting abuse</w:t>
      </w:r>
      <w:r w:rsidR="00DB56AF" w:rsidRPr="00B71F0A">
        <w:rPr>
          <w:lang w:val="en-US"/>
        </w:rPr>
        <w:t xml:space="preserve"> and the </w:t>
      </w:r>
      <w:r w:rsidRPr="00B71F0A">
        <w:t>Act's impact on curbing abuse by law enforcement remains to be seen</w:t>
      </w:r>
      <w:r w:rsidR="00DB56AF" w:rsidRPr="00B71F0A">
        <w:rPr>
          <w:lang w:val="en-US"/>
        </w:rPr>
        <w:t xml:space="preserve">. </w:t>
      </w:r>
    </w:p>
    <w:p w14:paraId="26BC3A5C" w14:textId="77777777" w:rsidR="00DB56AF" w:rsidRPr="00B71F0A" w:rsidRDefault="00DB56AF" w:rsidP="0062347A">
      <w:pPr>
        <w:pStyle w:val="ListParagraph"/>
        <w:spacing w:line="360" w:lineRule="auto"/>
      </w:pPr>
    </w:p>
    <w:p w14:paraId="6F5EF97B" w14:textId="4BCF37D4" w:rsidR="0070074A" w:rsidRPr="00B71F0A" w:rsidRDefault="0070074A" w:rsidP="0062347A">
      <w:pPr>
        <w:pStyle w:val="ListParagraph"/>
        <w:spacing w:line="360" w:lineRule="auto"/>
        <w:jc w:val="both"/>
        <w:rPr>
          <w:lang w:val="en-US"/>
        </w:rPr>
      </w:pPr>
      <w:r w:rsidRPr="00B71F0A">
        <w:t>Testimony</w:t>
      </w:r>
      <w:r w:rsidRPr="00B71F0A">
        <w:rPr>
          <w:rStyle w:val="FootnoteReference"/>
        </w:rPr>
        <w:footnoteReference w:id="47"/>
      </w:r>
      <w:r w:rsidRPr="00B71F0A">
        <w:t xml:space="preserve">by Diana, a transgender woman, recounts her harrowing experience of sexual bribery involving the police. </w:t>
      </w:r>
      <w:r w:rsidR="00DB56AF" w:rsidRPr="00B71F0A">
        <w:rPr>
          <w:lang w:val="en-US"/>
        </w:rPr>
        <w:t>A police officer aggressively demands</w:t>
      </w:r>
      <w:r w:rsidRPr="00B71F0A">
        <w:t xml:space="preserve"> "You have to be with me tonight, or you won’t be able to walk freely on the road," and, "If you don’t comply, I will arrest you, lock you up, and let others harass you in custody."</w:t>
      </w:r>
    </w:p>
    <w:p w14:paraId="3A86ADA2" w14:textId="77777777" w:rsidR="0070074A" w:rsidRDefault="0070074A" w:rsidP="0062347A">
      <w:pPr>
        <w:spacing w:line="360" w:lineRule="auto"/>
        <w:jc w:val="both"/>
        <w:rPr>
          <w:color w:val="000000" w:themeColor="text1"/>
        </w:rPr>
      </w:pPr>
    </w:p>
    <w:p w14:paraId="77D718BD" w14:textId="77777777" w:rsidR="0062347A" w:rsidRPr="00B71F0A" w:rsidRDefault="0062347A" w:rsidP="0062347A">
      <w:pPr>
        <w:spacing w:line="360" w:lineRule="auto"/>
        <w:jc w:val="both"/>
        <w:rPr>
          <w:color w:val="000000" w:themeColor="text1"/>
        </w:rPr>
      </w:pPr>
    </w:p>
    <w:p w14:paraId="197282BE" w14:textId="2957D785" w:rsidR="00E06821" w:rsidRDefault="00E06821" w:rsidP="0062347A">
      <w:pPr>
        <w:pStyle w:val="Heading3"/>
        <w:spacing w:line="360" w:lineRule="auto"/>
        <w:jc w:val="both"/>
        <w:rPr>
          <w:rFonts w:ascii="Times New Roman" w:hAnsi="Times New Roman" w:cs="Times New Roman"/>
          <w:b/>
          <w:bCs/>
          <w:color w:val="auto"/>
          <w:sz w:val="28"/>
          <w:szCs w:val="28"/>
        </w:rPr>
      </w:pPr>
      <w:bookmarkStart w:id="21" w:name="_Toc187056120"/>
      <w:r w:rsidRPr="00683921">
        <w:rPr>
          <w:rFonts w:ascii="Times New Roman" w:hAnsi="Times New Roman" w:cs="Times New Roman"/>
          <w:b/>
          <w:bCs/>
          <w:color w:val="auto"/>
          <w:sz w:val="28"/>
          <w:szCs w:val="28"/>
        </w:rPr>
        <w:lastRenderedPageBreak/>
        <w:t>Recommendations</w:t>
      </w:r>
      <w:r w:rsidR="00683921">
        <w:rPr>
          <w:rFonts w:ascii="Times New Roman" w:hAnsi="Times New Roman" w:cs="Times New Roman"/>
          <w:b/>
          <w:bCs/>
          <w:color w:val="auto"/>
          <w:sz w:val="28"/>
          <w:szCs w:val="28"/>
        </w:rPr>
        <w:t>:</w:t>
      </w:r>
      <w:bookmarkEnd w:id="21"/>
    </w:p>
    <w:p w14:paraId="082577D5" w14:textId="77777777" w:rsidR="00683921" w:rsidRPr="00683921" w:rsidRDefault="00683921" w:rsidP="0062347A">
      <w:pPr>
        <w:spacing w:line="360" w:lineRule="auto"/>
      </w:pPr>
    </w:p>
    <w:p w14:paraId="74264DD2" w14:textId="37D1816C" w:rsidR="00971648" w:rsidRPr="00B71F0A" w:rsidRDefault="00971648" w:rsidP="0062347A">
      <w:pPr>
        <w:pStyle w:val="ListParagraph"/>
        <w:numPr>
          <w:ilvl w:val="0"/>
          <w:numId w:val="37"/>
        </w:numPr>
        <w:spacing w:line="360" w:lineRule="auto"/>
        <w:jc w:val="both"/>
      </w:pPr>
      <w:r w:rsidRPr="00B71F0A">
        <w:t>Create SOGIESC units, enforce misconduct penalties, and establish independent oversight for police abuses.</w:t>
      </w:r>
    </w:p>
    <w:p w14:paraId="7C845551" w14:textId="77777777" w:rsidR="00971648" w:rsidRPr="00971648" w:rsidRDefault="00971648" w:rsidP="0062347A">
      <w:pPr>
        <w:numPr>
          <w:ilvl w:val="0"/>
          <w:numId w:val="37"/>
        </w:numPr>
        <w:spacing w:line="360" w:lineRule="auto"/>
        <w:jc w:val="both"/>
      </w:pPr>
      <w:r w:rsidRPr="00971648">
        <w:t>Strengthen accountability with safe reporting, clear protocols, and public anti-discrimination reports.</w:t>
      </w:r>
    </w:p>
    <w:p w14:paraId="7089AD5B" w14:textId="42A93798" w:rsidR="009808CB" w:rsidRPr="00B71F0A" w:rsidRDefault="00971648" w:rsidP="0062347A">
      <w:pPr>
        <w:numPr>
          <w:ilvl w:val="0"/>
          <w:numId w:val="37"/>
        </w:numPr>
        <w:spacing w:line="360" w:lineRule="auto"/>
        <w:jc w:val="both"/>
      </w:pPr>
      <w:r w:rsidRPr="00971648">
        <w:t>Provide legal aid, witness protection, and confidential complaints while improving systemic issues through data collection and training reviews.</w:t>
      </w:r>
    </w:p>
    <w:p w14:paraId="32C3B7E4" w14:textId="77777777" w:rsidR="00E06821" w:rsidRPr="00B71F0A" w:rsidRDefault="00E06821" w:rsidP="0062347A">
      <w:pPr>
        <w:spacing w:line="360" w:lineRule="auto"/>
        <w:jc w:val="both"/>
        <w:rPr>
          <w:color w:val="000000" w:themeColor="text1"/>
        </w:rPr>
      </w:pPr>
    </w:p>
    <w:p w14:paraId="1CB5DEAD" w14:textId="121F96B2" w:rsidR="00E06821" w:rsidRPr="00683921" w:rsidRDefault="00E06821" w:rsidP="0062347A">
      <w:pPr>
        <w:pStyle w:val="Heading1"/>
        <w:spacing w:line="360" w:lineRule="auto"/>
        <w:jc w:val="both"/>
        <w:rPr>
          <w:rFonts w:ascii="Times New Roman" w:hAnsi="Times New Roman" w:cs="Times New Roman"/>
          <w:b/>
          <w:bCs/>
          <w:color w:val="auto"/>
          <w:sz w:val="28"/>
          <w:szCs w:val="28"/>
          <w:lang w:val="en-US"/>
        </w:rPr>
      </w:pPr>
      <w:bookmarkStart w:id="22" w:name="_Toc187056121"/>
      <w:r w:rsidRPr="00683921">
        <w:rPr>
          <w:rFonts w:ascii="Times New Roman" w:hAnsi="Times New Roman" w:cs="Times New Roman"/>
          <w:b/>
          <w:bCs/>
          <w:color w:val="auto"/>
          <w:sz w:val="28"/>
          <w:szCs w:val="28"/>
        </w:rPr>
        <w:t>General Recommendation No 33</w:t>
      </w:r>
      <w:r w:rsidR="00683921">
        <w:rPr>
          <w:rFonts w:ascii="Times New Roman" w:hAnsi="Times New Roman" w:cs="Times New Roman"/>
          <w:b/>
          <w:bCs/>
          <w:color w:val="auto"/>
          <w:sz w:val="28"/>
          <w:szCs w:val="28"/>
        </w:rPr>
        <w:t>:</w:t>
      </w:r>
      <w:bookmarkEnd w:id="22"/>
    </w:p>
    <w:p w14:paraId="1D1CCD63" w14:textId="77777777" w:rsidR="00971648" w:rsidRPr="00B71F0A" w:rsidRDefault="00971648" w:rsidP="0062347A">
      <w:pPr>
        <w:spacing w:line="360" w:lineRule="auto"/>
        <w:rPr>
          <w:lang w:val="en-US"/>
        </w:rPr>
      </w:pPr>
    </w:p>
    <w:p w14:paraId="30CDE6D7" w14:textId="4DF2A5D1" w:rsidR="000C2FE0" w:rsidRPr="00B71F0A" w:rsidRDefault="000C2FE0" w:rsidP="0062347A">
      <w:pPr>
        <w:pStyle w:val="ListParagraph"/>
        <w:numPr>
          <w:ilvl w:val="0"/>
          <w:numId w:val="24"/>
        </w:numPr>
        <w:tabs>
          <w:tab w:val="left" w:pos="4920"/>
        </w:tabs>
        <w:spacing w:line="360" w:lineRule="auto"/>
        <w:jc w:val="both"/>
        <w:rPr>
          <w:lang w:bidi="ta-IN"/>
        </w:rPr>
      </w:pPr>
      <w:r w:rsidRPr="00B71F0A">
        <w:rPr>
          <w:lang w:bidi="ta-IN"/>
        </w:rPr>
        <w:t>For legal gender recognition in Sri Lanka, there are two key circulars: the Ministry of Health circular</w:t>
      </w:r>
      <w:r w:rsidRPr="00B71F0A">
        <w:rPr>
          <w:rStyle w:val="FootnoteReference"/>
        </w:rPr>
        <w:footnoteReference w:id="48"/>
      </w:r>
      <w:r w:rsidRPr="00B71F0A">
        <w:rPr>
          <w:lang w:bidi="ta-IN"/>
        </w:rPr>
        <w:t xml:space="preserve"> outlining the GRC (Gender Recognition Certificate) process and another mandating</w:t>
      </w:r>
      <w:r w:rsidR="00674BC9">
        <w:rPr>
          <w:lang w:bidi="ta-IN"/>
        </w:rPr>
        <w:t xml:space="preserve"> the</w:t>
      </w:r>
      <w:r w:rsidRPr="00B71F0A">
        <w:rPr>
          <w:lang w:bidi="ta-IN"/>
        </w:rPr>
        <w:t xml:space="preserve"> registrars to amend birth certificates based on the GRC. </w:t>
      </w:r>
      <w:r w:rsidRPr="00B71F0A">
        <w:rPr>
          <w:rStyle w:val="FootnoteReference"/>
        </w:rPr>
        <w:footnoteReference w:id="49"/>
      </w:r>
    </w:p>
    <w:p w14:paraId="661D87D1" w14:textId="77777777" w:rsidR="000C2FE0" w:rsidRPr="00B71F0A" w:rsidRDefault="000C2FE0" w:rsidP="0062347A">
      <w:pPr>
        <w:tabs>
          <w:tab w:val="left" w:pos="4920"/>
        </w:tabs>
        <w:spacing w:line="360" w:lineRule="auto"/>
        <w:jc w:val="both"/>
        <w:rPr>
          <w:lang w:bidi="ta-IN"/>
        </w:rPr>
      </w:pPr>
    </w:p>
    <w:p w14:paraId="15F0423B" w14:textId="0CA8EE9C" w:rsidR="000C2FE0" w:rsidRPr="00B71F0A" w:rsidRDefault="000C2FE0" w:rsidP="0062347A">
      <w:pPr>
        <w:pStyle w:val="ListParagraph"/>
        <w:numPr>
          <w:ilvl w:val="0"/>
          <w:numId w:val="24"/>
        </w:numPr>
        <w:tabs>
          <w:tab w:val="left" w:pos="4920"/>
        </w:tabs>
        <w:spacing w:line="360" w:lineRule="auto"/>
        <w:jc w:val="both"/>
        <w:rPr>
          <w:lang w:bidi="ta-IN"/>
        </w:rPr>
      </w:pPr>
      <w:r w:rsidRPr="00B71F0A">
        <w:rPr>
          <w:lang w:bidi="ta-IN"/>
        </w:rPr>
        <w:t>While the GRC has enhanced visibility and legal recognition for transgender individuals,</w:t>
      </w:r>
      <w:r w:rsidRPr="00B71F0A">
        <w:rPr>
          <w:rStyle w:val="FootnoteReference"/>
        </w:rPr>
        <w:footnoteReference w:id="50"/>
      </w:r>
      <w:r w:rsidRPr="00B71F0A">
        <w:rPr>
          <w:rStyle w:val="FootnoteReference"/>
        </w:rPr>
        <w:t xml:space="preserve">  </w:t>
      </w:r>
      <w:r w:rsidRPr="00B71F0A">
        <w:rPr>
          <w:lang w:bidi="ta-IN"/>
        </w:rPr>
        <w:t xml:space="preserve">it falls short of international best practices, as it requires medical interventions and certification by a consultant psychiatrist, contrary to global standards that emphasize self-determination, as in the </w:t>
      </w:r>
      <w:r w:rsidRPr="00B71F0A">
        <w:t>WPATH guidelines.</w:t>
      </w:r>
      <w:r w:rsidRPr="00B71F0A">
        <w:rPr>
          <w:rStyle w:val="FootnoteReference"/>
        </w:rPr>
        <w:footnoteReference w:id="51"/>
      </w:r>
      <w:r w:rsidRPr="00B71F0A">
        <w:rPr>
          <w:lang w:bidi="ta-IN"/>
        </w:rPr>
        <w:t xml:space="preserve"> The Transgender Notification Register manages GRC issuance, but data remains limited, with only 318 certificates reported by the National Institute of Mental Health</w:t>
      </w:r>
      <w:r w:rsidR="00A20C22">
        <w:rPr>
          <w:lang w:bidi="ta-IN"/>
        </w:rPr>
        <w:t>, Colombo</w:t>
      </w:r>
      <w:r w:rsidRPr="00B71F0A">
        <w:rPr>
          <w:lang w:bidi="ta-IN"/>
        </w:rPr>
        <w:t>.</w:t>
      </w:r>
    </w:p>
    <w:p w14:paraId="747F86C3" w14:textId="77777777" w:rsidR="000C2FE0" w:rsidRPr="00B71F0A" w:rsidRDefault="000C2FE0" w:rsidP="0062347A">
      <w:pPr>
        <w:tabs>
          <w:tab w:val="left" w:pos="4920"/>
        </w:tabs>
        <w:spacing w:line="360" w:lineRule="auto"/>
        <w:jc w:val="both"/>
        <w:rPr>
          <w:lang w:bidi="ta-IN"/>
        </w:rPr>
      </w:pPr>
    </w:p>
    <w:p w14:paraId="42B41212" w14:textId="7EB19FF1" w:rsidR="00DB56AF" w:rsidRPr="00B71F0A" w:rsidRDefault="000C2FE0" w:rsidP="0062347A">
      <w:pPr>
        <w:pStyle w:val="ListParagraph"/>
        <w:numPr>
          <w:ilvl w:val="0"/>
          <w:numId w:val="24"/>
        </w:numPr>
        <w:spacing w:line="360" w:lineRule="auto"/>
        <w:jc w:val="both"/>
      </w:pPr>
      <w:r w:rsidRPr="00B71F0A">
        <w:t xml:space="preserve">The Gender Recognition Certificate (GRC), reliant on Health Ministry circulars without legal backing, fosters uncertainty and abuse, while procedural barriers further marginalize LBT individuals and undermine equality. Despite CEDAW General Recommendation </w:t>
      </w:r>
      <w:r w:rsidR="009808CB" w:rsidRPr="00B71F0A">
        <w:t>N</w:t>
      </w:r>
      <w:r w:rsidRPr="00B71F0A">
        <w:t>o. 33 (2015)</w:t>
      </w:r>
      <w:r w:rsidRPr="00B71F0A">
        <w:rPr>
          <w:rStyle w:val="FootnoteReference"/>
        </w:rPr>
        <w:footnoteReference w:id="52"/>
      </w:r>
      <w:r w:rsidRPr="00B71F0A">
        <w:t xml:space="preserve"> the State has taken no substantive action.</w:t>
      </w:r>
    </w:p>
    <w:p w14:paraId="11260C31" w14:textId="77777777" w:rsidR="00DB56AF" w:rsidRPr="00B71F0A" w:rsidRDefault="00DB56AF" w:rsidP="0062347A">
      <w:pPr>
        <w:pStyle w:val="ListParagraph"/>
        <w:spacing w:line="360" w:lineRule="auto"/>
        <w:rPr>
          <w:lang w:bidi="ta-IN"/>
        </w:rPr>
      </w:pPr>
    </w:p>
    <w:p w14:paraId="5C0A68C3" w14:textId="77777777" w:rsidR="00DB56AF" w:rsidRPr="00B71F0A" w:rsidRDefault="000C2FE0" w:rsidP="0062347A">
      <w:pPr>
        <w:pStyle w:val="ListParagraph"/>
        <w:numPr>
          <w:ilvl w:val="0"/>
          <w:numId w:val="24"/>
        </w:numPr>
        <w:spacing w:line="360" w:lineRule="auto"/>
        <w:jc w:val="both"/>
      </w:pPr>
      <w:r w:rsidRPr="00B71F0A">
        <w:rPr>
          <w:lang w:bidi="ta-IN"/>
        </w:rPr>
        <w:t xml:space="preserve">The GRC process is widely </w:t>
      </w:r>
      <w:r w:rsidR="009808CB" w:rsidRPr="00B71F0A">
        <w:rPr>
          <w:lang w:bidi="ta-IN"/>
        </w:rPr>
        <w:t>inconsistent,</w:t>
      </w:r>
      <w:r w:rsidRPr="00B71F0A">
        <w:rPr>
          <w:lang w:bidi="ta-IN"/>
        </w:rPr>
        <w:t xml:space="preserve"> and some psychiatrists monopolize the GRC process. Some patients resort to self-medication due to delays and barriers, a practice noted by the Independent Expert on Sexual Orientation and Gender Identity (IE SOGI) as harmful and medically unsafe.</w:t>
      </w:r>
      <w:r w:rsidRPr="00B71F0A">
        <w:rPr>
          <w:rStyle w:val="FootnoteReference"/>
        </w:rPr>
        <w:footnoteReference w:id="53"/>
      </w:r>
    </w:p>
    <w:p w14:paraId="1661F056" w14:textId="77777777" w:rsidR="00DB56AF" w:rsidRPr="00B71F0A" w:rsidRDefault="00DB56AF" w:rsidP="0062347A">
      <w:pPr>
        <w:pStyle w:val="ListParagraph"/>
        <w:spacing w:line="360" w:lineRule="auto"/>
        <w:rPr>
          <w:lang w:bidi="ta-IN"/>
        </w:rPr>
      </w:pPr>
    </w:p>
    <w:p w14:paraId="1E7B770F" w14:textId="77777777" w:rsidR="00DB56AF" w:rsidRPr="00B71F0A" w:rsidRDefault="000C2FE0" w:rsidP="0062347A">
      <w:pPr>
        <w:pStyle w:val="ListParagraph"/>
        <w:numPr>
          <w:ilvl w:val="0"/>
          <w:numId w:val="24"/>
        </w:numPr>
        <w:spacing w:line="360" w:lineRule="auto"/>
        <w:jc w:val="both"/>
      </w:pPr>
      <w:r w:rsidRPr="00B71F0A">
        <w:rPr>
          <w:lang w:bidi="ta-IN"/>
        </w:rPr>
        <w:t>Transgender individuals face pervasive discrimination when interacting with government officers who frequently exhibit transphobia, impose additional bureaucratic requirements, and subject individuals to invasive questioning. For example, marriage registrars have outed transgender individuals by revealing their previous gender or name, leading to familial and social ostracization. Many transgender persons must also return to hostile hometowns for documentation processes, exposing them to violence and outing by local officials.</w:t>
      </w:r>
    </w:p>
    <w:p w14:paraId="019347B5" w14:textId="77777777" w:rsidR="00DB56AF" w:rsidRPr="00B71F0A" w:rsidRDefault="00DB56AF" w:rsidP="0062347A">
      <w:pPr>
        <w:pStyle w:val="ListParagraph"/>
        <w:spacing w:line="360" w:lineRule="auto"/>
        <w:rPr>
          <w:lang w:bidi="ta-IN"/>
        </w:rPr>
      </w:pPr>
    </w:p>
    <w:p w14:paraId="6EA428F9" w14:textId="77777777" w:rsidR="00DB56AF" w:rsidRPr="00B71F0A" w:rsidRDefault="000C2FE0" w:rsidP="0062347A">
      <w:pPr>
        <w:pStyle w:val="ListParagraph"/>
        <w:spacing w:line="360" w:lineRule="auto"/>
        <w:jc w:val="both"/>
        <w:rPr>
          <w:i/>
          <w:iCs/>
          <w:lang w:val="en-US" w:bidi="ta-IN"/>
        </w:rPr>
      </w:pPr>
      <w:r w:rsidRPr="00B71F0A">
        <w:rPr>
          <w:lang w:bidi="ta-IN"/>
        </w:rPr>
        <w:t>Testimony</w:t>
      </w:r>
      <w:r w:rsidRPr="00B71F0A">
        <w:rPr>
          <w:b/>
          <w:bCs/>
        </w:rPr>
        <w:t>:</w:t>
      </w:r>
      <w:r w:rsidRPr="00B71F0A">
        <w:rPr>
          <w:rStyle w:val="FootnoteReference"/>
          <w:b/>
          <w:bCs/>
        </w:rPr>
        <w:footnoteReference w:id="54"/>
      </w:r>
      <w:r w:rsidRPr="00B71F0A">
        <w:rPr>
          <w:lang w:bidi="ta-IN"/>
        </w:rPr>
        <w:t xml:space="preserve">Lakshi, a transgender woman, visited the Panadura Divisional Secretariat to amend her birth certificate but faced mockery instead of support. The officer laughed and said, </w:t>
      </w:r>
      <w:r w:rsidRPr="00B71F0A">
        <w:rPr>
          <w:i/>
          <w:iCs/>
          <w:lang w:bidi="ta-IN"/>
        </w:rPr>
        <w:t>"Why are you trying to become like this? You’re a handsome young man with a good life ahead. Are you crazy?"</w:t>
      </w:r>
    </w:p>
    <w:p w14:paraId="5C2EA359" w14:textId="77777777" w:rsidR="00DB56AF" w:rsidRPr="00B71F0A" w:rsidRDefault="00DB56AF" w:rsidP="0062347A">
      <w:pPr>
        <w:pStyle w:val="ListParagraph"/>
        <w:spacing w:line="360" w:lineRule="auto"/>
        <w:jc w:val="both"/>
        <w:rPr>
          <w:i/>
          <w:iCs/>
          <w:lang w:val="en-US" w:bidi="ta-IN"/>
        </w:rPr>
      </w:pPr>
    </w:p>
    <w:p w14:paraId="64ED8E79" w14:textId="757A3568" w:rsidR="000C2FE0" w:rsidRPr="00B71F0A" w:rsidRDefault="000C2FE0" w:rsidP="0062347A">
      <w:pPr>
        <w:pStyle w:val="ListParagraph"/>
        <w:spacing w:line="360" w:lineRule="auto"/>
        <w:jc w:val="both"/>
      </w:pPr>
      <w:r w:rsidRPr="00B71F0A">
        <w:rPr>
          <w:lang w:bidi="ta-IN"/>
        </w:rPr>
        <w:t>Testimony:</w:t>
      </w:r>
      <w:r w:rsidRPr="00B71F0A">
        <w:rPr>
          <w:rStyle w:val="FootnoteReference"/>
          <w:lang w:bidi="ta-IN"/>
        </w:rPr>
        <w:footnoteReference w:id="55"/>
      </w:r>
      <w:r w:rsidRPr="00B71F0A">
        <w:rPr>
          <w:lang w:bidi="ta-IN"/>
        </w:rPr>
        <w:t xml:space="preserve"> Shradda, a transgender woman and cosmetologist, visited a Divisional Secretariat Office to collect her amended birth certificate. </w:t>
      </w:r>
      <w:r w:rsidR="00DB56AF" w:rsidRPr="00B71F0A">
        <w:rPr>
          <w:lang w:val="en-US" w:bidi="ta-IN"/>
        </w:rPr>
        <w:t>She</w:t>
      </w:r>
      <w:r w:rsidRPr="00B71F0A">
        <w:rPr>
          <w:lang w:bidi="ta-IN"/>
        </w:rPr>
        <w:t xml:space="preserve"> felt unnecessarily singled out,</w:t>
      </w:r>
      <w:r w:rsidR="00DB56AF" w:rsidRPr="00B71F0A">
        <w:rPr>
          <w:lang w:val="en-US" w:bidi="ta-IN"/>
        </w:rPr>
        <w:t xml:space="preserve"> and she was verbally harassed </w:t>
      </w:r>
      <w:r w:rsidRPr="00B71F0A">
        <w:rPr>
          <w:i/>
          <w:iCs/>
          <w:lang w:bidi="ta-IN"/>
        </w:rPr>
        <w:t>"Oh, what a shame... if you stayed as a boy, you would have been such a handsome one."</w:t>
      </w:r>
      <w:r w:rsidRPr="00B71F0A">
        <w:rPr>
          <w:lang w:bidi="ta-IN"/>
        </w:rPr>
        <w:t xml:space="preserve"> </w:t>
      </w:r>
    </w:p>
    <w:p w14:paraId="448BDF0F" w14:textId="77777777" w:rsidR="00DB56AF" w:rsidRPr="00B71F0A" w:rsidRDefault="00DB56AF" w:rsidP="0062347A">
      <w:pPr>
        <w:spacing w:line="360" w:lineRule="auto"/>
        <w:jc w:val="both"/>
        <w:rPr>
          <w:lang w:val="en-US" w:bidi="ta-IN"/>
        </w:rPr>
      </w:pPr>
    </w:p>
    <w:p w14:paraId="6FB05E0E" w14:textId="77777777" w:rsidR="00DB56AF" w:rsidRPr="00B71F0A" w:rsidRDefault="000C2FE0" w:rsidP="0062347A">
      <w:pPr>
        <w:pStyle w:val="ListParagraph"/>
        <w:spacing w:line="360" w:lineRule="auto"/>
        <w:jc w:val="both"/>
        <w:rPr>
          <w:lang w:bidi="ta-IN"/>
        </w:rPr>
      </w:pPr>
      <w:r w:rsidRPr="00B71F0A">
        <w:rPr>
          <w:lang w:bidi="ta-IN"/>
        </w:rPr>
        <w:t>These incidents highlight the lack of training and sensitization among public officials, leading to unjust treatment of transgender individuals.</w:t>
      </w:r>
      <w:r w:rsidR="00DB56AF" w:rsidRPr="00B71F0A">
        <w:rPr>
          <w:lang w:val="en-US" w:bidi="ta-IN"/>
        </w:rPr>
        <w:t xml:space="preserve"> </w:t>
      </w:r>
    </w:p>
    <w:p w14:paraId="35F32E03" w14:textId="77777777" w:rsidR="00DB56AF" w:rsidRPr="00B71F0A" w:rsidRDefault="00DB56AF" w:rsidP="0062347A">
      <w:pPr>
        <w:pStyle w:val="ListParagraph"/>
        <w:spacing w:line="360" w:lineRule="auto"/>
        <w:jc w:val="both"/>
        <w:rPr>
          <w:lang w:bidi="ta-IN"/>
        </w:rPr>
      </w:pPr>
    </w:p>
    <w:p w14:paraId="33990D4D" w14:textId="5C153DDD" w:rsidR="00910EFF" w:rsidRPr="00B71F0A" w:rsidRDefault="000C2FE0" w:rsidP="0062347A">
      <w:pPr>
        <w:pStyle w:val="ListParagraph"/>
        <w:numPr>
          <w:ilvl w:val="0"/>
          <w:numId w:val="24"/>
        </w:numPr>
        <w:spacing w:line="360" w:lineRule="auto"/>
        <w:jc w:val="both"/>
        <w:rPr>
          <w:lang w:bidi="ta-IN"/>
        </w:rPr>
      </w:pPr>
      <w:r w:rsidRPr="00B71F0A">
        <w:rPr>
          <w:lang w:bidi="ta-IN"/>
        </w:rPr>
        <w:t xml:space="preserve">CEDAW emphasizes the need for confidentiality, privacy, and equal access to justice under Articles 2, 5, and 16. The Independent Expert on SOGI and CEDAW’s General Recommendation No. 33 (2015) on access to justice both highlight the importance of </w:t>
      </w:r>
      <w:r w:rsidRPr="00B71F0A">
        <w:rPr>
          <w:lang w:bidi="ta-IN"/>
        </w:rPr>
        <w:lastRenderedPageBreak/>
        <w:t>removing procedural and systemic barriers to legal recognition for transgender individuals.</w:t>
      </w:r>
    </w:p>
    <w:p w14:paraId="5D8DE325" w14:textId="77777777" w:rsidR="000B6CA2" w:rsidRPr="00B71F0A" w:rsidRDefault="000B6CA2" w:rsidP="0062347A">
      <w:pPr>
        <w:pStyle w:val="Heading3"/>
        <w:spacing w:line="360" w:lineRule="auto"/>
        <w:jc w:val="both"/>
        <w:rPr>
          <w:rFonts w:ascii="Times New Roman" w:hAnsi="Times New Roman" w:cs="Times New Roman"/>
          <w:u w:val="single"/>
          <w:lang w:val="en-US"/>
        </w:rPr>
      </w:pPr>
    </w:p>
    <w:p w14:paraId="11A00C8E" w14:textId="476CA4E9" w:rsidR="00910EFF" w:rsidRDefault="00910EFF" w:rsidP="0062347A">
      <w:pPr>
        <w:pStyle w:val="Heading3"/>
        <w:spacing w:line="360" w:lineRule="auto"/>
        <w:jc w:val="both"/>
        <w:rPr>
          <w:rFonts w:ascii="Times New Roman" w:hAnsi="Times New Roman" w:cs="Times New Roman"/>
          <w:b/>
          <w:bCs/>
          <w:color w:val="auto"/>
          <w:sz w:val="28"/>
          <w:szCs w:val="28"/>
        </w:rPr>
      </w:pPr>
      <w:bookmarkStart w:id="23" w:name="_Toc187056122"/>
      <w:r w:rsidRPr="00683921">
        <w:rPr>
          <w:rFonts w:ascii="Times New Roman" w:hAnsi="Times New Roman" w:cs="Times New Roman"/>
          <w:b/>
          <w:bCs/>
          <w:color w:val="auto"/>
          <w:sz w:val="28"/>
          <w:szCs w:val="28"/>
        </w:rPr>
        <w:t>Recommendations</w:t>
      </w:r>
      <w:r w:rsidR="00683921" w:rsidRPr="00683921">
        <w:rPr>
          <w:rFonts w:ascii="Times New Roman" w:hAnsi="Times New Roman" w:cs="Times New Roman"/>
          <w:b/>
          <w:bCs/>
          <w:color w:val="auto"/>
          <w:sz w:val="28"/>
          <w:szCs w:val="28"/>
        </w:rPr>
        <w:t>:</w:t>
      </w:r>
      <w:bookmarkEnd w:id="23"/>
    </w:p>
    <w:p w14:paraId="36EFAA5C" w14:textId="77777777" w:rsidR="00683921" w:rsidRPr="00683921" w:rsidRDefault="00683921" w:rsidP="0062347A">
      <w:pPr>
        <w:spacing w:line="360" w:lineRule="auto"/>
      </w:pPr>
    </w:p>
    <w:p w14:paraId="2A2C0529" w14:textId="61600D2D" w:rsidR="00971648" w:rsidRPr="00B71F0A" w:rsidRDefault="00971648" w:rsidP="0062347A">
      <w:pPr>
        <w:pStyle w:val="ListParagraph"/>
        <w:numPr>
          <w:ilvl w:val="0"/>
          <w:numId w:val="38"/>
        </w:numPr>
        <w:spacing w:line="360" w:lineRule="auto"/>
        <w:jc w:val="both"/>
      </w:pPr>
      <w:r w:rsidRPr="00B71F0A">
        <w:t>Urge state to enact inclusive legislation to formalize and strengthen the Gender Recognition Certificate (GRC) mechanism.</w:t>
      </w:r>
    </w:p>
    <w:p w14:paraId="41FDFFAC" w14:textId="77777777" w:rsidR="00971648" w:rsidRPr="00B71F0A" w:rsidRDefault="00971648" w:rsidP="0062347A">
      <w:pPr>
        <w:spacing w:line="360" w:lineRule="auto"/>
        <w:rPr>
          <w:lang w:val="en-US"/>
        </w:rPr>
      </w:pPr>
    </w:p>
    <w:p w14:paraId="440E654C" w14:textId="04BD409C" w:rsidR="00910EFF" w:rsidRPr="00683921" w:rsidRDefault="00910EFF" w:rsidP="0062347A">
      <w:pPr>
        <w:pStyle w:val="Heading1"/>
        <w:spacing w:line="360" w:lineRule="auto"/>
        <w:rPr>
          <w:rStyle w:val="Heading2Char"/>
          <w:rFonts w:ascii="Times New Roman" w:hAnsi="Times New Roman" w:cs="Times New Roman"/>
          <w:b/>
          <w:bCs/>
          <w:color w:val="auto"/>
          <w:sz w:val="28"/>
          <w:szCs w:val="28"/>
          <w:lang w:val="en-GB"/>
        </w:rPr>
      </w:pPr>
      <w:bookmarkStart w:id="24" w:name="_Toc187056123"/>
      <w:r w:rsidRPr="00683921">
        <w:rPr>
          <w:rStyle w:val="Heading2Char"/>
          <w:rFonts w:ascii="Times New Roman" w:hAnsi="Times New Roman" w:cs="Times New Roman"/>
          <w:b/>
          <w:bCs/>
          <w:color w:val="auto"/>
          <w:sz w:val="28"/>
          <w:szCs w:val="28"/>
          <w:lang w:val="en-GB"/>
        </w:rPr>
        <w:t>Article 16</w:t>
      </w:r>
      <w:r w:rsidR="00683921">
        <w:rPr>
          <w:rStyle w:val="Heading2Char"/>
          <w:rFonts w:ascii="Times New Roman" w:hAnsi="Times New Roman" w:cs="Times New Roman"/>
          <w:b/>
          <w:bCs/>
          <w:color w:val="auto"/>
          <w:sz w:val="28"/>
          <w:szCs w:val="28"/>
          <w:lang w:val="en-GB"/>
        </w:rPr>
        <w:t>:</w:t>
      </w:r>
      <w:bookmarkEnd w:id="24"/>
    </w:p>
    <w:p w14:paraId="6F125E93" w14:textId="77777777" w:rsidR="00971648" w:rsidRPr="00B71F0A" w:rsidRDefault="00971648" w:rsidP="0062347A">
      <w:pPr>
        <w:spacing w:line="360" w:lineRule="auto"/>
        <w:rPr>
          <w:rFonts w:eastAsia="Arial"/>
        </w:rPr>
      </w:pPr>
    </w:p>
    <w:p w14:paraId="22094B87" w14:textId="77777777" w:rsidR="000B6CA2" w:rsidRPr="00B71F0A" w:rsidRDefault="00E03569" w:rsidP="0062347A">
      <w:pPr>
        <w:pStyle w:val="ListParagraph"/>
        <w:numPr>
          <w:ilvl w:val="0"/>
          <w:numId w:val="24"/>
        </w:numPr>
        <w:spacing w:line="360" w:lineRule="auto"/>
        <w:jc w:val="both"/>
      </w:pPr>
      <w:r w:rsidRPr="00B71F0A">
        <w:t>Sri Lankan law assumes marriage is between a man and a woman</w:t>
      </w:r>
      <w:r w:rsidRPr="00B71F0A">
        <w:rPr>
          <w:rStyle w:val="FootnoteReference"/>
        </w:rPr>
        <w:footnoteReference w:id="56"/>
      </w:r>
      <w:r w:rsidRPr="00B71F0A">
        <w:t>, barring same-sex couples from marriage or civil partnerships. This exclusion denies rights like inheritance, healthcare decision-making, and legal cohabitation protections.</w:t>
      </w:r>
    </w:p>
    <w:p w14:paraId="69295E88" w14:textId="77777777" w:rsidR="000B6CA2" w:rsidRPr="00B71F0A" w:rsidRDefault="000B6CA2" w:rsidP="0062347A">
      <w:pPr>
        <w:pStyle w:val="ListParagraph"/>
        <w:spacing w:line="360" w:lineRule="auto"/>
        <w:jc w:val="both"/>
      </w:pPr>
    </w:p>
    <w:p w14:paraId="5C0CE887" w14:textId="68BAB468" w:rsidR="00E03569" w:rsidRPr="00B71F0A" w:rsidRDefault="00E03569" w:rsidP="0062347A">
      <w:pPr>
        <w:pStyle w:val="ListParagraph"/>
        <w:spacing w:line="360" w:lineRule="auto"/>
        <w:jc w:val="both"/>
        <w:rPr>
          <w:lang w:val="en-US"/>
        </w:rPr>
      </w:pPr>
      <w:r w:rsidRPr="00B71F0A">
        <w:t>Testimony</w:t>
      </w:r>
      <w:r w:rsidRPr="00B71F0A">
        <w:rPr>
          <w:rStyle w:val="FootnoteReference"/>
        </w:rPr>
        <w:footnoteReference w:id="57"/>
      </w:r>
      <w:r w:rsidRPr="00B71F0A">
        <w:t xml:space="preserve"> Jamila, a transgender woman, shares her heartbreaking experience, where after her partners death, she was unable to obtain their death certificate, given their LBT relationship, she had no legal recognition or rights to claim such documents. </w:t>
      </w:r>
      <w:r w:rsidR="000B6CA2" w:rsidRPr="00B71F0A">
        <w:rPr>
          <w:lang w:val="en-US"/>
        </w:rPr>
        <w:t xml:space="preserve">When seeking help from the police, </w:t>
      </w:r>
      <w:r w:rsidRPr="00B71F0A">
        <w:t>"I am asking for help because I don't know how to do it”, she was met with disrespect and dismissal: “Don’t come here for useless things like this, we have other work to do.”</w:t>
      </w:r>
    </w:p>
    <w:p w14:paraId="14F93E12" w14:textId="77777777" w:rsidR="000B6CA2" w:rsidRPr="00B71F0A" w:rsidRDefault="000B6CA2" w:rsidP="0062347A">
      <w:pPr>
        <w:pStyle w:val="ListParagraph"/>
        <w:spacing w:line="360" w:lineRule="auto"/>
        <w:jc w:val="both"/>
        <w:rPr>
          <w:lang w:val="en-US"/>
        </w:rPr>
      </w:pPr>
    </w:p>
    <w:p w14:paraId="0CD74DF6" w14:textId="77777777" w:rsidR="000B6CA2" w:rsidRPr="00B71F0A" w:rsidRDefault="000B6CA2" w:rsidP="0062347A">
      <w:pPr>
        <w:pStyle w:val="ListParagraph"/>
        <w:numPr>
          <w:ilvl w:val="0"/>
          <w:numId w:val="24"/>
        </w:numPr>
        <w:spacing w:line="360" w:lineRule="auto"/>
        <w:jc w:val="both"/>
      </w:pPr>
      <w:r w:rsidRPr="00B71F0A">
        <w:rPr>
          <w:lang w:val="en-US"/>
        </w:rPr>
        <w:t>This Testimony underscores</w:t>
      </w:r>
      <w:r w:rsidR="00E03569" w:rsidRPr="00B71F0A">
        <w:t xml:space="preserve"> the systemic failures and lack of legal protection for LGBTQ+ couples, leaving them vulnerable to both personal loss and institutional prejudice. </w:t>
      </w:r>
    </w:p>
    <w:p w14:paraId="55E88FD0" w14:textId="77777777" w:rsidR="000B6CA2" w:rsidRPr="00B71F0A" w:rsidRDefault="000B6CA2" w:rsidP="0062347A">
      <w:pPr>
        <w:pStyle w:val="ListParagraph"/>
        <w:spacing w:line="360" w:lineRule="auto"/>
        <w:jc w:val="both"/>
      </w:pPr>
    </w:p>
    <w:p w14:paraId="4141083B" w14:textId="7F51E878" w:rsidR="000B6CA2" w:rsidRPr="00B71F0A" w:rsidRDefault="00E03569" w:rsidP="0062347A">
      <w:pPr>
        <w:pStyle w:val="ListParagraph"/>
        <w:numPr>
          <w:ilvl w:val="0"/>
          <w:numId w:val="24"/>
        </w:numPr>
        <w:spacing w:line="360" w:lineRule="auto"/>
        <w:jc w:val="both"/>
      </w:pPr>
      <w:r w:rsidRPr="00B71F0A">
        <w:t>There is also the Adoption of Children Ordinance, No. 24 of 1941 which permit</w:t>
      </w:r>
      <w:r w:rsidR="00674BC9">
        <w:t xml:space="preserve">s </w:t>
      </w:r>
      <w:r w:rsidRPr="00B71F0A">
        <w:t>only single-parent adoptions for LBT individuals, as joint adoption requires marriage.</w:t>
      </w:r>
      <w:r w:rsidRPr="00B71F0A">
        <w:rPr>
          <w:rStyle w:val="FootnoteReference"/>
        </w:rPr>
        <w:footnoteReference w:id="58"/>
      </w:r>
      <w:r w:rsidRPr="00B71F0A">
        <w:rPr>
          <w:rStyle w:val="FootnoteReference"/>
        </w:rPr>
        <w:t xml:space="preserve">  </w:t>
      </w:r>
      <w:r w:rsidRPr="00B71F0A">
        <w:lastRenderedPageBreak/>
        <w:t>Societal stigma and scrutiny during court evaluations further disadvantage LBT persons, and having a guardian opens up the adoption attempt to scrutiny of a third party and may result in negative reporting in the case of a same-sex sexual oriented person due to existing societal stigma.</w:t>
      </w:r>
      <w:r w:rsidRPr="00B71F0A">
        <w:rPr>
          <w:rStyle w:val="FootnoteReference"/>
        </w:rPr>
        <w:footnoteReference w:id="59"/>
      </w:r>
    </w:p>
    <w:p w14:paraId="76E5869D" w14:textId="77777777" w:rsidR="000B6CA2" w:rsidRPr="00B71F0A" w:rsidRDefault="000B6CA2" w:rsidP="0062347A">
      <w:pPr>
        <w:pStyle w:val="ListParagraph"/>
        <w:spacing w:line="360" w:lineRule="auto"/>
      </w:pPr>
    </w:p>
    <w:p w14:paraId="372A0671" w14:textId="12F0F704" w:rsidR="00E03569" w:rsidRPr="00B71F0A" w:rsidRDefault="00E03569" w:rsidP="0062347A">
      <w:pPr>
        <w:pStyle w:val="ListParagraph"/>
        <w:numPr>
          <w:ilvl w:val="0"/>
          <w:numId w:val="24"/>
        </w:numPr>
        <w:spacing w:line="360" w:lineRule="auto"/>
        <w:jc w:val="both"/>
      </w:pPr>
      <w:r w:rsidRPr="00B71F0A">
        <w:t xml:space="preserve">These legal procedures are in contravention to Article 16 of CEDAW which recognizes the right to form diverse families, irrespective of sexual orientation or gender identity. The Convention requires states to ensure access to adoption, assisted procreation, and recognition of nontraditional family structures.  </w:t>
      </w:r>
    </w:p>
    <w:p w14:paraId="78904FA9" w14:textId="77777777" w:rsidR="00910EFF" w:rsidRPr="00B71F0A" w:rsidRDefault="00910EFF" w:rsidP="0062347A">
      <w:pPr>
        <w:spacing w:line="360" w:lineRule="auto"/>
        <w:jc w:val="both"/>
      </w:pPr>
    </w:p>
    <w:p w14:paraId="6D0EAD59" w14:textId="0DE34E3A" w:rsidR="00910EFF" w:rsidRDefault="00910EFF" w:rsidP="0062347A">
      <w:pPr>
        <w:pStyle w:val="Heading3"/>
        <w:spacing w:line="360" w:lineRule="auto"/>
        <w:jc w:val="both"/>
        <w:rPr>
          <w:rFonts w:ascii="Times New Roman" w:hAnsi="Times New Roman" w:cs="Times New Roman"/>
          <w:b/>
          <w:bCs/>
          <w:color w:val="auto"/>
          <w:sz w:val="28"/>
          <w:szCs w:val="28"/>
        </w:rPr>
      </w:pPr>
      <w:bookmarkStart w:id="25" w:name="_Toc187056124"/>
      <w:r w:rsidRPr="00683921">
        <w:rPr>
          <w:rFonts w:ascii="Times New Roman" w:hAnsi="Times New Roman" w:cs="Times New Roman"/>
          <w:b/>
          <w:bCs/>
          <w:color w:val="auto"/>
          <w:sz w:val="28"/>
          <w:szCs w:val="28"/>
        </w:rPr>
        <w:t>Recommendations</w:t>
      </w:r>
      <w:r w:rsidR="00683921">
        <w:rPr>
          <w:rFonts w:ascii="Times New Roman" w:hAnsi="Times New Roman" w:cs="Times New Roman"/>
          <w:b/>
          <w:bCs/>
          <w:color w:val="auto"/>
          <w:sz w:val="28"/>
          <w:szCs w:val="28"/>
        </w:rPr>
        <w:t>:</w:t>
      </w:r>
      <w:bookmarkEnd w:id="25"/>
    </w:p>
    <w:p w14:paraId="07C7CA4E" w14:textId="77777777" w:rsidR="00683921" w:rsidRPr="00683921" w:rsidRDefault="00683921" w:rsidP="0062347A">
      <w:pPr>
        <w:spacing w:line="360" w:lineRule="auto"/>
      </w:pPr>
    </w:p>
    <w:p w14:paraId="64893109" w14:textId="784C4304" w:rsidR="000B6CA2" w:rsidRPr="00B71F0A" w:rsidRDefault="000B6CA2" w:rsidP="0062347A">
      <w:pPr>
        <w:pStyle w:val="ListParagraph"/>
        <w:numPr>
          <w:ilvl w:val="0"/>
          <w:numId w:val="32"/>
        </w:numPr>
        <w:spacing w:line="360" w:lineRule="auto"/>
        <w:jc w:val="both"/>
      </w:pPr>
      <w:r w:rsidRPr="00B71F0A">
        <w:t>Advocate for legal recognition of same-sex relationships through marriage equality or civil partnerships, ensuring equal rights in inheritance, healthcare, and cohabitation.</w:t>
      </w:r>
    </w:p>
    <w:p w14:paraId="7E2B03B4" w14:textId="77777777" w:rsidR="000B6CA2" w:rsidRPr="000B6CA2" w:rsidRDefault="000B6CA2" w:rsidP="0062347A">
      <w:pPr>
        <w:numPr>
          <w:ilvl w:val="0"/>
          <w:numId w:val="32"/>
        </w:numPr>
        <w:spacing w:line="360" w:lineRule="auto"/>
        <w:jc w:val="both"/>
      </w:pPr>
      <w:r w:rsidRPr="000B6CA2">
        <w:t>Push for reforms in adoption laws to allow joint adoption by LBT couples and eliminate discrimination in single-parent adoption processes.</w:t>
      </w:r>
    </w:p>
    <w:p w14:paraId="5339FDA3" w14:textId="77777777" w:rsidR="000B6CA2" w:rsidRPr="000B6CA2" w:rsidRDefault="000B6CA2" w:rsidP="0062347A">
      <w:pPr>
        <w:numPr>
          <w:ilvl w:val="0"/>
          <w:numId w:val="32"/>
        </w:numPr>
        <w:spacing w:line="360" w:lineRule="auto"/>
        <w:jc w:val="both"/>
      </w:pPr>
      <w:r w:rsidRPr="000B6CA2">
        <w:t>Recommend comprehensive anti-discrimination legislation and transgender-affirming healthcare to protect LBT individuals from violence, discrimination, and systemic barriers.</w:t>
      </w:r>
    </w:p>
    <w:p w14:paraId="06868AE9" w14:textId="77E5C4F4" w:rsidR="000B6CA2" w:rsidRPr="00B71F0A" w:rsidRDefault="000B6CA2" w:rsidP="0062347A">
      <w:pPr>
        <w:spacing w:line="360" w:lineRule="auto"/>
        <w:jc w:val="both"/>
        <w:rPr>
          <w:lang w:val="en-US"/>
        </w:rPr>
      </w:pPr>
    </w:p>
    <w:p w14:paraId="352C7FF7" w14:textId="77777777" w:rsidR="00783368" w:rsidRDefault="00783368" w:rsidP="0062347A">
      <w:pPr>
        <w:spacing w:line="360" w:lineRule="auto"/>
        <w:jc w:val="both"/>
      </w:pPr>
    </w:p>
    <w:p w14:paraId="3E4850BB" w14:textId="77777777" w:rsidR="007B3F61" w:rsidRDefault="007B3F61" w:rsidP="0062347A">
      <w:pPr>
        <w:spacing w:line="360" w:lineRule="auto"/>
        <w:jc w:val="both"/>
      </w:pPr>
    </w:p>
    <w:p w14:paraId="02D4DD8A" w14:textId="77777777" w:rsidR="007B3F61" w:rsidRDefault="007B3F61" w:rsidP="0062347A">
      <w:pPr>
        <w:spacing w:line="360" w:lineRule="auto"/>
        <w:jc w:val="both"/>
      </w:pPr>
    </w:p>
    <w:p w14:paraId="2C6E05F0" w14:textId="77777777" w:rsidR="007B3F61" w:rsidRDefault="007B3F61" w:rsidP="0062347A">
      <w:pPr>
        <w:spacing w:line="360" w:lineRule="auto"/>
        <w:jc w:val="both"/>
      </w:pPr>
    </w:p>
    <w:p w14:paraId="0D454D5F" w14:textId="77777777" w:rsidR="007B3F61" w:rsidRDefault="007B3F61" w:rsidP="0062347A">
      <w:pPr>
        <w:spacing w:line="360" w:lineRule="auto"/>
        <w:jc w:val="both"/>
      </w:pPr>
    </w:p>
    <w:p w14:paraId="7C841A66" w14:textId="77777777" w:rsidR="007B3F61" w:rsidRDefault="007B3F61" w:rsidP="0062347A">
      <w:pPr>
        <w:spacing w:line="360" w:lineRule="auto"/>
        <w:jc w:val="both"/>
      </w:pPr>
    </w:p>
    <w:p w14:paraId="5471AEF0" w14:textId="77777777" w:rsidR="007B3F61" w:rsidRDefault="007B3F61" w:rsidP="0062347A">
      <w:pPr>
        <w:spacing w:line="360" w:lineRule="auto"/>
        <w:jc w:val="both"/>
      </w:pPr>
    </w:p>
    <w:p w14:paraId="4833E175" w14:textId="77777777" w:rsidR="007B3F61" w:rsidRDefault="007B3F61" w:rsidP="0062347A">
      <w:pPr>
        <w:spacing w:line="360" w:lineRule="auto"/>
        <w:jc w:val="both"/>
      </w:pPr>
    </w:p>
    <w:p w14:paraId="51E7A2E7" w14:textId="77777777" w:rsidR="007B3F61" w:rsidRDefault="007B3F61" w:rsidP="0062347A">
      <w:pPr>
        <w:spacing w:line="360" w:lineRule="auto"/>
        <w:jc w:val="both"/>
      </w:pPr>
    </w:p>
    <w:p w14:paraId="374248DF" w14:textId="77777777" w:rsidR="007B3F61" w:rsidRDefault="007B3F61" w:rsidP="0062347A">
      <w:pPr>
        <w:spacing w:line="360" w:lineRule="auto"/>
        <w:jc w:val="both"/>
      </w:pPr>
    </w:p>
    <w:p w14:paraId="63ED715D" w14:textId="77777777" w:rsidR="007B3F61" w:rsidRDefault="007B3F61" w:rsidP="0062347A">
      <w:pPr>
        <w:spacing w:line="360" w:lineRule="auto"/>
        <w:jc w:val="both"/>
      </w:pPr>
    </w:p>
    <w:p w14:paraId="3711FB67" w14:textId="77777777" w:rsidR="007B3F61" w:rsidRPr="007B3F61" w:rsidRDefault="007B3F61" w:rsidP="007B3F61">
      <w:pPr>
        <w:pStyle w:val="Heading1"/>
        <w:spacing w:line="360" w:lineRule="auto"/>
        <w:rPr>
          <w:rFonts w:asciiTheme="majorBidi" w:hAnsiTheme="majorBidi"/>
          <w:b/>
          <w:bCs/>
          <w:color w:val="auto"/>
          <w:sz w:val="28"/>
          <w:szCs w:val="28"/>
        </w:rPr>
      </w:pPr>
      <w:bookmarkStart w:id="26" w:name="_Toc187056125"/>
      <w:bookmarkStart w:id="27" w:name="_Hlk186915406"/>
      <w:r w:rsidRPr="007B3F61">
        <w:rPr>
          <w:rFonts w:asciiTheme="majorBidi" w:hAnsiTheme="majorBidi"/>
          <w:b/>
          <w:bCs/>
          <w:color w:val="auto"/>
          <w:sz w:val="28"/>
          <w:szCs w:val="28"/>
        </w:rPr>
        <w:lastRenderedPageBreak/>
        <w:t>Annexure 1 – Case Studies of LBT Women, Sri Lanka</w:t>
      </w:r>
      <w:bookmarkEnd w:id="26"/>
    </w:p>
    <w:p w14:paraId="47E6697F" w14:textId="329AE360" w:rsidR="007B3F61" w:rsidRPr="007B3F61" w:rsidRDefault="007B3F61" w:rsidP="007B3F61">
      <w:pPr>
        <w:pStyle w:val="Heading3"/>
        <w:spacing w:line="360" w:lineRule="auto"/>
        <w:rPr>
          <w:rFonts w:asciiTheme="majorBidi" w:hAnsiTheme="majorBidi"/>
          <w:b/>
          <w:bCs/>
          <w:color w:val="auto"/>
        </w:rPr>
      </w:pPr>
      <w:bookmarkStart w:id="28" w:name="_Toc187052861"/>
      <w:bookmarkStart w:id="29" w:name="_Toc187056126"/>
      <w:r w:rsidRPr="007B3F61">
        <w:rPr>
          <w:rFonts w:asciiTheme="majorBidi" w:hAnsiTheme="majorBidi"/>
          <w:b/>
          <w:bCs/>
          <w:color w:val="auto"/>
        </w:rPr>
        <w:t>SL</w:t>
      </w:r>
      <w:r w:rsidR="004E1F08">
        <w:rPr>
          <w:rFonts w:asciiTheme="majorBidi" w:hAnsiTheme="majorBidi"/>
          <w:b/>
          <w:bCs/>
          <w:color w:val="auto"/>
        </w:rPr>
        <w:t>_</w:t>
      </w:r>
      <w:r w:rsidRPr="007B3F61">
        <w:rPr>
          <w:rFonts w:asciiTheme="majorBidi" w:hAnsiTheme="majorBidi"/>
          <w:b/>
          <w:bCs/>
          <w:color w:val="auto"/>
        </w:rPr>
        <w:t>01</w:t>
      </w:r>
      <w:bookmarkEnd w:id="28"/>
      <w:bookmarkEnd w:id="29"/>
    </w:p>
    <w:bookmarkEnd w:id="27"/>
    <w:p w14:paraId="6D6A0720" w14:textId="76EA5F9C" w:rsidR="007B3F61" w:rsidRPr="007B3F61" w:rsidRDefault="007B3F61" w:rsidP="007B3F61">
      <w:pPr>
        <w:pStyle w:val="NormalWeb"/>
        <w:spacing w:line="360" w:lineRule="auto"/>
        <w:jc w:val="both"/>
        <w:rPr>
          <w:rFonts w:asciiTheme="majorBidi" w:hAnsiTheme="majorBidi" w:cstheme="majorBidi"/>
        </w:rPr>
      </w:pPr>
      <w:r w:rsidRPr="007B3F61">
        <w:rPr>
          <w:rFonts w:asciiTheme="majorBidi" w:hAnsiTheme="majorBidi" w:cstheme="majorBidi"/>
        </w:rPr>
        <w:t xml:space="preserve">Diana, a resident of </w:t>
      </w:r>
      <w:r w:rsidR="00C71613">
        <w:rPr>
          <w:rFonts w:asciiTheme="majorBidi" w:hAnsiTheme="majorBidi" w:cstheme="majorBidi"/>
        </w:rPr>
        <w:t xml:space="preserve"> </w:t>
      </w:r>
      <w:r w:rsidRPr="007B3F61">
        <w:rPr>
          <w:rFonts w:asciiTheme="majorBidi" w:hAnsiTheme="majorBidi" w:cstheme="majorBidi"/>
        </w:rPr>
        <w:t xml:space="preserve">Nugegoda, was born </w:t>
      </w:r>
      <w:r w:rsidR="007D6068">
        <w:rPr>
          <w:rFonts w:asciiTheme="majorBidi" w:hAnsiTheme="majorBidi" w:cstheme="majorBidi"/>
        </w:rPr>
        <w:t xml:space="preserve">in </w:t>
      </w:r>
      <w:r w:rsidRPr="007B3F61">
        <w:rPr>
          <w:rFonts w:asciiTheme="majorBidi" w:hAnsiTheme="majorBidi" w:cstheme="majorBidi"/>
        </w:rPr>
        <w:t>2004 in Kurunegala. Assigned male at birth, she is now a transgender woman. Diana, an unmarried Sinhala Buddhist, completed her education up to the Ordinary Level.</w:t>
      </w:r>
    </w:p>
    <w:p w14:paraId="17A0363C" w14:textId="3B423E61" w:rsidR="007B3F61" w:rsidRPr="007B3F61" w:rsidRDefault="007B3F61" w:rsidP="007B3F61">
      <w:pPr>
        <w:pStyle w:val="NormalWeb"/>
        <w:spacing w:line="360" w:lineRule="auto"/>
        <w:jc w:val="both"/>
        <w:rPr>
          <w:rFonts w:asciiTheme="majorBidi" w:hAnsiTheme="majorBidi" w:cstheme="majorBidi"/>
        </w:rPr>
      </w:pPr>
      <w:r w:rsidRPr="007B3F61">
        <w:rPr>
          <w:rFonts w:asciiTheme="majorBidi" w:hAnsiTheme="majorBidi" w:cstheme="majorBidi"/>
        </w:rPr>
        <w:t xml:space="preserve">"I am a transgender woman," she states. </w:t>
      </w:r>
      <w:r w:rsidR="008E1922">
        <w:rPr>
          <w:rFonts w:asciiTheme="majorBidi" w:hAnsiTheme="majorBidi" w:cstheme="majorBidi"/>
        </w:rPr>
        <w:t>While</w:t>
      </w:r>
      <w:r w:rsidRPr="007B3F61">
        <w:rPr>
          <w:rFonts w:asciiTheme="majorBidi" w:hAnsiTheme="majorBidi" w:cstheme="majorBidi"/>
        </w:rPr>
        <w:t xml:space="preserve"> traveling from her friend’s house near the Kimbulawala P&amp;S to her aunt’s house, Diana was followed by a man under the influence of drugs. Shortly thereafter, two plain-clothed police officers on two motorbikes approached. They identified themselves as officers from the Mirihana Police. One officer apprehended the drug-affected man and took him to the Mirihana Police Station, while the other officer, approached Diana aggressively. He questioned her with a slur, saying, "Where are you going, you ponnaya? Get on the bike." Intimidated and with no alternative, Diana complied.</w:t>
      </w:r>
    </w:p>
    <w:p w14:paraId="784D6CF1" w14:textId="77777777" w:rsidR="007B3F61" w:rsidRPr="007B3F61" w:rsidRDefault="007B3F61" w:rsidP="007B3F61">
      <w:pPr>
        <w:pStyle w:val="NormalWeb"/>
        <w:spacing w:line="360" w:lineRule="auto"/>
        <w:jc w:val="both"/>
        <w:rPr>
          <w:rFonts w:asciiTheme="majorBidi" w:hAnsiTheme="majorBidi" w:cstheme="majorBidi"/>
        </w:rPr>
      </w:pPr>
      <w:r w:rsidRPr="007B3F61">
        <w:rPr>
          <w:rFonts w:asciiTheme="majorBidi" w:hAnsiTheme="majorBidi" w:cstheme="majorBidi"/>
        </w:rPr>
        <w:t>The officer drove her to a secluded salon located 100 meters from the Mirihana Police Station. Once inside, he closed the door and made threatening remarks such as, "You have to be with me tonight, or you won’t be able to walk freely on the road." He added, "If you don’t comply, I will arrest you, lock you up, and let others harass you in custody." Despite Diana’s protests that she was innocent and wanted no trouble, the officer persisted in his intimidation and vulgar threats.</w:t>
      </w:r>
    </w:p>
    <w:p w14:paraId="4D594EE3" w14:textId="77777777" w:rsidR="007B3F61" w:rsidRPr="007B3F61" w:rsidRDefault="007B3F61" w:rsidP="007B3F61">
      <w:pPr>
        <w:pStyle w:val="NormalWeb"/>
        <w:spacing w:line="360" w:lineRule="auto"/>
        <w:jc w:val="both"/>
        <w:rPr>
          <w:rFonts w:asciiTheme="majorBidi" w:hAnsiTheme="majorBidi" w:cstheme="majorBidi"/>
        </w:rPr>
      </w:pPr>
      <w:r w:rsidRPr="007B3F61">
        <w:rPr>
          <w:rFonts w:asciiTheme="majorBidi" w:hAnsiTheme="majorBidi" w:cstheme="majorBidi"/>
        </w:rPr>
        <w:t>After leaving Diana at the salon and instructing the owner to monitor her, the officer left for about an hour before returning. He then drove her about 500 meters from the Mirihana Police Station and let her go, continuing his verbal abuse. The officer warned, "If you don’t cooperate, you won’t be allowed to live in this area."</w:t>
      </w:r>
    </w:p>
    <w:p w14:paraId="763445AF" w14:textId="77777777" w:rsidR="007B3F61" w:rsidRPr="007B3F61" w:rsidRDefault="007B3F61" w:rsidP="007B3F61">
      <w:pPr>
        <w:pStyle w:val="NormalWeb"/>
        <w:spacing w:line="360" w:lineRule="auto"/>
        <w:jc w:val="both"/>
        <w:rPr>
          <w:rFonts w:asciiTheme="majorBidi" w:hAnsiTheme="majorBidi" w:cstheme="majorBidi"/>
        </w:rPr>
      </w:pPr>
      <w:r w:rsidRPr="007B3F61">
        <w:rPr>
          <w:rFonts w:asciiTheme="majorBidi" w:hAnsiTheme="majorBidi" w:cstheme="majorBidi"/>
        </w:rPr>
        <w:t>This incident left Diana deeply distressed and traumatized. She urgently requests appropriate legal action against the police officer responsible.</w:t>
      </w:r>
      <w:r w:rsidRPr="007B3F61">
        <w:rPr>
          <w:rFonts w:asciiTheme="majorBidi" w:hAnsiTheme="majorBidi" w:cstheme="majorBidi"/>
          <w:cs/>
        </w:rPr>
        <w:t xml:space="preserve"> </w:t>
      </w:r>
      <w:r w:rsidRPr="007B3F61">
        <w:rPr>
          <w:rFonts w:asciiTheme="majorBidi" w:hAnsiTheme="majorBidi" w:cstheme="majorBidi"/>
        </w:rPr>
        <w:t>(Name Changed)</w:t>
      </w:r>
    </w:p>
    <w:p w14:paraId="3CD6FE4E" w14:textId="77777777" w:rsidR="007B3F61" w:rsidRDefault="007B3F61" w:rsidP="007B3F61">
      <w:pPr>
        <w:spacing w:line="360" w:lineRule="auto"/>
        <w:jc w:val="both"/>
        <w:rPr>
          <w:rFonts w:asciiTheme="majorBidi" w:hAnsiTheme="majorBidi" w:cstheme="majorBidi"/>
        </w:rPr>
      </w:pPr>
    </w:p>
    <w:p w14:paraId="263FA95E" w14:textId="77777777" w:rsidR="007D6068" w:rsidRDefault="007D6068" w:rsidP="007B3F61">
      <w:pPr>
        <w:spacing w:line="360" w:lineRule="auto"/>
        <w:jc w:val="both"/>
        <w:rPr>
          <w:rFonts w:asciiTheme="majorBidi" w:hAnsiTheme="majorBidi" w:cstheme="majorBidi"/>
        </w:rPr>
      </w:pPr>
    </w:p>
    <w:p w14:paraId="0D371923" w14:textId="77777777" w:rsidR="007D6068" w:rsidRPr="007B3F61" w:rsidRDefault="007D6068" w:rsidP="007B3F61">
      <w:pPr>
        <w:spacing w:line="360" w:lineRule="auto"/>
        <w:jc w:val="both"/>
        <w:rPr>
          <w:rFonts w:asciiTheme="majorBidi" w:hAnsiTheme="majorBidi" w:cstheme="majorBidi"/>
        </w:rPr>
      </w:pPr>
    </w:p>
    <w:p w14:paraId="2B712AE7" w14:textId="789296B5" w:rsidR="007B3F61" w:rsidRPr="007B3F61" w:rsidRDefault="007B3F61" w:rsidP="007B3F61">
      <w:pPr>
        <w:pStyle w:val="Heading3"/>
        <w:spacing w:line="360" w:lineRule="auto"/>
        <w:rPr>
          <w:rFonts w:asciiTheme="majorBidi" w:hAnsiTheme="majorBidi"/>
          <w:b/>
          <w:bCs/>
          <w:color w:val="auto"/>
        </w:rPr>
      </w:pPr>
      <w:bookmarkStart w:id="30" w:name="_Toc187052862"/>
      <w:bookmarkStart w:id="31" w:name="_Toc187056127"/>
      <w:bookmarkStart w:id="32" w:name="_Hlk186916028"/>
      <w:r w:rsidRPr="007B3F61">
        <w:rPr>
          <w:rFonts w:asciiTheme="majorBidi" w:hAnsiTheme="majorBidi"/>
          <w:b/>
          <w:bCs/>
          <w:color w:val="auto"/>
        </w:rPr>
        <w:t>SL_02</w:t>
      </w:r>
      <w:bookmarkEnd w:id="30"/>
      <w:bookmarkEnd w:id="31"/>
    </w:p>
    <w:p w14:paraId="2F879FE8" w14:textId="77777777" w:rsidR="007B3F61" w:rsidRPr="007B3F61" w:rsidRDefault="007B3F61" w:rsidP="007B3F61">
      <w:pPr>
        <w:spacing w:line="360" w:lineRule="auto"/>
        <w:rPr>
          <w:rFonts w:asciiTheme="majorBidi" w:hAnsiTheme="majorBidi" w:cstheme="majorBidi"/>
        </w:rPr>
      </w:pPr>
    </w:p>
    <w:bookmarkEnd w:id="32"/>
    <w:p w14:paraId="010E65C5" w14:textId="7E051B16"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lastRenderedPageBreak/>
        <w:t xml:space="preserve">Jamila, a resident of </w:t>
      </w:r>
      <w:r w:rsidR="007D6068">
        <w:rPr>
          <w:rFonts w:asciiTheme="majorBidi" w:hAnsiTheme="majorBidi" w:cstheme="majorBidi"/>
        </w:rPr>
        <w:t xml:space="preserve"> </w:t>
      </w:r>
      <w:r w:rsidRPr="007B3F61">
        <w:rPr>
          <w:rFonts w:asciiTheme="majorBidi" w:hAnsiTheme="majorBidi" w:cstheme="majorBidi"/>
        </w:rPr>
        <w:t xml:space="preserve">Kelaniya, was born </w:t>
      </w:r>
      <w:r w:rsidR="00FA49E8">
        <w:rPr>
          <w:rFonts w:asciiTheme="majorBidi" w:hAnsiTheme="majorBidi" w:cstheme="majorBidi"/>
        </w:rPr>
        <w:t xml:space="preserve">in </w:t>
      </w:r>
      <w:r w:rsidRPr="007B3F61">
        <w:rPr>
          <w:rFonts w:asciiTheme="majorBidi" w:hAnsiTheme="majorBidi" w:cstheme="majorBidi"/>
        </w:rPr>
        <w:t>1975. Her assigned sex at birth is male, and her self-identified gender identity is female. She works as a sex worker, earning Rs. 65,000 per month. Jamila is an unmarried Sinhala Buddhist woman.</w:t>
      </w:r>
    </w:p>
    <w:p w14:paraId="603D0BA1" w14:textId="77777777" w:rsidR="007B3F61" w:rsidRPr="007B3F61" w:rsidRDefault="007B3F61" w:rsidP="007B3F61">
      <w:pPr>
        <w:spacing w:line="360" w:lineRule="auto"/>
        <w:jc w:val="both"/>
        <w:rPr>
          <w:rFonts w:asciiTheme="majorBidi" w:hAnsiTheme="majorBidi" w:cstheme="majorBidi"/>
        </w:rPr>
      </w:pPr>
    </w:p>
    <w:p w14:paraId="2062EBEB" w14:textId="115845B6" w:rsidR="007B3F61" w:rsidRDefault="008E1922" w:rsidP="007B3F61">
      <w:pPr>
        <w:spacing w:line="360" w:lineRule="auto"/>
        <w:jc w:val="both"/>
        <w:rPr>
          <w:rFonts w:asciiTheme="majorBidi" w:hAnsiTheme="majorBidi" w:cstheme="majorBidi"/>
        </w:rPr>
      </w:pPr>
      <w:r>
        <w:rPr>
          <w:rFonts w:asciiTheme="majorBidi" w:hAnsiTheme="majorBidi" w:cstheme="majorBidi"/>
        </w:rPr>
        <w:t>She recounted;</w:t>
      </w:r>
      <w:r w:rsidR="007B3F61" w:rsidRPr="007B3F61">
        <w:rPr>
          <w:rFonts w:asciiTheme="majorBidi" w:hAnsiTheme="majorBidi" w:cstheme="majorBidi"/>
        </w:rPr>
        <w:t xml:space="preserve"> my partner, </w:t>
      </w:r>
      <w:r w:rsidR="00FA49E8">
        <w:rPr>
          <w:rFonts w:asciiTheme="majorBidi" w:hAnsiTheme="majorBidi" w:cstheme="majorBidi"/>
        </w:rPr>
        <w:t>Kalum</w:t>
      </w:r>
      <w:r w:rsidR="007B3F61" w:rsidRPr="007B3F61">
        <w:rPr>
          <w:rFonts w:asciiTheme="majorBidi" w:hAnsiTheme="majorBidi" w:cstheme="majorBidi"/>
        </w:rPr>
        <w:t>, was arrested by the Grandpass Police. Since it was a Saturday, there was no possibility of paying a fine to release him, so he was presented at the Maligakanda Magistrate's Court. Although Kalum was a resident of Jaffna, he had lived with me on several occasions in Peliyagoda, where I had posted bail for him. I also submitted a copy of my national ID card to the court. The new date for the court hearing was set</w:t>
      </w:r>
      <w:r>
        <w:rPr>
          <w:rFonts w:asciiTheme="majorBidi" w:hAnsiTheme="majorBidi" w:cstheme="majorBidi"/>
        </w:rPr>
        <w:t xml:space="preserve">, </w:t>
      </w:r>
      <w:r w:rsidR="007B3F61" w:rsidRPr="007B3F61">
        <w:rPr>
          <w:rFonts w:asciiTheme="majorBidi" w:hAnsiTheme="majorBidi" w:cstheme="majorBidi"/>
        </w:rPr>
        <w:t xml:space="preserve">However, Kalum took his own life due to a family dispute. </w:t>
      </w:r>
      <w:r>
        <w:rPr>
          <w:rFonts w:asciiTheme="majorBidi" w:hAnsiTheme="majorBidi" w:cstheme="majorBidi"/>
        </w:rPr>
        <w:t>and</w:t>
      </w:r>
      <w:r w:rsidR="007B3F61" w:rsidRPr="007B3F61">
        <w:rPr>
          <w:rFonts w:asciiTheme="majorBidi" w:hAnsiTheme="majorBidi" w:cstheme="majorBidi"/>
        </w:rPr>
        <w:t xml:space="preserve"> when I presented myself at the court, I informed them of his passing. The judge then notified me that the death certificate for the deceased must be submitted to the court.</w:t>
      </w:r>
    </w:p>
    <w:p w14:paraId="4F346933" w14:textId="77777777" w:rsidR="007B3F61" w:rsidRPr="007B3F61" w:rsidRDefault="007B3F61" w:rsidP="007B3F61">
      <w:pPr>
        <w:spacing w:line="360" w:lineRule="auto"/>
        <w:jc w:val="both"/>
        <w:rPr>
          <w:rFonts w:asciiTheme="majorBidi" w:hAnsiTheme="majorBidi" w:cstheme="majorBidi"/>
        </w:rPr>
      </w:pPr>
    </w:p>
    <w:p w14:paraId="0E015670" w14:textId="6F65F124"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Later, I went back to the Grandpass Police to file a complaint, stating, " </w:t>
      </w:r>
      <w:r w:rsidR="00FA49E8">
        <w:rPr>
          <w:rFonts w:asciiTheme="majorBidi" w:hAnsiTheme="majorBidi" w:cstheme="majorBidi"/>
        </w:rPr>
        <w:t>Kalum’s</w:t>
      </w:r>
      <w:r w:rsidRPr="007B3F61">
        <w:rPr>
          <w:rFonts w:asciiTheme="majorBidi" w:hAnsiTheme="majorBidi" w:cstheme="majorBidi"/>
        </w:rPr>
        <w:t xml:space="preserve"> family is unwilling to give me his death certificate. I can't submit it to the court. Can you please inform his family and help me get it?" Since I am a transgender woman, the police responded disrespectfully, saying, "You can do anything, but you can't do this. Try talking and asking; we can't do it." I replied, "I am asking for help because I don't know how to do it. Moreover, this is necessary for the court, and I must submit the death certificate." However, the Grandpass Police dismissed me, saying, "Don't come here like them, we have other work to do."</w:t>
      </w:r>
    </w:p>
    <w:p w14:paraId="33CCABC1" w14:textId="77777777" w:rsidR="007B3F61" w:rsidRPr="007B3F61" w:rsidRDefault="007B3F61" w:rsidP="007B3F61">
      <w:pPr>
        <w:spacing w:line="360" w:lineRule="auto"/>
        <w:jc w:val="both"/>
        <w:rPr>
          <w:rFonts w:asciiTheme="majorBidi" w:hAnsiTheme="majorBidi" w:cstheme="majorBidi"/>
        </w:rPr>
      </w:pPr>
    </w:p>
    <w:p w14:paraId="645DD147"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Because Kalum's family did not provide the death certificate, I was unable to submit it to the court. Subsequently, the Maligakanda Magistrate's Court issued warrants for me in September and October.</w:t>
      </w:r>
    </w:p>
    <w:p w14:paraId="0600882A" w14:textId="77777777" w:rsidR="007B3F61" w:rsidRPr="007B3F61" w:rsidRDefault="007B3F61" w:rsidP="007B3F61">
      <w:pPr>
        <w:spacing w:line="360" w:lineRule="auto"/>
        <w:jc w:val="both"/>
        <w:rPr>
          <w:rFonts w:asciiTheme="majorBidi" w:hAnsiTheme="majorBidi" w:cstheme="majorBidi"/>
        </w:rPr>
      </w:pPr>
    </w:p>
    <w:p w14:paraId="7E327707" w14:textId="0277013B"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To address this, I contacted a lawyer, found my case number, and informed the court about the difficulties I was facing. Later, I went to the Peliyagoda Police to file a complaint again, and I have a copy of that complaint. The Peliyagoda Police then communicated with Kalum's family, clarified the need for the death certificate for the court process, and arranged for the certificate to be sent via WhatsApp from Jaffna to Peliyagoda. The Peliyagoda Police provided significant assistance in this matter. Since Kalum lived in Jaffna, the death certificate was initially issued in Tamil. The certificate was later translated into Sinhala by my lawyer and submitted to the court. The judge, understanding the challenges I faced, decided to fully acquit me from the case. (Name Changed)</w:t>
      </w:r>
    </w:p>
    <w:p w14:paraId="54821862" w14:textId="77777777" w:rsidR="007B3F61" w:rsidRPr="007B3F61" w:rsidRDefault="007B3F61" w:rsidP="007B3F61">
      <w:pPr>
        <w:spacing w:line="360" w:lineRule="auto"/>
        <w:jc w:val="both"/>
        <w:rPr>
          <w:rFonts w:asciiTheme="majorBidi" w:hAnsiTheme="majorBidi" w:cstheme="majorBidi"/>
        </w:rPr>
      </w:pPr>
    </w:p>
    <w:p w14:paraId="5A0C09CE" w14:textId="77777777" w:rsidR="007B3F61" w:rsidRPr="007B3F61" w:rsidRDefault="007B3F61" w:rsidP="007B3F61">
      <w:pPr>
        <w:spacing w:line="360" w:lineRule="auto"/>
        <w:jc w:val="both"/>
        <w:rPr>
          <w:rFonts w:asciiTheme="majorBidi" w:hAnsiTheme="majorBidi" w:cstheme="majorBidi"/>
        </w:rPr>
      </w:pPr>
    </w:p>
    <w:p w14:paraId="2788C510" w14:textId="3669FD3B" w:rsidR="007B3F61" w:rsidRPr="007B3F61" w:rsidRDefault="007B3F61" w:rsidP="007B3F61">
      <w:pPr>
        <w:pStyle w:val="Heading3"/>
        <w:spacing w:line="360" w:lineRule="auto"/>
        <w:rPr>
          <w:rFonts w:asciiTheme="majorBidi" w:hAnsiTheme="majorBidi"/>
          <w:b/>
          <w:bCs/>
          <w:color w:val="auto"/>
        </w:rPr>
      </w:pPr>
      <w:bookmarkStart w:id="33" w:name="_Toc187052863"/>
      <w:bookmarkStart w:id="34" w:name="_Toc187056128"/>
      <w:bookmarkStart w:id="35" w:name="_Hlk186917775"/>
      <w:r w:rsidRPr="007B3F61">
        <w:rPr>
          <w:rFonts w:asciiTheme="majorBidi" w:hAnsiTheme="majorBidi"/>
          <w:b/>
          <w:bCs/>
          <w:color w:val="auto"/>
        </w:rPr>
        <w:t>SL_03</w:t>
      </w:r>
      <w:bookmarkEnd w:id="33"/>
      <w:bookmarkEnd w:id="34"/>
    </w:p>
    <w:p w14:paraId="44FCAF15" w14:textId="77777777" w:rsidR="007B3F61" w:rsidRPr="007B3F61" w:rsidRDefault="007B3F61" w:rsidP="007B3F61">
      <w:pPr>
        <w:pStyle w:val="Heading3"/>
        <w:spacing w:line="360" w:lineRule="auto"/>
        <w:rPr>
          <w:rFonts w:asciiTheme="majorBidi" w:hAnsiTheme="majorBidi"/>
        </w:rPr>
      </w:pPr>
    </w:p>
    <w:p w14:paraId="2CD5A247" w14:textId="7992C334" w:rsidR="007B3F61" w:rsidRDefault="007B3F61" w:rsidP="007B3F61">
      <w:pPr>
        <w:spacing w:line="360" w:lineRule="auto"/>
        <w:jc w:val="both"/>
        <w:rPr>
          <w:rFonts w:asciiTheme="majorBidi" w:hAnsiTheme="majorBidi" w:cstheme="majorBidi"/>
        </w:rPr>
      </w:pPr>
      <w:bookmarkStart w:id="36" w:name="_Hlk186917657"/>
      <w:bookmarkStart w:id="37" w:name="_Hlk186917856"/>
      <w:bookmarkEnd w:id="35"/>
      <w:r w:rsidRPr="007B3F61">
        <w:rPr>
          <w:rFonts w:asciiTheme="majorBidi" w:hAnsiTheme="majorBidi" w:cstheme="majorBidi"/>
        </w:rPr>
        <w:t xml:space="preserve">Harishma, a transgender woman, visited the Colombo National Hospital </w:t>
      </w:r>
      <w:r w:rsidR="00833DE4">
        <w:rPr>
          <w:rFonts w:asciiTheme="majorBidi" w:hAnsiTheme="majorBidi" w:cstheme="majorBidi"/>
        </w:rPr>
        <w:t>on thr</w:t>
      </w:r>
      <w:r w:rsidRPr="007B3F61">
        <w:rPr>
          <w:rFonts w:asciiTheme="majorBidi" w:hAnsiTheme="majorBidi" w:cstheme="majorBidi"/>
        </w:rPr>
        <w:t xml:space="preserve"> morning for her monthly diabetes clinic appointment. During her examination, the doctor questioned her, saying, "Why are you living like a woman? You even have breasts, don't you? How are they that big?"</w:t>
      </w:r>
    </w:p>
    <w:p w14:paraId="47000A08" w14:textId="77777777" w:rsidR="007B3F61" w:rsidRPr="007B3F61" w:rsidRDefault="007B3F61" w:rsidP="007B3F61">
      <w:pPr>
        <w:spacing w:line="360" w:lineRule="auto"/>
        <w:jc w:val="both"/>
        <w:rPr>
          <w:rFonts w:asciiTheme="majorBidi" w:hAnsiTheme="majorBidi" w:cstheme="majorBidi"/>
        </w:rPr>
      </w:pPr>
    </w:p>
    <w:p w14:paraId="1ABF5BFB" w14:textId="19D80EBF"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Harishma explained that she was taking Diane-35 hormone medication and informed the doctor that she was a transgender woman. Following this, the doctor instructed her to remove her T-shirt and proceeded to examine her chest. The doctor then called over five medical students and showed them her chest. The doctor</w:t>
      </w:r>
      <w:r w:rsidR="00020A4C">
        <w:rPr>
          <w:rFonts w:asciiTheme="majorBidi" w:hAnsiTheme="majorBidi" w:cstheme="majorBidi"/>
        </w:rPr>
        <w:t xml:space="preserve"> </w:t>
      </w:r>
      <w:r w:rsidRPr="007B3F61">
        <w:rPr>
          <w:rFonts w:asciiTheme="majorBidi" w:hAnsiTheme="majorBidi" w:cstheme="majorBidi"/>
        </w:rPr>
        <w:t>directed the students to observe Harishma's chest while she stood there, visibly uncomfortable. The students reportedly stared at her and laughed among themselves, causing her significant embarrassment, humiliation, and mental distress.</w:t>
      </w:r>
    </w:p>
    <w:p w14:paraId="5F44815B" w14:textId="77777777" w:rsidR="007B3F61" w:rsidRPr="007B3F61" w:rsidRDefault="007B3F61" w:rsidP="007B3F61">
      <w:pPr>
        <w:spacing w:line="360" w:lineRule="auto"/>
        <w:jc w:val="both"/>
        <w:rPr>
          <w:rFonts w:asciiTheme="majorBidi" w:hAnsiTheme="majorBidi" w:cstheme="majorBidi"/>
        </w:rPr>
      </w:pPr>
    </w:p>
    <w:p w14:paraId="3A386C06"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After the incident, Harishma quickly left the room, collected her medication, and returned home, feeling deeply dejected and ashamed.</w:t>
      </w:r>
      <w:bookmarkEnd w:id="36"/>
      <w:r w:rsidRPr="007B3F61">
        <w:rPr>
          <w:rFonts w:asciiTheme="majorBidi" w:hAnsiTheme="majorBidi" w:cstheme="majorBidi"/>
        </w:rPr>
        <w:t xml:space="preserve"> </w:t>
      </w:r>
      <w:bookmarkEnd w:id="37"/>
      <w:r w:rsidRPr="007B3F61">
        <w:rPr>
          <w:rFonts w:asciiTheme="majorBidi" w:hAnsiTheme="majorBidi" w:cstheme="majorBidi"/>
        </w:rPr>
        <w:t>(Name Changed)</w:t>
      </w:r>
    </w:p>
    <w:p w14:paraId="0275F022" w14:textId="77777777" w:rsidR="007B3F61" w:rsidRPr="007B3F61" w:rsidRDefault="007B3F61" w:rsidP="007B3F61">
      <w:pPr>
        <w:spacing w:line="360" w:lineRule="auto"/>
        <w:jc w:val="both"/>
        <w:rPr>
          <w:rFonts w:asciiTheme="majorBidi" w:hAnsiTheme="majorBidi" w:cstheme="majorBidi"/>
        </w:rPr>
      </w:pPr>
    </w:p>
    <w:p w14:paraId="6A30AD86" w14:textId="77777777" w:rsidR="007B3F61" w:rsidRPr="007B3F61" w:rsidRDefault="007B3F61" w:rsidP="007B3F61">
      <w:pPr>
        <w:spacing w:line="360" w:lineRule="auto"/>
        <w:jc w:val="both"/>
        <w:rPr>
          <w:rFonts w:asciiTheme="majorBidi" w:hAnsiTheme="majorBidi" w:cstheme="majorBidi"/>
        </w:rPr>
      </w:pPr>
    </w:p>
    <w:p w14:paraId="687DD35B" w14:textId="6CC51E53" w:rsidR="007B3F61" w:rsidRPr="007B3F61" w:rsidRDefault="007B3F61" w:rsidP="007B3F61">
      <w:pPr>
        <w:pStyle w:val="Heading3"/>
        <w:spacing w:line="360" w:lineRule="auto"/>
        <w:rPr>
          <w:rFonts w:asciiTheme="majorBidi" w:hAnsiTheme="majorBidi"/>
          <w:b/>
          <w:bCs/>
          <w:color w:val="auto"/>
        </w:rPr>
      </w:pPr>
      <w:bookmarkStart w:id="38" w:name="_Toc187052864"/>
      <w:bookmarkStart w:id="39" w:name="_Toc187056129"/>
      <w:r w:rsidRPr="007B3F61">
        <w:rPr>
          <w:rFonts w:asciiTheme="majorBidi" w:hAnsiTheme="majorBidi"/>
          <w:b/>
          <w:bCs/>
          <w:color w:val="auto"/>
        </w:rPr>
        <w:t>SL_04</w:t>
      </w:r>
      <w:bookmarkEnd w:id="38"/>
      <w:bookmarkEnd w:id="39"/>
    </w:p>
    <w:p w14:paraId="3E22368E" w14:textId="77777777" w:rsidR="007B3F61" w:rsidRPr="007B3F61" w:rsidRDefault="007B3F61" w:rsidP="007B3F61">
      <w:pPr>
        <w:spacing w:line="360" w:lineRule="auto"/>
        <w:rPr>
          <w:rFonts w:asciiTheme="majorBidi" w:hAnsiTheme="majorBidi" w:cstheme="majorBidi"/>
        </w:rPr>
      </w:pPr>
    </w:p>
    <w:p w14:paraId="4193C006" w14:textId="77777777" w:rsidR="007B3F61" w:rsidRP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Hasanthi, a 45-year-old resident of Maharagama, identifies as a lesbian woman. Earning a monthly income of 50,000, she has completed her education up to the Advanced Level and is unmarried. As a Sinhala Buddhist, Hasanthi has been in a relationship with her partner for five years.</w:t>
      </w:r>
    </w:p>
    <w:p w14:paraId="5C3A893C" w14:textId="5EFEA249"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In September of the previous year, the couple decided to take a walk along a rail track during a weekend holiday. Despite resolving minor disagreements earlier in the day, they sought some mental peace at a secluded spot near the track, fenced off and seemingly private. </w:t>
      </w:r>
      <w:r w:rsidR="00020A4C">
        <w:rPr>
          <w:rFonts w:asciiTheme="majorBidi" w:hAnsiTheme="majorBidi" w:cstheme="majorBidi"/>
        </w:rPr>
        <w:t>T</w:t>
      </w:r>
      <w:r w:rsidRPr="007B3F61">
        <w:rPr>
          <w:rFonts w:asciiTheme="majorBidi" w:hAnsiTheme="majorBidi" w:cstheme="majorBidi"/>
        </w:rPr>
        <w:t>hey sat and talked, unaware that workers were nearby.</w:t>
      </w:r>
    </w:p>
    <w:p w14:paraId="2729D333" w14:textId="77777777" w:rsidR="007B3F61" w:rsidRPr="007B3F61" w:rsidRDefault="007B3F61" w:rsidP="007B3F61">
      <w:pPr>
        <w:spacing w:line="360" w:lineRule="auto"/>
        <w:jc w:val="both"/>
        <w:rPr>
          <w:rFonts w:asciiTheme="majorBidi" w:hAnsiTheme="majorBidi" w:cstheme="majorBidi"/>
        </w:rPr>
      </w:pPr>
    </w:p>
    <w:p w14:paraId="4CAFA195"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As they left the area, one of the workers made mocking comments about their relationship, laughing and saying, "Girls can handle it, but how about women? We are in for a hard life… </w:t>
      </w:r>
      <w:r w:rsidRPr="007B3F61">
        <w:rPr>
          <w:rFonts w:asciiTheme="majorBidi" w:hAnsiTheme="majorBidi" w:cstheme="majorBidi"/>
        </w:rPr>
        <w:lastRenderedPageBreak/>
        <w:t>tomorrow or the next day, the police will come to deal with this." While Hasanthi and her partner initially ignored the remark, the workers continued watching them, standing by their tractor. One worker made further embarrassing remarks as the couple walked past, leaving Hasanthi feeling ashamed and humiliated.</w:t>
      </w:r>
    </w:p>
    <w:p w14:paraId="056BD288" w14:textId="77777777" w:rsidR="007B3F61" w:rsidRPr="007B3F61" w:rsidRDefault="007B3F61" w:rsidP="007B3F61">
      <w:pPr>
        <w:spacing w:line="360" w:lineRule="auto"/>
        <w:jc w:val="both"/>
        <w:rPr>
          <w:rFonts w:asciiTheme="majorBidi" w:hAnsiTheme="majorBidi" w:cstheme="majorBidi"/>
        </w:rPr>
      </w:pPr>
    </w:p>
    <w:p w14:paraId="08D6A25B"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The experience left Hasanthi questioning why they should continue living in hiding simply because they are a lesbian couple. The incident highlighted the pervasive discrimination and lack of acceptance faced by same-sex couples in public spaces. </w:t>
      </w:r>
    </w:p>
    <w:p w14:paraId="66AADF0E" w14:textId="77777777" w:rsidR="007B3F61" w:rsidRPr="007B3F61" w:rsidRDefault="007B3F61" w:rsidP="007B3F61">
      <w:pPr>
        <w:spacing w:line="360" w:lineRule="auto"/>
        <w:jc w:val="both"/>
        <w:rPr>
          <w:rFonts w:asciiTheme="majorBidi" w:hAnsiTheme="majorBidi" w:cstheme="majorBidi"/>
        </w:rPr>
      </w:pPr>
    </w:p>
    <w:p w14:paraId="2D1F2CA4" w14:textId="7C1ABD63" w:rsidR="007B3F61" w:rsidRPr="007B3F61" w:rsidRDefault="007B3F61" w:rsidP="007B3F61">
      <w:pPr>
        <w:spacing w:line="360" w:lineRule="auto"/>
        <w:jc w:val="both"/>
        <w:rPr>
          <w:rFonts w:asciiTheme="majorBidi" w:hAnsiTheme="majorBidi" w:cstheme="majorBidi"/>
        </w:rPr>
      </w:pPr>
    </w:p>
    <w:p w14:paraId="2000502B" w14:textId="77777777" w:rsidR="007B3F61" w:rsidRPr="007B3F61" w:rsidRDefault="007B3F61" w:rsidP="007B3F61">
      <w:pPr>
        <w:spacing w:line="360" w:lineRule="auto"/>
        <w:jc w:val="both"/>
        <w:rPr>
          <w:rFonts w:asciiTheme="majorBidi" w:hAnsiTheme="majorBidi" w:cstheme="majorBidi"/>
        </w:rPr>
      </w:pPr>
    </w:p>
    <w:p w14:paraId="47104B20" w14:textId="6801F33A" w:rsidR="007B3F61" w:rsidRPr="007B3F61" w:rsidRDefault="007B3F61" w:rsidP="007B3F61">
      <w:pPr>
        <w:pStyle w:val="Heading3"/>
        <w:spacing w:line="360" w:lineRule="auto"/>
        <w:rPr>
          <w:rFonts w:asciiTheme="majorBidi" w:hAnsiTheme="majorBidi"/>
          <w:b/>
          <w:bCs/>
          <w:color w:val="auto"/>
        </w:rPr>
      </w:pPr>
      <w:bookmarkStart w:id="40" w:name="_Toc187052865"/>
      <w:bookmarkStart w:id="41" w:name="_Toc187056130"/>
      <w:r w:rsidRPr="007B3F61">
        <w:rPr>
          <w:rFonts w:asciiTheme="majorBidi" w:hAnsiTheme="majorBidi"/>
          <w:b/>
          <w:bCs/>
          <w:color w:val="auto"/>
        </w:rPr>
        <w:t>SL_05</w:t>
      </w:r>
      <w:bookmarkEnd w:id="40"/>
      <w:bookmarkEnd w:id="41"/>
    </w:p>
    <w:p w14:paraId="571EEBBB" w14:textId="77777777" w:rsidR="007B3F61" w:rsidRPr="007B3F61" w:rsidRDefault="007B3F61" w:rsidP="007B3F61">
      <w:pPr>
        <w:spacing w:line="360" w:lineRule="auto"/>
        <w:rPr>
          <w:rFonts w:asciiTheme="majorBidi" w:hAnsiTheme="majorBidi" w:cstheme="majorBidi"/>
        </w:rPr>
      </w:pPr>
    </w:p>
    <w:p w14:paraId="58464E5B" w14:textId="1FED33F4"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Lakshi, a transgender woman, visited the Panadura Divisional Secretariat Office </w:t>
      </w:r>
      <w:r w:rsidR="00020A4C">
        <w:rPr>
          <w:rFonts w:asciiTheme="majorBidi" w:hAnsiTheme="majorBidi" w:cstheme="majorBidi"/>
        </w:rPr>
        <w:t>in</w:t>
      </w:r>
      <w:r w:rsidRPr="007B3F61">
        <w:rPr>
          <w:rFonts w:asciiTheme="majorBidi" w:hAnsiTheme="majorBidi" w:cstheme="majorBidi"/>
        </w:rPr>
        <w:t xml:space="preserve"> November </w:t>
      </w:r>
      <w:r w:rsidR="00020A4C">
        <w:rPr>
          <w:rFonts w:asciiTheme="majorBidi" w:hAnsiTheme="majorBidi" w:cstheme="majorBidi"/>
        </w:rPr>
        <w:t xml:space="preserve">2023, </w:t>
      </w:r>
      <w:r w:rsidRPr="007B3F61">
        <w:rPr>
          <w:rFonts w:asciiTheme="majorBidi" w:hAnsiTheme="majorBidi" w:cstheme="majorBidi"/>
        </w:rPr>
        <w:t>to initiate the process of amending her birth certificate. Unfamiliar with the procedure, she approached the reception officer for guidance.</w:t>
      </w:r>
    </w:p>
    <w:p w14:paraId="4E266656" w14:textId="77777777" w:rsidR="007B3F61" w:rsidRPr="007B3F61" w:rsidRDefault="007B3F61" w:rsidP="007B3F61">
      <w:pPr>
        <w:spacing w:line="360" w:lineRule="auto"/>
        <w:jc w:val="both"/>
        <w:rPr>
          <w:rFonts w:asciiTheme="majorBidi" w:hAnsiTheme="majorBidi" w:cstheme="majorBidi"/>
        </w:rPr>
      </w:pPr>
    </w:p>
    <w:p w14:paraId="1C38E8B4"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Instead of receiving assistance, the officer mocked Lakshi’s identity, laughing and making derogatory comments. The officer said, "Why are you trying to become like this? You are a handsome young man with a good life ahead of you. Are you crazy?"</w:t>
      </w:r>
    </w:p>
    <w:p w14:paraId="14DA7714" w14:textId="77777777" w:rsidR="007B3F61" w:rsidRPr="007B3F61" w:rsidRDefault="007B3F61" w:rsidP="007B3F61">
      <w:pPr>
        <w:spacing w:line="360" w:lineRule="auto"/>
        <w:jc w:val="both"/>
        <w:rPr>
          <w:rFonts w:asciiTheme="majorBidi" w:hAnsiTheme="majorBidi" w:cstheme="majorBidi"/>
        </w:rPr>
      </w:pPr>
    </w:p>
    <w:p w14:paraId="4E440D98" w14:textId="77777777" w:rsidR="007B3F61" w:rsidRP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Despite this, Lakshi explained her situation, but the officer dismissed her concerns. When Lakshi questioned why her request couldn’t be processed, particularly since others had managed to update their documents, the officer stated that she first needed to obtain a Gender Recognition Certificate (GRC). Although the officer eventually provided details about the required steps, her initial remarks left Lakshi feeling deeply humiliated and uncomfortable.</w:t>
      </w:r>
    </w:p>
    <w:p w14:paraId="23CA4FA5" w14:textId="0B8551F5" w:rsidR="007B3F61" w:rsidRP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This incident highlighted the lack of awareness and sensitivity among some government officials regarding transgender individuals. Lakshi noted that such experiences underscore the urgent need for training and education on transgender rights to ensure fair and respectful treatment in public institutions.</w:t>
      </w:r>
      <w:r w:rsidR="00020A4C" w:rsidRPr="00020A4C">
        <w:rPr>
          <w:rFonts w:asciiTheme="majorBidi" w:hAnsiTheme="majorBidi" w:cstheme="majorBidi"/>
        </w:rPr>
        <w:t xml:space="preserve"> </w:t>
      </w:r>
      <w:r w:rsidR="00020A4C" w:rsidRPr="007B3F61">
        <w:rPr>
          <w:rFonts w:asciiTheme="majorBidi" w:hAnsiTheme="majorBidi" w:cstheme="majorBidi"/>
        </w:rPr>
        <w:t>(Name Changed)</w:t>
      </w:r>
    </w:p>
    <w:p w14:paraId="235E3519" w14:textId="77777777" w:rsidR="007B3F61" w:rsidRPr="007B3F61" w:rsidRDefault="007B3F61" w:rsidP="007B3F61">
      <w:pPr>
        <w:spacing w:line="360" w:lineRule="auto"/>
        <w:jc w:val="both"/>
        <w:rPr>
          <w:rFonts w:asciiTheme="majorBidi" w:hAnsiTheme="majorBidi" w:cstheme="majorBidi"/>
        </w:rPr>
      </w:pPr>
    </w:p>
    <w:p w14:paraId="7027D6D9" w14:textId="70E2C725" w:rsidR="007B3F61" w:rsidRPr="007B3F61" w:rsidRDefault="007B3F61" w:rsidP="007B3F61">
      <w:pPr>
        <w:pStyle w:val="Heading3"/>
        <w:spacing w:line="360" w:lineRule="auto"/>
        <w:rPr>
          <w:rFonts w:asciiTheme="majorBidi" w:hAnsiTheme="majorBidi"/>
          <w:b/>
          <w:bCs/>
          <w:color w:val="auto"/>
        </w:rPr>
      </w:pPr>
      <w:bookmarkStart w:id="42" w:name="_Toc187052866"/>
      <w:bookmarkStart w:id="43" w:name="_Toc187056131"/>
      <w:r w:rsidRPr="007B3F61">
        <w:rPr>
          <w:rFonts w:asciiTheme="majorBidi" w:hAnsiTheme="majorBidi"/>
          <w:b/>
          <w:bCs/>
          <w:color w:val="auto"/>
        </w:rPr>
        <w:t>SL_06</w:t>
      </w:r>
      <w:bookmarkEnd w:id="42"/>
      <w:bookmarkEnd w:id="43"/>
    </w:p>
    <w:p w14:paraId="436A29B5" w14:textId="77777777" w:rsidR="007B3F61" w:rsidRPr="007B3F61" w:rsidRDefault="007B3F61" w:rsidP="007B3F61">
      <w:pPr>
        <w:spacing w:line="360" w:lineRule="auto"/>
        <w:rPr>
          <w:rFonts w:asciiTheme="majorBidi" w:hAnsiTheme="majorBidi" w:cstheme="majorBidi"/>
        </w:rPr>
      </w:pPr>
    </w:p>
    <w:p w14:paraId="5ACEEDBA" w14:textId="1724B484"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lastRenderedPageBreak/>
        <w:t xml:space="preserve">Shradda, a transgender woman and a cosmetologist, visited the Thimbirigasyaya Divisional Secretariat Office </w:t>
      </w:r>
      <w:r w:rsidR="00020A4C">
        <w:rPr>
          <w:rFonts w:asciiTheme="majorBidi" w:hAnsiTheme="majorBidi" w:cstheme="majorBidi"/>
        </w:rPr>
        <w:t>in</w:t>
      </w:r>
      <w:r w:rsidRPr="007B3F61">
        <w:rPr>
          <w:rFonts w:asciiTheme="majorBidi" w:hAnsiTheme="majorBidi" w:cstheme="majorBidi"/>
        </w:rPr>
        <w:t xml:space="preserve"> December 2024</w:t>
      </w:r>
      <w:r w:rsidR="00020A4C">
        <w:rPr>
          <w:rFonts w:asciiTheme="majorBidi" w:hAnsiTheme="majorBidi" w:cstheme="majorBidi"/>
        </w:rPr>
        <w:t xml:space="preserve"> </w:t>
      </w:r>
      <w:r w:rsidRPr="007B3F61">
        <w:rPr>
          <w:rFonts w:asciiTheme="majorBidi" w:hAnsiTheme="majorBidi" w:cstheme="majorBidi"/>
        </w:rPr>
        <w:t>to collect her newly amended birth certificate. A young man at the office informed her that the document would not be immediately available and that there would be a delay. Shradda felt that he unnecessarily involved others, seemingly pointing her out and drawing attention.</w:t>
      </w:r>
    </w:p>
    <w:p w14:paraId="3A4EB9CB" w14:textId="77777777" w:rsidR="007B3F61" w:rsidRPr="007B3F61" w:rsidRDefault="007B3F61" w:rsidP="007B3F61">
      <w:pPr>
        <w:spacing w:line="360" w:lineRule="auto"/>
        <w:jc w:val="both"/>
        <w:rPr>
          <w:rFonts w:asciiTheme="majorBidi" w:hAnsiTheme="majorBidi" w:cstheme="majorBidi"/>
        </w:rPr>
      </w:pPr>
    </w:p>
    <w:p w14:paraId="4F82E4C4" w14:textId="554F885C"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Later</w:t>
      </w:r>
      <w:r w:rsidR="00A22BC5">
        <w:rPr>
          <w:rFonts w:asciiTheme="majorBidi" w:hAnsiTheme="majorBidi" w:cstheme="majorBidi"/>
        </w:rPr>
        <w:t xml:space="preserve"> a woman asked</w:t>
      </w:r>
      <w:r w:rsidRPr="007B3F61">
        <w:rPr>
          <w:rFonts w:asciiTheme="majorBidi" w:hAnsiTheme="majorBidi" w:cstheme="majorBidi"/>
        </w:rPr>
        <w:t xml:space="preserve"> Shradda, "Why did you amend your birth certificate?" When Shradda explained that she is a transgender woman, the woman responded, </w:t>
      </w:r>
      <w:r w:rsidRPr="007B3F61">
        <w:rPr>
          <w:rFonts w:asciiTheme="majorBidi" w:hAnsiTheme="majorBidi" w:cstheme="majorBidi"/>
          <w:i/>
          <w:iCs/>
        </w:rPr>
        <w:t>"Oh, what a shame... if you stayed as a boy, you would have been such a handsome one."</w:t>
      </w:r>
      <w:r w:rsidRPr="007B3F61">
        <w:rPr>
          <w:rFonts w:asciiTheme="majorBidi" w:hAnsiTheme="majorBidi" w:cstheme="majorBidi"/>
        </w:rPr>
        <w:t xml:space="preserve"> Feeling deeply uncomfortable, Shradda chose to leave without further engaging.</w:t>
      </w:r>
    </w:p>
    <w:p w14:paraId="548BD202" w14:textId="77777777" w:rsidR="007B3F61" w:rsidRPr="007B3F61" w:rsidRDefault="007B3F61" w:rsidP="007B3F61">
      <w:pPr>
        <w:spacing w:line="360" w:lineRule="auto"/>
        <w:jc w:val="both"/>
        <w:rPr>
          <w:rFonts w:asciiTheme="majorBidi" w:hAnsiTheme="majorBidi" w:cstheme="majorBidi"/>
        </w:rPr>
      </w:pPr>
    </w:p>
    <w:p w14:paraId="6B8F1821" w14:textId="77777777" w:rsidR="007B3F61" w:rsidRP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This experience left Shradda disheartened. She expressed frustration over the lack of awareness among service providers about personal identity and the importance of treating individuals with respect. She believes more educational programs are necessary to create an informed and empathetic society. Shradda emphasized that positive initiatives could foster a more understanding and inclusive environment for all.</w:t>
      </w:r>
    </w:p>
    <w:p w14:paraId="6B9D9D86" w14:textId="77777777" w:rsidR="007B3F61" w:rsidRPr="007B3F61" w:rsidRDefault="007B3F61" w:rsidP="007B3F61">
      <w:pPr>
        <w:spacing w:line="360" w:lineRule="auto"/>
        <w:jc w:val="both"/>
        <w:rPr>
          <w:rFonts w:asciiTheme="majorBidi" w:hAnsiTheme="majorBidi" w:cstheme="majorBidi"/>
        </w:rPr>
      </w:pPr>
    </w:p>
    <w:p w14:paraId="18B1217B" w14:textId="3CF420A3" w:rsidR="007B3F61" w:rsidRPr="007B3F61" w:rsidRDefault="007B3F61" w:rsidP="007B3F61">
      <w:pPr>
        <w:pStyle w:val="Heading3"/>
        <w:spacing w:line="360" w:lineRule="auto"/>
        <w:rPr>
          <w:rFonts w:asciiTheme="majorBidi" w:hAnsiTheme="majorBidi"/>
          <w:b/>
          <w:bCs/>
          <w:color w:val="auto"/>
        </w:rPr>
      </w:pPr>
      <w:bookmarkStart w:id="44" w:name="_Toc187052867"/>
      <w:bookmarkStart w:id="45" w:name="_Toc187056132"/>
      <w:r w:rsidRPr="007B3F61">
        <w:rPr>
          <w:rFonts w:asciiTheme="majorBidi" w:hAnsiTheme="majorBidi"/>
          <w:b/>
          <w:bCs/>
          <w:color w:val="auto"/>
        </w:rPr>
        <w:t>SL_07</w:t>
      </w:r>
      <w:bookmarkEnd w:id="44"/>
      <w:bookmarkEnd w:id="45"/>
    </w:p>
    <w:p w14:paraId="5E5E32A4" w14:textId="77777777" w:rsidR="007B3F61" w:rsidRPr="007B3F61" w:rsidRDefault="007B3F61" w:rsidP="007B3F61">
      <w:pPr>
        <w:spacing w:line="360" w:lineRule="auto"/>
        <w:rPr>
          <w:rFonts w:asciiTheme="majorBidi" w:hAnsiTheme="majorBidi" w:cstheme="majorBidi"/>
        </w:rPr>
      </w:pPr>
    </w:p>
    <w:p w14:paraId="5EC997F1" w14:textId="49AA7F60" w:rsidR="007B3F61" w:rsidRP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Salitha, a 40-year-old transgender woman from Piliyandala, works as a sex worker and often waits near the Dehiwala flyover to meet clients. </w:t>
      </w:r>
      <w:r w:rsidR="00A22BC5">
        <w:rPr>
          <w:rFonts w:asciiTheme="majorBidi" w:hAnsiTheme="majorBidi" w:cstheme="majorBidi"/>
        </w:rPr>
        <w:t>In April</w:t>
      </w:r>
      <w:r w:rsidRPr="007B3F61">
        <w:rPr>
          <w:rFonts w:asciiTheme="majorBidi" w:hAnsiTheme="majorBidi" w:cstheme="majorBidi"/>
        </w:rPr>
        <w:t xml:space="preserve"> 2024, while waiting for a client, a jeep from the Dehiwala police station passed by. Police officer </w:t>
      </w:r>
      <w:r w:rsidR="003C05F7">
        <w:rPr>
          <w:rFonts w:asciiTheme="majorBidi" w:hAnsiTheme="majorBidi" w:cstheme="majorBidi"/>
        </w:rPr>
        <w:t>TS*</w:t>
      </w:r>
      <w:r w:rsidRPr="007B3F61">
        <w:rPr>
          <w:rFonts w:asciiTheme="majorBidi" w:hAnsiTheme="majorBidi" w:cstheme="majorBidi"/>
        </w:rPr>
        <w:t xml:space="preserve"> approached her aggressively, saying, </w:t>
      </w:r>
      <w:r w:rsidRPr="007B3F61">
        <w:rPr>
          <w:rFonts w:asciiTheme="majorBidi" w:hAnsiTheme="majorBidi" w:cstheme="majorBidi"/>
          <w:i/>
          <w:iCs/>
        </w:rPr>
        <w:t>“Hey, ponnaya, are you still here today?”</w:t>
      </w:r>
      <w:r w:rsidRPr="007B3F61">
        <w:rPr>
          <w:rFonts w:asciiTheme="majorBidi" w:hAnsiTheme="majorBidi" w:cstheme="majorBidi"/>
        </w:rPr>
        <w:t xml:space="preserve"> He grabbed her by the hair, forcibly pushed her into the police jeep, and took her to the station.</w:t>
      </w:r>
    </w:p>
    <w:p w14:paraId="76D6D4A2" w14:textId="66A50A5F"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Upon arrival, </w:t>
      </w:r>
      <w:r w:rsidR="003C05F7">
        <w:rPr>
          <w:rFonts w:asciiTheme="majorBidi" w:hAnsiTheme="majorBidi" w:cstheme="majorBidi"/>
        </w:rPr>
        <w:t>TS</w:t>
      </w:r>
      <w:r w:rsidRPr="007B3F61">
        <w:rPr>
          <w:rFonts w:asciiTheme="majorBidi" w:hAnsiTheme="majorBidi" w:cstheme="majorBidi"/>
        </w:rPr>
        <w:t xml:space="preserve"> slapped her hard, causing her to fall to the ground. Verbally abusing her, he said, </w:t>
      </w:r>
      <w:r w:rsidRPr="007B3F61">
        <w:rPr>
          <w:rFonts w:asciiTheme="majorBidi" w:hAnsiTheme="majorBidi" w:cstheme="majorBidi"/>
          <w:i/>
          <w:iCs/>
        </w:rPr>
        <w:t>“Didn’t I tell you guys who wear women’s clothes not to go out on the streets to do ponnaya in the middle of the night?”</w:t>
      </w:r>
      <w:r w:rsidRPr="007B3F61">
        <w:rPr>
          <w:rFonts w:asciiTheme="majorBidi" w:hAnsiTheme="majorBidi" w:cstheme="majorBidi"/>
        </w:rPr>
        <w:t xml:space="preserve"> What followed was a brutal assault by approximately ten police officers, both male and female. Male officers used their hands, feet, and brooms, while female officers struck her with complaint books. The assault lasted for about half an hour, leaving her face injured and bleeding. Despite her injuries, the officers continued to beat her in an inhumane and degrading manner before locking her in a police cell. When she requested water due to severe pain, the officers denied her request. She was released the next morning around 7 AM, still in immense pain and fear.</w:t>
      </w:r>
    </w:p>
    <w:p w14:paraId="2BBE4397" w14:textId="77777777" w:rsidR="007B3F61" w:rsidRPr="007B3F61" w:rsidRDefault="007B3F61" w:rsidP="007B3F61">
      <w:pPr>
        <w:spacing w:line="360" w:lineRule="auto"/>
        <w:jc w:val="both"/>
        <w:rPr>
          <w:rFonts w:asciiTheme="majorBidi" w:hAnsiTheme="majorBidi" w:cstheme="majorBidi"/>
        </w:rPr>
      </w:pPr>
    </w:p>
    <w:p w14:paraId="2AA8541F" w14:textId="7250F6F5" w:rsidR="007B3F61" w:rsidRP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This was not the first instance of abuse by officer </w:t>
      </w:r>
      <w:r w:rsidR="003C05F7">
        <w:rPr>
          <w:rFonts w:asciiTheme="majorBidi" w:hAnsiTheme="majorBidi" w:cstheme="majorBidi"/>
        </w:rPr>
        <w:t>TS</w:t>
      </w:r>
      <w:r w:rsidRPr="007B3F61">
        <w:rPr>
          <w:rFonts w:asciiTheme="majorBidi" w:hAnsiTheme="majorBidi" w:cstheme="majorBidi"/>
        </w:rPr>
        <w:t>, who had previously subjected her to inhumane treatment and derogatory language while on duty. Salitha now calls for legal action to be taken against those responsible for these degrading and inhumane acts. (</w:t>
      </w:r>
      <w:r w:rsidR="003C05F7">
        <w:rPr>
          <w:rFonts w:asciiTheme="majorBidi" w:hAnsiTheme="majorBidi" w:cstheme="majorBidi"/>
        </w:rPr>
        <w:t>*</w:t>
      </w:r>
      <w:r w:rsidRPr="007B3F61">
        <w:rPr>
          <w:rFonts w:asciiTheme="majorBidi" w:hAnsiTheme="majorBidi" w:cstheme="majorBidi"/>
        </w:rPr>
        <w:t>Name Changed)</w:t>
      </w:r>
    </w:p>
    <w:p w14:paraId="16AFFA1D" w14:textId="77777777" w:rsidR="007B3F61" w:rsidRPr="007B3F61" w:rsidRDefault="007B3F61" w:rsidP="007B3F61">
      <w:pPr>
        <w:spacing w:line="360" w:lineRule="auto"/>
        <w:jc w:val="both"/>
        <w:rPr>
          <w:rFonts w:asciiTheme="majorBidi" w:hAnsiTheme="majorBidi" w:cstheme="majorBidi"/>
        </w:rPr>
      </w:pPr>
    </w:p>
    <w:p w14:paraId="781ADDA2" w14:textId="43AB26DE" w:rsidR="007B3F61" w:rsidRPr="007B3F61" w:rsidRDefault="007B3F61" w:rsidP="007B3F61">
      <w:pPr>
        <w:pStyle w:val="Heading3"/>
        <w:spacing w:line="360" w:lineRule="auto"/>
        <w:rPr>
          <w:rFonts w:asciiTheme="majorBidi" w:hAnsiTheme="majorBidi"/>
          <w:b/>
          <w:bCs/>
          <w:color w:val="auto"/>
        </w:rPr>
      </w:pPr>
      <w:bookmarkStart w:id="46" w:name="_Toc187052868"/>
      <w:bookmarkStart w:id="47" w:name="_Toc187056133"/>
      <w:r w:rsidRPr="007B3F61">
        <w:rPr>
          <w:rFonts w:asciiTheme="majorBidi" w:hAnsiTheme="majorBidi"/>
          <w:b/>
          <w:bCs/>
          <w:color w:val="auto"/>
        </w:rPr>
        <w:t>SL_08</w:t>
      </w:r>
      <w:bookmarkEnd w:id="46"/>
      <w:bookmarkEnd w:id="47"/>
    </w:p>
    <w:p w14:paraId="39B58B69" w14:textId="77777777" w:rsidR="007B3F61" w:rsidRPr="007B3F61" w:rsidRDefault="007B3F61" w:rsidP="007B3F61">
      <w:pPr>
        <w:spacing w:line="360" w:lineRule="auto"/>
        <w:rPr>
          <w:rFonts w:asciiTheme="majorBidi" w:hAnsiTheme="majorBidi" w:cstheme="majorBidi"/>
        </w:rPr>
      </w:pPr>
    </w:p>
    <w:p w14:paraId="04B202DB"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Punsara, a 24-year-old transgender male from Akuressa, resides with his partner, Sayuri. Despite their commitment to each other, their relationship faces severe opposition from Sayuri’s parents, particularly her father. On one occasion, Sayuri's father came to their house, attacked her by pulling her hair, and when Punsara tried to intervene, he hesitated because it was her father. Following the incident, they reported the assault to the Akuressa Police, who accepted the complaint and requested their return for further action. However, despite multiple follow-ups, no concrete action was taken against Sayuri’s father, with one officer claiming that the road to the father’s residence was blocked.</w:t>
      </w:r>
    </w:p>
    <w:p w14:paraId="549E4942" w14:textId="77777777" w:rsidR="007B3F61" w:rsidRPr="007B3F61" w:rsidRDefault="007B3F61" w:rsidP="007B3F61">
      <w:pPr>
        <w:spacing w:line="360" w:lineRule="auto"/>
        <w:jc w:val="both"/>
        <w:rPr>
          <w:rFonts w:asciiTheme="majorBidi" w:hAnsiTheme="majorBidi" w:cstheme="majorBidi"/>
        </w:rPr>
      </w:pPr>
    </w:p>
    <w:p w14:paraId="3C243884" w14:textId="00D5A55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During the investigation, Officer </w:t>
      </w:r>
      <w:r w:rsidR="003C05F7">
        <w:rPr>
          <w:rFonts w:asciiTheme="majorBidi" w:hAnsiTheme="majorBidi" w:cstheme="majorBidi"/>
        </w:rPr>
        <w:t>M.B*</w:t>
      </w:r>
      <w:r w:rsidRPr="007B3F61">
        <w:rPr>
          <w:rFonts w:asciiTheme="majorBidi" w:hAnsiTheme="majorBidi" w:cstheme="majorBidi"/>
        </w:rPr>
        <w:t xml:space="preserve"> verbally abused and humiliated Punsara, saying, "If you're a girl, stay like a girl. Why are you changing like that? Stay as you were before." This same officer later publicly mocked him near the Morawaka Court, pointing him out to a group of young boys and ridiculing him for being transgender.</w:t>
      </w:r>
    </w:p>
    <w:p w14:paraId="1797875B" w14:textId="77777777" w:rsidR="007B3F61" w:rsidRPr="007B3F61" w:rsidRDefault="007B3F61" w:rsidP="007B3F61">
      <w:pPr>
        <w:spacing w:line="360" w:lineRule="auto"/>
        <w:jc w:val="both"/>
        <w:rPr>
          <w:rFonts w:asciiTheme="majorBidi" w:hAnsiTheme="majorBidi" w:cstheme="majorBidi"/>
        </w:rPr>
      </w:pPr>
    </w:p>
    <w:p w14:paraId="5498F931" w14:textId="683C33B9" w:rsidR="007B3F61" w:rsidRP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After months of unresolved complaints, Sayuri’s father returned to their house, issued threats, and attempted to forcibly take her away. Despite further complaints to higher-ranking officers, including ASP </w:t>
      </w:r>
      <w:r w:rsidR="003C05F7">
        <w:rPr>
          <w:rFonts w:asciiTheme="majorBidi" w:hAnsiTheme="majorBidi" w:cstheme="majorBidi"/>
        </w:rPr>
        <w:t>M.P*</w:t>
      </w:r>
      <w:r w:rsidRPr="007B3F61">
        <w:rPr>
          <w:rFonts w:asciiTheme="majorBidi" w:hAnsiTheme="majorBidi" w:cstheme="majorBidi"/>
        </w:rPr>
        <w:t xml:space="preserve"> and SSP </w:t>
      </w:r>
      <w:r w:rsidR="003C05F7">
        <w:rPr>
          <w:rFonts w:asciiTheme="majorBidi" w:hAnsiTheme="majorBidi" w:cstheme="majorBidi"/>
        </w:rPr>
        <w:t>P.W*</w:t>
      </w:r>
      <w:r w:rsidRPr="007B3F61">
        <w:rPr>
          <w:rFonts w:asciiTheme="majorBidi" w:hAnsiTheme="majorBidi" w:cstheme="majorBidi"/>
        </w:rPr>
        <w:t>, no meaningful action was taken. Punsara and Sayuri ultimately stopped seeking police intervention due to the lack of progress.</w:t>
      </w:r>
    </w:p>
    <w:p w14:paraId="0B9CB375" w14:textId="2CE55A19"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Punsara highlights the discriminatory remarks and behavior of Officer </w:t>
      </w:r>
      <w:r w:rsidR="003C05F7">
        <w:rPr>
          <w:rFonts w:asciiTheme="majorBidi" w:hAnsiTheme="majorBidi" w:cstheme="majorBidi"/>
        </w:rPr>
        <w:t>M.B*</w:t>
      </w:r>
      <w:r w:rsidRPr="007B3F61">
        <w:rPr>
          <w:rFonts w:asciiTheme="majorBidi" w:hAnsiTheme="majorBidi" w:cstheme="majorBidi"/>
        </w:rPr>
        <w:t xml:space="preserve"> as emblematic of a broader lack of understanding and respect for transgender individuals. He emphasizes that such conduct violates Article 12 of the Constitution, which guarantees equality before the law. He calls for increased education and sensitization for law enforcement officers to address discrimination against transgender individuals and ensure their rights are respected. (</w:t>
      </w:r>
      <w:r w:rsidR="003C05F7">
        <w:rPr>
          <w:rFonts w:asciiTheme="majorBidi" w:hAnsiTheme="majorBidi" w:cstheme="majorBidi"/>
        </w:rPr>
        <w:t>*</w:t>
      </w:r>
      <w:r w:rsidRPr="007B3F61">
        <w:rPr>
          <w:rFonts w:asciiTheme="majorBidi" w:hAnsiTheme="majorBidi" w:cstheme="majorBidi"/>
        </w:rPr>
        <w:t xml:space="preserve">name changed) </w:t>
      </w:r>
    </w:p>
    <w:p w14:paraId="7B3B95D9" w14:textId="77777777" w:rsidR="007B3F61" w:rsidRPr="007B3F61" w:rsidRDefault="007B3F61" w:rsidP="007B3F61">
      <w:pPr>
        <w:spacing w:line="360" w:lineRule="auto"/>
        <w:jc w:val="both"/>
        <w:rPr>
          <w:rFonts w:asciiTheme="majorBidi" w:hAnsiTheme="majorBidi" w:cstheme="majorBidi"/>
        </w:rPr>
      </w:pPr>
    </w:p>
    <w:p w14:paraId="159D3D23" w14:textId="5C59B07C" w:rsidR="007B3F61" w:rsidRPr="007B3F61" w:rsidRDefault="007B3F61" w:rsidP="007B3F61">
      <w:pPr>
        <w:pStyle w:val="Heading3"/>
        <w:spacing w:line="360" w:lineRule="auto"/>
        <w:rPr>
          <w:rFonts w:asciiTheme="majorBidi" w:hAnsiTheme="majorBidi"/>
          <w:b/>
          <w:bCs/>
          <w:color w:val="auto"/>
        </w:rPr>
      </w:pPr>
      <w:bookmarkStart w:id="48" w:name="_Toc187052869"/>
      <w:bookmarkStart w:id="49" w:name="_Toc187056134"/>
      <w:r w:rsidRPr="007B3F61">
        <w:rPr>
          <w:rFonts w:asciiTheme="majorBidi" w:hAnsiTheme="majorBidi"/>
          <w:b/>
          <w:bCs/>
          <w:color w:val="auto"/>
        </w:rPr>
        <w:lastRenderedPageBreak/>
        <w:t>SL_0</w:t>
      </w:r>
      <w:bookmarkEnd w:id="48"/>
      <w:bookmarkEnd w:id="49"/>
      <w:r w:rsidR="004E1F08">
        <w:rPr>
          <w:rFonts w:asciiTheme="majorBidi" w:hAnsiTheme="majorBidi"/>
          <w:b/>
          <w:bCs/>
          <w:color w:val="auto"/>
        </w:rPr>
        <w:t>9</w:t>
      </w:r>
    </w:p>
    <w:p w14:paraId="4C3F32F1" w14:textId="77777777" w:rsidR="007B3F61" w:rsidRPr="007B3F61" w:rsidRDefault="007B3F61" w:rsidP="007B3F61">
      <w:pPr>
        <w:spacing w:line="360" w:lineRule="auto"/>
        <w:jc w:val="both"/>
        <w:rPr>
          <w:rFonts w:asciiTheme="majorBidi" w:hAnsiTheme="majorBidi" w:cstheme="majorBidi"/>
        </w:rPr>
      </w:pPr>
    </w:p>
    <w:p w14:paraId="2F922F7A"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Mallika, a 26-year-old resident of Kelaniya, identifies as a transgender woman. Despite her monthly income of 70,000 and a commitment to living authentically, Mallika, like many LGBTQI individuals in Sri Lanka, faces systemic discrimination, particularly in accessing public services. This discrimination is often rooted in ignorance and prejudice, as seen in an incident at Ragama Railway Station.</w:t>
      </w:r>
    </w:p>
    <w:p w14:paraId="7D0BB48E" w14:textId="77777777" w:rsidR="007B3F61" w:rsidRPr="007B3F61" w:rsidRDefault="007B3F61" w:rsidP="007B3F61">
      <w:pPr>
        <w:spacing w:line="360" w:lineRule="auto"/>
        <w:jc w:val="both"/>
        <w:rPr>
          <w:rFonts w:asciiTheme="majorBidi" w:hAnsiTheme="majorBidi" w:cstheme="majorBidi"/>
        </w:rPr>
      </w:pPr>
    </w:p>
    <w:p w14:paraId="163432B1" w14:textId="69E8931D"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 xml:space="preserve">While waiting with friends for a train, the station manager approached them, saying, “Why are you standing here? Go away, you freaks. Don’t stand here, leave, go to the back of the platform.” His words drew stares from others, leaving Mallika and her friends humiliated. When one friend challenged the manager’s </w:t>
      </w:r>
      <w:r w:rsidR="00A22BC5" w:rsidRPr="007B3F61">
        <w:rPr>
          <w:rFonts w:asciiTheme="majorBidi" w:hAnsiTheme="majorBidi" w:cstheme="majorBidi"/>
        </w:rPr>
        <w:t>behaviour</w:t>
      </w:r>
      <w:r w:rsidRPr="007B3F61">
        <w:rPr>
          <w:rFonts w:asciiTheme="majorBidi" w:hAnsiTheme="majorBidi" w:cstheme="majorBidi"/>
        </w:rPr>
        <w:t>, he retorted, “We are better men than you. You’re not women, you’re just freaks. Leave now, or I’ll call security and have you thrown out.” Despite the emotional distress caused by these remarks, the group boarded the train to Kelaniya to avoid further confrontation.</w:t>
      </w:r>
    </w:p>
    <w:p w14:paraId="2A57407A" w14:textId="77777777" w:rsidR="007B3F61" w:rsidRPr="007B3F61" w:rsidRDefault="007B3F61" w:rsidP="007B3F61">
      <w:pPr>
        <w:spacing w:line="360" w:lineRule="auto"/>
        <w:jc w:val="both"/>
        <w:rPr>
          <w:rFonts w:asciiTheme="majorBidi" w:hAnsiTheme="majorBidi" w:cstheme="majorBidi"/>
        </w:rPr>
      </w:pPr>
    </w:p>
    <w:p w14:paraId="6B895BD5"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This incident reflects a broader issue: the lack of training and sensitization among railway employees regarding LGBTQI rights and dignity. While the prejudice displayed may stem from individual biases rather than official policy, the Sri Lanka Railway Department’s failure to educate staff exacerbates such mistreatment.</w:t>
      </w:r>
    </w:p>
    <w:p w14:paraId="7BD3C036" w14:textId="77777777" w:rsidR="007B3F61" w:rsidRPr="007B3F61" w:rsidRDefault="007B3F61" w:rsidP="007B3F61">
      <w:pPr>
        <w:spacing w:line="360" w:lineRule="auto"/>
        <w:jc w:val="both"/>
        <w:rPr>
          <w:rFonts w:asciiTheme="majorBidi" w:hAnsiTheme="majorBidi" w:cstheme="majorBidi"/>
        </w:rPr>
      </w:pPr>
    </w:p>
    <w:p w14:paraId="0F94E8AD"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LGBTQI individuals in Sri Lanka frequently encounter discrimination when using public transportation. Despite being citizens entitled to equal rights, including access to public services, they often face harassment and exclusion. Such incidents highlight the urgent need for policies and programs that promote gender equality and human rights awareness among public service providers.</w:t>
      </w:r>
    </w:p>
    <w:p w14:paraId="613025CF" w14:textId="77777777" w:rsidR="007B3F61" w:rsidRPr="007B3F61" w:rsidRDefault="007B3F61" w:rsidP="007B3F61">
      <w:pPr>
        <w:spacing w:line="360" w:lineRule="auto"/>
        <w:jc w:val="both"/>
        <w:rPr>
          <w:rFonts w:asciiTheme="majorBidi" w:hAnsiTheme="majorBidi" w:cstheme="majorBidi"/>
        </w:rPr>
      </w:pPr>
    </w:p>
    <w:p w14:paraId="5EAEF6B5"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Mallika’s experience underscores the necessity of addressing these injustices. She emphasizes that LGBTQI individuals deserve respect and equal treatment in all public spheres. Presenting such incidents to the Human Rights Commission and other relevant bodies can help bring accountability and drive systemic change. Furthermore, the implementation of gender equality guidelines and staff training within the Railway Department is crucial to prevent future occurrences of such abuse.</w:t>
      </w:r>
    </w:p>
    <w:p w14:paraId="76E50B5F" w14:textId="77777777" w:rsidR="007B3F61" w:rsidRPr="007B3F61" w:rsidRDefault="007B3F61" w:rsidP="007B3F61">
      <w:pPr>
        <w:spacing w:line="360" w:lineRule="auto"/>
        <w:jc w:val="both"/>
        <w:rPr>
          <w:rFonts w:asciiTheme="majorBidi" w:hAnsiTheme="majorBidi" w:cstheme="majorBidi"/>
        </w:rPr>
      </w:pPr>
    </w:p>
    <w:p w14:paraId="793B70FE"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lastRenderedPageBreak/>
        <w:t>This incident is not isolated, and it represents the ongoing challenges faced by LGBTQI individuals in Sri Lanka. Comprehensive reforms and education are essential to fostering an inclusive and respectful society for all.</w:t>
      </w:r>
    </w:p>
    <w:p w14:paraId="26A872CF" w14:textId="77777777" w:rsidR="007B3F61" w:rsidRPr="007B3F61" w:rsidRDefault="007B3F61" w:rsidP="007B3F61">
      <w:pPr>
        <w:spacing w:line="360" w:lineRule="auto"/>
        <w:jc w:val="both"/>
        <w:rPr>
          <w:rFonts w:asciiTheme="majorBidi" w:hAnsiTheme="majorBidi" w:cstheme="majorBidi"/>
        </w:rPr>
      </w:pPr>
    </w:p>
    <w:p w14:paraId="786AA80C" w14:textId="02EBA6C6" w:rsidR="007B3F61" w:rsidRPr="007B3F61" w:rsidRDefault="007B3F61" w:rsidP="007B3F61">
      <w:pPr>
        <w:pStyle w:val="Heading3"/>
        <w:spacing w:line="360" w:lineRule="auto"/>
        <w:rPr>
          <w:rFonts w:asciiTheme="majorBidi" w:hAnsiTheme="majorBidi"/>
          <w:b/>
          <w:bCs/>
          <w:color w:val="auto"/>
        </w:rPr>
      </w:pPr>
      <w:bookmarkStart w:id="50" w:name="_Toc187052870"/>
      <w:bookmarkStart w:id="51" w:name="_Toc187056135"/>
      <w:r w:rsidRPr="007B3F61">
        <w:rPr>
          <w:rFonts w:asciiTheme="majorBidi" w:hAnsiTheme="majorBidi"/>
          <w:b/>
          <w:bCs/>
          <w:color w:val="auto"/>
        </w:rPr>
        <w:t>SL_</w:t>
      </w:r>
      <w:bookmarkEnd w:id="50"/>
      <w:bookmarkEnd w:id="51"/>
      <w:r w:rsidR="004E1F08">
        <w:rPr>
          <w:rFonts w:asciiTheme="majorBidi" w:hAnsiTheme="majorBidi"/>
          <w:b/>
          <w:bCs/>
          <w:color w:val="auto"/>
        </w:rPr>
        <w:t>10</w:t>
      </w:r>
    </w:p>
    <w:p w14:paraId="2EBDC43B" w14:textId="77777777" w:rsidR="007B3F61" w:rsidRPr="007B3F61" w:rsidRDefault="007B3F61" w:rsidP="007B3F61">
      <w:pPr>
        <w:spacing w:line="360" w:lineRule="auto"/>
        <w:rPr>
          <w:rFonts w:asciiTheme="majorBidi" w:hAnsiTheme="majorBidi" w:cstheme="majorBidi"/>
        </w:rPr>
      </w:pPr>
    </w:p>
    <w:p w14:paraId="411DC641"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Dammy, a former military officer from Kandy, endured significant challenges due to her sexual orientation and gender expression. Despite acquiring numerous skills and completing multiple diplomas to build a life after leaving the military, where she faced targeted harassment, Dammy's struggles continued beyond her service.</w:t>
      </w:r>
    </w:p>
    <w:p w14:paraId="28064080" w14:textId="77777777" w:rsidR="007B3F61" w:rsidRPr="007B3F61" w:rsidRDefault="007B3F61" w:rsidP="007B3F61">
      <w:pPr>
        <w:spacing w:line="360" w:lineRule="auto"/>
        <w:jc w:val="both"/>
        <w:rPr>
          <w:rFonts w:asciiTheme="majorBidi" w:hAnsiTheme="majorBidi" w:cstheme="majorBidi"/>
        </w:rPr>
      </w:pPr>
    </w:p>
    <w:p w14:paraId="2E4B75A5" w14:textId="77777777" w:rsid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In April 2023, Dammy was forced out of the Colombo home she shared with her girlfriend of several years after her girlfriend’s parents discovered their relationship. Her girlfriend’s father and brother brutally beat her, yelling, “Get out of this house, or we will end you. We are not afraid of who you are or what you say. Do not come near our daughter with your disease. She is not like you.” They physically threw her out, leaving her with nowhere to go.</w:t>
      </w:r>
    </w:p>
    <w:p w14:paraId="7F743607" w14:textId="77777777" w:rsidR="007B3F61" w:rsidRPr="007B3F61" w:rsidRDefault="007B3F61" w:rsidP="007B3F61">
      <w:pPr>
        <w:spacing w:line="360" w:lineRule="auto"/>
        <w:jc w:val="both"/>
        <w:rPr>
          <w:rFonts w:asciiTheme="majorBidi" w:hAnsiTheme="majorBidi" w:cstheme="majorBidi"/>
        </w:rPr>
      </w:pPr>
    </w:p>
    <w:p w14:paraId="1FED001A" w14:textId="77777777" w:rsidR="007B3F61" w:rsidRP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Left homeless, Dammy spent the night sleeping at Galle Face Green. She refrained from retaliating against her girlfriend's family and sought to find a safe place to stay. However, her gender expression, as a masculine-identifying person, added to her concern about finding refuge. Despite her efforts, she was unable to locate a safe house that would accommodate her.</w:t>
      </w:r>
    </w:p>
    <w:p w14:paraId="6229B205" w14:textId="0BF92F39" w:rsidR="007B3F61" w:rsidRPr="007B3F61" w:rsidRDefault="007B3F61" w:rsidP="007B3F61">
      <w:pPr>
        <w:spacing w:line="360" w:lineRule="auto"/>
        <w:jc w:val="both"/>
        <w:rPr>
          <w:rFonts w:asciiTheme="majorBidi" w:hAnsiTheme="majorBidi" w:cstheme="majorBidi"/>
        </w:rPr>
      </w:pPr>
      <w:r w:rsidRPr="007B3F61">
        <w:rPr>
          <w:rFonts w:asciiTheme="majorBidi" w:hAnsiTheme="majorBidi" w:cstheme="majorBidi"/>
        </w:rPr>
        <w:t>Eventually, Dammy sought assistance from a private organization, Women in Need, which provided her with temporary housing for the month. She reflects on the discrimination and violence she faced, emphasizing the need for greater protections and resources for LGBTQI individuals, particularly those navigating societal stigma and homelessness.</w:t>
      </w:r>
      <w:r w:rsidR="00A22BC5" w:rsidRPr="00A22BC5">
        <w:rPr>
          <w:rFonts w:asciiTheme="majorBidi" w:hAnsiTheme="majorBidi" w:cstheme="majorBidi"/>
        </w:rPr>
        <w:t xml:space="preserve"> </w:t>
      </w:r>
      <w:r w:rsidR="00A22BC5" w:rsidRPr="007B3F61">
        <w:rPr>
          <w:rFonts w:asciiTheme="majorBidi" w:hAnsiTheme="majorBidi" w:cstheme="majorBidi"/>
        </w:rPr>
        <w:t>(Name Changed)</w:t>
      </w:r>
    </w:p>
    <w:p w14:paraId="749F5C14" w14:textId="77777777" w:rsidR="007B3F61" w:rsidRPr="007B3F61" w:rsidRDefault="007B3F61" w:rsidP="007B3F61">
      <w:pPr>
        <w:pStyle w:val="NormalWeb"/>
        <w:spacing w:line="360" w:lineRule="auto"/>
        <w:jc w:val="both"/>
        <w:rPr>
          <w:rFonts w:asciiTheme="majorBidi" w:hAnsiTheme="majorBidi" w:cstheme="majorBidi"/>
          <w:b/>
          <w:bCs/>
        </w:rPr>
      </w:pPr>
      <w:r w:rsidRPr="007B3F61">
        <w:rPr>
          <w:rFonts w:asciiTheme="majorBidi" w:hAnsiTheme="majorBidi" w:cstheme="majorBidi"/>
          <w:b/>
          <w:bCs/>
        </w:rPr>
        <w:t>*The names mentioned in this document have been changed.</w:t>
      </w:r>
    </w:p>
    <w:p w14:paraId="209C6B8C" w14:textId="77777777" w:rsidR="007B3F61" w:rsidRPr="007B3F61" w:rsidRDefault="007B3F61" w:rsidP="007B3F61">
      <w:pPr>
        <w:spacing w:line="360" w:lineRule="auto"/>
        <w:jc w:val="both"/>
        <w:rPr>
          <w:rFonts w:asciiTheme="majorBidi" w:hAnsiTheme="majorBidi" w:cstheme="majorBidi"/>
        </w:rPr>
      </w:pPr>
    </w:p>
    <w:p w14:paraId="02EBD79F" w14:textId="77777777" w:rsidR="007B3F61" w:rsidRPr="007B3F61" w:rsidRDefault="007B3F61" w:rsidP="0062347A">
      <w:pPr>
        <w:spacing w:line="360" w:lineRule="auto"/>
        <w:jc w:val="both"/>
        <w:rPr>
          <w:rFonts w:asciiTheme="majorBidi" w:hAnsiTheme="majorBidi" w:cstheme="majorBidi"/>
        </w:rPr>
      </w:pPr>
    </w:p>
    <w:sectPr w:rsidR="007B3F61" w:rsidRPr="007B3F61" w:rsidSect="00FC1365">
      <w:footerReference w:type="default" r:id="rId11"/>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6FF1E" w14:textId="77777777" w:rsidR="008D12D7" w:rsidRDefault="008D12D7" w:rsidP="00910EFF">
      <w:r>
        <w:separator/>
      </w:r>
    </w:p>
  </w:endnote>
  <w:endnote w:type="continuationSeparator" w:id="0">
    <w:p w14:paraId="4BF4C564" w14:textId="77777777" w:rsidR="008D12D7" w:rsidRDefault="008D12D7" w:rsidP="00910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6646379"/>
      <w:docPartObj>
        <w:docPartGallery w:val="Page Numbers (Bottom of Page)"/>
        <w:docPartUnique/>
      </w:docPartObj>
    </w:sdtPr>
    <w:sdtEndPr>
      <w:rPr>
        <w:noProof/>
      </w:rPr>
    </w:sdtEndPr>
    <w:sdtContent>
      <w:p w14:paraId="421DC9ED" w14:textId="0E5F0A5E" w:rsidR="003A0DC3" w:rsidRDefault="003A0D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E026AE" w14:textId="77777777" w:rsidR="003A0DC3" w:rsidRDefault="003A0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69BDC" w14:textId="77777777" w:rsidR="008D12D7" w:rsidRDefault="008D12D7" w:rsidP="00910EFF">
      <w:r>
        <w:separator/>
      </w:r>
    </w:p>
  </w:footnote>
  <w:footnote w:type="continuationSeparator" w:id="0">
    <w:p w14:paraId="4C269F56" w14:textId="77777777" w:rsidR="008D12D7" w:rsidRDefault="008D12D7" w:rsidP="00910EFF">
      <w:r>
        <w:continuationSeparator/>
      </w:r>
    </w:p>
  </w:footnote>
  <w:footnote w:id="1">
    <w:p w14:paraId="5B8F6123" w14:textId="31B96860" w:rsidR="00621B09" w:rsidRPr="00B71F0A" w:rsidRDefault="00621B09" w:rsidP="00621B09">
      <w:pPr>
        <w:pStyle w:val="FootnoteText"/>
        <w:rPr>
          <w:sz w:val="18"/>
          <w:szCs w:val="18"/>
        </w:rPr>
      </w:pPr>
      <w:r w:rsidRPr="00B71F0A">
        <w:rPr>
          <w:rStyle w:val="FootnoteReference"/>
          <w:sz w:val="18"/>
          <w:szCs w:val="18"/>
        </w:rPr>
        <w:footnoteRef/>
      </w:r>
      <w:r w:rsidRPr="00B71F0A">
        <w:rPr>
          <w:sz w:val="18"/>
          <w:szCs w:val="18"/>
        </w:rPr>
        <w:t xml:space="preserve"> Replies of </w:t>
      </w:r>
      <w:r w:rsidRPr="00B71F0A">
        <w:rPr>
          <w:sz w:val="18"/>
          <w:szCs w:val="18"/>
          <w:lang w:val="en-US"/>
        </w:rPr>
        <w:t>Sri Lanaka</w:t>
      </w:r>
      <w:r w:rsidRPr="00B71F0A">
        <w:rPr>
          <w:sz w:val="18"/>
          <w:szCs w:val="18"/>
        </w:rPr>
        <w:t xml:space="preserve"> to the list of issues and questions in relation to its </w:t>
      </w:r>
      <w:r w:rsidRPr="00B71F0A">
        <w:rPr>
          <w:sz w:val="18"/>
          <w:szCs w:val="18"/>
          <w:lang w:val="en-US"/>
        </w:rPr>
        <w:t>ninth</w:t>
      </w:r>
      <w:r w:rsidRPr="00B71F0A">
        <w:rPr>
          <w:sz w:val="18"/>
          <w:szCs w:val="18"/>
        </w:rPr>
        <w:t xml:space="preserve"> periodic report, CEDAW/C/LKA/RQ/9</w:t>
      </w:r>
      <w:r w:rsidRPr="00B71F0A">
        <w:rPr>
          <w:sz w:val="18"/>
          <w:szCs w:val="18"/>
          <w:lang w:val="en-US"/>
        </w:rPr>
        <w:t xml:space="preserve"> (</w:t>
      </w:r>
      <w:r w:rsidRPr="00B71F0A">
        <w:rPr>
          <w:sz w:val="18"/>
          <w:szCs w:val="18"/>
        </w:rPr>
        <w:t>14 May 2024</w:t>
      </w:r>
      <w:r w:rsidRPr="00B71F0A">
        <w:rPr>
          <w:sz w:val="18"/>
          <w:szCs w:val="18"/>
          <w:lang w:val="en-US"/>
        </w:rPr>
        <w:t xml:space="preserve">) </w:t>
      </w:r>
      <w:r w:rsidRPr="00B71F0A">
        <w:rPr>
          <w:sz w:val="18"/>
          <w:szCs w:val="18"/>
        </w:rPr>
        <w:t xml:space="preserve">available </w:t>
      </w:r>
      <w:r w:rsidRPr="00B71F0A">
        <w:rPr>
          <w:sz w:val="18"/>
          <w:szCs w:val="18"/>
          <w:lang w:val="en-US"/>
        </w:rPr>
        <w:t xml:space="preserve">at </w:t>
      </w:r>
      <w:hyperlink r:id="rId1" w:history="1">
        <w:r w:rsidRPr="00B71F0A">
          <w:rPr>
            <w:rStyle w:val="Hyperlink"/>
            <w:sz w:val="18"/>
            <w:szCs w:val="18"/>
          </w:rPr>
          <w:t>file:///C:/Users/User/Desktop/BRIDGE/CEDAW/N2413411.pdf</w:t>
        </w:r>
      </w:hyperlink>
      <w:r w:rsidRPr="00B71F0A">
        <w:rPr>
          <w:sz w:val="18"/>
          <w:szCs w:val="18"/>
          <w:lang w:val="en-US"/>
        </w:rPr>
        <w:t xml:space="preserve"> </w:t>
      </w:r>
    </w:p>
  </w:footnote>
  <w:footnote w:id="2">
    <w:p w14:paraId="14218237" w14:textId="77777777" w:rsidR="000B6CA2" w:rsidRPr="00B71F0A" w:rsidRDefault="000B6CA2" w:rsidP="000B6CA2">
      <w:pPr>
        <w:pStyle w:val="FootnoteText"/>
        <w:rPr>
          <w:sz w:val="18"/>
          <w:szCs w:val="18"/>
          <w:lang w:val="en-US"/>
        </w:rPr>
      </w:pPr>
      <w:r w:rsidRPr="00B71F0A">
        <w:rPr>
          <w:rStyle w:val="FootnoteReference"/>
          <w:sz w:val="18"/>
          <w:szCs w:val="18"/>
        </w:rPr>
        <w:footnoteRef/>
      </w:r>
      <w:r w:rsidRPr="00B71F0A">
        <w:rPr>
          <w:sz w:val="18"/>
          <w:szCs w:val="18"/>
        </w:rPr>
        <w:t xml:space="preserve"> </w:t>
      </w:r>
      <w:r w:rsidRPr="00B71F0A">
        <w:rPr>
          <w:sz w:val="18"/>
          <w:szCs w:val="18"/>
          <w:lang w:val="en-US"/>
        </w:rPr>
        <w:t xml:space="preserve">Section 365 of the Penal Code of Sri Lanka of 1883; </w:t>
      </w:r>
    </w:p>
    <w:p w14:paraId="1C3DE4CC" w14:textId="5FC4AFA6" w:rsidR="000B6CA2" w:rsidRPr="00B71F0A" w:rsidRDefault="000B6CA2">
      <w:pPr>
        <w:pStyle w:val="FootnoteText"/>
        <w:rPr>
          <w:sz w:val="18"/>
          <w:szCs w:val="18"/>
          <w:lang w:val="en-US"/>
        </w:rPr>
      </w:pPr>
      <w:r w:rsidRPr="00B71F0A">
        <w:rPr>
          <w:sz w:val="18"/>
          <w:szCs w:val="18"/>
          <w:lang w:val="en-US"/>
        </w:rPr>
        <w:t xml:space="preserve"> ‘Whoever voluntarily has carnal intercourse against the order of nature with any man, woman or animal shall be punished with imprisonment of either description [i.e. simple or rigorous] for a term which may extend to ten years and shall also be liable to a fine’. </w:t>
      </w:r>
    </w:p>
  </w:footnote>
  <w:footnote w:id="3">
    <w:p w14:paraId="098A5235" w14:textId="77777777" w:rsidR="000B6CA2" w:rsidRPr="00B71F0A" w:rsidRDefault="000B6CA2" w:rsidP="000B6CA2">
      <w:pPr>
        <w:pStyle w:val="FootnoteText"/>
        <w:rPr>
          <w:sz w:val="18"/>
          <w:szCs w:val="18"/>
          <w:lang w:val="en-US"/>
        </w:rPr>
      </w:pPr>
      <w:r w:rsidRPr="00B71F0A">
        <w:rPr>
          <w:rStyle w:val="FootnoteReference"/>
          <w:sz w:val="18"/>
          <w:szCs w:val="18"/>
        </w:rPr>
        <w:footnoteRef/>
      </w:r>
      <w:r w:rsidRPr="00B71F0A">
        <w:rPr>
          <w:sz w:val="18"/>
          <w:szCs w:val="18"/>
        </w:rPr>
        <w:t xml:space="preserve"> </w:t>
      </w:r>
      <w:r w:rsidRPr="00B71F0A">
        <w:rPr>
          <w:sz w:val="18"/>
          <w:szCs w:val="18"/>
          <w:lang w:val="en-US"/>
        </w:rPr>
        <w:t xml:space="preserve">Section 365A; </w:t>
      </w:r>
    </w:p>
    <w:p w14:paraId="428B2A1D" w14:textId="73ACDCF0" w:rsidR="000B6CA2" w:rsidRPr="00B71F0A" w:rsidRDefault="000B6CA2">
      <w:pPr>
        <w:pStyle w:val="FootnoteText"/>
        <w:rPr>
          <w:sz w:val="18"/>
          <w:szCs w:val="18"/>
          <w:lang w:val="en-US"/>
        </w:rPr>
      </w:pPr>
      <w:r w:rsidRPr="00B71F0A">
        <w:rPr>
          <w:sz w:val="18"/>
          <w:szCs w:val="18"/>
          <w:lang w:val="en-US"/>
        </w:rPr>
        <w:t>‘Any male person who, in public or private, commits, or is a party to the commission of, or procures or attempts to procure the commission by any male person of, any act of gross indecency with another male person, shall be guilty of an offence, and shall be punished with imprisonment of either description for a term which may extend to two years or with fine, or with both, and shall also be liable to be punished with whipping.’</w:t>
      </w:r>
    </w:p>
  </w:footnote>
  <w:footnote w:id="4">
    <w:p w14:paraId="432C9E95" w14:textId="77777777" w:rsidR="000B6CA2" w:rsidRPr="00B71F0A" w:rsidRDefault="000B6CA2" w:rsidP="000B6CA2">
      <w:pPr>
        <w:jc w:val="both"/>
        <w:rPr>
          <w:sz w:val="18"/>
          <w:szCs w:val="18"/>
        </w:rPr>
      </w:pPr>
      <w:r w:rsidRPr="00B71F0A">
        <w:rPr>
          <w:rStyle w:val="FootnoteReference"/>
          <w:sz w:val="18"/>
          <w:szCs w:val="18"/>
        </w:rPr>
        <w:footnoteRef/>
      </w:r>
      <w:r w:rsidRPr="00B71F0A">
        <w:rPr>
          <w:sz w:val="18"/>
          <w:szCs w:val="18"/>
        </w:rPr>
        <w:t xml:space="preserve"> The Vagrancy Ordinance under section 7 provides that; </w:t>
      </w:r>
      <w:r w:rsidRPr="00B71F0A">
        <w:rPr>
          <w:rFonts w:eastAsia="Calibri"/>
          <w:sz w:val="18"/>
          <w:szCs w:val="18"/>
        </w:rPr>
        <w:t>the following actions are considered offenses:</w:t>
      </w:r>
    </w:p>
    <w:p w14:paraId="21CC9731" w14:textId="77777777" w:rsidR="000B6CA2" w:rsidRPr="00B71F0A" w:rsidRDefault="000B6CA2" w:rsidP="000B6CA2">
      <w:pPr>
        <w:pStyle w:val="ListParagraph"/>
        <w:numPr>
          <w:ilvl w:val="0"/>
          <w:numId w:val="1"/>
        </w:numPr>
        <w:jc w:val="both"/>
        <w:rPr>
          <w:rFonts w:eastAsia="Calibri"/>
          <w:sz w:val="18"/>
          <w:szCs w:val="18"/>
        </w:rPr>
      </w:pPr>
      <w:r w:rsidRPr="00B71F0A">
        <w:rPr>
          <w:rFonts w:eastAsia="Calibri"/>
          <w:sz w:val="18"/>
          <w:szCs w:val="18"/>
        </w:rPr>
        <w:t>Soliciting for illicit sexual acts in public.</w:t>
      </w:r>
    </w:p>
    <w:p w14:paraId="40D0FD34" w14:textId="77777777" w:rsidR="000B6CA2" w:rsidRPr="00B71F0A" w:rsidRDefault="000B6CA2" w:rsidP="000B6CA2">
      <w:pPr>
        <w:pStyle w:val="ListParagraph"/>
        <w:numPr>
          <w:ilvl w:val="0"/>
          <w:numId w:val="1"/>
        </w:numPr>
        <w:jc w:val="both"/>
        <w:rPr>
          <w:rFonts w:eastAsia="Calibri"/>
          <w:sz w:val="18"/>
          <w:szCs w:val="18"/>
        </w:rPr>
      </w:pPr>
      <w:r w:rsidRPr="00B71F0A">
        <w:rPr>
          <w:rFonts w:eastAsia="Calibri"/>
          <w:sz w:val="18"/>
          <w:szCs w:val="18"/>
        </w:rPr>
        <w:t>Committing or behaving with gross indecency in public spaces.</w:t>
      </w:r>
    </w:p>
    <w:p w14:paraId="171E005E" w14:textId="33ACDCA2" w:rsidR="000B6CA2" w:rsidRPr="00B71F0A" w:rsidRDefault="000B6CA2" w:rsidP="000B6CA2">
      <w:pPr>
        <w:pStyle w:val="ListParagraph"/>
        <w:numPr>
          <w:ilvl w:val="0"/>
          <w:numId w:val="1"/>
        </w:numPr>
        <w:jc w:val="both"/>
        <w:rPr>
          <w:rFonts w:eastAsia="Calibri"/>
          <w:sz w:val="18"/>
          <w:szCs w:val="18"/>
        </w:rPr>
      </w:pPr>
      <w:r w:rsidRPr="00B71F0A">
        <w:rPr>
          <w:rFonts w:eastAsia="Calibri"/>
          <w:sz w:val="18"/>
          <w:szCs w:val="18"/>
        </w:rPr>
        <w:t>Being in restricted public or private enclosures under circumstances suggesting immoral intent, unless satisfactorily explained.</w:t>
      </w:r>
    </w:p>
  </w:footnote>
  <w:footnote w:id="5">
    <w:p w14:paraId="40725503" w14:textId="415C1076" w:rsidR="00F41630" w:rsidRPr="00B71F0A" w:rsidRDefault="00F41630">
      <w:pPr>
        <w:pStyle w:val="FootnoteText"/>
        <w:rPr>
          <w:sz w:val="18"/>
          <w:szCs w:val="18"/>
          <w:lang w:val="en-US"/>
        </w:rPr>
      </w:pPr>
      <w:r w:rsidRPr="00B71F0A">
        <w:rPr>
          <w:rStyle w:val="FootnoteReference"/>
          <w:sz w:val="18"/>
          <w:szCs w:val="18"/>
        </w:rPr>
        <w:footnoteRef/>
      </w:r>
      <w:r w:rsidRPr="00B71F0A">
        <w:rPr>
          <w:sz w:val="18"/>
          <w:szCs w:val="18"/>
        </w:rPr>
        <w:t xml:space="preserve"> These provisions guarantee equality before the law and equal protection of the law, along with the right to non-discrimination on grounds including sex.</w:t>
      </w:r>
    </w:p>
  </w:footnote>
  <w:footnote w:id="6">
    <w:p w14:paraId="38CC57D5" w14:textId="77777777" w:rsidR="007A0ED4" w:rsidRPr="00B71F0A" w:rsidRDefault="007A0ED4" w:rsidP="007A0ED4">
      <w:pPr>
        <w:rPr>
          <w:sz w:val="18"/>
          <w:szCs w:val="18"/>
        </w:rPr>
      </w:pPr>
      <w:r w:rsidRPr="00B71F0A">
        <w:rPr>
          <w:rStyle w:val="FootnoteReference"/>
          <w:sz w:val="18"/>
          <w:szCs w:val="18"/>
        </w:rPr>
        <w:footnoteRef/>
      </w:r>
      <w:r w:rsidRPr="00B71F0A">
        <w:rPr>
          <w:sz w:val="18"/>
          <w:szCs w:val="18"/>
        </w:rPr>
        <w:t xml:space="preserve"> </w:t>
      </w:r>
      <w:hyperlink r:id="rId2" w:history="1">
        <w:r w:rsidRPr="00B71F0A">
          <w:rPr>
            <w:rStyle w:val="Hyperlink"/>
            <w:sz w:val="18"/>
            <w:szCs w:val="18"/>
          </w:rPr>
          <w:t>https://supremecourtdemo-cert.melstasoft.com/wp-content/uploads/2024/06/sc_sd_54_2024_sc_sd_55_2024.pdf</w:t>
        </w:r>
      </w:hyperlink>
      <w:r w:rsidRPr="00B71F0A">
        <w:rPr>
          <w:sz w:val="18"/>
          <w:szCs w:val="18"/>
        </w:rPr>
        <w:t xml:space="preserve"> </w:t>
      </w:r>
    </w:p>
  </w:footnote>
  <w:footnote w:id="7">
    <w:p w14:paraId="12524E3D" w14:textId="77777777" w:rsidR="007A0ED4" w:rsidRPr="00B71F0A" w:rsidRDefault="007A0ED4" w:rsidP="00C60C34">
      <w:pPr>
        <w:pStyle w:val="FootnoteText"/>
        <w:rPr>
          <w:sz w:val="18"/>
          <w:szCs w:val="18"/>
        </w:rPr>
      </w:pPr>
      <w:r w:rsidRPr="00B71F0A">
        <w:rPr>
          <w:sz w:val="18"/>
          <w:szCs w:val="18"/>
        </w:rPr>
        <w:footnoteRef/>
      </w:r>
      <w:r w:rsidRPr="00B71F0A">
        <w:rPr>
          <w:sz w:val="18"/>
          <w:szCs w:val="18"/>
        </w:rPr>
        <w:t xml:space="preserve"> The judgment stated:</w:t>
      </w:r>
    </w:p>
    <w:p w14:paraId="7A90350D" w14:textId="77777777" w:rsidR="007A0ED4" w:rsidRPr="00B71F0A" w:rsidRDefault="007A0ED4" w:rsidP="00C60C34">
      <w:pPr>
        <w:pStyle w:val="FootnoteText"/>
        <w:rPr>
          <w:sz w:val="18"/>
          <w:szCs w:val="18"/>
        </w:rPr>
      </w:pPr>
      <w:r w:rsidRPr="00B71F0A">
        <w:rPr>
          <w:sz w:val="18"/>
          <w:szCs w:val="18"/>
        </w:rPr>
        <w:t>“The word ‘sex’ appearing in Article 12(2) of the Constitution and the word ‘gender’ appearing in many places in the Bill are not the same.” (Page 15)</w:t>
      </w:r>
    </w:p>
    <w:p w14:paraId="09502B16" w14:textId="77777777" w:rsidR="007A0ED4" w:rsidRPr="00B71F0A" w:rsidRDefault="007A0ED4" w:rsidP="00C60C34">
      <w:pPr>
        <w:pStyle w:val="FootnoteText"/>
        <w:rPr>
          <w:sz w:val="18"/>
          <w:szCs w:val="18"/>
        </w:rPr>
      </w:pPr>
      <w:r w:rsidRPr="00B71F0A">
        <w:rPr>
          <w:sz w:val="18"/>
          <w:szCs w:val="18"/>
        </w:rPr>
        <w:t>“Any person’s sex has to be either male or female and not any other. Moreover, since the definition refers to the reproductive organs and structures as a basis of distinction, I am also convinced that this categorization of persons is based upon a biological criterion.” (Page 16)</w:t>
      </w:r>
    </w:p>
    <w:p w14:paraId="6391AC1A" w14:textId="77777777" w:rsidR="007A0ED4" w:rsidRPr="00B71F0A" w:rsidRDefault="007A0ED4" w:rsidP="00C60C34">
      <w:pPr>
        <w:pStyle w:val="FootnoteText"/>
        <w:rPr>
          <w:sz w:val="18"/>
          <w:szCs w:val="18"/>
        </w:rPr>
      </w:pPr>
      <w:r w:rsidRPr="00B71F0A">
        <w:rPr>
          <w:sz w:val="18"/>
          <w:szCs w:val="18"/>
        </w:rPr>
        <w:t>“The phrase gender identity is a category different from the categories of male or female. Therefore, I am also convinced that there can be only two components under the term ‘sex.’ Those components are firstly the category of male and secondly the category of female.” (Page 17)</w:t>
      </w:r>
    </w:p>
    <w:p w14:paraId="7EBFD931" w14:textId="561AA637" w:rsidR="007A0ED4" w:rsidRPr="00B71F0A" w:rsidRDefault="007A0ED4" w:rsidP="007A0ED4">
      <w:pPr>
        <w:pStyle w:val="FootnoteText"/>
        <w:rPr>
          <w:sz w:val="18"/>
          <w:szCs w:val="18"/>
        </w:rPr>
      </w:pPr>
      <w:r w:rsidRPr="00B71F0A">
        <w:rPr>
          <w:sz w:val="18"/>
          <w:szCs w:val="18"/>
        </w:rPr>
        <w:t>“Gender identity is not something which the Constitution of this country has recognised.” (Page 17)</w:t>
      </w:r>
    </w:p>
  </w:footnote>
  <w:footnote w:id="8">
    <w:p w14:paraId="20FC18DA" w14:textId="77777777" w:rsidR="007A0ED4" w:rsidRPr="00B71F0A" w:rsidRDefault="007A0ED4" w:rsidP="007A0ED4">
      <w:pPr>
        <w:pStyle w:val="FootnoteText"/>
        <w:rPr>
          <w:sz w:val="18"/>
          <w:szCs w:val="18"/>
        </w:rPr>
      </w:pPr>
      <w:r w:rsidRPr="00B71F0A">
        <w:rPr>
          <w:rStyle w:val="FootnoteReference"/>
          <w:sz w:val="18"/>
          <w:szCs w:val="18"/>
        </w:rPr>
        <w:footnoteRef/>
      </w:r>
      <w:r w:rsidRPr="00B71F0A">
        <w:rPr>
          <w:sz w:val="18"/>
          <w:szCs w:val="18"/>
        </w:rPr>
        <w:t xml:space="preserve"> </w:t>
      </w:r>
      <w:bookmarkStart w:id="4" w:name="_Hlk140249308"/>
      <w:r w:rsidRPr="00B71F0A">
        <w:rPr>
          <w:sz w:val="18"/>
          <w:szCs w:val="18"/>
        </w:rPr>
        <w:t xml:space="preserve">Human Rights Committee, Concluding observations on the sixth periodic report of Sri Lanka, </w:t>
      </w:r>
      <w:r w:rsidRPr="00B71F0A">
        <w:rPr>
          <w:sz w:val="18"/>
          <w:szCs w:val="18"/>
        </w:rPr>
        <w:tab/>
      </w:r>
    </w:p>
    <w:p w14:paraId="025213FA" w14:textId="77777777" w:rsidR="007A0ED4" w:rsidRPr="00B71F0A" w:rsidRDefault="007A0ED4" w:rsidP="007A0ED4">
      <w:pPr>
        <w:pStyle w:val="FootnoteText"/>
        <w:rPr>
          <w:sz w:val="18"/>
          <w:szCs w:val="18"/>
        </w:rPr>
      </w:pPr>
      <w:r w:rsidRPr="00B71F0A">
        <w:rPr>
          <w:sz w:val="18"/>
          <w:szCs w:val="18"/>
        </w:rPr>
        <w:t xml:space="preserve">UN Doc. CCPR/C/LKA/CO/6,(2023), para 5. , available at </w:t>
      </w:r>
      <w:hyperlink r:id="rId3" w:history="1">
        <w:r w:rsidRPr="00B71F0A">
          <w:rPr>
            <w:rStyle w:val="Hyperlink"/>
            <w:sz w:val="18"/>
            <w:szCs w:val="18"/>
          </w:rPr>
          <w:t>https://docstore.ohchr.org/SelfServices/FilesHandler.ashx?enc=6QkG1d%2FPPRiCAqhKb7yhsrw%2B3KEAFqUx9WCYsjqQZ0LAI4DXsQh3qjeEQtz6OlNK4HMdLmHm4UL26%2FgUIR6SIcX8vzED2oUVdxK67O8zYn%2Fbv%2BN2jRCCrUTaxLglYYeR</w:t>
        </w:r>
      </w:hyperlink>
      <w:r w:rsidRPr="00B71F0A">
        <w:rPr>
          <w:sz w:val="18"/>
          <w:szCs w:val="18"/>
        </w:rPr>
        <w:t xml:space="preserve"> </w:t>
      </w:r>
      <w:bookmarkEnd w:id="4"/>
    </w:p>
  </w:footnote>
  <w:footnote w:id="9">
    <w:p w14:paraId="21D51AD0" w14:textId="77777777" w:rsidR="007A0ED4" w:rsidRPr="00B71F0A" w:rsidRDefault="007A0ED4" w:rsidP="007A0ED4">
      <w:pPr>
        <w:pStyle w:val="FootnoteText"/>
        <w:rPr>
          <w:sz w:val="18"/>
          <w:szCs w:val="18"/>
        </w:rPr>
      </w:pPr>
      <w:r w:rsidRPr="00B71F0A">
        <w:rPr>
          <w:rStyle w:val="FootnoteReference"/>
          <w:sz w:val="18"/>
          <w:szCs w:val="18"/>
        </w:rPr>
        <w:footnoteRef/>
      </w:r>
      <w:r w:rsidRPr="00B71F0A">
        <w:rPr>
          <w:sz w:val="18"/>
          <w:szCs w:val="18"/>
        </w:rPr>
        <w:t xml:space="preserve"> Sri Lanka: National report submitted pursuant to Human Rights Council resolutions 5/1 and 16/21, UN Doc. A/HRC/WG.6/42/LKA/1, para 35, available at </w:t>
      </w:r>
      <w:hyperlink r:id="rId4" w:history="1">
        <w:r w:rsidRPr="00B71F0A">
          <w:rPr>
            <w:rStyle w:val="Hyperlink"/>
            <w:sz w:val="18"/>
            <w:szCs w:val="18"/>
          </w:rPr>
          <w:t>https://www.upr-info.org/sites/default/files/country-document/2023-02/A_HRC_WG.6_UPR42_LK_1_E.pdf</w:t>
        </w:r>
      </w:hyperlink>
    </w:p>
  </w:footnote>
  <w:footnote w:id="10">
    <w:p w14:paraId="077271DD" w14:textId="77777777" w:rsidR="007A0ED4" w:rsidRPr="00B71F0A" w:rsidRDefault="007A0ED4" w:rsidP="007A0ED4">
      <w:pPr>
        <w:pStyle w:val="FootnoteText"/>
        <w:rPr>
          <w:sz w:val="18"/>
          <w:szCs w:val="18"/>
        </w:rPr>
      </w:pPr>
      <w:r w:rsidRPr="00B71F0A">
        <w:rPr>
          <w:rStyle w:val="FootnoteReference"/>
          <w:sz w:val="18"/>
          <w:szCs w:val="18"/>
        </w:rPr>
        <w:footnoteRef/>
      </w:r>
      <w:r w:rsidRPr="00B71F0A">
        <w:rPr>
          <w:sz w:val="18"/>
          <w:szCs w:val="18"/>
        </w:rPr>
        <w:t xml:space="preserve"> Human Rights Council, Report of the Working Group on the Universal Periodic Review: Sri Lanka, UN Doc. A/HRC/53/16, (2023), available at </w:t>
      </w:r>
      <w:hyperlink r:id="rId5" w:history="1">
        <w:r w:rsidRPr="00B71F0A">
          <w:rPr>
            <w:rStyle w:val="Hyperlink"/>
            <w:sz w:val="18"/>
            <w:szCs w:val="18"/>
          </w:rPr>
          <w:t>https://www.upr-info.org/sites/default/files/country-document/2023-06/LK_HRC_WG.42_E.pdf</w:t>
        </w:r>
      </w:hyperlink>
      <w:r w:rsidRPr="00B71F0A">
        <w:rPr>
          <w:sz w:val="18"/>
          <w:szCs w:val="18"/>
        </w:rPr>
        <w:t xml:space="preserve"> </w:t>
      </w:r>
    </w:p>
  </w:footnote>
  <w:footnote w:id="11">
    <w:p w14:paraId="4C86DCAA" w14:textId="77777777" w:rsidR="007A0ED4" w:rsidRPr="00B71F0A" w:rsidRDefault="007A0ED4" w:rsidP="007A0ED4">
      <w:pPr>
        <w:pStyle w:val="FootnoteText"/>
        <w:rPr>
          <w:sz w:val="18"/>
          <w:szCs w:val="18"/>
        </w:rPr>
      </w:pPr>
      <w:r w:rsidRPr="00B71F0A">
        <w:rPr>
          <w:rStyle w:val="FootnoteReference"/>
          <w:sz w:val="18"/>
          <w:szCs w:val="18"/>
        </w:rPr>
        <w:footnoteRef/>
      </w:r>
      <w:r w:rsidRPr="00B71F0A">
        <w:rPr>
          <w:sz w:val="18"/>
          <w:szCs w:val="18"/>
        </w:rPr>
        <w:t xml:space="preserve"> Human Rights Council, Report of the Working Group on the Universal Periodic Review: Sri Lanka-Addendum, Views on conclusions and/or recommendations, voluntary commitments and replies presented by the State under review, UN Doc. A/HRC/53/16/Add.1, (2023), available at </w:t>
      </w:r>
      <w:hyperlink r:id="rId6" w:history="1">
        <w:r w:rsidRPr="00B71F0A">
          <w:rPr>
            <w:rStyle w:val="Hyperlink"/>
            <w:sz w:val="18"/>
            <w:szCs w:val="18"/>
          </w:rPr>
          <w:t>https://www.ohchr.org/sites/default/files/documents/hrbodies/hrcouncil/sessions-regular/session53/advance-versions/A-HRC-53-16-Add1-AV-Sri-Lanka-E.docx</w:t>
        </w:r>
      </w:hyperlink>
      <w:r w:rsidRPr="00B71F0A">
        <w:rPr>
          <w:sz w:val="18"/>
          <w:szCs w:val="18"/>
        </w:rPr>
        <w:t xml:space="preserve"> </w:t>
      </w:r>
    </w:p>
  </w:footnote>
  <w:footnote w:id="12">
    <w:p w14:paraId="38132070" w14:textId="77777777" w:rsidR="00B42B2C" w:rsidRPr="00B71F0A" w:rsidRDefault="00B42B2C" w:rsidP="00B42B2C">
      <w:pPr>
        <w:pStyle w:val="FootnoteText"/>
        <w:rPr>
          <w:sz w:val="18"/>
          <w:szCs w:val="18"/>
        </w:rPr>
      </w:pPr>
      <w:r w:rsidRPr="00B71F0A">
        <w:rPr>
          <w:rStyle w:val="FootnoteReference"/>
          <w:sz w:val="18"/>
          <w:szCs w:val="18"/>
        </w:rPr>
        <w:footnoteRef/>
      </w:r>
      <w:r w:rsidRPr="00B71F0A">
        <w:rPr>
          <w:sz w:val="18"/>
          <w:szCs w:val="18"/>
        </w:rPr>
        <w:t xml:space="preserve"> Pasan Jayasinghe, </w:t>
      </w:r>
      <w:r w:rsidRPr="00B71F0A">
        <w:rPr>
          <w:i/>
          <w:iCs/>
          <w:sz w:val="18"/>
          <w:szCs w:val="18"/>
        </w:rPr>
        <w:t>Contemporary Advocacy by and Research on the LGBTIQ+ Community of Sri Lanka</w:t>
      </w:r>
      <w:r w:rsidRPr="00B71F0A">
        <w:rPr>
          <w:sz w:val="18"/>
          <w:szCs w:val="18"/>
        </w:rPr>
        <w:t xml:space="preserve">, 2021, Women and Media Collective, available at </w:t>
      </w:r>
      <w:hyperlink r:id="rId7" w:history="1">
        <w:r w:rsidRPr="00B71F0A">
          <w:rPr>
            <w:rStyle w:val="Hyperlink"/>
            <w:sz w:val="18"/>
            <w:szCs w:val="18"/>
          </w:rPr>
          <w:t>https://www.womenandmedia.org/wp-content/uploads/2021/09/Output-2-LGBTQI-Advocacy-and-Research-Paper-final-English.pdf</w:t>
        </w:r>
      </w:hyperlink>
      <w:r w:rsidRPr="00B71F0A">
        <w:rPr>
          <w:rStyle w:val="Hyperlink"/>
          <w:sz w:val="18"/>
          <w:szCs w:val="18"/>
        </w:rPr>
        <w:t xml:space="preserve"> </w:t>
      </w:r>
    </w:p>
  </w:footnote>
  <w:footnote w:id="13">
    <w:p w14:paraId="504CA81B" w14:textId="77777777" w:rsidR="00910EFF" w:rsidRPr="00B71F0A" w:rsidRDefault="00910EFF" w:rsidP="00910EFF">
      <w:pPr>
        <w:pStyle w:val="FootnoteText"/>
        <w:rPr>
          <w:sz w:val="18"/>
          <w:szCs w:val="18"/>
        </w:rPr>
      </w:pPr>
      <w:r w:rsidRPr="00B71F0A">
        <w:rPr>
          <w:rStyle w:val="FootnoteReference"/>
          <w:sz w:val="18"/>
          <w:szCs w:val="18"/>
        </w:rPr>
        <w:footnoteRef/>
      </w:r>
      <w:r w:rsidRPr="00B71F0A">
        <w:rPr>
          <w:sz w:val="18"/>
          <w:szCs w:val="18"/>
        </w:rPr>
        <w:t xml:space="preserve"> Bill proposed to amend the Penal Code Sections 365 and 365A, which currently criminalize consensual same-sex conduct</w:t>
      </w:r>
    </w:p>
  </w:footnote>
  <w:footnote w:id="14">
    <w:p w14:paraId="27D9FB49" w14:textId="77777777" w:rsidR="00910EFF" w:rsidRPr="00B71F0A" w:rsidRDefault="00910EFF" w:rsidP="00910EFF">
      <w:pPr>
        <w:pStyle w:val="FootnoteText"/>
        <w:jc w:val="both"/>
        <w:rPr>
          <w:sz w:val="18"/>
          <w:szCs w:val="18"/>
        </w:rPr>
      </w:pPr>
      <w:r w:rsidRPr="00B71F0A">
        <w:rPr>
          <w:rStyle w:val="FootnoteReference"/>
          <w:sz w:val="18"/>
          <w:szCs w:val="18"/>
        </w:rPr>
        <w:footnoteRef/>
      </w:r>
      <w:r w:rsidRPr="00B71F0A">
        <w:rPr>
          <w:sz w:val="18"/>
          <w:szCs w:val="18"/>
        </w:rPr>
        <w:t xml:space="preserve"> SC SD No. 13/2023 available at </w:t>
      </w:r>
      <w:hyperlink r:id="rId8" w:history="1">
        <w:r w:rsidRPr="00B71F0A">
          <w:rPr>
            <w:rStyle w:val="Hyperlink"/>
            <w:sz w:val="18"/>
            <w:szCs w:val="18"/>
          </w:rPr>
          <w:t>http://www.supremecourt.lk/images/documents/sc_sd_13_2023.pdf</w:t>
        </w:r>
      </w:hyperlink>
      <w:r w:rsidRPr="00B71F0A">
        <w:rPr>
          <w:sz w:val="18"/>
          <w:szCs w:val="18"/>
        </w:rPr>
        <w:t xml:space="preserve"> </w:t>
      </w:r>
    </w:p>
  </w:footnote>
  <w:footnote w:id="15">
    <w:p w14:paraId="3AB79FB8" w14:textId="07E9EEAE" w:rsidR="00910EFF" w:rsidRPr="00B71F0A" w:rsidRDefault="00910EFF" w:rsidP="00F6554D">
      <w:pPr>
        <w:rPr>
          <w:sz w:val="18"/>
          <w:szCs w:val="18"/>
        </w:rPr>
      </w:pPr>
      <w:r w:rsidRPr="00B71F0A">
        <w:rPr>
          <w:rStyle w:val="FootnoteReference"/>
          <w:sz w:val="18"/>
          <w:szCs w:val="18"/>
        </w:rPr>
        <w:footnoteRef/>
      </w:r>
      <w:r w:rsidRPr="00B71F0A">
        <w:rPr>
          <w:sz w:val="18"/>
          <w:szCs w:val="18"/>
        </w:rPr>
        <w:t xml:space="preserve"> The state has appointed a committee to look into the amendments to the Vagrants Ordinance, tasked with identifying the gaps and based on its findings, a decision was made to repeal or amend the Ordinance. However, while discussions about amending or repealing the Vagrancy Ordinance began, they were abruptly halted in 2022, and no further steps have been taken. </w:t>
      </w:r>
    </w:p>
  </w:footnote>
  <w:footnote w:id="16">
    <w:p w14:paraId="13E96A20" w14:textId="77777777" w:rsidR="00EE1F94" w:rsidRPr="00B71F0A" w:rsidRDefault="00EE1F94" w:rsidP="001A29EA">
      <w:pPr>
        <w:pStyle w:val="FootnoteText"/>
        <w:jc w:val="both"/>
        <w:rPr>
          <w:sz w:val="18"/>
          <w:szCs w:val="18"/>
        </w:rPr>
      </w:pPr>
      <w:r w:rsidRPr="00B71F0A">
        <w:rPr>
          <w:rStyle w:val="FootnoteReference"/>
          <w:sz w:val="18"/>
          <w:szCs w:val="18"/>
        </w:rPr>
        <w:footnoteRef/>
      </w:r>
      <w:r w:rsidRPr="00B71F0A">
        <w:rPr>
          <w:sz w:val="18"/>
          <w:szCs w:val="18"/>
        </w:rPr>
        <w:t xml:space="preserve"> 7. (1) The following persons, that is to say—</w:t>
      </w:r>
    </w:p>
    <w:p w14:paraId="7C990C7D" w14:textId="77777777" w:rsidR="00EE1F94" w:rsidRPr="00B71F0A" w:rsidRDefault="00EE1F94" w:rsidP="00EE1F94">
      <w:pPr>
        <w:pStyle w:val="FootnoteText"/>
        <w:rPr>
          <w:sz w:val="18"/>
          <w:szCs w:val="18"/>
        </w:rPr>
      </w:pPr>
      <w:r w:rsidRPr="00B71F0A">
        <w:rPr>
          <w:sz w:val="18"/>
          <w:szCs w:val="18"/>
        </w:rPr>
        <w:t xml:space="preserve">(b) any person found committing any act of gross indecency, or found behaving with gross indecency, in or about any public place ; ….shall be guilty of an offence, and shall be liable on summary conviction to imprisonment of either description for a period not exceeding six months, or to a fine not exceeding one hundred rupees, or to both. </w:t>
      </w:r>
    </w:p>
  </w:footnote>
  <w:footnote w:id="17">
    <w:p w14:paraId="6DB27971" w14:textId="77777777" w:rsidR="00566EF4" w:rsidRPr="00B71F0A" w:rsidRDefault="00566EF4" w:rsidP="00566EF4">
      <w:pPr>
        <w:pStyle w:val="FootnoteText"/>
        <w:rPr>
          <w:sz w:val="18"/>
          <w:szCs w:val="18"/>
        </w:rPr>
      </w:pPr>
      <w:r w:rsidRPr="00B71F0A">
        <w:rPr>
          <w:rStyle w:val="FootnoteReference"/>
          <w:sz w:val="18"/>
          <w:szCs w:val="18"/>
        </w:rPr>
        <w:footnoteRef/>
      </w:r>
      <w:r w:rsidRPr="00B71F0A">
        <w:rPr>
          <w:sz w:val="18"/>
          <w:szCs w:val="18"/>
        </w:rPr>
        <w:t xml:space="preserve"> Independent Expert on protection against violence and discrimination based on sexual orientation and gender identity, Protection against violence and discrimination based on sexual orientation and gender identity, UN Doc. A/78/227, (2023), para. 35, available at </w:t>
      </w:r>
      <w:hyperlink r:id="rId9" w:history="1">
        <w:r w:rsidRPr="00B71F0A">
          <w:rPr>
            <w:rStyle w:val="Hyperlink"/>
            <w:sz w:val="18"/>
            <w:szCs w:val="18"/>
          </w:rPr>
          <w:t>https://www.ohchr.org/en/documents/thematic-reports/a78227-protection-against-violence-and-discrimination-based-sexual</w:t>
        </w:r>
      </w:hyperlink>
      <w:r w:rsidRPr="00B71F0A">
        <w:rPr>
          <w:sz w:val="18"/>
          <w:szCs w:val="18"/>
        </w:rPr>
        <w:t xml:space="preserve"> </w:t>
      </w:r>
    </w:p>
  </w:footnote>
  <w:footnote w:id="18">
    <w:p w14:paraId="16810076" w14:textId="77777777" w:rsidR="00EE1F94" w:rsidRPr="00B71F0A" w:rsidRDefault="00EE1F94" w:rsidP="00EE1F94">
      <w:pPr>
        <w:pStyle w:val="FootnoteText"/>
        <w:rPr>
          <w:sz w:val="18"/>
          <w:szCs w:val="18"/>
        </w:rPr>
      </w:pPr>
      <w:r w:rsidRPr="00B71F0A">
        <w:rPr>
          <w:rStyle w:val="FootnoteReference"/>
          <w:sz w:val="18"/>
          <w:szCs w:val="18"/>
        </w:rPr>
        <w:footnoteRef/>
      </w:r>
      <w:r w:rsidRPr="00B71F0A">
        <w:rPr>
          <w:sz w:val="18"/>
          <w:szCs w:val="18"/>
        </w:rPr>
        <w:t xml:space="preserve"> </w:t>
      </w:r>
      <w:hyperlink r:id="rId10" w:history="1">
        <w:r w:rsidRPr="00B71F0A">
          <w:rPr>
            <w:rStyle w:val="Hyperlink"/>
            <w:sz w:val="18"/>
            <w:szCs w:val="18"/>
          </w:rPr>
          <w:t>https://www.npp.lk/up/policies/en/npppolicystatement.pdf</w:t>
        </w:r>
      </w:hyperlink>
      <w:r w:rsidRPr="00B71F0A">
        <w:rPr>
          <w:sz w:val="18"/>
          <w:szCs w:val="18"/>
        </w:rPr>
        <w:t xml:space="preserve"> page 44.</w:t>
      </w:r>
    </w:p>
  </w:footnote>
  <w:footnote w:id="19">
    <w:p w14:paraId="316969A5" w14:textId="77777777" w:rsidR="005F531E" w:rsidRPr="00B71F0A" w:rsidRDefault="005F531E" w:rsidP="00CD11A9">
      <w:pPr>
        <w:rPr>
          <w:sz w:val="18"/>
          <w:szCs w:val="18"/>
        </w:rPr>
      </w:pPr>
      <w:r w:rsidRPr="00B71F0A">
        <w:rPr>
          <w:rStyle w:val="FootnoteReference"/>
          <w:sz w:val="18"/>
          <w:szCs w:val="18"/>
        </w:rPr>
        <w:footnoteRef/>
      </w:r>
      <w:r w:rsidRPr="00B71F0A">
        <w:rPr>
          <w:sz w:val="18"/>
          <w:szCs w:val="18"/>
        </w:rPr>
        <w:t xml:space="preserve"> </w:t>
      </w:r>
      <w:hyperlink r:id="rId11" w:history="1">
        <w:r w:rsidRPr="00B71F0A">
          <w:rPr>
            <w:rStyle w:val="Hyperlink"/>
            <w:sz w:val="18"/>
            <w:szCs w:val="18"/>
          </w:rPr>
          <w:t>https://srilanka.unfpa.org/sites/default/files/pub-pdf/sri_lanka_national_policy_gewe_english.pdf</w:t>
        </w:r>
      </w:hyperlink>
      <w:r w:rsidRPr="00B71F0A">
        <w:rPr>
          <w:sz w:val="18"/>
          <w:szCs w:val="18"/>
        </w:rPr>
        <w:t xml:space="preserve"> </w:t>
      </w:r>
    </w:p>
  </w:footnote>
  <w:footnote w:id="20">
    <w:p w14:paraId="3116BB52" w14:textId="6D1467FC" w:rsidR="0092308B" w:rsidRPr="00B71F0A" w:rsidRDefault="0092308B" w:rsidP="003B167B">
      <w:pPr>
        <w:pStyle w:val="FootnoteText"/>
        <w:rPr>
          <w:sz w:val="18"/>
          <w:szCs w:val="18"/>
          <w:lang w:val="en-US"/>
        </w:rPr>
      </w:pPr>
      <w:r w:rsidRPr="00B71F0A">
        <w:rPr>
          <w:rStyle w:val="FootnoteReference"/>
          <w:sz w:val="18"/>
          <w:szCs w:val="18"/>
        </w:rPr>
        <w:footnoteRef/>
      </w:r>
      <w:r w:rsidRPr="00B71F0A">
        <w:rPr>
          <w:sz w:val="18"/>
          <w:szCs w:val="18"/>
        </w:rPr>
        <w:t xml:space="preserve"> The State reported that the policy was launched on 8th March 2023, and a Strategic Action Plan is under formulation. </w:t>
      </w:r>
    </w:p>
  </w:footnote>
  <w:footnote w:id="21">
    <w:p w14:paraId="1E3493FD" w14:textId="77777777" w:rsidR="00DF1236" w:rsidRPr="00B71F0A" w:rsidRDefault="00DF1236" w:rsidP="00DF1236">
      <w:pPr>
        <w:pStyle w:val="FootnoteText"/>
        <w:rPr>
          <w:sz w:val="18"/>
          <w:szCs w:val="18"/>
        </w:rPr>
      </w:pPr>
      <w:r w:rsidRPr="00B71F0A">
        <w:rPr>
          <w:rStyle w:val="FootnoteReference"/>
          <w:sz w:val="18"/>
          <w:szCs w:val="18"/>
        </w:rPr>
        <w:footnoteRef/>
      </w:r>
      <w:r w:rsidRPr="00B71F0A">
        <w:rPr>
          <w:sz w:val="18"/>
          <w:szCs w:val="18"/>
        </w:rPr>
        <w:t xml:space="preserve"> </w:t>
      </w:r>
      <w:r w:rsidRPr="00B71F0A">
        <w:rPr>
          <w:i/>
          <w:iCs/>
          <w:sz w:val="18"/>
          <w:szCs w:val="18"/>
        </w:rPr>
        <w:t>Rosanna Flamer-Caldera v. Sri Lanka</w:t>
      </w:r>
      <w:r w:rsidRPr="00B71F0A">
        <w:rPr>
          <w:sz w:val="18"/>
          <w:szCs w:val="18"/>
        </w:rPr>
        <w:t xml:space="preserve">, CEDAW/C/81/D/134/2018, available at  </w:t>
      </w:r>
      <w:hyperlink r:id="rId12" w:history="1">
        <w:r w:rsidRPr="00B71F0A">
          <w:rPr>
            <w:rStyle w:val="Hyperlink"/>
            <w:sz w:val="18"/>
            <w:szCs w:val="18"/>
          </w:rPr>
          <w:t>https://docstore.ohchr.org/SelfServices/FilesHandler.ashx?enc=6QkG1d%2FPPRiCAqhKb7yhsgekS3XMuMTIW18D8vtwB3%2B8OowwLQYQf%2FxhBgOcu5D8ukESSYyyM65DNEOv8ZoRt9eGdAUtUGXxzO4%2F8w0r66So1DxuTPKxQ%2FKRx8t0RRbhG3hR0MHEjiLIQML6Eugy6w%3D%3D</w:t>
        </w:r>
      </w:hyperlink>
      <w:r w:rsidRPr="00B71F0A">
        <w:rPr>
          <w:rStyle w:val="Hyperlink"/>
          <w:sz w:val="18"/>
          <w:szCs w:val="18"/>
        </w:rPr>
        <w:t xml:space="preserve"> </w:t>
      </w:r>
    </w:p>
  </w:footnote>
  <w:footnote w:id="22">
    <w:p w14:paraId="621E23A1" w14:textId="77777777" w:rsidR="00DF1236" w:rsidRPr="00B71F0A" w:rsidRDefault="00DF1236" w:rsidP="00DF1236">
      <w:pPr>
        <w:pStyle w:val="FootnoteText"/>
        <w:rPr>
          <w:sz w:val="18"/>
          <w:szCs w:val="18"/>
        </w:rPr>
      </w:pPr>
      <w:r w:rsidRPr="00B71F0A">
        <w:rPr>
          <w:rStyle w:val="FootnoteReference"/>
          <w:sz w:val="18"/>
          <w:szCs w:val="18"/>
        </w:rPr>
        <w:footnoteRef/>
      </w:r>
      <w:r w:rsidRPr="00B71F0A">
        <w:rPr>
          <w:sz w:val="18"/>
          <w:szCs w:val="18"/>
        </w:rPr>
        <w:t xml:space="preserve"> Ramona Vijeyarasa,  “Flamer-Caldera v Sri Lanka: Asia-Wide Implications of an Essential Evolution in CEDAW's Jurisprudence”, </w:t>
      </w:r>
      <w:r w:rsidRPr="00B71F0A">
        <w:rPr>
          <w:i/>
          <w:iCs/>
          <w:sz w:val="18"/>
          <w:szCs w:val="18"/>
        </w:rPr>
        <w:t>Asian Journal of International Law</w:t>
      </w:r>
      <w:r w:rsidRPr="00B71F0A">
        <w:rPr>
          <w:sz w:val="18"/>
          <w:szCs w:val="18"/>
        </w:rPr>
        <w:t xml:space="preserve">, 2022, pp. 1-11.,  available at </w:t>
      </w:r>
      <w:hyperlink r:id="rId13" w:history="1">
        <w:r w:rsidRPr="00B71F0A">
          <w:rPr>
            <w:rStyle w:val="Hyperlink"/>
            <w:sz w:val="18"/>
            <w:szCs w:val="18"/>
          </w:rPr>
          <w:t>https://www.cambridge.org/core/journals/asian-journal-of-international-law/article/abs/flamercaldera-v-sri-lanka-asiawide-implications-of-an-essential-evolution-in-cedaws-jurisprudence/06BA0CFAEB5DD2B32C267BFEBFD85A10</w:t>
        </w:r>
      </w:hyperlink>
    </w:p>
  </w:footnote>
  <w:footnote w:id="23">
    <w:p w14:paraId="1A3E25E8" w14:textId="705F38D7" w:rsidR="00DF1236" w:rsidRPr="00B71F0A" w:rsidRDefault="00DF1236" w:rsidP="00DF1236">
      <w:pPr>
        <w:pStyle w:val="FootnoteText"/>
        <w:rPr>
          <w:sz w:val="18"/>
          <w:szCs w:val="18"/>
        </w:rPr>
      </w:pPr>
      <w:r w:rsidRPr="00B71F0A">
        <w:rPr>
          <w:rStyle w:val="FootnoteReference"/>
          <w:sz w:val="18"/>
          <w:szCs w:val="18"/>
        </w:rPr>
        <w:footnoteRef/>
      </w:r>
      <w:r w:rsidRPr="00B71F0A">
        <w:rPr>
          <w:sz w:val="18"/>
          <w:szCs w:val="18"/>
        </w:rPr>
        <w:t xml:space="preserve"> SL_04</w:t>
      </w:r>
      <w:r w:rsidR="004E1F08">
        <w:rPr>
          <w:sz w:val="18"/>
          <w:szCs w:val="18"/>
        </w:rPr>
        <w:t xml:space="preserve"> in </w:t>
      </w:r>
      <w:r w:rsidR="004E1F08" w:rsidRPr="00B71F0A">
        <w:rPr>
          <w:sz w:val="18"/>
          <w:szCs w:val="18"/>
        </w:rPr>
        <w:t>Annexure 1</w:t>
      </w:r>
    </w:p>
  </w:footnote>
  <w:footnote w:id="24">
    <w:p w14:paraId="58DFA722" w14:textId="64B2237C" w:rsidR="00F414E7" w:rsidRPr="00B71F0A" w:rsidRDefault="00F414E7" w:rsidP="00F414E7">
      <w:pPr>
        <w:pStyle w:val="FootnoteText"/>
        <w:rPr>
          <w:sz w:val="18"/>
          <w:szCs w:val="18"/>
        </w:rPr>
      </w:pPr>
      <w:r w:rsidRPr="00B71F0A">
        <w:rPr>
          <w:rStyle w:val="FootnoteReference"/>
          <w:sz w:val="18"/>
          <w:szCs w:val="18"/>
        </w:rPr>
        <w:footnoteRef/>
      </w:r>
      <w:r w:rsidRPr="00B71F0A">
        <w:rPr>
          <w:sz w:val="18"/>
          <w:szCs w:val="18"/>
        </w:rPr>
        <w:t xml:space="preserve"> SL_0</w:t>
      </w:r>
      <w:r w:rsidR="004E1F08">
        <w:rPr>
          <w:sz w:val="18"/>
          <w:szCs w:val="18"/>
        </w:rPr>
        <w:t xml:space="preserve">9 in </w:t>
      </w:r>
      <w:r w:rsidR="004E1F08" w:rsidRPr="00B71F0A">
        <w:rPr>
          <w:sz w:val="18"/>
          <w:szCs w:val="18"/>
        </w:rPr>
        <w:t>Annexure 1</w:t>
      </w:r>
    </w:p>
  </w:footnote>
  <w:footnote w:id="25">
    <w:p w14:paraId="6333C5C9" w14:textId="77777777" w:rsidR="007910EA" w:rsidRPr="00B71F0A" w:rsidRDefault="007910EA" w:rsidP="00CD11A9">
      <w:pPr>
        <w:rPr>
          <w:sz w:val="18"/>
          <w:szCs w:val="18"/>
        </w:rPr>
      </w:pPr>
      <w:r w:rsidRPr="00B71F0A">
        <w:rPr>
          <w:rStyle w:val="FootnoteReference"/>
          <w:sz w:val="18"/>
          <w:szCs w:val="18"/>
        </w:rPr>
        <w:footnoteRef/>
      </w:r>
      <w:r w:rsidRPr="00B71F0A">
        <w:rPr>
          <w:sz w:val="18"/>
          <w:szCs w:val="18"/>
        </w:rPr>
        <w:t xml:space="preserve"> </w:t>
      </w:r>
      <w:hyperlink r:id="rId14" w:history="1">
        <w:r w:rsidRPr="00B71F0A">
          <w:rPr>
            <w:rStyle w:val="Hyperlink"/>
            <w:sz w:val="18"/>
            <w:szCs w:val="18"/>
          </w:rPr>
          <w:t>https://srilanka.unfpa.org/sites/default/files/pub-pdf/sri_lanka_national_policy_gewe_english.pdf</w:t>
        </w:r>
      </w:hyperlink>
    </w:p>
  </w:footnote>
  <w:footnote w:id="26">
    <w:p w14:paraId="26B6069F" w14:textId="7CE7D408" w:rsidR="00B42B2C" w:rsidRPr="00B71F0A" w:rsidRDefault="00B42B2C" w:rsidP="00CD11A9">
      <w:pPr>
        <w:jc w:val="both"/>
        <w:rPr>
          <w:sz w:val="18"/>
          <w:szCs w:val="18"/>
        </w:rPr>
      </w:pPr>
      <w:r w:rsidRPr="00B71F0A">
        <w:rPr>
          <w:rStyle w:val="FootnoteReference"/>
          <w:sz w:val="18"/>
          <w:szCs w:val="18"/>
        </w:rPr>
        <w:footnoteRef/>
      </w:r>
      <w:r w:rsidRPr="00B71F0A">
        <w:rPr>
          <w:sz w:val="18"/>
          <w:szCs w:val="18"/>
        </w:rPr>
        <w:t xml:space="preserve"> The Assistance to and Protection of Victims of Crime and Witnesses Act, No. 10 of 2023, replaces the 2015 law and introduces rights and protections for victims of crime and witnesses, including compensation provisions, a National Authority, a protection division, and a protection fund. It uniquely identifies transgender persons and sexual orientation as factors for vulnerability, entitling such individuals to special measures under Section 34. However, these measures remain unimplemented as the National Authority has not initiated discussions with the Minister. Broader protections under the Act are hindered by resource constraints affecting implementation – (Views shared by the Chairman of the National Authority at a Consultation with Civil Society Organizations held on 6 September 2024)</w:t>
      </w:r>
    </w:p>
  </w:footnote>
  <w:footnote w:id="27">
    <w:p w14:paraId="0CF1664B" w14:textId="2E389794" w:rsidR="00B42B2C" w:rsidRPr="00B71F0A" w:rsidRDefault="00B42B2C" w:rsidP="00B42B2C">
      <w:pPr>
        <w:pStyle w:val="FootnoteText"/>
        <w:rPr>
          <w:sz w:val="18"/>
          <w:szCs w:val="18"/>
        </w:rPr>
      </w:pPr>
      <w:r w:rsidRPr="00B71F0A">
        <w:rPr>
          <w:rStyle w:val="FootnoteReference"/>
          <w:sz w:val="18"/>
          <w:szCs w:val="18"/>
        </w:rPr>
        <w:footnoteRef/>
      </w:r>
      <w:r w:rsidRPr="00B71F0A">
        <w:rPr>
          <w:sz w:val="18"/>
          <w:szCs w:val="18"/>
        </w:rPr>
        <w:t xml:space="preserve"> SL_</w:t>
      </w:r>
      <w:r w:rsidR="004E1F08">
        <w:rPr>
          <w:sz w:val="18"/>
          <w:szCs w:val="18"/>
        </w:rPr>
        <w:t>10</w:t>
      </w:r>
      <w:r w:rsidR="004E1F08" w:rsidRPr="004E1F08">
        <w:rPr>
          <w:sz w:val="18"/>
          <w:szCs w:val="18"/>
        </w:rPr>
        <w:t xml:space="preserve"> </w:t>
      </w:r>
      <w:r w:rsidR="004E1F08">
        <w:rPr>
          <w:sz w:val="18"/>
          <w:szCs w:val="18"/>
        </w:rPr>
        <w:t xml:space="preserve">in </w:t>
      </w:r>
      <w:r w:rsidR="004E1F08" w:rsidRPr="00B71F0A">
        <w:rPr>
          <w:sz w:val="18"/>
          <w:szCs w:val="18"/>
        </w:rPr>
        <w:t>Annexure 1</w:t>
      </w:r>
    </w:p>
  </w:footnote>
  <w:footnote w:id="28">
    <w:p w14:paraId="03BC33F9" w14:textId="77777777" w:rsidR="000978DB" w:rsidRPr="00B71F0A" w:rsidRDefault="000978DB" w:rsidP="000978DB">
      <w:pPr>
        <w:pStyle w:val="FootnoteText"/>
        <w:rPr>
          <w:sz w:val="18"/>
          <w:szCs w:val="18"/>
        </w:rPr>
      </w:pPr>
      <w:r w:rsidRPr="00B71F0A">
        <w:rPr>
          <w:rStyle w:val="FootnoteReference"/>
          <w:sz w:val="18"/>
          <w:szCs w:val="18"/>
        </w:rPr>
        <w:footnoteRef/>
      </w:r>
      <w:r w:rsidRPr="00B71F0A">
        <w:rPr>
          <w:sz w:val="18"/>
          <w:szCs w:val="18"/>
        </w:rPr>
        <w:t xml:space="preserve">  Committee against Torture, General Comment No. 2: On the implementation of article 2 by States parties, UN Doc.</w:t>
      </w:r>
      <w:r w:rsidRPr="00B71F0A">
        <w:rPr>
          <w:b/>
          <w:bCs/>
          <w:sz w:val="18"/>
          <w:szCs w:val="18"/>
        </w:rPr>
        <w:t xml:space="preserve"> </w:t>
      </w:r>
      <w:r w:rsidRPr="00B71F0A">
        <w:rPr>
          <w:sz w:val="18"/>
          <w:szCs w:val="18"/>
        </w:rPr>
        <w:t xml:space="preserve">CAT/C/GC/2 , (2007), para 18, available at </w:t>
      </w:r>
      <w:hyperlink r:id="rId15" w:anchor=":~:text=Committee%20against%20Torture%20Convention%20against%20Torture%20and%20Other,that%20undergird%20the%20Convention’s%20absolute%20prohibition%20against%20torture" w:history="1">
        <w:r w:rsidRPr="00B71F0A">
          <w:rPr>
            <w:rStyle w:val="Hyperlink"/>
            <w:sz w:val="18"/>
            <w:szCs w:val="18"/>
          </w:rPr>
          <w:t>https://www.ohchr.org/en/documents/general-comments-and-recommendations/catcgc2-general-comment-no-2-2007-implementation#:~:text=Committee%20against%20Torture%20Convention%20against%20Torture%20and%20Other,that%20undergird%20the%20Convention’s%20absolute%20prohibition%20against%20torture</w:t>
        </w:r>
      </w:hyperlink>
      <w:r w:rsidRPr="00B71F0A">
        <w:rPr>
          <w:sz w:val="18"/>
          <w:szCs w:val="18"/>
        </w:rPr>
        <w:t xml:space="preserve">  </w:t>
      </w:r>
    </w:p>
  </w:footnote>
  <w:footnote w:id="29">
    <w:p w14:paraId="6622878F" w14:textId="77777777" w:rsidR="000978DB" w:rsidRPr="00B71F0A" w:rsidRDefault="000978DB" w:rsidP="000978DB">
      <w:pPr>
        <w:pStyle w:val="FootnoteText"/>
        <w:rPr>
          <w:sz w:val="18"/>
          <w:szCs w:val="18"/>
        </w:rPr>
      </w:pPr>
      <w:r w:rsidRPr="00B71F0A">
        <w:rPr>
          <w:rStyle w:val="FootnoteReference"/>
          <w:sz w:val="18"/>
          <w:szCs w:val="18"/>
        </w:rPr>
        <w:footnoteRef/>
      </w:r>
      <w:r w:rsidRPr="00B71F0A">
        <w:rPr>
          <w:sz w:val="18"/>
          <w:szCs w:val="18"/>
        </w:rPr>
        <w:t xml:space="preserve"> CEDAW Committee, General recommendation No. 35 (2017) on gender-based violence against women, updating general recommendation No. 19 (1992), UN Doc. CEDAW/C/GC/35, (2017), para 16, available at </w:t>
      </w:r>
      <w:hyperlink r:id="rId16" w:history="1">
        <w:r w:rsidRPr="00B71F0A">
          <w:rPr>
            <w:rStyle w:val="Hyperlink"/>
            <w:sz w:val="18"/>
            <w:szCs w:val="18"/>
          </w:rPr>
          <w:t>https://www.ohchr.org/en/documents/general-comments-and-recommendations/general-recommendation-no-35-2017-gender-based</w:t>
        </w:r>
      </w:hyperlink>
      <w:r w:rsidRPr="00B71F0A">
        <w:rPr>
          <w:sz w:val="18"/>
          <w:szCs w:val="18"/>
        </w:rPr>
        <w:t xml:space="preserve"> </w:t>
      </w:r>
    </w:p>
  </w:footnote>
  <w:footnote w:id="30">
    <w:p w14:paraId="55B76A51" w14:textId="77777777" w:rsidR="000978DB" w:rsidRPr="00B71F0A" w:rsidRDefault="000978DB" w:rsidP="000978DB">
      <w:pPr>
        <w:pStyle w:val="FootnoteText"/>
        <w:rPr>
          <w:sz w:val="18"/>
          <w:szCs w:val="18"/>
        </w:rPr>
      </w:pPr>
      <w:r w:rsidRPr="00B71F0A">
        <w:rPr>
          <w:rStyle w:val="FootnoteReference"/>
          <w:sz w:val="18"/>
          <w:szCs w:val="18"/>
        </w:rPr>
        <w:footnoteRef/>
      </w:r>
      <w:r w:rsidRPr="00B71F0A">
        <w:rPr>
          <w:sz w:val="18"/>
          <w:szCs w:val="18"/>
        </w:rPr>
        <w:t xml:space="preserve"> Communication No. 47/2012, available at </w:t>
      </w:r>
      <w:hyperlink r:id="rId17" w:history="1">
        <w:r w:rsidRPr="00B71F0A">
          <w:rPr>
            <w:rStyle w:val="Hyperlink"/>
            <w:sz w:val="18"/>
            <w:szCs w:val="18"/>
          </w:rPr>
          <w:t>https://docstore.ohchr.org/SelfServices/FilesHandler.ashx?enc=6QkG1d%2FPPRiCAqhKb7yhslEELoUVuU1rtqrRBladIK2rtkwI0P%2BlHPP1JBJnI1ZoADsBZv89NuU0iAp%2Bmg%2BiLGYMM4sfUBWTC0Gu5Z9fmKkL1hmTkHhKu%2FCyYTms%2F21qA3IB5VTzevhgt1HuE4r0IQ%3D%3D</w:t>
        </w:r>
      </w:hyperlink>
      <w:r w:rsidRPr="00B71F0A">
        <w:rPr>
          <w:sz w:val="18"/>
          <w:szCs w:val="18"/>
        </w:rPr>
        <w:t xml:space="preserve"> </w:t>
      </w:r>
    </w:p>
  </w:footnote>
  <w:footnote w:id="31">
    <w:p w14:paraId="78767871" w14:textId="77777777" w:rsidR="000978DB" w:rsidRPr="00B71F0A" w:rsidRDefault="000978DB" w:rsidP="000978DB">
      <w:pPr>
        <w:pStyle w:val="FootnoteText"/>
        <w:rPr>
          <w:sz w:val="18"/>
          <w:szCs w:val="18"/>
        </w:rPr>
      </w:pPr>
      <w:r w:rsidRPr="00B71F0A">
        <w:rPr>
          <w:rStyle w:val="FootnoteReference"/>
          <w:sz w:val="18"/>
          <w:szCs w:val="18"/>
        </w:rPr>
        <w:footnoteRef/>
      </w:r>
      <w:r w:rsidRPr="00B71F0A">
        <w:rPr>
          <w:sz w:val="18"/>
          <w:szCs w:val="18"/>
        </w:rPr>
        <w:t xml:space="preserve"> The prevalence of domestic violence against married women is recorded to be as high as 17% in Sri Lanka but only 3% have sought help from the Police. See Department of Census and Statistics, Demographic and Health Survey 2016 </w:t>
      </w:r>
    </w:p>
  </w:footnote>
  <w:footnote w:id="32">
    <w:p w14:paraId="73F79124" w14:textId="77777777" w:rsidR="000978DB" w:rsidRPr="00B71F0A" w:rsidRDefault="000978DB" w:rsidP="000978DB">
      <w:pPr>
        <w:pStyle w:val="FootnoteText"/>
        <w:rPr>
          <w:sz w:val="18"/>
          <w:szCs w:val="18"/>
        </w:rPr>
      </w:pPr>
      <w:r w:rsidRPr="00B71F0A">
        <w:rPr>
          <w:rStyle w:val="FootnoteReference"/>
          <w:sz w:val="18"/>
          <w:szCs w:val="18"/>
        </w:rPr>
        <w:footnoteRef/>
      </w:r>
      <w:r w:rsidRPr="00B71F0A">
        <w:rPr>
          <w:sz w:val="18"/>
          <w:szCs w:val="18"/>
        </w:rPr>
        <w:t xml:space="preserve"> </w:t>
      </w:r>
      <w:r w:rsidRPr="00B71F0A">
        <w:rPr>
          <w:i/>
          <w:iCs/>
          <w:sz w:val="18"/>
          <w:szCs w:val="18"/>
        </w:rPr>
        <w:t>ibid</w:t>
      </w:r>
      <w:r w:rsidRPr="00B71F0A">
        <w:rPr>
          <w:sz w:val="18"/>
          <w:szCs w:val="18"/>
        </w:rPr>
        <w:t xml:space="preserve"> at p.21</w:t>
      </w:r>
    </w:p>
  </w:footnote>
  <w:footnote w:id="33">
    <w:p w14:paraId="7B880949" w14:textId="77777777" w:rsidR="000978DB" w:rsidRPr="00B71F0A" w:rsidRDefault="000978DB" w:rsidP="000978DB">
      <w:pPr>
        <w:pStyle w:val="FootnoteText"/>
        <w:rPr>
          <w:sz w:val="18"/>
          <w:szCs w:val="18"/>
        </w:rPr>
      </w:pPr>
      <w:r w:rsidRPr="00B71F0A">
        <w:rPr>
          <w:rStyle w:val="FootnoteReference"/>
          <w:sz w:val="18"/>
          <w:szCs w:val="18"/>
        </w:rPr>
        <w:footnoteRef/>
      </w:r>
      <w:r w:rsidRPr="00B71F0A">
        <w:rPr>
          <w:sz w:val="18"/>
          <w:szCs w:val="18"/>
        </w:rPr>
        <w:t xml:space="preserve"> The Island, “Domestic violence left 74 dead last year”, 2023, available at </w:t>
      </w:r>
      <w:hyperlink r:id="rId18" w:history="1">
        <w:r w:rsidRPr="00B71F0A">
          <w:rPr>
            <w:rStyle w:val="Hyperlink"/>
            <w:sz w:val="18"/>
            <w:szCs w:val="18"/>
          </w:rPr>
          <w:t>https://island.lk/domestic-violence-left-74-dead-last-yearby-kamal-bogoda/</w:t>
        </w:r>
      </w:hyperlink>
      <w:r w:rsidRPr="00B71F0A">
        <w:rPr>
          <w:sz w:val="18"/>
          <w:szCs w:val="18"/>
        </w:rPr>
        <w:t xml:space="preserve"> </w:t>
      </w:r>
    </w:p>
  </w:footnote>
  <w:footnote w:id="34">
    <w:p w14:paraId="76943B46" w14:textId="77777777" w:rsidR="0092308B" w:rsidRPr="00B71F0A" w:rsidRDefault="0092308B" w:rsidP="0092308B">
      <w:pPr>
        <w:rPr>
          <w:sz w:val="18"/>
          <w:szCs w:val="18"/>
        </w:rPr>
      </w:pPr>
      <w:r w:rsidRPr="00B71F0A">
        <w:rPr>
          <w:rStyle w:val="FootnoteReference"/>
          <w:sz w:val="18"/>
          <w:szCs w:val="18"/>
        </w:rPr>
        <w:footnoteRef/>
      </w:r>
      <w:r w:rsidRPr="00B71F0A">
        <w:rPr>
          <w:sz w:val="18"/>
          <w:szCs w:val="18"/>
        </w:rPr>
        <w:t xml:space="preserve"> </w:t>
      </w:r>
      <w:hyperlink r:id="rId19" w:history="1">
        <w:r w:rsidRPr="00B71F0A">
          <w:rPr>
            <w:rStyle w:val="Hyperlink"/>
            <w:sz w:val="18"/>
            <w:szCs w:val="18"/>
          </w:rPr>
          <w:t>https://srilanka.unfpa.org/sites/default/files/pub-pdf/sri_lanka_national_policy_gewe_english.pdf</w:t>
        </w:r>
      </w:hyperlink>
      <w:r w:rsidRPr="00B71F0A">
        <w:rPr>
          <w:sz w:val="18"/>
          <w:szCs w:val="18"/>
        </w:rPr>
        <w:t xml:space="preserve"> p.28</w:t>
      </w:r>
    </w:p>
  </w:footnote>
  <w:footnote w:id="35">
    <w:p w14:paraId="2FB2ED02" w14:textId="51CA22E5" w:rsidR="0092308B" w:rsidRPr="00B71F0A" w:rsidRDefault="0092308B" w:rsidP="0092308B">
      <w:pPr>
        <w:rPr>
          <w:sz w:val="18"/>
          <w:szCs w:val="18"/>
        </w:rPr>
      </w:pPr>
      <w:r w:rsidRPr="00B71F0A">
        <w:rPr>
          <w:rStyle w:val="FootnoteReference"/>
          <w:sz w:val="18"/>
          <w:szCs w:val="18"/>
        </w:rPr>
        <w:footnoteRef/>
      </w:r>
      <w:r w:rsidRPr="00B71F0A">
        <w:rPr>
          <w:rStyle w:val="FootnoteReference"/>
          <w:sz w:val="18"/>
          <w:szCs w:val="18"/>
        </w:rPr>
        <w:t xml:space="preserve"> </w:t>
      </w:r>
      <w:r w:rsidRPr="00B71F0A">
        <w:rPr>
          <w:sz w:val="18"/>
          <w:szCs w:val="18"/>
        </w:rPr>
        <w:t>SL_03</w:t>
      </w:r>
      <w:r w:rsidR="004E1F08" w:rsidRPr="004E1F08">
        <w:rPr>
          <w:sz w:val="18"/>
          <w:szCs w:val="18"/>
        </w:rPr>
        <w:t xml:space="preserve"> </w:t>
      </w:r>
      <w:r w:rsidR="004E1F08">
        <w:rPr>
          <w:sz w:val="18"/>
          <w:szCs w:val="18"/>
        </w:rPr>
        <w:t xml:space="preserve">in </w:t>
      </w:r>
      <w:r w:rsidR="004E1F08" w:rsidRPr="00B71F0A">
        <w:rPr>
          <w:sz w:val="18"/>
          <w:szCs w:val="18"/>
        </w:rPr>
        <w:t>Annexure 1</w:t>
      </w:r>
    </w:p>
    <w:p w14:paraId="7E3B33E0" w14:textId="77777777" w:rsidR="0092308B" w:rsidRPr="00B71F0A" w:rsidRDefault="0092308B" w:rsidP="0092308B">
      <w:pPr>
        <w:pStyle w:val="FootnoteText"/>
        <w:rPr>
          <w:sz w:val="18"/>
          <w:szCs w:val="18"/>
        </w:rPr>
      </w:pPr>
    </w:p>
  </w:footnote>
  <w:footnote w:id="36">
    <w:p w14:paraId="717DA7B5" w14:textId="77777777" w:rsidR="00360318" w:rsidRPr="00B71F0A" w:rsidRDefault="00360318" w:rsidP="00360318">
      <w:pPr>
        <w:pStyle w:val="FootnoteText"/>
        <w:rPr>
          <w:rStyle w:val="Hyperlink"/>
          <w:sz w:val="18"/>
          <w:szCs w:val="18"/>
        </w:rPr>
      </w:pPr>
      <w:r w:rsidRPr="00B71F0A">
        <w:rPr>
          <w:rStyle w:val="FootnoteReference"/>
          <w:sz w:val="18"/>
          <w:szCs w:val="18"/>
        </w:rPr>
        <w:footnoteRef/>
      </w:r>
      <w:r w:rsidRPr="00B71F0A">
        <w:rPr>
          <w:sz w:val="18"/>
          <w:szCs w:val="18"/>
        </w:rPr>
        <w:t xml:space="preserve"> “Matters to be considered when dealing with transgender persons and persons who have undergone gender transition.” IGP circular dated 27.12.2022 – 2740/2022. Available at: </w:t>
      </w:r>
      <w:hyperlink r:id="rId20" w:history="1">
        <w:r w:rsidRPr="00B71F0A">
          <w:rPr>
            <w:rStyle w:val="Hyperlink"/>
            <w:sz w:val="18"/>
            <w:szCs w:val="18"/>
          </w:rPr>
          <w:t>https://www.equal-ground.org/wp-content/uploads/Circular-English.pdf</w:t>
        </w:r>
      </w:hyperlink>
      <w:r w:rsidRPr="00B71F0A">
        <w:rPr>
          <w:sz w:val="18"/>
          <w:szCs w:val="18"/>
        </w:rPr>
        <w:t xml:space="preserve">   See also Sunday Times, “Applause for new police guidelines on trans people”, 2023, available at  </w:t>
      </w:r>
      <w:hyperlink r:id="rId21" w:history="1">
        <w:r w:rsidRPr="00B71F0A">
          <w:rPr>
            <w:rStyle w:val="Hyperlink"/>
            <w:sz w:val="18"/>
            <w:szCs w:val="18"/>
          </w:rPr>
          <w:t>https://www.sundaytimes.lk/230219/news/applause-for-new-police-guidelines-on-trans-people-512321.html</w:t>
        </w:r>
      </w:hyperlink>
      <w:r w:rsidRPr="00B71F0A">
        <w:rPr>
          <w:rStyle w:val="Hyperlink"/>
          <w:sz w:val="18"/>
          <w:szCs w:val="18"/>
        </w:rPr>
        <w:t xml:space="preserve"> </w:t>
      </w:r>
    </w:p>
  </w:footnote>
  <w:footnote w:id="37">
    <w:p w14:paraId="7C97BDD7" w14:textId="77777777" w:rsidR="00360318" w:rsidRPr="00B71F0A" w:rsidRDefault="00360318" w:rsidP="00360318">
      <w:pPr>
        <w:pStyle w:val="FootnoteText"/>
        <w:rPr>
          <w:rStyle w:val="Hyperlink"/>
          <w:sz w:val="18"/>
          <w:szCs w:val="18"/>
        </w:rPr>
      </w:pPr>
      <w:r w:rsidRPr="00B71F0A">
        <w:rPr>
          <w:rStyle w:val="FootnoteReference"/>
          <w:sz w:val="18"/>
          <w:szCs w:val="18"/>
        </w:rPr>
        <w:footnoteRef/>
      </w:r>
      <w:r w:rsidRPr="00B71F0A">
        <w:rPr>
          <w:sz w:val="18"/>
          <w:szCs w:val="18"/>
        </w:rPr>
        <w:t xml:space="preserve"> See ILGA Asia, “Sri Lanka: Amendment in Police Guidelines as a necessary first step towards ensuring access to justice for LGBTIQ persons”, 2023, available at </w:t>
      </w:r>
      <w:hyperlink r:id="rId22" w:history="1">
        <w:r w:rsidRPr="00B71F0A">
          <w:rPr>
            <w:rStyle w:val="Hyperlink"/>
            <w:sz w:val="18"/>
            <w:szCs w:val="18"/>
          </w:rPr>
          <w:t>https://www.ilgaasia.org/news/2023/11/29/sri-lanka-amendment-in-police-guidelines-as-a-necessary-first-step-towards-ensuring-access-to-justice-for-lgbtiq-persons</w:t>
        </w:r>
      </w:hyperlink>
      <w:r w:rsidRPr="00B71F0A">
        <w:rPr>
          <w:rStyle w:val="Hyperlink"/>
          <w:sz w:val="18"/>
          <w:szCs w:val="18"/>
        </w:rPr>
        <w:t xml:space="preserve"> </w:t>
      </w:r>
    </w:p>
  </w:footnote>
  <w:footnote w:id="38">
    <w:p w14:paraId="645AE14E" w14:textId="77777777" w:rsidR="00360318" w:rsidRPr="00B71F0A" w:rsidRDefault="00360318" w:rsidP="00360318">
      <w:pPr>
        <w:pStyle w:val="FootnoteText"/>
        <w:jc w:val="both"/>
        <w:rPr>
          <w:sz w:val="18"/>
          <w:szCs w:val="18"/>
        </w:rPr>
      </w:pPr>
      <w:r w:rsidRPr="00B71F0A">
        <w:rPr>
          <w:rStyle w:val="FootnoteReference"/>
          <w:sz w:val="18"/>
          <w:szCs w:val="18"/>
        </w:rPr>
        <w:footnoteRef/>
      </w:r>
      <w:r w:rsidRPr="00B71F0A">
        <w:rPr>
          <w:sz w:val="18"/>
          <w:szCs w:val="18"/>
        </w:rPr>
        <w:t xml:space="preserve"> Available at </w:t>
      </w:r>
      <w:hyperlink r:id="rId23" w:history="1">
        <w:r w:rsidRPr="00B71F0A">
          <w:rPr>
            <w:rStyle w:val="Hyperlink"/>
            <w:sz w:val="18"/>
            <w:szCs w:val="18"/>
          </w:rPr>
          <w:t>https://www.hrcsl.lk/wp-content/uploads/2023/03/HRCSL-Guideline-for-police-officers-to-protect-transgender-persons_-English.docx.pdf</w:t>
        </w:r>
      </w:hyperlink>
      <w:r w:rsidRPr="00B71F0A">
        <w:rPr>
          <w:sz w:val="18"/>
          <w:szCs w:val="18"/>
        </w:rPr>
        <w:t xml:space="preserve"> </w:t>
      </w:r>
    </w:p>
  </w:footnote>
  <w:footnote w:id="39">
    <w:p w14:paraId="71291CCF" w14:textId="77777777" w:rsidR="00636D45" w:rsidRPr="00B71F0A" w:rsidRDefault="00636D45" w:rsidP="00636D45">
      <w:pPr>
        <w:pStyle w:val="FootnoteText"/>
        <w:rPr>
          <w:sz w:val="18"/>
          <w:szCs w:val="18"/>
        </w:rPr>
      </w:pPr>
      <w:r w:rsidRPr="00B71F0A">
        <w:rPr>
          <w:rStyle w:val="FootnoteReference"/>
          <w:sz w:val="18"/>
          <w:szCs w:val="18"/>
        </w:rPr>
        <w:footnoteRef/>
      </w:r>
      <w:r w:rsidRPr="00B71F0A">
        <w:rPr>
          <w:sz w:val="18"/>
          <w:szCs w:val="18"/>
        </w:rPr>
        <w:t xml:space="preserve"> BRIDGE, </w:t>
      </w:r>
      <w:r w:rsidRPr="00B71F0A">
        <w:rPr>
          <w:i/>
          <w:iCs/>
          <w:sz w:val="18"/>
          <w:szCs w:val="18"/>
        </w:rPr>
        <w:t xml:space="preserve">Human Rights Violations faced by LGBTQ People in Sri Lanka (August 2021- March 2023): An analysis by BRIDGE </w:t>
      </w:r>
      <w:r w:rsidRPr="00B71F0A">
        <w:rPr>
          <w:sz w:val="18"/>
          <w:szCs w:val="18"/>
        </w:rPr>
        <w:t xml:space="preserve">, 2023, available at: </w:t>
      </w:r>
      <w:hyperlink r:id="rId24" w:history="1">
        <w:r w:rsidRPr="00B71F0A">
          <w:rPr>
            <w:rStyle w:val="Hyperlink"/>
            <w:sz w:val="18"/>
            <w:szCs w:val="18"/>
          </w:rPr>
          <w:t>https://bridge2equality.org/wp-content/uploads/2023/06/BRIDGE-Analysis-NEW-English-Color.pdf</w:t>
        </w:r>
      </w:hyperlink>
      <w:r w:rsidRPr="00B71F0A">
        <w:rPr>
          <w:sz w:val="18"/>
          <w:szCs w:val="18"/>
        </w:rPr>
        <w:t xml:space="preserve"> </w:t>
      </w:r>
    </w:p>
  </w:footnote>
  <w:footnote w:id="40">
    <w:p w14:paraId="514327BC" w14:textId="5695C873" w:rsidR="00636D45" w:rsidRPr="00B71F0A" w:rsidRDefault="00636D45" w:rsidP="00636D45">
      <w:pPr>
        <w:pStyle w:val="FootnoteText"/>
        <w:rPr>
          <w:sz w:val="18"/>
          <w:szCs w:val="18"/>
        </w:rPr>
      </w:pPr>
      <w:r w:rsidRPr="00B71F0A">
        <w:rPr>
          <w:rStyle w:val="FootnoteReference"/>
          <w:sz w:val="18"/>
          <w:szCs w:val="18"/>
        </w:rPr>
        <w:footnoteRef/>
      </w:r>
      <w:r w:rsidRPr="00B71F0A">
        <w:rPr>
          <w:sz w:val="18"/>
          <w:szCs w:val="18"/>
        </w:rPr>
        <w:t xml:space="preserve"> SL_07</w:t>
      </w:r>
      <w:r w:rsidR="004E1F08" w:rsidRPr="004E1F08">
        <w:rPr>
          <w:sz w:val="18"/>
          <w:szCs w:val="18"/>
        </w:rPr>
        <w:t xml:space="preserve"> </w:t>
      </w:r>
      <w:r w:rsidR="004E1F08">
        <w:rPr>
          <w:sz w:val="18"/>
          <w:szCs w:val="18"/>
        </w:rPr>
        <w:t xml:space="preserve">in </w:t>
      </w:r>
      <w:r w:rsidR="004E1F08" w:rsidRPr="00B71F0A">
        <w:rPr>
          <w:sz w:val="18"/>
          <w:szCs w:val="18"/>
        </w:rPr>
        <w:t>Annexure 1</w:t>
      </w:r>
    </w:p>
  </w:footnote>
  <w:footnote w:id="41">
    <w:p w14:paraId="6336C0FE" w14:textId="04B74677" w:rsidR="000F6FDC" w:rsidRPr="00B71F0A" w:rsidRDefault="000F6FDC">
      <w:pPr>
        <w:pStyle w:val="FootnoteText"/>
        <w:rPr>
          <w:sz w:val="18"/>
          <w:szCs w:val="18"/>
          <w:lang w:val="en-US"/>
        </w:rPr>
      </w:pPr>
      <w:r w:rsidRPr="00B71F0A">
        <w:rPr>
          <w:rStyle w:val="FootnoteReference"/>
          <w:sz w:val="18"/>
          <w:szCs w:val="18"/>
        </w:rPr>
        <w:footnoteRef/>
      </w:r>
      <w:r w:rsidRPr="00B71F0A">
        <w:rPr>
          <w:sz w:val="18"/>
          <w:szCs w:val="18"/>
        </w:rPr>
        <w:t xml:space="preserve"> </w:t>
      </w:r>
      <w:r w:rsidRPr="00B71F0A">
        <w:rPr>
          <w:i/>
          <w:iCs/>
          <w:sz w:val="18"/>
          <w:szCs w:val="18"/>
        </w:rPr>
        <w:t>Ponnaya</w:t>
      </w:r>
      <w:r w:rsidRPr="00B71F0A">
        <w:rPr>
          <w:i/>
          <w:iCs/>
          <w:sz w:val="18"/>
          <w:szCs w:val="18"/>
          <w:lang w:val="en-US"/>
        </w:rPr>
        <w:t xml:space="preserve"> – a Sinhala language slang term, it is a very harsh slur used against people whom are homosexual </w:t>
      </w:r>
    </w:p>
  </w:footnote>
  <w:footnote w:id="42">
    <w:p w14:paraId="0C72C598" w14:textId="77777777" w:rsidR="00636D45" w:rsidRPr="00B71F0A" w:rsidRDefault="00636D45" w:rsidP="00636D45">
      <w:pPr>
        <w:pStyle w:val="FootnoteText"/>
        <w:rPr>
          <w:sz w:val="18"/>
          <w:szCs w:val="18"/>
        </w:rPr>
      </w:pPr>
      <w:r w:rsidRPr="00B71F0A">
        <w:rPr>
          <w:rStyle w:val="FootnoteReference"/>
          <w:sz w:val="18"/>
          <w:szCs w:val="18"/>
        </w:rPr>
        <w:footnoteRef/>
      </w:r>
      <w:r w:rsidRPr="00B71F0A">
        <w:rPr>
          <w:sz w:val="18"/>
          <w:szCs w:val="18"/>
        </w:rPr>
        <w:t xml:space="preserve"> Sri Lanka Police, “Grave Crime Abstract for the Whole Island”, 2022, available at </w:t>
      </w:r>
      <w:hyperlink r:id="rId25" w:history="1">
        <w:r w:rsidRPr="00B71F0A">
          <w:rPr>
            <w:rStyle w:val="Hyperlink"/>
            <w:sz w:val="18"/>
            <w:szCs w:val="18"/>
          </w:rPr>
          <w:t>https://www.police.lk/wp-content/uploads/2023/07/GRAVE-CRIME-ABSTRACT-FOR-WHOLE-ISLAND-FROM-01.01.2022-TO-31.12.2022.pdf</w:t>
        </w:r>
      </w:hyperlink>
      <w:r w:rsidRPr="00B71F0A">
        <w:rPr>
          <w:sz w:val="18"/>
          <w:szCs w:val="18"/>
        </w:rPr>
        <w:t xml:space="preserve"> </w:t>
      </w:r>
    </w:p>
  </w:footnote>
  <w:footnote w:id="43">
    <w:p w14:paraId="2A13143D" w14:textId="77777777" w:rsidR="00636D45" w:rsidRPr="00B71F0A" w:rsidRDefault="00636D45" w:rsidP="00636D45">
      <w:pPr>
        <w:pStyle w:val="FootnoteText"/>
        <w:rPr>
          <w:rStyle w:val="Hyperlink"/>
          <w:sz w:val="18"/>
          <w:szCs w:val="18"/>
        </w:rPr>
      </w:pPr>
      <w:r w:rsidRPr="00B71F0A">
        <w:rPr>
          <w:rStyle w:val="FootnoteReference"/>
          <w:sz w:val="18"/>
          <w:szCs w:val="18"/>
        </w:rPr>
        <w:footnoteRef/>
      </w:r>
      <w:r w:rsidRPr="00B71F0A">
        <w:rPr>
          <w:sz w:val="18"/>
          <w:szCs w:val="18"/>
        </w:rPr>
        <w:t xml:space="preserve"> Sri Lanka Brief, “Sri Lanka Police: Trained to Discriminate”, 2021, available at </w:t>
      </w:r>
      <w:hyperlink r:id="rId26" w:history="1">
        <w:r w:rsidRPr="00B71F0A">
          <w:rPr>
            <w:rStyle w:val="Hyperlink"/>
            <w:sz w:val="18"/>
            <w:szCs w:val="18"/>
          </w:rPr>
          <w:t>https://srilankabrief.org/sri-lanka-police-trained-to-discriminate/</w:t>
        </w:r>
      </w:hyperlink>
      <w:r w:rsidRPr="00B71F0A">
        <w:rPr>
          <w:sz w:val="18"/>
          <w:szCs w:val="18"/>
        </w:rPr>
        <w:t xml:space="preserve"> </w:t>
      </w:r>
    </w:p>
  </w:footnote>
  <w:footnote w:id="44">
    <w:p w14:paraId="38FC2E98" w14:textId="1751B5AC" w:rsidR="00636D45" w:rsidRPr="00B71F0A" w:rsidRDefault="00636D45" w:rsidP="00636D45">
      <w:pPr>
        <w:pStyle w:val="FootnoteText"/>
        <w:rPr>
          <w:sz w:val="18"/>
          <w:szCs w:val="18"/>
        </w:rPr>
      </w:pPr>
      <w:r w:rsidRPr="00B71F0A">
        <w:rPr>
          <w:rStyle w:val="FootnoteReference"/>
          <w:sz w:val="18"/>
          <w:szCs w:val="18"/>
        </w:rPr>
        <w:footnoteRef/>
      </w:r>
      <w:r w:rsidRPr="00B71F0A">
        <w:rPr>
          <w:sz w:val="18"/>
          <w:szCs w:val="18"/>
        </w:rPr>
        <w:t xml:space="preserve"> SL</w:t>
      </w:r>
      <w:r w:rsidR="004E1F08" w:rsidRPr="004E1F08">
        <w:rPr>
          <w:sz w:val="18"/>
          <w:szCs w:val="18"/>
        </w:rPr>
        <w:t>_</w:t>
      </w:r>
      <w:r w:rsidRPr="00B71F0A">
        <w:rPr>
          <w:sz w:val="18"/>
          <w:szCs w:val="18"/>
        </w:rPr>
        <w:t>0</w:t>
      </w:r>
      <w:r w:rsidR="004E1F08">
        <w:rPr>
          <w:sz w:val="18"/>
          <w:szCs w:val="18"/>
        </w:rPr>
        <w:t>8</w:t>
      </w:r>
      <w:r w:rsidR="004E1F08" w:rsidRPr="004E1F08">
        <w:rPr>
          <w:sz w:val="18"/>
          <w:szCs w:val="18"/>
        </w:rPr>
        <w:t xml:space="preserve"> </w:t>
      </w:r>
      <w:r w:rsidR="004E1F08">
        <w:rPr>
          <w:sz w:val="18"/>
          <w:szCs w:val="18"/>
        </w:rPr>
        <w:t xml:space="preserve">in </w:t>
      </w:r>
      <w:r w:rsidR="004E1F08" w:rsidRPr="00B71F0A">
        <w:rPr>
          <w:sz w:val="18"/>
          <w:szCs w:val="18"/>
        </w:rPr>
        <w:t>Annexure 1</w:t>
      </w:r>
    </w:p>
  </w:footnote>
  <w:footnote w:id="45">
    <w:p w14:paraId="74436501" w14:textId="77777777" w:rsidR="0070074A" w:rsidRPr="00B71F0A" w:rsidRDefault="0070074A" w:rsidP="0070074A">
      <w:pPr>
        <w:pStyle w:val="FootnoteText"/>
        <w:rPr>
          <w:i/>
          <w:iCs/>
          <w:sz w:val="18"/>
          <w:szCs w:val="18"/>
        </w:rPr>
      </w:pPr>
      <w:r w:rsidRPr="00B71F0A">
        <w:rPr>
          <w:rStyle w:val="FootnoteReference"/>
          <w:sz w:val="18"/>
          <w:szCs w:val="18"/>
        </w:rPr>
        <w:footnoteRef/>
      </w:r>
      <w:r w:rsidRPr="00B71F0A">
        <w:rPr>
          <w:sz w:val="18"/>
          <w:szCs w:val="18"/>
        </w:rPr>
        <w:t xml:space="preserve"> See International Commission of Jurists, </w:t>
      </w:r>
      <w:r w:rsidRPr="00B71F0A">
        <w:rPr>
          <w:i/>
          <w:iCs/>
          <w:sz w:val="18"/>
          <w:szCs w:val="18"/>
        </w:rPr>
        <w:t>Authority without accountability: The crisis of impunity in Sri Lanka</w:t>
      </w:r>
      <w:r w:rsidRPr="00B71F0A">
        <w:rPr>
          <w:sz w:val="18"/>
          <w:szCs w:val="18"/>
        </w:rPr>
        <w:t xml:space="preserve">, 2012, available at </w:t>
      </w:r>
      <w:hyperlink r:id="rId27" w:history="1">
        <w:r w:rsidRPr="00B71F0A">
          <w:rPr>
            <w:rStyle w:val="Hyperlink"/>
            <w:sz w:val="18"/>
            <w:szCs w:val="18"/>
          </w:rPr>
          <w:t>https://www.refworld.org/pdfid/50ae365b2.pdf</w:t>
        </w:r>
      </w:hyperlink>
      <w:r w:rsidRPr="00B71F0A">
        <w:rPr>
          <w:sz w:val="18"/>
          <w:szCs w:val="18"/>
        </w:rPr>
        <w:t xml:space="preserve"> ; Human Rights Watch, </w:t>
      </w:r>
      <w:r w:rsidRPr="00B71F0A">
        <w:rPr>
          <w:i/>
          <w:iCs/>
          <w:sz w:val="18"/>
          <w:szCs w:val="18"/>
        </w:rPr>
        <w:t>In a Legal Black Hole:</w:t>
      </w:r>
    </w:p>
    <w:p w14:paraId="5886D517" w14:textId="77777777" w:rsidR="0070074A" w:rsidRPr="00B71F0A" w:rsidRDefault="0070074A" w:rsidP="0070074A">
      <w:pPr>
        <w:pStyle w:val="FootnoteText"/>
        <w:rPr>
          <w:sz w:val="18"/>
          <w:szCs w:val="18"/>
        </w:rPr>
      </w:pPr>
      <w:r w:rsidRPr="00B71F0A">
        <w:rPr>
          <w:i/>
          <w:iCs/>
          <w:sz w:val="18"/>
          <w:szCs w:val="18"/>
        </w:rPr>
        <w:t>Sri Lanka’s Failure to Reform the Prevention of Terrorism Act</w:t>
      </w:r>
      <w:r w:rsidRPr="00B71F0A">
        <w:rPr>
          <w:sz w:val="18"/>
          <w:szCs w:val="18"/>
        </w:rPr>
        <w:t xml:space="preserve">, 2022, available at </w:t>
      </w:r>
      <w:hyperlink r:id="rId28" w:history="1">
        <w:r w:rsidRPr="00B71F0A">
          <w:rPr>
            <w:rStyle w:val="Hyperlink"/>
            <w:sz w:val="18"/>
            <w:szCs w:val="18"/>
          </w:rPr>
          <w:t>https://www.hrw.org/report/2022/02/07/legal-black-hole/sri-lankas-failure-reform-prevention-terrorism-act</w:t>
        </w:r>
      </w:hyperlink>
      <w:r w:rsidRPr="00B71F0A">
        <w:rPr>
          <w:sz w:val="18"/>
          <w:szCs w:val="18"/>
        </w:rPr>
        <w:t xml:space="preserve">;  Sri Lanka: UN experts call for swift suspension of Prevention of Terrorism Act and reform of counter-terrorism law, 2022, available at </w:t>
      </w:r>
      <w:hyperlink r:id="rId29" w:history="1">
        <w:r w:rsidRPr="00B71F0A">
          <w:rPr>
            <w:rStyle w:val="Hyperlink"/>
            <w:sz w:val="18"/>
            <w:szCs w:val="18"/>
          </w:rPr>
          <w:t>https://www.ohchr.org/en/press-releases/2022/03/sri-lanka-un-experts-call-swift-suspension-prevention-terrorism-act-and</w:t>
        </w:r>
      </w:hyperlink>
      <w:r w:rsidRPr="00B71F0A">
        <w:rPr>
          <w:sz w:val="18"/>
          <w:szCs w:val="18"/>
        </w:rPr>
        <w:t>; Report of the Working Group on Enforced or Involuntary Disappearances on its mission to Sri Lanka, UN Doc.</w:t>
      </w:r>
      <w:r w:rsidRPr="00B71F0A">
        <w:rPr>
          <w:b/>
          <w:bCs/>
          <w:sz w:val="18"/>
          <w:szCs w:val="18"/>
        </w:rPr>
        <w:t xml:space="preserve"> </w:t>
      </w:r>
      <w:r w:rsidRPr="00B71F0A">
        <w:rPr>
          <w:sz w:val="18"/>
          <w:szCs w:val="18"/>
        </w:rPr>
        <w:t xml:space="preserve">A/HRC/33/51/Add.2, (2016), available at </w:t>
      </w:r>
      <w:hyperlink r:id="rId30" w:history="1">
        <w:r w:rsidRPr="00B71F0A">
          <w:rPr>
            <w:rStyle w:val="Hyperlink"/>
            <w:sz w:val="18"/>
            <w:szCs w:val="18"/>
          </w:rPr>
          <w:t>https://reliefweb.int/report/sri-lanka/report-working-group-enforced-or-involuntary-disappearances-its-mission-sri-lanka</w:t>
        </w:r>
      </w:hyperlink>
      <w:r w:rsidRPr="00B71F0A">
        <w:rPr>
          <w:sz w:val="18"/>
          <w:szCs w:val="18"/>
        </w:rPr>
        <w:t xml:space="preserve">  ; “Human rights and counter-terrorism: UN Special Rapporteur on the promotion and protection of human rights and</w:t>
      </w:r>
    </w:p>
    <w:p w14:paraId="47A9CBC4" w14:textId="77777777" w:rsidR="0070074A" w:rsidRPr="00B71F0A" w:rsidRDefault="0070074A" w:rsidP="0070074A">
      <w:pPr>
        <w:pStyle w:val="FootnoteText"/>
        <w:rPr>
          <w:sz w:val="18"/>
          <w:szCs w:val="18"/>
        </w:rPr>
      </w:pPr>
      <w:r w:rsidRPr="00B71F0A">
        <w:rPr>
          <w:sz w:val="18"/>
          <w:szCs w:val="18"/>
        </w:rPr>
        <w:t>fundamental freedoms while countering terrorism concludes visit to Sri Lanka,” OHCHR, 2017, available at</w:t>
      </w:r>
    </w:p>
    <w:p w14:paraId="57FAF412" w14:textId="77777777" w:rsidR="0070074A" w:rsidRPr="00B71F0A" w:rsidRDefault="0070074A" w:rsidP="0070074A">
      <w:pPr>
        <w:pStyle w:val="FootnoteText"/>
        <w:rPr>
          <w:sz w:val="18"/>
          <w:szCs w:val="18"/>
        </w:rPr>
      </w:pPr>
      <w:hyperlink r:id="rId31" w:history="1">
        <w:r w:rsidRPr="00B71F0A">
          <w:rPr>
            <w:rStyle w:val="Hyperlink"/>
            <w:sz w:val="18"/>
            <w:szCs w:val="18"/>
          </w:rPr>
          <w:t>https://www.ohchr.org/EN/NewsEvents/Pages/DisplayNews.aspx?NewsID=21883&amp;LangID=E</w:t>
        </w:r>
      </w:hyperlink>
      <w:r w:rsidRPr="00B71F0A">
        <w:rPr>
          <w:rStyle w:val="Hyperlink"/>
          <w:sz w:val="18"/>
          <w:szCs w:val="18"/>
        </w:rPr>
        <w:t xml:space="preserve"> </w:t>
      </w:r>
    </w:p>
  </w:footnote>
  <w:footnote w:id="46">
    <w:p w14:paraId="5743598B" w14:textId="77777777" w:rsidR="00DB56AF" w:rsidRPr="00B71F0A" w:rsidRDefault="00DB56AF" w:rsidP="00DB56AF">
      <w:pPr>
        <w:pStyle w:val="FootnoteText"/>
        <w:rPr>
          <w:sz w:val="18"/>
          <w:szCs w:val="18"/>
        </w:rPr>
      </w:pPr>
      <w:r w:rsidRPr="00B71F0A">
        <w:rPr>
          <w:rStyle w:val="FootnoteReference"/>
          <w:sz w:val="18"/>
          <w:szCs w:val="18"/>
        </w:rPr>
        <w:footnoteRef/>
      </w:r>
      <w:r w:rsidRPr="00B71F0A">
        <w:rPr>
          <w:sz w:val="18"/>
          <w:szCs w:val="18"/>
        </w:rPr>
        <w:t xml:space="preserve"> see: BRIDGE, </w:t>
      </w:r>
      <w:r w:rsidRPr="00B71F0A">
        <w:rPr>
          <w:i/>
          <w:iCs/>
          <w:sz w:val="18"/>
          <w:szCs w:val="18"/>
        </w:rPr>
        <w:t xml:space="preserve">Human Rights Violations faced by LGBTQ People in Sri Lanka (August 2021- March 2023): An analysis by BRIDGE </w:t>
      </w:r>
      <w:r w:rsidRPr="00B71F0A">
        <w:rPr>
          <w:sz w:val="18"/>
          <w:szCs w:val="18"/>
        </w:rPr>
        <w:t xml:space="preserve">, 2023, available at: </w:t>
      </w:r>
      <w:hyperlink r:id="rId32" w:history="1">
        <w:r w:rsidRPr="00B71F0A">
          <w:rPr>
            <w:rStyle w:val="Hyperlink"/>
            <w:sz w:val="18"/>
            <w:szCs w:val="18"/>
          </w:rPr>
          <w:t>https://bridge2equality.org/wp-content/uploads/2023/06/BRIDGE-Analysis-NEW-English-Color.pdf</w:t>
        </w:r>
      </w:hyperlink>
    </w:p>
  </w:footnote>
  <w:footnote w:id="47">
    <w:p w14:paraId="66211111" w14:textId="35E06D07" w:rsidR="0070074A" w:rsidRPr="00B71F0A" w:rsidRDefault="0070074A" w:rsidP="0070074A">
      <w:pPr>
        <w:pStyle w:val="NormalWeb"/>
        <w:rPr>
          <w:b/>
          <w:bCs/>
          <w:sz w:val="18"/>
          <w:szCs w:val="18"/>
        </w:rPr>
      </w:pPr>
      <w:r w:rsidRPr="00B71F0A">
        <w:rPr>
          <w:rStyle w:val="FootnoteReference"/>
          <w:sz w:val="18"/>
          <w:szCs w:val="18"/>
        </w:rPr>
        <w:footnoteRef/>
      </w:r>
      <w:r w:rsidRPr="00B71F0A">
        <w:rPr>
          <w:sz w:val="18"/>
          <w:szCs w:val="18"/>
        </w:rPr>
        <w:t xml:space="preserve"> SL_01</w:t>
      </w:r>
      <w:r w:rsidR="004E1F08" w:rsidRPr="004E1F08">
        <w:rPr>
          <w:sz w:val="18"/>
          <w:szCs w:val="18"/>
        </w:rPr>
        <w:t xml:space="preserve"> </w:t>
      </w:r>
      <w:r w:rsidR="004E1F08">
        <w:rPr>
          <w:sz w:val="18"/>
          <w:szCs w:val="18"/>
        </w:rPr>
        <w:t xml:space="preserve">in </w:t>
      </w:r>
      <w:r w:rsidR="004E1F08" w:rsidRPr="00B71F0A">
        <w:rPr>
          <w:sz w:val="18"/>
          <w:szCs w:val="18"/>
        </w:rPr>
        <w:t>Annexure 1</w:t>
      </w:r>
    </w:p>
  </w:footnote>
  <w:footnote w:id="48">
    <w:p w14:paraId="3D299B17" w14:textId="77777777" w:rsidR="000C2FE0" w:rsidRPr="00B71F0A" w:rsidRDefault="000C2FE0" w:rsidP="000C2FE0">
      <w:pPr>
        <w:pStyle w:val="FootnoteText"/>
        <w:rPr>
          <w:sz w:val="18"/>
          <w:szCs w:val="18"/>
        </w:rPr>
      </w:pPr>
      <w:r w:rsidRPr="00B71F0A">
        <w:rPr>
          <w:rStyle w:val="FootnoteReference"/>
          <w:sz w:val="18"/>
          <w:szCs w:val="18"/>
        </w:rPr>
        <w:footnoteRef/>
      </w:r>
      <w:r w:rsidRPr="00B71F0A">
        <w:rPr>
          <w:sz w:val="18"/>
          <w:szCs w:val="18"/>
        </w:rPr>
        <w:t xml:space="preserve"> Ministry of Health General Circular No 01-34/2016, 16 June 2016, available at </w:t>
      </w:r>
      <w:hyperlink r:id="rId33" w:history="1">
        <w:r w:rsidRPr="00B71F0A">
          <w:rPr>
            <w:rStyle w:val="Hyperlink"/>
            <w:sz w:val="18"/>
            <w:szCs w:val="18"/>
          </w:rPr>
          <w:t>https://www.aidscontrol.gov.lk/images/circulars/Issuing-of-Gender-Recognition-certificate-for-TG-community-1.pdf</w:t>
        </w:r>
      </w:hyperlink>
      <w:r w:rsidRPr="00B71F0A">
        <w:rPr>
          <w:sz w:val="18"/>
          <w:szCs w:val="18"/>
        </w:rPr>
        <w:t xml:space="preserve"> </w:t>
      </w:r>
    </w:p>
  </w:footnote>
  <w:footnote w:id="49">
    <w:p w14:paraId="002F8A0A" w14:textId="77777777" w:rsidR="000C2FE0" w:rsidRPr="00B71F0A" w:rsidRDefault="000C2FE0" w:rsidP="000C2FE0">
      <w:pPr>
        <w:pStyle w:val="FootnoteText"/>
        <w:rPr>
          <w:sz w:val="18"/>
          <w:szCs w:val="18"/>
        </w:rPr>
      </w:pPr>
      <w:r w:rsidRPr="00B71F0A">
        <w:rPr>
          <w:rStyle w:val="FootnoteReference"/>
          <w:sz w:val="18"/>
          <w:szCs w:val="18"/>
        </w:rPr>
        <w:footnoteRef/>
      </w:r>
      <w:r w:rsidRPr="00B71F0A">
        <w:rPr>
          <w:sz w:val="18"/>
          <w:szCs w:val="18"/>
        </w:rPr>
        <w:t xml:space="preserve"> Registrar General’s Department Circular Number 06/2016, 28 July 2016, available at </w:t>
      </w:r>
      <w:hyperlink r:id="rId34" w:history="1">
        <w:r w:rsidRPr="00B71F0A">
          <w:rPr>
            <w:rStyle w:val="Hyperlink"/>
            <w:sz w:val="18"/>
            <w:szCs w:val="18"/>
          </w:rPr>
          <w:t>http://www.rgd.gov.lk/web/images/NO-06-2016.pdf</w:t>
        </w:r>
      </w:hyperlink>
      <w:r w:rsidRPr="00B71F0A">
        <w:rPr>
          <w:sz w:val="18"/>
          <w:szCs w:val="18"/>
        </w:rPr>
        <w:t xml:space="preserve"> </w:t>
      </w:r>
    </w:p>
  </w:footnote>
  <w:footnote w:id="50">
    <w:p w14:paraId="3ACF5C74" w14:textId="77777777" w:rsidR="000C2FE0" w:rsidRPr="00B71F0A" w:rsidRDefault="000C2FE0" w:rsidP="000C2FE0">
      <w:pPr>
        <w:pStyle w:val="FootnoteText"/>
        <w:rPr>
          <w:sz w:val="18"/>
          <w:szCs w:val="18"/>
        </w:rPr>
      </w:pPr>
      <w:r w:rsidRPr="00B71F0A">
        <w:rPr>
          <w:rStyle w:val="FootnoteReference"/>
          <w:sz w:val="18"/>
          <w:szCs w:val="18"/>
        </w:rPr>
        <w:footnoteRef/>
      </w:r>
      <w:r w:rsidRPr="00B71F0A">
        <w:rPr>
          <w:sz w:val="18"/>
          <w:szCs w:val="18"/>
        </w:rPr>
        <w:t xml:space="preserve"> Human Rights Watch, </w:t>
      </w:r>
      <w:r w:rsidRPr="00B71F0A">
        <w:rPr>
          <w:i/>
          <w:iCs/>
          <w:sz w:val="18"/>
          <w:szCs w:val="18"/>
        </w:rPr>
        <w:t>All Five Fingers Are Not The Same</w:t>
      </w:r>
      <w:r w:rsidRPr="00B71F0A">
        <w:rPr>
          <w:sz w:val="18"/>
          <w:szCs w:val="18"/>
        </w:rPr>
        <w:t xml:space="preserve">, 2016,  available at </w:t>
      </w:r>
      <w:hyperlink r:id="rId35" w:history="1">
        <w:r w:rsidRPr="00B71F0A">
          <w:rPr>
            <w:rStyle w:val="Hyperlink"/>
            <w:sz w:val="18"/>
            <w:szCs w:val="18"/>
          </w:rPr>
          <w:t>https://www.hrw.org/report/2016/08/16/all-five-fingers-are-not-same/discrimination-grounds-gender-identity-and-sexual</w:t>
        </w:r>
      </w:hyperlink>
      <w:r w:rsidRPr="00B71F0A">
        <w:rPr>
          <w:sz w:val="18"/>
          <w:szCs w:val="18"/>
        </w:rPr>
        <w:t xml:space="preserve"> </w:t>
      </w:r>
    </w:p>
  </w:footnote>
  <w:footnote w:id="51">
    <w:p w14:paraId="401A982C" w14:textId="77777777" w:rsidR="000C2FE0" w:rsidRPr="00B71F0A" w:rsidRDefault="000C2FE0" w:rsidP="000C2FE0">
      <w:pPr>
        <w:pStyle w:val="FootnoteText"/>
        <w:rPr>
          <w:sz w:val="18"/>
          <w:szCs w:val="18"/>
        </w:rPr>
      </w:pPr>
      <w:r w:rsidRPr="00B71F0A">
        <w:rPr>
          <w:rStyle w:val="FootnoteReference"/>
          <w:sz w:val="18"/>
          <w:szCs w:val="18"/>
        </w:rPr>
        <w:footnoteRef/>
      </w:r>
      <w:r w:rsidRPr="00B71F0A">
        <w:rPr>
          <w:sz w:val="18"/>
          <w:szCs w:val="18"/>
        </w:rPr>
        <w:t xml:space="preserve"> World Professional Association for Transgender Health, “2017 WPATH Identity Recognition Statement,” 2017, available at </w:t>
      </w:r>
      <w:hyperlink r:id="rId36" w:history="1">
        <w:r w:rsidRPr="00B71F0A">
          <w:rPr>
            <w:rStyle w:val="Hyperlink"/>
            <w:sz w:val="18"/>
            <w:szCs w:val="18"/>
          </w:rPr>
          <w:t>https://www.wpath.org/media/cms/Documents/Web%20Transfer/Policies/WPATH%20Identity%20Recognition%20Statement%2011.15.17.pdf</w:t>
        </w:r>
      </w:hyperlink>
      <w:r w:rsidRPr="00B71F0A">
        <w:rPr>
          <w:sz w:val="18"/>
          <w:szCs w:val="18"/>
        </w:rPr>
        <w:t xml:space="preserve"> </w:t>
      </w:r>
    </w:p>
  </w:footnote>
  <w:footnote w:id="52">
    <w:p w14:paraId="17D58650" w14:textId="77777777" w:rsidR="000C2FE0" w:rsidRPr="00B71F0A" w:rsidRDefault="000C2FE0" w:rsidP="000C2FE0">
      <w:pPr>
        <w:pStyle w:val="FootnoteText"/>
        <w:rPr>
          <w:sz w:val="18"/>
          <w:szCs w:val="18"/>
        </w:rPr>
      </w:pPr>
      <w:r w:rsidRPr="00B71F0A">
        <w:rPr>
          <w:rStyle w:val="FootnoteReference"/>
          <w:sz w:val="18"/>
          <w:szCs w:val="18"/>
        </w:rPr>
        <w:footnoteRef/>
      </w:r>
      <w:r w:rsidRPr="00B71F0A">
        <w:rPr>
          <w:sz w:val="18"/>
          <w:szCs w:val="18"/>
        </w:rPr>
        <w:t xml:space="preserve"> Emphasizes</w:t>
      </w:r>
      <w:r w:rsidRPr="00B71F0A">
        <w:rPr>
          <w:sz w:val="18"/>
          <w:szCs w:val="18"/>
          <w:lang w:val="en-US"/>
        </w:rPr>
        <w:t xml:space="preserve"> the need for accessible justice and the removal of barriers to legal identity for marginalized groups, including transgender individual</w:t>
      </w:r>
      <w:r w:rsidRPr="00B71F0A">
        <w:rPr>
          <w:sz w:val="18"/>
          <w:szCs w:val="18"/>
        </w:rPr>
        <w:t>s</w:t>
      </w:r>
    </w:p>
  </w:footnote>
  <w:footnote w:id="53">
    <w:p w14:paraId="0F359428" w14:textId="77777777" w:rsidR="000C2FE0" w:rsidRPr="00B71F0A" w:rsidRDefault="000C2FE0" w:rsidP="000C2FE0">
      <w:pPr>
        <w:pStyle w:val="FootnoteText"/>
        <w:rPr>
          <w:sz w:val="18"/>
          <w:szCs w:val="18"/>
        </w:rPr>
      </w:pPr>
      <w:r w:rsidRPr="00B71F0A">
        <w:rPr>
          <w:rStyle w:val="FootnoteReference"/>
          <w:sz w:val="18"/>
          <w:szCs w:val="18"/>
        </w:rPr>
        <w:footnoteRef/>
      </w:r>
      <w:r w:rsidRPr="00B71F0A">
        <w:rPr>
          <w:sz w:val="18"/>
          <w:szCs w:val="18"/>
        </w:rPr>
        <w:t xml:space="preserve"> Independent Expert on Sexual Orientation and Gender Identity, Report on Legal Recognition of Gender Identity and Depathologization, UN Doc. A/73/152, (2018), para. 32. Available at </w:t>
      </w:r>
      <w:hyperlink r:id="rId37" w:history="1">
        <w:r w:rsidRPr="00B71F0A">
          <w:rPr>
            <w:rStyle w:val="Hyperlink"/>
            <w:sz w:val="18"/>
            <w:szCs w:val="18"/>
          </w:rPr>
          <w:t>https://www.ohchr.org/en/calls-for-input/report-legal-recognition-gender-identity-and-depathologization</w:t>
        </w:r>
      </w:hyperlink>
      <w:r w:rsidRPr="00B71F0A">
        <w:rPr>
          <w:sz w:val="18"/>
          <w:szCs w:val="18"/>
        </w:rPr>
        <w:t xml:space="preserve"> </w:t>
      </w:r>
    </w:p>
  </w:footnote>
  <w:footnote w:id="54">
    <w:p w14:paraId="7D773378" w14:textId="5F4315D2" w:rsidR="000C2FE0" w:rsidRPr="00B71F0A" w:rsidRDefault="000C2FE0" w:rsidP="000C2FE0">
      <w:pPr>
        <w:pStyle w:val="FootnoteText"/>
        <w:rPr>
          <w:sz w:val="18"/>
          <w:szCs w:val="18"/>
        </w:rPr>
      </w:pPr>
      <w:r w:rsidRPr="00B71F0A">
        <w:rPr>
          <w:rStyle w:val="FootnoteReference"/>
          <w:sz w:val="18"/>
          <w:szCs w:val="18"/>
        </w:rPr>
        <w:footnoteRef/>
      </w:r>
      <w:r w:rsidRPr="00B71F0A">
        <w:rPr>
          <w:sz w:val="18"/>
          <w:szCs w:val="18"/>
        </w:rPr>
        <w:t xml:space="preserve"> SL_05</w:t>
      </w:r>
      <w:r w:rsidR="004E1F08" w:rsidRPr="004E1F08">
        <w:rPr>
          <w:sz w:val="18"/>
          <w:szCs w:val="18"/>
        </w:rPr>
        <w:t xml:space="preserve"> </w:t>
      </w:r>
      <w:r w:rsidR="004E1F08">
        <w:rPr>
          <w:sz w:val="18"/>
          <w:szCs w:val="18"/>
        </w:rPr>
        <w:t xml:space="preserve">in </w:t>
      </w:r>
      <w:r w:rsidR="004E1F08" w:rsidRPr="00B71F0A">
        <w:rPr>
          <w:sz w:val="18"/>
          <w:szCs w:val="18"/>
        </w:rPr>
        <w:t>Annexure 1</w:t>
      </w:r>
    </w:p>
  </w:footnote>
  <w:footnote w:id="55">
    <w:p w14:paraId="60FE7BE7" w14:textId="483158BB" w:rsidR="000C2FE0" w:rsidRPr="00B71F0A" w:rsidRDefault="000C2FE0" w:rsidP="000C2FE0">
      <w:pPr>
        <w:pStyle w:val="FootnoteText"/>
        <w:rPr>
          <w:sz w:val="18"/>
          <w:szCs w:val="18"/>
        </w:rPr>
      </w:pPr>
      <w:r w:rsidRPr="00B71F0A">
        <w:rPr>
          <w:rStyle w:val="FootnoteReference"/>
          <w:sz w:val="18"/>
          <w:szCs w:val="18"/>
        </w:rPr>
        <w:footnoteRef/>
      </w:r>
      <w:r w:rsidRPr="00B71F0A">
        <w:rPr>
          <w:sz w:val="18"/>
          <w:szCs w:val="18"/>
        </w:rPr>
        <w:t xml:space="preserve"> SL</w:t>
      </w:r>
      <w:r w:rsidR="004E1F08">
        <w:rPr>
          <w:sz w:val="18"/>
          <w:szCs w:val="18"/>
        </w:rPr>
        <w:t>_</w:t>
      </w:r>
      <w:r w:rsidRPr="00B71F0A">
        <w:rPr>
          <w:sz w:val="18"/>
          <w:szCs w:val="18"/>
        </w:rPr>
        <w:t>06</w:t>
      </w:r>
      <w:r w:rsidR="004E1F08" w:rsidRPr="004E1F08">
        <w:rPr>
          <w:sz w:val="18"/>
          <w:szCs w:val="18"/>
        </w:rPr>
        <w:t xml:space="preserve"> </w:t>
      </w:r>
      <w:r w:rsidR="004E1F08">
        <w:rPr>
          <w:sz w:val="18"/>
          <w:szCs w:val="18"/>
        </w:rPr>
        <w:t xml:space="preserve">in </w:t>
      </w:r>
      <w:r w:rsidR="004E1F08" w:rsidRPr="00B71F0A">
        <w:rPr>
          <w:sz w:val="18"/>
          <w:szCs w:val="18"/>
        </w:rPr>
        <w:t>Annexure 1</w:t>
      </w:r>
    </w:p>
  </w:footnote>
  <w:footnote w:id="56">
    <w:p w14:paraId="6245E461" w14:textId="77777777" w:rsidR="00E03569" w:rsidRPr="00B71F0A" w:rsidRDefault="00E03569" w:rsidP="00E03569">
      <w:pPr>
        <w:pStyle w:val="FootnoteText"/>
        <w:rPr>
          <w:sz w:val="18"/>
          <w:szCs w:val="18"/>
        </w:rPr>
      </w:pPr>
      <w:r w:rsidRPr="00B71F0A">
        <w:rPr>
          <w:rStyle w:val="FootnoteReference"/>
          <w:sz w:val="18"/>
          <w:szCs w:val="18"/>
        </w:rPr>
        <w:footnoteRef/>
      </w:r>
      <w:r w:rsidRPr="00B71F0A">
        <w:rPr>
          <w:sz w:val="18"/>
          <w:szCs w:val="18"/>
        </w:rPr>
        <w:t xml:space="preserve"> Section 16 of the Marriage Registration Ordinance No 19 of 1907; Section 3 of the Matrimonial Rights and Inheritance (Jaffna) Ordinance, No 1 of 1911; Section 17 (2) of the Marriage and Divorce (Muslim) Act, No 13 of 1951; Section 5 of the Marriage and Divorce (Kandyan) Act, No 44 of 1952.</w:t>
      </w:r>
    </w:p>
  </w:footnote>
  <w:footnote w:id="57">
    <w:p w14:paraId="2E575A72" w14:textId="5B76FDCA" w:rsidR="00E03569" w:rsidRPr="00B71F0A" w:rsidRDefault="00E03569" w:rsidP="00E03569">
      <w:pPr>
        <w:pStyle w:val="NormalWeb"/>
        <w:rPr>
          <w:sz w:val="18"/>
          <w:szCs w:val="18"/>
        </w:rPr>
      </w:pPr>
      <w:r w:rsidRPr="00B71F0A">
        <w:rPr>
          <w:rStyle w:val="FootnoteReference"/>
          <w:sz w:val="18"/>
          <w:szCs w:val="18"/>
          <w:lang w:bidi="ta-IN"/>
        </w:rPr>
        <w:footnoteRef/>
      </w:r>
      <w:r w:rsidRPr="00B71F0A">
        <w:rPr>
          <w:rStyle w:val="FootnoteReference"/>
          <w:sz w:val="18"/>
          <w:szCs w:val="18"/>
          <w:lang w:bidi="ta-IN"/>
        </w:rPr>
        <w:t xml:space="preserve"> </w:t>
      </w:r>
      <w:r w:rsidRPr="007220E0">
        <w:rPr>
          <w:sz w:val="18"/>
          <w:szCs w:val="18"/>
        </w:rPr>
        <w:t>SL_02</w:t>
      </w:r>
      <w:r w:rsidR="004E1F08" w:rsidRPr="004E1F08">
        <w:rPr>
          <w:sz w:val="18"/>
          <w:szCs w:val="18"/>
        </w:rPr>
        <w:t xml:space="preserve"> </w:t>
      </w:r>
      <w:r w:rsidR="004E1F08">
        <w:rPr>
          <w:sz w:val="18"/>
          <w:szCs w:val="18"/>
        </w:rPr>
        <w:t xml:space="preserve">in </w:t>
      </w:r>
      <w:r w:rsidR="004E1F08" w:rsidRPr="00B71F0A">
        <w:rPr>
          <w:sz w:val="18"/>
          <w:szCs w:val="18"/>
        </w:rPr>
        <w:t>Annexure 1</w:t>
      </w:r>
    </w:p>
  </w:footnote>
  <w:footnote w:id="58">
    <w:p w14:paraId="68358EE5" w14:textId="77777777" w:rsidR="00E03569" w:rsidRPr="00B71F0A" w:rsidRDefault="00E03569" w:rsidP="00E03569">
      <w:pPr>
        <w:pStyle w:val="FootnoteText"/>
        <w:rPr>
          <w:sz w:val="18"/>
          <w:szCs w:val="18"/>
        </w:rPr>
      </w:pPr>
      <w:r w:rsidRPr="00B71F0A">
        <w:rPr>
          <w:rStyle w:val="FootnoteReference"/>
          <w:sz w:val="18"/>
          <w:szCs w:val="18"/>
        </w:rPr>
        <w:footnoteRef/>
      </w:r>
      <w:r w:rsidRPr="00B71F0A">
        <w:rPr>
          <w:sz w:val="18"/>
          <w:szCs w:val="18"/>
        </w:rPr>
        <w:t xml:space="preserve"> According to section 3 (2) of the Adoption of Children Ordinance a single male person may not adopt a female child unless the court is satisfied that there is special circumstances to justify making such adoption order.</w:t>
      </w:r>
    </w:p>
  </w:footnote>
  <w:footnote w:id="59">
    <w:p w14:paraId="69B7CBF8" w14:textId="77777777" w:rsidR="00E03569" w:rsidRPr="00B71F0A" w:rsidRDefault="00E03569" w:rsidP="00E03569">
      <w:pPr>
        <w:pStyle w:val="FootnoteText"/>
        <w:rPr>
          <w:sz w:val="18"/>
          <w:szCs w:val="18"/>
        </w:rPr>
      </w:pPr>
      <w:r w:rsidRPr="00B71F0A">
        <w:rPr>
          <w:rStyle w:val="FootnoteReference"/>
          <w:sz w:val="18"/>
          <w:szCs w:val="18"/>
        </w:rPr>
        <w:footnoteRef/>
      </w:r>
      <w:r w:rsidRPr="00B71F0A">
        <w:rPr>
          <w:sz w:val="18"/>
          <w:szCs w:val="18"/>
        </w:rPr>
        <w:t xml:space="preserve"> For further reference see Dharini Priscilla, Michael Mendis and Pasan Jayasinghe, </w:t>
      </w:r>
      <w:r w:rsidRPr="00B71F0A">
        <w:rPr>
          <w:i/>
          <w:iCs/>
          <w:sz w:val="18"/>
          <w:szCs w:val="18"/>
        </w:rPr>
        <w:t>One Country, Many Arbitrary Laws - Rethinking Laws and Policies that Leave LGBTIQ+ Sri Lankans Behind</w:t>
      </w:r>
      <w:r w:rsidRPr="00B71F0A">
        <w:rPr>
          <w:sz w:val="18"/>
          <w:szCs w:val="18"/>
        </w:rPr>
        <w:t xml:space="preserve">, 2021, Westminster Foundation for Democracy, available at </w:t>
      </w:r>
      <w:hyperlink r:id="rId38" w:history="1">
        <w:r w:rsidRPr="00B71F0A">
          <w:rPr>
            <w:rStyle w:val="Hyperlink"/>
            <w:sz w:val="18"/>
            <w:szCs w:val="18"/>
          </w:rPr>
          <w:t>https://www.wfd.org/sites/default/files/2022-02/Gap-Analysis-Book.pdf</w:t>
        </w:r>
      </w:hyperlink>
      <w:r w:rsidRPr="00B71F0A">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7B6D"/>
    <w:multiLevelType w:val="hybridMultilevel"/>
    <w:tmpl w:val="1C6A915E"/>
    <w:lvl w:ilvl="0" w:tplc="B41AD5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2F4FBE"/>
    <w:multiLevelType w:val="hybridMultilevel"/>
    <w:tmpl w:val="B4C0BE68"/>
    <w:lvl w:ilvl="0" w:tplc="D7D8F7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33D28"/>
    <w:multiLevelType w:val="multilevel"/>
    <w:tmpl w:val="C69CE5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2D6F42"/>
    <w:multiLevelType w:val="hybridMultilevel"/>
    <w:tmpl w:val="43AA58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58307D6"/>
    <w:multiLevelType w:val="multilevel"/>
    <w:tmpl w:val="807A51E0"/>
    <w:lvl w:ilvl="0">
      <w:start w:val="1"/>
      <w:numFmt w:val="lowerRoman"/>
      <w:lvlText w:val="%1."/>
      <w:lvlJc w:val="left"/>
      <w:pPr>
        <w:tabs>
          <w:tab w:val="num" w:pos="720"/>
        </w:tabs>
        <w:ind w:left="720" w:hanging="360"/>
      </w:pPr>
      <w:rPr>
        <w:rFonts w:ascii="Times New Roman" w:eastAsia="Arial" w:hAnsi="Times New Roman"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B009CD"/>
    <w:multiLevelType w:val="multilevel"/>
    <w:tmpl w:val="4506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8033BF"/>
    <w:multiLevelType w:val="hybridMultilevel"/>
    <w:tmpl w:val="A3B047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7C21232"/>
    <w:multiLevelType w:val="hybridMultilevel"/>
    <w:tmpl w:val="EB245C44"/>
    <w:lvl w:ilvl="0" w:tplc="FB78D9AE">
      <w:start w:val="1"/>
      <w:numFmt w:val="lowerRoman"/>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516E59"/>
    <w:multiLevelType w:val="hybridMultilevel"/>
    <w:tmpl w:val="57AE11E4"/>
    <w:lvl w:ilvl="0" w:tplc="9D4AB3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F76CFC"/>
    <w:multiLevelType w:val="hybridMultilevel"/>
    <w:tmpl w:val="819CCB3C"/>
    <w:lvl w:ilvl="0" w:tplc="62F84302">
      <w:start w:val="1"/>
      <w:numFmt w:val="lowerRoman"/>
      <w:lvlText w:val="%1."/>
      <w:lvlJc w:val="left"/>
      <w:pPr>
        <w:ind w:left="720" w:hanging="360"/>
      </w:pPr>
      <w:rPr>
        <w:rFonts w:ascii="Times New Roman" w:eastAsia="Times New Roman" w:hAnsi="Times New Roman" w:cstheme="minorHAns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0C04A6"/>
    <w:multiLevelType w:val="multilevel"/>
    <w:tmpl w:val="CA7438CA"/>
    <w:lvl w:ilvl="0">
      <w:start w:val="1"/>
      <w:numFmt w:val="lowerRoman"/>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D94682"/>
    <w:multiLevelType w:val="hybridMultilevel"/>
    <w:tmpl w:val="4DBC97E6"/>
    <w:lvl w:ilvl="0" w:tplc="EA3C9A64">
      <w:start w:val="1"/>
      <w:numFmt w:val="lowerRoman"/>
      <w:lvlText w:val="%1."/>
      <w:lvlJc w:val="left"/>
      <w:pPr>
        <w:ind w:left="720" w:hanging="360"/>
      </w:pPr>
      <w:rPr>
        <w:rFonts w:ascii="Times New Roman" w:eastAsia="Times New Roman" w:hAnsi="Times New Roman"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A94984"/>
    <w:multiLevelType w:val="multilevel"/>
    <w:tmpl w:val="4FA4AF32"/>
    <w:lvl w:ilvl="0">
      <w:start w:val="1"/>
      <w:numFmt w:val="lowerRoman"/>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934E71"/>
    <w:multiLevelType w:val="hybridMultilevel"/>
    <w:tmpl w:val="AB86E8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E1216B7"/>
    <w:multiLevelType w:val="hybridMultilevel"/>
    <w:tmpl w:val="7E10A0A2"/>
    <w:lvl w:ilvl="0" w:tplc="7480DD68">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E45845"/>
    <w:multiLevelType w:val="multilevel"/>
    <w:tmpl w:val="0FE299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9C6824"/>
    <w:multiLevelType w:val="hybridMultilevel"/>
    <w:tmpl w:val="F7E46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216899"/>
    <w:multiLevelType w:val="hybridMultilevel"/>
    <w:tmpl w:val="8754042C"/>
    <w:lvl w:ilvl="0" w:tplc="472815A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EE75C6"/>
    <w:multiLevelType w:val="multilevel"/>
    <w:tmpl w:val="F2FC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283541"/>
    <w:multiLevelType w:val="multilevel"/>
    <w:tmpl w:val="5E08E6F4"/>
    <w:lvl w:ilvl="0">
      <w:start w:val="1"/>
      <w:numFmt w:val="lowerRoman"/>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501737"/>
    <w:multiLevelType w:val="multilevel"/>
    <w:tmpl w:val="015A10BA"/>
    <w:lvl w:ilvl="0">
      <w:start w:val="1"/>
      <w:numFmt w:val="lowerRoman"/>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22151C"/>
    <w:multiLevelType w:val="hybridMultilevel"/>
    <w:tmpl w:val="28827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C4071F"/>
    <w:multiLevelType w:val="hybridMultilevel"/>
    <w:tmpl w:val="A0F450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4F4A0C55"/>
    <w:multiLevelType w:val="hybridMultilevel"/>
    <w:tmpl w:val="2F6453C0"/>
    <w:lvl w:ilvl="0" w:tplc="65EEC984">
      <w:start w:val="1"/>
      <w:numFmt w:val="lowerRoman"/>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D60FB3"/>
    <w:multiLevelType w:val="multilevel"/>
    <w:tmpl w:val="EF42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D13288"/>
    <w:multiLevelType w:val="hybridMultilevel"/>
    <w:tmpl w:val="6B9CD8E0"/>
    <w:lvl w:ilvl="0" w:tplc="D7A8E6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E63E2F"/>
    <w:multiLevelType w:val="hybridMultilevel"/>
    <w:tmpl w:val="499E9874"/>
    <w:lvl w:ilvl="0" w:tplc="9424CF6E">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DB0625"/>
    <w:multiLevelType w:val="multilevel"/>
    <w:tmpl w:val="AD40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0419B4"/>
    <w:multiLevelType w:val="hybridMultilevel"/>
    <w:tmpl w:val="59B6F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BE171A"/>
    <w:multiLevelType w:val="hybridMultilevel"/>
    <w:tmpl w:val="4FEC9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7D2947"/>
    <w:multiLevelType w:val="hybridMultilevel"/>
    <w:tmpl w:val="F8D80FE6"/>
    <w:lvl w:ilvl="0" w:tplc="526C87D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A64CAF"/>
    <w:multiLevelType w:val="multilevel"/>
    <w:tmpl w:val="2F62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7312C6"/>
    <w:multiLevelType w:val="multilevel"/>
    <w:tmpl w:val="F00A2D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FC5281"/>
    <w:multiLevelType w:val="multilevel"/>
    <w:tmpl w:val="18A26194"/>
    <w:lvl w:ilvl="0">
      <w:start w:val="1"/>
      <w:numFmt w:val="lowerRoman"/>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FC22B0"/>
    <w:multiLevelType w:val="multilevel"/>
    <w:tmpl w:val="F5B4C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A1376F"/>
    <w:multiLevelType w:val="hybridMultilevel"/>
    <w:tmpl w:val="1E46B1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AD4780E"/>
    <w:multiLevelType w:val="hybridMultilevel"/>
    <w:tmpl w:val="C826CE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7BE2695F"/>
    <w:multiLevelType w:val="hybridMultilevel"/>
    <w:tmpl w:val="BB22AA22"/>
    <w:lvl w:ilvl="0" w:tplc="2196E22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03698057">
    <w:abstractNumId w:val="16"/>
  </w:num>
  <w:num w:numId="2" w16cid:durableId="1484813457">
    <w:abstractNumId w:val="3"/>
  </w:num>
  <w:num w:numId="3" w16cid:durableId="1521243170">
    <w:abstractNumId w:val="36"/>
  </w:num>
  <w:num w:numId="4" w16cid:durableId="2029403919">
    <w:abstractNumId w:val="22"/>
  </w:num>
  <w:num w:numId="5" w16cid:durableId="1794328395">
    <w:abstractNumId w:val="6"/>
  </w:num>
  <w:num w:numId="6" w16cid:durableId="2027822930">
    <w:abstractNumId w:val="13"/>
  </w:num>
  <w:num w:numId="7" w16cid:durableId="337075015">
    <w:abstractNumId w:val="18"/>
  </w:num>
  <w:num w:numId="8" w16cid:durableId="4138767">
    <w:abstractNumId w:val="29"/>
  </w:num>
  <w:num w:numId="9" w16cid:durableId="1927180146">
    <w:abstractNumId w:val="14"/>
  </w:num>
  <w:num w:numId="10" w16cid:durableId="526917526">
    <w:abstractNumId w:val="2"/>
  </w:num>
  <w:num w:numId="11" w16cid:durableId="1668437801">
    <w:abstractNumId w:val="32"/>
  </w:num>
  <w:num w:numId="12" w16cid:durableId="1471971167">
    <w:abstractNumId w:val="15"/>
  </w:num>
  <w:num w:numId="13" w16cid:durableId="359746670">
    <w:abstractNumId w:val="34"/>
  </w:num>
  <w:num w:numId="14" w16cid:durableId="244726137">
    <w:abstractNumId w:val="24"/>
  </w:num>
  <w:num w:numId="15" w16cid:durableId="1890221441">
    <w:abstractNumId w:val="5"/>
  </w:num>
  <w:num w:numId="16" w16cid:durableId="1512719283">
    <w:abstractNumId w:val="31"/>
  </w:num>
  <w:num w:numId="17" w16cid:durableId="461117039">
    <w:abstractNumId w:val="27"/>
  </w:num>
  <w:num w:numId="18" w16cid:durableId="56364577">
    <w:abstractNumId w:val="28"/>
  </w:num>
  <w:num w:numId="19" w16cid:durableId="812605573">
    <w:abstractNumId w:val="17"/>
  </w:num>
  <w:num w:numId="20" w16cid:durableId="1727293126">
    <w:abstractNumId w:val="11"/>
  </w:num>
  <w:num w:numId="21" w16cid:durableId="265423709">
    <w:abstractNumId w:val="7"/>
  </w:num>
  <w:num w:numId="22" w16cid:durableId="592669226">
    <w:abstractNumId w:val="35"/>
  </w:num>
  <w:num w:numId="23" w16cid:durableId="1776705083">
    <w:abstractNumId w:val="9"/>
  </w:num>
  <w:num w:numId="24" w16cid:durableId="1499273737">
    <w:abstractNumId w:val="21"/>
  </w:num>
  <w:num w:numId="25" w16cid:durableId="887378790">
    <w:abstractNumId w:val="30"/>
  </w:num>
  <w:num w:numId="26" w16cid:durableId="900556585">
    <w:abstractNumId w:val="8"/>
  </w:num>
  <w:num w:numId="27" w16cid:durableId="573664490">
    <w:abstractNumId w:val="37"/>
  </w:num>
  <w:num w:numId="28" w16cid:durableId="1126436292">
    <w:abstractNumId w:val="0"/>
  </w:num>
  <w:num w:numId="29" w16cid:durableId="181475187">
    <w:abstractNumId w:val="26"/>
  </w:num>
  <w:num w:numId="30" w16cid:durableId="442848063">
    <w:abstractNumId w:val="25"/>
  </w:num>
  <w:num w:numId="31" w16cid:durableId="192422038">
    <w:abstractNumId w:val="23"/>
  </w:num>
  <w:num w:numId="32" w16cid:durableId="1053969323">
    <w:abstractNumId w:val="10"/>
  </w:num>
  <w:num w:numId="33" w16cid:durableId="275411579">
    <w:abstractNumId w:val="12"/>
  </w:num>
  <w:num w:numId="34" w16cid:durableId="1895653577">
    <w:abstractNumId w:val="4"/>
  </w:num>
  <w:num w:numId="35" w16cid:durableId="60492350">
    <w:abstractNumId w:val="20"/>
  </w:num>
  <w:num w:numId="36" w16cid:durableId="1974284728">
    <w:abstractNumId w:val="33"/>
  </w:num>
  <w:num w:numId="37" w16cid:durableId="1075787777">
    <w:abstractNumId w:val="19"/>
  </w:num>
  <w:num w:numId="38" w16cid:durableId="1865750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EFF"/>
    <w:rsid w:val="00000B81"/>
    <w:rsid w:val="00020A4C"/>
    <w:rsid w:val="000304BC"/>
    <w:rsid w:val="00081465"/>
    <w:rsid w:val="000978DB"/>
    <w:rsid w:val="000A4A63"/>
    <w:rsid w:val="000B6CA2"/>
    <w:rsid w:val="000C2FE0"/>
    <w:rsid w:val="000F6FDC"/>
    <w:rsid w:val="001257FA"/>
    <w:rsid w:val="00137149"/>
    <w:rsid w:val="0017412D"/>
    <w:rsid w:val="00181673"/>
    <w:rsid w:val="001A29EA"/>
    <w:rsid w:val="001C175B"/>
    <w:rsid w:val="001E470E"/>
    <w:rsid w:val="002B31BA"/>
    <w:rsid w:val="00360318"/>
    <w:rsid w:val="0037298B"/>
    <w:rsid w:val="003A0DC3"/>
    <w:rsid w:val="003B167B"/>
    <w:rsid w:val="003B63AD"/>
    <w:rsid w:val="003C05F7"/>
    <w:rsid w:val="004174C2"/>
    <w:rsid w:val="00423472"/>
    <w:rsid w:val="00453E3B"/>
    <w:rsid w:val="004E1F08"/>
    <w:rsid w:val="00545718"/>
    <w:rsid w:val="00545B7E"/>
    <w:rsid w:val="0054690B"/>
    <w:rsid w:val="005559E4"/>
    <w:rsid w:val="00566EF4"/>
    <w:rsid w:val="005A3976"/>
    <w:rsid w:val="005F531E"/>
    <w:rsid w:val="00620EA3"/>
    <w:rsid w:val="00621B09"/>
    <w:rsid w:val="0062347A"/>
    <w:rsid w:val="00636D45"/>
    <w:rsid w:val="00674BC9"/>
    <w:rsid w:val="00680160"/>
    <w:rsid w:val="00683921"/>
    <w:rsid w:val="006F0691"/>
    <w:rsid w:val="0070074A"/>
    <w:rsid w:val="00707361"/>
    <w:rsid w:val="00720A8B"/>
    <w:rsid w:val="007220E0"/>
    <w:rsid w:val="007221EF"/>
    <w:rsid w:val="00722CA9"/>
    <w:rsid w:val="00772154"/>
    <w:rsid w:val="00783368"/>
    <w:rsid w:val="007910EA"/>
    <w:rsid w:val="007A0ED4"/>
    <w:rsid w:val="007B3F61"/>
    <w:rsid w:val="007B7C57"/>
    <w:rsid w:val="007D6068"/>
    <w:rsid w:val="007E2243"/>
    <w:rsid w:val="00833DE4"/>
    <w:rsid w:val="008968DE"/>
    <w:rsid w:val="008C7A93"/>
    <w:rsid w:val="008D12D7"/>
    <w:rsid w:val="008D5B16"/>
    <w:rsid w:val="008E1922"/>
    <w:rsid w:val="00910EFF"/>
    <w:rsid w:val="0092308B"/>
    <w:rsid w:val="00933AE0"/>
    <w:rsid w:val="00964539"/>
    <w:rsid w:val="00971648"/>
    <w:rsid w:val="009808CB"/>
    <w:rsid w:val="009851D4"/>
    <w:rsid w:val="009917F0"/>
    <w:rsid w:val="00996DAD"/>
    <w:rsid w:val="009F1A37"/>
    <w:rsid w:val="00A02FE8"/>
    <w:rsid w:val="00A127F0"/>
    <w:rsid w:val="00A20C22"/>
    <w:rsid w:val="00A22BC5"/>
    <w:rsid w:val="00A257A4"/>
    <w:rsid w:val="00B27AD7"/>
    <w:rsid w:val="00B42B2C"/>
    <w:rsid w:val="00B44297"/>
    <w:rsid w:val="00B71F0A"/>
    <w:rsid w:val="00BC71D8"/>
    <w:rsid w:val="00BF1E9F"/>
    <w:rsid w:val="00C2182F"/>
    <w:rsid w:val="00C60C34"/>
    <w:rsid w:val="00C71613"/>
    <w:rsid w:val="00C83DEA"/>
    <w:rsid w:val="00C9246A"/>
    <w:rsid w:val="00CD11A9"/>
    <w:rsid w:val="00D13675"/>
    <w:rsid w:val="00D67555"/>
    <w:rsid w:val="00D927CA"/>
    <w:rsid w:val="00DB56AF"/>
    <w:rsid w:val="00DD621D"/>
    <w:rsid w:val="00DE2B47"/>
    <w:rsid w:val="00DF1236"/>
    <w:rsid w:val="00E03569"/>
    <w:rsid w:val="00E06821"/>
    <w:rsid w:val="00E22EC9"/>
    <w:rsid w:val="00E7250B"/>
    <w:rsid w:val="00EC2AB0"/>
    <w:rsid w:val="00EE1F94"/>
    <w:rsid w:val="00F414E7"/>
    <w:rsid w:val="00F41630"/>
    <w:rsid w:val="00F6554D"/>
    <w:rsid w:val="00F72C12"/>
    <w:rsid w:val="00F768C9"/>
    <w:rsid w:val="00FA49E8"/>
    <w:rsid w:val="00FB5029"/>
    <w:rsid w:val="00FC13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DBA73"/>
  <w15:chartTrackingRefBased/>
  <w15:docId w15:val="{45531C10-57E2-4B97-99B3-0AC07657E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1A9"/>
    <w:pPr>
      <w:spacing w:after="0" w:line="240" w:lineRule="auto"/>
    </w:pPr>
    <w:rPr>
      <w:rFonts w:ascii="Times New Roman" w:eastAsia="Times New Roman" w:hAnsi="Times New Roman" w:cs="Times New Roman"/>
      <w:sz w:val="24"/>
      <w:szCs w:val="24"/>
      <w:lang w:eastAsia="en-GB" w:bidi="hi-IN"/>
    </w:rPr>
  </w:style>
  <w:style w:type="paragraph" w:styleId="Heading1">
    <w:name w:val="heading 1"/>
    <w:basedOn w:val="Normal"/>
    <w:next w:val="Normal"/>
    <w:link w:val="Heading1Char"/>
    <w:uiPriority w:val="9"/>
    <w:qFormat/>
    <w:rsid w:val="00910EF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0EFF"/>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link w:val="Heading3Char"/>
    <w:uiPriority w:val="9"/>
    <w:unhideWhenUsed/>
    <w:qFormat/>
    <w:rsid w:val="00910EF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0074A"/>
    <w:pPr>
      <w:keepNext/>
      <w:keepLines/>
      <w:spacing w:before="40"/>
      <w:outlineLvl w:val="3"/>
    </w:pPr>
    <w:rPr>
      <w:rFonts w:asciiTheme="majorHAnsi" w:eastAsiaTheme="majorEastAsia" w:hAnsiTheme="majorHAnsi" w:cstheme="majorBidi"/>
      <w:i/>
      <w:iCs/>
      <w:color w:val="2F5496" w:themeColor="accent1" w:themeShade="BF"/>
      <w:lang w:val="en-US" w:bidi="ta-IN"/>
    </w:rPr>
  </w:style>
  <w:style w:type="paragraph" w:styleId="Heading5">
    <w:name w:val="heading 5"/>
    <w:basedOn w:val="Normal"/>
    <w:next w:val="Normal"/>
    <w:link w:val="Heading5Char"/>
    <w:uiPriority w:val="9"/>
    <w:unhideWhenUsed/>
    <w:qFormat/>
    <w:rsid w:val="0092308B"/>
    <w:pPr>
      <w:keepNext/>
      <w:keepLines/>
      <w:spacing w:before="40"/>
      <w:outlineLvl w:val="4"/>
    </w:pPr>
    <w:rPr>
      <w:rFonts w:asciiTheme="majorHAnsi" w:eastAsiaTheme="majorEastAsia" w:hAnsiTheme="majorHAnsi" w:cstheme="majorBidi"/>
      <w:color w:val="2F5496"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E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10EFF"/>
    <w:rPr>
      <w:rFonts w:ascii="Arial" w:eastAsia="Arial" w:hAnsi="Arial" w:cs="Arial"/>
      <w:sz w:val="32"/>
      <w:szCs w:val="32"/>
      <w:lang w:val="en"/>
    </w:rPr>
  </w:style>
  <w:style w:type="character" w:customStyle="1" w:styleId="Heading3Char">
    <w:name w:val="Heading 3 Char"/>
    <w:basedOn w:val="DefaultParagraphFont"/>
    <w:link w:val="Heading3"/>
    <w:uiPriority w:val="9"/>
    <w:rsid w:val="00910EFF"/>
    <w:rPr>
      <w:rFonts w:asciiTheme="majorHAnsi" w:eastAsiaTheme="majorEastAsia" w:hAnsiTheme="majorHAnsi" w:cstheme="majorBidi"/>
      <w:color w:val="1F3763" w:themeColor="accent1" w:themeShade="7F"/>
      <w:sz w:val="24"/>
      <w:szCs w:val="24"/>
    </w:rPr>
  </w:style>
  <w:style w:type="paragraph" w:styleId="FootnoteText">
    <w:name w:val="footnote text"/>
    <w:aliases w:val="5_G,Footnote Text Char Char,Footnote Text Char1 Char Char,Footnote Text Char Char Char Char,Footnote Text Char Char1,Footnote Text Char3,Footnote Text Char Char Char Char Char1,Text pozn. pod čarou Char,Footnotes,FA Fu"/>
    <w:basedOn w:val="Normal"/>
    <w:link w:val="FootnoteTextChar"/>
    <w:uiPriority w:val="99"/>
    <w:unhideWhenUsed/>
    <w:qFormat/>
    <w:rsid w:val="00910EFF"/>
    <w:rPr>
      <w:sz w:val="20"/>
      <w:szCs w:val="20"/>
    </w:rPr>
  </w:style>
  <w:style w:type="character" w:customStyle="1" w:styleId="FootnoteTextChar">
    <w:name w:val="Footnote Text Char"/>
    <w:aliases w:val="5_G Char,Footnote Text Char Char Char,Footnote Text Char1 Char Char Char,Footnote Text Char Char Char Char Char,Footnote Text Char Char1 Char,Footnote Text Char3 Char,Footnote Text Char Char Char Char Char1 Char,Footnotes Char"/>
    <w:basedOn w:val="DefaultParagraphFont"/>
    <w:link w:val="FootnoteText"/>
    <w:uiPriority w:val="99"/>
    <w:qFormat/>
    <w:rsid w:val="00910EFF"/>
    <w:rPr>
      <w:sz w:val="20"/>
      <w:szCs w:val="20"/>
    </w:rPr>
  </w:style>
  <w:style w:type="character" w:styleId="FootnoteReference">
    <w:name w:val="footnote reference"/>
    <w:aliases w:val="4_G,4_G Char Char,Footnote Reference1 Char Char,Footnotes refss Char Char,ftref Char Char,BVI fnr Char Char,BVI fnr Car Car Char Char,BVI fnr Car Char Char,BVI fnr Car Car Car Car Char Char1,BVI fnr Char Car Car Car Char Char"/>
    <w:basedOn w:val="DefaultParagraphFont"/>
    <w:uiPriority w:val="99"/>
    <w:unhideWhenUsed/>
    <w:qFormat/>
    <w:rsid w:val="00910EFF"/>
    <w:rPr>
      <w:vertAlign w:val="superscript"/>
    </w:rPr>
  </w:style>
  <w:style w:type="paragraph" w:styleId="NormalWeb">
    <w:name w:val="Normal (Web)"/>
    <w:basedOn w:val="Normal"/>
    <w:uiPriority w:val="99"/>
    <w:unhideWhenUsed/>
    <w:rsid w:val="00910EFF"/>
    <w:pPr>
      <w:spacing w:before="100" w:beforeAutospacing="1" w:after="100" w:afterAutospacing="1"/>
    </w:pPr>
  </w:style>
  <w:style w:type="character" w:styleId="Strong">
    <w:name w:val="Strong"/>
    <w:basedOn w:val="DefaultParagraphFont"/>
    <w:uiPriority w:val="22"/>
    <w:qFormat/>
    <w:rsid w:val="00910EFF"/>
    <w:rPr>
      <w:b/>
      <w:bCs/>
    </w:rPr>
  </w:style>
  <w:style w:type="paragraph" w:styleId="ListParagraph">
    <w:name w:val="List Paragraph"/>
    <w:basedOn w:val="Normal"/>
    <w:uiPriority w:val="34"/>
    <w:qFormat/>
    <w:rsid w:val="00910EFF"/>
    <w:pPr>
      <w:ind w:left="720"/>
      <w:contextualSpacing/>
    </w:pPr>
  </w:style>
  <w:style w:type="paragraph" w:customStyle="1" w:styleId="Default">
    <w:name w:val="Default"/>
    <w:rsid w:val="00910EFF"/>
    <w:pPr>
      <w:autoSpaceDE w:val="0"/>
      <w:autoSpaceDN w:val="0"/>
      <w:adjustRightInd w:val="0"/>
      <w:spacing w:after="0" w:line="240" w:lineRule="auto"/>
    </w:pPr>
    <w:rPr>
      <w:rFonts w:ascii="Calibri" w:hAnsi="Calibri" w:cs="Calibri"/>
      <w:color w:val="000000"/>
      <w:sz w:val="24"/>
      <w:szCs w:val="24"/>
      <w:lang w:val="en-IN"/>
    </w:rPr>
  </w:style>
  <w:style w:type="character" w:styleId="Hyperlink">
    <w:name w:val="Hyperlink"/>
    <w:basedOn w:val="DefaultParagraphFont"/>
    <w:uiPriority w:val="99"/>
    <w:unhideWhenUsed/>
    <w:rsid w:val="00910EFF"/>
    <w:rPr>
      <w:color w:val="0563C1" w:themeColor="hyperlink"/>
      <w:u w:val="single"/>
    </w:rPr>
  </w:style>
  <w:style w:type="character" w:customStyle="1" w:styleId="SingleTxtGChar">
    <w:name w:val="_ Single Txt_G Char"/>
    <w:link w:val="SingleTxtG"/>
    <w:locked/>
    <w:rsid w:val="00910EFF"/>
    <w:rPr>
      <w:rFonts w:ascii="Times New Roman" w:hAnsi="Times New Roman" w:cs="Times New Roman"/>
      <w:sz w:val="20"/>
      <w:szCs w:val="20"/>
    </w:rPr>
  </w:style>
  <w:style w:type="paragraph" w:customStyle="1" w:styleId="SingleTxtG">
    <w:name w:val="_ Single Txt_G"/>
    <w:basedOn w:val="Normal"/>
    <w:link w:val="SingleTxtGChar"/>
    <w:qFormat/>
    <w:rsid w:val="00910EF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z w:val="20"/>
      <w:szCs w:val="20"/>
    </w:rPr>
  </w:style>
  <w:style w:type="character" w:customStyle="1" w:styleId="Heading5Char">
    <w:name w:val="Heading 5 Char"/>
    <w:basedOn w:val="DefaultParagraphFont"/>
    <w:link w:val="Heading5"/>
    <w:uiPriority w:val="9"/>
    <w:rsid w:val="0092308B"/>
    <w:rPr>
      <w:rFonts w:asciiTheme="majorHAnsi" w:eastAsiaTheme="majorEastAsia" w:hAnsiTheme="majorHAnsi" w:cstheme="majorBidi"/>
      <w:color w:val="2F5496" w:themeColor="accent1" w:themeShade="BF"/>
      <w:lang w:val="en-US"/>
    </w:rPr>
  </w:style>
  <w:style w:type="character" w:styleId="CommentReference">
    <w:name w:val="annotation reference"/>
    <w:basedOn w:val="DefaultParagraphFont"/>
    <w:uiPriority w:val="99"/>
    <w:semiHidden/>
    <w:unhideWhenUsed/>
    <w:rsid w:val="0092308B"/>
    <w:rPr>
      <w:sz w:val="16"/>
      <w:szCs w:val="16"/>
    </w:rPr>
  </w:style>
  <w:style w:type="character" w:customStyle="1" w:styleId="Heading4Char">
    <w:name w:val="Heading 4 Char"/>
    <w:basedOn w:val="DefaultParagraphFont"/>
    <w:link w:val="Heading4"/>
    <w:uiPriority w:val="9"/>
    <w:rsid w:val="0070074A"/>
    <w:rPr>
      <w:rFonts w:asciiTheme="majorHAnsi" w:eastAsiaTheme="majorEastAsia" w:hAnsiTheme="majorHAnsi" w:cstheme="majorBidi"/>
      <w:i/>
      <w:iCs/>
      <w:color w:val="2F5496" w:themeColor="accent1" w:themeShade="BF"/>
      <w:lang w:val="en-US" w:bidi="ta-IN"/>
    </w:rPr>
  </w:style>
  <w:style w:type="paragraph" w:styleId="CommentText">
    <w:name w:val="annotation text"/>
    <w:basedOn w:val="Normal"/>
    <w:link w:val="CommentTextChar"/>
    <w:uiPriority w:val="99"/>
    <w:semiHidden/>
    <w:unhideWhenUsed/>
    <w:rsid w:val="00722CA9"/>
    <w:rPr>
      <w:sz w:val="20"/>
      <w:szCs w:val="20"/>
    </w:rPr>
  </w:style>
  <w:style w:type="character" w:customStyle="1" w:styleId="CommentTextChar">
    <w:name w:val="Comment Text Char"/>
    <w:basedOn w:val="DefaultParagraphFont"/>
    <w:link w:val="CommentText"/>
    <w:uiPriority w:val="99"/>
    <w:semiHidden/>
    <w:rsid w:val="00722CA9"/>
    <w:rPr>
      <w:sz w:val="20"/>
      <w:szCs w:val="20"/>
    </w:rPr>
  </w:style>
  <w:style w:type="paragraph" w:styleId="CommentSubject">
    <w:name w:val="annotation subject"/>
    <w:basedOn w:val="CommentText"/>
    <w:next w:val="CommentText"/>
    <w:link w:val="CommentSubjectChar"/>
    <w:uiPriority w:val="99"/>
    <w:semiHidden/>
    <w:unhideWhenUsed/>
    <w:rsid w:val="00722CA9"/>
    <w:rPr>
      <w:b/>
      <w:bCs/>
    </w:rPr>
  </w:style>
  <w:style w:type="character" w:customStyle="1" w:styleId="CommentSubjectChar">
    <w:name w:val="Comment Subject Char"/>
    <w:basedOn w:val="CommentTextChar"/>
    <w:link w:val="CommentSubject"/>
    <w:uiPriority w:val="99"/>
    <w:semiHidden/>
    <w:rsid w:val="00722CA9"/>
    <w:rPr>
      <w:b/>
      <w:bCs/>
      <w:sz w:val="20"/>
      <w:szCs w:val="20"/>
    </w:rPr>
  </w:style>
  <w:style w:type="paragraph" w:styleId="Revision">
    <w:name w:val="Revision"/>
    <w:hidden/>
    <w:uiPriority w:val="99"/>
    <w:semiHidden/>
    <w:rsid w:val="001A29EA"/>
    <w:pPr>
      <w:spacing w:after="0" w:line="240" w:lineRule="auto"/>
    </w:pPr>
  </w:style>
  <w:style w:type="paragraph" w:customStyle="1" w:styleId="whitespace-pre-wrap">
    <w:name w:val="whitespace-pre-wrap"/>
    <w:basedOn w:val="Normal"/>
    <w:rsid w:val="00964539"/>
    <w:pPr>
      <w:spacing w:before="100" w:beforeAutospacing="1" w:after="100" w:afterAutospacing="1"/>
    </w:pPr>
  </w:style>
  <w:style w:type="paragraph" w:customStyle="1" w:styleId="whitespace-normal">
    <w:name w:val="whitespace-normal"/>
    <w:basedOn w:val="Normal"/>
    <w:rsid w:val="00964539"/>
    <w:pPr>
      <w:spacing w:before="100" w:beforeAutospacing="1" w:after="100" w:afterAutospacing="1"/>
    </w:pPr>
  </w:style>
  <w:style w:type="character" w:customStyle="1" w:styleId="citation-0">
    <w:name w:val="citation-0"/>
    <w:basedOn w:val="DefaultParagraphFont"/>
    <w:rsid w:val="00CD11A9"/>
  </w:style>
  <w:style w:type="character" w:customStyle="1" w:styleId="button-container">
    <w:name w:val="button-container"/>
    <w:basedOn w:val="DefaultParagraphFont"/>
    <w:rsid w:val="00CD11A9"/>
  </w:style>
  <w:style w:type="character" w:customStyle="1" w:styleId="source-card-title-index">
    <w:name w:val="source-card-title-index"/>
    <w:basedOn w:val="DefaultParagraphFont"/>
    <w:rsid w:val="00CD11A9"/>
  </w:style>
  <w:style w:type="character" w:customStyle="1" w:styleId="ellipsis">
    <w:name w:val="ellipsis"/>
    <w:basedOn w:val="DefaultParagraphFont"/>
    <w:rsid w:val="00CD11A9"/>
  </w:style>
  <w:style w:type="character" w:customStyle="1" w:styleId="source-card-attribution-text">
    <w:name w:val="source-card-attribution-text"/>
    <w:basedOn w:val="DefaultParagraphFont"/>
    <w:rsid w:val="00CD11A9"/>
  </w:style>
  <w:style w:type="character" w:styleId="UnresolvedMention">
    <w:name w:val="Unresolved Mention"/>
    <w:basedOn w:val="DefaultParagraphFont"/>
    <w:uiPriority w:val="99"/>
    <w:semiHidden/>
    <w:unhideWhenUsed/>
    <w:rsid w:val="00621B09"/>
    <w:rPr>
      <w:color w:val="605E5C"/>
      <w:shd w:val="clear" w:color="auto" w:fill="E1DFDD"/>
    </w:rPr>
  </w:style>
  <w:style w:type="paragraph" w:styleId="TOC1">
    <w:name w:val="toc 1"/>
    <w:basedOn w:val="Normal"/>
    <w:next w:val="Normal"/>
    <w:autoRedefine/>
    <w:uiPriority w:val="39"/>
    <w:unhideWhenUsed/>
    <w:rsid w:val="00FC1365"/>
    <w:pPr>
      <w:tabs>
        <w:tab w:val="right" w:pos="9350"/>
      </w:tabs>
      <w:spacing w:before="240" w:after="120"/>
    </w:pPr>
    <w:rPr>
      <w:rFonts w:ascii="Verdana" w:hAnsi="Verdana" w:cstheme="majorBidi"/>
      <w:b/>
      <w:bCs/>
    </w:rPr>
  </w:style>
  <w:style w:type="paragraph" w:styleId="TOC3">
    <w:name w:val="toc 3"/>
    <w:basedOn w:val="Normal"/>
    <w:next w:val="Normal"/>
    <w:autoRedefine/>
    <w:uiPriority w:val="39"/>
    <w:unhideWhenUsed/>
    <w:rsid w:val="00B71F0A"/>
    <w:pPr>
      <w:ind w:left="480"/>
    </w:pPr>
    <w:rPr>
      <w:rFonts w:asciiTheme="minorHAnsi" w:hAnsiTheme="minorHAnsi" w:cstheme="minorHAnsi"/>
      <w:sz w:val="20"/>
      <w:szCs w:val="20"/>
    </w:rPr>
  </w:style>
  <w:style w:type="paragraph" w:styleId="TOCHeading">
    <w:name w:val="TOC Heading"/>
    <w:basedOn w:val="Heading1"/>
    <w:next w:val="Normal"/>
    <w:uiPriority w:val="39"/>
    <w:unhideWhenUsed/>
    <w:qFormat/>
    <w:rsid w:val="00B71F0A"/>
    <w:pPr>
      <w:spacing w:line="259" w:lineRule="auto"/>
      <w:outlineLvl w:val="9"/>
    </w:pPr>
    <w:rPr>
      <w:lang w:val="en-US" w:eastAsia="en-US" w:bidi="ar-SA"/>
    </w:rPr>
  </w:style>
  <w:style w:type="paragraph" w:styleId="Header">
    <w:name w:val="header"/>
    <w:basedOn w:val="Normal"/>
    <w:link w:val="HeaderChar"/>
    <w:uiPriority w:val="99"/>
    <w:unhideWhenUsed/>
    <w:rsid w:val="00B71F0A"/>
    <w:pPr>
      <w:tabs>
        <w:tab w:val="center" w:pos="4513"/>
        <w:tab w:val="right" w:pos="9026"/>
      </w:tabs>
    </w:pPr>
    <w:rPr>
      <w:rFonts w:cs="Mangal"/>
      <w:szCs w:val="21"/>
    </w:rPr>
  </w:style>
  <w:style w:type="character" w:customStyle="1" w:styleId="HeaderChar">
    <w:name w:val="Header Char"/>
    <w:basedOn w:val="DefaultParagraphFont"/>
    <w:link w:val="Header"/>
    <w:uiPriority w:val="99"/>
    <w:rsid w:val="00B71F0A"/>
    <w:rPr>
      <w:rFonts w:ascii="Times New Roman" w:eastAsia="Times New Roman" w:hAnsi="Times New Roman" w:cs="Mangal"/>
      <w:sz w:val="24"/>
      <w:szCs w:val="21"/>
      <w:lang w:eastAsia="en-GB" w:bidi="hi-IN"/>
    </w:rPr>
  </w:style>
  <w:style w:type="paragraph" w:styleId="Footer">
    <w:name w:val="footer"/>
    <w:basedOn w:val="Normal"/>
    <w:link w:val="FooterChar"/>
    <w:uiPriority w:val="99"/>
    <w:unhideWhenUsed/>
    <w:rsid w:val="00B71F0A"/>
    <w:pPr>
      <w:tabs>
        <w:tab w:val="center" w:pos="4513"/>
        <w:tab w:val="right" w:pos="9026"/>
      </w:tabs>
    </w:pPr>
    <w:rPr>
      <w:rFonts w:cs="Mangal"/>
      <w:szCs w:val="21"/>
    </w:rPr>
  </w:style>
  <w:style w:type="character" w:customStyle="1" w:styleId="FooterChar">
    <w:name w:val="Footer Char"/>
    <w:basedOn w:val="DefaultParagraphFont"/>
    <w:link w:val="Footer"/>
    <w:uiPriority w:val="99"/>
    <w:rsid w:val="00B71F0A"/>
    <w:rPr>
      <w:rFonts w:ascii="Times New Roman" w:eastAsia="Times New Roman" w:hAnsi="Times New Roman" w:cs="Mangal"/>
      <w:sz w:val="24"/>
      <w:szCs w:val="21"/>
      <w:lang w:eastAsia="en-GB" w:bidi="hi-IN"/>
    </w:rPr>
  </w:style>
  <w:style w:type="paragraph" w:styleId="TOC2">
    <w:name w:val="toc 2"/>
    <w:basedOn w:val="Normal"/>
    <w:next w:val="Normal"/>
    <w:autoRedefine/>
    <w:uiPriority w:val="39"/>
    <w:unhideWhenUsed/>
    <w:rsid w:val="003A0DC3"/>
    <w:pPr>
      <w:spacing w:before="120"/>
      <w:ind w:left="240"/>
    </w:pPr>
    <w:rPr>
      <w:rFonts w:asciiTheme="minorHAnsi" w:hAnsiTheme="minorHAnsi" w:cstheme="minorHAnsi"/>
      <w:i/>
      <w:iCs/>
      <w:sz w:val="20"/>
      <w:szCs w:val="20"/>
    </w:rPr>
  </w:style>
  <w:style w:type="paragraph" w:styleId="TOC4">
    <w:name w:val="toc 4"/>
    <w:basedOn w:val="Normal"/>
    <w:next w:val="Normal"/>
    <w:autoRedefine/>
    <w:uiPriority w:val="39"/>
    <w:unhideWhenUsed/>
    <w:rsid w:val="003A0DC3"/>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3A0DC3"/>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3A0DC3"/>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3A0DC3"/>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3A0DC3"/>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3A0DC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4628">
      <w:bodyDiv w:val="1"/>
      <w:marLeft w:val="0"/>
      <w:marRight w:val="0"/>
      <w:marTop w:val="0"/>
      <w:marBottom w:val="0"/>
      <w:divBdr>
        <w:top w:val="none" w:sz="0" w:space="0" w:color="auto"/>
        <w:left w:val="none" w:sz="0" w:space="0" w:color="auto"/>
        <w:bottom w:val="none" w:sz="0" w:space="0" w:color="auto"/>
        <w:right w:val="none" w:sz="0" w:space="0" w:color="auto"/>
      </w:divBdr>
    </w:div>
    <w:div w:id="107240847">
      <w:bodyDiv w:val="1"/>
      <w:marLeft w:val="0"/>
      <w:marRight w:val="0"/>
      <w:marTop w:val="0"/>
      <w:marBottom w:val="0"/>
      <w:divBdr>
        <w:top w:val="none" w:sz="0" w:space="0" w:color="auto"/>
        <w:left w:val="none" w:sz="0" w:space="0" w:color="auto"/>
        <w:bottom w:val="none" w:sz="0" w:space="0" w:color="auto"/>
        <w:right w:val="none" w:sz="0" w:space="0" w:color="auto"/>
      </w:divBdr>
    </w:div>
    <w:div w:id="178005745">
      <w:bodyDiv w:val="1"/>
      <w:marLeft w:val="0"/>
      <w:marRight w:val="0"/>
      <w:marTop w:val="0"/>
      <w:marBottom w:val="0"/>
      <w:divBdr>
        <w:top w:val="none" w:sz="0" w:space="0" w:color="auto"/>
        <w:left w:val="none" w:sz="0" w:space="0" w:color="auto"/>
        <w:bottom w:val="none" w:sz="0" w:space="0" w:color="auto"/>
        <w:right w:val="none" w:sz="0" w:space="0" w:color="auto"/>
      </w:divBdr>
    </w:div>
    <w:div w:id="331224273">
      <w:bodyDiv w:val="1"/>
      <w:marLeft w:val="0"/>
      <w:marRight w:val="0"/>
      <w:marTop w:val="0"/>
      <w:marBottom w:val="0"/>
      <w:divBdr>
        <w:top w:val="none" w:sz="0" w:space="0" w:color="auto"/>
        <w:left w:val="none" w:sz="0" w:space="0" w:color="auto"/>
        <w:bottom w:val="none" w:sz="0" w:space="0" w:color="auto"/>
        <w:right w:val="none" w:sz="0" w:space="0" w:color="auto"/>
      </w:divBdr>
    </w:div>
    <w:div w:id="465010093">
      <w:bodyDiv w:val="1"/>
      <w:marLeft w:val="0"/>
      <w:marRight w:val="0"/>
      <w:marTop w:val="0"/>
      <w:marBottom w:val="0"/>
      <w:divBdr>
        <w:top w:val="none" w:sz="0" w:space="0" w:color="auto"/>
        <w:left w:val="none" w:sz="0" w:space="0" w:color="auto"/>
        <w:bottom w:val="none" w:sz="0" w:space="0" w:color="auto"/>
        <w:right w:val="none" w:sz="0" w:space="0" w:color="auto"/>
      </w:divBdr>
    </w:div>
    <w:div w:id="518815410">
      <w:bodyDiv w:val="1"/>
      <w:marLeft w:val="0"/>
      <w:marRight w:val="0"/>
      <w:marTop w:val="0"/>
      <w:marBottom w:val="0"/>
      <w:divBdr>
        <w:top w:val="none" w:sz="0" w:space="0" w:color="auto"/>
        <w:left w:val="none" w:sz="0" w:space="0" w:color="auto"/>
        <w:bottom w:val="none" w:sz="0" w:space="0" w:color="auto"/>
        <w:right w:val="none" w:sz="0" w:space="0" w:color="auto"/>
      </w:divBdr>
    </w:div>
    <w:div w:id="615139345">
      <w:bodyDiv w:val="1"/>
      <w:marLeft w:val="0"/>
      <w:marRight w:val="0"/>
      <w:marTop w:val="0"/>
      <w:marBottom w:val="0"/>
      <w:divBdr>
        <w:top w:val="none" w:sz="0" w:space="0" w:color="auto"/>
        <w:left w:val="none" w:sz="0" w:space="0" w:color="auto"/>
        <w:bottom w:val="none" w:sz="0" w:space="0" w:color="auto"/>
        <w:right w:val="none" w:sz="0" w:space="0" w:color="auto"/>
      </w:divBdr>
    </w:div>
    <w:div w:id="775439578">
      <w:bodyDiv w:val="1"/>
      <w:marLeft w:val="0"/>
      <w:marRight w:val="0"/>
      <w:marTop w:val="0"/>
      <w:marBottom w:val="0"/>
      <w:divBdr>
        <w:top w:val="none" w:sz="0" w:space="0" w:color="auto"/>
        <w:left w:val="none" w:sz="0" w:space="0" w:color="auto"/>
        <w:bottom w:val="none" w:sz="0" w:space="0" w:color="auto"/>
        <w:right w:val="none" w:sz="0" w:space="0" w:color="auto"/>
      </w:divBdr>
    </w:div>
    <w:div w:id="806318369">
      <w:bodyDiv w:val="1"/>
      <w:marLeft w:val="0"/>
      <w:marRight w:val="0"/>
      <w:marTop w:val="0"/>
      <w:marBottom w:val="0"/>
      <w:divBdr>
        <w:top w:val="none" w:sz="0" w:space="0" w:color="auto"/>
        <w:left w:val="none" w:sz="0" w:space="0" w:color="auto"/>
        <w:bottom w:val="none" w:sz="0" w:space="0" w:color="auto"/>
        <w:right w:val="none" w:sz="0" w:space="0" w:color="auto"/>
      </w:divBdr>
    </w:div>
    <w:div w:id="813370820">
      <w:bodyDiv w:val="1"/>
      <w:marLeft w:val="0"/>
      <w:marRight w:val="0"/>
      <w:marTop w:val="0"/>
      <w:marBottom w:val="0"/>
      <w:divBdr>
        <w:top w:val="none" w:sz="0" w:space="0" w:color="auto"/>
        <w:left w:val="none" w:sz="0" w:space="0" w:color="auto"/>
        <w:bottom w:val="none" w:sz="0" w:space="0" w:color="auto"/>
        <w:right w:val="none" w:sz="0" w:space="0" w:color="auto"/>
      </w:divBdr>
    </w:div>
    <w:div w:id="897591193">
      <w:bodyDiv w:val="1"/>
      <w:marLeft w:val="0"/>
      <w:marRight w:val="0"/>
      <w:marTop w:val="0"/>
      <w:marBottom w:val="0"/>
      <w:divBdr>
        <w:top w:val="none" w:sz="0" w:space="0" w:color="auto"/>
        <w:left w:val="none" w:sz="0" w:space="0" w:color="auto"/>
        <w:bottom w:val="none" w:sz="0" w:space="0" w:color="auto"/>
        <w:right w:val="none" w:sz="0" w:space="0" w:color="auto"/>
      </w:divBdr>
    </w:div>
    <w:div w:id="911475023">
      <w:bodyDiv w:val="1"/>
      <w:marLeft w:val="0"/>
      <w:marRight w:val="0"/>
      <w:marTop w:val="0"/>
      <w:marBottom w:val="0"/>
      <w:divBdr>
        <w:top w:val="none" w:sz="0" w:space="0" w:color="auto"/>
        <w:left w:val="none" w:sz="0" w:space="0" w:color="auto"/>
        <w:bottom w:val="none" w:sz="0" w:space="0" w:color="auto"/>
        <w:right w:val="none" w:sz="0" w:space="0" w:color="auto"/>
      </w:divBdr>
    </w:div>
    <w:div w:id="921915753">
      <w:bodyDiv w:val="1"/>
      <w:marLeft w:val="0"/>
      <w:marRight w:val="0"/>
      <w:marTop w:val="0"/>
      <w:marBottom w:val="0"/>
      <w:divBdr>
        <w:top w:val="none" w:sz="0" w:space="0" w:color="auto"/>
        <w:left w:val="none" w:sz="0" w:space="0" w:color="auto"/>
        <w:bottom w:val="none" w:sz="0" w:space="0" w:color="auto"/>
        <w:right w:val="none" w:sz="0" w:space="0" w:color="auto"/>
      </w:divBdr>
    </w:div>
    <w:div w:id="1009478656">
      <w:bodyDiv w:val="1"/>
      <w:marLeft w:val="0"/>
      <w:marRight w:val="0"/>
      <w:marTop w:val="0"/>
      <w:marBottom w:val="0"/>
      <w:divBdr>
        <w:top w:val="none" w:sz="0" w:space="0" w:color="auto"/>
        <w:left w:val="none" w:sz="0" w:space="0" w:color="auto"/>
        <w:bottom w:val="none" w:sz="0" w:space="0" w:color="auto"/>
        <w:right w:val="none" w:sz="0" w:space="0" w:color="auto"/>
      </w:divBdr>
    </w:div>
    <w:div w:id="1160583014">
      <w:bodyDiv w:val="1"/>
      <w:marLeft w:val="0"/>
      <w:marRight w:val="0"/>
      <w:marTop w:val="0"/>
      <w:marBottom w:val="0"/>
      <w:divBdr>
        <w:top w:val="none" w:sz="0" w:space="0" w:color="auto"/>
        <w:left w:val="none" w:sz="0" w:space="0" w:color="auto"/>
        <w:bottom w:val="none" w:sz="0" w:space="0" w:color="auto"/>
        <w:right w:val="none" w:sz="0" w:space="0" w:color="auto"/>
      </w:divBdr>
    </w:div>
    <w:div w:id="1192186279">
      <w:bodyDiv w:val="1"/>
      <w:marLeft w:val="0"/>
      <w:marRight w:val="0"/>
      <w:marTop w:val="0"/>
      <w:marBottom w:val="0"/>
      <w:divBdr>
        <w:top w:val="none" w:sz="0" w:space="0" w:color="auto"/>
        <w:left w:val="none" w:sz="0" w:space="0" w:color="auto"/>
        <w:bottom w:val="none" w:sz="0" w:space="0" w:color="auto"/>
        <w:right w:val="none" w:sz="0" w:space="0" w:color="auto"/>
      </w:divBdr>
    </w:div>
    <w:div w:id="1272786544">
      <w:bodyDiv w:val="1"/>
      <w:marLeft w:val="0"/>
      <w:marRight w:val="0"/>
      <w:marTop w:val="0"/>
      <w:marBottom w:val="0"/>
      <w:divBdr>
        <w:top w:val="none" w:sz="0" w:space="0" w:color="auto"/>
        <w:left w:val="none" w:sz="0" w:space="0" w:color="auto"/>
        <w:bottom w:val="none" w:sz="0" w:space="0" w:color="auto"/>
        <w:right w:val="none" w:sz="0" w:space="0" w:color="auto"/>
      </w:divBdr>
    </w:div>
    <w:div w:id="1333292078">
      <w:bodyDiv w:val="1"/>
      <w:marLeft w:val="0"/>
      <w:marRight w:val="0"/>
      <w:marTop w:val="0"/>
      <w:marBottom w:val="0"/>
      <w:divBdr>
        <w:top w:val="none" w:sz="0" w:space="0" w:color="auto"/>
        <w:left w:val="none" w:sz="0" w:space="0" w:color="auto"/>
        <w:bottom w:val="none" w:sz="0" w:space="0" w:color="auto"/>
        <w:right w:val="none" w:sz="0" w:space="0" w:color="auto"/>
      </w:divBdr>
    </w:div>
    <w:div w:id="1381586818">
      <w:bodyDiv w:val="1"/>
      <w:marLeft w:val="0"/>
      <w:marRight w:val="0"/>
      <w:marTop w:val="0"/>
      <w:marBottom w:val="0"/>
      <w:divBdr>
        <w:top w:val="none" w:sz="0" w:space="0" w:color="auto"/>
        <w:left w:val="none" w:sz="0" w:space="0" w:color="auto"/>
        <w:bottom w:val="none" w:sz="0" w:space="0" w:color="auto"/>
        <w:right w:val="none" w:sz="0" w:space="0" w:color="auto"/>
      </w:divBdr>
      <w:divsChild>
        <w:div w:id="977341797">
          <w:marLeft w:val="0"/>
          <w:marRight w:val="0"/>
          <w:marTop w:val="0"/>
          <w:marBottom w:val="0"/>
          <w:divBdr>
            <w:top w:val="none" w:sz="0" w:space="0" w:color="auto"/>
            <w:left w:val="none" w:sz="0" w:space="0" w:color="auto"/>
            <w:bottom w:val="none" w:sz="0" w:space="0" w:color="auto"/>
            <w:right w:val="none" w:sz="0" w:space="0" w:color="auto"/>
          </w:divBdr>
          <w:divsChild>
            <w:div w:id="1076324878">
              <w:marLeft w:val="0"/>
              <w:marRight w:val="0"/>
              <w:marTop w:val="0"/>
              <w:marBottom w:val="0"/>
              <w:divBdr>
                <w:top w:val="none" w:sz="0" w:space="0" w:color="auto"/>
                <w:left w:val="none" w:sz="0" w:space="0" w:color="auto"/>
                <w:bottom w:val="none" w:sz="0" w:space="0" w:color="auto"/>
                <w:right w:val="none" w:sz="0" w:space="0" w:color="auto"/>
              </w:divBdr>
              <w:divsChild>
                <w:div w:id="890730806">
                  <w:marLeft w:val="0"/>
                  <w:marRight w:val="0"/>
                  <w:marTop w:val="0"/>
                  <w:marBottom w:val="0"/>
                  <w:divBdr>
                    <w:top w:val="none" w:sz="0" w:space="0" w:color="auto"/>
                    <w:left w:val="none" w:sz="0" w:space="0" w:color="auto"/>
                    <w:bottom w:val="none" w:sz="0" w:space="0" w:color="auto"/>
                    <w:right w:val="none" w:sz="0" w:space="0" w:color="auto"/>
                  </w:divBdr>
                  <w:divsChild>
                    <w:div w:id="2068993698">
                      <w:marLeft w:val="0"/>
                      <w:marRight w:val="0"/>
                      <w:marTop w:val="0"/>
                      <w:marBottom w:val="0"/>
                      <w:divBdr>
                        <w:top w:val="none" w:sz="0" w:space="0" w:color="auto"/>
                        <w:left w:val="none" w:sz="0" w:space="0" w:color="auto"/>
                        <w:bottom w:val="none" w:sz="0" w:space="0" w:color="auto"/>
                        <w:right w:val="none" w:sz="0" w:space="0" w:color="auto"/>
                      </w:divBdr>
                      <w:divsChild>
                        <w:div w:id="1506282236">
                          <w:marLeft w:val="0"/>
                          <w:marRight w:val="0"/>
                          <w:marTop w:val="0"/>
                          <w:marBottom w:val="0"/>
                          <w:divBdr>
                            <w:top w:val="none" w:sz="0" w:space="0" w:color="auto"/>
                            <w:left w:val="none" w:sz="0" w:space="0" w:color="auto"/>
                            <w:bottom w:val="none" w:sz="0" w:space="0" w:color="auto"/>
                            <w:right w:val="none" w:sz="0" w:space="0" w:color="auto"/>
                          </w:divBdr>
                          <w:divsChild>
                            <w:div w:id="1109007461">
                              <w:marLeft w:val="0"/>
                              <w:marRight w:val="0"/>
                              <w:marTop w:val="0"/>
                              <w:marBottom w:val="0"/>
                              <w:divBdr>
                                <w:top w:val="none" w:sz="0" w:space="0" w:color="auto"/>
                                <w:left w:val="none" w:sz="0" w:space="0" w:color="auto"/>
                                <w:bottom w:val="none" w:sz="0" w:space="0" w:color="auto"/>
                                <w:right w:val="none" w:sz="0" w:space="0" w:color="auto"/>
                              </w:divBdr>
                              <w:divsChild>
                                <w:div w:id="435949391">
                                  <w:marLeft w:val="0"/>
                                  <w:marRight w:val="0"/>
                                  <w:marTop w:val="0"/>
                                  <w:marBottom w:val="0"/>
                                  <w:divBdr>
                                    <w:top w:val="none" w:sz="0" w:space="0" w:color="auto"/>
                                    <w:left w:val="none" w:sz="0" w:space="0" w:color="auto"/>
                                    <w:bottom w:val="none" w:sz="0" w:space="0" w:color="auto"/>
                                    <w:right w:val="none" w:sz="0" w:space="0" w:color="auto"/>
                                  </w:divBdr>
                                  <w:divsChild>
                                    <w:div w:id="1985504410">
                                      <w:marLeft w:val="0"/>
                                      <w:marRight w:val="0"/>
                                      <w:marTop w:val="0"/>
                                      <w:marBottom w:val="0"/>
                                      <w:divBdr>
                                        <w:top w:val="none" w:sz="0" w:space="0" w:color="auto"/>
                                        <w:left w:val="none" w:sz="0" w:space="0" w:color="auto"/>
                                        <w:bottom w:val="none" w:sz="0" w:space="0" w:color="auto"/>
                                        <w:right w:val="none" w:sz="0" w:space="0" w:color="auto"/>
                                      </w:divBdr>
                                      <w:divsChild>
                                        <w:div w:id="7328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250531">
                                  <w:marLeft w:val="0"/>
                                  <w:marRight w:val="0"/>
                                  <w:marTop w:val="0"/>
                                  <w:marBottom w:val="0"/>
                                  <w:divBdr>
                                    <w:top w:val="none" w:sz="0" w:space="0" w:color="auto"/>
                                    <w:left w:val="none" w:sz="0" w:space="0" w:color="auto"/>
                                    <w:bottom w:val="none" w:sz="0" w:space="0" w:color="auto"/>
                                    <w:right w:val="none" w:sz="0" w:space="0" w:color="auto"/>
                                  </w:divBdr>
                                  <w:divsChild>
                                    <w:div w:id="140872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6577785">
      <w:bodyDiv w:val="1"/>
      <w:marLeft w:val="0"/>
      <w:marRight w:val="0"/>
      <w:marTop w:val="0"/>
      <w:marBottom w:val="0"/>
      <w:divBdr>
        <w:top w:val="none" w:sz="0" w:space="0" w:color="auto"/>
        <w:left w:val="none" w:sz="0" w:space="0" w:color="auto"/>
        <w:bottom w:val="none" w:sz="0" w:space="0" w:color="auto"/>
        <w:right w:val="none" w:sz="0" w:space="0" w:color="auto"/>
      </w:divBdr>
    </w:div>
    <w:div w:id="1505437299">
      <w:bodyDiv w:val="1"/>
      <w:marLeft w:val="0"/>
      <w:marRight w:val="0"/>
      <w:marTop w:val="0"/>
      <w:marBottom w:val="0"/>
      <w:divBdr>
        <w:top w:val="none" w:sz="0" w:space="0" w:color="auto"/>
        <w:left w:val="none" w:sz="0" w:space="0" w:color="auto"/>
        <w:bottom w:val="none" w:sz="0" w:space="0" w:color="auto"/>
        <w:right w:val="none" w:sz="0" w:space="0" w:color="auto"/>
      </w:divBdr>
    </w:div>
    <w:div w:id="1521162568">
      <w:bodyDiv w:val="1"/>
      <w:marLeft w:val="0"/>
      <w:marRight w:val="0"/>
      <w:marTop w:val="0"/>
      <w:marBottom w:val="0"/>
      <w:divBdr>
        <w:top w:val="none" w:sz="0" w:space="0" w:color="auto"/>
        <w:left w:val="none" w:sz="0" w:space="0" w:color="auto"/>
        <w:bottom w:val="none" w:sz="0" w:space="0" w:color="auto"/>
        <w:right w:val="none" w:sz="0" w:space="0" w:color="auto"/>
      </w:divBdr>
    </w:div>
    <w:div w:id="1545292259">
      <w:bodyDiv w:val="1"/>
      <w:marLeft w:val="0"/>
      <w:marRight w:val="0"/>
      <w:marTop w:val="0"/>
      <w:marBottom w:val="0"/>
      <w:divBdr>
        <w:top w:val="none" w:sz="0" w:space="0" w:color="auto"/>
        <w:left w:val="none" w:sz="0" w:space="0" w:color="auto"/>
        <w:bottom w:val="none" w:sz="0" w:space="0" w:color="auto"/>
        <w:right w:val="none" w:sz="0" w:space="0" w:color="auto"/>
      </w:divBdr>
    </w:div>
    <w:div w:id="1566598251">
      <w:bodyDiv w:val="1"/>
      <w:marLeft w:val="0"/>
      <w:marRight w:val="0"/>
      <w:marTop w:val="0"/>
      <w:marBottom w:val="0"/>
      <w:divBdr>
        <w:top w:val="none" w:sz="0" w:space="0" w:color="auto"/>
        <w:left w:val="none" w:sz="0" w:space="0" w:color="auto"/>
        <w:bottom w:val="none" w:sz="0" w:space="0" w:color="auto"/>
        <w:right w:val="none" w:sz="0" w:space="0" w:color="auto"/>
      </w:divBdr>
    </w:div>
    <w:div w:id="1576672097">
      <w:bodyDiv w:val="1"/>
      <w:marLeft w:val="0"/>
      <w:marRight w:val="0"/>
      <w:marTop w:val="0"/>
      <w:marBottom w:val="0"/>
      <w:divBdr>
        <w:top w:val="none" w:sz="0" w:space="0" w:color="auto"/>
        <w:left w:val="none" w:sz="0" w:space="0" w:color="auto"/>
        <w:bottom w:val="none" w:sz="0" w:space="0" w:color="auto"/>
        <w:right w:val="none" w:sz="0" w:space="0" w:color="auto"/>
      </w:divBdr>
    </w:div>
    <w:div w:id="1583833447">
      <w:bodyDiv w:val="1"/>
      <w:marLeft w:val="0"/>
      <w:marRight w:val="0"/>
      <w:marTop w:val="0"/>
      <w:marBottom w:val="0"/>
      <w:divBdr>
        <w:top w:val="none" w:sz="0" w:space="0" w:color="auto"/>
        <w:left w:val="none" w:sz="0" w:space="0" w:color="auto"/>
        <w:bottom w:val="none" w:sz="0" w:space="0" w:color="auto"/>
        <w:right w:val="none" w:sz="0" w:space="0" w:color="auto"/>
      </w:divBdr>
      <w:divsChild>
        <w:div w:id="1500926150">
          <w:marLeft w:val="0"/>
          <w:marRight w:val="0"/>
          <w:marTop w:val="0"/>
          <w:marBottom w:val="0"/>
          <w:divBdr>
            <w:top w:val="none" w:sz="0" w:space="0" w:color="auto"/>
            <w:left w:val="none" w:sz="0" w:space="0" w:color="auto"/>
            <w:bottom w:val="none" w:sz="0" w:space="0" w:color="auto"/>
            <w:right w:val="none" w:sz="0" w:space="0" w:color="auto"/>
          </w:divBdr>
          <w:divsChild>
            <w:div w:id="1686513996">
              <w:marLeft w:val="0"/>
              <w:marRight w:val="0"/>
              <w:marTop w:val="0"/>
              <w:marBottom w:val="0"/>
              <w:divBdr>
                <w:top w:val="none" w:sz="0" w:space="0" w:color="auto"/>
                <w:left w:val="none" w:sz="0" w:space="0" w:color="auto"/>
                <w:bottom w:val="none" w:sz="0" w:space="0" w:color="auto"/>
                <w:right w:val="none" w:sz="0" w:space="0" w:color="auto"/>
              </w:divBdr>
              <w:divsChild>
                <w:div w:id="190664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364146">
      <w:bodyDiv w:val="1"/>
      <w:marLeft w:val="0"/>
      <w:marRight w:val="0"/>
      <w:marTop w:val="0"/>
      <w:marBottom w:val="0"/>
      <w:divBdr>
        <w:top w:val="none" w:sz="0" w:space="0" w:color="auto"/>
        <w:left w:val="none" w:sz="0" w:space="0" w:color="auto"/>
        <w:bottom w:val="none" w:sz="0" w:space="0" w:color="auto"/>
        <w:right w:val="none" w:sz="0" w:space="0" w:color="auto"/>
      </w:divBdr>
    </w:div>
    <w:div w:id="1728530693">
      <w:bodyDiv w:val="1"/>
      <w:marLeft w:val="0"/>
      <w:marRight w:val="0"/>
      <w:marTop w:val="0"/>
      <w:marBottom w:val="0"/>
      <w:divBdr>
        <w:top w:val="none" w:sz="0" w:space="0" w:color="auto"/>
        <w:left w:val="none" w:sz="0" w:space="0" w:color="auto"/>
        <w:bottom w:val="none" w:sz="0" w:space="0" w:color="auto"/>
        <w:right w:val="none" w:sz="0" w:space="0" w:color="auto"/>
      </w:divBdr>
    </w:div>
    <w:div w:id="1829204883">
      <w:bodyDiv w:val="1"/>
      <w:marLeft w:val="0"/>
      <w:marRight w:val="0"/>
      <w:marTop w:val="0"/>
      <w:marBottom w:val="0"/>
      <w:divBdr>
        <w:top w:val="none" w:sz="0" w:space="0" w:color="auto"/>
        <w:left w:val="none" w:sz="0" w:space="0" w:color="auto"/>
        <w:bottom w:val="none" w:sz="0" w:space="0" w:color="auto"/>
        <w:right w:val="none" w:sz="0" w:space="0" w:color="auto"/>
      </w:divBdr>
    </w:div>
    <w:div w:id="206185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dimithriw94@gmail.com" TargetMode="External"/><Relationship Id="rId4" Type="http://schemas.openxmlformats.org/officeDocument/2006/relationships/settings" Target="settings.xml"/><Relationship Id="rId9" Type="http://schemas.openxmlformats.org/officeDocument/2006/relationships/hyperlink" Target="https://bridge2equality.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www.cambridge.org/core/journals/asian-journal-of-international-law/article/abs/flamercaldera-v-sri-lanka-asiawide-implications-of-an-essential-evolution-in-cedaws-jurisprudence/06BA0CFAEB5DD2B32C267BFEBFD85A10" TargetMode="External"/><Relationship Id="rId18" Type="http://schemas.openxmlformats.org/officeDocument/2006/relationships/hyperlink" Target="https://island.lk/domestic-violence-left-74-dead-last-yearby-kamal-bogoda/" TargetMode="External"/><Relationship Id="rId26" Type="http://schemas.openxmlformats.org/officeDocument/2006/relationships/hyperlink" Target="https://srilankabrief.org/sri-lanka-police-trained-to-discriminate/" TargetMode="External"/><Relationship Id="rId21" Type="http://schemas.openxmlformats.org/officeDocument/2006/relationships/hyperlink" Target="https://www.sundaytimes.lk/230219/news/applause-for-new-police-guidelines-on-trans-people-512321.html" TargetMode="External"/><Relationship Id="rId34" Type="http://schemas.openxmlformats.org/officeDocument/2006/relationships/hyperlink" Target="http://www.rgd.gov.lk/web/images/NO-06-2016.pdf" TargetMode="External"/><Relationship Id="rId7" Type="http://schemas.openxmlformats.org/officeDocument/2006/relationships/hyperlink" Target="https://www.womenandmedia.org/wp-content/uploads/2021/09/Output-2-LGBTQI-Advocacy-and-Research-Paper-final-English.pdf" TargetMode="External"/><Relationship Id="rId12" Type="http://schemas.openxmlformats.org/officeDocument/2006/relationships/hyperlink" Target="https://docstore.ohchr.org/SelfServices/FilesHandler.ashx?enc=6QkG1d%2FPPRiCAqhKb7yhsgekS3XMuMTIW18D8vtwB3%2B8OowwLQYQf%2FxhBgOcu5D8ukESSYyyM65DNEOv8ZoRt9eGdAUtUGXxzO4%2F8w0r66So1DxuTPKxQ%2FKRx8t0RRbhG3hR0MHEjiLIQML6Eugy6w%3D%3D" TargetMode="External"/><Relationship Id="rId17" Type="http://schemas.openxmlformats.org/officeDocument/2006/relationships/hyperlink" Target="https://docstore.ohchr.org/SelfServices/FilesHandler.ashx?enc=6QkG1d%2FPPRiCAqhKb7yhslEELoUVuU1rtqrRBladIK2rtkwI0P%2BlHPP1JBJnI1ZoADsBZv89NuU0iAp%2Bmg%2BiLGYMM4sfUBWTC0Gu5Z9fmKkL1hmTkHhKu%2FCyYTms%2F21qA3IB5VTzevhgt1HuE4r0IQ%3D%3D" TargetMode="External"/><Relationship Id="rId25" Type="http://schemas.openxmlformats.org/officeDocument/2006/relationships/hyperlink" Target="https://www.police.lk/wp-content/uploads/2023/07/GRAVE-CRIME-ABSTRACT-FOR-WHOLE-ISLAND-FROM-01.01.2022-TO-31.12.2022.pdf" TargetMode="External"/><Relationship Id="rId33" Type="http://schemas.openxmlformats.org/officeDocument/2006/relationships/hyperlink" Target="https://www.aidscontrol.gov.lk/images/circulars/Issuing-of-Gender-Recognition-certificate-for-TG-community-1.pdf" TargetMode="External"/><Relationship Id="rId38" Type="http://schemas.openxmlformats.org/officeDocument/2006/relationships/hyperlink" Target="https://www.wfd.org/sites/default/files/2022-02/Gap-Analysis-Book.pdf" TargetMode="External"/><Relationship Id="rId2" Type="http://schemas.openxmlformats.org/officeDocument/2006/relationships/hyperlink" Target="https://supremecourtdemo-cert.melstasoft.com/wp-content/uploads/2024/06/sc_sd_54_2024_sc_sd_55_2024.pdf" TargetMode="External"/><Relationship Id="rId16" Type="http://schemas.openxmlformats.org/officeDocument/2006/relationships/hyperlink" Target="https://www.ohchr.org/en/documents/general-comments-and-recommendations/general-recommendation-no-35-2017-gender-based" TargetMode="External"/><Relationship Id="rId20" Type="http://schemas.openxmlformats.org/officeDocument/2006/relationships/hyperlink" Target="https://www.equal-ground.org/wp-content/uploads/Circular-English.pdf" TargetMode="External"/><Relationship Id="rId29" Type="http://schemas.openxmlformats.org/officeDocument/2006/relationships/hyperlink" Target="https://www.ohchr.org/en/press-releases/2022/03/sri-lanka-un-experts-call-swift-suspension-prevention-terrorism-act-and" TargetMode="External"/><Relationship Id="rId1" Type="http://schemas.openxmlformats.org/officeDocument/2006/relationships/hyperlink" Target="file:///C:/Users/User/Desktop/BRIDGE/CEDAW/N2413411.pdf" TargetMode="External"/><Relationship Id="rId6" Type="http://schemas.openxmlformats.org/officeDocument/2006/relationships/hyperlink" Target="https://www.ohchr.org/sites/default/files/documents/hrbodies/hrcouncil/sessions-regular/session53/advance-versions/A-HRC-53-16-Add1-AV-Sri-Lanka-E.docx" TargetMode="External"/><Relationship Id="rId11" Type="http://schemas.openxmlformats.org/officeDocument/2006/relationships/hyperlink" Target="https://srilanka.unfpa.org/sites/default/files/pub-pdf/sri_lanka_national_policy_gewe_english.pdf" TargetMode="External"/><Relationship Id="rId24" Type="http://schemas.openxmlformats.org/officeDocument/2006/relationships/hyperlink" Target="https://bridge2equality.org/wp-content/uploads/2023/06/BRIDGE-Analysis-NEW-English-Color.pdf" TargetMode="External"/><Relationship Id="rId32" Type="http://schemas.openxmlformats.org/officeDocument/2006/relationships/hyperlink" Target="https://bridge2equality.org/wp-content/uploads/2023/06/BRIDGE-Analysis-NEW-English-Color.pdf" TargetMode="External"/><Relationship Id="rId37" Type="http://schemas.openxmlformats.org/officeDocument/2006/relationships/hyperlink" Target="https://www.ohchr.org/en/calls-for-input/report-legal-recognition-gender-identity-and-depathologization" TargetMode="External"/><Relationship Id="rId5" Type="http://schemas.openxmlformats.org/officeDocument/2006/relationships/hyperlink" Target="https://www.upr-info.org/sites/default/files/country-document/2023-06/LK_HRC_WG.42_E.pdf" TargetMode="External"/><Relationship Id="rId15" Type="http://schemas.openxmlformats.org/officeDocument/2006/relationships/hyperlink" Target="https://www.ohchr.org/en/documents/general-comments-and-recommendations/catcgc2-general-comment-no-2-2007-implementation" TargetMode="External"/><Relationship Id="rId23" Type="http://schemas.openxmlformats.org/officeDocument/2006/relationships/hyperlink" Target="https://www.hrcsl.lk/wp-content/uploads/2023/03/HRCSL-Guideline-for-police-officers-to-protect-transgender-persons_-English.docx.pdf" TargetMode="External"/><Relationship Id="rId28" Type="http://schemas.openxmlformats.org/officeDocument/2006/relationships/hyperlink" Target="https://www.hrw.org/report/2022/02/07/legal-black-hole/sri-lankas-failure-reform-prevention-terrorism-act" TargetMode="External"/><Relationship Id="rId36" Type="http://schemas.openxmlformats.org/officeDocument/2006/relationships/hyperlink" Target="https://www.wpath.org/media/cms/Documents/Web%20Transfer/Policies/WPATH%20Identity%20Recognition%20Statement%2011.15.17.pdf" TargetMode="External"/><Relationship Id="rId10" Type="http://schemas.openxmlformats.org/officeDocument/2006/relationships/hyperlink" Target="https://www.npp.lk/up/policies/en/npppolicystatement.pdf" TargetMode="External"/><Relationship Id="rId19" Type="http://schemas.openxmlformats.org/officeDocument/2006/relationships/hyperlink" Target="https://srilanka.unfpa.org/sites/default/files/pub-pdf/sri_lanka_national_policy_gewe_english.pdf" TargetMode="External"/><Relationship Id="rId31" Type="http://schemas.openxmlformats.org/officeDocument/2006/relationships/hyperlink" Target="https://www.ohchr.org/EN/NewsEvents/Pages/DisplayNews.aspx?NewsID=21883&amp;LangID=E" TargetMode="External"/><Relationship Id="rId4" Type="http://schemas.openxmlformats.org/officeDocument/2006/relationships/hyperlink" Target="https://www.upr-info.org/sites/default/files/country-document/2023-02/A_HRC_WG.6_UPR42_LK_1_E.pdf" TargetMode="External"/><Relationship Id="rId9" Type="http://schemas.openxmlformats.org/officeDocument/2006/relationships/hyperlink" Target="https://www.ohchr.org/en/documents/thematic-reports/a78227-protection-against-violence-and-discrimination-based-sexual" TargetMode="External"/><Relationship Id="rId14" Type="http://schemas.openxmlformats.org/officeDocument/2006/relationships/hyperlink" Target="https://srilanka.unfpa.org/sites/default/files/pub-pdf/sri_lanka_national_policy_gewe_english.pdf" TargetMode="External"/><Relationship Id="rId22" Type="http://schemas.openxmlformats.org/officeDocument/2006/relationships/hyperlink" Target="https://www.ilgaasia.org/news/2023/11/29/sri-lanka-amendment-in-police-guidelines-as-a-necessary-first-step-towards-ensuring-access-to-justice-for-lgbtiq-persons" TargetMode="External"/><Relationship Id="rId27" Type="http://schemas.openxmlformats.org/officeDocument/2006/relationships/hyperlink" Target="https://www.refworld.org/pdfid/50ae365b2.pdf" TargetMode="External"/><Relationship Id="rId30" Type="http://schemas.openxmlformats.org/officeDocument/2006/relationships/hyperlink" Target="https://reliefweb.int/report/sri-lanka/report-working-group-enforced-or-involuntary-disappearances-its-mission-sri-lanka" TargetMode="External"/><Relationship Id="rId35" Type="http://schemas.openxmlformats.org/officeDocument/2006/relationships/hyperlink" Target="https://www.hrw.org/report/2016/08/16/all-five-fingers-are-not-same/discrimination-grounds-gender-identity-and-sexual" TargetMode="External"/><Relationship Id="rId8" Type="http://schemas.openxmlformats.org/officeDocument/2006/relationships/hyperlink" Target="http://www.supremecourt.lk/images/documents/sc_sd_13_2023.pdf" TargetMode="External"/><Relationship Id="rId3" Type="http://schemas.openxmlformats.org/officeDocument/2006/relationships/hyperlink" Target="https://docstore.ohchr.org/SelfServices/FilesHandler.ashx?enc=6QkG1d%2FPPRiCAqhKb7yhsrw%2B3KEAFqUx9WCYsjqQZ0LAI4DXsQh3qjeEQtz6OlNK4HMdLmHm4UL26%2FgUIR6SIcX8vzED2oUVdxK67O8zYn%2Fbv%2BN2jRCCrUTaxLglYY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2025-01-16T11:13:34+00:00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D080FF-F321-489F-B035-78102170D1F9}">
  <ds:schemaRefs>
    <ds:schemaRef ds:uri="http://schemas.openxmlformats.org/officeDocument/2006/bibliography"/>
  </ds:schemaRefs>
</ds:datastoreItem>
</file>

<file path=customXml/itemProps2.xml><?xml version="1.0" encoding="utf-8"?>
<ds:datastoreItem xmlns:ds="http://schemas.openxmlformats.org/officeDocument/2006/customXml" ds:itemID="{1CB906A3-624B-4AE3-BCFF-A76FE6E52FE2}"/>
</file>

<file path=customXml/itemProps3.xml><?xml version="1.0" encoding="utf-8"?>
<ds:datastoreItem xmlns:ds="http://schemas.openxmlformats.org/officeDocument/2006/customXml" ds:itemID="{ECE03B46-0943-4B53-8604-39E0906A6369}"/>
</file>

<file path=customXml/itemProps4.xml><?xml version="1.0" encoding="utf-8"?>
<ds:datastoreItem xmlns:ds="http://schemas.openxmlformats.org/officeDocument/2006/customXml" ds:itemID="{84C74D26-5FAB-41A6-A5BB-DE870B2EF35A}"/>
</file>

<file path=docProps/app.xml><?xml version="1.0" encoding="utf-8"?>
<Properties xmlns="http://schemas.openxmlformats.org/officeDocument/2006/extended-properties" xmlns:vt="http://schemas.openxmlformats.org/officeDocument/2006/docPropsVTypes">
  <Template>Normal</Template>
  <TotalTime>6</TotalTime>
  <Pages>29</Pages>
  <Words>7494</Words>
  <Characters>42716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2025-01-06T07:06:00Z</dcterms:created>
  <dcterms:modified xsi:type="dcterms:W3CDTF">2025-01-14T17:34:00Z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