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3FA5A" w14:textId="77777777" w:rsidR="00BE5BD2" w:rsidRDefault="00BE5BD2" w:rsidP="00300658">
      <w:pPr>
        <w:jc w:val="center"/>
        <w:rPr>
          <w:rFonts w:asciiTheme="majorHAnsi" w:hAnsiTheme="majorHAnsi" w:cstheme="majorHAnsi"/>
          <w:b/>
          <w:bCs/>
          <w:sz w:val="32"/>
          <w:szCs w:val="32"/>
          <w:rtl/>
        </w:rPr>
      </w:pPr>
      <w:bookmarkStart w:id="0" w:name="_Toc153882461"/>
    </w:p>
    <w:p w14:paraId="5DB808EA" w14:textId="77777777" w:rsidR="00BE5BD2" w:rsidRDefault="00BE5BD2" w:rsidP="00300658">
      <w:pPr>
        <w:jc w:val="center"/>
        <w:rPr>
          <w:rFonts w:asciiTheme="majorHAnsi" w:hAnsiTheme="majorHAnsi" w:cstheme="majorHAnsi"/>
          <w:b/>
          <w:bCs/>
          <w:sz w:val="32"/>
          <w:szCs w:val="32"/>
          <w:rtl/>
        </w:rPr>
      </w:pPr>
    </w:p>
    <w:p w14:paraId="783AD804" w14:textId="77777777" w:rsidR="00BE5BD2" w:rsidRDefault="00BE5BD2" w:rsidP="00300658">
      <w:pPr>
        <w:jc w:val="center"/>
        <w:rPr>
          <w:rFonts w:asciiTheme="majorHAnsi" w:hAnsiTheme="majorHAnsi" w:cstheme="majorHAnsi"/>
          <w:b/>
          <w:bCs/>
          <w:sz w:val="32"/>
          <w:szCs w:val="32"/>
          <w:rtl/>
        </w:rPr>
      </w:pPr>
    </w:p>
    <w:p w14:paraId="047DF796" w14:textId="77777777" w:rsidR="00BE5BD2" w:rsidRDefault="00BE5BD2" w:rsidP="00300658">
      <w:pPr>
        <w:jc w:val="center"/>
        <w:rPr>
          <w:rFonts w:asciiTheme="majorHAnsi" w:hAnsiTheme="majorHAnsi" w:cstheme="majorHAnsi"/>
          <w:b/>
          <w:bCs/>
          <w:sz w:val="32"/>
          <w:szCs w:val="32"/>
          <w:rtl/>
        </w:rPr>
      </w:pPr>
    </w:p>
    <w:p w14:paraId="6F8FD8C8" w14:textId="77777777" w:rsidR="00BE5BD2" w:rsidRDefault="00BE5BD2" w:rsidP="00300658">
      <w:pPr>
        <w:jc w:val="center"/>
        <w:rPr>
          <w:rFonts w:asciiTheme="majorHAnsi" w:hAnsiTheme="majorHAnsi" w:cstheme="majorHAnsi"/>
          <w:b/>
          <w:bCs/>
          <w:sz w:val="32"/>
          <w:szCs w:val="32"/>
          <w:rtl/>
        </w:rPr>
      </w:pPr>
    </w:p>
    <w:p w14:paraId="7C7C5FB2" w14:textId="77777777" w:rsidR="009F05A8" w:rsidRPr="009E1D08" w:rsidRDefault="009F05A8" w:rsidP="00300658">
      <w:pPr>
        <w:jc w:val="center"/>
        <w:rPr>
          <w:rFonts w:asciiTheme="majorHAnsi" w:hAnsiTheme="majorHAnsi" w:cstheme="majorHAnsi"/>
          <w:b/>
          <w:bCs/>
          <w:sz w:val="32"/>
          <w:szCs w:val="32"/>
          <w:rtl/>
        </w:rPr>
      </w:pPr>
      <w:r w:rsidRPr="009E1D08">
        <w:rPr>
          <w:rFonts w:asciiTheme="majorHAnsi" w:hAnsiTheme="majorHAnsi" w:cstheme="majorHAnsi"/>
          <w:b/>
          <w:bCs/>
          <w:sz w:val="32"/>
          <w:szCs w:val="32"/>
        </w:rPr>
        <w:t xml:space="preserve">Submission to the </w:t>
      </w:r>
      <w:r w:rsidR="00300658" w:rsidRPr="00300658">
        <w:rPr>
          <w:rFonts w:asciiTheme="majorHAnsi" w:hAnsiTheme="majorHAnsi" w:cstheme="majorHAnsi"/>
          <w:b/>
          <w:bCs/>
          <w:sz w:val="32"/>
          <w:szCs w:val="32"/>
        </w:rPr>
        <w:t>Committee on Economic, Social and Cultural Rights</w:t>
      </w:r>
      <w:r w:rsidR="00300658">
        <w:rPr>
          <w:rFonts w:asciiTheme="majorHAnsi" w:hAnsiTheme="majorHAnsi" w:cstheme="majorHAnsi"/>
          <w:b/>
          <w:bCs/>
          <w:sz w:val="32"/>
          <w:szCs w:val="32"/>
        </w:rPr>
        <w:t xml:space="preserve"> </w:t>
      </w:r>
      <w:r w:rsidRPr="009E1D08">
        <w:rPr>
          <w:rFonts w:asciiTheme="majorHAnsi" w:hAnsiTheme="majorHAnsi" w:cstheme="majorHAnsi"/>
          <w:b/>
          <w:bCs/>
          <w:sz w:val="32"/>
          <w:szCs w:val="32"/>
        </w:rPr>
        <w:t>(</w:t>
      </w:r>
      <w:r w:rsidR="00300658" w:rsidRPr="00300658">
        <w:rPr>
          <w:rFonts w:eastAsia="Times New Roman" w:cstheme="majorBidi"/>
          <w:color w:val="000000" w:themeColor="text1"/>
          <w:sz w:val="40"/>
          <w:szCs w:val="40"/>
        </w:rPr>
        <w:t>CESCR</w:t>
      </w:r>
      <w:r w:rsidRPr="009E1D08">
        <w:rPr>
          <w:rFonts w:asciiTheme="majorHAnsi" w:hAnsiTheme="majorHAnsi" w:cstheme="majorHAnsi"/>
          <w:b/>
          <w:bCs/>
          <w:sz w:val="32"/>
          <w:szCs w:val="32"/>
        </w:rPr>
        <w:t xml:space="preserve">) </w:t>
      </w:r>
    </w:p>
    <w:p w14:paraId="4A70375C" w14:textId="77777777" w:rsidR="00300658" w:rsidRDefault="00300658" w:rsidP="009F05A8">
      <w:pPr>
        <w:jc w:val="center"/>
        <w:rPr>
          <w:rFonts w:asciiTheme="majorHAnsi" w:hAnsiTheme="majorHAnsi" w:cstheme="majorHAnsi"/>
          <w:b/>
          <w:bCs/>
          <w:sz w:val="32"/>
          <w:szCs w:val="32"/>
          <w:rtl/>
        </w:rPr>
      </w:pPr>
      <w:r w:rsidRPr="00300658">
        <w:rPr>
          <w:rFonts w:asciiTheme="majorHAnsi" w:hAnsiTheme="majorHAnsi" w:cstheme="majorHAnsi"/>
          <w:b/>
          <w:bCs/>
          <w:sz w:val="32"/>
          <w:szCs w:val="32"/>
        </w:rPr>
        <w:t>Review of poverty and food insecurity in the UK</w:t>
      </w:r>
    </w:p>
    <w:p w14:paraId="4E089C76" w14:textId="1A8D0B2E" w:rsidR="00300658" w:rsidRDefault="00C97FA5" w:rsidP="009F05A8">
      <w:pPr>
        <w:jc w:val="center"/>
        <w:rPr>
          <w:rFonts w:asciiTheme="majorHAnsi" w:hAnsiTheme="majorHAnsi" w:cstheme="majorHAnsi"/>
          <w:sz w:val="32"/>
          <w:szCs w:val="32"/>
          <w:rtl/>
        </w:rPr>
      </w:pPr>
      <w:r>
        <w:rPr>
          <w:rFonts w:asciiTheme="majorHAnsi" w:hAnsiTheme="majorHAnsi" w:cstheme="majorHAnsi"/>
          <w:sz w:val="32"/>
          <w:szCs w:val="32"/>
        </w:rPr>
        <w:t>7</w:t>
      </w:r>
      <w:r w:rsidR="00300658" w:rsidRPr="00300658">
        <w:rPr>
          <w:rFonts w:asciiTheme="majorHAnsi" w:hAnsiTheme="majorHAnsi" w:cstheme="majorHAnsi"/>
          <w:sz w:val="32"/>
          <w:szCs w:val="32"/>
        </w:rPr>
        <w:t>7th Session (</w:t>
      </w:r>
      <w:r w:rsidR="009B0C4B">
        <w:rPr>
          <w:rFonts w:asciiTheme="majorHAnsi" w:hAnsiTheme="majorHAnsi" w:cstheme="majorHAnsi"/>
          <w:sz w:val="32"/>
          <w:szCs w:val="32"/>
        </w:rPr>
        <w:t>10</w:t>
      </w:r>
      <w:r w:rsidR="00300658" w:rsidRPr="00300658">
        <w:rPr>
          <w:rFonts w:asciiTheme="majorHAnsi" w:hAnsiTheme="majorHAnsi" w:cstheme="majorHAnsi"/>
          <w:sz w:val="32"/>
          <w:szCs w:val="32"/>
        </w:rPr>
        <w:t xml:space="preserve"> </w:t>
      </w:r>
      <w:r w:rsidR="009B0C4B">
        <w:rPr>
          <w:rFonts w:asciiTheme="majorHAnsi" w:hAnsiTheme="majorHAnsi" w:cstheme="majorHAnsi"/>
          <w:sz w:val="32"/>
          <w:szCs w:val="32"/>
        </w:rPr>
        <w:t>Feb</w:t>
      </w:r>
      <w:r w:rsidR="00300658" w:rsidRPr="00300658">
        <w:rPr>
          <w:rFonts w:asciiTheme="majorHAnsi" w:hAnsiTheme="majorHAnsi" w:cstheme="majorHAnsi"/>
          <w:sz w:val="32"/>
          <w:szCs w:val="32"/>
        </w:rPr>
        <w:t xml:space="preserve"> 202</w:t>
      </w:r>
      <w:r w:rsidR="009B0C4B">
        <w:rPr>
          <w:rFonts w:asciiTheme="majorHAnsi" w:hAnsiTheme="majorHAnsi" w:cstheme="majorHAnsi"/>
          <w:sz w:val="32"/>
          <w:szCs w:val="32"/>
        </w:rPr>
        <w:t>5</w:t>
      </w:r>
      <w:r w:rsidR="00300658" w:rsidRPr="00300658">
        <w:rPr>
          <w:rFonts w:asciiTheme="majorHAnsi" w:hAnsiTheme="majorHAnsi" w:cstheme="majorHAnsi"/>
          <w:sz w:val="32"/>
          <w:szCs w:val="32"/>
        </w:rPr>
        <w:t xml:space="preserve"> </w:t>
      </w:r>
      <w:r w:rsidR="009B0C4B">
        <w:rPr>
          <w:rFonts w:asciiTheme="majorHAnsi" w:hAnsiTheme="majorHAnsi" w:cstheme="majorHAnsi"/>
          <w:sz w:val="32"/>
          <w:szCs w:val="32"/>
        </w:rPr>
        <w:t>–</w:t>
      </w:r>
      <w:r w:rsidR="00300658" w:rsidRPr="00300658">
        <w:rPr>
          <w:rFonts w:asciiTheme="majorHAnsi" w:hAnsiTheme="majorHAnsi" w:cstheme="majorHAnsi"/>
          <w:sz w:val="32"/>
          <w:szCs w:val="32"/>
        </w:rPr>
        <w:t xml:space="preserve"> </w:t>
      </w:r>
      <w:r w:rsidR="009B0C4B">
        <w:rPr>
          <w:rFonts w:asciiTheme="majorHAnsi" w:hAnsiTheme="majorHAnsi" w:cstheme="majorHAnsi"/>
          <w:sz w:val="32"/>
          <w:szCs w:val="32"/>
        </w:rPr>
        <w:t>28 Feb</w:t>
      </w:r>
      <w:r w:rsidR="00300658" w:rsidRPr="00300658">
        <w:rPr>
          <w:rFonts w:asciiTheme="majorHAnsi" w:hAnsiTheme="majorHAnsi" w:cstheme="majorHAnsi"/>
          <w:sz w:val="32"/>
          <w:szCs w:val="32"/>
        </w:rPr>
        <w:t xml:space="preserve"> 202</w:t>
      </w:r>
      <w:r w:rsidR="009B0C4B">
        <w:rPr>
          <w:rFonts w:asciiTheme="majorHAnsi" w:hAnsiTheme="majorHAnsi" w:cstheme="majorHAnsi"/>
          <w:sz w:val="32"/>
          <w:szCs w:val="32"/>
        </w:rPr>
        <w:t>5</w:t>
      </w:r>
      <w:r w:rsidR="00300658" w:rsidRPr="00300658">
        <w:rPr>
          <w:rFonts w:asciiTheme="majorHAnsi" w:hAnsiTheme="majorHAnsi" w:cstheme="majorHAnsi"/>
          <w:sz w:val="32"/>
          <w:szCs w:val="32"/>
        </w:rPr>
        <w:t>)</w:t>
      </w:r>
    </w:p>
    <w:p w14:paraId="3B67451E" w14:textId="77777777" w:rsidR="009F05A8" w:rsidRPr="009E1D08" w:rsidRDefault="009F05A8" w:rsidP="009F05A8">
      <w:pPr>
        <w:jc w:val="center"/>
        <w:rPr>
          <w:rFonts w:asciiTheme="majorHAnsi" w:hAnsiTheme="majorHAnsi" w:cstheme="majorHAnsi"/>
          <w:b/>
          <w:bCs/>
          <w:sz w:val="32"/>
          <w:szCs w:val="32"/>
        </w:rPr>
      </w:pPr>
      <w:r w:rsidRPr="009E1D08">
        <w:rPr>
          <w:rFonts w:asciiTheme="majorHAnsi" w:hAnsiTheme="majorHAnsi" w:cstheme="majorHAnsi"/>
          <w:b/>
          <w:bCs/>
          <w:sz w:val="32"/>
          <w:szCs w:val="32"/>
        </w:rPr>
        <w:t xml:space="preserve">Presented by: </w:t>
      </w:r>
    </w:p>
    <w:p w14:paraId="5E0E260A" w14:textId="168FA78E" w:rsidR="009F05A8" w:rsidRPr="00E91CCD" w:rsidRDefault="003F33DF" w:rsidP="00E91CCD">
      <w:pPr>
        <w:jc w:val="center"/>
        <w:rPr>
          <w:rFonts w:asciiTheme="majorHAnsi" w:hAnsiTheme="majorHAnsi" w:cstheme="majorHAnsi"/>
          <w:b/>
          <w:bCs/>
          <w:sz w:val="32"/>
          <w:szCs w:val="32"/>
        </w:rPr>
      </w:pPr>
      <w:r>
        <w:rPr>
          <w:rFonts w:asciiTheme="majorHAnsi" w:hAnsiTheme="majorHAnsi" w:cstheme="majorHAnsi"/>
          <w:b/>
          <w:bCs/>
          <w:sz w:val="32"/>
          <w:szCs w:val="32"/>
        </w:rPr>
        <w:t>The International Association of Justice Watch</w:t>
      </w:r>
      <w:bookmarkEnd w:id="0"/>
    </w:p>
    <w:p w14:paraId="5EA7B207" w14:textId="3DC5B6F8" w:rsidR="00E91CCD" w:rsidRPr="00E91CCD" w:rsidRDefault="003F33DF" w:rsidP="00E91CCD">
      <w:pPr>
        <w:jc w:val="center"/>
        <w:rPr>
          <w:rFonts w:ascii="Times New Roman" w:eastAsia="Times New Roman" w:hAnsi="Times New Roman" w:cs="Times New Roman"/>
          <w:b/>
          <w:bCs/>
          <w:sz w:val="28"/>
          <w:szCs w:val="28"/>
        </w:rPr>
      </w:pPr>
      <w:r w:rsidRPr="00E91CCD">
        <w:rPr>
          <w:rFonts w:ascii="Times New Roman" w:eastAsia="Times New Roman" w:hAnsi="Times New Roman" w:cs="Times New Roman"/>
          <w:b/>
          <w:bCs/>
          <w:sz w:val="28"/>
          <w:szCs w:val="28"/>
        </w:rPr>
        <w:t>Email: justice.watch2024@gmail.com</w:t>
      </w:r>
    </w:p>
    <w:p w14:paraId="6FB9963E" w14:textId="77777777" w:rsidR="00E91CCD" w:rsidRDefault="00E91CCD" w:rsidP="00E91CCD">
      <w:pPr>
        <w:jc w:val="right"/>
        <w:rPr>
          <w:rFonts w:ascii="Times New Roman" w:eastAsia="Times New Roman" w:hAnsi="Times New Roman" w:cs="Times New Roman"/>
          <w:sz w:val="28"/>
          <w:szCs w:val="28"/>
        </w:rPr>
      </w:pPr>
    </w:p>
    <w:p w14:paraId="62E50687" w14:textId="77777777" w:rsidR="00E91CCD" w:rsidRDefault="00E91CCD" w:rsidP="00E91CCD">
      <w:pPr>
        <w:pStyle w:val="NormalWeb"/>
        <w:jc w:val="center"/>
      </w:pPr>
      <w:r>
        <w:rPr>
          <w:noProof/>
        </w:rPr>
        <w:drawing>
          <wp:inline distT="0" distB="0" distL="0" distR="0" wp14:anchorId="07384DE6" wp14:editId="37927FBD">
            <wp:extent cx="1600053" cy="14160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4827" cy="1429125"/>
                    </a:xfrm>
                    <a:prstGeom prst="rect">
                      <a:avLst/>
                    </a:prstGeom>
                    <a:noFill/>
                    <a:ln>
                      <a:noFill/>
                    </a:ln>
                  </pic:spPr>
                </pic:pic>
              </a:graphicData>
            </a:graphic>
          </wp:inline>
        </w:drawing>
      </w:r>
    </w:p>
    <w:p w14:paraId="21D88EE3" w14:textId="6265A00A" w:rsidR="003F33DF" w:rsidRPr="0030456F" w:rsidRDefault="003F33DF" w:rsidP="00E91CCD">
      <w:pPr>
        <w:jc w:val="right"/>
        <w:rPr>
          <w:rFonts w:ascii="Times New Roman" w:eastAsia="Times New Roman" w:hAnsi="Times New Roman" w:cs="Times New Roman"/>
          <w:sz w:val="28"/>
          <w:szCs w:val="28"/>
          <w:rtl/>
        </w:rPr>
      </w:pPr>
      <w:r>
        <w:rPr>
          <w:rFonts w:ascii="Times New Roman" w:eastAsia="Times New Roman" w:hAnsi="Times New Roman" w:cs="Times New Roman"/>
          <w:sz w:val="28"/>
          <w:szCs w:val="28"/>
        </w:rPr>
        <w:t xml:space="preserve">  </w:t>
      </w:r>
      <w:r w:rsidR="00E56D15" w:rsidRPr="0030456F">
        <w:rPr>
          <w:rFonts w:ascii="Times New Roman" w:eastAsia="Times New Roman" w:hAnsi="Times New Roman" w:cs="Times New Roman"/>
          <w:sz w:val="28"/>
          <w:szCs w:val="28"/>
          <w:rtl/>
        </w:rPr>
        <w:br w:type="page"/>
      </w:r>
    </w:p>
    <w:p w14:paraId="3A836747" w14:textId="77777777" w:rsidR="00466AE5" w:rsidRDefault="00466AE5" w:rsidP="00466AE5">
      <w:pPr>
        <w:pStyle w:val="Heading1"/>
        <w:shd w:val="clear" w:color="auto" w:fill="C9C9C9" w:themeFill="accent3" w:themeFillTint="99"/>
        <w:rPr>
          <w:rFonts w:eastAsia="Times New Roman"/>
          <w:rtl/>
          <w:lang w:bidi="fa-IR"/>
        </w:rPr>
      </w:pPr>
      <w:r w:rsidRPr="00466AE5">
        <w:rPr>
          <w:rFonts w:eastAsia="Times New Roman"/>
        </w:rPr>
        <w:lastRenderedPageBreak/>
        <w:t>Background</w:t>
      </w:r>
    </w:p>
    <w:p w14:paraId="5E1DE914" w14:textId="77777777" w:rsidR="00420A93" w:rsidRPr="00420A93" w:rsidRDefault="00420A93" w:rsidP="00420A93">
      <w:pPr>
        <w:spacing w:after="0" w:line="240" w:lineRule="auto"/>
        <w:jc w:val="both"/>
        <w:rPr>
          <w:rFonts w:ascii="Times New Roman" w:eastAsia="Times New Roman" w:hAnsi="Times New Roman" w:cs="Times New Roman"/>
          <w:sz w:val="28"/>
          <w:szCs w:val="28"/>
        </w:rPr>
      </w:pPr>
      <w:r w:rsidRPr="00420A93">
        <w:rPr>
          <w:rFonts w:ascii="Times New Roman" w:eastAsia="Times New Roman" w:hAnsi="Times New Roman" w:cs="Times New Roman"/>
          <w:sz w:val="28"/>
          <w:szCs w:val="28"/>
        </w:rPr>
        <w:t>Rising poverty and food insecurity in the UK highlight significant challenges in compliance with its obligations under the International Covenant on Economic, Social, and Cultural Rights (ICESCR). The Covenant emphasizes the right to an adequate standard of living, including access to sufficient, nutritious food, and obliges states to ensure these rights are realized progressively without discrimination. Here is an analysis of poverty and food insecurity in the UK from the point of view of the articles ICESCR  2(1), 11, 12 and the Committee on Economic, Social, and Cultural Rights (CESCR):</w:t>
      </w:r>
    </w:p>
    <w:p w14:paraId="3C839FBF" w14:textId="77777777" w:rsidR="00466AE5" w:rsidRDefault="00B57524" w:rsidP="00B57524">
      <w:pPr>
        <w:pStyle w:val="Heading1"/>
        <w:shd w:val="clear" w:color="auto" w:fill="C9C9C9" w:themeFill="accent3" w:themeFillTint="99"/>
        <w:rPr>
          <w:rFonts w:eastAsia="Times New Roman"/>
        </w:rPr>
      </w:pPr>
      <w:r w:rsidRPr="00B57524">
        <w:rPr>
          <w:rFonts w:eastAsia="Times New Roman"/>
        </w:rPr>
        <w:t>Content</w:t>
      </w:r>
    </w:p>
    <w:p w14:paraId="2094496A" w14:textId="77777777" w:rsidR="00E56D15" w:rsidRDefault="00E56D15" w:rsidP="0030456F">
      <w:pPr>
        <w:spacing w:before="100" w:beforeAutospacing="1" w:after="100" w:afterAutospacing="1" w:line="240" w:lineRule="auto"/>
        <w:jc w:val="both"/>
        <w:outlineLvl w:val="2"/>
        <w:rPr>
          <w:rFonts w:ascii="Times New Roman" w:eastAsia="Times New Roman" w:hAnsi="Times New Roman" w:cs="Times New Roman"/>
          <w:b/>
          <w:bCs/>
          <w:sz w:val="28"/>
          <w:szCs w:val="28"/>
          <w:rtl/>
        </w:rPr>
      </w:pPr>
      <w:r w:rsidRPr="0030456F">
        <w:rPr>
          <w:rFonts w:ascii="Times New Roman" w:eastAsia="Times New Roman" w:hAnsi="Times New Roman" w:cs="Times New Roman"/>
          <w:b/>
          <w:bCs/>
          <w:sz w:val="28"/>
          <w:szCs w:val="28"/>
        </w:rPr>
        <w:t>Poverty in the UK</w:t>
      </w:r>
    </w:p>
    <w:p w14:paraId="73D137FA" w14:textId="77777777" w:rsidR="001A346B" w:rsidRPr="001A346B" w:rsidRDefault="001A346B" w:rsidP="006F53E9">
      <w:pPr>
        <w:jc w:val="both"/>
        <w:rPr>
          <w:rFonts w:asciiTheme="majorBidi" w:hAnsiTheme="majorBidi" w:cstheme="majorBidi"/>
          <w:sz w:val="28"/>
          <w:szCs w:val="28"/>
        </w:rPr>
      </w:pPr>
      <w:r w:rsidRPr="001A346B">
        <w:rPr>
          <w:rFonts w:asciiTheme="majorBidi" w:hAnsiTheme="majorBidi" w:cstheme="majorBidi"/>
          <w:sz w:val="28"/>
          <w:szCs w:val="28"/>
        </w:rPr>
        <w:t>Poverty remains a significant and persistent issue in the UK, impacting millions of individuals and families. Despite being one of the world's wealthiest countries, economic inequality, austerity measures, and systemic issues contri</w:t>
      </w:r>
      <w:r>
        <w:rPr>
          <w:rFonts w:asciiTheme="majorBidi" w:hAnsiTheme="majorBidi" w:cstheme="majorBidi"/>
          <w:sz w:val="28"/>
          <w:szCs w:val="28"/>
        </w:rPr>
        <w:t>bute to widespread deprivation.</w:t>
      </w:r>
    </w:p>
    <w:p w14:paraId="3C5D752C" w14:textId="77777777" w:rsidR="00E56D15" w:rsidRPr="00E56D15" w:rsidRDefault="00E56D15" w:rsidP="0030456F">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Rising Levels of Poverty</w:t>
      </w:r>
      <w:r w:rsidRPr="00E56D15">
        <w:rPr>
          <w:rFonts w:ascii="Times New Roman" w:eastAsia="Times New Roman" w:hAnsi="Times New Roman" w:cs="Times New Roman"/>
          <w:sz w:val="28"/>
          <w:szCs w:val="28"/>
        </w:rPr>
        <w:t>:</w:t>
      </w:r>
    </w:p>
    <w:p w14:paraId="6864DC7E" w14:textId="77777777" w:rsidR="00E56D15" w:rsidRPr="005B1F40" w:rsidRDefault="00E56D15" w:rsidP="0030456F">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5B1F40">
        <w:rPr>
          <w:rFonts w:ascii="Times New Roman" w:eastAsia="Times New Roman" w:hAnsi="Times New Roman" w:cs="Times New Roman"/>
          <w:sz w:val="28"/>
          <w:szCs w:val="28"/>
        </w:rPr>
        <w:t>Approximately 22% of the UK population lives in poverty, with children, ethnic minorities, single-parent families, and disabled individuals disproportionately affected.</w:t>
      </w:r>
    </w:p>
    <w:p w14:paraId="006BC0DE" w14:textId="77777777" w:rsidR="00060722" w:rsidRPr="00060722" w:rsidRDefault="00060722" w:rsidP="00060722">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60722">
        <w:rPr>
          <w:rFonts w:ascii="Times New Roman" w:eastAsia="Times New Roman" w:hAnsi="Times New Roman" w:cs="Times New Roman"/>
          <w:sz w:val="28"/>
          <w:szCs w:val="28"/>
        </w:rPr>
        <w:t xml:space="preserve">Poverty has increased, close to pre-pandemic levels: More than 1 in 5 people in the UK (22%) were in poverty in 2021/22 – 14.4 million people. This included: 8.1 million (or around 2 in 10) working-age adults; 4.2 million (or nearly 3 in 10) children; 2.1 million (or around 1 in 6) pensioners. </w:t>
      </w:r>
    </w:p>
    <w:p w14:paraId="40D2B820" w14:textId="77777777" w:rsidR="00060722" w:rsidRDefault="00060722" w:rsidP="00060722">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60722">
        <w:rPr>
          <w:rFonts w:ascii="Times New Roman" w:eastAsia="Times New Roman" w:hAnsi="Times New Roman" w:cs="Times New Roman"/>
          <w:sz w:val="28"/>
          <w:szCs w:val="28"/>
        </w:rPr>
        <w:t>Poverty rates have returned to around their pre-pandemic levels, as middle-income household incomes rose at the same time as a range of temporary coronavirus-related support was withdrawn.</w:t>
      </w:r>
    </w:p>
    <w:p w14:paraId="6EEE754C" w14:textId="77777777" w:rsidR="006E1F17" w:rsidRDefault="006E1F17" w:rsidP="002270C9">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6E1F17">
        <w:rPr>
          <w:rFonts w:ascii="Times New Roman" w:eastAsia="Times New Roman" w:hAnsi="Times New Roman" w:cs="Times New Roman"/>
          <w:sz w:val="28"/>
          <w:szCs w:val="28"/>
        </w:rPr>
        <w:t>The overall level of poverty has barely moved since Conservative-led Governments took power in 2010. Poverty fell consistently during the first half of the last Labour administration (between 1999/2000 and 2004/05), but then rose in the second half of their time in power. In part, this reflects the hits to living standards that have affected everyone, from the economic slowdown even before the global financial crisis to the current cost of living crisis.</w:t>
      </w:r>
    </w:p>
    <w:p w14:paraId="4D16C976" w14:textId="77777777" w:rsidR="001C1507" w:rsidRDefault="001C1507" w:rsidP="001C1507">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1C1507">
        <w:rPr>
          <w:rFonts w:ascii="Times New Roman" w:eastAsia="Times New Roman" w:hAnsi="Times New Roman" w:cs="Times New Roman"/>
          <w:sz w:val="28"/>
          <w:szCs w:val="28"/>
        </w:rPr>
        <w:t xml:space="preserve">In 2021/22, 6 million people - or 4 in 10 people in poverty – were in ‘very deep’ poverty, with an income far below the standard poverty </w:t>
      </w:r>
      <w:r w:rsidRPr="001C1507">
        <w:rPr>
          <w:rFonts w:ascii="Times New Roman" w:eastAsia="Times New Roman" w:hAnsi="Times New Roman" w:cs="Times New Roman"/>
          <w:sz w:val="28"/>
          <w:szCs w:val="28"/>
        </w:rPr>
        <w:lastRenderedPageBreak/>
        <w:t>line. More than twice as many (over 12 million people) had experienced very deep poverty in at least one year between 2017–18 and 2020–21</w:t>
      </w:r>
      <w:r w:rsidR="004F72E7">
        <w:rPr>
          <w:rFonts w:ascii="Times New Roman" w:eastAsia="Times New Roman" w:hAnsi="Times New Roman" w:cs="Times New Roman"/>
          <w:sz w:val="28"/>
          <w:szCs w:val="28"/>
        </w:rPr>
        <w:t>.</w:t>
      </w:r>
    </w:p>
    <w:p w14:paraId="7E3BA096" w14:textId="77777777" w:rsidR="007F6F39" w:rsidRDefault="00EF6695" w:rsidP="00EF6695">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EF6695">
        <w:rPr>
          <w:rFonts w:ascii="Times New Roman" w:eastAsia="Times New Roman" w:hAnsi="Times New Roman" w:cs="Times New Roman"/>
          <w:sz w:val="28"/>
          <w:szCs w:val="28"/>
        </w:rPr>
        <w:t>The poorest families – those living in very deep poverty – had an average income that was 59% below the poverty line, with this gap increasing by around two-thirds over the past 25 years.</w:t>
      </w:r>
    </w:p>
    <w:p w14:paraId="508C89D6" w14:textId="77777777" w:rsidR="00060722" w:rsidRDefault="00D25B52" w:rsidP="00D25B52">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D25B52">
        <w:rPr>
          <w:rFonts w:ascii="Times New Roman" w:eastAsia="Times New Roman" w:hAnsi="Times New Roman" w:cs="Times New Roman"/>
          <w:sz w:val="28"/>
          <w:szCs w:val="28"/>
        </w:rPr>
        <w:t>Children have consistently had the highest poverty rates, while pensioners along with working-age adults without children now have the lowest.</w:t>
      </w:r>
    </w:p>
    <w:p w14:paraId="3A90AD96" w14:textId="77777777" w:rsidR="00EF4B36" w:rsidRDefault="00E013B0" w:rsidP="00E013B0">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E013B0">
        <w:rPr>
          <w:rFonts w:ascii="Times New Roman" w:eastAsia="Times New Roman" w:hAnsi="Times New Roman" w:cs="Times New Roman"/>
          <w:sz w:val="28"/>
          <w:szCs w:val="28"/>
        </w:rPr>
        <w:t>Certain groups have wholly unacceptably high rates of poverty</w:t>
      </w:r>
      <w:r>
        <w:rPr>
          <w:rFonts w:ascii="Times New Roman" w:eastAsia="Times New Roman" w:hAnsi="Times New Roman" w:cs="Times New Roman"/>
          <w:sz w:val="28"/>
          <w:szCs w:val="28"/>
        </w:rPr>
        <w:t xml:space="preserve">. </w:t>
      </w:r>
      <w:r w:rsidRPr="00E013B0">
        <w:rPr>
          <w:rFonts w:ascii="Times New Roman" w:eastAsia="Times New Roman" w:hAnsi="Times New Roman" w:cs="Times New Roman"/>
          <w:sz w:val="28"/>
          <w:szCs w:val="28"/>
        </w:rPr>
        <w:t>Some groups of people face particularly high levels of poverty.</w:t>
      </w:r>
    </w:p>
    <w:p w14:paraId="5B601AF9" w14:textId="77777777" w:rsidR="000716C4" w:rsidRPr="000716C4" w:rsidRDefault="000716C4" w:rsidP="000716C4">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716C4">
        <w:rPr>
          <w:rFonts w:ascii="Times New Roman" w:eastAsia="Times New Roman" w:hAnsi="Times New Roman" w:cs="Times New Roman"/>
          <w:sz w:val="28"/>
          <w:szCs w:val="28"/>
        </w:rPr>
        <w:t xml:space="preserve">Larger families - 43% of children in families with 3 or more children were in poverty in 2021/22. A number of benefit policies, including the two-child limit and the benefit cap, have a disproportionate impact on larger families. </w:t>
      </w:r>
    </w:p>
    <w:p w14:paraId="10F7A73D" w14:textId="77777777" w:rsidR="000716C4" w:rsidRPr="000716C4" w:rsidRDefault="000716C4" w:rsidP="000716C4">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716C4">
        <w:rPr>
          <w:rFonts w:ascii="Times New Roman" w:eastAsia="Times New Roman" w:hAnsi="Times New Roman" w:cs="Times New Roman"/>
          <w:sz w:val="28"/>
          <w:szCs w:val="28"/>
        </w:rPr>
        <w:t>Families whose childcare responsibilities limit their ability to work – 44% of children in lone-parent families were in poverty in 2021/22, as were 32% of children in families where the youngest child was aged under 5.</w:t>
      </w:r>
    </w:p>
    <w:p w14:paraId="07D78E67" w14:textId="77777777" w:rsidR="000716C4" w:rsidRPr="000716C4" w:rsidRDefault="000716C4" w:rsidP="000716C4">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716C4">
        <w:rPr>
          <w:rFonts w:ascii="Times New Roman" w:eastAsia="Times New Roman" w:hAnsi="Times New Roman" w:cs="Times New Roman"/>
          <w:sz w:val="28"/>
          <w:szCs w:val="28"/>
        </w:rPr>
        <w:t>Many minority ethnic groups – around half of people in Pakistani (51%) and Bangladeshi households (53%) and around 4 in 10 people in households headed by someone from an Asian background other than Indian, Pakistani, Bangladeshi or Chinese (39%) or households from Black African backgrounds (42%) were in poverty between 2019/20 and 2021/22. These households also have higher rates of child poverty, very deep poverty and persistent poverty.</w:t>
      </w:r>
    </w:p>
    <w:p w14:paraId="737EC494" w14:textId="77777777" w:rsidR="000716C4" w:rsidRPr="000716C4" w:rsidRDefault="000716C4" w:rsidP="000716C4">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716C4">
        <w:rPr>
          <w:rFonts w:ascii="Times New Roman" w:eastAsia="Times New Roman" w:hAnsi="Times New Roman" w:cs="Times New Roman"/>
          <w:sz w:val="28"/>
          <w:szCs w:val="28"/>
        </w:rPr>
        <w:t xml:space="preserve">Disabled people – in 2021/22, 31% of disabled people were in poverty. This was even higher (38%) for people with a long-term, limiting mental health condition. Higher poverty rates for disabled people are partly due to the additional costs associated with disability and ill health and partly due to </w:t>
      </w:r>
      <w:r w:rsidR="00CF535F">
        <w:rPr>
          <w:rFonts w:ascii="Times New Roman" w:eastAsia="Times New Roman" w:hAnsi="Times New Roman" w:cs="Times New Roman"/>
          <w:sz w:val="28"/>
          <w:szCs w:val="28"/>
        </w:rPr>
        <w:t>the barriers to work they face.</w:t>
      </w:r>
    </w:p>
    <w:p w14:paraId="614866B0" w14:textId="77777777" w:rsidR="000716C4" w:rsidRPr="000716C4" w:rsidRDefault="000716C4" w:rsidP="000716C4">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716C4">
        <w:rPr>
          <w:rFonts w:ascii="Times New Roman" w:eastAsia="Times New Roman" w:hAnsi="Times New Roman" w:cs="Times New Roman"/>
          <w:sz w:val="28"/>
          <w:szCs w:val="28"/>
        </w:rPr>
        <w:t>Informal carers – 28% of people with caring responsibilities were in poverty in 2021/22. Informal carers face a financial penalty, because of their limited ability to work, with unpaid social-care givers experiencing an average pay penalty of nearly £5,000 a year.</w:t>
      </w:r>
    </w:p>
    <w:p w14:paraId="319850C5" w14:textId="77777777" w:rsidR="000716C4" w:rsidRPr="000716C4" w:rsidRDefault="000716C4" w:rsidP="000716C4">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716C4">
        <w:rPr>
          <w:rFonts w:ascii="Times New Roman" w:eastAsia="Times New Roman" w:hAnsi="Times New Roman" w:cs="Times New Roman"/>
          <w:sz w:val="28"/>
          <w:szCs w:val="28"/>
        </w:rPr>
        <w:t xml:space="preserve">Families not in work – more than half of working-age adults (56%) in workless households were in poverty in 2021/22, compared with 15% in working households. However, because a high share of the population is in work, around two-thirds of working-age adults in poverty actually lived in a household where someone was in work. </w:t>
      </w:r>
    </w:p>
    <w:p w14:paraId="3B5F5F72" w14:textId="77777777" w:rsidR="000716C4" w:rsidRPr="000716C4" w:rsidRDefault="000716C4" w:rsidP="000716C4">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716C4">
        <w:rPr>
          <w:rFonts w:ascii="Times New Roman" w:eastAsia="Times New Roman" w:hAnsi="Times New Roman" w:cs="Times New Roman"/>
          <w:sz w:val="28"/>
          <w:szCs w:val="28"/>
        </w:rPr>
        <w:lastRenderedPageBreak/>
        <w:t xml:space="preserve">Part-time workers and the self-employed - amongst people in work, the poverty rate for part-time workers was double that for full-time workers (20% compared with 10%) and self-employed workers were more than twice as likely to be in poverty as employees (23% compared with 10%). </w:t>
      </w:r>
    </w:p>
    <w:p w14:paraId="54DD7600" w14:textId="77777777" w:rsidR="00E013B0" w:rsidRPr="00E56D15" w:rsidRDefault="000716C4" w:rsidP="000716C4">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0716C4">
        <w:rPr>
          <w:rFonts w:ascii="Times New Roman" w:eastAsia="Times New Roman" w:hAnsi="Times New Roman" w:cs="Times New Roman"/>
          <w:sz w:val="28"/>
          <w:szCs w:val="28"/>
        </w:rPr>
        <w:t>People living in rented accommodation – in 2021/22, more than 4 in 10 social renters (43%) and around a third of private renters (35%) were in poverty after housing costs. Around a third of these social renters and half of these private renters were only in poverty after their housing costs were factored in, so appear to be pushed into poverty by the amount they have to spend on housing.</w:t>
      </w:r>
    </w:p>
    <w:p w14:paraId="4F04B2D1" w14:textId="77777777" w:rsidR="00E56D15" w:rsidRDefault="004D750F" w:rsidP="000B6784">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4D750F">
        <w:rPr>
          <w:rFonts w:ascii="Times New Roman" w:eastAsia="Times New Roman" w:hAnsi="Times New Roman" w:cs="Times New Roman"/>
          <w:sz w:val="28"/>
          <w:szCs w:val="28"/>
        </w:rPr>
        <w:t xml:space="preserve"> Destitution in the UK that around 3.8 million people experienced destitution (where they could not afford to meet their most basic physical needs to stay warm, dry, clean and fed) in 2022. This included around one million children.</w:t>
      </w:r>
      <w:r w:rsidR="00C5346A">
        <w:rPr>
          <w:rStyle w:val="FootnoteReference"/>
          <w:rFonts w:ascii="Times New Roman" w:eastAsia="Times New Roman" w:hAnsi="Times New Roman" w:cs="Times New Roman"/>
          <w:sz w:val="28"/>
          <w:szCs w:val="28"/>
        </w:rPr>
        <w:footnoteReference w:id="1"/>
      </w:r>
    </w:p>
    <w:p w14:paraId="024CED72" w14:textId="77777777" w:rsidR="009E198F" w:rsidRDefault="009E198F" w:rsidP="009E198F">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Over 4 million children in the UK live in poverty, exacerbated by cuts to welfare benefits and stagnating wages.</w:t>
      </w:r>
    </w:p>
    <w:p w14:paraId="5C3DE902" w14:textId="77777777" w:rsidR="00EC22C7" w:rsidRDefault="00EC22C7" w:rsidP="00EC22C7">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EC22C7">
        <w:rPr>
          <w:rFonts w:ascii="Times New Roman" w:eastAsia="Times New Roman" w:hAnsi="Times New Roman" w:cs="Times New Roman"/>
          <w:sz w:val="28"/>
          <w:szCs w:val="28"/>
        </w:rPr>
        <w:t>A total of 4.1 million children live in relative poverty in the UK after considering housing costs, approximately 30% of the population. That means over 500,000 more children are in relative poverty in 2017/18 compared to in 2011/12. This is projected to rise to 5.2 million children by 2022, which would mark a record high in relative</w:t>
      </w:r>
      <w:r w:rsidR="0041107A">
        <w:rPr>
          <w:rFonts w:ascii="Times New Roman" w:eastAsia="Times New Roman" w:hAnsi="Times New Roman" w:cs="Times New Roman"/>
          <w:sz w:val="28"/>
          <w:szCs w:val="28"/>
        </w:rPr>
        <w:t xml:space="preserve"> poverty rates for UK children.</w:t>
      </w:r>
      <w:r w:rsidR="0041107A">
        <w:rPr>
          <w:rStyle w:val="FootnoteReference"/>
          <w:rFonts w:ascii="Times New Roman" w:eastAsia="Times New Roman" w:hAnsi="Times New Roman" w:cs="Times New Roman"/>
          <w:sz w:val="28"/>
          <w:szCs w:val="28"/>
        </w:rPr>
        <w:footnoteReference w:id="2"/>
      </w:r>
    </w:p>
    <w:p w14:paraId="4E20CD37" w14:textId="77777777" w:rsidR="009E198F" w:rsidRDefault="007735E8" w:rsidP="007735E8">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7735E8">
        <w:rPr>
          <w:rFonts w:ascii="Times New Roman" w:eastAsia="Times New Roman" w:hAnsi="Times New Roman" w:cs="Times New Roman"/>
          <w:sz w:val="28"/>
          <w:szCs w:val="28"/>
        </w:rPr>
        <w:t>This official poverty data only covers the start of the cost-of-living crisis. in October 2023, around 2.8 million (47%) of the poorest fifth of households were in arrears with their household bills or behind on scheduled lending repayments, 4.2 million (72%) were going without essentials and 3.4 million (58%) reported n</w:t>
      </w:r>
      <w:r>
        <w:rPr>
          <w:rFonts w:ascii="Times New Roman" w:eastAsia="Times New Roman" w:hAnsi="Times New Roman" w:cs="Times New Roman"/>
          <w:sz w:val="28"/>
          <w:szCs w:val="28"/>
        </w:rPr>
        <w:t>ot having enough money for food</w:t>
      </w:r>
      <w:r w:rsidR="00497434" w:rsidRPr="007735E8">
        <w:rPr>
          <w:rFonts w:ascii="Times New Roman" w:eastAsia="Times New Roman" w:hAnsi="Times New Roman" w:cs="Times New Roman"/>
          <w:sz w:val="28"/>
          <w:szCs w:val="28"/>
        </w:rPr>
        <w:t>.</w:t>
      </w:r>
      <w:r w:rsidR="00EE4506">
        <w:rPr>
          <w:rStyle w:val="FootnoteReference"/>
          <w:rFonts w:ascii="Times New Roman" w:eastAsia="Times New Roman" w:hAnsi="Times New Roman" w:cs="Times New Roman"/>
          <w:sz w:val="28"/>
          <w:szCs w:val="28"/>
        </w:rPr>
        <w:footnoteReference w:id="3"/>
      </w:r>
    </w:p>
    <w:p w14:paraId="5B6D9F81" w14:textId="77777777" w:rsidR="00D806BF" w:rsidRPr="00E56D15" w:rsidRDefault="00D806BF" w:rsidP="007735E8">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p>
    <w:p w14:paraId="178D009E" w14:textId="77777777" w:rsidR="00E56D15" w:rsidRPr="00E56D15" w:rsidRDefault="00E56D15" w:rsidP="0030456F">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Regional Disparities</w:t>
      </w:r>
      <w:r w:rsidRPr="00E56D15">
        <w:rPr>
          <w:rFonts w:ascii="Times New Roman" w:eastAsia="Times New Roman" w:hAnsi="Times New Roman" w:cs="Times New Roman"/>
          <w:sz w:val="28"/>
          <w:szCs w:val="28"/>
        </w:rPr>
        <w:t>:</w:t>
      </w:r>
    </w:p>
    <w:p w14:paraId="175D5E54" w14:textId="77777777" w:rsidR="00E56D15" w:rsidRDefault="00E56D15" w:rsidP="0030456F">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 xml:space="preserve">Poverty rates are higher in certain regions, particularly in </w:t>
      </w:r>
      <w:r w:rsidRPr="00232880">
        <w:rPr>
          <w:rFonts w:ascii="Times New Roman" w:eastAsia="Times New Roman" w:hAnsi="Times New Roman" w:cs="Times New Roman"/>
          <w:sz w:val="28"/>
          <w:szCs w:val="28"/>
        </w:rPr>
        <w:t>Northern England, Wales, and Scotland</w:t>
      </w:r>
      <w:r w:rsidRPr="00E56D15">
        <w:rPr>
          <w:rFonts w:ascii="Times New Roman" w:eastAsia="Times New Roman" w:hAnsi="Times New Roman" w:cs="Times New Roman"/>
          <w:sz w:val="28"/>
          <w:szCs w:val="28"/>
        </w:rPr>
        <w:t>, where industrial decline and limited economic opportunities persist.</w:t>
      </w:r>
    </w:p>
    <w:p w14:paraId="73F88771" w14:textId="77777777" w:rsidR="0096653F" w:rsidRPr="0096653F" w:rsidRDefault="0096653F" w:rsidP="0096653F">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96653F">
        <w:rPr>
          <w:rFonts w:ascii="Times New Roman" w:eastAsia="Times New Roman" w:hAnsi="Times New Roman" w:cs="Times New Roman"/>
          <w:sz w:val="28"/>
          <w:szCs w:val="28"/>
        </w:rPr>
        <w:t xml:space="preserve">Between 2019/20 and 2021/22, the average poverty rates in England (22%), Wales (22%) and Scotland (21%) had converged to around the </w:t>
      </w:r>
      <w:r w:rsidRPr="0096653F">
        <w:rPr>
          <w:rFonts w:ascii="Times New Roman" w:eastAsia="Times New Roman" w:hAnsi="Times New Roman" w:cs="Times New Roman"/>
          <w:sz w:val="28"/>
          <w:szCs w:val="28"/>
        </w:rPr>
        <w:lastRenderedPageBreak/>
        <w:t xml:space="preserve">same level, although poverty rates were much lower in Northern Ireland (16%). </w:t>
      </w:r>
    </w:p>
    <w:p w14:paraId="2070EC78" w14:textId="77777777" w:rsidR="0096653F" w:rsidRDefault="0096653F" w:rsidP="0096653F">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96653F">
        <w:rPr>
          <w:rFonts w:ascii="Times New Roman" w:eastAsia="Times New Roman" w:hAnsi="Times New Roman" w:cs="Times New Roman"/>
          <w:sz w:val="28"/>
          <w:szCs w:val="28"/>
        </w:rPr>
        <w:t>Between 2019/20 and 2021/22, the West Midlands had the highest rate of poverty at 27%, followed by the North East and London (both 25%), Yorkshire and The Humber, the East Midlands and the North West (all 23%).</w:t>
      </w:r>
      <w:r w:rsidR="00AF6802">
        <w:rPr>
          <w:rStyle w:val="FootnoteReference"/>
          <w:rFonts w:ascii="Times New Roman" w:eastAsia="Times New Roman" w:hAnsi="Times New Roman" w:cs="Times New Roman"/>
          <w:sz w:val="28"/>
          <w:szCs w:val="28"/>
        </w:rPr>
        <w:footnoteReference w:id="4"/>
      </w:r>
    </w:p>
    <w:p w14:paraId="272C7928" w14:textId="77777777" w:rsidR="00BA6EFC" w:rsidRDefault="00BA6EFC" w:rsidP="00BA6EFC">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9E198F">
        <w:rPr>
          <w:rFonts w:ascii="Times New Roman" w:eastAsia="Times New Roman" w:hAnsi="Times New Roman" w:cs="Times New Roman"/>
          <w:sz w:val="28"/>
          <w:szCs w:val="28"/>
        </w:rPr>
        <w:t>In 2017/18, the proportion of children living in relative poverty after considering housing costs varied between each of the UK nations: 31% in England, 29% in Wales, 24% in Northern Ireland, and 24% in Scotland. Both England and Wales saw a rise of one percentage point from 2016/17 to 2017/18.</w:t>
      </w:r>
      <w:r>
        <w:rPr>
          <w:rStyle w:val="FootnoteReference"/>
          <w:rFonts w:ascii="Times New Roman" w:eastAsia="Times New Roman" w:hAnsi="Times New Roman" w:cs="Times New Roman"/>
          <w:sz w:val="28"/>
          <w:szCs w:val="28"/>
        </w:rPr>
        <w:footnoteReference w:id="5"/>
      </w:r>
    </w:p>
    <w:p w14:paraId="7030CAE5" w14:textId="77777777" w:rsidR="003F0393" w:rsidRPr="003F0393" w:rsidRDefault="003F0393" w:rsidP="003F0393">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3F0393">
        <w:rPr>
          <w:rFonts w:ascii="Times New Roman" w:eastAsia="Times New Roman" w:hAnsi="Times New Roman" w:cs="Times New Roman"/>
          <w:sz w:val="28"/>
          <w:szCs w:val="28"/>
        </w:rPr>
        <w:t>12% of UK children live in low income and material deprivation, a slight reduction of one percentage point from 2010/11 to 2017/18.</w:t>
      </w:r>
    </w:p>
    <w:p w14:paraId="1AE4AB74" w14:textId="77777777" w:rsidR="00BA6EFC" w:rsidRDefault="003F0393" w:rsidP="003F0393">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3F0393">
        <w:rPr>
          <w:rFonts w:ascii="Times New Roman" w:eastAsia="Times New Roman" w:hAnsi="Times New Roman" w:cs="Times New Roman"/>
          <w:sz w:val="28"/>
          <w:szCs w:val="28"/>
        </w:rPr>
        <w:t>5% of UK children live in severe low income and material deprivation, worryingly this figure has increased by one percentage point from 2016/17 to 2017/18.</w:t>
      </w:r>
      <w:r>
        <w:rPr>
          <w:rStyle w:val="FootnoteReference"/>
          <w:rFonts w:ascii="Times New Roman" w:eastAsia="Times New Roman" w:hAnsi="Times New Roman" w:cs="Times New Roman"/>
          <w:sz w:val="28"/>
          <w:szCs w:val="28"/>
        </w:rPr>
        <w:footnoteReference w:id="6"/>
      </w:r>
    </w:p>
    <w:p w14:paraId="51924925" w14:textId="77777777" w:rsidR="00476C2D" w:rsidRDefault="00476C2D" w:rsidP="00476C2D">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476C2D">
        <w:rPr>
          <w:rFonts w:ascii="Times New Roman" w:eastAsia="Times New Roman" w:hAnsi="Times New Roman" w:cs="Times New Roman"/>
          <w:sz w:val="28"/>
          <w:szCs w:val="28"/>
        </w:rPr>
        <w:t>Child poverty rates in Scotland (24%) remain much lower than those in England (31%) and Wales (28%) and are similar (if slightly higher) than in Northern Ireland (22%). This is likely to be due, at least in part, to the Scottish Child Payment. This highlights the effect benefits can have in reducing poverty.</w:t>
      </w:r>
      <w:r>
        <w:rPr>
          <w:rStyle w:val="FootnoteReference"/>
          <w:rFonts w:ascii="Times New Roman" w:eastAsia="Times New Roman" w:hAnsi="Times New Roman" w:cs="Times New Roman"/>
          <w:sz w:val="28"/>
          <w:szCs w:val="28"/>
        </w:rPr>
        <w:footnoteReference w:id="7"/>
      </w:r>
    </w:p>
    <w:p w14:paraId="740CFFA2" w14:textId="77777777" w:rsidR="008E52CD" w:rsidRDefault="00C0756F" w:rsidP="00C0756F">
      <w:pPr>
        <w:numPr>
          <w:ilvl w:val="1"/>
          <w:numId w:val="2"/>
        </w:numPr>
        <w:spacing w:before="100" w:beforeAutospacing="1" w:after="100" w:afterAutospacing="1" w:line="240" w:lineRule="auto"/>
        <w:jc w:val="both"/>
        <w:rPr>
          <w:rFonts w:ascii="Times New Roman" w:eastAsia="Times New Roman" w:hAnsi="Times New Roman" w:cs="Times New Roman"/>
          <w:sz w:val="28"/>
          <w:szCs w:val="28"/>
        </w:rPr>
      </w:pPr>
      <w:r w:rsidRPr="00C0756F">
        <w:rPr>
          <w:rFonts w:ascii="Times New Roman" w:eastAsia="Times New Roman" w:hAnsi="Times New Roman" w:cs="Times New Roman"/>
          <w:sz w:val="28"/>
          <w:szCs w:val="28"/>
        </w:rPr>
        <w:t>Inflation is still running at twice its target level, benefits are taking time to catch up with rising prices, employment is starting to fall, earnings are still below their 2008 levels, and housing costs are increasing rapidly. Given the Office for Budget Responsibility forecasts that average household disposable incomes will continue to fall until 2024/25, these effects will have a profound impact on many people’s living standards for years to come.</w:t>
      </w:r>
      <w:r w:rsidR="00E504DF">
        <w:rPr>
          <w:rStyle w:val="FootnoteReference"/>
          <w:rFonts w:ascii="Times New Roman" w:eastAsia="Times New Roman" w:hAnsi="Times New Roman" w:cs="Times New Roman"/>
          <w:sz w:val="28"/>
          <w:szCs w:val="28"/>
        </w:rPr>
        <w:footnoteReference w:id="8"/>
      </w:r>
    </w:p>
    <w:p w14:paraId="31B7D8F9" w14:textId="77777777" w:rsidR="00E56D15" w:rsidRDefault="00E56D15" w:rsidP="006F53E9">
      <w:pPr>
        <w:tabs>
          <w:tab w:val="left" w:pos="3557"/>
        </w:tabs>
        <w:spacing w:before="100" w:beforeAutospacing="1" w:after="100" w:afterAutospacing="1" w:line="240" w:lineRule="auto"/>
        <w:jc w:val="both"/>
        <w:outlineLvl w:val="2"/>
        <w:rPr>
          <w:rFonts w:ascii="Times New Roman" w:eastAsia="Times New Roman" w:hAnsi="Times New Roman" w:cs="Times New Roman"/>
          <w:b/>
          <w:bCs/>
          <w:sz w:val="28"/>
          <w:szCs w:val="28"/>
        </w:rPr>
      </w:pPr>
      <w:r w:rsidRPr="0030456F">
        <w:rPr>
          <w:rFonts w:ascii="Times New Roman" w:eastAsia="Times New Roman" w:hAnsi="Times New Roman" w:cs="Times New Roman"/>
          <w:b/>
          <w:bCs/>
          <w:sz w:val="28"/>
          <w:szCs w:val="28"/>
        </w:rPr>
        <w:t>Food Insecurity in the UK</w:t>
      </w:r>
    </w:p>
    <w:p w14:paraId="750B8A51" w14:textId="77777777" w:rsidR="00210E7D" w:rsidRPr="00CA4429" w:rsidRDefault="00CA4429" w:rsidP="00CA4429">
      <w:pPr>
        <w:jc w:val="both"/>
        <w:rPr>
          <w:rFonts w:asciiTheme="majorBidi" w:hAnsiTheme="majorBidi" w:cstheme="majorBidi"/>
          <w:sz w:val="28"/>
          <w:szCs w:val="28"/>
        </w:rPr>
      </w:pPr>
      <w:r w:rsidRPr="00CA4429">
        <w:rPr>
          <w:rFonts w:asciiTheme="majorBidi" w:hAnsiTheme="majorBidi" w:cstheme="majorBidi"/>
          <w:sz w:val="28"/>
          <w:szCs w:val="28"/>
        </w:rPr>
        <w:t xml:space="preserve">Food insecurity in the UK has become a critical issue, reflecting deeper systemic problems such as poverty, economic inequality, and rising living costs. It refers to the lack of consistent access to sufficient, safe, and nutritious food required for a </w:t>
      </w:r>
      <w:r w:rsidRPr="00CA4429">
        <w:rPr>
          <w:rFonts w:asciiTheme="majorBidi" w:hAnsiTheme="majorBidi" w:cstheme="majorBidi"/>
          <w:sz w:val="28"/>
          <w:szCs w:val="28"/>
        </w:rPr>
        <w:lastRenderedPageBreak/>
        <w:t>healthy life. Millions of individuals and families in the UK are affected, with some relying on food banks and emergency food aid for survival.</w:t>
      </w:r>
    </w:p>
    <w:p w14:paraId="56C638AA" w14:textId="77777777" w:rsidR="00E56D15" w:rsidRPr="00E56D15" w:rsidRDefault="00E56D15" w:rsidP="0030456F">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Extent of Food Insecurity</w:t>
      </w:r>
      <w:r w:rsidRPr="00E56D15">
        <w:rPr>
          <w:rFonts w:ascii="Times New Roman" w:eastAsia="Times New Roman" w:hAnsi="Times New Roman" w:cs="Times New Roman"/>
          <w:sz w:val="28"/>
          <w:szCs w:val="28"/>
        </w:rPr>
        <w:t>:</w:t>
      </w:r>
    </w:p>
    <w:p w14:paraId="0D78B9B0" w14:textId="77777777" w:rsidR="008A760F" w:rsidRDefault="008A760F" w:rsidP="008A760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8A760F">
        <w:rPr>
          <w:rFonts w:ascii="Times New Roman" w:eastAsia="Times New Roman" w:hAnsi="Times New Roman" w:cs="Times New Roman"/>
          <w:sz w:val="28"/>
          <w:szCs w:val="28"/>
        </w:rPr>
        <w:t>Since household food insecurity in the UK is largely due to low incomes, it is unsurprising that food insecurity is more prevalent in households in poverty.</w:t>
      </w:r>
    </w:p>
    <w:p w14:paraId="6B7845F0" w14:textId="77777777" w:rsidR="00E56D15" w:rsidRPr="00E56D15" w:rsidRDefault="00E56D15" w:rsidP="0030456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 xml:space="preserve">An estimated </w:t>
      </w:r>
      <w:r w:rsidRPr="00905DD2">
        <w:rPr>
          <w:rFonts w:ascii="Times New Roman" w:eastAsia="Times New Roman" w:hAnsi="Times New Roman" w:cs="Times New Roman"/>
          <w:sz w:val="28"/>
          <w:szCs w:val="28"/>
        </w:rPr>
        <w:t>10 million people in the UK</w:t>
      </w:r>
      <w:r w:rsidRPr="00E56D15">
        <w:rPr>
          <w:rFonts w:ascii="Times New Roman" w:eastAsia="Times New Roman" w:hAnsi="Times New Roman" w:cs="Times New Roman"/>
          <w:sz w:val="28"/>
          <w:szCs w:val="28"/>
        </w:rPr>
        <w:t xml:space="preserve"> (including 4 million children) experience food insecurity, with many relying on food banks and charity support.</w:t>
      </w:r>
    </w:p>
    <w:p w14:paraId="00200074" w14:textId="77777777" w:rsidR="00E56D15" w:rsidRPr="00905DD2" w:rsidRDefault="00E56D15" w:rsidP="0030456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 xml:space="preserve">The </w:t>
      </w:r>
      <w:r w:rsidRPr="00905DD2">
        <w:rPr>
          <w:rFonts w:ascii="Times New Roman" w:eastAsia="Times New Roman" w:hAnsi="Times New Roman" w:cs="Times New Roman"/>
          <w:sz w:val="28"/>
          <w:szCs w:val="28"/>
        </w:rPr>
        <w:t>Trussell Trust</w:t>
      </w:r>
      <w:r w:rsidRPr="00E56D15">
        <w:rPr>
          <w:rFonts w:ascii="Times New Roman" w:eastAsia="Times New Roman" w:hAnsi="Times New Roman" w:cs="Times New Roman"/>
          <w:sz w:val="28"/>
          <w:szCs w:val="28"/>
        </w:rPr>
        <w:t>, the UK's largest food bank network, has reported record-breaking demand, distributing millions of emergency food parcels annually.</w:t>
      </w:r>
      <w:r w:rsidR="00905DD2" w:rsidRPr="00905DD2">
        <w:rPr>
          <w:rStyle w:val="FootnoteReference"/>
          <w:rFonts w:ascii="Times New Roman" w:eastAsia="Times New Roman" w:hAnsi="Times New Roman" w:cs="Times New Roman"/>
          <w:sz w:val="28"/>
          <w:szCs w:val="28"/>
        </w:rPr>
        <w:footnoteReference w:id="9"/>
      </w:r>
    </w:p>
    <w:p w14:paraId="66BE03C8" w14:textId="77777777" w:rsidR="00905DD2" w:rsidRDefault="00905DD2" w:rsidP="00905DD2">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905DD2">
        <w:rPr>
          <w:rFonts w:ascii="Times New Roman" w:eastAsia="Times New Roman" w:hAnsi="Times New Roman" w:cs="Times New Roman"/>
          <w:sz w:val="28"/>
          <w:szCs w:val="28"/>
        </w:rPr>
        <w:t xml:space="preserve">The number of people in food insecure households rose by around 2.5 million people between 2021/22 and 2022/23, from 4.7 million to 7.2 million. This means 11% of people lived in food insecure households in 2022/23, including 17% of children. 1.9 million children were in relative low income (below 70% of median income) and material deprivation in 2022/23, 13% of children in the UK. This is up from 1.6 million in 2021/22. </w:t>
      </w:r>
    </w:p>
    <w:p w14:paraId="22A3FEDA" w14:textId="77777777" w:rsidR="007D4787" w:rsidRDefault="00C04A75" w:rsidP="00C04A75">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C04A75">
        <w:rPr>
          <w:rFonts w:ascii="Times New Roman" w:eastAsia="Times New Roman" w:hAnsi="Times New Roman" w:cs="Times New Roman"/>
          <w:sz w:val="28"/>
          <w:szCs w:val="28"/>
        </w:rPr>
        <w:t>In 2022/23, 2.5 million people in relative low income before housing costs lived in food insecure households (households with either low or very low food security), including 1.0 million children. The charts  shows that 30% of children, 24% of working-age adults, and 5% of pensioners who were in relative low income before housing costs were living in food insecure households (note that totals may not match due to rounding). 16% of children, 13% of working-age adults, and 1% of pensioners who were in relative low income lived in households with very low food security.</w:t>
      </w:r>
      <w:r w:rsidR="002A0175">
        <w:rPr>
          <w:rStyle w:val="FootnoteReference"/>
          <w:rFonts w:ascii="Times New Roman" w:eastAsia="Times New Roman" w:hAnsi="Times New Roman" w:cs="Times New Roman"/>
          <w:sz w:val="28"/>
          <w:szCs w:val="28"/>
        </w:rPr>
        <w:footnoteReference w:id="10"/>
      </w:r>
    </w:p>
    <w:p w14:paraId="0874C857" w14:textId="77777777" w:rsidR="00045BEF" w:rsidRPr="00045BEF" w:rsidRDefault="00045BEF" w:rsidP="00045BE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045BEF">
        <w:rPr>
          <w:rFonts w:ascii="Times New Roman" w:eastAsia="Times New Roman" w:hAnsi="Times New Roman" w:cs="Times New Roman"/>
          <w:sz w:val="28"/>
          <w:szCs w:val="28"/>
        </w:rPr>
        <w:t>Millions of people – including one in five families with children – have gone hungry or skipped meals in recent weeks because they could not regularly afford to buy groceries, according to new food insecurity data.</w:t>
      </w:r>
    </w:p>
    <w:p w14:paraId="03366E9A" w14:textId="77777777" w:rsidR="005663E3" w:rsidRDefault="00045BEF" w:rsidP="00045BE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045BEF">
        <w:rPr>
          <w:rFonts w:ascii="Times New Roman" w:eastAsia="Times New Roman" w:hAnsi="Times New Roman" w:cs="Times New Roman"/>
          <w:sz w:val="28"/>
          <w:szCs w:val="28"/>
        </w:rPr>
        <w:t xml:space="preserve">According to the Food Foundation tracker, 15% of UK households – equivalent to approximately 8 million adults and 3 million children – experienced food insecurity in January, as high food prices continued to hit the pockets of low-income families. Nearly two-thirds (60%) of food-insecure households reported buying less fruit and 44% bought </w:t>
      </w:r>
      <w:r w:rsidRPr="00045BEF">
        <w:rPr>
          <w:rFonts w:ascii="Times New Roman" w:eastAsia="Times New Roman" w:hAnsi="Times New Roman" w:cs="Times New Roman"/>
          <w:sz w:val="28"/>
          <w:szCs w:val="28"/>
        </w:rPr>
        <w:lastRenderedPageBreak/>
        <w:t>fewer vegetables as they struggled with the ongoing cost of living crisis. By contrast, just 11% of food-secure households bought less fruit and 6% purchased fewer vegetables.</w:t>
      </w:r>
    </w:p>
    <w:p w14:paraId="5A3DB7E0" w14:textId="77777777" w:rsidR="00045BEF" w:rsidRDefault="005663E3" w:rsidP="005663E3">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5663E3">
        <w:rPr>
          <w:rFonts w:ascii="Times New Roman" w:eastAsia="Times New Roman" w:hAnsi="Times New Roman" w:cs="Times New Roman"/>
          <w:sz w:val="28"/>
          <w:szCs w:val="28"/>
        </w:rPr>
        <w:t>According to the Food Foundation’s latest data, 45% of households in receipt of universal credit – the main low-income benefit – reported experiencing food insecurity. The foundation said all children in families on universal credit should be automatically entitled to free school meals.</w:t>
      </w:r>
      <w:r w:rsidR="00437585">
        <w:rPr>
          <w:rStyle w:val="FootnoteReference"/>
          <w:rFonts w:ascii="Times New Roman" w:eastAsia="Times New Roman" w:hAnsi="Times New Roman" w:cs="Times New Roman"/>
          <w:sz w:val="28"/>
          <w:szCs w:val="28"/>
        </w:rPr>
        <w:footnoteReference w:id="11"/>
      </w:r>
    </w:p>
    <w:p w14:paraId="0CC3F37B" w14:textId="77777777" w:rsidR="00A10A6C" w:rsidRPr="00A10A6C" w:rsidRDefault="00A10A6C" w:rsidP="00A10A6C">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A10A6C">
        <w:rPr>
          <w:rFonts w:ascii="Times New Roman" w:eastAsia="Times New Roman" w:hAnsi="Times New Roman" w:cs="Times New Roman"/>
          <w:sz w:val="28"/>
          <w:szCs w:val="28"/>
        </w:rPr>
        <w:t>In 2022/23 there were 7.2 million people, or 11% of the UK population, in households experiencing food poverty, including 17% of children.</w:t>
      </w:r>
    </w:p>
    <w:p w14:paraId="54607DC4" w14:textId="77777777" w:rsidR="00A10A6C" w:rsidRPr="00E56D15" w:rsidRDefault="00A10A6C" w:rsidP="00A10A6C">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A10A6C">
        <w:rPr>
          <w:rFonts w:ascii="Times New Roman" w:eastAsia="Times New Roman" w:hAnsi="Times New Roman" w:cs="Times New Roman"/>
          <w:sz w:val="28"/>
          <w:szCs w:val="28"/>
        </w:rPr>
        <w:t>In 2022/23, the Trussell Trust, a charity and network of foodbanks, supplied the highest recorded number of three-day emergency food parcels.</w:t>
      </w:r>
      <w:r w:rsidR="009B5067">
        <w:rPr>
          <w:rStyle w:val="FootnoteReference"/>
          <w:rFonts w:ascii="Times New Roman" w:eastAsia="Times New Roman" w:hAnsi="Times New Roman" w:cs="Times New Roman"/>
          <w:sz w:val="28"/>
          <w:szCs w:val="28"/>
        </w:rPr>
        <w:footnoteReference w:id="12"/>
      </w:r>
    </w:p>
    <w:p w14:paraId="14C59801" w14:textId="77777777" w:rsidR="00E56D15" w:rsidRPr="00E56D15" w:rsidRDefault="00E56D15" w:rsidP="0030456F">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Cost of Living Crisis</w:t>
      </w:r>
      <w:r w:rsidRPr="00E56D15">
        <w:rPr>
          <w:rFonts w:ascii="Times New Roman" w:eastAsia="Times New Roman" w:hAnsi="Times New Roman" w:cs="Times New Roman"/>
          <w:sz w:val="28"/>
          <w:szCs w:val="28"/>
        </w:rPr>
        <w:t>:</w:t>
      </w:r>
    </w:p>
    <w:p w14:paraId="7B6522FF" w14:textId="77777777" w:rsidR="00E56D15" w:rsidRPr="00E56D15" w:rsidRDefault="00E56D15" w:rsidP="0030456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Rising costs of food, energy, and housing have further strained household budgets, disproportionately affecting low-income families.</w:t>
      </w:r>
    </w:p>
    <w:p w14:paraId="71FC7929" w14:textId="77777777" w:rsidR="00E56D15" w:rsidRDefault="00E56D15" w:rsidP="0030456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Inflation and stagnant wages have compounded food insecurity, forcing many to choose between eating and heating their homes.</w:t>
      </w:r>
    </w:p>
    <w:p w14:paraId="7DC102B7" w14:textId="77777777" w:rsidR="00A96F7B" w:rsidRDefault="00A96F7B" w:rsidP="00A96F7B">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A96F7B">
        <w:rPr>
          <w:rFonts w:ascii="Times New Roman" w:eastAsia="Times New Roman" w:hAnsi="Times New Roman" w:cs="Times New Roman"/>
          <w:sz w:val="28"/>
          <w:szCs w:val="28"/>
        </w:rPr>
        <w:t>The cost of living increased sharply across the UK during 2021 and 2022, affecting the affordability of goods and services bought by households. The annual rate of inflation peaked at 11.1% in October 2022, a 41-year high.</w:t>
      </w:r>
      <w:r w:rsidR="008124B4">
        <w:rPr>
          <w:rStyle w:val="FootnoteReference"/>
          <w:rFonts w:ascii="Times New Roman" w:eastAsia="Times New Roman" w:hAnsi="Times New Roman" w:cs="Times New Roman"/>
          <w:sz w:val="28"/>
          <w:szCs w:val="28"/>
        </w:rPr>
        <w:footnoteReference w:id="13"/>
      </w:r>
    </w:p>
    <w:p w14:paraId="70922B2D" w14:textId="77777777" w:rsidR="001725D2" w:rsidRPr="00E56D15" w:rsidRDefault="001725D2" w:rsidP="001725D2">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1725D2">
        <w:rPr>
          <w:rFonts w:ascii="Times New Roman" w:eastAsia="Times New Roman" w:hAnsi="Times New Roman" w:cs="Times New Roman"/>
          <w:sz w:val="28"/>
          <w:szCs w:val="28"/>
        </w:rPr>
        <w:t>household incomes are not keeping up with living costs and are not expected to return to 2021 levels in real terms until 2027.</w:t>
      </w:r>
      <w:r>
        <w:rPr>
          <w:rStyle w:val="FootnoteReference"/>
          <w:rFonts w:ascii="Times New Roman" w:eastAsia="Times New Roman" w:hAnsi="Times New Roman" w:cs="Times New Roman"/>
          <w:sz w:val="28"/>
          <w:szCs w:val="28"/>
        </w:rPr>
        <w:footnoteReference w:id="14"/>
      </w:r>
    </w:p>
    <w:p w14:paraId="328F5190" w14:textId="77777777" w:rsidR="00E56D15" w:rsidRPr="00E56D15" w:rsidRDefault="00E56D15" w:rsidP="0030456F">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Impact on Vulnerable Groups</w:t>
      </w:r>
      <w:r w:rsidRPr="00E56D15">
        <w:rPr>
          <w:rFonts w:ascii="Times New Roman" w:eastAsia="Times New Roman" w:hAnsi="Times New Roman" w:cs="Times New Roman"/>
          <w:sz w:val="28"/>
          <w:szCs w:val="28"/>
        </w:rPr>
        <w:t>:</w:t>
      </w:r>
    </w:p>
    <w:p w14:paraId="3F38D0A9" w14:textId="77777777" w:rsidR="00E56D15" w:rsidRPr="00E56D15" w:rsidRDefault="00E56D15" w:rsidP="0030456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Single-parent families, disabled individuals, and ethnic minorities face higher rates of food insecurity.</w:t>
      </w:r>
    </w:p>
    <w:p w14:paraId="01A9CAF3" w14:textId="77777777" w:rsidR="00E56D15" w:rsidRPr="00E56D15" w:rsidRDefault="00E56D15" w:rsidP="0030456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Children in food-insecure households experience developmental, educational, and health challenges, violating their right to adequate nutrition under the ICESCR.</w:t>
      </w:r>
    </w:p>
    <w:p w14:paraId="69DB80CD" w14:textId="77777777" w:rsidR="00E56D15" w:rsidRPr="00E56D15" w:rsidRDefault="00E56D15" w:rsidP="0030456F">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School Meals and Holiday Hunger</w:t>
      </w:r>
      <w:r w:rsidRPr="00E56D15">
        <w:rPr>
          <w:rFonts w:ascii="Times New Roman" w:eastAsia="Times New Roman" w:hAnsi="Times New Roman" w:cs="Times New Roman"/>
          <w:sz w:val="28"/>
          <w:szCs w:val="28"/>
        </w:rPr>
        <w:t>:</w:t>
      </w:r>
    </w:p>
    <w:p w14:paraId="24E91EFA" w14:textId="77777777" w:rsidR="00E56D15" w:rsidRDefault="00E56D15" w:rsidP="0030456F">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 xml:space="preserve">Many low-income families depend on </w:t>
      </w:r>
      <w:r w:rsidRPr="0030456F">
        <w:rPr>
          <w:rFonts w:ascii="Times New Roman" w:eastAsia="Times New Roman" w:hAnsi="Times New Roman" w:cs="Times New Roman"/>
          <w:b/>
          <w:bCs/>
          <w:sz w:val="28"/>
          <w:szCs w:val="28"/>
        </w:rPr>
        <w:t>free school meals</w:t>
      </w:r>
      <w:r w:rsidRPr="00E56D15">
        <w:rPr>
          <w:rFonts w:ascii="Times New Roman" w:eastAsia="Times New Roman" w:hAnsi="Times New Roman" w:cs="Times New Roman"/>
          <w:sz w:val="28"/>
          <w:szCs w:val="28"/>
        </w:rPr>
        <w:t>, but limited access during holidays has led to widespread "holiday hunger."</w:t>
      </w:r>
    </w:p>
    <w:p w14:paraId="1E562E58" w14:textId="77777777" w:rsidR="000A5D01" w:rsidRDefault="000A5D01" w:rsidP="000A5D01">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0A5D01">
        <w:rPr>
          <w:rFonts w:ascii="Times New Roman" w:eastAsia="Times New Roman" w:hAnsi="Times New Roman" w:cs="Times New Roman"/>
          <w:sz w:val="28"/>
          <w:szCs w:val="28"/>
        </w:rPr>
        <w:t xml:space="preserve">The main driver of holiday hunger is families with income levels that are too low to afford the essentials.  It is not only children who are </w:t>
      </w:r>
      <w:r w:rsidRPr="000A5D01">
        <w:rPr>
          <w:rFonts w:ascii="Times New Roman" w:eastAsia="Times New Roman" w:hAnsi="Times New Roman" w:cs="Times New Roman"/>
          <w:sz w:val="28"/>
          <w:szCs w:val="28"/>
        </w:rPr>
        <w:lastRenderedPageBreak/>
        <w:t xml:space="preserve">affected.  Adults are having to choose between eating themselves or feeding their children.  </w:t>
      </w:r>
      <w:r w:rsidR="006B0375">
        <w:rPr>
          <w:rStyle w:val="FootnoteReference"/>
          <w:rFonts w:ascii="Times New Roman" w:eastAsia="Times New Roman" w:hAnsi="Times New Roman" w:cs="Times New Roman"/>
          <w:sz w:val="28"/>
          <w:szCs w:val="28"/>
        </w:rPr>
        <w:footnoteReference w:id="15"/>
      </w:r>
    </w:p>
    <w:p w14:paraId="6B3CB16B" w14:textId="77777777" w:rsidR="009249D8" w:rsidRDefault="00F826BC" w:rsidP="00F826BC">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F826BC">
        <w:rPr>
          <w:rFonts w:ascii="Times New Roman" w:eastAsia="Times New Roman" w:hAnsi="Times New Roman" w:cs="Times New Roman"/>
          <w:sz w:val="28"/>
          <w:szCs w:val="28"/>
        </w:rPr>
        <w:t>3 million children are at risk of hunger during the school holidays. The loss of free school meals during the holidays costs a family £30-40 per week. For children in poorer areas we see spelling skills decline or stagnate over the summer holidays, taking weeks to make up for the learning loss.</w:t>
      </w:r>
      <w:r w:rsidR="002645B4">
        <w:rPr>
          <w:rStyle w:val="FootnoteReference"/>
          <w:rFonts w:ascii="Times New Roman" w:eastAsia="Times New Roman" w:hAnsi="Times New Roman" w:cs="Times New Roman"/>
          <w:sz w:val="28"/>
          <w:szCs w:val="28"/>
        </w:rPr>
        <w:footnoteReference w:id="16"/>
      </w:r>
    </w:p>
    <w:p w14:paraId="126F52B4" w14:textId="77777777" w:rsidR="00395658" w:rsidRDefault="00395658" w:rsidP="00395658">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395658">
        <w:rPr>
          <w:rFonts w:ascii="Times New Roman" w:eastAsia="Times New Roman" w:hAnsi="Times New Roman" w:cs="Times New Roman"/>
          <w:sz w:val="28"/>
          <w:szCs w:val="28"/>
        </w:rPr>
        <w:t>Food rescue charity the Felix Project predicts that up to 645,000 children in the UK could experience ‘holiday hunger’ this summer, with 68% of teachers worrying that at least one of their class will go hungry because parents cannot afford food.</w:t>
      </w:r>
    </w:p>
    <w:p w14:paraId="53C48E8B" w14:textId="77777777" w:rsidR="00395658" w:rsidRDefault="00D538F2" w:rsidP="00D538F2">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D538F2">
        <w:rPr>
          <w:rFonts w:ascii="Times New Roman" w:eastAsia="Times New Roman" w:hAnsi="Times New Roman" w:cs="Times New Roman"/>
          <w:sz w:val="28"/>
          <w:szCs w:val="28"/>
        </w:rPr>
        <w:t>Half of teachers fear between one and three children will go hungry; 13% worry it will be one in six; 3% believe it could be 10 children, and 2% worry it could be 11 or more. In the poorest areas, 38% of teachers believe four or more of their class will go hungry compared to 4% in the most affluent areas.</w:t>
      </w:r>
    </w:p>
    <w:p w14:paraId="369D4B74" w14:textId="77777777" w:rsidR="00D538F2" w:rsidRDefault="001F6AA2" w:rsidP="001F6AA2">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1F6AA2">
        <w:rPr>
          <w:rFonts w:ascii="Times New Roman" w:eastAsia="Times New Roman" w:hAnsi="Times New Roman" w:cs="Times New Roman"/>
          <w:sz w:val="28"/>
          <w:szCs w:val="28"/>
        </w:rPr>
        <w:t>Free school meals are no longer offered nationwide during school holidays, although some local authorities are offering support and food vouchers.</w:t>
      </w:r>
    </w:p>
    <w:p w14:paraId="4B647CA1" w14:textId="77777777" w:rsidR="004C6893" w:rsidRPr="00FD3D04" w:rsidRDefault="00486D72" w:rsidP="00FD3D04">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486D72">
        <w:rPr>
          <w:rFonts w:ascii="Times New Roman" w:eastAsia="Times New Roman" w:hAnsi="Times New Roman" w:cs="Times New Roman"/>
          <w:sz w:val="28"/>
          <w:szCs w:val="28"/>
        </w:rPr>
        <w:t xml:space="preserve">Research from the Salvation Army found 29% of parents relying on free school meals are worried about affording food in the summer holidays. </w:t>
      </w:r>
      <w:r>
        <w:rPr>
          <w:rStyle w:val="FootnoteReference"/>
          <w:rFonts w:ascii="Times New Roman" w:eastAsia="Times New Roman" w:hAnsi="Times New Roman" w:cs="Times New Roman"/>
          <w:sz w:val="28"/>
          <w:szCs w:val="28"/>
        </w:rPr>
        <w:footnoteReference w:id="17"/>
      </w:r>
    </w:p>
    <w:p w14:paraId="690DFE02" w14:textId="77777777" w:rsidR="00E56D15" w:rsidRPr="00F43AA3" w:rsidRDefault="00E56D15" w:rsidP="00F43AA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F43AA3">
        <w:rPr>
          <w:rFonts w:ascii="Times New Roman" w:eastAsia="Times New Roman" w:hAnsi="Times New Roman" w:cs="Times New Roman"/>
          <w:b/>
          <w:bCs/>
          <w:sz w:val="28"/>
          <w:szCs w:val="28"/>
        </w:rPr>
        <w:t>Health Impacts of Poverty and Food Insecurity</w:t>
      </w:r>
    </w:p>
    <w:p w14:paraId="58D6848B" w14:textId="77777777" w:rsidR="00F43AA3" w:rsidRPr="00E56D15" w:rsidRDefault="00F43AA3" w:rsidP="00F43AA3">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Malnutrition and Obesity</w:t>
      </w:r>
      <w:r w:rsidRPr="00E56D15">
        <w:rPr>
          <w:rFonts w:ascii="Times New Roman" w:eastAsia="Times New Roman" w:hAnsi="Times New Roman" w:cs="Times New Roman"/>
          <w:sz w:val="28"/>
          <w:szCs w:val="28"/>
        </w:rPr>
        <w:t>: Low-income households often rely on cheaper, less nutritious food, leading to malnutrition and diet-related illnesses.</w:t>
      </w:r>
    </w:p>
    <w:p w14:paraId="38A79EF7" w14:textId="77777777" w:rsidR="00F43AA3" w:rsidRPr="00E56D15" w:rsidRDefault="00F43AA3" w:rsidP="00F43AA3">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Mental Health</w:t>
      </w:r>
      <w:r w:rsidRPr="00E56D15">
        <w:rPr>
          <w:rFonts w:ascii="Times New Roman" w:eastAsia="Times New Roman" w:hAnsi="Times New Roman" w:cs="Times New Roman"/>
          <w:sz w:val="28"/>
          <w:szCs w:val="28"/>
        </w:rPr>
        <w:t>: The stress of poverty and food insecurity contributes to poor mental health outcomes, including anxiety and depression.</w:t>
      </w:r>
    </w:p>
    <w:p w14:paraId="118A34BD" w14:textId="77777777" w:rsidR="00F43AA3" w:rsidRDefault="00F43AA3" w:rsidP="00F43AA3">
      <w:pPr>
        <w:numPr>
          <w:ilvl w:val="1"/>
          <w:numId w:val="3"/>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Health Inequalities</w:t>
      </w:r>
      <w:r w:rsidRPr="00E56D15">
        <w:rPr>
          <w:rFonts w:ascii="Times New Roman" w:eastAsia="Times New Roman" w:hAnsi="Times New Roman" w:cs="Times New Roman"/>
          <w:sz w:val="28"/>
          <w:szCs w:val="28"/>
        </w:rPr>
        <w:t>: Disadvantaged communities face barriers in accessing healthcare, exacerbating the cycle of poverty.</w:t>
      </w:r>
    </w:p>
    <w:p w14:paraId="7E15E350" w14:textId="77777777" w:rsidR="00FD3D04" w:rsidRPr="00FD3D04" w:rsidRDefault="00FD3D04" w:rsidP="00FD3D04">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14:paraId="28BE7E28" w14:textId="77777777" w:rsidR="00613F2A" w:rsidRPr="00E56D15" w:rsidRDefault="00613F2A" w:rsidP="00613F2A">
      <w:pPr>
        <w:pStyle w:val="Heading1"/>
        <w:shd w:val="clear" w:color="auto" w:fill="C9C9C9" w:themeFill="accent3" w:themeFillTint="99"/>
        <w:rPr>
          <w:rFonts w:eastAsia="Times New Roman"/>
        </w:rPr>
      </w:pPr>
      <w:r w:rsidRPr="0030456F">
        <w:rPr>
          <w:rFonts w:eastAsia="Times New Roman"/>
        </w:rPr>
        <w:lastRenderedPageBreak/>
        <w:t>Conclusion</w:t>
      </w:r>
    </w:p>
    <w:p w14:paraId="2EFA9561" w14:textId="77777777" w:rsidR="00613F2A" w:rsidRDefault="00613F2A" w:rsidP="00613F2A">
      <w:p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Rising poverty and food insecurity in the UK indicate significant non-compliance with the ICESCR. To meet its obligations under the Covenant, the UK must prioritize structural reforms to address systemic inequality, strengthen social protection systems, and ensure that everyone enjoys the right to an adequate standard of living. The CESCR continues to emphasize the urgency of these measures in its periodic reviews of the UK.</w:t>
      </w:r>
    </w:p>
    <w:p w14:paraId="5E4183B3" w14:textId="77777777" w:rsidR="00613F2A" w:rsidRDefault="00E56D15" w:rsidP="00613F2A">
      <w:pPr>
        <w:pStyle w:val="Heading1"/>
        <w:shd w:val="clear" w:color="auto" w:fill="C9C9C9" w:themeFill="accent3" w:themeFillTint="99"/>
        <w:rPr>
          <w:rFonts w:eastAsia="Times New Roman"/>
        </w:rPr>
      </w:pPr>
      <w:r w:rsidRPr="0030456F">
        <w:rPr>
          <w:rFonts w:eastAsia="Times New Roman"/>
        </w:rPr>
        <w:t xml:space="preserve"> Recommendation</w:t>
      </w:r>
      <w:r w:rsidRPr="00E56D15">
        <w:rPr>
          <w:rFonts w:eastAsia="Times New Roman"/>
        </w:rPr>
        <w:t xml:space="preserve">: </w:t>
      </w:r>
    </w:p>
    <w:p w14:paraId="12666596" w14:textId="77777777" w:rsidR="00E56D15" w:rsidRPr="00E56D15" w:rsidRDefault="00E56D15" w:rsidP="0030456F">
      <w:pPr>
        <w:spacing w:before="100" w:beforeAutospacing="1" w:after="100" w:afterAutospacing="1" w:line="240" w:lineRule="auto"/>
        <w:jc w:val="both"/>
        <w:outlineLvl w:val="2"/>
        <w:rPr>
          <w:rFonts w:ascii="Times New Roman" w:eastAsia="Times New Roman" w:hAnsi="Times New Roman" w:cs="Times New Roman"/>
          <w:b/>
          <w:bCs/>
          <w:sz w:val="28"/>
          <w:szCs w:val="28"/>
        </w:rPr>
      </w:pPr>
      <w:r w:rsidRPr="0030456F">
        <w:rPr>
          <w:rFonts w:ascii="Times New Roman" w:eastAsia="Times New Roman" w:hAnsi="Times New Roman" w:cs="Times New Roman"/>
          <w:b/>
          <w:bCs/>
          <w:sz w:val="28"/>
          <w:szCs w:val="28"/>
        </w:rPr>
        <w:t>Recommendations for Addressing Poverty and Food Insecurity</w:t>
      </w:r>
      <w:r w:rsidR="00613F2A">
        <w:rPr>
          <w:rFonts w:ascii="Times New Roman" w:eastAsia="Times New Roman" w:hAnsi="Times New Roman" w:cs="Times New Roman"/>
          <w:b/>
          <w:bCs/>
          <w:sz w:val="28"/>
          <w:szCs w:val="28"/>
        </w:rPr>
        <w:t>:</w:t>
      </w:r>
    </w:p>
    <w:p w14:paraId="7D53F31F" w14:textId="77777777" w:rsidR="00E56D15" w:rsidRPr="00E56D15" w:rsidRDefault="00E56D15" w:rsidP="0030456F">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Strengthen Social Protection</w:t>
      </w:r>
      <w:r w:rsidRPr="00E56D15">
        <w:rPr>
          <w:rFonts w:ascii="Times New Roman" w:eastAsia="Times New Roman" w:hAnsi="Times New Roman" w:cs="Times New Roman"/>
          <w:sz w:val="28"/>
          <w:szCs w:val="28"/>
        </w:rPr>
        <w:t>:</w:t>
      </w:r>
    </w:p>
    <w:p w14:paraId="18A2DEFB" w14:textId="77777777" w:rsidR="00E56D15" w:rsidRPr="00E56D15" w:rsidRDefault="00E56D15" w:rsidP="0030456F">
      <w:pPr>
        <w:numPr>
          <w:ilvl w:val="1"/>
          <w:numId w:val="7"/>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Reverse austerity measures and increase benefits under Universal Credit.</w:t>
      </w:r>
    </w:p>
    <w:p w14:paraId="3B50FA42" w14:textId="77777777" w:rsidR="00E56D15" w:rsidRPr="00E56D15" w:rsidRDefault="00E56D15" w:rsidP="0030456F">
      <w:pPr>
        <w:numPr>
          <w:ilvl w:val="1"/>
          <w:numId w:val="7"/>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Ensure benefits are inflation-linked and accessible to all eligible individuals.</w:t>
      </w:r>
    </w:p>
    <w:p w14:paraId="2C9D7CDC" w14:textId="77777777" w:rsidR="00E56D15" w:rsidRPr="00E56D15" w:rsidRDefault="00E56D15" w:rsidP="0030456F">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Implement Living Wage Policies</w:t>
      </w:r>
      <w:r w:rsidRPr="00E56D15">
        <w:rPr>
          <w:rFonts w:ascii="Times New Roman" w:eastAsia="Times New Roman" w:hAnsi="Times New Roman" w:cs="Times New Roman"/>
          <w:sz w:val="28"/>
          <w:szCs w:val="28"/>
        </w:rPr>
        <w:t>:</w:t>
      </w:r>
    </w:p>
    <w:p w14:paraId="30CBD751" w14:textId="77777777" w:rsidR="00E56D15" w:rsidRPr="00E56D15" w:rsidRDefault="00E56D15" w:rsidP="0030456F">
      <w:pPr>
        <w:numPr>
          <w:ilvl w:val="1"/>
          <w:numId w:val="7"/>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Mandate fair wages that meet the actual cost of living.</w:t>
      </w:r>
    </w:p>
    <w:p w14:paraId="17101EA3" w14:textId="77777777" w:rsidR="00E56D15" w:rsidRPr="00E56D15" w:rsidRDefault="00E56D15" w:rsidP="0030456F">
      <w:pPr>
        <w:numPr>
          <w:ilvl w:val="1"/>
          <w:numId w:val="7"/>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Support workers in low-paid and precarious jobs through stronger labor protections.</w:t>
      </w:r>
    </w:p>
    <w:p w14:paraId="60740F61" w14:textId="77777777" w:rsidR="00E56D15" w:rsidRPr="00E56D15" w:rsidRDefault="00E56D15" w:rsidP="0030456F">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Combat Food Insecurity</w:t>
      </w:r>
      <w:r w:rsidRPr="00E56D15">
        <w:rPr>
          <w:rFonts w:ascii="Times New Roman" w:eastAsia="Times New Roman" w:hAnsi="Times New Roman" w:cs="Times New Roman"/>
          <w:sz w:val="28"/>
          <w:szCs w:val="28"/>
        </w:rPr>
        <w:t>:</w:t>
      </w:r>
    </w:p>
    <w:p w14:paraId="5F7EF6F8" w14:textId="77777777" w:rsidR="00E56D15" w:rsidRPr="00E56D15" w:rsidRDefault="00E56D15" w:rsidP="0030456F">
      <w:pPr>
        <w:numPr>
          <w:ilvl w:val="1"/>
          <w:numId w:val="7"/>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Expand access to free school meals and ensure year-round nutritional support for children.</w:t>
      </w:r>
    </w:p>
    <w:p w14:paraId="24D5762A" w14:textId="77777777" w:rsidR="00E56D15" w:rsidRPr="00E56D15" w:rsidRDefault="00E56D15" w:rsidP="0030456F">
      <w:pPr>
        <w:numPr>
          <w:ilvl w:val="1"/>
          <w:numId w:val="7"/>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Invest in local food programs to reduce reliance on food banks.</w:t>
      </w:r>
    </w:p>
    <w:p w14:paraId="2C22FC94" w14:textId="77777777" w:rsidR="00E56D15" w:rsidRPr="00E56D15" w:rsidRDefault="00E56D15" w:rsidP="0030456F">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30456F">
        <w:rPr>
          <w:rFonts w:ascii="Times New Roman" w:eastAsia="Times New Roman" w:hAnsi="Times New Roman" w:cs="Times New Roman"/>
          <w:b/>
          <w:bCs/>
          <w:sz w:val="28"/>
          <w:szCs w:val="28"/>
        </w:rPr>
        <w:t>Address Structural Inequalities</w:t>
      </w:r>
      <w:r w:rsidRPr="00E56D15">
        <w:rPr>
          <w:rFonts w:ascii="Times New Roman" w:eastAsia="Times New Roman" w:hAnsi="Times New Roman" w:cs="Times New Roman"/>
          <w:sz w:val="28"/>
          <w:szCs w:val="28"/>
        </w:rPr>
        <w:t>:</w:t>
      </w:r>
    </w:p>
    <w:p w14:paraId="55409301" w14:textId="77777777" w:rsidR="00E56D15" w:rsidRPr="001547D5" w:rsidRDefault="00E56D15" w:rsidP="001547D5">
      <w:pPr>
        <w:numPr>
          <w:ilvl w:val="1"/>
          <w:numId w:val="7"/>
        </w:numPr>
        <w:spacing w:before="100" w:beforeAutospacing="1" w:after="100" w:afterAutospacing="1" w:line="240" w:lineRule="auto"/>
        <w:jc w:val="both"/>
        <w:rPr>
          <w:rFonts w:ascii="Times New Roman" w:eastAsia="Times New Roman" w:hAnsi="Times New Roman" w:cs="Times New Roman"/>
          <w:sz w:val="28"/>
          <w:szCs w:val="28"/>
        </w:rPr>
      </w:pPr>
      <w:r w:rsidRPr="00E56D15">
        <w:rPr>
          <w:rFonts w:ascii="Times New Roman" w:eastAsia="Times New Roman" w:hAnsi="Times New Roman" w:cs="Times New Roman"/>
          <w:sz w:val="28"/>
          <w:szCs w:val="28"/>
        </w:rPr>
        <w:t>Target policies to address the root causes of poverty, including housing affordability, regional disparities, and discrimination.</w:t>
      </w:r>
    </w:p>
    <w:p w14:paraId="29547404" w14:textId="77777777" w:rsidR="002E708B" w:rsidRPr="00C5346A" w:rsidRDefault="002E708B" w:rsidP="0030456F">
      <w:pPr>
        <w:bidi/>
        <w:jc w:val="both"/>
        <w:rPr>
          <w:rFonts w:asciiTheme="majorBidi" w:hAnsiTheme="majorBidi" w:cstheme="majorBidi"/>
          <w:sz w:val="28"/>
          <w:szCs w:val="28"/>
          <w:lang w:bidi="fa-IR"/>
        </w:rPr>
      </w:pPr>
    </w:p>
    <w:sectPr w:rsidR="002E708B" w:rsidRPr="00C5346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74500" w14:textId="77777777" w:rsidR="00391222" w:rsidRDefault="00391222" w:rsidP="00B52316">
      <w:pPr>
        <w:spacing w:after="0" w:line="240" w:lineRule="auto"/>
      </w:pPr>
      <w:r>
        <w:separator/>
      </w:r>
    </w:p>
  </w:endnote>
  <w:endnote w:type="continuationSeparator" w:id="0">
    <w:p w14:paraId="17C5E87E" w14:textId="77777777" w:rsidR="00391222" w:rsidRDefault="00391222" w:rsidP="00B52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003964"/>
      <w:docPartObj>
        <w:docPartGallery w:val="Page Numbers (Bottom of Page)"/>
        <w:docPartUnique/>
      </w:docPartObj>
    </w:sdtPr>
    <w:sdtEndPr>
      <w:rPr>
        <w:noProof/>
      </w:rPr>
    </w:sdtEndPr>
    <w:sdtContent>
      <w:p w14:paraId="780B6B1E" w14:textId="77777777" w:rsidR="00CD599C" w:rsidRDefault="00CD599C" w:rsidP="00CD599C">
        <w:pPr>
          <w:pStyle w:val="Footer"/>
        </w:pPr>
        <w:r>
          <w:fldChar w:fldCharType="begin"/>
        </w:r>
        <w:r>
          <w:instrText xml:space="preserve"> PAGE   \* MERGEFORMAT </w:instrText>
        </w:r>
        <w:r>
          <w:fldChar w:fldCharType="separate"/>
        </w:r>
        <w:r w:rsidR="003A341E">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342B6" w14:textId="77777777" w:rsidR="00391222" w:rsidRDefault="00391222" w:rsidP="00B52316">
      <w:pPr>
        <w:spacing w:after="0" w:line="240" w:lineRule="auto"/>
      </w:pPr>
      <w:r>
        <w:separator/>
      </w:r>
    </w:p>
  </w:footnote>
  <w:footnote w:type="continuationSeparator" w:id="0">
    <w:p w14:paraId="1C14F3B8" w14:textId="77777777" w:rsidR="00391222" w:rsidRDefault="00391222" w:rsidP="00B52316">
      <w:pPr>
        <w:spacing w:after="0" w:line="240" w:lineRule="auto"/>
      </w:pPr>
      <w:r>
        <w:continuationSeparator/>
      </w:r>
    </w:p>
  </w:footnote>
  <w:footnote w:id="1">
    <w:p w14:paraId="774DBD72" w14:textId="77777777" w:rsidR="00C5346A" w:rsidRPr="008866F9" w:rsidRDefault="00C5346A" w:rsidP="000D2B31">
      <w:pPr>
        <w:pStyle w:val="FootnoteText"/>
        <w:jc w:val="both"/>
        <w:rPr>
          <w:rFonts w:asciiTheme="majorBidi" w:hAnsiTheme="majorBidi" w:cstheme="majorBidi"/>
          <w:rtl/>
          <w:lang w:bidi="fa-IR"/>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https://www.jrf.org.uk/uk-poverty-2024-the-essential-guide-to-understanding-poverty-in-the-uk</w:t>
      </w:r>
    </w:p>
  </w:footnote>
  <w:footnote w:id="2">
    <w:p w14:paraId="7C69C61B" w14:textId="77777777" w:rsidR="0041107A" w:rsidRPr="008866F9" w:rsidRDefault="0041107A"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https://commonslibrary.parliament.uk/research-briefings/SN07096/</w:t>
      </w:r>
    </w:p>
  </w:footnote>
  <w:footnote w:id="3">
    <w:p w14:paraId="00E1F838" w14:textId="77777777" w:rsidR="00EE4506" w:rsidRPr="008866F9" w:rsidRDefault="00EE4506"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w:t>
      </w:r>
      <w:r w:rsidR="001301FA" w:rsidRPr="008866F9">
        <w:rPr>
          <w:rFonts w:asciiTheme="majorBidi" w:hAnsiTheme="majorBidi" w:cstheme="majorBidi"/>
        </w:rPr>
        <w:t>https://www.resolvepoverty.org/deepening-poverty-across-the-uk/</w:t>
      </w:r>
    </w:p>
  </w:footnote>
  <w:footnote w:id="4">
    <w:p w14:paraId="77FC19F0" w14:textId="77777777" w:rsidR="00AF6802" w:rsidRPr="008866F9" w:rsidRDefault="00AF6802"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https://researchbriefings.files.parliament.uk/documents/SN07096/SN07096.pdf</w:t>
      </w:r>
    </w:p>
  </w:footnote>
  <w:footnote w:id="5">
    <w:p w14:paraId="1D7C02BA" w14:textId="77777777" w:rsidR="00BA6EFC" w:rsidRPr="008866F9" w:rsidRDefault="00BA6EFC"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w:t>
      </w:r>
      <w:r w:rsidR="0041107A" w:rsidRPr="008866F9">
        <w:rPr>
          <w:rFonts w:asciiTheme="majorBidi" w:hAnsiTheme="majorBidi" w:cstheme="majorBidi"/>
        </w:rPr>
        <w:t>https://ifs.org.uk/uploads/publications/comms/R136.pdf</w:t>
      </w:r>
    </w:p>
  </w:footnote>
  <w:footnote w:id="6">
    <w:p w14:paraId="39816639" w14:textId="77777777" w:rsidR="003F0393" w:rsidRPr="008866F9" w:rsidRDefault="003F0393"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https://stateofchildhealth.rcpch.ac.uk/evidence/family-and-social-environment/child-poverty/#ref-6</w:t>
      </w:r>
    </w:p>
  </w:footnote>
  <w:footnote w:id="7">
    <w:p w14:paraId="343B6B94" w14:textId="77777777" w:rsidR="00476C2D" w:rsidRPr="008866F9" w:rsidRDefault="00476C2D" w:rsidP="006F422A">
      <w:pPr>
        <w:pStyle w:val="FootnoteText"/>
        <w:rPr>
          <w:rFonts w:asciiTheme="majorBidi" w:hAnsiTheme="majorBidi" w:cstheme="majorBidi"/>
        </w:rPr>
      </w:pPr>
      <w:r w:rsidRPr="008866F9">
        <w:rPr>
          <w:rStyle w:val="FootnoteReference"/>
          <w:rFonts w:asciiTheme="majorBidi" w:hAnsiTheme="majorBidi" w:cstheme="majorBidi"/>
          <w:vertAlign w:val="baseline"/>
        </w:rPr>
        <w:footnoteRef/>
      </w:r>
      <w:r w:rsidR="006F422A">
        <w:rPr>
          <w:rFonts w:asciiTheme="majorBidi" w:hAnsiTheme="majorBidi" w:cstheme="majorBidi" w:hint="cs"/>
          <w:rtl/>
        </w:rPr>
        <w:t xml:space="preserve"> </w:t>
      </w:r>
      <w:r w:rsidRPr="008866F9">
        <w:rPr>
          <w:rFonts w:asciiTheme="majorBidi" w:hAnsiTheme="majorBidi" w:cstheme="majorBidi"/>
        </w:rPr>
        <w:t>https://talkingupscotlandtwo.com/2024/01/26/protective-effect-of-devolved-policies-child-poverty-rates-in-scotland-24-remain-much-lower-than-those-in-england-31-and-wales-28the-protective-effect-of-devolv/</w:t>
      </w:r>
    </w:p>
  </w:footnote>
  <w:footnote w:id="8">
    <w:p w14:paraId="669AE28E" w14:textId="77777777" w:rsidR="00E504DF" w:rsidRPr="008866F9" w:rsidRDefault="00E504DF"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https://www.jrf.org.uk/uk-poverty-2024-the-essential-guide-to-understanding-poverty-in-the-uk</w:t>
      </w:r>
    </w:p>
  </w:footnote>
  <w:footnote w:id="9">
    <w:p w14:paraId="5EF260F6" w14:textId="77777777" w:rsidR="00905DD2" w:rsidRPr="008866F9" w:rsidRDefault="00905DD2"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https://commonslibrary.parliament.uk/research-briefings/cbp-9209/</w:t>
      </w:r>
    </w:p>
  </w:footnote>
  <w:footnote w:id="10">
    <w:p w14:paraId="137EB57B" w14:textId="77777777" w:rsidR="002A0175" w:rsidRPr="008866F9" w:rsidRDefault="002A0175"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https://researchbriefings.files.parliament.uk/documents/SN07096/SN07096.pdf</w:t>
      </w:r>
    </w:p>
  </w:footnote>
  <w:footnote w:id="11">
    <w:p w14:paraId="7F04E9AD" w14:textId="77777777" w:rsidR="00437585" w:rsidRPr="008866F9" w:rsidRDefault="00437585"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w:t>
      </w:r>
      <w:r w:rsidR="001504DD" w:rsidRPr="008866F9">
        <w:rPr>
          <w:rFonts w:asciiTheme="majorBidi" w:hAnsiTheme="majorBidi" w:cstheme="majorBidi"/>
        </w:rPr>
        <w:t>https://www.theguardian.com/society/2024/feb/27/health-emergency-15-of-uk-households-went-hungry-last-month-data-shows</w:t>
      </w:r>
    </w:p>
  </w:footnote>
  <w:footnote w:id="12">
    <w:p w14:paraId="7A858250" w14:textId="77777777" w:rsidR="009B5067" w:rsidRPr="008866F9" w:rsidRDefault="009B5067"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w:t>
      </w:r>
      <w:r w:rsidR="00BE65BF" w:rsidRPr="008866F9">
        <w:rPr>
          <w:rFonts w:asciiTheme="majorBidi" w:hAnsiTheme="majorBidi" w:cstheme="majorBidi"/>
        </w:rPr>
        <w:t>https://commonslibrary.parliament.uk/research-briefings/cbp-9209/</w:t>
      </w:r>
    </w:p>
  </w:footnote>
  <w:footnote w:id="13">
    <w:p w14:paraId="6EE529A0" w14:textId="77777777" w:rsidR="008124B4" w:rsidRPr="008866F9" w:rsidRDefault="008124B4"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https://commonslibrary.parliament.uk/research-briefings/cbp-9428/</w:t>
      </w:r>
    </w:p>
  </w:footnote>
  <w:footnote w:id="14">
    <w:p w14:paraId="687AD4FC" w14:textId="77777777" w:rsidR="001725D2" w:rsidRPr="008866F9" w:rsidRDefault="001725D2" w:rsidP="000D2B31">
      <w:pPr>
        <w:pStyle w:val="FootnoteText"/>
        <w:jc w:val="both"/>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w:t>
      </w:r>
      <w:r w:rsidR="003C4656" w:rsidRPr="008866F9">
        <w:rPr>
          <w:rFonts w:asciiTheme="majorBidi" w:hAnsiTheme="majorBidi" w:cstheme="majorBidi"/>
        </w:rPr>
        <w:t>https://www.instituteforgovernment.org.uk/explainer/cost-living-crisis</w:t>
      </w:r>
    </w:p>
  </w:footnote>
  <w:footnote w:id="15">
    <w:p w14:paraId="4B49BD1C" w14:textId="77777777" w:rsidR="006B0375" w:rsidRPr="008866F9" w:rsidRDefault="006B0375" w:rsidP="003A341E">
      <w:pPr>
        <w:pStyle w:val="FootnoteText"/>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https://www.london.gov.uk/who-we-are/what-london-assembly-does/questions-mayor/find-an-answer/holiday-hunger-6</w:t>
      </w:r>
    </w:p>
  </w:footnote>
  <w:footnote w:id="16">
    <w:p w14:paraId="66E8B4C9" w14:textId="77777777" w:rsidR="002645B4" w:rsidRPr="008866F9" w:rsidRDefault="002645B4" w:rsidP="003A341E">
      <w:pPr>
        <w:pStyle w:val="FootnoteText"/>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https://fareshare.org.uk/holidayprojects/</w:t>
      </w:r>
    </w:p>
  </w:footnote>
  <w:footnote w:id="17">
    <w:p w14:paraId="086C6627" w14:textId="77777777" w:rsidR="00486D72" w:rsidRPr="008866F9" w:rsidRDefault="00486D72" w:rsidP="003A341E">
      <w:pPr>
        <w:pStyle w:val="FootnoteText"/>
        <w:rPr>
          <w:rFonts w:asciiTheme="majorBidi" w:hAnsiTheme="majorBidi" w:cstheme="majorBidi"/>
        </w:rPr>
      </w:pPr>
      <w:r w:rsidRPr="008866F9">
        <w:rPr>
          <w:rStyle w:val="FootnoteReference"/>
          <w:rFonts w:asciiTheme="majorBidi" w:hAnsiTheme="majorBidi" w:cstheme="majorBidi"/>
          <w:vertAlign w:val="baseline"/>
        </w:rPr>
        <w:footnoteRef/>
      </w:r>
      <w:r w:rsidRPr="008866F9">
        <w:rPr>
          <w:rFonts w:asciiTheme="majorBidi" w:hAnsiTheme="majorBidi" w:cstheme="majorBidi"/>
        </w:rPr>
        <w:t xml:space="preserve"> https://www.cieh.org/ehn/public-health-and-protection/2024/july/over-600-000-uk-children-could-go-hungry-this-summer/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92E5C" w14:textId="77777777" w:rsidR="00F72E71" w:rsidRDefault="00F72E71">
    <w:pPr>
      <w:pStyle w:val="Header"/>
    </w:pPr>
    <w:r>
      <w:rPr>
        <w:noProof/>
      </w:rPr>
      <w:drawing>
        <wp:anchor distT="0" distB="0" distL="114300" distR="114300" simplePos="0" relativeHeight="251658240" behindDoc="1" locked="0" layoutInCell="1" allowOverlap="1" wp14:anchorId="0A276242" wp14:editId="23F13367">
          <wp:simplePos x="0" y="0"/>
          <wp:positionH relativeFrom="page">
            <wp:posOffset>-103517</wp:posOffset>
          </wp:positionH>
          <wp:positionV relativeFrom="paragraph">
            <wp:posOffset>-457201</wp:posOffset>
          </wp:positionV>
          <wp:extent cx="7875467" cy="11119449"/>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77241" cy="1112195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30" style="width:0;height:1.5pt" o:hralign="center" o:bullet="t" o:hrstd="t" o:hr="t" fillcolor="#a0a0a0" stroked="f"/>
    </w:pict>
  </w:numPicBullet>
  <w:abstractNum w:abstractNumId="0" w15:restartNumberingAfterBreak="0">
    <w:nsid w:val="01AE1A41"/>
    <w:multiLevelType w:val="multilevel"/>
    <w:tmpl w:val="BDEE02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DB099F"/>
    <w:multiLevelType w:val="multilevel"/>
    <w:tmpl w:val="B42A1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985C08"/>
    <w:multiLevelType w:val="multilevel"/>
    <w:tmpl w:val="C3201E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B0669A"/>
    <w:multiLevelType w:val="multilevel"/>
    <w:tmpl w:val="D38A0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DB6B38"/>
    <w:multiLevelType w:val="multilevel"/>
    <w:tmpl w:val="18FA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6A25FC"/>
    <w:multiLevelType w:val="multilevel"/>
    <w:tmpl w:val="B6C2B4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103334"/>
    <w:multiLevelType w:val="multilevel"/>
    <w:tmpl w:val="27B4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98669">
    <w:abstractNumId w:val="1"/>
  </w:num>
  <w:num w:numId="2" w16cid:durableId="1699768332">
    <w:abstractNumId w:val="2"/>
  </w:num>
  <w:num w:numId="3" w16cid:durableId="933126870">
    <w:abstractNumId w:val="5"/>
  </w:num>
  <w:num w:numId="4" w16cid:durableId="1413158209">
    <w:abstractNumId w:val="6"/>
  </w:num>
  <w:num w:numId="5" w16cid:durableId="403453712">
    <w:abstractNumId w:val="3"/>
  </w:num>
  <w:num w:numId="6" w16cid:durableId="1916159582">
    <w:abstractNumId w:val="4"/>
  </w:num>
  <w:num w:numId="7" w16cid:durableId="573902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316"/>
    <w:rsid w:val="00030ABC"/>
    <w:rsid w:val="0004112D"/>
    <w:rsid w:val="00045BEF"/>
    <w:rsid w:val="00060722"/>
    <w:rsid w:val="000716C4"/>
    <w:rsid w:val="00074640"/>
    <w:rsid w:val="000938F3"/>
    <w:rsid w:val="000A5D01"/>
    <w:rsid w:val="000B6784"/>
    <w:rsid w:val="000D2B31"/>
    <w:rsid w:val="000E2B09"/>
    <w:rsid w:val="00102009"/>
    <w:rsid w:val="001301FA"/>
    <w:rsid w:val="001504DD"/>
    <w:rsid w:val="001547D5"/>
    <w:rsid w:val="001725D2"/>
    <w:rsid w:val="00197324"/>
    <w:rsid w:val="001A346B"/>
    <w:rsid w:val="001C1507"/>
    <w:rsid w:val="001E2EEB"/>
    <w:rsid w:val="001F6AA2"/>
    <w:rsid w:val="00210E7D"/>
    <w:rsid w:val="002270C9"/>
    <w:rsid w:val="00232880"/>
    <w:rsid w:val="002447A8"/>
    <w:rsid w:val="0025085A"/>
    <w:rsid w:val="002645B4"/>
    <w:rsid w:val="00273CE4"/>
    <w:rsid w:val="00283BBC"/>
    <w:rsid w:val="002A0175"/>
    <w:rsid w:val="002C70FA"/>
    <w:rsid w:val="002E708B"/>
    <w:rsid w:val="002E79A7"/>
    <w:rsid w:val="00300658"/>
    <w:rsid w:val="0030456F"/>
    <w:rsid w:val="00361312"/>
    <w:rsid w:val="00391222"/>
    <w:rsid w:val="00395658"/>
    <w:rsid w:val="003A341E"/>
    <w:rsid w:val="003C4656"/>
    <w:rsid w:val="003F0393"/>
    <w:rsid w:val="003F33DF"/>
    <w:rsid w:val="0041107A"/>
    <w:rsid w:val="00420A93"/>
    <w:rsid w:val="004310BF"/>
    <w:rsid w:val="00437585"/>
    <w:rsid w:val="00466AE5"/>
    <w:rsid w:val="00476C2D"/>
    <w:rsid w:val="00486D72"/>
    <w:rsid w:val="00497434"/>
    <w:rsid w:val="004C6893"/>
    <w:rsid w:val="004D750F"/>
    <w:rsid w:val="004F72E7"/>
    <w:rsid w:val="00520495"/>
    <w:rsid w:val="00524CF1"/>
    <w:rsid w:val="005513DE"/>
    <w:rsid w:val="0056502B"/>
    <w:rsid w:val="005663E3"/>
    <w:rsid w:val="005B1F40"/>
    <w:rsid w:val="00610BAC"/>
    <w:rsid w:val="00613F2A"/>
    <w:rsid w:val="006A57D0"/>
    <w:rsid w:val="006B0375"/>
    <w:rsid w:val="006E1F17"/>
    <w:rsid w:val="006F422A"/>
    <w:rsid w:val="006F53E9"/>
    <w:rsid w:val="00724734"/>
    <w:rsid w:val="007735E8"/>
    <w:rsid w:val="007C7DA7"/>
    <w:rsid w:val="007D4787"/>
    <w:rsid w:val="007F6F39"/>
    <w:rsid w:val="008124B4"/>
    <w:rsid w:val="008709BE"/>
    <w:rsid w:val="008866F9"/>
    <w:rsid w:val="008A760F"/>
    <w:rsid w:val="008E52CD"/>
    <w:rsid w:val="00905DD2"/>
    <w:rsid w:val="0090771A"/>
    <w:rsid w:val="009249D8"/>
    <w:rsid w:val="00954B6E"/>
    <w:rsid w:val="0096569C"/>
    <w:rsid w:val="0096653F"/>
    <w:rsid w:val="009B0C4B"/>
    <w:rsid w:val="009B5067"/>
    <w:rsid w:val="009E198F"/>
    <w:rsid w:val="009F05A8"/>
    <w:rsid w:val="00A10A6C"/>
    <w:rsid w:val="00A7268E"/>
    <w:rsid w:val="00A96F7B"/>
    <w:rsid w:val="00AE6B05"/>
    <w:rsid w:val="00AF6802"/>
    <w:rsid w:val="00B20DE5"/>
    <w:rsid w:val="00B34E34"/>
    <w:rsid w:val="00B36FD6"/>
    <w:rsid w:val="00B52316"/>
    <w:rsid w:val="00B57524"/>
    <w:rsid w:val="00BA6EFC"/>
    <w:rsid w:val="00BC08C5"/>
    <w:rsid w:val="00BE1A51"/>
    <w:rsid w:val="00BE5BD2"/>
    <w:rsid w:val="00BE65BF"/>
    <w:rsid w:val="00C04A75"/>
    <w:rsid w:val="00C0756F"/>
    <w:rsid w:val="00C5346A"/>
    <w:rsid w:val="00C97FA5"/>
    <w:rsid w:val="00CA4429"/>
    <w:rsid w:val="00CA5EB8"/>
    <w:rsid w:val="00CB28B7"/>
    <w:rsid w:val="00CD489C"/>
    <w:rsid w:val="00CD599C"/>
    <w:rsid w:val="00CF535F"/>
    <w:rsid w:val="00D228B3"/>
    <w:rsid w:val="00D25B52"/>
    <w:rsid w:val="00D538F2"/>
    <w:rsid w:val="00D806BF"/>
    <w:rsid w:val="00DE0858"/>
    <w:rsid w:val="00DE22C9"/>
    <w:rsid w:val="00E013B0"/>
    <w:rsid w:val="00E027A5"/>
    <w:rsid w:val="00E504DF"/>
    <w:rsid w:val="00E56D15"/>
    <w:rsid w:val="00E707D1"/>
    <w:rsid w:val="00E7614B"/>
    <w:rsid w:val="00E91CCD"/>
    <w:rsid w:val="00EB334F"/>
    <w:rsid w:val="00EC22C7"/>
    <w:rsid w:val="00EC2F03"/>
    <w:rsid w:val="00EC43F4"/>
    <w:rsid w:val="00EE4506"/>
    <w:rsid w:val="00EF4B36"/>
    <w:rsid w:val="00EF6695"/>
    <w:rsid w:val="00F43AA3"/>
    <w:rsid w:val="00F72E71"/>
    <w:rsid w:val="00F826BC"/>
    <w:rsid w:val="00F83A6E"/>
    <w:rsid w:val="00FC7D30"/>
    <w:rsid w:val="00FD3D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21C50B"/>
  <w15:chartTrackingRefBased/>
  <w15:docId w15:val="{E7C34BDB-FEE3-4828-8E20-BA59EE67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56F"/>
    <w:pPr>
      <w:keepNext/>
      <w:keepLines/>
      <w:spacing w:before="240" w:after="0"/>
      <w:outlineLvl w:val="0"/>
    </w:pPr>
    <w:rPr>
      <w:rFonts w:asciiTheme="majorBidi" w:eastAsiaTheme="majorEastAsia" w:hAnsiTheme="majorBidi" w:cstheme="majorBidi"/>
      <w:b/>
      <w:color w:val="171717" w:themeColor="background2" w:themeShade="1A"/>
      <w:sz w:val="32"/>
      <w:szCs w:val="32"/>
    </w:rPr>
  </w:style>
  <w:style w:type="paragraph" w:styleId="Heading3">
    <w:name w:val="heading 3"/>
    <w:basedOn w:val="Normal"/>
    <w:link w:val="Heading3Char"/>
    <w:uiPriority w:val="9"/>
    <w:qFormat/>
    <w:rsid w:val="00E56D1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23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2316"/>
  </w:style>
  <w:style w:type="paragraph" w:styleId="Footer">
    <w:name w:val="footer"/>
    <w:basedOn w:val="Normal"/>
    <w:link w:val="FooterChar"/>
    <w:uiPriority w:val="99"/>
    <w:unhideWhenUsed/>
    <w:rsid w:val="00B523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2316"/>
  </w:style>
  <w:style w:type="character" w:customStyle="1" w:styleId="Heading3Char">
    <w:name w:val="Heading 3 Char"/>
    <w:basedOn w:val="DefaultParagraphFont"/>
    <w:link w:val="Heading3"/>
    <w:uiPriority w:val="9"/>
    <w:rsid w:val="00E56D1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56D1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6D15"/>
    <w:rPr>
      <w:b/>
      <w:bCs/>
    </w:rPr>
  </w:style>
  <w:style w:type="character" w:customStyle="1" w:styleId="overflow-hidden">
    <w:name w:val="overflow-hidden"/>
    <w:basedOn w:val="DefaultParagraphFont"/>
    <w:rsid w:val="00E56D15"/>
  </w:style>
  <w:style w:type="character" w:customStyle="1" w:styleId="Heading1Char">
    <w:name w:val="Heading 1 Char"/>
    <w:basedOn w:val="DefaultParagraphFont"/>
    <w:link w:val="Heading1"/>
    <w:uiPriority w:val="9"/>
    <w:rsid w:val="0030456F"/>
    <w:rPr>
      <w:rFonts w:asciiTheme="majorBidi" w:eastAsiaTheme="majorEastAsia" w:hAnsiTheme="majorBidi" w:cstheme="majorBidi"/>
      <w:b/>
      <w:color w:val="171717" w:themeColor="background2" w:themeShade="1A"/>
      <w:sz w:val="32"/>
      <w:szCs w:val="32"/>
    </w:rPr>
  </w:style>
  <w:style w:type="paragraph" w:styleId="FootnoteText">
    <w:name w:val="footnote text"/>
    <w:basedOn w:val="Normal"/>
    <w:link w:val="FootnoteTextChar"/>
    <w:uiPriority w:val="99"/>
    <w:semiHidden/>
    <w:unhideWhenUsed/>
    <w:rsid w:val="007C7D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7DA7"/>
    <w:rPr>
      <w:sz w:val="20"/>
      <w:szCs w:val="20"/>
    </w:rPr>
  </w:style>
  <w:style w:type="character" w:styleId="FootnoteReference">
    <w:name w:val="footnote reference"/>
    <w:basedOn w:val="DefaultParagraphFont"/>
    <w:uiPriority w:val="99"/>
    <w:semiHidden/>
    <w:unhideWhenUsed/>
    <w:rsid w:val="007C7D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87790">
      <w:bodyDiv w:val="1"/>
      <w:marLeft w:val="0"/>
      <w:marRight w:val="0"/>
      <w:marTop w:val="0"/>
      <w:marBottom w:val="0"/>
      <w:divBdr>
        <w:top w:val="none" w:sz="0" w:space="0" w:color="auto"/>
        <w:left w:val="none" w:sz="0" w:space="0" w:color="auto"/>
        <w:bottom w:val="none" w:sz="0" w:space="0" w:color="auto"/>
        <w:right w:val="none" w:sz="0" w:space="0" w:color="auto"/>
      </w:divBdr>
    </w:div>
    <w:div w:id="1074284346">
      <w:bodyDiv w:val="1"/>
      <w:marLeft w:val="0"/>
      <w:marRight w:val="0"/>
      <w:marTop w:val="0"/>
      <w:marBottom w:val="0"/>
      <w:divBdr>
        <w:top w:val="none" w:sz="0" w:space="0" w:color="auto"/>
        <w:left w:val="none" w:sz="0" w:space="0" w:color="auto"/>
        <w:bottom w:val="none" w:sz="0" w:space="0" w:color="auto"/>
        <w:right w:val="none" w:sz="0" w:space="0" w:color="auto"/>
      </w:divBdr>
    </w:div>
    <w:div w:id="1277759781">
      <w:bodyDiv w:val="1"/>
      <w:marLeft w:val="0"/>
      <w:marRight w:val="0"/>
      <w:marTop w:val="0"/>
      <w:marBottom w:val="0"/>
      <w:divBdr>
        <w:top w:val="none" w:sz="0" w:space="0" w:color="auto"/>
        <w:left w:val="none" w:sz="0" w:space="0" w:color="auto"/>
        <w:bottom w:val="none" w:sz="0" w:space="0" w:color="auto"/>
        <w:right w:val="none" w:sz="0" w:space="0" w:color="auto"/>
      </w:divBdr>
    </w:div>
    <w:div w:id="1725333077">
      <w:bodyDiv w:val="1"/>
      <w:marLeft w:val="0"/>
      <w:marRight w:val="0"/>
      <w:marTop w:val="0"/>
      <w:marBottom w:val="0"/>
      <w:divBdr>
        <w:top w:val="none" w:sz="0" w:space="0" w:color="auto"/>
        <w:left w:val="none" w:sz="0" w:space="0" w:color="auto"/>
        <w:bottom w:val="none" w:sz="0" w:space="0" w:color="auto"/>
        <w:right w:val="none" w:sz="0" w:space="0" w:color="auto"/>
      </w:divBdr>
      <w:divsChild>
        <w:div w:id="1163086084">
          <w:marLeft w:val="0"/>
          <w:marRight w:val="0"/>
          <w:marTop w:val="0"/>
          <w:marBottom w:val="0"/>
          <w:divBdr>
            <w:top w:val="none" w:sz="0" w:space="0" w:color="auto"/>
            <w:left w:val="none" w:sz="0" w:space="0" w:color="auto"/>
            <w:bottom w:val="none" w:sz="0" w:space="0" w:color="auto"/>
            <w:right w:val="none" w:sz="0" w:space="0" w:color="auto"/>
          </w:divBdr>
          <w:divsChild>
            <w:div w:id="1112826545">
              <w:marLeft w:val="0"/>
              <w:marRight w:val="0"/>
              <w:marTop w:val="0"/>
              <w:marBottom w:val="0"/>
              <w:divBdr>
                <w:top w:val="none" w:sz="0" w:space="0" w:color="auto"/>
                <w:left w:val="none" w:sz="0" w:space="0" w:color="auto"/>
                <w:bottom w:val="none" w:sz="0" w:space="0" w:color="auto"/>
                <w:right w:val="none" w:sz="0" w:space="0" w:color="auto"/>
              </w:divBdr>
              <w:divsChild>
                <w:div w:id="986668911">
                  <w:marLeft w:val="0"/>
                  <w:marRight w:val="0"/>
                  <w:marTop w:val="0"/>
                  <w:marBottom w:val="0"/>
                  <w:divBdr>
                    <w:top w:val="none" w:sz="0" w:space="0" w:color="auto"/>
                    <w:left w:val="none" w:sz="0" w:space="0" w:color="auto"/>
                    <w:bottom w:val="none" w:sz="0" w:space="0" w:color="auto"/>
                    <w:right w:val="none" w:sz="0" w:space="0" w:color="auto"/>
                  </w:divBdr>
                  <w:divsChild>
                    <w:div w:id="14446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464016">
          <w:marLeft w:val="0"/>
          <w:marRight w:val="0"/>
          <w:marTop w:val="0"/>
          <w:marBottom w:val="0"/>
          <w:divBdr>
            <w:top w:val="none" w:sz="0" w:space="0" w:color="auto"/>
            <w:left w:val="none" w:sz="0" w:space="0" w:color="auto"/>
            <w:bottom w:val="none" w:sz="0" w:space="0" w:color="auto"/>
            <w:right w:val="none" w:sz="0" w:space="0" w:color="auto"/>
          </w:divBdr>
          <w:divsChild>
            <w:div w:id="1806580656">
              <w:marLeft w:val="0"/>
              <w:marRight w:val="0"/>
              <w:marTop w:val="0"/>
              <w:marBottom w:val="0"/>
              <w:divBdr>
                <w:top w:val="none" w:sz="0" w:space="0" w:color="auto"/>
                <w:left w:val="none" w:sz="0" w:space="0" w:color="auto"/>
                <w:bottom w:val="none" w:sz="0" w:space="0" w:color="auto"/>
                <w:right w:val="none" w:sz="0" w:space="0" w:color="auto"/>
              </w:divBdr>
              <w:divsChild>
                <w:div w:id="1625232528">
                  <w:marLeft w:val="0"/>
                  <w:marRight w:val="0"/>
                  <w:marTop w:val="0"/>
                  <w:marBottom w:val="0"/>
                  <w:divBdr>
                    <w:top w:val="none" w:sz="0" w:space="0" w:color="auto"/>
                    <w:left w:val="none" w:sz="0" w:space="0" w:color="auto"/>
                    <w:bottom w:val="none" w:sz="0" w:space="0" w:color="auto"/>
                    <w:right w:val="none" w:sz="0" w:space="0" w:color="auto"/>
                  </w:divBdr>
                  <w:divsChild>
                    <w:div w:id="96836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999818">
      <w:bodyDiv w:val="1"/>
      <w:marLeft w:val="0"/>
      <w:marRight w:val="0"/>
      <w:marTop w:val="0"/>
      <w:marBottom w:val="0"/>
      <w:divBdr>
        <w:top w:val="none" w:sz="0" w:space="0" w:color="auto"/>
        <w:left w:val="none" w:sz="0" w:space="0" w:color="auto"/>
        <w:bottom w:val="none" w:sz="0" w:space="0" w:color="auto"/>
        <w:right w:val="none" w:sz="0" w:space="0" w:color="auto"/>
      </w:divBdr>
      <w:divsChild>
        <w:div w:id="1485051451">
          <w:marLeft w:val="0"/>
          <w:marRight w:val="0"/>
          <w:marTop w:val="0"/>
          <w:marBottom w:val="0"/>
          <w:divBdr>
            <w:top w:val="none" w:sz="0" w:space="0" w:color="auto"/>
            <w:left w:val="none" w:sz="0" w:space="0" w:color="auto"/>
            <w:bottom w:val="none" w:sz="0" w:space="0" w:color="auto"/>
            <w:right w:val="none" w:sz="0" w:space="0" w:color="auto"/>
          </w:divBdr>
          <w:divsChild>
            <w:div w:id="464590648">
              <w:marLeft w:val="0"/>
              <w:marRight w:val="0"/>
              <w:marTop w:val="0"/>
              <w:marBottom w:val="0"/>
              <w:divBdr>
                <w:top w:val="none" w:sz="0" w:space="0" w:color="auto"/>
                <w:left w:val="none" w:sz="0" w:space="0" w:color="auto"/>
                <w:bottom w:val="none" w:sz="0" w:space="0" w:color="auto"/>
                <w:right w:val="none" w:sz="0" w:space="0" w:color="auto"/>
              </w:divBdr>
              <w:divsChild>
                <w:div w:id="685717972">
                  <w:marLeft w:val="0"/>
                  <w:marRight w:val="0"/>
                  <w:marTop w:val="0"/>
                  <w:marBottom w:val="0"/>
                  <w:divBdr>
                    <w:top w:val="none" w:sz="0" w:space="0" w:color="auto"/>
                    <w:left w:val="none" w:sz="0" w:space="0" w:color="auto"/>
                    <w:bottom w:val="none" w:sz="0" w:space="0" w:color="auto"/>
                    <w:right w:val="none" w:sz="0" w:space="0" w:color="auto"/>
                  </w:divBdr>
                  <w:divsChild>
                    <w:div w:id="140988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850400">
          <w:marLeft w:val="0"/>
          <w:marRight w:val="0"/>
          <w:marTop w:val="0"/>
          <w:marBottom w:val="0"/>
          <w:divBdr>
            <w:top w:val="none" w:sz="0" w:space="0" w:color="auto"/>
            <w:left w:val="none" w:sz="0" w:space="0" w:color="auto"/>
            <w:bottom w:val="none" w:sz="0" w:space="0" w:color="auto"/>
            <w:right w:val="none" w:sz="0" w:space="0" w:color="auto"/>
          </w:divBdr>
          <w:divsChild>
            <w:div w:id="1397390679">
              <w:marLeft w:val="0"/>
              <w:marRight w:val="0"/>
              <w:marTop w:val="0"/>
              <w:marBottom w:val="0"/>
              <w:divBdr>
                <w:top w:val="none" w:sz="0" w:space="0" w:color="auto"/>
                <w:left w:val="none" w:sz="0" w:space="0" w:color="auto"/>
                <w:bottom w:val="none" w:sz="0" w:space="0" w:color="auto"/>
                <w:right w:val="none" w:sz="0" w:space="0" w:color="auto"/>
              </w:divBdr>
              <w:divsChild>
                <w:div w:id="1987392087">
                  <w:marLeft w:val="0"/>
                  <w:marRight w:val="0"/>
                  <w:marTop w:val="0"/>
                  <w:marBottom w:val="0"/>
                  <w:divBdr>
                    <w:top w:val="none" w:sz="0" w:space="0" w:color="auto"/>
                    <w:left w:val="none" w:sz="0" w:space="0" w:color="auto"/>
                    <w:bottom w:val="none" w:sz="0" w:space="0" w:color="auto"/>
                    <w:right w:val="none" w:sz="0" w:space="0" w:color="auto"/>
                  </w:divBdr>
                  <w:divsChild>
                    <w:div w:id="142183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LAPTOP</cp:lastModifiedBy>
  <cp:revision>4</cp:revision>
  <dcterms:created xsi:type="dcterms:W3CDTF">2025-01-13T17:31:00Z</dcterms:created>
  <dcterms:modified xsi:type="dcterms:W3CDTF">2025-01-13T18:07:00Z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2916cc8a-4d06-4b46-87a0-1be040503345</vt:lpwstr>
  </property>
</Properties>
</file>