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D6E40" w14:textId="77777777" w:rsidR="008966AE" w:rsidRPr="006D7D09" w:rsidRDefault="008966AE" w:rsidP="005E3F0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7BC6BD73" w14:textId="437A7427" w:rsidR="00767E2C" w:rsidRPr="00EC4FD6" w:rsidRDefault="00767E2C" w:rsidP="00C3589D">
      <w:pPr>
        <w:jc w:val="center"/>
        <w:rPr>
          <w:rFonts w:ascii="Times New Roman" w:hAnsi="Times New Roman" w:cs="Times New Roman"/>
          <w:lang w:eastAsia="en-GB"/>
          <w14:ligatures w14:val="none"/>
        </w:rPr>
      </w:pPr>
      <w:bookmarkStart w:id="0" w:name="_Toc209445210"/>
      <w:r w:rsidRPr="00EC4FD6">
        <w:rPr>
          <w:rFonts w:ascii="Times New Roman" w:hAnsi="Times New Roman" w:cs="Times New Roman"/>
          <w:noProof/>
          <w:lang w:eastAsia="en-GB"/>
        </w:rPr>
        <w:drawing>
          <wp:inline distT="0" distB="0" distL="0" distR="0" wp14:anchorId="4BC6D22F" wp14:editId="54F60A9A">
            <wp:extent cx="1674891" cy="1674891"/>
            <wp:effectExtent l="0" t="0" r="1905" b="1905"/>
            <wp:docPr id="1914493076" name="Picture 1" descr="A bird with blue wings and a yellow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493076" name="Picture 1" descr="A bird with blue wings and a yellow background&#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01915" cy="1701915"/>
                    </a:xfrm>
                    <a:prstGeom prst="rect">
                      <a:avLst/>
                    </a:prstGeom>
                  </pic:spPr>
                </pic:pic>
              </a:graphicData>
            </a:graphic>
          </wp:inline>
        </w:drawing>
      </w:r>
      <w:bookmarkEnd w:id="0"/>
    </w:p>
    <w:p w14:paraId="5B473C97" w14:textId="77777777" w:rsidR="00767E2C" w:rsidRPr="00EC4FD6" w:rsidRDefault="00767E2C" w:rsidP="00844CA8">
      <w:pPr>
        <w:jc w:val="center"/>
        <w:rPr>
          <w:rFonts w:ascii="Times New Roman" w:hAnsi="Times New Roman" w:cs="Times New Roman"/>
          <w:b/>
          <w:bCs/>
          <w:sz w:val="36"/>
          <w:szCs w:val="36"/>
          <w:lang w:eastAsia="en-GB"/>
        </w:rPr>
      </w:pPr>
    </w:p>
    <w:p w14:paraId="045CD439" w14:textId="125ED612" w:rsidR="005E3F01" w:rsidRPr="00EC4FD6" w:rsidRDefault="005E3F01" w:rsidP="00844CA8">
      <w:pPr>
        <w:jc w:val="center"/>
        <w:rPr>
          <w:rFonts w:ascii="Times New Roman" w:hAnsi="Times New Roman" w:cs="Times New Roman"/>
          <w:b/>
          <w:bCs/>
          <w:sz w:val="36"/>
          <w:szCs w:val="36"/>
          <w:lang w:eastAsia="en-GB"/>
        </w:rPr>
      </w:pPr>
      <w:r w:rsidRPr="00EC4FD6">
        <w:rPr>
          <w:rFonts w:ascii="Times New Roman" w:hAnsi="Times New Roman" w:cs="Times New Roman"/>
          <w:b/>
          <w:bCs/>
          <w:sz w:val="36"/>
          <w:szCs w:val="36"/>
          <w:lang w:eastAsia="en-GB"/>
        </w:rPr>
        <w:t>COMMITTEE ON THE ELIMINATION OF DISCRIMINATION AGAINST WOMEN (CEDAW)</w:t>
      </w:r>
    </w:p>
    <w:p w14:paraId="3AB09362" w14:textId="617E71A8" w:rsidR="005E3F01" w:rsidRPr="005E3F01" w:rsidRDefault="005E3F01" w:rsidP="005E3F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5E3F01">
        <w:rPr>
          <w:rFonts w:ascii="Times New Roman" w:eastAsia="Times New Roman" w:hAnsi="Times New Roman" w:cs="Times New Roman"/>
          <w:b/>
          <w:bCs/>
          <w:kern w:val="0"/>
          <w:lang w:eastAsia="en-GB"/>
          <w14:ligatures w14:val="none"/>
        </w:rPr>
        <w:t>Written Submission by Diaspora in Action for Human Rights and Democracy</w:t>
      </w:r>
      <w:r w:rsidR="0062536B">
        <w:rPr>
          <w:rFonts w:ascii="Times New Roman" w:eastAsia="Times New Roman" w:hAnsi="Times New Roman" w:cs="Times New Roman"/>
          <w:b/>
          <w:bCs/>
          <w:kern w:val="0"/>
          <w:lang w:eastAsia="en-GB"/>
          <w14:ligatures w14:val="none"/>
        </w:rPr>
        <w:t xml:space="preserve"> (DAHRD)</w:t>
      </w:r>
      <w:r w:rsidRPr="005E3F01">
        <w:rPr>
          <w:rFonts w:ascii="Times New Roman" w:eastAsia="Times New Roman" w:hAnsi="Times New Roman" w:cs="Times New Roman"/>
          <w:b/>
          <w:bCs/>
          <w:kern w:val="0"/>
          <w:lang w:eastAsia="en-GB"/>
          <w14:ligatures w14:val="none"/>
        </w:rPr>
        <w:t xml:space="preserve"> (formerly The London Story)</w:t>
      </w:r>
    </w:p>
    <w:p w14:paraId="2312F7EF" w14:textId="77777777" w:rsidR="005E3F01" w:rsidRPr="005E3F01" w:rsidRDefault="005E3F01" w:rsidP="005E3F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5E3F01">
        <w:rPr>
          <w:rFonts w:ascii="Times New Roman" w:eastAsia="Times New Roman" w:hAnsi="Times New Roman" w:cs="Times New Roman"/>
          <w:b/>
          <w:bCs/>
          <w:kern w:val="0"/>
          <w:lang w:eastAsia="en-GB"/>
          <w14:ligatures w14:val="none"/>
        </w:rPr>
        <w:t>Concerning: India</w:t>
      </w:r>
    </w:p>
    <w:p w14:paraId="29BE63CB" w14:textId="46318148" w:rsidR="005E3F01" w:rsidRPr="005E3F01" w:rsidRDefault="005E3F01" w:rsidP="005E3F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5E3F01">
        <w:rPr>
          <w:rFonts w:ascii="Times New Roman" w:eastAsia="Times New Roman" w:hAnsi="Times New Roman" w:cs="Times New Roman"/>
          <w:b/>
          <w:bCs/>
          <w:kern w:val="0"/>
          <w:lang w:eastAsia="en-GB"/>
          <w14:ligatures w14:val="none"/>
        </w:rPr>
        <w:t>For the 94th Pre-sessional Working Group (27–31 October 2025</w:t>
      </w:r>
      <w:r w:rsidR="0062536B">
        <w:rPr>
          <w:rFonts w:ascii="Times New Roman" w:eastAsia="Times New Roman" w:hAnsi="Times New Roman" w:cs="Times New Roman"/>
          <w:b/>
          <w:bCs/>
          <w:kern w:val="0"/>
          <w:lang w:eastAsia="en-GB"/>
          <w14:ligatures w14:val="none"/>
        </w:rPr>
        <w:t>)</w:t>
      </w:r>
    </w:p>
    <w:p w14:paraId="08071FAB" w14:textId="77777777" w:rsidR="005E3F01" w:rsidRPr="005E3F01" w:rsidRDefault="002B1277" w:rsidP="005E3F01">
      <w:pPr>
        <w:spacing w:after="0" w:line="240" w:lineRule="auto"/>
        <w:rPr>
          <w:rFonts w:ascii="Times New Roman" w:eastAsia="Times New Roman" w:hAnsi="Times New Roman" w:cs="Times New Roman"/>
          <w:kern w:val="0"/>
          <w:lang w:eastAsia="en-GB"/>
          <w14:ligatures w14:val="none"/>
        </w:rPr>
      </w:pPr>
      <w:r w:rsidRPr="002B1277">
        <w:rPr>
          <w:rFonts w:ascii="Times New Roman" w:eastAsia="Times New Roman" w:hAnsi="Times New Roman" w:cs="Times New Roman"/>
          <w:noProof/>
          <w:kern w:val="0"/>
          <w:lang w:eastAsia="en-GB"/>
        </w:rPr>
        <w:pict w14:anchorId="0581DD32">
          <v:rect id="_x0000_i1026" alt="" style="width:451.3pt;height:.05pt;mso-width-percent:0;mso-height-percent:0;mso-width-percent:0;mso-height-percent:0" o:hralign="center" o:hrstd="t" o:hr="t" fillcolor="#a0a0a0" stroked="f"/>
        </w:pict>
      </w:r>
    </w:p>
    <w:p w14:paraId="14568A16" w14:textId="77777777" w:rsidR="005E3F01" w:rsidRPr="005E3F01" w:rsidRDefault="005E3F01" w:rsidP="005E3F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5E3F01">
        <w:rPr>
          <w:rFonts w:ascii="Times New Roman" w:eastAsia="Times New Roman" w:hAnsi="Times New Roman" w:cs="Times New Roman"/>
          <w:b/>
          <w:bCs/>
          <w:kern w:val="0"/>
          <w:lang w:eastAsia="en-GB"/>
          <w14:ligatures w14:val="none"/>
        </w:rPr>
        <w:t>Confidentiality / Publication Note</w:t>
      </w:r>
      <w:r w:rsidRPr="005E3F01">
        <w:rPr>
          <w:rFonts w:ascii="Times New Roman" w:eastAsia="Times New Roman" w:hAnsi="Times New Roman" w:cs="Times New Roman"/>
          <w:kern w:val="0"/>
          <w:lang w:eastAsia="en-GB"/>
          <w14:ligatures w14:val="none"/>
        </w:rPr>
        <w:br/>
        <w:t>This submission may be published on the OHCHR website for public information purposes.</w:t>
      </w:r>
    </w:p>
    <w:p w14:paraId="56FC32DA" w14:textId="77777777" w:rsidR="005E3F01" w:rsidRPr="005E3F01" w:rsidRDefault="002B1277" w:rsidP="005E3F01">
      <w:pPr>
        <w:spacing w:after="0" w:line="240" w:lineRule="auto"/>
        <w:rPr>
          <w:rFonts w:ascii="Times New Roman" w:eastAsia="Times New Roman" w:hAnsi="Times New Roman" w:cs="Times New Roman"/>
          <w:kern w:val="0"/>
          <w:lang w:eastAsia="en-GB"/>
          <w14:ligatures w14:val="none"/>
        </w:rPr>
      </w:pPr>
      <w:r w:rsidRPr="002B1277">
        <w:rPr>
          <w:rFonts w:ascii="Times New Roman" w:eastAsia="Times New Roman" w:hAnsi="Times New Roman" w:cs="Times New Roman"/>
          <w:noProof/>
          <w:kern w:val="0"/>
          <w:lang w:eastAsia="en-GB"/>
        </w:rPr>
        <w:pict w14:anchorId="620F69DB">
          <v:rect id="_x0000_i1025" alt="" style="width:451.3pt;height:.05pt;mso-width-percent:0;mso-height-percent:0;mso-width-percent:0;mso-height-percent:0" o:hralign="center" o:hrstd="t" o:hr="t" fillcolor="#a0a0a0" stroked="f"/>
        </w:pict>
      </w:r>
    </w:p>
    <w:p w14:paraId="4123D91D" w14:textId="77777777" w:rsidR="0062536B" w:rsidRDefault="0062536B" w:rsidP="00C3589D">
      <w:pPr>
        <w:jc w:val="center"/>
        <w:rPr>
          <w:rFonts w:ascii="Times New Roman" w:hAnsi="Times New Roman" w:cs="Times New Roman"/>
          <w:i/>
          <w:iCs/>
          <w:lang w:eastAsia="en-GB"/>
        </w:rPr>
      </w:pPr>
      <w:bookmarkStart w:id="1" w:name="_Toc209445211"/>
    </w:p>
    <w:p w14:paraId="0271106B" w14:textId="77777777" w:rsidR="0062536B" w:rsidRDefault="0062536B" w:rsidP="00C3589D">
      <w:pPr>
        <w:jc w:val="center"/>
        <w:rPr>
          <w:rFonts w:ascii="Times New Roman" w:hAnsi="Times New Roman" w:cs="Times New Roman"/>
          <w:i/>
          <w:iCs/>
          <w:lang w:eastAsia="en-GB"/>
        </w:rPr>
      </w:pPr>
    </w:p>
    <w:p w14:paraId="0E720834" w14:textId="77777777" w:rsidR="0062536B" w:rsidRDefault="0062536B" w:rsidP="00C3589D">
      <w:pPr>
        <w:jc w:val="center"/>
        <w:rPr>
          <w:rFonts w:ascii="Times New Roman" w:hAnsi="Times New Roman" w:cs="Times New Roman"/>
          <w:i/>
          <w:iCs/>
          <w:lang w:eastAsia="en-GB"/>
        </w:rPr>
      </w:pPr>
    </w:p>
    <w:p w14:paraId="7E85553A" w14:textId="77777777" w:rsidR="0062536B" w:rsidRDefault="0062536B" w:rsidP="00C3589D">
      <w:pPr>
        <w:jc w:val="center"/>
        <w:rPr>
          <w:rFonts w:ascii="Times New Roman" w:hAnsi="Times New Roman" w:cs="Times New Roman"/>
          <w:i/>
          <w:iCs/>
          <w:lang w:eastAsia="en-GB"/>
        </w:rPr>
      </w:pPr>
    </w:p>
    <w:p w14:paraId="0302A36A" w14:textId="11E1DE8E" w:rsidR="00831E49" w:rsidRPr="00EC4FD6" w:rsidRDefault="00851F98" w:rsidP="0062536B">
      <w:pPr>
        <w:jc w:val="center"/>
        <w:rPr>
          <w:rFonts w:ascii="Times New Roman" w:hAnsi="Times New Roman" w:cs="Times New Roman"/>
          <w:i/>
          <w:iCs/>
          <w:lang w:eastAsia="en-GB"/>
        </w:rPr>
      </w:pPr>
      <w:r w:rsidRPr="00EC4FD6">
        <w:rPr>
          <w:rFonts w:ascii="Times New Roman" w:hAnsi="Times New Roman" w:cs="Times New Roman"/>
          <w:i/>
          <w:iCs/>
          <w:lang w:eastAsia="en-GB"/>
        </w:rPr>
        <w:t>Brussels, 22 September 2025</w:t>
      </w:r>
      <w:bookmarkStart w:id="2" w:name="_Toc209445212"/>
      <w:bookmarkEnd w:id="1"/>
    </w:p>
    <w:p w14:paraId="1CDCCB17" w14:textId="77777777" w:rsidR="00831E49" w:rsidRPr="00EC4FD6" w:rsidRDefault="00831E49" w:rsidP="0088261E">
      <w:pPr>
        <w:pStyle w:val="Heading1"/>
        <w:rPr>
          <w:rFonts w:ascii="Times New Roman" w:eastAsia="Times New Roman" w:hAnsi="Times New Roman" w:cs="Times New Roman"/>
          <w:lang w:eastAsia="en-GB"/>
        </w:rPr>
      </w:pPr>
    </w:p>
    <w:sdt>
      <w:sdtPr>
        <w:rPr>
          <w:rFonts w:ascii="Times New Roman" w:eastAsiaTheme="minorHAnsi" w:hAnsi="Times New Roman" w:cs="Times New Roman"/>
          <w:b w:val="0"/>
          <w:bCs w:val="0"/>
          <w:color w:val="auto"/>
          <w:kern w:val="2"/>
          <w:sz w:val="24"/>
          <w:szCs w:val="24"/>
          <w:lang w:val="en-CZ"/>
          <w14:ligatures w14:val="standardContextual"/>
        </w:rPr>
        <w:id w:val="794570873"/>
        <w:docPartObj>
          <w:docPartGallery w:val="Table of Contents"/>
          <w:docPartUnique/>
        </w:docPartObj>
      </w:sdtPr>
      <w:sdtEndPr>
        <w:rPr>
          <w:noProof/>
        </w:rPr>
      </w:sdtEndPr>
      <w:sdtContent>
        <w:p w14:paraId="0041084F" w14:textId="19095FD6" w:rsidR="00C3589D" w:rsidRPr="00EC4FD6" w:rsidRDefault="00C3589D">
          <w:pPr>
            <w:pStyle w:val="TOCHeading"/>
            <w:rPr>
              <w:rFonts w:ascii="Times New Roman" w:hAnsi="Times New Roman" w:cs="Times New Roman"/>
            </w:rPr>
          </w:pPr>
          <w:r w:rsidRPr="00EC4FD6">
            <w:rPr>
              <w:rFonts w:ascii="Times New Roman" w:hAnsi="Times New Roman" w:cs="Times New Roman"/>
            </w:rPr>
            <w:t>Table of Contents</w:t>
          </w:r>
        </w:p>
        <w:p w14:paraId="30460A86" w14:textId="4805DF7B" w:rsidR="00C312B3" w:rsidRDefault="00C3589D">
          <w:pPr>
            <w:pStyle w:val="TOC1"/>
            <w:tabs>
              <w:tab w:val="right" w:leader="dot" w:pos="9016"/>
            </w:tabs>
            <w:rPr>
              <w:rFonts w:eastAsiaTheme="minorEastAsia"/>
              <w:b w:val="0"/>
              <w:bCs w:val="0"/>
              <w:caps w:val="0"/>
              <w:noProof/>
              <w:sz w:val="24"/>
              <w:szCs w:val="24"/>
              <w:u w:val="none"/>
              <w:lang w:eastAsia="en-GB"/>
            </w:rPr>
          </w:pPr>
          <w:r w:rsidRPr="00EC4FD6">
            <w:rPr>
              <w:rFonts w:ascii="Times New Roman" w:hAnsi="Times New Roman" w:cs="Times New Roman"/>
              <w:b w:val="0"/>
              <w:bCs w:val="0"/>
            </w:rPr>
            <w:fldChar w:fldCharType="begin"/>
          </w:r>
          <w:r w:rsidRPr="00EC4FD6">
            <w:rPr>
              <w:rFonts w:ascii="Times New Roman" w:hAnsi="Times New Roman" w:cs="Times New Roman"/>
            </w:rPr>
            <w:instrText xml:space="preserve"> TOC \o "1-3" \h \z \u </w:instrText>
          </w:r>
          <w:r w:rsidRPr="00EC4FD6">
            <w:rPr>
              <w:rFonts w:ascii="Times New Roman" w:hAnsi="Times New Roman" w:cs="Times New Roman"/>
              <w:b w:val="0"/>
              <w:bCs w:val="0"/>
            </w:rPr>
            <w:fldChar w:fldCharType="separate"/>
          </w:r>
          <w:hyperlink w:anchor="_Toc210307101" w:history="1">
            <w:r w:rsidR="00C312B3" w:rsidRPr="009F26F8">
              <w:rPr>
                <w:rStyle w:val="Hyperlink"/>
                <w:rFonts w:ascii="Times New Roman" w:eastAsia="Times New Roman" w:hAnsi="Times New Roman" w:cs="Times New Roman"/>
                <w:noProof/>
                <w:lang w:eastAsia="en-GB"/>
              </w:rPr>
              <w:t>1. Introductionda</w:t>
            </w:r>
            <w:r w:rsidR="00C312B3">
              <w:rPr>
                <w:noProof/>
                <w:webHidden/>
              </w:rPr>
              <w:tab/>
            </w:r>
            <w:r w:rsidR="00C312B3">
              <w:rPr>
                <w:noProof/>
                <w:webHidden/>
              </w:rPr>
              <w:fldChar w:fldCharType="begin"/>
            </w:r>
            <w:r w:rsidR="00C312B3">
              <w:rPr>
                <w:noProof/>
                <w:webHidden/>
              </w:rPr>
              <w:instrText xml:space="preserve"> PAGEREF _Toc210307101 \h </w:instrText>
            </w:r>
            <w:r w:rsidR="00C312B3">
              <w:rPr>
                <w:noProof/>
                <w:webHidden/>
              </w:rPr>
            </w:r>
            <w:r w:rsidR="00C312B3">
              <w:rPr>
                <w:noProof/>
                <w:webHidden/>
              </w:rPr>
              <w:fldChar w:fldCharType="separate"/>
            </w:r>
            <w:r w:rsidR="00C312B3">
              <w:rPr>
                <w:noProof/>
                <w:webHidden/>
              </w:rPr>
              <w:t>3</w:t>
            </w:r>
            <w:r w:rsidR="00C312B3">
              <w:rPr>
                <w:noProof/>
                <w:webHidden/>
              </w:rPr>
              <w:fldChar w:fldCharType="end"/>
            </w:r>
          </w:hyperlink>
        </w:p>
        <w:p w14:paraId="0A0E929F" w14:textId="21FCBB7D" w:rsidR="00C312B3" w:rsidRDefault="00C312B3">
          <w:pPr>
            <w:pStyle w:val="TOC1"/>
            <w:tabs>
              <w:tab w:val="right" w:leader="dot" w:pos="9016"/>
            </w:tabs>
            <w:rPr>
              <w:rFonts w:eastAsiaTheme="minorEastAsia"/>
              <w:b w:val="0"/>
              <w:bCs w:val="0"/>
              <w:caps w:val="0"/>
              <w:noProof/>
              <w:sz w:val="24"/>
              <w:szCs w:val="24"/>
              <w:u w:val="none"/>
              <w:lang w:eastAsia="en-GB"/>
            </w:rPr>
          </w:pPr>
          <w:hyperlink w:anchor="_Toc210307102" w:history="1">
            <w:r w:rsidRPr="009F26F8">
              <w:rPr>
                <w:rStyle w:val="Hyperlink"/>
                <w:rFonts w:ascii="Times New Roman" w:eastAsia="Times New Roman" w:hAnsi="Times New Roman" w:cs="Times New Roman"/>
                <w:noProof/>
                <w:lang w:eastAsia="en-GB"/>
              </w:rPr>
              <w:t>2. Communal and Gender-Based Violence</w:t>
            </w:r>
            <w:r>
              <w:rPr>
                <w:noProof/>
                <w:webHidden/>
              </w:rPr>
              <w:tab/>
            </w:r>
            <w:r>
              <w:rPr>
                <w:noProof/>
                <w:webHidden/>
              </w:rPr>
              <w:fldChar w:fldCharType="begin"/>
            </w:r>
            <w:r>
              <w:rPr>
                <w:noProof/>
                <w:webHidden/>
              </w:rPr>
              <w:instrText xml:space="preserve"> PAGEREF _Toc210307102 \h </w:instrText>
            </w:r>
            <w:r>
              <w:rPr>
                <w:noProof/>
                <w:webHidden/>
              </w:rPr>
            </w:r>
            <w:r>
              <w:rPr>
                <w:noProof/>
                <w:webHidden/>
              </w:rPr>
              <w:fldChar w:fldCharType="separate"/>
            </w:r>
            <w:r>
              <w:rPr>
                <w:noProof/>
                <w:webHidden/>
              </w:rPr>
              <w:t>4</w:t>
            </w:r>
            <w:r>
              <w:rPr>
                <w:noProof/>
                <w:webHidden/>
              </w:rPr>
              <w:fldChar w:fldCharType="end"/>
            </w:r>
          </w:hyperlink>
        </w:p>
        <w:p w14:paraId="6C1B8C5D" w14:textId="0080142C" w:rsidR="00C312B3" w:rsidRDefault="00C312B3">
          <w:pPr>
            <w:pStyle w:val="TOC1"/>
            <w:tabs>
              <w:tab w:val="right" w:leader="dot" w:pos="9016"/>
            </w:tabs>
            <w:rPr>
              <w:rFonts w:eastAsiaTheme="minorEastAsia"/>
              <w:b w:val="0"/>
              <w:bCs w:val="0"/>
              <w:caps w:val="0"/>
              <w:noProof/>
              <w:sz w:val="24"/>
              <w:szCs w:val="24"/>
              <w:u w:val="none"/>
              <w:lang w:eastAsia="en-GB"/>
            </w:rPr>
          </w:pPr>
          <w:hyperlink w:anchor="_Toc210307103" w:history="1">
            <w:r w:rsidRPr="009F26F8">
              <w:rPr>
                <w:rStyle w:val="Hyperlink"/>
                <w:rFonts w:ascii="Times New Roman" w:eastAsia="Times New Roman" w:hAnsi="Times New Roman" w:cs="Times New Roman"/>
                <w:noProof/>
                <w:lang w:eastAsia="en-GB"/>
              </w:rPr>
              <w:t>3. Conflict, Militarisation and AFSPA Legacy</w:t>
            </w:r>
            <w:r>
              <w:rPr>
                <w:noProof/>
                <w:webHidden/>
              </w:rPr>
              <w:tab/>
            </w:r>
            <w:r>
              <w:rPr>
                <w:noProof/>
                <w:webHidden/>
              </w:rPr>
              <w:fldChar w:fldCharType="begin"/>
            </w:r>
            <w:r>
              <w:rPr>
                <w:noProof/>
                <w:webHidden/>
              </w:rPr>
              <w:instrText xml:space="preserve"> PAGEREF _Toc210307103 \h </w:instrText>
            </w:r>
            <w:r>
              <w:rPr>
                <w:noProof/>
                <w:webHidden/>
              </w:rPr>
            </w:r>
            <w:r>
              <w:rPr>
                <w:noProof/>
                <w:webHidden/>
              </w:rPr>
              <w:fldChar w:fldCharType="separate"/>
            </w:r>
            <w:r>
              <w:rPr>
                <w:noProof/>
                <w:webHidden/>
              </w:rPr>
              <w:t>6</w:t>
            </w:r>
            <w:r>
              <w:rPr>
                <w:noProof/>
                <w:webHidden/>
              </w:rPr>
              <w:fldChar w:fldCharType="end"/>
            </w:r>
          </w:hyperlink>
        </w:p>
        <w:p w14:paraId="77E4CB3C" w14:textId="79E87394" w:rsidR="00C312B3" w:rsidRDefault="00C312B3">
          <w:pPr>
            <w:pStyle w:val="TOC1"/>
            <w:tabs>
              <w:tab w:val="right" w:leader="dot" w:pos="9016"/>
            </w:tabs>
            <w:rPr>
              <w:rFonts w:eastAsiaTheme="minorEastAsia"/>
              <w:b w:val="0"/>
              <w:bCs w:val="0"/>
              <w:caps w:val="0"/>
              <w:noProof/>
              <w:sz w:val="24"/>
              <w:szCs w:val="24"/>
              <w:u w:val="none"/>
              <w:lang w:eastAsia="en-GB"/>
            </w:rPr>
          </w:pPr>
          <w:hyperlink w:anchor="_Toc210307104" w:history="1">
            <w:r w:rsidRPr="009F26F8">
              <w:rPr>
                <w:rStyle w:val="Hyperlink"/>
                <w:rFonts w:ascii="Times New Roman" w:eastAsia="Times New Roman" w:hAnsi="Times New Roman" w:cs="Times New Roman"/>
                <w:noProof/>
                <w:lang w:eastAsia="en-GB"/>
              </w:rPr>
              <w:t>4. Online Violence Against Women</w:t>
            </w:r>
            <w:r>
              <w:rPr>
                <w:noProof/>
                <w:webHidden/>
              </w:rPr>
              <w:tab/>
            </w:r>
            <w:r>
              <w:rPr>
                <w:noProof/>
                <w:webHidden/>
              </w:rPr>
              <w:fldChar w:fldCharType="begin"/>
            </w:r>
            <w:r>
              <w:rPr>
                <w:noProof/>
                <w:webHidden/>
              </w:rPr>
              <w:instrText xml:space="preserve"> PAGEREF _Toc210307104 \h </w:instrText>
            </w:r>
            <w:r>
              <w:rPr>
                <w:noProof/>
                <w:webHidden/>
              </w:rPr>
            </w:r>
            <w:r>
              <w:rPr>
                <w:noProof/>
                <w:webHidden/>
              </w:rPr>
              <w:fldChar w:fldCharType="separate"/>
            </w:r>
            <w:r>
              <w:rPr>
                <w:noProof/>
                <w:webHidden/>
              </w:rPr>
              <w:t>7</w:t>
            </w:r>
            <w:r>
              <w:rPr>
                <w:noProof/>
                <w:webHidden/>
              </w:rPr>
              <w:fldChar w:fldCharType="end"/>
            </w:r>
          </w:hyperlink>
        </w:p>
        <w:p w14:paraId="1F55BBF4" w14:textId="0C01FC16" w:rsidR="00C312B3" w:rsidRDefault="00C312B3">
          <w:pPr>
            <w:pStyle w:val="TOC1"/>
            <w:tabs>
              <w:tab w:val="right" w:leader="dot" w:pos="9016"/>
            </w:tabs>
            <w:rPr>
              <w:rFonts w:eastAsiaTheme="minorEastAsia"/>
              <w:b w:val="0"/>
              <w:bCs w:val="0"/>
              <w:caps w:val="0"/>
              <w:noProof/>
              <w:sz w:val="24"/>
              <w:szCs w:val="24"/>
              <w:u w:val="none"/>
              <w:lang w:eastAsia="en-GB"/>
            </w:rPr>
          </w:pPr>
          <w:hyperlink w:anchor="_Toc210307105" w:history="1">
            <w:r w:rsidRPr="009F26F8">
              <w:rPr>
                <w:rStyle w:val="Hyperlink"/>
                <w:rFonts w:ascii="Times New Roman" w:hAnsi="Times New Roman" w:cs="Times New Roman"/>
                <w:noProof/>
              </w:rPr>
              <w:t>5. Right to Education and Discrimination Against Muslim Women</w:t>
            </w:r>
            <w:r>
              <w:rPr>
                <w:noProof/>
                <w:webHidden/>
              </w:rPr>
              <w:tab/>
            </w:r>
            <w:r>
              <w:rPr>
                <w:noProof/>
                <w:webHidden/>
              </w:rPr>
              <w:fldChar w:fldCharType="begin"/>
            </w:r>
            <w:r>
              <w:rPr>
                <w:noProof/>
                <w:webHidden/>
              </w:rPr>
              <w:instrText xml:space="preserve"> PAGEREF _Toc210307105 \h </w:instrText>
            </w:r>
            <w:r>
              <w:rPr>
                <w:noProof/>
                <w:webHidden/>
              </w:rPr>
            </w:r>
            <w:r>
              <w:rPr>
                <w:noProof/>
                <w:webHidden/>
              </w:rPr>
              <w:fldChar w:fldCharType="separate"/>
            </w:r>
            <w:r>
              <w:rPr>
                <w:noProof/>
                <w:webHidden/>
              </w:rPr>
              <w:t>8</w:t>
            </w:r>
            <w:r>
              <w:rPr>
                <w:noProof/>
                <w:webHidden/>
              </w:rPr>
              <w:fldChar w:fldCharType="end"/>
            </w:r>
          </w:hyperlink>
        </w:p>
        <w:p w14:paraId="37183C8F" w14:textId="174BFC31" w:rsidR="00C312B3" w:rsidRDefault="00C312B3">
          <w:pPr>
            <w:pStyle w:val="TOC1"/>
            <w:tabs>
              <w:tab w:val="right" w:leader="dot" w:pos="9016"/>
            </w:tabs>
            <w:rPr>
              <w:rFonts w:eastAsiaTheme="minorEastAsia"/>
              <w:b w:val="0"/>
              <w:bCs w:val="0"/>
              <w:caps w:val="0"/>
              <w:noProof/>
              <w:sz w:val="24"/>
              <w:szCs w:val="24"/>
              <w:u w:val="none"/>
              <w:lang w:eastAsia="en-GB"/>
            </w:rPr>
          </w:pPr>
          <w:hyperlink w:anchor="_Toc210307106" w:history="1">
            <w:r w:rsidRPr="009F26F8">
              <w:rPr>
                <w:rStyle w:val="Hyperlink"/>
                <w:rFonts w:ascii="Times New Roman" w:hAnsi="Times New Roman" w:cs="Times New Roman"/>
                <w:noProof/>
              </w:rPr>
              <w:t>6. Forced Evictions and Displacement – The Assam Case</w:t>
            </w:r>
            <w:r>
              <w:rPr>
                <w:noProof/>
                <w:webHidden/>
              </w:rPr>
              <w:tab/>
            </w:r>
            <w:r>
              <w:rPr>
                <w:noProof/>
                <w:webHidden/>
              </w:rPr>
              <w:fldChar w:fldCharType="begin"/>
            </w:r>
            <w:r>
              <w:rPr>
                <w:noProof/>
                <w:webHidden/>
              </w:rPr>
              <w:instrText xml:space="preserve"> PAGEREF _Toc210307106 \h </w:instrText>
            </w:r>
            <w:r>
              <w:rPr>
                <w:noProof/>
                <w:webHidden/>
              </w:rPr>
            </w:r>
            <w:r>
              <w:rPr>
                <w:noProof/>
                <w:webHidden/>
              </w:rPr>
              <w:fldChar w:fldCharType="separate"/>
            </w:r>
            <w:r>
              <w:rPr>
                <w:noProof/>
                <w:webHidden/>
              </w:rPr>
              <w:t>9</w:t>
            </w:r>
            <w:r>
              <w:rPr>
                <w:noProof/>
                <w:webHidden/>
              </w:rPr>
              <w:fldChar w:fldCharType="end"/>
            </w:r>
          </w:hyperlink>
        </w:p>
        <w:p w14:paraId="37D80747" w14:textId="40DB500C" w:rsidR="00C312B3" w:rsidRDefault="00C312B3">
          <w:pPr>
            <w:pStyle w:val="TOC1"/>
            <w:tabs>
              <w:tab w:val="right" w:leader="dot" w:pos="9016"/>
            </w:tabs>
            <w:rPr>
              <w:rFonts w:eastAsiaTheme="minorEastAsia"/>
              <w:b w:val="0"/>
              <w:bCs w:val="0"/>
              <w:caps w:val="0"/>
              <w:noProof/>
              <w:sz w:val="24"/>
              <w:szCs w:val="24"/>
              <w:u w:val="none"/>
              <w:lang w:eastAsia="en-GB"/>
            </w:rPr>
          </w:pPr>
          <w:hyperlink w:anchor="_Toc210307107" w:history="1">
            <w:r w:rsidRPr="009F26F8">
              <w:rPr>
                <w:rStyle w:val="Hyperlink"/>
                <w:rFonts w:eastAsia="Times New Roman"/>
                <w:noProof/>
                <w:lang w:eastAsia="en-GB"/>
              </w:rPr>
              <w:t>Recommendations:</w:t>
            </w:r>
            <w:r>
              <w:rPr>
                <w:noProof/>
                <w:webHidden/>
              </w:rPr>
              <w:tab/>
            </w:r>
            <w:r>
              <w:rPr>
                <w:noProof/>
                <w:webHidden/>
              </w:rPr>
              <w:fldChar w:fldCharType="begin"/>
            </w:r>
            <w:r>
              <w:rPr>
                <w:noProof/>
                <w:webHidden/>
              </w:rPr>
              <w:instrText xml:space="preserve"> PAGEREF _Toc210307107 \h </w:instrText>
            </w:r>
            <w:r>
              <w:rPr>
                <w:noProof/>
                <w:webHidden/>
              </w:rPr>
            </w:r>
            <w:r>
              <w:rPr>
                <w:noProof/>
                <w:webHidden/>
              </w:rPr>
              <w:fldChar w:fldCharType="separate"/>
            </w:r>
            <w:r>
              <w:rPr>
                <w:noProof/>
                <w:webHidden/>
              </w:rPr>
              <w:t>11</w:t>
            </w:r>
            <w:r>
              <w:rPr>
                <w:noProof/>
                <w:webHidden/>
              </w:rPr>
              <w:fldChar w:fldCharType="end"/>
            </w:r>
          </w:hyperlink>
        </w:p>
        <w:p w14:paraId="59E862D0" w14:textId="759BF3A6" w:rsidR="00C3589D" w:rsidRPr="00EC4FD6" w:rsidRDefault="00C3589D">
          <w:pPr>
            <w:rPr>
              <w:rFonts w:ascii="Times New Roman" w:hAnsi="Times New Roman" w:cs="Times New Roman"/>
            </w:rPr>
          </w:pPr>
          <w:r w:rsidRPr="00EC4FD6">
            <w:rPr>
              <w:rFonts w:ascii="Times New Roman" w:hAnsi="Times New Roman" w:cs="Times New Roman"/>
              <w:b/>
              <w:bCs/>
              <w:noProof/>
            </w:rPr>
            <w:fldChar w:fldCharType="end"/>
          </w:r>
        </w:p>
      </w:sdtContent>
    </w:sdt>
    <w:p w14:paraId="762CEC43" w14:textId="77777777" w:rsidR="00831E49" w:rsidRPr="00EC4FD6" w:rsidRDefault="00831E49" w:rsidP="0088261E">
      <w:pPr>
        <w:pStyle w:val="Heading1"/>
        <w:rPr>
          <w:rFonts w:ascii="Times New Roman" w:eastAsia="Times New Roman" w:hAnsi="Times New Roman" w:cs="Times New Roman"/>
          <w:lang w:eastAsia="en-GB"/>
        </w:rPr>
      </w:pPr>
    </w:p>
    <w:p w14:paraId="6591B343" w14:textId="77777777" w:rsidR="00831E49" w:rsidRPr="00EC4FD6" w:rsidRDefault="00831E49" w:rsidP="0088261E">
      <w:pPr>
        <w:pStyle w:val="Heading1"/>
        <w:rPr>
          <w:rFonts w:ascii="Times New Roman" w:eastAsia="Times New Roman" w:hAnsi="Times New Roman" w:cs="Times New Roman"/>
          <w:lang w:eastAsia="en-GB"/>
        </w:rPr>
      </w:pPr>
    </w:p>
    <w:p w14:paraId="3724E5BC" w14:textId="77777777" w:rsidR="00831E49" w:rsidRPr="00EC4FD6" w:rsidRDefault="00831E49" w:rsidP="0088261E">
      <w:pPr>
        <w:pStyle w:val="Heading1"/>
        <w:rPr>
          <w:rFonts w:ascii="Times New Roman" w:eastAsia="Times New Roman" w:hAnsi="Times New Roman" w:cs="Times New Roman"/>
          <w:lang w:eastAsia="en-GB"/>
        </w:rPr>
      </w:pPr>
    </w:p>
    <w:p w14:paraId="169FD682" w14:textId="77777777" w:rsidR="00831E49" w:rsidRPr="00EC4FD6" w:rsidRDefault="00831E49" w:rsidP="0088261E">
      <w:pPr>
        <w:pStyle w:val="Heading1"/>
        <w:rPr>
          <w:rFonts w:ascii="Times New Roman" w:eastAsia="Times New Roman" w:hAnsi="Times New Roman" w:cs="Times New Roman"/>
          <w:lang w:eastAsia="en-GB"/>
        </w:rPr>
      </w:pPr>
    </w:p>
    <w:p w14:paraId="60635A9F" w14:textId="77777777" w:rsidR="00C3589D" w:rsidRPr="00EC4FD6" w:rsidRDefault="00C3589D" w:rsidP="00C3589D">
      <w:pPr>
        <w:rPr>
          <w:rFonts w:ascii="Times New Roman" w:hAnsi="Times New Roman" w:cs="Times New Roman"/>
          <w:lang w:eastAsia="en-GB"/>
        </w:rPr>
      </w:pPr>
    </w:p>
    <w:p w14:paraId="17789E88" w14:textId="77777777" w:rsidR="00C3589D" w:rsidRPr="00EC4FD6" w:rsidRDefault="00C3589D" w:rsidP="00C3589D">
      <w:pPr>
        <w:rPr>
          <w:rFonts w:ascii="Times New Roman" w:hAnsi="Times New Roman" w:cs="Times New Roman"/>
          <w:lang w:eastAsia="en-GB"/>
        </w:rPr>
      </w:pPr>
    </w:p>
    <w:p w14:paraId="3A415498" w14:textId="77777777" w:rsidR="00C3589D" w:rsidRPr="00EC4FD6" w:rsidRDefault="00C3589D" w:rsidP="00C3589D">
      <w:pPr>
        <w:rPr>
          <w:rFonts w:ascii="Times New Roman" w:hAnsi="Times New Roman" w:cs="Times New Roman"/>
          <w:lang w:eastAsia="en-GB"/>
        </w:rPr>
      </w:pPr>
    </w:p>
    <w:p w14:paraId="0064B5E5" w14:textId="51BE61DF" w:rsidR="00A81C85" w:rsidRPr="00EC4FD6" w:rsidRDefault="00A81C85" w:rsidP="0088261E">
      <w:pPr>
        <w:pStyle w:val="Heading1"/>
        <w:rPr>
          <w:rFonts w:ascii="Times New Roman" w:eastAsia="Times New Roman" w:hAnsi="Times New Roman" w:cs="Times New Roman"/>
          <w:sz w:val="24"/>
          <w:szCs w:val="24"/>
          <w:lang w:eastAsia="en-GB"/>
        </w:rPr>
      </w:pPr>
      <w:bookmarkStart w:id="3" w:name="_Toc210307101"/>
      <w:r w:rsidRPr="00EC4FD6">
        <w:rPr>
          <w:rFonts w:ascii="Times New Roman" w:eastAsia="Times New Roman" w:hAnsi="Times New Roman" w:cs="Times New Roman"/>
          <w:lang w:eastAsia="en-GB"/>
        </w:rPr>
        <w:lastRenderedPageBreak/>
        <w:t>1. Introduction</w:t>
      </w:r>
      <w:bookmarkEnd w:id="2"/>
      <w:r w:rsidR="0062536B">
        <w:rPr>
          <w:rFonts w:ascii="Times New Roman" w:eastAsia="Times New Roman" w:hAnsi="Times New Roman" w:cs="Times New Roman"/>
          <w:lang w:eastAsia="en-GB"/>
        </w:rPr>
        <w:t>da</w:t>
      </w:r>
      <w:bookmarkEnd w:id="3"/>
    </w:p>
    <w:p w14:paraId="32A2B63C" w14:textId="25218E6D" w:rsidR="00A81C85" w:rsidRPr="00A81C85" w:rsidRDefault="00A81C85" w:rsidP="00EB4D68">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A81C85">
        <w:rPr>
          <w:rFonts w:ascii="Times New Roman" w:eastAsia="Times New Roman" w:hAnsi="Times New Roman" w:cs="Times New Roman"/>
          <w:kern w:val="0"/>
          <w:lang w:eastAsia="en-GB"/>
          <w14:ligatures w14:val="none"/>
        </w:rPr>
        <w:t>Diaspora in Action</w:t>
      </w:r>
      <w:r w:rsidR="0062536B">
        <w:rPr>
          <w:rFonts w:ascii="Times New Roman" w:eastAsia="Times New Roman" w:hAnsi="Times New Roman" w:cs="Times New Roman"/>
          <w:kern w:val="0"/>
          <w:lang w:eastAsia="en-GB"/>
          <w14:ligatures w14:val="none"/>
        </w:rPr>
        <w:t xml:space="preserve"> for Human Rights and Democracy </w:t>
      </w:r>
      <w:r w:rsidRPr="00A81C85">
        <w:rPr>
          <w:rFonts w:ascii="Times New Roman" w:eastAsia="Times New Roman" w:hAnsi="Times New Roman" w:cs="Times New Roman"/>
          <w:kern w:val="0"/>
          <w:lang w:eastAsia="en-GB"/>
          <w14:ligatures w14:val="none"/>
        </w:rPr>
        <w:t>(</w:t>
      </w:r>
      <w:r w:rsidR="0062536B">
        <w:rPr>
          <w:rFonts w:ascii="Times New Roman" w:eastAsia="Times New Roman" w:hAnsi="Times New Roman" w:cs="Times New Roman"/>
          <w:kern w:val="0"/>
          <w:lang w:eastAsia="en-GB"/>
          <w14:ligatures w14:val="none"/>
        </w:rPr>
        <w:t>DAHRD</w:t>
      </w:r>
      <w:r w:rsidRPr="00A81C85">
        <w:rPr>
          <w:rFonts w:ascii="Times New Roman" w:eastAsia="Times New Roman" w:hAnsi="Times New Roman" w:cs="Times New Roman"/>
          <w:kern w:val="0"/>
          <w:lang w:eastAsia="en-GB"/>
          <w14:ligatures w14:val="none"/>
        </w:rPr>
        <w:t>) is a diaspora-led NGO advocating for democracy and human rights in India, with a particular focus on minority rights, Indigenous rights, gender equality, and digital rights. This submission provides updated evidence to the CEDAW on the persistence of gendered discrimination and violence in India, ten years after the Committee’s last Concluding Observations (CEDAW/C/IND/CO/4-5, 2014).</w:t>
      </w:r>
    </w:p>
    <w:p w14:paraId="2735DD70" w14:textId="0A75FB8E" w:rsidR="00A81C85" w:rsidRPr="00A81C85" w:rsidRDefault="00A81C85" w:rsidP="00EB4D68">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A81C85">
        <w:rPr>
          <w:rFonts w:ascii="Times New Roman" w:eastAsia="Times New Roman" w:hAnsi="Times New Roman" w:cs="Times New Roman"/>
          <w:kern w:val="0"/>
          <w:lang w:eastAsia="en-GB"/>
          <w14:ligatures w14:val="none"/>
        </w:rPr>
        <w:t xml:space="preserve">While the Indian government has taken </w:t>
      </w:r>
      <w:r w:rsidR="00F07CF3" w:rsidRPr="00EC4FD6">
        <w:rPr>
          <w:rFonts w:ascii="Times New Roman" w:eastAsia="Times New Roman" w:hAnsi="Times New Roman" w:cs="Times New Roman"/>
          <w:kern w:val="0"/>
          <w:lang w:eastAsia="en-GB"/>
          <w14:ligatures w14:val="none"/>
        </w:rPr>
        <w:t>some</w:t>
      </w:r>
      <w:r w:rsidRPr="00A81C85">
        <w:rPr>
          <w:rFonts w:ascii="Times New Roman" w:eastAsia="Times New Roman" w:hAnsi="Times New Roman" w:cs="Times New Roman"/>
          <w:kern w:val="0"/>
          <w:lang w:eastAsia="en-GB"/>
          <w14:ligatures w14:val="none"/>
        </w:rPr>
        <w:t xml:space="preserve"> positive step</w:t>
      </w:r>
      <w:r w:rsidR="00F07CF3" w:rsidRPr="00EC4FD6">
        <w:rPr>
          <w:rFonts w:ascii="Times New Roman" w:eastAsia="Times New Roman" w:hAnsi="Times New Roman" w:cs="Times New Roman"/>
          <w:kern w:val="0"/>
          <w:lang w:eastAsia="en-GB"/>
          <w14:ligatures w14:val="none"/>
        </w:rPr>
        <w:t>s</w:t>
      </w:r>
      <w:r w:rsidRPr="00A81C85">
        <w:rPr>
          <w:rFonts w:ascii="Times New Roman" w:eastAsia="Times New Roman" w:hAnsi="Times New Roman" w:cs="Times New Roman"/>
          <w:kern w:val="0"/>
          <w:lang w:eastAsia="en-GB"/>
          <w14:ligatures w14:val="none"/>
        </w:rPr>
        <w:t xml:space="preserve"> by passing</w:t>
      </w:r>
      <w:r w:rsidR="003C40B6" w:rsidRPr="00EC4FD6">
        <w:rPr>
          <w:rFonts w:ascii="Times New Roman" w:eastAsia="Times New Roman" w:hAnsi="Times New Roman" w:cs="Times New Roman"/>
          <w:kern w:val="0"/>
          <w:lang w:eastAsia="en-GB"/>
          <w14:ligatures w14:val="none"/>
        </w:rPr>
        <w:t xml:space="preserve"> acts such as</w:t>
      </w:r>
      <w:r w:rsidRPr="00A81C85">
        <w:rPr>
          <w:rFonts w:ascii="Times New Roman" w:eastAsia="Times New Roman" w:hAnsi="Times New Roman" w:cs="Times New Roman"/>
          <w:kern w:val="0"/>
          <w:lang w:eastAsia="en-GB"/>
          <w14:ligatures w14:val="none"/>
        </w:rPr>
        <w:t xml:space="preserve"> the Constitution (One Hundred and Twenty-Eighth Amendment) Bill, 2023, which reserves one-third of seats in the Lok Sabha and State Legislative Assemblies for women</w:t>
      </w:r>
      <w:r w:rsidR="00B94D57" w:rsidRPr="00EC4FD6">
        <w:rPr>
          <w:rStyle w:val="FootnoteReference"/>
          <w:rFonts w:ascii="Times New Roman" w:eastAsia="Times New Roman" w:hAnsi="Times New Roman" w:cs="Times New Roman"/>
          <w:kern w:val="0"/>
          <w:lang w:eastAsia="en-GB"/>
          <w14:ligatures w14:val="none"/>
        </w:rPr>
        <w:footnoteReference w:id="1"/>
      </w:r>
      <w:r w:rsidRPr="00A81C85">
        <w:rPr>
          <w:rFonts w:ascii="Times New Roman" w:eastAsia="Times New Roman" w:hAnsi="Times New Roman" w:cs="Times New Roman"/>
          <w:kern w:val="0"/>
          <w:lang w:eastAsia="en-GB"/>
          <w14:ligatures w14:val="none"/>
        </w:rPr>
        <w:t>, the general condition of women in India has sharply declined under the current administration. This deterioration contributes to a broader democratic backsliding and repression of freedoms, as we demonstrate in this report.</w:t>
      </w:r>
    </w:p>
    <w:p w14:paraId="56213558" w14:textId="53085E4A" w:rsidR="00263389" w:rsidRPr="00EC4FD6" w:rsidRDefault="00263389" w:rsidP="00EB4D68">
      <w:pPr>
        <w:spacing w:before="100" w:beforeAutospacing="1" w:after="100" w:afterAutospacing="1" w:line="240" w:lineRule="auto"/>
        <w:jc w:val="both"/>
        <w:rPr>
          <w:rFonts w:ascii="Times New Roman" w:hAnsi="Times New Roman" w:cs="Times New Roman"/>
        </w:rPr>
      </w:pPr>
      <w:r w:rsidRPr="00EC4FD6">
        <w:rPr>
          <w:rFonts w:ascii="Times New Roman" w:hAnsi="Times New Roman" w:cs="Times New Roman"/>
        </w:rPr>
        <w:t xml:space="preserve">Prime Minister Narendra Modi often makes hyperbolic political statements about women’s rights, condemning rape and misogyny in public speeches. Yet his government’s record reveals the opposite: a steady rise in crimes against women, systemic impunity, and policies that entrench discrimination. The </w:t>
      </w:r>
      <w:r w:rsidRPr="00EC4FD6">
        <w:rPr>
          <w:rStyle w:val="Emphasis"/>
          <w:rFonts w:ascii="Times New Roman" w:hAnsi="Times New Roman" w:cs="Times New Roman"/>
        </w:rPr>
        <w:t>Bilkis Bano</w:t>
      </w:r>
      <w:r w:rsidRPr="00EC4FD6">
        <w:rPr>
          <w:rFonts w:ascii="Times New Roman" w:hAnsi="Times New Roman" w:cs="Times New Roman"/>
        </w:rPr>
        <w:t xml:space="preserve"> case is emblematic. In 2002, during the anti-Muslim pogroms in Gujarat, Bilkis was gang-raped and 14 members of her family were killed, while Modi was Chief Minister. Though Modi was not personally convicted, multiple independent inquiries noted serious investigative failures that shielded senior officials from accountability. Two decades later, in 2022, his government oversaw the premature release of the 11 men convicted of the gang-rape and murders. Their public garlanding and celebration by members of Modi’s own party illustrated a climate of state-enabled impunity. Only after sustained public outrage did the Supreme Court overturn the remission in January 2024 and order the convicts back to prison. This trajectory exemplifies how gendered and communal violence is perpetuated under political endorsement and legal impunity</w:t>
      </w:r>
      <w:r w:rsidRPr="00EC4FD6">
        <w:rPr>
          <w:rStyle w:val="FootnoteReference"/>
          <w:rFonts w:ascii="Times New Roman" w:hAnsi="Times New Roman" w:cs="Times New Roman"/>
        </w:rPr>
        <w:footnoteReference w:id="2"/>
      </w:r>
      <w:r w:rsidRPr="00EC4FD6">
        <w:rPr>
          <w:rFonts w:ascii="Times New Roman" w:hAnsi="Times New Roman" w:cs="Times New Roman"/>
        </w:rPr>
        <w:t>.</w:t>
      </w:r>
    </w:p>
    <w:p w14:paraId="48790D57" w14:textId="0C4F37ED" w:rsidR="00A81C85" w:rsidRPr="00A81C85" w:rsidRDefault="00A81C85" w:rsidP="00EB4D68">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A81C85">
        <w:rPr>
          <w:rFonts w:ascii="Times New Roman" w:eastAsia="Times New Roman" w:hAnsi="Times New Roman" w:cs="Times New Roman"/>
          <w:kern w:val="0"/>
          <w:lang w:eastAsia="en-GB"/>
          <w14:ligatures w14:val="none"/>
        </w:rPr>
        <w:t xml:space="preserve">Further, Modi and senior leaders of the ruling Bharatiya Janata Party (BJP) actively fuel an environment of misogyny and harassment. Modi himself has engaged in targeted political attacks against women leaders such as Mamata Banerjee and Sonia Gandhi, deploying toxic rhetoric that normalises gendered abuse. This atmosphere is amplified online, where BJP’s IT </w:t>
      </w:r>
      <w:r w:rsidRPr="00A81C85">
        <w:rPr>
          <w:rFonts w:ascii="Times New Roman" w:eastAsia="Times New Roman" w:hAnsi="Times New Roman" w:cs="Times New Roman"/>
          <w:kern w:val="0"/>
          <w:lang w:eastAsia="en-GB"/>
          <w14:ligatures w14:val="none"/>
        </w:rPr>
        <w:lastRenderedPageBreak/>
        <w:t>cells and affiliated troll networks orchestrate harassment campaigns, doxxing, and coordinated abuse of women journalists, activists, and opposition leaders. Far from condemning such abuse, Modi’s conduct legitimises and encourages these patterns of digital violence.</w:t>
      </w:r>
    </w:p>
    <w:p w14:paraId="5A63DE55" w14:textId="77777777" w:rsidR="001F54F5" w:rsidRPr="00EC4FD6" w:rsidRDefault="00A81C85" w:rsidP="00EB4D68">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A81C85">
        <w:rPr>
          <w:rFonts w:ascii="Times New Roman" w:eastAsia="Times New Roman" w:hAnsi="Times New Roman" w:cs="Times New Roman"/>
          <w:kern w:val="0"/>
          <w:lang w:eastAsia="en-GB"/>
          <w14:ligatures w14:val="none"/>
        </w:rPr>
        <w:t>In this context, India’s formal constitutional progress on women’s political representation rings hollow when set against the daily realities of women’s lives: persistent gender-based violence, displacement, discrimination in education, militarisation, and systemic online abuse. This report details these failures across key areas, demonstrating India’s continuing non-compliance with its obligations under CEDAW.</w:t>
      </w:r>
    </w:p>
    <w:p w14:paraId="17751691" w14:textId="5E3CB7CB" w:rsidR="00663141" w:rsidRPr="00EC4FD6" w:rsidRDefault="00782AC5" w:rsidP="0088261E">
      <w:pPr>
        <w:pStyle w:val="Heading1"/>
        <w:rPr>
          <w:rFonts w:ascii="Times New Roman" w:eastAsia="Times New Roman" w:hAnsi="Times New Roman" w:cs="Times New Roman"/>
          <w:sz w:val="24"/>
          <w:szCs w:val="24"/>
          <w:lang w:eastAsia="en-GB"/>
        </w:rPr>
      </w:pPr>
      <w:bookmarkStart w:id="4" w:name="_Toc209445213"/>
      <w:bookmarkStart w:id="5" w:name="_Toc210307102"/>
      <w:r w:rsidRPr="00EC4FD6">
        <w:rPr>
          <w:rFonts w:ascii="Times New Roman" w:eastAsia="Times New Roman" w:hAnsi="Times New Roman" w:cs="Times New Roman"/>
          <w:lang w:eastAsia="en-GB"/>
        </w:rPr>
        <w:t>2. Communal and Gender-Based Violence</w:t>
      </w:r>
      <w:bookmarkEnd w:id="4"/>
      <w:bookmarkEnd w:id="5"/>
    </w:p>
    <w:p w14:paraId="01EF89D4" w14:textId="6C0744E5" w:rsidR="00663141" w:rsidRPr="00663141" w:rsidRDefault="00663141" w:rsidP="00EB4D68">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663141">
        <w:rPr>
          <w:rFonts w:ascii="Times New Roman" w:eastAsia="Times New Roman" w:hAnsi="Times New Roman" w:cs="Times New Roman"/>
          <w:kern w:val="0"/>
          <w:lang w:eastAsia="en-GB"/>
          <w14:ligatures w14:val="none"/>
        </w:rPr>
        <w:t xml:space="preserve">Crimes against women in India remain alarmingly high. According to the National Crime Records Bureau (NCRB), </w:t>
      </w:r>
      <w:r w:rsidRPr="00663141">
        <w:rPr>
          <w:rFonts w:ascii="Times New Roman" w:eastAsia="Times New Roman" w:hAnsi="Times New Roman" w:cs="Times New Roman"/>
          <w:b/>
          <w:bCs/>
          <w:kern w:val="0"/>
          <w:lang w:eastAsia="en-GB"/>
          <w14:ligatures w14:val="none"/>
        </w:rPr>
        <w:t>428,278 cases of crimes against women were registered in 2021</w:t>
      </w:r>
      <w:r w:rsidRPr="00663141">
        <w:rPr>
          <w:rFonts w:ascii="Times New Roman" w:eastAsia="Times New Roman" w:hAnsi="Times New Roman" w:cs="Times New Roman"/>
          <w:kern w:val="0"/>
          <w:lang w:eastAsia="en-GB"/>
          <w14:ligatures w14:val="none"/>
        </w:rPr>
        <w:t>, the highest ever recorded</w:t>
      </w:r>
      <w:r w:rsidR="008617E8" w:rsidRPr="00EC4FD6">
        <w:rPr>
          <w:rStyle w:val="FootnoteReference"/>
          <w:rFonts w:ascii="Times New Roman" w:eastAsia="Times New Roman" w:hAnsi="Times New Roman" w:cs="Times New Roman"/>
          <w:kern w:val="0"/>
          <w:lang w:eastAsia="en-GB"/>
          <w14:ligatures w14:val="none"/>
        </w:rPr>
        <w:footnoteReference w:id="3"/>
      </w:r>
      <w:r w:rsidRPr="00663141">
        <w:rPr>
          <w:rFonts w:ascii="Times New Roman" w:eastAsia="Times New Roman" w:hAnsi="Times New Roman" w:cs="Times New Roman"/>
          <w:kern w:val="0"/>
          <w:lang w:eastAsia="en-GB"/>
          <w14:ligatures w14:val="none"/>
        </w:rPr>
        <w:t xml:space="preserve">. These included </w:t>
      </w:r>
      <w:r w:rsidRPr="00663141">
        <w:rPr>
          <w:rFonts w:ascii="Times New Roman" w:eastAsia="Times New Roman" w:hAnsi="Times New Roman" w:cs="Times New Roman"/>
          <w:b/>
          <w:bCs/>
          <w:kern w:val="0"/>
          <w:lang w:eastAsia="en-GB"/>
          <w14:ligatures w14:val="none"/>
        </w:rPr>
        <w:t>31,878 rapes</w:t>
      </w:r>
      <w:r w:rsidRPr="00663141">
        <w:rPr>
          <w:rFonts w:ascii="Times New Roman" w:eastAsia="Times New Roman" w:hAnsi="Times New Roman" w:cs="Times New Roman"/>
          <w:kern w:val="0"/>
          <w:lang w:eastAsia="en-GB"/>
          <w14:ligatures w14:val="none"/>
        </w:rPr>
        <w:t xml:space="preserve">, </w:t>
      </w:r>
      <w:r w:rsidRPr="00663141">
        <w:rPr>
          <w:rFonts w:ascii="Times New Roman" w:eastAsia="Times New Roman" w:hAnsi="Times New Roman" w:cs="Times New Roman"/>
          <w:b/>
          <w:bCs/>
          <w:kern w:val="0"/>
          <w:lang w:eastAsia="en-GB"/>
          <w14:ligatures w14:val="none"/>
        </w:rPr>
        <w:t>137,956 cases of cruelty by husbands or relatives</w:t>
      </w:r>
      <w:r w:rsidRPr="00663141">
        <w:rPr>
          <w:rFonts w:ascii="Times New Roman" w:eastAsia="Times New Roman" w:hAnsi="Times New Roman" w:cs="Times New Roman"/>
          <w:kern w:val="0"/>
          <w:lang w:eastAsia="en-GB"/>
          <w14:ligatures w14:val="none"/>
        </w:rPr>
        <w:t xml:space="preserve">, and </w:t>
      </w:r>
      <w:r w:rsidRPr="00663141">
        <w:rPr>
          <w:rFonts w:ascii="Times New Roman" w:eastAsia="Times New Roman" w:hAnsi="Times New Roman" w:cs="Times New Roman"/>
          <w:b/>
          <w:bCs/>
          <w:kern w:val="0"/>
          <w:lang w:eastAsia="en-GB"/>
          <w14:ligatures w14:val="none"/>
        </w:rPr>
        <w:t>6,795 dowry deaths</w:t>
      </w:r>
      <w:r w:rsidRPr="00663141">
        <w:rPr>
          <w:rFonts w:ascii="Times New Roman" w:eastAsia="Times New Roman" w:hAnsi="Times New Roman" w:cs="Times New Roman"/>
          <w:kern w:val="0"/>
          <w:lang w:eastAsia="en-GB"/>
          <w14:ligatures w14:val="none"/>
        </w:rPr>
        <w:t>, averaging one every 77 minutes</w:t>
      </w:r>
      <w:r w:rsidR="0096513F" w:rsidRPr="00EC4FD6">
        <w:rPr>
          <w:rStyle w:val="FootnoteReference"/>
          <w:rFonts w:ascii="Times New Roman" w:eastAsia="Times New Roman" w:hAnsi="Times New Roman" w:cs="Times New Roman"/>
          <w:kern w:val="0"/>
          <w:lang w:eastAsia="en-GB"/>
          <w14:ligatures w14:val="none"/>
        </w:rPr>
        <w:footnoteReference w:id="4"/>
      </w:r>
      <w:r w:rsidRPr="00663141">
        <w:rPr>
          <w:rFonts w:ascii="Times New Roman" w:eastAsia="Times New Roman" w:hAnsi="Times New Roman" w:cs="Times New Roman"/>
          <w:kern w:val="0"/>
          <w:lang w:eastAsia="en-GB"/>
          <w14:ligatures w14:val="none"/>
        </w:rPr>
        <w:t>. The government claims that rising numbers reflect better reporting. In reality, survivors continue to face stigma, police indifference, and judicial insensitivity. As CEDAW already warned in 2014, India has not adequately addressed violence against women (paras. 10–13, CEDAW/C/IND/CO/4-5).</w:t>
      </w:r>
    </w:p>
    <w:p w14:paraId="5D8732A0" w14:textId="5A46C864" w:rsidR="00663141" w:rsidRPr="00663141" w:rsidRDefault="00663141" w:rsidP="00EB4D68">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663141">
        <w:rPr>
          <w:rFonts w:ascii="Times New Roman" w:eastAsia="Times New Roman" w:hAnsi="Times New Roman" w:cs="Times New Roman"/>
          <w:kern w:val="0"/>
          <w:lang w:eastAsia="en-GB"/>
          <w14:ligatures w14:val="none"/>
        </w:rPr>
        <w:t xml:space="preserve">Communal </w:t>
      </w:r>
      <w:r w:rsidRPr="0062536B">
        <w:rPr>
          <w:rFonts w:ascii="Times New Roman" w:eastAsia="Times New Roman" w:hAnsi="Times New Roman" w:cs="Times New Roman"/>
          <w:kern w:val="0"/>
          <w:lang w:eastAsia="en-GB"/>
          <w14:ligatures w14:val="none"/>
        </w:rPr>
        <w:t>violence is a recurring context in which women’s bodies are weaponised. In Gujarat in 2002, during</w:t>
      </w:r>
      <w:r w:rsidRPr="00663141">
        <w:rPr>
          <w:rFonts w:ascii="Times New Roman" w:eastAsia="Times New Roman" w:hAnsi="Times New Roman" w:cs="Times New Roman"/>
          <w:kern w:val="0"/>
          <w:lang w:eastAsia="en-GB"/>
          <w14:ligatures w14:val="none"/>
        </w:rPr>
        <w:t xml:space="preserve"> the anti-Muslim pogroms, Bilkis Bano was gang-raped and fourteen members of her family were murdered by Hindu mobs. At the time, Narendra Modi was Chief Minister of Gujarat and was himself implicated in the pogroms, though acquitted following what human rights groups describe as investigative failures. Two decades later, in August 2022, Modi was Prime Minister when Bilkis Bano’s rapists were prematurely released from prison and publicly garlanded by members of the ruling Bharatiya Janata Party. This sequence demonstrates not only the continuity of impunity but also the political sanctioning of gendered communal violence</w:t>
      </w:r>
      <w:r w:rsidR="00E109A8" w:rsidRPr="00EC4FD6">
        <w:rPr>
          <w:rStyle w:val="FootnoteReference"/>
          <w:rFonts w:ascii="Times New Roman" w:eastAsia="Times New Roman" w:hAnsi="Times New Roman" w:cs="Times New Roman"/>
          <w:kern w:val="0"/>
          <w:lang w:eastAsia="en-GB"/>
          <w14:ligatures w14:val="none"/>
        </w:rPr>
        <w:footnoteReference w:id="5"/>
      </w:r>
      <w:r w:rsidRPr="00663141">
        <w:rPr>
          <w:rFonts w:ascii="Times New Roman" w:eastAsia="Times New Roman" w:hAnsi="Times New Roman" w:cs="Times New Roman"/>
          <w:kern w:val="0"/>
          <w:lang w:eastAsia="en-GB"/>
          <w14:ligatures w14:val="none"/>
        </w:rPr>
        <w:t xml:space="preserve"> </w:t>
      </w:r>
    </w:p>
    <w:p w14:paraId="26AE0F34" w14:textId="7A2C715D" w:rsidR="00663141" w:rsidRPr="0062536B" w:rsidRDefault="00663141" w:rsidP="00EB4D68">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62536B">
        <w:rPr>
          <w:rFonts w:ascii="Times New Roman" w:eastAsia="Times New Roman" w:hAnsi="Times New Roman" w:cs="Times New Roman"/>
          <w:kern w:val="0"/>
          <w:lang w:eastAsia="en-GB"/>
          <w14:ligatures w14:val="none"/>
        </w:rPr>
        <w:t xml:space="preserve">This is not an isolated case. In Muzaffarnagar in 2013, Muslim women reported gang rapes and harassment during communal riots. In Delhi in 2020, Muslim women were displaced, harassed, </w:t>
      </w:r>
      <w:r w:rsidRPr="0062536B">
        <w:rPr>
          <w:rFonts w:ascii="Times New Roman" w:eastAsia="Times New Roman" w:hAnsi="Times New Roman" w:cs="Times New Roman"/>
          <w:kern w:val="0"/>
          <w:lang w:eastAsia="en-GB"/>
          <w14:ligatures w14:val="none"/>
        </w:rPr>
        <w:lastRenderedPageBreak/>
        <w:t>and targeted during large-scale anti-Muslim violence. Most recently, in Manipur in 2023</w:t>
      </w:r>
      <w:r w:rsidR="00587D7A" w:rsidRPr="0062536B">
        <w:rPr>
          <w:rStyle w:val="FootnoteReference"/>
          <w:rFonts w:ascii="Times New Roman" w:eastAsia="Times New Roman" w:hAnsi="Times New Roman" w:cs="Times New Roman"/>
          <w:kern w:val="0"/>
          <w:lang w:eastAsia="en-GB"/>
          <w14:ligatures w14:val="none"/>
        </w:rPr>
        <w:footnoteReference w:id="6"/>
      </w:r>
      <w:r w:rsidRPr="0062536B">
        <w:rPr>
          <w:rFonts w:ascii="Times New Roman" w:eastAsia="Times New Roman" w:hAnsi="Times New Roman" w:cs="Times New Roman"/>
          <w:kern w:val="0"/>
          <w:lang w:eastAsia="en-GB"/>
          <w14:ligatures w14:val="none"/>
        </w:rPr>
        <w:t>, a viral video showed two Kuki women stripped, paraded, and assaulted by mobs, underscoring the State’s failure to protect women in conflict situations</w:t>
      </w:r>
      <w:r w:rsidR="004730F4" w:rsidRPr="0062536B">
        <w:rPr>
          <w:rStyle w:val="FootnoteReference"/>
          <w:rFonts w:ascii="Times New Roman" w:eastAsia="Times New Roman" w:hAnsi="Times New Roman" w:cs="Times New Roman"/>
          <w:kern w:val="0"/>
          <w:lang w:eastAsia="en-GB"/>
          <w14:ligatures w14:val="none"/>
        </w:rPr>
        <w:footnoteReference w:id="7"/>
      </w:r>
      <w:r w:rsidR="006E1456" w:rsidRPr="0062536B">
        <w:rPr>
          <w:rFonts w:ascii="Times New Roman" w:eastAsia="Times New Roman" w:hAnsi="Times New Roman" w:cs="Times New Roman"/>
          <w:kern w:val="0"/>
          <w:lang w:eastAsia="en-GB"/>
          <w14:ligatures w14:val="none"/>
        </w:rPr>
        <w:t>.</w:t>
      </w:r>
    </w:p>
    <w:p w14:paraId="7E89F7A8" w14:textId="6F001C0E" w:rsidR="00663141" w:rsidRPr="00663141" w:rsidRDefault="00663141" w:rsidP="00EB4D68">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663141">
        <w:rPr>
          <w:rFonts w:ascii="Times New Roman" w:eastAsia="Times New Roman" w:hAnsi="Times New Roman" w:cs="Times New Roman"/>
          <w:kern w:val="0"/>
          <w:lang w:eastAsia="en-GB"/>
          <w14:ligatures w14:val="none"/>
        </w:rPr>
        <w:t xml:space="preserve">Despite CEDAW’s 2014 recommendation to adopt a </w:t>
      </w:r>
      <w:r w:rsidRPr="0062536B">
        <w:rPr>
          <w:rFonts w:ascii="Times New Roman" w:eastAsia="Times New Roman" w:hAnsi="Times New Roman" w:cs="Times New Roman"/>
          <w:kern w:val="0"/>
          <w:lang w:eastAsia="en-GB"/>
          <w14:ligatures w14:val="none"/>
        </w:rPr>
        <w:t>comprehensive Communal Violence Bill (paras. 12–13), no such legislation has been enacted. Instead, discriminatory “love jihad”</w:t>
      </w:r>
      <w:r w:rsidRPr="00663141">
        <w:rPr>
          <w:rFonts w:ascii="Times New Roman" w:eastAsia="Times New Roman" w:hAnsi="Times New Roman" w:cs="Times New Roman"/>
          <w:kern w:val="0"/>
          <w:lang w:eastAsia="en-GB"/>
          <w14:ligatures w14:val="none"/>
        </w:rPr>
        <w:t xml:space="preserve"> laws have been introduced in nearly ten states, criminalising interfaith marriages under the pretext of forced conversions</w:t>
      </w:r>
      <w:r w:rsidR="00527834" w:rsidRPr="00EC4FD6">
        <w:rPr>
          <w:rStyle w:val="FootnoteReference"/>
          <w:rFonts w:ascii="Times New Roman" w:eastAsia="Times New Roman" w:hAnsi="Times New Roman" w:cs="Times New Roman"/>
          <w:kern w:val="0"/>
          <w:lang w:eastAsia="en-GB"/>
          <w14:ligatures w14:val="none"/>
        </w:rPr>
        <w:footnoteReference w:id="8"/>
      </w:r>
      <w:r w:rsidRPr="00663141">
        <w:rPr>
          <w:rFonts w:ascii="Times New Roman" w:eastAsia="Times New Roman" w:hAnsi="Times New Roman" w:cs="Times New Roman"/>
          <w:kern w:val="0"/>
          <w:lang w:eastAsia="en-GB"/>
          <w14:ligatures w14:val="none"/>
        </w:rPr>
        <w:t>. These laws primarily target Muslim men but directly undermine women’s autonomy in choosing their partners</w:t>
      </w:r>
      <w:r w:rsidR="00984EBE" w:rsidRPr="00EC4FD6">
        <w:rPr>
          <w:rStyle w:val="FootnoteReference"/>
          <w:rFonts w:ascii="Times New Roman" w:eastAsia="Times New Roman" w:hAnsi="Times New Roman" w:cs="Times New Roman"/>
          <w:kern w:val="0"/>
          <w:lang w:eastAsia="en-GB"/>
          <w14:ligatures w14:val="none"/>
        </w:rPr>
        <w:footnoteReference w:id="9"/>
      </w:r>
      <w:r w:rsidRPr="00663141">
        <w:rPr>
          <w:rFonts w:ascii="Times New Roman" w:eastAsia="Times New Roman" w:hAnsi="Times New Roman" w:cs="Times New Roman"/>
          <w:kern w:val="0"/>
          <w:lang w:eastAsia="en-GB"/>
          <w14:ligatures w14:val="none"/>
        </w:rPr>
        <w:t>, in clear violation of Article 16 CEDAW</w:t>
      </w:r>
      <w:r w:rsidR="005E31BE" w:rsidRPr="00EC4FD6">
        <w:rPr>
          <w:rFonts w:ascii="Times New Roman" w:eastAsia="Times New Roman" w:hAnsi="Times New Roman" w:cs="Times New Roman"/>
          <w:kern w:val="0"/>
          <w:lang w:eastAsia="en-GB"/>
          <w14:ligatures w14:val="none"/>
        </w:rPr>
        <w:t>.</w:t>
      </w:r>
    </w:p>
    <w:p w14:paraId="0DEEE9F6" w14:textId="31B319EB" w:rsidR="00663141" w:rsidRPr="00663141" w:rsidRDefault="00663141" w:rsidP="00EB4D68">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663141">
        <w:rPr>
          <w:rFonts w:ascii="Times New Roman" w:eastAsia="Times New Roman" w:hAnsi="Times New Roman" w:cs="Times New Roman"/>
          <w:kern w:val="0"/>
          <w:lang w:eastAsia="en-GB"/>
          <w14:ligatures w14:val="none"/>
        </w:rPr>
        <w:t xml:space="preserve">Patterns of harassment extend into digital spaces, where ruling party IT cells and troll networks orchestrate campaigns of abuse against Muslim women journalists, activists, and political figures. The </w:t>
      </w:r>
      <w:r w:rsidRPr="0062536B">
        <w:rPr>
          <w:rFonts w:ascii="Times New Roman" w:eastAsia="Times New Roman" w:hAnsi="Times New Roman" w:cs="Times New Roman"/>
          <w:kern w:val="0"/>
          <w:lang w:eastAsia="en-GB"/>
          <w14:ligatures w14:val="none"/>
        </w:rPr>
        <w:t xml:space="preserve">“Sulli Deals” and “Bulli Bai” </w:t>
      </w:r>
      <w:r w:rsidRPr="00663141">
        <w:rPr>
          <w:rFonts w:ascii="Times New Roman" w:eastAsia="Times New Roman" w:hAnsi="Times New Roman" w:cs="Times New Roman"/>
          <w:kern w:val="0"/>
          <w:lang w:eastAsia="en-GB"/>
          <w14:ligatures w14:val="none"/>
        </w:rPr>
        <w:t>apps, which placed Muslim women in fake online “auctions,” are emblematic of how misogyny intersects with Islamophobia online</w:t>
      </w:r>
      <w:r w:rsidR="005817DA" w:rsidRPr="00EC4FD6">
        <w:rPr>
          <w:rStyle w:val="FootnoteReference"/>
          <w:rFonts w:ascii="Times New Roman" w:eastAsia="Times New Roman" w:hAnsi="Times New Roman" w:cs="Times New Roman"/>
          <w:kern w:val="0"/>
          <w:lang w:eastAsia="en-GB"/>
          <w14:ligatures w14:val="none"/>
        </w:rPr>
        <w:footnoteReference w:id="10"/>
      </w:r>
      <w:r w:rsidR="005817DA" w:rsidRPr="00EC4FD6">
        <w:rPr>
          <w:rFonts w:ascii="Times New Roman" w:eastAsia="Times New Roman" w:hAnsi="Times New Roman" w:cs="Times New Roman"/>
          <w:kern w:val="0"/>
          <w:lang w:eastAsia="en-GB"/>
          <w14:ligatures w14:val="none"/>
        </w:rPr>
        <w:t>.</w:t>
      </w:r>
      <w:r w:rsidRPr="00663141">
        <w:rPr>
          <w:rFonts w:ascii="Times New Roman" w:eastAsia="Times New Roman" w:hAnsi="Times New Roman" w:cs="Times New Roman"/>
          <w:kern w:val="0"/>
          <w:lang w:eastAsia="en-GB"/>
          <w14:ligatures w14:val="none"/>
        </w:rPr>
        <w:t>Modi himself has engaged in toxic political attacks against women leaders such as Mamata Banerjee and Sonia Gandhi, encouraging an atmosphere in which gendered abuse and doxxing are legitimised rather than condemned.</w:t>
      </w:r>
    </w:p>
    <w:p w14:paraId="66FBA180" w14:textId="44FEA361" w:rsidR="00782AC5" w:rsidRDefault="0062536B" w:rsidP="00782AC5">
      <w:pPr>
        <w:spacing w:after="0" w:line="240" w:lineRule="auto"/>
        <w:rPr>
          <w:rFonts w:ascii="Times New Roman" w:eastAsia="Times New Roman" w:hAnsi="Times New Roman" w:cs="Times New Roman"/>
          <w:kern w:val="0"/>
          <w:lang w:eastAsia="en-GB"/>
          <w14:ligatures w14:val="none"/>
        </w:rPr>
      </w:pPr>
      <w:r w:rsidRPr="0062536B">
        <w:rPr>
          <w:rFonts w:ascii="Times New Roman" w:eastAsia="Times New Roman" w:hAnsi="Times New Roman" w:cs="Times New Roman"/>
          <w:kern w:val="0"/>
          <w:lang w:eastAsia="en-GB"/>
          <w14:ligatures w14:val="none"/>
        </w:rPr>
        <w:t>Two decades after Gujarat, India still tolerates the targeting of women in communal violence, failing to pass protective laws, maintaining discriminatory “love jihad” measures, and allowing misogynistic rhetoric by senior leaders — breaching its CEDAW duty to prevent and punish such abuse.</w:t>
      </w:r>
    </w:p>
    <w:p w14:paraId="5505309E" w14:textId="77777777" w:rsidR="0062536B" w:rsidRDefault="0062536B" w:rsidP="00782AC5">
      <w:pPr>
        <w:spacing w:after="0" w:line="240" w:lineRule="auto"/>
        <w:rPr>
          <w:rFonts w:ascii="Times New Roman" w:eastAsia="Times New Roman" w:hAnsi="Times New Roman" w:cs="Times New Roman"/>
          <w:kern w:val="0"/>
          <w:lang w:eastAsia="en-GB"/>
          <w14:ligatures w14:val="none"/>
        </w:rPr>
      </w:pPr>
    </w:p>
    <w:p w14:paraId="3E498E45" w14:textId="77777777" w:rsidR="0062536B" w:rsidRDefault="0062536B" w:rsidP="00782AC5">
      <w:pPr>
        <w:spacing w:after="0" w:line="240" w:lineRule="auto"/>
        <w:rPr>
          <w:rFonts w:ascii="Times New Roman" w:eastAsia="Times New Roman" w:hAnsi="Times New Roman" w:cs="Times New Roman"/>
          <w:kern w:val="0"/>
          <w:lang w:eastAsia="en-GB"/>
          <w14:ligatures w14:val="none"/>
        </w:rPr>
      </w:pPr>
    </w:p>
    <w:p w14:paraId="0BDF5D9F" w14:textId="77777777" w:rsidR="0062536B" w:rsidRDefault="0062536B" w:rsidP="00782AC5">
      <w:pPr>
        <w:spacing w:after="0" w:line="240" w:lineRule="auto"/>
        <w:rPr>
          <w:rFonts w:ascii="Times New Roman" w:eastAsia="Times New Roman" w:hAnsi="Times New Roman" w:cs="Times New Roman"/>
          <w:kern w:val="0"/>
          <w:lang w:eastAsia="en-GB"/>
          <w14:ligatures w14:val="none"/>
        </w:rPr>
      </w:pPr>
    </w:p>
    <w:p w14:paraId="4D76FB4C" w14:textId="77777777" w:rsidR="0062536B" w:rsidRPr="00782AC5" w:rsidRDefault="0062536B" w:rsidP="00782AC5">
      <w:pPr>
        <w:spacing w:after="0" w:line="240" w:lineRule="auto"/>
        <w:rPr>
          <w:rFonts w:ascii="Times New Roman" w:eastAsia="Times New Roman" w:hAnsi="Times New Roman" w:cs="Times New Roman"/>
          <w:kern w:val="0"/>
          <w:lang w:eastAsia="en-GB"/>
          <w14:ligatures w14:val="none"/>
        </w:rPr>
      </w:pPr>
    </w:p>
    <w:p w14:paraId="5E6F93E0" w14:textId="77777777" w:rsidR="00782AC5" w:rsidRPr="00EC4FD6" w:rsidRDefault="00782AC5" w:rsidP="0088261E">
      <w:pPr>
        <w:pStyle w:val="Heading1"/>
        <w:rPr>
          <w:rFonts w:ascii="Times New Roman" w:eastAsia="Times New Roman" w:hAnsi="Times New Roman" w:cs="Times New Roman"/>
          <w:lang w:eastAsia="en-GB"/>
        </w:rPr>
      </w:pPr>
      <w:bookmarkStart w:id="6" w:name="_Toc209445214"/>
      <w:bookmarkStart w:id="7" w:name="_Toc210307103"/>
      <w:r w:rsidRPr="00EC4FD6">
        <w:rPr>
          <w:rFonts w:ascii="Times New Roman" w:eastAsia="Times New Roman" w:hAnsi="Times New Roman" w:cs="Times New Roman"/>
          <w:lang w:eastAsia="en-GB"/>
        </w:rPr>
        <w:lastRenderedPageBreak/>
        <w:t>3. Conflict, Militarisation and AFSPA Legacy</w:t>
      </w:r>
      <w:bookmarkEnd w:id="6"/>
      <w:bookmarkEnd w:id="7"/>
    </w:p>
    <w:p w14:paraId="7988D32F" w14:textId="71FDD3CB" w:rsidR="00782AC5" w:rsidRPr="00782AC5" w:rsidRDefault="00782AC5" w:rsidP="00EB4D68">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62536B">
        <w:rPr>
          <w:rFonts w:ascii="Times New Roman" w:eastAsia="Times New Roman" w:hAnsi="Times New Roman" w:cs="Times New Roman"/>
          <w:kern w:val="0"/>
          <w:lang w:eastAsia="en-GB"/>
          <w14:ligatures w14:val="none"/>
        </w:rPr>
        <w:t>The Armed Forces (Special Powers) Act (AFSPA) has</w:t>
      </w:r>
      <w:r w:rsidRPr="00782AC5">
        <w:rPr>
          <w:rFonts w:ascii="Times New Roman" w:eastAsia="Times New Roman" w:hAnsi="Times New Roman" w:cs="Times New Roman"/>
          <w:kern w:val="0"/>
          <w:lang w:eastAsia="en-GB"/>
          <w14:ligatures w14:val="none"/>
        </w:rPr>
        <w:t xml:space="preserve"> been emblematic of the culture of impunity in India’s conflict-affected regions. While the government announced in 2022 the partial withdrawal of AFSPA from parts of Manipur, Nagaland, and Assam, the law continues to apply in several districts and its legacy of abuse remains unaddressed</w:t>
      </w:r>
      <w:r w:rsidR="001E4450" w:rsidRPr="00EC4FD6">
        <w:rPr>
          <w:rStyle w:val="FootnoteReference"/>
          <w:rFonts w:ascii="Times New Roman" w:eastAsia="Times New Roman" w:hAnsi="Times New Roman" w:cs="Times New Roman"/>
          <w:kern w:val="0"/>
          <w:lang w:eastAsia="en-GB"/>
          <w14:ligatures w14:val="none"/>
        </w:rPr>
        <w:footnoteReference w:id="11"/>
      </w:r>
      <w:r w:rsidRPr="00782AC5">
        <w:rPr>
          <w:rFonts w:ascii="Times New Roman" w:eastAsia="Times New Roman" w:hAnsi="Times New Roman" w:cs="Times New Roman"/>
          <w:kern w:val="0"/>
          <w:lang w:eastAsia="en-GB"/>
          <w14:ligatures w14:val="none"/>
        </w:rPr>
        <w:t xml:space="preserve">. </w:t>
      </w:r>
    </w:p>
    <w:p w14:paraId="111AB7F9" w14:textId="1DFBED52" w:rsidR="00782AC5" w:rsidRPr="00782AC5" w:rsidRDefault="00782AC5" w:rsidP="00EB4D68">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782AC5">
        <w:rPr>
          <w:rFonts w:ascii="Times New Roman" w:eastAsia="Times New Roman" w:hAnsi="Times New Roman" w:cs="Times New Roman"/>
          <w:kern w:val="0"/>
          <w:lang w:eastAsia="en-GB"/>
          <w14:ligatures w14:val="none"/>
        </w:rPr>
        <w:t xml:space="preserve">One of the most emblematic cases is the </w:t>
      </w:r>
      <w:r w:rsidRPr="0062536B">
        <w:rPr>
          <w:rFonts w:ascii="Times New Roman" w:eastAsia="Times New Roman" w:hAnsi="Times New Roman" w:cs="Times New Roman"/>
          <w:kern w:val="0"/>
          <w:lang w:eastAsia="en-GB"/>
          <w14:ligatures w14:val="none"/>
        </w:rPr>
        <w:t>Thangjam Manorama killing in 2004,</w:t>
      </w:r>
      <w:r w:rsidRPr="00782AC5">
        <w:rPr>
          <w:rFonts w:ascii="Times New Roman" w:eastAsia="Times New Roman" w:hAnsi="Times New Roman" w:cs="Times New Roman"/>
          <w:kern w:val="0"/>
          <w:lang w:eastAsia="en-GB"/>
          <w14:ligatures w14:val="none"/>
        </w:rPr>
        <w:t xml:space="preserve"> where a young woman was picked up by Assam Rifles personnel and found dead with signs of sexual torture. The case sparked historic protests, including the demonstration by Manipuri women under the banner “Indian Army Rape Us,” yet no one was prosecuted</w:t>
      </w:r>
      <w:r w:rsidR="00173A3C">
        <w:rPr>
          <w:rStyle w:val="FootnoteReference"/>
          <w:rFonts w:ascii="Times New Roman" w:eastAsia="Times New Roman" w:hAnsi="Times New Roman" w:cs="Times New Roman"/>
          <w:kern w:val="0"/>
          <w:lang w:eastAsia="en-GB"/>
          <w14:ligatures w14:val="none"/>
        </w:rPr>
        <w:footnoteReference w:id="12"/>
      </w:r>
      <w:r w:rsidRPr="00782AC5">
        <w:rPr>
          <w:rFonts w:ascii="Times New Roman" w:eastAsia="Times New Roman" w:hAnsi="Times New Roman" w:cs="Times New Roman"/>
          <w:kern w:val="0"/>
          <w:lang w:eastAsia="en-GB"/>
          <w14:ligatures w14:val="none"/>
        </w:rPr>
        <w:t xml:space="preserve">. In the </w:t>
      </w:r>
      <w:r w:rsidRPr="0062536B">
        <w:rPr>
          <w:rFonts w:ascii="Times New Roman" w:eastAsia="Times New Roman" w:hAnsi="Times New Roman" w:cs="Times New Roman"/>
          <w:kern w:val="0"/>
          <w:lang w:eastAsia="en-GB"/>
          <w14:ligatures w14:val="none"/>
        </w:rPr>
        <w:t>EEVFAM litigation (2012–2017),</w:t>
      </w:r>
      <w:r w:rsidRPr="00782AC5">
        <w:rPr>
          <w:rFonts w:ascii="Times New Roman" w:eastAsia="Times New Roman" w:hAnsi="Times New Roman" w:cs="Times New Roman"/>
          <w:kern w:val="0"/>
          <w:lang w:eastAsia="en-GB"/>
          <w14:ligatures w14:val="none"/>
        </w:rPr>
        <w:t xml:space="preserve"> families documented 1,528 extrajudicial killings in Manipur, many implicating security forces under AFSPA. The Supreme Court affirmed in 2016 that AFSPA could not shield perpetrators from accountability, but prosecutions remain stalled</w:t>
      </w:r>
      <w:r w:rsidR="00E609F8" w:rsidRPr="00EC4FD6">
        <w:rPr>
          <w:rStyle w:val="FootnoteReference"/>
          <w:rFonts w:ascii="Times New Roman" w:eastAsia="Times New Roman" w:hAnsi="Times New Roman" w:cs="Times New Roman"/>
          <w:kern w:val="0"/>
          <w:lang w:eastAsia="en-GB"/>
          <w14:ligatures w14:val="none"/>
        </w:rPr>
        <w:footnoteReference w:id="13"/>
      </w:r>
      <w:r w:rsidR="00E609F8" w:rsidRPr="00EC4FD6">
        <w:rPr>
          <w:rFonts w:ascii="Times New Roman" w:eastAsia="Times New Roman" w:hAnsi="Times New Roman" w:cs="Times New Roman"/>
          <w:kern w:val="0"/>
          <w:lang w:eastAsia="en-GB"/>
          <w14:ligatures w14:val="none"/>
        </w:rPr>
        <w:t>.</w:t>
      </w:r>
    </w:p>
    <w:p w14:paraId="491095B6" w14:textId="01E485D4" w:rsidR="00782AC5" w:rsidRPr="00782AC5" w:rsidRDefault="0062536B" w:rsidP="00EB4D68">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62536B">
        <w:rPr>
          <w:rFonts w:ascii="Times New Roman" w:eastAsia="Times New Roman" w:hAnsi="Times New Roman" w:cs="Times New Roman"/>
          <w:kern w:val="0"/>
          <w:lang w:eastAsia="en-GB"/>
          <w14:ligatures w14:val="none"/>
        </w:rPr>
        <w:t>In Bastar, Chhattisgarh, militarisation and counterinsurgency expose Adivasi women to sexual violence, harassment, and displacement, with reports of rape during search operations and evictions tied to mining and road building stripping them of land and livelihoods.</w:t>
      </w:r>
      <w:r w:rsidR="00A659E6" w:rsidRPr="00EC4FD6">
        <w:rPr>
          <w:rStyle w:val="FootnoteReference"/>
          <w:rFonts w:ascii="Times New Roman" w:eastAsia="Times New Roman" w:hAnsi="Times New Roman" w:cs="Times New Roman"/>
          <w:kern w:val="0"/>
          <w:lang w:eastAsia="en-GB"/>
          <w14:ligatures w14:val="none"/>
        </w:rPr>
        <w:footnoteReference w:id="14"/>
      </w:r>
    </w:p>
    <w:p w14:paraId="1C4C412F" w14:textId="1AD4D50B" w:rsidR="00782AC5" w:rsidRPr="00782AC5" w:rsidRDefault="00782AC5" w:rsidP="00EB4D68">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782AC5">
        <w:rPr>
          <w:rFonts w:ascii="Times New Roman" w:eastAsia="Times New Roman" w:hAnsi="Times New Roman" w:cs="Times New Roman"/>
          <w:kern w:val="0"/>
          <w:lang w:eastAsia="en-GB"/>
          <w14:ligatures w14:val="none"/>
        </w:rPr>
        <w:t xml:space="preserve">Women human rights defenders documenting abuses by security forces are routinely subjected to surveillance, smear campaigns, and charges under the </w:t>
      </w:r>
      <w:r w:rsidRPr="0062536B">
        <w:rPr>
          <w:rFonts w:ascii="Times New Roman" w:eastAsia="Times New Roman" w:hAnsi="Times New Roman" w:cs="Times New Roman"/>
          <w:kern w:val="0"/>
          <w:lang w:eastAsia="en-GB"/>
          <w14:ligatures w14:val="none"/>
        </w:rPr>
        <w:t xml:space="preserve">Unlawful Activities (Prevention) Act (UAPA). </w:t>
      </w:r>
      <w:r w:rsidRPr="00782AC5">
        <w:rPr>
          <w:rFonts w:ascii="Times New Roman" w:eastAsia="Times New Roman" w:hAnsi="Times New Roman" w:cs="Times New Roman"/>
          <w:kern w:val="0"/>
          <w:lang w:eastAsia="en-GB"/>
          <w14:ligatures w14:val="none"/>
        </w:rPr>
        <w:t>Their arbitrary arrests and prolonged detention without trial demonstrate India’s disregard for CEDAW’s 2014 recommendation that it cease restrictions on defenders, end surveillance, and protect their work (para. 13(h), CEDAW/C/IND/CO/4-5).</w:t>
      </w:r>
    </w:p>
    <w:p w14:paraId="346D684A" w14:textId="3B067333" w:rsidR="00782AC5" w:rsidRPr="00782AC5" w:rsidRDefault="00782AC5" w:rsidP="00EB4D68">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782AC5">
        <w:rPr>
          <w:rFonts w:ascii="Times New Roman" w:eastAsia="Times New Roman" w:hAnsi="Times New Roman" w:cs="Times New Roman"/>
          <w:kern w:val="0"/>
          <w:lang w:eastAsia="en-GB"/>
          <w14:ligatures w14:val="none"/>
        </w:rPr>
        <w:t xml:space="preserve">CEDAW’s 2014 Concluding Observations urged India to </w:t>
      </w:r>
      <w:r w:rsidRPr="0062536B">
        <w:rPr>
          <w:rFonts w:ascii="Times New Roman" w:eastAsia="Times New Roman" w:hAnsi="Times New Roman" w:cs="Times New Roman"/>
          <w:kern w:val="0"/>
          <w:lang w:eastAsia="en-GB"/>
          <w14:ligatures w14:val="none"/>
        </w:rPr>
        <w:t>amend or repeal AFSPA,</w:t>
      </w:r>
      <w:r w:rsidRPr="00782AC5">
        <w:rPr>
          <w:rFonts w:ascii="Times New Roman" w:eastAsia="Times New Roman" w:hAnsi="Times New Roman" w:cs="Times New Roman"/>
          <w:kern w:val="0"/>
          <w:lang w:eastAsia="en-GB"/>
          <w14:ligatures w14:val="none"/>
        </w:rPr>
        <w:t xml:space="preserve"> investigate violations, and ensure civilian oversight of security forces (paras. 12–13). A decade later, these recommendations remain largely ignored. The partial withdrawal of AFSPA has not been accompanied by accountability for past violations, nor has militarisation in Adivasi regions ceased. The combination of impunity for extrajudicial killings, continued sexual violence in </w:t>
      </w:r>
      <w:r w:rsidRPr="00782AC5">
        <w:rPr>
          <w:rFonts w:ascii="Times New Roman" w:eastAsia="Times New Roman" w:hAnsi="Times New Roman" w:cs="Times New Roman"/>
          <w:kern w:val="0"/>
          <w:lang w:eastAsia="en-GB"/>
          <w14:ligatures w14:val="none"/>
        </w:rPr>
        <w:lastRenderedPageBreak/>
        <w:t>conflict zones, and the criminalisation of women defenders highlights India’s ongoing non-compliance with its international obligations under CEDAW</w:t>
      </w:r>
      <w:r w:rsidR="00D771C1">
        <w:rPr>
          <w:rStyle w:val="FootnoteReference"/>
          <w:rFonts w:ascii="Times New Roman" w:eastAsia="Times New Roman" w:hAnsi="Times New Roman" w:cs="Times New Roman"/>
          <w:kern w:val="0"/>
          <w:lang w:eastAsia="en-GB"/>
          <w14:ligatures w14:val="none"/>
        </w:rPr>
        <w:footnoteReference w:id="15"/>
      </w:r>
      <w:r w:rsidRPr="00782AC5">
        <w:rPr>
          <w:rFonts w:ascii="Times New Roman" w:eastAsia="Times New Roman" w:hAnsi="Times New Roman" w:cs="Times New Roman"/>
          <w:kern w:val="0"/>
          <w:lang w:eastAsia="en-GB"/>
          <w14:ligatures w14:val="none"/>
        </w:rPr>
        <w:t>.</w:t>
      </w:r>
    </w:p>
    <w:p w14:paraId="6E367129" w14:textId="15975700" w:rsidR="00782AC5" w:rsidRPr="00EC4FD6" w:rsidRDefault="00782AC5" w:rsidP="0088261E">
      <w:pPr>
        <w:pStyle w:val="Heading1"/>
        <w:rPr>
          <w:rFonts w:ascii="Times New Roman" w:eastAsia="Times New Roman" w:hAnsi="Times New Roman" w:cs="Times New Roman"/>
          <w:lang w:eastAsia="en-GB"/>
        </w:rPr>
      </w:pPr>
      <w:bookmarkStart w:id="8" w:name="_Toc209445215"/>
      <w:bookmarkStart w:id="9" w:name="_Toc210307104"/>
      <w:r w:rsidRPr="00EC4FD6">
        <w:rPr>
          <w:rFonts w:ascii="Times New Roman" w:eastAsia="Times New Roman" w:hAnsi="Times New Roman" w:cs="Times New Roman"/>
          <w:lang w:eastAsia="en-GB"/>
        </w:rPr>
        <w:t>4. Online Violence Against Women</w:t>
      </w:r>
      <w:bookmarkEnd w:id="9"/>
      <w:r w:rsidRPr="00EC4FD6">
        <w:rPr>
          <w:rFonts w:ascii="Times New Roman" w:eastAsia="Times New Roman" w:hAnsi="Times New Roman" w:cs="Times New Roman"/>
          <w:lang w:eastAsia="en-GB"/>
        </w:rPr>
        <w:t xml:space="preserve"> </w:t>
      </w:r>
      <w:bookmarkEnd w:id="8"/>
    </w:p>
    <w:p w14:paraId="701241BB" w14:textId="77777777" w:rsidR="0062536B" w:rsidRDefault="0062536B" w:rsidP="0062536B">
      <w:pPr>
        <w:pStyle w:val="NormalWeb"/>
      </w:pPr>
      <w:r>
        <w:t>India’s rapid digital expansion has boosted communication and political engagement but also enabled new gender-based violence, reinforcing the stereotypes and harmful practices flagged by CEDAW in 2014 (paras. 20–21, CEDAW/C/IND/CO/4-5). Despite obligations under Articles 2 and 3 to eliminate discrimination online, women in India remain systematically unsafe in digital spaces.</w:t>
      </w:r>
    </w:p>
    <w:p w14:paraId="4CE631EC" w14:textId="6A081FA2" w:rsidR="00782AC5" w:rsidRPr="00782AC5" w:rsidRDefault="0062536B" w:rsidP="00EB4D68">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62536B">
        <w:rPr>
          <w:rFonts w:ascii="Times New Roman" w:eastAsia="Times New Roman" w:hAnsi="Times New Roman" w:cs="Times New Roman"/>
          <w:kern w:val="0"/>
          <w:lang w:eastAsia="en-GB"/>
          <w14:ligatures w14:val="none"/>
        </w:rPr>
        <w:t xml:space="preserve">Amnesty International’s </w:t>
      </w:r>
      <w:r w:rsidRPr="0062536B">
        <w:rPr>
          <w:rFonts w:ascii="Times New Roman" w:eastAsia="Times New Roman" w:hAnsi="Times New Roman" w:cs="Times New Roman"/>
          <w:i/>
          <w:iCs/>
          <w:kern w:val="0"/>
          <w:lang w:eastAsia="en-GB"/>
          <w14:ligatures w14:val="none"/>
        </w:rPr>
        <w:t>Troll Patrol India</w:t>
      </w:r>
      <w:r w:rsidRPr="0062536B">
        <w:rPr>
          <w:rFonts w:ascii="Times New Roman" w:eastAsia="Times New Roman" w:hAnsi="Times New Roman" w:cs="Times New Roman"/>
          <w:kern w:val="0"/>
          <w:lang w:eastAsia="en-GB"/>
          <w14:ligatures w14:val="none"/>
        </w:rPr>
        <w:t xml:space="preserve"> (2020) found that 28% of women faced online abuse; 13.8% of tweets to women politicians were abusive or “problematic,” with Muslim women receiving 94% more ethnic or religious slurs than others.</w:t>
      </w:r>
      <w:r w:rsidR="00355F97">
        <w:rPr>
          <w:rStyle w:val="FootnoteReference"/>
          <w:rFonts w:ascii="Times New Roman" w:eastAsia="Times New Roman" w:hAnsi="Times New Roman" w:cs="Times New Roman"/>
          <w:kern w:val="0"/>
          <w:lang w:eastAsia="en-GB"/>
          <w14:ligatures w14:val="none"/>
        </w:rPr>
        <w:footnoteReference w:id="16"/>
      </w:r>
      <w:r w:rsidR="00782AC5" w:rsidRPr="00782AC5">
        <w:rPr>
          <w:rFonts w:ascii="Times New Roman" w:eastAsia="Times New Roman" w:hAnsi="Times New Roman" w:cs="Times New Roman"/>
          <w:kern w:val="0"/>
          <w:lang w:eastAsia="en-GB"/>
          <w14:ligatures w14:val="none"/>
        </w:rPr>
        <w:t>These findings confirm that online abuse is not only a question of individual harassment but reflects systemic gendered and communal bias, leaving Muslim women vulnerable.</w:t>
      </w:r>
    </w:p>
    <w:p w14:paraId="0555B19B" w14:textId="74EB767C" w:rsidR="00782AC5" w:rsidRPr="00782AC5" w:rsidRDefault="0062536B" w:rsidP="00FB0628">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62536B">
        <w:rPr>
          <w:rFonts w:ascii="Times New Roman" w:eastAsia="Times New Roman" w:hAnsi="Times New Roman" w:cs="Times New Roman"/>
          <w:kern w:val="0"/>
          <w:lang w:eastAsia="en-GB"/>
          <w14:ligatures w14:val="none"/>
        </w:rPr>
        <w:t>Online abuse is especially severe for women in politics. Social media, once a tool for mobilisation, has become hostile, with leaders like Angellica Aribam enduring racist and sexist trolling, and Priyanka Gandhi and Mamata Banerjee targeted by misogynistic campaigns questioning their competence. Even ruling party figures, such as former BJP minister Sushma Swaraj, have faced abuse for supporting interfaith couples.</w:t>
      </w:r>
      <w:r w:rsidR="005D6FB7" w:rsidRPr="00EC4FD6">
        <w:rPr>
          <w:rStyle w:val="FootnoteReference"/>
          <w:rFonts w:ascii="Times New Roman" w:eastAsia="Times New Roman" w:hAnsi="Times New Roman" w:cs="Times New Roman"/>
          <w:kern w:val="0"/>
          <w:lang w:eastAsia="en-GB"/>
          <w14:ligatures w14:val="none"/>
        </w:rPr>
        <w:footnoteReference w:id="17"/>
      </w:r>
      <w:r w:rsidR="00782AC5" w:rsidRPr="00782AC5">
        <w:rPr>
          <w:rFonts w:ascii="Times New Roman" w:eastAsia="Times New Roman" w:hAnsi="Times New Roman" w:cs="Times New Roman"/>
          <w:kern w:val="0"/>
          <w:lang w:eastAsia="en-GB"/>
          <w14:ligatures w14:val="none"/>
        </w:rPr>
        <w:t xml:space="preserve"> These cases demonstrate how online violence serves to reinforce patriarchal stereotypes, deterring women from exercising their rights to participation in public life, in violation of Article 7 of CEDAW.</w:t>
      </w:r>
    </w:p>
    <w:p w14:paraId="438B311E" w14:textId="61A3BFE6" w:rsidR="00782AC5" w:rsidRPr="00782AC5" w:rsidRDefault="00782AC5" w:rsidP="00FB0628">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782AC5">
        <w:rPr>
          <w:rFonts w:ascii="Times New Roman" w:eastAsia="Times New Roman" w:hAnsi="Times New Roman" w:cs="Times New Roman"/>
          <w:kern w:val="0"/>
          <w:lang w:eastAsia="en-GB"/>
          <w14:ligatures w14:val="none"/>
        </w:rPr>
        <w:t xml:space="preserve">India’s legal framework has not kept pace with these challenges. Provisions of the Indian Penal Code (such as sections 354A on sexual harassment, 354C on voyeurism, and 354D on stalking) and the Information Technology Act, 2000 (sections 66C on identity theft, 66E on privacy, and 67 on obscenity) were designed for a pre-digital or early-digital age. They fail to address newer forms of online violence such as deepfake pornography, doxxing, or coordinated trolling campaigns. The law remains overly focused on obscenity rather than gendered harms. </w:t>
      </w:r>
      <w:r w:rsidRPr="00782AC5">
        <w:rPr>
          <w:rFonts w:ascii="Times New Roman" w:eastAsia="Times New Roman" w:hAnsi="Times New Roman" w:cs="Times New Roman"/>
          <w:kern w:val="0"/>
          <w:lang w:eastAsia="en-GB"/>
          <w14:ligatures w14:val="none"/>
        </w:rPr>
        <w:lastRenderedPageBreak/>
        <w:t>Moreover, section 65B of the Indian Evidence Act makes the admission of digital evidence onerous, creating barriers for victims seeking justice.</w:t>
      </w:r>
    </w:p>
    <w:p w14:paraId="4DE83360" w14:textId="6041904D" w:rsidR="00782AC5" w:rsidRPr="00782AC5" w:rsidRDefault="0062536B" w:rsidP="00FB0628">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62536B">
        <w:rPr>
          <w:rFonts w:ascii="Times New Roman" w:eastAsia="Times New Roman" w:hAnsi="Times New Roman" w:cs="Times New Roman"/>
          <w:kern w:val="0"/>
          <w:lang w:eastAsia="en-GB"/>
          <w14:ligatures w14:val="none"/>
        </w:rPr>
        <w:t xml:space="preserve">Judicial responses to online violence remain inconsistent and shaped by patriarchal bias. In </w:t>
      </w:r>
      <w:r w:rsidRPr="0062536B">
        <w:rPr>
          <w:rFonts w:ascii="Times New Roman" w:eastAsia="Times New Roman" w:hAnsi="Times New Roman" w:cs="Times New Roman"/>
          <w:i/>
          <w:iCs/>
          <w:kern w:val="0"/>
          <w:lang w:eastAsia="en-GB"/>
          <w14:ligatures w14:val="none"/>
        </w:rPr>
        <w:t>Rehana Fathima v. State</w:t>
      </w:r>
      <w:r w:rsidRPr="0062536B">
        <w:rPr>
          <w:rFonts w:ascii="Times New Roman" w:eastAsia="Times New Roman" w:hAnsi="Times New Roman" w:cs="Times New Roman"/>
          <w:kern w:val="0"/>
          <w:lang w:eastAsia="en-GB"/>
          <w14:ligatures w14:val="none"/>
        </w:rPr>
        <w:t xml:space="preserve"> (2021), the Delhi High Court urged prompt action against online harassment, while in </w:t>
      </w:r>
      <w:r w:rsidRPr="0062536B">
        <w:rPr>
          <w:rFonts w:ascii="Times New Roman" w:eastAsia="Times New Roman" w:hAnsi="Times New Roman" w:cs="Times New Roman"/>
          <w:i/>
          <w:iCs/>
          <w:kern w:val="0"/>
          <w:lang w:eastAsia="en-GB"/>
          <w14:ligatures w14:val="none"/>
        </w:rPr>
        <w:t>Shreya Singhal v. Union of India</w:t>
      </w:r>
      <w:r w:rsidRPr="0062536B">
        <w:rPr>
          <w:rFonts w:ascii="Times New Roman" w:eastAsia="Times New Roman" w:hAnsi="Times New Roman" w:cs="Times New Roman"/>
          <w:kern w:val="0"/>
          <w:lang w:eastAsia="en-GB"/>
          <w14:ligatures w14:val="none"/>
        </w:rPr>
        <w:t xml:space="preserve"> (2015), the Supreme Court struck down Section 66A of the IT Act to protect free speech but limited remedies for abuse victims. Cases like the </w:t>
      </w:r>
      <w:r w:rsidRPr="0062536B">
        <w:rPr>
          <w:rFonts w:ascii="Times New Roman" w:eastAsia="Times New Roman" w:hAnsi="Times New Roman" w:cs="Times New Roman"/>
          <w:i/>
          <w:iCs/>
          <w:kern w:val="0"/>
          <w:lang w:eastAsia="en-GB"/>
          <w14:ligatures w14:val="none"/>
        </w:rPr>
        <w:t>Bulli Bai</w:t>
      </w:r>
      <w:r w:rsidRPr="0062536B">
        <w:rPr>
          <w:rFonts w:ascii="Times New Roman" w:eastAsia="Times New Roman" w:hAnsi="Times New Roman" w:cs="Times New Roman"/>
          <w:kern w:val="0"/>
          <w:lang w:eastAsia="en-GB"/>
          <w14:ligatures w14:val="none"/>
        </w:rPr>
        <w:t xml:space="preserve"> and </w:t>
      </w:r>
      <w:r w:rsidRPr="0062536B">
        <w:rPr>
          <w:rFonts w:ascii="Times New Roman" w:eastAsia="Times New Roman" w:hAnsi="Times New Roman" w:cs="Times New Roman"/>
          <w:i/>
          <w:iCs/>
          <w:kern w:val="0"/>
          <w:lang w:eastAsia="en-GB"/>
          <w14:ligatures w14:val="none"/>
        </w:rPr>
        <w:t>Sulli Deals</w:t>
      </w:r>
      <w:r w:rsidRPr="0062536B">
        <w:rPr>
          <w:rFonts w:ascii="Times New Roman" w:eastAsia="Times New Roman" w:hAnsi="Times New Roman" w:cs="Times New Roman"/>
          <w:kern w:val="0"/>
          <w:lang w:eastAsia="en-GB"/>
          <w14:ligatures w14:val="none"/>
        </w:rPr>
        <w:t xml:space="preserve"> apps showed delays and weak investigations, discouraging survivors. An </w:t>
      </w:r>
      <w:r w:rsidRPr="0062536B">
        <w:rPr>
          <w:rFonts w:ascii="Times New Roman" w:eastAsia="Times New Roman" w:hAnsi="Times New Roman" w:cs="Times New Roman"/>
          <w:i/>
          <w:iCs/>
          <w:kern w:val="0"/>
          <w:lang w:eastAsia="en-GB"/>
          <w14:ligatures w14:val="none"/>
        </w:rPr>
        <w:t>IT for Change</w:t>
      </w:r>
      <w:r w:rsidRPr="0062536B">
        <w:rPr>
          <w:rFonts w:ascii="Times New Roman" w:eastAsia="Times New Roman" w:hAnsi="Times New Roman" w:cs="Times New Roman"/>
          <w:kern w:val="0"/>
          <w:lang w:eastAsia="en-GB"/>
          <w14:ligatures w14:val="none"/>
        </w:rPr>
        <w:t xml:space="preserve"> study of 94 cases found courts often trivialised online abuse, scrutinised women’s character, and failed to link online and offline violence.</w:t>
      </w:r>
      <w:r w:rsidR="00747561" w:rsidRPr="00EC4FD6">
        <w:rPr>
          <w:rStyle w:val="FootnoteReference"/>
          <w:rFonts w:ascii="Times New Roman" w:eastAsia="Times New Roman" w:hAnsi="Times New Roman" w:cs="Times New Roman"/>
          <w:kern w:val="0"/>
          <w:lang w:eastAsia="en-GB"/>
          <w14:ligatures w14:val="none"/>
        </w:rPr>
        <w:footnoteReference w:id="18"/>
      </w:r>
      <w:r w:rsidR="00782AC5" w:rsidRPr="00782AC5">
        <w:rPr>
          <w:rFonts w:ascii="Times New Roman" w:eastAsia="Times New Roman" w:hAnsi="Times New Roman" w:cs="Times New Roman"/>
          <w:kern w:val="0"/>
          <w:lang w:eastAsia="en-GB"/>
          <w14:ligatures w14:val="none"/>
        </w:rPr>
        <w:t>These practices reflect precisely the stereotypes and victim-blaming attitudes that CEDAW has consistently urged India to eliminate.</w:t>
      </w:r>
    </w:p>
    <w:p w14:paraId="72F0AF58" w14:textId="77777777" w:rsidR="00782AC5" w:rsidRPr="00EC4FD6" w:rsidRDefault="00782AC5" w:rsidP="0088261E">
      <w:pPr>
        <w:pStyle w:val="Heading1"/>
        <w:rPr>
          <w:rFonts w:ascii="Times New Roman" w:hAnsi="Times New Roman" w:cs="Times New Roman"/>
        </w:rPr>
      </w:pPr>
      <w:bookmarkStart w:id="10" w:name="_Toc209445216"/>
      <w:bookmarkStart w:id="11" w:name="_Toc210307105"/>
      <w:r w:rsidRPr="00EC4FD6">
        <w:rPr>
          <w:rFonts w:ascii="Times New Roman" w:hAnsi="Times New Roman" w:cs="Times New Roman"/>
        </w:rPr>
        <w:t>5. Right to Education and Discrimination Against Muslim Women</w:t>
      </w:r>
      <w:bookmarkEnd w:id="10"/>
      <w:bookmarkEnd w:id="11"/>
    </w:p>
    <w:p w14:paraId="33A91494" w14:textId="77777777" w:rsidR="0062536B" w:rsidRDefault="0062536B" w:rsidP="00FB0628">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62536B">
        <w:rPr>
          <w:rFonts w:ascii="Times New Roman" w:eastAsia="Times New Roman" w:hAnsi="Times New Roman" w:cs="Times New Roman"/>
          <w:kern w:val="0"/>
          <w:lang w:eastAsia="en-GB"/>
          <w14:ligatures w14:val="none"/>
        </w:rPr>
        <w:t>India’s Constitution and CEDAW (Articles 10 and 14) guarantee equal access to education, with CEDAW urging India to ensure safe, inclusive, girl-friendly schooling and remove discriminatory barriers (paras. 26–27, CEDAW/C/IND/CO/4-5). Yet Muslim women and girls still face systemic obstacles that violate these obligations.</w:t>
      </w:r>
    </w:p>
    <w:p w14:paraId="545409A7" w14:textId="74F69B19" w:rsidR="00782AC5" w:rsidRPr="00782AC5" w:rsidRDefault="00782AC5" w:rsidP="00FB0628">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782AC5">
        <w:rPr>
          <w:rFonts w:ascii="Times New Roman" w:eastAsia="Times New Roman" w:hAnsi="Times New Roman" w:cs="Times New Roman"/>
          <w:kern w:val="0"/>
          <w:lang w:eastAsia="en-GB"/>
          <w14:ligatures w14:val="none"/>
        </w:rPr>
        <w:t>Statistical evidence reveals a persistent gap in educational attainment. Historically, Muslim women’s literacy has lagged far behind national averages</w:t>
      </w:r>
      <w:r w:rsidR="005763DA" w:rsidRPr="00EC4FD6">
        <w:rPr>
          <w:rStyle w:val="FootnoteReference"/>
          <w:rFonts w:ascii="Times New Roman" w:eastAsia="Times New Roman" w:hAnsi="Times New Roman" w:cs="Times New Roman"/>
          <w:kern w:val="0"/>
          <w:lang w:eastAsia="en-GB"/>
          <w14:ligatures w14:val="none"/>
        </w:rPr>
        <w:footnoteReference w:id="19"/>
      </w:r>
      <w:r w:rsidRPr="00782AC5">
        <w:rPr>
          <w:rFonts w:ascii="Times New Roman" w:eastAsia="Times New Roman" w:hAnsi="Times New Roman" w:cs="Times New Roman"/>
          <w:kern w:val="0"/>
          <w:lang w:eastAsia="en-GB"/>
          <w14:ligatures w14:val="none"/>
        </w:rPr>
        <w:t xml:space="preserve">. Census data cited in research from West Bengal show a literacy rate of only </w:t>
      </w:r>
      <w:r w:rsidRPr="00782AC5">
        <w:rPr>
          <w:rFonts w:ascii="Times New Roman" w:eastAsia="Times New Roman" w:hAnsi="Times New Roman" w:cs="Times New Roman"/>
          <w:b/>
          <w:bCs/>
          <w:kern w:val="0"/>
          <w:lang w:eastAsia="en-GB"/>
          <w14:ligatures w14:val="none"/>
        </w:rPr>
        <w:t>51.89%</w:t>
      </w:r>
      <w:r w:rsidRPr="00782AC5">
        <w:rPr>
          <w:rFonts w:ascii="Times New Roman" w:eastAsia="Times New Roman" w:hAnsi="Times New Roman" w:cs="Times New Roman"/>
          <w:kern w:val="0"/>
          <w:lang w:eastAsia="en-GB"/>
          <w14:ligatures w14:val="none"/>
        </w:rPr>
        <w:t xml:space="preserve"> among Muslim women, compared to a national female average of around </w:t>
      </w:r>
      <w:r w:rsidRPr="00782AC5">
        <w:rPr>
          <w:rFonts w:ascii="Times New Roman" w:eastAsia="Times New Roman" w:hAnsi="Times New Roman" w:cs="Times New Roman"/>
          <w:b/>
          <w:bCs/>
          <w:kern w:val="0"/>
          <w:lang w:eastAsia="en-GB"/>
          <w14:ligatures w14:val="none"/>
        </w:rPr>
        <w:t>65%</w:t>
      </w:r>
      <w:r w:rsidR="005763DA" w:rsidRPr="00EC4FD6">
        <w:rPr>
          <w:rStyle w:val="FootnoteReference"/>
          <w:rFonts w:ascii="Times New Roman" w:eastAsia="Times New Roman" w:hAnsi="Times New Roman" w:cs="Times New Roman"/>
          <w:b/>
          <w:bCs/>
          <w:kern w:val="0"/>
          <w:lang w:eastAsia="en-GB"/>
          <w14:ligatures w14:val="none"/>
        </w:rPr>
        <w:footnoteReference w:id="20"/>
      </w:r>
      <w:r w:rsidR="006235BB" w:rsidRPr="00EC4FD6">
        <w:rPr>
          <w:rFonts w:ascii="Times New Roman" w:eastAsia="Times New Roman" w:hAnsi="Times New Roman" w:cs="Times New Roman"/>
          <w:kern w:val="0"/>
          <w:lang w:eastAsia="en-GB"/>
          <w14:ligatures w14:val="none"/>
        </w:rPr>
        <w:t xml:space="preserve">. </w:t>
      </w:r>
      <w:r w:rsidRPr="00782AC5">
        <w:rPr>
          <w:rFonts w:ascii="Times New Roman" w:eastAsia="Times New Roman" w:hAnsi="Times New Roman" w:cs="Times New Roman"/>
          <w:kern w:val="0"/>
          <w:lang w:eastAsia="en-GB"/>
          <w14:ligatures w14:val="none"/>
        </w:rPr>
        <w:t xml:space="preserve">A more recent update indicates that in 2023–24 the literacy rate among Muslims overall rose to </w:t>
      </w:r>
      <w:r w:rsidRPr="00782AC5">
        <w:rPr>
          <w:rFonts w:ascii="Times New Roman" w:eastAsia="Times New Roman" w:hAnsi="Times New Roman" w:cs="Times New Roman"/>
          <w:b/>
          <w:bCs/>
          <w:kern w:val="0"/>
          <w:lang w:eastAsia="en-GB"/>
          <w14:ligatures w14:val="none"/>
        </w:rPr>
        <w:t>79.5%</w:t>
      </w:r>
      <w:r w:rsidRPr="00782AC5">
        <w:rPr>
          <w:rFonts w:ascii="Times New Roman" w:eastAsia="Times New Roman" w:hAnsi="Times New Roman" w:cs="Times New Roman"/>
          <w:kern w:val="0"/>
          <w:lang w:eastAsia="en-GB"/>
          <w14:ligatures w14:val="none"/>
        </w:rPr>
        <w:t xml:space="preserve">, compared to the national average of </w:t>
      </w:r>
      <w:r w:rsidRPr="00782AC5">
        <w:rPr>
          <w:rFonts w:ascii="Times New Roman" w:eastAsia="Times New Roman" w:hAnsi="Times New Roman" w:cs="Times New Roman"/>
          <w:b/>
          <w:bCs/>
          <w:kern w:val="0"/>
          <w:lang w:eastAsia="en-GB"/>
          <w14:ligatures w14:val="none"/>
        </w:rPr>
        <w:t>80.9%</w:t>
      </w:r>
      <w:r w:rsidR="005C59D7" w:rsidRPr="00EC4FD6">
        <w:rPr>
          <w:rStyle w:val="FootnoteReference"/>
          <w:rFonts w:ascii="Times New Roman" w:eastAsia="Times New Roman" w:hAnsi="Times New Roman" w:cs="Times New Roman"/>
          <w:b/>
          <w:bCs/>
          <w:kern w:val="0"/>
          <w:lang w:eastAsia="en-GB"/>
          <w14:ligatures w14:val="none"/>
        </w:rPr>
        <w:footnoteReference w:id="21"/>
      </w:r>
      <w:r w:rsidRPr="00782AC5">
        <w:rPr>
          <w:rFonts w:ascii="Times New Roman" w:eastAsia="Times New Roman" w:hAnsi="Times New Roman" w:cs="Times New Roman"/>
          <w:kern w:val="0"/>
          <w:lang w:eastAsia="en-GB"/>
          <w14:ligatures w14:val="none"/>
        </w:rPr>
        <w:t xml:space="preserve">, but disparities for Muslim women remain particularly stark in enrolment and higher education access </w:t>
      </w:r>
      <w:r w:rsidR="001D7BE0" w:rsidRPr="00EC4FD6">
        <w:rPr>
          <w:rStyle w:val="FootnoteReference"/>
          <w:rFonts w:ascii="Times New Roman" w:eastAsia="Times New Roman" w:hAnsi="Times New Roman" w:cs="Times New Roman"/>
          <w:kern w:val="0"/>
          <w:lang w:eastAsia="en-GB"/>
          <w14:ligatures w14:val="none"/>
        </w:rPr>
        <w:footnoteReference w:id="22"/>
      </w:r>
      <w:r w:rsidR="006235BB" w:rsidRPr="00EC4FD6">
        <w:rPr>
          <w:rFonts w:ascii="Times New Roman" w:eastAsia="Times New Roman" w:hAnsi="Times New Roman" w:cs="Times New Roman"/>
          <w:kern w:val="0"/>
          <w:lang w:eastAsia="en-GB"/>
          <w14:ligatures w14:val="none"/>
        </w:rPr>
        <w:t xml:space="preserve">. </w:t>
      </w:r>
      <w:r w:rsidRPr="00782AC5">
        <w:rPr>
          <w:rFonts w:ascii="Times New Roman" w:eastAsia="Times New Roman" w:hAnsi="Times New Roman" w:cs="Times New Roman"/>
          <w:kern w:val="0"/>
          <w:lang w:eastAsia="en-GB"/>
          <w14:ligatures w14:val="none"/>
        </w:rPr>
        <w:t xml:space="preserve">Data from the All India Survey on Higher Education (AISHE) further show </w:t>
      </w:r>
      <w:r w:rsidRPr="00782AC5">
        <w:rPr>
          <w:rFonts w:ascii="Times New Roman" w:eastAsia="Times New Roman" w:hAnsi="Times New Roman" w:cs="Times New Roman"/>
          <w:kern w:val="0"/>
          <w:lang w:eastAsia="en-GB"/>
          <w14:ligatures w14:val="none"/>
        </w:rPr>
        <w:lastRenderedPageBreak/>
        <w:t xml:space="preserve">that Muslim women constitute only around </w:t>
      </w:r>
      <w:r w:rsidRPr="00782AC5">
        <w:rPr>
          <w:rFonts w:ascii="Times New Roman" w:eastAsia="Times New Roman" w:hAnsi="Times New Roman" w:cs="Times New Roman"/>
          <w:b/>
          <w:bCs/>
          <w:kern w:val="0"/>
          <w:lang w:eastAsia="en-GB"/>
          <w14:ligatures w14:val="none"/>
        </w:rPr>
        <w:t>4.8% of all female enrolment in higher education</w:t>
      </w:r>
      <w:r w:rsidRPr="00782AC5">
        <w:rPr>
          <w:rFonts w:ascii="Times New Roman" w:eastAsia="Times New Roman" w:hAnsi="Times New Roman" w:cs="Times New Roman"/>
          <w:kern w:val="0"/>
          <w:lang w:eastAsia="en-GB"/>
          <w14:ligatures w14:val="none"/>
        </w:rPr>
        <w:t>, despite Muslims making up more than 14% of the national population</w:t>
      </w:r>
      <w:r w:rsidR="00A01F8F" w:rsidRPr="00EC4FD6">
        <w:rPr>
          <w:rStyle w:val="FootnoteReference"/>
          <w:rFonts w:ascii="Times New Roman" w:eastAsia="Times New Roman" w:hAnsi="Times New Roman" w:cs="Times New Roman"/>
          <w:kern w:val="0"/>
          <w:lang w:eastAsia="en-GB"/>
          <w14:ligatures w14:val="none"/>
        </w:rPr>
        <w:footnoteReference w:id="23"/>
      </w:r>
      <w:r w:rsidR="006235BB" w:rsidRPr="00EC4FD6">
        <w:rPr>
          <w:rFonts w:ascii="Times New Roman" w:eastAsia="Times New Roman" w:hAnsi="Times New Roman" w:cs="Times New Roman"/>
          <w:kern w:val="0"/>
          <w:lang w:eastAsia="en-GB"/>
          <w14:ligatures w14:val="none"/>
        </w:rPr>
        <w:t>.</w:t>
      </w:r>
    </w:p>
    <w:p w14:paraId="37032715" w14:textId="3F90B17D" w:rsidR="00782AC5" w:rsidRPr="00782AC5" w:rsidRDefault="0062536B" w:rsidP="00782AC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2536B">
        <w:rPr>
          <w:rFonts w:ascii="Times New Roman" w:eastAsia="Times New Roman" w:hAnsi="Times New Roman" w:cs="Times New Roman"/>
          <w:kern w:val="0"/>
          <w:lang w:eastAsia="en-GB"/>
          <w14:ligatures w14:val="none"/>
        </w:rPr>
        <w:t>Discrimination has also taken overt legal forms. In 2022, Karnataka banned the hijab in classrooms; the High Court upheld the ban, ruling the hijab was not an “essential religious practice.” Hundreds of Muslim girls were denied entry to classes and exams, with many forced to drop out or transfer. In districts such as Udupi and Dakshina Kannada, about 16% of Muslim girls in some colleges applied for transfers after the ban.</w:t>
      </w:r>
      <w:r w:rsidR="00FA786F" w:rsidRPr="00EC4FD6">
        <w:rPr>
          <w:rStyle w:val="FootnoteReference"/>
          <w:rFonts w:ascii="Times New Roman" w:eastAsia="Times New Roman" w:hAnsi="Times New Roman" w:cs="Times New Roman"/>
          <w:kern w:val="0"/>
          <w:lang w:eastAsia="en-GB"/>
          <w14:ligatures w14:val="none"/>
        </w:rPr>
        <w:footnoteReference w:id="24"/>
      </w:r>
      <w:r w:rsidR="00782AC5" w:rsidRPr="00782AC5">
        <w:rPr>
          <w:rFonts w:ascii="Times New Roman" w:eastAsia="Times New Roman" w:hAnsi="Times New Roman" w:cs="Times New Roman"/>
          <w:kern w:val="0"/>
          <w:lang w:eastAsia="en-GB"/>
          <w14:ligatures w14:val="none"/>
        </w:rPr>
        <w:t xml:space="preserve"> </w:t>
      </w:r>
    </w:p>
    <w:p w14:paraId="0EFF1B30" w14:textId="12C55D33" w:rsidR="00782AC5" w:rsidRPr="00782AC5" w:rsidRDefault="00782AC5" w:rsidP="00782AC5">
      <w:pPr>
        <w:spacing w:before="100" w:beforeAutospacing="1" w:after="100" w:afterAutospacing="1" w:line="240" w:lineRule="auto"/>
        <w:rPr>
          <w:rFonts w:ascii="Times New Roman" w:eastAsia="Times New Roman" w:hAnsi="Times New Roman" w:cs="Times New Roman"/>
          <w:kern w:val="0"/>
          <w:lang w:eastAsia="en-GB"/>
          <w14:ligatures w14:val="none"/>
        </w:rPr>
      </w:pPr>
      <w:r w:rsidRPr="00782AC5">
        <w:rPr>
          <w:rFonts w:ascii="Times New Roman" w:eastAsia="Times New Roman" w:hAnsi="Times New Roman" w:cs="Times New Roman"/>
          <w:kern w:val="0"/>
          <w:lang w:eastAsia="en-GB"/>
          <w14:ligatures w14:val="none"/>
        </w:rPr>
        <w:t>The educational environment has also become hostile for Muslim children. In August 2023, a teacher in Muzaffarnagar, Uttar Pradesh, was filmed instructing her pupils to slap a 7-year-old Muslim boy, mocking his faith as justification. The video went viral, sparking national outrage and underscoring how Islamophobia in classrooms creates an atmosphere of fear and exclusion</w:t>
      </w:r>
      <w:r w:rsidR="000E0C07">
        <w:rPr>
          <w:rStyle w:val="FootnoteReference"/>
          <w:rFonts w:ascii="Times New Roman" w:eastAsia="Times New Roman" w:hAnsi="Times New Roman" w:cs="Times New Roman"/>
          <w:kern w:val="0"/>
          <w:lang w:eastAsia="en-GB"/>
          <w14:ligatures w14:val="none"/>
        </w:rPr>
        <w:footnoteReference w:id="25"/>
      </w:r>
    </w:p>
    <w:p w14:paraId="4E8D9779" w14:textId="09E7C4ED" w:rsidR="00294784" w:rsidRPr="00EC4FD6" w:rsidRDefault="00294784" w:rsidP="0088261E">
      <w:pPr>
        <w:pStyle w:val="Heading1"/>
        <w:rPr>
          <w:rFonts w:ascii="Times New Roman" w:hAnsi="Times New Roman" w:cs="Times New Roman"/>
        </w:rPr>
      </w:pPr>
      <w:bookmarkStart w:id="12" w:name="_Toc209445217"/>
      <w:bookmarkStart w:id="13" w:name="_Toc210307106"/>
      <w:r w:rsidRPr="00EC4FD6">
        <w:rPr>
          <w:rFonts w:ascii="Times New Roman" w:hAnsi="Times New Roman" w:cs="Times New Roman"/>
        </w:rPr>
        <w:t>6. Forced Evictions and Displacement – The Assam Case</w:t>
      </w:r>
      <w:bookmarkEnd w:id="12"/>
      <w:bookmarkEnd w:id="13"/>
    </w:p>
    <w:p w14:paraId="28F8DF90" w14:textId="0306A070" w:rsidR="00294784" w:rsidRPr="00294784" w:rsidRDefault="00294784" w:rsidP="00FB0628">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294784">
        <w:rPr>
          <w:rFonts w:ascii="Times New Roman" w:eastAsia="Times New Roman" w:hAnsi="Times New Roman" w:cs="Times New Roman"/>
          <w:kern w:val="0"/>
          <w:lang w:eastAsia="en-GB"/>
          <w14:ligatures w14:val="none"/>
        </w:rPr>
        <w:t>Forced evictions in Assam have escalated under the guise of “anti-encroachment drives,” official forest-land clearances, or claims of illegal settlement. These operations disproportionately affect Bengali-speaking Muslim communities. At least five eviction drives across four districts displaced nearly 3,500 families in recent months. In Goalpara district, the Paikan Reserve Forest eviction uprooted 1,080 families, mostly Bengali Muslims, while hundreds more lost homes in similar operations along forest and wetland belts</w:t>
      </w:r>
      <w:r w:rsidR="00DC558D" w:rsidRPr="00EC4FD6">
        <w:rPr>
          <w:rStyle w:val="FootnoteReference"/>
          <w:rFonts w:ascii="Times New Roman" w:eastAsia="Times New Roman" w:hAnsi="Times New Roman" w:cs="Times New Roman"/>
          <w:kern w:val="0"/>
          <w:lang w:eastAsia="en-GB"/>
          <w14:ligatures w14:val="none"/>
        </w:rPr>
        <w:footnoteReference w:id="26"/>
      </w:r>
      <w:r w:rsidRPr="00294784">
        <w:rPr>
          <w:rFonts w:ascii="Times New Roman" w:eastAsia="Times New Roman" w:hAnsi="Times New Roman" w:cs="Times New Roman"/>
          <w:kern w:val="0"/>
          <w:lang w:eastAsia="en-GB"/>
          <w14:ligatures w14:val="none"/>
        </w:rPr>
        <w:t>.</w:t>
      </w:r>
    </w:p>
    <w:p w14:paraId="6EA572A6" w14:textId="5ACBF6AF" w:rsidR="00294784" w:rsidRPr="00EC4FD6" w:rsidRDefault="00294784" w:rsidP="00FB0628">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294784">
        <w:rPr>
          <w:rFonts w:ascii="Times New Roman" w:eastAsia="Times New Roman" w:hAnsi="Times New Roman" w:cs="Times New Roman"/>
          <w:kern w:val="0"/>
          <w:lang w:eastAsia="en-GB"/>
          <w14:ligatures w14:val="none"/>
        </w:rPr>
        <w:lastRenderedPageBreak/>
        <w:t>The toll on women and girls is acute. Evicted families often lose their homes overnight, and along with housing go access to clean water, health services, rations, and schooling for their children. Many women find themselves in makeshift shelters lacking privacy, with insufficient access to sanitation</w:t>
      </w:r>
      <w:r w:rsidR="00C32DEC" w:rsidRPr="00EC4FD6">
        <w:rPr>
          <w:rStyle w:val="FootnoteReference"/>
          <w:rFonts w:ascii="Times New Roman" w:eastAsia="Times New Roman" w:hAnsi="Times New Roman" w:cs="Times New Roman"/>
          <w:kern w:val="0"/>
          <w:lang w:eastAsia="en-GB"/>
          <w14:ligatures w14:val="none"/>
        </w:rPr>
        <w:footnoteReference w:id="27"/>
      </w:r>
      <w:r w:rsidRPr="00294784">
        <w:rPr>
          <w:rFonts w:ascii="Times New Roman" w:eastAsia="Times New Roman" w:hAnsi="Times New Roman" w:cs="Times New Roman"/>
          <w:kern w:val="0"/>
          <w:lang w:eastAsia="en-GB"/>
          <w14:ligatures w14:val="none"/>
        </w:rPr>
        <w:t>. Displacement intensifies food insecurity and heightens exposure to violence; women in temporary camps or evicted settlements are particularly vulnerable to harassment, neglect of health needs, and lack of legal protection</w:t>
      </w:r>
      <w:r w:rsidR="00C32DEC" w:rsidRPr="00EC4FD6">
        <w:rPr>
          <w:rStyle w:val="FootnoteReference"/>
          <w:rFonts w:ascii="Times New Roman" w:eastAsia="Times New Roman" w:hAnsi="Times New Roman" w:cs="Times New Roman"/>
          <w:kern w:val="0"/>
          <w:lang w:eastAsia="en-GB"/>
          <w14:ligatures w14:val="none"/>
        </w:rPr>
        <w:footnoteReference w:id="28"/>
      </w:r>
      <w:r w:rsidRPr="00294784">
        <w:rPr>
          <w:rFonts w:ascii="Times New Roman" w:eastAsia="Times New Roman" w:hAnsi="Times New Roman" w:cs="Times New Roman"/>
          <w:kern w:val="0"/>
          <w:lang w:eastAsia="en-GB"/>
          <w14:ligatures w14:val="none"/>
        </w:rPr>
        <w:t>.</w:t>
      </w:r>
    </w:p>
    <w:p w14:paraId="50FCE799" w14:textId="43270DF1" w:rsidR="00BB4145" w:rsidRPr="00BB4145" w:rsidRDefault="00BB4145" w:rsidP="00FB0628">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BB4145">
        <w:rPr>
          <w:rFonts w:ascii="Times New Roman" w:eastAsia="Times New Roman" w:hAnsi="Times New Roman" w:cs="Times New Roman"/>
          <w:kern w:val="0"/>
          <w:lang w:eastAsia="en-GB"/>
          <w14:ligatures w14:val="none"/>
        </w:rPr>
        <w:t xml:space="preserve">As Ritumbra Manuvie argues in her recent </w:t>
      </w:r>
      <w:r w:rsidR="00FB0628">
        <w:rPr>
          <w:rFonts w:ascii="Times New Roman" w:eastAsia="Times New Roman" w:hAnsi="Times New Roman" w:cs="Times New Roman"/>
          <w:kern w:val="0"/>
          <w:lang w:eastAsia="en-GB"/>
          <w14:ligatures w14:val="none"/>
        </w:rPr>
        <w:t>monograph</w:t>
      </w:r>
      <w:r w:rsidRPr="00BB4145">
        <w:rPr>
          <w:rFonts w:ascii="Times New Roman" w:eastAsia="Times New Roman" w:hAnsi="Times New Roman" w:cs="Times New Roman"/>
          <w:kern w:val="0"/>
          <w:lang w:eastAsia="en-GB"/>
          <w14:ligatures w14:val="none"/>
        </w:rPr>
        <w:t>, Climate Migration Governance and the Discourse of Citizenship in India, the governance of displacement in India is far from gender-neutral. Women are disproportionately impacted by forced migration—losing homes, land, and livelihood, while also facing heightened risks of violence and exclusion. Crucially, Manuvie highlights how gender intersects with caste, class, and religion to create multiple layers of vulnerability. Rather than mitigating these risks, state-led eviction and resettlement practices frequently reinforce patriarchal and communal hierarchies, leaving women doubly marginalised: first by structural inequalities and then by state neglect or complicity</w:t>
      </w:r>
      <w:r w:rsidRPr="00EC4FD6">
        <w:rPr>
          <w:rStyle w:val="FootnoteReference"/>
          <w:rFonts w:ascii="Times New Roman" w:eastAsia="Times New Roman" w:hAnsi="Times New Roman" w:cs="Times New Roman"/>
          <w:kern w:val="0"/>
          <w:lang w:eastAsia="en-GB"/>
          <w14:ligatures w14:val="none"/>
        </w:rPr>
        <w:footnoteReference w:id="29"/>
      </w:r>
      <w:r w:rsidRPr="00BB4145">
        <w:rPr>
          <w:rFonts w:ascii="Times New Roman" w:eastAsia="Times New Roman" w:hAnsi="Times New Roman" w:cs="Times New Roman"/>
          <w:kern w:val="0"/>
          <w:lang w:eastAsia="en-GB"/>
          <w14:ligatures w14:val="none"/>
        </w:rPr>
        <w:t>.</w:t>
      </w:r>
    </w:p>
    <w:p w14:paraId="5C2C3440" w14:textId="729AE921" w:rsidR="00294784" w:rsidRPr="00294784" w:rsidRDefault="00294784" w:rsidP="00FB0628">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294784">
        <w:rPr>
          <w:rFonts w:ascii="Times New Roman" w:eastAsia="Times New Roman" w:hAnsi="Times New Roman" w:cs="Times New Roman"/>
          <w:kern w:val="0"/>
          <w:lang w:eastAsia="en-GB"/>
          <w14:ligatures w14:val="none"/>
        </w:rPr>
        <w:t>In September 2025, Assam authorities evicted 309 families from a grazing reserve, many of them Muslim, disrupting long-standing livelihoods tied to grazing, farming, and forest access</w:t>
      </w:r>
      <w:r w:rsidR="00167C8C" w:rsidRPr="00EC4FD6">
        <w:rPr>
          <w:rStyle w:val="FootnoteReference"/>
          <w:rFonts w:ascii="Times New Roman" w:eastAsia="Times New Roman" w:hAnsi="Times New Roman" w:cs="Times New Roman"/>
          <w:kern w:val="0"/>
          <w:lang w:eastAsia="en-GB"/>
          <w14:ligatures w14:val="none"/>
        </w:rPr>
        <w:footnoteReference w:id="30"/>
      </w:r>
      <w:r w:rsidR="000D2793" w:rsidRPr="00EC4FD6">
        <w:rPr>
          <w:rFonts w:ascii="Times New Roman" w:eastAsia="Times New Roman" w:hAnsi="Times New Roman" w:cs="Times New Roman"/>
          <w:kern w:val="0"/>
          <w:lang w:eastAsia="en-GB"/>
          <w14:ligatures w14:val="none"/>
        </w:rPr>
        <w:t xml:space="preserve">. </w:t>
      </w:r>
      <w:r w:rsidRPr="00294784">
        <w:rPr>
          <w:rFonts w:ascii="Times New Roman" w:eastAsia="Times New Roman" w:hAnsi="Times New Roman" w:cs="Times New Roman"/>
          <w:kern w:val="0"/>
          <w:lang w:eastAsia="en-GB"/>
          <w14:ligatures w14:val="none"/>
        </w:rPr>
        <w:t>Earlier eviction drives along the Nagaland boundary triggered similar displacement without adequate compensation or resettlement</w:t>
      </w:r>
      <w:r w:rsidR="00167C8C" w:rsidRPr="00EC4FD6">
        <w:rPr>
          <w:rStyle w:val="FootnoteReference"/>
          <w:rFonts w:ascii="Times New Roman" w:eastAsia="Times New Roman" w:hAnsi="Times New Roman" w:cs="Times New Roman"/>
          <w:kern w:val="0"/>
          <w:lang w:eastAsia="en-GB"/>
          <w14:ligatures w14:val="none"/>
        </w:rPr>
        <w:footnoteReference w:id="31"/>
      </w:r>
      <w:r w:rsidR="000D2793" w:rsidRPr="00EC4FD6">
        <w:rPr>
          <w:rFonts w:ascii="Times New Roman" w:eastAsia="Times New Roman" w:hAnsi="Times New Roman" w:cs="Times New Roman"/>
          <w:kern w:val="0"/>
          <w:lang w:eastAsia="en-GB"/>
          <w14:ligatures w14:val="none"/>
        </w:rPr>
        <w:t>.</w:t>
      </w:r>
    </w:p>
    <w:p w14:paraId="26DD754F" w14:textId="03C31DBC" w:rsidR="00294784" w:rsidRPr="00294784" w:rsidRDefault="00294784" w:rsidP="00FB0628">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294784">
        <w:rPr>
          <w:rFonts w:ascii="Times New Roman" w:eastAsia="Times New Roman" w:hAnsi="Times New Roman" w:cs="Times New Roman"/>
          <w:kern w:val="0"/>
          <w:lang w:eastAsia="en-GB"/>
          <w14:ligatures w14:val="none"/>
        </w:rPr>
        <w:t>A fact-finding mission characterized the evictions as amounting to ethnic targeting, pointing out that many of the displaced are Bengali Muslims, and that women bore disproportionate harm from loss of shelter, access to education for children, health services, and safety in displacement</w:t>
      </w:r>
      <w:r w:rsidR="00F36904" w:rsidRPr="00EC4FD6">
        <w:rPr>
          <w:rStyle w:val="FootnoteReference"/>
          <w:rFonts w:ascii="Times New Roman" w:eastAsia="Times New Roman" w:hAnsi="Times New Roman" w:cs="Times New Roman"/>
          <w:kern w:val="0"/>
          <w:lang w:eastAsia="en-GB"/>
          <w14:ligatures w14:val="none"/>
        </w:rPr>
        <w:footnoteReference w:id="32"/>
      </w:r>
      <w:r w:rsidRPr="00294784">
        <w:rPr>
          <w:rFonts w:ascii="Times New Roman" w:eastAsia="Times New Roman" w:hAnsi="Times New Roman" w:cs="Times New Roman"/>
          <w:kern w:val="0"/>
          <w:lang w:eastAsia="en-GB"/>
          <w14:ligatures w14:val="none"/>
        </w:rPr>
        <w:t xml:space="preserve"> </w:t>
      </w:r>
    </w:p>
    <w:p w14:paraId="2CDE0874" w14:textId="2EDBD264" w:rsidR="00FA7A14" w:rsidRPr="00294784" w:rsidRDefault="0062536B" w:rsidP="00951850">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62536B">
        <w:rPr>
          <w:rFonts w:ascii="Times New Roman" w:eastAsia="Times New Roman" w:hAnsi="Times New Roman" w:cs="Times New Roman"/>
          <w:kern w:val="0"/>
          <w:lang w:eastAsia="en-GB"/>
          <w14:ligatures w14:val="none"/>
        </w:rPr>
        <w:t xml:space="preserve">Recent field evidence from Assam shows forced evictions have severe gendered impacts. In July 2025, the clearance of Paikan Reserve Forest displaced over 1,080 families and destroyed nearly 2,500 homes, leaving women without privacy, healthcare, or schooling for their </w:t>
      </w:r>
      <w:r w:rsidRPr="0062536B">
        <w:rPr>
          <w:rFonts w:ascii="Times New Roman" w:eastAsia="Times New Roman" w:hAnsi="Times New Roman" w:cs="Times New Roman"/>
          <w:kern w:val="0"/>
          <w:lang w:eastAsia="en-GB"/>
          <w14:ligatures w14:val="none"/>
        </w:rPr>
        <w:lastRenderedPageBreak/>
        <w:t>children. Across Goalpara, Dhubri, and Nalbari, more than 8,000 families have been uprooted mid-2025, with women facing disrupted education for children, poor health and sanitation in makeshift shelters, heightened psychological distress, economic insecurity, and increased risk of gender-based violence. Pregnant women lack nutrition and care, while many girls drop out due to lost documents, unsafe travel, or distance.</w:t>
      </w:r>
      <w:r w:rsidR="000F794C" w:rsidRPr="00EC4FD6">
        <w:rPr>
          <w:rStyle w:val="FootnoteReference"/>
          <w:rFonts w:ascii="Times New Roman" w:eastAsia="Times New Roman" w:hAnsi="Times New Roman" w:cs="Times New Roman"/>
          <w:kern w:val="0"/>
          <w:lang w:eastAsia="en-GB"/>
          <w14:ligatures w14:val="none"/>
        </w:rPr>
        <w:footnoteReference w:id="33"/>
      </w:r>
    </w:p>
    <w:p w14:paraId="430424AC" w14:textId="245D656E" w:rsidR="0062536B" w:rsidRPr="00951850" w:rsidRDefault="0062536B" w:rsidP="0062536B">
      <w:pPr>
        <w:pStyle w:val="Heading1"/>
        <w:rPr>
          <w:rFonts w:eastAsia="Times New Roman"/>
          <w:lang w:eastAsia="en-GB"/>
        </w:rPr>
      </w:pPr>
      <w:bookmarkStart w:id="14" w:name="_Toc209445218"/>
      <w:bookmarkStart w:id="15" w:name="_Toc210307107"/>
      <w:r>
        <w:rPr>
          <w:rFonts w:eastAsia="Times New Roman"/>
          <w:lang w:eastAsia="en-GB"/>
        </w:rPr>
        <w:t>Recommendations:</w:t>
      </w:r>
      <w:bookmarkEnd w:id="15"/>
    </w:p>
    <w:bookmarkEnd w:id="14"/>
    <w:p w14:paraId="2E4EE3A6" w14:textId="4C082BAD" w:rsidR="0062536B" w:rsidRDefault="0062536B" w:rsidP="0062536B">
      <w:pPr>
        <w:pStyle w:val="NormalWeb"/>
      </w:pPr>
      <w:r>
        <w:t>DAHRD urges CEDAW to call on India to:</w:t>
      </w:r>
    </w:p>
    <w:p w14:paraId="23801306" w14:textId="77777777" w:rsidR="0062536B" w:rsidRPr="0062536B" w:rsidRDefault="0062536B" w:rsidP="0062536B">
      <w:pPr>
        <w:pStyle w:val="NormalWeb"/>
        <w:numPr>
          <w:ilvl w:val="0"/>
          <w:numId w:val="29"/>
        </w:numPr>
        <w:rPr>
          <w:b/>
          <w:bCs/>
        </w:rPr>
      </w:pPr>
      <w:r w:rsidRPr="0062536B">
        <w:rPr>
          <w:rStyle w:val="Strong"/>
          <w:rFonts w:eastAsiaTheme="majorEastAsia"/>
        </w:rPr>
        <w:t>Adopt a comprehensive communal violence law</w:t>
      </w:r>
      <w:r w:rsidRPr="0062536B">
        <w:rPr>
          <w:i/>
          <w:iCs/>
        </w:rPr>
        <w:t xml:space="preserve"> (</w:t>
      </w:r>
      <w:r w:rsidRPr="0062536B">
        <w:rPr>
          <w:b/>
          <w:bCs/>
        </w:rPr>
        <w:t>CEDAW/C/IND/CO/4-5, paras. 12–13) ensuring prevention, survivor support and prosecution of perpetrators.</w:t>
      </w:r>
    </w:p>
    <w:p w14:paraId="03669E1B" w14:textId="77777777" w:rsidR="0062536B" w:rsidRPr="0062536B" w:rsidRDefault="0062536B" w:rsidP="0062536B">
      <w:pPr>
        <w:pStyle w:val="NormalWeb"/>
        <w:numPr>
          <w:ilvl w:val="0"/>
          <w:numId w:val="29"/>
        </w:numPr>
        <w:rPr>
          <w:b/>
          <w:bCs/>
        </w:rPr>
      </w:pPr>
      <w:r w:rsidRPr="0062536B">
        <w:rPr>
          <w:rStyle w:val="Strong"/>
          <w:rFonts w:eastAsiaTheme="majorEastAsia"/>
        </w:rPr>
        <w:t>Repeal “love jihad” laws</w:t>
      </w:r>
      <w:r w:rsidRPr="0062536B">
        <w:t xml:space="preserve"> </w:t>
      </w:r>
      <w:r w:rsidRPr="0062536B">
        <w:rPr>
          <w:b/>
          <w:bCs/>
        </w:rPr>
        <w:t>restricting interfaith marriage and violating Article 16 CEDAW.</w:t>
      </w:r>
    </w:p>
    <w:p w14:paraId="12CC2BE2" w14:textId="77777777" w:rsidR="0062536B" w:rsidRPr="0062536B" w:rsidRDefault="0062536B" w:rsidP="0062536B">
      <w:pPr>
        <w:pStyle w:val="NormalWeb"/>
        <w:numPr>
          <w:ilvl w:val="0"/>
          <w:numId w:val="29"/>
        </w:numPr>
        <w:rPr>
          <w:b/>
          <w:bCs/>
        </w:rPr>
      </w:pPr>
      <w:r w:rsidRPr="0062536B">
        <w:rPr>
          <w:rStyle w:val="Strong"/>
          <w:rFonts w:eastAsiaTheme="majorEastAsia"/>
        </w:rPr>
        <w:t>Ensure justice for sexual violence in conflict</w:t>
      </w:r>
      <w:r w:rsidRPr="0062536B">
        <w:t xml:space="preserve">, </w:t>
      </w:r>
      <w:r w:rsidRPr="0062536B">
        <w:rPr>
          <w:b/>
          <w:bCs/>
        </w:rPr>
        <w:t>including the Bilkis Bano (2002) case and Manipur 2023 assaults, through independent survivor-centred investigations.</w:t>
      </w:r>
    </w:p>
    <w:p w14:paraId="3DBC27D0" w14:textId="77777777" w:rsidR="0062536B" w:rsidRPr="0062536B" w:rsidRDefault="0062536B" w:rsidP="0062536B">
      <w:pPr>
        <w:pStyle w:val="NormalWeb"/>
        <w:numPr>
          <w:ilvl w:val="0"/>
          <w:numId w:val="29"/>
        </w:numPr>
        <w:rPr>
          <w:b/>
          <w:bCs/>
        </w:rPr>
      </w:pPr>
      <w:r w:rsidRPr="0062536B">
        <w:rPr>
          <w:rStyle w:val="Strong"/>
          <w:rFonts w:eastAsiaTheme="majorEastAsia"/>
        </w:rPr>
        <w:t>Repeal or amend AFSPA</w:t>
      </w:r>
      <w:r w:rsidRPr="0062536B">
        <w:t xml:space="preserve"> </w:t>
      </w:r>
      <w:r w:rsidRPr="0062536B">
        <w:rPr>
          <w:b/>
          <w:bCs/>
        </w:rPr>
        <w:t>to end de facto immunity and investigate sexual violence and extrajudicial killings in Manipur, Nagaland, Assam and Chhattisgarh.</w:t>
      </w:r>
    </w:p>
    <w:p w14:paraId="76501E91" w14:textId="77777777" w:rsidR="0062536B" w:rsidRPr="0062536B" w:rsidRDefault="0062536B" w:rsidP="0062536B">
      <w:pPr>
        <w:pStyle w:val="NormalWeb"/>
        <w:numPr>
          <w:ilvl w:val="0"/>
          <w:numId w:val="29"/>
        </w:numPr>
        <w:rPr>
          <w:b/>
          <w:bCs/>
        </w:rPr>
      </w:pPr>
      <w:r w:rsidRPr="0062536B">
        <w:rPr>
          <w:rStyle w:val="Strong"/>
          <w:rFonts w:eastAsiaTheme="majorEastAsia"/>
        </w:rPr>
        <w:t>Protect women human rights defenders</w:t>
      </w:r>
      <w:r w:rsidRPr="0062536B">
        <w:t xml:space="preserve"> </w:t>
      </w:r>
      <w:r w:rsidRPr="0062536B">
        <w:rPr>
          <w:b/>
          <w:bCs/>
        </w:rPr>
        <w:t>from reprisals and arbitrary detention under the UAPA.</w:t>
      </w:r>
    </w:p>
    <w:p w14:paraId="7AB18FDE" w14:textId="77777777" w:rsidR="0062536B" w:rsidRPr="0062536B" w:rsidRDefault="0062536B" w:rsidP="0062536B">
      <w:pPr>
        <w:pStyle w:val="NormalWeb"/>
        <w:numPr>
          <w:ilvl w:val="0"/>
          <w:numId w:val="29"/>
        </w:numPr>
      </w:pPr>
      <w:r w:rsidRPr="0062536B">
        <w:rPr>
          <w:rStyle w:val="Strong"/>
          <w:rFonts w:eastAsiaTheme="majorEastAsia"/>
        </w:rPr>
        <w:t>End hijab bans</w:t>
      </w:r>
      <w:r w:rsidRPr="0062536B">
        <w:t xml:space="preserve"> </w:t>
      </w:r>
      <w:r w:rsidRPr="0062536B">
        <w:rPr>
          <w:b/>
          <w:bCs/>
        </w:rPr>
        <w:t>and ensure inclusive, non-discriminatory schooling with targeted support for Muslim women in higher education</w:t>
      </w:r>
      <w:r w:rsidRPr="0062536B">
        <w:t>.</w:t>
      </w:r>
    </w:p>
    <w:p w14:paraId="08E926C5" w14:textId="77777777" w:rsidR="0062536B" w:rsidRPr="0062536B" w:rsidRDefault="0062536B" w:rsidP="0062536B">
      <w:pPr>
        <w:pStyle w:val="NormalWeb"/>
        <w:numPr>
          <w:ilvl w:val="0"/>
          <w:numId w:val="29"/>
        </w:numPr>
        <w:rPr>
          <w:b/>
          <w:bCs/>
        </w:rPr>
      </w:pPr>
      <w:r w:rsidRPr="0062536B">
        <w:rPr>
          <w:rStyle w:val="Strong"/>
          <w:rFonts w:eastAsiaTheme="majorEastAsia"/>
        </w:rPr>
        <w:t>Halt forced evictions</w:t>
      </w:r>
      <w:r w:rsidRPr="0062536B">
        <w:t xml:space="preserve"> </w:t>
      </w:r>
      <w:r w:rsidRPr="0062536B">
        <w:rPr>
          <w:b/>
          <w:bCs/>
        </w:rPr>
        <w:t>lacking due process, compensation and resettlement and adopt gender-sensitive rehabilitation with housing, food, health care and education.</w:t>
      </w:r>
    </w:p>
    <w:p w14:paraId="7381156D" w14:textId="77777777" w:rsidR="0062536B" w:rsidRPr="0062536B" w:rsidRDefault="0062536B" w:rsidP="0062536B">
      <w:pPr>
        <w:pStyle w:val="NormalWeb"/>
        <w:numPr>
          <w:ilvl w:val="0"/>
          <w:numId w:val="29"/>
        </w:numPr>
        <w:rPr>
          <w:b/>
          <w:bCs/>
        </w:rPr>
      </w:pPr>
      <w:r w:rsidRPr="0062536B">
        <w:rPr>
          <w:rStyle w:val="Strong"/>
          <w:rFonts w:eastAsiaTheme="majorEastAsia"/>
        </w:rPr>
        <w:t>Enact specific cyber-violence laws</w:t>
      </w:r>
      <w:r w:rsidRPr="0062536B">
        <w:t xml:space="preserve">, </w:t>
      </w:r>
      <w:r w:rsidRPr="0062536B">
        <w:rPr>
          <w:b/>
          <w:bCs/>
        </w:rPr>
        <w:t>hold digital platforms accountable, train authorities and provide survivor-centred remedies.</w:t>
      </w:r>
    </w:p>
    <w:p w14:paraId="3A1FE9D7" w14:textId="77777777" w:rsidR="0062536B" w:rsidRPr="0062536B" w:rsidRDefault="0062536B" w:rsidP="0062536B">
      <w:pPr>
        <w:pStyle w:val="NormalWeb"/>
        <w:numPr>
          <w:ilvl w:val="0"/>
          <w:numId w:val="29"/>
        </w:numPr>
        <w:rPr>
          <w:b/>
          <w:bCs/>
        </w:rPr>
      </w:pPr>
      <w:r w:rsidRPr="0062536B">
        <w:rPr>
          <w:rStyle w:val="Strong"/>
          <w:rFonts w:eastAsiaTheme="majorEastAsia"/>
        </w:rPr>
        <w:t>Implement CEDAW’s 2014 Concluding Observations</w:t>
      </w:r>
      <w:r w:rsidRPr="0062536B">
        <w:rPr>
          <w:b/>
          <w:bCs/>
        </w:rPr>
        <w:t>, ratify the Optional Protocol to CEDAW and cooperate fully with UN Special Procedures.</w:t>
      </w:r>
    </w:p>
    <w:p w14:paraId="5B9D3798" w14:textId="77777777" w:rsidR="00782AC5" w:rsidRPr="00EC4FD6" w:rsidRDefault="00782AC5" w:rsidP="00782AC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6928C23" w14:textId="77777777" w:rsidR="00782AC5" w:rsidRPr="00EC4FD6" w:rsidRDefault="00782AC5" w:rsidP="00782AC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A94AC97" w14:textId="77777777" w:rsidR="00782AC5" w:rsidRPr="00EC4FD6" w:rsidRDefault="00782AC5" w:rsidP="00782AC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29E482A" w14:textId="77777777" w:rsidR="00782AC5" w:rsidRPr="00EC4FD6" w:rsidRDefault="00782AC5" w:rsidP="00782AC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584FCB5" w14:textId="77777777" w:rsidR="00782AC5" w:rsidRPr="00EC4FD6" w:rsidRDefault="00782AC5" w:rsidP="00782AC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452F17C" w14:textId="77777777" w:rsidR="00782AC5" w:rsidRPr="00EC4FD6" w:rsidRDefault="00782AC5" w:rsidP="00782AC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EA3F486" w14:textId="77777777" w:rsidR="00782AC5" w:rsidRPr="00EC4FD6" w:rsidRDefault="00782AC5" w:rsidP="00782AC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3B936E8" w14:textId="77777777" w:rsidR="00782AC5" w:rsidRPr="00EC4FD6" w:rsidRDefault="00782AC5" w:rsidP="00782AC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D8EC04A" w14:textId="77777777" w:rsidR="00782AC5" w:rsidRPr="00EC4FD6" w:rsidRDefault="00782AC5" w:rsidP="00782AC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B74822D" w14:textId="77777777" w:rsidR="00782AC5" w:rsidRPr="00EC4FD6" w:rsidRDefault="00782AC5" w:rsidP="00782AC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CEB0DF1" w14:textId="77777777" w:rsidR="00782AC5" w:rsidRPr="00EC4FD6" w:rsidRDefault="00782AC5" w:rsidP="00782AC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1485767" w14:textId="77777777" w:rsidR="00782AC5" w:rsidRPr="00EC4FD6" w:rsidRDefault="00782AC5" w:rsidP="00782AC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D2BA7C3" w14:textId="77777777" w:rsidR="00782AC5" w:rsidRPr="00782AC5" w:rsidRDefault="00782AC5" w:rsidP="00782AC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ABD417F" w14:textId="77777777" w:rsidR="00782AC5" w:rsidRPr="00EC4FD6" w:rsidRDefault="00782AC5">
      <w:pPr>
        <w:rPr>
          <w:rFonts w:ascii="Times New Roman" w:hAnsi="Times New Roman" w:cs="Times New Roman"/>
        </w:rPr>
      </w:pPr>
    </w:p>
    <w:sectPr w:rsidR="00782AC5" w:rsidRPr="00EC4FD6">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61C28" w14:textId="77777777" w:rsidR="002B1277" w:rsidRDefault="002B1277" w:rsidP="00B94D57">
      <w:pPr>
        <w:spacing w:after="0" w:line="240" w:lineRule="auto"/>
      </w:pPr>
      <w:r>
        <w:separator/>
      </w:r>
    </w:p>
  </w:endnote>
  <w:endnote w:type="continuationSeparator" w:id="0">
    <w:p w14:paraId="57A78E99" w14:textId="77777777" w:rsidR="002B1277" w:rsidRDefault="002B1277" w:rsidP="00B94D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04145" w14:textId="77777777" w:rsidR="0062536B" w:rsidRDefault="0062536B" w:rsidP="0062536B">
    <w:pPr>
      <w:spacing w:after="0" w:line="240" w:lineRule="auto"/>
      <w:jc w:val="center"/>
      <w:rPr>
        <w:rFonts w:ascii="Times New Roman" w:eastAsia="Times New Roman" w:hAnsi="Times New Roman" w:cs="Times New Roman"/>
        <w:kern w:val="0"/>
        <w:sz w:val="20"/>
        <w:szCs w:val="20"/>
        <w:lang w:eastAsia="en-GB"/>
        <w14:ligatures w14:val="none"/>
      </w:rPr>
    </w:pPr>
    <w:r w:rsidRPr="0062536B">
      <w:rPr>
        <w:rFonts w:ascii="Times New Roman" w:eastAsia="Times New Roman" w:hAnsi="Times New Roman" w:cs="Times New Roman"/>
        <w:b/>
        <w:bCs/>
        <w:kern w:val="0"/>
        <w:sz w:val="20"/>
        <w:szCs w:val="20"/>
        <w:lang w:eastAsia="en-GB"/>
        <w14:ligatures w14:val="none"/>
      </w:rPr>
      <w:t>Contact Information</w:t>
    </w:r>
    <w:r w:rsidRPr="0062536B">
      <w:rPr>
        <w:rFonts w:ascii="Times New Roman" w:eastAsia="Times New Roman" w:hAnsi="Times New Roman" w:cs="Times New Roman"/>
        <w:kern w:val="0"/>
        <w:sz w:val="20"/>
        <w:szCs w:val="20"/>
        <w:lang w:eastAsia="en-GB"/>
        <w14:ligatures w14:val="none"/>
      </w:rPr>
      <w:br/>
      <w:t>Diaspora in Action for Human Rights and Democracy (formerly The London Story)</w:t>
    </w:r>
  </w:p>
  <w:p w14:paraId="64558C9E" w14:textId="77777777" w:rsidR="0062536B" w:rsidRDefault="0062536B" w:rsidP="0062536B">
    <w:pPr>
      <w:spacing w:after="0" w:line="240" w:lineRule="auto"/>
      <w:jc w:val="center"/>
      <w:rPr>
        <w:rFonts w:ascii="Times New Roman" w:eastAsia="Times New Roman" w:hAnsi="Times New Roman" w:cs="Times New Roman"/>
        <w:kern w:val="0"/>
        <w:sz w:val="20"/>
        <w:szCs w:val="20"/>
        <w:lang w:eastAsia="en-GB"/>
        <w14:ligatures w14:val="none"/>
      </w:rPr>
    </w:pPr>
    <w:r w:rsidRPr="0062536B">
      <w:rPr>
        <w:rFonts w:ascii="Times New Roman" w:eastAsia="Times New Roman" w:hAnsi="Times New Roman" w:cs="Times New Roman"/>
        <w:kern w:val="0"/>
        <w:sz w:val="20"/>
        <w:szCs w:val="20"/>
        <w:lang w:eastAsia="en-GB"/>
        <w14:ligatures w14:val="none"/>
      </w:rPr>
      <w:t>Head Office &amp; EU Office:The Humanity Hub</w:t>
    </w:r>
    <w:r>
      <w:rPr>
        <w:rFonts w:ascii="Times New Roman" w:eastAsia="Times New Roman" w:hAnsi="Times New Roman" w:cs="Times New Roman"/>
        <w:kern w:val="0"/>
        <w:sz w:val="20"/>
        <w:szCs w:val="20"/>
        <w:lang w:eastAsia="en-GB"/>
        <w14:ligatures w14:val="none"/>
      </w:rPr>
      <w:t xml:space="preserve"> </w:t>
    </w:r>
    <w:r w:rsidRPr="0062536B">
      <w:rPr>
        <w:rFonts w:ascii="Times New Roman" w:eastAsia="Times New Roman" w:hAnsi="Times New Roman" w:cs="Times New Roman"/>
        <w:kern w:val="0"/>
        <w:sz w:val="20"/>
        <w:szCs w:val="20"/>
        <w:lang w:eastAsia="en-GB"/>
        <w14:ligatures w14:val="none"/>
      </w:rPr>
      <w:t>Fluwelen Burgwal 58</w:t>
    </w:r>
  </w:p>
  <w:p w14:paraId="6F4E17BA" w14:textId="4BB475BD" w:rsidR="0062536B" w:rsidRPr="0062536B" w:rsidRDefault="0062536B" w:rsidP="0062536B">
    <w:pPr>
      <w:spacing w:after="0" w:line="240" w:lineRule="auto"/>
      <w:jc w:val="center"/>
      <w:rPr>
        <w:rFonts w:ascii="Times New Roman" w:eastAsia="Times New Roman" w:hAnsi="Times New Roman" w:cs="Times New Roman"/>
        <w:kern w:val="0"/>
        <w:sz w:val="20"/>
        <w:szCs w:val="20"/>
        <w:lang w:eastAsia="en-GB"/>
        <w14:ligatures w14:val="none"/>
      </w:rPr>
    </w:pPr>
    <w:r w:rsidRPr="0062536B">
      <w:rPr>
        <w:rFonts w:ascii="Times New Roman" w:eastAsia="Times New Roman" w:hAnsi="Times New Roman" w:cs="Times New Roman"/>
        <w:kern w:val="0"/>
        <w:sz w:val="20"/>
        <w:szCs w:val="20"/>
        <w:lang w:eastAsia="en-GB"/>
        <w14:ligatures w14:val="none"/>
      </w:rPr>
      <w:t>The Hague 2511 CJ</w:t>
    </w:r>
    <w:r>
      <w:rPr>
        <w:rFonts w:ascii="Times New Roman" w:eastAsia="Times New Roman" w:hAnsi="Times New Roman" w:cs="Times New Roman"/>
        <w:kern w:val="0"/>
        <w:sz w:val="20"/>
        <w:szCs w:val="20"/>
        <w:lang w:eastAsia="en-GB"/>
        <w14:ligatures w14:val="none"/>
      </w:rPr>
      <w:t xml:space="preserve"> </w:t>
    </w:r>
    <w:r w:rsidRPr="0062536B">
      <w:rPr>
        <w:rFonts w:ascii="Times New Roman" w:eastAsia="Times New Roman" w:hAnsi="Times New Roman" w:cs="Times New Roman"/>
        <w:kern w:val="0"/>
        <w:sz w:val="20"/>
        <w:szCs w:val="20"/>
        <w:lang w:eastAsia="en-GB"/>
        <w14:ligatures w14:val="none"/>
      </w:rPr>
      <w:t>The Netherlands</w:t>
    </w:r>
  </w:p>
  <w:p w14:paraId="21F13D3F" w14:textId="77777777" w:rsidR="0062536B" w:rsidRPr="0062536B" w:rsidRDefault="0062536B" w:rsidP="0062536B">
    <w:pPr>
      <w:spacing w:after="0" w:line="240" w:lineRule="auto"/>
      <w:jc w:val="center"/>
      <w:rPr>
        <w:rFonts w:ascii="Times New Roman" w:eastAsia="Times New Roman" w:hAnsi="Times New Roman" w:cs="Times New Roman"/>
        <w:kern w:val="0"/>
        <w:sz w:val="20"/>
        <w:szCs w:val="20"/>
        <w:lang w:eastAsia="en-GB"/>
        <w14:ligatures w14:val="none"/>
      </w:rPr>
    </w:pPr>
    <w:r w:rsidRPr="0062536B">
      <w:rPr>
        <w:rFonts w:ascii="Times New Roman" w:eastAsia="Times New Roman" w:hAnsi="Times New Roman" w:cs="Times New Roman"/>
        <w:kern w:val="0"/>
        <w:sz w:val="20"/>
        <w:szCs w:val="20"/>
        <w:lang w:eastAsia="en-GB"/>
        <w14:ligatures w14:val="none"/>
      </w:rPr>
      <w:t xml:space="preserve">Website: </w:t>
    </w:r>
    <w:hyperlink r:id="rId1" w:tgtFrame="_new" w:history="1">
      <w:r w:rsidRPr="0062536B">
        <w:rPr>
          <w:rFonts w:ascii="Times New Roman" w:eastAsia="Times New Roman" w:hAnsi="Times New Roman" w:cs="Times New Roman"/>
          <w:color w:val="0000FF"/>
          <w:kern w:val="0"/>
          <w:sz w:val="20"/>
          <w:szCs w:val="20"/>
          <w:u w:val="single"/>
          <w:lang w:eastAsia="en-GB"/>
          <w14:ligatures w14:val="none"/>
        </w:rPr>
        <w:t>www.thelondonstory.org</w:t>
      </w:r>
    </w:hyperlink>
    <w:r w:rsidRPr="0062536B">
      <w:rPr>
        <w:rFonts w:ascii="Times New Roman" w:eastAsia="Times New Roman" w:hAnsi="Times New Roman" w:cs="Times New Roman"/>
        <w:kern w:val="0"/>
        <w:sz w:val="20"/>
        <w:szCs w:val="20"/>
        <w:lang w:eastAsia="en-GB"/>
        <w14:ligatures w14:val="none"/>
      </w:rPr>
      <w:br/>
      <w:t>Email: advocacy@thelondonstory.org</w:t>
    </w:r>
  </w:p>
  <w:p w14:paraId="5C74EF24" w14:textId="7E9B6638" w:rsidR="0062536B" w:rsidRPr="0062536B" w:rsidRDefault="0062536B" w:rsidP="0062536B">
    <w:pPr>
      <w:pStyle w:val="Footer"/>
      <w:jc w:val="center"/>
      <w:rPr>
        <w:rFonts w:ascii="Times New Roman" w:hAnsi="Times New Roman" w:cs="Times New Roman"/>
        <w:sz w:val="20"/>
        <w:szCs w:val="20"/>
      </w:rPr>
    </w:pPr>
  </w:p>
  <w:p w14:paraId="47EABD59" w14:textId="77777777" w:rsidR="0062536B" w:rsidRDefault="006253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51C10" w14:textId="77777777" w:rsidR="002B1277" w:rsidRDefault="002B1277" w:rsidP="00B94D57">
      <w:pPr>
        <w:spacing w:after="0" w:line="240" w:lineRule="auto"/>
      </w:pPr>
      <w:r>
        <w:separator/>
      </w:r>
    </w:p>
  </w:footnote>
  <w:footnote w:type="continuationSeparator" w:id="0">
    <w:p w14:paraId="4204B348" w14:textId="77777777" w:rsidR="002B1277" w:rsidRDefault="002B1277" w:rsidP="00B94D57">
      <w:pPr>
        <w:spacing w:after="0" w:line="240" w:lineRule="auto"/>
      </w:pPr>
      <w:r>
        <w:continuationSeparator/>
      </w:r>
    </w:p>
  </w:footnote>
  <w:footnote w:id="1">
    <w:p w14:paraId="5C22ADBC" w14:textId="66C84019" w:rsidR="00B94D57" w:rsidRPr="00951850" w:rsidRDefault="00B94D57" w:rsidP="00EC4FD6">
      <w:pPr>
        <w:pStyle w:val="NormalWeb"/>
        <w:spacing w:before="0" w:beforeAutospacing="0" w:after="0" w:afterAutospacing="0"/>
        <w:rPr>
          <w:sz w:val="20"/>
          <w:szCs w:val="20"/>
        </w:rPr>
      </w:pPr>
      <w:r w:rsidRPr="00951850">
        <w:rPr>
          <w:rStyle w:val="FootnoteReference"/>
          <w:sz w:val="20"/>
          <w:szCs w:val="20"/>
        </w:rPr>
        <w:footnoteRef/>
      </w:r>
      <w:r w:rsidRPr="00951850">
        <w:rPr>
          <w:sz w:val="20"/>
          <w:szCs w:val="20"/>
        </w:rPr>
        <w:t xml:space="preserve"> </w:t>
      </w:r>
      <w:r w:rsidR="00902C2B" w:rsidRPr="00951850">
        <w:rPr>
          <w:i/>
          <w:iCs/>
          <w:sz w:val="20"/>
          <w:szCs w:val="20"/>
        </w:rPr>
        <w:t>T</w:t>
      </w:r>
      <w:r w:rsidR="00902C2B" w:rsidRPr="00951850">
        <w:rPr>
          <w:rFonts w:eastAsiaTheme="majorEastAsia"/>
          <w:i/>
          <w:iCs/>
          <w:sz w:val="20"/>
          <w:szCs w:val="20"/>
        </w:rPr>
        <w:t>he</w:t>
      </w:r>
      <w:r w:rsidR="00902C2B" w:rsidRPr="00951850">
        <w:rPr>
          <w:rStyle w:val="Emphasis"/>
          <w:rFonts w:eastAsiaTheme="majorEastAsia"/>
          <w:sz w:val="20"/>
          <w:szCs w:val="20"/>
        </w:rPr>
        <w:t xml:space="preserve"> Constitution (One Hundred and Twenty-Eighth Amendment) Bill, 2023</w:t>
      </w:r>
      <w:r w:rsidR="00902C2B" w:rsidRPr="00951850">
        <w:rPr>
          <w:sz w:val="20"/>
          <w:szCs w:val="20"/>
        </w:rPr>
        <w:t xml:space="preserve"> (Women’s Reservation Bill), Bill No. 128 of 2023, passed by Lok Sabha on 20 September 2023 and Rajya Sabha on 21 September 2023. Available at: </w:t>
      </w:r>
      <w:hyperlink r:id="rId1" w:tgtFrame="_new" w:history="1">
        <w:r w:rsidR="00902C2B" w:rsidRPr="00951850">
          <w:rPr>
            <w:rStyle w:val="Hyperlink"/>
            <w:rFonts w:eastAsiaTheme="majorEastAsia"/>
            <w:sz w:val="20"/>
            <w:szCs w:val="20"/>
          </w:rPr>
          <w:t>https://prsindia.org/billtrack/the-constitution-one-hundred-twenty-eighth-amendment-bill-2023</w:t>
        </w:r>
      </w:hyperlink>
    </w:p>
  </w:footnote>
  <w:footnote w:id="2">
    <w:p w14:paraId="08DFD822" w14:textId="77777777" w:rsidR="00EC4FD6" w:rsidRPr="00951850" w:rsidRDefault="00263389" w:rsidP="00EC4FD6">
      <w:pPr>
        <w:pStyle w:val="NormalWeb"/>
        <w:spacing w:before="0" w:beforeAutospacing="0" w:after="0" w:afterAutospacing="0"/>
        <w:rPr>
          <w:sz w:val="20"/>
          <w:szCs w:val="20"/>
        </w:rPr>
      </w:pPr>
      <w:r w:rsidRPr="00951850">
        <w:rPr>
          <w:rStyle w:val="FootnoteReference"/>
          <w:sz w:val="20"/>
          <w:szCs w:val="20"/>
        </w:rPr>
        <w:footnoteRef/>
      </w:r>
      <w:r w:rsidRPr="00951850">
        <w:rPr>
          <w:sz w:val="20"/>
          <w:szCs w:val="20"/>
        </w:rPr>
        <w:t xml:space="preserve"> </w:t>
      </w:r>
      <w:r w:rsidR="00EC4FD6" w:rsidRPr="00951850">
        <w:rPr>
          <w:sz w:val="20"/>
          <w:szCs w:val="20"/>
        </w:rPr>
        <w:t xml:space="preserve">Al Jazeera, </w:t>
      </w:r>
      <w:r w:rsidR="00EC4FD6" w:rsidRPr="00951850">
        <w:rPr>
          <w:rStyle w:val="Emphasis"/>
          <w:rFonts w:eastAsiaTheme="majorEastAsia"/>
          <w:sz w:val="20"/>
          <w:szCs w:val="20"/>
        </w:rPr>
        <w:t>Why did India’s Supreme Court send Bilkis Bano’s rapists back to jail?</w:t>
      </w:r>
      <w:r w:rsidR="00EC4FD6" w:rsidRPr="00951850">
        <w:rPr>
          <w:sz w:val="20"/>
          <w:szCs w:val="20"/>
        </w:rPr>
        <w:t xml:space="preserve">, 9 January 2024. Available at: </w:t>
      </w:r>
      <w:hyperlink r:id="rId2" w:tgtFrame="_new" w:history="1">
        <w:r w:rsidR="00EC4FD6" w:rsidRPr="00951850">
          <w:rPr>
            <w:rStyle w:val="Hyperlink"/>
            <w:rFonts w:eastAsiaTheme="majorEastAsia"/>
            <w:sz w:val="20"/>
            <w:szCs w:val="20"/>
          </w:rPr>
          <w:t>https://www.aljazeera.com/news/2024/1/9/why-did-indias-supreme-court-send-bilkis-banos-rapists-back-to-jail</w:t>
        </w:r>
      </w:hyperlink>
      <w:r w:rsidR="00EC4FD6" w:rsidRPr="00951850">
        <w:rPr>
          <w:sz w:val="20"/>
          <w:szCs w:val="20"/>
        </w:rPr>
        <w:t>.</w:t>
      </w:r>
    </w:p>
    <w:p w14:paraId="03161740" w14:textId="0E7336CB" w:rsidR="00263389" w:rsidRPr="00951850" w:rsidRDefault="00263389" w:rsidP="00EC4FD6">
      <w:pPr>
        <w:pStyle w:val="FootnoteText"/>
        <w:rPr>
          <w:rFonts w:ascii="Times New Roman" w:hAnsi="Times New Roman" w:cs="Times New Roman"/>
        </w:rPr>
      </w:pPr>
    </w:p>
  </w:footnote>
  <w:footnote w:id="3">
    <w:p w14:paraId="0C770E45" w14:textId="719E96AC" w:rsidR="008617E8" w:rsidRPr="00951850" w:rsidRDefault="008617E8" w:rsidP="00EC4FD6">
      <w:pPr>
        <w:pStyle w:val="NormalWeb"/>
        <w:spacing w:before="0" w:beforeAutospacing="0" w:after="0" w:afterAutospacing="0"/>
        <w:rPr>
          <w:sz w:val="20"/>
          <w:szCs w:val="20"/>
        </w:rPr>
      </w:pPr>
      <w:r w:rsidRPr="00951850">
        <w:rPr>
          <w:rStyle w:val="FootnoteReference"/>
          <w:sz w:val="20"/>
          <w:szCs w:val="20"/>
        </w:rPr>
        <w:footnoteRef/>
      </w:r>
      <w:r w:rsidRPr="00951850">
        <w:rPr>
          <w:sz w:val="20"/>
          <w:szCs w:val="20"/>
        </w:rPr>
        <w:t xml:space="preserve"> BBC News, </w:t>
      </w:r>
      <w:r w:rsidRPr="00951850">
        <w:rPr>
          <w:rStyle w:val="Emphasis"/>
          <w:rFonts w:eastAsiaTheme="majorEastAsia"/>
          <w:sz w:val="20"/>
          <w:szCs w:val="20"/>
        </w:rPr>
        <w:t>India records highest ever crimes against women</w:t>
      </w:r>
      <w:r w:rsidRPr="00951850">
        <w:rPr>
          <w:sz w:val="20"/>
          <w:szCs w:val="20"/>
        </w:rPr>
        <w:t xml:space="preserve">, 8 September 2022. Available at: </w:t>
      </w:r>
      <w:hyperlink r:id="rId3" w:tgtFrame="_new" w:history="1">
        <w:r w:rsidRPr="00951850">
          <w:rPr>
            <w:rStyle w:val="Hyperlink"/>
            <w:rFonts w:eastAsiaTheme="majorEastAsia"/>
            <w:sz w:val="20"/>
            <w:szCs w:val="20"/>
          </w:rPr>
          <w:t>https://www.bbc.com/news/world-asia-india-62830634</w:t>
        </w:r>
      </w:hyperlink>
      <w:r w:rsidRPr="00951850">
        <w:rPr>
          <w:sz w:val="20"/>
          <w:szCs w:val="20"/>
        </w:rPr>
        <w:t>.</w:t>
      </w:r>
    </w:p>
  </w:footnote>
  <w:footnote w:id="4">
    <w:p w14:paraId="02294F20" w14:textId="017488F9" w:rsidR="0096513F" w:rsidRPr="00951850" w:rsidRDefault="0096513F" w:rsidP="00EC4FD6">
      <w:pPr>
        <w:pStyle w:val="FootnoteText"/>
        <w:rPr>
          <w:rFonts w:ascii="Times New Roman" w:hAnsi="Times New Roman" w:cs="Times New Roman"/>
          <w:lang w:val="en-US"/>
        </w:rPr>
      </w:pPr>
      <w:r w:rsidRPr="00951850">
        <w:rPr>
          <w:rStyle w:val="FootnoteReference"/>
          <w:rFonts w:ascii="Times New Roman" w:hAnsi="Times New Roman" w:cs="Times New Roman"/>
        </w:rPr>
        <w:footnoteRef/>
      </w:r>
      <w:r w:rsidRPr="00951850">
        <w:rPr>
          <w:rFonts w:ascii="Times New Roman" w:hAnsi="Times New Roman" w:cs="Times New Roman"/>
        </w:rPr>
        <w:t xml:space="preserve"> Times of India, </w:t>
      </w:r>
      <w:r w:rsidRPr="00951850">
        <w:rPr>
          <w:rStyle w:val="Emphasis"/>
          <w:rFonts w:ascii="Times New Roman" w:hAnsi="Times New Roman" w:cs="Times New Roman"/>
        </w:rPr>
        <w:t>Dowry torture, domestic violence remain serious worry: NCW data</w:t>
      </w:r>
      <w:r w:rsidRPr="00951850">
        <w:rPr>
          <w:rFonts w:ascii="Times New Roman" w:hAnsi="Times New Roman" w:cs="Times New Roman"/>
        </w:rPr>
        <w:t xml:space="preserve">, 28 January 2024. Available at: </w:t>
      </w:r>
      <w:hyperlink r:id="rId4" w:tgtFrame="_new" w:history="1">
        <w:r w:rsidRPr="00951850">
          <w:rPr>
            <w:rStyle w:val="Hyperlink"/>
            <w:rFonts w:ascii="Times New Roman" w:hAnsi="Times New Roman" w:cs="Times New Roman"/>
          </w:rPr>
          <w:t>https://timesofindia.indiatimes.com/india/dowry-torture-domestic-violence-remain-serious-worry-ncw-data/articleshow/116864914.cms</w:t>
        </w:r>
      </w:hyperlink>
    </w:p>
  </w:footnote>
  <w:footnote w:id="5">
    <w:p w14:paraId="1C31B9D5" w14:textId="5DEE0D33" w:rsidR="00E109A8" w:rsidRPr="00951850" w:rsidRDefault="00E109A8" w:rsidP="00EC4FD6">
      <w:pPr>
        <w:pStyle w:val="FootnoteText"/>
        <w:rPr>
          <w:rFonts w:ascii="Times New Roman" w:hAnsi="Times New Roman" w:cs="Times New Roman"/>
          <w:lang w:val="en-US"/>
        </w:rPr>
      </w:pPr>
      <w:r w:rsidRPr="00951850">
        <w:rPr>
          <w:rStyle w:val="FootnoteReference"/>
          <w:rFonts w:ascii="Times New Roman" w:hAnsi="Times New Roman" w:cs="Times New Roman"/>
        </w:rPr>
        <w:footnoteRef/>
      </w:r>
      <w:r w:rsidRPr="00951850">
        <w:rPr>
          <w:rFonts w:ascii="Times New Roman" w:hAnsi="Times New Roman" w:cs="Times New Roman"/>
        </w:rPr>
        <w:t xml:space="preserve"> BBC News, </w:t>
      </w:r>
      <w:r w:rsidRPr="00951850">
        <w:rPr>
          <w:rStyle w:val="Emphasis"/>
          <w:rFonts w:ascii="Times New Roman" w:hAnsi="Times New Roman" w:cs="Times New Roman"/>
        </w:rPr>
        <w:t>India records highest ever crimes against women</w:t>
      </w:r>
      <w:r w:rsidRPr="00951850">
        <w:rPr>
          <w:rFonts w:ascii="Times New Roman" w:hAnsi="Times New Roman" w:cs="Times New Roman"/>
        </w:rPr>
        <w:t xml:space="preserve">, 8 September 2022. Available at: </w:t>
      </w:r>
      <w:hyperlink r:id="rId5" w:tgtFrame="_new" w:history="1">
        <w:r w:rsidRPr="00951850">
          <w:rPr>
            <w:rStyle w:val="Hyperlink"/>
            <w:rFonts w:ascii="Times New Roman" w:hAnsi="Times New Roman" w:cs="Times New Roman"/>
          </w:rPr>
          <w:t>https://www.bbc.com/news/world-asia-india-62830634</w:t>
        </w:r>
      </w:hyperlink>
    </w:p>
  </w:footnote>
  <w:footnote w:id="6">
    <w:p w14:paraId="7809E63C" w14:textId="38BCB454" w:rsidR="00587D7A" w:rsidRPr="00951850" w:rsidRDefault="00587D7A" w:rsidP="004838C8">
      <w:pPr>
        <w:pStyle w:val="NormalWeb"/>
        <w:spacing w:before="0" w:beforeAutospacing="0" w:after="0" w:afterAutospacing="0"/>
        <w:rPr>
          <w:sz w:val="20"/>
          <w:szCs w:val="20"/>
        </w:rPr>
      </w:pPr>
      <w:r w:rsidRPr="00951850">
        <w:rPr>
          <w:rStyle w:val="FootnoteReference"/>
          <w:sz w:val="20"/>
          <w:szCs w:val="20"/>
        </w:rPr>
        <w:footnoteRef/>
      </w:r>
      <w:r w:rsidRPr="00951850">
        <w:rPr>
          <w:sz w:val="20"/>
          <w:szCs w:val="20"/>
        </w:rPr>
        <w:t xml:space="preserve"> Gender Study, </w:t>
      </w:r>
      <w:r w:rsidRPr="00951850">
        <w:rPr>
          <w:rStyle w:val="Emphasis"/>
          <w:rFonts w:eastAsiaTheme="majorEastAsia"/>
          <w:sz w:val="20"/>
          <w:szCs w:val="20"/>
        </w:rPr>
        <w:t>Hidden Toll: Communal Violence and Women</w:t>
      </w:r>
      <w:r w:rsidRPr="00951850">
        <w:rPr>
          <w:sz w:val="20"/>
          <w:szCs w:val="20"/>
        </w:rPr>
        <w:t xml:space="preserve">, 2022. Available at: </w:t>
      </w:r>
      <w:hyperlink r:id="rId6" w:tgtFrame="_new" w:history="1">
        <w:r w:rsidRPr="00951850">
          <w:rPr>
            <w:rStyle w:val="Hyperlink"/>
            <w:rFonts w:eastAsiaTheme="majorEastAsia"/>
            <w:sz w:val="20"/>
            <w:szCs w:val="20"/>
          </w:rPr>
          <w:t>https://gender.study/gender-based-violence/hidden-toll-communal-violence-women/</w:t>
        </w:r>
      </w:hyperlink>
      <w:r w:rsidRPr="00951850">
        <w:rPr>
          <w:sz w:val="20"/>
          <w:szCs w:val="20"/>
        </w:rPr>
        <w:t>.</w:t>
      </w:r>
    </w:p>
  </w:footnote>
  <w:footnote w:id="7">
    <w:p w14:paraId="2E687EE2" w14:textId="7EDAAE48" w:rsidR="004730F4" w:rsidRPr="00951850" w:rsidRDefault="004730F4" w:rsidP="00EC4FD6">
      <w:pPr>
        <w:pStyle w:val="FootnoteText"/>
        <w:rPr>
          <w:rFonts w:ascii="Times New Roman" w:hAnsi="Times New Roman" w:cs="Times New Roman"/>
          <w:lang w:val="en-US"/>
        </w:rPr>
      </w:pPr>
      <w:r w:rsidRPr="00951850">
        <w:rPr>
          <w:rStyle w:val="FootnoteReference"/>
          <w:rFonts w:ascii="Times New Roman" w:hAnsi="Times New Roman" w:cs="Times New Roman"/>
        </w:rPr>
        <w:footnoteRef/>
      </w:r>
      <w:r w:rsidRPr="00951850">
        <w:rPr>
          <w:rFonts w:ascii="Times New Roman" w:hAnsi="Times New Roman" w:cs="Times New Roman"/>
        </w:rPr>
        <w:t xml:space="preserve"> </w:t>
      </w:r>
      <w:r w:rsidR="006E1456" w:rsidRPr="00951850">
        <w:rPr>
          <w:rFonts w:ascii="Times New Roman" w:hAnsi="Times New Roman" w:cs="Times New Roman"/>
        </w:rPr>
        <w:t xml:space="preserve">UN OHCHR, </w:t>
      </w:r>
      <w:r w:rsidR="006E1456" w:rsidRPr="00951850">
        <w:rPr>
          <w:rStyle w:val="Emphasis"/>
          <w:rFonts w:ascii="Times New Roman" w:hAnsi="Times New Roman" w:cs="Times New Roman"/>
        </w:rPr>
        <w:t>Special Rapporteur on Violence against Women, its causes and consequences – Statement</w:t>
      </w:r>
      <w:r w:rsidR="006E1456" w:rsidRPr="00951850">
        <w:rPr>
          <w:rFonts w:ascii="Times New Roman" w:hAnsi="Times New Roman" w:cs="Times New Roman"/>
        </w:rPr>
        <w:t xml:space="preserve">, 2013. Available at: </w:t>
      </w:r>
      <w:hyperlink r:id="rId7" w:tgtFrame="_new" w:history="1">
        <w:r w:rsidR="006E1456" w:rsidRPr="00951850">
          <w:rPr>
            <w:rStyle w:val="Hyperlink"/>
            <w:rFonts w:ascii="Times New Roman" w:hAnsi="Times New Roman" w:cs="Times New Roman"/>
          </w:rPr>
          <w:t>https://www.ohchr.org/en/statements-and-speeches/2013/05/special-rapporteur-violence-against-women-its-causes-and</w:t>
        </w:r>
      </w:hyperlink>
    </w:p>
  </w:footnote>
  <w:footnote w:id="8">
    <w:p w14:paraId="6AFCA5B9" w14:textId="24CEAF9E" w:rsidR="00527834" w:rsidRPr="00951850" w:rsidRDefault="00527834" w:rsidP="00EC4FD6">
      <w:pPr>
        <w:pStyle w:val="FootnoteText"/>
        <w:rPr>
          <w:rFonts w:ascii="Times New Roman" w:hAnsi="Times New Roman" w:cs="Times New Roman"/>
          <w:lang w:val="en-US"/>
        </w:rPr>
      </w:pPr>
      <w:r w:rsidRPr="00951850">
        <w:rPr>
          <w:rStyle w:val="FootnoteReference"/>
          <w:rFonts w:ascii="Times New Roman" w:hAnsi="Times New Roman" w:cs="Times New Roman"/>
        </w:rPr>
        <w:footnoteRef/>
      </w:r>
      <w:r w:rsidRPr="00951850">
        <w:rPr>
          <w:rFonts w:ascii="Times New Roman" w:hAnsi="Times New Roman" w:cs="Times New Roman"/>
        </w:rPr>
        <w:t xml:space="preserve"> NPR, </w:t>
      </w:r>
      <w:r w:rsidRPr="00951850">
        <w:rPr>
          <w:rStyle w:val="Emphasis"/>
          <w:rFonts w:ascii="Times New Roman" w:hAnsi="Times New Roman" w:cs="Times New Roman"/>
        </w:rPr>
        <w:t>India: Muslim-Hindu interfaith weddings face backlash over “love jihad” laws</w:t>
      </w:r>
      <w:r w:rsidRPr="00951850">
        <w:rPr>
          <w:rFonts w:ascii="Times New Roman" w:hAnsi="Times New Roman" w:cs="Times New Roman"/>
        </w:rPr>
        <w:t xml:space="preserve">, 10 October 2021. Available at: </w:t>
      </w:r>
      <w:hyperlink r:id="rId8" w:tgtFrame="_new" w:history="1">
        <w:r w:rsidRPr="00951850">
          <w:rPr>
            <w:rStyle w:val="Hyperlink"/>
            <w:rFonts w:ascii="Times New Roman" w:hAnsi="Times New Roman" w:cs="Times New Roman"/>
          </w:rPr>
          <w:t>https://www.npr.org/2021/10/10/1041105988/india-muslim-hindu-interfaith-wedding-conversion</w:t>
        </w:r>
      </w:hyperlink>
    </w:p>
  </w:footnote>
  <w:footnote w:id="9">
    <w:p w14:paraId="4B7058A9" w14:textId="72650932" w:rsidR="00984EBE" w:rsidRPr="00951850" w:rsidRDefault="00984EBE" w:rsidP="00EC4FD6">
      <w:pPr>
        <w:pStyle w:val="FootnoteText"/>
        <w:rPr>
          <w:rFonts w:ascii="Times New Roman" w:hAnsi="Times New Roman" w:cs="Times New Roman"/>
          <w:lang w:val="en-US"/>
        </w:rPr>
      </w:pPr>
      <w:r w:rsidRPr="00951850">
        <w:rPr>
          <w:rStyle w:val="FootnoteReference"/>
          <w:rFonts w:ascii="Times New Roman" w:hAnsi="Times New Roman" w:cs="Times New Roman"/>
        </w:rPr>
        <w:footnoteRef/>
      </w:r>
      <w:r w:rsidRPr="00951850">
        <w:rPr>
          <w:rFonts w:ascii="Times New Roman" w:hAnsi="Times New Roman" w:cs="Times New Roman"/>
        </w:rPr>
        <w:t xml:space="preserve"> </w:t>
      </w:r>
      <w:r w:rsidR="005E31BE" w:rsidRPr="00951850">
        <w:rPr>
          <w:rFonts w:ascii="Times New Roman" w:hAnsi="Times New Roman" w:cs="Times New Roman"/>
        </w:rPr>
        <w:t xml:space="preserve">Chhachhi, A., </w:t>
      </w:r>
      <w:r w:rsidR="005E31BE" w:rsidRPr="00951850">
        <w:rPr>
          <w:rStyle w:val="Emphasis"/>
          <w:rFonts w:ascii="Times New Roman" w:hAnsi="Times New Roman" w:cs="Times New Roman"/>
        </w:rPr>
        <w:t>Resisting Gendered Religious Nationalism: The Case of India</w:t>
      </w:r>
      <w:r w:rsidR="005E31BE" w:rsidRPr="00951850">
        <w:rPr>
          <w:rFonts w:ascii="Times New Roman" w:hAnsi="Times New Roman" w:cs="Times New Roman"/>
        </w:rPr>
        <w:t xml:space="preserve">, in </w:t>
      </w:r>
      <w:r w:rsidR="005E31BE" w:rsidRPr="00951850">
        <w:rPr>
          <w:rStyle w:val="Emphasis"/>
          <w:rFonts w:ascii="Times New Roman" w:hAnsi="Times New Roman" w:cs="Times New Roman"/>
        </w:rPr>
        <w:t>Gender and Political Violence in South Asia</w:t>
      </w:r>
      <w:r w:rsidR="005E31BE" w:rsidRPr="00951850">
        <w:rPr>
          <w:rFonts w:ascii="Times New Roman" w:hAnsi="Times New Roman" w:cs="Times New Roman"/>
        </w:rPr>
        <w:t xml:space="preserve">, Emerald Publishing, 2021. Available at: </w:t>
      </w:r>
      <w:hyperlink r:id="rId9" w:tgtFrame="_new" w:history="1">
        <w:r w:rsidR="005E31BE" w:rsidRPr="00951850">
          <w:rPr>
            <w:rStyle w:val="Hyperlink"/>
            <w:rFonts w:ascii="Times New Roman" w:hAnsi="Times New Roman" w:cs="Times New Roman"/>
          </w:rPr>
          <w:t>https://www.emerald.com/books/edited-volume/15737/chapter-abstract/87382082/Resisting-gendered-religious-nationalism-The-case</w:t>
        </w:r>
      </w:hyperlink>
      <w:r w:rsidR="005E31BE" w:rsidRPr="00951850">
        <w:rPr>
          <w:rFonts w:ascii="Times New Roman" w:hAnsi="Times New Roman" w:cs="Times New Roman"/>
        </w:rPr>
        <w:t>.</w:t>
      </w:r>
    </w:p>
  </w:footnote>
  <w:footnote w:id="10">
    <w:p w14:paraId="7B122625" w14:textId="65EC9EB9" w:rsidR="005817DA" w:rsidRPr="00951850" w:rsidRDefault="005817DA" w:rsidP="00EC4FD6">
      <w:pPr>
        <w:pStyle w:val="FootnoteText"/>
        <w:rPr>
          <w:rFonts w:ascii="Times New Roman" w:hAnsi="Times New Roman" w:cs="Times New Roman"/>
          <w:lang w:val="en-US"/>
        </w:rPr>
      </w:pPr>
      <w:r w:rsidRPr="00951850">
        <w:rPr>
          <w:rStyle w:val="FootnoteReference"/>
          <w:rFonts w:ascii="Times New Roman" w:hAnsi="Times New Roman" w:cs="Times New Roman"/>
        </w:rPr>
        <w:footnoteRef/>
      </w:r>
      <w:r w:rsidRPr="00951850">
        <w:rPr>
          <w:rFonts w:ascii="Times New Roman" w:hAnsi="Times New Roman" w:cs="Times New Roman"/>
        </w:rPr>
        <w:t xml:space="preserve"> OpenEdition Journals, </w:t>
      </w:r>
      <w:r w:rsidRPr="00951850">
        <w:rPr>
          <w:rStyle w:val="Emphasis"/>
          <w:rFonts w:ascii="Times New Roman" w:hAnsi="Times New Roman" w:cs="Times New Roman"/>
        </w:rPr>
        <w:t>South Asia Multidisciplinary Academic Journal (SAMAJ) – Online Hate and Gendered Violence in India</w:t>
      </w:r>
      <w:r w:rsidRPr="00951850">
        <w:rPr>
          <w:rFonts w:ascii="Times New Roman" w:hAnsi="Times New Roman" w:cs="Times New Roman"/>
        </w:rPr>
        <w:t xml:space="preserve">, 2022. Available at: </w:t>
      </w:r>
      <w:hyperlink r:id="rId10" w:tgtFrame="_new" w:history="1">
        <w:r w:rsidRPr="00951850">
          <w:rPr>
            <w:rStyle w:val="Hyperlink"/>
            <w:rFonts w:ascii="Times New Roman" w:hAnsi="Times New Roman" w:cs="Times New Roman"/>
          </w:rPr>
          <w:t>https://journals.openedition.org/samaj/9462</w:t>
        </w:r>
      </w:hyperlink>
      <w:r w:rsidRPr="00951850">
        <w:rPr>
          <w:rFonts w:ascii="Times New Roman" w:hAnsi="Times New Roman" w:cs="Times New Roman"/>
        </w:rPr>
        <w:t>.</w:t>
      </w:r>
    </w:p>
  </w:footnote>
  <w:footnote w:id="11">
    <w:p w14:paraId="71C7C791" w14:textId="43643431" w:rsidR="001E4450" w:rsidRPr="00951850" w:rsidRDefault="001E4450" w:rsidP="00EC4FD6">
      <w:pPr>
        <w:pStyle w:val="FootnoteText"/>
        <w:rPr>
          <w:rFonts w:ascii="Times New Roman" w:hAnsi="Times New Roman" w:cs="Times New Roman"/>
          <w:lang w:val="en-US"/>
        </w:rPr>
      </w:pPr>
      <w:r w:rsidRPr="00951850">
        <w:rPr>
          <w:rStyle w:val="FootnoteReference"/>
          <w:rFonts w:ascii="Times New Roman" w:hAnsi="Times New Roman" w:cs="Times New Roman"/>
        </w:rPr>
        <w:footnoteRef/>
      </w:r>
      <w:r w:rsidRPr="00951850">
        <w:rPr>
          <w:rFonts w:ascii="Times New Roman" w:hAnsi="Times New Roman" w:cs="Times New Roman"/>
        </w:rPr>
        <w:t xml:space="preserve"> BBC News, </w:t>
      </w:r>
      <w:r w:rsidRPr="00951850">
        <w:rPr>
          <w:rStyle w:val="Emphasis"/>
          <w:rFonts w:ascii="Times New Roman" w:hAnsi="Times New Roman" w:cs="Times New Roman"/>
        </w:rPr>
        <w:t>India: Manipur violence leaves women brutalised and justice delayed</w:t>
      </w:r>
      <w:r w:rsidRPr="00951850">
        <w:rPr>
          <w:rFonts w:ascii="Times New Roman" w:hAnsi="Times New Roman" w:cs="Times New Roman"/>
        </w:rPr>
        <w:t xml:space="preserve">, 31 March 2022. Available at: </w:t>
      </w:r>
      <w:hyperlink r:id="rId11" w:tgtFrame="_new" w:history="1">
        <w:r w:rsidRPr="00951850">
          <w:rPr>
            <w:rStyle w:val="Hyperlink"/>
            <w:rFonts w:ascii="Times New Roman" w:hAnsi="Times New Roman" w:cs="Times New Roman"/>
          </w:rPr>
          <w:t>https://www.bbc.com/news/world-asia-india-60940103</w:t>
        </w:r>
      </w:hyperlink>
    </w:p>
  </w:footnote>
  <w:footnote w:id="12">
    <w:p w14:paraId="64CC1271" w14:textId="6B4B5029" w:rsidR="00173A3C" w:rsidRPr="00951850" w:rsidRDefault="00173A3C">
      <w:pPr>
        <w:pStyle w:val="FootnoteText"/>
        <w:rPr>
          <w:rFonts w:ascii="Times New Roman" w:hAnsi="Times New Roman" w:cs="Times New Roman"/>
        </w:rPr>
      </w:pPr>
      <w:r w:rsidRPr="00951850">
        <w:rPr>
          <w:rStyle w:val="FootnoteReference"/>
          <w:rFonts w:ascii="Times New Roman" w:hAnsi="Times New Roman" w:cs="Times New Roman"/>
        </w:rPr>
        <w:footnoteRef/>
      </w:r>
      <w:r w:rsidRPr="00951850">
        <w:rPr>
          <w:rFonts w:ascii="Times New Roman" w:hAnsi="Times New Roman" w:cs="Times New Roman"/>
        </w:rPr>
        <w:t xml:space="preserve"> </w:t>
      </w:r>
      <w:r w:rsidR="002E744C" w:rsidRPr="00951850">
        <w:rPr>
          <w:rFonts w:ascii="Times New Roman" w:hAnsi="Times New Roman" w:cs="Times New Roman"/>
        </w:rPr>
        <w:t xml:space="preserve">Human Rights Watch, </w:t>
      </w:r>
      <w:r w:rsidR="002E744C" w:rsidRPr="00951850">
        <w:rPr>
          <w:rStyle w:val="Emphasis"/>
          <w:rFonts w:ascii="Times New Roman" w:hAnsi="Times New Roman" w:cs="Times New Roman"/>
        </w:rPr>
        <w:t>India: Getting Away With Murder, 50 Years of the Armed Forces (Special Powers) Act</w:t>
      </w:r>
      <w:r w:rsidR="002E744C" w:rsidRPr="00951850">
        <w:rPr>
          <w:rFonts w:ascii="Times New Roman" w:hAnsi="Times New Roman" w:cs="Times New Roman"/>
        </w:rPr>
        <w:t xml:space="preserve">, August 2008. Available at: </w:t>
      </w:r>
      <w:hyperlink r:id="rId12" w:tgtFrame="_new" w:history="1">
        <w:r w:rsidR="002E744C" w:rsidRPr="00951850">
          <w:rPr>
            <w:rStyle w:val="Hyperlink"/>
            <w:rFonts w:ascii="Times New Roman" w:hAnsi="Times New Roman" w:cs="Times New Roman"/>
          </w:rPr>
          <w:t>https://www.refworld.org/reference/countryrep/hrw/2008/en/58544</w:t>
        </w:r>
      </w:hyperlink>
    </w:p>
  </w:footnote>
  <w:footnote w:id="13">
    <w:p w14:paraId="545065FC" w14:textId="278A1E8C" w:rsidR="00E609F8" w:rsidRPr="0062536B" w:rsidRDefault="00E609F8" w:rsidP="00EC4FD6">
      <w:pPr>
        <w:pStyle w:val="FootnoteText"/>
        <w:rPr>
          <w:rFonts w:ascii="Times New Roman" w:hAnsi="Times New Roman" w:cs="Times New Roman"/>
        </w:rPr>
      </w:pPr>
      <w:r w:rsidRPr="00951850">
        <w:rPr>
          <w:rStyle w:val="FootnoteReference"/>
          <w:rFonts w:ascii="Times New Roman" w:hAnsi="Times New Roman" w:cs="Times New Roman"/>
        </w:rPr>
        <w:footnoteRef/>
      </w:r>
      <w:r w:rsidRPr="00951850">
        <w:rPr>
          <w:rFonts w:ascii="Times New Roman" w:hAnsi="Times New Roman" w:cs="Times New Roman"/>
        </w:rPr>
        <w:t xml:space="preserve"> International Commission of Jurists (ICJ), </w:t>
      </w:r>
      <w:r w:rsidRPr="00951850">
        <w:rPr>
          <w:rStyle w:val="Emphasis"/>
          <w:rFonts w:ascii="Times New Roman" w:hAnsi="Times New Roman" w:cs="Times New Roman"/>
        </w:rPr>
        <w:t>India: Authorities must fully investigate Manipur killings as ordered by Supreme Court</w:t>
      </w:r>
      <w:r w:rsidRPr="00951850">
        <w:rPr>
          <w:rFonts w:ascii="Times New Roman" w:hAnsi="Times New Roman" w:cs="Times New Roman"/>
        </w:rPr>
        <w:t xml:space="preserve">, 20 July </w:t>
      </w:r>
      <w:r w:rsidRPr="00951850">
        <w:rPr>
          <w:rFonts w:ascii="Times New Roman" w:hAnsi="Times New Roman" w:cs="Times New Roman"/>
        </w:rPr>
        <w:t xml:space="preserve">2018. </w:t>
      </w:r>
      <w:hyperlink r:id="rId13" w:tgtFrame="_new" w:history="1">
        <w:r w:rsidRPr="00951850">
          <w:rPr>
            <w:rStyle w:val="Hyperlink"/>
            <w:rFonts w:ascii="Times New Roman" w:hAnsi="Times New Roman" w:cs="Times New Roman"/>
          </w:rPr>
          <w:t>https://www.icj.org/india-authorities-must-fully-investigate-manipur-killings-as-ordered-by-supreme-court/</w:t>
        </w:r>
      </w:hyperlink>
    </w:p>
  </w:footnote>
  <w:footnote w:id="14">
    <w:p w14:paraId="3B873897" w14:textId="78C2B094" w:rsidR="00A659E6" w:rsidRPr="00951850" w:rsidRDefault="00A659E6" w:rsidP="004D6E65">
      <w:pPr>
        <w:pStyle w:val="NormalWeb"/>
        <w:spacing w:before="0" w:beforeAutospacing="0" w:after="0" w:afterAutospacing="0"/>
        <w:rPr>
          <w:sz w:val="20"/>
          <w:szCs w:val="20"/>
        </w:rPr>
      </w:pPr>
      <w:r w:rsidRPr="00951850">
        <w:rPr>
          <w:rStyle w:val="FootnoteReference"/>
          <w:sz w:val="20"/>
          <w:szCs w:val="20"/>
        </w:rPr>
        <w:footnoteRef/>
      </w:r>
      <w:r w:rsidRPr="00951850">
        <w:rPr>
          <w:sz w:val="20"/>
          <w:szCs w:val="20"/>
        </w:rPr>
        <w:t xml:space="preserve"> </w:t>
      </w:r>
      <w:r w:rsidR="00FF3D50" w:rsidRPr="00951850">
        <w:rPr>
          <w:rStyle w:val="Strong"/>
          <w:rFonts w:eastAsiaTheme="majorEastAsia"/>
          <w:sz w:val="20"/>
          <w:szCs w:val="20"/>
        </w:rPr>
        <w:t>Times of India</w:t>
      </w:r>
      <w:r w:rsidR="00FF3D50" w:rsidRPr="00951850">
        <w:rPr>
          <w:sz w:val="20"/>
          <w:szCs w:val="20"/>
        </w:rPr>
        <w:t xml:space="preserve">, </w:t>
      </w:r>
      <w:r w:rsidR="00FF3D50" w:rsidRPr="00951850">
        <w:rPr>
          <w:rStyle w:val="Emphasis"/>
          <w:rFonts w:eastAsiaTheme="majorEastAsia"/>
          <w:sz w:val="20"/>
          <w:szCs w:val="20"/>
        </w:rPr>
        <w:t>Cops raped 16 tribals in Bastar in November 2015, says NHRC report</w:t>
      </w:r>
      <w:r w:rsidR="00FF3D50" w:rsidRPr="00951850">
        <w:rPr>
          <w:sz w:val="20"/>
          <w:szCs w:val="20"/>
        </w:rPr>
        <w:t xml:space="preserve">, 8 January 2017. </w:t>
      </w:r>
      <w:hyperlink r:id="rId14" w:tgtFrame="_new" w:history="1">
        <w:r w:rsidR="00FF3D50" w:rsidRPr="00951850">
          <w:rPr>
            <w:rStyle w:val="Hyperlink"/>
            <w:rFonts w:eastAsiaTheme="majorEastAsia"/>
            <w:sz w:val="20"/>
            <w:szCs w:val="20"/>
          </w:rPr>
          <w:t>https://timesofindia.indiatimes.com/city/raipur/cops-raped-16-tribals-in-bastar-last-november-says-nhrc-report/articleshow/56397682.cms</w:t>
        </w:r>
      </w:hyperlink>
      <w:r w:rsidR="00FF3D50" w:rsidRPr="00951850">
        <w:rPr>
          <w:sz w:val="20"/>
          <w:szCs w:val="20"/>
        </w:rPr>
        <w:t xml:space="preserve"> </w:t>
      </w:r>
      <w:hyperlink r:id="rId15" w:tgtFrame="_blank" w:history="1">
        <w:r w:rsidR="00FF3D50" w:rsidRPr="00951850">
          <w:rPr>
            <w:rStyle w:val="max-w-15ch"/>
            <w:rFonts w:eastAsiaTheme="majorEastAsia"/>
            <w:color w:val="0000FF"/>
            <w:sz w:val="20"/>
            <w:szCs w:val="20"/>
            <w:u w:val="single"/>
          </w:rPr>
          <w:t>timesofindia.indiatimes.com</w:t>
        </w:r>
      </w:hyperlink>
    </w:p>
  </w:footnote>
  <w:footnote w:id="15">
    <w:p w14:paraId="017E4286" w14:textId="149205BF" w:rsidR="00D771C1" w:rsidRPr="00951850" w:rsidRDefault="00D771C1">
      <w:pPr>
        <w:pStyle w:val="FootnoteText"/>
        <w:rPr>
          <w:rFonts w:ascii="Times New Roman" w:hAnsi="Times New Roman" w:cs="Times New Roman"/>
          <w:lang w:val="en-US"/>
        </w:rPr>
      </w:pPr>
      <w:r w:rsidRPr="00951850">
        <w:rPr>
          <w:rStyle w:val="FootnoteReference"/>
          <w:rFonts w:ascii="Times New Roman" w:hAnsi="Times New Roman" w:cs="Times New Roman"/>
        </w:rPr>
        <w:footnoteRef/>
      </w:r>
      <w:r w:rsidRPr="00951850">
        <w:rPr>
          <w:rFonts w:ascii="Times New Roman" w:hAnsi="Times New Roman" w:cs="Times New Roman"/>
        </w:rPr>
        <w:t xml:space="preserve"> </w:t>
      </w:r>
      <w:r w:rsidR="004D6E65" w:rsidRPr="00951850">
        <w:rPr>
          <w:rStyle w:val="Emphasis"/>
          <w:rFonts w:ascii="Times New Roman" w:hAnsi="Times New Roman" w:cs="Times New Roman"/>
        </w:rPr>
        <w:t>Assessing the Desirability of the Armed Forces (Special Powers) Act (Afspa)</w:t>
      </w:r>
      <w:r w:rsidR="004D6E65" w:rsidRPr="00951850">
        <w:rPr>
          <w:rFonts w:ascii="Times New Roman" w:hAnsi="Times New Roman" w:cs="Times New Roman"/>
        </w:rPr>
        <w:t xml:space="preserve"> – recent (2025) paper that critiques AFSPA with updated evidence. </w:t>
      </w:r>
      <w:hyperlink r:id="rId16" w:history="1">
        <w:r w:rsidR="004D6E65" w:rsidRPr="00951850">
          <w:rPr>
            <w:rStyle w:val="Hyperlink"/>
            <w:rFonts w:ascii="Times New Roman" w:hAnsi="Times New Roman" w:cs="Times New Roman"/>
          </w:rPr>
          <w:t>https://www.ijfmr.com/papers/2025/3/44013.pdf</w:t>
        </w:r>
      </w:hyperlink>
      <w:r w:rsidR="004D6E65" w:rsidRPr="00951850">
        <w:rPr>
          <w:rFonts w:ascii="Times New Roman" w:hAnsi="Times New Roman" w:cs="Times New Roman"/>
        </w:rPr>
        <w:t xml:space="preserve"> </w:t>
      </w:r>
    </w:p>
  </w:footnote>
  <w:footnote w:id="16">
    <w:p w14:paraId="09CFFE2D" w14:textId="4519C09D" w:rsidR="00355F97" w:rsidRPr="0062536B" w:rsidRDefault="00355F97">
      <w:pPr>
        <w:pStyle w:val="FootnoteText"/>
        <w:rPr>
          <w:rFonts w:ascii="Times New Roman" w:hAnsi="Times New Roman" w:cs="Times New Roman"/>
        </w:rPr>
      </w:pPr>
      <w:r w:rsidRPr="00951850">
        <w:rPr>
          <w:rStyle w:val="FootnoteReference"/>
          <w:rFonts w:ascii="Times New Roman" w:hAnsi="Times New Roman" w:cs="Times New Roman"/>
        </w:rPr>
        <w:footnoteRef/>
      </w:r>
      <w:r w:rsidRPr="00951850">
        <w:rPr>
          <w:rFonts w:ascii="Times New Roman" w:hAnsi="Times New Roman" w:cs="Times New Roman"/>
        </w:rPr>
        <w:t xml:space="preserve"> </w:t>
      </w:r>
      <w:r w:rsidR="00653CC9" w:rsidRPr="00951850">
        <w:rPr>
          <w:rFonts w:ascii="Times New Roman" w:hAnsi="Times New Roman" w:cs="Times New Roman"/>
        </w:rPr>
        <w:t xml:space="preserve">Amnesty International, </w:t>
      </w:r>
      <w:r w:rsidR="00653CC9" w:rsidRPr="00951850">
        <w:rPr>
          <w:rFonts w:ascii="Times New Roman" w:hAnsi="Times New Roman" w:cs="Times New Roman"/>
          <w:i/>
          <w:iCs/>
        </w:rPr>
        <w:t>Troll Patrol India: Exposing Online Abuse Faced by Women Politicians in India</w:t>
      </w:r>
      <w:r w:rsidR="00653CC9" w:rsidRPr="00951850">
        <w:rPr>
          <w:rFonts w:ascii="Times New Roman" w:hAnsi="Times New Roman" w:cs="Times New Roman"/>
        </w:rPr>
        <w:t xml:space="preserve">, 23 January 2020. </w:t>
      </w:r>
      <w:hyperlink r:id="rId17" w:tgtFrame="_new" w:history="1">
        <w:r w:rsidR="00653CC9" w:rsidRPr="00951850">
          <w:rPr>
            <w:rStyle w:val="Hyperlink"/>
            <w:rFonts w:ascii="Times New Roman" w:hAnsi="Times New Roman" w:cs="Times New Roman"/>
          </w:rPr>
          <w:t>https://decoders.blob.core.windows.net/troll-patrol-india-findings/Amnesty_International_India_Troll_Patrol_India_Findings_2020.pdf</w:t>
        </w:r>
      </w:hyperlink>
      <w:r w:rsidRPr="00951850">
        <w:rPr>
          <w:rFonts w:ascii="Times New Roman" w:hAnsi="Times New Roman" w:cs="Times New Roman"/>
        </w:rPr>
        <w:t>.</w:t>
      </w:r>
    </w:p>
  </w:footnote>
  <w:footnote w:id="17">
    <w:p w14:paraId="79B13AE9" w14:textId="241141E5" w:rsidR="005D6FB7" w:rsidRPr="00951850" w:rsidRDefault="005D6FB7" w:rsidP="00EC4FD6">
      <w:pPr>
        <w:pStyle w:val="NormalWeb"/>
        <w:spacing w:before="0" w:beforeAutospacing="0" w:after="0" w:afterAutospacing="0"/>
        <w:rPr>
          <w:sz w:val="20"/>
          <w:szCs w:val="20"/>
        </w:rPr>
      </w:pPr>
      <w:r w:rsidRPr="00951850">
        <w:rPr>
          <w:rStyle w:val="FootnoteReference"/>
          <w:sz w:val="20"/>
          <w:szCs w:val="20"/>
        </w:rPr>
        <w:footnoteRef/>
      </w:r>
      <w:r w:rsidRPr="00951850">
        <w:rPr>
          <w:sz w:val="20"/>
          <w:szCs w:val="20"/>
        </w:rPr>
        <w:t xml:space="preserve"> </w:t>
      </w:r>
      <w:r w:rsidRPr="00951850">
        <w:rPr>
          <w:sz w:val="20"/>
          <w:szCs w:val="20"/>
        </w:rPr>
        <w:t xml:space="preserve">Chhachhi, A. </w:t>
      </w:r>
      <w:r w:rsidRPr="00951850">
        <w:rPr>
          <w:rStyle w:val="Emphasis"/>
          <w:rFonts w:eastAsiaTheme="majorEastAsia"/>
          <w:sz w:val="20"/>
          <w:szCs w:val="20"/>
        </w:rPr>
        <w:t>Resisting Gendered Religious Nationalism: The Case of India</w:t>
      </w:r>
      <w:r w:rsidRPr="00951850">
        <w:rPr>
          <w:sz w:val="20"/>
          <w:szCs w:val="20"/>
        </w:rPr>
        <w:t xml:space="preserve">. In: </w:t>
      </w:r>
      <w:r w:rsidRPr="00951850">
        <w:rPr>
          <w:rStyle w:val="Emphasis"/>
          <w:rFonts w:eastAsiaTheme="majorEastAsia"/>
          <w:sz w:val="20"/>
          <w:szCs w:val="20"/>
        </w:rPr>
        <w:t>Gender and Political Violence in South Asia</w:t>
      </w:r>
      <w:r w:rsidRPr="00951850">
        <w:rPr>
          <w:sz w:val="20"/>
          <w:szCs w:val="20"/>
        </w:rPr>
        <w:t xml:space="preserve">. Emerald Publishing, 2021.  </w:t>
      </w:r>
      <w:hyperlink r:id="rId18" w:tgtFrame="_new" w:history="1">
        <w:r w:rsidRPr="00951850">
          <w:rPr>
            <w:rStyle w:val="Hyperlink"/>
            <w:rFonts w:eastAsiaTheme="majorEastAsia"/>
            <w:sz w:val="20"/>
            <w:szCs w:val="20"/>
          </w:rPr>
          <w:t>https://www.emerald.com/books/edited-volume/15737/chapter-abstract/87382082/Resisting-gendered-religious-nationalism-The-case</w:t>
        </w:r>
      </w:hyperlink>
      <w:r w:rsidRPr="00951850">
        <w:rPr>
          <w:sz w:val="20"/>
          <w:szCs w:val="20"/>
        </w:rPr>
        <w:t>.</w:t>
      </w:r>
    </w:p>
    <w:p w14:paraId="2FC3EA3B" w14:textId="1F2DFECC" w:rsidR="005D6FB7" w:rsidRPr="00951850" w:rsidRDefault="005D6FB7" w:rsidP="00EC4FD6">
      <w:pPr>
        <w:pStyle w:val="FootnoteText"/>
        <w:rPr>
          <w:rFonts w:ascii="Times New Roman" w:hAnsi="Times New Roman" w:cs="Times New Roman"/>
        </w:rPr>
      </w:pPr>
    </w:p>
  </w:footnote>
  <w:footnote w:id="18">
    <w:p w14:paraId="69AB594C" w14:textId="493EE4C4" w:rsidR="00747561" w:rsidRPr="00951850" w:rsidRDefault="00747561" w:rsidP="00EC4FD6">
      <w:pPr>
        <w:pStyle w:val="NormalWeb"/>
        <w:spacing w:before="0" w:beforeAutospacing="0" w:after="0" w:afterAutospacing="0"/>
        <w:rPr>
          <w:sz w:val="20"/>
          <w:szCs w:val="20"/>
        </w:rPr>
      </w:pPr>
      <w:r w:rsidRPr="00951850">
        <w:rPr>
          <w:rStyle w:val="FootnoteReference"/>
          <w:sz w:val="20"/>
          <w:szCs w:val="20"/>
        </w:rPr>
        <w:footnoteRef/>
      </w:r>
      <w:r w:rsidRPr="00951850">
        <w:rPr>
          <w:sz w:val="20"/>
          <w:szCs w:val="20"/>
        </w:rPr>
        <w:t xml:space="preserve"> </w:t>
      </w:r>
      <w:r w:rsidRPr="00951850">
        <w:rPr>
          <w:sz w:val="20"/>
          <w:szCs w:val="20"/>
        </w:rPr>
        <w:t xml:space="preserve">IT for Change, </w:t>
      </w:r>
      <w:r w:rsidRPr="00951850">
        <w:rPr>
          <w:rStyle w:val="Emphasis"/>
          <w:rFonts w:eastAsiaTheme="majorEastAsia"/>
          <w:sz w:val="20"/>
          <w:szCs w:val="20"/>
        </w:rPr>
        <w:t>The Judiciary’s Tryst with Online Gender-Based Violence: An Empirical Analysis of Indian Cases and Prevalent Judicial Attitudes</w:t>
      </w:r>
      <w:r w:rsidRPr="00951850">
        <w:rPr>
          <w:sz w:val="20"/>
          <w:szCs w:val="20"/>
        </w:rPr>
        <w:t>, 2020. a</w:t>
      </w:r>
      <w:hyperlink r:id="rId19" w:tgtFrame="_new" w:history="1">
        <w:r w:rsidRPr="00951850">
          <w:rPr>
            <w:rStyle w:val="Hyperlink"/>
            <w:rFonts w:eastAsiaTheme="majorEastAsia"/>
            <w:sz w:val="20"/>
            <w:szCs w:val="20"/>
          </w:rPr>
          <w:t>https://itforchange.net/sites/default/files/2190/The%20Judiciary%27s%20Tryst%20with%20OGBV_0.pdf</w:t>
        </w:r>
      </w:hyperlink>
      <w:r w:rsidRPr="00951850">
        <w:rPr>
          <w:sz w:val="20"/>
          <w:szCs w:val="20"/>
        </w:rPr>
        <w:t>.</w:t>
      </w:r>
    </w:p>
  </w:footnote>
  <w:footnote w:id="19">
    <w:p w14:paraId="4EA5CA64" w14:textId="4C095FAF" w:rsidR="005763DA" w:rsidRPr="0062536B" w:rsidRDefault="005763DA" w:rsidP="00EC4FD6">
      <w:pPr>
        <w:pStyle w:val="FootnoteText"/>
        <w:rPr>
          <w:rFonts w:ascii="Times New Roman" w:hAnsi="Times New Roman" w:cs="Times New Roman"/>
        </w:rPr>
      </w:pPr>
      <w:r w:rsidRPr="00951850">
        <w:rPr>
          <w:rStyle w:val="FootnoteReference"/>
          <w:rFonts w:ascii="Times New Roman" w:hAnsi="Times New Roman" w:cs="Times New Roman"/>
        </w:rPr>
        <w:footnoteRef/>
      </w:r>
      <w:r w:rsidRPr="00951850">
        <w:rPr>
          <w:rFonts w:ascii="Times New Roman" w:hAnsi="Times New Roman" w:cs="Times New Roman"/>
        </w:rPr>
        <w:t xml:space="preserve"> </w:t>
      </w:r>
      <w:r w:rsidRPr="00951850">
        <w:rPr>
          <w:rFonts w:ascii="Times New Roman" w:hAnsi="Times New Roman" w:cs="Times New Roman"/>
        </w:rPr>
        <w:t xml:space="preserve">Somerville College, University of Oxford, </w:t>
      </w:r>
      <w:r w:rsidRPr="00951850">
        <w:rPr>
          <w:rStyle w:val="Emphasis"/>
          <w:rFonts w:ascii="Times New Roman" w:hAnsi="Times New Roman" w:cs="Times New Roman"/>
        </w:rPr>
        <w:t>Access to Higher Education for Muslim Women in West Bengal</w:t>
      </w:r>
      <w:r w:rsidRPr="00951850">
        <w:rPr>
          <w:rFonts w:ascii="Times New Roman" w:hAnsi="Times New Roman" w:cs="Times New Roman"/>
        </w:rPr>
        <w:t xml:space="preserve">, 2021. </w:t>
      </w:r>
      <w:hyperlink r:id="rId20" w:tgtFrame="_new" w:history="1">
        <w:r w:rsidRPr="00951850">
          <w:rPr>
            <w:rStyle w:val="Hyperlink"/>
            <w:rFonts w:ascii="Times New Roman" w:hAnsi="Times New Roman" w:cs="Times New Roman"/>
          </w:rPr>
          <w:t>https://www.some.ox.ac.uk/blog/access-to-higher-education-for-muslim-women-in-westbengal/</w:t>
        </w:r>
      </w:hyperlink>
    </w:p>
  </w:footnote>
  <w:footnote w:id="20">
    <w:p w14:paraId="2691974B" w14:textId="5FFD2828" w:rsidR="005763DA" w:rsidRPr="00951850" w:rsidRDefault="005763DA" w:rsidP="00EC4FD6">
      <w:pPr>
        <w:pStyle w:val="NormalWeb"/>
        <w:spacing w:before="0" w:beforeAutospacing="0" w:after="0" w:afterAutospacing="0"/>
        <w:rPr>
          <w:sz w:val="20"/>
          <w:szCs w:val="20"/>
        </w:rPr>
      </w:pPr>
      <w:r w:rsidRPr="00951850">
        <w:rPr>
          <w:rStyle w:val="FootnoteReference"/>
          <w:sz w:val="20"/>
          <w:szCs w:val="20"/>
        </w:rPr>
        <w:footnoteRef/>
      </w:r>
      <w:r w:rsidRPr="00951850">
        <w:rPr>
          <w:sz w:val="20"/>
          <w:szCs w:val="20"/>
        </w:rPr>
        <w:t xml:space="preserve"> </w:t>
      </w:r>
      <w:r w:rsidR="00665771" w:rsidRPr="00951850">
        <w:rPr>
          <w:sz w:val="20"/>
          <w:szCs w:val="20"/>
        </w:rPr>
        <w:t xml:space="preserve">KSPP, </w:t>
      </w:r>
      <w:r w:rsidR="00665771" w:rsidRPr="00951850">
        <w:rPr>
          <w:rStyle w:val="Emphasis"/>
          <w:rFonts w:eastAsiaTheme="majorEastAsia"/>
          <w:sz w:val="20"/>
          <w:szCs w:val="20"/>
        </w:rPr>
        <w:t>Exploring Barriers in Indian Muslim Women’s Education</w:t>
      </w:r>
      <w:r w:rsidR="00665771" w:rsidRPr="00951850">
        <w:rPr>
          <w:sz w:val="20"/>
          <w:szCs w:val="20"/>
        </w:rPr>
        <w:t xml:space="preserve">, 2022. </w:t>
      </w:r>
      <w:hyperlink r:id="rId21" w:tgtFrame="_new" w:history="1">
        <w:r w:rsidR="00665771" w:rsidRPr="00951850">
          <w:rPr>
            <w:rStyle w:val="Hyperlink"/>
            <w:rFonts w:eastAsiaTheme="majorEastAsia"/>
            <w:sz w:val="20"/>
            <w:szCs w:val="20"/>
          </w:rPr>
          <w:t>https://www.kspp.edu.in/blog/exploring-barriers-in-indian-muslim-womens-education</w:t>
        </w:r>
      </w:hyperlink>
      <w:r w:rsidR="00665771" w:rsidRPr="00951850">
        <w:rPr>
          <w:sz w:val="20"/>
          <w:szCs w:val="20"/>
        </w:rPr>
        <w:t>.</w:t>
      </w:r>
    </w:p>
  </w:footnote>
  <w:footnote w:id="21">
    <w:p w14:paraId="662794D6" w14:textId="78874D66" w:rsidR="005C59D7" w:rsidRPr="00951850" w:rsidRDefault="005C59D7" w:rsidP="00EC4FD6">
      <w:pPr>
        <w:pStyle w:val="NormalWeb"/>
        <w:spacing w:before="0" w:beforeAutospacing="0" w:after="0" w:afterAutospacing="0"/>
        <w:rPr>
          <w:sz w:val="20"/>
          <w:szCs w:val="20"/>
        </w:rPr>
      </w:pPr>
      <w:r w:rsidRPr="00951850">
        <w:rPr>
          <w:rStyle w:val="FootnoteReference"/>
          <w:sz w:val="20"/>
          <w:szCs w:val="20"/>
        </w:rPr>
        <w:footnoteRef/>
      </w:r>
      <w:r w:rsidRPr="00951850">
        <w:rPr>
          <w:sz w:val="20"/>
          <w:szCs w:val="20"/>
        </w:rPr>
        <w:t xml:space="preserve"> </w:t>
      </w:r>
      <w:r w:rsidRPr="00951850">
        <w:rPr>
          <w:sz w:val="20"/>
          <w:szCs w:val="20"/>
        </w:rPr>
        <w:t xml:space="preserve">Times of India, </w:t>
      </w:r>
      <w:r w:rsidRPr="00951850">
        <w:rPr>
          <w:rStyle w:val="Emphasis"/>
          <w:rFonts w:eastAsiaTheme="majorEastAsia"/>
          <w:sz w:val="20"/>
          <w:szCs w:val="20"/>
        </w:rPr>
        <w:t>Muslim literacy, participation of women in workforce up: Rijiju</w:t>
      </w:r>
      <w:r w:rsidRPr="00951850">
        <w:rPr>
          <w:sz w:val="20"/>
          <w:szCs w:val="20"/>
        </w:rPr>
        <w:t xml:space="preserve">, 2025. </w:t>
      </w:r>
      <w:hyperlink r:id="rId22" w:tgtFrame="_new" w:history="1">
        <w:r w:rsidRPr="00951850">
          <w:rPr>
            <w:rStyle w:val="Hyperlink"/>
            <w:rFonts w:eastAsiaTheme="majorEastAsia"/>
            <w:sz w:val="20"/>
            <w:szCs w:val="20"/>
          </w:rPr>
          <w:t>https://timesofindia.indiatimes.com/india/muslim-literacy-participation-of-women-in-workforce-up-rijiju/articleshow/118861772.cms</w:t>
        </w:r>
      </w:hyperlink>
      <w:r w:rsidRPr="00951850">
        <w:rPr>
          <w:sz w:val="20"/>
          <w:szCs w:val="20"/>
        </w:rPr>
        <w:t>.</w:t>
      </w:r>
    </w:p>
  </w:footnote>
  <w:footnote w:id="22">
    <w:p w14:paraId="6992E11B" w14:textId="07FF1963" w:rsidR="001D7BE0" w:rsidRPr="00951850" w:rsidRDefault="001D7BE0" w:rsidP="00EC4FD6">
      <w:pPr>
        <w:pStyle w:val="NormalWeb"/>
        <w:spacing w:before="0" w:beforeAutospacing="0" w:after="0" w:afterAutospacing="0"/>
        <w:rPr>
          <w:sz w:val="20"/>
          <w:szCs w:val="20"/>
        </w:rPr>
      </w:pPr>
      <w:r w:rsidRPr="00951850">
        <w:rPr>
          <w:rStyle w:val="FootnoteReference"/>
          <w:sz w:val="20"/>
          <w:szCs w:val="20"/>
        </w:rPr>
        <w:footnoteRef/>
      </w:r>
      <w:r w:rsidRPr="00951850">
        <w:rPr>
          <w:sz w:val="20"/>
          <w:szCs w:val="20"/>
        </w:rPr>
        <w:t xml:space="preserve"> </w:t>
      </w:r>
      <w:r w:rsidR="00977F25" w:rsidRPr="00951850">
        <w:rPr>
          <w:sz w:val="20"/>
          <w:szCs w:val="20"/>
        </w:rPr>
        <w:t xml:space="preserve">International Journal of Creative Research Thoughts (IJCRT), </w:t>
      </w:r>
      <w:r w:rsidR="00977F25" w:rsidRPr="00951850">
        <w:rPr>
          <w:rStyle w:val="Emphasis"/>
          <w:rFonts w:eastAsiaTheme="majorEastAsia"/>
          <w:sz w:val="20"/>
          <w:szCs w:val="20"/>
        </w:rPr>
        <w:t>Barriers in Education of Muslim Women in India</w:t>
      </w:r>
      <w:r w:rsidR="00977F25" w:rsidRPr="00951850">
        <w:rPr>
          <w:sz w:val="20"/>
          <w:szCs w:val="20"/>
        </w:rPr>
        <w:t xml:space="preserve">, Vol. 6, Issue 2, 2018. </w:t>
      </w:r>
      <w:hyperlink r:id="rId23" w:tgtFrame="_new" w:history="1">
        <w:r w:rsidR="00977F25" w:rsidRPr="00951850">
          <w:rPr>
            <w:rStyle w:val="Hyperlink"/>
            <w:rFonts w:eastAsiaTheme="majorEastAsia"/>
            <w:sz w:val="20"/>
            <w:szCs w:val="20"/>
          </w:rPr>
          <w:t>https://www.ijcrt.org/papers/IJCRT1803257.pdf</w:t>
        </w:r>
      </w:hyperlink>
      <w:r w:rsidR="00977F25" w:rsidRPr="00951850">
        <w:rPr>
          <w:sz w:val="20"/>
          <w:szCs w:val="20"/>
        </w:rPr>
        <w:t>.</w:t>
      </w:r>
    </w:p>
  </w:footnote>
  <w:footnote w:id="23">
    <w:p w14:paraId="2509FA65" w14:textId="7037363E" w:rsidR="00A01F8F" w:rsidRPr="00951850" w:rsidRDefault="00A01F8F" w:rsidP="00EC4FD6">
      <w:pPr>
        <w:pStyle w:val="NormalWeb"/>
        <w:spacing w:before="0" w:beforeAutospacing="0" w:after="0" w:afterAutospacing="0"/>
        <w:rPr>
          <w:sz w:val="20"/>
          <w:szCs w:val="20"/>
        </w:rPr>
      </w:pPr>
      <w:r w:rsidRPr="00951850">
        <w:rPr>
          <w:rStyle w:val="FootnoteReference"/>
          <w:sz w:val="20"/>
          <w:szCs w:val="20"/>
        </w:rPr>
        <w:footnoteRef/>
      </w:r>
      <w:r w:rsidRPr="00951850">
        <w:rPr>
          <w:sz w:val="20"/>
          <w:szCs w:val="20"/>
        </w:rPr>
        <w:t xml:space="preserve"> </w:t>
      </w:r>
      <w:r w:rsidRPr="00951850">
        <w:rPr>
          <w:sz w:val="20"/>
          <w:szCs w:val="20"/>
        </w:rPr>
        <w:t xml:space="preserve">Muslim Mirror, </w:t>
      </w:r>
      <w:r w:rsidRPr="00951850">
        <w:rPr>
          <w:rStyle w:val="Emphasis"/>
          <w:rFonts w:eastAsiaTheme="majorEastAsia"/>
          <w:sz w:val="20"/>
          <w:szCs w:val="20"/>
        </w:rPr>
        <w:t>Evolving Horizons: Muslim Women’s Education in Contemporary India</w:t>
      </w:r>
      <w:r w:rsidRPr="00951850">
        <w:rPr>
          <w:sz w:val="20"/>
          <w:szCs w:val="20"/>
        </w:rPr>
        <w:t xml:space="preserve">, 2024. </w:t>
      </w:r>
      <w:hyperlink r:id="rId24" w:tgtFrame="_new" w:history="1">
        <w:r w:rsidRPr="00951850">
          <w:rPr>
            <w:rStyle w:val="Hyperlink"/>
            <w:rFonts w:eastAsiaTheme="majorEastAsia"/>
            <w:sz w:val="20"/>
            <w:szCs w:val="20"/>
          </w:rPr>
          <w:t>https://muslimmirror.com/evolving-horizons-muslim-womens-education-in-contemporary-india/</w:t>
        </w:r>
      </w:hyperlink>
      <w:r w:rsidRPr="00951850">
        <w:rPr>
          <w:sz w:val="20"/>
          <w:szCs w:val="20"/>
        </w:rPr>
        <w:t>.</w:t>
      </w:r>
    </w:p>
  </w:footnote>
  <w:footnote w:id="24">
    <w:p w14:paraId="4BE0B4DD" w14:textId="58C7488D" w:rsidR="00FA786F" w:rsidRPr="00951850" w:rsidRDefault="00FA786F" w:rsidP="00EC4FD6">
      <w:pPr>
        <w:pStyle w:val="NormalWeb"/>
        <w:spacing w:before="0" w:beforeAutospacing="0" w:after="0" w:afterAutospacing="0"/>
        <w:rPr>
          <w:sz w:val="20"/>
          <w:szCs w:val="20"/>
        </w:rPr>
      </w:pPr>
      <w:r w:rsidRPr="00951850">
        <w:rPr>
          <w:rStyle w:val="FootnoteReference"/>
          <w:sz w:val="20"/>
          <w:szCs w:val="20"/>
        </w:rPr>
        <w:footnoteRef/>
      </w:r>
      <w:r w:rsidRPr="00951850">
        <w:rPr>
          <w:sz w:val="20"/>
          <w:szCs w:val="20"/>
        </w:rPr>
        <w:t xml:space="preserve"> </w:t>
      </w:r>
      <w:r w:rsidRPr="00951850">
        <w:rPr>
          <w:sz w:val="20"/>
          <w:szCs w:val="20"/>
        </w:rPr>
        <w:t xml:space="preserve">Citizens for Justice and Peace (CJP), </w:t>
      </w:r>
      <w:r w:rsidRPr="00951850">
        <w:rPr>
          <w:rStyle w:val="Emphasis"/>
          <w:rFonts w:eastAsiaTheme="majorEastAsia"/>
          <w:sz w:val="20"/>
          <w:szCs w:val="20"/>
        </w:rPr>
        <w:t>Does the state have the right to disrupt Muslim woman’s right to education?</w:t>
      </w:r>
      <w:r w:rsidRPr="00951850">
        <w:rPr>
          <w:sz w:val="20"/>
          <w:szCs w:val="20"/>
        </w:rPr>
        <w:t xml:space="preserve">, 2022. </w:t>
      </w:r>
      <w:hyperlink r:id="rId25" w:tgtFrame="_new" w:history="1">
        <w:r w:rsidRPr="00951850">
          <w:rPr>
            <w:rStyle w:val="Hyperlink"/>
            <w:rFonts w:eastAsiaTheme="majorEastAsia"/>
            <w:sz w:val="20"/>
            <w:szCs w:val="20"/>
          </w:rPr>
          <w:t>https://cjp.org.in/does-the-state-have-the-right-to-disrupt-muslim-womans-right-to-education/</w:t>
        </w:r>
      </w:hyperlink>
      <w:r w:rsidRPr="00951850">
        <w:rPr>
          <w:sz w:val="20"/>
          <w:szCs w:val="20"/>
        </w:rPr>
        <w:t>.</w:t>
      </w:r>
    </w:p>
    <w:p w14:paraId="06876F76" w14:textId="211F45F4" w:rsidR="00FA786F" w:rsidRPr="00951850" w:rsidRDefault="00FA786F" w:rsidP="00EC4FD6">
      <w:pPr>
        <w:pStyle w:val="NormalWeb"/>
        <w:spacing w:before="0" w:beforeAutospacing="0" w:after="0" w:afterAutospacing="0"/>
        <w:rPr>
          <w:sz w:val="20"/>
          <w:szCs w:val="20"/>
        </w:rPr>
      </w:pPr>
      <w:r w:rsidRPr="00951850">
        <w:rPr>
          <w:sz w:val="20"/>
          <w:szCs w:val="20"/>
        </w:rPr>
        <w:t xml:space="preserve">²¹ People’s Democracy, </w:t>
      </w:r>
      <w:r w:rsidRPr="00951850">
        <w:rPr>
          <w:rStyle w:val="Emphasis"/>
          <w:rFonts w:eastAsiaTheme="majorEastAsia"/>
          <w:sz w:val="20"/>
          <w:szCs w:val="20"/>
        </w:rPr>
        <w:t>Protect Right to Education of Muslim Girls</w:t>
      </w:r>
      <w:r w:rsidRPr="00951850">
        <w:rPr>
          <w:sz w:val="20"/>
          <w:szCs w:val="20"/>
        </w:rPr>
        <w:t xml:space="preserve">, 2022. </w:t>
      </w:r>
      <w:hyperlink r:id="rId26" w:tgtFrame="_new" w:history="1">
        <w:r w:rsidRPr="00951850">
          <w:rPr>
            <w:rStyle w:val="Hyperlink"/>
            <w:rFonts w:eastAsiaTheme="majorEastAsia"/>
            <w:sz w:val="20"/>
            <w:szCs w:val="20"/>
          </w:rPr>
          <w:t>https://peoplesdemocracy.in/2022/0213_pd/protect-right-education-muslim-girls</w:t>
        </w:r>
      </w:hyperlink>
      <w:r w:rsidRPr="00951850">
        <w:rPr>
          <w:sz w:val="20"/>
          <w:szCs w:val="20"/>
        </w:rPr>
        <w:t>.</w:t>
      </w:r>
    </w:p>
    <w:p w14:paraId="7F0097B0" w14:textId="5C244D98" w:rsidR="00FA786F" w:rsidRPr="00951850" w:rsidRDefault="00FA786F" w:rsidP="00951850">
      <w:pPr>
        <w:pStyle w:val="NormalWeb"/>
        <w:spacing w:before="0" w:beforeAutospacing="0" w:after="0" w:afterAutospacing="0"/>
        <w:rPr>
          <w:sz w:val="20"/>
          <w:szCs w:val="20"/>
        </w:rPr>
      </w:pPr>
      <w:r w:rsidRPr="00951850">
        <w:rPr>
          <w:sz w:val="20"/>
          <w:szCs w:val="20"/>
        </w:rPr>
        <w:t xml:space="preserve">²² Sabrang India, </w:t>
      </w:r>
      <w:r w:rsidRPr="00951850">
        <w:rPr>
          <w:rStyle w:val="Emphasis"/>
          <w:rFonts w:eastAsiaTheme="majorEastAsia"/>
          <w:sz w:val="20"/>
          <w:szCs w:val="20"/>
        </w:rPr>
        <w:t>Nine Muslim students petition Bombay HC: Colleges’ ban on hijab violates fundamental rights</w:t>
      </w:r>
      <w:r w:rsidRPr="00951850">
        <w:rPr>
          <w:sz w:val="20"/>
          <w:szCs w:val="20"/>
        </w:rPr>
        <w:t xml:space="preserve">, 2022. </w:t>
      </w:r>
      <w:hyperlink r:id="rId27" w:tgtFrame="_new" w:history="1">
        <w:r w:rsidRPr="00951850">
          <w:rPr>
            <w:rStyle w:val="Hyperlink"/>
            <w:rFonts w:eastAsiaTheme="majorEastAsia"/>
            <w:sz w:val="20"/>
            <w:szCs w:val="20"/>
          </w:rPr>
          <w:t>https://sabrangindia.in/nine-muslim-students-petition-bombay-hc-colleges-ban-on-hijab-violates-fundamental-rights/</w:t>
        </w:r>
      </w:hyperlink>
      <w:r w:rsidRPr="00951850">
        <w:rPr>
          <w:sz w:val="20"/>
          <w:szCs w:val="20"/>
        </w:rPr>
        <w:t>.</w:t>
      </w:r>
    </w:p>
  </w:footnote>
  <w:footnote w:id="25">
    <w:p w14:paraId="2E152666" w14:textId="79B147E0" w:rsidR="000E0C07" w:rsidRPr="00951850" w:rsidRDefault="000E0C07" w:rsidP="00951850">
      <w:pPr>
        <w:pStyle w:val="NormalWeb"/>
        <w:spacing w:before="0" w:beforeAutospacing="0" w:after="0" w:afterAutospacing="0"/>
        <w:rPr>
          <w:sz w:val="20"/>
          <w:szCs w:val="20"/>
        </w:rPr>
      </w:pPr>
      <w:r w:rsidRPr="00951850">
        <w:rPr>
          <w:rStyle w:val="FootnoteReference"/>
          <w:sz w:val="20"/>
          <w:szCs w:val="20"/>
        </w:rPr>
        <w:footnoteRef/>
      </w:r>
      <w:r w:rsidRPr="00951850">
        <w:rPr>
          <w:sz w:val="20"/>
          <w:szCs w:val="20"/>
        </w:rPr>
        <w:t xml:space="preserve"> </w:t>
      </w:r>
      <w:r w:rsidRPr="00951850">
        <w:rPr>
          <w:sz w:val="20"/>
          <w:szCs w:val="20"/>
        </w:rPr>
        <w:t xml:space="preserve">NDTV, </w:t>
      </w:r>
      <w:r w:rsidRPr="00951850">
        <w:rPr>
          <w:i/>
          <w:iCs/>
          <w:sz w:val="20"/>
          <w:szCs w:val="20"/>
        </w:rPr>
        <w:t>UP Teacher Who Was Seen Asking Students To Slap Muslim Boy Says “Small Matter”</w:t>
      </w:r>
      <w:r w:rsidRPr="00951850">
        <w:rPr>
          <w:sz w:val="20"/>
          <w:szCs w:val="20"/>
        </w:rPr>
        <w:t xml:space="preserve">, 2023. </w:t>
      </w:r>
      <w:hyperlink r:id="rId28" w:tgtFrame="_new" w:history="1">
        <w:r w:rsidRPr="00951850">
          <w:rPr>
            <w:color w:val="0000FF"/>
            <w:sz w:val="20"/>
            <w:szCs w:val="20"/>
            <w:u w:val="single"/>
          </w:rPr>
          <w:t>https://www.ndtv.com/india-news/tripta-tyagi-muslim-student-slapped-up-school-muzaffarpur-small-matter-teacher-who-was-seen-asking-students-to-slap-muslim-boy-4331332</w:t>
        </w:r>
      </w:hyperlink>
      <w:r w:rsidRPr="00951850">
        <w:rPr>
          <w:sz w:val="20"/>
          <w:szCs w:val="20"/>
        </w:rPr>
        <w:t>.</w:t>
      </w:r>
    </w:p>
    <w:p w14:paraId="7C6EDFE2" w14:textId="77777777" w:rsidR="000E0C07" w:rsidRPr="000E0C07" w:rsidRDefault="002B1277" w:rsidP="000E0C07">
      <w:pPr>
        <w:spacing w:after="0" w:line="240" w:lineRule="auto"/>
        <w:rPr>
          <w:rFonts w:ascii="Times New Roman" w:eastAsia="Times New Roman" w:hAnsi="Times New Roman" w:cs="Times New Roman"/>
          <w:kern w:val="0"/>
          <w:sz w:val="20"/>
          <w:szCs w:val="20"/>
          <w:lang w:eastAsia="en-GB"/>
          <w14:ligatures w14:val="none"/>
        </w:rPr>
      </w:pPr>
      <w:r>
        <w:rPr>
          <w:rFonts w:ascii="Times New Roman" w:eastAsia="Times New Roman" w:hAnsi="Times New Roman" w:cs="Times New Roman"/>
          <w:noProof/>
          <w:kern w:val="0"/>
          <w:sz w:val="20"/>
          <w:szCs w:val="20"/>
          <w:lang w:eastAsia="en-GB"/>
        </w:rPr>
        <w:pict w14:anchorId="55F24C89">
          <v:rect id="_x0000_i1027" alt="" style="width:.45pt;height:.05pt;mso-width-percent:0;mso-height-percent:0;mso-width-percent:0;mso-height-percent:0" o:hrpct="1" o:hralign="center" o:hrstd="t" o:hr="t" fillcolor="#a0a0a0" stroked="f"/>
        </w:pict>
      </w:r>
    </w:p>
    <w:p w14:paraId="389523A0" w14:textId="448FD038" w:rsidR="000E0C07" w:rsidRPr="00951850" w:rsidRDefault="000E0C07">
      <w:pPr>
        <w:pStyle w:val="FootnoteText"/>
        <w:rPr>
          <w:rFonts w:ascii="Times New Roman" w:hAnsi="Times New Roman" w:cs="Times New Roman"/>
          <w:lang w:val="en-US"/>
        </w:rPr>
      </w:pPr>
    </w:p>
  </w:footnote>
  <w:footnote w:id="26">
    <w:p w14:paraId="0E68ECBF" w14:textId="47FC816E" w:rsidR="00DC558D" w:rsidRPr="00951850" w:rsidRDefault="00DC558D" w:rsidP="00EC4FD6">
      <w:pPr>
        <w:pStyle w:val="FootnoteText"/>
        <w:rPr>
          <w:rFonts w:ascii="Times New Roman" w:hAnsi="Times New Roman" w:cs="Times New Roman"/>
          <w:lang w:val="en-US"/>
        </w:rPr>
      </w:pPr>
      <w:r w:rsidRPr="00951850">
        <w:rPr>
          <w:rStyle w:val="FootnoteReference"/>
          <w:rFonts w:ascii="Times New Roman" w:hAnsi="Times New Roman" w:cs="Times New Roman"/>
        </w:rPr>
        <w:footnoteRef/>
      </w:r>
      <w:r w:rsidRPr="00951850">
        <w:rPr>
          <w:rFonts w:ascii="Times New Roman" w:hAnsi="Times New Roman" w:cs="Times New Roman"/>
        </w:rPr>
        <w:t xml:space="preserve"> </w:t>
      </w:r>
      <w:r w:rsidRPr="00951850">
        <w:rPr>
          <w:rFonts w:ascii="Times New Roman" w:hAnsi="Times New Roman" w:cs="Times New Roman"/>
        </w:rPr>
        <w:t xml:space="preserve">Manuvie, Ritumbra. </w:t>
      </w:r>
      <w:r w:rsidRPr="00951850">
        <w:rPr>
          <w:rStyle w:val="Emphasis"/>
          <w:rFonts w:ascii="Times New Roman" w:hAnsi="Times New Roman" w:cs="Times New Roman"/>
        </w:rPr>
        <w:t>Climate Migration Governance and the Discourse of Citizenship in India</w:t>
      </w:r>
      <w:r w:rsidRPr="00951850">
        <w:rPr>
          <w:rFonts w:ascii="Times New Roman" w:hAnsi="Times New Roman" w:cs="Times New Roman"/>
        </w:rPr>
        <w:t xml:space="preserve">. The Hague: T.M.C. Asser Press, 2023. </w:t>
      </w:r>
    </w:p>
  </w:footnote>
  <w:footnote w:id="27">
    <w:p w14:paraId="5DC36D11" w14:textId="5E2B75F7" w:rsidR="00C32DEC" w:rsidRPr="00951850" w:rsidRDefault="00C32DEC" w:rsidP="00EC4FD6">
      <w:pPr>
        <w:pStyle w:val="FootnoteText"/>
        <w:rPr>
          <w:rFonts w:ascii="Times New Roman" w:hAnsi="Times New Roman" w:cs="Times New Roman"/>
        </w:rPr>
      </w:pPr>
      <w:r w:rsidRPr="00951850">
        <w:rPr>
          <w:rStyle w:val="FootnoteReference"/>
          <w:rFonts w:ascii="Times New Roman" w:hAnsi="Times New Roman" w:cs="Times New Roman"/>
        </w:rPr>
        <w:footnoteRef/>
      </w:r>
      <w:r w:rsidRPr="00951850">
        <w:rPr>
          <w:rFonts w:ascii="Times New Roman" w:hAnsi="Times New Roman" w:cs="Times New Roman"/>
        </w:rPr>
        <w:t xml:space="preserve"> </w:t>
      </w:r>
      <w:r w:rsidR="002255EB" w:rsidRPr="00951850">
        <w:rPr>
          <w:rFonts w:ascii="Times New Roman" w:hAnsi="Times New Roman" w:cs="Times New Roman"/>
        </w:rPr>
        <w:t xml:space="preserve">TRT World, </w:t>
      </w:r>
      <w:r w:rsidR="002255EB" w:rsidRPr="00951850">
        <w:rPr>
          <w:rFonts w:ascii="Times New Roman" w:hAnsi="Times New Roman" w:cs="Times New Roman"/>
          <w:i/>
          <w:iCs/>
        </w:rPr>
        <w:t>India’s eviction drive leaves thousands of Bengali-origin Muslims homeless in Assam</w:t>
      </w:r>
      <w:r w:rsidR="002255EB" w:rsidRPr="00951850">
        <w:rPr>
          <w:rFonts w:ascii="Times New Roman" w:hAnsi="Times New Roman" w:cs="Times New Roman"/>
        </w:rPr>
        <w:t xml:space="preserve">, 2025. </w:t>
      </w:r>
      <w:hyperlink r:id="rId29" w:tgtFrame="_new" w:history="1">
        <w:r w:rsidR="002255EB" w:rsidRPr="00951850">
          <w:rPr>
            <w:rStyle w:val="Hyperlink"/>
            <w:rFonts w:ascii="Times New Roman" w:hAnsi="Times New Roman" w:cs="Times New Roman"/>
          </w:rPr>
          <w:t>https://www.trtworld.com/article/b629e9e56e88</w:t>
        </w:r>
      </w:hyperlink>
      <w:r w:rsidR="002255EB" w:rsidRPr="00951850">
        <w:rPr>
          <w:rFonts w:ascii="Times New Roman" w:hAnsi="Times New Roman" w:cs="Times New Roman"/>
        </w:rPr>
        <w:t>.</w:t>
      </w:r>
    </w:p>
  </w:footnote>
  <w:footnote w:id="28">
    <w:p w14:paraId="3C6E0415" w14:textId="7805F0BA" w:rsidR="00C32DEC" w:rsidRPr="00951850" w:rsidRDefault="00C32DEC" w:rsidP="00EC4FD6">
      <w:pPr>
        <w:pStyle w:val="FootnoteText"/>
        <w:rPr>
          <w:rFonts w:ascii="Times New Roman" w:hAnsi="Times New Roman" w:cs="Times New Roman"/>
          <w:lang w:val="en-US"/>
        </w:rPr>
      </w:pPr>
      <w:r w:rsidRPr="00951850">
        <w:rPr>
          <w:rStyle w:val="FootnoteReference"/>
          <w:rFonts w:ascii="Times New Roman" w:hAnsi="Times New Roman" w:cs="Times New Roman"/>
        </w:rPr>
        <w:footnoteRef/>
      </w:r>
      <w:r w:rsidRPr="00951850">
        <w:rPr>
          <w:rFonts w:ascii="Times New Roman" w:hAnsi="Times New Roman" w:cs="Times New Roman"/>
        </w:rPr>
        <w:t xml:space="preserve"> </w:t>
      </w:r>
      <w:r w:rsidR="002255EB" w:rsidRPr="00951850">
        <w:rPr>
          <w:rFonts w:ascii="Times New Roman" w:hAnsi="Times New Roman" w:cs="Times New Roman"/>
        </w:rPr>
        <w:t xml:space="preserve">Manuvie, Ritumbra. </w:t>
      </w:r>
      <w:r w:rsidR="002255EB" w:rsidRPr="00951850">
        <w:rPr>
          <w:rStyle w:val="Emphasis"/>
          <w:rFonts w:ascii="Times New Roman" w:hAnsi="Times New Roman" w:cs="Times New Roman"/>
        </w:rPr>
        <w:t>Climate Migration Governance and the Discourse of Citizenship in India</w:t>
      </w:r>
      <w:r w:rsidR="002255EB" w:rsidRPr="00951850">
        <w:rPr>
          <w:rFonts w:ascii="Times New Roman" w:hAnsi="Times New Roman" w:cs="Times New Roman"/>
        </w:rPr>
        <w:t xml:space="preserve">. The Hague: T.M.C. Asser Press, 2023. </w:t>
      </w:r>
    </w:p>
  </w:footnote>
  <w:footnote w:id="29">
    <w:p w14:paraId="59697DBB" w14:textId="7B56E312" w:rsidR="00BB4145" w:rsidRPr="00951850" w:rsidRDefault="00BB4145" w:rsidP="00EC4FD6">
      <w:pPr>
        <w:pStyle w:val="FootnoteText"/>
        <w:rPr>
          <w:rFonts w:ascii="Times New Roman" w:hAnsi="Times New Roman" w:cs="Times New Roman"/>
        </w:rPr>
      </w:pPr>
      <w:r w:rsidRPr="00951850">
        <w:rPr>
          <w:rStyle w:val="FootnoteReference"/>
          <w:rFonts w:ascii="Times New Roman" w:hAnsi="Times New Roman" w:cs="Times New Roman"/>
        </w:rPr>
        <w:footnoteRef/>
      </w:r>
      <w:r w:rsidRPr="00951850">
        <w:rPr>
          <w:rFonts w:ascii="Times New Roman" w:hAnsi="Times New Roman" w:cs="Times New Roman"/>
        </w:rPr>
        <w:t xml:space="preserve"> </w:t>
      </w:r>
      <w:r w:rsidRPr="00951850">
        <w:rPr>
          <w:rFonts w:ascii="Times New Roman" w:hAnsi="Times New Roman" w:cs="Times New Roman"/>
        </w:rPr>
        <w:t>Ibid p 162</w:t>
      </w:r>
    </w:p>
  </w:footnote>
  <w:footnote w:id="30">
    <w:p w14:paraId="0D722D8A" w14:textId="47CB5292" w:rsidR="00167C8C" w:rsidRPr="0062536B" w:rsidRDefault="00167C8C" w:rsidP="00EC4FD6">
      <w:pPr>
        <w:pStyle w:val="FootnoteText"/>
        <w:rPr>
          <w:rFonts w:ascii="Times New Roman" w:hAnsi="Times New Roman" w:cs="Times New Roman"/>
        </w:rPr>
      </w:pPr>
      <w:r w:rsidRPr="00951850">
        <w:rPr>
          <w:rStyle w:val="FootnoteReference"/>
          <w:rFonts w:ascii="Times New Roman" w:hAnsi="Times New Roman" w:cs="Times New Roman"/>
        </w:rPr>
        <w:footnoteRef/>
      </w:r>
      <w:r w:rsidRPr="00951850">
        <w:rPr>
          <w:rFonts w:ascii="Times New Roman" w:hAnsi="Times New Roman" w:cs="Times New Roman"/>
        </w:rPr>
        <w:t xml:space="preserve"> </w:t>
      </w:r>
      <w:r w:rsidRPr="00951850">
        <w:rPr>
          <w:rFonts w:ascii="Times New Roman" w:hAnsi="Times New Roman" w:cs="Times New Roman"/>
        </w:rPr>
        <w:t xml:space="preserve">The Hindu, </w:t>
      </w:r>
      <w:r w:rsidRPr="00951850">
        <w:rPr>
          <w:rStyle w:val="Emphasis"/>
          <w:rFonts w:ascii="Times New Roman" w:hAnsi="Times New Roman" w:cs="Times New Roman"/>
        </w:rPr>
        <w:t>309 families evicted from Assam grazing reserve</w:t>
      </w:r>
      <w:r w:rsidRPr="00951850">
        <w:rPr>
          <w:rFonts w:ascii="Times New Roman" w:hAnsi="Times New Roman" w:cs="Times New Roman"/>
        </w:rPr>
        <w:t xml:space="preserve">, 2025. </w:t>
      </w:r>
      <w:hyperlink r:id="rId30" w:tgtFrame="_new" w:history="1">
        <w:r w:rsidRPr="00951850">
          <w:rPr>
            <w:rStyle w:val="Hyperlink"/>
            <w:rFonts w:ascii="Times New Roman" w:hAnsi="Times New Roman" w:cs="Times New Roman"/>
          </w:rPr>
          <w:t>https://www.thehindu.com/news/national/assam/309-families-evicted-from-assam-grazing-reserve/article69943982.ece</w:t>
        </w:r>
      </w:hyperlink>
      <w:r w:rsidRPr="00951850">
        <w:rPr>
          <w:rFonts w:ascii="Times New Roman" w:hAnsi="Times New Roman" w:cs="Times New Roman"/>
        </w:rPr>
        <w:t>.</w:t>
      </w:r>
    </w:p>
  </w:footnote>
  <w:footnote w:id="31">
    <w:p w14:paraId="4BFB02ED" w14:textId="44597725" w:rsidR="003647EE" w:rsidRPr="00951850" w:rsidRDefault="00167C8C" w:rsidP="00EC4FD6">
      <w:pPr>
        <w:pStyle w:val="NormalWeb"/>
        <w:spacing w:before="0" w:beforeAutospacing="0" w:after="0" w:afterAutospacing="0"/>
        <w:rPr>
          <w:sz w:val="20"/>
          <w:szCs w:val="20"/>
        </w:rPr>
      </w:pPr>
      <w:r w:rsidRPr="00951850">
        <w:rPr>
          <w:rStyle w:val="FootnoteReference"/>
          <w:sz w:val="20"/>
          <w:szCs w:val="20"/>
        </w:rPr>
        <w:footnoteRef/>
      </w:r>
      <w:r w:rsidRPr="00951850">
        <w:rPr>
          <w:sz w:val="20"/>
          <w:szCs w:val="20"/>
        </w:rPr>
        <w:t xml:space="preserve"> </w:t>
      </w:r>
      <w:r w:rsidR="003647EE" w:rsidRPr="00951850">
        <w:rPr>
          <w:sz w:val="20"/>
          <w:szCs w:val="20"/>
        </w:rPr>
        <w:t xml:space="preserve">The Hindu, </w:t>
      </w:r>
      <w:r w:rsidR="003647EE" w:rsidRPr="00951850">
        <w:rPr>
          <w:rStyle w:val="Emphasis"/>
          <w:rFonts w:eastAsiaTheme="majorEastAsia"/>
          <w:sz w:val="20"/>
          <w:szCs w:val="20"/>
        </w:rPr>
        <w:t>Assam begins eviction drive to clear encroached forest land on Nagaland boundary</w:t>
      </w:r>
      <w:r w:rsidR="003647EE" w:rsidRPr="00951850">
        <w:rPr>
          <w:sz w:val="20"/>
          <w:szCs w:val="20"/>
        </w:rPr>
        <w:t xml:space="preserve">, 2025. </w:t>
      </w:r>
      <w:hyperlink r:id="rId31" w:tgtFrame="_new" w:history="1">
        <w:r w:rsidR="003647EE" w:rsidRPr="00951850">
          <w:rPr>
            <w:rStyle w:val="Hyperlink"/>
            <w:rFonts w:eastAsiaTheme="majorEastAsia"/>
            <w:sz w:val="20"/>
            <w:szCs w:val="20"/>
          </w:rPr>
          <w:t>https://www.thehindu.com/news/national/assam/assam-begins-eviction-drive-to-clear-encroached-forest-land-on-nagaland-boundary/article69869946.ece</w:t>
        </w:r>
      </w:hyperlink>
      <w:r w:rsidR="003647EE" w:rsidRPr="00951850">
        <w:rPr>
          <w:sz w:val="20"/>
          <w:szCs w:val="20"/>
        </w:rPr>
        <w:t>.</w:t>
      </w:r>
    </w:p>
    <w:p w14:paraId="3647EF83" w14:textId="77AC0A5F" w:rsidR="00167C8C" w:rsidRPr="00951850" w:rsidRDefault="00167C8C" w:rsidP="00EC4FD6">
      <w:pPr>
        <w:pStyle w:val="FootnoteText"/>
        <w:rPr>
          <w:rFonts w:ascii="Times New Roman" w:hAnsi="Times New Roman" w:cs="Times New Roman"/>
        </w:rPr>
      </w:pPr>
    </w:p>
  </w:footnote>
  <w:footnote w:id="32">
    <w:p w14:paraId="4C100815" w14:textId="373CAE4B" w:rsidR="00F36904" w:rsidRPr="0062536B" w:rsidRDefault="00F36904" w:rsidP="00EC4FD6">
      <w:pPr>
        <w:pStyle w:val="FootnoteText"/>
        <w:rPr>
          <w:rFonts w:ascii="Times New Roman" w:hAnsi="Times New Roman" w:cs="Times New Roman"/>
        </w:rPr>
      </w:pPr>
      <w:r w:rsidRPr="00951850">
        <w:rPr>
          <w:rStyle w:val="FootnoteReference"/>
          <w:rFonts w:ascii="Times New Roman" w:hAnsi="Times New Roman" w:cs="Times New Roman"/>
        </w:rPr>
        <w:footnoteRef/>
      </w:r>
      <w:r w:rsidRPr="00951850">
        <w:rPr>
          <w:rFonts w:ascii="Times New Roman" w:hAnsi="Times New Roman" w:cs="Times New Roman"/>
        </w:rPr>
        <w:t xml:space="preserve"> </w:t>
      </w:r>
      <w:r w:rsidR="000D2793" w:rsidRPr="00951850">
        <w:rPr>
          <w:rFonts w:ascii="Times New Roman" w:hAnsi="Times New Roman" w:cs="Times New Roman"/>
        </w:rPr>
        <w:t xml:space="preserve">India Tomorrow, </w:t>
      </w:r>
      <w:r w:rsidR="000D2793" w:rsidRPr="00951850">
        <w:rPr>
          <w:rStyle w:val="Emphasis"/>
          <w:rFonts w:ascii="Times New Roman" w:hAnsi="Times New Roman" w:cs="Times New Roman"/>
        </w:rPr>
        <w:t>Socialist Party of India’s fact-finding reveals ethnic cleansing in Assam with eviction of Bengali-speaking Muslims</w:t>
      </w:r>
      <w:r w:rsidR="000D2793" w:rsidRPr="00951850">
        <w:rPr>
          <w:rFonts w:ascii="Times New Roman" w:hAnsi="Times New Roman" w:cs="Times New Roman"/>
        </w:rPr>
        <w:t xml:space="preserve">, 2025. </w:t>
      </w:r>
      <w:hyperlink r:id="rId32" w:tgtFrame="_new" w:history="1">
        <w:r w:rsidR="000D2793" w:rsidRPr="00951850">
          <w:rPr>
            <w:rStyle w:val="Hyperlink"/>
            <w:rFonts w:ascii="Times New Roman" w:hAnsi="Times New Roman" w:cs="Times New Roman"/>
          </w:rPr>
          <w:t>https://indiatomorrow.net/2025/09/21/socialist-party-of-indias-fact-finding-reveals-ethnic-cleansing-in-assam-with-eviction-of-bengali-speaking-muslims/</w:t>
        </w:r>
      </w:hyperlink>
    </w:p>
  </w:footnote>
  <w:footnote w:id="33">
    <w:p w14:paraId="1F6B274A" w14:textId="094A12DF" w:rsidR="000F794C" w:rsidRPr="00951850" w:rsidRDefault="000F794C" w:rsidP="00EC4FD6">
      <w:pPr>
        <w:pStyle w:val="FootnoteText"/>
        <w:rPr>
          <w:rFonts w:ascii="Times New Roman" w:hAnsi="Times New Roman" w:cs="Times New Roman"/>
          <w:lang w:val="en-US"/>
        </w:rPr>
      </w:pPr>
      <w:r w:rsidRPr="00951850">
        <w:rPr>
          <w:rStyle w:val="FootnoteReference"/>
          <w:rFonts w:ascii="Times New Roman" w:hAnsi="Times New Roman" w:cs="Times New Roman"/>
        </w:rPr>
        <w:footnoteRef/>
      </w:r>
      <w:r w:rsidRPr="00951850">
        <w:rPr>
          <w:rFonts w:ascii="Times New Roman" w:hAnsi="Times New Roman" w:cs="Times New Roman"/>
        </w:rPr>
        <w:t xml:space="preserve"> </w:t>
      </w:r>
      <w:r w:rsidRPr="00951850">
        <w:rPr>
          <w:rFonts w:ascii="Times New Roman" w:hAnsi="Times New Roman" w:cs="Times New Roman"/>
        </w:rPr>
        <w:t>J</w:t>
      </w:r>
      <w:r w:rsidRPr="00951850">
        <w:rPr>
          <w:rStyle w:val="Emphasis"/>
          <w:rFonts w:ascii="Times New Roman" w:hAnsi="Times New Roman" w:cs="Times New Roman"/>
        </w:rPr>
        <w:t>ournal of Innovation in Social Science, Economics and Management</w:t>
      </w:r>
      <w:r w:rsidRPr="00951850">
        <w:rPr>
          <w:rFonts w:ascii="Times New Roman" w:hAnsi="Times New Roman" w:cs="Times New Roman"/>
        </w:rPr>
        <w:t xml:space="preserve"> (JISEM), </w:t>
      </w:r>
      <w:r w:rsidRPr="00951850">
        <w:rPr>
          <w:rStyle w:val="Emphasis"/>
          <w:rFonts w:ascii="Times New Roman" w:hAnsi="Times New Roman" w:cs="Times New Roman"/>
        </w:rPr>
        <w:t>Displacement and Evictions in Assam: A Socio-Legal Analysis</w:t>
      </w:r>
      <w:r w:rsidRPr="00951850">
        <w:rPr>
          <w:rFonts w:ascii="Times New Roman" w:hAnsi="Times New Roman" w:cs="Times New Roman"/>
        </w:rPr>
        <w:t xml:space="preserve">, Vol. 5, 2021. </w:t>
      </w:r>
      <w:hyperlink r:id="rId33" w:tgtFrame="_new" w:history="1">
        <w:r w:rsidRPr="00951850">
          <w:rPr>
            <w:rStyle w:val="Hyperlink"/>
            <w:rFonts w:ascii="Times New Roman" w:hAnsi="Times New Roman" w:cs="Times New Roman"/>
          </w:rPr>
          <w:t>https://www.jisem-journal.com/download/05_Journal_ARDA_1044.pdf</w:t>
        </w:r>
      </w:hyperlink>
      <w:r w:rsidRPr="00951850">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529AA" w14:textId="1CF31C06" w:rsidR="0062536B" w:rsidRPr="005E3F01" w:rsidRDefault="0062536B" w:rsidP="0062536B">
    <w:pPr>
      <w:spacing w:after="0" w:line="240" w:lineRule="auto"/>
      <w:rPr>
        <w:rFonts w:ascii="Times New Roman" w:eastAsia="Times New Roman" w:hAnsi="Times New Roman" w:cs="Times New Roman"/>
        <w:kern w:val="0"/>
        <w:lang w:eastAsia="en-GB"/>
        <w14:ligatures w14:val="none"/>
      </w:rPr>
    </w:pPr>
    <w:r w:rsidRPr="005E3F01">
      <w:rPr>
        <w:rFonts w:ascii="Times New Roman" w:eastAsia="Times New Roman" w:hAnsi="Times New Roman" w:cs="Times New Roman"/>
        <w:b/>
        <w:bCs/>
        <w:kern w:val="0"/>
        <w:lang w:eastAsia="en-GB"/>
        <w14:ligatures w14:val="none"/>
      </w:rPr>
      <w:t xml:space="preserve">Written Submission by Diaspora in Action for Human Rights and Democracy </w:t>
    </w:r>
    <w:r>
      <w:rPr>
        <w:rFonts w:ascii="Times New Roman" w:eastAsia="Times New Roman" w:hAnsi="Times New Roman" w:cs="Times New Roman"/>
        <w:b/>
        <w:bCs/>
        <w:kern w:val="0"/>
        <w:lang w:eastAsia="en-GB"/>
        <w14:ligatures w14:val="none"/>
      </w:rPr>
      <w:t>to the CEDAW</w:t>
    </w:r>
  </w:p>
  <w:p w14:paraId="787C41F6" w14:textId="77777777" w:rsidR="0062536B" w:rsidRPr="005E3F01" w:rsidRDefault="0062536B" w:rsidP="0062536B">
    <w:pPr>
      <w:spacing w:after="0" w:line="240" w:lineRule="auto"/>
      <w:rPr>
        <w:rFonts w:ascii="Times New Roman" w:eastAsia="Times New Roman" w:hAnsi="Times New Roman" w:cs="Times New Roman"/>
        <w:kern w:val="0"/>
        <w:lang w:eastAsia="en-GB"/>
        <w14:ligatures w14:val="none"/>
      </w:rPr>
    </w:pPr>
    <w:r w:rsidRPr="005E3F01">
      <w:rPr>
        <w:rFonts w:ascii="Times New Roman" w:eastAsia="Times New Roman" w:hAnsi="Times New Roman" w:cs="Times New Roman"/>
        <w:b/>
        <w:bCs/>
        <w:kern w:val="0"/>
        <w:lang w:eastAsia="en-GB"/>
        <w14:ligatures w14:val="none"/>
      </w:rPr>
      <w:t>Concerning: India</w:t>
    </w:r>
  </w:p>
  <w:p w14:paraId="51FB6716" w14:textId="43A0289E" w:rsidR="0062536B" w:rsidRPr="005E3F01" w:rsidRDefault="0062536B" w:rsidP="0062536B">
    <w:pPr>
      <w:spacing w:after="0" w:line="240" w:lineRule="auto"/>
      <w:rPr>
        <w:rFonts w:ascii="Times New Roman" w:eastAsia="Times New Roman" w:hAnsi="Times New Roman" w:cs="Times New Roman"/>
        <w:kern w:val="0"/>
        <w:lang w:eastAsia="en-GB"/>
        <w14:ligatures w14:val="none"/>
      </w:rPr>
    </w:pPr>
    <w:r w:rsidRPr="005E3F01">
      <w:rPr>
        <w:rFonts w:ascii="Times New Roman" w:eastAsia="Times New Roman" w:hAnsi="Times New Roman" w:cs="Times New Roman"/>
        <w:b/>
        <w:bCs/>
        <w:kern w:val="0"/>
        <w:lang w:eastAsia="en-GB"/>
        <w14:ligatures w14:val="none"/>
      </w:rPr>
      <w:t>94th Pre-sessional Working Group (27–31 October 2025</w:t>
    </w:r>
    <w:r>
      <w:rPr>
        <w:rFonts w:ascii="Times New Roman" w:eastAsia="Times New Roman" w:hAnsi="Times New Roman" w:cs="Times New Roman"/>
        <w:b/>
        <w:bCs/>
        <w:kern w:val="0"/>
        <w:lang w:eastAsia="en-GB"/>
        <w14:ligatures w14:val="none"/>
      </w:rPr>
      <w:t>)</w:t>
    </w:r>
  </w:p>
  <w:p w14:paraId="62F99AEC" w14:textId="513089DD" w:rsidR="0062536B" w:rsidRDefault="0062536B">
    <w:pPr>
      <w:pStyle w:val="Header"/>
    </w:pPr>
  </w:p>
  <w:p w14:paraId="18D60529" w14:textId="77777777" w:rsidR="0062536B" w:rsidRDefault="006253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74913"/>
    <w:multiLevelType w:val="multilevel"/>
    <w:tmpl w:val="6A1EA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166A40"/>
    <w:multiLevelType w:val="multilevel"/>
    <w:tmpl w:val="C296AB3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4169BF"/>
    <w:multiLevelType w:val="multilevel"/>
    <w:tmpl w:val="3C5C1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714A34"/>
    <w:multiLevelType w:val="multilevel"/>
    <w:tmpl w:val="E82A463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3B045D"/>
    <w:multiLevelType w:val="multilevel"/>
    <w:tmpl w:val="254A1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6720F1"/>
    <w:multiLevelType w:val="multilevel"/>
    <w:tmpl w:val="E828C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9B492B"/>
    <w:multiLevelType w:val="multilevel"/>
    <w:tmpl w:val="99CA6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A36231"/>
    <w:multiLevelType w:val="multilevel"/>
    <w:tmpl w:val="66A8B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2A2762"/>
    <w:multiLevelType w:val="multilevel"/>
    <w:tmpl w:val="318C3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4357CD"/>
    <w:multiLevelType w:val="multilevel"/>
    <w:tmpl w:val="4F4A2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EE3711"/>
    <w:multiLevelType w:val="multilevel"/>
    <w:tmpl w:val="A41AF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AA528D"/>
    <w:multiLevelType w:val="multilevel"/>
    <w:tmpl w:val="59D82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B20A66"/>
    <w:multiLevelType w:val="multilevel"/>
    <w:tmpl w:val="2A52D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842ED3"/>
    <w:multiLevelType w:val="multilevel"/>
    <w:tmpl w:val="2CEE3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406584"/>
    <w:multiLevelType w:val="multilevel"/>
    <w:tmpl w:val="8640B44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3953304"/>
    <w:multiLevelType w:val="multilevel"/>
    <w:tmpl w:val="C9EE4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3828B8"/>
    <w:multiLevelType w:val="multilevel"/>
    <w:tmpl w:val="97F64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5E4285"/>
    <w:multiLevelType w:val="multilevel"/>
    <w:tmpl w:val="6D62E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7A2376"/>
    <w:multiLevelType w:val="multilevel"/>
    <w:tmpl w:val="5E545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762504"/>
    <w:multiLevelType w:val="multilevel"/>
    <w:tmpl w:val="181E9AD2"/>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1BD61E9"/>
    <w:multiLevelType w:val="multilevel"/>
    <w:tmpl w:val="F1A03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9F440F"/>
    <w:multiLevelType w:val="multilevel"/>
    <w:tmpl w:val="8F4CEE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7BD7B6B"/>
    <w:multiLevelType w:val="multilevel"/>
    <w:tmpl w:val="08888C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DDD0CB9"/>
    <w:multiLevelType w:val="multilevel"/>
    <w:tmpl w:val="83FE4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303749"/>
    <w:multiLevelType w:val="multilevel"/>
    <w:tmpl w:val="5298F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AA768D"/>
    <w:multiLevelType w:val="multilevel"/>
    <w:tmpl w:val="A52C1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2B2E1C"/>
    <w:multiLevelType w:val="multilevel"/>
    <w:tmpl w:val="60120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9864B8"/>
    <w:multiLevelType w:val="multilevel"/>
    <w:tmpl w:val="6F64BF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FE301F8"/>
    <w:multiLevelType w:val="multilevel"/>
    <w:tmpl w:val="4EDA7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4145417">
    <w:abstractNumId w:val="26"/>
  </w:num>
  <w:num w:numId="2" w16cid:durableId="782266123">
    <w:abstractNumId w:val="0"/>
  </w:num>
  <w:num w:numId="3" w16cid:durableId="1954748608">
    <w:abstractNumId w:val="11"/>
  </w:num>
  <w:num w:numId="4" w16cid:durableId="1551454285">
    <w:abstractNumId w:val="4"/>
  </w:num>
  <w:num w:numId="5" w16cid:durableId="363285120">
    <w:abstractNumId w:val="20"/>
  </w:num>
  <w:num w:numId="6" w16cid:durableId="768234050">
    <w:abstractNumId w:val="16"/>
  </w:num>
  <w:num w:numId="7" w16cid:durableId="35083246">
    <w:abstractNumId w:val="24"/>
  </w:num>
  <w:num w:numId="8" w16cid:durableId="305399629">
    <w:abstractNumId w:val="5"/>
  </w:num>
  <w:num w:numId="9" w16cid:durableId="1678343044">
    <w:abstractNumId w:val="13"/>
  </w:num>
  <w:num w:numId="10" w16cid:durableId="777456465">
    <w:abstractNumId w:val="22"/>
  </w:num>
  <w:num w:numId="11" w16cid:durableId="1033925293">
    <w:abstractNumId w:val="9"/>
  </w:num>
  <w:num w:numId="12" w16cid:durableId="1381519164">
    <w:abstractNumId w:val="8"/>
  </w:num>
  <w:num w:numId="13" w16cid:durableId="1879735323">
    <w:abstractNumId w:val="21"/>
  </w:num>
  <w:num w:numId="14" w16cid:durableId="1629701744">
    <w:abstractNumId w:val="25"/>
  </w:num>
  <w:num w:numId="15" w16cid:durableId="1049720454">
    <w:abstractNumId w:val="27"/>
  </w:num>
  <w:num w:numId="16" w16cid:durableId="219366191">
    <w:abstractNumId w:val="7"/>
  </w:num>
  <w:num w:numId="17" w16cid:durableId="159395331">
    <w:abstractNumId w:val="1"/>
  </w:num>
  <w:num w:numId="18" w16cid:durableId="1851873532">
    <w:abstractNumId w:val="15"/>
  </w:num>
  <w:num w:numId="19" w16cid:durableId="2711420">
    <w:abstractNumId w:val="3"/>
  </w:num>
  <w:num w:numId="20" w16cid:durableId="332268085">
    <w:abstractNumId w:val="17"/>
  </w:num>
  <w:num w:numId="21" w16cid:durableId="1686319760">
    <w:abstractNumId w:val="14"/>
  </w:num>
  <w:num w:numId="22" w16cid:durableId="1195927724">
    <w:abstractNumId w:val="23"/>
  </w:num>
  <w:num w:numId="23" w16cid:durableId="1296595655">
    <w:abstractNumId w:val="18"/>
  </w:num>
  <w:num w:numId="24" w16cid:durableId="1090661376">
    <w:abstractNumId w:val="28"/>
  </w:num>
  <w:num w:numId="25" w16cid:durableId="1299263681">
    <w:abstractNumId w:val="12"/>
  </w:num>
  <w:num w:numId="26" w16cid:durableId="1462189748">
    <w:abstractNumId w:val="6"/>
  </w:num>
  <w:num w:numId="27" w16cid:durableId="2080783147">
    <w:abstractNumId w:val="10"/>
  </w:num>
  <w:num w:numId="28" w16cid:durableId="1284271881">
    <w:abstractNumId w:val="2"/>
  </w:num>
  <w:num w:numId="29" w16cid:durableId="53558379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AC5"/>
    <w:rsid w:val="000D2793"/>
    <w:rsid w:val="000E0C07"/>
    <w:rsid w:val="000F794C"/>
    <w:rsid w:val="00167C8C"/>
    <w:rsid w:val="00173A3C"/>
    <w:rsid w:val="00196AFE"/>
    <w:rsid w:val="001D4ECA"/>
    <w:rsid w:val="001D7BE0"/>
    <w:rsid w:val="001E4450"/>
    <w:rsid w:val="001F54F5"/>
    <w:rsid w:val="001F7298"/>
    <w:rsid w:val="002255EB"/>
    <w:rsid w:val="00260642"/>
    <w:rsid w:val="00263389"/>
    <w:rsid w:val="00294784"/>
    <w:rsid w:val="002B1277"/>
    <w:rsid w:val="002E3871"/>
    <w:rsid w:val="002E744C"/>
    <w:rsid w:val="00355F97"/>
    <w:rsid w:val="003647EE"/>
    <w:rsid w:val="00371338"/>
    <w:rsid w:val="003C40B6"/>
    <w:rsid w:val="00431C87"/>
    <w:rsid w:val="004730F4"/>
    <w:rsid w:val="004838C8"/>
    <w:rsid w:val="004D6E65"/>
    <w:rsid w:val="00527834"/>
    <w:rsid w:val="005763DA"/>
    <w:rsid w:val="005817DA"/>
    <w:rsid w:val="00587D7A"/>
    <w:rsid w:val="005C59D7"/>
    <w:rsid w:val="005D6FB7"/>
    <w:rsid w:val="005E251E"/>
    <w:rsid w:val="005E31BE"/>
    <w:rsid w:val="005E3F01"/>
    <w:rsid w:val="006235BB"/>
    <w:rsid w:val="0062536B"/>
    <w:rsid w:val="00653CC9"/>
    <w:rsid w:val="00663141"/>
    <w:rsid w:val="00665771"/>
    <w:rsid w:val="0068468A"/>
    <w:rsid w:val="006D7D09"/>
    <w:rsid w:val="006E1456"/>
    <w:rsid w:val="006F2551"/>
    <w:rsid w:val="00735C46"/>
    <w:rsid w:val="00747561"/>
    <w:rsid w:val="00767E2C"/>
    <w:rsid w:val="00782AC5"/>
    <w:rsid w:val="00831E49"/>
    <w:rsid w:val="00835339"/>
    <w:rsid w:val="00844CA8"/>
    <w:rsid w:val="00851F98"/>
    <w:rsid w:val="008617E8"/>
    <w:rsid w:val="0088261E"/>
    <w:rsid w:val="008966AE"/>
    <w:rsid w:val="00902C2B"/>
    <w:rsid w:val="00917456"/>
    <w:rsid w:val="00951850"/>
    <w:rsid w:val="0096513F"/>
    <w:rsid w:val="00977F25"/>
    <w:rsid w:val="0098397B"/>
    <w:rsid w:val="00984EBE"/>
    <w:rsid w:val="009A3302"/>
    <w:rsid w:val="00A01F8F"/>
    <w:rsid w:val="00A2584D"/>
    <w:rsid w:val="00A60397"/>
    <w:rsid w:val="00A659E6"/>
    <w:rsid w:val="00A81C85"/>
    <w:rsid w:val="00B11943"/>
    <w:rsid w:val="00B35909"/>
    <w:rsid w:val="00B94D57"/>
    <w:rsid w:val="00BB4145"/>
    <w:rsid w:val="00C111B5"/>
    <w:rsid w:val="00C312B3"/>
    <w:rsid w:val="00C32DEC"/>
    <w:rsid w:val="00C3589D"/>
    <w:rsid w:val="00C47300"/>
    <w:rsid w:val="00D20FE5"/>
    <w:rsid w:val="00D43275"/>
    <w:rsid w:val="00D771C1"/>
    <w:rsid w:val="00DC558D"/>
    <w:rsid w:val="00E109A8"/>
    <w:rsid w:val="00E172DD"/>
    <w:rsid w:val="00E609F8"/>
    <w:rsid w:val="00E73ED4"/>
    <w:rsid w:val="00EB4D68"/>
    <w:rsid w:val="00EC4FD6"/>
    <w:rsid w:val="00EF5B69"/>
    <w:rsid w:val="00F07CF3"/>
    <w:rsid w:val="00F36904"/>
    <w:rsid w:val="00F65071"/>
    <w:rsid w:val="00FA786F"/>
    <w:rsid w:val="00FA7A14"/>
    <w:rsid w:val="00FB0628"/>
    <w:rsid w:val="00FF3D50"/>
  </w:rsids>
  <m:mathPr>
    <m:mathFont m:val="Cambria Math"/>
    <m:brkBin m:val="before"/>
    <m:brkBinSub m:val="--"/>
    <m:smallFrac m:val="0"/>
    <m:dispDef/>
    <m:lMargin m:val="0"/>
    <m:rMargin m:val="0"/>
    <m:defJc m:val="centerGroup"/>
    <m:wrapIndent m:val="1440"/>
    <m:intLim m:val="subSup"/>
    <m:naryLim m:val="undOvr"/>
  </m:mathPr>
  <w:themeFontLang w:val="en-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F4E26F"/>
  <w15:chartTrackingRefBased/>
  <w15:docId w15:val="{FBB865E1-C8E2-9443-9036-ED176826D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2A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82A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82A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2A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2A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2A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2A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2A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2A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2A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82A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82A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2A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2A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2A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2A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2A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2AC5"/>
    <w:rPr>
      <w:rFonts w:eastAsiaTheme="majorEastAsia" w:cstheme="majorBidi"/>
      <w:color w:val="272727" w:themeColor="text1" w:themeTint="D8"/>
    </w:rPr>
  </w:style>
  <w:style w:type="paragraph" w:styleId="Title">
    <w:name w:val="Title"/>
    <w:basedOn w:val="Normal"/>
    <w:next w:val="Normal"/>
    <w:link w:val="TitleChar"/>
    <w:uiPriority w:val="10"/>
    <w:qFormat/>
    <w:rsid w:val="00782A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2A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2A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2A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2AC5"/>
    <w:pPr>
      <w:spacing w:before="160"/>
      <w:jc w:val="center"/>
    </w:pPr>
    <w:rPr>
      <w:i/>
      <w:iCs/>
      <w:color w:val="404040" w:themeColor="text1" w:themeTint="BF"/>
    </w:rPr>
  </w:style>
  <w:style w:type="character" w:customStyle="1" w:styleId="QuoteChar">
    <w:name w:val="Quote Char"/>
    <w:basedOn w:val="DefaultParagraphFont"/>
    <w:link w:val="Quote"/>
    <w:uiPriority w:val="29"/>
    <w:rsid w:val="00782AC5"/>
    <w:rPr>
      <w:i/>
      <w:iCs/>
      <w:color w:val="404040" w:themeColor="text1" w:themeTint="BF"/>
    </w:rPr>
  </w:style>
  <w:style w:type="paragraph" w:styleId="ListParagraph">
    <w:name w:val="List Paragraph"/>
    <w:basedOn w:val="Normal"/>
    <w:uiPriority w:val="34"/>
    <w:qFormat/>
    <w:rsid w:val="00782AC5"/>
    <w:pPr>
      <w:ind w:left="720"/>
      <w:contextualSpacing/>
    </w:pPr>
  </w:style>
  <w:style w:type="character" w:styleId="IntenseEmphasis">
    <w:name w:val="Intense Emphasis"/>
    <w:basedOn w:val="DefaultParagraphFont"/>
    <w:uiPriority w:val="21"/>
    <w:qFormat/>
    <w:rsid w:val="00782AC5"/>
    <w:rPr>
      <w:i/>
      <w:iCs/>
      <w:color w:val="0F4761" w:themeColor="accent1" w:themeShade="BF"/>
    </w:rPr>
  </w:style>
  <w:style w:type="paragraph" w:styleId="IntenseQuote">
    <w:name w:val="Intense Quote"/>
    <w:basedOn w:val="Normal"/>
    <w:next w:val="Normal"/>
    <w:link w:val="IntenseQuoteChar"/>
    <w:uiPriority w:val="30"/>
    <w:qFormat/>
    <w:rsid w:val="00782A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2AC5"/>
    <w:rPr>
      <w:i/>
      <w:iCs/>
      <w:color w:val="0F4761" w:themeColor="accent1" w:themeShade="BF"/>
    </w:rPr>
  </w:style>
  <w:style w:type="character" w:styleId="IntenseReference">
    <w:name w:val="Intense Reference"/>
    <w:basedOn w:val="DefaultParagraphFont"/>
    <w:uiPriority w:val="32"/>
    <w:qFormat/>
    <w:rsid w:val="00782AC5"/>
    <w:rPr>
      <w:b/>
      <w:bCs/>
      <w:smallCaps/>
      <w:color w:val="0F4761" w:themeColor="accent1" w:themeShade="BF"/>
      <w:spacing w:val="5"/>
    </w:rPr>
  </w:style>
  <w:style w:type="paragraph" w:styleId="NormalWeb">
    <w:name w:val="Normal (Web)"/>
    <w:basedOn w:val="Normal"/>
    <w:uiPriority w:val="99"/>
    <w:unhideWhenUsed/>
    <w:rsid w:val="00782AC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782AC5"/>
    <w:rPr>
      <w:i/>
      <w:iCs/>
    </w:rPr>
  </w:style>
  <w:style w:type="character" w:styleId="Strong">
    <w:name w:val="Strong"/>
    <w:basedOn w:val="DefaultParagraphFont"/>
    <w:uiPriority w:val="22"/>
    <w:qFormat/>
    <w:rsid w:val="00782AC5"/>
    <w:rPr>
      <w:b/>
      <w:bCs/>
    </w:rPr>
  </w:style>
  <w:style w:type="character" w:styleId="Hyperlink">
    <w:name w:val="Hyperlink"/>
    <w:basedOn w:val="DefaultParagraphFont"/>
    <w:uiPriority w:val="99"/>
    <w:unhideWhenUsed/>
    <w:rsid w:val="00782AC5"/>
    <w:rPr>
      <w:color w:val="0000FF"/>
      <w:u w:val="single"/>
    </w:rPr>
  </w:style>
  <w:style w:type="character" w:styleId="UnresolvedMention">
    <w:name w:val="Unresolved Mention"/>
    <w:basedOn w:val="DefaultParagraphFont"/>
    <w:uiPriority w:val="99"/>
    <w:semiHidden/>
    <w:unhideWhenUsed/>
    <w:rsid w:val="00782AC5"/>
    <w:rPr>
      <w:color w:val="605E5C"/>
      <w:shd w:val="clear" w:color="auto" w:fill="E1DFDD"/>
    </w:rPr>
  </w:style>
  <w:style w:type="paragraph" w:styleId="FootnoteText">
    <w:name w:val="footnote text"/>
    <w:basedOn w:val="Normal"/>
    <w:link w:val="FootnoteTextChar"/>
    <w:uiPriority w:val="99"/>
    <w:semiHidden/>
    <w:unhideWhenUsed/>
    <w:rsid w:val="00B94D5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94D57"/>
    <w:rPr>
      <w:sz w:val="20"/>
      <w:szCs w:val="20"/>
    </w:rPr>
  </w:style>
  <w:style w:type="character" w:styleId="FootnoteReference">
    <w:name w:val="footnote reference"/>
    <w:basedOn w:val="DefaultParagraphFont"/>
    <w:uiPriority w:val="99"/>
    <w:semiHidden/>
    <w:unhideWhenUsed/>
    <w:rsid w:val="00B94D57"/>
    <w:rPr>
      <w:vertAlign w:val="superscript"/>
    </w:rPr>
  </w:style>
  <w:style w:type="character" w:styleId="FollowedHyperlink">
    <w:name w:val="FollowedHyperlink"/>
    <w:basedOn w:val="DefaultParagraphFont"/>
    <w:uiPriority w:val="99"/>
    <w:semiHidden/>
    <w:unhideWhenUsed/>
    <w:rsid w:val="006E1456"/>
    <w:rPr>
      <w:color w:val="96607D" w:themeColor="followedHyperlink"/>
      <w:u w:val="single"/>
    </w:rPr>
  </w:style>
  <w:style w:type="character" w:customStyle="1" w:styleId="ms-1">
    <w:name w:val="ms-1"/>
    <w:basedOn w:val="DefaultParagraphFont"/>
    <w:rsid w:val="00FF3D50"/>
  </w:style>
  <w:style w:type="character" w:customStyle="1" w:styleId="max-w-15ch">
    <w:name w:val="max-w-[15ch]"/>
    <w:basedOn w:val="DefaultParagraphFont"/>
    <w:rsid w:val="00FF3D50"/>
  </w:style>
  <w:style w:type="paragraph" w:styleId="TOCHeading">
    <w:name w:val="TOC Heading"/>
    <w:basedOn w:val="Heading1"/>
    <w:next w:val="Normal"/>
    <w:uiPriority w:val="39"/>
    <w:unhideWhenUsed/>
    <w:qFormat/>
    <w:rsid w:val="0088261E"/>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8261E"/>
    <w:pPr>
      <w:spacing w:before="360" w:after="360"/>
    </w:pPr>
    <w:rPr>
      <w:b/>
      <w:bCs/>
      <w:caps/>
      <w:sz w:val="22"/>
      <w:szCs w:val="22"/>
      <w:u w:val="single"/>
    </w:rPr>
  </w:style>
  <w:style w:type="paragraph" w:styleId="TOC2">
    <w:name w:val="toc 2"/>
    <w:basedOn w:val="Normal"/>
    <w:next w:val="Normal"/>
    <w:autoRedefine/>
    <w:uiPriority w:val="39"/>
    <w:unhideWhenUsed/>
    <w:rsid w:val="0088261E"/>
    <w:pPr>
      <w:spacing w:after="0"/>
    </w:pPr>
    <w:rPr>
      <w:b/>
      <w:bCs/>
      <w:smallCaps/>
      <w:sz w:val="22"/>
      <w:szCs w:val="22"/>
    </w:rPr>
  </w:style>
  <w:style w:type="paragraph" w:styleId="TOC3">
    <w:name w:val="toc 3"/>
    <w:basedOn w:val="Normal"/>
    <w:next w:val="Normal"/>
    <w:autoRedefine/>
    <w:uiPriority w:val="39"/>
    <w:semiHidden/>
    <w:unhideWhenUsed/>
    <w:rsid w:val="0088261E"/>
    <w:pPr>
      <w:spacing w:after="0"/>
    </w:pPr>
    <w:rPr>
      <w:smallCaps/>
      <w:sz w:val="22"/>
      <w:szCs w:val="22"/>
    </w:rPr>
  </w:style>
  <w:style w:type="paragraph" w:styleId="TOC4">
    <w:name w:val="toc 4"/>
    <w:basedOn w:val="Normal"/>
    <w:next w:val="Normal"/>
    <w:autoRedefine/>
    <w:uiPriority w:val="39"/>
    <w:semiHidden/>
    <w:unhideWhenUsed/>
    <w:rsid w:val="0088261E"/>
    <w:pPr>
      <w:spacing w:after="0"/>
    </w:pPr>
    <w:rPr>
      <w:sz w:val="22"/>
      <w:szCs w:val="22"/>
    </w:rPr>
  </w:style>
  <w:style w:type="paragraph" w:styleId="TOC5">
    <w:name w:val="toc 5"/>
    <w:basedOn w:val="Normal"/>
    <w:next w:val="Normal"/>
    <w:autoRedefine/>
    <w:uiPriority w:val="39"/>
    <w:semiHidden/>
    <w:unhideWhenUsed/>
    <w:rsid w:val="0088261E"/>
    <w:pPr>
      <w:spacing w:after="0"/>
    </w:pPr>
    <w:rPr>
      <w:sz w:val="22"/>
      <w:szCs w:val="22"/>
    </w:rPr>
  </w:style>
  <w:style w:type="paragraph" w:styleId="TOC6">
    <w:name w:val="toc 6"/>
    <w:basedOn w:val="Normal"/>
    <w:next w:val="Normal"/>
    <w:autoRedefine/>
    <w:uiPriority w:val="39"/>
    <w:semiHidden/>
    <w:unhideWhenUsed/>
    <w:rsid w:val="0088261E"/>
    <w:pPr>
      <w:spacing w:after="0"/>
    </w:pPr>
    <w:rPr>
      <w:sz w:val="22"/>
      <w:szCs w:val="22"/>
    </w:rPr>
  </w:style>
  <w:style w:type="paragraph" w:styleId="TOC7">
    <w:name w:val="toc 7"/>
    <w:basedOn w:val="Normal"/>
    <w:next w:val="Normal"/>
    <w:autoRedefine/>
    <w:uiPriority w:val="39"/>
    <w:semiHidden/>
    <w:unhideWhenUsed/>
    <w:rsid w:val="0088261E"/>
    <w:pPr>
      <w:spacing w:after="0"/>
    </w:pPr>
    <w:rPr>
      <w:sz w:val="22"/>
      <w:szCs w:val="22"/>
    </w:rPr>
  </w:style>
  <w:style w:type="paragraph" w:styleId="TOC8">
    <w:name w:val="toc 8"/>
    <w:basedOn w:val="Normal"/>
    <w:next w:val="Normal"/>
    <w:autoRedefine/>
    <w:uiPriority w:val="39"/>
    <w:semiHidden/>
    <w:unhideWhenUsed/>
    <w:rsid w:val="0088261E"/>
    <w:pPr>
      <w:spacing w:after="0"/>
    </w:pPr>
    <w:rPr>
      <w:sz w:val="22"/>
      <w:szCs w:val="22"/>
    </w:rPr>
  </w:style>
  <w:style w:type="paragraph" w:styleId="TOC9">
    <w:name w:val="toc 9"/>
    <w:basedOn w:val="Normal"/>
    <w:next w:val="Normal"/>
    <w:autoRedefine/>
    <w:uiPriority w:val="39"/>
    <w:semiHidden/>
    <w:unhideWhenUsed/>
    <w:rsid w:val="0088261E"/>
    <w:pPr>
      <w:spacing w:after="0"/>
    </w:pPr>
    <w:rPr>
      <w:sz w:val="22"/>
      <w:szCs w:val="22"/>
    </w:rPr>
  </w:style>
  <w:style w:type="paragraph" w:styleId="Header">
    <w:name w:val="header"/>
    <w:basedOn w:val="Normal"/>
    <w:link w:val="HeaderChar"/>
    <w:uiPriority w:val="99"/>
    <w:unhideWhenUsed/>
    <w:rsid w:val="006253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36B"/>
  </w:style>
  <w:style w:type="paragraph" w:styleId="Footer">
    <w:name w:val="footer"/>
    <w:basedOn w:val="Normal"/>
    <w:link w:val="FooterChar"/>
    <w:uiPriority w:val="99"/>
    <w:unhideWhenUsed/>
    <w:rsid w:val="006253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3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413370">
      <w:bodyDiv w:val="1"/>
      <w:marLeft w:val="0"/>
      <w:marRight w:val="0"/>
      <w:marTop w:val="0"/>
      <w:marBottom w:val="0"/>
      <w:divBdr>
        <w:top w:val="none" w:sz="0" w:space="0" w:color="auto"/>
        <w:left w:val="none" w:sz="0" w:space="0" w:color="auto"/>
        <w:bottom w:val="none" w:sz="0" w:space="0" w:color="auto"/>
        <w:right w:val="none" w:sz="0" w:space="0" w:color="auto"/>
      </w:divBdr>
    </w:div>
    <w:div w:id="306713915">
      <w:bodyDiv w:val="1"/>
      <w:marLeft w:val="0"/>
      <w:marRight w:val="0"/>
      <w:marTop w:val="0"/>
      <w:marBottom w:val="0"/>
      <w:divBdr>
        <w:top w:val="none" w:sz="0" w:space="0" w:color="auto"/>
        <w:left w:val="none" w:sz="0" w:space="0" w:color="auto"/>
        <w:bottom w:val="none" w:sz="0" w:space="0" w:color="auto"/>
        <w:right w:val="none" w:sz="0" w:space="0" w:color="auto"/>
      </w:divBdr>
    </w:div>
    <w:div w:id="334724225">
      <w:bodyDiv w:val="1"/>
      <w:marLeft w:val="0"/>
      <w:marRight w:val="0"/>
      <w:marTop w:val="0"/>
      <w:marBottom w:val="0"/>
      <w:divBdr>
        <w:top w:val="none" w:sz="0" w:space="0" w:color="auto"/>
        <w:left w:val="none" w:sz="0" w:space="0" w:color="auto"/>
        <w:bottom w:val="none" w:sz="0" w:space="0" w:color="auto"/>
        <w:right w:val="none" w:sz="0" w:space="0" w:color="auto"/>
      </w:divBdr>
    </w:div>
    <w:div w:id="350844134">
      <w:bodyDiv w:val="1"/>
      <w:marLeft w:val="0"/>
      <w:marRight w:val="0"/>
      <w:marTop w:val="0"/>
      <w:marBottom w:val="0"/>
      <w:divBdr>
        <w:top w:val="none" w:sz="0" w:space="0" w:color="auto"/>
        <w:left w:val="none" w:sz="0" w:space="0" w:color="auto"/>
        <w:bottom w:val="none" w:sz="0" w:space="0" w:color="auto"/>
        <w:right w:val="none" w:sz="0" w:space="0" w:color="auto"/>
      </w:divBdr>
    </w:div>
    <w:div w:id="378633429">
      <w:bodyDiv w:val="1"/>
      <w:marLeft w:val="0"/>
      <w:marRight w:val="0"/>
      <w:marTop w:val="0"/>
      <w:marBottom w:val="0"/>
      <w:divBdr>
        <w:top w:val="none" w:sz="0" w:space="0" w:color="auto"/>
        <w:left w:val="none" w:sz="0" w:space="0" w:color="auto"/>
        <w:bottom w:val="none" w:sz="0" w:space="0" w:color="auto"/>
        <w:right w:val="none" w:sz="0" w:space="0" w:color="auto"/>
      </w:divBdr>
    </w:div>
    <w:div w:id="521893572">
      <w:bodyDiv w:val="1"/>
      <w:marLeft w:val="0"/>
      <w:marRight w:val="0"/>
      <w:marTop w:val="0"/>
      <w:marBottom w:val="0"/>
      <w:divBdr>
        <w:top w:val="none" w:sz="0" w:space="0" w:color="auto"/>
        <w:left w:val="none" w:sz="0" w:space="0" w:color="auto"/>
        <w:bottom w:val="none" w:sz="0" w:space="0" w:color="auto"/>
        <w:right w:val="none" w:sz="0" w:space="0" w:color="auto"/>
      </w:divBdr>
    </w:div>
    <w:div w:id="587543453">
      <w:bodyDiv w:val="1"/>
      <w:marLeft w:val="0"/>
      <w:marRight w:val="0"/>
      <w:marTop w:val="0"/>
      <w:marBottom w:val="0"/>
      <w:divBdr>
        <w:top w:val="none" w:sz="0" w:space="0" w:color="auto"/>
        <w:left w:val="none" w:sz="0" w:space="0" w:color="auto"/>
        <w:bottom w:val="none" w:sz="0" w:space="0" w:color="auto"/>
        <w:right w:val="none" w:sz="0" w:space="0" w:color="auto"/>
      </w:divBdr>
    </w:div>
    <w:div w:id="616331955">
      <w:bodyDiv w:val="1"/>
      <w:marLeft w:val="0"/>
      <w:marRight w:val="0"/>
      <w:marTop w:val="0"/>
      <w:marBottom w:val="0"/>
      <w:divBdr>
        <w:top w:val="none" w:sz="0" w:space="0" w:color="auto"/>
        <w:left w:val="none" w:sz="0" w:space="0" w:color="auto"/>
        <w:bottom w:val="none" w:sz="0" w:space="0" w:color="auto"/>
        <w:right w:val="none" w:sz="0" w:space="0" w:color="auto"/>
      </w:divBdr>
    </w:div>
    <w:div w:id="705450173">
      <w:bodyDiv w:val="1"/>
      <w:marLeft w:val="0"/>
      <w:marRight w:val="0"/>
      <w:marTop w:val="0"/>
      <w:marBottom w:val="0"/>
      <w:divBdr>
        <w:top w:val="none" w:sz="0" w:space="0" w:color="auto"/>
        <w:left w:val="none" w:sz="0" w:space="0" w:color="auto"/>
        <w:bottom w:val="none" w:sz="0" w:space="0" w:color="auto"/>
        <w:right w:val="none" w:sz="0" w:space="0" w:color="auto"/>
      </w:divBdr>
      <w:divsChild>
        <w:div w:id="401221095">
          <w:marLeft w:val="0"/>
          <w:marRight w:val="0"/>
          <w:marTop w:val="0"/>
          <w:marBottom w:val="0"/>
          <w:divBdr>
            <w:top w:val="none" w:sz="0" w:space="0" w:color="auto"/>
            <w:left w:val="none" w:sz="0" w:space="0" w:color="auto"/>
            <w:bottom w:val="none" w:sz="0" w:space="0" w:color="auto"/>
            <w:right w:val="none" w:sz="0" w:space="0" w:color="auto"/>
          </w:divBdr>
          <w:divsChild>
            <w:div w:id="679695697">
              <w:marLeft w:val="0"/>
              <w:marRight w:val="0"/>
              <w:marTop w:val="0"/>
              <w:marBottom w:val="0"/>
              <w:divBdr>
                <w:top w:val="none" w:sz="0" w:space="0" w:color="auto"/>
                <w:left w:val="none" w:sz="0" w:space="0" w:color="auto"/>
                <w:bottom w:val="none" w:sz="0" w:space="0" w:color="auto"/>
                <w:right w:val="none" w:sz="0" w:space="0" w:color="auto"/>
              </w:divBdr>
              <w:divsChild>
                <w:div w:id="959070227">
                  <w:marLeft w:val="0"/>
                  <w:marRight w:val="0"/>
                  <w:marTop w:val="0"/>
                  <w:marBottom w:val="0"/>
                  <w:divBdr>
                    <w:top w:val="none" w:sz="0" w:space="0" w:color="auto"/>
                    <w:left w:val="none" w:sz="0" w:space="0" w:color="auto"/>
                    <w:bottom w:val="none" w:sz="0" w:space="0" w:color="auto"/>
                    <w:right w:val="none" w:sz="0" w:space="0" w:color="auto"/>
                  </w:divBdr>
                  <w:divsChild>
                    <w:div w:id="2019035458">
                      <w:marLeft w:val="0"/>
                      <w:marRight w:val="0"/>
                      <w:marTop w:val="0"/>
                      <w:marBottom w:val="0"/>
                      <w:divBdr>
                        <w:top w:val="none" w:sz="0" w:space="0" w:color="auto"/>
                        <w:left w:val="none" w:sz="0" w:space="0" w:color="auto"/>
                        <w:bottom w:val="none" w:sz="0" w:space="0" w:color="auto"/>
                        <w:right w:val="none" w:sz="0" w:space="0" w:color="auto"/>
                      </w:divBdr>
                      <w:divsChild>
                        <w:div w:id="1104108210">
                          <w:marLeft w:val="0"/>
                          <w:marRight w:val="0"/>
                          <w:marTop w:val="0"/>
                          <w:marBottom w:val="0"/>
                          <w:divBdr>
                            <w:top w:val="none" w:sz="0" w:space="0" w:color="auto"/>
                            <w:left w:val="none" w:sz="0" w:space="0" w:color="auto"/>
                            <w:bottom w:val="none" w:sz="0" w:space="0" w:color="auto"/>
                            <w:right w:val="none" w:sz="0" w:space="0" w:color="auto"/>
                          </w:divBdr>
                          <w:divsChild>
                            <w:div w:id="2011368100">
                              <w:marLeft w:val="0"/>
                              <w:marRight w:val="0"/>
                              <w:marTop w:val="0"/>
                              <w:marBottom w:val="0"/>
                              <w:divBdr>
                                <w:top w:val="none" w:sz="0" w:space="0" w:color="auto"/>
                                <w:left w:val="none" w:sz="0" w:space="0" w:color="auto"/>
                                <w:bottom w:val="none" w:sz="0" w:space="0" w:color="auto"/>
                                <w:right w:val="none" w:sz="0" w:space="0" w:color="auto"/>
                              </w:divBdr>
                              <w:divsChild>
                                <w:div w:id="7534299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2409655">
      <w:bodyDiv w:val="1"/>
      <w:marLeft w:val="0"/>
      <w:marRight w:val="0"/>
      <w:marTop w:val="0"/>
      <w:marBottom w:val="0"/>
      <w:divBdr>
        <w:top w:val="none" w:sz="0" w:space="0" w:color="auto"/>
        <w:left w:val="none" w:sz="0" w:space="0" w:color="auto"/>
        <w:bottom w:val="none" w:sz="0" w:space="0" w:color="auto"/>
        <w:right w:val="none" w:sz="0" w:space="0" w:color="auto"/>
      </w:divBdr>
    </w:div>
    <w:div w:id="782461943">
      <w:bodyDiv w:val="1"/>
      <w:marLeft w:val="0"/>
      <w:marRight w:val="0"/>
      <w:marTop w:val="0"/>
      <w:marBottom w:val="0"/>
      <w:divBdr>
        <w:top w:val="none" w:sz="0" w:space="0" w:color="auto"/>
        <w:left w:val="none" w:sz="0" w:space="0" w:color="auto"/>
        <w:bottom w:val="none" w:sz="0" w:space="0" w:color="auto"/>
        <w:right w:val="none" w:sz="0" w:space="0" w:color="auto"/>
      </w:divBdr>
    </w:div>
    <w:div w:id="794056134">
      <w:bodyDiv w:val="1"/>
      <w:marLeft w:val="0"/>
      <w:marRight w:val="0"/>
      <w:marTop w:val="0"/>
      <w:marBottom w:val="0"/>
      <w:divBdr>
        <w:top w:val="none" w:sz="0" w:space="0" w:color="auto"/>
        <w:left w:val="none" w:sz="0" w:space="0" w:color="auto"/>
        <w:bottom w:val="none" w:sz="0" w:space="0" w:color="auto"/>
        <w:right w:val="none" w:sz="0" w:space="0" w:color="auto"/>
      </w:divBdr>
    </w:div>
    <w:div w:id="968901039">
      <w:bodyDiv w:val="1"/>
      <w:marLeft w:val="0"/>
      <w:marRight w:val="0"/>
      <w:marTop w:val="0"/>
      <w:marBottom w:val="0"/>
      <w:divBdr>
        <w:top w:val="none" w:sz="0" w:space="0" w:color="auto"/>
        <w:left w:val="none" w:sz="0" w:space="0" w:color="auto"/>
        <w:bottom w:val="none" w:sz="0" w:space="0" w:color="auto"/>
        <w:right w:val="none" w:sz="0" w:space="0" w:color="auto"/>
      </w:divBdr>
    </w:div>
    <w:div w:id="1133716982">
      <w:bodyDiv w:val="1"/>
      <w:marLeft w:val="0"/>
      <w:marRight w:val="0"/>
      <w:marTop w:val="0"/>
      <w:marBottom w:val="0"/>
      <w:divBdr>
        <w:top w:val="none" w:sz="0" w:space="0" w:color="auto"/>
        <w:left w:val="none" w:sz="0" w:space="0" w:color="auto"/>
        <w:bottom w:val="none" w:sz="0" w:space="0" w:color="auto"/>
        <w:right w:val="none" w:sz="0" w:space="0" w:color="auto"/>
      </w:divBdr>
    </w:div>
    <w:div w:id="1199271417">
      <w:bodyDiv w:val="1"/>
      <w:marLeft w:val="0"/>
      <w:marRight w:val="0"/>
      <w:marTop w:val="0"/>
      <w:marBottom w:val="0"/>
      <w:divBdr>
        <w:top w:val="none" w:sz="0" w:space="0" w:color="auto"/>
        <w:left w:val="none" w:sz="0" w:space="0" w:color="auto"/>
        <w:bottom w:val="none" w:sz="0" w:space="0" w:color="auto"/>
        <w:right w:val="none" w:sz="0" w:space="0" w:color="auto"/>
      </w:divBdr>
    </w:div>
    <w:div w:id="1211916960">
      <w:bodyDiv w:val="1"/>
      <w:marLeft w:val="0"/>
      <w:marRight w:val="0"/>
      <w:marTop w:val="0"/>
      <w:marBottom w:val="0"/>
      <w:divBdr>
        <w:top w:val="none" w:sz="0" w:space="0" w:color="auto"/>
        <w:left w:val="none" w:sz="0" w:space="0" w:color="auto"/>
        <w:bottom w:val="none" w:sz="0" w:space="0" w:color="auto"/>
        <w:right w:val="none" w:sz="0" w:space="0" w:color="auto"/>
      </w:divBdr>
    </w:div>
    <w:div w:id="1230075128">
      <w:bodyDiv w:val="1"/>
      <w:marLeft w:val="0"/>
      <w:marRight w:val="0"/>
      <w:marTop w:val="0"/>
      <w:marBottom w:val="0"/>
      <w:divBdr>
        <w:top w:val="none" w:sz="0" w:space="0" w:color="auto"/>
        <w:left w:val="none" w:sz="0" w:space="0" w:color="auto"/>
        <w:bottom w:val="none" w:sz="0" w:space="0" w:color="auto"/>
        <w:right w:val="none" w:sz="0" w:space="0" w:color="auto"/>
      </w:divBdr>
    </w:div>
    <w:div w:id="1234005012">
      <w:bodyDiv w:val="1"/>
      <w:marLeft w:val="0"/>
      <w:marRight w:val="0"/>
      <w:marTop w:val="0"/>
      <w:marBottom w:val="0"/>
      <w:divBdr>
        <w:top w:val="none" w:sz="0" w:space="0" w:color="auto"/>
        <w:left w:val="none" w:sz="0" w:space="0" w:color="auto"/>
        <w:bottom w:val="none" w:sz="0" w:space="0" w:color="auto"/>
        <w:right w:val="none" w:sz="0" w:space="0" w:color="auto"/>
      </w:divBdr>
    </w:div>
    <w:div w:id="1257710426">
      <w:bodyDiv w:val="1"/>
      <w:marLeft w:val="0"/>
      <w:marRight w:val="0"/>
      <w:marTop w:val="0"/>
      <w:marBottom w:val="0"/>
      <w:divBdr>
        <w:top w:val="none" w:sz="0" w:space="0" w:color="auto"/>
        <w:left w:val="none" w:sz="0" w:space="0" w:color="auto"/>
        <w:bottom w:val="none" w:sz="0" w:space="0" w:color="auto"/>
        <w:right w:val="none" w:sz="0" w:space="0" w:color="auto"/>
      </w:divBdr>
    </w:div>
    <w:div w:id="1282877240">
      <w:bodyDiv w:val="1"/>
      <w:marLeft w:val="0"/>
      <w:marRight w:val="0"/>
      <w:marTop w:val="0"/>
      <w:marBottom w:val="0"/>
      <w:divBdr>
        <w:top w:val="none" w:sz="0" w:space="0" w:color="auto"/>
        <w:left w:val="none" w:sz="0" w:space="0" w:color="auto"/>
        <w:bottom w:val="none" w:sz="0" w:space="0" w:color="auto"/>
        <w:right w:val="none" w:sz="0" w:space="0" w:color="auto"/>
      </w:divBdr>
    </w:div>
    <w:div w:id="1288661551">
      <w:bodyDiv w:val="1"/>
      <w:marLeft w:val="0"/>
      <w:marRight w:val="0"/>
      <w:marTop w:val="0"/>
      <w:marBottom w:val="0"/>
      <w:divBdr>
        <w:top w:val="none" w:sz="0" w:space="0" w:color="auto"/>
        <w:left w:val="none" w:sz="0" w:space="0" w:color="auto"/>
        <w:bottom w:val="none" w:sz="0" w:space="0" w:color="auto"/>
        <w:right w:val="none" w:sz="0" w:space="0" w:color="auto"/>
      </w:divBdr>
    </w:div>
    <w:div w:id="1317301191">
      <w:bodyDiv w:val="1"/>
      <w:marLeft w:val="0"/>
      <w:marRight w:val="0"/>
      <w:marTop w:val="0"/>
      <w:marBottom w:val="0"/>
      <w:divBdr>
        <w:top w:val="none" w:sz="0" w:space="0" w:color="auto"/>
        <w:left w:val="none" w:sz="0" w:space="0" w:color="auto"/>
        <w:bottom w:val="none" w:sz="0" w:space="0" w:color="auto"/>
        <w:right w:val="none" w:sz="0" w:space="0" w:color="auto"/>
      </w:divBdr>
    </w:div>
    <w:div w:id="1419794038">
      <w:bodyDiv w:val="1"/>
      <w:marLeft w:val="0"/>
      <w:marRight w:val="0"/>
      <w:marTop w:val="0"/>
      <w:marBottom w:val="0"/>
      <w:divBdr>
        <w:top w:val="none" w:sz="0" w:space="0" w:color="auto"/>
        <w:left w:val="none" w:sz="0" w:space="0" w:color="auto"/>
        <w:bottom w:val="none" w:sz="0" w:space="0" w:color="auto"/>
        <w:right w:val="none" w:sz="0" w:space="0" w:color="auto"/>
      </w:divBdr>
    </w:div>
    <w:div w:id="1498423952">
      <w:bodyDiv w:val="1"/>
      <w:marLeft w:val="0"/>
      <w:marRight w:val="0"/>
      <w:marTop w:val="0"/>
      <w:marBottom w:val="0"/>
      <w:divBdr>
        <w:top w:val="none" w:sz="0" w:space="0" w:color="auto"/>
        <w:left w:val="none" w:sz="0" w:space="0" w:color="auto"/>
        <w:bottom w:val="none" w:sz="0" w:space="0" w:color="auto"/>
        <w:right w:val="none" w:sz="0" w:space="0" w:color="auto"/>
      </w:divBdr>
    </w:div>
    <w:div w:id="1560247647">
      <w:bodyDiv w:val="1"/>
      <w:marLeft w:val="0"/>
      <w:marRight w:val="0"/>
      <w:marTop w:val="0"/>
      <w:marBottom w:val="0"/>
      <w:divBdr>
        <w:top w:val="none" w:sz="0" w:space="0" w:color="auto"/>
        <w:left w:val="none" w:sz="0" w:space="0" w:color="auto"/>
        <w:bottom w:val="none" w:sz="0" w:space="0" w:color="auto"/>
        <w:right w:val="none" w:sz="0" w:space="0" w:color="auto"/>
      </w:divBdr>
    </w:div>
    <w:div w:id="1561818086">
      <w:bodyDiv w:val="1"/>
      <w:marLeft w:val="0"/>
      <w:marRight w:val="0"/>
      <w:marTop w:val="0"/>
      <w:marBottom w:val="0"/>
      <w:divBdr>
        <w:top w:val="none" w:sz="0" w:space="0" w:color="auto"/>
        <w:left w:val="none" w:sz="0" w:space="0" w:color="auto"/>
        <w:bottom w:val="none" w:sz="0" w:space="0" w:color="auto"/>
        <w:right w:val="none" w:sz="0" w:space="0" w:color="auto"/>
      </w:divBdr>
    </w:div>
    <w:div w:id="1592201168">
      <w:bodyDiv w:val="1"/>
      <w:marLeft w:val="0"/>
      <w:marRight w:val="0"/>
      <w:marTop w:val="0"/>
      <w:marBottom w:val="0"/>
      <w:divBdr>
        <w:top w:val="none" w:sz="0" w:space="0" w:color="auto"/>
        <w:left w:val="none" w:sz="0" w:space="0" w:color="auto"/>
        <w:bottom w:val="none" w:sz="0" w:space="0" w:color="auto"/>
        <w:right w:val="none" w:sz="0" w:space="0" w:color="auto"/>
      </w:divBdr>
    </w:div>
    <w:div w:id="1672754457">
      <w:bodyDiv w:val="1"/>
      <w:marLeft w:val="0"/>
      <w:marRight w:val="0"/>
      <w:marTop w:val="0"/>
      <w:marBottom w:val="0"/>
      <w:divBdr>
        <w:top w:val="none" w:sz="0" w:space="0" w:color="auto"/>
        <w:left w:val="none" w:sz="0" w:space="0" w:color="auto"/>
        <w:bottom w:val="none" w:sz="0" w:space="0" w:color="auto"/>
        <w:right w:val="none" w:sz="0" w:space="0" w:color="auto"/>
      </w:divBdr>
    </w:div>
    <w:div w:id="1738748086">
      <w:bodyDiv w:val="1"/>
      <w:marLeft w:val="0"/>
      <w:marRight w:val="0"/>
      <w:marTop w:val="0"/>
      <w:marBottom w:val="0"/>
      <w:divBdr>
        <w:top w:val="none" w:sz="0" w:space="0" w:color="auto"/>
        <w:left w:val="none" w:sz="0" w:space="0" w:color="auto"/>
        <w:bottom w:val="none" w:sz="0" w:space="0" w:color="auto"/>
        <w:right w:val="none" w:sz="0" w:space="0" w:color="auto"/>
      </w:divBdr>
    </w:div>
    <w:div w:id="1925407563">
      <w:bodyDiv w:val="1"/>
      <w:marLeft w:val="0"/>
      <w:marRight w:val="0"/>
      <w:marTop w:val="0"/>
      <w:marBottom w:val="0"/>
      <w:divBdr>
        <w:top w:val="none" w:sz="0" w:space="0" w:color="auto"/>
        <w:left w:val="none" w:sz="0" w:space="0" w:color="auto"/>
        <w:bottom w:val="none" w:sz="0" w:space="0" w:color="auto"/>
        <w:right w:val="none" w:sz="0" w:space="0" w:color="auto"/>
      </w:divBdr>
    </w:div>
    <w:div w:id="1930039723">
      <w:bodyDiv w:val="1"/>
      <w:marLeft w:val="0"/>
      <w:marRight w:val="0"/>
      <w:marTop w:val="0"/>
      <w:marBottom w:val="0"/>
      <w:divBdr>
        <w:top w:val="none" w:sz="0" w:space="0" w:color="auto"/>
        <w:left w:val="none" w:sz="0" w:space="0" w:color="auto"/>
        <w:bottom w:val="none" w:sz="0" w:space="0" w:color="auto"/>
        <w:right w:val="none" w:sz="0" w:space="0" w:color="auto"/>
      </w:divBdr>
    </w:div>
    <w:div w:id="1954242793">
      <w:bodyDiv w:val="1"/>
      <w:marLeft w:val="0"/>
      <w:marRight w:val="0"/>
      <w:marTop w:val="0"/>
      <w:marBottom w:val="0"/>
      <w:divBdr>
        <w:top w:val="none" w:sz="0" w:space="0" w:color="auto"/>
        <w:left w:val="none" w:sz="0" w:space="0" w:color="auto"/>
        <w:bottom w:val="none" w:sz="0" w:space="0" w:color="auto"/>
        <w:right w:val="none" w:sz="0" w:space="0" w:color="auto"/>
      </w:divBdr>
    </w:div>
    <w:div w:id="1998151045">
      <w:bodyDiv w:val="1"/>
      <w:marLeft w:val="0"/>
      <w:marRight w:val="0"/>
      <w:marTop w:val="0"/>
      <w:marBottom w:val="0"/>
      <w:divBdr>
        <w:top w:val="none" w:sz="0" w:space="0" w:color="auto"/>
        <w:left w:val="none" w:sz="0" w:space="0" w:color="auto"/>
        <w:bottom w:val="none" w:sz="0" w:space="0" w:color="auto"/>
        <w:right w:val="none" w:sz="0" w:space="0" w:color="auto"/>
      </w:divBdr>
    </w:div>
    <w:div w:id="2035114257">
      <w:bodyDiv w:val="1"/>
      <w:marLeft w:val="0"/>
      <w:marRight w:val="0"/>
      <w:marTop w:val="0"/>
      <w:marBottom w:val="0"/>
      <w:divBdr>
        <w:top w:val="none" w:sz="0" w:space="0" w:color="auto"/>
        <w:left w:val="none" w:sz="0" w:space="0" w:color="auto"/>
        <w:bottom w:val="none" w:sz="0" w:space="0" w:color="auto"/>
        <w:right w:val="none" w:sz="0" w:space="0" w:color="auto"/>
      </w:divBdr>
    </w:div>
    <w:div w:id="2066488771">
      <w:bodyDiv w:val="1"/>
      <w:marLeft w:val="0"/>
      <w:marRight w:val="0"/>
      <w:marTop w:val="0"/>
      <w:marBottom w:val="0"/>
      <w:divBdr>
        <w:top w:val="none" w:sz="0" w:space="0" w:color="auto"/>
        <w:left w:val="none" w:sz="0" w:space="0" w:color="auto"/>
        <w:bottom w:val="none" w:sz="0" w:space="0" w:color="auto"/>
        <w:right w:val="none" w:sz="0" w:space="0" w:color="auto"/>
      </w:divBdr>
    </w:div>
    <w:div w:id="2085912539">
      <w:bodyDiv w:val="1"/>
      <w:marLeft w:val="0"/>
      <w:marRight w:val="0"/>
      <w:marTop w:val="0"/>
      <w:marBottom w:val="0"/>
      <w:divBdr>
        <w:top w:val="none" w:sz="0" w:space="0" w:color="auto"/>
        <w:left w:val="none" w:sz="0" w:space="0" w:color="auto"/>
        <w:bottom w:val="none" w:sz="0" w:space="0" w:color="auto"/>
        <w:right w:val="none" w:sz="0" w:space="0" w:color="auto"/>
      </w:divBdr>
    </w:div>
    <w:div w:id="2102488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thelondonstory.org"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icj.org/india-authorities-must-fully-investigate-manipur-killings-as-ordered-by-supreme-court/?utm_source=chatgpt.com" TargetMode="External"/><Relationship Id="rId18" Type="http://schemas.openxmlformats.org/officeDocument/2006/relationships/hyperlink" Target="https://www.emerald.com/books/edited-volume/15737/chapter-abstract/87382082/Resisting-gendered-religious-nationalism-The-case" TargetMode="External"/><Relationship Id="rId26" Type="http://schemas.openxmlformats.org/officeDocument/2006/relationships/hyperlink" Target="https://peoplesdemocracy.in/2022/0213_pd/protect-right-education-muslim-girls" TargetMode="External"/><Relationship Id="rId3" Type="http://schemas.openxmlformats.org/officeDocument/2006/relationships/hyperlink" Target="https://www.bbc.com/news/world-asia-india-62830634" TargetMode="External"/><Relationship Id="rId21" Type="http://schemas.openxmlformats.org/officeDocument/2006/relationships/hyperlink" Target="https://www.kspp.edu.in/blog/exploring-barriers-in-indian-muslim-womens-education" TargetMode="External"/><Relationship Id="rId7" Type="http://schemas.openxmlformats.org/officeDocument/2006/relationships/hyperlink" Target="https://www.ohchr.org/en/statements-and-speeches/2013/05/special-rapporteur-violence-against-women-its-causes-and" TargetMode="External"/><Relationship Id="rId12" Type="http://schemas.openxmlformats.org/officeDocument/2006/relationships/hyperlink" Target="https://www.refworld.org/reference/countryrep/hrw/2008/en/58544?utm_source=chatgpt.com" TargetMode="External"/><Relationship Id="rId17" Type="http://schemas.openxmlformats.org/officeDocument/2006/relationships/hyperlink" Target="https://decoders.blob.core.windows.net/troll-patrol-india-findings/Amnesty_International_India_Troll_Patrol_India_Findings_2020.pdf?utm_source=chatgpt.com" TargetMode="External"/><Relationship Id="rId25" Type="http://schemas.openxmlformats.org/officeDocument/2006/relationships/hyperlink" Target="https://cjp.org.in/does-the-state-have-the-right-to-disrupt-muslim-womans-right-to-education/" TargetMode="External"/><Relationship Id="rId33" Type="http://schemas.openxmlformats.org/officeDocument/2006/relationships/hyperlink" Target="https://www.jisem-journal.com/download/05_Journal_ARDA_1044.pdf?utm_source=chatgpt.com" TargetMode="External"/><Relationship Id="rId2" Type="http://schemas.openxmlformats.org/officeDocument/2006/relationships/hyperlink" Target="https://www.aljazeera.com/news/2024/1/9/why-did-indias-supreme-court-send-bilkis-banos-rapists-back-to-jail?utm_source=chatgpt.com" TargetMode="External"/><Relationship Id="rId16" Type="http://schemas.openxmlformats.org/officeDocument/2006/relationships/hyperlink" Target="https://www.ijfmr.com/papers/2025/3/44013.pdf" TargetMode="External"/><Relationship Id="rId20" Type="http://schemas.openxmlformats.org/officeDocument/2006/relationships/hyperlink" Target="https://www.some.ox.ac.uk/blog/access-to-higher-education-for-muslim-women-in-westbengal/?utm_source=chatgpt.com" TargetMode="External"/><Relationship Id="rId29" Type="http://schemas.openxmlformats.org/officeDocument/2006/relationships/hyperlink" Target="https://www.trtworld.com/article/b629e9e56e88?utm_source=chatgpt.com" TargetMode="External"/><Relationship Id="rId1" Type="http://schemas.openxmlformats.org/officeDocument/2006/relationships/hyperlink" Target="https://prsindia.org/billtrack/the-constitution-one-hundred-twenty-eighth-amendment-bill-2023?utm_source=chatgpt.com" TargetMode="External"/><Relationship Id="rId6" Type="http://schemas.openxmlformats.org/officeDocument/2006/relationships/hyperlink" Target="https://gender.study/gender-based-violence/hidden-toll-communal-violence-women/" TargetMode="External"/><Relationship Id="rId11" Type="http://schemas.openxmlformats.org/officeDocument/2006/relationships/hyperlink" Target="https://www.bbc.com/news/world-asia-india-60940103" TargetMode="External"/><Relationship Id="rId24" Type="http://schemas.openxmlformats.org/officeDocument/2006/relationships/hyperlink" Target="https://muslimmirror.com/evolving-horizons-muslim-womens-education-in-contemporary-india/?utm_source=chatgpt.com" TargetMode="External"/><Relationship Id="rId32" Type="http://schemas.openxmlformats.org/officeDocument/2006/relationships/hyperlink" Target="https://indiatomorrow.net/2025/09/21/socialist-party-of-indias-fact-finding-reveals-ethnic-cleansing-in-assam-with-eviction-of-bengali-speaking-muslims/" TargetMode="External"/><Relationship Id="rId5" Type="http://schemas.openxmlformats.org/officeDocument/2006/relationships/hyperlink" Target="https://www.bbc.com/news/world-asia-india-62830634" TargetMode="External"/><Relationship Id="rId15" Type="http://schemas.openxmlformats.org/officeDocument/2006/relationships/hyperlink" Target="https://timesofindia.indiatimes.com/city/raipur/cops-raped-16-tribals-in-bastar-last-november-says-nhrc-report/articleshow/56397682.cms?utm_source=chatgpt.com" TargetMode="External"/><Relationship Id="rId23" Type="http://schemas.openxmlformats.org/officeDocument/2006/relationships/hyperlink" Target="https://www.ijcrt.org/papers/IJCRT1803257.pdf" TargetMode="External"/><Relationship Id="rId28" Type="http://schemas.openxmlformats.org/officeDocument/2006/relationships/hyperlink" Target="https://www.ndtv.com/india-news/tripta-tyagi-muslim-student-slapped-up-school-muzaffarpur-small-matter-teacher-who-was-seen-asking-students-to-slap-muslim-boy-4331332?utm_source=chatgpt.com" TargetMode="External"/><Relationship Id="rId10" Type="http://schemas.openxmlformats.org/officeDocument/2006/relationships/hyperlink" Target="https://journals.openedition.org/samaj/9462" TargetMode="External"/><Relationship Id="rId19" Type="http://schemas.openxmlformats.org/officeDocument/2006/relationships/hyperlink" Target="https://itforchange.net/sites/default/files/2190/The%20Judiciary%27s%20Tryst%20with%20OGBV_0.pdf?utm_source=chatgpt.com" TargetMode="External"/><Relationship Id="rId31" Type="http://schemas.openxmlformats.org/officeDocument/2006/relationships/hyperlink" Target="https://www.thehindu.com/news/national/assam/assam-begins-eviction-drive-to-clear-encroached-forest-land-on-nagaland-boundary/article69869946.ece" TargetMode="External"/><Relationship Id="rId4" Type="http://schemas.openxmlformats.org/officeDocument/2006/relationships/hyperlink" Target="https://timesofindia.indiatimes.com/india/dowry-torture-domestic-violence-remain-serious-worry-ncw-data/articleshow/116864914.cms" TargetMode="External"/><Relationship Id="rId9" Type="http://schemas.openxmlformats.org/officeDocument/2006/relationships/hyperlink" Target="https://www.emerald.com/books/edited-volume/15737/chapter-abstract/87382082/Resisting-gendered-religious-nationalism-The-case" TargetMode="External"/><Relationship Id="rId14" Type="http://schemas.openxmlformats.org/officeDocument/2006/relationships/hyperlink" Target="https://timesofindia.indiatimes.com/city/raipur/cops-raped-16-tribals-in-bastar-last-november-says-nhrc-report/articleshow/56397682.cms?utm_source=chatgpt.com" TargetMode="External"/><Relationship Id="rId22" Type="http://schemas.openxmlformats.org/officeDocument/2006/relationships/hyperlink" Target="https://timesofindia.indiatimes.com/india/muslim-literacy-participation-of-women-in-workforce-up-rijiju/articleshow/118861772.cms?utm_source=chatgpt.com" TargetMode="External"/><Relationship Id="rId27" Type="http://schemas.openxmlformats.org/officeDocument/2006/relationships/hyperlink" Target="https://sabrangindia.in/nine-muslim-students-petition-bombay-hc-colleges-ban-on-hijab-violates-fundamental-rights/" TargetMode="External"/><Relationship Id="rId30" Type="http://schemas.openxmlformats.org/officeDocument/2006/relationships/hyperlink" Target="https://www.thehindu.com/news/national/assam/309-families-evicted-from-assam-grazing-reserve/article69943982.ece" TargetMode="External"/><Relationship Id="rId8" Type="http://schemas.openxmlformats.org/officeDocument/2006/relationships/hyperlink" Target="https://www.npr.org/2021/10/10/1041105988/india-muslim-hindu-interfaith-wedding-conver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92655-BD55-DE4F-B08C-8699C09D7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12</Pages>
  <Words>2458</Words>
  <Characters>16619</Characters>
  <Application>Microsoft Office Word</Application>
  <DocSecurity>0</DocSecurity>
  <Lines>259</Lines>
  <Paragraphs>42</Paragraphs>
  <ScaleCrop>false</ScaleCrop>
  <Company/>
  <LinksUpToDate>false</LinksUpToDate>
  <CharactersWithSpaces>19035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Ulvia Hasan</dc:creator>
  <cp:keywords/>
  <dc:description/>
  <cp:lastModifiedBy>Ulvia Hasan</cp:lastModifiedBy>
  <cp:revision>8</cp:revision>
  <dcterms:created xsi:type="dcterms:W3CDTF">2025-10-01T09:58:00Z</dcterms:created>
  <dcterms:modified xsi:type="dcterms:W3CDTF">2025-10-02T12:22:00Z</dcterms:modified>
</cp:coreProperties>
</file>