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69B01" w14:textId="77777777" w:rsidR="009A79AC" w:rsidRDefault="00000000">
      <w:pPr>
        <w:jc w:val="right"/>
        <w:rPr>
          <w:sz w:val="24"/>
          <w:szCs w:val="24"/>
        </w:rPr>
      </w:pPr>
      <w:r>
        <w:rPr>
          <w:sz w:val="24"/>
          <w:szCs w:val="24"/>
        </w:rPr>
        <w:t>Brasil, abril de 2024</w:t>
      </w:r>
    </w:p>
    <w:p w14:paraId="01155F64" w14:textId="77777777" w:rsidR="009A79AC" w:rsidRDefault="009A79AC">
      <w:pPr>
        <w:jc w:val="center"/>
        <w:rPr>
          <w:sz w:val="24"/>
          <w:szCs w:val="24"/>
        </w:rPr>
      </w:pPr>
    </w:p>
    <w:p w14:paraId="123E7917" w14:textId="77777777" w:rsidR="009A79AC" w:rsidRDefault="00000000">
      <w:pPr>
        <w:jc w:val="center"/>
        <w:rPr>
          <w:sz w:val="24"/>
          <w:szCs w:val="24"/>
        </w:rPr>
      </w:pPr>
      <w:r>
        <w:rPr>
          <w:sz w:val="24"/>
          <w:szCs w:val="24"/>
        </w:rPr>
        <w:t>Informe sombra:</w:t>
      </w:r>
    </w:p>
    <w:p w14:paraId="01B81EEB" w14:textId="77777777" w:rsidR="009A79AC" w:rsidRDefault="00000000">
      <w:pPr>
        <w:jc w:val="center"/>
        <w:rPr>
          <w:b/>
          <w:sz w:val="24"/>
          <w:szCs w:val="24"/>
        </w:rPr>
      </w:pPr>
      <w:r>
        <w:rPr>
          <w:sz w:val="24"/>
          <w:szCs w:val="24"/>
        </w:rPr>
        <w:t xml:space="preserve">  “</w:t>
      </w:r>
      <w:r>
        <w:rPr>
          <w:b/>
          <w:sz w:val="24"/>
          <w:szCs w:val="24"/>
        </w:rPr>
        <w:t xml:space="preserve">La utilización de la Ley de Alienación Parental (Ley </w:t>
      </w:r>
      <w:proofErr w:type="spellStart"/>
      <w:r>
        <w:rPr>
          <w:b/>
          <w:sz w:val="24"/>
          <w:szCs w:val="24"/>
        </w:rPr>
        <w:t>nº</w:t>
      </w:r>
      <w:proofErr w:type="spellEnd"/>
      <w:r>
        <w:rPr>
          <w:b/>
          <w:sz w:val="24"/>
          <w:szCs w:val="24"/>
        </w:rPr>
        <w:t xml:space="preserve"> 12.318/2010) como dispositivo para banalizar la violencia doméstica y familiar contra mujeres y niños en Brasil” </w:t>
      </w:r>
    </w:p>
    <w:p w14:paraId="0F86D801" w14:textId="77777777" w:rsidR="009A79AC" w:rsidRDefault="00000000">
      <w:pPr>
        <w:jc w:val="center"/>
        <w:rPr>
          <w:b/>
          <w:sz w:val="24"/>
          <w:szCs w:val="24"/>
        </w:rPr>
      </w:pPr>
      <w:r>
        <w:rPr>
          <w:b/>
          <w:sz w:val="24"/>
          <w:szCs w:val="24"/>
        </w:rPr>
        <w:t>Actualizaciones/2024</w:t>
      </w:r>
    </w:p>
    <w:p w14:paraId="43196A28" w14:textId="77777777" w:rsidR="009A79AC" w:rsidRDefault="009A79AC">
      <w:pPr>
        <w:jc w:val="center"/>
        <w:rPr>
          <w:sz w:val="24"/>
          <w:szCs w:val="24"/>
        </w:rPr>
      </w:pPr>
    </w:p>
    <w:p w14:paraId="443E3B76" w14:textId="77777777" w:rsidR="009A79AC" w:rsidRDefault="00000000">
      <w:pPr>
        <w:jc w:val="both"/>
        <w:rPr>
          <w:sz w:val="24"/>
          <w:szCs w:val="24"/>
        </w:rPr>
      </w:pPr>
      <w:r>
        <w:rPr>
          <w:sz w:val="24"/>
          <w:szCs w:val="24"/>
        </w:rPr>
        <w:t xml:space="preserve">El Colectivo </w:t>
      </w:r>
      <w:hyperlink r:id="rId7">
        <w:r>
          <w:rPr>
            <w:color w:val="1155CC"/>
            <w:sz w:val="24"/>
            <w:szCs w:val="24"/>
            <w:u w:val="single"/>
          </w:rPr>
          <w:t>Voz Materna</w:t>
        </w:r>
      </w:hyperlink>
      <w:r>
        <w:rPr>
          <w:sz w:val="24"/>
          <w:szCs w:val="24"/>
        </w:rPr>
        <w:t xml:space="preserve"> de Protección a la Infancia, es un grupo de mujeres madres en Brasil que luchan por el derecho a la maternidad sin violencia, para proteger a sus hijas e hijos de padres (varones) violadores y por la derogación de la </w:t>
      </w:r>
      <w:r>
        <w:rPr>
          <w:b/>
          <w:sz w:val="24"/>
          <w:szCs w:val="24"/>
        </w:rPr>
        <w:t>Ley de Alienación Parental - LAP</w:t>
      </w:r>
      <w:r>
        <w:rPr>
          <w:sz w:val="24"/>
          <w:szCs w:val="24"/>
        </w:rPr>
        <w:t xml:space="preserve"> </w:t>
      </w:r>
      <w:proofErr w:type="spellStart"/>
      <w:r>
        <w:rPr>
          <w:sz w:val="24"/>
          <w:szCs w:val="24"/>
        </w:rPr>
        <w:t>nº</w:t>
      </w:r>
      <w:proofErr w:type="spellEnd"/>
      <w:r>
        <w:rPr>
          <w:sz w:val="24"/>
          <w:szCs w:val="24"/>
        </w:rPr>
        <w:t xml:space="preserve"> </w:t>
      </w:r>
      <w:hyperlink r:id="rId8">
        <w:r>
          <w:rPr>
            <w:color w:val="1155CC"/>
            <w:sz w:val="24"/>
            <w:szCs w:val="24"/>
            <w:u w:val="single"/>
          </w:rPr>
          <w:t>12318/2010</w:t>
        </w:r>
      </w:hyperlink>
      <w:r>
        <w:rPr>
          <w:sz w:val="24"/>
          <w:szCs w:val="24"/>
        </w:rPr>
        <w:t xml:space="preserve"> y la prohibición del término “alienación parental” y sus correlatos.</w:t>
      </w:r>
    </w:p>
    <w:p w14:paraId="227C0319" w14:textId="77777777" w:rsidR="009A79AC" w:rsidRDefault="009A79AC">
      <w:pPr>
        <w:rPr>
          <w:sz w:val="24"/>
          <w:szCs w:val="24"/>
        </w:rPr>
      </w:pPr>
    </w:p>
    <w:p w14:paraId="0A8F98C6" w14:textId="7246CFE0" w:rsidR="009A79AC" w:rsidRDefault="00000000">
      <w:pPr>
        <w:jc w:val="both"/>
        <w:rPr>
          <w:sz w:val="24"/>
          <w:szCs w:val="24"/>
        </w:rPr>
      </w:pPr>
      <w:r>
        <w:rPr>
          <w:sz w:val="24"/>
          <w:szCs w:val="24"/>
        </w:rPr>
        <w:t xml:space="preserve">La </w:t>
      </w:r>
      <w:r>
        <w:rPr>
          <w:b/>
          <w:sz w:val="24"/>
          <w:szCs w:val="24"/>
        </w:rPr>
        <w:t>LAP</w:t>
      </w:r>
      <w:r>
        <w:rPr>
          <w:sz w:val="24"/>
          <w:szCs w:val="24"/>
        </w:rPr>
        <w:t>, el uso del término “alienación parental” y sus correlatos en Brasil violan los</w:t>
      </w:r>
      <w:r w:rsidR="00E92426">
        <w:rPr>
          <w:sz w:val="24"/>
          <w:szCs w:val="24"/>
        </w:rPr>
        <w:t xml:space="preserve"> </w:t>
      </w:r>
      <w:r>
        <w:rPr>
          <w:sz w:val="24"/>
          <w:szCs w:val="24"/>
        </w:rPr>
        <w:t>siguientes artículos:</w:t>
      </w:r>
    </w:p>
    <w:tbl>
      <w:tblPr>
        <w:tblStyle w:val="a"/>
        <w:tblpPr w:leftFromText="181" w:rightFromText="181" w:topFromText="181" w:bottomFromText="181" w:vertAnchor="page" w:horzAnchor="margin" w:tblpY="7705"/>
        <w:tblOverlap w:val="never"/>
        <w:tblW w:w="84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200"/>
        <w:gridCol w:w="4200"/>
      </w:tblGrid>
      <w:tr w:rsidR="009A79AC" w14:paraId="60D33C8E" w14:textId="77777777" w:rsidTr="00E92426">
        <w:trPr>
          <w:trHeight w:val="151"/>
        </w:trPr>
        <w:tc>
          <w:tcPr>
            <w:tcW w:w="4200" w:type="dxa"/>
          </w:tcPr>
          <w:p w14:paraId="41E48A5E" w14:textId="77777777" w:rsidR="009A79AC" w:rsidRDefault="00000000" w:rsidP="00E92426">
            <w:pPr>
              <w:widowControl w:val="0"/>
              <w:spacing w:line="240" w:lineRule="auto"/>
              <w:jc w:val="center"/>
              <w:rPr>
                <w:sz w:val="20"/>
                <w:szCs w:val="20"/>
              </w:rPr>
            </w:pPr>
            <w:r>
              <w:rPr>
                <w:sz w:val="20"/>
                <w:szCs w:val="20"/>
              </w:rPr>
              <w:t>Tratados y recomendaciones internacionales</w:t>
            </w:r>
          </w:p>
        </w:tc>
        <w:tc>
          <w:tcPr>
            <w:tcW w:w="4200" w:type="dxa"/>
          </w:tcPr>
          <w:p w14:paraId="779D18F4" w14:textId="77777777" w:rsidR="009A79AC" w:rsidRDefault="00000000" w:rsidP="00E92426">
            <w:pPr>
              <w:widowControl w:val="0"/>
              <w:spacing w:line="240" w:lineRule="auto"/>
              <w:jc w:val="center"/>
              <w:rPr>
                <w:sz w:val="20"/>
                <w:szCs w:val="20"/>
              </w:rPr>
            </w:pPr>
            <w:r>
              <w:rPr>
                <w:sz w:val="20"/>
                <w:szCs w:val="20"/>
              </w:rPr>
              <w:t xml:space="preserve">Artículos </w:t>
            </w:r>
          </w:p>
        </w:tc>
      </w:tr>
      <w:tr w:rsidR="009A79AC" w14:paraId="46A17075" w14:textId="77777777" w:rsidTr="00E92426">
        <w:trPr>
          <w:trHeight w:val="402"/>
        </w:trPr>
        <w:tc>
          <w:tcPr>
            <w:tcW w:w="4200" w:type="dxa"/>
          </w:tcPr>
          <w:p w14:paraId="22C6ED6D" w14:textId="77777777" w:rsidR="009A79AC" w:rsidRDefault="00000000" w:rsidP="00E92426">
            <w:pPr>
              <w:widowControl w:val="0"/>
              <w:spacing w:line="240" w:lineRule="auto"/>
              <w:jc w:val="both"/>
              <w:rPr>
                <w:sz w:val="20"/>
                <w:szCs w:val="20"/>
              </w:rPr>
            </w:pPr>
            <w:r>
              <w:rPr>
                <w:sz w:val="20"/>
                <w:szCs w:val="20"/>
              </w:rPr>
              <w:t>Declaración Universal de los Derechos Humanos</w:t>
            </w:r>
          </w:p>
        </w:tc>
        <w:tc>
          <w:tcPr>
            <w:tcW w:w="4200" w:type="dxa"/>
          </w:tcPr>
          <w:p w14:paraId="448F4045" w14:textId="77777777" w:rsidR="009A79AC" w:rsidRDefault="00000000" w:rsidP="00E92426">
            <w:pPr>
              <w:jc w:val="both"/>
              <w:rPr>
                <w:sz w:val="20"/>
                <w:szCs w:val="20"/>
              </w:rPr>
            </w:pPr>
            <w:r>
              <w:rPr>
                <w:sz w:val="20"/>
                <w:szCs w:val="20"/>
              </w:rPr>
              <w:t>1º, 2º, 3º, 4º, 5º, 6º, 7º, 8º, 9º, 10º, 11º, 12º, 13º, 14º, 16 º, 21 º, 22 º, 25 º, 29 º y 30º</w:t>
            </w:r>
          </w:p>
        </w:tc>
      </w:tr>
      <w:tr w:rsidR="009A79AC" w14:paraId="32F7CEEA" w14:textId="77777777" w:rsidTr="00E92426">
        <w:trPr>
          <w:trHeight w:val="755"/>
        </w:trPr>
        <w:tc>
          <w:tcPr>
            <w:tcW w:w="4200" w:type="dxa"/>
          </w:tcPr>
          <w:p w14:paraId="3A6406BB" w14:textId="77777777" w:rsidR="009A79AC" w:rsidRDefault="00000000" w:rsidP="00E92426">
            <w:pPr>
              <w:jc w:val="both"/>
              <w:rPr>
                <w:sz w:val="20"/>
                <w:szCs w:val="20"/>
              </w:rPr>
            </w:pPr>
            <w:r>
              <w:rPr>
                <w:sz w:val="20"/>
                <w:szCs w:val="20"/>
              </w:rPr>
              <w:t>Convención sobre la eliminación de todas las formas de discriminación contra la mujer - CEDAW</w:t>
            </w:r>
          </w:p>
        </w:tc>
        <w:tc>
          <w:tcPr>
            <w:tcW w:w="4200" w:type="dxa"/>
          </w:tcPr>
          <w:p w14:paraId="2A62FFB0" w14:textId="77777777" w:rsidR="009A79AC" w:rsidRDefault="00000000" w:rsidP="00E92426">
            <w:pPr>
              <w:jc w:val="both"/>
              <w:rPr>
                <w:sz w:val="20"/>
                <w:szCs w:val="20"/>
              </w:rPr>
            </w:pPr>
            <w:r>
              <w:rPr>
                <w:sz w:val="20"/>
                <w:szCs w:val="20"/>
              </w:rPr>
              <w:t>1, 2, 3, 4, 5, 6, 7, 8, 9, 10, 11, 12. 15, 16, 24 y 29</w:t>
            </w:r>
          </w:p>
        </w:tc>
      </w:tr>
      <w:tr w:rsidR="009A79AC" w14:paraId="635F0DF9" w14:textId="77777777" w:rsidTr="00E92426">
        <w:trPr>
          <w:trHeight w:val="741"/>
        </w:trPr>
        <w:tc>
          <w:tcPr>
            <w:tcW w:w="4200" w:type="dxa"/>
          </w:tcPr>
          <w:p w14:paraId="67C9C7E3" w14:textId="77777777" w:rsidR="009A79AC" w:rsidRDefault="00000000" w:rsidP="00E92426">
            <w:pPr>
              <w:jc w:val="both"/>
              <w:rPr>
                <w:sz w:val="20"/>
                <w:szCs w:val="20"/>
              </w:rPr>
            </w:pPr>
            <w:r>
              <w:rPr>
                <w:sz w:val="20"/>
                <w:szCs w:val="20"/>
              </w:rPr>
              <w:t>Convención Interamericana para Prevenir, Castigar y Erradicar la Violencia contra la Mujer, “Convención de Belém do Pará”</w:t>
            </w:r>
          </w:p>
        </w:tc>
        <w:tc>
          <w:tcPr>
            <w:tcW w:w="4200" w:type="dxa"/>
          </w:tcPr>
          <w:p w14:paraId="43064A59" w14:textId="77777777" w:rsidR="009A79AC" w:rsidRDefault="00000000" w:rsidP="00E92426">
            <w:pPr>
              <w:jc w:val="both"/>
              <w:rPr>
                <w:sz w:val="20"/>
                <w:szCs w:val="20"/>
              </w:rPr>
            </w:pPr>
            <w:r>
              <w:rPr>
                <w:sz w:val="20"/>
                <w:szCs w:val="20"/>
              </w:rPr>
              <w:t>3º, 4º, 5º, 6º, 7º, 8º, 9º, 10º, 13º y 14º</w:t>
            </w:r>
          </w:p>
        </w:tc>
      </w:tr>
      <w:tr w:rsidR="009A79AC" w14:paraId="0992BBF6" w14:textId="77777777" w:rsidTr="00E92426">
        <w:trPr>
          <w:trHeight w:val="490"/>
        </w:trPr>
        <w:tc>
          <w:tcPr>
            <w:tcW w:w="4200" w:type="dxa"/>
          </w:tcPr>
          <w:p w14:paraId="50A7FAE6" w14:textId="77777777" w:rsidR="009A79AC" w:rsidRDefault="00000000" w:rsidP="00E92426">
            <w:pPr>
              <w:jc w:val="both"/>
              <w:rPr>
                <w:sz w:val="20"/>
                <w:szCs w:val="20"/>
              </w:rPr>
            </w:pPr>
            <w:r>
              <w:rPr>
                <w:sz w:val="20"/>
                <w:szCs w:val="20"/>
              </w:rPr>
              <w:t xml:space="preserve">Recomendación  CEDAW </w:t>
            </w:r>
            <w:proofErr w:type="spellStart"/>
            <w:r>
              <w:rPr>
                <w:sz w:val="20"/>
                <w:szCs w:val="20"/>
              </w:rPr>
              <w:t>nº</w:t>
            </w:r>
            <w:proofErr w:type="spellEnd"/>
            <w:r>
              <w:rPr>
                <w:b/>
                <w:color w:val="7F7F7F"/>
                <w:sz w:val="20"/>
                <w:szCs w:val="20"/>
              </w:rPr>
              <w:t xml:space="preserve"> </w:t>
            </w:r>
            <w:r>
              <w:rPr>
                <w:sz w:val="20"/>
                <w:szCs w:val="20"/>
              </w:rPr>
              <w:t>19</w:t>
            </w:r>
          </w:p>
        </w:tc>
        <w:tc>
          <w:tcPr>
            <w:tcW w:w="4200" w:type="dxa"/>
          </w:tcPr>
          <w:p w14:paraId="5751238B" w14:textId="77777777" w:rsidR="009A79AC" w:rsidRDefault="00000000" w:rsidP="00E92426">
            <w:pPr>
              <w:jc w:val="both"/>
              <w:rPr>
                <w:sz w:val="18"/>
                <w:szCs w:val="18"/>
              </w:rPr>
            </w:pPr>
            <w:r>
              <w:rPr>
                <w:sz w:val="20"/>
                <w:szCs w:val="20"/>
              </w:rPr>
              <w:t>Precedentes: 1, 3, 5 y 6</w:t>
            </w:r>
          </w:p>
          <w:p w14:paraId="5ECD6B1A" w14:textId="77777777" w:rsidR="009A79AC" w:rsidRDefault="00000000" w:rsidP="00E92426">
            <w:pPr>
              <w:jc w:val="both"/>
              <w:rPr>
                <w:sz w:val="20"/>
                <w:szCs w:val="20"/>
              </w:rPr>
            </w:pPr>
            <w:r>
              <w:rPr>
                <w:sz w:val="20"/>
                <w:szCs w:val="20"/>
              </w:rPr>
              <w:t>Observaciones: 6, 7, 8, 9, 10, 20, 23 y 24</w:t>
            </w:r>
          </w:p>
        </w:tc>
      </w:tr>
      <w:tr w:rsidR="009A79AC" w14:paraId="0DEA6B53" w14:textId="77777777" w:rsidTr="00E92426">
        <w:trPr>
          <w:trHeight w:val="501"/>
        </w:trPr>
        <w:tc>
          <w:tcPr>
            <w:tcW w:w="4200" w:type="dxa"/>
          </w:tcPr>
          <w:p w14:paraId="5D4174FA" w14:textId="77777777" w:rsidR="009A79AC" w:rsidRDefault="00000000" w:rsidP="00E92426">
            <w:pPr>
              <w:jc w:val="both"/>
              <w:rPr>
                <w:sz w:val="20"/>
                <w:szCs w:val="20"/>
              </w:rPr>
            </w:pPr>
            <w:r>
              <w:rPr>
                <w:sz w:val="20"/>
                <w:szCs w:val="20"/>
              </w:rPr>
              <w:t xml:space="preserve">Recomendación   CEDAW </w:t>
            </w:r>
            <w:proofErr w:type="spellStart"/>
            <w:r>
              <w:rPr>
                <w:sz w:val="20"/>
                <w:szCs w:val="20"/>
              </w:rPr>
              <w:t>nº</w:t>
            </w:r>
            <w:proofErr w:type="spellEnd"/>
            <w:r>
              <w:rPr>
                <w:sz w:val="20"/>
                <w:szCs w:val="20"/>
              </w:rPr>
              <w:t xml:space="preserve"> 28</w:t>
            </w:r>
          </w:p>
        </w:tc>
        <w:tc>
          <w:tcPr>
            <w:tcW w:w="4200" w:type="dxa"/>
          </w:tcPr>
          <w:p w14:paraId="333185E5" w14:textId="77777777" w:rsidR="009A79AC" w:rsidRDefault="00000000" w:rsidP="00E92426">
            <w:pPr>
              <w:jc w:val="both"/>
              <w:rPr>
                <w:sz w:val="20"/>
                <w:szCs w:val="20"/>
              </w:rPr>
            </w:pPr>
            <w:r>
              <w:rPr>
                <w:sz w:val="20"/>
                <w:szCs w:val="20"/>
              </w:rPr>
              <w:t>Recomendaciones: 5,9,10,14,16,17,18,19,34 y 35</w:t>
            </w:r>
          </w:p>
        </w:tc>
      </w:tr>
      <w:tr w:rsidR="009A79AC" w14:paraId="07C60AB1" w14:textId="77777777" w:rsidTr="00E92426">
        <w:trPr>
          <w:trHeight w:val="679"/>
        </w:trPr>
        <w:tc>
          <w:tcPr>
            <w:tcW w:w="4200" w:type="dxa"/>
          </w:tcPr>
          <w:p w14:paraId="75240D6A" w14:textId="77777777" w:rsidR="009A79AC" w:rsidRDefault="00000000" w:rsidP="00E92426">
            <w:pPr>
              <w:jc w:val="both"/>
              <w:rPr>
                <w:sz w:val="20"/>
                <w:szCs w:val="20"/>
              </w:rPr>
            </w:pPr>
            <w:r>
              <w:rPr>
                <w:sz w:val="20"/>
                <w:szCs w:val="20"/>
              </w:rPr>
              <w:t xml:space="preserve">Recomendación  CEDAW </w:t>
            </w:r>
            <w:proofErr w:type="spellStart"/>
            <w:r>
              <w:rPr>
                <w:sz w:val="20"/>
                <w:szCs w:val="20"/>
              </w:rPr>
              <w:t>nº</w:t>
            </w:r>
            <w:proofErr w:type="spellEnd"/>
            <w:r>
              <w:rPr>
                <w:sz w:val="20"/>
                <w:szCs w:val="20"/>
              </w:rPr>
              <w:t xml:space="preserve"> 33</w:t>
            </w:r>
          </w:p>
        </w:tc>
        <w:tc>
          <w:tcPr>
            <w:tcW w:w="4200" w:type="dxa"/>
          </w:tcPr>
          <w:p w14:paraId="0323998B" w14:textId="77777777" w:rsidR="009A79AC" w:rsidRDefault="00000000" w:rsidP="00E92426">
            <w:pPr>
              <w:jc w:val="both"/>
              <w:rPr>
                <w:sz w:val="20"/>
                <w:szCs w:val="20"/>
              </w:rPr>
            </w:pPr>
            <w:r>
              <w:rPr>
                <w:sz w:val="20"/>
                <w:szCs w:val="20"/>
              </w:rPr>
              <w:t>Recomendaciones: 1, 3, 4, 5, 8, 11, 14, 15, 16, 17, 18, 19, 20, 22, 24, 25, 26, 27, 28, 29, 32, 33, 34, 35, 36, 37, 39, 41, 42, 44, 46, 51, 53, 56, 58, 60, 64 y 66</w:t>
            </w:r>
          </w:p>
        </w:tc>
      </w:tr>
      <w:tr w:rsidR="009A79AC" w14:paraId="2F9EFF46" w14:textId="77777777" w:rsidTr="00E92426">
        <w:trPr>
          <w:trHeight w:val="212"/>
        </w:trPr>
        <w:tc>
          <w:tcPr>
            <w:tcW w:w="4200" w:type="dxa"/>
          </w:tcPr>
          <w:p w14:paraId="5394EDB0" w14:textId="77777777" w:rsidR="009A79AC" w:rsidRDefault="00000000" w:rsidP="00E92426">
            <w:pPr>
              <w:jc w:val="both"/>
              <w:rPr>
                <w:sz w:val="20"/>
                <w:szCs w:val="20"/>
              </w:rPr>
            </w:pPr>
            <w:proofErr w:type="spellStart"/>
            <w:r>
              <w:rPr>
                <w:sz w:val="20"/>
                <w:szCs w:val="20"/>
              </w:rPr>
              <w:t>Recomendação</w:t>
            </w:r>
            <w:proofErr w:type="spellEnd"/>
            <w:r>
              <w:rPr>
                <w:sz w:val="20"/>
                <w:szCs w:val="20"/>
              </w:rPr>
              <w:t xml:space="preserve">  CEDAW </w:t>
            </w:r>
            <w:proofErr w:type="spellStart"/>
            <w:r>
              <w:rPr>
                <w:sz w:val="20"/>
                <w:szCs w:val="20"/>
              </w:rPr>
              <w:t>nº</w:t>
            </w:r>
            <w:proofErr w:type="spellEnd"/>
            <w:r>
              <w:rPr>
                <w:sz w:val="20"/>
                <w:szCs w:val="20"/>
              </w:rPr>
              <w:t xml:space="preserve"> 35</w:t>
            </w:r>
          </w:p>
        </w:tc>
        <w:tc>
          <w:tcPr>
            <w:tcW w:w="4200" w:type="dxa"/>
          </w:tcPr>
          <w:p w14:paraId="136F4B0D" w14:textId="41C6EECD" w:rsidR="009A79AC" w:rsidRDefault="00000000" w:rsidP="00E92426">
            <w:pPr>
              <w:tabs>
                <w:tab w:val="right" w:pos="4270"/>
              </w:tabs>
              <w:jc w:val="both"/>
              <w:rPr>
                <w:sz w:val="20"/>
                <w:szCs w:val="20"/>
              </w:rPr>
            </w:pPr>
            <w:r>
              <w:rPr>
                <w:sz w:val="20"/>
                <w:szCs w:val="20"/>
              </w:rPr>
              <w:t>Recomendaciones: 1, 2, 5, 6 y 11</w:t>
            </w:r>
            <w:r w:rsidR="00E92426">
              <w:rPr>
                <w:sz w:val="20"/>
                <w:szCs w:val="20"/>
              </w:rPr>
              <w:tab/>
            </w:r>
          </w:p>
        </w:tc>
      </w:tr>
      <w:tr w:rsidR="009A79AC" w14:paraId="301D942A" w14:textId="77777777" w:rsidTr="00E92426">
        <w:trPr>
          <w:trHeight w:val="423"/>
        </w:trPr>
        <w:tc>
          <w:tcPr>
            <w:tcW w:w="4200" w:type="dxa"/>
          </w:tcPr>
          <w:p w14:paraId="01B3FA33" w14:textId="77777777" w:rsidR="009A79AC" w:rsidRDefault="00000000" w:rsidP="00E92426">
            <w:pPr>
              <w:widowControl w:val="0"/>
              <w:spacing w:line="240" w:lineRule="auto"/>
              <w:rPr>
                <w:sz w:val="20"/>
                <w:szCs w:val="20"/>
              </w:rPr>
            </w:pPr>
            <w:r>
              <w:rPr>
                <w:sz w:val="20"/>
                <w:szCs w:val="20"/>
              </w:rPr>
              <w:t xml:space="preserve">Pacto e Declaración de Beijing </w:t>
            </w:r>
          </w:p>
        </w:tc>
        <w:tc>
          <w:tcPr>
            <w:tcW w:w="4200" w:type="dxa"/>
          </w:tcPr>
          <w:p w14:paraId="70921ADD" w14:textId="77777777" w:rsidR="009A79AC" w:rsidRDefault="00000000" w:rsidP="00E92426">
            <w:pPr>
              <w:widowControl w:val="0"/>
              <w:spacing w:line="240" w:lineRule="auto"/>
              <w:rPr>
                <w:sz w:val="20"/>
                <w:szCs w:val="20"/>
              </w:rPr>
            </w:pPr>
            <w:r>
              <w:rPr>
                <w:sz w:val="20"/>
                <w:szCs w:val="20"/>
              </w:rPr>
              <w:t>3, 14, 15, 23,24, 29, 31, 33, 117, 118, 120  y  121 (D - 1 [d y l])</w:t>
            </w:r>
          </w:p>
        </w:tc>
      </w:tr>
    </w:tbl>
    <w:p w14:paraId="79C9CDD2" w14:textId="77777777" w:rsidR="009A79AC" w:rsidRDefault="009A79AC">
      <w:pPr>
        <w:jc w:val="both"/>
        <w:rPr>
          <w:sz w:val="24"/>
          <w:szCs w:val="24"/>
        </w:rPr>
      </w:pPr>
    </w:p>
    <w:p w14:paraId="4DE9E4D4" w14:textId="77777777" w:rsidR="009A79AC" w:rsidRDefault="00000000">
      <w:pPr>
        <w:jc w:val="both"/>
        <w:rPr>
          <w:sz w:val="24"/>
          <w:szCs w:val="24"/>
          <w:highlight w:val="white"/>
        </w:rPr>
      </w:pPr>
      <w:r>
        <w:rPr>
          <w:sz w:val="24"/>
          <w:szCs w:val="24"/>
        </w:rPr>
        <w:lastRenderedPageBreak/>
        <w:t xml:space="preserve">En 2020, el CPI Voz Materna </w:t>
      </w:r>
      <w:hyperlink r:id="rId9">
        <w:r>
          <w:rPr>
            <w:color w:val="1155CC"/>
            <w:sz w:val="24"/>
            <w:szCs w:val="24"/>
            <w:u w:val="single"/>
          </w:rPr>
          <w:t>denunció</w:t>
        </w:r>
      </w:hyperlink>
      <w:r>
        <w:rPr>
          <w:sz w:val="24"/>
          <w:szCs w:val="24"/>
        </w:rPr>
        <w:t xml:space="preserve"> a Brasil en el Comité CEDAW, por el uso de la Ley de Alienación Parental - </w:t>
      </w:r>
      <w:r>
        <w:rPr>
          <w:b/>
          <w:sz w:val="24"/>
          <w:szCs w:val="24"/>
        </w:rPr>
        <w:t>LAP</w:t>
      </w:r>
      <w:r>
        <w:rPr>
          <w:sz w:val="24"/>
          <w:szCs w:val="24"/>
        </w:rPr>
        <w:t xml:space="preserve">, como instrumento de silenciamiento y violencia contra mujeres madres, niños y adolescentes víctimas de violencia doméstica, familiar y la violencia sexual intrafamiliar, Brasil fue </w:t>
      </w:r>
      <w:hyperlink r:id="rId10">
        <w:r>
          <w:rPr>
            <w:color w:val="1155CC"/>
            <w:sz w:val="24"/>
            <w:szCs w:val="24"/>
            <w:u w:val="single"/>
          </w:rPr>
          <w:t>cuestionado</w:t>
        </w:r>
      </w:hyperlink>
      <w:r>
        <w:rPr>
          <w:sz w:val="24"/>
          <w:szCs w:val="24"/>
        </w:rPr>
        <w:t xml:space="preserve">. En 2021, nosotros enviamos el </w:t>
      </w:r>
      <w:hyperlink r:id="rId11">
        <w:r>
          <w:rPr>
            <w:color w:val="1155CC"/>
            <w:sz w:val="24"/>
            <w:szCs w:val="24"/>
            <w:u w:val="single"/>
          </w:rPr>
          <w:t>Informe Sombra</w:t>
        </w:r>
      </w:hyperlink>
      <w:r>
        <w:rPr>
          <w:sz w:val="24"/>
          <w:szCs w:val="24"/>
        </w:rPr>
        <w:t xml:space="preserve">, con el apoyo del </w:t>
      </w:r>
      <w:r>
        <w:rPr>
          <w:sz w:val="24"/>
          <w:szCs w:val="24"/>
          <w:highlight w:val="white"/>
        </w:rPr>
        <w:t>Núcleo de Investigación y Extensión Universitaria en Derechos Humanos (NUPEDH)</w:t>
      </w:r>
      <w:r>
        <w:rPr>
          <w:sz w:val="24"/>
          <w:szCs w:val="24"/>
        </w:rPr>
        <w:t xml:space="preserve"> </w:t>
      </w:r>
      <w:r>
        <w:rPr>
          <w:sz w:val="24"/>
          <w:szCs w:val="24"/>
          <w:highlight w:val="white"/>
        </w:rPr>
        <w:t xml:space="preserve">y </w:t>
      </w:r>
      <w:r>
        <w:rPr>
          <w:sz w:val="24"/>
          <w:szCs w:val="24"/>
        </w:rPr>
        <w:t xml:space="preserve">Grupo de Investigación </w:t>
      </w:r>
      <w:r>
        <w:rPr>
          <w:sz w:val="24"/>
          <w:szCs w:val="24"/>
          <w:highlight w:val="white"/>
        </w:rPr>
        <w:t>(</w:t>
      </w:r>
      <w:proofErr w:type="spellStart"/>
      <w:r>
        <w:rPr>
          <w:sz w:val="24"/>
          <w:szCs w:val="24"/>
          <w:highlight w:val="white"/>
        </w:rPr>
        <w:t>CNPq</w:t>
      </w:r>
      <w:proofErr w:type="spellEnd"/>
      <w:r>
        <w:rPr>
          <w:sz w:val="24"/>
          <w:szCs w:val="24"/>
          <w:highlight w:val="white"/>
        </w:rPr>
        <w:t xml:space="preserve">): </w:t>
      </w:r>
      <w:r>
        <w:rPr>
          <w:sz w:val="24"/>
          <w:szCs w:val="24"/>
        </w:rPr>
        <w:t xml:space="preserve">Derecho, Género e Identidades Plurales (DGIPLUS), </w:t>
      </w:r>
      <w:r>
        <w:rPr>
          <w:sz w:val="24"/>
          <w:szCs w:val="24"/>
          <w:highlight w:val="white"/>
        </w:rPr>
        <w:t xml:space="preserve">vinculados al </w:t>
      </w:r>
      <w:r>
        <w:rPr>
          <w:sz w:val="24"/>
          <w:szCs w:val="24"/>
        </w:rPr>
        <w:t xml:space="preserve">Programa de Postgrado en Derecho y Justicia Social (Maestría) </w:t>
      </w:r>
      <w:r>
        <w:rPr>
          <w:sz w:val="24"/>
          <w:szCs w:val="24"/>
          <w:highlight w:val="white"/>
        </w:rPr>
        <w:t>de la Universidad Federal do Rio Grande.</w:t>
      </w:r>
    </w:p>
    <w:p w14:paraId="20FC7674" w14:textId="77777777" w:rsidR="009A79AC" w:rsidRDefault="009A79AC">
      <w:pPr>
        <w:jc w:val="both"/>
        <w:rPr>
          <w:sz w:val="24"/>
          <w:szCs w:val="24"/>
          <w:highlight w:val="white"/>
        </w:rPr>
      </w:pPr>
    </w:p>
    <w:p w14:paraId="10590707" w14:textId="72FEE0BF" w:rsidR="009A79AC" w:rsidRDefault="00000000">
      <w:pPr>
        <w:jc w:val="both"/>
        <w:rPr>
          <w:b/>
          <w:sz w:val="24"/>
          <w:szCs w:val="24"/>
          <w:highlight w:val="white"/>
        </w:rPr>
      </w:pPr>
      <w:r>
        <w:rPr>
          <w:sz w:val="24"/>
          <w:szCs w:val="24"/>
          <w:highlight w:val="white"/>
        </w:rPr>
        <w:t xml:space="preserve">En este nuevo informe sombra pretendemos actualizar al Comité sobre la continuidad y agravamiento de la violencia contra las mujeres madres, niños y adolescentes en Brasil con el uso de la </w:t>
      </w:r>
      <w:r>
        <w:rPr>
          <w:b/>
          <w:sz w:val="24"/>
          <w:szCs w:val="24"/>
          <w:highlight w:val="white"/>
        </w:rPr>
        <w:t>LAP</w:t>
      </w:r>
      <w:r>
        <w:rPr>
          <w:sz w:val="24"/>
          <w:szCs w:val="24"/>
          <w:highlight w:val="white"/>
        </w:rPr>
        <w:t xml:space="preserve">, términos y correlatos y contamos con el apoyo del </w:t>
      </w:r>
      <w:r>
        <w:rPr>
          <w:b/>
          <w:sz w:val="24"/>
          <w:szCs w:val="24"/>
          <w:highlight w:val="white"/>
        </w:rPr>
        <w:t>Núcleo de Investigación. y Extensión Universitaria en Derechos Humanos</w:t>
      </w:r>
      <w:r>
        <w:rPr>
          <w:sz w:val="24"/>
          <w:szCs w:val="24"/>
          <w:highlight w:val="white"/>
        </w:rPr>
        <w:t xml:space="preserve"> (NUPEDH) y </w:t>
      </w:r>
      <w:r>
        <w:rPr>
          <w:b/>
          <w:sz w:val="24"/>
          <w:szCs w:val="24"/>
          <w:highlight w:val="white"/>
        </w:rPr>
        <w:t>Grupo de Investigación (</w:t>
      </w:r>
      <w:proofErr w:type="spellStart"/>
      <w:r>
        <w:rPr>
          <w:b/>
          <w:sz w:val="24"/>
          <w:szCs w:val="24"/>
          <w:highlight w:val="white"/>
        </w:rPr>
        <w:t>CNPq</w:t>
      </w:r>
      <w:proofErr w:type="spellEnd"/>
      <w:r>
        <w:rPr>
          <w:b/>
          <w:sz w:val="24"/>
          <w:szCs w:val="24"/>
          <w:highlight w:val="white"/>
        </w:rPr>
        <w:t>): Derecho, Género e Identidades Plurales</w:t>
      </w:r>
      <w:r>
        <w:rPr>
          <w:sz w:val="24"/>
          <w:szCs w:val="24"/>
          <w:highlight w:val="white"/>
        </w:rPr>
        <w:t xml:space="preserve"> (DGIPLUS) - FURG</w:t>
      </w:r>
      <w:r>
        <w:rPr>
          <w:sz w:val="24"/>
          <w:szCs w:val="24"/>
          <w:highlight w:val="white"/>
          <w:vertAlign w:val="superscript"/>
        </w:rPr>
        <w:footnoteReference w:id="1"/>
      </w:r>
      <w:r>
        <w:rPr>
          <w:sz w:val="24"/>
          <w:szCs w:val="24"/>
          <w:highlight w:val="white"/>
        </w:rPr>
        <w:t xml:space="preserve">, </w:t>
      </w:r>
      <w:r>
        <w:rPr>
          <w:b/>
          <w:sz w:val="24"/>
          <w:szCs w:val="24"/>
          <w:highlight w:val="white"/>
        </w:rPr>
        <w:t xml:space="preserve">Biblioteca Feminista de la </w:t>
      </w:r>
      <w:r w:rsidR="0023093F">
        <w:rPr>
          <w:b/>
          <w:sz w:val="24"/>
          <w:szCs w:val="24"/>
          <w:highlight w:val="white"/>
        </w:rPr>
        <w:t>Playa</w:t>
      </w:r>
      <w:r>
        <w:rPr>
          <w:b/>
          <w:sz w:val="24"/>
          <w:szCs w:val="24"/>
          <w:highlight w:val="white"/>
        </w:rPr>
        <w:t xml:space="preserve"> Roja</w:t>
      </w:r>
      <w:r>
        <w:rPr>
          <w:sz w:val="24"/>
          <w:szCs w:val="24"/>
          <w:highlight w:val="white"/>
        </w:rPr>
        <w:t xml:space="preserve"> - UFRJ</w:t>
      </w:r>
      <w:r>
        <w:rPr>
          <w:sz w:val="24"/>
          <w:szCs w:val="24"/>
          <w:highlight w:val="white"/>
          <w:vertAlign w:val="superscript"/>
        </w:rPr>
        <w:footnoteReference w:id="2"/>
      </w:r>
      <w:r>
        <w:rPr>
          <w:sz w:val="24"/>
          <w:szCs w:val="24"/>
          <w:highlight w:val="white"/>
        </w:rPr>
        <w:t xml:space="preserve">, </w:t>
      </w:r>
      <w:r>
        <w:rPr>
          <w:b/>
          <w:sz w:val="24"/>
          <w:szCs w:val="24"/>
          <w:highlight w:val="white"/>
        </w:rPr>
        <w:t xml:space="preserve">Clínica Feminista Antirracista Interseccional </w:t>
      </w:r>
      <w:r>
        <w:rPr>
          <w:sz w:val="24"/>
          <w:szCs w:val="24"/>
          <w:highlight w:val="white"/>
        </w:rPr>
        <w:t>-  UFRGS</w:t>
      </w:r>
      <w:r>
        <w:rPr>
          <w:sz w:val="24"/>
          <w:szCs w:val="24"/>
          <w:highlight w:val="white"/>
          <w:vertAlign w:val="superscript"/>
        </w:rPr>
        <w:footnoteReference w:id="3"/>
      </w:r>
      <w:r>
        <w:rPr>
          <w:sz w:val="24"/>
          <w:szCs w:val="24"/>
          <w:highlight w:val="white"/>
        </w:rPr>
        <w:t xml:space="preserve">, </w:t>
      </w:r>
      <w:r>
        <w:rPr>
          <w:b/>
          <w:sz w:val="24"/>
          <w:szCs w:val="24"/>
          <w:highlight w:val="white"/>
        </w:rPr>
        <w:t>Centro de Investigación y Práctica del Derecho Internacional</w:t>
      </w:r>
      <w:r>
        <w:rPr>
          <w:sz w:val="24"/>
          <w:szCs w:val="24"/>
          <w:highlight w:val="white"/>
        </w:rPr>
        <w:t xml:space="preserve"> - UFSM</w:t>
      </w:r>
      <w:r>
        <w:rPr>
          <w:sz w:val="24"/>
          <w:szCs w:val="24"/>
          <w:highlight w:val="white"/>
          <w:vertAlign w:val="superscript"/>
        </w:rPr>
        <w:footnoteReference w:id="4"/>
      </w:r>
      <w:r>
        <w:rPr>
          <w:sz w:val="24"/>
          <w:szCs w:val="24"/>
          <w:highlight w:val="white"/>
        </w:rPr>
        <w:t xml:space="preserve">, </w:t>
      </w:r>
      <w:r>
        <w:rPr>
          <w:b/>
          <w:sz w:val="24"/>
          <w:szCs w:val="24"/>
          <w:highlight w:val="white"/>
        </w:rPr>
        <w:t>Instituto Memoria y Derechos Humanos</w:t>
      </w:r>
      <w:r>
        <w:rPr>
          <w:sz w:val="24"/>
          <w:szCs w:val="24"/>
          <w:highlight w:val="white"/>
        </w:rPr>
        <w:t xml:space="preserve"> UFSC/UDESC y el </w:t>
      </w:r>
      <w:r>
        <w:rPr>
          <w:b/>
          <w:sz w:val="24"/>
          <w:szCs w:val="24"/>
          <w:highlight w:val="white"/>
        </w:rPr>
        <w:t xml:space="preserve">Movimiento Joanna </w:t>
      </w:r>
      <w:proofErr w:type="spellStart"/>
      <w:r>
        <w:rPr>
          <w:b/>
          <w:sz w:val="24"/>
          <w:szCs w:val="24"/>
          <w:highlight w:val="white"/>
        </w:rPr>
        <w:t>Marcenal</w:t>
      </w:r>
      <w:proofErr w:type="spellEnd"/>
      <w:r>
        <w:rPr>
          <w:b/>
          <w:sz w:val="24"/>
          <w:szCs w:val="24"/>
          <w:highlight w:val="white"/>
        </w:rPr>
        <w:t xml:space="preserve"> por la </w:t>
      </w:r>
      <w:r>
        <w:rPr>
          <w:b/>
          <w:sz w:val="24"/>
          <w:szCs w:val="24"/>
        </w:rPr>
        <w:t>derogación de la Ley de Alienación Parental</w:t>
      </w:r>
      <w:r>
        <w:rPr>
          <w:b/>
          <w:sz w:val="24"/>
          <w:szCs w:val="24"/>
          <w:highlight w:val="white"/>
        </w:rPr>
        <w:t>.</w:t>
      </w:r>
    </w:p>
    <w:p w14:paraId="426F4493" w14:textId="77777777" w:rsidR="009A79AC" w:rsidRDefault="009A79AC">
      <w:pPr>
        <w:jc w:val="both"/>
        <w:rPr>
          <w:sz w:val="24"/>
          <w:szCs w:val="24"/>
          <w:highlight w:val="white"/>
        </w:rPr>
      </w:pPr>
    </w:p>
    <w:p w14:paraId="41A69B9C" w14:textId="77777777" w:rsidR="009A79AC" w:rsidRDefault="00000000">
      <w:pPr>
        <w:jc w:val="both"/>
        <w:rPr>
          <w:sz w:val="24"/>
          <w:szCs w:val="24"/>
          <w:highlight w:val="white"/>
        </w:rPr>
      </w:pPr>
      <w:r>
        <w:rPr>
          <w:sz w:val="24"/>
          <w:szCs w:val="24"/>
          <w:highlight w:val="white"/>
        </w:rPr>
        <w:t xml:space="preserve">Destacamos que la </w:t>
      </w:r>
      <w:r>
        <w:rPr>
          <w:b/>
          <w:sz w:val="24"/>
          <w:szCs w:val="24"/>
          <w:highlight w:val="white"/>
        </w:rPr>
        <w:t>LAP</w:t>
      </w:r>
      <w:r>
        <w:rPr>
          <w:sz w:val="24"/>
          <w:szCs w:val="24"/>
          <w:highlight w:val="white"/>
        </w:rPr>
        <w:t xml:space="preserve"> fue aprobada y sancionada en 2010, defendida por </w:t>
      </w:r>
      <w:hyperlink r:id="rId12">
        <w:r>
          <w:rPr>
            <w:color w:val="1155CC"/>
            <w:sz w:val="24"/>
            <w:szCs w:val="24"/>
            <w:highlight w:val="white"/>
            <w:u w:val="single"/>
          </w:rPr>
          <w:t>asociaciones de padres</w:t>
        </w:r>
      </w:hyperlink>
      <w:r>
        <w:rPr>
          <w:sz w:val="24"/>
          <w:szCs w:val="24"/>
          <w:highlight w:val="white"/>
        </w:rPr>
        <w:t xml:space="preserve"> y el Instituto Brasileño de Derecho de Familia (</w:t>
      </w:r>
      <w:hyperlink r:id="rId13" w:anchor=":~:text=A%20este%20processo%20o%20psiquiatra,da%20agressividade%20direcionada%20ao%20parceiro.">
        <w:r>
          <w:rPr>
            <w:color w:val="1155CC"/>
            <w:sz w:val="24"/>
            <w:szCs w:val="24"/>
            <w:highlight w:val="white"/>
            <w:u w:val="single"/>
          </w:rPr>
          <w:t>IBDFAM</w:t>
        </w:r>
      </w:hyperlink>
      <w:r>
        <w:rPr>
          <w:sz w:val="24"/>
          <w:szCs w:val="24"/>
          <w:highlight w:val="white"/>
        </w:rPr>
        <w:t xml:space="preserve">) basándose en el argumento, sin sustento técnico científico, de que las mujeres madres presentaban </w:t>
      </w:r>
      <w:hyperlink r:id="rId14">
        <w:r>
          <w:rPr>
            <w:color w:val="1155CC"/>
            <w:sz w:val="24"/>
            <w:szCs w:val="24"/>
            <w:highlight w:val="white"/>
            <w:u w:val="single"/>
          </w:rPr>
          <w:t>acusaciones falsas</w:t>
        </w:r>
      </w:hyperlink>
      <w:r>
        <w:rPr>
          <w:sz w:val="24"/>
          <w:szCs w:val="24"/>
          <w:highlight w:val="white"/>
        </w:rPr>
        <w:t xml:space="preserve">. de violencia sexual por parte del padre (hombre) contra hijos e hijas (2º en </w:t>
      </w:r>
      <w:hyperlink r:id="rId15">
        <w:r>
          <w:rPr>
            <w:color w:val="1155CC"/>
            <w:sz w:val="24"/>
            <w:szCs w:val="24"/>
            <w:highlight w:val="white"/>
            <w:u w:val="single"/>
          </w:rPr>
          <w:t>explotación sexual</w:t>
        </w:r>
      </w:hyperlink>
      <w:r>
        <w:rPr>
          <w:sz w:val="24"/>
          <w:szCs w:val="24"/>
          <w:highlight w:val="white"/>
        </w:rPr>
        <w:t xml:space="preserve"> y violencia </w:t>
      </w:r>
      <w:hyperlink r:id="rId16" w:anchor=":~:text=Em%202023%2C%20a%20Safernet%20recebeu,de%20Den%C3%BAncias%20de%20Crimes%20Cibern%C3%A9ticos.">
        <w:r>
          <w:rPr>
            <w:color w:val="1155CC"/>
            <w:sz w:val="24"/>
            <w:szCs w:val="24"/>
            <w:highlight w:val="white"/>
            <w:u w:val="single"/>
          </w:rPr>
          <w:t>sexual</w:t>
        </w:r>
      </w:hyperlink>
      <w:r>
        <w:rPr>
          <w:sz w:val="24"/>
          <w:szCs w:val="24"/>
          <w:highlight w:val="white"/>
          <w:vertAlign w:val="superscript"/>
        </w:rPr>
        <w:footnoteReference w:id="5"/>
      </w:r>
      <w:r>
        <w:rPr>
          <w:sz w:val="24"/>
          <w:szCs w:val="24"/>
          <w:highlight w:val="white"/>
        </w:rPr>
        <w:t xml:space="preserve">) para perjudicar el ejercicio de la “paternidad” y en la continuidad de la discriminación contra las madres, el argumento de las falsas denuncias de violencia doméstica (en el 5º país en </w:t>
      </w:r>
      <w:hyperlink r:id="rId17">
        <w:r>
          <w:rPr>
            <w:color w:val="1155CC"/>
            <w:sz w:val="24"/>
            <w:szCs w:val="24"/>
            <w:highlight w:val="white"/>
            <w:u w:val="single"/>
          </w:rPr>
          <w:t>feminicidios</w:t>
        </w:r>
      </w:hyperlink>
      <w:r>
        <w:rPr>
          <w:sz w:val="24"/>
          <w:szCs w:val="24"/>
          <w:highlight w:val="white"/>
        </w:rPr>
        <w:t xml:space="preserve">), </w:t>
      </w:r>
      <w:hyperlink r:id="rId18">
        <w:r>
          <w:rPr>
            <w:color w:val="1155CC"/>
            <w:sz w:val="24"/>
            <w:szCs w:val="24"/>
            <w:highlight w:val="white"/>
            <w:u w:val="single"/>
          </w:rPr>
          <w:t>mala aplicación</w:t>
        </w:r>
      </w:hyperlink>
      <w:r>
        <w:rPr>
          <w:sz w:val="24"/>
          <w:szCs w:val="24"/>
          <w:highlight w:val="white"/>
        </w:rPr>
        <w:t xml:space="preserve"> de la Ley </w:t>
      </w:r>
      <w:proofErr w:type="spellStart"/>
      <w:r>
        <w:rPr>
          <w:sz w:val="24"/>
          <w:szCs w:val="24"/>
          <w:highlight w:val="white"/>
        </w:rPr>
        <w:t>Maria</w:t>
      </w:r>
      <w:proofErr w:type="spellEnd"/>
      <w:r>
        <w:rPr>
          <w:sz w:val="24"/>
          <w:szCs w:val="24"/>
          <w:highlight w:val="white"/>
        </w:rPr>
        <w:t xml:space="preserve"> da </w:t>
      </w:r>
      <w:proofErr w:type="spellStart"/>
      <w:r>
        <w:rPr>
          <w:sz w:val="24"/>
          <w:szCs w:val="24"/>
          <w:highlight w:val="white"/>
        </w:rPr>
        <w:t>Penha</w:t>
      </w:r>
      <w:proofErr w:type="spellEnd"/>
      <w:r>
        <w:rPr>
          <w:sz w:val="24"/>
          <w:szCs w:val="24"/>
          <w:highlight w:val="white"/>
        </w:rPr>
        <w:t xml:space="preserve"> y continuar el lobby para favorecer a los padres (varones) violadores, cambiando la Ley de </w:t>
      </w:r>
      <w:hyperlink r:id="rId19">
        <w:r>
          <w:rPr>
            <w:color w:val="1155CC"/>
            <w:sz w:val="24"/>
            <w:szCs w:val="24"/>
            <w:highlight w:val="white"/>
            <w:u w:val="single"/>
          </w:rPr>
          <w:t>Custodia Compartida</w:t>
        </w:r>
      </w:hyperlink>
      <w:r>
        <w:rPr>
          <w:sz w:val="24"/>
          <w:szCs w:val="24"/>
          <w:highlight w:val="white"/>
        </w:rPr>
        <w:t xml:space="preserve"> </w:t>
      </w:r>
      <w:proofErr w:type="spellStart"/>
      <w:r>
        <w:rPr>
          <w:sz w:val="24"/>
          <w:szCs w:val="24"/>
          <w:highlight w:val="white"/>
        </w:rPr>
        <w:t>haciendola</w:t>
      </w:r>
      <w:proofErr w:type="spellEnd"/>
      <w:r>
        <w:rPr>
          <w:sz w:val="24"/>
          <w:szCs w:val="24"/>
          <w:highlight w:val="white"/>
        </w:rPr>
        <w:t xml:space="preserve"> obligatoria.</w:t>
      </w:r>
    </w:p>
    <w:p w14:paraId="2FAC9234" w14:textId="77777777" w:rsidR="009A79AC" w:rsidRDefault="009A79AC">
      <w:pPr>
        <w:jc w:val="both"/>
        <w:rPr>
          <w:sz w:val="24"/>
          <w:szCs w:val="24"/>
          <w:highlight w:val="white"/>
        </w:rPr>
      </w:pPr>
    </w:p>
    <w:p w14:paraId="0A71A943" w14:textId="77777777" w:rsidR="009A79AC" w:rsidRDefault="00000000">
      <w:pPr>
        <w:jc w:val="both"/>
        <w:rPr>
          <w:sz w:val="24"/>
          <w:szCs w:val="24"/>
          <w:highlight w:val="white"/>
        </w:rPr>
      </w:pPr>
      <w:r>
        <w:rPr>
          <w:sz w:val="24"/>
          <w:szCs w:val="24"/>
          <w:highlight w:val="white"/>
        </w:rPr>
        <w:t xml:space="preserve">En este </w:t>
      </w:r>
      <w:r>
        <w:rPr>
          <w:i/>
          <w:sz w:val="24"/>
          <w:szCs w:val="24"/>
          <w:highlight w:val="white"/>
        </w:rPr>
        <w:t>continuo</w:t>
      </w:r>
      <w:r>
        <w:rPr>
          <w:sz w:val="24"/>
          <w:szCs w:val="24"/>
          <w:highlight w:val="white"/>
        </w:rPr>
        <w:t xml:space="preserve"> de violaciones promovidas por el Estado brasileño, tenemos la intensificación de la </w:t>
      </w:r>
      <w:hyperlink r:id="rId20" w:anchor=":~:text=Pesquisa%20aponta%20necessidade%20de%20proteger%20crian%C3%A7as%20durante%20separa%C3%A7%C3%B5es%20litigiosas,-2%20de%20maio&amp;text=Apesar%20do%20equil%C3%ADbrio%20no%20n%C3%BAmero,entre%20seus%20pais%20e%20m%C3%A3es">
        <w:r>
          <w:rPr>
            <w:color w:val="1155CC"/>
            <w:sz w:val="24"/>
            <w:szCs w:val="24"/>
            <w:highlight w:val="white"/>
            <w:u w:val="single"/>
          </w:rPr>
          <w:t>violencia institucional</w:t>
        </w:r>
      </w:hyperlink>
      <w:r>
        <w:rPr>
          <w:sz w:val="24"/>
          <w:szCs w:val="24"/>
          <w:highlight w:val="white"/>
        </w:rPr>
        <w:t xml:space="preserve"> según datos del Consejo Nacional de </w:t>
      </w:r>
      <w:r>
        <w:rPr>
          <w:sz w:val="24"/>
          <w:szCs w:val="24"/>
          <w:highlight w:val="white"/>
        </w:rPr>
        <w:lastRenderedPageBreak/>
        <w:t xml:space="preserve">Justicia contra las mujeres madres, la modificación de la </w:t>
      </w:r>
      <w:r>
        <w:rPr>
          <w:b/>
          <w:sz w:val="24"/>
          <w:szCs w:val="24"/>
          <w:highlight w:val="white"/>
        </w:rPr>
        <w:t>LAP</w:t>
      </w:r>
      <w:r>
        <w:rPr>
          <w:sz w:val="24"/>
          <w:szCs w:val="24"/>
          <w:highlight w:val="white"/>
        </w:rPr>
        <w:t xml:space="preserve"> (Ley </w:t>
      </w:r>
      <w:proofErr w:type="spellStart"/>
      <w:r>
        <w:rPr>
          <w:sz w:val="24"/>
          <w:szCs w:val="24"/>
          <w:highlight w:val="white"/>
        </w:rPr>
        <w:t>nº</w:t>
      </w:r>
      <w:proofErr w:type="spellEnd"/>
      <w:r>
        <w:rPr>
          <w:sz w:val="24"/>
          <w:szCs w:val="24"/>
          <w:highlight w:val="white"/>
        </w:rPr>
        <w:t xml:space="preserve"> </w:t>
      </w:r>
      <w:hyperlink r:id="rId21" w:anchor="art2">
        <w:r>
          <w:rPr>
            <w:color w:val="1155CC"/>
            <w:sz w:val="24"/>
            <w:szCs w:val="24"/>
            <w:highlight w:val="white"/>
            <w:u w:val="single"/>
          </w:rPr>
          <w:t>14340/2022</w:t>
        </w:r>
      </w:hyperlink>
      <w:r>
        <w:rPr>
          <w:sz w:val="24"/>
          <w:szCs w:val="24"/>
          <w:highlight w:val="white"/>
        </w:rPr>
        <w:t xml:space="preserve">), con la patologización de las madres, el número </w:t>
      </w:r>
      <w:hyperlink r:id="rId22">
        <w:r>
          <w:rPr>
            <w:color w:val="1155CC"/>
            <w:sz w:val="24"/>
            <w:szCs w:val="24"/>
            <w:highlight w:val="white"/>
            <w:u w:val="single"/>
          </w:rPr>
          <w:t xml:space="preserve">exorbitante </w:t>
        </w:r>
      </w:hyperlink>
      <w:r>
        <w:rPr>
          <w:sz w:val="24"/>
          <w:szCs w:val="24"/>
          <w:highlight w:val="white"/>
        </w:rPr>
        <w:t>de proyectos de Ley para mantener el uso del término “alienación parental” y sus correlatos, el aumento de los feminicidios</w:t>
      </w:r>
      <w:r>
        <w:rPr>
          <w:sz w:val="24"/>
          <w:szCs w:val="24"/>
        </w:rPr>
        <w:t xml:space="preserve"> </w:t>
      </w:r>
      <w:r>
        <w:rPr>
          <w:sz w:val="24"/>
          <w:szCs w:val="24"/>
          <w:highlight w:val="white"/>
        </w:rPr>
        <w:t xml:space="preserve"> y la explosión de las violaciones.</w:t>
      </w:r>
    </w:p>
    <w:p w14:paraId="4577370C" w14:textId="77777777" w:rsidR="009A79AC" w:rsidRDefault="00000000">
      <w:pPr>
        <w:jc w:val="both"/>
        <w:rPr>
          <w:sz w:val="24"/>
          <w:szCs w:val="24"/>
        </w:rPr>
      </w:pPr>
      <w:r>
        <w:rPr>
          <w:sz w:val="24"/>
          <w:szCs w:val="24"/>
          <w:highlight w:val="white"/>
        </w:rPr>
        <w:t xml:space="preserve"> </w:t>
      </w:r>
    </w:p>
    <w:p w14:paraId="09879AAF" w14:textId="77777777" w:rsidR="009A79AC" w:rsidRDefault="00000000">
      <w:pPr>
        <w:jc w:val="both"/>
        <w:rPr>
          <w:sz w:val="20"/>
          <w:szCs w:val="20"/>
        </w:rPr>
      </w:pPr>
      <w:r>
        <w:rPr>
          <w:b/>
          <w:sz w:val="24"/>
          <w:szCs w:val="24"/>
          <w:shd w:val="clear" w:color="auto" w:fill="FFF2CC"/>
        </w:rPr>
        <w:t>Violencia institucional</w:t>
      </w:r>
      <w:r>
        <w:rPr>
          <w:b/>
          <w:sz w:val="24"/>
          <w:szCs w:val="24"/>
        </w:rPr>
        <w:t xml:space="preserve">: </w:t>
      </w:r>
    </w:p>
    <w:p w14:paraId="3245DE74" w14:textId="77777777" w:rsidR="009A79AC" w:rsidRDefault="00000000">
      <w:pPr>
        <w:numPr>
          <w:ilvl w:val="0"/>
          <w:numId w:val="3"/>
        </w:numPr>
        <w:spacing w:line="240" w:lineRule="auto"/>
        <w:ind w:right="-40"/>
        <w:jc w:val="both"/>
      </w:pPr>
      <w:r>
        <w:rPr>
          <w:sz w:val="20"/>
          <w:szCs w:val="20"/>
        </w:rPr>
        <w:t>Busca</w:t>
      </w:r>
      <w:r>
        <w:rPr>
          <w:sz w:val="20"/>
          <w:szCs w:val="20"/>
          <w:vertAlign w:val="superscript"/>
        </w:rPr>
        <w:footnoteReference w:id="6"/>
      </w:r>
      <w:r>
        <w:rPr>
          <w:sz w:val="20"/>
          <w:szCs w:val="20"/>
        </w:rPr>
        <w:t xml:space="preserve">: En análisis de las sentencias contando los años 2019 y 2020, totalizando 118 sentencias, de las cuales </w:t>
      </w:r>
      <w:r>
        <w:rPr>
          <w:b/>
          <w:sz w:val="20"/>
          <w:szCs w:val="20"/>
        </w:rPr>
        <w:t>107 acusaron a mujeres/madres de alienación parental</w:t>
      </w:r>
      <w:r>
        <w:rPr>
          <w:sz w:val="20"/>
          <w:szCs w:val="20"/>
        </w:rPr>
        <w:t xml:space="preserve">, la lista de </w:t>
      </w:r>
      <w:r>
        <w:rPr>
          <w:b/>
          <w:sz w:val="20"/>
          <w:szCs w:val="20"/>
        </w:rPr>
        <w:t xml:space="preserve">estereotipos atribuidos a las mujeres </w:t>
      </w:r>
      <w:r>
        <w:rPr>
          <w:sz w:val="20"/>
          <w:szCs w:val="20"/>
        </w:rPr>
        <w:t xml:space="preserve">en una proporción abrumadora, ya que se utilizaron </w:t>
      </w:r>
      <w:r>
        <w:rPr>
          <w:b/>
          <w:sz w:val="20"/>
          <w:szCs w:val="20"/>
        </w:rPr>
        <w:t>40</w:t>
      </w:r>
      <w:r>
        <w:rPr>
          <w:sz w:val="20"/>
          <w:szCs w:val="20"/>
        </w:rPr>
        <w:t xml:space="preserve"> adjetivos contra las mujeres en 2019 y </w:t>
      </w:r>
      <w:r>
        <w:rPr>
          <w:b/>
          <w:sz w:val="20"/>
          <w:szCs w:val="20"/>
        </w:rPr>
        <w:t>39</w:t>
      </w:r>
      <w:r>
        <w:rPr>
          <w:sz w:val="20"/>
          <w:szCs w:val="20"/>
        </w:rPr>
        <w:t xml:space="preserve"> en 2020, mientras que contra los hombres fueron 4 en 2019 y 7 en 2020. (</w:t>
      </w:r>
      <w:hyperlink r:id="rId23">
        <w:r>
          <w:rPr>
            <w:color w:val="1155CC"/>
            <w:sz w:val="20"/>
            <w:szCs w:val="20"/>
            <w:u w:val="single"/>
          </w:rPr>
          <w:t>STOLZ</w:t>
        </w:r>
      </w:hyperlink>
      <w:r>
        <w:rPr>
          <w:sz w:val="20"/>
          <w:szCs w:val="20"/>
        </w:rPr>
        <w:t xml:space="preserve"> y LEMOS)</w:t>
      </w:r>
      <w:r>
        <w:t xml:space="preserve"> </w:t>
      </w:r>
    </w:p>
    <w:p w14:paraId="3D73C86E" w14:textId="77777777" w:rsidR="009A79AC" w:rsidRDefault="00000000">
      <w:pPr>
        <w:numPr>
          <w:ilvl w:val="0"/>
          <w:numId w:val="3"/>
        </w:numPr>
        <w:spacing w:line="240" w:lineRule="auto"/>
        <w:ind w:right="-40"/>
        <w:jc w:val="both"/>
        <w:rPr>
          <w:sz w:val="24"/>
          <w:szCs w:val="24"/>
        </w:rPr>
      </w:pPr>
      <w:r>
        <w:rPr>
          <w:sz w:val="20"/>
          <w:szCs w:val="20"/>
        </w:rPr>
        <w:t>Busca</w:t>
      </w:r>
      <w:r>
        <w:rPr>
          <w:sz w:val="20"/>
          <w:szCs w:val="20"/>
          <w:vertAlign w:val="superscript"/>
        </w:rPr>
        <w:footnoteReference w:id="7"/>
      </w:r>
      <w:r>
        <w:rPr>
          <w:sz w:val="20"/>
          <w:szCs w:val="20"/>
        </w:rPr>
        <w:t xml:space="preserve">: La tabla </w:t>
      </w:r>
      <w:r>
        <w:rPr>
          <w:b/>
          <w:sz w:val="20"/>
          <w:szCs w:val="20"/>
        </w:rPr>
        <w:t>04</w:t>
      </w:r>
      <w:r>
        <w:rPr>
          <w:sz w:val="20"/>
          <w:szCs w:val="20"/>
        </w:rPr>
        <w:t>, TJSP</w:t>
      </w:r>
      <w:r>
        <w:rPr>
          <w:sz w:val="20"/>
          <w:szCs w:val="20"/>
          <w:vertAlign w:val="superscript"/>
        </w:rPr>
        <w:footnoteReference w:id="8"/>
      </w:r>
      <w:r>
        <w:rPr>
          <w:sz w:val="20"/>
          <w:szCs w:val="20"/>
        </w:rPr>
        <w:t>, en 1º grado en</w:t>
      </w:r>
      <w:r>
        <w:rPr>
          <w:b/>
          <w:sz w:val="20"/>
          <w:szCs w:val="20"/>
        </w:rPr>
        <w:t xml:space="preserve"> 82% utilizaron prueba médica contra la madre</w:t>
      </w:r>
      <w:r>
        <w:rPr>
          <w:sz w:val="20"/>
          <w:szCs w:val="20"/>
        </w:rPr>
        <w:t>; en 2º grado  en 88% se utilizó prueba médica en contra de la madre. En el TJMG</w:t>
      </w:r>
      <w:r>
        <w:rPr>
          <w:sz w:val="20"/>
          <w:szCs w:val="20"/>
          <w:vertAlign w:val="superscript"/>
        </w:rPr>
        <w:footnoteReference w:id="9"/>
      </w:r>
      <w:r>
        <w:rPr>
          <w:sz w:val="20"/>
          <w:szCs w:val="20"/>
        </w:rPr>
        <w:t xml:space="preserve">, en 1º grado en </w:t>
      </w:r>
      <w:r>
        <w:rPr>
          <w:b/>
          <w:sz w:val="20"/>
          <w:szCs w:val="20"/>
        </w:rPr>
        <w:t>76% utilizaron prueba médica contra la madre</w:t>
      </w:r>
      <w:r>
        <w:rPr>
          <w:sz w:val="20"/>
          <w:szCs w:val="20"/>
        </w:rPr>
        <w:t xml:space="preserve">; en 2º grado en </w:t>
      </w:r>
      <w:r>
        <w:rPr>
          <w:b/>
          <w:sz w:val="20"/>
          <w:szCs w:val="20"/>
        </w:rPr>
        <w:t>80% se utilizó prueba médica en contra de la madre.</w:t>
      </w:r>
      <w:r>
        <w:rPr>
          <w:sz w:val="20"/>
          <w:szCs w:val="20"/>
        </w:rPr>
        <w:t xml:space="preserve"> En el TJRJ</w:t>
      </w:r>
      <w:r>
        <w:rPr>
          <w:sz w:val="20"/>
          <w:szCs w:val="20"/>
          <w:vertAlign w:val="superscript"/>
        </w:rPr>
        <w:footnoteReference w:id="10"/>
      </w:r>
      <w:r>
        <w:rPr>
          <w:sz w:val="20"/>
          <w:szCs w:val="20"/>
        </w:rPr>
        <w:t>, solo acciones en 2</w:t>
      </w:r>
      <w:r>
        <w:rPr>
          <w:b/>
          <w:sz w:val="20"/>
          <w:szCs w:val="20"/>
        </w:rPr>
        <w:t>º grado en 88% utilizó prueba médica en contra de la madre. Tabla</w:t>
      </w:r>
      <w:r>
        <w:rPr>
          <w:sz w:val="20"/>
          <w:szCs w:val="20"/>
        </w:rPr>
        <w:t xml:space="preserve"> 06, la </w:t>
      </w:r>
      <w:r>
        <w:rPr>
          <w:b/>
          <w:sz w:val="20"/>
          <w:szCs w:val="20"/>
        </w:rPr>
        <w:t>relación de la violencia doméstica y familiar contra la mujer/madre.</w:t>
      </w:r>
      <w:r>
        <w:rPr>
          <w:sz w:val="20"/>
          <w:szCs w:val="20"/>
        </w:rPr>
        <w:t xml:space="preserve"> En el TJSP </w:t>
      </w:r>
      <w:r>
        <w:rPr>
          <w:b/>
          <w:sz w:val="20"/>
          <w:szCs w:val="20"/>
        </w:rPr>
        <w:t>66% el padre alega alienación parental,</w:t>
      </w:r>
      <w:r>
        <w:rPr>
          <w:sz w:val="20"/>
          <w:szCs w:val="20"/>
        </w:rPr>
        <w:t xml:space="preserve"> en relación a la violencia contra la mujer, se alegó violencia en 55% y se denunció violencia en 45% de las actuaciones, </w:t>
      </w:r>
      <w:r>
        <w:rPr>
          <w:b/>
          <w:sz w:val="20"/>
          <w:szCs w:val="20"/>
        </w:rPr>
        <w:t>en 13% se consideró atribución de la alienación parental a la madre</w:t>
      </w:r>
      <w:r>
        <w:rPr>
          <w:sz w:val="20"/>
          <w:szCs w:val="20"/>
        </w:rPr>
        <w:t xml:space="preserve"> y en 61% no se imputa; en 2º grado en </w:t>
      </w:r>
      <w:r>
        <w:rPr>
          <w:b/>
          <w:sz w:val="20"/>
          <w:szCs w:val="20"/>
        </w:rPr>
        <w:t>62% el padre alega alienación parental</w:t>
      </w:r>
      <w:r>
        <w:rPr>
          <w:sz w:val="20"/>
          <w:szCs w:val="20"/>
        </w:rPr>
        <w:t xml:space="preserve">, en relación a la violencia contra la mujer, se alegó violencia en 18% y se </w:t>
      </w:r>
      <w:r>
        <w:rPr>
          <w:b/>
          <w:sz w:val="20"/>
          <w:szCs w:val="20"/>
        </w:rPr>
        <w:t>denunció violencia en 81%</w:t>
      </w:r>
      <w:r>
        <w:rPr>
          <w:sz w:val="20"/>
          <w:szCs w:val="20"/>
        </w:rPr>
        <w:t xml:space="preserve"> de las actuaciones, </w:t>
      </w:r>
      <w:r>
        <w:rPr>
          <w:b/>
          <w:sz w:val="20"/>
          <w:szCs w:val="20"/>
        </w:rPr>
        <w:t>en el 12% se consideró atribución de la alienación parental a la madre</w:t>
      </w:r>
      <w:r>
        <w:rPr>
          <w:sz w:val="20"/>
          <w:szCs w:val="20"/>
        </w:rPr>
        <w:t xml:space="preserve"> y en 52% no se imputaron. En el TJMG 1º grado, en </w:t>
      </w:r>
      <w:r>
        <w:rPr>
          <w:b/>
          <w:sz w:val="20"/>
          <w:szCs w:val="20"/>
        </w:rPr>
        <w:t>35% el padre alega alienación parental</w:t>
      </w:r>
      <w:r>
        <w:rPr>
          <w:sz w:val="20"/>
          <w:szCs w:val="20"/>
        </w:rPr>
        <w:t>, en 24% alega la madre, en cuanto a violencia contra la mujer, se alegó violencia en 47% y</w:t>
      </w:r>
      <w:r>
        <w:rPr>
          <w:b/>
          <w:sz w:val="20"/>
          <w:szCs w:val="20"/>
        </w:rPr>
        <w:t xml:space="preserve"> se denunció violencia en 53% de las actuaciones</w:t>
      </w:r>
      <w:r>
        <w:rPr>
          <w:sz w:val="20"/>
          <w:szCs w:val="20"/>
        </w:rPr>
        <w:t xml:space="preserve">, </w:t>
      </w:r>
      <w:r>
        <w:rPr>
          <w:b/>
          <w:sz w:val="20"/>
          <w:szCs w:val="20"/>
        </w:rPr>
        <w:t>en 17% se consideró atribución de la alienación parental a la madre</w:t>
      </w:r>
      <w:r>
        <w:rPr>
          <w:sz w:val="20"/>
          <w:szCs w:val="20"/>
        </w:rPr>
        <w:t xml:space="preserve"> y en 47% no se imputa; en 2º grado en </w:t>
      </w:r>
      <w:r>
        <w:rPr>
          <w:b/>
          <w:sz w:val="20"/>
          <w:szCs w:val="20"/>
        </w:rPr>
        <w:t>60% el padre alega alienación parental</w:t>
      </w:r>
      <w:r>
        <w:rPr>
          <w:sz w:val="20"/>
          <w:szCs w:val="20"/>
        </w:rPr>
        <w:t xml:space="preserve">, la madre alega en el 0%, en relación a la violencia contra la mujer, se alegó violencia en 30% y se denunció violencia en 70% de las actuaciones, </w:t>
      </w:r>
      <w:r>
        <w:rPr>
          <w:b/>
          <w:sz w:val="20"/>
          <w:szCs w:val="20"/>
        </w:rPr>
        <w:t xml:space="preserve">en 70% se consideró atribución de la alienación parental a la madre </w:t>
      </w:r>
      <w:r>
        <w:rPr>
          <w:sz w:val="20"/>
          <w:szCs w:val="20"/>
        </w:rPr>
        <w:t xml:space="preserve">y en 10% no se imputaron. En el TJRJ, 2º grado en </w:t>
      </w:r>
      <w:r>
        <w:rPr>
          <w:b/>
          <w:sz w:val="20"/>
          <w:szCs w:val="20"/>
        </w:rPr>
        <w:t>75% el padre alega alienación parental</w:t>
      </w:r>
      <w:r>
        <w:rPr>
          <w:sz w:val="20"/>
          <w:szCs w:val="20"/>
        </w:rPr>
        <w:t>, la</w:t>
      </w:r>
      <w:r>
        <w:t xml:space="preserve"> </w:t>
      </w:r>
      <w:r>
        <w:rPr>
          <w:sz w:val="20"/>
          <w:szCs w:val="20"/>
        </w:rPr>
        <w:t xml:space="preserve">madre alega en 0%, en relación a la violencia contra la mujer se alegó violencia en 25% de los casos y se denunció violencia en 75% de las actuaciones, </w:t>
      </w:r>
      <w:r>
        <w:rPr>
          <w:b/>
          <w:sz w:val="20"/>
          <w:szCs w:val="20"/>
        </w:rPr>
        <w:t>se consideró atribución de la alienación parental a la madre en 50%</w:t>
      </w:r>
      <w:r>
        <w:rPr>
          <w:sz w:val="20"/>
          <w:szCs w:val="20"/>
        </w:rPr>
        <w:t xml:space="preserve"> y 37% no imputado. (</w:t>
      </w:r>
      <w:hyperlink r:id="rId24">
        <w:r>
          <w:rPr>
            <w:color w:val="1155CC"/>
            <w:sz w:val="20"/>
            <w:szCs w:val="20"/>
            <w:u w:val="single"/>
          </w:rPr>
          <w:t>VILLARROEL</w:t>
        </w:r>
      </w:hyperlink>
      <w:r>
        <w:rPr>
          <w:sz w:val="20"/>
          <w:szCs w:val="20"/>
        </w:rPr>
        <w:t xml:space="preserve"> y SEVERI, 2021) (traducción libre y aspectos destacados de las autoras de este informe)</w:t>
      </w:r>
    </w:p>
    <w:p w14:paraId="1DDCF7F5" w14:textId="77777777" w:rsidR="009A79AC" w:rsidRDefault="00000000">
      <w:pPr>
        <w:numPr>
          <w:ilvl w:val="0"/>
          <w:numId w:val="3"/>
        </w:numPr>
        <w:spacing w:line="240" w:lineRule="auto"/>
        <w:ind w:right="-40"/>
        <w:jc w:val="both"/>
        <w:rPr>
          <w:sz w:val="24"/>
          <w:szCs w:val="24"/>
        </w:rPr>
      </w:pPr>
      <w:r>
        <w:rPr>
          <w:b/>
          <w:sz w:val="24"/>
          <w:szCs w:val="24"/>
          <w:shd w:val="clear" w:color="auto" w:fill="FFF2CC"/>
        </w:rPr>
        <w:t>Datos de violencias:</w:t>
      </w:r>
    </w:p>
    <w:p w14:paraId="41213D3B" w14:textId="77777777" w:rsidR="009A79AC" w:rsidRDefault="00000000">
      <w:pPr>
        <w:numPr>
          <w:ilvl w:val="1"/>
          <w:numId w:val="3"/>
        </w:numPr>
        <w:spacing w:line="240" w:lineRule="auto"/>
        <w:ind w:right="-40"/>
        <w:jc w:val="both"/>
        <w:rPr>
          <w:sz w:val="20"/>
          <w:szCs w:val="20"/>
        </w:rPr>
      </w:pPr>
      <w:r>
        <w:rPr>
          <w:b/>
          <w:sz w:val="20"/>
          <w:szCs w:val="20"/>
        </w:rPr>
        <w:t>5º</w:t>
      </w:r>
      <w:r>
        <w:rPr>
          <w:sz w:val="20"/>
          <w:szCs w:val="20"/>
        </w:rPr>
        <w:t xml:space="preserve"> país em </w:t>
      </w:r>
      <w:hyperlink r:id="rId25">
        <w:proofErr w:type="spellStart"/>
        <w:r>
          <w:rPr>
            <w:color w:val="1155CC"/>
            <w:sz w:val="20"/>
            <w:szCs w:val="20"/>
            <w:u w:val="single"/>
          </w:rPr>
          <w:t>feminicídios</w:t>
        </w:r>
        <w:proofErr w:type="spellEnd"/>
      </w:hyperlink>
      <w:r>
        <w:rPr>
          <w:sz w:val="20"/>
          <w:szCs w:val="20"/>
          <w:vertAlign w:val="superscript"/>
        </w:rPr>
        <w:footnoteReference w:id="11"/>
      </w:r>
      <w:r>
        <w:rPr>
          <w:sz w:val="20"/>
          <w:szCs w:val="20"/>
        </w:rPr>
        <w:t xml:space="preserve"> desde 2013.</w:t>
      </w:r>
    </w:p>
    <w:p w14:paraId="3336E85C" w14:textId="77777777" w:rsidR="009A79AC" w:rsidRDefault="00000000">
      <w:pPr>
        <w:widowControl w:val="0"/>
        <w:numPr>
          <w:ilvl w:val="1"/>
          <w:numId w:val="3"/>
        </w:numPr>
        <w:spacing w:line="240" w:lineRule="auto"/>
        <w:jc w:val="both"/>
        <w:rPr>
          <w:sz w:val="20"/>
          <w:szCs w:val="20"/>
        </w:rPr>
      </w:pPr>
      <w:hyperlink r:id="rId26">
        <w:r>
          <w:rPr>
            <w:color w:val="1155CC"/>
            <w:sz w:val="20"/>
            <w:szCs w:val="20"/>
            <w:u w:val="single"/>
          </w:rPr>
          <w:t>FBSP</w:t>
        </w:r>
      </w:hyperlink>
      <w:r>
        <w:rPr>
          <w:sz w:val="20"/>
          <w:szCs w:val="20"/>
        </w:rPr>
        <w:t xml:space="preserve"> (/2023) l</w:t>
      </w:r>
      <w:r>
        <w:rPr>
          <w:b/>
          <w:sz w:val="20"/>
          <w:szCs w:val="20"/>
        </w:rPr>
        <w:t>os feminicidios han aumentado 6,1%</w:t>
      </w:r>
      <w:r>
        <w:rPr>
          <w:sz w:val="20"/>
          <w:szCs w:val="20"/>
        </w:rPr>
        <w:t xml:space="preserve"> en 2022</w:t>
      </w:r>
      <w:r>
        <w:rPr>
          <w:sz w:val="20"/>
          <w:szCs w:val="20"/>
          <w:vertAlign w:val="superscript"/>
        </w:rPr>
        <w:footnoteReference w:id="12"/>
      </w:r>
      <w:r>
        <w:rPr>
          <w:sz w:val="20"/>
          <w:szCs w:val="20"/>
        </w:rPr>
        <w:t xml:space="preserve">. </w:t>
      </w:r>
    </w:p>
    <w:p w14:paraId="5C7CE8C9" w14:textId="77777777" w:rsidR="009A79AC" w:rsidRDefault="00000000">
      <w:pPr>
        <w:widowControl w:val="0"/>
        <w:numPr>
          <w:ilvl w:val="1"/>
          <w:numId w:val="3"/>
        </w:numPr>
        <w:spacing w:line="240" w:lineRule="auto"/>
        <w:jc w:val="both"/>
        <w:rPr>
          <w:sz w:val="20"/>
          <w:szCs w:val="20"/>
        </w:rPr>
      </w:pPr>
      <w:hyperlink r:id="rId27">
        <w:r>
          <w:rPr>
            <w:color w:val="1155CC"/>
            <w:sz w:val="20"/>
            <w:szCs w:val="20"/>
            <w:u w:val="single"/>
          </w:rPr>
          <w:t>FBSP</w:t>
        </w:r>
      </w:hyperlink>
      <w:r>
        <w:rPr>
          <w:b/>
          <w:sz w:val="20"/>
          <w:szCs w:val="20"/>
        </w:rPr>
        <w:t xml:space="preserve"> </w:t>
      </w:r>
      <w:r>
        <w:rPr>
          <w:sz w:val="20"/>
          <w:szCs w:val="20"/>
        </w:rPr>
        <w:t>(2023)</w:t>
      </w:r>
      <w:r>
        <w:rPr>
          <w:b/>
          <w:sz w:val="20"/>
          <w:szCs w:val="20"/>
        </w:rPr>
        <w:t xml:space="preserve"> Principal autor de la violencia</w:t>
      </w:r>
      <w:r>
        <w:rPr>
          <w:sz w:val="20"/>
          <w:szCs w:val="20"/>
          <w:vertAlign w:val="superscript"/>
        </w:rPr>
        <w:footnoteReference w:id="13"/>
      </w:r>
      <w:r>
        <w:rPr>
          <w:sz w:val="20"/>
          <w:szCs w:val="20"/>
        </w:rPr>
        <w:t>-  excónyuge/pareja/novio.</w:t>
      </w:r>
    </w:p>
    <w:p w14:paraId="3EFB5F48" w14:textId="77777777" w:rsidR="009A79AC" w:rsidRDefault="00000000">
      <w:pPr>
        <w:pStyle w:val="Ttulo1"/>
        <w:keepNext w:val="0"/>
        <w:keepLines w:val="0"/>
        <w:widowControl w:val="0"/>
        <w:numPr>
          <w:ilvl w:val="1"/>
          <w:numId w:val="3"/>
        </w:numPr>
        <w:spacing w:before="0" w:after="0" w:line="240" w:lineRule="auto"/>
        <w:jc w:val="both"/>
        <w:rPr>
          <w:sz w:val="20"/>
          <w:szCs w:val="20"/>
        </w:rPr>
      </w:pPr>
      <w:bookmarkStart w:id="0" w:name="_jvt5mwh3wg5y" w:colFirst="0" w:colLast="0"/>
      <w:bookmarkEnd w:id="0"/>
      <w:r>
        <w:rPr>
          <w:sz w:val="20"/>
          <w:szCs w:val="20"/>
        </w:rPr>
        <w:t xml:space="preserve">Número de </w:t>
      </w:r>
      <w:r>
        <w:rPr>
          <w:b/>
          <w:sz w:val="20"/>
          <w:szCs w:val="20"/>
        </w:rPr>
        <w:t>feminicidios en 2023 es el mayor</w:t>
      </w:r>
      <w:r>
        <w:rPr>
          <w:b/>
          <w:sz w:val="20"/>
          <w:szCs w:val="20"/>
          <w:vertAlign w:val="superscript"/>
        </w:rPr>
        <w:footnoteReference w:id="14"/>
      </w:r>
      <w:r>
        <w:rPr>
          <w:b/>
          <w:sz w:val="20"/>
          <w:szCs w:val="20"/>
        </w:rPr>
        <w:t xml:space="preserve"> de la serie histórica en Brasil</w:t>
      </w:r>
      <w:r>
        <w:rPr>
          <w:sz w:val="20"/>
          <w:szCs w:val="20"/>
        </w:rPr>
        <w:t xml:space="preserve">, dice Foro de </w:t>
      </w:r>
      <w:hyperlink r:id="rId28">
        <w:r>
          <w:rPr>
            <w:color w:val="1155CC"/>
            <w:sz w:val="20"/>
            <w:szCs w:val="20"/>
            <w:u w:val="single"/>
          </w:rPr>
          <w:t>Seguridad Pública</w:t>
        </w:r>
      </w:hyperlink>
      <w:r>
        <w:rPr>
          <w:sz w:val="20"/>
          <w:szCs w:val="20"/>
        </w:rPr>
        <w:t xml:space="preserve">. </w:t>
      </w:r>
    </w:p>
    <w:p w14:paraId="4C831516" w14:textId="77777777" w:rsidR="009A79AC" w:rsidRDefault="00000000">
      <w:pPr>
        <w:numPr>
          <w:ilvl w:val="1"/>
          <w:numId w:val="3"/>
        </w:numPr>
        <w:spacing w:line="240" w:lineRule="auto"/>
        <w:jc w:val="both"/>
        <w:rPr>
          <w:sz w:val="20"/>
          <w:szCs w:val="20"/>
        </w:rPr>
      </w:pPr>
      <w:r>
        <w:rPr>
          <w:b/>
          <w:sz w:val="20"/>
          <w:szCs w:val="20"/>
        </w:rPr>
        <w:t xml:space="preserve">En 2023, una mujer murió cada 6 horas por feminicidio en Brasil. </w:t>
      </w:r>
      <w:hyperlink r:id="rId29">
        <w:proofErr w:type="spellStart"/>
        <w:r>
          <w:rPr>
            <w:color w:val="1155CC"/>
            <w:sz w:val="20"/>
            <w:szCs w:val="20"/>
            <w:u w:val="single"/>
          </w:rPr>
          <w:t>Cfemea</w:t>
        </w:r>
        <w:proofErr w:type="spellEnd"/>
      </w:hyperlink>
    </w:p>
    <w:p w14:paraId="5BCCD537" w14:textId="77777777" w:rsidR="009A79AC" w:rsidRDefault="00000000">
      <w:pPr>
        <w:numPr>
          <w:ilvl w:val="1"/>
          <w:numId w:val="3"/>
        </w:numPr>
        <w:spacing w:line="240" w:lineRule="auto"/>
        <w:jc w:val="both"/>
      </w:pPr>
      <w:r>
        <w:rPr>
          <w:sz w:val="20"/>
          <w:szCs w:val="20"/>
        </w:rPr>
        <w:t xml:space="preserve">En 2021, </w:t>
      </w:r>
      <w:r>
        <w:rPr>
          <w:b/>
          <w:sz w:val="20"/>
          <w:szCs w:val="20"/>
        </w:rPr>
        <w:t>más de 2.300 personas</w:t>
      </w:r>
      <w:r>
        <w:rPr>
          <w:sz w:val="20"/>
          <w:szCs w:val="20"/>
        </w:rPr>
        <w:t xml:space="preserve"> quedaron </w:t>
      </w:r>
      <w:hyperlink r:id="rId30">
        <w:r>
          <w:rPr>
            <w:color w:val="1155CC"/>
            <w:sz w:val="20"/>
            <w:szCs w:val="20"/>
            <w:u w:val="single"/>
          </w:rPr>
          <w:t>huérfanas</w:t>
        </w:r>
      </w:hyperlink>
      <w:r>
        <w:rPr>
          <w:sz w:val="20"/>
          <w:szCs w:val="20"/>
        </w:rPr>
        <w:t xml:space="preserve"> de víctimas de feminicidio en Brasil.</w:t>
      </w:r>
    </w:p>
    <w:p w14:paraId="5C1C9238" w14:textId="77777777" w:rsidR="009A79AC" w:rsidRDefault="00000000">
      <w:pPr>
        <w:widowControl w:val="0"/>
        <w:numPr>
          <w:ilvl w:val="1"/>
          <w:numId w:val="3"/>
        </w:numPr>
        <w:spacing w:line="240" w:lineRule="auto"/>
        <w:jc w:val="both"/>
        <w:rPr>
          <w:sz w:val="20"/>
          <w:szCs w:val="20"/>
        </w:rPr>
      </w:pPr>
      <w:r>
        <w:rPr>
          <w:sz w:val="20"/>
          <w:szCs w:val="20"/>
        </w:rPr>
        <w:t xml:space="preserve">Boletín </w:t>
      </w:r>
      <w:hyperlink r:id="rId31">
        <w:r>
          <w:rPr>
            <w:color w:val="1155CC"/>
            <w:sz w:val="20"/>
            <w:szCs w:val="20"/>
            <w:u w:val="single"/>
          </w:rPr>
          <w:t xml:space="preserve">Epidemiológico </w:t>
        </w:r>
        <w:proofErr w:type="spellStart"/>
        <w:r>
          <w:rPr>
            <w:color w:val="1155CC"/>
            <w:sz w:val="20"/>
            <w:szCs w:val="20"/>
            <w:u w:val="single"/>
          </w:rPr>
          <w:t>nº</w:t>
        </w:r>
        <w:proofErr w:type="spellEnd"/>
        <w:r>
          <w:rPr>
            <w:color w:val="1155CC"/>
            <w:sz w:val="20"/>
            <w:szCs w:val="20"/>
            <w:u w:val="single"/>
          </w:rPr>
          <w:t xml:space="preserve"> 27</w:t>
        </w:r>
      </w:hyperlink>
      <w:r>
        <w:rPr>
          <w:sz w:val="20"/>
          <w:szCs w:val="20"/>
        </w:rPr>
        <w:t xml:space="preserve"> (2018) 2011 a 2017</w:t>
      </w:r>
      <w:r>
        <w:rPr>
          <w:b/>
          <w:sz w:val="20"/>
          <w:szCs w:val="20"/>
        </w:rPr>
        <w:t xml:space="preserve">: aumento general del 83,0% en notificaciones de violencia sexual contra niños, niñas y adolescentes. </w:t>
      </w:r>
    </w:p>
    <w:p w14:paraId="4F22561E" w14:textId="77777777" w:rsidR="009A79AC" w:rsidRDefault="00000000">
      <w:pPr>
        <w:widowControl w:val="0"/>
        <w:numPr>
          <w:ilvl w:val="1"/>
          <w:numId w:val="3"/>
        </w:numPr>
        <w:spacing w:line="240" w:lineRule="auto"/>
        <w:jc w:val="both"/>
        <w:rPr>
          <w:sz w:val="20"/>
          <w:szCs w:val="20"/>
        </w:rPr>
      </w:pPr>
      <w:r>
        <w:rPr>
          <w:sz w:val="20"/>
          <w:szCs w:val="20"/>
        </w:rPr>
        <w:t xml:space="preserve">Boletín </w:t>
      </w:r>
      <w:hyperlink r:id="rId32">
        <w:r>
          <w:rPr>
            <w:color w:val="1155CC"/>
            <w:sz w:val="20"/>
            <w:szCs w:val="20"/>
            <w:u w:val="single"/>
          </w:rPr>
          <w:t>Epidemiológico n º 8</w:t>
        </w:r>
      </w:hyperlink>
      <w:r>
        <w:rPr>
          <w:sz w:val="20"/>
          <w:szCs w:val="20"/>
        </w:rPr>
        <w:t xml:space="preserve"> (2023): Violencia sexual contra niños y adolescentes en Brasil, 2015 a 2021.</w:t>
      </w:r>
      <w:r>
        <w:rPr>
          <w:sz w:val="20"/>
          <w:szCs w:val="20"/>
          <w:vertAlign w:val="superscript"/>
        </w:rPr>
        <w:footnoteReference w:id="15"/>
      </w:r>
      <w:r>
        <w:rPr>
          <w:sz w:val="20"/>
          <w:szCs w:val="20"/>
        </w:rPr>
        <w:t xml:space="preserve">. </w:t>
      </w:r>
    </w:p>
    <w:p w14:paraId="734EACB0" w14:textId="77777777" w:rsidR="009A79AC" w:rsidRDefault="00000000">
      <w:pPr>
        <w:widowControl w:val="0"/>
        <w:numPr>
          <w:ilvl w:val="1"/>
          <w:numId w:val="3"/>
        </w:numPr>
        <w:spacing w:line="240" w:lineRule="auto"/>
        <w:jc w:val="both"/>
        <w:rPr>
          <w:sz w:val="20"/>
          <w:szCs w:val="20"/>
        </w:rPr>
      </w:pPr>
      <w:hyperlink r:id="rId33">
        <w:r>
          <w:rPr>
            <w:color w:val="1155CC"/>
            <w:sz w:val="20"/>
            <w:szCs w:val="20"/>
            <w:u w:val="single"/>
          </w:rPr>
          <w:t>FBSP</w:t>
        </w:r>
      </w:hyperlink>
      <w:r>
        <w:rPr>
          <w:sz w:val="20"/>
          <w:szCs w:val="20"/>
          <w:vertAlign w:val="superscript"/>
        </w:rPr>
        <w:footnoteReference w:id="16"/>
      </w:r>
      <w:r>
        <w:rPr>
          <w:sz w:val="20"/>
          <w:szCs w:val="20"/>
        </w:rPr>
        <w:t xml:space="preserve"> (2023) La </w:t>
      </w:r>
      <w:r>
        <w:rPr>
          <w:b/>
          <w:sz w:val="20"/>
          <w:szCs w:val="20"/>
        </w:rPr>
        <w:t>explosión de la violencia sexual</w:t>
      </w:r>
      <w:r>
        <w:rPr>
          <w:sz w:val="20"/>
          <w:szCs w:val="20"/>
        </w:rPr>
        <w:t xml:space="preserve"> en Brasil: </w:t>
      </w:r>
      <w:r>
        <w:rPr>
          <w:b/>
          <w:sz w:val="20"/>
          <w:szCs w:val="20"/>
        </w:rPr>
        <w:t>el mayor número de denuncias de violación y violación de personas vulnerables en la historia.</w:t>
      </w:r>
    </w:p>
    <w:p w14:paraId="2C43DC71" w14:textId="77777777" w:rsidR="009A79AC" w:rsidRDefault="00000000">
      <w:pPr>
        <w:widowControl w:val="0"/>
        <w:numPr>
          <w:ilvl w:val="2"/>
          <w:numId w:val="3"/>
        </w:numPr>
        <w:spacing w:line="240" w:lineRule="auto"/>
        <w:jc w:val="both"/>
      </w:pPr>
      <w:r>
        <w:t xml:space="preserve">lo </w:t>
      </w:r>
      <w:r>
        <w:rPr>
          <w:shd w:val="clear" w:color="auto" w:fill="FFF2CC"/>
        </w:rPr>
        <w:t>subregistro: sólo el 8,5%</w:t>
      </w:r>
      <w:r>
        <w:rPr>
          <w:shd w:val="clear" w:color="auto" w:fill="FFF2CC"/>
          <w:vertAlign w:val="superscript"/>
        </w:rPr>
        <w:footnoteReference w:id="17"/>
      </w:r>
      <w:r>
        <w:rPr>
          <w:shd w:val="clear" w:color="auto" w:fill="FFF2CC"/>
        </w:rPr>
        <w:t xml:space="preserve"> </w:t>
      </w:r>
      <w:r>
        <w:rPr>
          <w:sz w:val="20"/>
          <w:szCs w:val="20"/>
        </w:rPr>
        <w:t>(traducción libre y aspectos destacados de las autoras de este informe)</w:t>
      </w:r>
    </w:p>
    <w:p w14:paraId="426CA24F" w14:textId="77777777" w:rsidR="009A79AC" w:rsidRDefault="00000000">
      <w:pPr>
        <w:widowControl w:val="0"/>
        <w:numPr>
          <w:ilvl w:val="0"/>
          <w:numId w:val="3"/>
        </w:numPr>
        <w:spacing w:line="240" w:lineRule="auto"/>
        <w:jc w:val="both"/>
        <w:rPr>
          <w:sz w:val="24"/>
          <w:szCs w:val="24"/>
        </w:rPr>
      </w:pPr>
      <w:r>
        <w:rPr>
          <w:b/>
          <w:sz w:val="24"/>
          <w:szCs w:val="24"/>
          <w:shd w:val="clear" w:color="auto" w:fill="FFF2CC"/>
        </w:rPr>
        <w:t>Relación de causalidad</w:t>
      </w:r>
      <w:r>
        <w:rPr>
          <w:b/>
          <w:sz w:val="24"/>
          <w:szCs w:val="24"/>
        </w:rPr>
        <w:t xml:space="preserve">: </w:t>
      </w:r>
    </w:p>
    <w:p w14:paraId="5C9B8092" w14:textId="77777777" w:rsidR="009A79AC" w:rsidRDefault="00000000">
      <w:pPr>
        <w:widowControl w:val="0"/>
        <w:numPr>
          <w:ilvl w:val="1"/>
          <w:numId w:val="3"/>
        </w:numPr>
        <w:spacing w:line="240" w:lineRule="auto"/>
        <w:jc w:val="both"/>
        <w:rPr>
          <w:sz w:val="20"/>
          <w:szCs w:val="20"/>
        </w:rPr>
      </w:pPr>
      <w:r>
        <w:rPr>
          <w:sz w:val="20"/>
          <w:szCs w:val="20"/>
        </w:rPr>
        <w:t xml:space="preserve">aumento de </w:t>
      </w:r>
      <w:hyperlink r:id="rId34">
        <w:r>
          <w:rPr>
            <w:color w:val="1155CC"/>
            <w:sz w:val="20"/>
            <w:szCs w:val="20"/>
            <w:u w:val="single"/>
          </w:rPr>
          <w:t>feminicidios</w:t>
        </w:r>
      </w:hyperlink>
      <w:r>
        <w:rPr>
          <w:sz w:val="20"/>
          <w:szCs w:val="20"/>
          <w:vertAlign w:val="superscript"/>
        </w:rPr>
        <w:footnoteReference w:id="18"/>
      </w:r>
      <w:r>
        <w:rPr>
          <w:sz w:val="20"/>
          <w:szCs w:val="20"/>
        </w:rPr>
        <w:t xml:space="preserve"> Brasil pasa del 7º al </w:t>
      </w:r>
      <w:r>
        <w:rPr>
          <w:b/>
          <w:sz w:val="20"/>
          <w:szCs w:val="20"/>
        </w:rPr>
        <w:t>5º país</w:t>
      </w:r>
      <w:r>
        <w:rPr>
          <w:sz w:val="20"/>
          <w:szCs w:val="20"/>
        </w:rPr>
        <w:t xml:space="preserve"> en el ranking mundial (datos de 2010 a 2013), tras la aprobación del </w:t>
      </w:r>
      <w:r>
        <w:rPr>
          <w:b/>
          <w:sz w:val="20"/>
          <w:szCs w:val="20"/>
        </w:rPr>
        <w:t>LAP</w:t>
      </w:r>
      <w:r>
        <w:rPr>
          <w:sz w:val="20"/>
          <w:szCs w:val="20"/>
        </w:rPr>
        <w:t>.</w:t>
      </w:r>
    </w:p>
    <w:p w14:paraId="54A05301" w14:textId="77777777" w:rsidR="009A79AC" w:rsidRDefault="00000000">
      <w:pPr>
        <w:widowControl w:val="0"/>
        <w:numPr>
          <w:ilvl w:val="1"/>
          <w:numId w:val="3"/>
        </w:numPr>
        <w:spacing w:line="240" w:lineRule="auto"/>
        <w:jc w:val="both"/>
        <w:rPr>
          <w:sz w:val="20"/>
          <w:szCs w:val="20"/>
        </w:rPr>
      </w:pPr>
      <w:r>
        <w:rPr>
          <w:sz w:val="20"/>
          <w:szCs w:val="20"/>
        </w:rPr>
        <w:t xml:space="preserve">el aumento de </w:t>
      </w:r>
      <w:hyperlink r:id="rId35" w:anchor=":~:text=DataSenado%20aponta%20que%203%20a%20cada%2010%20brasileiras%20j%C3%A1%20sofreram%20viol%C3%AAncia%20dom%C3%A9stica,-Compartilhe%20este%20conte%C3%BAdo&amp;text=Tr%C3%AAs%20a%20cada%20dez%20brasileiras,contra%20a%20Viol%C3%AAncia%20(OMV).">
        <w:r>
          <w:rPr>
            <w:color w:val="1155CC"/>
            <w:sz w:val="20"/>
            <w:szCs w:val="20"/>
            <w:u w:val="single"/>
          </w:rPr>
          <w:t>denuncias</w:t>
        </w:r>
      </w:hyperlink>
      <w:r>
        <w:rPr>
          <w:sz w:val="20"/>
          <w:szCs w:val="20"/>
        </w:rPr>
        <w:t xml:space="preserve"> de violencia contra las mujeres y violencia sexual contra niños y adolescentes y la respuesta de los agresores el </w:t>
      </w:r>
      <w:hyperlink r:id="rId36" w:anchor=":~:text=Pesquisa%20aponta%20necessidade%20de%20proteger%20crian%C3%A7as%20durante%20separa%C3%A7%C3%B5es%20litigiosas,-2%20de%20maio&amp;text=Apesar%20do%20equil%C3%ADbrio%20no%20n%C3%BAmero,entre%20seus%20pais%20e%20m%C3%A3es">
        <w:r>
          <w:rPr>
            <w:color w:val="1155CC"/>
            <w:sz w:val="20"/>
            <w:szCs w:val="20"/>
            <w:u w:val="single"/>
          </w:rPr>
          <w:t xml:space="preserve">aumento de casos de acusaciones </w:t>
        </w:r>
      </w:hyperlink>
      <w:r>
        <w:rPr>
          <w:sz w:val="20"/>
          <w:szCs w:val="20"/>
        </w:rPr>
        <w:t>de “alienación parental”</w:t>
      </w:r>
      <w:r>
        <w:rPr>
          <w:sz w:val="20"/>
          <w:szCs w:val="20"/>
          <w:vertAlign w:val="superscript"/>
        </w:rPr>
        <w:footnoteReference w:id="19"/>
      </w:r>
      <w:r>
        <w:rPr>
          <w:sz w:val="20"/>
          <w:szCs w:val="20"/>
        </w:rPr>
        <w:t xml:space="preserve"> según el Consejo Nacional de Justicia. (traducción libre y aspectos destacados de las autoras de este informe)</w:t>
      </w:r>
    </w:p>
    <w:p w14:paraId="259D31C5" w14:textId="77777777" w:rsidR="009A79AC" w:rsidRDefault="00000000">
      <w:pPr>
        <w:numPr>
          <w:ilvl w:val="0"/>
          <w:numId w:val="3"/>
        </w:numPr>
        <w:spacing w:line="240" w:lineRule="auto"/>
        <w:ind w:right="-40"/>
        <w:jc w:val="both"/>
        <w:rPr>
          <w:sz w:val="24"/>
          <w:szCs w:val="24"/>
        </w:rPr>
      </w:pPr>
      <w:r>
        <w:rPr>
          <w:b/>
          <w:sz w:val="24"/>
          <w:szCs w:val="24"/>
          <w:shd w:val="clear" w:color="auto" w:fill="FFF2CC"/>
        </w:rPr>
        <w:t>Consejo Nacional de Justicia</w:t>
      </w:r>
      <w:r>
        <w:rPr>
          <w:sz w:val="24"/>
          <w:szCs w:val="24"/>
        </w:rPr>
        <w:t xml:space="preserve">: </w:t>
      </w:r>
    </w:p>
    <w:p w14:paraId="1A8B1555" w14:textId="77777777" w:rsidR="009A79AC" w:rsidRDefault="00000000">
      <w:pPr>
        <w:numPr>
          <w:ilvl w:val="1"/>
          <w:numId w:val="3"/>
        </w:numPr>
        <w:spacing w:line="240" w:lineRule="auto"/>
        <w:jc w:val="both"/>
        <w:rPr>
          <w:sz w:val="20"/>
          <w:szCs w:val="20"/>
        </w:rPr>
      </w:pPr>
      <w:hyperlink r:id="rId37">
        <w:r>
          <w:rPr>
            <w:color w:val="1155CC"/>
            <w:sz w:val="20"/>
            <w:szCs w:val="20"/>
            <w:u w:val="single"/>
          </w:rPr>
          <w:t xml:space="preserve">Recomendación </w:t>
        </w:r>
        <w:proofErr w:type="spellStart"/>
        <w:r>
          <w:rPr>
            <w:color w:val="1155CC"/>
            <w:sz w:val="20"/>
            <w:szCs w:val="20"/>
            <w:u w:val="single"/>
          </w:rPr>
          <w:t>nº</w:t>
        </w:r>
        <w:proofErr w:type="spellEnd"/>
        <w:r>
          <w:rPr>
            <w:color w:val="1155CC"/>
            <w:sz w:val="20"/>
            <w:szCs w:val="20"/>
            <w:u w:val="single"/>
          </w:rPr>
          <w:t xml:space="preserve"> 33</w:t>
        </w:r>
      </w:hyperlink>
      <w:r>
        <w:rPr>
          <w:sz w:val="20"/>
          <w:szCs w:val="20"/>
        </w:rPr>
        <w:t xml:space="preserve"> (23/11/2010) - Recomienda a los tribunales crear servicios especializados para escuchar a niños, niñas y adolescentes víctimas o testigos de violencia en los procesos judiciales. Testimonio especial.</w:t>
      </w:r>
    </w:p>
    <w:p w14:paraId="64BE0B49" w14:textId="77777777" w:rsidR="009A79AC" w:rsidRDefault="00000000">
      <w:pPr>
        <w:spacing w:line="240" w:lineRule="auto"/>
        <w:ind w:left="1440"/>
        <w:jc w:val="both"/>
        <w:rPr>
          <w:sz w:val="20"/>
          <w:szCs w:val="20"/>
        </w:rPr>
      </w:pPr>
      <w:r>
        <w:rPr>
          <w:sz w:val="20"/>
          <w:szCs w:val="20"/>
        </w:rPr>
        <w:t xml:space="preserve">CONSIDERANDO la necesidad de </w:t>
      </w:r>
      <w:r>
        <w:rPr>
          <w:b/>
          <w:sz w:val="20"/>
          <w:szCs w:val="20"/>
        </w:rPr>
        <w:t>posibilitar la producción de prueba testimonial</w:t>
      </w:r>
      <w:r>
        <w:rPr>
          <w:sz w:val="20"/>
          <w:szCs w:val="20"/>
        </w:rPr>
        <w:t xml:space="preserve"> de mayor confiabilidad y calidad en las acciones penales, así como </w:t>
      </w:r>
      <w:r>
        <w:rPr>
          <w:b/>
          <w:sz w:val="20"/>
          <w:szCs w:val="20"/>
        </w:rPr>
        <w:t>identificar casos de síndrome de alienación parental</w:t>
      </w:r>
      <w:r>
        <w:rPr>
          <w:sz w:val="20"/>
          <w:szCs w:val="20"/>
        </w:rPr>
        <w:t xml:space="preserve"> y otras cuestiones de investigación compleja en procesos inherentes a la dinámica familiar, especialmente en el ámbito forense.</w:t>
      </w:r>
    </w:p>
    <w:p w14:paraId="69C3CC34" w14:textId="77777777" w:rsidR="009A79AC" w:rsidRDefault="00000000">
      <w:pPr>
        <w:widowControl w:val="0"/>
        <w:numPr>
          <w:ilvl w:val="1"/>
          <w:numId w:val="3"/>
        </w:numPr>
        <w:spacing w:line="240" w:lineRule="auto"/>
        <w:jc w:val="both"/>
        <w:rPr>
          <w:sz w:val="20"/>
          <w:szCs w:val="20"/>
        </w:rPr>
      </w:pPr>
      <w:hyperlink r:id="rId38">
        <w:r>
          <w:rPr>
            <w:color w:val="1155CC"/>
            <w:sz w:val="20"/>
            <w:szCs w:val="20"/>
            <w:u w:val="single"/>
          </w:rPr>
          <w:t>Taller para Padres</w:t>
        </w:r>
      </w:hyperlink>
      <w:r>
        <w:rPr>
          <w:sz w:val="20"/>
          <w:szCs w:val="20"/>
        </w:rPr>
        <w:t xml:space="preserve"> (2015) -</w:t>
      </w:r>
      <w:hyperlink r:id="rId39">
        <w:r>
          <w:rPr>
            <w:color w:val="1155CC"/>
            <w:sz w:val="20"/>
            <w:szCs w:val="20"/>
            <w:u w:val="single"/>
          </w:rPr>
          <w:t xml:space="preserve"> Folleto</w:t>
        </w:r>
      </w:hyperlink>
      <w:r>
        <w:rPr>
          <w:sz w:val="20"/>
          <w:szCs w:val="20"/>
        </w:rPr>
        <w:t>: IV Alienación Parental.</w:t>
      </w:r>
    </w:p>
    <w:p w14:paraId="177DDB2F" w14:textId="77777777" w:rsidR="009A79AC" w:rsidRDefault="00000000">
      <w:pPr>
        <w:widowControl w:val="0"/>
        <w:numPr>
          <w:ilvl w:val="1"/>
          <w:numId w:val="3"/>
        </w:numPr>
        <w:spacing w:line="240" w:lineRule="auto"/>
        <w:jc w:val="both"/>
        <w:rPr>
          <w:sz w:val="20"/>
          <w:szCs w:val="20"/>
        </w:rPr>
      </w:pPr>
      <w:hyperlink r:id="rId40">
        <w:r>
          <w:rPr>
            <w:color w:val="1155CC"/>
            <w:sz w:val="20"/>
            <w:szCs w:val="20"/>
            <w:u w:val="single"/>
          </w:rPr>
          <w:t xml:space="preserve">Ordenanza </w:t>
        </w:r>
        <w:proofErr w:type="spellStart"/>
        <w:r>
          <w:rPr>
            <w:color w:val="1155CC"/>
            <w:sz w:val="20"/>
            <w:szCs w:val="20"/>
            <w:u w:val="single"/>
          </w:rPr>
          <w:t>n°</w:t>
        </w:r>
        <w:proofErr w:type="spellEnd"/>
        <w:r>
          <w:rPr>
            <w:color w:val="1155CC"/>
            <w:sz w:val="20"/>
            <w:szCs w:val="20"/>
            <w:u w:val="single"/>
          </w:rPr>
          <w:t xml:space="preserve"> 359</w:t>
        </w:r>
      </w:hyperlink>
      <w:r>
        <w:rPr>
          <w:sz w:val="20"/>
          <w:szCs w:val="20"/>
        </w:rPr>
        <w:t xml:space="preserve"> (11/10/2022). Establece un Grupo de Trabajo para debatir y proponer un </w:t>
      </w:r>
      <w:r>
        <w:rPr>
          <w:b/>
          <w:sz w:val="20"/>
          <w:szCs w:val="20"/>
        </w:rPr>
        <w:t xml:space="preserve">protocolo de escucha especializada y testimonio especial de niños, niñas y adolescentes en acciones familiares en las que se discuta la “alienación parental”. </w:t>
      </w:r>
      <w:r>
        <w:rPr>
          <w:sz w:val="20"/>
          <w:szCs w:val="20"/>
        </w:rPr>
        <w:t>(traducción libre y aspectos destacados de las autoras de este informe)</w:t>
      </w:r>
    </w:p>
    <w:p w14:paraId="524E49F4" w14:textId="77777777" w:rsidR="009A79AC" w:rsidRDefault="00000000">
      <w:pPr>
        <w:numPr>
          <w:ilvl w:val="0"/>
          <w:numId w:val="3"/>
        </w:numPr>
        <w:spacing w:line="240" w:lineRule="auto"/>
        <w:ind w:right="-40"/>
        <w:jc w:val="both"/>
        <w:rPr>
          <w:sz w:val="24"/>
          <w:szCs w:val="24"/>
        </w:rPr>
      </w:pPr>
      <w:r>
        <w:rPr>
          <w:b/>
          <w:sz w:val="24"/>
          <w:szCs w:val="24"/>
          <w:shd w:val="clear" w:color="auto" w:fill="FFF2CC"/>
        </w:rPr>
        <w:t>Defensorías Públicas Estatales</w:t>
      </w:r>
      <w:r>
        <w:rPr>
          <w:sz w:val="24"/>
          <w:szCs w:val="24"/>
          <w:shd w:val="clear" w:color="auto" w:fill="FFF2CC"/>
        </w:rPr>
        <w:t>:</w:t>
      </w:r>
      <w:r>
        <w:rPr>
          <w:sz w:val="24"/>
          <w:szCs w:val="24"/>
        </w:rPr>
        <w:t xml:space="preserve"> capacitaciones y folletos sobre la “alienación parental”. (</w:t>
      </w:r>
      <w:hyperlink r:id="rId41">
        <w:r>
          <w:rPr>
            <w:color w:val="1155CC"/>
            <w:sz w:val="24"/>
            <w:szCs w:val="24"/>
            <w:u w:val="single"/>
          </w:rPr>
          <w:t>Minas Gerais</w:t>
        </w:r>
      </w:hyperlink>
      <w:r>
        <w:rPr>
          <w:sz w:val="24"/>
          <w:szCs w:val="24"/>
        </w:rPr>
        <w:t xml:space="preserve">, </w:t>
      </w:r>
      <w:hyperlink r:id="rId42">
        <w:r>
          <w:rPr>
            <w:color w:val="1155CC"/>
            <w:sz w:val="24"/>
            <w:szCs w:val="24"/>
            <w:u w:val="single"/>
          </w:rPr>
          <w:t>Río Grande del Sur</w:t>
        </w:r>
      </w:hyperlink>
      <w:r>
        <w:rPr>
          <w:sz w:val="24"/>
          <w:szCs w:val="24"/>
        </w:rPr>
        <w:t xml:space="preserve">, </w:t>
      </w:r>
      <w:hyperlink r:id="rId43">
        <w:r>
          <w:rPr>
            <w:color w:val="1155CC"/>
            <w:sz w:val="24"/>
            <w:szCs w:val="24"/>
            <w:u w:val="single"/>
          </w:rPr>
          <w:t>Tocantins</w:t>
        </w:r>
      </w:hyperlink>
      <w:r>
        <w:rPr>
          <w:sz w:val="24"/>
          <w:szCs w:val="24"/>
        </w:rPr>
        <w:t xml:space="preserve"> y </w:t>
      </w:r>
      <w:hyperlink r:id="rId44">
        <w:r>
          <w:rPr>
            <w:color w:val="1155CC"/>
            <w:sz w:val="24"/>
            <w:szCs w:val="24"/>
            <w:u w:val="single"/>
          </w:rPr>
          <w:t>Piauí</w:t>
        </w:r>
      </w:hyperlink>
      <w:r>
        <w:rPr>
          <w:sz w:val="24"/>
          <w:szCs w:val="24"/>
        </w:rPr>
        <w:t>)</w:t>
      </w:r>
    </w:p>
    <w:p w14:paraId="2077F21B" w14:textId="77777777" w:rsidR="009A79AC" w:rsidRDefault="00000000">
      <w:pPr>
        <w:numPr>
          <w:ilvl w:val="0"/>
          <w:numId w:val="3"/>
        </w:numPr>
        <w:spacing w:line="240" w:lineRule="auto"/>
        <w:ind w:right="-40"/>
        <w:jc w:val="both"/>
        <w:rPr>
          <w:sz w:val="24"/>
          <w:szCs w:val="24"/>
        </w:rPr>
      </w:pPr>
      <w:r>
        <w:rPr>
          <w:b/>
          <w:sz w:val="24"/>
          <w:szCs w:val="24"/>
          <w:shd w:val="clear" w:color="auto" w:fill="FFF2CC"/>
        </w:rPr>
        <w:t>Consejo Nacional del Ministerio Público</w:t>
      </w:r>
      <w:r>
        <w:rPr>
          <w:sz w:val="24"/>
          <w:szCs w:val="24"/>
          <w:shd w:val="clear" w:color="auto" w:fill="FFF2CC"/>
        </w:rPr>
        <w:t>:</w:t>
      </w:r>
    </w:p>
    <w:p w14:paraId="348FAED4" w14:textId="77777777" w:rsidR="009A79AC" w:rsidRDefault="00000000">
      <w:pPr>
        <w:numPr>
          <w:ilvl w:val="1"/>
          <w:numId w:val="3"/>
        </w:numPr>
        <w:spacing w:line="240" w:lineRule="auto"/>
        <w:ind w:right="-40"/>
        <w:jc w:val="both"/>
        <w:rPr>
          <w:sz w:val="20"/>
          <w:szCs w:val="20"/>
        </w:rPr>
      </w:pPr>
      <w:hyperlink r:id="rId45">
        <w:r>
          <w:rPr>
            <w:color w:val="1155CC"/>
            <w:sz w:val="20"/>
            <w:szCs w:val="20"/>
            <w:u w:val="single"/>
          </w:rPr>
          <w:t xml:space="preserve">Recomendación </w:t>
        </w:r>
        <w:proofErr w:type="spellStart"/>
        <w:r>
          <w:rPr>
            <w:color w:val="1155CC"/>
            <w:sz w:val="20"/>
            <w:szCs w:val="20"/>
            <w:u w:val="single"/>
          </w:rPr>
          <w:t>nº</w:t>
        </w:r>
        <w:proofErr w:type="spellEnd"/>
        <w:r>
          <w:rPr>
            <w:color w:val="1155CC"/>
            <w:sz w:val="20"/>
            <w:szCs w:val="20"/>
            <w:u w:val="single"/>
          </w:rPr>
          <w:t xml:space="preserve"> 32</w:t>
        </w:r>
      </w:hyperlink>
      <w:r>
        <w:rPr>
          <w:sz w:val="20"/>
          <w:szCs w:val="20"/>
        </w:rPr>
        <w:t xml:space="preserve">, (5/04/2016). Prevé la normalización y actuación del Ministerio Público brasileño, a través de políticas y directrices administrativas que alienten </w:t>
      </w:r>
      <w:r>
        <w:rPr>
          <w:b/>
          <w:sz w:val="20"/>
          <w:szCs w:val="20"/>
        </w:rPr>
        <w:t>la lucha contra el síndrome de alienación parental</w:t>
      </w:r>
      <w:r>
        <w:rPr>
          <w:sz w:val="20"/>
          <w:szCs w:val="20"/>
        </w:rPr>
        <w:t xml:space="preserve"> que compromete el derecho a la vida familiar de niños, adolescentes, personas discapacitadas e incapaces de expresar su voluntad.</w:t>
      </w:r>
    </w:p>
    <w:p w14:paraId="0732DDA0" w14:textId="77777777" w:rsidR="009A79AC" w:rsidRDefault="00000000">
      <w:pPr>
        <w:numPr>
          <w:ilvl w:val="0"/>
          <w:numId w:val="3"/>
        </w:numPr>
        <w:spacing w:line="240" w:lineRule="auto"/>
        <w:ind w:right="-40"/>
        <w:jc w:val="both"/>
        <w:rPr>
          <w:sz w:val="24"/>
          <w:szCs w:val="24"/>
        </w:rPr>
      </w:pPr>
      <w:r>
        <w:rPr>
          <w:sz w:val="24"/>
          <w:szCs w:val="24"/>
          <w:shd w:val="clear" w:color="auto" w:fill="FFF2CC"/>
        </w:rPr>
        <w:t>Legislativo:</w:t>
      </w:r>
      <w:r>
        <w:rPr>
          <w:sz w:val="24"/>
          <w:szCs w:val="24"/>
        </w:rPr>
        <w:t xml:space="preserve"> actualmente existen </w:t>
      </w:r>
      <w:r>
        <w:rPr>
          <w:b/>
          <w:sz w:val="24"/>
          <w:szCs w:val="24"/>
        </w:rPr>
        <w:t xml:space="preserve">08 proyectos </w:t>
      </w:r>
      <w:r>
        <w:rPr>
          <w:sz w:val="24"/>
          <w:szCs w:val="24"/>
        </w:rPr>
        <w:t>de</w:t>
      </w:r>
      <w:r>
        <w:rPr>
          <w:b/>
          <w:sz w:val="24"/>
          <w:szCs w:val="24"/>
        </w:rPr>
        <w:t xml:space="preserve"> </w:t>
      </w:r>
      <w:hyperlink r:id="rId46">
        <w:r>
          <w:rPr>
            <w:color w:val="1155CC"/>
            <w:sz w:val="24"/>
            <w:szCs w:val="24"/>
            <w:u w:val="single"/>
          </w:rPr>
          <w:t>Ley para mantener</w:t>
        </w:r>
      </w:hyperlink>
      <w:r>
        <w:rPr>
          <w:sz w:val="24"/>
          <w:szCs w:val="24"/>
        </w:rPr>
        <w:t xml:space="preserve"> el uso del término “alienación parental”, criminalizar a las madres y </w:t>
      </w:r>
      <w:r>
        <w:rPr>
          <w:b/>
          <w:sz w:val="24"/>
          <w:szCs w:val="24"/>
        </w:rPr>
        <w:t>04 proyectos de Ley</w:t>
      </w:r>
      <w:r>
        <w:rPr>
          <w:sz w:val="24"/>
          <w:szCs w:val="24"/>
        </w:rPr>
        <w:t xml:space="preserve"> para </w:t>
      </w:r>
      <w:hyperlink r:id="rId47">
        <w:r>
          <w:rPr>
            <w:color w:val="1155CC"/>
            <w:sz w:val="24"/>
            <w:szCs w:val="24"/>
            <w:u w:val="single"/>
          </w:rPr>
          <w:t xml:space="preserve">simplemente </w:t>
        </w:r>
      </w:hyperlink>
      <w:hyperlink r:id="rId48">
        <w:r>
          <w:rPr>
            <w:b/>
            <w:color w:val="1155CC"/>
            <w:sz w:val="24"/>
            <w:szCs w:val="24"/>
            <w:u w:val="single"/>
          </w:rPr>
          <w:t>derogar</w:t>
        </w:r>
      </w:hyperlink>
      <w:hyperlink r:id="rId49">
        <w:r>
          <w:rPr>
            <w:color w:val="1155CC"/>
            <w:sz w:val="24"/>
            <w:szCs w:val="24"/>
            <w:u w:val="single"/>
          </w:rPr>
          <w:t xml:space="preserve"> </w:t>
        </w:r>
      </w:hyperlink>
      <w:r>
        <w:rPr>
          <w:sz w:val="24"/>
          <w:szCs w:val="24"/>
        </w:rPr>
        <w:t xml:space="preserve">la </w:t>
      </w:r>
      <w:r>
        <w:rPr>
          <w:b/>
          <w:sz w:val="24"/>
          <w:szCs w:val="24"/>
        </w:rPr>
        <w:t>LAP</w:t>
      </w:r>
      <w:r>
        <w:rPr>
          <w:sz w:val="24"/>
          <w:szCs w:val="24"/>
        </w:rPr>
        <w:t xml:space="preserve">, incumpliendo las recomendaciones nacionales e internacionales. </w:t>
      </w:r>
    </w:p>
    <w:p w14:paraId="456CF819" w14:textId="77777777" w:rsidR="009A79AC" w:rsidRDefault="00000000">
      <w:pPr>
        <w:numPr>
          <w:ilvl w:val="1"/>
          <w:numId w:val="3"/>
        </w:numPr>
        <w:spacing w:line="240" w:lineRule="auto"/>
        <w:ind w:right="-40"/>
        <w:jc w:val="both"/>
        <w:rPr>
          <w:sz w:val="20"/>
          <w:szCs w:val="20"/>
        </w:rPr>
      </w:pPr>
      <w:r>
        <w:rPr>
          <w:sz w:val="20"/>
          <w:szCs w:val="20"/>
        </w:rPr>
        <w:t xml:space="preserve">Leyes </w:t>
      </w:r>
      <w:hyperlink r:id="rId50">
        <w:r>
          <w:rPr>
            <w:color w:val="1155CC"/>
            <w:sz w:val="20"/>
            <w:szCs w:val="20"/>
            <w:u w:val="single"/>
          </w:rPr>
          <w:t>estatales</w:t>
        </w:r>
      </w:hyperlink>
      <w:r>
        <w:rPr>
          <w:sz w:val="20"/>
          <w:szCs w:val="20"/>
          <w:vertAlign w:val="superscript"/>
        </w:rPr>
        <w:footnoteReference w:id="20"/>
      </w:r>
      <w:r>
        <w:rPr>
          <w:sz w:val="20"/>
          <w:szCs w:val="20"/>
        </w:rPr>
        <w:t xml:space="preserve"> y </w:t>
      </w:r>
      <w:hyperlink r:id="rId51">
        <w:r>
          <w:rPr>
            <w:color w:val="1155CC"/>
            <w:sz w:val="20"/>
            <w:szCs w:val="20"/>
            <w:u w:val="single"/>
          </w:rPr>
          <w:t>municipales</w:t>
        </w:r>
      </w:hyperlink>
      <w:r>
        <w:rPr>
          <w:sz w:val="20"/>
          <w:szCs w:val="20"/>
        </w:rPr>
        <w:t xml:space="preserve">: sensibilización y lucha contra la "alienación parental." </w:t>
      </w:r>
    </w:p>
    <w:p w14:paraId="0076C109" w14:textId="77777777" w:rsidR="009A79AC" w:rsidRDefault="00000000">
      <w:pPr>
        <w:numPr>
          <w:ilvl w:val="2"/>
          <w:numId w:val="3"/>
        </w:numPr>
        <w:spacing w:line="240" w:lineRule="auto"/>
        <w:ind w:right="-40"/>
        <w:jc w:val="both"/>
        <w:rPr>
          <w:sz w:val="20"/>
          <w:szCs w:val="20"/>
        </w:rPr>
      </w:pPr>
      <w:r>
        <w:rPr>
          <w:sz w:val="20"/>
          <w:szCs w:val="20"/>
        </w:rPr>
        <w:t xml:space="preserve">Estado de Rio Grande do Sul, </w:t>
      </w:r>
      <w:r>
        <w:rPr>
          <w:b/>
          <w:sz w:val="20"/>
          <w:szCs w:val="20"/>
        </w:rPr>
        <w:t>el primero en revocar</w:t>
      </w:r>
      <w:r>
        <w:rPr>
          <w:sz w:val="20"/>
          <w:szCs w:val="20"/>
          <w:vertAlign w:val="superscript"/>
        </w:rPr>
        <w:footnoteReference w:id="21"/>
      </w:r>
      <w:r>
        <w:rPr>
          <w:sz w:val="20"/>
          <w:szCs w:val="20"/>
        </w:rPr>
        <w:t xml:space="preserve"> la semana y el día de concientización sobre la "alienación parental" </w:t>
      </w:r>
      <w:hyperlink r:id="rId52">
        <w:r>
          <w:rPr>
            <w:color w:val="1155CC"/>
            <w:sz w:val="20"/>
            <w:szCs w:val="20"/>
            <w:u w:val="single"/>
          </w:rPr>
          <w:t xml:space="preserve">Ley </w:t>
        </w:r>
        <w:proofErr w:type="spellStart"/>
        <w:r>
          <w:rPr>
            <w:color w:val="1155CC"/>
            <w:sz w:val="20"/>
            <w:szCs w:val="20"/>
            <w:u w:val="single"/>
          </w:rPr>
          <w:t>nº</w:t>
        </w:r>
        <w:proofErr w:type="spellEnd"/>
        <w:r>
          <w:rPr>
            <w:color w:val="1155CC"/>
            <w:sz w:val="20"/>
            <w:szCs w:val="20"/>
            <w:u w:val="single"/>
          </w:rPr>
          <w:t xml:space="preserve"> 16.075/23</w:t>
        </w:r>
      </w:hyperlink>
      <w:r>
        <w:rPr>
          <w:sz w:val="20"/>
          <w:szCs w:val="20"/>
        </w:rPr>
        <w:t>. (traducción libre y aspectos destacados de las autoras de este informe)</w:t>
      </w:r>
    </w:p>
    <w:p w14:paraId="66D82399" w14:textId="77777777" w:rsidR="009A79AC" w:rsidRDefault="009A79AC">
      <w:pPr>
        <w:jc w:val="both"/>
        <w:rPr>
          <w:color w:val="FF0000"/>
          <w:sz w:val="24"/>
          <w:szCs w:val="24"/>
        </w:rPr>
      </w:pPr>
    </w:p>
    <w:p w14:paraId="0CDAA0AB" w14:textId="77777777" w:rsidR="009A79AC" w:rsidRDefault="00000000">
      <w:pPr>
        <w:jc w:val="both"/>
        <w:rPr>
          <w:sz w:val="24"/>
          <w:szCs w:val="24"/>
        </w:rPr>
      </w:pPr>
      <w:r>
        <w:rPr>
          <w:sz w:val="24"/>
          <w:szCs w:val="24"/>
        </w:rPr>
        <w:t>Destacamos que Brasil aprobó la</w:t>
      </w:r>
      <w:hyperlink r:id="rId53">
        <w:r>
          <w:rPr>
            <w:color w:val="1155CC"/>
            <w:sz w:val="24"/>
            <w:szCs w:val="24"/>
            <w:u w:val="single"/>
          </w:rPr>
          <w:t xml:space="preserve"> Ley </w:t>
        </w:r>
        <w:proofErr w:type="spellStart"/>
        <w:r>
          <w:rPr>
            <w:color w:val="1155CC"/>
            <w:sz w:val="24"/>
            <w:szCs w:val="24"/>
            <w:u w:val="single"/>
          </w:rPr>
          <w:t>nº</w:t>
        </w:r>
        <w:proofErr w:type="spellEnd"/>
        <w:r>
          <w:rPr>
            <w:color w:val="1155CC"/>
            <w:sz w:val="24"/>
            <w:szCs w:val="24"/>
            <w:u w:val="single"/>
          </w:rPr>
          <w:t xml:space="preserve"> 11340/2006</w:t>
        </w:r>
      </w:hyperlink>
      <w:r>
        <w:rPr>
          <w:sz w:val="24"/>
          <w:szCs w:val="24"/>
          <w:vertAlign w:val="superscript"/>
        </w:rPr>
        <w:footnoteReference w:id="22"/>
      </w:r>
      <w:hyperlink r:id="rId54">
        <w:r>
          <w:rPr>
            <w:color w:val="1155CC"/>
            <w:sz w:val="24"/>
            <w:szCs w:val="24"/>
            <w:u w:val="single"/>
          </w:rPr>
          <w:t>,</w:t>
        </w:r>
      </w:hyperlink>
      <w:r>
        <w:rPr>
          <w:sz w:val="24"/>
          <w:szCs w:val="24"/>
        </w:rPr>
        <w:t xml:space="preserve"> luego de la condena de la Comisión Interamericana de Derechos Humanos (</w:t>
      </w:r>
      <w:hyperlink r:id="rId55">
        <w:r>
          <w:rPr>
            <w:color w:val="1155CC"/>
            <w:sz w:val="24"/>
            <w:szCs w:val="24"/>
            <w:u w:val="single"/>
          </w:rPr>
          <w:t>Comisión IDH</w:t>
        </w:r>
      </w:hyperlink>
      <w:r>
        <w:rPr>
          <w:sz w:val="24"/>
          <w:szCs w:val="24"/>
        </w:rPr>
        <w:t xml:space="preserve">) de la Organización de los Estados Americanos (OEA) en 2001 en el caso </w:t>
      </w:r>
      <w:proofErr w:type="spellStart"/>
      <w:r>
        <w:rPr>
          <w:sz w:val="24"/>
          <w:szCs w:val="24"/>
        </w:rPr>
        <w:t>Maria</w:t>
      </w:r>
      <w:proofErr w:type="spellEnd"/>
      <w:r>
        <w:rPr>
          <w:sz w:val="24"/>
          <w:szCs w:val="24"/>
        </w:rPr>
        <w:t xml:space="preserve"> da </w:t>
      </w:r>
      <w:proofErr w:type="spellStart"/>
      <w:r>
        <w:rPr>
          <w:sz w:val="24"/>
          <w:szCs w:val="24"/>
        </w:rPr>
        <w:t>Penha</w:t>
      </w:r>
      <w:proofErr w:type="spellEnd"/>
      <w:r>
        <w:rPr>
          <w:sz w:val="24"/>
          <w:szCs w:val="24"/>
          <w:vertAlign w:val="superscript"/>
        </w:rPr>
        <w:footnoteReference w:id="23"/>
      </w:r>
      <w:r>
        <w:rPr>
          <w:sz w:val="24"/>
          <w:szCs w:val="24"/>
        </w:rPr>
        <w:t xml:space="preserve"> vs. Brasil. Se destacan dos estudios de impacto</w:t>
      </w:r>
      <w:r>
        <w:rPr>
          <w:sz w:val="24"/>
          <w:szCs w:val="24"/>
          <w:vertAlign w:val="superscript"/>
        </w:rPr>
        <w:footnoteReference w:id="24"/>
      </w:r>
      <w:r>
        <w:rPr>
          <w:sz w:val="24"/>
          <w:szCs w:val="24"/>
        </w:rPr>
        <w:t xml:space="preserve"> sobre la violencia contra las mujeres que señalan la </w:t>
      </w:r>
      <w:hyperlink r:id="rId56">
        <w:r>
          <w:rPr>
            <w:color w:val="1155CC"/>
            <w:sz w:val="24"/>
            <w:szCs w:val="24"/>
            <w:u w:val="single"/>
          </w:rPr>
          <w:t>ineficacia</w:t>
        </w:r>
      </w:hyperlink>
      <w:r>
        <w:rPr>
          <w:sz w:val="24"/>
          <w:szCs w:val="24"/>
        </w:rPr>
        <w:t xml:space="preserve"> del Estado en relación a la protección integral de las mujeres. En 2022 recibimos el apoyo de </w:t>
      </w:r>
      <w:hyperlink r:id="rId57">
        <w:proofErr w:type="spellStart"/>
        <w:r>
          <w:rPr>
            <w:color w:val="1155CC"/>
            <w:sz w:val="24"/>
            <w:szCs w:val="24"/>
            <w:u w:val="single"/>
          </w:rPr>
          <w:t>Maria</w:t>
        </w:r>
        <w:proofErr w:type="spellEnd"/>
        <w:r>
          <w:rPr>
            <w:color w:val="1155CC"/>
            <w:sz w:val="24"/>
            <w:szCs w:val="24"/>
            <w:u w:val="single"/>
          </w:rPr>
          <w:t xml:space="preserve"> da </w:t>
        </w:r>
        <w:proofErr w:type="spellStart"/>
        <w:r>
          <w:rPr>
            <w:color w:val="1155CC"/>
            <w:sz w:val="24"/>
            <w:szCs w:val="24"/>
            <w:u w:val="single"/>
          </w:rPr>
          <w:t>Penha</w:t>
        </w:r>
        <w:proofErr w:type="spellEnd"/>
      </w:hyperlink>
      <w:r>
        <w:rPr>
          <w:sz w:val="24"/>
          <w:szCs w:val="24"/>
        </w:rPr>
        <w:t xml:space="preserve"> que habló públicamente (ver video adjunto) por la derogación del LAP.</w:t>
      </w:r>
    </w:p>
    <w:p w14:paraId="3A527745" w14:textId="77777777" w:rsidR="009A79AC" w:rsidRDefault="009A79AC">
      <w:pPr>
        <w:jc w:val="both"/>
        <w:rPr>
          <w:color w:val="FF0000"/>
          <w:sz w:val="24"/>
          <w:szCs w:val="24"/>
        </w:rPr>
      </w:pPr>
    </w:p>
    <w:p w14:paraId="08B65FEC" w14:textId="77777777" w:rsidR="009A79AC" w:rsidRDefault="00000000">
      <w:pPr>
        <w:jc w:val="both"/>
        <w:rPr>
          <w:sz w:val="24"/>
          <w:szCs w:val="24"/>
        </w:rPr>
      </w:pPr>
      <w:r>
        <w:rPr>
          <w:sz w:val="24"/>
          <w:szCs w:val="24"/>
        </w:rPr>
        <w:t xml:space="preserve">Destacamos la </w:t>
      </w:r>
      <w:hyperlink r:id="rId58">
        <w:r>
          <w:rPr>
            <w:color w:val="1155CC"/>
            <w:sz w:val="24"/>
            <w:szCs w:val="24"/>
            <w:u w:val="single"/>
          </w:rPr>
          <w:t>censura</w:t>
        </w:r>
      </w:hyperlink>
      <w:r>
        <w:rPr>
          <w:sz w:val="24"/>
          <w:szCs w:val="24"/>
        </w:rPr>
        <w:t xml:space="preserve"> impulsada por una jueza del Tribunal de Justicia de Río de Enero, para reducción de la libertad de prensa del medio </w:t>
      </w:r>
      <w:proofErr w:type="spellStart"/>
      <w:r>
        <w:rPr>
          <w:sz w:val="24"/>
          <w:szCs w:val="24"/>
        </w:rPr>
        <w:t>The</w:t>
      </w:r>
      <w:proofErr w:type="spellEnd"/>
      <w:r>
        <w:rPr>
          <w:sz w:val="24"/>
          <w:szCs w:val="24"/>
        </w:rPr>
        <w:t xml:space="preserve"> </w:t>
      </w:r>
      <w:proofErr w:type="spellStart"/>
      <w:r>
        <w:rPr>
          <w:sz w:val="24"/>
          <w:szCs w:val="24"/>
        </w:rPr>
        <w:t>Intercept</w:t>
      </w:r>
      <w:proofErr w:type="spellEnd"/>
      <w:r>
        <w:rPr>
          <w:sz w:val="24"/>
          <w:szCs w:val="24"/>
        </w:rPr>
        <w:t xml:space="preserve">, prohibiendo </w:t>
      </w:r>
      <w:r>
        <w:rPr>
          <w:sz w:val="24"/>
          <w:szCs w:val="24"/>
        </w:rPr>
        <w:lastRenderedPageBreak/>
        <w:t>la publicación de vídeos y reportajes de la serie “En nombre de los padres</w:t>
      </w:r>
      <w:r>
        <w:rPr>
          <w:b/>
          <w:sz w:val="24"/>
          <w:szCs w:val="24"/>
          <w:vertAlign w:val="superscript"/>
        </w:rPr>
        <w:footnoteReference w:id="25"/>
      </w:r>
      <w:r>
        <w:rPr>
          <w:sz w:val="24"/>
          <w:szCs w:val="24"/>
        </w:rPr>
        <w:t xml:space="preserve">”, de la periodista </w:t>
      </w:r>
      <w:proofErr w:type="spellStart"/>
      <w:r>
        <w:rPr>
          <w:sz w:val="24"/>
          <w:szCs w:val="24"/>
        </w:rPr>
        <w:t>Nayara</w:t>
      </w:r>
      <w:proofErr w:type="spellEnd"/>
      <w:r>
        <w:rPr>
          <w:sz w:val="24"/>
          <w:szCs w:val="24"/>
        </w:rPr>
        <w:t xml:space="preserve"> </w:t>
      </w:r>
      <w:proofErr w:type="spellStart"/>
      <w:r>
        <w:rPr>
          <w:sz w:val="24"/>
          <w:szCs w:val="24"/>
        </w:rPr>
        <w:t>Felizardo</w:t>
      </w:r>
      <w:proofErr w:type="spellEnd"/>
      <w:r>
        <w:rPr>
          <w:sz w:val="24"/>
          <w:szCs w:val="24"/>
        </w:rPr>
        <w:t>, que muestra cómo se utiliza la LAP para defender a los hombres violadores, mediante la denuncia de casos reales de violaciones graves, así como la participación de jueces y la venta de informes por una psicóloga (funcionaria pública del Tribunal de Justicia de Río de Janeiro), después de una apelación judicial, los materiales fueron liberados nuevamente, pero los videos siguen censurados.</w:t>
      </w:r>
    </w:p>
    <w:p w14:paraId="578A89A5" w14:textId="77777777" w:rsidR="009A79AC" w:rsidRDefault="00000000">
      <w:pPr>
        <w:jc w:val="both"/>
        <w:rPr>
          <w:sz w:val="24"/>
          <w:szCs w:val="24"/>
        </w:rPr>
      </w:pPr>
      <w:r>
        <w:rPr>
          <w:sz w:val="24"/>
          <w:szCs w:val="24"/>
        </w:rPr>
        <w:t xml:space="preserve"> </w:t>
      </w:r>
    </w:p>
    <w:p w14:paraId="78CF5F85" w14:textId="77777777" w:rsidR="009A79AC" w:rsidRDefault="00000000">
      <w:pPr>
        <w:jc w:val="both"/>
        <w:rPr>
          <w:sz w:val="24"/>
          <w:szCs w:val="24"/>
        </w:rPr>
      </w:pPr>
      <w:r>
        <w:rPr>
          <w:sz w:val="24"/>
          <w:szCs w:val="24"/>
        </w:rPr>
        <w:t xml:space="preserve">Finalmente, entendemos que producto de las acciones de los movimientos sociales que estimularon el avance de los debates sobre las violaciones a los Derechos Humanos de las mujeres madres, niños y adolescentes a raíz de la aplicación </w:t>
      </w:r>
      <w:proofErr w:type="spellStart"/>
      <w:r>
        <w:rPr>
          <w:sz w:val="24"/>
          <w:szCs w:val="24"/>
        </w:rPr>
        <w:t>del</w:t>
      </w:r>
      <w:proofErr w:type="spellEnd"/>
      <w:r>
        <w:rPr>
          <w:sz w:val="24"/>
          <w:szCs w:val="24"/>
        </w:rPr>
        <w:t xml:space="preserve"> la LAP, actualmente están tomando una postura por la derogación de la LAP y la prohibición del término y posibles correlatos provenientes de los siguientes organismos:</w:t>
      </w:r>
    </w:p>
    <w:p w14:paraId="469076B0" w14:textId="77777777" w:rsidR="009A79AC" w:rsidRDefault="00000000">
      <w:pPr>
        <w:widowControl w:val="0"/>
        <w:numPr>
          <w:ilvl w:val="0"/>
          <w:numId w:val="2"/>
        </w:numPr>
        <w:spacing w:line="240" w:lineRule="auto"/>
        <w:jc w:val="both"/>
        <w:rPr>
          <w:sz w:val="20"/>
          <w:szCs w:val="20"/>
          <w:highlight w:val="white"/>
        </w:rPr>
      </w:pPr>
      <w:hyperlink r:id="rId59">
        <w:r>
          <w:rPr>
            <w:color w:val="1155CC"/>
            <w:sz w:val="20"/>
            <w:szCs w:val="20"/>
            <w:u w:val="single"/>
          </w:rPr>
          <w:t>NUDEM</w:t>
        </w:r>
      </w:hyperlink>
      <w:r>
        <w:rPr>
          <w:sz w:val="20"/>
          <w:szCs w:val="20"/>
        </w:rPr>
        <w:t xml:space="preserve"> SP. Nota técnica </w:t>
      </w:r>
      <w:proofErr w:type="spellStart"/>
      <w:r>
        <w:rPr>
          <w:sz w:val="20"/>
          <w:szCs w:val="20"/>
        </w:rPr>
        <w:t>nº</w:t>
      </w:r>
      <w:proofErr w:type="spellEnd"/>
      <w:r>
        <w:rPr>
          <w:sz w:val="20"/>
          <w:szCs w:val="20"/>
        </w:rPr>
        <w:t xml:space="preserve"> 01/2019.</w:t>
      </w:r>
    </w:p>
    <w:p w14:paraId="2F262411" w14:textId="77777777" w:rsidR="009A79AC" w:rsidRDefault="00000000">
      <w:pPr>
        <w:widowControl w:val="0"/>
        <w:numPr>
          <w:ilvl w:val="0"/>
          <w:numId w:val="2"/>
        </w:numPr>
        <w:spacing w:line="240" w:lineRule="auto"/>
        <w:jc w:val="both"/>
        <w:rPr>
          <w:sz w:val="20"/>
          <w:szCs w:val="20"/>
          <w:highlight w:val="white"/>
        </w:rPr>
      </w:pPr>
      <w:hyperlink r:id="rId60">
        <w:r>
          <w:rPr>
            <w:color w:val="1155CC"/>
            <w:sz w:val="20"/>
            <w:szCs w:val="20"/>
            <w:highlight w:val="white"/>
            <w:u w:val="single"/>
          </w:rPr>
          <w:t>CNJ</w:t>
        </w:r>
      </w:hyperlink>
      <w:r>
        <w:rPr>
          <w:sz w:val="20"/>
          <w:szCs w:val="20"/>
          <w:highlight w:val="white"/>
        </w:rPr>
        <w:t xml:space="preserve"> (Consejo Nacional de Justicia). Protocolo para juzgar con perspectiva de género</w:t>
      </w:r>
      <w:r>
        <w:rPr>
          <w:sz w:val="20"/>
          <w:szCs w:val="20"/>
          <w:highlight w:val="white"/>
          <w:vertAlign w:val="superscript"/>
        </w:rPr>
        <w:footnoteReference w:id="26"/>
      </w:r>
      <w:r>
        <w:rPr>
          <w:sz w:val="20"/>
          <w:szCs w:val="20"/>
          <w:highlight w:val="white"/>
        </w:rPr>
        <w:t>.</w:t>
      </w:r>
    </w:p>
    <w:p w14:paraId="654269C1" w14:textId="77777777" w:rsidR="009A79AC" w:rsidRDefault="00000000">
      <w:pPr>
        <w:widowControl w:val="0"/>
        <w:numPr>
          <w:ilvl w:val="0"/>
          <w:numId w:val="2"/>
        </w:numPr>
        <w:spacing w:line="240" w:lineRule="auto"/>
        <w:jc w:val="both"/>
        <w:rPr>
          <w:sz w:val="20"/>
          <w:szCs w:val="20"/>
          <w:highlight w:val="white"/>
        </w:rPr>
      </w:pPr>
      <w:r>
        <w:rPr>
          <w:sz w:val="20"/>
          <w:szCs w:val="20"/>
        </w:rPr>
        <w:t xml:space="preserve">Comisión Permanente sobre Violencia Doméstica y Familiar contra la Mujer -  </w:t>
      </w:r>
      <w:hyperlink r:id="rId61">
        <w:r>
          <w:rPr>
            <w:color w:val="1155CC"/>
            <w:sz w:val="20"/>
            <w:szCs w:val="20"/>
            <w:u w:val="single"/>
          </w:rPr>
          <w:t>COPEVID</w:t>
        </w:r>
      </w:hyperlink>
      <w:r>
        <w:rPr>
          <w:sz w:val="20"/>
          <w:szCs w:val="20"/>
          <w:vertAlign w:val="superscript"/>
        </w:rPr>
        <w:footnoteReference w:id="27"/>
      </w:r>
      <w:r>
        <w:rPr>
          <w:sz w:val="20"/>
          <w:szCs w:val="20"/>
        </w:rPr>
        <w:t xml:space="preserve"> </w:t>
      </w:r>
    </w:p>
    <w:p w14:paraId="3FDFF930" w14:textId="77777777" w:rsidR="009A79AC" w:rsidRDefault="00000000">
      <w:pPr>
        <w:widowControl w:val="0"/>
        <w:numPr>
          <w:ilvl w:val="0"/>
          <w:numId w:val="2"/>
        </w:numPr>
        <w:spacing w:line="240" w:lineRule="auto"/>
        <w:jc w:val="both"/>
        <w:rPr>
          <w:sz w:val="20"/>
          <w:szCs w:val="20"/>
          <w:highlight w:val="white"/>
        </w:rPr>
      </w:pPr>
      <w:r>
        <w:rPr>
          <w:sz w:val="20"/>
          <w:szCs w:val="20"/>
          <w:highlight w:val="white"/>
        </w:rPr>
        <w:lastRenderedPageBreak/>
        <w:t xml:space="preserve">Consejo Nacional de Salud </w:t>
      </w:r>
      <w:hyperlink r:id="rId62">
        <w:r>
          <w:rPr>
            <w:color w:val="1155CC"/>
            <w:sz w:val="20"/>
            <w:szCs w:val="20"/>
            <w:highlight w:val="white"/>
            <w:u w:val="single"/>
          </w:rPr>
          <w:t xml:space="preserve">RECOMENDACIÓN </w:t>
        </w:r>
        <w:proofErr w:type="spellStart"/>
        <w:r>
          <w:rPr>
            <w:color w:val="1155CC"/>
            <w:sz w:val="20"/>
            <w:szCs w:val="20"/>
            <w:highlight w:val="white"/>
            <w:u w:val="single"/>
          </w:rPr>
          <w:t>nº</w:t>
        </w:r>
        <w:proofErr w:type="spellEnd"/>
        <w:r>
          <w:rPr>
            <w:color w:val="1155CC"/>
            <w:sz w:val="20"/>
            <w:szCs w:val="20"/>
            <w:highlight w:val="white"/>
            <w:u w:val="single"/>
          </w:rPr>
          <w:t xml:space="preserve"> 003</w:t>
        </w:r>
      </w:hyperlink>
      <w:r>
        <w:rPr>
          <w:sz w:val="20"/>
          <w:szCs w:val="20"/>
          <w:highlight w:val="white"/>
          <w:vertAlign w:val="superscript"/>
        </w:rPr>
        <w:footnoteReference w:id="28"/>
      </w:r>
    </w:p>
    <w:p w14:paraId="0E678BBE" w14:textId="77777777" w:rsidR="009A79AC" w:rsidRDefault="00000000">
      <w:pPr>
        <w:widowControl w:val="0"/>
        <w:numPr>
          <w:ilvl w:val="0"/>
          <w:numId w:val="2"/>
        </w:numPr>
        <w:spacing w:line="240" w:lineRule="auto"/>
        <w:jc w:val="both"/>
        <w:rPr>
          <w:sz w:val="20"/>
          <w:szCs w:val="20"/>
        </w:rPr>
      </w:pPr>
      <w:r>
        <w:rPr>
          <w:sz w:val="20"/>
          <w:szCs w:val="20"/>
          <w:highlight w:val="white"/>
        </w:rPr>
        <w:t xml:space="preserve">Consejo Nacional de Derechos Humanos. </w:t>
      </w:r>
      <w:hyperlink r:id="rId63">
        <w:r>
          <w:rPr>
            <w:color w:val="1155CC"/>
            <w:sz w:val="20"/>
            <w:szCs w:val="20"/>
            <w:highlight w:val="white"/>
            <w:u w:val="single"/>
          </w:rPr>
          <w:t xml:space="preserve">RECOMENDACIÓN </w:t>
        </w:r>
        <w:proofErr w:type="spellStart"/>
        <w:r>
          <w:rPr>
            <w:color w:val="1155CC"/>
            <w:sz w:val="20"/>
            <w:szCs w:val="20"/>
            <w:highlight w:val="white"/>
            <w:u w:val="single"/>
          </w:rPr>
          <w:t>nº</w:t>
        </w:r>
        <w:proofErr w:type="spellEnd"/>
        <w:r>
          <w:rPr>
            <w:color w:val="1155CC"/>
            <w:sz w:val="20"/>
            <w:szCs w:val="20"/>
            <w:highlight w:val="white"/>
            <w:u w:val="single"/>
          </w:rPr>
          <w:t xml:space="preserve"> 06</w:t>
        </w:r>
      </w:hyperlink>
      <w:r>
        <w:rPr>
          <w:sz w:val="20"/>
          <w:szCs w:val="20"/>
          <w:highlight w:val="white"/>
          <w:vertAlign w:val="superscript"/>
        </w:rPr>
        <w:footnoteReference w:id="29"/>
      </w:r>
      <w:r>
        <w:rPr>
          <w:sz w:val="20"/>
          <w:szCs w:val="20"/>
          <w:highlight w:val="white"/>
        </w:rPr>
        <w:t xml:space="preserve"> </w:t>
      </w:r>
    </w:p>
    <w:p w14:paraId="3568C1AE" w14:textId="77777777" w:rsidR="009A79AC" w:rsidRDefault="00000000">
      <w:pPr>
        <w:numPr>
          <w:ilvl w:val="0"/>
          <w:numId w:val="2"/>
        </w:numPr>
        <w:spacing w:line="240" w:lineRule="auto"/>
        <w:jc w:val="both"/>
        <w:rPr>
          <w:sz w:val="20"/>
          <w:szCs w:val="20"/>
        </w:rPr>
      </w:pPr>
      <w:r>
        <w:rPr>
          <w:sz w:val="20"/>
          <w:szCs w:val="20"/>
        </w:rPr>
        <w:t xml:space="preserve">Consejo Federal de Servicios Sociales - </w:t>
      </w:r>
      <w:hyperlink r:id="rId64">
        <w:r>
          <w:rPr>
            <w:color w:val="1155CC"/>
            <w:sz w:val="20"/>
            <w:szCs w:val="20"/>
            <w:u w:val="single"/>
          </w:rPr>
          <w:t>CFESS</w:t>
        </w:r>
      </w:hyperlink>
      <w:r>
        <w:rPr>
          <w:i/>
          <w:sz w:val="20"/>
          <w:szCs w:val="20"/>
          <w:vertAlign w:val="superscript"/>
        </w:rPr>
        <w:footnoteReference w:id="30"/>
      </w:r>
      <w:r>
        <w:rPr>
          <w:i/>
          <w:sz w:val="20"/>
          <w:szCs w:val="20"/>
        </w:rPr>
        <w:t xml:space="preserve"> </w:t>
      </w:r>
    </w:p>
    <w:p w14:paraId="0EDAF8E5" w14:textId="77777777" w:rsidR="009A79AC" w:rsidRDefault="00000000">
      <w:pPr>
        <w:numPr>
          <w:ilvl w:val="0"/>
          <w:numId w:val="2"/>
        </w:numPr>
        <w:spacing w:line="240" w:lineRule="auto"/>
        <w:jc w:val="both"/>
        <w:rPr>
          <w:sz w:val="20"/>
          <w:szCs w:val="20"/>
        </w:rPr>
      </w:pPr>
      <w:r>
        <w:rPr>
          <w:sz w:val="20"/>
          <w:szCs w:val="20"/>
        </w:rPr>
        <w:t>Comité Nacional de Lucha contra la Violencia Sexual contra Niños y Adolescentes (</w:t>
      </w:r>
      <w:hyperlink r:id="rId65">
        <w:r>
          <w:rPr>
            <w:color w:val="1155CC"/>
            <w:sz w:val="20"/>
            <w:szCs w:val="20"/>
            <w:u w:val="single"/>
          </w:rPr>
          <w:t>CNEVSCA</w:t>
        </w:r>
      </w:hyperlink>
      <w:r>
        <w:rPr>
          <w:sz w:val="20"/>
          <w:szCs w:val="20"/>
        </w:rPr>
        <w:t>)</w:t>
      </w:r>
      <w:r>
        <w:rPr>
          <w:sz w:val="20"/>
          <w:szCs w:val="20"/>
          <w:vertAlign w:val="superscript"/>
        </w:rPr>
        <w:footnoteReference w:id="31"/>
      </w:r>
      <w:r>
        <w:rPr>
          <w:i/>
          <w:sz w:val="20"/>
          <w:szCs w:val="20"/>
        </w:rPr>
        <w:t xml:space="preserve"> </w:t>
      </w:r>
    </w:p>
    <w:p w14:paraId="018B2404" w14:textId="77777777" w:rsidR="009A79AC" w:rsidRDefault="00000000">
      <w:pPr>
        <w:numPr>
          <w:ilvl w:val="0"/>
          <w:numId w:val="2"/>
        </w:numPr>
        <w:spacing w:line="240" w:lineRule="auto"/>
        <w:jc w:val="both"/>
        <w:rPr>
          <w:sz w:val="20"/>
          <w:szCs w:val="20"/>
        </w:rPr>
      </w:pPr>
      <w:r>
        <w:rPr>
          <w:sz w:val="20"/>
          <w:szCs w:val="20"/>
        </w:rPr>
        <w:t>Ministerio de Derechos Humanos y Ciudadanía</w:t>
      </w:r>
      <w:r>
        <w:rPr>
          <w:sz w:val="20"/>
          <w:szCs w:val="20"/>
          <w:vertAlign w:val="superscript"/>
        </w:rPr>
        <w:footnoteReference w:id="32"/>
      </w:r>
      <w:r>
        <w:rPr>
          <w:sz w:val="20"/>
          <w:szCs w:val="20"/>
        </w:rPr>
        <w:t xml:space="preserve"> - </w:t>
      </w:r>
      <w:hyperlink r:id="rId66">
        <w:r>
          <w:rPr>
            <w:color w:val="1155CC"/>
            <w:sz w:val="20"/>
            <w:szCs w:val="20"/>
            <w:u w:val="single"/>
          </w:rPr>
          <w:t>Nota Técnica</w:t>
        </w:r>
      </w:hyperlink>
      <w:r>
        <w:rPr>
          <w:sz w:val="20"/>
          <w:szCs w:val="20"/>
        </w:rPr>
        <w:t xml:space="preserve"> </w:t>
      </w:r>
      <w:proofErr w:type="spellStart"/>
      <w:r>
        <w:rPr>
          <w:sz w:val="20"/>
          <w:szCs w:val="20"/>
        </w:rPr>
        <w:t>nº</w:t>
      </w:r>
      <w:proofErr w:type="spellEnd"/>
      <w:r>
        <w:rPr>
          <w:sz w:val="20"/>
          <w:szCs w:val="20"/>
        </w:rPr>
        <w:t xml:space="preserve"> 32/2023/GAB.SNDCA/SNDCA/MDHC</w:t>
      </w:r>
    </w:p>
    <w:p w14:paraId="51F1511E" w14:textId="77777777" w:rsidR="009A79AC" w:rsidRDefault="00000000">
      <w:pPr>
        <w:numPr>
          <w:ilvl w:val="0"/>
          <w:numId w:val="2"/>
        </w:numPr>
        <w:spacing w:line="240" w:lineRule="auto"/>
        <w:jc w:val="both"/>
        <w:rPr>
          <w:sz w:val="20"/>
          <w:szCs w:val="20"/>
        </w:rPr>
      </w:pPr>
      <w:r>
        <w:rPr>
          <w:sz w:val="20"/>
          <w:szCs w:val="20"/>
        </w:rPr>
        <w:t xml:space="preserve">Consejo Nacional de los Derechos de la Mujer - </w:t>
      </w:r>
      <w:hyperlink r:id="rId67">
        <w:r>
          <w:rPr>
            <w:color w:val="1155CC"/>
            <w:sz w:val="20"/>
            <w:szCs w:val="20"/>
            <w:u w:val="single"/>
          </w:rPr>
          <w:t>CNDM</w:t>
        </w:r>
      </w:hyperlink>
      <w:r>
        <w:rPr>
          <w:sz w:val="20"/>
          <w:szCs w:val="20"/>
        </w:rPr>
        <w:t xml:space="preserve"> Recomendación </w:t>
      </w:r>
      <w:proofErr w:type="spellStart"/>
      <w:r>
        <w:rPr>
          <w:sz w:val="20"/>
          <w:szCs w:val="20"/>
        </w:rPr>
        <w:t>nª</w:t>
      </w:r>
      <w:proofErr w:type="spellEnd"/>
      <w:r>
        <w:rPr>
          <w:sz w:val="20"/>
          <w:szCs w:val="20"/>
        </w:rPr>
        <w:t xml:space="preserve"> 01 de 12/09/23</w:t>
      </w:r>
    </w:p>
    <w:p w14:paraId="31C1D76C" w14:textId="77777777" w:rsidR="009A79AC" w:rsidRDefault="00000000">
      <w:pPr>
        <w:numPr>
          <w:ilvl w:val="0"/>
          <w:numId w:val="2"/>
        </w:numPr>
        <w:spacing w:line="240" w:lineRule="auto"/>
        <w:jc w:val="both"/>
        <w:rPr>
          <w:sz w:val="20"/>
          <w:szCs w:val="20"/>
        </w:rPr>
      </w:pPr>
      <w:r>
        <w:rPr>
          <w:sz w:val="20"/>
          <w:szCs w:val="20"/>
        </w:rPr>
        <w:t xml:space="preserve">Ministerio de </w:t>
      </w:r>
      <w:hyperlink r:id="rId68">
        <w:r>
          <w:rPr>
            <w:color w:val="1155CC"/>
            <w:sz w:val="20"/>
            <w:szCs w:val="20"/>
            <w:u w:val="single"/>
          </w:rPr>
          <w:t>Salud</w:t>
        </w:r>
      </w:hyperlink>
      <w:r>
        <w:rPr>
          <w:sz w:val="20"/>
          <w:szCs w:val="20"/>
        </w:rPr>
        <w:t xml:space="preserve">, contra la Ley </w:t>
      </w:r>
      <w:proofErr w:type="spellStart"/>
      <w:r>
        <w:rPr>
          <w:sz w:val="20"/>
          <w:szCs w:val="20"/>
        </w:rPr>
        <w:t>nº</w:t>
      </w:r>
      <w:proofErr w:type="spellEnd"/>
      <w:r>
        <w:rPr>
          <w:sz w:val="20"/>
          <w:szCs w:val="20"/>
        </w:rPr>
        <w:t xml:space="preserve"> 12.318/2010. </w:t>
      </w:r>
    </w:p>
    <w:p w14:paraId="74722246" w14:textId="77777777" w:rsidR="009A79AC" w:rsidRDefault="00000000">
      <w:pPr>
        <w:numPr>
          <w:ilvl w:val="0"/>
          <w:numId w:val="2"/>
        </w:numPr>
        <w:spacing w:line="240" w:lineRule="auto"/>
        <w:jc w:val="both"/>
        <w:rPr>
          <w:sz w:val="20"/>
          <w:szCs w:val="20"/>
        </w:rPr>
      </w:pPr>
      <w:r>
        <w:rPr>
          <w:sz w:val="20"/>
          <w:szCs w:val="20"/>
        </w:rPr>
        <w:t xml:space="preserve">DPE PR - </w:t>
      </w:r>
      <w:hyperlink r:id="rId69">
        <w:r>
          <w:rPr>
            <w:color w:val="1155CC"/>
            <w:sz w:val="20"/>
            <w:szCs w:val="20"/>
            <w:u w:val="single"/>
          </w:rPr>
          <w:t>Defensoría Pública</w:t>
        </w:r>
      </w:hyperlink>
      <w:r>
        <w:rPr>
          <w:sz w:val="20"/>
          <w:szCs w:val="20"/>
        </w:rPr>
        <w:t xml:space="preserve"> del Estado/Paraná </w:t>
      </w:r>
    </w:p>
    <w:p w14:paraId="5999C1AD" w14:textId="77777777" w:rsidR="009A79AC" w:rsidRDefault="00000000">
      <w:pPr>
        <w:numPr>
          <w:ilvl w:val="0"/>
          <w:numId w:val="2"/>
        </w:numPr>
        <w:spacing w:line="240" w:lineRule="auto"/>
        <w:jc w:val="both"/>
        <w:rPr>
          <w:sz w:val="20"/>
          <w:szCs w:val="20"/>
        </w:rPr>
      </w:pPr>
      <w:r>
        <w:rPr>
          <w:sz w:val="20"/>
          <w:szCs w:val="20"/>
        </w:rPr>
        <w:t xml:space="preserve">ABRASME - Asociación Brasileña de </w:t>
      </w:r>
      <w:hyperlink r:id="rId70">
        <w:r>
          <w:rPr>
            <w:color w:val="1155CC"/>
            <w:sz w:val="20"/>
            <w:szCs w:val="20"/>
            <w:u w:val="single"/>
          </w:rPr>
          <w:t>Salud Mental</w:t>
        </w:r>
      </w:hyperlink>
      <w:r>
        <w:rPr>
          <w:sz w:val="20"/>
          <w:szCs w:val="20"/>
          <w:vertAlign w:val="superscript"/>
        </w:rPr>
        <w:footnoteReference w:id="33"/>
      </w:r>
      <w:r>
        <w:rPr>
          <w:sz w:val="20"/>
          <w:szCs w:val="20"/>
        </w:rPr>
        <w:t xml:space="preserve"> </w:t>
      </w:r>
    </w:p>
    <w:p w14:paraId="7AA7F990" w14:textId="77777777" w:rsidR="009A79AC" w:rsidRDefault="00000000">
      <w:pPr>
        <w:numPr>
          <w:ilvl w:val="0"/>
          <w:numId w:val="2"/>
        </w:numPr>
        <w:spacing w:line="240" w:lineRule="auto"/>
        <w:jc w:val="both"/>
        <w:rPr>
          <w:sz w:val="20"/>
          <w:szCs w:val="20"/>
        </w:rPr>
      </w:pPr>
      <w:r>
        <w:rPr>
          <w:sz w:val="20"/>
          <w:szCs w:val="20"/>
        </w:rPr>
        <w:t xml:space="preserve">Defensoría Pública de la Unión - </w:t>
      </w:r>
      <w:hyperlink r:id="rId71">
        <w:r>
          <w:rPr>
            <w:color w:val="1155CC"/>
            <w:sz w:val="20"/>
            <w:szCs w:val="20"/>
            <w:u w:val="single"/>
          </w:rPr>
          <w:t>DPU</w:t>
        </w:r>
      </w:hyperlink>
      <w:r>
        <w:rPr>
          <w:sz w:val="20"/>
          <w:szCs w:val="20"/>
          <w:vertAlign w:val="superscript"/>
        </w:rPr>
        <w:footnoteReference w:id="34"/>
      </w:r>
      <w:r>
        <w:rPr>
          <w:sz w:val="20"/>
          <w:szCs w:val="20"/>
        </w:rPr>
        <w:t xml:space="preserve">  </w:t>
      </w:r>
    </w:p>
    <w:p w14:paraId="191E02D9" w14:textId="77777777" w:rsidR="009A79AC" w:rsidRDefault="009A79AC">
      <w:pPr>
        <w:jc w:val="both"/>
        <w:rPr>
          <w:sz w:val="24"/>
          <w:szCs w:val="24"/>
        </w:rPr>
      </w:pPr>
    </w:p>
    <w:p w14:paraId="2F600A49" w14:textId="77777777" w:rsidR="009A79AC" w:rsidRDefault="00000000">
      <w:pPr>
        <w:jc w:val="both"/>
        <w:rPr>
          <w:sz w:val="24"/>
          <w:szCs w:val="24"/>
        </w:rPr>
      </w:pPr>
      <w:r>
        <w:rPr>
          <w:sz w:val="24"/>
          <w:szCs w:val="24"/>
        </w:rPr>
        <w:t>Contamos con una movilización global para combatir la violencia contra las mujeres madres, que rechazan y prohíben el uso del término “alienación parental” y sus correlatos:</w:t>
      </w:r>
    </w:p>
    <w:p w14:paraId="127768FD" w14:textId="77777777" w:rsidR="009A79AC" w:rsidRDefault="00000000">
      <w:pPr>
        <w:widowControl w:val="0"/>
        <w:numPr>
          <w:ilvl w:val="0"/>
          <w:numId w:val="2"/>
        </w:numPr>
        <w:spacing w:line="240" w:lineRule="auto"/>
        <w:jc w:val="both"/>
        <w:rPr>
          <w:sz w:val="20"/>
          <w:szCs w:val="20"/>
        </w:rPr>
      </w:pPr>
      <w:hyperlink r:id="rId72">
        <w:r>
          <w:rPr>
            <w:color w:val="1155CC"/>
            <w:sz w:val="20"/>
            <w:szCs w:val="20"/>
            <w:highlight w:val="white"/>
            <w:u w:val="single"/>
          </w:rPr>
          <w:t>MESECVI</w:t>
        </w:r>
      </w:hyperlink>
      <w:r>
        <w:rPr>
          <w:b/>
          <w:sz w:val="20"/>
          <w:szCs w:val="20"/>
          <w:highlight w:val="white"/>
        </w:rPr>
        <w:t>/</w:t>
      </w:r>
      <w:r>
        <w:rPr>
          <w:sz w:val="20"/>
          <w:szCs w:val="20"/>
          <w:highlight w:val="white"/>
        </w:rPr>
        <w:t>OEA</w:t>
      </w:r>
      <w:r>
        <w:rPr>
          <w:b/>
          <w:sz w:val="20"/>
          <w:szCs w:val="20"/>
          <w:highlight w:val="white"/>
          <w:vertAlign w:val="superscript"/>
        </w:rPr>
        <w:footnoteReference w:id="35"/>
      </w:r>
      <w:r>
        <w:rPr>
          <w:sz w:val="20"/>
          <w:szCs w:val="20"/>
        </w:rPr>
        <w:t>.</w:t>
      </w:r>
    </w:p>
    <w:p w14:paraId="0A037CEB" w14:textId="77777777" w:rsidR="009A79AC" w:rsidRDefault="00000000">
      <w:pPr>
        <w:widowControl w:val="0"/>
        <w:numPr>
          <w:ilvl w:val="0"/>
          <w:numId w:val="2"/>
        </w:numPr>
        <w:spacing w:line="240" w:lineRule="auto"/>
        <w:jc w:val="both"/>
        <w:rPr>
          <w:sz w:val="20"/>
          <w:szCs w:val="20"/>
        </w:rPr>
      </w:pPr>
      <w:hyperlink r:id="rId73">
        <w:r>
          <w:rPr>
            <w:color w:val="1155CC"/>
            <w:sz w:val="20"/>
            <w:szCs w:val="20"/>
            <w:u w:val="single"/>
          </w:rPr>
          <w:t>Comisión Interamericana de Mujeres</w:t>
        </w:r>
      </w:hyperlink>
      <w:r>
        <w:rPr>
          <w:sz w:val="20"/>
          <w:szCs w:val="20"/>
          <w:vertAlign w:val="superscript"/>
        </w:rPr>
        <w:footnoteReference w:id="36"/>
      </w:r>
    </w:p>
    <w:p w14:paraId="42DBF007" w14:textId="77777777" w:rsidR="009A79AC" w:rsidRDefault="00000000">
      <w:pPr>
        <w:widowControl w:val="0"/>
        <w:numPr>
          <w:ilvl w:val="0"/>
          <w:numId w:val="2"/>
        </w:numPr>
        <w:spacing w:line="240" w:lineRule="auto"/>
        <w:jc w:val="both"/>
        <w:rPr>
          <w:sz w:val="20"/>
          <w:szCs w:val="20"/>
        </w:rPr>
      </w:pPr>
      <w:r>
        <w:rPr>
          <w:sz w:val="20"/>
          <w:szCs w:val="20"/>
          <w:highlight w:val="white"/>
        </w:rPr>
        <w:t>PLATAFORMA</w:t>
      </w:r>
      <w:hyperlink r:id="rId74">
        <w:r>
          <w:rPr>
            <w:color w:val="1155CC"/>
            <w:sz w:val="20"/>
            <w:szCs w:val="20"/>
            <w:highlight w:val="white"/>
            <w:u w:val="single"/>
          </w:rPr>
          <w:t xml:space="preserve"> EDWAW</w:t>
        </w:r>
      </w:hyperlink>
      <w:r>
        <w:rPr>
          <w:sz w:val="20"/>
          <w:szCs w:val="20"/>
          <w:highlight w:val="white"/>
          <w:vertAlign w:val="superscript"/>
        </w:rPr>
        <w:footnoteReference w:id="37"/>
      </w:r>
    </w:p>
    <w:p w14:paraId="0A942047" w14:textId="77777777" w:rsidR="009A79AC" w:rsidRDefault="00000000">
      <w:pPr>
        <w:widowControl w:val="0"/>
        <w:numPr>
          <w:ilvl w:val="0"/>
          <w:numId w:val="2"/>
        </w:numPr>
        <w:spacing w:line="240" w:lineRule="auto"/>
        <w:jc w:val="both"/>
        <w:rPr>
          <w:sz w:val="20"/>
          <w:szCs w:val="20"/>
          <w:highlight w:val="white"/>
        </w:rPr>
      </w:pPr>
      <w:r>
        <w:rPr>
          <w:sz w:val="20"/>
          <w:szCs w:val="20"/>
          <w:highlight w:val="white"/>
        </w:rPr>
        <w:t xml:space="preserve">Los expertos de la </w:t>
      </w:r>
      <w:hyperlink r:id="rId75">
        <w:r>
          <w:rPr>
            <w:color w:val="1155CC"/>
            <w:sz w:val="20"/>
            <w:szCs w:val="20"/>
            <w:highlight w:val="white"/>
            <w:u w:val="single"/>
          </w:rPr>
          <w:t>ONU</w:t>
        </w:r>
      </w:hyperlink>
      <w:r>
        <w:rPr>
          <w:sz w:val="20"/>
          <w:szCs w:val="20"/>
          <w:vertAlign w:val="superscript"/>
        </w:rPr>
        <w:footnoteReference w:id="38"/>
      </w:r>
      <w:r>
        <w:rPr>
          <w:sz w:val="20"/>
          <w:szCs w:val="20"/>
          <w:highlight w:val="white"/>
        </w:rPr>
        <w:t xml:space="preserve"> piden al nuevo gobierno que combata la violencia contra las mujeres y las niñas y derogue la ley de alienación parental.</w:t>
      </w:r>
      <w:r>
        <w:rPr>
          <w:sz w:val="20"/>
          <w:szCs w:val="20"/>
        </w:rPr>
        <w:t xml:space="preserve"> </w:t>
      </w:r>
    </w:p>
    <w:p w14:paraId="6FA6EE33" w14:textId="77777777" w:rsidR="009A79AC" w:rsidRDefault="00000000">
      <w:pPr>
        <w:widowControl w:val="0"/>
        <w:numPr>
          <w:ilvl w:val="0"/>
          <w:numId w:val="2"/>
        </w:numPr>
        <w:spacing w:line="240" w:lineRule="auto"/>
        <w:jc w:val="both"/>
        <w:rPr>
          <w:sz w:val="20"/>
          <w:szCs w:val="20"/>
        </w:rPr>
      </w:pPr>
      <w:hyperlink r:id="rId76">
        <w:r>
          <w:rPr>
            <w:color w:val="1155CC"/>
            <w:sz w:val="20"/>
            <w:szCs w:val="20"/>
            <w:u w:val="single"/>
          </w:rPr>
          <w:t>MESECVI</w:t>
        </w:r>
      </w:hyperlink>
      <w:r>
        <w:rPr>
          <w:sz w:val="20"/>
          <w:szCs w:val="20"/>
        </w:rPr>
        <w:t xml:space="preserve"> -Comité de Expertos para el Mecanismo de Seguimiento de la Convención de Belém do Pará</w:t>
      </w:r>
      <w:r>
        <w:rPr>
          <w:sz w:val="20"/>
          <w:szCs w:val="20"/>
          <w:vertAlign w:val="superscript"/>
        </w:rPr>
        <w:footnoteReference w:id="39"/>
      </w:r>
    </w:p>
    <w:p w14:paraId="720D1362" w14:textId="77777777" w:rsidR="009A79AC" w:rsidRDefault="00000000">
      <w:pPr>
        <w:widowControl w:val="0"/>
        <w:numPr>
          <w:ilvl w:val="0"/>
          <w:numId w:val="2"/>
        </w:numPr>
        <w:spacing w:line="240" w:lineRule="auto"/>
        <w:jc w:val="both"/>
        <w:rPr>
          <w:rFonts w:ascii="Nunito" w:eastAsia="Nunito" w:hAnsi="Nunito" w:cs="Nunito"/>
          <w:sz w:val="20"/>
          <w:szCs w:val="20"/>
        </w:rPr>
      </w:pPr>
      <w:hyperlink r:id="rId77">
        <w:r>
          <w:rPr>
            <w:color w:val="1155CC"/>
            <w:sz w:val="20"/>
            <w:szCs w:val="20"/>
            <w:u w:val="single"/>
          </w:rPr>
          <w:t>Defensora de los Derechos</w:t>
        </w:r>
      </w:hyperlink>
      <w:r>
        <w:rPr>
          <w:sz w:val="20"/>
          <w:szCs w:val="20"/>
        </w:rPr>
        <w:t xml:space="preserve"> de las Niñas, Niños y Adolescentes</w:t>
      </w:r>
      <w:r>
        <w:rPr>
          <w:sz w:val="20"/>
          <w:szCs w:val="20"/>
          <w:vertAlign w:val="superscript"/>
        </w:rPr>
        <w:footnoteReference w:id="40"/>
      </w:r>
      <w:r>
        <w:rPr>
          <w:sz w:val="20"/>
          <w:szCs w:val="20"/>
        </w:rPr>
        <w:t xml:space="preserve">. Argentina </w:t>
      </w:r>
    </w:p>
    <w:p w14:paraId="7AAD965A" w14:textId="77777777" w:rsidR="009A79AC" w:rsidRDefault="00000000">
      <w:pPr>
        <w:widowControl w:val="0"/>
        <w:numPr>
          <w:ilvl w:val="0"/>
          <w:numId w:val="2"/>
        </w:numPr>
        <w:spacing w:line="240" w:lineRule="auto"/>
        <w:jc w:val="both"/>
        <w:rPr>
          <w:rFonts w:ascii="Nunito" w:eastAsia="Nunito" w:hAnsi="Nunito" w:cs="Nunito"/>
          <w:sz w:val="20"/>
          <w:szCs w:val="20"/>
        </w:rPr>
      </w:pPr>
      <w:hyperlink r:id="rId78">
        <w:r>
          <w:rPr>
            <w:color w:val="1155CC"/>
            <w:sz w:val="20"/>
            <w:szCs w:val="20"/>
            <w:u w:val="single"/>
          </w:rPr>
          <w:t xml:space="preserve">FEPRA </w:t>
        </w:r>
      </w:hyperlink>
      <w:r>
        <w:rPr>
          <w:sz w:val="20"/>
          <w:szCs w:val="20"/>
        </w:rPr>
        <w:t>- Federación de Psicólogos de la República Argentina</w:t>
      </w:r>
      <w:r>
        <w:rPr>
          <w:sz w:val="20"/>
          <w:szCs w:val="20"/>
          <w:vertAlign w:val="superscript"/>
        </w:rPr>
        <w:footnoteReference w:id="41"/>
      </w:r>
    </w:p>
    <w:p w14:paraId="706DEF5B" w14:textId="77777777" w:rsidR="009A79AC" w:rsidRDefault="00000000">
      <w:pPr>
        <w:widowControl w:val="0"/>
        <w:numPr>
          <w:ilvl w:val="0"/>
          <w:numId w:val="2"/>
        </w:numPr>
        <w:spacing w:line="240" w:lineRule="auto"/>
        <w:jc w:val="both"/>
        <w:rPr>
          <w:rFonts w:ascii="Nunito" w:eastAsia="Nunito" w:hAnsi="Nunito" w:cs="Nunito"/>
          <w:sz w:val="20"/>
          <w:szCs w:val="20"/>
        </w:rPr>
      </w:pPr>
      <w:hyperlink r:id="rId79">
        <w:r>
          <w:rPr>
            <w:color w:val="1155CC"/>
            <w:sz w:val="20"/>
            <w:szCs w:val="20"/>
            <w:u w:val="single"/>
          </w:rPr>
          <w:t>APSAC</w:t>
        </w:r>
      </w:hyperlink>
      <w:r>
        <w:rPr>
          <w:sz w:val="20"/>
          <w:szCs w:val="20"/>
        </w:rPr>
        <w:t xml:space="preserve"> American Professional </w:t>
      </w:r>
      <w:proofErr w:type="spellStart"/>
      <w:r>
        <w:rPr>
          <w:sz w:val="20"/>
          <w:szCs w:val="20"/>
        </w:rPr>
        <w:t>Society</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Abuse </w:t>
      </w:r>
      <w:proofErr w:type="spellStart"/>
      <w:r>
        <w:rPr>
          <w:sz w:val="20"/>
          <w:szCs w:val="20"/>
        </w:rPr>
        <w:t>of</w:t>
      </w:r>
      <w:proofErr w:type="spellEnd"/>
      <w:r>
        <w:rPr>
          <w:sz w:val="20"/>
          <w:szCs w:val="20"/>
        </w:rPr>
        <w:t xml:space="preserve"> </w:t>
      </w:r>
      <w:proofErr w:type="spellStart"/>
      <w:r>
        <w:rPr>
          <w:sz w:val="20"/>
          <w:szCs w:val="20"/>
        </w:rPr>
        <w:t>Children</w:t>
      </w:r>
      <w:proofErr w:type="spellEnd"/>
      <w:r>
        <w:rPr>
          <w:sz w:val="20"/>
          <w:szCs w:val="20"/>
          <w:vertAlign w:val="superscript"/>
        </w:rPr>
        <w:footnoteReference w:id="42"/>
      </w:r>
      <w:r>
        <w:rPr>
          <w:sz w:val="20"/>
          <w:szCs w:val="20"/>
        </w:rPr>
        <w:t xml:space="preserve"> </w:t>
      </w:r>
    </w:p>
    <w:p w14:paraId="44846F38" w14:textId="77777777" w:rsidR="009A79AC" w:rsidRDefault="00000000">
      <w:pPr>
        <w:widowControl w:val="0"/>
        <w:numPr>
          <w:ilvl w:val="0"/>
          <w:numId w:val="2"/>
        </w:numPr>
        <w:spacing w:line="240" w:lineRule="auto"/>
        <w:jc w:val="both"/>
        <w:rPr>
          <w:sz w:val="20"/>
          <w:szCs w:val="20"/>
        </w:rPr>
      </w:pPr>
      <w:hyperlink r:id="rId80">
        <w:r>
          <w:rPr>
            <w:color w:val="1155CC"/>
            <w:sz w:val="20"/>
            <w:szCs w:val="20"/>
            <w:u w:val="single"/>
          </w:rPr>
          <w:t>APSAC</w:t>
        </w:r>
      </w:hyperlink>
      <w:r>
        <w:rPr>
          <w:b/>
          <w:color w:val="1155CC"/>
          <w:sz w:val="20"/>
          <w:szCs w:val="20"/>
        </w:rPr>
        <w:t xml:space="preserve"> </w:t>
      </w:r>
      <w:r>
        <w:rPr>
          <w:sz w:val="20"/>
          <w:szCs w:val="20"/>
        </w:rPr>
        <w:t xml:space="preserve">Position </w:t>
      </w:r>
      <w:proofErr w:type="spellStart"/>
      <w:r>
        <w:rPr>
          <w:sz w:val="20"/>
          <w:szCs w:val="20"/>
        </w:rPr>
        <w:t>Statement</w:t>
      </w:r>
      <w:proofErr w:type="spellEnd"/>
      <w:r>
        <w:rPr>
          <w:sz w:val="20"/>
          <w:szCs w:val="20"/>
        </w:rPr>
        <w:t xml:space="preserve"> </w:t>
      </w:r>
      <w:proofErr w:type="spellStart"/>
      <w:r>
        <w:rPr>
          <w:sz w:val="20"/>
          <w:szCs w:val="20"/>
        </w:rPr>
        <w:t>Assertions</w:t>
      </w:r>
      <w:proofErr w:type="spellEnd"/>
      <w:r>
        <w:rPr>
          <w:sz w:val="20"/>
          <w:szCs w:val="20"/>
        </w:rPr>
        <w:t xml:space="preserve"> </w:t>
      </w:r>
      <w:proofErr w:type="spellStart"/>
      <w:r>
        <w:rPr>
          <w:sz w:val="20"/>
          <w:szCs w:val="20"/>
        </w:rPr>
        <w:t>of</w:t>
      </w:r>
      <w:proofErr w:type="spellEnd"/>
      <w:r>
        <w:rPr>
          <w:sz w:val="20"/>
          <w:szCs w:val="20"/>
        </w:rPr>
        <w:t xml:space="preserve"> Parental </w:t>
      </w:r>
      <w:proofErr w:type="spellStart"/>
      <w:r>
        <w:rPr>
          <w:sz w:val="20"/>
          <w:szCs w:val="20"/>
        </w:rPr>
        <w:t>Alienation</w:t>
      </w:r>
      <w:proofErr w:type="spellEnd"/>
      <w:r>
        <w:rPr>
          <w:sz w:val="20"/>
          <w:szCs w:val="20"/>
        </w:rPr>
        <w:t xml:space="preserve"> </w:t>
      </w:r>
      <w:proofErr w:type="spellStart"/>
      <w:r>
        <w:rPr>
          <w:sz w:val="20"/>
          <w:szCs w:val="20"/>
        </w:rPr>
        <w:t>Syndrome</w:t>
      </w:r>
      <w:proofErr w:type="spellEnd"/>
      <w:r>
        <w:rPr>
          <w:sz w:val="20"/>
          <w:szCs w:val="20"/>
        </w:rPr>
        <w:t xml:space="preserve"> (PAS), Parental </w:t>
      </w:r>
      <w:proofErr w:type="spellStart"/>
      <w:r>
        <w:rPr>
          <w:sz w:val="20"/>
          <w:szCs w:val="20"/>
        </w:rPr>
        <w:t>Disorder</w:t>
      </w:r>
      <w:proofErr w:type="spellEnd"/>
      <w:r>
        <w:rPr>
          <w:sz w:val="20"/>
          <w:szCs w:val="20"/>
        </w:rPr>
        <w:t xml:space="preserve"> (PAD), </w:t>
      </w:r>
      <w:proofErr w:type="spellStart"/>
      <w:r>
        <w:rPr>
          <w:sz w:val="20"/>
          <w:szCs w:val="20"/>
        </w:rPr>
        <w:t>or</w:t>
      </w:r>
      <w:proofErr w:type="spellEnd"/>
      <w:r>
        <w:rPr>
          <w:sz w:val="20"/>
          <w:szCs w:val="20"/>
        </w:rPr>
        <w:t xml:space="preserve"> </w:t>
      </w:r>
      <w:hyperlink r:id="rId81">
        <w:r>
          <w:rPr>
            <w:color w:val="1155CC"/>
            <w:sz w:val="20"/>
            <w:szCs w:val="20"/>
          </w:rPr>
          <w:t xml:space="preserve">Parental </w:t>
        </w:r>
        <w:proofErr w:type="spellStart"/>
        <w:r>
          <w:rPr>
            <w:color w:val="1155CC"/>
            <w:sz w:val="20"/>
            <w:szCs w:val="20"/>
          </w:rPr>
          <w:t>Alienation</w:t>
        </w:r>
        <w:proofErr w:type="spellEnd"/>
      </w:hyperlink>
      <w:r>
        <w:rPr>
          <w:color w:val="0000FF"/>
          <w:sz w:val="20"/>
          <w:szCs w:val="20"/>
        </w:rPr>
        <w:t xml:space="preserve"> </w:t>
      </w:r>
      <w:r>
        <w:rPr>
          <w:sz w:val="20"/>
          <w:szCs w:val="20"/>
        </w:rPr>
        <w:t xml:space="preserve">(PA) </w:t>
      </w:r>
    </w:p>
    <w:p w14:paraId="27AB863F" w14:textId="77777777" w:rsidR="009A79AC" w:rsidRDefault="00000000">
      <w:pPr>
        <w:widowControl w:val="0"/>
        <w:numPr>
          <w:ilvl w:val="0"/>
          <w:numId w:val="2"/>
        </w:numPr>
        <w:spacing w:line="240" w:lineRule="auto"/>
        <w:jc w:val="both"/>
        <w:rPr>
          <w:sz w:val="20"/>
          <w:szCs w:val="20"/>
        </w:rPr>
      </w:pPr>
      <w:r>
        <w:rPr>
          <w:sz w:val="20"/>
          <w:szCs w:val="20"/>
        </w:rPr>
        <w:t xml:space="preserve">4º Ciclo </w:t>
      </w:r>
      <w:hyperlink r:id="rId82">
        <w:r>
          <w:rPr>
            <w:color w:val="1155CC"/>
            <w:sz w:val="20"/>
            <w:szCs w:val="20"/>
            <w:u w:val="single"/>
          </w:rPr>
          <w:t>RPU</w:t>
        </w:r>
      </w:hyperlink>
      <w:r>
        <w:rPr>
          <w:sz w:val="20"/>
          <w:szCs w:val="20"/>
        </w:rPr>
        <w:t xml:space="preserve">. </w:t>
      </w:r>
      <w:proofErr w:type="spellStart"/>
      <w:r>
        <w:rPr>
          <w:sz w:val="20"/>
          <w:szCs w:val="20"/>
        </w:rPr>
        <w:t>Relatório</w:t>
      </w:r>
      <w:proofErr w:type="spellEnd"/>
      <w:r>
        <w:rPr>
          <w:sz w:val="20"/>
          <w:szCs w:val="20"/>
        </w:rPr>
        <w:t xml:space="preserve"> Periódico Universal - </w:t>
      </w:r>
      <w:hyperlink r:id="rId83">
        <w:r>
          <w:rPr>
            <w:color w:val="1155CC"/>
            <w:sz w:val="20"/>
            <w:szCs w:val="20"/>
            <w:u w:val="single"/>
          </w:rPr>
          <w:t>Brasil</w:t>
        </w:r>
      </w:hyperlink>
      <w:r>
        <w:rPr>
          <w:sz w:val="20"/>
          <w:szCs w:val="20"/>
        </w:rPr>
        <w:t xml:space="preserve"> </w:t>
      </w:r>
    </w:p>
    <w:p w14:paraId="7A49DCA0" w14:textId="77777777" w:rsidR="009A79AC" w:rsidRDefault="00000000">
      <w:pPr>
        <w:widowControl w:val="0"/>
        <w:numPr>
          <w:ilvl w:val="0"/>
          <w:numId w:val="2"/>
        </w:numPr>
        <w:spacing w:line="240" w:lineRule="auto"/>
        <w:jc w:val="both"/>
        <w:rPr>
          <w:sz w:val="20"/>
          <w:szCs w:val="20"/>
        </w:rPr>
      </w:pPr>
      <w:r>
        <w:rPr>
          <w:sz w:val="20"/>
          <w:szCs w:val="20"/>
        </w:rPr>
        <w:t>Consejo de Derechos Humanos de la</w:t>
      </w:r>
      <w:r>
        <w:rPr>
          <w:b/>
          <w:sz w:val="20"/>
          <w:szCs w:val="20"/>
        </w:rPr>
        <w:t xml:space="preserve"> </w:t>
      </w:r>
      <w:hyperlink r:id="rId84">
        <w:r>
          <w:rPr>
            <w:color w:val="1155CC"/>
            <w:sz w:val="20"/>
            <w:szCs w:val="20"/>
            <w:u w:val="single"/>
          </w:rPr>
          <w:t>ONU</w:t>
        </w:r>
      </w:hyperlink>
      <w:r>
        <w:rPr>
          <w:sz w:val="20"/>
          <w:szCs w:val="20"/>
          <w:vertAlign w:val="superscript"/>
        </w:rPr>
        <w:footnoteReference w:id="43"/>
      </w:r>
    </w:p>
    <w:p w14:paraId="7EA1D9BC" w14:textId="77777777" w:rsidR="009A79AC" w:rsidRDefault="00000000">
      <w:pPr>
        <w:numPr>
          <w:ilvl w:val="0"/>
          <w:numId w:val="2"/>
        </w:numPr>
        <w:jc w:val="both"/>
        <w:rPr>
          <w:sz w:val="20"/>
          <w:szCs w:val="20"/>
        </w:rPr>
      </w:pPr>
      <w:r>
        <w:rPr>
          <w:sz w:val="20"/>
          <w:szCs w:val="20"/>
        </w:rPr>
        <w:lastRenderedPageBreak/>
        <w:t>Comité de Derechos Humanos de la</w:t>
      </w:r>
      <w:r>
        <w:rPr>
          <w:b/>
          <w:sz w:val="20"/>
          <w:szCs w:val="20"/>
        </w:rPr>
        <w:t xml:space="preserve"> </w:t>
      </w:r>
      <w:hyperlink r:id="rId85">
        <w:r>
          <w:rPr>
            <w:color w:val="1155CC"/>
            <w:sz w:val="20"/>
            <w:szCs w:val="20"/>
            <w:u w:val="single"/>
          </w:rPr>
          <w:t>ONU</w:t>
        </w:r>
      </w:hyperlink>
      <w:r>
        <w:rPr>
          <w:sz w:val="20"/>
          <w:szCs w:val="20"/>
          <w:vertAlign w:val="superscript"/>
        </w:rPr>
        <w:footnoteReference w:id="44"/>
      </w:r>
    </w:p>
    <w:p w14:paraId="222B0BFE" w14:textId="77777777" w:rsidR="009A79AC" w:rsidRDefault="00000000">
      <w:pPr>
        <w:numPr>
          <w:ilvl w:val="0"/>
          <w:numId w:val="2"/>
        </w:numPr>
        <w:spacing w:line="240" w:lineRule="auto"/>
        <w:jc w:val="both"/>
        <w:rPr>
          <w:sz w:val="20"/>
          <w:szCs w:val="20"/>
        </w:rPr>
      </w:pPr>
      <w:r>
        <w:rPr>
          <w:sz w:val="20"/>
          <w:szCs w:val="20"/>
        </w:rPr>
        <w:t xml:space="preserve">Audiencia Pública ante la </w:t>
      </w:r>
      <w:hyperlink r:id="rId86">
        <w:r>
          <w:rPr>
            <w:color w:val="1155CC"/>
            <w:sz w:val="20"/>
            <w:szCs w:val="20"/>
            <w:u w:val="single"/>
          </w:rPr>
          <w:t>CIDH</w:t>
        </w:r>
      </w:hyperlink>
      <w:r>
        <w:rPr>
          <w:sz w:val="20"/>
          <w:szCs w:val="20"/>
          <w:vertAlign w:val="superscript"/>
        </w:rPr>
        <w:footnoteReference w:id="45"/>
      </w:r>
      <w:r>
        <w:rPr>
          <w:sz w:val="20"/>
          <w:szCs w:val="20"/>
        </w:rPr>
        <w:t xml:space="preserve"> </w:t>
      </w:r>
    </w:p>
    <w:p w14:paraId="6877CB24" w14:textId="77777777" w:rsidR="009A79AC" w:rsidRDefault="00000000">
      <w:pPr>
        <w:widowControl w:val="0"/>
        <w:numPr>
          <w:ilvl w:val="0"/>
          <w:numId w:val="2"/>
        </w:numPr>
        <w:spacing w:line="240" w:lineRule="auto"/>
        <w:jc w:val="both"/>
        <w:rPr>
          <w:sz w:val="20"/>
          <w:szCs w:val="20"/>
        </w:rPr>
      </w:pPr>
      <w:r>
        <w:rPr>
          <w:sz w:val="20"/>
          <w:szCs w:val="20"/>
        </w:rPr>
        <w:t xml:space="preserve">Organización Mundial de la Salud </w:t>
      </w:r>
      <w:hyperlink r:id="rId87">
        <w:r>
          <w:rPr>
            <w:color w:val="1155CC"/>
            <w:sz w:val="20"/>
            <w:szCs w:val="20"/>
            <w:u w:val="single"/>
          </w:rPr>
          <w:t>OMS</w:t>
        </w:r>
      </w:hyperlink>
      <w:hyperlink r:id="rId88">
        <w:r>
          <w:rPr>
            <w:b/>
            <w:color w:val="1155CC"/>
            <w:sz w:val="20"/>
            <w:szCs w:val="20"/>
            <w:u w:val="single"/>
          </w:rPr>
          <w:t xml:space="preserve"> </w:t>
        </w:r>
      </w:hyperlink>
      <w:r>
        <w:rPr>
          <w:b/>
          <w:sz w:val="20"/>
          <w:szCs w:val="20"/>
          <w:vertAlign w:val="superscript"/>
        </w:rPr>
        <w:footnoteReference w:id="46"/>
      </w:r>
      <w:r>
        <w:rPr>
          <w:b/>
          <w:sz w:val="20"/>
          <w:szCs w:val="20"/>
        </w:rPr>
        <w:t xml:space="preserve"> </w:t>
      </w:r>
    </w:p>
    <w:p w14:paraId="56B902F0" w14:textId="77777777" w:rsidR="009A79AC" w:rsidRDefault="00000000">
      <w:pPr>
        <w:numPr>
          <w:ilvl w:val="0"/>
          <w:numId w:val="2"/>
        </w:numPr>
        <w:spacing w:line="240" w:lineRule="auto"/>
        <w:jc w:val="both"/>
        <w:rPr>
          <w:sz w:val="20"/>
          <w:szCs w:val="20"/>
        </w:rPr>
      </w:pPr>
      <w:proofErr w:type="spellStart"/>
      <w:r>
        <w:rPr>
          <w:sz w:val="20"/>
          <w:szCs w:val="20"/>
        </w:rPr>
        <w:t>Repeal</w:t>
      </w:r>
      <w:proofErr w:type="spellEnd"/>
      <w:r>
        <w:rPr>
          <w:sz w:val="20"/>
          <w:szCs w:val="20"/>
        </w:rPr>
        <w:t xml:space="preserve"> </w:t>
      </w:r>
      <w:proofErr w:type="spellStart"/>
      <w:r>
        <w:rPr>
          <w:sz w:val="20"/>
          <w:szCs w:val="20"/>
        </w:rPr>
        <w:t>the</w:t>
      </w:r>
      <w:proofErr w:type="spellEnd"/>
      <w:r>
        <w:rPr>
          <w:sz w:val="20"/>
          <w:szCs w:val="20"/>
        </w:rPr>
        <w:t xml:space="preserve"> Parental </w:t>
      </w:r>
      <w:proofErr w:type="spellStart"/>
      <w:r>
        <w:rPr>
          <w:sz w:val="20"/>
          <w:szCs w:val="20"/>
        </w:rPr>
        <w:t>Alienation</w:t>
      </w:r>
      <w:proofErr w:type="spellEnd"/>
      <w:r>
        <w:rPr>
          <w:sz w:val="20"/>
          <w:szCs w:val="20"/>
        </w:rPr>
        <w:t xml:space="preserve"> </w:t>
      </w:r>
      <w:proofErr w:type="spellStart"/>
      <w:r>
        <w:rPr>
          <w:sz w:val="20"/>
          <w:szCs w:val="20"/>
        </w:rPr>
        <w:t>Law</w:t>
      </w:r>
      <w:proofErr w:type="spellEnd"/>
      <w:r>
        <w:rPr>
          <w:sz w:val="20"/>
          <w:szCs w:val="20"/>
        </w:rPr>
        <w:t xml:space="preserve"> in</w:t>
      </w:r>
      <w:r>
        <w:rPr>
          <w:b/>
          <w:sz w:val="20"/>
          <w:szCs w:val="20"/>
        </w:rPr>
        <w:t xml:space="preserve"> </w:t>
      </w:r>
      <w:hyperlink r:id="rId89">
        <w:proofErr w:type="spellStart"/>
        <w:r>
          <w:rPr>
            <w:b/>
            <w:color w:val="1155CC"/>
            <w:sz w:val="20"/>
            <w:szCs w:val="20"/>
            <w:u w:val="single"/>
          </w:rPr>
          <w:t>Brazi</w:t>
        </w:r>
      </w:hyperlink>
      <w:hyperlink r:id="rId90">
        <w:r>
          <w:rPr>
            <w:color w:val="1155CC"/>
            <w:sz w:val="20"/>
            <w:szCs w:val="20"/>
            <w:u w:val="single"/>
          </w:rPr>
          <w:t>l</w:t>
        </w:r>
        <w:proofErr w:type="spellEnd"/>
      </w:hyperlink>
      <w:r>
        <w:rPr>
          <w:sz w:val="20"/>
          <w:szCs w:val="20"/>
        </w:rPr>
        <w:t xml:space="preserve"> - SHERA - </w:t>
      </w:r>
      <w:proofErr w:type="spellStart"/>
      <w:r>
        <w:rPr>
          <w:sz w:val="20"/>
          <w:szCs w:val="20"/>
        </w:rPr>
        <w:t>Research</w:t>
      </w:r>
      <w:proofErr w:type="spellEnd"/>
      <w:r>
        <w:rPr>
          <w:sz w:val="20"/>
          <w:szCs w:val="20"/>
        </w:rPr>
        <w:t xml:space="preserve"> </w:t>
      </w:r>
      <w:proofErr w:type="spellStart"/>
      <w:r>
        <w:rPr>
          <w:sz w:val="20"/>
          <w:szCs w:val="20"/>
        </w:rPr>
        <w:t>Group</w:t>
      </w:r>
      <w:proofErr w:type="spellEnd"/>
      <w:r>
        <w:rPr>
          <w:sz w:val="20"/>
          <w:szCs w:val="20"/>
        </w:rPr>
        <w:t xml:space="preserve"> (UK) e CPI Voz Materna</w:t>
      </w:r>
    </w:p>
    <w:p w14:paraId="12B28962" w14:textId="77777777" w:rsidR="009A79AC" w:rsidRDefault="009A79AC">
      <w:pPr>
        <w:jc w:val="both"/>
        <w:rPr>
          <w:sz w:val="24"/>
          <w:szCs w:val="24"/>
        </w:rPr>
      </w:pPr>
    </w:p>
    <w:p w14:paraId="664D200F" w14:textId="77777777" w:rsidR="009A79AC" w:rsidRDefault="00000000">
      <w:pPr>
        <w:jc w:val="both"/>
        <w:rPr>
          <w:sz w:val="24"/>
          <w:szCs w:val="24"/>
        </w:rPr>
      </w:pPr>
      <w:r>
        <w:rPr>
          <w:sz w:val="24"/>
          <w:szCs w:val="24"/>
        </w:rPr>
        <w:t xml:space="preserve">Se destaca la labor de CPI Voz Materna, en la elaboración de </w:t>
      </w:r>
      <w:hyperlink r:id="rId91">
        <w:r>
          <w:rPr>
            <w:color w:val="1155CC"/>
            <w:sz w:val="24"/>
            <w:szCs w:val="24"/>
            <w:u w:val="single"/>
          </w:rPr>
          <w:t>notas técnicas</w:t>
        </w:r>
      </w:hyperlink>
      <w:r>
        <w:rPr>
          <w:sz w:val="24"/>
          <w:szCs w:val="24"/>
        </w:rPr>
        <w:t xml:space="preserve"> que contaron con más de 2000 firmas, de organizaciones y particulares, contrarias al texto propuesto, de una comisión de juristas, para la </w:t>
      </w:r>
      <w:hyperlink r:id="rId92">
        <w:r>
          <w:rPr>
            <w:color w:val="1155CC"/>
            <w:sz w:val="24"/>
            <w:szCs w:val="24"/>
            <w:u w:val="single"/>
          </w:rPr>
          <w:t>reforma</w:t>
        </w:r>
      </w:hyperlink>
      <w:r>
        <w:rPr>
          <w:sz w:val="24"/>
          <w:szCs w:val="24"/>
        </w:rPr>
        <w:t xml:space="preserve"> del Código Civil, que pretendía incluir en los artículos de custodia la ideología y correlatos de la “alienación parental”. Este movimiento resultó en la eliminación de los artículos antes mencionados, antes de enviarlo a la Asamblea Legislativa.</w:t>
      </w:r>
    </w:p>
    <w:p w14:paraId="37D3C6C7" w14:textId="77777777" w:rsidR="009A79AC" w:rsidRDefault="009A79AC">
      <w:pPr>
        <w:jc w:val="both"/>
        <w:rPr>
          <w:sz w:val="24"/>
          <w:szCs w:val="24"/>
        </w:rPr>
      </w:pPr>
    </w:p>
    <w:p w14:paraId="527D8646" w14:textId="77777777" w:rsidR="009A79AC" w:rsidRDefault="00000000">
      <w:pPr>
        <w:jc w:val="both"/>
        <w:rPr>
          <w:sz w:val="24"/>
          <w:szCs w:val="24"/>
        </w:rPr>
      </w:pPr>
      <w:r>
        <w:rPr>
          <w:sz w:val="24"/>
          <w:szCs w:val="24"/>
        </w:rPr>
        <w:t>Solicitamos al Comité CEDAW que recomiende al Brasil:</w:t>
      </w:r>
    </w:p>
    <w:p w14:paraId="34951E4C" w14:textId="77777777" w:rsidR="009A79AC" w:rsidRDefault="009A79AC">
      <w:pPr>
        <w:jc w:val="both"/>
        <w:rPr>
          <w:sz w:val="24"/>
          <w:szCs w:val="24"/>
        </w:rPr>
      </w:pPr>
    </w:p>
    <w:p w14:paraId="57B80E8B" w14:textId="77777777" w:rsidR="009A79AC" w:rsidRDefault="00000000">
      <w:pPr>
        <w:numPr>
          <w:ilvl w:val="0"/>
          <w:numId w:val="1"/>
        </w:numPr>
        <w:jc w:val="both"/>
        <w:rPr>
          <w:sz w:val="24"/>
          <w:szCs w:val="24"/>
        </w:rPr>
      </w:pPr>
      <w:r>
        <w:rPr>
          <w:sz w:val="24"/>
          <w:szCs w:val="24"/>
        </w:rPr>
        <w:t xml:space="preserve">Derogar leyes discriminatorias: </w:t>
      </w:r>
    </w:p>
    <w:p w14:paraId="4B12C888" w14:textId="77777777" w:rsidR="009A79AC" w:rsidRDefault="00000000">
      <w:pPr>
        <w:numPr>
          <w:ilvl w:val="1"/>
          <w:numId w:val="1"/>
        </w:numPr>
        <w:spacing w:line="240" w:lineRule="auto"/>
        <w:jc w:val="both"/>
        <w:rPr>
          <w:sz w:val="20"/>
          <w:szCs w:val="20"/>
        </w:rPr>
      </w:pPr>
      <w:r>
        <w:rPr>
          <w:b/>
          <w:sz w:val="20"/>
          <w:szCs w:val="20"/>
          <w:shd w:val="clear" w:color="auto" w:fill="FFF2CC"/>
        </w:rPr>
        <w:t xml:space="preserve">Derogar la Ley </w:t>
      </w:r>
      <w:proofErr w:type="spellStart"/>
      <w:r>
        <w:rPr>
          <w:b/>
          <w:sz w:val="20"/>
          <w:szCs w:val="20"/>
          <w:shd w:val="clear" w:color="auto" w:fill="FFF2CC"/>
        </w:rPr>
        <w:t>nº</w:t>
      </w:r>
      <w:proofErr w:type="spellEnd"/>
      <w:r>
        <w:rPr>
          <w:b/>
          <w:sz w:val="20"/>
          <w:szCs w:val="20"/>
          <w:shd w:val="clear" w:color="auto" w:fill="FFF2CC"/>
        </w:rPr>
        <w:t xml:space="preserve"> </w:t>
      </w:r>
      <w:hyperlink r:id="rId93">
        <w:r>
          <w:rPr>
            <w:b/>
            <w:color w:val="1155CC"/>
            <w:sz w:val="20"/>
            <w:szCs w:val="20"/>
            <w:u w:val="single"/>
            <w:shd w:val="clear" w:color="auto" w:fill="FFF2CC"/>
          </w:rPr>
          <w:t>12.318/2010</w:t>
        </w:r>
      </w:hyperlink>
      <w:r>
        <w:rPr>
          <w:b/>
          <w:sz w:val="20"/>
          <w:szCs w:val="20"/>
          <w:shd w:val="clear" w:color="auto" w:fill="FFF2CC"/>
        </w:rPr>
        <w:t>,</w:t>
      </w:r>
      <w:r>
        <w:rPr>
          <w:b/>
          <w:sz w:val="20"/>
          <w:szCs w:val="20"/>
        </w:rPr>
        <w:t xml:space="preserve"> </w:t>
      </w:r>
      <w:r>
        <w:rPr>
          <w:sz w:val="20"/>
          <w:szCs w:val="20"/>
        </w:rPr>
        <w:t>que prevé la alienación parental;</w:t>
      </w:r>
    </w:p>
    <w:p w14:paraId="2AA3E1AC" w14:textId="77777777" w:rsidR="009A79AC" w:rsidRDefault="00000000">
      <w:pPr>
        <w:numPr>
          <w:ilvl w:val="1"/>
          <w:numId w:val="1"/>
        </w:numPr>
        <w:spacing w:line="240" w:lineRule="auto"/>
        <w:jc w:val="both"/>
        <w:rPr>
          <w:sz w:val="20"/>
          <w:szCs w:val="20"/>
        </w:rPr>
      </w:pPr>
      <w:r>
        <w:rPr>
          <w:b/>
          <w:sz w:val="20"/>
          <w:szCs w:val="20"/>
          <w:shd w:val="clear" w:color="auto" w:fill="FFF2CC"/>
        </w:rPr>
        <w:t xml:space="preserve">Deroga la Ley </w:t>
      </w:r>
      <w:proofErr w:type="spellStart"/>
      <w:r>
        <w:rPr>
          <w:b/>
          <w:sz w:val="20"/>
          <w:szCs w:val="20"/>
          <w:shd w:val="clear" w:color="auto" w:fill="FFF2CC"/>
        </w:rPr>
        <w:t>n°</w:t>
      </w:r>
      <w:proofErr w:type="spellEnd"/>
      <w:r>
        <w:rPr>
          <w:b/>
          <w:sz w:val="20"/>
          <w:szCs w:val="20"/>
          <w:shd w:val="clear" w:color="auto" w:fill="FFF2CC"/>
        </w:rPr>
        <w:t xml:space="preserve"> </w:t>
      </w:r>
      <w:hyperlink r:id="rId94">
        <w:r>
          <w:rPr>
            <w:b/>
            <w:color w:val="1155CC"/>
            <w:sz w:val="20"/>
            <w:szCs w:val="20"/>
            <w:u w:val="single"/>
            <w:shd w:val="clear" w:color="auto" w:fill="FFF2CC"/>
          </w:rPr>
          <w:t>14.340/2022</w:t>
        </w:r>
      </w:hyperlink>
      <w:r>
        <w:rPr>
          <w:b/>
          <w:sz w:val="20"/>
          <w:szCs w:val="20"/>
        </w:rPr>
        <w:t xml:space="preserve">, </w:t>
      </w:r>
      <w:r>
        <w:rPr>
          <w:sz w:val="20"/>
          <w:szCs w:val="20"/>
        </w:rPr>
        <w:t xml:space="preserve">que modifica la Ley </w:t>
      </w:r>
      <w:proofErr w:type="spellStart"/>
      <w:r>
        <w:rPr>
          <w:sz w:val="20"/>
          <w:szCs w:val="20"/>
        </w:rPr>
        <w:t>n°</w:t>
      </w:r>
      <w:proofErr w:type="spellEnd"/>
      <w:r>
        <w:rPr>
          <w:sz w:val="20"/>
          <w:szCs w:val="20"/>
        </w:rPr>
        <w:t xml:space="preserve"> 12.318/2010;</w:t>
      </w:r>
    </w:p>
    <w:p w14:paraId="6C155C46" w14:textId="77777777" w:rsidR="009A79AC" w:rsidRDefault="00000000">
      <w:pPr>
        <w:numPr>
          <w:ilvl w:val="1"/>
          <w:numId w:val="1"/>
        </w:numPr>
        <w:spacing w:line="240" w:lineRule="auto"/>
        <w:jc w:val="both"/>
        <w:rPr>
          <w:sz w:val="20"/>
          <w:szCs w:val="20"/>
        </w:rPr>
      </w:pPr>
      <w:r>
        <w:rPr>
          <w:b/>
          <w:sz w:val="20"/>
          <w:szCs w:val="20"/>
          <w:shd w:val="clear" w:color="auto" w:fill="FFF2CC"/>
        </w:rPr>
        <w:t xml:space="preserve">Derogar el inciso "b" del artículo 4 de la Ley </w:t>
      </w:r>
      <w:proofErr w:type="spellStart"/>
      <w:r>
        <w:rPr>
          <w:b/>
          <w:sz w:val="20"/>
          <w:szCs w:val="20"/>
          <w:shd w:val="clear" w:color="auto" w:fill="FFF2CC"/>
        </w:rPr>
        <w:t>nº</w:t>
      </w:r>
      <w:proofErr w:type="spellEnd"/>
      <w:r>
        <w:rPr>
          <w:b/>
          <w:sz w:val="20"/>
          <w:szCs w:val="20"/>
          <w:shd w:val="clear" w:color="auto" w:fill="FFF2CC"/>
        </w:rPr>
        <w:t xml:space="preserve"> </w:t>
      </w:r>
      <w:hyperlink r:id="rId95">
        <w:r>
          <w:rPr>
            <w:b/>
            <w:color w:val="1155CC"/>
            <w:sz w:val="20"/>
            <w:szCs w:val="20"/>
            <w:u w:val="single"/>
            <w:shd w:val="clear" w:color="auto" w:fill="FFF2CC"/>
          </w:rPr>
          <w:t>13.431/2017</w:t>
        </w:r>
      </w:hyperlink>
      <w:r>
        <w:rPr>
          <w:b/>
          <w:sz w:val="20"/>
          <w:szCs w:val="20"/>
        </w:rPr>
        <w:t xml:space="preserve">; </w:t>
      </w:r>
    </w:p>
    <w:p w14:paraId="0A81CCA3" w14:textId="77777777" w:rsidR="009A79AC" w:rsidRDefault="00000000">
      <w:pPr>
        <w:numPr>
          <w:ilvl w:val="1"/>
          <w:numId w:val="1"/>
        </w:numPr>
        <w:spacing w:line="240" w:lineRule="auto"/>
        <w:jc w:val="both"/>
        <w:rPr>
          <w:sz w:val="20"/>
          <w:szCs w:val="20"/>
        </w:rPr>
      </w:pPr>
      <w:r>
        <w:rPr>
          <w:b/>
          <w:sz w:val="20"/>
          <w:szCs w:val="20"/>
          <w:shd w:val="clear" w:color="auto" w:fill="FFF2CC"/>
        </w:rPr>
        <w:lastRenderedPageBreak/>
        <w:t xml:space="preserve">Derogar la obligatoria Ley de Custodia Compartida - Ley </w:t>
      </w:r>
      <w:proofErr w:type="spellStart"/>
      <w:r>
        <w:rPr>
          <w:b/>
          <w:sz w:val="20"/>
          <w:szCs w:val="20"/>
          <w:shd w:val="clear" w:color="auto" w:fill="FFF2CC"/>
        </w:rPr>
        <w:t>n°</w:t>
      </w:r>
      <w:proofErr w:type="spellEnd"/>
      <w:r>
        <w:rPr>
          <w:b/>
          <w:sz w:val="20"/>
          <w:szCs w:val="20"/>
          <w:shd w:val="clear" w:color="auto" w:fill="FFF2CC"/>
        </w:rPr>
        <w:t xml:space="preserve"> </w:t>
      </w:r>
      <w:hyperlink r:id="rId96">
        <w:r>
          <w:rPr>
            <w:b/>
            <w:color w:val="1155CC"/>
            <w:sz w:val="20"/>
            <w:szCs w:val="20"/>
            <w:u w:val="single"/>
            <w:shd w:val="clear" w:color="auto" w:fill="FFF2CC"/>
          </w:rPr>
          <w:t>13058/2014</w:t>
        </w:r>
      </w:hyperlink>
      <w:r>
        <w:rPr>
          <w:b/>
          <w:sz w:val="20"/>
          <w:szCs w:val="20"/>
        </w:rPr>
        <w:t>,</w:t>
      </w:r>
      <w:r>
        <w:rPr>
          <w:sz w:val="20"/>
          <w:szCs w:val="20"/>
        </w:rPr>
        <w:t xml:space="preserve"> que ignora los antecedentes del padre, de violencia contra las mujeres madres y contra hijos e hijas;</w:t>
      </w:r>
    </w:p>
    <w:p w14:paraId="30944F93" w14:textId="77777777" w:rsidR="009A79AC" w:rsidRDefault="009A79AC">
      <w:pPr>
        <w:jc w:val="both"/>
        <w:rPr>
          <w:sz w:val="24"/>
          <w:szCs w:val="24"/>
        </w:rPr>
      </w:pPr>
    </w:p>
    <w:p w14:paraId="44BD8362" w14:textId="77777777" w:rsidR="009A79AC" w:rsidRDefault="00000000">
      <w:pPr>
        <w:numPr>
          <w:ilvl w:val="0"/>
          <w:numId w:val="1"/>
        </w:numPr>
        <w:jc w:val="both"/>
        <w:rPr>
          <w:sz w:val="24"/>
          <w:szCs w:val="24"/>
        </w:rPr>
      </w:pPr>
      <w:r>
        <w:rPr>
          <w:sz w:val="24"/>
          <w:szCs w:val="24"/>
        </w:rPr>
        <w:t>Prohibir el uso del término “alienación parental” y sus correlatos en el ordenamiento jurídico.</w:t>
      </w:r>
    </w:p>
    <w:p w14:paraId="35661D4B" w14:textId="77777777" w:rsidR="009A79AC" w:rsidRDefault="009A79AC">
      <w:pPr>
        <w:ind w:left="720"/>
        <w:jc w:val="both"/>
        <w:rPr>
          <w:sz w:val="24"/>
          <w:szCs w:val="24"/>
        </w:rPr>
      </w:pPr>
    </w:p>
    <w:p w14:paraId="297EA628" w14:textId="77777777" w:rsidR="009A79AC" w:rsidRDefault="00000000">
      <w:pPr>
        <w:numPr>
          <w:ilvl w:val="0"/>
          <w:numId w:val="1"/>
        </w:numPr>
        <w:jc w:val="both"/>
        <w:rPr>
          <w:sz w:val="24"/>
          <w:szCs w:val="24"/>
        </w:rPr>
      </w:pPr>
      <w:r>
        <w:rPr>
          <w:sz w:val="24"/>
          <w:szCs w:val="24"/>
        </w:rPr>
        <w:t xml:space="preserve">Responder a la carta enviada por la Relatora Especial de la ONU sobre la violencia contra las mujeres, enviada en noviembre de 2022 al nuevo gobierno </w:t>
      </w:r>
      <w:hyperlink r:id="rId97">
        <w:r>
          <w:rPr>
            <w:color w:val="1155CC"/>
            <w:sz w:val="24"/>
            <w:szCs w:val="24"/>
            <w:u w:val="single"/>
          </w:rPr>
          <w:t>electo</w:t>
        </w:r>
      </w:hyperlink>
      <w:r>
        <w:rPr>
          <w:sz w:val="24"/>
          <w:szCs w:val="24"/>
        </w:rPr>
        <w:t>.</w:t>
      </w:r>
      <w:r>
        <w:rPr>
          <w:sz w:val="24"/>
          <w:szCs w:val="24"/>
          <w:vertAlign w:val="superscript"/>
        </w:rPr>
        <w:footnoteReference w:id="47"/>
      </w:r>
    </w:p>
    <w:p w14:paraId="7AB9132F" w14:textId="77777777" w:rsidR="009A79AC" w:rsidRDefault="00000000">
      <w:pPr>
        <w:ind w:left="720"/>
        <w:jc w:val="both"/>
        <w:rPr>
          <w:sz w:val="24"/>
          <w:szCs w:val="24"/>
        </w:rPr>
      </w:pPr>
      <w:r>
        <w:rPr>
          <w:sz w:val="24"/>
          <w:szCs w:val="24"/>
        </w:rPr>
        <w:t xml:space="preserve">. </w:t>
      </w:r>
    </w:p>
    <w:p w14:paraId="2921FD4B" w14:textId="77777777" w:rsidR="009A79AC" w:rsidRDefault="00000000">
      <w:pPr>
        <w:numPr>
          <w:ilvl w:val="0"/>
          <w:numId w:val="1"/>
        </w:numPr>
        <w:jc w:val="both"/>
        <w:rPr>
          <w:sz w:val="24"/>
          <w:szCs w:val="24"/>
        </w:rPr>
      </w:pPr>
      <w:r>
        <w:rPr>
          <w:sz w:val="24"/>
          <w:szCs w:val="24"/>
        </w:rPr>
        <w:t xml:space="preserve">Solicitar al Consejo Nacional de Justicia que: </w:t>
      </w:r>
    </w:p>
    <w:p w14:paraId="17FEEC9B" w14:textId="77777777" w:rsidR="009A79AC" w:rsidRDefault="00000000">
      <w:pPr>
        <w:numPr>
          <w:ilvl w:val="1"/>
          <w:numId w:val="1"/>
        </w:numPr>
        <w:spacing w:line="240" w:lineRule="auto"/>
        <w:jc w:val="both"/>
        <w:rPr>
          <w:sz w:val="20"/>
          <w:szCs w:val="20"/>
        </w:rPr>
      </w:pPr>
      <w:r>
        <w:rPr>
          <w:b/>
          <w:sz w:val="20"/>
          <w:szCs w:val="20"/>
          <w:shd w:val="clear" w:color="auto" w:fill="FFF2CC"/>
        </w:rPr>
        <w:t xml:space="preserve">Derogar la Recomendación </w:t>
      </w:r>
      <w:proofErr w:type="spellStart"/>
      <w:r>
        <w:rPr>
          <w:b/>
          <w:sz w:val="20"/>
          <w:szCs w:val="20"/>
          <w:shd w:val="clear" w:color="auto" w:fill="FFF2CC"/>
        </w:rPr>
        <w:t>nº</w:t>
      </w:r>
      <w:proofErr w:type="spellEnd"/>
      <w:r>
        <w:rPr>
          <w:b/>
          <w:sz w:val="20"/>
          <w:szCs w:val="20"/>
          <w:shd w:val="clear" w:color="auto" w:fill="FFF2CC"/>
        </w:rPr>
        <w:t xml:space="preserve"> 33 del 23/11/2010</w:t>
      </w:r>
      <w:r>
        <w:rPr>
          <w:b/>
          <w:sz w:val="20"/>
          <w:szCs w:val="20"/>
        </w:rPr>
        <w:t>:</w:t>
      </w:r>
    </w:p>
    <w:p w14:paraId="29C7BF4A" w14:textId="77777777" w:rsidR="009A79AC" w:rsidRDefault="00000000">
      <w:pPr>
        <w:numPr>
          <w:ilvl w:val="2"/>
          <w:numId w:val="1"/>
        </w:numPr>
        <w:spacing w:line="240" w:lineRule="auto"/>
        <w:jc w:val="both"/>
        <w:rPr>
          <w:sz w:val="20"/>
          <w:szCs w:val="20"/>
        </w:rPr>
      </w:pPr>
      <w:r>
        <w:rPr>
          <w:sz w:val="20"/>
          <w:szCs w:val="20"/>
        </w:rPr>
        <w:t>rectificar el contenido del Taller de Padres y las cartillas que tratan sobre “alienación parental” y temas relacionados.</w:t>
      </w:r>
    </w:p>
    <w:p w14:paraId="6F025093" w14:textId="77777777" w:rsidR="009A79AC" w:rsidRDefault="00000000">
      <w:pPr>
        <w:numPr>
          <w:ilvl w:val="1"/>
          <w:numId w:val="1"/>
        </w:numPr>
        <w:spacing w:line="240" w:lineRule="auto"/>
        <w:jc w:val="both"/>
        <w:rPr>
          <w:b/>
          <w:sz w:val="20"/>
          <w:szCs w:val="20"/>
        </w:rPr>
      </w:pPr>
      <w:r>
        <w:rPr>
          <w:b/>
          <w:sz w:val="20"/>
          <w:szCs w:val="20"/>
          <w:shd w:val="clear" w:color="auto" w:fill="FFF2CC"/>
        </w:rPr>
        <w:t xml:space="preserve">Suspender la Ordenanza </w:t>
      </w:r>
      <w:proofErr w:type="spellStart"/>
      <w:r>
        <w:rPr>
          <w:b/>
          <w:sz w:val="20"/>
          <w:szCs w:val="20"/>
          <w:shd w:val="clear" w:color="auto" w:fill="FFF2CC"/>
        </w:rPr>
        <w:t>n°</w:t>
      </w:r>
      <w:proofErr w:type="spellEnd"/>
      <w:r>
        <w:rPr>
          <w:b/>
          <w:sz w:val="20"/>
          <w:szCs w:val="20"/>
          <w:shd w:val="clear" w:color="auto" w:fill="FFF2CC"/>
        </w:rPr>
        <w:t xml:space="preserve"> 359 del 10/11/22</w:t>
      </w:r>
      <w:r>
        <w:rPr>
          <w:b/>
          <w:sz w:val="20"/>
          <w:szCs w:val="20"/>
        </w:rPr>
        <w:t>.</w:t>
      </w:r>
    </w:p>
    <w:p w14:paraId="46D9F74F" w14:textId="77777777" w:rsidR="009A79AC" w:rsidRDefault="009A79AC">
      <w:pPr>
        <w:spacing w:line="240" w:lineRule="auto"/>
        <w:ind w:left="1440"/>
        <w:jc w:val="both"/>
        <w:rPr>
          <w:b/>
          <w:sz w:val="20"/>
          <w:szCs w:val="20"/>
        </w:rPr>
      </w:pPr>
    </w:p>
    <w:p w14:paraId="32F17EB9" w14:textId="77777777" w:rsidR="009A79AC" w:rsidRDefault="00000000">
      <w:pPr>
        <w:numPr>
          <w:ilvl w:val="0"/>
          <w:numId w:val="1"/>
        </w:numPr>
        <w:spacing w:line="240" w:lineRule="auto"/>
        <w:jc w:val="both"/>
        <w:rPr>
          <w:sz w:val="24"/>
          <w:szCs w:val="24"/>
        </w:rPr>
      </w:pPr>
      <w:r>
        <w:rPr>
          <w:sz w:val="24"/>
          <w:szCs w:val="24"/>
        </w:rPr>
        <w:t xml:space="preserve">Solicitar al Consejo Nacional del Ministerio Público que deje </w:t>
      </w:r>
      <w:r>
        <w:rPr>
          <w:sz w:val="24"/>
          <w:szCs w:val="24"/>
          <w:shd w:val="clear" w:color="auto" w:fill="FFF2CC"/>
        </w:rPr>
        <w:t xml:space="preserve">sin efecto la Recomendación </w:t>
      </w:r>
      <w:proofErr w:type="spellStart"/>
      <w:r>
        <w:rPr>
          <w:sz w:val="24"/>
          <w:szCs w:val="24"/>
          <w:shd w:val="clear" w:color="auto" w:fill="FFF2CC"/>
        </w:rPr>
        <w:t>n°</w:t>
      </w:r>
      <w:proofErr w:type="spellEnd"/>
      <w:r>
        <w:rPr>
          <w:sz w:val="24"/>
          <w:szCs w:val="24"/>
          <w:shd w:val="clear" w:color="auto" w:fill="FFF2CC"/>
        </w:rPr>
        <w:t xml:space="preserve"> 32/2016; </w:t>
      </w:r>
    </w:p>
    <w:p w14:paraId="75973DB2" w14:textId="77777777" w:rsidR="009A79AC" w:rsidRDefault="009A79AC">
      <w:pPr>
        <w:ind w:left="720"/>
        <w:jc w:val="both"/>
        <w:rPr>
          <w:sz w:val="24"/>
          <w:szCs w:val="24"/>
        </w:rPr>
      </w:pPr>
    </w:p>
    <w:p w14:paraId="4626C23C" w14:textId="77777777" w:rsidR="009A79AC" w:rsidRDefault="00000000">
      <w:pPr>
        <w:numPr>
          <w:ilvl w:val="0"/>
          <w:numId w:val="1"/>
        </w:numPr>
        <w:jc w:val="both"/>
        <w:rPr>
          <w:sz w:val="24"/>
          <w:szCs w:val="24"/>
        </w:rPr>
      </w:pPr>
      <w:r>
        <w:rPr>
          <w:sz w:val="24"/>
          <w:szCs w:val="24"/>
        </w:rPr>
        <w:t xml:space="preserve">Cumplir con la Recomendación </w:t>
      </w:r>
      <w:proofErr w:type="spellStart"/>
      <w:r>
        <w:rPr>
          <w:sz w:val="24"/>
          <w:szCs w:val="24"/>
        </w:rPr>
        <w:t>nº</w:t>
      </w:r>
      <w:proofErr w:type="spellEnd"/>
      <w:r>
        <w:rPr>
          <w:sz w:val="24"/>
          <w:szCs w:val="24"/>
        </w:rPr>
        <w:t xml:space="preserve"> 1, del 09/01/23, del Consejo Nacional de los Derechos de la </w:t>
      </w:r>
      <w:hyperlink r:id="rId98">
        <w:r>
          <w:rPr>
            <w:color w:val="1155CC"/>
            <w:sz w:val="24"/>
            <w:szCs w:val="24"/>
            <w:u w:val="single"/>
          </w:rPr>
          <w:t>Mujer</w:t>
        </w:r>
      </w:hyperlink>
      <w:r>
        <w:rPr>
          <w:sz w:val="24"/>
          <w:szCs w:val="24"/>
        </w:rPr>
        <w:t>:</w:t>
      </w:r>
    </w:p>
    <w:p w14:paraId="57F65947" w14:textId="77777777" w:rsidR="009A79AC" w:rsidRDefault="00000000">
      <w:pPr>
        <w:widowControl w:val="0"/>
        <w:numPr>
          <w:ilvl w:val="1"/>
          <w:numId w:val="1"/>
        </w:numPr>
        <w:shd w:val="clear" w:color="auto" w:fill="FFFFFF"/>
        <w:spacing w:line="240" w:lineRule="auto"/>
        <w:jc w:val="both"/>
        <w:rPr>
          <w:sz w:val="20"/>
          <w:szCs w:val="20"/>
          <w:shd w:val="clear" w:color="auto" w:fill="FFF2CC"/>
        </w:rPr>
      </w:pPr>
      <w:r>
        <w:rPr>
          <w:sz w:val="20"/>
          <w:szCs w:val="20"/>
          <w:shd w:val="clear" w:color="auto" w:fill="FFF2CC"/>
        </w:rPr>
        <w:t xml:space="preserve">Derogar la Ley </w:t>
      </w:r>
      <w:proofErr w:type="spellStart"/>
      <w:r>
        <w:rPr>
          <w:sz w:val="20"/>
          <w:szCs w:val="20"/>
          <w:shd w:val="clear" w:color="auto" w:fill="FFF2CC"/>
        </w:rPr>
        <w:t>nº</w:t>
      </w:r>
      <w:proofErr w:type="spellEnd"/>
      <w:r>
        <w:rPr>
          <w:sz w:val="20"/>
          <w:szCs w:val="20"/>
          <w:shd w:val="clear" w:color="auto" w:fill="FFF2CC"/>
        </w:rPr>
        <w:t xml:space="preserve"> 12.318/2010, </w:t>
      </w:r>
    </w:p>
    <w:p w14:paraId="20CBDEB3" w14:textId="77777777" w:rsidR="009A79AC" w:rsidRDefault="00000000">
      <w:pPr>
        <w:widowControl w:val="0"/>
        <w:numPr>
          <w:ilvl w:val="1"/>
          <w:numId w:val="1"/>
        </w:numPr>
        <w:shd w:val="clear" w:color="auto" w:fill="FFFFFF"/>
        <w:spacing w:line="240" w:lineRule="auto"/>
        <w:jc w:val="both"/>
        <w:rPr>
          <w:sz w:val="20"/>
          <w:szCs w:val="20"/>
          <w:shd w:val="clear" w:color="auto" w:fill="FFF2CC"/>
        </w:rPr>
      </w:pPr>
      <w:r>
        <w:rPr>
          <w:sz w:val="20"/>
          <w:szCs w:val="20"/>
          <w:shd w:val="clear" w:color="auto" w:fill="FFF2CC"/>
        </w:rPr>
        <w:t xml:space="preserve">Derogar la Ley </w:t>
      </w:r>
      <w:proofErr w:type="spellStart"/>
      <w:r>
        <w:rPr>
          <w:sz w:val="20"/>
          <w:szCs w:val="20"/>
          <w:shd w:val="clear" w:color="auto" w:fill="FFF2CC"/>
        </w:rPr>
        <w:t>nº</w:t>
      </w:r>
      <w:proofErr w:type="spellEnd"/>
      <w:r>
        <w:rPr>
          <w:sz w:val="20"/>
          <w:szCs w:val="20"/>
          <w:shd w:val="clear" w:color="auto" w:fill="FFF2CC"/>
        </w:rPr>
        <w:t xml:space="preserve"> 13.340/2022, </w:t>
      </w:r>
    </w:p>
    <w:p w14:paraId="482B2DB4" w14:textId="77777777" w:rsidR="009A79AC" w:rsidRDefault="00000000">
      <w:pPr>
        <w:widowControl w:val="0"/>
        <w:numPr>
          <w:ilvl w:val="1"/>
          <w:numId w:val="1"/>
        </w:numPr>
        <w:shd w:val="clear" w:color="auto" w:fill="FFFFFF"/>
        <w:spacing w:line="240" w:lineRule="auto"/>
        <w:jc w:val="both"/>
        <w:rPr>
          <w:sz w:val="20"/>
          <w:szCs w:val="20"/>
          <w:shd w:val="clear" w:color="auto" w:fill="FFF2CC"/>
        </w:rPr>
      </w:pPr>
      <w:r>
        <w:rPr>
          <w:sz w:val="20"/>
          <w:szCs w:val="20"/>
          <w:shd w:val="clear" w:color="auto" w:fill="FFF2CC"/>
        </w:rPr>
        <w:t xml:space="preserve">Derogar  el inciso "b" del artículo 4 de la Ley </w:t>
      </w:r>
      <w:proofErr w:type="spellStart"/>
      <w:r>
        <w:rPr>
          <w:sz w:val="20"/>
          <w:szCs w:val="20"/>
          <w:shd w:val="clear" w:color="auto" w:fill="FFF2CC"/>
        </w:rPr>
        <w:t>nº</w:t>
      </w:r>
      <w:proofErr w:type="spellEnd"/>
      <w:r>
        <w:rPr>
          <w:sz w:val="20"/>
          <w:szCs w:val="20"/>
          <w:shd w:val="clear" w:color="auto" w:fill="FFF2CC"/>
        </w:rPr>
        <w:t xml:space="preserve"> 13.431/2017,</w:t>
      </w:r>
    </w:p>
    <w:p w14:paraId="3B852077" w14:textId="77777777" w:rsidR="009A79AC" w:rsidRDefault="00000000">
      <w:pPr>
        <w:widowControl w:val="0"/>
        <w:numPr>
          <w:ilvl w:val="1"/>
          <w:numId w:val="1"/>
        </w:numPr>
        <w:shd w:val="clear" w:color="auto" w:fill="FFFFFF"/>
        <w:spacing w:line="240" w:lineRule="auto"/>
        <w:jc w:val="both"/>
        <w:rPr>
          <w:sz w:val="20"/>
          <w:szCs w:val="20"/>
        </w:rPr>
      </w:pPr>
      <w:r>
        <w:rPr>
          <w:sz w:val="20"/>
          <w:szCs w:val="20"/>
          <w:shd w:val="clear" w:color="auto" w:fill="FFF2CC"/>
        </w:rPr>
        <w:t>Proyectos de ley, elaborados con participación social</w:t>
      </w:r>
      <w:r>
        <w:rPr>
          <w:sz w:val="20"/>
          <w:szCs w:val="20"/>
        </w:rPr>
        <w:t>:</w:t>
      </w:r>
    </w:p>
    <w:p w14:paraId="7D3B5968"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(1) contemplar la prohibición de la conciliación con un violador en cualquier proceso (juzgado de familia, tribunal especializado en violencia doméstica) de acuerdo con las Recomendaciones de la CEDAW, Convención de Belém do Pará;</w:t>
      </w:r>
    </w:p>
    <w:p w14:paraId="68E1E55D"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 xml:space="preserve">(2) prohibir el vínculo, el </w:t>
      </w:r>
      <w:proofErr w:type="spellStart"/>
      <w:r>
        <w:rPr>
          <w:sz w:val="20"/>
          <w:szCs w:val="20"/>
          <w:highlight w:val="white"/>
        </w:rPr>
        <w:t>revínculo</w:t>
      </w:r>
      <w:proofErr w:type="spellEnd"/>
      <w:r>
        <w:rPr>
          <w:sz w:val="20"/>
          <w:szCs w:val="20"/>
          <w:highlight w:val="white"/>
        </w:rPr>
        <w:t xml:space="preserve"> o la custodia con el padre presuntamente violador (varón), de acuerdo con las Recomendaciones de la CEDAW, Convención de Belém do Pará; </w:t>
      </w:r>
    </w:p>
    <w:p w14:paraId="3D2900EB"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(3)</w:t>
      </w:r>
      <w:r>
        <w:rPr>
          <w:b/>
          <w:sz w:val="20"/>
          <w:szCs w:val="20"/>
          <w:highlight w:val="white"/>
        </w:rPr>
        <w:t xml:space="preserve"> </w:t>
      </w:r>
      <w:r>
        <w:rPr>
          <w:sz w:val="20"/>
          <w:szCs w:val="20"/>
          <w:highlight w:val="white"/>
        </w:rPr>
        <w:t>fortalecer la credibilidad de la palabra de la víctima como prueba en casos de violencia doméstica, custodia, convivencia, delitos sexuales contra niños y adolescentes de acuerdo con las Recomendaciones de la CEDAW, Convención de Belém do Pará;</w:t>
      </w:r>
    </w:p>
    <w:p w14:paraId="691512EE"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(4) considerar la protección de niños, niñas y adolescentes víctimas de violencia doméstica y familiar como testigo de la madre;</w:t>
      </w:r>
    </w:p>
    <w:p w14:paraId="68843350"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(5) establecer una formación obligatoria para todos los organismos que trabajan en la lucha contra la violencia doméstica y familiar y el abuso sexual intrafamiliar;</w:t>
      </w:r>
    </w:p>
    <w:p w14:paraId="32B171C2" w14:textId="77777777" w:rsidR="009A79AC" w:rsidRDefault="00000000">
      <w:pPr>
        <w:widowControl w:val="0"/>
        <w:numPr>
          <w:ilvl w:val="2"/>
          <w:numId w:val="1"/>
        </w:numPr>
        <w:shd w:val="clear" w:color="auto" w:fill="FFFFFF"/>
        <w:spacing w:line="240" w:lineRule="auto"/>
        <w:jc w:val="both"/>
        <w:rPr>
          <w:sz w:val="20"/>
          <w:szCs w:val="20"/>
        </w:rPr>
      </w:pPr>
      <w:r>
        <w:rPr>
          <w:sz w:val="20"/>
          <w:szCs w:val="20"/>
          <w:highlight w:val="white"/>
        </w:rPr>
        <w:t xml:space="preserve">(6) implementar medidas jurídicas apropiadas y efectivas de reparación e </w:t>
      </w:r>
      <w:r>
        <w:rPr>
          <w:sz w:val="20"/>
          <w:szCs w:val="20"/>
          <w:highlight w:val="white"/>
        </w:rPr>
        <w:lastRenderedPageBreak/>
        <w:t xml:space="preserve">indemnización a las víctimas/sobrevivientes de violencia de género resultantes de la aplicación de la Ley </w:t>
      </w:r>
      <w:proofErr w:type="spellStart"/>
      <w:r>
        <w:rPr>
          <w:sz w:val="20"/>
          <w:szCs w:val="20"/>
          <w:highlight w:val="white"/>
        </w:rPr>
        <w:t>nº</w:t>
      </w:r>
      <w:proofErr w:type="spellEnd"/>
      <w:r>
        <w:rPr>
          <w:sz w:val="20"/>
          <w:szCs w:val="20"/>
          <w:highlight w:val="white"/>
        </w:rPr>
        <w:t xml:space="preserve"> 12.318/2010, por violaciones de los derechos humanos de las mujeres acusadas con base en signos de "alienación parental" dentro del ámbito alcance de las exigencias legales, sin observar el deber de debida diligencia, y con la garantía de no repetición, de conformidad con la Recomendación General </w:t>
      </w:r>
      <w:proofErr w:type="spellStart"/>
      <w:r>
        <w:rPr>
          <w:sz w:val="20"/>
          <w:szCs w:val="20"/>
          <w:highlight w:val="white"/>
        </w:rPr>
        <w:t>nº</w:t>
      </w:r>
      <w:proofErr w:type="spellEnd"/>
      <w:r>
        <w:rPr>
          <w:sz w:val="20"/>
          <w:szCs w:val="20"/>
          <w:highlight w:val="white"/>
        </w:rPr>
        <w:t xml:space="preserve"> 35, del Comité CEDAW.</w:t>
      </w:r>
    </w:p>
    <w:p w14:paraId="5C65F651" w14:textId="77777777" w:rsidR="009A79AC" w:rsidRDefault="00000000">
      <w:pPr>
        <w:widowControl w:val="0"/>
        <w:numPr>
          <w:ilvl w:val="1"/>
          <w:numId w:val="1"/>
        </w:numPr>
        <w:shd w:val="clear" w:color="auto" w:fill="FFFFFF"/>
        <w:spacing w:line="240" w:lineRule="auto"/>
        <w:jc w:val="both"/>
        <w:rPr>
          <w:sz w:val="20"/>
          <w:szCs w:val="20"/>
        </w:rPr>
      </w:pPr>
      <w:r>
        <w:rPr>
          <w:sz w:val="20"/>
          <w:szCs w:val="20"/>
          <w:highlight w:val="white"/>
        </w:rPr>
        <w:t>Al Consejo Federal de Medicina, Consejo Federal de Psicología y Consejo Federal de Servicio Social: Prohibir, en todo el país, el uso de los términos "síndrome de alienación parental", "actos de alienación parental", "alienación parental" y términos relacionados sin reconocimiento científico en sus prácticas profesionales.</w:t>
      </w:r>
    </w:p>
    <w:p w14:paraId="4EA76F45" w14:textId="77777777" w:rsidR="009A79AC" w:rsidRDefault="00000000">
      <w:pPr>
        <w:widowControl w:val="0"/>
        <w:numPr>
          <w:ilvl w:val="1"/>
          <w:numId w:val="1"/>
        </w:numPr>
        <w:shd w:val="clear" w:color="auto" w:fill="FFFFFF"/>
        <w:spacing w:line="240" w:lineRule="auto"/>
        <w:jc w:val="both"/>
        <w:rPr>
          <w:sz w:val="20"/>
          <w:szCs w:val="20"/>
        </w:rPr>
      </w:pPr>
      <w:r>
        <w:rPr>
          <w:sz w:val="20"/>
          <w:szCs w:val="20"/>
          <w:highlight w:val="white"/>
        </w:rPr>
        <w:t>Al Consejo Nacional de Justicia:</w:t>
      </w:r>
    </w:p>
    <w:p w14:paraId="08648ED9" w14:textId="77777777" w:rsidR="009A79AC" w:rsidRDefault="00000000">
      <w:pPr>
        <w:widowControl w:val="0"/>
        <w:numPr>
          <w:ilvl w:val="2"/>
          <w:numId w:val="1"/>
        </w:numPr>
        <w:shd w:val="clear" w:color="auto" w:fill="FFFFFF"/>
        <w:spacing w:line="240" w:lineRule="auto"/>
        <w:jc w:val="both"/>
        <w:rPr>
          <w:sz w:val="20"/>
          <w:szCs w:val="20"/>
        </w:rPr>
      </w:pPr>
      <w:r>
        <w:rPr>
          <w:sz w:val="20"/>
          <w:szCs w:val="20"/>
          <w:shd w:val="clear" w:color="auto" w:fill="FFF2CC"/>
        </w:rPr>
        <w:t>Revisión y rectificación de recomendaciones, folletos y cursos donde se utilizan términos sin reconocimiento científico como “síndrome de alienación parental”, actos de “alienación parental”, “alienación parental” y afines;</w:t>
      </w:r>
      <w:r>
        <w:rPr>
          <w:sz w:val="20"/>
          <w:szCs w:val="20"/>
          <w:highlight w:val="white"/>
        </w:rPr>
        <w:t xml:space="preserve"> </w:t>
      </w:r>
    </w:p>
    <w:p w14:paraId="14C8DA13" w14:textId="77777777" w:rsidR="009A79AC" w:rsidRDefault="00000000">
      <w:pPr>
        <w:widowControl w:val="0"/>
        <w:numPr>
          <w:ilvl w:val="2"/>
          <w:numId w:val="1"/>
        </w:numPr>
        <w:shd w:val="clear" w:color="auto" w:fill="FFFFFF"/>
        <w:spacing w:line="240" w:lineRule="auto"/>
        <w:jc w:val="both"/>
        <w:rPr>
          <w:sz w:val="20"/>
          <w:szCs w:val="20"/>
          <w:highlight w:val="white"/>
        </w:rPr>
      </w:pPr>
      <w:r>
        <w:rPr>
          <w:sz w:val="20"/>
          <w:szCs w:val="20"/>
          <w:shd w:val="clear" w:color="auto" w:fill="FFF2CC"/>
        </w:rPr>
        <w:t xml:space="preserve">Promover capacitaciones y debates para jueces frente a la remoción de los respectivos términos y correlatos sin reconocimiento científico por parte del </w:t>
      </w:r>
      <w:r>
        <w:rPr>
          <w:sz w:val="20"/>
          <w:szCs w:val="20"/>
          <w:highlight w:val="white"/>
        </w:rPr>
        <w:t>ordenamiento jurídico;</w:t>
      </w:r>
    </w:p>
    <w:p w14:paraId="7862CA10" w14:textId="77777777" w:rsidR="009A79AC" w:rsidRDefault="00000000">
      <w:pPr>
        <w:widowControl w:val="0"/>
        <w:numPr>
          <w:ilvl w:val="2"/>
          <w:numId w:val="1"/>
        </w:numPr>
        <w:shd w:val="clear" w:color="auto" w:fill="FFFFFF"/>
        <w:spacing w:line="240" w:lineRule="auto"/>
        <w:jc w:val="both"/>
        <w:rPr>
          <w:sz w:val="20"/>
          <w:szCs w:val="20"/>
          <w:shd w:val="clear" w:color="auto" w:fill="FFF2CC"/>
        </w:rPr>
      </w:pPr>
      <w:r>
        <w:rPr>
          <w:sz w:val="20"/>
          <w:szCs w:val="20"/>
          <w:shd w:val="clear" w:color="auto" w:fill="FFF2CC"/>
        </w:rPr>
        <w:t>Promover la capacitación continua de jueces y demás profesionales del derecho en materia de violencia de género, violencia doméstica y familiar e intrafamiliar, abuso sexual intrafamiliar, comprensión de la forma de tortura, la obligación de la víctima de convivir con su violador y la apreciación. / consideración de la palabra de la víctima como prueba, según su condición de desarrollo y vulnerabilidad ante la situación de violencia.</w:t>
      </w:r>
    </w:p>
    <w:p w14:paraId="00EECCBD" w14:textId="77777777" w:rsidR="009A79AC" w:rsidRDefault="009A79AC">
      <w:pPr>
        <w:widowControl w:val="0"/>
        <w:shd w:val="clear" w:color="auto" w:fill="FFFFFF"/>
        <w:spacing w:line="240" w:lineRule="auto"/>
        <w:ind w:left="2160"/>
        <w:jc w:val="both"/>
        <w:rPr>
          <w:sz w:val="20"/>
          <w:szCs w:val="20"/>
        </w:rPr>
      </w:pPr>
    </w:p>
    <w:p w14:paraId="64312B20" w14:textId="77777777" w:rsidR="009A79AC" w:rsidRDefault="00000000">
      <w:pPr>
        <w:numPr>
          <w:ilvl w:val="0"/>
          <w:numId w:val="1"/>
        </w:numPr>
        <w:jc w:val="both"/>
        <w:rPr>
          <w:sz w:val="24"/>
          <w:szCs w:val="24"/>
        </w:rPr>
      </w:pPr>
      <w:r>
        <w:rPr>
          <w:sz w:val="24"/>
          <w:szCs w:val="24"/>
        </w:rPr>
        <w:t xml:space="preserve">Cumplir con la Ley </w:t>
      </w:r>
      <w:proofErr w:type="spellStart"/>
      <w:r>
        <w:rPr>
          <w:sz w:val="24"/>
          <w:szCs w:val="24"/>
        </w:rPr>
        <w:t>Maria</w:t>
      </w:r>
      <w:proofErr w:type="spellEnd"/>
      <w:r>
        <w:rPr>
          <w:sz w:val="24"/>
          <w:szCs w:val="24"/>
        </w:rPr>
        <w:t xml:space="preserve"> da </w:t>
      </w:r>
      <w:proofErr w:type="spellStart"/>
      <w:r>
        <w:rPr>
          <w:sz w:val="24"/>
          <w:szCs w:val="24"/>
        </w:rPr>
        <w:t>Penha</w:t>
      </w:r>
      <w:proofErr w:type="spellEnd"/>
      <w:r>
        <w:rPr>
          <w:sz w:val="24"/>
          <w:szCs w:val="24"/>
        </w:rPr>
        <w:t xml:space="preserve"> </w:t>
      </w:r>
      <w:proofErr w:type="spellStart"/>
      <w:r>
        <w:rPr>
          <w:sz w:val="24"/>
          <w:szCs w:val="24"/>
        </w:rPr>
        <w:t>nº</w:t>
      </w:r>
      <w:proofErr w:type="spellEnd"/>
      <w:r>
        <w:rPr>
          <w:sz w:val="24"/>
          <w:szCs w:val="24"/>
        </w:rPr>
        <w:t xml:space="preserve"> </w:t>
      </w:r>
      <w:hyperlink r:id="rId99">
        <w:r>
          <w:rPr>
            <w:color w:val="1155CC"/>
            <w:sz w:val="24"/>
            <w:szCs w:val="24"/>
            <w:u w:val="single"/>
          </w:rPr>
          <w:t>11340/2006</w:t>
        </w:r>
      </w:hyperlink>
      <w:r>
        <w:rPr>
          <w:sz w:val="24"/>
          <w:szCs w:val="24"/>
        </w:rPr>
        <w:t>, con tribunales híbridos, amplias medidas de protección para hijos e hijas</w:t>
      </w:r>
      <w:r>
        <w:rPr>
          <w:sz w:val="24"/>
          <w:szCs w:val="24"/>
          <w:vertAlign w:val="superscript"/>
        </w:rPr>
        <w:footnoteReference w:id="48"/>
      </w:r>
      <w:r>
        <w:rPr>
          <w:sz w:val="24"/>
          <w:szCs w:val="24"/>
        </w:rPr>
        <w:t>, en casos de violencia doméstica y familiar contra mujeres madres, con la prohibición de la custodia compartida y la convivencia obligatoria con padres violadores.</w:t>
      </w:r>
    </w:p>
    <w:p w14:paraId="4D505ADE" w14:textId="77777777" w:rsidR="009A79AC" w:rsidRDefault="009A79AC">
      <w:pPr>
        <w:ind w:left="720"/>
        <w:jc w:val="both"/>
        <w:rPr>
          <w:sz w:val="24"/>
          <w:szCs w:val="24"/>
        </w:rPr>
      </w:pPr>
    </w:p>
    <w:p w14:paraId="1EBADFB3" w14:textId="77777777" w:rsidR="009A79AC" w:rsidRDefault="00000000">
      <w:pPr>
        <w:numPr>
          <w:ilvl w:val="0"/>
          <w:numId w:val="1"/>
        </w:numPr>
        <w:jc w:val="both"/>
        <w:rPr>
          <w:sz w:val="24"/>
          <w:szCs w:val="24"/>
        </w:rPr>
      </w:pPr>
      <w:r>
        <w:rPr>
          <w:sz w:val="24"/>
          <w:szCs w:val="24"/>
        </w:rPr>
        <w:t>Promover la adecuación de la legislación para la prevalencia de la protección de las mujeres madres, en las decisiones de los Juzgados de lo Penal y de los juzgados especializados en violencia doméstica en materia de custodia, convivencia y decisiones de divorcio.</w:t>
      </w:r>
    </w:p>
    <w:p w14:paraId="0224A2D5" w14:textId="77777777" w:rsidR="009A79AC" w:rsidRDefault="009A79AC">
      <w:pPr>
        <w:jc w:val="both"/>
        <w:rPr>
          <w:sz w:val="24"/>
          <w:szCs w:val="24"/>
        </w:rPr>
      </w:pPr>
    </w:p>
    <w:p w14:paraId="52877FD2" w14:textId="77777777" w:rsidR="009A79AC" w:rsidRDefault="00000000">
      <w:pPr>
        <w:numPr>
          <w:ilvl w:val="0"/>
          <w:numId w:val="1"/>
        </w:numPr>
        <w:jc w:val="both"/>
        <w:rPr>
          <w:sz w:val="24"/>
          <w:szCs w:val="24"/>
        </w:rPr>
      </w:pPr>
      <w:r>
        <w:rPr>
          <w:sz w:val="24"/>
          <w:szCs w:val="24"/>
        </w:rPr>
        <w:t>Promover la reparación de las mujeres madres que vieron su maternidad violada por el Estado brasileño, con el asesinato de sus hijos e hijas por sus padres (hombres), como resultado del uso de la ideología de la “alienación parental” y de la Ley, a través de un pronunciamiento público con solicitud de perdón, reconocimiento y responsabilidad por violaciones promovidas a:</w:t>
      </w:r>
    </w:p>
    <w:p w14:paraId="333F8F35" w14:textId="77777777" w:rsidR="009A79AC" w:rsidRDefault="00000000">
      <w:pPr>
        <w:numPr>
          <w:ilvl w:val="1"/>
          <w:numId w:val="1"/>
        </w:numPr>
        <w:spacing w:line="240" w:lineRule="auto"/>
        <w:jc w:val="both"/>
        <w:rPr>
          <w:sz w:val="20"/>
          <w:szCs w:val="20"/>
        </w:rPr>
      </w:pPr>
      <w:r>
        <w:rPr>
          <w:b/>
          <w:sz w:val="20"/>
          <w:szCs w:val="20"/>
          <w:shd w:val="clear" w:color="auto" w:fill="FFF2CC"/>
        </w:rPr>
        <w:t xml:space="preserve">Cristiane </w:t>
      </w:r>
      <w:proofErr w:type="spellStart"/>
      <w:r>
        <w:rPr>
          <w:b/>
          <w:sz w:val="20"/>
          <w:szCs w:val="20"/>
          <w:shd w:val="clear" w:color="auto" w:fill="FFF2CC"/>
        </w:rPr>
        <w:t>Marcenal</w:t>
      </w:r>
      <w:proofErr w:type="spellEnd"/>
      <w:r>
        <w:rPr>
          <w:b/>
          <w:sz w:val="20"/>
          <w:szCs w:val="20"/>
        </w:rPr>
        <w:t>,</w:t>
      </w:r>
      <w:r>
        <w:rPr>
          <w:sz w:val="20"/>
          <w:szCs w:val="20"/>
        </w:rPr>
        <w:t xml:space="preserve"> madre de la primera víctima fatal de la ideología de la “alienación parental”, </w:t>
      </w:r>
      <w:r>
        <w:rPr>
          <w:sz w:val="20"/>
          <w:szCs w:val="20"/>
          <w:shd w:val="clear" w:color="auto" w:fill="FFF2CC"/>
        </w:rPr>
        <w:t xml:space="preserve">Joanna Cardoso </w:t>
      </w:r>
      <w:proofErr w:type="spellStart"/>
      <w:r>
        <w:rPr>
          <w:sz w:val="20"/>
          <w:szCs w:val="20"/>
          <w:shd w:val="clear" w:color="auto" w:fill="FFF2CC"/>
        </w:rPr>
        <w:t>Marcenal</w:t>
      </w:r>
      <w:proofErr w:type="spellEnd"/>
      <w:r>
        <w:rPr>
          <w:sz w:val="20"/>
          <w:szCs w:val="20"/>
          <w:shd w:val="clear" w:color="auto" w:fill="FFF2CC"/>
        </w:rPr>
        <w:t xml:space="preserve"> </w:t>
      </w:r>
      <w:proofErr w:type="spellStart"/>
      <w:r>
        <w:rPr>
          <w:sz w:val="20"/>
          <w:szCs w:val="20"/>
          <w:shd w:val="clear" w:color="auto" w:fill="FFF2CC"/>
        </w:rPr>
        <w:t>Marins</w:t>
      </w:r>
      <w:proofErr w:type="spellEnd"/>
      <w:r>
        <w:rPr>
          <w:sz w:val="20"/>
          <w:szCs w:val="20"/>
          <w:shd w:val="clear" w:color="auto" w:fill="FFF2CC"/>
        </w:rPr>
        <w:t xml:space="preserve">, a la edad de 5 años </w:t>
      </w:r>
      <w:hyperlink r:id="rId100">
        <w:r>
          <w:rPr>
            <w:color w:val="1155CC"/>
            <w:sz w:val="20"/>
            <w:szCs w:val="20"/>
            <w:u w:val="single"/>
          </w:rPr>
          <w:t>torturada y asesinada</w:t>
        </w:r>
      </w:hyperlink>
      <w:r>
        <w:rPr>
          <w:sz w:val="20"/>
          <w:szCs w:val="20"/>
        </w:rPr>
        <w:t xml:space="preserve"> (13/08/10) por su padre André </w:t>
      </w:r>
      <w:proofErr w:type="spellStart"/>
      <w:r>
        <w:rPr>
          <w:sz w:val="20"/>
          <w:szCs w:val="20"/>
        </w:rPr>
        <w:t>Marins</w:t>
      </w:r>
      <w:proofErr w:type="spellEnd"/>
      <w:r>
        <w:rPr>
          <w:sz w:val="20"/>
          <w:szCs w:val="20"/>
        </w:rPr>
        <w:t xml:space="preserve"> (sin proceso), a quien el TJRJ</w:t>
      </w:r>
      <w:r>
        <w:rPr>
          <w:sz w:val="20"/>
          <w:szCs w:val="20"/>
          <w:vertAlign w:val="superscript"/>
        </w:rPr>
        <w:footnoteReference w:id="49"/>
      </w:r>
      <w:r>
        <w:rPr>
          <w:sz w:val="20"/>
          <w:szCs w:val="20"/>
        </w:rPr>
        <w:t xml:space="preserve"> le revocó la custodia. , con sustento de un informe psicológico que alega que la madre practicó “alienación parental”. </w:t>
      </w:r>
    </w:p>
    <w:p w14:paraId="2865AEA9" w14:textId="77777777" w:rsidR="009A79AC" w:rsidRDefault="00000000">
      <w:pPr>
        <w:numPr>
          <w:ilvl w:val="1"/>
          <w:numId w:val="1"/>
        </w:numPr>
        <w:spacing w:line="240" w:lineRule="auto"/>
        <w:jc w:val="both"/>
        <w:rPr>
          <w:sz w:val="24"/>
          <w:szCs w:val="24"/>
        </w:rPr>
      </w:pPr>
      <w:r>
        <w:rPr>
          <w:b/>
          <w:sz w:val="20"/>
          <w:szCs w:val="20"/>
          <w:shd w:val="clear" w:color="auto" w:fill="FFF2CC"/>
        </w:rPr>
        <w:lastRenderedPageBreak/>
        <w:t>Jane Soares da Silva</w:t>
      </w:r>
      <w:r>
        <w:rPr>
          <w:sz w:val="20"/>
          <w:szCs w:val="20"/>
        </w:rPr>
        <w:t>, madre de Lucas (9 años) y Mariah (6 años),</w:t>
      </w:r>
      <w:hyperlink r:id="rId101">
        <w:r>
          <w:rPr>
            <w:color w:val="1155CC"/>
            <w:sz w:val="20"/>
            <w:szCs w:val="20"/>
            <w:u w:val="single"/>
          </w:rPr>
          <w:t xml:space="preserve"> asesinados por su padre</w:t>
        </w:r>
      </w:hyperlink>
      <w:r>
        <w:rPr>
          <w:sz w:val="20"/>
          <w:szCs w:val="20"/>
        </w:rPr>
        <w:t xml:space="preserve"> </w:t>
      </w:r>
      <w:proofErr w:type="spellStart"/>
      <w:r>
        <w:rPr>
          <w:sz w:val="20"/>
          <w:szCs w:val="20"/>
        </w:rPr>
        <w:t>Mário</w:t>
      </w:r>
      <w:proofErr w:type="spellEnd"/>
      <w:r>
        <w:rPr>
          <w:sz w:val="20"/>
          <w:szCs w:val="20"/>
        </w:rPr>
        <w:t xml:space="preserve"> Eduardo Paulino el (04/03/19), la madre fue obligada a compartir la custodia, con acusación y uso de la LAP  en TJSP</w:t>
      </w:r>
      <w:r>
        <w:rPr>
          <w:sz w:val="20"/>
          <w:szCs w:val="20"/>
          <w:vertAlign w:val="superscript"/>
        </w:rPr>
        <w:footnoteReference w:id="50"/>
      </w:r>
      <w:r>
        <w:rPr>
          <w:sz w:val="20"/>
          <w:szCs w:val="20"/>
        </w:rPr>
        <w:t>.</w:t>
      </w:r>
    </w:p>
    <w:p w14:paraId="5FEA4B08" w14:textId="77777777" w:rsidR="009A79AC" w:rsidRDefault="009A79AC">
      <w:pPr>
        <w:rPr>
          <w:sz w:val="24"/>
          <w:szCs w:val="24"/>
        </w:rPr>
      </w:pPr>
    </w:p>
    <w:p w14:paraId="3A4D503E" w14:textId="77777777" w:rsidR="009A79AC" w:rsidRDefault="00000000">
      <w:pPr>
        <w:rPr>
          <w:sz w:val="24"/>
          <w:szCs w:val="24"/>
        </w:rPr>
      </w:pPr>
      <w:r>
        <w:rPr>
          <w:sz w:val="24"/>
          <w:szCs w:val="24"/>
        </w:rPr>
        <w:t>Sinceramente,</w:t>
      </w:r>
    </w:p>
    <w:p w14:paraId="430C284D" w14:textId="77777777" w:rsidR="009A79AC" w:rsidRDefault="009A79AC">
      <w:pPr>
        <w:rPr>
          <w:sz w:val="24"/>
          <w:szCs w:val="24"/>
        </w:rPr>
      </w:pPr>
    </w:p>
    <w:p w14:paraId="4472DA47" w14:textId="77777777" w:rsidR="009A79AC" w:rsidRDefault="009A79AC">
      <w:pPr>
        <w:rPr>
          <w:sz w:val="24"/>
          <w:szCs w:val="24"/>
        </w:rPr>
      </w:pPr>
    </w:p>
    <w:p w14:paraId="052CBA80" w14:textId="77777777" w:rsidR="009A79AC" w:rsidRDefault="009A79AC">
      <w:pPr>
        <w:rPr>
          <w:sz w:val="24"/>
          <w:szCs w:val="24"/>
        </w:rPr>
      </w:pPr>
    </w:p>
    <w:p w14:paraId="1FFB78C6" w14:textId="77777777" w:rsidR="009A79AC" w:rsidRDefault="00000000">
      <w:pPr>
        <w:jc w:val="center"/>
        <w:rPr>
          <w:sz w:val="24"/>
          <w:szCs w:val="24"/>
        </w:rPr>
      </w:pPr>
      <w:proofErr w:type="spellStart"/>
      <w:r>
        <w:rPr>
          <w:sz w:val="24"/>
          <w:szCs w:val="24"/>
        </w:rPr>
        <w:t>Sibele</w:t>
      </w:r>
      <w:proofErr w:type="spellEnd"/>
      <w:r>
        <w:rPr>
          <w:sz w:val="24"/>
          <w:szCs w:val="24"/>
        </w:rPr>
        <w:t xml:space="preserve"> de Lima Lemos                                Alessandra Pereira de Andrade </w:t>
      </w:r>
    </w:p>
    <w:p w14:paraId="0D550738" w14:textId="77777777" w:rsidR="009A79AC" w:rsidRDefault="00000000">
      <w:pPr>
        <w:rPr>
          <w:b/>
          <w:sz w:val="24"/>
          <w:szCs w:val="24"/>
        </w:rPr>
      </w:pPr>
      <w:r>
        <w:rPr>
          <w:sz w:val="24"/>
          <w:szCs w:val="24"/>
        </w:rPr>
        <w:t xml:space="preserve">           </w:t>
      </w:r>
      <w:r>
        <w:rPr>
          <w:b/>
          <w:sz w:val="24"/>
          <w:szCs w:val="24"/>
        </w:rPr>
        <w:t xml:space="preserve">  CPI Voz Materna  </w:t>
      </w:r>
      <w:r>
        <w:rPr>
          <w:sz w:val="24"/>
          <w:szCs w:val="24"/>
        </w:rPr>
        <w:t xml:space="preserve">                                            </w:t>
      </w:r>
      <w:r>
        <w:rPr>
          <w:b/>
          <w:sz w:val="24"/>
          <w:szCs w:val="24"/>
        </w:rPr>
        <w:t>CPI Voz Materna</w:t>
      </w:r>
    </w:p>
    <w:p w14:paraId="1202A72B" w14:textId="77777777" w:rsidR="009A79AC" w:rsidRDefault="009A79AC">
      <w:pPr>
        <w:rPr>
          <w:sz w:val="24"/>
          <w:szCs w:val="24"/>
        </w:rPr>
      </w:pPr>
    </w:p>
    <w:p w14:paraId="0AD3DC77" w14:textId="77777777" w:rsidR="009A79AC" w:rsidRDefault="009A79AC">
      <w:pPr>
        <w:rPr>
          <w:b/>
          <w:sz w:val="24"/>
          <w:szCs w:val="24"/>
          <w:u w:val="single"/>
        </w:rPr>
      </w:pPr>
    </w:p>
    <w:p w14:paraId="7CBD6B69" w14:textId="77777777" w:rsidR="009A79AC" w:rsidRDefault="00000000">
      <w:pPr>
        <w:rPr>
          <w:sz w:val="24"/>
          <w:szCs w:val="24"/>
          <w:u w:val="single"/>
        </w:rPr>
      </w:pPr>
      <w:r>
        <w:rPr>
          <w:b/>
          <w:sz w:val="24"/>
          <w:szCs w:val="24"/>
          <w:u w:val="single"/>
        </w:rPr>
        <w:t>Firman en apoyo:</w:t>
      </w:r>
      <w:r>
        <w:rPr>
          <w:sz w:val="24"/>
          <w:szCs w:val="24"/>
          <w:u w:val="single"/>
        </w:rPr>
        <w:t xml:space="preserve"> </w:t>
      </w:r>
    </w:p>
    <w:p w14:paraId="09CEA577" w14:textId="77777777" w:rsidR="009A79AC" w:rsidRDefault="009A79AC">
      <w:pPr>
        <w:rPr>
          <w:sz w:val="24"/>
          <w:szCs w:val="24"/>
        </w:rPr>
      </w:pPr>
    </w:p>
    <w:p w14:paraId="64958D65" w14:textId="3B65C0AC" w:rsidR="00E92426" w:rsidRDefault="00000000" w:rsidP="00E92426">
      <w:pPr>
        <w:spacing w:after="240"/>
        <w:jc w:val="both"/>
        <w:rPr>
          <w:sz w:val="24"/>
          <w:szCs w:val="24"/>
          <w:highlight w:val="white"/>
        </w:rPr>
      </w:pPr>
      <w:r>
        <w:rPr>
          <w:b/>
          <w:sz w:val="24"/>
          <w:szCs w:val="24"/>
          <w:highlight w:val="white"/>
        </w:rPr>
        <w:t xml:space="preserve">Biblioteca Feminista de la </w:t>
      </w:r>
      <w:r w:rsidR="0023093F">
        <w:rPr>
          <w:b/>
          <w:sz w:val="24"/>
          <w:szCs w:val="24"/>
          <w:highlight w:val="white"/>
        </w:rPr>
        <w:t>Playa</w:t>
      </w:r>
      <w:r>
        <w:rPr>
          <w:b/>
          <w:sz w:val="24"/>
          <w:szCs w:val="24"/>
          <w:highlight w:val="white"/>
        </w:rPr>
        <w:t xml:space="preserve"> Roja, UFRJ -  </w:t>
      </w:r>
      <w:r>
        <w:rPr>
          <w:sz w:val="24"/>
          <w:szCs w:val="24"/>
          <w:highlight w:val="white"/>
        </w:rPr>
        <w:t xml:space="preserve">Luana de </w:t>
      </w:r>
      <w:r w:rsidR="00E92426">
        <w:rPr>
          <w:sz w:val="24"/>
          <w:szCs w:val="24"/>
          <w:highlight w:val="white"/>
        </w:rPr>
        <w:t>Siquiera</w:t>
      </w:r>
    </w:p>
    <w:p w14:paraId="378C2494" w14:textId="3BFF7A49" w:rsidR="009A79AC" w:rsidRDefault="00000000" w:rsidP="00E92426">
      <w:pPr>
        <w:spacing w:after="240"/>
        <w:jc w:val="both"/>
        <w:rPr>
          <w:sz w:val="24"/>
          <w:szCs w:val="24"/>
          <w:highlight w:val="white"/>
        </w:rPr>
      </w:pPr>
      <w:r>
        <w:rPr>
          <w:b/>
          <w:sz w:val="24"/>
          <w:szCs w:val="24"/>
          <w:highlight w:val="white"/>
        </w:rPr>
        <w:t>Clínica Feminista Antirracista Interseccional, UFRGS</w:t>
      </w:r>
      <w:r>
        <w:rPr>
          <w:sz w:val="24"/>
          <w:szCs w:val="24"/>
          <w:highlight w:val="white"/>
        </w:rPr>
        <w:t xml:space="preserve"> - Simone </w:t>
      </w:r>
      <w:proofErr w:type="spellStart"/>
      <w:r>
        <w:rPr>
          <w:sz w:val="24"/>
          <w:szCs w:val="24"/>
          <w:highlight w:val="white"/>
        </w:rPr>
        <w:t>Paulon</w:t>
      </w:r>
      <w:proofErr w:type="spellEnd"/>
    </w:p>
    <w:p w14:paraId="19335E9B" w14:textId="53032952" w:rsidR="009A79AC" w:rsidRDefault="00000000" w:rsidP="00E92426">
      <w:pPr>
        <w:spacing w:after="240"/>
        <w:jc w:val="both"/>
        <w:rPr>
          <w:sz w:val="24"/>
          <w:szCs w:val="24"/>
          <w:highlight w:val="white"/>
        </w:rPr>
      </w:pPr>
      <w:r>
        <w:rPr>
          <w:b/>
          <w:sz w:val="24"/>
          <w:szCs w:val="24"/>
          <w:highlight w:val="white"/>
        </w:rPr>
        <w:t xml:space="preserve">Centro de Investigación y Práctica del Derecho Internacional (NPPDI/UFSM) </w:t>
      </w:r>
      <w:r>
        <w:rPr>
          <w:sz w:val="24"/>
          <w:szCs w:val="24"/>
          <w:highlight w:val="white"/>
        </w:rPr>
        <w:t xml:space="preserve">- Ademar </w:t>
      </w:r>
      <w:proofErr w:type="spellStart"/>
      <w:r>
        <w:rPr>
          <w:sz w:val="24"/>
          <w:szCs w:val="24"/>
          <w:highlight w:val="white"/>
        </w:rPr>
        <w:t>Pozzatti</w:t>
      </w:r>
      <w:proofErr w:type="spellEnd"/>
      <w:r>
        <w:rPr>
          <w:sz w:val="24"/>
          <w:szCs w:val="24"/>
          <w:highlight w:val="white"/>
        </w:rPr>
        <w:t xml:space="preserve"> Junior  </w:t>
      </w:r>
    </w:p>
    <w:p w14:paraId="241B17F4" w14:textId="3B5510B9" w:rsidR="009A79AC" w:rsidRDefault="00000000" w:rsidP="00E92426">
      <w:pPr>
        <w:spacing w:after="240"/>
        <w:jc w:val="both"/>
        <w:rPr>
          <w:sz w:val="24"/>
          <w:szCs w:val="24"/>
        </w:rPr>
      </w:pPr>
      <w:r>
        <w:rPr>
          <w:b/>
          <w:sz w:val="24"/>
          <w:szCs w:val="24"/>
          <w:highlight w:val="white"/>
        </w:rPr>
        <w:t>Instituto Memoria y Derechos Humanos</w:t>
      </w:r>
      <w:r>
        <w:rPr>
          <w:sz w:val="24"/>
          <w:szCs w:val="24"/>
          <w:highlight w:val="white"/>
        </w:rPr>
        <w:t xml:space="preserve">, </w:t>
      </w:r>
      <w:r>
        <w:rPr>
          <w:b/>
          <w:sz w:val="24"/>
          <w:szCs w:val="24"/>
          <w:highlight w:val="white"/>
        </w:rPr>
        <w:t>UFSC/UDESC</w:t>
      </w:r>
      <w:r>
        <w:rPr>
          <w:sz w:val="24"/>
          <w:szCs w:val="24"/>
          <w:highlight w:val="white"/>
        </w:rPr>
        <w:t xml:space="preserve"> - </w:t>
      </w:r>
      <w:r>
        <w:rPr>
          <w:sz w:val="24"/>
          <w:szCs w:val="24"/>
        </w:rPr>
        <w:t xml:space="preserve">Juliana </w:t>
      </w:r>
      <w:proofErr w:type="spellStart"/>
      <w:r>
        <w:rPr>
          <w:sz w:val="24"/>
          <w:szCs w:val="24"/>
        </w:rPr>
        <w:t>Viggiano</w:t>
      </w:r>
      <w:proofErr w:type="spellEnd"/>
    </w:p>
    <w:p w14:paraId="1749A60F" w14:textId="74D5BE07" w:rsidR="009A79AC" w:rsidRDefault="00000000" w:rsidP="00E92426">
      <w:pPr>
        <w:spacing w:after="240"/>
        <w:jc w:val="both"/>
        <w:rPr>
          <w:sz w:val="24"/>
          <w:szCs w:val="24"/>
          <w:highlight w:val="white"/>
        </w:rPr>
      </w:pPr>
      <w:r>
        <w:rPr>
          <w:b/>
          <w:sz w:val="24"/>
          <w:szCs w:val="24"/>
          <w:highlight w:val="white"/>
        </w:rPr>
        <w:t xml:space="preserve">Movimiento Joanna </w:t>
      </w:r>
      <w:proofErr w:type="spellStart"/>
      <w:r>
        <w:rPr>
          <w:b/>
          <w:sz w:val="24"/>
          <w:szCs w:val="24"/>
          <w:highlight w:val="white"/>
        </w:rPr>
        <w:t>Marcenal</w:t>
      </w:r>
      <w:proofErr w:type="spellEnd"/>
      <w:r>
        <w:rPr>
          <w:b/>
          <w:sz w:val="24"/>
          <w:szCs w:val="24"/>
          <w:highlight w:val="white"/>
        </w:rPr>
        <w:t xml:space="preserve"> por la </w:t>
      </w:r>
      <w:r>
        <w:rPr>
          <w:b/>
          <w:sz w:val="24"/>
          <w:szCs w:val="24"/>
        </w:rPr>
        <w:t>derogación de la Ley de Alienación Parental</w:t>
      </w:r>
      <w:r>
        <w:rPr>
          <w:b/>
          <w:sz w:val="24"/>
          <w:szCs w:val="24"/>
          <w:highlight w:val="white"/>
        </w:rPr>
        <w:t xml:space="preserve"> - </w:t>
      </w:r>
      <w:r>
        <w:rPr>
          <w:sz w:val="24"/>
          <w:szCs w:val="24"/>
          <w:highlight w:val="white"/>
        </w:rPr>
        <w:t xml:space="preserve">Ivana de Oliveira </w:t>
      </w:r>
      <w:proofErr w:type="spellStart"/>
      <w:r>
        <w:rPr>
          <w:sz w:val="24"/>
          <w:szCs w:val="24"/>
          <w:highlight w:val="white"/>
        </w:rPr>
        <w:t>Eugênio</w:t>
      </w:r>
      <w:proofErr w:type="spellEnd"/>
      <w:r>
        <w:rPr>
          <w:sz w:val="24"/>
          <w:szCs w:val="24"/>
          <w:highlight w:val="white"/>
        </w:rPr>
        <w:t xml:space="preserve"> de Souza </w:t>
      </w:r>
      <w:proofErr w:type="spellStart"/>
      <w:r>
        <w:rPr>
          <w:sz w:val="24"/>
          <w:szCs w:val="24"/>
          <w:highlight w:val="white"/>
        </w:rPr>
        <w:t>Moura</w:t>
      </w:r>
      <w:r>
        <w:rPr>
          <w:b/>
          <w:sz w:val="24"/>
          <w:szCs w:val="24"/>
          <w:highlight w:val="white"/>
        </w:rPr>
        <w:t>Núcleo</w:t>
      </w:r>
      <w:proofErr w:type="spellEnd"/>
      <w:r>
        <w:rPr>
          <w:b/>
          <w:sz w:val="24"/>
          <w:szCs w:val="24"/>
          <w:highlight w:val="white"/>
        </w:rPr>
        <w:t xml:space="preserve"> de Investigación. y Extensión Universitaria en Derechos Humanos (NUPEDH) - Grupo de Investigación (</w:t>
      </w:r>
      <w:proofErr w:type="spellStart"/>
      <w:r>
        <w:rPr>
          <w:b/>
          <w:sz w:val="24"/>
          <w:szCs w:val="24"/>
          <w:highlight w:val="white"/>
        </w:rPr>
        <w:t>CNPq</w:t>
      </w:r>
      <w:proofErr w:type="spellEnd"/>
      <w:r>
        <w:rPr>
          <w:b/>
          <w:sz w:val="24"/>
          <w:szCs w:val="24"/>
          <w:highlight w:val="white"/>
        </w:rPr>
        <w:t xml:space="preserve">): Derecho, Género e Identidades Plurales (DGIPLUS), FURG </w:t>
      </w:r>
      <w:r w:rsidR="00E92426">
        <w:rPr>
          <w:b/>
          <w:sz w:val="24"/>
          <w:szCs w:val="24"/>
          <w:highlight w:val="white"/>
        </w:rPr>
        <w:t>-</w:t>
      </w:r>
      <w:r w:rsidR="00E92426">
        <w:rPr>
          <w:sz w:val="24"/>
          <w:szCs w:val="24"/>
          <w:highlight w:val="white"/>
        </w:rPr>
        <w:t xml:space="preserve"> Sheila</w:t>
      </w:r>
      <w:r>
        <w:rPr>
          <w:sz w:val="24"/>
          <w:szCs w:val="24"/>
          <w:highlight w:val="white"/>
        </w:rPr>
        <w:t xml:space="preserve"> </w:t>
      </w:r>
      <w:proofErr w:type="spellStart"/>
      <w:r>
        <w:rPr>
          <w:sz w:val="24"/>
          <w:szCs w:val="24"/>
          <w:highlight w:val="white"/>
        </w:rPr>
        <w:t>Stolz</w:t>
      </w:r>
      <w:proofErr w:type="spellEnd"/>
      <w:r>
        <w:rPr>
          <w:sz w:val="24"/>
          <w:szCs w:val="24"/>
          <w:highlight w:val="white"/>
        </w:rPr>
        <w:t xml:space="preserve"> </w:t>
      </w:r>
    </w:p>
    <w:p w14:paraId="08427A20" w14:textId="1032A639" w:rsidR="009A79AC" w:rsidRDefault="008758D5">
      <w:pPr>
        <w:jc w:val="both"/>
        <w:rPr>
          <w:sz w:val="24"/>
          <w:szCs w:val="24"/>
        </w:rPr>
      </w:pPr>
      <w:r>
        <w:rPr>
          <w:noProof/>
        </w:rPr>
        <w:drawing>
          <wp:anchor distT="114300" distB="114300" distL="114300" distR="114300" simplePos="0" relativeHeight="251660288" behindDoc="0" locked="0" layoutInCell="1" hidden="0" allowOverlap="1" wp14:anchorId="45D1C205" wp14:editId="0E87526D">
            <wp:simplePos x="0" y="0"/>
            <wp:positionH relativeFrom="column">
              <wp:posOffset>2865120</wp:posOffset>
            </wp:positionH>
            <wp:positionV relativeFrom="paragraph">
              <wp:posOffset>9525</wp:posOffset>
            </wp:positionV>
            <wp:extent cx="967740" cy="929640"/>
            <wp:effectExtent l="0" t="0" r="3810" b="381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2"/>
                    <a:srcRect/>
                    <a:stretch>
                      <a:fillRect/>
                    </a:stretch>
                  </pic:blipFill>
                  <pic:spPr>
                    <a:xfrm>
                      <a:off x="0" y="0"/>
                      <a:ext cx="967740" cy="92964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8240" behindDoc="0" locked="0" layoutInCell="1" hidden="0" allowOverlap="1" wp14:anchorId="28C5076F" wp14:editId="1622305D">
            <wp:simplePos x="0" y="0"/>
            <wp:positionH relativeFrom="column">
              <wp:posOffset>1402080</wp:posOffset>
            </wp:positionH>
            <wp:positionV relativeFrom="paragraph">
              <wp:posOffset>9525</wp:posOffset>
            </wp:positionV>
            <wp:extent cx="960120" cy="922020"/>
            <wp:effectExtent l="0" t="0" r="0" b="0"/>
            <wp:wrapSquare wrapText="bothSides" distT="114300" distB="114300" distL="114300" distR="11430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3"/>
                    <a:srcRect/>
                    <a:stretch>
                      <a:fillRect/>
                    </a:stretch>
                  </pic:blipFill>
                  <pic:spPr>
                    <a:xfrm>
                      <a:off x="0" y="0"/>
                      <a:ext cx="960120" cy="92202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1312" behindDoc="0" locked="0" layoutInCell="1" hidden="0" allowOverlap="1" wp14:anchorId="5F648974" wp14:editId="64996534">
            <wp:simplePos x="0" y="0"/>
            <wp:positionH relativeFrom="margin">
              <wp:align>left</wp:align>
            </wp:positionH>
            <wp:positionV relativeFrom="paragraph">
              <wp:posOffset>9525</wp:posOffset>
            </wp:positionV>
            <wp:extent cx="961390" cy="899160"/>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4"/>
                    <a:srcRect/>
                    <a:stretch>
                      <a:fillRect/>
                    </a:stretch>
                  </pic:blipFill>
                  <pic:spPr>
                    <a:xfrm>
                      <a:off x="0" y="0"/>
                      <a:ext cx="961390" cy="89916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9264" behindDoc="0" locked="0" layoutInCell="1" hidden="0" allowOverlap="1" wp14:anchorId="056DDAB0" wp14:editId="4230FC12">
            <wp:simplePos x="0" y="0"/>
            <wp:positionH relativeFrom="margin">
              <wp:align>right</wp:align>
            </wp:positionH>
            <wp:positionV relativeFrom="paragraph">
              <wp:posOffset>85725</wp:posOffset>
            </wp:positionV>
            <wp:extent cx="1443990" cy="830580"/>
            <wp:effectExtent l="0" t="0" r="3810" b="762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5"/>
                    <a:srcRect/>
                    <a:stretch>
                      <a:fillRect/>
                    </a:stretch>
                  </pic:blipFill>
                  <pic:spPr>
                    <a:xfrm>
                      <a:off x="0" y="0"/>
                      <a:ext cx="1443990" cy="830580"/>
                    </a:xfrm>
                    <a:prstGeom prst="rect">
                      <a:avLst/>
                    </a:prstGeom>
                    <a:ln/>
                  </pic:spPr>
                </pic:pic>
              </a:graphicData>
            </a:graphic>
            <wp14:sizeRelH relativeFrom="margin">
              <wp14:pctWidth>0</wp14:pctWidth>
            </wp14:sizeRelH>
            <wp14:sizeRelV relativeFrom="margin">
              <wp14:pctHeight>0</wp14:pctHeight>
            </wp14:sizeRelV>
          </wp:anchor>
        </w:drawing>
      </w:r>
    </w:p>
    <w:p w14:paraId="7953E21B" w14:textId="4E9306AD" w:rsidR="009A79AC" w:rsidRDefault="009A79AC">
      <w:pPr>
        <w:jc w:val="both"/>
        <w:rPr>
          <w:sz w:val="24"/>
          <w:szCs w:val="24"/>
        </w:rPr>
      </w:pPr>
    </w:p>
    <w:p w14:paraId="221626C3" w14:textId="6C49A930" w:rsidR="009A79AC" w:rsidRDefault="009A79AC">
      <w:pPr>
        <w:jc w:val="both"/>
        <w:rPr>
          <w:sz w:val="24"/>
          <w:szCs w:val="24"/>
        </w:rPr>
      </w:pPr>
    </w:p>
    <w:p w14:paraId="46D9D18B" w14:textId="215A88B3" w:rsidR="009A79AC" w:rsidRDefault="009A79AC">
      <w:pPr>
        <w:jc w:val="both"/>
        <w:rPr>
          <w:sz w:val="24"/>
          <w:szCs w:val="24"/>
        </w:rPr>
      </w:pPr>
    </w:p>
    <w:p w14:paraId="2D489F02" w14:textId="60757133" w:rsidR="009A79AC" w:rsidRDefault="008758D5">
      <w:pPr>
        <w:jc w:val="both"/>
        <w:rPr>
          <w:sz w:val="24"/>
          <w:szCs w:val="24"/>
        </w:rPr>
      </w:pPr>
      <w:r>
        <w:rPr>
          <w:noProof/>
        </w:rPr>
        <w:drawing>
          <wp:anchor distT="114300" distB="114300" distL="114300" distR="114300" simplePos="0" relativeHeight="251662336" behindDoc="0" locked="0" layoutInCell="1" hidden="0" allowOverlap="1" wp14:anchorId="489CC800" wp14:editId="3C2863B8">
            <wp:simplePos x="0" y="0"/>
            <wp:positionH relativeFrom="column">
              <wp:posOffset>876300</wp:posOffset>
            </wp:positionH>
            <wp:positionV relativeFrom="paragraph">
              <wp:posOffset>316230</wp:posOffset>
            </wp:positionV>
            <wp:extent cx="1484630" cy="655320"/>
            <wp:effectExtent l="0" t="0" r="1270"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6"/>
                    <a:srcRect/>
                    <a:stretch>
                      <a:fillRect/>
                    </a:stretch>
                  </pic:blipFill>
                  <pic:spPr>
                    <a:xfrm>
                      <a:off x="0" y="0"/>
                      <a:ext cx="1484630" cy="655320"/>
                    </a:xfrm>
                    <a:prstGeom prst="rect">
                      <a:avLst/>
                    </a:prstGeom>
                    <a:ln/>
                  </pic:spPr>
                </pic:pic>
              </a:graphicData>
            </a:graphic>
            <wp14:sizeRelH relativeFrom="margin">
              <wp14:pctWidth>0</wp14:pctWidth>
            </wp14:sizeRelH>
            <wp14:sizeRelV relativeFrom="margin">
              <wp14:pctHeight>0</wp14:pctHeight>
            </wp14:sizeRelV>
          </wp:anchor>
        </w:drawing>
      </w:r>
      <w:r>
        <w:rPr>
          <w:sz w:val="24"/>
          <w:szCs w:val="24"/>
        </w:rPr>
        <w:t xml:space="preserve">   </w:t>
      </w:r>
    </w:p>
    <w:p w14:paraId="5608DD93" w14:textId="1E133880" w:rsidR="009A79AC" w:rsidRDefault="008758D5">
      <w:pPr>
        <w:jc w:val="both"/>
        <w:rPr>
          <w:sz w:val="24"/>
          <w:szCs w:val="24"/>
        </w:rPr>
      </w:pPr>
      <w:r>
        <w:rPr>
          <w:noProof/>
        </w:rPr>
        <w:drawing>
          <wp:anchor distT="114300" distB="114300" distL="114300" distR="114300" simplePos="0" relativeHeight="251664384" behindDoc="0" locked="0" layoutInCell="1" hidden="0" allowOverlap="1" wp14:anchorId="564D0B6B" wp14:editId="72CF7F72">
            <wp:simplePos x="0" y="0"/>
            <wp:positionH relativeFrom="column">
              <wp:posOffset>1767840</wp:posOffset>
            </wp:positionH>
            <wp:positionV relativeFrom="paragraph">
              <wp:posOffset>891540</wp:posOffset>
            </wp:positionV>
            <wp:extent cx="1745615" cy="571500"/>
            <wp:effectExtent l="0" t="0" r="6985" b="0"/>
            <wp:wrapSquare wrapText="bothSides" distT="114300" distB="114300" distL="114300" distR="11430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7"/>
                    <a:srcRect/>
                    <a:stretch>
                      <a:fillRect/>
                    </a:stretch>
                  </pic:blipFill>
                  <pic:spPr>
                    <a:xfrm>
                      <a:off x="0" y="0"/>
                      <a:ext cx="1745615" cy="5715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3360" behindDoc="0" locked="0" layoutInCell="1" hidden="0" allowOverlap="1" wp14:anchorId="5380F340" wp14:editId="3649D473">
            <wp:simplePos x="0" y="0"/>
            <wp:positionH relativeFrom="column">
              <wp:posOffset>2872740</wp:posOffset>
            </wp:positionH>
            <wp:positionV relativeFrom="paragraph">
              <wp:posOffset>99060</wp:posOffset>
            </wp:positionV>
            <wp:extent cx="1287780" cy="685800"/>
            <wp:effectExtent l="0" t="0" r="7620" b="0"/>
            <wp:wrapSquare wrapText="bothSides" distT="114300" distB="114300" distL="114300" distR="11430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08"/>
                    <a:srcRect/>
                    <a:stretch>
                      <a:fillRect/>
                    </a:stretch>
                  </pic:blipFill>
                  <pic:spPr>
                    <a:xfrm>
                      <a:off x="0" y="0"/>
                      <a:ext cx="1287780" cy="685800"/>
                    </a:xfrm>
                    <a:prstGeom prst="rect">
                      <a:avLst/>
                    </a:prstGeom>
                    <a:ln/>
                  </pic:spPr>
                </pic:pic>
              </a:graphicData>
            </a:graphic>
            <wp14:sizeRelH relativeFrom="margin">
              <wp14:pctWidth>0</wp14:pctWidth>
            </wp14:sizeRelH>
            <wp14:sizeRelV relativeFrom="margin">
              <wp14:pctHeight>0</wp14:pctHeight>
            </wp14:sizeRelV>
          </wp:anchor>
        </w:drawing>
      </w:r>
    </w:p>
    <w:p w14:paraId="2D29460B" w14:textId="7C868D9E" w:rsidR="009A79AC" w:rsidRDefault="009A79AC">
      <w:pPr>
        <w:jc w:val="both"/>
        <w:rPr>
          <w:sz w:val="24"/>
          <w:szCs w:val="24"/>
        </w:rPr>
      </w:pPr>
    </w:p>
    <w:sectPr w:rsidR="009A79AC">
      <w:headerReference w:type="default" r:id="rId109"/>
      <w:footerReference w:type="default" r:id="rId1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21DB5D" w14:textId="77777777" w:rsidR="00764DC9" w:rsidRDefault="00764DC9">
      <w:pPr>
        <w:spacing w:line="240" w:lineRule="auto"/>
      </w:pPr>
      <w:r>
        <w:separator/>
      </w:r>
    </w:p>
  </w:endnote>
  <w:endnote w:type="continuationSeparator" w:id="0">
    <w:p w14:paraId="63EB8FF4" w14:textId="77777777" w:rsidR="00764DC9" w:rsidRDefault="00764D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charset w:val="00"/>
    <w:family w:val="auto"/>
    <w:pitch w:val="variable"/>
    <w:sig w:usb0="A00002FF" w:usb1="5000204B" w:usb2="00000000" w:usb3="00000000" w:csb0="00000197" w:csb1="00000000"/>
    <w:embedRegular r:id="rId1" w:fontKey="{75C9FA33-2EBA-4181-9893-48D041FE7E52}"/>
  </w:font>
  <w:font w:name="Calibri">
    <w:panose1 w:val="020F0502020204030204"/>
    <w:charset w:val="00"/>
    <w:family w:val="swiss"/>
    <w:pitch w:val="variable"/>
    <w:sig w:usb0="E4002EFF" w:usb1="C200247B" w:usb2="00000009" w:usb3="00000000" w:csb0="000001FF" w:csb1="00000000"/>
    <w:embedRegular r:id="rId2" w:fontKey="{B7988958-60A9-4356-B571-BAFB4E140318}"/>
  </w:font>
  <w:font w:name="Cambria">
    <w:panose1 w:val="02040503050406030204"/>
    <w:charset w:val="00"/>
    <w:family w:val="roman"/>
    <w:pitch w:val="variable"/>
    <w:sig w:usb0="E00006FF" w:usb1="420024FF" w:usb2="02000000" w:usb3="00000000" w:csb0="0000019F" w:csb1="00000000"/>
    <w:embedRegular r:id="rId3" w:fontKey="{760FF537-ADDD-4084-8616-B5CB343D15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CA1BC" w14:textId="77777777" w:rsidR="009A79AC" w:rsidRDefault="00000000">
    <w:pPr>
      <w:ind w:left="2160" w:firstLine="720"/>
      <w:rPr>
        <w:color w:val="274E13"/>
        <w:sz w:val="20"/>
        <w:szCs w:val="20"/>
      </w:rPr>
    </w:pPr>
    <w:hyperlink r:id="rId1">
      <w:r>
        <w:rPr>
          <w:color w:val="274E13"/>
          <w:sz w:val="20"/>
          <w:szCs w:val="20"/>
          <w:u w:val="single"/>
        </w:rPr>
        <w:t>www.cpivozmaterna.com</w:t>
      </w:r>
    </w:hyperlink>
    <w:r>
      <w:rPr>
        <w:color w:val="274E13"/>
        <w:sz w:val="20"/>
        <w:szCs w:val="20"/>
      </w:rPr>
      <w:t xml:space="preserve"> </w:t>
    </w:r>
  </w:p>
  <w:p w14:paraId="4D958C94" w14:textId="77777777" w:rsidR="009A79AC" w:rsidRDefault="00000000">
    <w:pPr>
      <w:ind w:left="2160" w:firstLine="720"/>
    </w:pPr>
    <w:hyperlink r:id="rId2">
      <w:r>
        <w:rPr>
          <w:color w:val="274E13"/>
          <w:sz w:val="20"/>
          <w:szCs w:val="20"/>
          <w:u w:val="single"/>
        </w:rPr>
        <w:t>cpivozmaterna@gmail.com</w:t>
      </w:r>
    </w:hyperlink>
    <w:r>
      <w:rPr>
        <w:color w:val="274E13"/>
        <w:sz w:val="20"/>
        <w:szCs w:val="20"/>
      </w:rPr>
      <w:t xml:space="preserve">     </w:t>
    </w:r>
    <w:r>
      <w:rPr>
        <w:color w:val="274E13"/>
      </w:rPr>
      <w:t xml:space="preserve">               </w:t>
    </w:r>
    <w:r>
      <w:t xml:space="preserve">                                       </w:t>
    </w:r>
    <w:r>
      <w:fldChar w:fldCharType="begin"/>
    </w:r>
    <w:r>
      <w:instrText>PAGE</w:instrText>
    </w:r>
    <w:r>
      <w:fldChar w:fldCharType="separate"/>
    </w:r>
    <w:r w:rsidR="00E9242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169F1" w14:textId="77777777" w:rsidR="00764DC9" w:rsidRDefault="00764DC9">
      <w:pPr>
        <w:spacing w:line="240" w:lineRule="auto"/>
      </w:pPr>
      <w:r>
        <w:separator/>
      </w:r>
    </w:p>
  </w:footnote>
  <w:footnote w:type="continuationSeparator" w:id="0">
    <w:p w14:paraId="46EC7CCB" w14:textId="77777777" w:rsidR="00764DC9" w:rsidRDefault="00764DC9">
      <w:pPr>
        <w:spacing w:line="240" w:lineRule="auto"/>
      </w:pPr>
      <w:r>
        <w:continuationSeparator/>
      </w:r>
    </w:p>
  </w:footnote>
  <w:footnote w:id="1">
    <w:p w14:paraId="127C4863" w14:textId="77777777" w:rsidR="009A79AC" w:rsidRDefault="00000000">
      <w:pPr>
        <w:spacing w:line="240" w:lineRule="auto"/>
        <w:rPr>
          <w:sz w:val="20"/>
          <w:szCs w:val="20"/>
        </w:rPr>
      </w:pPr>
      <w:r>
        <w:rPr>
          <w:vertAlign w:val="superscript"/>
        </w:rPr>
        <w:footnoteRef/>
      </w:r>
      <w:r>
        <w:rPr>
          <w:sz w:val="20"/>
          <w:szCs w:val="20"/>
        </w:rPr>
        <w:t xml:space="preserve"> Fundación Universidad de Río Grande</w:t>
      </w:r>
    </w:p>
  </w:footnote>
  <w:footnote w:id="2">
    <w:p w14:paraId="44F1AB39" w14:textId="77777777" w:rsidR="009A79AC"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Docencia, Investigación y Extensión de la Escuela de Servicio Social de la </w:t>
      </w:r>
      <w:r>
        <w:rPr>
          <w:sz w:val="20"/>
          <w:szCs w:val="20"/>
        </w:rPr>
        <w:t xml:space="preserve">Universidad Federal de Rio de Janeiro. </w:t>
      </w:r>
    </w:p>
  </w:footnote>
  <w:footnote w:id="3">
    <w:p w14:paraId="06427876" w14:textId="77777777" w:rsidR="009A79AC" w:rsidRDefault="00000000">
      <w:pPr>
        <w:spacing w:line="240" w:lineRule="auto"/>
        <w:rPr>
          <w:sz w:val="20"/>
          <w:szCs w:val="20"/>
        </w:rPr>
      </w:pPr>
      <w:r>
        <w:rPr>
          <w:vertAlign w:val="superscript"/>
        </w:rPr>
        <w:footnoteRef/>
      </w:r>
      <w:r>
        <w:rPr>
          <w:sz w:val="20"/>
          <w:szCs w:val="20"/>
        </w:rPr>
        <w:t xml:space="preserve"> Universidad Federal de Río Grande do Sul.</w:t>
      </w:r>
    </w:p>
  </w:footnote>
  <w:footnote w:id="4">
    <w:p w14:paraId="3F13F6AC" w14:textId="77777777" w:rsidR="009A79AC" w:rsidRDefault="00000000">
      <w:pPr>
        <w:spacing w:line="240" w:lineRule="auto"/>
        <w:rPr>
          <w:sz w:val="16"/>
          <w:szCs w:val="16"/>
        </w:rPr>
      </w:pPr>
      <w:r>
        <w:rPr>
          <w:vertAlign w:val="superscript"/>
        </w:rPr>
        <w:footnoteRef/>
      </w:r>
      <w:r>
        <w:rPr>
          <w:sz w:val="20"/>
          <w:szCs w:val="20"/>
        </w:rPr>
        <w:t xml:space="preserve"> </w:t>
      </w:r>
      <w:r>
        <w:rPr>
          <w:sz w:val="20"/>
          <w:szCs w:val="20"/>
          <w:highlight w:val="white"/>
        </w:rPr>
        <w:t xml:space="preserve">Universidad Federal de Santa María. </w:t>
      </w:r>
    </w:p>
  </w:footnote>
  <w:footnote w:id="5">
    <w:p w14:paraId="7BEAF9F9" w14:textId="77777777" w:rsidR="009A79AC" w:rsidRDefault="00000000">
      <w:pPr>
        <w:spacing w:line="240" w:lineRule="auto"/>
        <w:jc w:val="both"/>
        <w:rPr>
          <w:sz w:val="20"/>
          <w:szCs w:val="20"/>
        </w:rPr>
      </w:pPr>
      <w:r>
        <w:rPr>
          <w:vertAlign w:val="superscript"/>
        </w:rPr>
        <w:footnoteRef/>
      </w:r>
      <w:r>
        <w:rPr>
          <w:sz w:val="20"/>
          <w:szCs w:val="20"/>
        </w:rPr>
        <w:t xml:space="preserve"> En 2023, </w:t>
      </w:r>
      <w:proofErr w:type="spellStart"/>
      <w:r>
        <w:rPr>
          <w:sz w:val="20"/>
          <w:szCs w:val="20"/>
        </w:rPr>
        <w:t>Safernet</w:t>
      </w:r>
      <w:proofErr w:type="spellEnd"/>
      <w:r>
        <w:rPr>
          <w:sz w:val="20"/>
          <w:szCs w:val="20"/>
        </w:rPr>
        <w:t xml:space="preserve"> recibió 71.867 nuevos informes de imágenes de abuso y explotación sexual infantil en línea. La cifra es el récord absoluto de nuevas denuncias (no repetidas) de este tipo de delitos que la ONG ha recibido durante los 18 años de funcionamiento del Centro Nacional de Denuncias de Delitos Cibernéticos</w:t>
      </w:r>
    </w:p>
  </w:footnote>
  <w:footnote w:id="6">
    <w:p w14:paraId="0084CF54" w14:textId="77777777" w:rsidR="009A79AC" w:rsidRDefault="00000000">
      <w:pPr>
        <w:spacing w:line="240" w:lineRule="auto"/>
        <w:jc w:val="both"/>
        <w:rPr>
          <w:sz w:val="20"/>
          <w:szCs w:val="20"/>
        </w:rPr>
      </w:pPr>
      <w:r>
        <w:rPr>
          <w:vertAlign w:val="superscript"/>
        </w:rPr>
        <w:footnoteRef/>
      </w:r>
      <w:r>
        <w:rPr>
          <w:sz w:val="20"/>
          <w:szCs w:val="20"/>
        </w:rPr>
        <w:t xml:space="preserve"> </w:t>
      </w:r>
      <w:r>
        <w:rPr>
          <w:color w:val="0F1111"/>
          <w:sz w:val="20"/>
          <w:szCs w:val="20"/>
        </w:rPr>
        <w:t xml:space="preserve">Los discursos judiciales sobre la aplicación de la ley de alienación parental: la </w:t>
      </w:r>
      <w:proofErr w:type="spellStart"/>
      <w:r>
        <w:rPr>
          <w:color w:val="0F1111"/>
          <w:sz w:val="20"/>
          <w:szCs w:val="20"/>
        </w:rPr>
        <w:t>sindemia</w:t>
      </w:r>
      <w:proofErr w:type="spellEnd"/>
      <w:r>
        <w:rPr>
          <w:color w:val="0F1111"/>
          <w:sz w:val="20"/>
          <w:szCs w:val="20"/>
        </w:rPr>
        <w:t xml:space="preserve"> de violencia de género simbólica y real en tiempos de la enfermedad por el virus Corona. - Sheila </w:t>
      </w:r>
      <w:proofErr w:type="spellStart"/>
      <w:r>
        <w:rPr>
          <w:color w:val="0F1111"/>
          <w:sz w:val="20"/>
          <w:szCs w:val="20"/>
        </w:rPr>
        <w:t>Stolz</w:t>
      </w:r>
      <w:proofErr w:type="spellEnd"/>
      <w:r>
        <w:rPr>
          <w:color w:val="0F1111"/>
          <w:sz w:val="20"/>
          <w:szCs w:val="20"/>
        </w:rPr>
        <w:t xml:space="preserve"> y </w:t>
      </w:r>
      <w:proofErr w:type="spellStart"/>
      <w:r>
        <w:rPr>
          <w:color w:val="0F1111"/>
          <w:sz w:val="20"/>
          <w:szCs w:val="20"/>
        </w:rPr>
        <w:t>Sibele</w:t>
      </w:r>
      <w:proofErr w:type="spellEnd"/>
      <w:r>
        <w:rPr>
          <w:color w:val="0F1111"/>
          <w:sz w:val="20"/>
          <w:szCs w:val="20"/>
        </w:rPr>
        <w:t xml:space="preserve"> Lemos (2021)</w:t>
      </w:r>
    </w:p>
  </w:footnote>
  <w:footnote w:id="7">
    <w:p w14:paraId="02128563" w14:textId="77777777" w:rsidR="009A79AC" w:rsidRDefault="00000000">
      <w:pPr>
        <w:spacing w:line="240" w:lineRule="auto"/>
        <w:rPr>
          <w:sz w:val="20"/>
          <w:szCs w:val="20"/>
        </w:rPr>
      </w:pPr>
      <w:r>
        <w:rPr>
          <w:vertAlign w:val="superscript"/>
        </w:rPr>
        <w:footnoteRef/>
      </w:r>
      <w:r>
        <w:rPr>
          <w:sz w:val="20"/>
          <w:szCs w:val="20"/>
        </w:rPr>
        <w:t xml:space="preserve"> Análisis jurisprudencial de tribunales de la región sureste sobre la aplicación del instituto: alienación parental (síndrome). Camila </w:t>
      </w:r>
      <w:proofErr w:type="spellStart"/>
      <w:r>
        <w:rPr>
          <w:sz w:val="20"/>
          <w:szCs w:val="20"/>
        </w:rPr>
        <w:t>Maria</w:t>
      </w:r>
      <w:proofErr w:type="spellEnd"/>
      <w:r>
        <w:rPr>
          <w:sz w:val="20"/>
          <w:szCs w:val="20"/>
        </w:rPr>
        <w:t xml:space="preserve"> de Lima Villarroel y Fabiana </w:t>
      </w:r>
      <w:proofErr w:type="spellStart"/>
      <w:r>
        <w:rPr>
          <w:sz w:val="20"/>
          <w:szCs w:val="20"/>
        </w:rPr>
        <w:t>Severi</w:t>
      </w:r>
      <w:proofErr w:type="spellEnd"/>
      <w:r>
        <w:rPr>
          <w:color w:val="1155CC"/>
          <w:sz w:val="20"/>
          <w:szCs w:val="20"/>
        </w:rPr>
        <w:t xml:space="preserve">. </w:t>
      </w:r>
      <w:r>
        <w:rPr>
          <w:sz w:val="20"/>
          <w:szCs w:val="20"/>
        </w:rPr>
        <w:t>(2021)</w:t>
      </w:r>
    </w:p>
  </w:footnote>
  <w:footnote w:id="8">
    <w:p w14:paraId="1B93DF77" w14:textId="77777777" w:rsidR="009A79AC" w:rsidRDefault="00000000">
      <w:pPr>
        <w:spacing w:line="240" w:lineRule="auto"/>
        <w:rPr>
          <w:sz w:val="20"/>
          <w:szCs w:val="20"/>
        </w:rPr>
      </w:pPr>
      <w:r>
        <w:rPr>
          <w:vertAlign w:val="superscript"/>
        </w:rPr>
        <w:footnoteRef/>
      </w:r>
      <w:r>
        <w:rPr>
          <w:sz w:val="20"/>
          <w:szCs w:val="20"/>
        </w:rPr>
        <w:t xml:space="preserve"> Tribunal de Justicia de São Paulo </w:t>
      </w:r>
    </w:p>
  </w:footnote>
  <w:footnote w:id="9">
    <w:p w14:paraId="12F0958F" w14:textId="77777777" w:rsidR="009A79AC" w:rsidRDefault="00000000">
      <w:pPr>
        <w:spacing w:line="240" w:lineRule="auto"/>
        <w:rPr>
          <w:sz w:val="20"/>
          <w:szCs w:val="20"/>
        </w:rPr>
      </w:pPr>
      <w:r>
        <w:rPr>
          <w:vertAlign w:val="superscript"/>
        </w:rPr>
        <w:footnoteRef/>
      </w:r>
      <w:r>
        <w:rPr>
          <w:sz w:val="20"/>
          <w:szCs w:val="20"/>
        </w:rPr>
        <w:t xml:space="preserve"> Tribunal de Justicia de Minas Gerais</w:t>
      </w:r>
    </w:p>
  </w:footnote>
  <w:footnote w:id="10">
    <w:p w14:paraId="32A6586B" w14:textId="77777777" w:rsidR="009A79AC" w:rsidRDefault="00000000">
      <w:pPr>
        <w:spacing w:line="240" w:lineRule="auto"/>
        <w:rPr>
          <w:sz w:val="20"/>
          <w:szCs w:val="20"/>
        </w:rPr>
      </w:pPr>
      <w:r>
        <w:rPr>
          <w:vertAlign w:val="superscript"/>
        </w:rPr>
        <w:footnoteRef/>
      </w:r>
      <w:r>
        <w:rPr>
          <w:sz w:val="20"/>
          <w:szCs w:val="20"/>
        </w:rPr>
        <w:t xml:space="preserve"> Tribunal de Justicia do Rio de Janeiro </w:t>
      </w:r>
    </w:p>
  </w:footnote>
  <w:footnote w:id="11">
    <w:p w14:paraId="329ACB50" w14:textId="77777777" w:rsidR="009A79AC" w:rsidRDefault="00000000">
      <w:pPr>
        <w:spacing w:line="240" w:lineRule="auto"/>
        <w:jc w:val="both"/>
        <w:rPr>
          <w:sz w:val="20"/>
          <w:szCs w:val="20"/>
        </w:rPr>
      </w:pPr>
      <w:r>
        <w:rPr>
          <w:vertAlign w:val="superscript"/>
        </w:rPr>
        <w:footnoteRef/>
      </w:r>
      <w:r>
        <w:rPr>
          <w:sz w:val="20"/>
          <w:szCs w:val="20"/>
        </w:rPr>
        <w:t>5.° puesto en feminicidios: según datos del Mapa de la Violencia de 2015, Brasil pasó del 7.° lugar en la encuesta anterior, realizada en 2010, al 5.° lugar en 2013.</w:t>
      </w:r>
    </w:p>
  </w:footnote>
  <w:footnote w:id="12">
    <w:p w14:paraId="7776945D" w14:textId="77777777" w:rsidR="009A79AC" w:rsidRDefault="00000000">
      <w:pPr>
        <w:spacing w:line="240" w:lineRule="auto"/>
        <w:jc w:val="both"/>
        <w:rPr>
          <w:sz w:val="20"/>
          <w:szCs w:val="20"/>
        </w:rPr>
      </w:pPr>
      <w:r>
        <w:rPr>
          <w:vertAlign w:val="superscript"/>
        </w:rPr>
        <w:footnoteRef/>
      </w:r>
      <w:r>
        <w:rPr>
          <w:sz w:val="20"/>
          <w:szCs w:val="20"/>
        </w:rPr>
        <w:t xml:space="preserve"> Foro Brasileño de Seguridad Pública (FBSP): Anuario de Seguridad Pública, 7 de cada 10 víctimas de feminicidio fueron asesinadas en el hogar, en los casos de feminicidio, en más de la mitad de los casos (53,6%) el perpetrador es identificado como la pareja íntima.</w:t>
      </w:r>
    </w:p>
  </w:footnote>
  <w:footnote w:id="13">
    <w:p w14:paraId="1B26A33E" w14:textId="77777777" w:rsidR="009A79AC" w:rsidRDefault="00000000">
      <w:pPr>
        <w:spacing w:line="240" w:lineRule="auto"/>
        <w:rPr>
          <w:sz w:val="20"/>
          <w:szCs w:val="20"/>
        </w:rPr>
      </w:pPr>
      <w:r>
        <w:rPr>
          <w:vertAlign w:val="superscript"/>
        </w:rPr>
        <w:footnoteRef/>
      </w:r>
      <w:r>
        <w:rPr>
          <w:sz w:val="20"/>
          <w:szCs w:val="20"/>
        </w:rPr>
        <w:t xml:space="preserve">Visibles e invisibles. 2023. Foro Brasileño de Seguridad Pública (FBPS). excónyuge/pareja/novio de 2017 a 2023 aumenta del 16,0% al 31,3%; las agresiones sufridas por las mujeres 4 veces, entre las mujeres separadas/divorciadas el promedio llegó a 9 agresiones. </w:t>
      </w:r>
    </w:p>
  </w:footnote>
  <w:footnote w:id="14">
    <w:p w14:paraId="34514F86" w14:textId="77777777" w:rsidR="009A79AC" w:rsidRDefault="00000000">
      <w:pPr>
        <w:spacing w:line="240" w:lineRule="auto"/>
        <w:jc w:val="both"/>
        <w:rPr>
          <w:sz w:val="20"/>
          <w:szCs w:val="20"/>
        </w:rPr>
      </w:pPr>
      <w:r>
        <w:rPr>
          <w:vertAlign w:val="superscript"/>
        </w:rPr>
        <w:footnoteRef/>
      </w:r>
      <w:r>
        <w:rPr>
          <w:sz w:val="20"/>
          <w:szCs w:val="20"/>
        </w:rPr>
        <w:t xml:space="preserve">Según el Foro Brasileño de Seguridad Pública (FBSP), el año pasado hubo 1.463 víctimas de feminicidio en todo el país, es decir, 1,4 mujeres asesinadas por cada grupo de 100.000. La cifra es un 1,6% superior a la registrada en 2022, cuando hubo 1.440 víctimas. </w:t>
      </w:r>
    </w:p>
  </w:footnote>
  <w:footnote w:id="15">
    <w:p w14:paraId="2E64A4E4" w14:textId="77777777" w:rsidR="009A79AC" w:rsidRDefault="00000000">
      <w:pPr>
        <w:spacing w:line="240" w:lineRule="auto"/>
        <w:jc w:val="both"/>
        <w:rPr>
          <w:sz w:val="16"/>
          <w:szCs w:val="16"/>
        </w:rPr>
      </w:pPr>
      <w:r>
        <w:rPr>
          <w:vertAlign w:val="superscript"/>
        </w:rPr>
        <w:footnoteRef/>
      </w:r>
      <w:r>
        <w:rPr>
          <w:sz w:val="20"/>
          <w:szCs w:val="20"/>
        </w:rPr>
        <w:t xml:space="preserve"> Más de un tercio de los casos de violencia sexual ya habían ocurrido en otras ocasiones y la mayoría de los casos ocurrieron en el hogar (niñas 72,4% y niños 65,9%). Respecto a los agresores, la mayoría fueron hombres (80,9% niñas y 82,0% niños), la mayoría de los casos tuvieron un solo agresor involucrado. Es importante resaltar que, en la mayoría de los casos, el agresor fue un familiar.</w:t>
      </w:r>
    </w:p>
  </w:footnote>
  <w:footnote w:id="16">
    <w:p w14:paraId="6616972B" w14:textId="77777777" w:rsidR="009A79AC" w:rsidRDefault="00000000">
      <w:pPr>
        <w:spacing w:line="240" w:lineRule="auto"/>
        <w:jc w:val="both"/>
        <w:rPr>
          <w:sz w:val="20"/>
          <w:szCs w:val="20"/>
        </w:rPr>
      </w:pPr>
      <w:r>
        <w:rPr>
          <w:vertAlign w:val="superscript"/>
        </w:rPr>
        <w:footnoteRef/>
      </w:r>
      <w:r>
        <w:rPr>
          <w:sz w:val="20"/>
          <w:szCs w:val="20"/>
        </w:rPr>
        <w:t xml:space="preserve">FBSP. Con 74.930 víctimas. Un estudio reciente difundido por investigadores del IPEA indicó que sólo el 8,5% de las violaciones en Brasil son denunciadas a la policía y el 4,2% a los sistemas de información de salud, el nivel de casos de violación en Brasil es del orden de 822 mil casos anuales </w:t>
      </w:r>
    </w:p>
  </w:footnote>
  <w:footnote w:id="17">
    <w:p w14:paraId="0BB22C62" w14:textId="77777777" w:rsidR="009A79AC" w:rsidRDefault="00000000">
      <w:pPr>
        <w:spacing w:line="240" w:lineRule="auto"/>
        <w:rPr>
          <w:sz w:val="20"/>
          <w:szCs w:val="20"/>
        </w:rPr>
      </w:pPr>
      <w:r>
        <w:rPr>
          <w:vertAlign w:val="superscript"/>
        </w:rPr>
        <w:footnoteRef/>
      </w:r>
      <w:r>
        <w:rPr>
          <w:sz w:val="20"/>
          <w:szCs w:val="20"/>
        </w:rPr>
        <w:t xml:space="preserve">CHILDHOOD BRASIL.VIOLENCIA SEXUAL INFANTIL EN BRASIL, subregistro. Se estima que sólo el 10% de los casos se reportan.  </w:t>
      </w:r>
    </w:p>
  </w:footnote>
  <w:footnote w:id="18">
    <w:p w14:paraId="4D5D6452" w14:textId="77777777" w:rsidR="009A79AC" w:rsidRDefault="00000000">
      <w:pPr>
        <w:spacing w:line="240" w:lineRule="auto"/>
        <w:jc w:val="both"/>
        <w:rPr>
          <w:sz w:val="20"/>
          <w:szCs w:val="20"/>
        </w:rPr>
      </w:pPr>
      <w:r>
        <w:rPr>
          <w:vertAlign w:val="superscript"/>
        </w:rPr>
        <w:footnoteRef/>
      </w:r>
      <w:r>
        <w:rPr>
          <w:sz w:val="20"/>
          <w:szCs w:val="20"/>
        </w:rPr>
        <w:t xml:space="preserve"> Según datos del Mapa de Violencia de 2015, Brasil pasó del séptimo lugar en la encuesta anterior, realizada en 2010, al quinto lugar en 2013.</w:t>
      </w:r>
    </w:p>
  </w:footnote>
  <w:footnote w:id="19">
    <w:p w14:paraId="12DE8AE3" w14:textId="77777777" w:rsidR="009A79AC" w:rsidRDefault="00000000">
      <w:pPr>
        <w:spacing w:line="240" w:lineRule="auto"/>
        <w:jc w:val="both"/>
        <w:rPr>
          <w:sz w:val="20"/>
          <w:szCs w:val="20"/>
        </w:rPr>
      </w:pPr>
      <w:r>
        <w:rPr>
          <w:vertAlign w:val="superscript"/>
        </w:rPr>
        <w:footnoteRef/>
      </w:r>
      <w:r>
        <w:rPr>
          <w:sz w:val="20"/>
          <w:szCs w:val="20"/>
        </w:rPr>
        <w:t xml:space="preserve"> Investigación analiza el perfil de las decisiones judiciales aplicadas a la primera infancia - CNJ. En otro apartado del estudio, que abordó la protección del menor en la disolución de la sociedad conyugal, la alienación parental mostró un aumento de más del 300% en los procesos litigiosos respecto a los consensuales. En cuanto a la actuación intersectorial de los juzgados de familia con otros órganos de protección de la infancia, la falta de realización de este tipo de integración es superior al 50%, con más del 84,4%.</w:t>
      </w:r>
    </w:p>
  </w:footnote>
  <w:footnote w:id="20">
    <w:p w14:paraId="7E82EBEB" w14:textId="77777777" w:rsidR="009A79AC" w:rsidRDefault="00000000">
      <w:pPr>
        <w:spacing w:line="240" w:lineRule="auto"/>
        <w:jc w:val="both"/>
        <w:rPr>
          <w:sz w:val="20"/>
          <w:szCs w:val="20"/>
        </w:rPr>
      </w:pPr>
      <w:r>
        <w:rPr>
          <w:vertAlign w:val="superscript"/>
        </w:rPr>
        <w:footnoteRef/>
      </w:r>
      <w:r>
        <w:rPr>
          <w:sz w:val="20"/>
          <w:szCs w:val="20"/>
        </w:rPr>
        <w:t xml:space="preserve">Ley </w:t>
      </w:r>
      <w:proofErr w:type="spellStart"/>
      <w:r>
        <w:rPr>
          <w:sz w:val="20"/>
          <w:szCs w:val="20"/>
        </w:rPr>
        <w:t>nº</w:t>
      </w:r>
      <w:proofErr w:type="spellEnd"/>
      <w:r>
        <w:rPr>
          <w:sz w:val="20"/>
          <w:szCs w:val="20"/>
        </w:rPr>
        <w:t xml:space="preserve"> 6427, de 5 de abril de 2013. Establece el día estatal de sensibilización sobre la “alienación parental” en el estado de Río de Janeiro. Ley </w:t>
      </w:r>
      <w:proofErr w:type="spellStart"/>
      <w:r>
        <w:rPr>
          <w:sz w:val="20"/>
          <w:szCs w:val="20"/>
        </w:rPr>
        <w:t>N°</w:t>
      </w:r>
      <w:proofErr w:type="spellEnd"/>
      <w:r>
        <w:rPr>
          <w:sz w:val="20"/>
          <w:szCs w:val="20"/>
        </w:rPr>
        <w:t xml:space="preserve"> 7706 de 4 de octubre de 2017 Establece la campaña permanente de lucha contra la “alienación parental” en el estado de Río de Janeiro.</w:t>
      </w:r>
    </w:p>
  </w:footnote>
  <w:footnote w:id="21">
    <w:p w14:paraId="7FA1A52E" w14:textId="77777777" w:rsidR="009A79AC" w:rsidRDefault="00000000">
      <w:pPr>
        <w:spacing w:line="240" w:lineRule="auto"/>
        <w:jc w:val="both"/>
        <w:rPr>
          <w:sz w:val="20"/>
          <w:szCs w:val="20"/>
        </w:rPr>
      </w:pPr>
      <w:r>
        <w:rPr>
          <w:vertAlign w:val="superscript"/>
        </w:rPr>
        <w:footnoteRef/>
      </w:r>
      <w:r>
        <w:rPr>
          <w:sz w:val="20"/>
          <w:szCs w:val="20"/>
        </w:rPr>
        <w:t xml:space="preserve"> Art. 1 En la Ley </w:t>
      </w:r>
      <w:proofErr w:type="spellStart"/>
      <w:r>
        <w:rPr>
          <w:sz w:val="20"/>
          <w:szCs w:val="20"/>
        </w:rPr>
        <w:t>N°</w:t>
      </w:r>
      <w:proofErr w:type="spellEnd"/>
      <w:r>
        <w:rPr>
          <w:sz w:val="20"/>
          <w:szCs w:val="20"/>
        </w:rPr>
        <w:t xml:space="preserve"> 15.950, de 9 de enero de 2023, se deroga la Semana Estatal de concientización sobre la Alienación Parental y el día  de Concientización sobre la Alienación Parental Alienación Parental, y su respectivo plazo, fecha y especificaciones, contenidos en el Cuadro de Mes de abril del punto I - Cuadros de Eventos y Fechas Conmemorativas Anuales con Fechas Ciertos Divididos por meses del Anexo Único – Calendario Oficial de Eventos y Fechas Conmemorativas del Estado de Rio Grande do Sul.</w:t>
      </w:r>
    </w:p>
  </w:footnote>
  <w:footnote w:id="22">
    <w:p w14:paraId="774ADE01" w14:textId="77777777" w:rsidR="009A79AC" w:rsidRDefault="00000000">
      <w:pPr>
        <w:spacing w:line="240" w:lineRule="auto"/>
        <w:rPr>
          <w:sz w:val="20"/>
          <w:szCs w:val="20"/>
        </w:rPr>
      </w:pPr>
      <w:r>
        <w:rPr>
          <w:vertAlign w:val="superscript"/>
        </w:rPr>
        <w:footnoteRef/>
      </w:r>
      <w:r>
        <w:rPr>
          <w:sz w:val="20"/>
          <w:szCs w:val="20"/>
        </w:rPr>
        <w:t xml:space="preserve"> Crea mecanismos para frenar la violencia doméstica y familiar contra las mujeres.</w:t>
      </w:r>
    </w:p>
  </w:footnote>
  <w:footnote w:id="23">
    <w:p w14:paraId="0E33B5CA" w14:textId="77777777" w:rsidR="009A79AC" w:rsidRDefault="00000000">
      <w:pPr>
        <w:spacing w:line="240" w:lineRule="auto"/>
        <w:jc w:val="both"/>
        <w:rPr>
          <w:sz w:val="20"/>
          <w:szCs w:val="20"/>
        </w:rPr>
      </w:pPr>
      <w:r>
        <w:rPr>
          <w:vertAlign w:val="superscript"/>
        </w:rPr>
        <w:footnoteRef/>
      </w:r>
      <w:r>
        <w:rPr>
          <w:sz w:val="20"/>
          <w:szCs w:val="20"/>
        </w:rPr>
        <w:t xml:space="preserve">La Ley </w:t>
      </w:r>
      <w:proofErr w:type="spellStart"/>
      <w:r>
        <w:rPr>
          <w:sz w:val="20"/>
          <w:szCs w:val="20"/>
        </w:rPr>
        <w:t>Maria</w:t>
      </w:r>
      <w:proofErr w:type="spellEnd"/>
      <w:r>
        <w:rPr>
          <w:sz w:val="20"/>
          <w:szCs w:val="20"/>
        </w:rPr>
        <w:t xml:space="preserve"> da </w:t>
      </w:r>
      <w:proofErr w:type="spellStart"/>
      <w:r>
        <w:rPr>
          <w:sz w:val="20"/>
          <w:szCs w:val="20"/>
        </w:rPr>
        <w:t>Penha</w:t>
      </w:r>
      <w:proofErr w:type="spellEnd"/>
      <w:r>
        <w:rPr>
          <w:sz w:val="20"/>
          <w:szCs w:val="20"/>
        </w:rPr>
        <w:t xml:space="preserve"> es considerada una de las tres leyes más avanzadas del mundo. Entre los muchos avances que representa la Ley </w:t>
      </w:r>
      <w:proofErr w:type="spellStart"/>
      <w:r>
        <w:rPr>
          <w:sz w:val="20"/>
          <w:szCs w:val="20"/>
        </w:rPr>
        <w:t>Maria</w:t>
      </w:r>
      <w:proofErr w:type="spellEnd"/>
      <w:r>
        <w:rPr>
          <w:sz w:val="20"/>
          <w:szCs w:val="20"/>
        </w:rPr>
        <w:t xml:space="preserve"> da </w:t>
      </w:r>
      <w:proofErr w:type="spellStart"/>
      <w:r>
        <w:rPr>
          <w:sz w:val="20"/>
          <w:szCs w:val="20"/>
        </w:rPr>
        <w:t>Penha</w:t>
      </w:r>
      <w:proofErr w:type="spellEnd"/>
      <w:r>
        <w:rPr>
          <w:sz w:val="20"/>
          <w:szCs w:val="20"/>
        </w:rPr>
        <w:t>, quizás el más significativo sea el establecimiento definitivo de la discriminación y la violencia de género como una forma de insulto a los derechos humanos.</w:t>
      </w:r>
    </w:p>
  </w:footnote>
  <w:footnote w:id="24">
    <w:p w14:paraId="70D1CFBC" w14:textId="77777777" w:rsidR="009A79AC" w:rsidRDefault="00000000">
      <w:pPr>
        <w:spacing w:line="240" w:lineRule="auto"/>
        <w:rPr>
          <w:sz w:val="20"/>
          <w:szCs w:val="20"/>
        </w:rPr>
      </w:pPr>
      <w:r>
        <w:rPr>
          <w:vertAlign w:val="superscript"/>
        </w:rPr>
        <w:footnoteRef/>
      </w:r>
      <w:r>
        <w:rPr>
          <w:sz w:val="20"/>
          <w:szCs w:val="20"/>
        </w:rPr>
        <w:t xml:space="preserve"> Evaluación del impacto de la Ley </w:t>
      </w:r>
      <w:proofErr w:type="spellStart"/>
      <w:r>
        <w:rPr>
          <w:sz w:val="20"/>
          <w:szCs w:val="20"/>
        </w:rPr>
        <w:t>Maria</w:t>
      </w:r>
      <w:proofErr w:type="spellEnd"/>
      <w:r>
        <w:rPr>
          <w:sz w:val="20"/>
          <w:szCs w:val="20"/>
        </w:rPr>
        <w:t xml:space="preserve"> da </w:t>
      </w:r>
      <w:proofErr w:type="spellStart"/>
      <w:r>
        <w:rPr>
          <w:sz w:val="20"/>
          <w:szCs w:val="20"/>
        </w:rPr>
        <w:t>Penha</w:t>
      </w:r>
      <w:proofErr w:type="spellEnd"/>
      <w:r>
        <w:rPr>
          <w:sz w:val="20"/>
          <w:szCs w:val="20"/>
        </w:rPr>
        <w:t xml:space="preserve"> sobre la mortalidad de mujeres por agresión en Brasil, 2001-2011 (2013).</w:t>
      </w:r>
    </w:p>
  </w:footnote>
  <w:footnote w:id="25">
    <w:p w14:paraId="3C1B58D5" w14:textId="77777777" w:rsidR="009A79AC" w:rsidRDefault="00000000">
      <w:pPr>
        <w:spacing w:line="240" w:lineRule="auto"/>
        <w:jc w:val="both"/>
        <w:rPr>
          <w:color w:val="434343"/>
          <w:sz w:val="20"/>
          <w:szCs w:val="20"/>
        </w:rPr>
      </w:pPr>
      <w:r>
        <w:rPr>
          <w:vertAlign w:val="superscript"/>
        </w:rPr>
        <w:footnoteRef/>
      </w:r>
      <w:r>
        <w:rPr>
          <w:sz w:val="20"/>
          <w:szCs w:val="20"/>
        </w:rPr>
        <w:t xml:space="preserve">Parte 1 (27 de abril de 2023) - QUEMADOS EN LOS INCENDIOS JUDICIALES - Pérdida de custodia, bienes destruidos y fama de locos: esto es lo que pasa cuando las madres denuncian a los padres por abuso sexual, VIDEO CENSURADO; Parte 2 (4 de mayo de 2023) - PAGAR BIEN, ¿QUÉ ES LO MAL? Psicólogos lucran con denuncias contratadas por padres y padrastros sospechosos de violar a niños, VIDEO CENSURADO; Parte 3 (11 mayo 2023) - LEY DE ENAJENACIÓN PARENTAL MATA “El juez y el MP me obligaron a dejarlo encontrar a mis hijos” dice madre de niños asesinados por su padre, VIDEO CENSURADO; Parte 4 (18 mayo 2023) - GLICIA BRASIL: EL PSICÓLOGO QUE REALIZA DENUNCIOS PARA FORTALECER LA DEFENSA DE ACUSADOS DE ABUSO (se mantiene la censura); Parte 5 - (20 de mayo de 2023) - PADRES ACUSADOS DE ABUSO LOBBY E INTERFERIR EN LA LEY DE ENAJENACIÓN PARENTAL, APLICADA CONTRA LAS MUJERES; Parte 6 – El 1 de junio de 2023 – JUEZA DE RÍO CENSURA LA SERIE INTERCEPTADA SOBRE LEY DE ENAJENACIÓN PARENTAL; Parte 7 - El 14 de junio de 2023 </w:t>
      </w:r>
      <w:hyperlink r:id="rId1">
        <w:r>
          <w:rPr>
            <w:color w:val="1155CC"/>
            <w:sz w:val="20"/>
            <w:szCs w:val="20"/>
            <w:u w:val="single"/>
          </w:rPr>
          <w:t>Conoce el detrás de escena</w:t>
        </w:r>
      </w:hyperlink>
      <w:r>
        <w:rPr>
          <w:sz w:val="20"/>
          <w:szCs w:val="20"/>
        </w:rPr>
        <w:t xml:space="preserve"> de la serie </w:t>
      </w:r>
      <w:proofErr w:type="spellStart"/>
      <w:r>
        <w:rPr>
          <w:sz w:val="20"/>
          <w:szCs w:val="20"/>
        </w:rPr>
        <w:t>Intercept</w:t>
      </w:r>
      <w:proofErr w:type="spellEnd"/>
      <w:r>
        <w:rPr>
          <w:sz w:val="20"/>
          <w:szCs w:val="20"/>
        </w:rPr>
        <w:t xml:space="preserve"> que expuso nombres en el Poder Judicial y fue censurada por los tribunales. Cuatro reportajes y un minidocumental sobre la Ley de Alienación Parental fueron retirados del aire por decisión de la jueza </w:t>
      </w:r>
      <w:proofErr w:type="spellStart"/>
      <w:r>
        <w:rPr>
          <w:sz w:val="20"/>
          <w:szCs w:val="20"/>
        </w:rPr>
        <w:t>Flávia</w:t>
      </w:r>
      <w:proofErr w:type="spellEnd"/>
      <w:r>
        <w:rPr>
          <w:sz w:val="20"/>
          <w:szCs w:val="20"/>
        </w:rPr>
        <w:t xml:space="preserve"> Gonçalves, del 14º Juzgado Civil de Río de Janeiro; Parte 8 - El 18 de julio de 2023 se publicó “VAMOS A LA GUERRA POR EL </w:t>
      </w:r>
      <w:hyperlink r:id="rId2">
        <w:r>
          <w:rPr>
            <w:color w:val="1155CC"/>
            <w:sz w:val="20"/>
            <w:szCs w:val="20"/>
            <w:u w:val="single"/>
          </w:rPr>
          <w:t>PERIODISMO LIBRE Y SIN CENSURA</w:t>
        </w:r>
      </w:hyperlink>
      <w:r>
        <w:rPr>
          <w:sz w:val="20"/>
          <w:szCs w:val="20"/>
        </w:rPr>
        <w:t>”</w:t>
      </w:r>
    </w:p>
  </w:footnote>
  <w:footnote w:id="26">
    <w:p w14:paraId="002BAED6" w14:textId="77777777" w:rsidR="009A79AC" w:rsidRDefault="00000000">
      <w:pPr>
        <w:spacing w:line="240" w:lineRule="auto"/>
        <w:jc w:val="both"/>
        <w:rPr>
          <w:sz w:val="20"/>
          <w:szCs w:val="20"/>
        </w:rPr>
      </w:pPr>
      <w:r>
        <w:rPr>
          <w:vertAlign w:val="superscript"/>
        </w:rPr>
        <w:footnoteRef/>
      </w:r>
      <w:r>
        <w:rPr>
          <w:sz w:val="20"/>
          <w:szCs w:val="20"/>
        </w:rPr>
        <w:t>Violencia Institucional Violencia practicada por el Poder Judicial (exponiendo o permitiendo la exposición y teniendo en cuenta la vida sexual). historia de una víctima de violación, etiquetar a una mujer como vengativa o resentida en disputas que involucran alienación parental o divorcio) (página 32) d.1. Alienación parental. En relación con la custodia de hijas e hijos, la alegación de alienación parental ha sido una estrategia muy utilizada por hombres que cometieron agresiones y abusos contra sus ex parejas e hijos, para debilitar las denuncias de violencia y buscar acercamientos o hasta la custodia unilateral de sus hijos. el niño o adolescente (página 96)</w:t>
      </w:r>
    </w:p>
  </w:footnote>
  <w:footnote w:id="27">
    <w:p w14:paraId="26DEF7D9" w14:textId="77777777" w:rsidR="009A79AC" w:rsidRDefault="00000000">
      <w:pPr>
        <w:spacing w:line="240" w:lineRule="auto"/>
        <w:jc w:val="both"/>
        <w:rPr>
          <w:sz w:val="20"/>
          <w:szCs w:val="20"/>
        </w:rPr>
      </w:pPr>
      <w:r>
        <w:rPr>
          <w:vertAlign w:val="superscript"/>
        </w:rPr>
        <w:footnoteRef/>
      </w:r>
      <w:r>
        <w:rPr>
          <w:sz w:val="20"/>
          <w:szCs w:val="20"/>
        </w:rPr>
        <w:t xml:space="preserve">COPEVID: Comisión que integra el Grupo Nacional de Derechos Humanos (GNHD), órgano del Consejo Nacional de Procuradores Generales (CNPG), compuesto por miembros del Ministerio Público Federal y del Estado brasileño, también del Ministerio Público del Distrito Federal y de los Territorios, Ministerio Público Militar, </w:t>
      </w:r>
      <w:proofErr w:type="spellStart"/>
      <w:r>
        <w:rPr>
          <w:sz w:val="20"/>
          <w:szCs w:val="20"/>
        </w:rPr>
        <w:t>Ministério</w:t>
      </w:r>
      <w:proofErr w:type="spellEnd"/>
      <w:r>
        <w:rPr>
          <w:sz w:val="20"/>
          <w:szCs w:val="20"/>
        </w:rPr>
        <w:t xml:space="preserve"> Público del Trabajo. Declaración 01: El fiscal debe asegurar que durante la vigencia de la medida de protección urgente a favor de las mujeres, que regula el derecho a la convivencia de sus hijos e hijas, considerados víctimas directas o indirectas de violencia contra ellas, dicha decisión debe prevalecer sobre la decisión del Juzgado de Familia otorgando régimen de visitas o custodia al agresor, la especialización en género y el derecho a la protección integral previsto en el art. 227 de la Constitución Federal. Declaración 02: La absolución del imputado, por falta de pruebas en un caso por violencia doméstica o violación de persona vulnerable, no constituye, en sí misma, alienación parental.</w:t>
      </w:r>
    </w:p>
  </w:footnote>
  <w:footnote w:id="28">
    <w:p w14:paraId="52D70AD6" w14:textId="77777777" w:rsidR="009A79AC" w:rsidRDefault="00000000">
      <w:pPr>
        <w:spacing w:line="240" w:lineRule="auto"/>
        <w:jc w:val="both"/>
        <w:rPr>
          <w:sz w:val="20"/>
          <w:szCs w:val="20"/>
        </w:rPr>
      </w:pPr>
      <w:r>
        <w:rPr>
          <w:vertAlign w:val="superscript"/>
        </w:rPr>
        <w:footnoteRef/>
      </w:r>
      <w:r>
        <w:rPr>
          <w:sz w:val="20"/>
          <w:szCs w:val="20"/>
        </w:rPr>
        <w:t xml:space="preserve">CNS. Recomienda el rechazo del PL </w:t>
      </w:r>
      <w:proofErr w:type="spellStart"/>
      <w:r>
        <w:rPr>
          <w:sz w:val="20"/>
          <w:szCs w:val="20"/>
        </w:rPr>
        <w:t>nº</w:t>
      </w:r>
      <w:proofErr w:type="spellEnd"/>
      <w:r>
        <w:rPr>
          <w:sz w:val="20"/>
          <w:szCs w:val="20"/>
        </w:rPr>
        <w:t xml:space="preserve"> 7.352/2017, así como la adopción de medidas para prohibir el uso de términos sin reconocimiento científico, como “síndrome de alienación parental”, entre otros.</w:t>
      </w:r>
    </w:p>
  </w:footnote>
  <w:footnote w:id="29">
    <w:p w14:paraId="1EC79527" w14:textId="77777777" w:rsidR="009A79AC" w:rsidRDefault="00000000">
      <w:pPr>
        <w:spacing w:line="240" w:lineRule="auto"/>
        <w:jc w:val="both"/>
        <w:rPr>
          <w:sz w:val="20"/>
          <w:szCs w:val="20"/>
        </w:rPr>
      </w:pPr>
      <w:r>
        <w:rPr>
          <w:vertAlign w:val="superscript"/>
        </w:rPr>
        <w:footnoteRef/>
      </w:r>
      <w:r>
        <w:rPr>
          <w:sz w:val="20"/>
          <w:szCs w:val="20"/>
        </w:rPr>
        <w:t xml:space="preserve">CNDH recomienda rechazar el PL </w:t>
      </w:r>
      <w:proofErr w:type="spellStart"/>
      <w:r>
        <w:rPr>
          <w:sz w:val="20"/>
          <w:szCs w:val="20"/>
        </w:rPr>
        <w:t>nº</w:t>
      </w:r>
      <w:proofErr w:type="spellEnd"/>
      <w:r>
        <w:rPr>
          <w:sz w:val="20"/>
          <w:szCs w:val="20"/>
        </w:rPr>
        <w:t xml:space="preserve"> 7.352/2017, así como adoptar medidas para prohibir el uso de términos sin reconocimiento científico, como “síndrome de alienación parental”, entre otros. </w:t>
      </w:r>
    </w:p>
  </w:footnote>
  <w:footnote w:id="30">
    <w:p w14:paraId="69B1B1BD" w14:textId="77777777" w:rsidR="009A79AC" w:rsidRDefault="00000000">
      <w:pPr>
        <w:spacing w:line="240" w:lineRule="auto"/>
        <w:jc w:val="both"/>
        <w:rPr>
          <w:sz w:val="20"/>
          <w:szCs w:val="20"/>
        </w:rPr>
      </w:pPr>
      <w:r>
        <w:rPr>
          <w:vertAlign w:val="superscript"/>
        </w:rPr>
        <w:footnoteRef/>
      </w:r>
      <w:r>
        <w:rPr>
          <w:sz w:val="20"/>
          <w:szCs w:val="20"/>
        </w:rPr>
        <w:t>CFESS. CFE. “Se recomienda no utilizar el término “alienación parental”, ni utilizar sus argumentos pseudocientíficos, que no tienen reconocimiento global ni coherencia con el proyecto ético-político. Los trabajadores sociales no deberían confiar en conceptos pseudocientíficos , ni mucho menos reforzar el aparato punitivo del Estado, como el de “alienación parental”, para emitir informes, informes y dictámenes sobre temas que involucran convivencia familiar, regulación de la custodia, visitas y otras demandas similares, ya sea en los Juzgados de Familia o en otros espacios.. El Trabajo Social requiere respuestas calificadas basadas en la ciencia y la teoría crítica.“</w:t>
      </w:r>
    </w:p>
  </w:footnote>
  <w:footnote w:id="31">
    <w:p w14:paraId="60FC7ED1" w14:textId="77777777" w:rsidR="009A79AC" w:rsidRDefault="00000000">
      <w:pPr>
        <w:spacing w:line="240" w:lineRule="auto"/>
        <w:jc w:val="both"/>
        <w:rPr>
          <w:sz w:val="20"/>
          <w:szCs w:val="20"/>
        </w:rPr>
      </w:pPr>
      <w:r>
        <w:rPr>
          <w:vertAlign w:val="superscript"/>
        </w:rPr>
        <w:footnoteRef/>
      </w:r>
      <w:r>
        <w:rPr>
          <w:sz w:val="20"/>
          <w:szCs w:val="20"/>
        </w:rPr>
        <w:t xml:space="preserve"> Hazlo hermoso. 2023.”Nota en defensa de la dignidad de la niñez para la derogación de la Ley de Alienación Parental </w:t>
      </w:r>
      <w:proofErr w:type="spellStart"/>
      <w:r>
        <w:rPr>
          <w:sz w:val="20"/>
          <w:szCs w:val="20"/>
        </w:rPr>
        <w:t>N°</w:t>
      </w:r>
      <w:proofErr w:type="spellEnd"/>
      <w:r>
        <w:rPr>
          <w:sz w:val="20"/>
          <w:szCs w:val="20"/>
        </w:rPr>
        <w:t xml:space="preserve"> 12318/2010. Por el respeto a quienes ya han sido y/o están siendo víctimas de violencia sexual intrafamiliar, con el apoyo legal de LAP, y para que ningún niño, niña o adolescente sufra dicha violencia”. </w:t>
      </w:r>
    </w:p>
  </w:footnote>
  <w:footnote w:id="32">
    <w:p w14:paraId="519A0BFD" w14:textId="77777777" w:rsidR="009A79AC" w:rsidRDefault="00000000">
      <w:pPr>
        <w:spacing w:line="240" w:lineRule="auto"/>
        <w:jc w:val="both"/>
        <w:rPr>
          <w:sz w:val="20"/>
          <w:szCs w:val="20"/>
        </w:rPr>
      </w:pPr>
      <w:r>
        <w:rPr>
          <w:vertAlign w:val="superscript"/>
        </w:rPr>
        <w:footnoteRef/>
      </w:r>
      <w:r>
        <w:rPr>
          <w:sz w:val="20"/>
          <w:szCs w:val="20"/>
        </w:rPr>
        <w:t xml:space="preserve">MDHC. Nota elaborada por la Secretaría Nacional de la Niñez y la Adolescencia, a favor de la derogación del LAP. </w:t>
      </w:r>
    </w:p>
  </w:footnote>
  <w:footnote w:id="33">
    <w:p w14:paraId="1DCAD09D" w14:textId="77777777" w:rsidR="009A79AC" w:rsidRDefault="00000000">
      <w:pPr>
        <w:spacing w:line="240" w:lineRule="auto"/>
        <w:jc w:val="both"/>
        <w:rPr>
          <w:sz w:val="20"/>
          <w:szCs w:val="20"/>
        </w:rPr>
      </w:pPr>
      <w:r>
        <w:rPr>
          <w:vertAlign w:val="superscript"/>
        </w:rPr>
        <w:footnoteRef/>
      </w:r>
      <w:r>
        <w:rPr>
          <w:sz w:val="20"/>
          <w:szCs w:val="20"/>
        </w:rPr>
        <w:t xml:space="preserve">ABRASME - MOVIMIENTO DE APOYO A LA DEROGACIÓN DE LA LEY DE ALIENACIÓN PARENTAL (LEY </w:t>
      </w:r>
      <w:proofErr w:type="spellStart"/>
      <w:r>
        <w:rPr>
          <w:sz w:val="20"/>
          <w:szCs w:val="20"/>
        </w:rPr>
        <w:t>N°</w:t>
      </w:r>
      <w:proofErr w:type="spellEnd"/>
      <w:r>
        <w:rPr>
          <w:sz w:val="20"/>
          <w:szCs w:val="20"/>
        </w:rPr>
        <w:t xml:space="preserve"> 12318/2010), PROHIBICIÓN DEL TÉRMINO “ALIENACIÓN PARENTAL” Y AFINES.</w:t>
      </w:r>
    </w:p>
  </w:footnote>
  <w:footnote w:id="34">
    <w:p w14:paraId="08B1D980" w14:textId="77777777" w:rsidR="009A79AC" w:rsidRDefault="00000000">
      <w:pPr>
        <w:spacing w:line="240" w:lineRule="auto"/>
        <w:jc w:val="both"/>
        <w:rPr>
          <w:sz w:val="20"/>
          <w:szCs w:val="20"/>
        </w:rPr>
      </w:pPr>
      <w:r>
        <w:rPr>
          <w:vertAlign w:val="superscript"/>
        </w:rPr>
        <w:footnoteRef/>
      </w:r>
      <w:r>
        <w:rPr>
          <w:sz w:val="20"/>
          <w:szCs w:val="20"/>
        </w:rPr>
        <w:t>DPU. La Defensoría Pública Federal (DPU) publicó un comunicado en el que repudia la forma en que se ha utilizado el término “alienación parental” contenido en la Ley 12.318/2010. El documento recomienda la revocación del término del ordenamiento jurídico brasileño e indica la no utilización de la nomenclatura en políticas y programas gubernamentales o por parte de autoridades estatales. La nota fue firmada conjuntamente por el Observatorio de Violencia contra las Mujeres, la Coordinación de Apoyo a la Acción en el Sistema Interamericano de Derechos Humanos, la Defensoría Nacional de Derechos Humanos y el Grupo de Trabajo de las Mujeres</w:t>
      </w:r>
      <w:r>
        <w:rPr>
          <w:sz w:val="20"/>
          <w:szCs w:val="20"/>
          <w:highlight w:val="white"/>
        </w:rPr>
        <w:t>.</w:t>
      </w:r>
    </w:p>
  </w:footnote>
  <w:footnote w:id="35">
    <w:p w14:paraId="29F1BB66" w14:textId="77777777" w:rsidR="009A79AC" w:rsidRDefault="00000000">
      <w:pPr>
        <w:spacing w:line="240" w:lineRule="auto"/>
        <w:jc w:val="both"/>
        <w:rPr>
          <w:sz w:val="20"/>
          <w:szCs w:val="20"/>
        </w:rPr>
      </w:pPr>
      <w:r>
        <w:rPr>
          <w:vertAlign w:val="superscript"/>
        </w:rPr>
        <w:footnoteRef/>
      </w:r>
      <w:r>
        <w:rPr>
          <w:sz w:val="20"/>
          <w:szCs w:val="20"/>
        </w:rPr>
        <w:t>OEA.</w:t>
      </w:r>
      <w:r>
        <w:rPr>
          <w:b/>
          <w:sz w:val="20"/>
          <w:szCs w:val="20"/>
          <w:highlight w:val="white"/>
        </w:rPr>
        <w:t xml:space="preserve"> </w:t>
      </w:r>
      <w:r>
        <w:rPr>
          <w:sz w:val="20"/>
          <w:szCs w:val="20"/>
        </w:rPr>
        <w:t>DECLARACIÓN SOBRE LA VIOLENCIA CONTRA LAS NIÑAS , MUJERES, Y ADOLESCENTES Y SUS DERECHOS SEXUALES Y REPRODUCTIVOS. RECOMIENDA. Realizar investigaciones prontas y exhaustivas teniendo en cuenta el contexto de coercibilidad como elemento fundamental para determinar la existencia de la violencia, utilizando pruebas técnicas y prohibiendo explícitamente las pruebas que se sustentan en la conducta de la víctima para inferir el consentimiento, tales como la falta de resistencia, la historia sexual o la retractación durante el proceso o la desvalorización del testimonio con base al presunto Síndrome de Alienación Parental (SAP), de tal manera que los resultados de éstas puedan combatir la impunidad de los agresores; (pág.14)</w:t>
      </w:r>
    </w:p>
  </w:footnote>
  <w:footnote w:id="36">
    <w:p w14:paraId="39AEFEDD" w14:textId="77777777" w:rsidR="009A79AC" w:rsidRDefault="00000000">
      <w:pPr>
        <w:spacing w:line="240" w:lineRule="auto"/>
        <w:jc w:val="both"/>
        <w:rPr>
          <w:sz w:val="20"/>
          <w:szCs w:val="20"/>
        </w:rPr>
      </w:pPr>
      <w:r>
        <w:rPr>
          <w:vertAlign w:val="superscript"/>
        </w:rPr>
        <w:footnoteRef/>
      </w:r>
      <w:r>
        <w:rPr>
          <w:sz w:val="20"/>
          <w:szCs w:val="20"/>
        </w:rPr>
        <w:t>Lineamientos Interamericanos para la Igualdad de Género como Bien de la Humanidad = Lineamientos Interamericanos sobre la Igualdad de Género para el Bien de la Humanidad (2017) el aumento exponencial en el número de denuncias falsas de violencia que se presentan ante diferentes instancias de justicia (que en (en realidad representan alrededor del 0,01% de las denuncias presentadas) o el llamado "Síndrome de Alienación Parental" que busca imponer la custodia compartida en casos de separación y divorcio para invalidar la existencia de violencia doméstica y/o evitar el pago de pensiones. (pág. 22)</w:t>
      </w:r>
    </w:p>
  </w:footnote>
  <w:footnote w:id="37">
    <w:p w14:paraId="097430B7" w14:textId="77777777" w:rsidR="009A79AC" w:rsidRDefault="00000000">
      <w:pPr>
        <w:spacing w:line="240" w:lineRule="auto"/>
        <w:jc w:val="both"/>
        <w:rPr>
          <w:sz w:val="20"/>
          <w:szCs w:val="20"/>
        </w:rPr>
      </w:pPr>
      <w:r>
        <w:rPr>
          <w:vertAlign w:val="superscript"/>
        </w:rPr>
        <w:footnoteRef/>
      </w:r>
      <w:r>
        <w:rPr>
          <w:sz w:val="20"/>
          <w:szCs w:val="20"/>
          <w:highlight w:val="white"/>
        </w:rPr>
        <w:t>Plataforma EDVAW. La Plataforma de Mecanismos de Expertos Independientes sobre Discriminación y Violencia contra las Mujeres publicó, en 2019, una declaración titulada “La violencia de pareja contra las mujeres es un factor fundamental en las decisiones sobre la custodia de los hijos, así lo atestiguan expertos en derechos de las mujeres”, manifestó su preocupación por los estándares en varios jurisdicciones de todo el mundo que ignoran la violencia de pareja contra las mujeres al determinar los casos de custodia de los hijos. Estos patrones revelan prejuicios de género discriminatorios subyacentes y estereotipos de género dañinos contra las mujeres. Ignorar la violencia de pareja contra las mujeres a la hora de determinar la custodia de los hijos puede resultar en graves riesgos para los niños y, por tanto, debe considerarse para asegurar y otorgar su protección efectiva. En el que se afirma que las acusaciones de “alienación parental” por parte de padres abusivos contra las madres deben considerarse como una perpetuación del poder y control, por parte de los órganos y agentes gubernamentales, incluidos aquellos que toman decisiones sobre la custodia de los hijos”</w:t>
      </w:r>
    </w:p>
  </w:footnote>
  <w:footnote w:id="38">
    <w:p w14:paraId="497D9A72" w14:textId="77777777" w:rsidR="009A79AC" w:rsidRDefault="00000000">
      <w:pPr>
        <w:spacing w:line="240" w:lineRule="auto"/>
        <w:jc w:val="both"/>
        <w:rPr>
          <w:sz w:val="20"/>
          <w:szCs w:val="20"/>
        </w:rPr>
      </w:pPr>
      <w:r>
        <w:rPr>
          <w:vertAlign w:val="superscript"/>
        </w:rPr>
        <w:footnoteRef/>
      </w:r>
      <w:r>
        <w:t xml:space="preserve"> </w:t>
      </w:r>
      <w:r>
        <w:rPr>
          <w:sz w:val="20"/>
          <w:szCs w:val="20"/>
        </w:rPr>
        <w:t>ONU “Hoy hacemos un llamado al gobierno recién elegido de Brasil a aumentar los esfuerzos para poner fin a la violencia contra las mujeres y las niñas, y pedimos que se ponga fin a la aplicación continua del concepto de “alienación parental” y otros conceptos similares en casos de violencia y abuso doméstico que penalizan a madres y niños en Brasil. Instamos al Estado brasileño a derogar la Ley de Alienación Parental y restablecer el acceso efectivo de mujeres y niñas a los derechos sexuales y reproductivos.”</w:t>
      </w:r>
    </w:p>
  </w:footnote>
  <w:footnote w:id="39">
    <w:p w14:paraId="729AE991" w14:textId="77777777" w:rsidR="009A79AC" w:rsidRDefault="00000000">
      <w:pPr>
        <w:spacing w:line="240" w:lineRule="auto"/>
        <w:jc w:val="both"/>
        <w:rPr>
          <w:sz w:val="20"/>
          <w:szCs w:val="20"/>
        </w:rPr>
      </w:pPr>
      <w:r>
        <w:rPr>
          <w:vertAlign w:val="superscript"/>
        </w:rPr>
        <w:footnoteRef/>
      </w:r>
      <w:proofErr w:type="spellStart"/>
      <w:r>
        <w:rPr>
          <w:sz w:val="20"/>
          <w:szCs w:val="20"/>
        </w:rPr>
        <w:t>Comite</w:t>
      </w:r>
      <w:proofErr w:type="spellEnd"/>
      <w:r>
        <w:rPr>
          <w:sz w:val="20"/>
          <w:szCs w:val="20"/>
        </w:rPr>
        <w:t xml:space="preserve">́ de Expertas del MESECVI y la Relatora Especial sobre la Violencia contra la Mujer de las Naciones Unidas expresan su preocupación por el uso ilegítimo de la figura del síndrome de alienación parental contra las </w:t>
      </w:r>
      <w:proofErr w:type="spellStart"/>
      <w:r>
        <w:rPr>
          <w:sz w:val="20"/>
          <w:szCs w:val="20"/>
        </w:rPr>
        <w:t>mujeres.“La</w:t>
      </w:r>
      <w:proofErr w:type="spellEnd"/>
      <w:r>
        <w:rPr>
          <w:sz w:val="20"/>
          <w:szCs w:val="20"/>
        </w:rPr>
        <w:t xml:space="preserve"> utilización de esta controvertida figura en contra de las mujeres, en casos donde alegan violencia por razones de género o violencia contra las hijas e hijos, es parte del continuum de violencia de género y podría generar responsabilidad a los Estados por violencia institucional”</w:t>
      </w:r>
    </w:p>
  </w:footnote>
  <w:footnote w:id="40">
    <w:p w14:paraId="3BFF5DEE" w14:textId="77777777" w:rsidR="009A79AC" w:rsidRDefault="00000000">
      <w:pPr>
        <w:spacing w:line="240" w:lineRule="auto"/>
        <w:rPr>
          <w:sz w:val="20"/>
          <w:szCs w:val="20"/>
        </w:rPr>
      </w:pPr>
      <w:r>
        <w:rPr>
          <w:vertAlign w:val="superscript"/>
        </w:rPr>
        <w:footnoteRef/>
      </w:r>
      <w:r>
        <w:rPr>
          <w:sz w:val="20"/>
          <w:szCs w:val="20"/>
        </w:rPr>
        <w:t xml:space="preserve"> RECOMENDACIONES GENERALES ANTE DENUNCIAS DE ABUSO SEXUAL CONTRA NIÑAS, NIÑOS Y ADOLESCENTES.  </w:t>
      </w:r>
    </w:p>
  </w:footnote>
  <w:footnote w:id="41">
    <w:p w14:paraId="4EC34FD9" w14:textId="77777777" w:rsidR="009A79AC" w:rsidRDefault="00000000">
      <w:pPr>
        <w:spacing w:line="240" w:lineRule="auto"/>
        <w:rPr>
          <w:sz w:val="20"/>
          <w:szCs w:val="20"/>
        </w:rPr>
      </w:pPr>
      <w:r>
        <w:rPr>
          <w:vertAlign w:val="superscript"/>
        </w:rPr>
        <w:footnoteRef/>
      </w:r>
      <w:r>
        <w:rPr>
          <w:sz w:val="20"/>
          <w:szCs w:val="20"/>
        </w:rPr>
        <w:t xml:space="preserve"> FEBRA. Comunicado</w:t>
      </w:r>
      <w:hyperlink r:id="rId3">
        <w:r>
          <w:rPr>
            <w:sz w:val="20"/>
            <w:szCs w:val="20"/>
          </w:rPr>
          <w:t xml:space="preserve"> de FEPRA sobre el pretendido "Síndrome de Alienación Parental"</w:t>
        </w:r>
      </w:hyperlink>
      <w:r>
        <w:rPr>
          <w:b/>
          <w:sz w:val="20"/>
          <w:szCs w:val="20"/>
        </w:rPr>
        <w:t xml:space="preserve">. </w:t>
      </w:r>
    </w:p>
  </w:footnote>
  <w:footnote w:id="42">
    <w:p w14:paraId="35DB1040" w14:textId="77777777" w:rsidR="009A79AC" w:rsidRDefault="00000000">
      <w:pPr>
        <w:spacing w:line="240" w:lineRule="auto"/>
        <w:jc w:val="both"/>
        <w:rPr>
          <w:sz w:val="20"/>
          <w:szCs w:val="20"/>
        </w:rPr>
      </w:pPr>
      <w:r>
        <w:rPr>
          <w:vertAlign w:val="superscript"/>
        </w:rPr>
        <w:footnoteRef/>
      </w:r>
      <w:r>
        <w:rPr>
          <w:sz w:val="20"/>
          <w:szCs w:val="20"/>
        </w:rPr>
        <w:t>APSAC. ACESSO GRATUITO AO CONSULTOR DA APSAC COM OS ARTIGOS DE “PROBLEMAS CONTIDOS: ALIENAÇÃO PARENTAL</w:t>
      </w:r>
    </w:p>
  </w:footnote>
  <w:footnote w:id="43">
    <w:p w14:paraId="300B279D" w14:textId="77777777" w:rsidR="009A79AC" w:rsidRDefault="00000000">
      <w:pPr>
        <w:spacing w:line="240" w:lineRule="auto"/>
        <w:jc w:val="both"/>
        <w:rPr>
          <w:sz w:val="20"/>
          <w:szCs w:val="20"/>
        </w:rPr>
      </w:pPr>
      <w:r>
        <w:rPr>
          <w:vertAlign w:val="superscript"/>
        </w:rPr>
        <w:footnoteRef/>
      </w:r>
      <w:r>
        <w:rPr>
          <w:sz w:val="20"/>
          <w:szCs w:val="20"/>
        </w:rPr>
        <w:t xml:space="preserve">ONU. Relatora Especial sobre la violencia contra la mujer 74. Con base en estas conclusiones, el Relator Especial recomienda que: a) Los Estados legislen para prohibir el uso de alienación parental o </w:t>
      </w:r>
      <w:proofErr w:type="spellStart"/>
      <w:r>
        <w:rPr>
          <w:sz w:val="20"/>
          <w:szCs w:val="20"/>
        </w:rPr>
        <w:t>pseudoconceptos</w:t>
      </w:r>
      <w:proofErr w:type="spellEnd"/>
      <w:r>
        <w:rPr>
          <w:sz w:val="20"/>
          <w:szCs w:val="20"/>
        </w:rPr>
        <w:t xml:space="preserve"> similares en litigios de derecho de familia y el uso de los llamados expertos en alienación parental y </w:t>
      </w:r>
      <w:proofErr w:type="spellStart"/>
      <w:r>
        <w:rPr>
          <w:sz w:val="20"/>
          <w:szCs w:val="20"/>
        </w:rPr>
        <w:t>pseudoconceptos</w:t>
      </w:r>
      <w:proofErr w:type="spellEnd"/>
      <w:r>
        <w:rPr>
          <w:sz w:val="20"/>
          <w:szCs w:val="20"/>
        </w:rPr>
        <w:t xml:space="preserve"> similares; b) Los Estados cumplan con sus responsabilidades y obligaciones positivas en virtud del derecho internacional de derechos humanos estableciendo mecanismos de seguimiento para monitorear la eficacia de los sistemas de justicia familiar para las víctimas de violencia doméstica intrafamiliar.”</w:t>
      </w:r>
    </w:p>
  </w:footnote>
  <w:footnote w:id="44">
    <w:p w14:paraId="36FB8D00" w14:textId="77777777" w:rsidR="009A79AC" w:rsidRDefault="00000000">
      <w:pPr>
        <w:spacing w:line="240" w:lineRule="auto"/>
        <w:jc w:val="both"/>
        <w:rPr>
          <w:sz w:val="20"/>
          <w:szCs w:val="20"/>
        </w:rPr>
      </w:pPr>
      <w:r>
        <w:rPr>
          <w:vertAlign w:val="superscript"/>
        </w:rPr>
        <w:footnoteRef/>
      </w:r>
      <w:r>
        <w:t xml:space="preserve"> </w:t>
      </w:r>
      <w:r>
        <w:rPr>
          <w:sz w:val="20"/>
          <w:szCs w:val="20"/>
        </w:rPr>
        <w:t>El Comité está muy preocupado por el uso continuo de la Ley de Alienación Parental (</w:t>
      </w:r>
      <w:proofErr w:type="spellStart"/>
      <w:r>
        <w:rPr>
          <w:sz w:val="20"/>
          <w:szCs w:val="20"/>
        </w:rPr>
        <w:t>nº</w:t>
      </w:r>
      <w:proofErr w:type="spellEnd"/>
      <w:r>
        <w:rPr>
          <w:sz w:val="20"/>
          <w:szCs w:val="20"/>
        </w:rPr>
        <w:t xml:space="preserve"> 12.318/2010) para quitar la custodia de los hijos a las madres. (artículos 2, 3, 6, 7). Adoptar una ley integral sobre la violencia de género, con miras a prevenir, combatir y castigar todas las formas de violencia contra las mujeres y las niñas, tanto en el sector público como en el privado, incluidas medidas de protección específicas para las mujeres afrodescendientes y </w:t>
      </w:r>
      <w:proofErr w:type="spellStart"/>
      <w:r>
        <w:rPr>
          <w:sz w:val="20"/>
          <w:szCs w:val="20"/>
        </w:rPr>
        <w:t>quilombolas</w:t>
      </w:r>
      <w:proofErr w:type="spellEnd"/>
      <w:r>
        <w:rPr>
          <w:sz w:val="20"/>
          <w:szCs w:val="20"/>
        </w:rPr>
        <w:t>, garantizar la implementación efectiva de la legislación existente y su cumplimiento con la Convención, adoptar políticas culturalmente apropiadas para las mujeres indígenas y afrodescendientes y considerar la revisión de la Ley de Alienación Parental (</w:t>
      </w:r>
      <w:proofErr w:type="spellStart"/>
      <w:r>
        <w:rPr>
          <w:sz w:val="20"/>
          <w:szCs w:val="20"/>
        </w:rPr>
        <w:t>nº</w:t>
      </w:r>
      <w:proofErr w:type="spellEnd"/>
      <w:r>
        <w:rPr>
          <w:sz w:val="20"/>
          <w:szCs w:val="20"/>
        </w:rPr>
        <w:t xml:space="preserve"> 12.318/2010).</w:t>
      </w:r>
    </w:p>
  </w:footnote>
  <w:footnote w:id="45">
    <w:p w14:paraId="6B5D001B" w14:textId="77777777" w:rsidR="009A79AC" w:rsidRDefault="00000000">
      <w:pPr>
        <w:spacing w:line="240" w:lineRule="auto"/>
        <w:jc w:val="both"/>
        <w:rPr>
          <w:sz w:val="20"/>
          <w:szCs w:val="20"/>
        </w:rPr>
      </w:pPr>
      <w:r>
        <w:rPr>
          <w:vertAlign w:val="superscript"/>
        </w:rPr>
        <w:footnoteRef/>
      </w:r>
      <w:r>
        <w:rPr>
          <w:sz w:val="20"/>
          <w:szCs w:val="20"/>
        </w:rPr>
        <w:t xml:space="preserve">CIDH; Audiencia pública. “Las organizaciones solicitantes informaron a la CIDH sobre el impacto negativo que ha tenido la Ley de Alienación Parental en niños, niñas y adolescentes, así como en las mujeres, toda vez que ha sido utilizada como estrategia frente a las denuncias realizadas por madres en casos de violencia, incluida la violencia sexual, del padre contra sus hijos. El sistema judicial, basado en premisas acientíficas, trata a las mujeres como "locas" y alienantes, y determina la pérdida de la custodia de los hijos a favor del padre. Concluyen que es necesario revocar lo. A su vez, el Estado expresó que no existe evidencia científica de este síndrome y que su aplicación tuvo un sesgo discriminatorio contra las mujeres. Considera que la ley debe ser derogada, sin crear un vacío legal, ya que existen otras normas que garantizan la protección integral de niños y adolescentes. El Estado se comprometió a fortalecer el diálogo con el poder legislativo y el poder judicial. La Comisión, a su vez, destacó que la ley se basa en estereotipos de género contra las mujeres y que no garantiza la protección plena ni el interés superior de niños, niñas y adolescentes. Asimismo, solicitó información sobre los desafíos para derogar esta ley y estadísticas sobre su aplicación judicial, ofreciendo toda la asistencia técnica solicitada por el Estado en la materia”. </w:t>
      </w:r>
    </w:p>
  </w:footnote>
  <w:footnote w:id="46">
    <w:p w14:paraId="69D9F41B" w14:textId="77777777" w:rsidR="009A79AC" w:rsidRDefault="00000000">
      <w:pPr>
        <w:spacing w:line="240" w:lineRule="auto"/>
        <w:jc w:val="both"/>
        <w:rPr>
          <w:sz w:val="20"/>
          <w:szCs w:val="20"/>
        </w:rPr>
      </w:pPr>
      <w:r>
        <w:rPr>
          <w:vertAlign w:val="superscript"/>
        </w:rPr>
        <w:footnoteRef/>
      </w:r>
      <w:r>
        <w:rPr>
          <w:sz w:val="20"/>
          <w:szCs w:val="20"/>
        </w:rPr>
        <w:t xml:space="preserve">OMS. Parental </w:t>
      </w:r>
      <w:proofErr w:type="spellStart"/>
      <w:r>
        <w:rPr>
          <w:sz w:val="20"/>
          <w:szCs w:val="20"/>
        </w:rPr>
        <w:t>Alienation.Análisis</w:t>
      </w:r>
      <w:proofErr w:type="spellEnd"/>
      <w:r>
        <w:rPr>
          <w:sz w:val="20"/>
          <w:szCs w:val="20"/>
        </w:rPr>
        <w:t xml:space="preserve"> Considerando lo anterior, la OMS ha revisado minuciosamente todos los materiales proporcionados y considera que: La inclusión del término en la CIE-11 no contribuirá a las estadísticas de salud; No existen intervenciones de salud basadas en evidencia específicamente para la alienación parental. - Por lo tanto, se ha eliminado el término índice "alienación parental", al igual que el término índice paralelo "alienación parental". </w:t>
      </w:r>
    </w:p>
  </w:footnote>
  <w:footnote w:id="47">
    <w:p w14:paraId="6976AA04" w14:textId="77777777" w:rsidR="009A79AC" w:rsidRDefault="00000000">
      <w:pPr>
        <w:spacing w:line="240" w:lineRule="auto"/>
        <w:jc w:val="both"/>
        <w:rPr>
          <w:sz w:val="20"/>
          <w:szCs w:val="20"/>
        </w:rPr>
      </w:pPr>
      <w:r>
        <w:rPr>
          <w:vertAlign w:val="superscript"/>
        </w:rPr>
        <w:footnoteRef/>
      </w:r>
      <w:r>
        <w:rPr>
          <w:sz w:val="20"/>
          <w:szCs w:val="20"/>
        </w:rPr>
        <w:t xml:space="preserve">Los expertos de la ONU piden al nuevo gobierno que combata la violencia contra las mujeres y las niñas y derogue la ley de alienación parental. “Hoy hacemos un llamado al gobierno recientemente elegido de Brasil para que incremente sus esfuerzos para poner fin a la violencia contra las mujeres y las niñas, y pedimos que se ponga fin a la aplicación continua del concepto de alienación parental y otros conceptos similares en casos de violencia y abuso doméstico, que penalizan madres y niños en Brasil. Instamos al Estado brasileño a derogar la ley de alienación parental y restablecer el acceso efectivo de mujeres y niñas a los derechos sexuales y reproductivos”. </w:t>
      </w:r>
    </w:p>
  </w:footnote>
  <w:footnote w:id="48">
    <w:p w14:paraId="08653F1D" w14:textId="77777777" w:rsidR="009A79AC" w:rsidRDefault="00000000">
      <w:pPr>
        <w:spacing w:line="240" w:lineRule="auto"/>
        <w:jc w:val="both"/>
        <w:rPr>
          <w:sz w:val="20"/>
          <w:szCs w:val="20"/>
        </w:rPr>
      </w:pPr>
      <w:r>
        <w:rPr>
          <w:vertAlign w:val="superscript"/>
        </w:rPr>
        <w:footnoteRef/>
      </w:r>
      <w:r>
        <w:rPr>
          <w:sz w:val="20"/>
          <w:szCs w:val="20"/>
        </w:rPr>
        <w:t xml:space="preserve"> Artículo 19 - § 3 El juez podrá, a petición del Ministerio Público o de la víctima, conceder nuevas medidas urgentes de protección o revisar las ya concedidas, si lo considera necesario para proteger a la víctima, a su familia y a su patrimonio, después de audiencia al Ministerio Público. </w:t>
      </w:r>
    </w:p>
  </w:footnote>
  <w:footnote w:id="49">
    <w:p w14:paraId="2F32DEFA" w14:textId="77777777" w:rsidR="009A79AC" w:rsidRDefault="00000000">
      <w:pPr>
        <w:spacing w:line="240" w:lineRule="auto"/>
        <w:rPr>
          <w:sz w:val="20"/>
          <w:szCs w:val="20"/>
        </w:rPr>
      </w:pPr>
      <w:r>
        <w:rPr>
          <w:vertAlign w:val="superscript"/>
        </w:rPr>
        <w:footnoteRef/>
      </w:r>
      <w:r>
        <w:rPr>
          <w:sz w:val="20"/>
          <w:szCs w:val="20"/>
        </w:rPr>
        <w:t xml:space="preserve"> Tribunal de Justicia de Río de Enero. </w:t>
      </w:r>
    </w:p>
  </w:footnote>
  <w:footnote w:id="50">
    <w:p w14:paraId="4DA0F370" w14:textId="27F6EF33" w:rsidR="009A79AC" w:rsidRDefault="00000000">
      <w:pPr>
        <w:spacing w:line="240" w:lineRule="auto"/>
        <w:rPr>
          <w:sz w:val="20"/>
          <w:szCs w:val="20"/>
        </w:rPr>
      </w:pPr>
      <w:r>
        <w:rPr>
          <w:vertAlign w:val="superscript"/>
        </w:rPr>
        <w:footnoteRef/>
      </w:r>
      <w:r>
        <w:rPr>
          <w:sz w:val="20"/>
          <w:szCs w:val="20"/>
        </w:rPr>
        <w:t xml:space="preserve"> Tribunal de </w:t>
      </w:r>
      <w:r w:rsidR="00E92426">
        <w:rPr>
          <w:sz w:val="20"/>
          <w:szCs w:val="20"/>
        </w:rPr>
        <w:t>Justicia de</w:t>
      </w:r>
      <w:r>
        <w:rPr>
          <w:sz w:val="20"/>
          <w:szCs w:val="20"/>
        </w:rPr>
        <w:t xml:space="preserve"> São Paulo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AF2C4" w14:textId="77777777" w:rsidR="009A79AC" w:rsidRDefault="00000000">
    <w:pPr>
      <w:jc w:val="right"/>
    </w:pPr>
    <w:r>
      <w:rPr>
        <w:noProof/>
      </w:rPr>
      <w:drawing>
        <wp:inline distT="114300" distB="114300" distL="114300" distR="114300" wp14:anchorId="01F49CE9" wp14:editId="2ECF59F0">
          <wp:extent cx="945515" cy="899160"/>
          <wp:effectExtent l="0" t="0" r="6985"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45814" cy="89944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D7AE4"/>
    <w:multiLevelType w:val="multilevel"/>
    <w:tmpl w:val="BFDCCDC4"/>
    <w:lvl w:ilvl="0">
      <w:start w:val="1"/>
      <w:numFmt w:val="upperRoman"/>
      <w:lvlText w:val="%1."/>
      <w:lvlJc w:val="right"/>
      <w:pPr>
        <w:ind w:left="1440" w:hanging="360"/>
      </w:pPr>
      <w:rPr>
        <w:rFonts w:ascii="Arial" w:eastAsia="Arial" w:hAnsi="Arial" w:cs="Arial"/>
        <w:b w:val="0"/>
        <w:i w:val="0"/>
        <w:color w:val="000000"/>
        <w:u w:val="none"/>
      </w:rPr>
    </w:lvl>
    <w:lvl w:ilvl="1">
      <w:start w:val="1"/>
      <w:numFmt w:val="upperLetter"/>
      <w:lvlText w:val="%2."/>
      <w:lvlJc w:val="left"/>
      <w:pPr>
        <w:ind w:left="2160" w:hanging="360"/>
      </w:pPr>
      <w:rPr>
        <w:rFonts w:ascii="Arial" w:eastAsia="Arial" w:hAnsi="Arial" w:cs="Arial"/>
        <w:b w:val="0"/>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4FA11377"/>
    <w:multiLevelType w:val="multilevel"/>
    <w:tmpl w:val="F61C4F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9DE353B"/>
    <w:multiLevelType w:val="multilevel"/>
    <w:tmpl w:val="99FCC44C"/>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w:eastAsia="Arial" w:hAnsi="Arial" w:cs="Arial"/>
        <w:b w:val="0"/>
        <w:sz w:val="24"/>
        <w:szCs w:val="24"/>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503191">
    <w:abstractNumId w:val="1"/>
  </w:num>
  <w:num w:numId="2" w16cid:durableId="389117197">
    <w:abstractNumId w:val="0"/>
  </w:num>
  <w:num w:numId="3" w16cid:durableId="191943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9AC"/>
    <w:rsid w:val="001B08DD"/>
    <w:rsid w:val="0023093F"/>
    <w:rsid w:val="00764DC9"/>
    <w:rsid w:val="008758D5"/>
    <w:rsid w:val="009A79AC"/>
    <w:rsid w:val="00E924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F9C2F"/>
  <w15:docId w15:val="{8CC05AE9-61AA-40F2-96C5-21C8D69C8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419"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E92426"/>
    <w:pPr>
      <w:tabs>
        <w:tab w:val="center" w:pos="4252"/>
        <w:tab w:val="right" w:pos="8504"/>
      </w:tabs>
      <w:spacing w:line="240" w:lineRule="auto"/>
    </w:pPr>
  </w:style>
  <w:style w:type="character" w:customStyle="1" w:styleId="CabealhoChar">
    <w:name w:val="Cabeçalho Char"/>
    <w:basedOn w:val="Fontepargpadro"/>
    <w:link w:val="Cabealho"/>
    <w:uiPriority w:val="99"/>
    <w:rsid w:val="00E92426"/>
  </w:style>
  <w:style w:type="paragraph" w:styleId="Rodap">
    <w:name w:val="footer"/>
    <w:basedOn w:val="Normal"/>
    <w:link w:val="RodapChar"/>
    <w:uiPriority w:val="99"/>
    <w:unhideWhenUsed/>
    <w:rsid w:val="00E92426"/>
    <w:pPr>
      <w:tabs>
        <w:tab w:val="center" w:pos="4252"/>
        <w:tab w:val="right" w:pos="8504"/>
      </w:tabs>
      <w:spacing w:line="240" w:lineRule="auto"/>
    </w:pPr>
  </w:style>
  <w:style w:type="character" w:customStyle="1" w:styleId="RodapChar">
    <w:name w:val="Rodapé Char"/>
    <w:basedOn w:val="Fontepargpadro"/>
    <w:link w:val="Rodap"/>
    <w:uiPriority w:val="99"/>
    <w:rsid w:val="00E92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orumseguranca.org.br/wp-content/uploads/2023/07/anuario-2023.pdf" TargetMode="External"/><Relationship Id="rId21" Type="http://schemas.openxmlformats.org/officeDocument/2006/relationships/hyperlink" Target="https://www.planalto.gov.br/ccivil_03/_Ato2019-2022/2022/Lei/L14340.htm" TargetMode="External"/><Relationship Id="rId42" Type="http://schemas.openxmlformats.org/officeDocument/2006/relationships/hyperlink" Target="https://www.defensoria.rs.def.br/defensoria-publica-lanca-cartilha-sobre-alienacao-parental" TargetMode="External"/><Relationship Id="rId47" Type="http://schemas.openxmlformats.org/officeDocument/2006/relationships/hyperlink" Target="https://drive.google.com/file/d/1qFOulZs_xHS30amGMwtrFpNFQFpW1x9q/view?usp=drive_link" TargetMode="External"/><Relationship Id="rId63" Type="http://schemas.openxmlformats.org/officeDocument/2006/relationships/hyperlink" Target="https://www.gov.br/participamaisbrasil/recomendacao-n6-2022" TargetMode="External"/><Relationship Id="rId68" Type="http://schemas.openxmlformats.org/officeDocument/2006/relationships/hyperlink" Target="https://drive.google.com/file/d/1mH64YfGKFwWSSLMm3EFeS6VsRlRmS6m8/view?usp=drive_link" TargetMode="External"/><Relationship Id="rId84" Type="http://schemas.openxmlformats.org/officeDocument/2006/relationships/hyperlink" Target="https://undocs.org/Home/Mobile?FinalSymbol=A/HRC/53/36&amp;Language=E&amp;DeviceType=Desktop&amp;LangRequested=False" TargetMode="External"/><Relationship Id="rId89" Type="http://schemas.openxmlformats.org/officeDocument/2006/relationships/hyperlink" Target="https://www.change.org/p/repeal-the-parental-alienation-law-in-brazil" TargetMode="External"/><Relationship Id="rId112" Type="http://schemas.openxmlformats.org/officeDocument/2006/relationships/theme" Target="theme/theme1.xml"/><Relationship Id="rId16" Type="http://schemas.openxmlformats.org/officeDocument/2006/relationships/hyperlink" Target="https://new.safernet.org.br/content/safernet-recebe-recorde-historico-de-novas-denuncias-de-imagens-de-abuso-e-exploracao-sexual" TargetMode="External"/><Relationship Id="rId107" Type="http://schemas.openxmlformats.org/officeDocument/2006/relationships/image" Target="media/image6.jpg"/><Relationship Id="rId11" Type="http://schemas.openxmlformats.org/officeDocument/2006/relationships/hyperlink" Target="https://tbinternet.ohchr.org/_layouts/15/treatybodyexternal/Download.aspx?symbolno=INT%2FCEDAW%2FICS%2FBRA%2F46951&amp;Lang=en" TargetMode="External"/><Relationship Id="rId32" Type="http://schemas.openxmlformats.org/officeDocument/2006/relationships/hyperlink" Target="https://www.gov.br/saude/pt-br/centrais-de-conteudo/publicacoes/boletins/epidemiologicos/edicoes/2023/boletim-epidemiologico-volume-54-no-08" TargetMode="External"/><Relationship Id="rId37" Type="http://schemas.openxmlformats.org/officeDocument/2006/relationships/hyperlink" Target="https://atos.cnj.jus.br/atos/detalhar/878" TargetMode="External"/><Relationship Id="rId53" Type="http://schemas.openxmlformats.org/officeDocument/2006/relationships/hyperlink" Target="https://www.jusbrasil.com.br/legislacao/95552/lei-maria-da-penha-lei-11340-06" TargetMode="External"/><Relationship Id="rId58" Type="http://schemas.openxmlformats.org/officeDocument/2006/relationships/hyperlink" Target="https://www.intercept.com.br/2023/06/01/juiza-censura-serie-do-intercept-sobre-lei-da-alienacao-parental/" TargetMode="External"/><Relationship Id="rId74" Type="http://schemas.openxmlformats.org/officeDocument/2006/relationships/hyperlink" Target="https://rm.coe.int/final-statement-vaw-and-custody/168094d880" TargetMode="External"/><Relationship Id="rId79" Type="http://schemas.openxmlformats.org/officeDocument/2006/relationships/hyperlink" Target="https://www.apsac.org/single-post/2020/05/14/free-access-to-APSAC-advisor-with-contested-issues-parental-alienation-articles" TargetMode="External"/><Relationship Id="rId102" Type="http://schemas.openxmlformats.org/officeDocument/2006/relationships/image" Target="media/image1.png"/><Relationship Id="rId5" Type="http://schemas.openxmlformats.org/officeDocument/2006/relationships/footnotes" Target="footnotes.xml"/><Relationship Id="rId90" Type="http://schemas.openxmlformats.org/officeDocument/2006/relationships/hyperlink" Target="https://www.change.org/p/repeal-the-parental-alienation-law-in-brazil" TargetMode="External"/><Relationship Id="rId95" Type="http://schemas.openxmlformats.org/officeDocument/2006/relationships/hyperlink" Target="https://www.planalto.gov.br/ccivil_03/_ato2015-2018/2017/lei/l13431.htm" TargetMode="External"/><Relationship Id="rId22" Type="http://schemas.openxmlformats.org/officeDocument/2006/relationships/hyperlink" Target="https://www.camara.leg.br/buscaProposicoesWeb/resultadoPesquisa?numero=&amp;ano=&amp;autor=&amp;inteiroTeor=aliena%C3%A7%C3%A3o+parental&amp;emtramitacao=Todas&amp;tipoproposicao=%5BPL+-+Projeto+de+Lei%5D&amp;data=09/04/2024&amp;page=false" TargetMode="External"/><Relationship Id="rId27" Type="http://schemas.openxmlformats.org/officeDocument/2006/relationships/hyperlink" Target="https://forumseguranca.org.br/wp-content/uploads/2023/03/visiveleinvisivel-2023-relatorio.pdf" TargetMode="External"/><Relationship Id="rId43" Type="http://schemas.openxmlformats.org/officeDocument/2006/relationships/hyperlink" Target="https://static.defensoria.to.def.br/postify-media/uploads/post/file/52535/Cartilha_aliena__o_parental_NUDECA.pdf" TargetMode="External"/><Relationship Id="rId48" Type="http://schemas.openxmlformats.org/officeDocument/2006/relationships/hyperlink" Target="https://drive.google.com/file/d/1qFOulZs_xHS30amGMwtrFpNFQFpW1x9q/view?usp=drive_link" TargetMode="External"/><Relationship Id="rId64" Type="http://schemas.openxmlformats.org/officeDocument/2006/relationships/hyperlink" Target="http://www.cfess.org.br/arquivos/nota-tecnica-LAP-2022-dez-cfess.pdf" TargetMode="External"/><Relationship Id="rId69" Type="http://schemas.openxmlformats.org/officeDocument/2006/relationships/hyperlink" Target="https://drive.google.com/file/d/1quKAFhDu1sxXi8vW5SRAoRCVMvsJxu7r/view?usp=drive_link" TargetMode="External"/><Relationship Id="rId113" Type="http://schemas.openxmlformats.org/officeDocument/2006/relationships/customXml" Target="../customXml/item1.xml"/><Relationship Id="rId80" Type="http://schemas.openxmlformats.org/officeDocument/2006/relationships/hyperlink" Target="https://www.apsac.org/apsacpublications" TargetMode="External"/><Relationship Id="rId85" Type="http://schemas.openxmlformats.org/officeDocument/2006/relationships/hyperlink" Target="https://tbinternet.ohchr.org/_layouts/15/treatybodyexternal/Download.aspx?symbolno=CCPR%2FC%2FBRA%2FCO%2F3&amp;Lang=en" TargetMode="External"/><Relationship Id="rId12" Type="http://schemas.openxmlformats.org/officeDocument/2006/relationships/hyperlink" Target="https://www.alienacao-parental-apase.com.br/" TargetMode="External"/><Relationship Id="rId17" Type="http://schemas.openxmlformats.org/officeDocument/2006/relationships/hyperlink" Target="https://brasil.un.org/pt-br/72703-onu-taxa-de-feminic%C3%ADdios-no-brasil-%C3%A9-quinta-maior-do-mundo-diretrizes-nacionais-buscam" TargetMode="External"/><Relationship Id="rId33" Type="http://schemas.openxmlformats.org/officeDocument/2006/relationships/hyperlink" Target="https://forumseguranca.org.br/wp-content/uploads/2023/07/anuario-2023.pdf" TargetMode="External"/><Relationship Id="rId38" Type="http://schemas.openxmlformats.org/officeDocument/2006/relationships/hyperlink" Target="https://www.cnj.jus.br/formacao-e-capacitacao/oficina-de-pais-e-maes-online-2/" TargetMode="External"/><Relationship Id="rId59" Type="http://schemas.openxmlformats.org/officeDocument/2006/relationships/hyperlink" Target="https://assets-institucional-ipg.sfo2.cdn.digitaloceanspaces.com/2020/01/NUDEMDPSP_NotaTecnicaAlienacaoParentalJSetembro2019.pdf" TargetMode="External"/><Relationship Id="rId103" Type="http://schemas.openxmlformats.org/officeDocument/2006/relationships/image" Target="media/image2.jpg"/><Relationship Id="rId108" Type="http://schemas.openxmlformats.org/officeDocument/2006/relationships/image" Target="media/image7.jpg"/><Relationship Id="rId54" Type="http://schemas.openxmlformats.org/officeDocument/2006/relationships/hyperlink" Target="https://www.jusbrasil.com.br/legislacao/95552/lei-maria-da-penha-lei-11340-06" TargetMode="External"/><Relationship Id="rId70" Type="http://schemas.openxmlformats.org/officeDocument/2006/relationships/hyperlink" Target="https://drive.google.com/file/d/1HVov37egC6WQ5-QL7UOVAKYgs4bP5oy-/view?usp=drive_link" TargetMode="External"/><Relationship Id="rId75" Type="http://schemas.openxmlformats.org/officeDocument/2006/relationships/hyperlink" Target="https://www.ohchr.org/en/statements/2022/11/brazil-un-experts-urge-new-government-target-violence-against-women-and-girls" TargetMode="External"/><Relationship Id="rId91" Type="http://schemas.openxmlformats.org/officeDocument/2006/relationships/hyperlink" Target="https://www.cpivozmaterna.com/" TargetMode="External"/><Relationship Id="rId96" Type="http://schemas.openxmlformats.org/officeDocument/2006/relationships/hyperlink" Target="https://www.planalto.gov.br/ccivil_03/_ato2011-2014/2014/lei/l13058.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observatorio3setor.org.br/noticias/brasil-2o-lugar-ranking-mundial-exploracao-sexual-criancas/" TargetMode="External"/><Relationship Id="rId23" Type="http://schemas.openxmlformats.org/officeDocument/2006/relationships/hyperlink" Target="https://www.amazon.com.br/s?k=MATERNIDADE+NO+DIREITO+BRASILEIRO%3A+PADECER+NO+MACHISMO%2C+Melo%2C+Ezilda&amp;__mk_pt_BR=%C3%85M%C3%85%C5%BD%C3%95%C3%91&amp;ref=nb_sb_noss" TargetMode="External"/><Relationship Id="rId28" Type="http://schemas.openxmlformats.org/officeDocument/2006/relationships/hyperlink" Target="https://www.brasildefato.com.br/2024/03/07/numero-de-feminicidios-em-2023-e-o-maior-da-serie-historica-no-brasil-diz-forum-de-seguranca-publica" TargetMode="External"/><Relationship Id="rId36" Type="http://schemas.openxmlformats.org/officeDocument/2006/relationships/hyperlink" Target="https://www.cnj.jus.br/pesquisa-aponta-necessidade-de-proteger-criancas-durante-processos-litigiosos-de-separacao/" TargetMode="External"/><Relationship Id="rId49" Type="http://schemas.openxmlformats.org/officeDocument/2006/relationships/hyperlink" Target="https://drive.google.com/file/d/1qFOulZs_xHS30amGMwtrFpNFQFpW1x9q/view?usp=drive_link" TargetMode="External"/><Relationship Id="rId57" Type="http://schemas.openxmlformats.org/officeDocument/2006/relationships/hyperlink" Target="https://www.instagram.com/tv/CkwEH4zjcxc/?igshid=NTdlMDg3MTY=" TargetMode="External"/><Relationship Id="rId106" Type="http://schemas.openxmlformats.org/officeDocument/2006/relationships/image" Target="media/image5.png"/><Relationship Id="rId114" Type="http://schemas.openxmlformats.org/officeDocument/2006/relationships/customXml" Target="../customXml/item2.xml"/><Relationship Id="rId10" Type="http://schemas.openxmlformats.org/officeDocument/2006/relationships/hyperlink" Target="https://tbinternet.ohchr.org/_layouts/15/treatybodyexternal/Download.aspx?symbolno=HRI%2FCORE%2FBRA%2F2020&amp;Lang=en" TargetMode="External"/><Relationship Id="rId31" Type="http://schemas.openxmlformats.org/officeDocument/2006/relationships/hyperlink" Target="https://portaldeboaspraticas.iff.fiocruz.br/wp-content/uploads/2019/07/2018-024.pdf" TargetMode="External"/><Relationship Id="rId44" Type="http://schemas.openxmlformats.org/officeDocument/2006/relationships/hyperlink" Target="http://www.defensoria.pi.def.br/wp-content/uploads/2020/09/Aliena%C3%A7%C3%A3o-Parental.pdf" TargetMode="External"/><Relationship Id="rId52" Type="http://schemas.openxmlformats.org/officeDocument/2006/relationships/hyperlink" Target="https://www.al.rs.gov.br/filerepository/repLegis/arquivos/LEI%2016.075.pdf" TargetMode="External"/><Relationship Id="rId60" Type="http://schemas.openxmlformats.org/officeDocument/2006/relationships/hyperlink" Target="https://www.cnj.jus.br/wp-content/uploads/2021/10/protocolo-18-10-2021-final.pdf" TargetMode="External"/><Relationship Id="rId65" Type="http://schemas.openxmlformats.org/officeDocument/2006/relationships/hyperlink" Target="https://www.facabonito.org/post/revogacaodalap" TargetMode="External"/><Relationship Id="rId73" Type="http://schemas.openxmlformats.org/officeDocument/2006/relationships/hyperlink" Target="https://www.oas.org/en/cim/docs/LineamientosIgualdadGeneroBien-ES.pdf" TargetMode="External"/><Relationship Id="rId78" Type="http://schemas.openxmlformats.org/officeDocument/2006/relationships/hyperlink" Target="http://www.psicologoschaco.com/2020/06/13/comunicado-de-fepra-sobre-el-pretendido-sindrome-de-alienacion-parental/?fbclid=IwAR2FQ1nlTSLs6jQ_Ka93ejiqCJ6W73AkxWAZbeZx_DNM5jSC33aehCzgFGE" TargetMode="External"/><Relationship Id="rId81" Type="http://schemas.openxmlformats.org/officeDocument/2006/relationships/hyperlink" Target="https://files.ctctusercontent.com/f9c101a1501/7daa44fa-2672-43a3-b5a6-e7fed2bbbcae.pdf?rdr=true" TargetMode="External"/><Relationship Id="rId86" Type="http://schemas.openxmlformats.org/officeDocument/2006/relationships/hyperlink" Target="https://www.oas.org/pt/cidh/prensa/notas/2023/187PS_ResumenAudiencias_POR.pdf" TargetMode="External"/><Relationship Id="rId94" Type="http://schemas.openxmlformats.org/officeDocument/2006/relationships/hyperlink" Target="https://www.planalto.gov.br/ccivil_03/_ato2019-2022/2022/Lei/L14340.htm" TargetMode="External"/><Relationship Id="rId99" Type="http://schemas.openxmlformats.org/officeDocument/2006/relationships/hyperlink" Target="https://www.planalto.gov.br/ccivil_03/_ato2004-2006/2006/lei/l11340.htm" TargetMode="External"/><Relationship Id="rId101" Type="http://schemas.openxmlformats.org/officeDocument/2006/relationships/hyperlink" Target="https://www.uol.com.br/universa/noticias/redacao/2024/03/19/meu-ex-matou-nossos-dois-filhos-e-deixou-carta-dizendo-ter-planejado-tudo.htm"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INT%2FCEDAW%2FICS%2FBRA%2F43609&amp;Lang=en" TargetMode="External"/><Relationship Id="rId13" Type="http://schemas.openxmlformats.org/officeDocument/2006/relationships/hyperlink" Target="https://ibdfam.org.br/artigos/463/S%C3%ADndrome+da+aliena%C3%A7%C3%A3o+parental%2C+o+que+%C3%A9+isso%3F" TargetMode="External"/><Relationship Id="rId18" Type="http://schemas.openxmlformats.org/officeDocument/2006/relationships/hyperlink" Target="https://mpma.mp.br/arquivos/CAOPIJ/docs/2._Cartilha_Alienacao_Parental_OAB-RS.pdf" TargetMode="External"/><Relationship Id="rId39" Type="http://schemas.openxmlformats.org/officeDocument/2006/relationships/hyperlink" Target="https://www.cnj.jus.br/wp-content/uploads/conteudo/destaques/arquivo/2015/06/f26a21b21f109485c159042b5d99317e.pdf" TargetMode="External"/><Relationship Id="rId109" Type="http://schemas.openxmlformats.org/officeDocument/2006/relationships/header" Target="header1.xml"/><Relationship Id="rId34" Type="http://schemas.openxmlformats.org/officeDocument/2006/relationships/hyperlink" Target="https://dossies.agenciapatriciagalvao.org.br/feminicidio/pesquisa/mapa-da-violencia-2015-homicidio-de-mulheres-no-brasil-flacsoopas-omsonu-mulheresspm-2015/" TargetMode="External"/><Relationship Id="rId50" Type="http://schemas.openxmlformats.org/officeDocument/2006/relationships/hyperlink" Target="https://leisestaduais.com.br/rj/lei-ordinaria-n-6427-2013-rio-de-janeiro-institui-o-dia-estadual-de-conscientizacao-sobre-a-alienacao-parental-no-estado-do-rio-de-janeiro?r=c" TargetMode="External"/><Relationship Id="rId55" Type="http://schemas.openxmlformats.org/officeDocument/2006/relationships/hyperlink" Target="https://assets-compromissoeatitude-ipg.sfo2.digitaloceanspaces.com/2012/08/OEA_CIDH_relatorio54_2001_casoMariadaPenha.pdf" TargetMode="External"/><Relationship Id="rId76" Type="http://schemas.openxmlformats.org/officeDocument/2006/relationships/hyperlink" Target="https://belemdopara.org/wp-content/uploads/2022/08/Comunicado-Alienacion-parental.pdf" TargetMode="External"/><Relationship Id="rId97" Type="http://schemas.openxmlformats.org/officeDocument/2006/relationships/hyperlink" Target="https://www.ohchr.org/en/statements/2022/11/brazil-un-experts-urge-new-government-target-violence-against-women-and-girls" TargetMode="External"/><Relationship Id="rId104" Type="http://schemas.openxmlformats.org/officeDocument/2006/relationships/image" Target="media/image3.png"/><Relationship Id="rId7" Type="http://schemas.openxmlformats.org/officeDocument/2006/relationships/hyperlink" Target="https://www.cpivozmaterna.com/" TargetMode="External"/><Relationship Id="rId71" Type="http://schemas.openxmlformats.org/officeDocument/2006/relationships/hyperlink" Target="https://www.dpu.def.br/images/Banco_de_imagem_2024/SEI_6943131_Manifestacao.pdf" TargetMode="External"/><Relationship Id="rId92" Type="http://schemas.openxmlformats.org/officeDocument/2006/relationships/hyperlink" Target="https://legis.senado.leg.br/comissoes/comissao?codcol=2630" TargetMode="External"/><Relationship Id="rId2" Type="http://schemas.openxmlformats.org/officeDocument/2006/relationships/styles" Target="styles.xml"/><Relationship Id="rId29" Type="http://schemas.openxmlformats.org/officeDocument/2006/relationships/hyperlink" Target="https://www.cfemea.org.br/index.php/pt/?view=article&amp;id=8899:feminicidio-brasil-teve-uma-mulher-morta-a-cada-6-horas-em-2023&amp;catid=581" TargetMode="External"/><Relationship Id="rId24" Type="http://schemas.openxmlformats.org/officeDocument/2006/relationships/hyperlink" Target="https://www.researchgate.net/publication/353467183_Analise_jurisprudencial_dos_tribunais_da_regiao_sudeste_sobre_a_aplicacao_do_instituto_sindrome_da_alienacao_parental" TargetMode="External"/><Relationship Id="rId40" Type="http://schemas.openxmlformats.org/officeDocument/2006/relationships/hyperlink" Target="https://atos.cnj.jus.br/atos/detalhar/4784" TargetMode="External"/><Relationship Id="rId45" Type="http://schemas.openxmlformats.org/officeDocument/2006/relationships/hyperlink" Target="https://www.cnmp.mp.br/portal/atos-e-normas/norma/4175" TargetMode="External"/><Relationship Id="rId66" Type="http://schemas.openxmlformats.org/officeDocument/2006/relationships/hyperlink" Target="https://drive.google.com/file/d/1OgPQjw0bsJWaoQM_F2dPPrtZUGIQFa9o/view?usp=drive_link" TargetMode="External"/><Relationship Id="rId87" Type="http://schemas.openxmlformats.org/officeDocument/2006/relationships/hyperlink" Target="https://www.who.int/standards/classifications/frequently-asked-questions/parental-alienation" TargetMode="External"/><Relationship Id="rId110" Type="http://schemas.openxmlformats.org/officeDocument/2006/relationships/footer" Target="footer1.xml"/><Relationship Id="rId61" Type="http://schemas.openxmlformats.org/officeDocument/2006/relationships/hyperlink" Target="https://www.cnpg.org.br/images/arquivos/gndh/documentos/enunciados/enunciadoscopevid.pdf" TargetMode="External"/><Relationship Id="rId82" Type="http://schemas.openxmlformats.org/officeDocument/2006/relationships/hyperlink" Target="https://www.ohchr.org/en/hr-bodies/upr/br-index" TargetMode="External"/><Relationship Id="rId19" Type="http://schemas.openxmlformats.org/officeDocument/2006/relationships/hyperlink" Target="https://www.planalto.gov.br/ccivil_03/_ato2011-2014/2014/lei/l13058.htm" TargetMode="External"/><Relationship Id="rId14" Type="http://schemas.openxmlformats.org/officeDocument/2006/relationships/hyperlink" Target="https://www.aosfatos.org/noticias/dado-que-diz-que-80-das-acusacoes-de-estupro-sao-falsas-nao-tem-amparo-oficial/" TargetMode="External"/><Relationship Id="rId30" Type="http://schemas.openxmlformats.org/officeDocument/2006/relationships/hyperlink" Target="https://g1.globo.com/fantastico/noticia/2022/04/10/so-em-2021-mais-de-2300-pessoas-se-tornaram-orfas-de-vitimas-de-feminicidio-no-brasil-aponta-estudo.ghtml" TargetMode="External"/><Relationship Id="rId35" Type="http://schemas.openxmlformats.org/officeDocument/2006/relationships/hyperlink" Target="https://www12.senado.leg.br/noticias/materias/2023/11/21/datasenado-aponta-que-3-a-cada-10-brasileiras-ja-sofreram-violencia-domestica" TargetMode="External"/><Relationship Id="rId56" Type="http://schemas.openxmlformats.org/officeDocument/2006/relationships/hyperlink" Target="http://scielo.iec.gov.br/scielo.php?script=sci_arttext&amp;pid=S1679-49742013000300003" TargetMode="External"/><Relationship Id="rId77" Type="http://schemas.openxmlformats.org/officeDocument/2006/relationships/hyperlink" Target="https://defensoraderechosnnya.gob.ar/wp-content/uploads/2021/01/RECOMENDACIONES-GENERALES-2-ANTE-DENUNCIAS-DE-ABUSO-SEXUAL-CONTRA-NIN%CC%83AS-NIN%CC%83OS-Y-ADOLESCENTES-O-REVINCULACIONES-FORZADAS-2-1.pdf" TargetMode="External"/><Relationship Id="rId100" Type="http://schemas.openxmlformats.org/officeDocument/2006/relationships/hyperlink" Target="https://casojoannamarcenal.blogspot.com/" TargetMode="External"/><Relationship Id="rId105" Type="http://schemas.openxmlformats.org/officeDocument/2006/relationships/image" Target="media/image4.png"/><Relationship Id="rId8" Type="http://schemas.openxmlformats.org/officeDocument/2006/relationships/hyperlink" Target="https://www.planalto.gov.br/ccivil_03/_ato2007-2010/2010/lei/l12318.htm" TargetMode="External"/><Relationship Id="rId51" Type="http://schemas.openxmlformats.org/officeDocument/2006/relationships/hyperlink" Target="https://leismunicipais.com.br/a/rs/p/porto-alegre/lei-ordinaria/2010/1102/11014/lei-ordinaria-n-11014-2010-inclui-a-efemeride-semana-de-conscientizacao-sobre-a-alienacao-parental-no-anexo-a-lei-n-10904-de-31-de-maio-de-2010-que-institui-o-calendario-de-datas-comemorativas-e-de-conscientizacao-do-municipio-de-porto-alegre-e-organiza-e-revoga-legislacao-sobre-o-tema-e-alteracoes-posteriores-que-sera-realizada-na-semana-que-incluir-o-dia-25-de-abril" TargetMode="External"/><Relationship Id="rId72" Type="http://schemas.openxmlformats.org/officeDocument/2006/relationships/hyperlink" Target="https://www.oas.org/es/mesecvi/docs/declaracionderechos-es.pdf" TargetMode="External"/><Relationship Id="rId93" Type="http://schemas.openxmlformats.org/officeDocument/2006/relationships/hyperlink" Target="https://www.planalto.gov.br/ccivil_03/_ato2007-2010/2010/lei/l12318.htm" TargetMode="External"/><Relationship Id="rId98" Type="http://schemas.openxmlformats.org/officeDocument/2006/relationships/hyperlink" Target="https://www.in.gov.br/web/dou/-/recomendacao-n-1-de-12-de-setembro-de-2023-509740724" TargetMode="External"/><Relationship Id="rId3" Type="http://schemas.openxmlformats.org/officeDocument/2006/relationships/settings" Target="settings.xml"/><Relationship Id="rId25" Type="http://schemas.openxmlformats.org/officeDocument/2006/relationships/hyperlink" Target="https://dossies.agenciapatriciagalvao.org.br/feminicidio/capitulos/qual-a-dimensao-do-problema-no-brasil/" TargetMode="External"/><Relationship Id="rId46" Type="http://schemas.openxmlformats.org/officeDocument/2006/relationships/hyperlink" Target="https://drive.google.com/file/d/1KkxBqLz_os3gZtWwMJ8nFUvJte_LGvOe/view?usp=drive_link" TargetMode="External"/><Relationship Id="rId67" Type="http://schemas.openxmlformats.org/officeDocument/2006/relationships/hyperlink" Target="https://www.in.gov.br/web/dou/-/recomendacao-n-1-de-12-de-setembro-de-2023-509740724" TargetMode="External"/><Relationship Id="rId20" Type="http://schemas.openxmlformats.org/officeDocument/2006/relationships/hyperlink" Target="https://www.cnj.jus.br/pesquisa-aponta-necessidade-de-proteger-criancas-durante-processos-litigiosos-de-separacao/" TargetMode="External"/><Relationship Id="rId41" Type="http://schemas.openxmlformats.org/officeDocument/2006/relationships/hyperlink" Target="https://defensoria.mg.def.br/wp-content/uploads/2021/04/Cartilha_Alienacao_Parental.pdf" TargetMode="External"/><Relationship Id="rId62" Type="http://schemas.openxmlformats.org/officeDocument/2006/relationships/hyperlink" Target="http://conselho.saude.gov.br/recomendacoes-cns/2337-recomendacao-n-003-de-11-de-fevereiro-de-2022" TargetMode="External"/><Relationship Id="rId83" Type="http://schemas.openxmlformats.org/officeDocument/2006/relationships/hyperlink" Target="https://drive.google.com/file/d/1KKjYTqJGNjg57vyQX_TuJ15XHupi0b9-/view?usp=drive_link" TargetMode="External"/><Relationship Id="rId88" Type="http://schemas.openxmlformats.org/officeDocument/2006/relationships/hyperlink" Target="https://www.who.int/standards/classifications/frequently-asked-questions/parental-alienation" TargetMode="External"/><Relationship Id="rId111"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hyperlink" Target="mailto:cpivozmaterna@gmail.com" TargetMode="External"/><Relationship Id="rId1" Type="http://schemas.openxmlformats.org/officeDocument/2006/relationships/hyperlink" Target="http://www.cpivozmaterna.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psicologoschaco.com/2020/06/13/comunicado-de-fepra-sobre-el-pretendido-sindrome-de-alienacion-parental/" TargetMode="External"/><Relationship Id="rId2" Type="http://schemas.openxmlformats.org/officeDocument/2006/relationships/hyperlink" Target="https://www.intercept.com.br/2023/07/18/justica-do-rio-mantem-censura-a-documentario-sobre-alienacao-parental/" TargetMode="External"/><Relationship Id="rId1" Type="http://schemas.openxmlformats.org/officeDocument/2006/relationships/hyperlink" Target="https://www.intercept.com.br/2023/06/14/conheca-os-bastidores-da-serie-do-intercept-que-expos-nomes-do-judiciario-e-foi-censurada-pela-just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B4982F-C307-4C18-80EE-E54DE546C240}"/>
</file>

<file path=customXml/itemProps2.xml><?xml version="1.0" encoding="utf-8"?>
<ds:datastoreItem xmlns:ds="http://schemas.openxmlformats.org/officeDocument/2006/customXml" ds:itemID="{F7D09CDA-D8DB-457F-A2A3-C437DC61CCA7}"/>
</file>

<file path=docProps/app.xml><?xml version="1.0" encoding="utf-8"?>
<Properties xmlns="http://schemas.openxmlformats.org/officeDocument/2006/extended-properties" xmlns:vt="http://schemas.openxmlformats.org/officeDocument/2006/docPropsVTypes">
  <Template>Normal</Template>
  <TotalTime>16</TotalTime>
  <Pages>1</Pages>
  <Words>5100</Words>
  <Characters>27545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ALESSANDRA DE ANDRADE</cp:lastModifiedBy>
  <cp:revision>4</cp:revision>
  <dcterms:created xsi:type="dcterms:W3CDTF">2024-04-13T00:09:00Z</dcterms:created>
  <dcterms:modified xsi:type="dcterms:W3CDTF">2024-04-13T00:35:00Z</dcterms:modified>
</cp:coreProperties>
</file>