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3507" w:rsidRPr="00BF7CB9" w:rsidRDefault="00913507" w:rsidP="00913507">
      <w:pPr>
        <w:spacing w:after="0" w:line="240" w:lineRule="auto"/>
        <w:ind w:left="142"/>
        <w:jc w:val="center"/>
        <w:rPr>
          <w:rFonts w:ascii="Arial" w:hAnsi="Arial" w:cs="Arial"/>
          <w:b/>
        </w:rPr>
      </w:pPr>
      <w:r w:rsidRPr="00BF7CB9">
        <w:rPr>
          <w:rFonts w:ascii="Arial" w:hAnsi="Arial" w:cs="Arial"/>
          <w:b/>
        </w:rPr>
        <w:t>Plan Multisectorial del Estado Plurinacional de Bolivia contra el Racismo y toda forma de Discriminación 2016- 2020</w:t>
      </w:r>
      <w:bookmarkStart w:id="0" w:name="_GoBack"/>
      <w:bookmarkEnd w:id="0"/>
    </w:p>
    <w:tbl>
      <w:tblPr>
        <w:tblStyle w:val="Sombreadoclaro"/>
        <w:tblpPr w:leftFromText="141" w:rightFromText="141" w:vertAnchor="text" w:tblpXSpec="center" w:tblpY="1"/>
        <w:tblOverlap w:val="never"/>
        <w:tblW w:w="12015" w:type="dxa"/>
        <w:tblLayout w:type="fixed"/>
        <w:tblLook w:val="04A0" w:firstRow="1" w:lastRow="0" w:firstColumn="1" w:lastColumn="0" w:noHBand="0" w:noVBand="1"/>
      </w:tblPr>
      <w:tblGrid>
        <w:gridCol w:w="2017"/>
        <w:gridCol w:w="1959"/>
        <w:gridCol w:w="1944"/>
        <w:gridCol w:w="6095"/>
      </w:tblGrid>
      <w:tr w:rsidR="00913507" w:rsidRPr="002924F6" w:rsidTr="00913507">
        <w:trPr>
          <w:cnfStyle w:val="100000000000" w:firstRow="1" w:lastRow="0" w:firstColumn="0" w:lastColumn="0" w:oddVBand="0" w:evenVBand="0" w:oddHBand="0"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913507" w:rsidRDefault="00913507" w:rsidP="00913507">
            <w:pPr>
              <w:contextualSpacing/>
              <w:jc w:val="center"/>
              <w:rPr>
                <w:rFonts w:ascii="Arial" w:hAnsi="Arial" w:cs="Arial"/>
                <w:sz w:val="18"/>
                <w:szCs w:val="18"/>
              </w:rPr>
            </w:pPr>
            <w:r w:rsidRPr="00913507">
              <w:rPr>
                <w:rFonts w:ascii="Arial" w:hAnsi="Arial" w:cs="Arial"/>
                <w:sz w:val="18"/>
                <w:szCs w:val="18"/>
              </w:rPr>
              <w:t>ACCIONES</w:t>
            </w:r>
          </w:p>
        </w:tc>
        <w:tc>
          <w:tcPr>
            <w:tcW w:w="1959" w:type="dxa"/>
            <w:vAlign w:val="center"/>
          </w:tcPr>
          <w:p w:rsidR="00913507" w:rsidRPr="00913507" w:rsidRDefault="00913507" w:rsidP="00913507">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913507">
              <w:rPr>
                <w:rFonts w:ascii="Arial" w:hAnsi="Arial" w:cs="Arial"/>
                <w:sz w:val="18"/>
                <w:szCs w:val="18"/>
              </w:rPr>
              <w:t>INDICADORES DE PROCESO</w:t>
            </w:r>
          </w:p>
        </w:tc>
        <w:tc>
          <w:tcPr>
            <w:tcW w:w="1944" w:type="dxa"/>
            <w:vAlign w:val="center"/>
          </w:tcPr>
          <w:p w:rsidR="00913507" w:rsidRPr="00913507" w:rsidRDefault="00913507" w:rsidP="00913507">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913507">
              <w:rPr>
                <w:rFonts w:ascii="Arial" w:hAnsi="Arial" w:cs="Arial"/>
                <w:sz w:val="18"/>
                <w:szCs w:val="18"/>
              </w:rPr>
              <w:t>RESPONSA BLES</w:t>
            </w:r>
          </w:p>
          <w:p w:rsidR="00913507" w:rsidRPr="00913507" w:rsidRDefault="00913507" w:rsidP="00913507">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913507" w:rsidRDefault="00913507" w:rsidP="00913507">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r w:rsidRPr="00913507">
              <w:rPr>
                <w:rFonts w:ascii="Arial" w:hAnsi="Arial" w:cs="Arial"/>
                <w:sz w:val="18"/>
                <w:szCs w:val="18"/>
              </w:rPr>
              <w:t>RESULTADOS OBTENIDOS GESTIÓN 2016 Y 2017</w:t>
            </w:r>
          </w:p>
          <w:p w:rsidR="00913507" w:rsidRPr="00913507" w:rsidRDefault="00913507" w:rsidP="00913507">
            <w:pPr>
              <w:contextualSpacing/>
              <w:jc w:val="center"/>
              <w:cnfStyle w:val="100000000000" w:firstRow="1" w:lastRow="0" w:firstColumn="0" w:lastColumn="0" w:oddVBand="0" w:evenVBand="0" w:oddHBand="0" w:evenHBand="0" w:firstRowFirstColumn="0" w:firstRowLastColumn="0" w:lastRowFirstColumn="0" w:lastRowLastColumn="0"/>
              <w:rPr>
                <w:rFonts w:ascii="Arial" w:hAnsi="Arial" w:cs="Arial"/>
                <w:sz w:val="18"/>
                <w:szCs w:val="18"/>
              </w:rPr>
            </w:pP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1101"/>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Consolidación de las brigadas juveniles estudiantiles contra el racismo y toda forma de discriminación</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Números de instituciones educativas que conforman brigadas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Merge w:val="restart"/>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V</w:t>
            </w:r>
            <w:r>
              <w:rPr>
                <w:rFonts w:ascii="Arial" w:hAnsi="Arial" w:cs="Arial"/>
                <w:sz w:val="18"/>
                <w:szCs w:val="18"/>
              </w:rPr>
              <w:t>ICEMINISTERIO DE DESCOLONIZACI</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COMITÉ NACIONAL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GOBIERNOS AUTÓNO</w:t>
            </w:r>
            <w:r w:rsidRPr="002924F6">
              <w:rPr>
                <w:rFonts w:ascii="Arial" w:hAnsi="Arial" w:cs="Arial"/>
                <w:sz w:val="18"/>
                <w:szCs w:val="18"/>
              </w:rPr>
              <w:t>MOS DEPARTA MENTALES MUNICIPA LES E INDÍGENAS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EDUCACIÓN</w:t>
            </w: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CNCRD/ 700 Unidades Educativas han conformado 5.200 integrantes de las Brigadas juveniles estudiantiles contra el racismo y toda forma de discriminación.</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 Cada gestión tiene previsto apoyar la conformación de Brigadas estudiantiles contra el racismo y toda forma de discriminación en Unidades Educativas de</w:t>
            </w:r>
            <w:r>
              <w:rPr>
                <w:rFonts w:ascii="Arial" w:hAnsi="Arial" w:cs="Arial"/>
                <w:sz w:val="18"/>
                <w:szCs w:val="18"/>
              </w:rPr>
              <w:t>l nivel secundario.</w:t>
            </w:r>
          </w:p>
        </w:tc>
      </w:tr>
      <w:tr w:rsidR="00913507" w:rsidRPr="002924F6" w:rsidTr="00913507">
        <w:trPr>
          <w:trHeight w:val="712"/>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Incidencia en la disminución de la violencia escolar por parte de los brigadistas</w:t>
            </w:r>
          </w:p>
        </w:tc>
        <w:tc>
          <w:tcPr>
            <w:tcW w:w="1944" w:type="dxa"/>
            <w:vMerge/>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 Se cuenta con un protocolo para la Violencia escolar.</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758"/>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Institucionalización de la jornada Plurinacional contra el Racismo y toda forma de Discriminación del 24 de mayo en el marco de la Ley Nº 139</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involucramiento institucional y de la sociedad civil.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Merge w:val="restart"/>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TODOS LOS MINISTERIOS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ENTIDADES TERRITORIA LES AUTÓNOMAS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VICEMINISTERIO DE DESCOLONIZACIÓN COMITÉ NACIONAL</w:t>
            </w: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CNCRD/  En la gestión 2016 y 2017, en cumplimiento de la Ley Nº 139 se realizó campañas de prevención del racismo y toda forma de discriminación en los 9 departamentos de Bolivia, participaron 21 Ministerios del Órgano Ejecutivo,  las 9 gobernaciones y  4 municipios: Tarija, Puerto Rurrenabaque, Villa Montes, Santa Cruz de la Serra.</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Incidencia en la población en general</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Merge/>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CNCRD/  Participaron 6.000 personas en la Jornada Plurinacional contra el racismo y toda forma de Discriminación, en los 9 departamentos de Bolivia. Se han distribuido 30.000 ejemplares de la Ley Nº 045 a nivel nacional.</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Grado de implementación de la normativa especifica</w:t>
            </w:r>
          </w:p>
        </w:tc>
        <w:tc>
          <w:tcPr>
            <w:tcW w:w="1944" w:type="dxa"/>
            <w:vMerge/>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CNCRD/  A través del INE está en proceso de implementación  la encuesta nacional de hogares  sobre el racismo y discriminación.</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Consolidación del diplomado “On Line” sobre prevención de la explotación infantil</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Normativa de consolidación promulgada</w:t>
            </w:r>
          </w:p>
        </w:tc>
        <w:tc>
          <w:tcPr>
            <w:tcW w:w="1944" w:type="dxa"/>
            <w:vMerge w:val="restart"/>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TRABAJO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Trab. Em. Prev. Soc. / Diplomado sobre Prevención del Trabajo infantil y Protección de Adolescentes Trabador‖, se realizó en la EGPP en su primera versión bajo la modalidad virtual.</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Grado de participación de servidores/as públicos</w:t>
            </w:r>
          </w:p>
        </w:tc>
        <w:tc>
          <w:tcPr>
            <w:tcW w:w="1944" w:type="dxa"/>
            <w:vMerge/>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Trab. Em. Prev. Soc. / 92 inscritos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Incidencia en la disminución de la explotación infantil</w:t>
            </w:r>
          </w:p>
        </w:tc>
        <w:tc>
          <w:tcPr>
            <w:tcW w:w="1944" w:type="dxa"/>
            <w:vMerge/>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149"/>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Garantizar la continuidad de la provisión de insumos  y medicamentos para la población que vive con VIH- SIDA y actualización de programas de prevención en el marco de la Ley Nº 3729 Ley para la prevención del VIH-SIDA.</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Normativa o disposición que garantiza la continuidad</w:t>
            </w:r>
          </w:p>
        </w:tc>
        <w:tc>
          <w:tcPr>
            <w:tcW w:w="1944" w:type="dxa"/>
            <w:vMerge w:val="restart"/>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SALUD</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Ley Nº 475, Ley Nº 3729</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Números de personas que viven con VIH que acceden a medicamentos e insumos</w:t>
            </w:r>
          </w:p>
        </w:tc>
        <w:tc>
          <w:tcPr>
            <w:tcW w:w="1944" w:type="dxa"/>
            <w:vMerge/>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7.444 PVVS, acceden a tratamiento  antirretroviral en forma gratuita. A través del programa de ITS/VIH/SIDA/HV, se obtiene el porcentaje de adultos/as y niños/as notificados que ha  sido enrolado en los servicios de tratamiento de VIH y cuidado de VIH que reciben atención, terapia antirretroviral y seguimiento clínico. Se tiene el libro de registro de pacientes, reportes de exámenes de laboratorio.</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Cantidad de insumos y medicamentos provistos</w:t>
            </w:r>
          </w:p>
        </w:tc>
        <w:tc>
          <w:tcPr>
            <w:tcW w:w="1944" w:type="dxa"/>
            <w:vMerge/>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400.224  prestación de diagnóstico y tratamiento otorgados a beneficiarios de la Ley Nº 475 en los establecimientos de salud de los 339 municipios, en la gestión 2016.</w:t>
            </w:r>
          </w:p>
        </w:tc>
      </w:tr>
      <w:tr w:rsidR="00913507" w:rsidRPr="002924F6" w:rsidTr="00913507">
        <w:trPr>
          <w:trHeight w:val="519"/>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Actualización y aplicación de protocolos de atención específica para poblaciones vulneradas por racismo y/o discriminación con énfasis para la población TLGB, Trabajadoras sexuales y personas sordas en el marco de la Ley Nº 045</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protocolos de atención adecuados a la ley N° 045</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Merge w:val="restart"/>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SALUD</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Se elaboró el documento: bases estratégicas  comunicacionales en el marco de la cultura del buen trato  a las personas con discapacidad en los servicios de salud.  Se ha elaborado la Norma de Atención clínica de fonoaudiología se encuentra en proceso de validación.  Se encuentra en proceso de elaboración la Norma de atención clínica de terapia ocupacional.  Se ha elaborado un documento normativo para la atención al colectivo TLGB.</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1063"/>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 de instancias de salud que aplican protocolos adecuado</w:t>
            </w:r>
          </w:p>
        </w:tc>
        <w:tc>
          <w:tcPr>
            <w:tcW w:w="1944" w:type="dxa"/>
            <w:vMerge/>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Las Unidades de Redes Servicios  Salud y Calidad del Continuo de la Atención,  tienen registrado el número de establecimientos de salud que aplican  la normativa para la atención al colectivo  TLGB  y el número de establecimientos de salud que cumplen las normativas vigentes del protocolo ARV.</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p>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 xml:space="preserve">Garantizar a las trabajadoras sexuales el derecho a acceder a servicios de salud </w:t>
            </w:r>
            <w:r w:rsidRPr="002924F6">
              <w:rPr>
                <w:rFonts w:ascii="Arial" w:hAnsi="Arial" w:cs="Arial"/>
                <w:b w:val="0"/>
                <w:sz w:val="18"/>
                <w:szCs w:val="18"/>
              </w:rPr>
              <w:lastRenderedPageBreak/>
              <w:t>integrales y descentralizados</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Normativa que garantiza el acceso a la salud a las trabajadoras sexuales</w:t>
            </w:r>
          </w:p>
        </w:tc>
        <w:tc>
          <w:tcPr>
            <w:tcW w:w="1944" w:type="dxa"/>
            <w:vMerge w:val="restart"/>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SALUD SEDES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Ley Nº 3729, socialización de la  ley Nº 3729 a Trabajadoras Sexuales  y en lenocinios.</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Numero de instancias de salud que garantizaran el acceso a las trabajadoras sexuales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Merge/>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En el marco de la Ley Nº 475, son un total de  1.094.949 prestaciones otorgadas al grupo beneficiario de mujeres en edad fértil (trabajadoras sexuales incluida) en los establecimientos de salud de los 339 municipios, en la gestión 2016.</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A través del  Programa ITS/VIH/SIDA/HV,   tiene el registro de laboratorio y registro de atención en consulta externa sobre el  porcentaje de Trabajadoras Sexuales que se hicieron prueba de VIH y otras ITS y conocen sus resultados.</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Implementar modelos de atención de calidad para personas con discapacidad y continuar con la eliminación de barreras de infraestructura en el marco de la Ley Nº 223.</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Porcentajes de instituciones que adecuan su infraestructura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TODOS LOS MINISTERIOS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ENTIDADES TERRITORIA LES AUTÓNOMAS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ÓRGANO JUDICIAL</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Trab. Em. Prev. Soc. /  Se realizó  modificaciones en su infraestructura, poniendo ramplas al ingreso del edificio.  Min. Jus.Trans. Ins. / Existen 17 normas bolivianas de supresión de barreras arquitectónicas para la accesibilidad de personas con discapacidad actualizadas y aprobadas mediante resolución Nº 077 del 2014, emitida por el Ministerio de Obras Públicas, Servicios y Vivienda.  La implementación de esta normativa es de carácter obligatorio en la probación y construcción de todas las edificaciones públicas y privadas.  Min. Educación/ La infraestructura del Ministerio de Educación es adecuada  para el acceso de personas  que tienen capacidades especiales. Min. Med. Amb.  Agua/  El MMAYA cuenta con un edificio propio, el cual está siendo acondicionado, tomándose en cuenta accesos correspondientes para las personas con discapacidad, de esta manera garantizar el ejercicio pleno de sus derechos en igualdad de condiciones y trato preferente.    Min. Plan. Des./ El Edificio del Ministerio de Planificación del Desarrollo fue declarado Patrimonio Histórico Cultural de la ciudad  de La Paz, sin embargo cuenta con las facilidades para la movilización de las personas con discapacidad: 1. Dos (2) Ascensores con dispositivos en alfabeto braille, para personas no videntes y personas que utilicen silla de ruedas. 2. Acceso de entrada y salida por la puerta de garaje para personas que utilicen silla de rueda. 3. Asientos en la sala de espera del Hall central del Edificio. 4. Señalética en todo el perímetro del Edificio del MPD. Min. Rel. Ext./ Se implementó un molinete a la cual se encuentra anexa una Puerta Batiente que permite el ingreso y salida del Ministerio de Relaciones Exteriores de las personas con capacidades diferentes. Desde el 2016 se cuenta con nuevo ascensor en el edificio anexo del Ministerio de Relaciones Exteriores permitiendo el desplazamiento sin dificultad de las personas con </w:t>
            </w:r>
            <w:r w:rsidRPr="002924F6">
              <w:rPr>
                <w:rFonts w:ascii="Arial" w:hAnsi="Arial" w:cs="Arial"/>
                <w:sz w:val="18"/>
                <w:szCs w:val="18"/>
              </w:rPr>
              <w:lastRenderedPageBreak/>
              <w:t>discapacidad hasta el octavo piso, considerando además la numeración con lectura braille. Min. Miner. Met./ El edificio del Centro de Comunicaciones La Paz donde está ubicado el Despacho de la MAE, el Viceministerio de Desarrollo Productivo y varias Direcciones Generales, cuenta con ingresos y corredores amplios que facilitan la circulación de personas con discapacidad o en silla de ruedas, y sus ascensores tienen dispositivos del sistema Braille para no videntes. En el inmueble de la Av. Arce donde está ubicado el Viceministerio de Cooperativas Mineras, se construyó una rampa que facilita la circulación. Min. Energía/ Elaboración de proyecto a diseño final de infraestructura para una mejor atención a personas con capacidades diferentes. Min. Econ. Finan. Púb. /Se tomaron acciones de barreras arquitectónicas en el nuevo edificio del MEFP. Es así que cuenta con un ambiento  e infraestructura adecuada a las necesidades de las personas con discapacidad.</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Ministerios que implementan modelos de atención en el marco de la ley N ° 223</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Trab. Empl. Prev. Soc. /  Diseño  material en formato braille, para la socialización de los derechos laborales.  Las personas con discapacidad gozan del trato preferente en los servicios que solicitan en los Ministerios.  Min. Educación/ Ha incorporado la Dirección Nacional de Educación Especial para promover y garantizar la educación permanente de niñas, niños y adolescentes con discapacidad y con talentos extraordinarios en el aprendizaje, bajo la misma estructura, principios y valores del Sistema Educativo Plurinacional.  Min. Med. Aamb. Agua/  Sobre los modelos de atención, el MMAYA ha establecido para el desarrollo del trabajo de las personas con discapacidad físico motora ambientes en planta baja, para minimizar el esfuerzo físico, brindando todos los derechos y promoviendo el respeto de su dignidad. Min. Plan. Des./ En gestión de aprobación la ―Guía de Atención de Calidad para personas discapacitadas, adultos mayores y mujeres en etapa de gestación notoria‖ siendo un aporte para eliminar las barreras de discriminación buscando la inclusión de derechos y acciones en favor de poblaciones vulnerables. Min. Rel. Ext. / 1 curso de ―Atención al usuario, según la normativa de capacidades diferentes‖, realizado a fin de brindar un mejor servicio de atención a las personas con capacidades diferentes.</w:t>
            </w:r>
          </w:p>
        </w:tc>
      </w:tr>
      <w:tr w:rsidR="00913507" w:rsidRPr="002924F6" w:rsidTr="00913507">
        <w:trPr>
          <w:trHeight w:val="102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Avances hechos en la elaboración de la normativa que regula edificaciones públicas y privadas en el marco de la ley N°223</w:t>
            </w: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 Resolución Ministerial 410/2016 Reglamento de accesibilidad y eliminación de barreras arquitectónicas en instituciones educativas.</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Creación, adecuación y/o fortalecimiento de instancias y mecanismos de prevención y sanción de racismo y discriminación en instituciones públicas  y en la administración de justicia  del ámbito penal  en el marco  del desarrollo de las capacidades institucionales.</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Ministerios que cuentan con instancias de prevención y sanción</w:t>
            </w: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TODOS LOS MINISTERIOS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ENTIDADES  AUTÓNOMAS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ORGANO JUDICIAL</w:t>
            </w: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En la gestión 2016, se ha creado el área de Racismo y discriminación, perteneciente a la Unidad de Derechos Fundamentales.  Min. Des. Prod. Econ. Plu. /  Se ha emitido una resolución en la gestión 2016 que sanciona el acto violento contra las mujeres  del MDPyEP. Min. Jus. Transp. Inst. /  Se cuenta con la Resolución Ministerial Nº 2011/2015 para prevenir y sancionar actos de racismo y discriminación, dicha normativa establece sanciones, que van desde amonestaciones escritas, hasta el inicio de procesos sumarios internos. La instancia asignada para la prevención es la Dirección General de Asuntos Administrativos (Unidad de Recursos Humanos) y en sanción se tiene a la Unidad de Transparencia  (atención de denuncias) y la autoridad Sumariante Interna.  Min. Educación/  Cuenta con Sumariante designado de manera exclusiva para el caso de racismo y discriminación.  Min. Med. Amb. Agua/  El Ministerio de Medio Ambiente y Agua cuenta con un sumariante que maneja los temas de prevención y sanción, siendo está la autoridad legal competente. Min. Des. Rur. Y T. /  En las personas del área rural y en los productores agropecuarios, no existe discriminación y menos racismo; todo se vive en comunidad  ayudándose entre ellos y compartiendo unos a otros. Si existiere alguna falta, la sanción es el trabajo comunitario.</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Defensa/ Inclusión en los Manuales de procedimientos y Organización y  funciones para la atención de denuncias por actos de racismo y toda forma de discriminación (se aprobó 2 que incluye atención de denuncias por actos de racismo y toda forma de discriminación. Resolución Ministerial Nº 1007 bajo responsabilidad de la Unidad de Interculturalidad e igualdad de oportunidades  dependiente de la Dirección General de Derechos Humanos.  Min. Rel. Ext./ cuenta con una Unidad de la Secretaría Técnica de la Junta de Procesos Administrativos, que a través de los canales respectivos, informa sobre la </w:t>
            </w:r>
            <w:r w:rsidRPr="002924F6">
              <w:rPr>
                <w:rFonts w:ascii="Arial" w:hAnsi="Arial" w:cs="Arial"/>
                <w:sz w:val="18"/>
                <w:szCs w:val="18"/>
              </w:rPr>
              <w:lastRenderedPageBreak/>
              <w:t>tramitación de procesos administrativos iniciados por causas de racismo y toda forma de discriminación ante las Instancias gubernamentales correspondientes para los efectos de registro y seguimiento. Min. Mine. Met. / La MAE mediante RM Nº 001/2017 designó a la Autoridad Sumariante del Ministerio de Minería y Metalurgia, instancia de sanción. El Ministerio de Minería y Metalurgia cuenta con una Unidad de Transparencia, instancia que previene y protege conductas racistas y discriminatorias en el marco del Artículo 40 del Reglamento Interno de Personal donde se establece que: Los actos de racismo y toda forma de discriminación que constituyan faltas cometidas por servidores públicos del Ministerio de Minería y Metalurgia de acuerdo a la Ley Nº 045 de Racismo y toda forma de Discriminación, serán denunciados ante la Unidad de Transparencia a efecto de iniciar el proceso interno que corresponda. La servidora o servidor público denunciante, podrá remitir copia de la respectiva denuncia al Viceministerio de Transparencia Institucional y Lucha Contra la Corrupción para fines de registro y seguimiento.</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Incidencia en la disminución de actos de racismo y discriminación disposiciones efectuadas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La Unidad de Racismo del Ministerio de Salud, tiene el registro de casos sancionados vía administrativa (4 procesos sumarios llevados a cabo). Min. Med. Amb. Agua/  No se presentó ninguna denuncia en cuanto a racismo y discriminación el año 2017. No se presentó ningún tipo de  proceso administrativo, ni penal, en cuanto se refiere al racismo y discriminación. Min. Plan. Des. / La Unidad de Transparencia no recibió ninguna denuncia por actos de racismo y/o discriminación durante la gestión 2016 y 2017. Se debe aclarar que a partir de la aprobación de la Ley  N° 974, la Unidad de Transparencia y Lucha Contra la Corrupción, cumple otras funciones. Min. Mine. Met./  Un proceso sumario interno iniciado a denuncia interpuesta ante la Unidad de Transparencia en contra de la MAE del FOFIM por actos de Discriminación, mismo que fue resuelto sancionando al denunciado. Dicha resolución se halla plenamente ejecutoriada.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Econ. Finan. Púb. / En la gestión 2017, no se recibió denuncias de esta índole, sin embargo, la unidad de Transparencia institucional del MEFP, siempre esta con la predisposición para atender cualquier requerimiento de cada uno de los servidores públicos. Es así que se </w:t>
            </w:r>
            <w:r w:rsidRPr="002924F6">
              <w:rPr>
                <w:rFonts w:ascii="Arial" w:hAnsi="Arial" w:cs="Arial"/>
                <w:sz w:val="18"/>
                <w:szCs w:val="18"/>
              </w:rPr>
              <w:lastRenderedPageBreak/>
              <w:t>continuará fomentando  un trato preferente  a las poblaciones vulneradas por racismo y/o discriminación.</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15"/>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procesos penales concluidos e</w:t>
            </w:r>
            <w:r>
              <w:rPr>
                <w:rFonts w:ascii="Arial" w:hAnsi="Arial" w:cs="Arial"/>
                <w:sz w:val="18"/>
                <w:szCs w:val="18"/>
              </w:rPr>
              <w:t>n la administración de justicia</w:t>
            </w: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Rel. Ext. / Se tiene conocimiento que de forma particular una víctima inicio acciones legales, mismas que se tramitan conforme procedimiento y una vez que se tenga certeza, la instit</w:t>
            </w:r>
            <w:r>
              <w:rPr>
                <w:rFonts w:ascii="Arial" w:hAnsi="Arial" w:cs="Arial"/>
                <w:sz w:val="18"/>
                <w:szCs w:val="18"/>
              </w:rPr>
              <w:t>ución analizara si corresponde.</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Numero de instituciones que cuentan con un plan institucional de prevenc</w:t>
            </w:r>
            <w:r>
              <w:rPr>
                <w:rFonts w:ascii="Arial" w:hAnsi="Arial" w:cs="Arial"/>
                <w:sz w:val="18"/>
                <w:szCs w:val="18"/>
              </w:rPr>
              <w:t>ión de racismo y discriminación</w:t>
            </w: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Salud/  tiene el Plan  Institucional de prevención y de racismo.  Min. Des. Prod. Econ. Plu. /  Incorporación de un indicador de igualdad de género en el MDPyEP.  Min. Plan. Des. / /Se está a la espera de lineamientos que establezcan que área de los Ministerios elaboraran el Plan. Min. Rel. Ext. / Más que un plan, el Ministerio de Relaciones Exteriores cuenta con  un Reglamento de la Junta de Procesos Administrativos.</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Números de instituciones que implementan el protocolo de atención de denuncias de racismo y toda forma de discriminación</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Salud/  Se implementa  el protocolo de atención en establecimientos de salud que denuncian casos de racismo.  El Viceministerio de Medicina Tradicional e interculturalidad  tiene  el registro de instancias asociativas que implementan un cuaderno de registro de denuncias contra toda forma de racismo y discriminación.   Min. Educación. /  Cuenta con el Protocolo de atención emanada de la Dirección General de Lucha contra el racismo y toda forma de discriminación.   Min. Plan. Des. /La Unidad de Transparencia y Lucha Contra la Corrupción del MPD,  mediante nota MPD/UT/CI/N°049/2017 remitió a la Dirección General de Asuntos Jurídicos, un ejemplar del Protocolo de Recepción, Procesamiento y Sanción de casos de Racismo y Toda Forma de Discriminación, aprobada 7 de diciembre de 2016 mediante Resolución CN-02/2016 por el Comité Nacional Contra el Racismo y Toda Forma de Discriminación, con el objeto de dotar de un instrumento práctico que ayude a las autoridades sumariantes a atender las denuncias por racismo y/o discriminación. Min. Rel. Ext. / En el Reglamento de la Junta de Procesos Administrativos, se cuenta con todo un Capitulo de referido a actos de racismo y discriminación  (Capitulo III), donde se encuentra establecido los procedimientos y (protocolo) de denuncias de acuerdo a la Ley N° 045. Min. Econ. Finan. Púb. / El Ministerio de Economía y sus 14 entidades bajo tuición y/o dependencia implementan el protocolo de </w:t>
            </w:r>
            <w:r w:rsidRPr="002924F6">
              <w:rPr>
                <w:rFonts w:ascii="Arial" w:hAnsi="Arial" w:cs="Arial"/>
                <w:sz w:val="18"/>
                <w:szCs w:val="18"/>
              </w:rPr>
              <w:lastRenderedPageBreak/>
              <w:t>atención de denuncias de racismo y toda forma de discriminación, a través de sus unidades de transparencia.</w:t>
            </w:r>
          </w:p>
        </w:tc>
      </w:tr>
      <w:tr w:rsidR="00913507" w:rsidRPr="002924F6" w:rsidTr="00913507">
        <w:trPr>
          <w:trHeight w:val="1534"/>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Fortalecimiento  a los procesos de certificación  a las trabajadoras asalariadas del hogar</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Mecanismo de certificación aplicados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COMITÉ NACIONAL</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EDUCACIÓN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TRABAJO EMPLEO Y SEGURIDAD SOCIAL</w:t>
            </w: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Trab. Empl. Prev. Soc. /  El Ministerio de Trabajo Visa certificados de trabajo, para trabajadores en general.  El Ministerio de Trabajo ha elaborado libretas para el pago de salarios, modelos de contrato de trabajo y formularios finiquitos, especialmente para trabajadoras del hogar.  Min. Trab. Empl. Prev. Soc. /  ha realizo campañas zonales para la socialización de derechos de las trabajadoras del hogar.  Min. Educación/ Método utilizado es ―la entrevista, evaluación, implementación del currículo diversificado para trabajadora del Hogar.</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personas que</w:t>
            </w:r>
            <w:r>
              <w:rPr>
                <w:rFonts w:ascii="Arial" w:hAnsi="Arial" w:cs="Arial"/>
                <w:sz w:val="18"/>
                <w:szCs w:val="18"/>
              </w:rPr>
              <w:t xml:space="preserve"> cuentan con un certificado</w:t>
            </w: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2016 y 2017 se cuentan con 100 trabajadoras del hogar Certificadas. Además recibieron una educación  para el Bachillerato a través de un currículo diversificado y modalidad semi presencial, autorizada por la R.M. 308 de 30 de abril de 2014.</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Ampliación e institucionalización</w:t>
            </w:r>
          </w:p>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de los centros de atención integral pedagógico en beneficio de NNA con padres y madres privados de libertad en todo el país</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Números de centros en funcionamiento</w:t>
            </w:r>
          </w:p>
        </w:tc>
        <w:tc>
          <w:tcPr>
            <w:tcW w:w="1944" w:type="dxa"/>
            <w:vMerge w:val="restart"/>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EDUCACIÓN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19 centros en los 9 Departamentos.</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1037"/>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Mejora de la calidad de vida de los NNA con padres y madres privadas de liberdad</w:t>
            </w:r>
          </w:p>
        </w:tc>
        <w:tc>
          <w:tcPr>
            <w:tcW w:w="1944" w:type="dxa"/>
            <w:vMerge/>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2.150 niños y niñas en los 9 Departamentos atendidos en los centros de atención integral (CAIPs)</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Adecuación de las Leyes orgánicas y normativas internas de las Fuerzas Armadas y Policía Boliviana  a la CPE, Ley Nº 045 y convenios y Tratados Internacionales en materia de DDHH.</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Procesos de organización para adecuar la normativa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DEFENSA FUERZAS ARMADAS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GOBIERNO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POLICÍA BOLIVIANA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Gobierno/ Curso: Instrumento internacional contra el racismo y la discriminación. Para personal de establecimientos policiales y Unidades Policía Boliviana - La Paz.  Min. Gobierno/ Recomendación a todo el personal a nivel nacional el cumplimiento a la Ley 2298 respeto a la dignidad y derechos humanos.  Min. Gobierno/Gestión 2017, Curso de intervención y protección de niñas y niños adolescentes en la acción policial. Para  Personal de establecimiento penitenciario. La Paz – Santa Cruz.  Min. Gobierno/ Instrucción a todo el personal policial a nivel nacional sobre el  cumplimiento del artículo 7 Ley 2298  ―queda prohibida toda discriminación de raza, color de género, orientación sexual, lengua, religión, cultura, opinión pública‖. Min. Gobierno/ Instrucción a todo el personal policial a nivel nacional, para que se </w:t>
            </w:r>
            <w:r w:rsidRPr="002924F6">
              <w:rPr>
                <w:rFonts w:ascii="Arial" w:hAnsi="Arial" w:cs="Arial"/>
                <w:sz w:val="18"/>
                <w:szCs w:val="18"/>
              </w:rPr>
              <w:lastRenderedPageBreak/>
              <w:t>brinde, prohibición de cobros indebidos, asimismo, impartir tarto amable y no discriminatorio a personas que acuden a sus instalaciones.</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Fortalecimiento de formación, capacitación y sensibilización a miembros de la Policía Bolivia, personal de fronteras y servidoras/es Públicos en general, en temas de derechos Humanos y de racismo y discriminación, para la atención con trato digno a poblaciones vulneradas por racismo y discriminación, con énfasis en mujeres trabajadoras sexuales, población TLGB y migrantes.</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satisfacción de poblaciones vulneradas por racismo y discriminación</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Merge w:val="restart"/>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TODOS LOS MINISTERIOS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ENTIDADES AUTÓNOMAS ÓRGANOS DEL ESTADO (en coordinación de la EGPP)</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Trab. Empl. Prev. Soc. /  El Ministerio de Trabajo realizó talleres en la Academia Nacional de la Policía Boliviana ―ANAPOL‖ en la cual participaron alumnos y docentes; se realizó 5 foros sobre derechos fundamentales y discriminación.  Min. Des. Prod. Econ. Plu. /  Realizó cursos de capacitación y sensibilización en la temática de género y lucha contra todo tipo de violencia interinstitucional, asistieron jefes de unidad para que ellos puedan bajar información a sus dependientes. Min. Jus. Transp. Inst./  Durante la gestión 2017, el Ministerio de Justicia capacitó, difundió y socializó los derechos fundamentales en general, para el trato digno de Niños, niñas y adolescentes, Personas Adulto Mayor, juventud y para luchar contra la violencia en razón de género y generacional. De esta manera se registra un alcance de 7.543 personas, en las actividades señaladas. Min. Gobierno/ Curso de Derechos Humanos aplicados a la función policial efectuados en fechas 31 de julio al 4 de agosto y 09 al 13 de octubre.  Min. Med. Amb. Agua/  Considerando el  incremento de conocimiento de Políticas Públicas está estrechamente relacionado con temas de racismo y discriminación, el MMAYA en el mes de octubre y noviembre capacitó a todo su personal sobre Políticas Públicas.  (CENCAP-CGE). Min. Plan. Des. / 23 de mayo de 2016 se realizó la socialización de la Ley N°045 dirigida a las y los servidores públicos del MPD y entidades bajo tuición, Se entregaron ejemplares de la Ley N°045.  Difusión de videos en contra del racismo y toda forma de discriminación.  El 06 de junio de 2017, se realizó el taller de capacitación  y socialización de la Ley N°045,  dirigida a las y los servidores públicos del MPD y entidades bajo tuición. Se entregó a cada uno de los participantes un ejemplar de la Ley N°045.  Asimismo se difundieron videos referidos al tema.  El 31 de mayo de 2017, se realizó el taller en ―Principios y Valores dentro del enfoque de la Descolonización de la Ética Pública‖, con el objetivo de fortalecer los mecanismos institucionales, consolidando el nuevo rol del servidor público en la construcción del «SERVIR BIEN PARA VIVIR BIEN» desde las funciones para con la colectividad.  Min. Defensa/ Capacitación en DD.HH e interculturalidad en las FF.AA.  ―Racismo y discriminación‖ -  2.587 capacitadas.  Min. Rel. Ext. / Se desarrolló el Diplomado en </w:t>
            </w:r>
            <w:r w:rsidRPr="002924F6">
              <w:rPr>
                <w:rFonts w:ascii="Arial" w:hAnsi="Arial" w:cs="Arial"/>
                <w:sz w:val="18"/>
                <w:szCs w:val="18"/>
              </w:rPr>
              <w:lastRenderedPageBreak/>
              <w:t>Derecho Internacional dirigido al personal del Ministerio de  Relaciones Exteriores. Min. Mine. Met. /  El 01/06/2017, el 95% de los servidores públicos del MMM y sus entidades y empresas bajo tuición asistieron a la Conferencia del Viceministro de Descolonización y Despatriarcalización sobre la Ley Nº 045 en el Auditorio del Edif. Centro de Comunicaciones La Paz.</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participación de servidoras y servidores públicos</w:t>
            </w:r>
          </w:p>
        </w:tc>
        <w:tc>
          <w:tcPr>
            <w:tcW w:w="1944" w:type="dxa"/>
            <w:vMerge/>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Gobierno/ 80 personas capacitadas en DDHH entre jefes, oficiales y personal administrativo pertenecientes a DGFELCN.  Min. Educación/ Equipo de Género Generacional y Social (5 personas) capacitados. .</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enlace a nivel nacional en cuanto al personal de frontera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Merge/>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Gobierno/ 2 cursos en DDHH realizados SC-CONALTID/fuerza especial de lucha contra el narcotráfico.  Min. Educación/ Lleva adelante el programa de Unidades Educativas de Frontera, cuenta con personal exclusivo para la tarea.  Min. Rel. Ext. / En la gestión 2017 se efectuó 8 espacios de capacitación (En la Maestría en Diplomacia y Relaciones Internacionales se llevó adelante: una asignatura en Administración Publica: Vivir Bien; Procesos de descolonización del Estado Plurinacional de Bolivia; y 4 seminarios de diplomacia cultural. En el Diplomado de Derecho Internacional se desarrolló: un módulo de Derechos Humanos; y otro de Derechos de los Pueblos y descolonización), donde asistieron personas de diferentes partes del país que ingresaron a la Academia Diplomática Plurinacional.</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Promover acciones que garantizan el ejercicio pleno de derechos de las personas privadas de libertad, aplicando acciones afirmativas en favor de poblaciones vulneradas  por racismo y/o discriminación múltiple</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Tipo de actividades afirmativas que se implementan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DIRECCIÓN GENERAL DE RÉGIMEN PENITENCIA RIO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Gobierno/ Capacitación en derechos humanos sobre las reglas Mandela para servidores públicos que permitan mejor atención de la PPL. Se ha capacitado 50% del personal del régimen penitenciario por las entidades afines a la problemática penitenciaria. 576 servidores, civiles y policial.  Min. Gobierno/ Curso: Estándares internacionales de derechos humanos de tratamiento a mujeres privadas de libertad.  Para Personal de establecimientos penitenciario. La Paz – Santa Cruz.  Min. Gobierno/ Instrucción a todo el personal a nivel nacional, para que se brinde un trato con respeto a los privados de libertad, prohibiendo todo tipo de torturas y tratos crueles.  Min. Gobierno/ Instrucción a todo el personal policial a nivel nacional, para que se permita el ingreso y colaboración al Subcomité para la prevención de la tortura y otros tratos o penas crueles, inhumanos o degradantes (SPT).  Min. Gobierno/ </w:t>
            </w:r>
            <w:r w:rsidRPr="002924F6">
              <w:rPr>
                <w:rFonts w:ascii="Arial" w:hAnsi="Arial" w:cs="Arial"/>
                <w:sz w:val="18"/>
                <w:szCs w:val="18"/>
              </w:rPr>
              <w:lastRenderedPageBreak/>
              <w:t>Implementación del formulario Nº 01 a nivel Nacional, información a los privados de libertad nuevos sobre sus derechos, deberes y garantías constitucionales.  Min. Gobierno/ Información a Consulado o embajadas sobre súbditos extranjeros con detención en establecimientos penitenciarios a nivel nacional.  Min. Gobierno/ Instrucción para el ingreso de personal de la defensoría del pueblo  a los Establecimientos penitenciaros a nivel nacional.</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Construcción de agendas interinstitucionales y entre organizaciones sobre Despatriarcalización y Derechos Humanos.</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Grado de involucramiento institucional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VICEMINISTE RIO DE DESCOLONI ZACIÓN</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VICEMINISTE RIO DE IGUALDAD DE OPORTUNI DADES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Jus. Transp. Inst. /  Conforme a la Ley Nº 348, Integral para Garantizar a las Mujeres una Vida Libre de  Violencia; el 2013 se conformó el ―Consejo Sectorial e interinstitucional por una vida libre de violencia‖, instancia de coordinación interinstitucional, que opero en la gestión 2017, aprobando el ―Plan  Multisectorial para el Avance en la Despatriarcalización  y el derecho  de las mujeres a vivir bien‖, para coordinar entre los responsables de la política pública. Min. Des. Prod. Econ. Plu. /  Se elaboró el proyecto  institucionalización de la perspectiva de igualdad de género desde el enfoque de despatriarcalización en la gestión del Ministerio.  Min. Des. Rur. y T./  El Ministerio de Desarrollo Rural y Tierras, como cabeza del sector agropecuario, a través de sus programas, proyectos y entidades bajo dependencia y tuición, ha equilibrado la participación de las mujeres en actividades agropecuarias, en una relación del 46% para mujeres y 54% para varones. Min. Plan. Des. / Propuesta de programa para madres solas jefas de hogar en condición de pobreza. Se trabajó en la elaboración del diagnóstico de condiciones de pobreza de madres solas jefas de hogar en coordinación con el INE y UDAPE. Asimismo, se desarrolló una propuesta concreta para el acceso a vivienda en el marco de la política de vivienda social, con la participación de la Agencia Nacional de Vivienda; esta medida tiene como meta alcanzar a 75.000 madres jefas de hogar. (2016) Min. Plan. Des. / Desarrollo de medidas de apoyo para mujeres con embarazos múltiples. En coordinación con INE, UDAPE, Ministerio de Salud se realizó un diagnóstico y proyección del  número de mujeres con embarazo múltiple. El propósito era contribuir a la reducción de la vulnerabilidad económica y social de las familias con nacimientos múltiples a partir de medidas de apoyo en los ámbitos de vivienda, salud, educación y laboral. Actualmente el proyecto se encuentra en revisión por parte del Ministerio de Salud. Vic. Descolonización: Fortalecimiento a </w:t>
            </w:r>
            <w:r w:rsidRPr="002924F6">
              <w:rPr>
                <w:rFonts w:ascii="Arial" w:hAnsi="Arial" w:cs="Arial"/>
                <w:sz w:val="18"/>
                <w:szCs w:val="18"/>
              </w:rPr>
              <w:lastRenderedPageBreak/>
              <w:t>organizaciones de mujeres indígenas originario campesino y organización de mujeres urbanas y periurbanas, a través de cumbres  Internacionales de mujeres del Abya yala y Encuentro  Nacionales por al Despatriarcalización. Participaron 500 mujeres.</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Mecanismos de articulación interinstitucional</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Jus. Transp. Inst. /  Se gestionó la aprobación del Decreto Supremo Nº 3106, Políticas Públicas para una vida libre de violencia, de 8 de marzo de 2017. A partir de este mandato, se conformó  la comisión interinstitucional responsable de la implementación de la Política Publica Integral para una vida digna de las mujeres bolivianas conformado por los Ministerios de: de Justicia y Transparencia Institucional; Educación; Salud; Comunicación; Gobierno; Culturas y Turismo; Trabajo empleo y previsión social. Esta política pública se aprobó mediante Resolución Ministerial  Nº 002/17 Min. Des. Prod. Econ. Plu/ Jefes de unidad (género femenino) asistieron a capacitaciones y sensibilización en temas de género y lucha contra la violencia, para que ellos puedan bajar esa información a sus dependientes.  El porcentaje de participación fue 10%.</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Realización de actividades de sensibilización y capacitación para el ejercicio de la justicia Indígena Originaria Campesina</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Nivel de mejoramiento e implementación del ejercicio de la justicia indígena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VICEMINISTE RIO DE JUSTICIA INDÍGENA ORIGINARIO CAMPESINO</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Vic.  Descolonización/ Realización del Encuentro de autoridades de la Jurisdicción Indígena Originaria  Campesinos,  participaron 100 autoridades originarias.  La Paz  Vic.  Descolonización/ Curso de Derecho propio  de las Naciones y Pueblos Indígena originario campesinos, participaron 50 autoridades originarias.  Vic.  Descolonización/ Seminarios para la consolidación del ejercicio del Derecho Propio de las Naciones y pueblos Indígena  Originario campesinos, participaron 150 autoridades originarias.</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 xml:space="preserve">Fortalecimiento de mecanismos de participación de las poblaciones vulneradas por racismo y/o discriminación en la elaboración e implementación de políticas públicas en contemplación a la Ley Nº 341 de </w:t>
            </w:r>
            <w:r w:rsidRPr="002924F6">
              <w:rPr>
                <w:rFonts w:ascii="Arial" w:hAnsi="Arial" w:cs="Arial"/>
                <w:b w:val="0"/>
                <w:sz w:val="18"/>
                <w:szCs w:val="18"/>
              </w:rPr>
              <w:lastRenderedPageBreak/>
              <w:t>Participación y Control  Social.</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Numero de instituciones que cuentan con mecanismos de participación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Merge w:val="restart"/>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TODOS LOS MINISTERIOS Y ENTIDADES DESCENTRALIZAD AS  COMITÉ NACIONAL</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Jus. Transp. Inst. /  71 Entidades Públicas realizan su redición de cuentas entre las gestiones  2016 y 2017.   Min. Salud. / Ley de medicina tradicional, consolida el CONAMETRA  y CODEMETRAS en el marco de la participación y control social.  Min. Educación/ La participación social en las escuelas se da a través  de los consejos educativos sociales comunitarios.  Min. Rel. Ext./ Se cuenta con la Ley 465 del Servicio de Relaciones Exteriores la cual establece en su Artículo 6 el ejercicio del control social  ante las organizaciones sociales y ciudanía en general, ello en el marco de la Principios la Diplomacia de los Pueblos por la Vida. Min. Energía/ Se realizó la primera Audiencia de Rendición de Cuentas del Sector energético en el mes de abril de 2017, donde se formó el control social del sector. Min. Econ. Finan. Púb./ Se ha realizado </w:t>
            </w:r>
            <w:r w:rsidRPr="002924F6">
              <w:rPr>
                <w:rFonts w:ascii="Arial" w:hAnsi="Arial" w:cs="Arial"/>
                <w:sz w:val="18"/>
                <w:szCs w:val="18"/>
              </w:rPr>
              <w:lastRenderedPageBreak/>
              <w:t>rendiciones públicas de cuentas  establecidas por Ley, en el Ministerio de Economía y Finanzas públicas, ante organizaciones sociales, actores sociales y la población civil,  esto referido a lo establecido en la Ley Nº 341 de Participación y control social, sin embargo se incluirán actividades para la gestión 2018.</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y detalle de participación de las poblaciones vulneradas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Merge/>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  Las naciones y pueblos indígenas originarios participan en educación mediante los consejos educativos sociales comunitarios.  Min. Rel. Ext. / Para garantizar la participación de organizaciones sociales y ciudadanía  general en la actividad de control social, se remitieron 130 invitaciones oficiales, lo cual permitió la asistencia de 200 personas, donde se socializó logros y desafíos futuros con la población en general respecto a la política exterior boliviana.</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las políticas públicas elaboradas e implementadas con participación de población vulnerada.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Merge/>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Jus. Transp. Inst. /  El VTILCC cuenta con la Política Nacional de Transparencia y lucha contra la Corrupción, aprobado mediante D.S. Nº 214 de 22/07/2009. Min. Educación/Todas las acciones del Ministerio de Educación en el Sistema Educativo Plurinacional cuenta con la participación  social comunitaria de la población vulnerada en los distintos niveles educativos.  Min. Rel. Ext./ Se cuenta con un Reglamento de Rendición Pública de Cuentas elaborada en el marco de la Ley 341 de Participación y Control Social</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Formas de garantizar y proporcionar participación plena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Merge/>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Jus. Transp. Inst./  De acuerdo a la Ley Nº 004 y Nº 974, se institucionalizaron la Rendición de Cuentas, el Control Social, el acceso a la información, cuya implementación es obligación de todas las entidades del sector del sector público  Min. Jus. Transp. Inst. /  Se realizaron talleres sobre la Ley Nº 341, a solicitud de las organizaciones, sin discriminación alguna.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El modelo educativo socio-comunitario productivo, requiere para su implementación la participación  social plena de la comunidad. Se establecen los consejos educativos sociales comunitarios o juntas escolares.   Min. Des. Rur. Y T. /  El Ministerio de Desarrollo Rural y Tierras, una vez al año convoca a las organizaciones sociales y de productores agropecuarios, para que realicen el control social sobre los resultados alcanzados durante una determinada gestión. Min. Rel. Ext./ La manera de garantizar la participación plena de organizaciones sociales y ciudadanía  general es mediante la remisión de invitaciones oficiales</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Acción que garantiza el control social</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Jus. Transp. Inst / La Ley Nº 974 que regula el funcionamiento de las Unidades de Transparencia y Control Social en todas las entidades del sector público, tiene como uno de sus principios la imparcialidad o actuar al margen de todo prejuicio, parcialización, discriminación o distinción.   Min. Educación. /  Cada Unidad Educativa debe construir su consejo educativo social comunitario, al que se constituye en control social.  Min. Med. Amb.  Agua/  Se viene trabajando con la Dirección General de Asuntos Administrativos en la elaboración del reglamento sobre la participación y control social, para la regulación de uso de los recursos.</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Seguimiento y monitoreo a la implementación de planes que contengan temas de derechos humanos: Plan Plurinacional de Educación de Derechos Humanos, Plan de Acción de Derechos Humanos  Y Plan Plurinacional de Ética Pública 2015 -2019.</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implementación realizadas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JUSTICIA Y TRANSPA RENCIA INSTITUCION AL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MINISTERIO DE JUSTICIA </w:t>
            </w:r>
            <w:r>
              <w:rPr>
                <w:rFonts w:ascii="Arial" w:hAnsi="Arial" w:cs="Arial"/>
                <w:sz w:val="18"/>
                <w:szCs w:val="18"/>
              </w:rPr>
              <w:t>Y TRANSPA RENCIA INSTITUCION AL</w:t>
            </w: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Jus. Transp. Inst / El Multisectorial de Derechos Humanos 2016-2020 se encuentra en proceso de revisión interna, posteriormente corresponde gestionar su aprobación, conforme procedimientos establecidos en la Ley Nº 777 del Sistema de Planificación Integral del Estado.</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492"/>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Consolidación de la Red de Investigación sobre racismo y discriminación</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 de investigaciones en te</w:t>
            </w:r>
            <w:r>
              <w:rPr>
                <w:rFonts w:ascii="Arial" w:hAnsi="Arial" w:cs="Arial"/>
                <w:sz w:val="18"/>
                <w:szCs w:val="18"/>
              </w:rPr>
              <w:t>mas de racismo y discriminación</w:t>
            </w: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COMITÉ NACIONAL VICEMINISTE RIO DE DESCOLO</w:t>
            </w:r>
            <w:r>
              <w:rPr>
                <w:rFonts w:ascii="Arial" w:hAnsi="Arial" w:cs="Arial"/>
                <w:sz w:val="18"/>
                <w:szCs w:val="18"/>
              </w:rPr>
              <w:t>NIZ ACIÓN</w:t>
            </w: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CNCRD/  En la Gestión 2016 El Comité Nacional y el Observatorio de la Calidad Educativa  realizaron el concurso de investigaciones sobre escenarios de construcción de indicadores cualitativos y cuantitativos sobre racismo y discriminación en el ámbito de la educación regular.</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733"/>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Consolidación de la implementación del Sistema Plurinacional Sisa Katari</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Grado de enlace e implementación a nivel nacional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COMITÉ NACIONAL VICE</w:t>
            </w:r>
            <w:r>
              <w:rPr>
                <w:rFonts w:ascii="Arial" w:hAnsi="Arial" w:cs="Arial"/>
                <w:sz w:val="18"/>
                <w:szCs w:val="18"/>
              </w:rPr>
              <w:t>MINISTE RIO DE DESCOLONI ZACIÓN</w:t>
            </w: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CNCRD/  En la página web: www.noracismo.gob.bo  publica información referente a  las actividades desarrolladas por el Comité Nacional y la base de datos de denuncias por racismo y/o discriminación.</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 xml:space="preserve">Asignación de recursos por parte de los diversos niveles  territoriales, </w:t>
            </w:r>
            <w:r w:rsidRPr="002924F6">
              <w:rPr>
                <w:rFonts w:ascii="Arial" w:hAnsi="Arial" w:cs="Arial"/>
                <w:b w:val="0"/>
                <w:sz w:val="18"/>
                <w:szCs w:val="18"/>
              </w:rPr>
              <w:lastRenderedPageBreak/>
              <w:t>adecuados para garantizar la lucha efectiva contra el racismo y toda forma de discriminación en el marco de la Ley  Nº 045,  la CPE y el Derecho Internacional de DDHH</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Cantidad de recursos asignados a la lucha contra el racismo y la discriminación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MINISTERIO DE PLANIFICA CIÓN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MINISTERIO DE ECONOMÍA COMITÉ NACIONAL (SEGUIMI ENTO )</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 xml:space="preserve">Min. Econ. Finan. Púb./ En el marco de las competencias asignadas a esa cartera de Estado y a la Ley Nº 045, el MEFP desde la gestión 2016, incorporó en las Directrices de formulación presupuestaria, Estructuras programáticas  del nivel central del Estado, para la ejecución de políticas </w:t>
            </w:r>
            <w:r w:rsidRPr="002924F6">
              <w:rPr>
                <w:rFonts w:ascii="Arial" w:hAnsi="Arial" w:cs="Arial"/>
                <w:sz w:val="18"/>
                <w:szCs w:val="18"/>
              </w:rPr>
              <w:lastRenderedPageBreak/>
              <w:t>de defensa y protección de los derechos en razón de género, niñez, adolescencia, juventud, personas con discapacidad y adultos mayores, que contribuyen a la implementación de acciones de prevención y atención para el efecto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Fortalecimiento de Instituciones de los Gob</w:t>
            </w:r>
            <w:r>
              <w:rPr>
                <w:rFonts w:ascii="Arial" w:hAnsi="Arial" w:cs="Arial"/>
                <w:b w:val="0"/>
                <w:sz w:val="18"/>
                <w:szCs w:val="18"/>
              </w:rPr>
              <w:t xml:space="preserve">. </w:t>
            </w:r>
            <w:r w:rsidRPr="002924F6">
              <w:rPr>
                <w:rFonts w:ascii="Arial" w:hAnsi="Arial" w:cs="Arial"/>
                <w:b w:val="0"/>
                <w:sz w:val="18"/>
                <w:szCs w:val="18"/>
              </w:rPr>
              <w:t xml:space="preserve"> Departamentales y Municipales  para garantizar la protección de Niños  Niñas y Adolescentes en situación de abandono para poblaciones vulneradas por racism</w:t>
            </w:r>
            <w:r>
              <w:rPr>
                <w:rFonts w:ascii="Arial" w:hAnsi="Arial" w:cs="Arial"/>
                <w:b w:val="0"/>
                <w:sz w:val="18"/>
                <w:szCs w:val="18"/>
              </w:rPr>
              <w:t>o y o discriminación.</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 de Gobiernos Autónomos Departamentales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AUTONO MÍAS MINISTERIO DE JUSTICIA GOBIERNOS DEPARTA MENTALES Y MUNICIPA LES COMITÉ NACIONAL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Jus. Transp. Inst / Fortalece a los Gobiernos Departamentales y Municipales para garantizar la protección de Niñas, Niños  y adolescentes en situación de abandono y en situación de calle, además, se incide en el derecho a la familia.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Adecuación de los PEIs en el marco del nuevo sistema de Planificación Integral Estatal (SPIE) que incluya lineamientos  para la prevención y la lucha contra el racismo y toda forma de discriminación , conforme al pilar uno, Meta 4 de nuevo PDES.</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Numero de instituciones que adecuan sus PEIs al PDES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PLANIFICA CIÓN DEL DESARRO LLO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Plan. Des. / Se ha compatibilizado las acciones del PDES articuladas en el Plan Multisectorial Contra el Racismo y Toda Forma de Discriminación, con 10 Ministerios y/o instituciones en sus respectivos Planes Sectoriales de Desarrollo Integral  y su operación a través de los Planes Estratégicos Institucionales y Planes Operativos Anuales. Min. Plan. Des. / Se ha elaborado informes técnicos y/o de compatibilidad y concordancia de Planes Multisectoriales de Desarrollo Integral, bajo el siguiente detalle: 1) Despatriarcalización; 2) Derechos Humanos; 3) Contra el Racismo y Toda Forma de Discriminación; 4) Trata y Tráfico de Personas; 5) CT-CONAN; 6) Niño, Niña y Adolescente; 7) Personas Adultas Mayores; 8) Juventud; 9) Personas con Discapacidad.         Min. Des. Prod. Econ. Plu. /  El sistema de planificación y los informes de las entidades dependientes del MDPyEP son medios de verificación del </w:t>
            </w:r>
            <w:r w:rsidRPr="002924F6">
              <w:rPr>
                <w:rFonts w:ascii="Arial" w:hAnsi="Arial" w:cs="Arial"/>
                <w:sz w:val="18"/>
                <w:szCs w:val="18"/>
              </w:rPr>
              <w:lastRenderedPageBreak/>
              <w:t>trabajo que se realizó en la lucha contra el racismo y toda forma de discriminación. Se ha trabajado principalmente en la equidad de género siendo la mujer el grupo más vulnerado.</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Asignación mínima del 5% de presupuesto por parte del programa de vivienda social en favor de poblaciones vulneradas por racismo y/o discriminación y adecuación a la Ley Nº 045 de sus mecanismos de acceso en consenso de las mismas.</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anual asignado</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OBRAS PÚBLICAS, SERVICIOS Y VIVIENDAS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Obras Púb. Serv. Viv. / Porcentaje anual asignado para personas con discapacidad: 4%</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Mecanismos de acceso mejorados</w:t>
            </w: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Obras Púb. Serv. Viv./  2.054 viviendas concluidas para personas con discapacidad</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Adecuación de la ASFI a la Ley Nº 045 para garantizar el acceso de poblaciones vulneradas por racismo y/o discriminación a créditos de vivienda.</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Mecanismo o normativa de adecuación</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ASFI</w:t>
            </w: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Econ. Finan. Púb./  En la gestión 2017, no se emitió  nueva normativa, sin embargo de acuerdo a lo dispuesto en el artículo 89 de la Ley Nº 393 de Servicios Financieros (LSF), las prácticas discriminatorias están prohibidas en todos los actos y contratos que las entidades del sistema financiero ejerzan. El único factor de selección para acceder a un crédito de  vivienda es la capacidad económica requerida para el pago del crédito. De esta manera específica, el reglamento para la evaluación y calificación de esta cartera  de esta cartera de créditos en el inciso 4), articulo 1, Sección 1, dispone que para la concesión  de créditos, las entidades de intermediación  financiera  deben evitar cualquier tipo de discriminación</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 xml:space="preserve">Crear y desarrollar proyectos socio productivo que generen empleo para poblaciones vulneradas, en </w:t>
            </w:r>
            <w:r w:rsidRPr="002924F6">
              <w:rPr>
                <w:rFonts w:ascii="Arial" w:hAnsi="Arial" w:cs="Arial"/>
                <w:b w:val="0"/>
                <w:sz w:val="18"/>
                <w:szCs w:val="18"/>
              </w:rPr>
              <w:lastRenderedPageBreak/>
              <w:t>coordinación con los diferentes niveles territoriales.</w:t>
            </w:r>
          </w:p>
          <w:p w:rsidR="00913507" w:rsidRPr="002924F6" w:rsidRDefault="00913507" w:rsidP="00913507">
            <w:pPr>
              <w:contextualSpacing/>
              <w:jc w:val="center"/>
              <w:rPr>
                <w:rFonts w:ascii="Arial" w:hAnsi="Arial" w:cs="Arial"/>
                <w:b w:val="0"/>
                <w:sz w:val="18"/>
                <w:szCs w:val="18"/>
              </w:rPr>
            </w:pP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Porcentaje de empleos generados por proyectos socio productivos para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poblaciones vulneradas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MINISTERIO DE TRABAJO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ASFI</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Trab. Empl. Prev. Soc. /  El programa de Apoyo al Empleo PAE ―septiembre 2012 – abril 2017‖, es un instrumento para contribuir en la inserción Laboral para personas sin estudios, primaria, secundaria, técnicos y profesionales mayores de 18 años que se encuentran en situación de desempleo. El programa dio un apoyo a la capacitación de tres meses a los beneficiarios (as) y un seguro contra accidentes en el </w:t>
            </w:r>
            <w:r w:rsidRPr="002924F6">
              <w:rPr>
                <w:rFonts w:ascii="Arial" w:hAnsi="Arial" w:cs="Arial"/>
                <w:sz w:val="18"/>
                <w:szCs w:val="18"/>
              </w:rPr>
              <w:lastRenderedPageBreak/>
              <w:t>puesto de trabajo.  El 5 de diciembre de 2017 se lanzó el programa de Empleo II (PAE), que otorgará durante tres meses un estipendio mensual, a personas mayores de 18 años.  . Por otra parte en la gestión de 2017 se ha generado lineamientos estratégicos para la reinserción laboral de víctimas de trata y tráfico e inserción laboral para personas con discapacidad.  Min. Des. Prod. Econ. Plu. /  Elaboración de proyectos con enfoque de género: apertura a mercados para mujeres, mercados artesanales (VMPE) y Parque Industrial de Oruro (VPIMGE), estos proyectos contiene un análisis normativo nacional e internacional  sobre equidad y producción.  Min. Defensa /  Realización de Ferias productivas con la participación de todas las adiciones de las personas con discapacidad.</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 de personas empleadas por los proyectos socio-productivos</w:t>
            </w: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Trab. Empl. Prev. Soc. /  Se insertó a trabajadores pertenecientes a grupos vulnerable, como personas con discapacidad, ex privados de libertad, víctimas de trata y tráfico, padres de niños trabajadores.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Estudio e inspección sobre la discriminación laboral en las remuneraciones salariales de poblaciones vulneradas por racismo y/o discriminación</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 de inspecciones laborales realizadas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TRABAJO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Trab. Empl. Prev. Soc. /  En la gestión 2017 se realizó a nivel nacional 1.769 inspecciones laborales, se aplicaron  multas a los empleadores que infringen normas laborales, sentando un precedente  respecto de la protección de trabajadores  Min. Plan. Des. /  Propuesta de programa para trabajadores de la construcción en condición de pobreza. Se apoyó al Ministerio de Trabajo, Empleo y Previsión Social en la elaboración de la propuesta de seguro social de corto plazo para los trabajadores de la construcción en coordinación con el Ministerio de Salud y el Ministerio de Economía y Finanzas Públicas en el marco del convenio 167 sobre Seguridad y Salud en la Construcción de la OIT. Actualmente, la propuesta se encuentra en revisión por parte del Ministerio de Trabajo.</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Seguimiento permanente a la implementación del Decreto Supremo 29608 sobre la obligación de contrato preferente.</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Numero de instituciones que cumplen con la disposición normativa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TRABAJO</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COMITÉ NACIONAL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Trab. Empl. Prev. Soc. /  De acuerdo a la Ley  Nº 977 viene cumpliendo con la inserción laboral conforme lo prevé el art. 2 de la normativa, el cual asciende al 5% de personal con discapacidad, madre o padre, conyugue, tutora o tutor que se encuentre a cargo de una o más personas con discapacidad menores de 18 años o con capacidad grave o muy grave.   Min. Trab. Empl. Prev. Soc./  El Ministerio de Trabajo viene  cumpliendo con el Decreto Supremo 29608, muestra clara es el Programa de  Empleo II (PAE), en la que establece que las personas con </w:t>
            </w:r>
            <w:r w:rsidRPr="002924F6">
              <w:rPr>
                <w:rFonts w:ascii="Arial" w:hAnsi="Arial" w:cs="Arial"/>
                <w:sz w:val="18"/>
                <w:szCs w:val="18"/>
              </w:rPr>
              <w:lastRenderedPageBreak/>
              <w:t>discapacidad mayor de 18 años, tendrán estipendio por seis meses de tal modo que tienen un mayor tiempo de capacitación para ser insertado a una fuente laboral.  Min. Med. Amb. Agua/  En el MMAyA trabajan un total de 11 personas con discapacidad físico y sensorial, cumpliendo de esta manera con el 4%  dentro del marco de la Ley N°977 de Inserción y ayuda económica para personas con discapacidad.  El MMAYA cuenta con un reglamento,  aprobado en fecha 26 de abril de 2017,  sobre el  trato preferente para el Adulto Mayor, aprobado el 26 de abril de 2017 Min. Econ. Finan. Púb. / El Ministerio de Economía cuenta con 14 entidades bajo tuición y/o dependencia, de las cuales 9 cuentan con la participación de población vulnerada, las restantes 5 entidades, están en procesos y trámites para la incorporación.  El MEFP,  cuenta con 25 servidores públicos con discapacidad y tutoría que representa el 3.59% de 696 servidores públicos activos en la planilla del mes de septiembre de 2017.  Min. Salud/ La Unidad de discapacidad, rehabilitación y habilitación Bio - Psicosocial del Ministerio de Salud. Tiene el registro de personas calificadas. Min. Energía/ Participación de servidores públicos con capacidades diferentes en el MEN (3 servidores públicos de planta)</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población beneficiada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Plan. Des. /  Apoyo al desarrollo de medidas de apoyo para personas con discapacidad. En relación al punto 4 del Acuerdo firmado con el CONALPEDIS, el Ministerio de Planificación del Desarrollo en coordinación con el Ministerio de Salud, Ministerio de Justicia, INE y UDAPE realizó un diagnóstico situacional de las personas con discapacidad grave y muy grave con el propósito de que posteriormente se realice un estudio casuístico que determine otras medidas de asistencia individual y a la formulación de políticas integrales. Sobre la base de este diagnóstico inicial se elaboró la propuesta de entrega de un paquete alimentario, para beneficiar a más de 22 mil personas con discapacidad que no cuentan con seguro. El gabinete ministerial revisó el documento y se ajustó la propuesta que se consolida en la promulgación de la Ley de Inserción Laboral y Ayuda Económica Nº 977 que tiene el objetivo beneficiar a personas con discapacidad grave y muy grave del país con fuentes laborales o pago de un bono mensual de Bs 250.</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 xml:space="preserve">Intensificación de la verificación en la adecuación de </w:t>
            </w:r>
            <w:r w:rsidRPr="002924F6">
              <w:rPr>
                <w:rFonts w:ascii="Arial" w:hAnsi="Arial" w:cs="Arial"/>
                <w:b w:val="0"/>
                <w:sz w:val="18"/>
                <w:szCs w:val="18"/>
              </w:rPr>
              <w:lastRenderedPageBreak/>
              <w:t>reglamentos internos y de personal en instituciones públicas y privadas</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Numero de reglamentos adecuados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lastRenderedPageBreak/>
              <w:t>COMITÉ NACIONAL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VICEMINISTE RIO DE DESCOLONI ZACIÓN</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 xml:space="preserve">CNCRD/ 10.000 Unidades Educativas  Hahn remitido su reglamento al Comité Nacional  adecuados a la  Ley Nº 045  CNCRD/ 1.413 empresas </w:t>
            </w:r>
            <w:r w:rsidRPr="002924F6">
              <w:rPr>
                <w:rFonts w:ascii="Arial" w:hAnsi="Arial" w:cs="Arial"/>
                <w:sz w:val="18"/>
                <w:szCs w:val="18"/>
              </w:rPr>
              <w:lastRenderedPageBreak/>
              <w:t>públicas y privadas han remitido su reglamento al Comité Nacional adecuados a la Ley Nº 045</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Fortalecimiento y Consolidación del Comité Nacional y Comités Departamentales contra el racismo y toda forma de discriminación</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Comités fortalecidos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Pr>
                <w:rFonts w:ascii="Arial" w:hAnsi="Arial" w:cs="Arial"/>
                <w:sz w:val="18"/>
                <w:szCs w:val="18"/>
              </w:rPr>
              <w:t>COMITÉ NACIONAL</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AUTONO MÍAS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ECONOMÍA Y  FINANZAS PUBLICAS VICEMINISTE RIO DE DESCOLONI ZACIÓN</w:t>
            </w: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CNCRD/ El Comité Nacional contra el Racismo y toda forma de Discriminación, en lo institucional ha consolidado la organización y funcionamiento de 8 Comités Departamentales contra el Racismo y toda forma de Discriminación, el funcionamiento de las oficinas y el personal designado para el desarrollo de actividades está bajo tuición de los Gobiernos Autónomos Departamentales. CNCRD/ El Comité Nacional ha emitido informe sobre  incremento de presupuesto  al Ministerio de Economía y Finanzas Públicas,  para el fortalecimiento del Comité Nacional, el cual está en proceso de revisión</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Elaboración del proyecto de reglamento a la Ley Nº 243 (Contra el Acoso y la Violencia Política hacia las mujeres) en coordinación con el Comité Nacional.</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Avances desarrollados en coordinación con el Comité Nacional para la aprobación del Reglamento</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JUSTICIA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VICEMINISTE RIO DE IGUALDAD DE OPORTUNID ADES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Jus. Transp. Inst / Se cuenta con el Decreto Supremo Nº 2935, de 5 de octubre de 2016, reglamento a la Ley Nº 243 – Violencia Política contra las mujeres, aprobado y en vigencia.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Inclusión de datos desagregados por pertenecía a NPIOC y por poblaciones vulneradas por racismo y/o discriminación  en metodologías de evaluación específica.</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Numero de metodologías de evaluación que contemplan datos desagregados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OBRAS PÚBLICAS Y VIVIENDA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Obras Púb. Serv. Viv. / Se tiene  2 instrumentos de evaluación social ajustados que incluyen información desagregada: para vivienda nueva y para vivienda cualitativa. Los instrumentos fueron remitidos para evaluación a todas las direcciones departamentales.</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Merge w:val="restart"/>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 xml:space="preserve">Garantizar que los planes curriculares, textos educativos y </w:t>
            </w:r>
            <w:r w:rsidRPr="002924F6">
              <w:rPr>
                <w:rFonts w:ascii="Arial" w:hAnsi="Arial" w:cs="Arial"/>
                <w:b w:val="0"/>
                <w:sz w:val="18"/>
                <w:szCs w:val="18"/>
              </w:rPr>
              <w:lastRenderedPageBreak/>
              <w:t>material didáctico no tengan estereotipos racistas ni discriminatorios.</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Procedimientos de revisión efectuados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Merge w:val="restart"/>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EDUCACIÓN</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 Los planes curriculares, fueron elaborados y revisados por esta cartera de Estado. Por tanto no contienen estereotipos racistas.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Merge/>
            <w:vAlign w:val="center"/>
          </w:tcPr>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planes curriculares, textos educativos y material didáctico que no contienen estereotipos</w:t>
            </w:r>
          </w:p>
        </w:tc>
        <w:tc>
          <w:tcPr>
            <w:tcW w:w="1944" w:type="dxa"/>
            <w:vMerge/>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 La currícula base del  Sistema Educativo Plurinacional no tiene estereotipos racistas y se ha instruido que los textos y material didáctico sea acorde al modelo educativo socio-comunitario  productivo.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Monitoreo y evaluación de la implementación del acceso a la educación inclusiva para  poblaciones vulneradas por racismo y/o discriminación.</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inclusión con datos desagregado por población vulnerada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EDUCACIÓN  OBSERVATO RIO PLURINACIO NAL DE LA CALIDAD EDUCATIVA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 De los 23.728 personas a nivel nacional que forman parte de la Educación Especial el 2016 se logró incrementar el 18% y el 2017 el 3%. Obser. Pluri. Calid. Educ./  En la Gestión 2018  el Observatorio de la Calidad Educativa  implanta la  Encuesta sobre bullying en Unidades Educativas del nivel secundario en los 9  Departamentos  de Bolivia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Ampl. de la modalidad “B” de ingreso directo a las Escuelas de Formación de Maestros para todas las pobl. vulneradas por racismo y/o discriminación.</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Mecanismo de acceso que eliminan actitudes y practicas racistas y/o discriminatorias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EDUCACIÓN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 La Dirección General de Formación de Maestros aplica la modalidad ―B‖ en general para el ingreso a las Escuelas Superiores de Formación de Maestros. Por otro lado, la Dirección General de educación especial, promueve de manera permanente la educación inclusiva  de personas con capacidades especiales.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Elaboración de Spots y materiales de sensibilización  para su difusión en cumplimiento al Decreto Supremo Nº 762</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Numero de spots y materiales elaborados y difundidos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COMITÉ NACIONAL VICEMINISTE RIO DE DESCOLONI ZACIÓN</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CNCRD/ En la gestión 2016  se trabajó en la elaboración spots contra el racismo y toda forma de discriminación, donde participaron las poblaciones vulneradas por racismo y discriminación, este material fue derivado a medios de comunicación para su difusión en cumplimiento de La Ley Nº 045 y D.S. 762</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 xml:space="preserve">Campañas en medios de comunicación de sensibilización y educación sobre el Pueblo Afroboliviano, en el marco del </w:t>
            </w:r>
            <w:r w:rsidRPr="002924F6">
              <w:rPr>
                <w:rFonts w:ascii="Arial" w:hAnsi="Arial" w:cs="Arial"/>
                <w:b w:val="0"/>
                <w:sz w:val="18"/>
                <w:szCs w:val="18"/>
              </w:rPr>
              <w:lastRenderedPageBreak/>
              <w:t>Decenio Internacional  y contra la Xenofobia.</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 de campañas realizadas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COMUNICACIÓN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CULTURAS Y TURISMO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COMITÉ NACIONAL MINISTERIO DE EDUCACIÓN</w:t>
            </w: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lastRenderedPageBreak/>
              <w:t>CNCRD/  Se ha realizado la  impresión de 1000 ejemplares del  Plan de Trabajo – Decenio Internacional de los Afrodescendientes para la socialización a instituciones del Estado.  CNCRD/  En el marco del decenio del Pueblo Afroboliviano se envió al Ministerio  de Comunicación material audiovisual sobre  festival del pueblo afroboliviano para ser difundido por el canal estatal.</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Desarrollar una propuesta legislativa para tipificar los crímenes de odio por orientación sexual  e identidad de género en el Código Penal.</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Avances hechos para la elaboración de la propuesta</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JUSTICIA COMISIONES DE DDHH DEL ÓRGANO LEGISLA TIVO C</w:t>
            </w:r>
            <w:r>
              <w:rPr>
                <w:rFonts w:ascii="Arial" w:hAnsi="Arial" w:cs="Arial"/>
                <w:sz w:val="18"/>
                <w:szCs w:val="18"/>
              </w:rPr>
              <w:t>OMITÉ NACIONAL</w:t>
            </w: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Jus. Transp. Inst. / Se cuenta con una propuesta normativa para la Ejecución Penal, que incorpora delitos respectivos.  Por otro lado el nuevo código penal incluye en su artículo 84 la tipificación de delitos: homicidio agravado, asesinato, por motivos de placer, odio, motivos racistas, identidad de género, orientación sexual o similar de origen discriminatorio. Asimismo, establece las penas y las condi</w:t>
            </w:r>
            <w:r>
              <w:rPr>
                <w:rFonts w:ascii="Arial" w:hAnsi="Arial" w:cs="Arial"/>
                <w:sz w:val="18"/>
                <w:szCs w:val="18"/>
              </w:rPr>
              <w:t>ciones de reparación económica.</w:t>
            </w: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Recopilar y sistematizar información sobre las formas de violencia  y crímenes de odio por orientación sexual e identidad de género.</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Avances hechos para la recopilación y sistematización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JUSTICIA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EDUCACIÓN</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OBSERVATORIO PLURINACIO NAL DE LA CALIDAD EDUCATIVA</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COMITÉ NACIONAL</w:t>
            </w: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 Jus. Transp. Inst. / Se cuenta con una plataforma informática que copiara y consolidara información sobre denuncias de violencia por orientación sexual e identidad de género.  Min. Educación/ Se ha realizado el Protocolo de la Violencia para estudiantes de las Unidades Educativas del sistema educativo regular.</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Desarrollar  programas educativos de sensibilización sobre respeto a los DDHH de poblaciones vulneradas.</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Número de programas educativos implementados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EDUCACIÓN</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CEUB</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Educación/ Se ha trabajo con temáticas de diversidad  sexual, y de género y familias diversas en el Sistema Educativo Plurinacional.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0"/>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Garantizar el acceso al trabajo digno de personas pertenecientes a poblaciones vulneradas por racismo y discriminación, respetando las diversidades sexuales</w:t>
            </w: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acceso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TRABAJO</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 xml:space="preserve">Min. Trab. Empl. Prev. Soc. /  El Ministerio del Trabajo va cumpliendo con lo que establece la Ley Nº 223 Ley General de personas con discapacidad, en su artículo 34 y numerales I, II, III y IV., uno de los antecedentes  claros es el Programa al Empleo I y el programa al empleo II </w:t>
            </w:r>
            <w:r>
              <w:rPr>
                <w:rFonts w:ascii="Arial" w:hAnsi="Arial" w:cs="Arial"/>
                <w:sz w:val="18"/>
                <w:szCs w:val="18"/>
              </w:rPr>
              <w:t xml:space="preserve">- </w:t>
            </w:r>
            <w:r w:rsidRPr="002924F6">
              <w:rPr>
                <w:rFonts w:ascii="Arial" w:hAnsi="Arial" w:cs="Arial"/>
                <w:sz w:val="18"/>
                <w:szCs w:val="18"/>
              </w:rPr>
              <w:t xml:space="preserve">Min. Plan. Des./  Plan Generación de Empleo a través de la implementación de dos programas en coordinación con el Ministerio de Trabajo, Empleo y Previsión Social con el objetivo de promover y generar oportunidades de acceso al empleo digno con especial atención en jóvenes y grupos vulnerables. Este Plan constituye un conjunto de programas que ayudan a reducir el desempleo a través de incentivos a instituciones que impulsen la inserción laboral de las y los bolivianos con </w:t>
            </w:r>
            <w:r w:rsidRPr="002924F6">
              <w:rPr>
                <w:rFonts w:ascii="Arial" w:hAnsi="Arial" w:cs="Arial"/>
                <w:sz w:val="18"/>
                <w:szCs w:val="18"/>
              </w:rPr>
              <w:lastRenderedPageBreak/>
              <w:t>especial atención en jóvenes y grupos vulnerables. Además contiene los programas de Inserción Laboral, Fondo para Capital Semilla, Programa de Infraestructura Urbana, Protección y Habilitación de Áreas Productivas, Incentivo a la Generación de Empleo en las contrataciones públicas.</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1149"/>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lastRenderedPageBreak/>
              <w:t>Elaboración del Plan Plurinacional de Revalorización y recuperación de valores y prácticas culturales e identificación de sitios o lugares  sagrados</w:t>
            </w: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Avances desarrollados para la aprobación del Plan Multisectorial</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Pr>
                <w:rFonts w:ascii="Arial" w:hAnsi="Arial" w:cs="Arial"/>
                <w:sz w:val="18"/>
                <w:szCs w:val="18"/>
              </w:rPr>
              <w:t>MIN</w:t>
            </w:r>
            <w:r w:rsidRPr="002924F6">
              <w:rPr>
                <w:rFonts w:ascii="Arial" w:hAnsi="Arial" w:cs="Arial"/>
                <w:sz w:val="18"/>
                <w:szCs w:val="18"/>
              </w:rPr>
              <w:t xml:space="preserve"> DE</w:t>
            </w:r>
            <w:r>
              <w:rPr>
                <w:rFonts w:ascii="Arial" w:hAnsi="Arial" w:cs="Arial"/>
                <w:sz w:val="18"/>
                <w:szCs w:val="18"/>
              </w:rPr>
              <w:t xml:space="preserve"> CULTURAS Y TURISMO VICEMINISTE</w:t>
            </w:r>
            <w:r w:rsidRPr="002924F6">
              <w:rPr>
                <w:rFonts w:ascii="Arial" w:hAnsi="Arial" w:cs="Arial"/>
                <w:sz w:val="18"/>
                <w:szCs w:val="18"/>
              </w:rPr>
              <w:t xml:space="preserve">RIO </w:t>
            </w:r>
            <w:r>
              <w:rPr>
                <w:rFonts w:ascii="Arial" w:hAnsi="Arial" w:cs="Arial"/>
                <w:sz w:val="18"/>
                <w:szCs w:val="18"/>
              </w:rPr>
              <w:t>DE DESCOLONIZ ACIÓN VICEMINISTE</w:t>
            </w:r>
            <w:r w:rsidRPr="002924F6">
              <w:rPr>
                <w:rFonts w:ascii="Arial" w:hAnsi="Arial" w:cs="Arial"/>
                <w:sz w:val="18"/>
                <w:szCs w:val="18"/>
              </w:rPr>
              <w:t>RIO DE INTERCULTU RALIDAD</w:t>
            </w: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Vic. Descolonización/ Está en proceso de Elaboración del Plan Plurinacional de Revalorización y recuperación de valores y prácticas culturales e identificación de sitios o lugares  sagrados de las NPIOC. Para ello se ha desarrollado 3 talleres con amautas, yatiris y sabios en el Departamento de La Paz y Cochabamba, participaron 150.</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r w:rsidR="00913507" w:rsidRPr="002924F6" w:rsidTr="00913507">
        <w:trPr>
          <w:trHeight w:val="857"/>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Institucionalización de la celebración del año Nuevo Andino Amazónico del 21 de junio en contemplación a D.S.  Nº 173</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involucramiento institucional</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p>
        </w:tc>
        <w:tc>
          <w:tcPr>
            <w:tcW w:w="1944"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TODOS LOS MINISTERIOS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ENTIDADES TERRITORIA LES AUTÓNOMAS</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VICEMINI</w:t>
            </w:r>
            <w:r>
              <w:rPr>
                <w:rFonts w:ascii="Arial" w:hAnsi="Arial" w:cs="Arial"/>
                <w:sz w:val="18"/>
                <w:szCs w:val="18"/>
              </w:rPr>
              <w:t>. DE DESCOLONIZACIÓ</w:t>
            </w:r>
          </w:p>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COMITÉ NACIONAL</w:t>
            </w:r>
          </w:p>
        </w:tc>
        <w:tc>
          <w:tcPr>
            <w:tcW w:w="6095" w:type="dxa"/>
            <w:vAlign w:val="center"/>
          </w:tcPr>
          <w:p w:rsidR="00913507" w:rsidRPr="002924F6" w:rsidRDefault="00913507" w:rsidP="00913507">
            <w:pPr>
              <w:contextualSpacing/>
              <w:jc w:val="center"/>
              <w:cnfStyle w:val="000000000000" w:firstRow="0" w:lastRow="0" w:firstColumn="0" w:lastColumn="0" w:oddVBand="0" w:evenVBand="0" w:oddHBand="0" w:evenHBand="0" w:firstRowFirstColumn="0" w:firstRowLastColumn="0" w:lastRowFirstColumn="0" w:lastRowLastColumn="0"/>
              <w:rPr>
                <w:rFonts w:ascii="Arial" w:hAnsi="Arial" w:cs="Arial"/>
                <w:sz w:val="18"/>
                <w:szCs w:val="18"/>
              </w:rPr>
            </w:pPr>
            <w:r w:rsidRPr="002924F6">
              <w:rPr>
                <w:rFonts w:ascii="Arial" w:hAnsi="Arial" w:cs="Arial"/>
                <w:sz w:val="18"/>
                <w:szCs w:val="18"/>
              </w:rPr>
              <w:t>Vic. Descolonización/ En la Gestión 2016 se ha realizado en 207 lugares sagrados la celebración del año Nuevo Andino Amazónico del 21 de junio en contemplación a D.S.  Nº 173 Vic. Descolonización/ En la gestión  2017,  participaron  19 Ministerios del Órgano Ejecutivo Participaron en la celebración del año Nuevo Andino Amazónico del 21 de junio en contemplación a D.S.  Nº 173. En la gestión 2018 participaron 28 Instituciones del Órgano Central en la celebración del año Nuevo Andino Amazónico.</w:t>
            </w:r>
          </w:p>
        </w:tc>
      </w:tr>
      <w:tr w:rsidR="00913507" w:rsidRPr="002924F6" w:rsidTr="00913507">
        <w:trPr>
          <w:cnfStyle w:val="000000100000" w:firstRow="0" w:lastRow="0" w:firstColumn="0" w:lastColumn="0" w:oddVBand="0" w:evenVBand="0" w:oddHBand="1" w:evenHBand="0" w:firstRowFirstColumn="0" w:firstRowLastColumn="0" w:lastRowFirstColumn="0" w:lastRowLastColumn="0"/>
          <w:trHeight w:val="1567"/>
        </w:trPr>
        <w:tc>
          <w:tcPr>
            <w:cnfStyle w:val="001000000000" w:firstRow="0" w:lastRow="0" w:firstColumn="1" w:lastColumn="0" w:oddVBand="0" w:evenVBand="0" w:oddHBand="0" w:evenHBand="0" w:firstRowFirstColumn="0" w:firstRowLastColumn="0" w:lastRowFirstColumn="0" w:lastRowLastColumn="0"/>
            <w:tcW w:w="2017" w:type="dxa"/>
            <w:vAlign w:val="center"/>
          </w:tcPr>
          <w:p w:rsidR="00913507" w:rsidRPr="002924F6" w:rsidRDefault="00913507" w:rsidP="00913507">
            <w:pPr>
              <w:contextualSpacing/>
              <w:jc w:val="center"/>
              <w:rPr>
                <w:rFonts w:ascii="Arial" w:hAnsi="Arial" w:cs="Arial"/>
                <w:b w:val="0"/>
                <w:sz w:val="18"/>
                <w:szCs w:val="18"/>
              </w:rPr>
            </w:pPr>
            <w:r w:rsidRPr="002924F6">
              <w:rPr>
                <w:rFonts w:ascii="Arial" w:hAnsi="Arial" w:cs="Arial"/>
                <w:b w:val="0"/>
                <w:sz w:val="18"/>
                <w:szCs w:val="18"/>
              </w:rPr>
              <w:t>Garantizar el acceso a tierras para poblaciones  vulneradas por racismo y/o discriminación.</w:t>
            </w:r>
          </w:p>
          <w:p w:rsidR="00913507" w:rsidRPr="002924F6" w:rsidRDefault="00913507" w:rsidP="00913507">
            <w:pPr>
              <w:contextualSpacing/>
              <w:jc w:val="center"/>
              <w:rPr>
                <w:rFonts w:ascii="Arial" w:hAnsi="Arial" w:cs="Arial"/>
                <w:b w:val="0"/>
                <w:sz w:val="18"/>
                <w:szCs w:val="18"/>
              </w:rPr>
            </w:pPr>
          </w:p>
        </w:tc>
        <w:tc>
          <w:tcPr>
            <w:tcW w:w="1959"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Porcentaje de cobertura en favor de poblaciones vulneradas por racismo y/o  discriminación (datos desagregados)</w:t>
            </w:r>
          </w:p>
        </w:tc>
        <w:tc>
          <w:tcPr>
            <w:tcW w:w="1944"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MINISTERIO DE DESARRO LLO RURAL Y TIERRAS</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c>
          <w:tcPr>
            <w:tcW w:w="6095" w:type="dxa"/>
            <w:vAlign w:val="center"/>
          </w:tcPr>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r w:rsidRPr="002924F6">
              <w:rPr>
                <w:rFonts w:ascii="Arial" w:hAnsi="Arial" w:cs="Arial"/>
                <w:sz w:val="18"/>
                <w:szCs w:val="18"/>
              </w:rPr>
              <w:t>Min. Des. Rur. Y T. /  Se ha logrado equilibrar el saneamiento y titulación de tierras beneficiando en casi la mitad a hombres y mujeres (53% para hombres, 46% para mujeres y personas jurídicas o entidades 1%)</w:t>
            </w:r>
          </w:p>
          <w:p w:rsidR="00913507" w:rsidRPr="002924F6" w:rsidRDefault="00913507" w:rsidP="00913507">
            <w:pPr>
              <w:contextualSpacing/>
              <w:jc w:val="center"/>
              <w:cnfStyle w:val="000000100000" w:firstRow="0" w:lastRow="0" w:firstColumn="0" w:lastColumn="0" w:oddVBand="0" w:evenVBand="0" w:oddHBand="1" w:evenHBand="0" w:firstRowFirstColumn="0" w:firstRowLastColumn="0" w:lastRowFirstColumn="0" w:lastRowLastColumn="0"/>
              <w:rPr>
                <w:rFonts w:ascii="Arial" w:hAnsi="Arial" w:cs="Arial"/>
                <w:sz w:val="18"/>
                <w:szCs w:val="18"/>
              </w:rPr>
            </w:pPr>
          </w:p>
        </w:tc>
      </w:tr>
    </w:tbl>
    <w:p w:rsidR="00234A71" w:rsidRDefault="00234A71" w:rsidP="00913507">
      <w:pPr>
        <w:jc w:val="center"/>
      </w:pPr>
    </w:p>
    <w:p w:rsidR="00913507" w:rsidRDefault="00913507"/>
    <w:sectPr w:rsidR="00913507" w:rsidSect="00913507">
      <w:pgSz w:w="15840" w:h="12240" w:orient="landscape"/>
      <w:pgMar w:top="1701" w:right="1417" w:bottom="1701"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5760D" w:rsidRDefault="0045760D" w:rsidP="00913507">
      <w:pPr>
        <w:spacing w:after="0" w:line="240" w:lineRule="auto"/>
      </w:pPr>
      <w:r>
        <w:separator/>
      </w:r>
    </w:p>
  </w:endnote>
  <w:endnote w:type="continuationSeparator" w:id="0">
    <w:p w:rsidR="0045760D" w:rsidRDefault="0045760D" w:rsidP="0091350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altName w:val="Calibri"/>
    <w:panose1 w:val="020F0502020204030204"/>
    <w:charset w:val="00"/>
    <w:family w:val="swiss"/>
    <w:pitch w:val="variable"/>
    <w:sig w:usb0="E00002FF" w:usb1="4000ACFF" w:usb2="00000001" w:usb3="00000000" w:csb0="0000019F" w:csb1="00000000"/>
  </w:font>
  <w:font w:name="Times New Roman">
    <w:altName w:val="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5760D" w:rsidRDefault="0045760D" w:rsidP="00913507">
      <w:pPr>
        <w:spacing w:after="0" w:line="240" w:lineRule="auto"/>
      </w:pPr>
      <w:r>
        <w:separator/>
      </w:r>
    </w:p>
  </w:footnote>
  <w:footnote w:type="continuationSeparator" w:id="0">
    <w:p w:rsidR="0045760D" w:rsidRDefault="0045760D" w:rsidP="00913507">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3507"/>
    <w:rsid w:val="00234A71"/>
    <w:rsid w:val="0045760D"/>
    <w:rsid w:val="00913507"/>
  </w:rsids>
  <m:mathPr>
    <m:mathFont m:val="Cambria Math"/>
    <m:brkBin m:val="before"/>
    <m:brkBinSub m:val="--"/>
    <m:smallFrac m:val="0"/>
    <m:dispDef/>
    <m:lMargin m:val="0"/>
    <m:rMargin m:val="0"/>
    <m:defJc m:val="centerGroup"/>
    <m:wrapIndent m:val="1440"/>
    <m:intLim m:val="subSup"/>
    <m:naryLim m:val="undOvr"/>
  </m:mathPr>
  <w:themeFontLang w:val="es-B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8E017EE-FB10-4A24-84DB-F8AE8F6089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B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13507"/>
    <w:pPr>
      <w:spacing w:after="200" w:line="276" w:lineRule="auto"/>
    </w:pPr>
    <w:rPr>
      <w:lang w:val="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Sombreadoclaro">
    <w:name w:val="Light Shading"/>
    <w:basedOn w:val="Tablanormal"/>
    <w:uiPriority w:val="60"/>
    <w:rsid w:val="00913507"/>
    <w:pPr>
      <w:spacing w:after="0" w:line="240" w:lineRule="auto"/>
    </w:pPr>
    <w:rPr>
      <w:color w:val="000000" w:themeColor="text1" w:themeShade="BF"/>
      <w:lang w:val="es-ES"/>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paragraph" w:styleId="Textonotaalfinal">
    <w:name w:val="endnote text"/>
    <w:basedOn w:val="Normal"/>
    <w:link w:val="TextonotaalfinalCar"/>
    <w:uiPriority w:val="99"/>
    <w:semiHidden/>
    <w:unhideWhenUsed/>
    <w:rsid w:val="00913507"/>
    <w:pPr>
      <w:spacing w:after="0" w:line="240" w:lineRule="auto"/>
    </w:pPr>
    <w:rPr>
      <w:sz w:val="20"/>
      <w:szCs w:val="20"/>
    </w:rPr>
  </w:style>
  <w:style w:type="character" w:customStyle="1" w:styleId="TextonotaalfinalCar">
    <w:name w:val="Texto nota al final Car"/>
    <w:basedOn w:val="Fuentedeprrafopredeter"/>
    <w:link w:val="Textonotaalfinal"/>
    <w:uiPriority w:val="99"/>
    <w:semiHidden/>
    <w:rsid w:val="00913507"/>
    <w:rPr>
      <w:sz w:val="20"/>
      <w:szCs w:val="20"/>
      <w:lang w:val="es-ES"/>
    </w:rPr>
  </w:style>
  <w:style w:type="character" w:styleId="Refdenotaalfinal">
    <w:name w:val="endnote reference"/>
    <w:basedOn w:val="Fuentedeprrafopredeter"/>
    <w:uiPriority w:val="99"/>
    <w:semiHidden/>
    <w:unhideWhenUsed/>
    <w:rsid w:val="00913507"/>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AD8127-F9D9-40FB-9F8F-52333504E99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22</Pages>
  <Words>9038</Words>
  <Characters>48539</Characters>
  <Application>Microsoft Office Word</Application>
  <DocSecurity>0</DocSecurity>
  <Lines>2110</Lines>
  <Paragraphs>1744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55833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LIA_MALDONADO</dc:creator>
  <cp:keywords/>
  <dc:description/>
  <cp:lastModifiedBy>LIA_MALDONADO</cp:lastModifiedBy>
  <cp:revision>1</cp:revision>
  <dcterms:created xsi:type="dcterms:W3CDTF">2020-06-24T20:08:00Z</dcterms:created>
  <dcterms:modified xsi:type="dcterms:W3CDTF">2020-06-24T20:12:00Z</dcterms:modified>
</cp:coreProperties>
</file>