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3395" w:rsidRPr="005E38A1" w:rsidRDefault="00675543" w:rsidP="00CE5A6F">
      <w:pPr>
        <w:pBdr>
          <w:top w:val="single" w:sz="4" w:space="1" w:color="auto"/>
          <w:bottom w:val="single" w:sz="4" w:space="1" w:color="auto"/>
        </w:pBdr>
        <w:shd w:val="clear" w:color="auto" w:fill="DDD9C3" w:themeFill="background2" w:themeFillShade="E6"/>
        <w:tabs>
          <w:tab w:val="left" w:pos="2410"/>
        </w:tabs>
        <w:spacing w:before="120" w:after="120" w:line="240" w:lineRule="auto"/>
        <w:jc w:val="center"/>
        <w:rPr>
          <w:rFonts w:ascii="Times New Roman" w:hAnsi="Times New Roman" w:cs="Times New Roman"/>
          <w:b/>
          <w:bCs/>
          <w:sz w:val="24"/>
          <w:szCs w:val="24"/>
        </w:rPr>
      </w:pPr>
      <w:r w:rsidRPr="005E38A1">
        <w:rPr>
          <w:rFonts w:ascii="Times New Roman" w:hAnsi="Times New Roman" w:cs="Times New Roman"/>
          <w:b/>
          <w:bCs/>
          <w:sz w:val="24"/>
          <w:szCs w:val="24"/>
        </w:rPr>
        <w:t>APORTE</w:t>
      </w:r>
      <w:r w:rsidR="000A3395" w:rsidRPr="005E38A1">
        <w:rPr>
          <w:rFonts w:ascii="Times New Roman" w:hAnsi="Times New Roman" w:cs="Times New Roman"/>
          <w:b/>
          <w:bCs/>
          <w:sz w:val="24"/>
          <w:szCs w:val="24"/>
        </w:rPr>
        <w:t xml:space="preserve"> DE LA DEFENSORÍA DEL PUEBLO ANTE EL COMITÉ DE DERECHOS HUMANOS EN EL MARCO DE LA PRESENTACIÓN Y DEFENSA DEL CUARTO INFORME PERIÓDICO DEL ESTADO VENEZOLANO EN ARREGLO AL ARTÍCULO 40 DEL PACTO INTERNACIONAL DE DERECHOS CIVILES Y POLÍTICOS</w:t>
      </w:r>
    </w:p>
    <w:p w:rsidR="00E97B8A" w:rsidRDefault="00E97B8A" w:rsidP="00E97B8A">
      <w:pPr>
        <w:pBdr>
          <w:bottom w:val="single" w:sz="4" w:space="1" w:color="auto"/>
        </w:pBdr>
        <w:spacing w:before="120" w:after="120" w:line="240" w:lineRule="auto"/>
        <w:jc w:val="both"/>
        <w:rPr>
          <w:rFonts w:ascii="Times New Roman" w:hAnsi="Times New Roman" w:cs="Times New Roman"/>
          <w:b/>
          <w:color w:val="943634" w:themeColor="accent2" w:themeShade="BF"/>
          <w:sz w:val="24"/>
          <w:szCs w:val="24"/>
        </w:rPr>
      </w:pPr>
    </w:p>
    <w:p w:rsidR="00874048" w:rsidRPr="00CE5A6F" w:rsidRDefault="00E97B8A" w:rsidP="00E97B8A">
      <w:pPr>
        <w:pBdr>
          <w:bottom w:val="single" w:sz="4" w:space="1" w:color="auto"/>
        </w:pBdr>
        <w:spacing w:before="120" w:after="120" w:line="240" w:lineRule="auto"/>
        <w:jc w:val="both"/>
        <w:rPr>
          <w:rFonts w:ascii="Times New Roman" w:hAnsi="Times New Roman" w:cs="Times New Roman"/>
          <w:b/>
          <w:sz w:val="24"/>
          <w:szCs w:val="24"/>
        </w:rPr>
      </w:pPr>
      <w:r w:rsidRPr="00CE5A6F">
        <w:rPr>
          <w:rFonts w:ascii="Times New Roman" w:hAnsi="Times New Roman" w:cs="Times New Roman"/>
          <w:b/>
          <w:sz w:val="24"/>
          <w:szCs w:val="24"/>
        </w:rPr>
        <w:t>Introducción</w:t>
      </w:r>
    </w:p>
    <w:p w:rsidR="00DF760B" w:rsidRPr="00AB6514" w:rsidRDefault="00DF760B" w:rsidP="00974D25">
      <w:pPr>
        <w:spacing w:before="120" w:after="120" w:line="240" w:lineRule="auto"/>
        <w:jc w:val="both"/>
        <w:rPr>
          <w:rFonts w:ascii="Times New Roman" w:hAnsi="Times New Roman" w:cs="Times New Roman"/>
          <w:sz w:val="24"/>
          <w:szCs w:val="24"/>
        </w:rPr>
      </w:pPr>
      <w:r w:rsidRPr="00AB6514">
        <w:rPr>
          <w:rFonts w:ascii="Times New Roman" w:hAnsi="Times New Roman" w:cs="Times New Roman"/>
          <w:sz w:val="24"/>
          <w:szCs w:val="24"/>
        </w:rPr>
        <w:t xml:space="preserve">1. La Defensoría del Pueblo, en correspondencia con su labor constitucional de promoción, defensa y vigilancia de los derechos humanos </w:t>
      </w:r>
      <w:r w:rsidR="00AD5088" w:rsidRPr="00AB6514">
        <w:rPr>
          <w:rFonts w:ascii="Times New Roman" w:hAnsi="Times New Roman" w:cs="Times New Roman"/>
          <w:sz w:val="24"/>
          <w:szCs w:val="24"/>
        </w:rPr>
        <w:t xml:space="preserve">y </w:t>
      </w:r>
      <w:r w:rsidRPr="00AB6514">
        <w:rPr>
          <w:rFonts w:ascii="Times New Roman" w:hAnsi="Times New Roman" w:cs="Times New Roman"/>
          <w:sz w:val="24"/>
          <w:szCs w:val="24"/>
        </w:rPr>
        <w:t>su obligación legal de fomentar la aplicación de los tratados, pactos y conven</w:t>
      </w:r>
      <w:r w:rsidR="00974D25" w:rsidRPr="00AB6514">
        <w:rPr>
          <w:rFonts w:ascii="Times New Roman" w:hAnsi="Times New Roman" w:cs="Times New Roman"/>
          <w:sz w:val="24"/>
          <w:szCs w:val="24"/>
        </w:rPr>
        <w:t>ios</w:t>
      </w:r>
      <w:r w:rsidRPr="00AB6514">
        <w:rPr>
          <w:rFonts w:ascii="Times New Roman" w:hAnsi="Times New Roman" w:cs="Times New Roman"/>
          <w:sz w:val="24"/>
          <w:szCs w:val="24"/>
        </w:rPr>
        <w:t xml:space="preserve"> </w:t>
      </w:r>
      <w:r w:rsidR="00974D25" w:rsidRPr="00AB6514">
        <w:rPr>
          <w:rFonts w:ascii="Times New Roman" w:hAnsi="Times New Roman" w:cs="Times New Roman"/>
          <w:sz w:val="24"/>
          <w:szCs w:val="24"/>
        </w:rPr>
        <w:t>sobre</w:t>
      </w:r>
      <w:r w:rsidRPr="00AB6514">
        <w:rPr>
          <w:rFonts w:ascii="Times New Roman" w:hAnsi="Times New Roman" w:cs="Times New Roman"/>
          <w:sz w:val="24"/>
          <w:szCs w:val="24"/>
        </w:rPr>
        <w:t xml:space="preserve"> derechos humanos</w:t>
      </w:r>
      <w:r w:rsidR="00AD5088" w:rsidRPr="00AB6514">
        <w:rPr>
          <w:rFonts w:ascii="Times New Roman" w:hAnsi="Times New Roman" w:cs="Times New Roman"/>
          <w:sz w:val="24"/>
          <w:szCs w:val="24"/>
        </w:rPr>
        <w:t>;</w:t>
      </w:r>
      <w:r w:rsidRPr="00AB6514">
        <w:rPr>
          <w:rFonts w:ascii="Times New Roman" w:hAnsi="Times New Roman" w:cs="Times New Roman"/>
          <w:sz w:val="24"/>
          <w:szCs w:val="24"/>
        </w:rPr>
        <w:t xml:space="preserve"> ha realizado una serie de acciones encaminadas a la eficaz protección de la poblac</w:t>
      </w:r>
      <w:r w:rsidR="00974D25" w:rsidRPr="00AB6514">
        <w:rPr>
          <w:rFonts w:ascii="Times New Roman" w:hAnsi="Times New Roman" w:cs="Times New Roman"/>
          <w:sz w:val="24"/>
          <w:szCs w:val="24"/>
        </w:rPr>
        <w:t>ión en nuestro país, en adhesión al contenido</w:t>
      </w:r>
      <w:r w:rsidR="00AD5088" w:rsidRPr="00AB6514">
        <w:rPr>
          <w:rFonts w:ascii="Times New Roman" w:hAnsi="Times New Roman" w:cs="Times New Roman"/>
          <w:sz w:val="24"/>
          <w:szCs w:val="24"/>
        </w:rPr>
        <w:t xml:space="preserve"> y observaciones del Comité de Derechos Humanos respecto al</w:t>
      </w:r>
      <w:r w:rsidR="00974D25" w:rsidRPr="00AB6514">
        <w:rPr>
          <w:rFonts w:ascii="Times New Roman" w:hAnsi="Times New Roman" w:cs="Times New Roman"/>
          <w:sz w:val="24"/>
          <w:szCs w:val="24"/>
        </w:rPr>
        <w:t xml:space="preserve"> Pacto Internacional de Derechos Civiles y Políticos, suscrito por Venezuela el 24 de junio de 1969 y ratificado el 10 de mayo de 1978</w:t>
      </w:r>
      <w:r w:rsidR="00AB6514" w:rsidRPr="00AB6514">
        <w:rPr>
          <w:rFonts w:ascii="Times New Roman" w:hAnsi="Times New Roman" w:cs="Times New Roman"/>
          <w:sz w:val="24"/>
          <w:szCs w:val="24"/>
        </w:rPr>
        <w:t>. En tal sentido,</w:t>
      </w:r>
      <w:r w:rsidR="00AD5088" w:rsidRPr="00AB6514">
        <w:rPr>
          <w:rFonts w:ascii="Times New Roman" w:hAnsi="Times New Roman" w:cs="Times New Roman"/>
          <w:sz w:val="24"/>
          <w:szCs w:val="24"/>
        </w:rPr>
        <w:t xml:space="preserve"> esta Institución quiere </w:t>
      </w:r>
      <w:r w:rsidR="00AB6514" w:rsidRPr="00AB6514">
        <w:rPr>
          <w:rFonts w:ascii="Times New Roman" w:hAnsi="Times New Roman" w:cs="Times New Roman"/>
          <w:sz w:val="24"/>
          <w:szCs w:val="24"/>
        </w:rPr>
        <w:t xml:space="preserve">mencionar tales actuaciones </w:t>
      </w:r>
      <w:r w:rsidR="00AD5088" w:rsidRPr="00AB6514">
        <w:rPr>
          <w:rFonts w:ascii="Times New Roman" w:hAnsi="Times New Roman" w:cs="Times New Roman"/>
          <w:sz w:val="24"/>
          <w:szCs w:val="24"/>
        </w:rPr>
        <w:t>de manera sintetizada, al tiempo que realiza un balance de las actuaciones del Estado en dicha materia.</w:t>
      </w:r>
    </w:p>
    <w:p w:rsidR="00E97B8A" w:rsidRPr="00CE5A6F" w:rsidRDefault="00E97B8A" w:rsidP="00E97B8A">
      <w:pPr>
        <w:pBdr>
          <w:bottom w:val="single" w:sz="4" w:space="1" w:color="auto"/>
        </w:pBdr>
        <w:spacing w:before="120" w:after="120" w:line="240" w:lineRule="auto"/>
        <w:jc w:val="both"/>
        <w:rPr>
          <w:rFonts w:ascii="Times New Roman" w:hAnsi="Times New Roman" w:cs="Times New Roman"/>
          <w:b/>
          <w:sz w:val="24"/>
          <w:szCs w:val="24"/>
        </w:rPr>
      </w:pPr>
      <w:r w:rsidRPr="00CE5A6F">
        <w:rPr>
          <w:rFonts w:ascii="Times New Roman" w:hAnsi="Times New Roman" w:cs="Times New Roman"/>
          <w:b/>
          <w:sz w:val="24"/>
          <w:szCs w:val="24"/>
        </w:rPr>
        <w:t>De la Defensoría del Pueblo</w:t>
      </w:r>
    </w:p>
    <w:p w:rsidR="00974D25" w:rsidRDefault="00426423" w:rsidP="00974D25">
      <w:pPr>
        <w:spacing w:before="120" w:after="120" w:line="240" w:lineRule="auto"/>
        <w:jc w:val="both"/>
        <w:rPr>
          <w:rFonts w:ascii="Times New Roman" w:hAnsi="Times New Roman" w:cs="Times New Roman"/>
          <w:sz w:val="24"/>
          <w:szCs w:val="28"/>
        </w:rPr>
      </w:pPr>
      <w:r w:rsidRPr="00AB6514">
        <w:rPr>
          <w:rFonts w:ascii="Times New Roman" w:hAnsi="Times New Roman" w:cs="Times New Roman"/>
          <w:sz w:val="24"/>
          <w:szCs w:val="28"/>
        </w:rPr>
        <w:t xml:space="preserve">2. </w:t>
      </w:r>
      <w:r w:rsidR="009C3F06" w:rsidRPr="00AB6514">
        <w:rPr>
          <w:rFonts w:ascii="Times New Roman" w:hAnsi="Times New Roman" w:cs="Times New Roman"/>
          <w:sz w:val="24"/>
          <w:szCs w:val="28"/>
        </w:rPr>
        <w:t>La Defensoría del Pueblo</w:t>
      </w:r>
      <w:r w:rsidR="00AB6514">
        <w:rPr>
          <w:rFonts w:ascii="Times New Roman" w:hAnsi="Times New Roman" w:cs="Times New Roman"/>
          <w:sz w:val="24"/>
          <w:szCs w:val="28"/>
        </w:rPr>
        <w:t xml:space="preserve"> (DdP)</w:t>
      </w:r>
      <w:r w:rsidR="009C3F06" w:rsidRPr="00AB6514">
        <w:rPr>
          <w:rFonts w:ascii="Times New Roman" w:hAnsi="Times New Roman" w:cs="Times New Roman"/>
          <w:sz w:val="24"/>
          <w:szCs w:val="28"/>
        </w:rPr>
        <w:t xml:space="preserve"> es la Institución Nacional de Promoción y Protección de los Derechos Humanos de la República Bolivariana de Venezuela. </w:t>
      </w:r>
      <w:r w:rsidR="00974D25" w:rsidRPr="00AB6514">
        <w:rPr>
          <w:rFonts w:ascii="Times New Roman" w:hAnsi="Times New Roman" w:cs="Times New Roman"/>
          <w:sz w:val="24"/>
          <w:szCs w:val="24"/>
        </w:rPr>
        <w:t xml:space="preserve">Fue establecida </w:t>
      </w:r>
      <w:r w:rsidR="00C92567" w:rsidRPr="00AB6514">
        <w:rPr>
          <w:rFonts w:ascii="Times New Roman" w:hAnsi="Times New Roman" w:cs="Times New Roman"/>
          <w:sz w:val="24"/>
          <w:szCs w:val="24"/>
        </w:rPr>
        <w:t>a partir del</w:t>
      </w:r>
      <w:r w:rsidR="00974D25" w:rsidRPr="00AB6514">
        <w:rPr>
          <w:rFonts w:ascii="Times New Roman" w:hAnsi="Times New Roman" w:cs="Times New Roman"/>
          <w:sz w:val="24"/>
          <w:szCs w:val="24"/>
        </w:rPr>
        <w:t xml:space="preserve"> proceso constituyente que se desarrolló </w:t>
      </w:r>
      <w:r w:rsidRPr="00AB6514">
        <w:rPr>
          <w:rFonts w:ascii="Times New Roman" w:hAnsi="Times New Roman" w:cs="Times New Roman"/>
          <w:sz w:val="24"/>
          <w:szCs w:val="24"/>
        </w:rPr>
        <w:t xml:space="preserve">en el país </w:t>
      </w:r>
      <w:r w:rsidR="00974D25" w:rsidRPr="00AB6514">
        <w:rPr>
          <w:rFonts w:ascii="Times New Roman" w:hAnsi="Times New Roman" w:cs="Times New Roman"/>
          <w:sz w:val="24"/>
          <w:szCs w:val="24"/>
        </w:rPr>
        <w:t>en 1999. Es parte</w:t>
      </w:r>
      <w:r w:rsidR="00974D25" w:rsidRPr="00AB6514">
        <w:rPr>
          <w:rFonts w:ascii="Times New Roman" w:hAnsi="Times New Roman" w:cs="Times New Roman"/>
        </w:rPr>
        <w:t xml:space="preserve"> </w:t>
      </w:r>
      <w:r w:rsidR="00974D25" w:rsidRPr="00AB6514">
        <w:rPr>
          <w:rFonts w:ascii="Times New Roman" w:hAnsi="Times New Roman" w:cs="Times New Roman"/>
          <w:sz w:val="24"/>
          <w:szCs w:val="24"/>
        </w:rPr>
        <w:t>del Poder Ciudadano (ejercido por el Consejo Moral Republicano), y goza de autonomía funcional, financiera y administrativa, de conformidad con las disposiciones de la Constitución de la República Bolivariana de Venezuela</w:t>
      </w:r>
      <w:r w:rsidR="00AB6514">
        <w:rPr>
          <w:rFonts w:ascii="Times New Roman" w:hAnsi="Times New Roman" w:cs="Times New Roman"/>
          <w:sz w:val="24"/>
          <w:szCs w:val="24"/>
        </w:rPr>
        <w:t xml:space="preserve"> (CRBV)</w:t>
      </w:r>
      <w:r w:rsidR="00974D25" w:rsidRPr="00AB6514">
        <w:rPr>
          <w:rFonts w:ascii="Times New Roman" w:hAnsi="Times New Roman" w:cs="Times New Roman"/>
          <w:sz w:val="24"/>
          <w:szCs w:val="24"/>
        </w:rPr>
        <w:t>. En 201</w:t>
      </w:r>
      <w:r w:rsidR="001E4E7B" w:rsidRPr="00AB6514">
        <w:rPr>
          <w:rFonts w:ascii="Times New Roman" w:hAnsi="Times New Roman" w:cs="Times New Roman"/>
          <w:sz w:val="24"/>
          <w:szCs w:val="24"/>
        </w:rPr>
        <w:t>4</w:t>
      </w:r>
      <w:r w:rsidR="00974D25" w:rsidRPr="00AB6514">
        <w:rPr>
          <w:rFonts w:ascii="Times New Roman" w:hAnsi="Times New Roman" w:cs="Times New Roman"/>
          <w:sz w:val="24"/>
          <w:szCs w:val="24"/>
        </w:rPr>
        <w:t xml:space="preserve"> </w:t>
      </w:r>
      <w:r w:rsidR="00AB6514">
        <w:rPr>
          <w:rFonts w:ascii="Times New Roman" w:hAnsi="Times New Roman" w:cs="Times New Roman"/>
          <w:sz w:val="24"/>
          <w:szCs w:val="24"/>
        </w:rPr>
        <w:t>recibió su certificado de reacreditación</w:t>
      </w:r>
      <w:r w:rsidR="00974D25" w:rsidRPr="00AB6514">
        <w:rPr>
          <w:rFonts w:ascii="Times New Roman" w:hAnsi="Times New Roman" w:cs="Times New Roman"/>
          <w:sz w:val="24"/>
          <w:szCs w:val="24"/>
        </w:rPr>
        <w:t xml:space="preserve"> como Institución Clase “A” por el Comité Internacional de Coordinación de las Instituciones Nacionales para la Promoción y Protección de los Derechos Humanos</w:t>
      </w:r>
      <w:r w:rsidR="00AB6514">
        <w:rPr>
          <w:rFonts w:ascii="Times New Roman" w:hAnsi="Times New Roman" w:cs="Times New Roman"/>
          <w:sz w:val="24"/>
          <w:szCs w:val="24"/>
        </w:rPr>
        <w:t xml:space="preserve"> (CIC)</w:t>
      </w:r>
      <w:r w:rsidR="00974D25" w:rsidRPr="00AB6514">
        <w:rPr>
          <w:rFonts w:ascii="Times New Roman" w:hAnsi="Times New Roman" w:cs="Times New Roman"/>
          <w:sz w:val="24"/>
          <w:szCs w:val="24"/>
        </w:rPr>
        <w:t>.</w:t>
      </w:r>
      <w:r w:rsidR="00974D25" w:rsidRPr="00AB6514">
        <w:rPr>
          <w:rFonts w:ascii="Times New Roman" w:hAnsi="Times New Roman" w:cs="Times New Roman"/>
          <w:sz w:val="24"/>
          <w:szCs w:val="28"/>
        </w:rPr>
        <w:t xml:space="preserve"> </w:t>
      </w:r>
      <w:r w:rsidR="007C6D3B">
        <w:rPr>
          <w:rFonts w:ascii="Times New Roman" w:hAnsi="Times New Roman" w:cs="Times New Roman"/>
          <w:sz w:val="24"/>
          <w:szCs w:val="28"/>
        </w:rPr>
        <w:t xml:space="preserve">Durante </w:t>
      </w:r>
      <w:r w:rsidR="00F66132">
        <w:rPr>
          <w:rFonts w:ascii="Times New Roman" w:hAnsi="Times New Roman" w:cs="Times New Roman"/>
          <w:sz w:val="24"/>
          <w:szCs w:val="28"/>
        </w:rPr>
        <w:t>ese mismo periodo</w:t>
      </w:r>
      <w:r w:rsidR="00C92567" w:rsidRPr="00AB6514">
        <w:rPr>
          <w:rFonts w:ascii="Times New Roman" w:hAnsi="Times New Roman" w:cs="Times New Roman"/>
          <w:sz w:val="24"/>
          <w:szCs w:val="28"/>
        </w:rPr>
        <w:t>,</w:t>
      </w:r>
      <w:r w:rsidR="00974D25" w:rsidRPr="00AB6514">
        <w:rPr>
          <w:rFonts w:ascii="Times New Roman" w:hAnsi="Times New Roman" w:cs="Times New Roman"/>
          <w:sz w:val="24"/>
          <w:szCs w:val="28"/>
        </w:rPr>
        <w:t xml:space="preserve"> ejerc</w:t>
      </w:r>
      <w:r w:rsidR="007C6D3B">
        <w:rPr>
          <w:rFonts w:ascii="Times New Roman" w:hAnsi="Times New Roman" w:cs="Times New Roman"/>
          <w:sz w:val="24"/>
          <w:szCs w:val="28"/>
        </w:rPr>
        <w:t>ió</w:t>
      </w:r>
      <w:r w:rsidR="00974D25" w:rsidRPr="00AB6514">
        <w:rPr>
          <w:rFonts w:ascii="Times New Roman" w:hAnsi="Times New Roman" w:cs="Times New Roman"/>
          <w:sz w:val="24"/>
          <w:szCs w:val="28"/>
        </w:rPr>
        <w:t xml:space="preserve"> la Presidencia de la Red de Instituciones Nacionales del Continente Americano.</w:t>
      </w:r>
    </w:p>
    <w:p w:rsidR="00CE1988" w:rsidRDefault="00F37E85" w:rsidP="00CE1988">
      <w:pPr>
        <w:pStyle w:val="Textoindependiente2"/>
        <w:spacing w:before="120" w:line="240" w:lineRule="auto"/>
        <w:jc w:val="both"/>
        <w:rPr>
          <w:rFonts w:ascii="Times New Roman" w:hAnsi="Times New Roman" w:cs="Times New Roman"/>
          <w:sz w:val="24"/>
          <w:szCs w:val="28"/>
        </w:rPr>
      </w:pPr>
      <w:r>
        <w:rPr>
          <w:rFonts w:ascii="Times New Roman" w:hAnsi="Times New Roman" w:cs="Times New Roman"/>
          <w:sz w:val="24"/>
          <w:szCs w:val="28"/>
        </w:rPr>
        <w:t xml:space="preserve">3. La DdP cuenta con </w:t>
      </w:r>
      <w:r w:rsidR="00CE1988">
        <w:rPr>
          <w:rFonts w:ascii="Times New Roman" w:hAnsi="Times New Roman" w:cs="Times New Roman"/>
          <w:sz w:val="24"/>
          <w:szCs w:val="28"/>
        </w:rPr>
        <w:t>u</w:t>
      </w:r>
      <w:r>
        <w:rPr>
          <w:rFonts w:ascii="Times New Roman" w:hAnsi="Times New Roman" w:cs="Times New Roman"/>
          <w:sz w:val="24"/>
          <w:szCs w:val="28"/>
        </w:rPr>
        <w:t>na</w:t>
      </w:r>
      <w:r w:rsidR="00CE1988">
        <w:rPr>
          <w:rFonts w:ascii="Times New Roman" w:hAnsi="Times New Roman" w:cs="Times New Roman"/>
          <w:sz w:val="24"/>
          <w:szCs w:val="28"/>
        </w:rPr>
        <w:t xml:space="preserve"> Ley Orgánica</w:t>
      </w:r>
      <w:r w:rsidR="00C0455D">
        <w:rPr>
          <w:rStyle w:val="Refdenotaalpie"/>
          <w:rFonts w:ascii="Times New Roman" w:hAnsi="Times New Roman" w:cs="Times New Roman"/>
          <w:sz w:val="24"/>
          <w:szCs w:val="28"/>
        </w:rPr>
        <w:footnoteReference w:id="1"/>
      </w:r>
      <w:r w:rsidR="00CE1988">
        <w:rPr>
          <w:rFonts w:ascii="Times New Roman" w:hAnsi="Times New Roman" w:cs="Times New Roman"/>
          <w:sz w:val="24"/>
          <w:szCs w:val="28"/>
        </w:rPr>
        <w:t xml:space="preserve"> </w:t>
      </w:r>
      <w:r>
        <w:rPr>
          <w:rFonts w:ascii="Times New Roman" w:hAnsi="Times New Roman" w:cs="Times New Roman"/>
          <w:sz w:val="24"/>
          <w:szCs w:val="28"/>
        </w:rPr>
        <w:t>que</w:t>
      </w:r>
      <w:r w:rsidR="00CE1988">
        <w:rPr>
          <w:rFonts w:ascii="Times New Roman" w:hAnsi="Times New Roman" w:cs="Times New Roman"/>
          <w:sz w:val="24"/>
          <w:szCs w:val="28"/>
        </w:rPr>
        <w:t xml:space="preserve"> </w:t>
      </w:r>
      <w:r w:rsidR="00CE1988" w:rsidRPr="00CE1988">
        <w:rPr>
          <w:rFonts w:ascii="Times New Roman" w:hAnsi="Times New Roman" w:cs="Times New Roman"/>
          <w:iCs/>
          <w:sz w:val="24"/>
        </w:rPr>
        <w:t>regula</w:t>
      </w:r>
      <w:r w:rsidR="00CE1988">
        <w:rPr>
          <w:rFonts w:ascii="Times New Roman" w:hAnsi="Times New Roman" w:cs="Times New Roman"/>
          <w:iCs/>
          <w:sz w:val="24"/>
        </w:rPr>
        <w:t xml:space="preserve"> su naturaleza, organización f</w:t>
      </w:r>
      <w:r w:rsidR="00CE1988" w:rsidRPr="00CE1988">
        <w:rPr>
          <w:rFonts w:ascii="Times New Roman" w:hAnsi="Times New Roman" w:cs="Times New Roman"/>
          <w:iCs/>
          <w:sz w:val="24"/>
        </w:rPr>
        <w:t xml:space="preserve">uncionamiento. </w:t>
      </w:r>
      <w:r w:rsidR="00CE1988">
        <w:rPr>
          <w:rFonts w:ascii="Times New Roman" w:hAnsi="Times New Roman" w:cs="Times New Roman"/>
          <w:iCs/>
          <w:sz w:val="24"/>
        </w:rPr>
        <w:t xml:space="preserve">De igual forma, existen funciones que le son conferidas por </w:t>
      </w:r>
      <w:r w:rsidR="00CE1988">
        <w:rPr>
          <w:rFonts w:ascii="Times New Roman" w:hAnsi="Times New Roman" w:cs="Times New Roman"/>
          <w:sz w:val="24"/>
          <w:szCs w:val="28"/>
        </w:rPr>
        <w:t xml:space="preserve">el ordenamiento jurídico nacional vigente, tales como: </w:t>
      </w:r>
      <w:r w:rsidR="00D81087" w:rsidRPr="00CE1988">
        <w:rPr>
          <w:rFonts w:ascii="Times New Roman" w:hAnsi="Times New Roman" w:cs="Times New Roman"/>
          <w:sz w:val="24"/>
          <w:szCs w:val="28"/>
        </w:rPr>
        <w:t>Código Orgánico Procesal Penal</w:t>
      </w:r>
      <w:r w:rsidR="00D81087">
        <w:rPr>
          <w:rStyle w:val="Refdenotaalpie"/>
          <w:rFonts w:ascii="Times New Roman" w:hAnsi="Times New Roman" w:cs="Times New Roman"/>
          <w:sz w:val="24"/>
          <w:szCs w:val="28"/>
        </w:rPr>
        <w:footnoteReference w:id="2"/>
      </w:r>
      <w:r w:rsidR="00D81087">
        <w:rPr>
          <w:rFonts w:ascii="Times New Roman" w:hAnsi="Times New Roman" w:cs="Times New Roman"/>
          <w:sz w:val="24"/>
          <w:szCs w:val="28"/>
        </w:rPr>
        <w:t xml:space="preserve">, </w:t>
      </w:r>
      <w:r w:rsidR="00CE1988" w:rsidRPr="00CE1988">
        <w:rPr>
          <w:rFonts w:ascii="Times New Roman" w:hAnsi="Times New Roman" w:cs="Times New Roman"/>
          <w:sz w:val="24"/>
          <w:szCs w:val="28"/>
        </w:rPr>
        <w:t>Ley Orgánica sobre el Derecho de las Mujeres a una Vida Libre de Violencia</w:t>
      </w:r>
      <w:r w:rsidR="00D81087">
        <w:rPr>
          <w:rStyle w:val="Refdenotaalpie"/>
          <w:rFonts w:ascii="Times New Roman" w:hAnsi="Times New Roman" w:cs="Times New Roman"/>
          <w:sz w:val="24"/>
          <w:szCs w:val="28"/>
        </w:rPr>
        <w:footnoteReference w:id="3"/>
      </w:r>
      <w:r w:rsidR="00CE1988">
        <w:rPr>
          <w:rFonts w:ascii="Times New Roman" w:hAnsi="Times New Roman" w:cs="Times New Roman"/>
          <w:sz w:val="24"/>
          <w:szCs w:val="28"/>
        </w:rPr>
        <w:t xml:space="preserve">, </w:t>
      </w:r>
      <w:r w:rsidR="00CE1988" w:rsidRPr="00CE1988">
        <w:rPr>
          <w:rFonts w:ascii="Times New Roman" w:hAnsi="Times New Roman" w:cs="Times New Roman"/>
          <w:sz w:val="24"/>
          <w:szCs w:val="28"/>
        </w:rPr>
        <w:t>Ley Nacional de la Juventud</w:t>
      </w:r>
      <w:r w:rsidR="00C0455D">
        <w:rPr>
          <w:rStyle w:val="Refdenotaalpie"/>
          <w:rFonts w:ascii="Times New Roman" w:hAnsi="Times New Roman" w:cs="Times New Roman"/>
          <w:sz w:val="24"/>
          <w:szCs w:val="28"/>
        </w:rPr>
        <w:footnoteReference w:id="4"/>
      </w:r>
      <w:r w:rsidR="00CE1988">
        <w:rPr>
          <w:rFonts w:ascii="Times New Roman" w:hAnsi="Times New Roman" w:cs="Times New Roman"/>
          <w:sz w:val="24"/>
          <w:szCs w:val="28"/>
        </w:rPr>
        <w:t xml:space="preserve">, </w:t>
      </w:r>
      <w:r w:rsidR="00CE1988" w:rsidRPr="00CE1988">
        <w:rPr>
          <w:rFonts w:ascii="Times New Roman" w:hAnsi="Times New Roman" w:cs="Times New Roman"/>
          <w:sz w:val="24"/>
          <w:szCs w:val="28"/>
        </w:rPr>
        <w:t>Ley Orgánica de Pueblos y Comunidades Indígenas</w:t>
      </w:r>
      <w:r w:rsidR="00921018">
        <w:rPr>
          <w:rStyle w:val="Refdenotaalpie"/>
          <w:rFonts w:ascii="Times New Roman" w:hAnsi="Times New Roman" w:cs="Times New Roman"/>
          <w:sz w:val="24"/>
          <w:szCs w:val="28"/>
        </w:rPr>
        <w:footnoteReference w:id="5"/>
      </w:r>
      <w:r w:rsidR="00CE1988">
        <w:rPr>
          <w:rFonts w:ascii="Times New Roman" w:hAnsi="Times New Roman" w:cs="Times New Roman"/>
          <w:sz w:val="24"/>
          <w:szCs w:val="28"/>
        </w:rPr>
        <w:t xml:space="preserve">, </w:t>
      </w:r>
      <w:r w:rsidR="00CE1988" w:rsidRPr="00CE1988">
        <w:rPr>
          <w:rFonts w:ascii="Times New Roman" w:hAnsi="Times New Roman" w:cs="Times New Roman"/>
          <w:sz w:val="24"/>
          <w:szCs w:val="28"/>
        </w:rPr>
        <w:t>Ley Orgánica de Refugiados o Refugiadas y Asilados o Asiladas</w:t>
      </w:r>
      <w:r w:rsidR="006F5918">
        <w:rPr>
          <w:rStyle w:val="Refdenotaalpie"/>
          <w:rFonts w:ascii="Times New Roman" w:hAnsi="Times New Roman" w:cs="Times New Roman"/>
          <w:sz w:val="24"/>
          <w:szCs w:val="28"/>
        </w:rPr>
        <w:footnoteReference w:id="6"/>
      </w:r>
      <w:r w:rsidR="00CE1988">
        <w:rPr>
          <w:rFonts w:ascii="Times New Roman" w:hAnsi="Times New Roman" w:cs="Times New Roman"/>
          <w:sz w:val="24"/>
          <w:szCs w:val="28"/>
        </w:rPr>
        <w:t xml:space="preserve">, </w:t>
      </w:r>
      <w:r w:rsidR="00CE1988" w:rsidRPr="00CE1988">
        <w:rPr>
          <w:rFonts w:ascii="Times New Roman" w:hAnsi="Times New Roman" w:cs="Times New Roman"/>
          <w:sz w:val="24"/>
          <w:szCs w:val="28"/>
        </w:rPr>
        <w:t>Ley Orgánica para la Protección de Niño</w:t>
      </w:r>
      <w:r w:rsidR="006F5918">
        <w:rPr>
          <w:rFonts w:ascii="Times New Roman" w:hAnsi="Times New Roman" w:cs="Times New Roman"/>
          <w:sz w:val="24"/>
          <w:szCs w:val="28"/>
        </w:rPr>
        <w:t xml:space="preserve">s, </w:t>
      </w:r>
      <w:r w:rsidR="006F5918">
        <w:rPr>
          <w:rFonts w:ascii="Times New Roman" w:hAnsi="Times New Roman" w:cs="Times New Roman"/>
          <w:sz w:val="24"/>
          <w:szCs w:val="28"/>
        </w:rPr>
        <w:lastRenderedPageBreak/>
        <w:t>Niñas</w:t>
      </w:r>
      <w:r w:rsidR="00CE1988" w:rsidRPr="00CE1988">
        <w:rPr>
          <w:rFonts w:ascii="Times New Roman" w:hAnsi="Times New Roman" w:cs="Times New Roman"/>
          <w:sz w:val="24"/>
          <w:szCs w:val="28"/>
        </w:rPr>
        <w:t xml:space="preserve"> y Adolescente</w:t>
      </w:r>
      <w:r w:rsidR="006F5918">
        <w:rPr>
          <w:rFonts w:ascii="Times New Roman" w:hAnsi="Times New Roman" w:cs="Times New Roman"/>
          <w:sz w:val="24"/>
          <w:szCs w:val="28"/>
        </w:rPr>
        <w:t>s</w:t>
      </w:r>
      <w:r w:rsidR="006F5918">
        <w:rPr>
          <w:rStyle w:val="Refdenotaalpie"/>
          <w:rFonts w:ascii="Times New Roman" w:hAnsi="Times New Roman" w:cs="Times New Roman"/>
          <w:sz w:val="24"/>
          <w:szCs w:val="28"/>
        </w:rPr>
        <w:footnoteReference w:id="7"/>
      </w:r>
      <w:r w:rsidR="00CE1988">
        <w:rPr>
          <w:rFonts w:ascii="Times New Roman" w:hAnsi="Times New Roman" w:cs="Times New Roman"/>
          <w:sz w:val="24"/>
          <w:szCs w:val="28"/>
        </w:rPr>
        <w:t>,</w:t>
      </w:r>
      <w:r w:rsidR="006F5918">
        <w:rPr>
          <w:rFonts w:ascii="Times New Roman" w:hAnsi="Times New Roman" w:cs="Times New Roman"/>
          <w:sz w:val="24"/>
          <w:szCs w:val="28"/>
        </w:rPr>
        <w:t xml:space="preserve"> </w:t>
      </w:r>
      <w:r w:rsidR="00CE1988" w:rsidRPr="00CE1988">
        <w:rPr>
          <w:rFonts w:ascii="Times New Roman" w:hAnsi="Times New Roman" w:cs="Times New Roman"/>
          <w:sz w:val="24"/>
          <w:szCs w:val="28"/>
        </w:rPr>
        <w:t>Ley Orgánica del Servicio de Policía y del Cuerpo de Policía Nacional Bolivariana</w:t>
      </w:r>
      <w:r w:rsidR="006F5918">
        <w:rPr>
          <w:rStyle w:val="Refdenotaalpie"/>
          <w:rFonts w:ascii="Times New Roman" w:hAnsi="Times New Roman" w:cs="Times New Roman"/>
          <w:sz w:val="24"/>
          <w:szCs w:val="28"/>
        </w:rPr>
        <w:footnoteReference w:id="8"/>
      </w:r>
      <w:r w:rsidR="00CE1988">
        <w:rPr>
          <w:rFonts w:ascii="Times New Roman" w:hAnsi="Times New Roman" w:cs="Times New Roman"/>
          <w:sz w:val="24"/>
          <w:szCs w:val="28"/>
        </w:rPr>
        <w:t xml:space="preserve">, </w:t>
      </w:r>
      <w:r w:rsidR="00CE1988" w:rsidRPr="00CE1988">
        <w:rPr>
          <w:rFonts w:ascii="Times New Roman" w:hAnsi="Times New Roman" w:cs="Times New Roman"/>
          <w:sz w:val="24"/>
          <w:szCs w:val="28"/>
        </w:rPr>
        <w:t>Ley del Sistema de Justicia</w:t>
      </w:r>
      <w:r w:rsidR="00D1534F">
        <w:rPr>
          <w:rStyle w:val="Refdenotaalpie"/>
          <w:rFonts w:ascii="Times New Roman" w:hAnsi="Times New Roman" w:cs="Times New Roman"/>
          <w:sz w:val="24"/>
          <w:szCs w:val="28"/>
        </w:rPr>
        <w:footnoteReference w:id="9"/>
      </w:r>
      <w:r w:rsidR="00CE1988">
        <w:rPr>
          <w:rFonts w:ascii="Times New Roman" w:hAnsi="Times New Roman" w:cs="Times New Roman"/>
          <w:sz w:val="24"/>
          <w:szCs w:val="28"/>
        </w:rPr>
        <w:t xml:space="preserve">, </w:t>
      </w:r>
      <w:r w:rsidR="00CE1988" w:rsidRPr="00CE1988">
        <w:rPr>
          <w:rFonts w:ascii="Times New Roman" w:hAnsi="Times New Roman" w:cs="Times New Roman"/>
          <w:sz w:val="24"/>
          <w:szCs w:val="28"/>
        </w:rPr>
        <w:t>Ley Orgánica de Registro Civil</w:t>
      </w:r>
      <w:r w:rsidR="00D1534F">
        <w:rPr>
          <w:rStyle w:val="Refdenotaalpie"/>
          <w:rFonts w:ascii="Times New Roman" w:hAnsi="Times New Roman" w:cs="Times New Roman"/>
          <w:sz w:val="24"/>
          <w:szCs w:val="28"/>
        </w:rPr>
        <w:footnoteReference w:id="10"/>
      </w:r>
      <w:r w:rsidR="00A71567">
        <w:rPr>
          <w:rFonts w:ascii="Times New Roman" w:hAnsi="Times New Roman" w:cs="Times New Roman"/>
          <w:sz w:val="24"/>
          <w:szCs w:val="28"/>
        </w:rPr>
        <w:t>,</w:t>
      </w:r>
      <w:r w:rsidR="00CE1988">
        <w:rPr>
          <w:rFonts w:ascii="Times New Roman" w:hAnsi="Times New Roman" w:cs="Times New Roman"/>
          <w:sz w:val="24"/>
          <w:szCs w:val="28"/>
        </w:rPr>
        <w:t xml:space="preserve"> </w:t>
      </w:r>
      <w:r w:rsidR="00CE1988" w:rsidRPr="00CE1988">
        <w:rPr>
          <w:rFonts w:ascii="Times New Roman" w:hAnsi="Times New Roman" w:cs="Times New Roman"/>
          <w:sz w:val="24"/>
          <w:szCs w:val="28"/>
        </w:rPr>
        <w:t>Ley para Sancionar los Crímenes, Desapariciones, Torturas y Otras Violaciones a los Derechos Humanos por Razones Políticas en el Período 1958-1998</w:t>
      </w:r>
      <w:r w:rsidR="00D1534F">
        <w:rPr>
          <w:rStyle w:val="Refdenotaalpie"/>
          <w:rFonts w:ascii="Times New Roman" w:hAnsi="Times New Roman" w:cs="Times New Roman"/>
          <w:sz w:val="24"/>
          <w:szCs w:val="28"/>
        </w:rPr>
        <w:footnoteReference w:id="11"/>
      </w:r>
      <w:r w:rsidR="00A71567">
        <w:rPr>
          <w:rFonts w:ascii="Times New Roman" w:hAnsi="Times New Roman" w:cs="Times New Roman"/>
          <w:sz w:val="24"/>
          <w:szCs w:val="28"/>
        </w:rPr>
        <w:t xml:space="preserve"> y </w:t>
      </w:r>
      <w:r w:rsidR="00A71567" w:rsidRPr="00A71567">
        <w:rPr>
          <w:rFonts w:ascii="Times New Roman" w:hAnsi="Times New Roman" w:cs="Times New Roman"/>
          <w:sz w:val="24"/>
          <w:szCs w:val="28"/>
        </w:rPr>
        <w:t>Ley Especial para Prevenir y Sancionar la Tortura y Otros Tratos Crueles, Inhumanos o Degradantes</w:t>
      </w:r>
      <w:r w:rsidR="00A71567">
        <w:rPr>
          <w:rStyle w:val="Refdenotaalpie"/>
          <w:rFonts w:ascii="Times New Roman" w:hAnsi="Times New Roman" w:cs="Times New Roman"/>
          <w:sz w:val="24"/>
          <w:szCs w:val="28"/>
        </w:rPr>
        <w:footnoteReference w:id="12"/>
      </w:r>
      <w:r w:rsidR="00CE1988">
        <w:rPr>
          <w:rFonts w:ascii="Times New Roman" w:hAnsi="Times New Roman" w:cs="Times New Roman"/>
          <w:sz w:val="24"/>
          <w:szCs w:val="28"/>
        </w:rPr>
        <w:t>.</w:t>
      </w:r>
    </w:p>
    <w:p w:rsidR="00CE1988" w:rsidRPr="00AB6514" w:rsidRDefault="00CE1988" w:rsidP="00CE1988">
      <w:pPr>
        <w:pStyle w:val="Textoindependiente2"/>
        <w:spacing w:before="120" w:line="240" w:lineRule="auto"/>
        <w:jc w:val="both"/>
        <w:rPr>
          <w:rFonts w:ascii="Times New Roman" w:hAnsi="Times New Roman" w:cs="Times New Roman"/>
          <w:sz w:val="24"/>
          <w:szCs w:val="28"/>
        </w:rPr>
      </w:pPr>
      <w:r w:rsidRPr="00E717FA">
        <w:rPr>
          <w:rFonts w:ascii="Times New Roman" w:hAnsi="Times New Roman" w:cs="Times New Roman"/>
          <w:sz w:val="24"/>
          <w:szCs w:val="28"/>
        </w:rPr>
        <w:t>4. En la estructura organizacional de la DdP, se encuentra la Dirección de Materias de Especial Atención, la cual se encarga de coordinar el trabajo de las Defensorías Especiales</w:t>
      </w:r>
      <w:r w:rsidR="00A1748E" w:rsidRPr="00E717FA">
        <w:rPr>
          <w:rFonts w:ascii="Times New Roman" w:hAnsi="Times New Roman" w:cs="Times New Roman"/>
          <w:sz w:val="24"/>
          <w:szCs w:val="28"/>
        </w:rPr>
        <w:t xml:space="preserve"> </w:t>
      </w:r>
      <w:r w:rsidR="008C0FA1" w:rsidRPr="00E717FA">
        <w:rPr>
          <w:rFonts w:ascii="Times New Roman" w:hAnsi="Times New Roman" w:cs="Times New Roman"/>
          <w:sz w:val="24"/>
          <w:szCs w:val="28"/>
        </w:rPr>
        <w:t xml:space="preserve">con Competencia Nacional </w:t>
      </w:r>
      <w:r w:rsidR="00CB627D" w:rsidRPr="00E717FA">
        <w:rPr>
          <w:rFonts w:ascii="Times New Roman" w:hAnsi="Times New Roman" w:cs="Times New Roman"/>
          <w:sz w:val="24"/>
          <w:szCs w:val="28"/>
        </w:rPr>
        <w:t>“Sobre los Derechos de la Mujer”; “Área de Protección de Niños, Niñas y Adolescentes”; “Área de Protección de los Derechos de los Pueblos Indígenas”; “Área de Protección Juvenil”; y “Régimen Penitenciario”, entre otras.</w:t>
      </w:r>
      <w:r w:rsidR="00CB627D" w:rsidRPr="00CB627D">
        <w:rPr>
          <w:rFonts w:ascii="Times New Roman" w:hAnsi="Times New Roman" w:cs="Times New Roman"/>
          <w:sz w:val="24"/>
          <w:szCs w:val="28"/>
        </w:rPr>
        <w:t xml:space="preserve">  </w:t>
      </w:r>
      <w:r w:rsidRPr="00CE1988">
        <w:rPr>
          <w:rFonts w:ascii="Times New Roman" w:hAnsi="Times New Roman" w:cs="Times New Roman"/>
          <w:sz w:val="24"/>
          <w:szCs w:val="28"/>
        </w:rPr>
        <w:t xml:space="preserve"> </w:t>
      </w:r>
      <w:r>
        <w:rPr>
          <w:rFonts w:ascii="Times New Roman" w:hAnsi="Times New Roman" w:cs="Times New Roman"/>
          <w:sz w:val="24"/>
          <w:szCs w:val="28"/>
        </w:rPr>
        <w:t xml:space="preserve"> </w:t>
      </w:r>
    </w:p>
    <w:p w:rsidR="00DF760B" w:rsidRPr="006C33F9" w:rsidRDefault="00DF760B" w:rsidP="00DF760B">
      <w:pPr>
        <w:spacing w:before="120" w:after="120" w:line="240" w:lineRule="auto"/>
        <w:jc w:val="both"/>
        <w:rPr>
          <w:rFonts w:ascii="Times New Roman" w:hAnsi="Times New Roman" w:cs="Times New Roman"/>
          <w:b/>
          <w:sz w:val="20"/>
        </w:rPr>
      </w:pPr>
      <w:r w:rsidRPr="006C33F9">
        <w:rPr>
          <w:rFonts w:ascii="Times New Roman" w:hAnsi="Times New Roman" w:cs="Times New Roman"/>
          <w:b/>
          <w:sz w:val="20"/>
        </w:rPr>
        <w:t>Recepción de denuncias, quejas y peticiones</w:t>
      </w:r>
    </w:p>
    <w:p w:rsidR="00692CC7" w:rsidRPr="00AB6514" w:rsidRDefault="00A1748E" w:rsidP="00692CC7">
      <w:pPr>
        <w:spacing w:before="120" w:after="120" w:line="240" w:lineRule="auto"/>
        <w:jc w:val="both"/>
        <w:rPr>
          <w:rFonts w:ascii="Times New Roman" w:hAnsi="Times New Roman" w:cs="Times New Roman"/>
          <w:sz w:val="24"/>
        </w:rPr>
      </w:pPr>
      <w:r w:rsidRPr="006C33F9">
        <w:rPr>
          <w:rFonts w:ascii="Times New Roman" w:hAnsi="Times New Roman" w:cs="Times New Roman"/>
          <w:sz w:val="24"/>
        </w:rPr>
        <w:t>5</w:t>
      </w:r>
      <w:r w:rsidR="00DF760B" w:rsidRPr="006C33F9">
        <w:rPr>
          <w:rFonts w:ascii="Times New Roman" w:hAnsi="Times New Roman" w:cs="Times New Roman"/>
          <w:sz w:val="24"/>
        </w:rPr>
        <w:t xml:space="preserve">. </w:t>
      </w:r>
      <w:r w:rsidR="00D61A67" w:rsidRPr="006C33F9">
        <w:rPr>
          <w:rFonts w:ascii="Times New Roman" w:hAnsi="Times New Roman" w:cs="Times New Roman"/>
          <w:sz w:val="24"/>
        </w:rPr>
        <w:t>Entre 2005 y 201</w:t>
      </w:r>
      <w:r w:rsidR="00F66132">
        <w:rPr>
          <w:rFonts w:ascii="Times New Roman" w:hAnsi="Times New Roman" w:cs="Times New Roman"/>
          <w:sz w:val="24"/>
        </w:rPr>
        <w:t>4</w:t>
      </w:r>
      <w:r w:rsidR="00D61A67" w:rsidRPr="006C33F9">
        <w:rPr>
          <w:rFonts w:ascii="Times New Roman" w:hAnsi="Times New Roman" w:cs="Times New Roman"/>
          <w:sz w:val="24"/>
        </w:rPr>
        <w:t xml:space="preserve"> l</w:t>
      </w:r>
      <w:r w:rsidR="00DF760B" w:rsidRPr="006C33F9">
        <w:rPr>
          <w:rFonts w:ascii="Times New Roman" w:hAnsi="Times New Roman" w:cs="Times New Roman"/>
          <w:sz w:val="24"/>
        </w:rPr>
        <w:t>a DdP</w:t>
      </w:r>
      <w:r w:rsidR="00D61A67" w:rsidRPr="006C33F9">
        <w:rPr>
          <w:rFonts w:ascii="Times New Roman" w:hAnsi="Times New Roman" w:cs="Times New Roman"/>
          <w:sz w:val="24"/>
        </w:rPr>
        <w:t>,</w:t>
      </w:r>
      <w:r w:rsidR="00DF760B" w:rsidRPr="006C33F9">
        <w:rPr>
          <w:rFonts w:ascii="Times New Roman" w:hAnsi="Times New Roman" w:cs="Times New Roman"/>
          <w:sz w:val="24"/>
        </w:rPr>
        <w:t xml:space="preserve"> </w:t>
      </w:r>
      <w:r w:rsidR="00D61A67" w:rsidRPr="006C33F9">
        <w:rPr>
          <w:rFonts w:ascii="Times New Roman" w:hAnsi="Times New Roman" w:cs="Times New Roman"/>
          <w:sz w:val="24"/>
        </w:rPr>
        <w:t>a través de su</w:t>
      </w:r>
      <w:r w:rsidR="00DF760B" w:rsidRPr="006C33F9">
        <w:rPr>
          <w:rFonts w:ascii="Times New Roman" w:hAnsi="Times New Roman" w:cs="Times New Roman"/>
          <w:sz w:val="24"/>
        </w:rPr>
        <w:t xml:space="preserve"> Sistema de Información </w:t>
      </w:r>
      <w:r w:rsidR="00CE223D" w:rsidRPr="006C33F9">
        <w:rPr>
          <w:rFonts w:ascii="Times New Roman" w:hAnsi="Times New Roman" w:cs="Times New Roman"/>
          <w:i/>
          <w:sz w:val="24"/>
        </w:rPr>
        <w:t>on line</w:t>
      </w:r>
      <w:r w:rsidR="00CE223D" w:rsidRPr="006C33F9">
        <w:rPr>
          <w:rFonts w:ascii="Times New Roman" w:hAnsi="Times New Roman" w:cs="Times New Roman"/>
          <w:sz w:val="24"/>
        </w:rPr>
        <w:t>,</w:t>
      </w:r>
      <w:r w:rsidR="00D61A67" w:rsidRPr="006C33F9">
        <w:rPr>
          <w:rFonts w:ascii="Times New Roman" w:hAnsi="Times New Roman" w:cs="Times New Roman"/>
          <w:sz w:val="24"/>
        </w:rPr>
        <w:t xml:space="preserve"> las </w:t>
      </w:r>
      <w:r w:rsidR="00D61A67" w:rsidRPr="006C33F9">
        <w:rPr>
          <w:rFonts w:ascii="Times New Roman" w:hAnsi="Times New Roman" w:cs="Times New Roman"/>
          <w:i/>
          <w:sz w:val="24"/>
        </w:rPr>
        <w:t>Defensorías Móviles en Derechos Humanos</w:t>
      </w:r>
      <w:r w:rsidR="00CE223D" w:rsidRPr="006C33F9">
        <w:rPr>
          <w:rFonts w:ascii="Times New Roman" w:hAnsi="Times New Roman" w:cs="Times New Roman"/>
          <w:sz w:val="24"/>
        </w:rPr>
        <w:t xml:space="preserve"> y la </w:t>
      </w:r>
      <w:r w:rsidR="00CE223D" w:rsidRPr="006C33F9">
        <w:rPr>
          <w:rFonts w:ascii="Times New Roman" w:hAnsi="Times New Roman" w:cs="Times New Roman"/>
          <w:i/>
          <w:sz w:val="24"/>
        </w:rPr>
        <w:t>línea telefónica 0-8000 PUEBLO</w:t>
      </w:r>
      <w:r w:rsidR="00D61A67" w:rsidRPr="006C33F9">
        <w:rPr>
          <w:rFonts w:ascii="Times New Roman" w:hAnsi="Times New Roman" w:cs="Times New Roman"/>
          <w:sz w:val="24"/>
        </w:rPr>
        <w:t xml:space="preserve">, </w:t>
      </w:r>
      <w:r w:rsidR="00692CC7" w:rsidRPr="006C33F9">
        <w:rPr>
          <w:rFonts w:ascii="Times New Roman" w:hAnsi="Times New Roman" w:cs="Times New Roman"/>
          <w:sz w:val="24"/>
        </w:rPr>
        <w:t xml:space="preserve">ha </w:t>
      </w:r>
      <w:r w:rsidR="00D61A67" w:rsidRPr="006C33F9">
        <w:rPr>
          <w:rFonts w:ascii="Times New Roman" w:hAnsi="Times New Roman" w:cs="Times New Roman"/>
          <w:sz w:val="24"/>
        </w:rPr>
        <w:t>recibido</w:t>
      </w:r>
      <w:r w:rsidR="00692CC7" w:rsidRPr="006C33F9">
        <w:rPr>
          <w:rFonts w:ascii="Times New Roman" w:hAnsi="Times New Roman" w:cs="Times New Roman"/>
          <w:sz w:val="24"/>
        </w:rPr>
        <w:t xml:space="preserve"> un total de </w:t>
      </w:r>
      <w:r w:rsidR="00F66132">
        <w:rPr>
          <w:rFonts w:ascii="Times New Roman" w:hAnsi="Times New Roman" w:cs="Times New Roman"/>
          <w:sz w:val="24"/>
        </w:rPr>
        <w:t>60.905</w:t>
      </w:r>
      <w:r w:rsidR="00692CC7" w:rsidRPr="006C33F9">
        <w:rPr>
          <w:rFonts w:ascii="Times New Roman" w:hAnsi="Times New Roman" w:cs="Times New Roman"/>
          <w:sz w:val="24"/>
        </w:rPr>
        <w:t xml:space="preserve"> denuncias, quejas y peticiones relacionadas con los derechos </w:t>
      </w:r>
      <w:r w:rsidR="000F44A9" w:rsidRPr="006C33F9">
        <w:rPr>
          <w:rFonts w:ascii="Times New Roman" w:hAnsi="Times New Roman" w:cs="Times New Roman"/>
          <w:sz w:val="24"/>
        </w:rPr>
        <w:t>civiles</w:t>
      </w:r>
      <w:r w:rsidR="00264348" w:rsidRPr="006C33F9">
        <w:rPr>
          <w:rFonts w:ascii="Times New Roman" w:hAnsi="Times New Roman" w:cs="Times New Roman"/>
          <w:sz w:val="24"/>
        </w:rPr>
        <w:t>, siendo las de mayor número</w:t>
      </w:r>
      <w:r w:rsidR="00AB6514" w:rsidRPr="006C33F9">
        <w:rPr>
          <w:rFonts w:ascii="Times New Roman" w:hAnsi="Times New Roman" w:cs="Times New Roman"/>
          <w:sz w:val="24"/>
        </w:rPr>
        <w:t>,</w:t>
      </w:r>
      <w:r w:rsidR="00264348" w:rsidRPr="006C33F9">
        <w:rPr>
          <w:rFonts w:ascii="Times New Roman" w:hAnsi="Times New Roman" w:cs="Times New Roman"/>
          <w:sz w:val="24"/>
        </w:rPr>
        <w:t xml:space="preserve"> aquellas vinculadas con el Derecho a la integridad personal (</w:t>
      </w:r>
      <w:r w:rsidR="00F66132">
        <w:rPr>
          <w:rFonts w:ascii="Times New Roman" w:hAnsi="Times New Roman" w:cs="Times New Roman"/>
          <w:sz w:val="24"/>
        </w:rPr>
        <w:t>21</w:t>
      </w:r>
      <w:r w:rsidR="00264348" w:rsidRPr="006C33F9">
        <w:rPr>
          <w:rFonts w:ascii="Times New Roman" w:hAnsi="Times New Roman" w:cs="Times New Roman"/>
          <w:sz w:val="24"/>
        </w:rPr>
        <w:t>.</w:t>
      </w:r>
      <w:r w:rsidR="00F66132">
        <w:rPr>
          <w:rFonts w:ascii="Times New Roman" w:hAnsi="Times New Roman" w:cs="Times New Roman"/>
          <w:sz w:val="24"/>
        </w:rPr>
        <w:t>910</w:t>
      </w:r>
      <w:r w:rsidR="00264348" w:rsidRPr="006C33F9">
        <w:rPr>
          <w:rFonts w:ascii="Times New Roman" w:hAnsi="Times New Roman" w:cs="Times New Roman"/>
          <w:sz w:val="24"/>
        </w:rPr>
        <w:t>), al Derecho a realizar peticiones ante la administración pública y</w:t>
      </w:r>
      <w:r w:rsidR="00AB6514" w:rsidRPr="006C33F9">
        <w:rPr>
          <w:rFonts w:ascii="Times New Roman" w:hAnsi="Times New Roman" w:cs="Times New Roman"/>
          <w:sz w:val="24"/>
        </w:rPr>
        <w:t xml:space="preserve"> </w:t>
      </w:r>
      <w:r w:rsidR="00264348" w:rsidRPr="006C33F9">
        <w:rPr>
          <w:rFonts w:ascii="Times New Roman" w:hAnsi="Times New Roman" w:cs="Times New Roman"/>
          <w:sz w:val="24"/>
        </w:rPr>
        <w:t>a</w:t>
      </w:r>
      <w:r w:rsidR="006C33F9" w:rsidRPr="006C33F9">
        <w:rPr>
          <w:rFonts w:ascii="Times New Roman" w:hAnsi="Times New Roman" w:cs="Times New Roman"/>
          <w:sz w:val="24"/>
        </w:rPr>
        <w:t xml:space="preserve"> </w:t>
      </w:r>
      <w:r w:rsidR="00264348" w:rsidRPr="006C33F9">
        <w:rPr>
          <w:rFonts w:ascii="Times New Roman" w:hAnsi="Times New Roman" w:cs="Times New Roman"/>
          <w:sz w:val="24"/>
        </w:rPr>
        <w:t>obtener oportuna y adecuada respuesta (</w:t>
      </w:r>
      <w:r w:rsidR="00F66132">
        <w:rPr>
          <w:rFonts w:ascii="Times New Roman" w:hAnsi="Times New Roman" w:cs="Times New Roman"/>
          <w:sz w:val="24"/>
        </w:rPr>
        <w:t>11.461</w:t>
      </w:r>
      <w:r w:rsidR="00264348" w:rsidRPr="006C33F9">
        <w:rPr>
          <w:rFonts w:ascii="Times New Roman" w:hAnsi="Times New Roman" w:cs="Times New Roman"/>
          <w:sz w:val="24"/>
        </w:rPr>
        <w:t>) y sobre el Derecho al debido proceso</w:t>
      </w:r>
      <w:r w:rsidR="000F44A9" w:rsidRPr="006C33F9">
        <w:rPr>
          <w:rFonts w:ascii="Times New Roman" w:hAnsi="Times New Roman" w:cs="Times New Roman"/>
          <w:sz w:val="24"/>
        </w:rPr>
        <w:t xml:space="preserve"> </w:t>
      </w:r>
      <w:r w:rsidR="00264348" w:rsidRPr="006C33F9">
        <w:rPr>
          <w:rFonts w:ascii="Times New Roman" w:hAnsi="Times New Roman" w:cs="Times New Roman"/>
          <w:sz w:val="24"/>
        </w:rPr>
        <w:t>(</w:t>
      </w:r>
      <w:r w:rsidR="00F66132">
        <w:rPr>
          <w:rFonts w:ascii="Times New Roman" w:hAnsi="Times New Roman" w:cs="Times New Roman"/>
          <w:sz w:val="24"/>
        </w:rPr>
        <w:t>9.899</w:t>
      </w:r>
      <w:r w:rsidR="00264348" w:rsidRPr="006C33F9">
        <w:rPr>
          <w:rFonts w:ascii="Times New Roman" w:hAnsi="Times New Roman" w:cs="Times New Roman"/>
          <w:sz w:val="24"/>
        </w:rPr>
        <w:t xml:space="preserve">). Se han recibido </w:t>
      </w:r>
      <w:r w:rsidR="00D453A0">
        <w:rPr>
          <w:rFonts w:ascii="Times New Roman" w:hAnsi="Times New Roman" w:cs="Times New Roman"/>
          <w:sz w:val="24"/>
        </w:rPr>
        <w:t>1.016</w:t>
      </w:r>
      <w:r w:rsidR="00CA337B" w:rsidRPr="006C33F9">
        <w:rPr>
          <w:rFonts w:ascii="Times New Roman" w:hAnsi="Times New Roman" w:cs="Times New Roman"/>
          <w:sz w:val="24"/>
        </w:rPr>
        <w:t xml:space="preserve"> </w:t>
      </w:r>
      <w:r w:rsidR="00264348" w:rsidRPr="006C33F9">
        <w:rPr>
          <w:rFonts w:ascii="Times New Roman" w:hAnsi="Times New Roman" w:cs="Times New Roman"/>
          <w:sz w:val="24"/>
        </w:rPr>
        <w:t xml:space="preserve">denuncias, quejas y peticiones referidas a </w:t>
      </w:r>
      <w:r w:rsidR="00CA337B" w:rsidRPr="006C33F9">
        <w:rPr>
          <w:rFonts w:ascii="Times New Roman" w:hAnsi="Times New Roman" w:cs="Times New Roman"/>
          <w:sz w:val="24"/>
        </w:rPr>
        <w:t xml:space="preserve">los derechos </w:t>
      </w:r>
      <w:r w:rsidR="000F44A9" w:rsidRPr="006C33F9">
        <w:rPr>
          <w:rFonts w:ascii="Times New Roman" w:hAnsi="Times New Roman" w:cs="Times New Roman"/>
          <w:sz w:val="24"/>
        </w:rPr>
        <w:t>políticos</w:t>
      </w:r>
      <w:r w:rsidR="00264348" w:rsidRPr="006C33F9">
        <w:rPr>
          <w:rFonts w:ascii="Times New Roman" w:hAnsi="Times New Roman" w:cs="Times New Roman"/>
          <w:sz w:val="24"/>
        </w:rPr>
        <w:t>, estableciéndose como principal derecho vulnerado, el Derecho al sufragio con 4</w:t>
      </w:r>
      <w:r w:rsidR="00D453A0">
        <w:rPr>
          <w:rFonts w:ascii="Times New Roman" w:hAnsi="Times New Roman" w:cs="Times New Roman"/>
          <w:sz w:val="24"/>
        </w:rPr>
        <w:t>92</w:t>
      </w:r>
      <w:r w:rsidR="00264348" w:rsidRPr="006C33F9">
        <w:rPr>
          <w:rFonts w:ascii="Times New Roman" w:hAnsi="Times New Roman" w:cs="Times New Roman"/>
          <w:sz w:val="24"/>
        </w:rPr>
        <w:t xml:space="preserve"> denuncias, quejas y peticiones.</w:t>
      </w:r>
    </w:p>
    <w:p w:rsidR="00F55B81" w:rsidRPr="00802A06" w:rsidRDefault="00F55B81" w:rsidP="00802A06">
      <w:pPr>
        <w:spacing w:before="120" w:after="120" w:line="240" w:lineRule="auto"/>
        <w:jc w:val="both"/>
        <w:rPr>
          <w:rFonts w:ascii="Times New Roman" w:hAnsi="Times New Roman" w:cs="Times New Roman"/>
          <w:b/>
          <w:sz w:val="20"/>
        </w:rPr>
      </w:pPr>
      <w:r w:rsidRPr="00802A06">
        <w:rPr>
          <w:rFonts w:ascii="Times New Roman" w:hAnsi="Times New Roman" w:cs="Times New Roman"/>
          <w:b/>
          <w:sz w:val="20"/>
        </w:rPr>
        <w:t>La Defensoría del Pueblo y el Sistema de Justicia Penal</w:t>
      </w:r>
    </w:p>
    <w:p w:rsidR="00F55B81" w:rsidRPr="00AB6514" w:rsidRDefault="00A1748E" w:rsidP="00F55B81">
      <w:pPr>
        <w:pStyle w:val="Normal2"/>
        <w:spacing w:before="120" w:after="120"/>
        <w:jc w:val="both"/>
      </w:pPr>
      <w:r>
        <w:t>6</w:t>
      </w:r>
      <w:r w:rsidR="00F55B81" w:rsidRPr="00AB6514">
        <w:t xml:space="preserve">. La </w:t>
      </w:r>
      <w:r w:rsidR="00AB6514" w:rsidRPr="00AB6514">
        <w:t>DdP</w:t>
      </w:r>
      <w:r w:rsidR="00F55B81" w:rsidRPr="00AB6514">
        <w:t>, conforme a lo establecido en la norma constitucional, no forma parte del sistema de justicia como tal</w:t>
      </w:r>
      <w:r w:rsidR="00F55B81" w:rsidRPr="00AB6514">
        <w:rPr>
          <w:rStyle w:val="Refdenotaalpie"/>
        </w:rPr>
        <w:footnoteReference w:id="13"/>
      </w:r>
      <w:r w:rsidR="00F55B81" w:rsidRPr="00AB6514">
        <w:t xml:space="preserve">. Sin embargo, la Institución mantiene una relación natural de coexistencia con el sistema judicial venezolano, lo que ha permitido que dentro del marco de cooperación institucional, sea notificada por parte del Poder Judicial para que preste asistencia en los aspectos técnicos de su interés y relacionados con sus objetivos.  </w:t>
      </w:r>
    </w:p>
    <w:p w:rsidR="004D23CC" w:rsidRPr="00AB6514" w:rsidRDefault="00A1748E" w:rsidP="004D23CC">
      <w:pPr>
        <w:spacing w:before="120" w:after="120" w:line="240" w:lineRule="auto"/>
        <w:jc w:val="both"/>
        <w:rPr>
          <w:rFonts w:ascii="Times New Roman" w:hAnsi="Times New Roman" w:cs="Times New Roman"/>
          <w:iCs/>
          <w:sz w:val="28"/>
          <w:szCs w:val="24"/>
        </w:rPr>
      </w:pPr>
      <w:r>
        <w:rPr>
          <w:rFonts w:ascii="Times New Roman" w:hAnsi="Times New Roman" w:cs="Times New Roman"/>
          <w:sz w:val="24"/>
        </w:rPr>
        <w:t>7</w:t>
      </w:r>
      <w:r w:rsidR="001E4E7B" w:rsidRPr="00AB6514">
        <w:rPr>
          <w:rFonts w:ascii="Times New Roman" w:hAnsi="Times New Roman" w:cs="Times New Roman"/>
          <w:sz w:val="24"/>
        </w:rPr>
        <w:t xml:space="preserve">. </w:t>
      </w:r>
      <w:r w:rsidR="004D23CC" w:rsidRPr="00AB6514">
        <w:rPr>
          <w:rFonts w:ascii="Times New Roman" w:hAnsi="Times New Roman" w:cs="Times New Roman"/>
          <w:sz w:val="24"/>
        </w:rPr>
        <w:t xml:space="preserve">La relación entre la Defensoría del Pueblo y el </w:t>
      </w:r>
      <w:r w:rsidR="00347192">
        <w:rPr>
          <w:rFonts w:ascii="Times New Roman" w:hAnsi="Times New Roman" w:cs="Times New Roman"/>
          <w:sz w:val="24"/>
        </w:rPr>
        <w:t>Sistema de Justicia</w:t>
      </w:r>
      <w:r w:rsidR="004D23CC" w:rsidRPr="00AB6514">
        <w:rPr>
          <w:rFonts w:ascii="Times New Roman" w:hAnsi="Times New Roman" w:cs="Times New Roman"/>
          <w:sz w:val="24"/>
        </w:rPr>
        <w:t xml:space="preserve"> </w:t>
      </w:r>
      <w:r w:rsidR="00B6214F">
        <w:rPr>
          <w:rFonts w:ascii="Times New Roman" w:hAnsi="Times New Roman" w:cs="Times New Roman"/>
          <w:sz w:val="24"/>
        </w:rPr>
        <w:t xml:space="preserve">Penal </w:t>
      </w:r>
      <w:r w:rsidR="004D23CC" w:rsidRPr="00AB6514">
        <w:rPr>
          <w:rFonts w:ascii="Times New Roman" w:hAnsi="Times New Roman" w:cs="Times New Roman"/>
          <w:sz w:val="24"/>
        </w:rPr>
        <w:t>se concreta en el ámbito procesal; desarrollándose en tres aspectos: la legitimación activa de la Defensoría para presentar acciones y recursos ante tribunales, la facultad de elevar denuncias contra funcionarios en el Ministerio Público, y la facultad de velar por las garantías del debido proceso y de la tutela judicial efectiva, en concurrencia con el Ministerio Público, responsable de garantizar los derechos y garantías asociadas al proceso.</w:t>
      </w:r>
    </w:p>
    <w:p w:rsidR="004D23CC" w:rsidRPr="00AB6514" w:rsidRDefault="00A1748E" w:rsidP="004D23CC">
      <w:pPr>
        <w:pStyle w:val="Normal2"/>
        <w:spacing w:before="120" w:after="120"/>
        <w:jc w:val="both"/>
      </w:pPr>
      <w:r>
        <w:t>8</w:t>
      </w:r>
      <w:r w:rsidR="00F55B81" w:rsidRPr="00AB6514">
        <w:t xml:space="preserve">. Estas relaciones de colaboración implican, a su vez, representación judicial en los </w:t>
      </w:r>
      <w:r w:rsidR="00F55B81" w:rsidRPr="00AB6514">
        <w:lastRenderedPageBreak/>
        <w:t xml:space="preserve">procesos judiciales de </w:t>
      </w:r>
      <w:r w:rsidR="00AB6514" w:rsidRPr="00AB6514">
        <w:t xml:space="preserve">recurso de interpretación de una norma constitucional, recursos de nulidad de una norma constitucional, acción de amparo constitucional, acciones en materia de servicios públicos, acciones protectoras de derechos humanos, recursos de </w:t>
      </w:r>
      <w:r w:rsidR="00AB6514" w:rsidRPr="00AB6514">
        <w:rPr>
          <w:i/>
        </w:rPr>
        <w:t>habeas data</w:t>
      </w:r>
      <w:r w:rsidR="00AB6514" w:rsidRPr="00AB6514">
        <w:t xml:space="preserve"> y </w:t>
      </w:r>
      <w:r w:rsidR="00AB6514" w:rsidRPr="00AB6514">
        <w:rPr>
          <w:i/>
        </w:rPr>
        <w:t>habeas corpus</w:t>
      </w:r>
      <w:r w:rsidR="00AB6514" w:rsidRPr="00AB6514">
        <w:t xml:space="preserve">. En tal sentido, el llamamiento a la DdP y su presencia en los casos citados, permite cumplir con la misión de velar por la vigencia de los derechos humanos ante el sistema judicial venezolano. </w:t>
      </w:r>
    </w:p>
    <w:p w:rsidR="003B14F4" w:rsidRPr="00802A06" w:rsidRDefault="003B14F4" w:rsidP="00802A06">
      <w:pPr>
        <w:spacing w:before="120" w:after="120" w:line="240" w:lineRule="auto"/>
        <w:jc w:val="both"/>
        <w:rPr>
          <w:rFonts w:ascii="Times New Roman" w:hAnsi="Times New Roman" w:cs="Times New Roman"/>
          <w:b/>
          <w:sz w:val="20"/>
        </w:rPr>
      </w:pPr>
      <w:r w:rsidRPr="00802A06">
        <w:rPr>
          <w:rFonts w:ascii="Times New Roman" w:hAnsi="Times New Roman" w:cs="Times New Roman"/>
          <w:b/>
          <w:sz w:val="20"/>
        </w:rPr>
        <w:t xml:space="preserve">Tercería y acción penal </w:t>
      </w:r>
    </w:p>
    <w:p w:rsidR="003B14F4" w:rsidRPr="00AB6514" w:rsidRDefault="00A1748E" w:rsidP="003B14F4">
      <w:pPr>
        <w:pStyle w:val="Sangra3detindependiente2"/>
        <w:spacing w:before="120" w:after="120"/>
        <w:jc w:val="both"/>
      </w:pPr>
      <w:r>
        <w:t>9</w:t>
      </w:r>
      <w:r w:rsidR="00802A06" w:rsidRPr="00AB6514">
        <w:t xml:space="preserve">. </w:t>
      </w:r>
      <w:r w:rsidR="0069483F" w:rsidRPr="00AB6514">
        <w:t>L</w:t>
      </w:r>
      <w:r w:rsidR="003B14F4" w:rsidRPr="00AB6514">
        <w:t xml:space="preserve">a Institución tiene competencia para intervenir en los procesos judiciales iniciados por acciones interpuestas por personas diferentes a la </w:t>
      </w:r>
      <w:r w:rsidR="00AB6514" w:rsidRPr="00AB6514">
        <w:t>DdP</w:t>
      </w:r>
      <w:r w:rsidR="003B14F4" w:rsidRPr="00AB6514">
        <w:t>, en calidad de tercero coadyuvante de cualquiera de las partes. En estos casos</w:t>
      </w:r>
      <w:r w:rsidR="00AB6514" w:rsidRPr="00AB6514">
        <w:t>,</w:t>
      </w:r>
      <w:r w:rsidR="003B14F4" w:rsidRPr="00AB6514">
        <w:t xml:space="preserve"> la actuación obedece a la solicitud formulada por la parte accionante o accionada, por la notificación que realice el tribunal que est</w:t>
      </w:r>
      <w:r w:rsidR="00AB6514" w:rsidRPr="00AB6514">
        <w:t>é</w:t>
      </w:r>
      <w:r w:rsidR="003B14F4" w:rsidRPr="00AB6514">
        <w:t xml:space="preserve"> conociendo del asunto planteado, o por motivación de oficio de la propia Institución; y se concreta con la constatación en el expediente de la necesidad de proteger un derecho o garantía que está siendo vulnerado o amenazado de manera inminente. </w:t>
      </w:r>
    </w:p>
    <w:p w:rsidR="003B14F4" w:rsidRPr="00B31A0C" w:rsidRDefault="00A1748E" w:rsidP="003B14F4">
      <w:pPr>
        <w:pStyle w:val="Textoindependiente3"/>
        <w:spacing w:before="120" w:after="120"/>
        <w:jc w:val="both"/>
      </w:pPr>
      <w:r>
        <w:t>10</w:t>
      </w:r>
      <w:r w:rsidR="00802A06" w:rsidRPr="00B31A0C">
        <w:t xml:space="preserve">. </w:t>
      </w:r>
      <w:r w:rsidR="00AB6514" w:rsidRPr="00B31A0C">
        <w:t>La DdP, s</w:t>
      </w:r>
      <w:r w:rsidR="003B14F4" w:rsidRPr="00B31A0C">
        <w:t>e encuentra facultada para interponer una querella penal</w:t>
      </w:r>
      <w:r w:rsidR="0072163A" w:rsidRPr="00B31A0C">
        <w:t xml:space="preserve"> (artículos 123 y 124 COPP)</w:t>
      </w:r>
      <w:r w:rsidR="003B14F4" w:rsidRPr="00B31A0C">
        <w:t xml:space="preserve">. La querella es uno de los modos de inicio del proceso penal establecido en </w:t>
      </w:r>
      <w:r w:rsidR="0072163A" w:rsidRPr="00B31A0C">
        <w:t xml:space="preserve">el Código Orgánico Procesal Penal (COPP), </w:t>
      </w:r>
      <w:r w:rsidR="00B31A0C" w:rsidRPr="00B31A0C">
        <w:t>donde</w:t>
      </w:r>
      <w:r w:rsidR="003B14F4" w:rsidRPr="00B31A0C">
        <w:t xml:space="preserve"> la víctima, </w:t>
      </w:r>
      <w:r w:rsidR="0072163A" w:rsidRPr="00B31A0C">
        <w:t xml:space="preserve">algún familiar de la víctima, </w:t>
      </w:r>
      <w:r w:rsidR="003B14F4" w:rsidRPr="00B31A0C">
        <w:t xml:space="preserve">la Defensoría del Pueblo o cualquier organización no gubernamental de derechos humanos, cuando corresponda según la ley, se hacen parte activa y dotada de derechos, deberes y cargas, en la fase preparatoria del proceso penal.  </w:t>
      </w:r>
    </w:p>
    <w:p w:rsidR="00F55B81" w:rsidRPr="00CE5A6F" w:rsidRDefault="00F55B81" w:rsidP="00802A06">
      <w:pPr>
        <w:pBdr>
          <w:bottom w:val="single" w:sz="4" w:space="1" w:color="auto"/>
        </w:pBdr>
        <w:spacing w:before="120" w:after="120" w:line="240" w:lineRule="auto"/>
        <w:jc w:val="both"/>
        <w:rPr>
          <w:rFonts w:ascii="Times New Roman" w:hAnsi="Times New Roman" w:cs="Times New Roman"/>
          <w:b/>
          <w:sz w:val="24"/>
          <w:szCs w:val="24"/>
        </w:rPr>
      </w:pPr>
      <w:r w:rsidRPr="00CE5A6F">
        <w:rPr>
          <w:rFonts w:ascii="Times New Roman" w:hAnsi="Times New Roman" w:cs="Times New Roman"/>
          <w:b/>
          <w:sz w:val="24"/>
          <w:szCs w:val="24"/>
        </w:rPr>
        <w:t>Actuaciones de la Defensoría del Pueblo</w:t>
      </w:r>
    </w:p>
    <w:p w:rsidR="00C11FE2" w:rsidRPr="00802A06" w:rsidRDefault="00C11FE2" w:rsidP="00802A06">
      <w:pPr>
        <w:spacing w:before="120" w:after="120" w:line="240" w:lineRule="auto"/>
        <w:jc w:val="both"/>
        <w:rPr>
          <w:rFonts w:ascii="Times New Roman" w:hAnsi="Times New Roman" w:cs="Times New Roman"/>
          <w:b/>
          <w:sz w:val="20"/>
        </w:rPr>
      </w:pPr>
      <w:r w:rsidRPr="00802A06">
        <w:rPr>
          <w:rFonts w:ascii="Times New Roman" w:hAnsi="Times New Roman" w:cs="Times New Roman"/>
          <w:b/>
          <w:sz w:val="20"/>
        </w:rPr>
        <w:t>Derecho al sufragio</w:t>
      </w:r>
    </w:p>
    <w:p w:rsidR="00C11FE2" w:rsidRPr="00B31A0C" w:rsidRDefault="00A1748E" w:rsidP="00C11FE2">
      <w:pPr>
        <w:pStyle w:val="Default"/>
        <w:spacing w:before="120" w:after="120"/>
        <w:jc w:val="both"/>
        <w:rPr>
          <w:color w:val="auto"/>
          <w:lang w:val="es-VE" w:eastAsia="es-VE"/>
        </w:rPr>
      </w:pPr>
      <w:r>
        <w:rPr>
          <w:color w:val="auto"/>
          <w:lang w:val="es-VE" w:eastAsia="es-VE"/>
        </w:rPr>
        <w:t>11</w:t>
      </w:r>
      <w:r w:rsidR="00802A06" w:rsidRPr="00B31A0C">
        <w:rPr>
          <w:color w:val="auto"/>
          <w:lang w:val="es-VE" w:eastAsia="es-VE"/>
        </w:rPr>
        <w:t xml:space="preserve">. </w:t>
      </w:r>
      <w:r w:rsidR="00C11FE2" w:rsidRPr="00B31A0C">
        <w:rPr>
          <w:color w:val="auto"/>
          <w:lang w:val="es-VE" w:eastAsia="es-VE"/>
        </w:rPr>
        <w:t>La Defensoría del Pueblo, ha participado en los diferentes procesos electorales realizados en el país. La Institución da cuenta de un sistema electoral maduro y con la experiencia de haber realizado desde 2000 un total de cuatro elecciones presidenciales (2000 relegitimación de los poderes, 2006, 2013 y 2014), un referendo revocatorio a la presidencia (2004), tres elecciones parlamentarias (2000, 2005 y 2010), cinco elecciones regionales completas y parciales (2000, 2004, 2008, 2010 y 2012) y cuatro elecciones municipales (2004, 2008, 2010 y 2013).</w:t>
      </w:r>
      <w:r w:rsidR="00C11FE2" w:rsidRPr="00B31A0C">
        <w:rPr>
          <w:color w:val="auto"/>
        </w:rPr>
        <w:t xml:space="preserve"> </w:t>
      </w:r>
      <w:r w:rsidR="00D453A0">
        <w:rPr>
          <w:color w:val="auto"/>
        </w:rPr>
        <w:t xml:space="preserve">Durante 2014, la Institución activó a su personal en los municipios San Cristóbal y San Diego de los estados Táchira y Carabobo, respectivamente, a fin de observar el desarrollo de las elecciones de alcaldes/as en dichos municipios, así como resguardar el derecho de las personas a elegir a sus representantes locales. </w:t>
      </w:r>
    </w:p>
    <w:p w:rsidR="00C11FE2" w:rsidRPr="00B31A0C" w:rsidRDefault="00802A06" w:rsidP="00C11FE2">
      <w:pPr>
        <w:pStyle w:val="Default"/>
        <w:spacing w:before="120" w:after="120"/>
        <w:jc w:val="both"/>
        <w:rPr>
          <w:color w:val="auto"/>
          <w:lang w:val="es-VE" w:eastAsia="es-VE"/>
        </w:rPr>
      </w:pPr>
      <w:r w:rsidRPr="00B31A0C">
        <w:rPr>
          <w:color w:val="auto"/>
          <w:lang w:val="es-VE" w:eastAsia="es-VE"/>
        </w:rPr>
        <w:t>1</w:t>
      </w:r>
      <w:r w:rsidR="00A1748E">
        <w:rPr>
          <w:color w:val="auto"/>
          <w:lang w:val="es-VE" w:eastAsia="es-VE"/>
        </w:rPr>
        <w:t>2</w:t>
      </w:r>
      <w:r w:rsidRPr="00B31A0C">
        <w:rPr>
          <w:color w:val="auto"/>
          <w:lang w:val="es-VE" w:eastAsia="es-VE"/>
        </w:rPr>
        <w:t>. H</w:t>
      </w:r>
      <w:r w:rsidR="00C11FE2" w:rsidRPr="00B31A0C">
        <w:rPr>
          <w:color w:val="auto"/>
          <w:lang w:val="es-VE" w:eastAsia="es-VE"/>
        </w:rPr>
        <w:t xml:space="preserve">a elaborado lineamientos y formatos de recolección de datos a ser empleados por las sedes regionales, a fin de sistematizar y elaborar los informes necesarios para actuar de manera célere ante posibles vulneraciones a los derechos humanos en dichos procesos. Así, se ha desplegado en todo el territorio nacional, y ha participado en cada una de las fases de </w:t>
      </w:r>
      <w:r w:rsidR="00C11FE2" w:rsidRPr="00B31A0C">
        <w:rPr>
          <w:color w:val="auto"/>
          <w:lang w:val="es-VE" w:eastAsia="es-VE"/>
        </w:rPr>
        <w:lastRenderedPageBreak/>
        <w:t>los procesos electorales (instalación y constitución de mesas, votación, cierre y verificación ciudadana)</w:t>
      </w:r>
      <w:r w:rsidR="00C11FE2" w:rsidRPr="00B31A0C">
        <w:rPr>
          <w:rStyle w:val="Refdenotaalpie"/>
          <w:color w:val="auto"/>
          <w:lang w:val="es-VE" w:eastAsia="es-VE"/>
        </w:rPr>
        <w:footnoteReference w:id="14"/>
      </w:r>
      <w:r w:rsidR="00C11FE2" w:rsidRPr="00B31A0C">
        <w:rPr>
          <w:color w:val="auto"/>
          <w:lang w:val="es-VE" w:eastAsia="es-VE"/>
        </w:rPr>
        <w:t xml:space="preserve">. </w:t>
      </w:r>
    </w:p>
    <w:p w:rsidR="00B31A0C" w:rsidRDefault="00802A06" w:rsidP="00C11FE2">
      <w:pPr>
        <w:spacing w:before="120" w:after="120" w:line="240" w:lineRule="auto"/>
        <w:jc w:val="both"/>
        <w:rPr>
          <w:rFonts w:ascii="Times New Roman" w:hAnsi="Times New Roman" w:cs="Times New Roman"/>
          <w:sz w:val="24"/>
          <w:szCs w:val="24"/>
        </w:rPr>
      </w:pPr>
      <w:r w:rsidRPr="00B31A0C">
        <w:rPr>
          <w:rFonts w:ascii="Times New Roman" w:hAnsi="Times New Roman" w:cs="Times New Roman"/>
          <w:sz w:val="24"/>
          <w:szCs w:val="24"/>
        </w:rPr>
        <w:t>1</w:t>
      </w:r>
      <w:r w:rsidR="00A1748E">
        <w:rPr>
          <w:rFonts w:ascii="Times New Roman" w:hAnsi="Times New Roman" w:cs="Times New Roman"/>
          <w:sz w:val="24"/>
          <w:szCs w:val="24"/>
        </w:rPr>
        <w:t>3</w:t>
      </w:r>
      <w:r w:rsidRPr="00B31A0C">
        <w:rPr>
          <w:rFonts w:ascii="Times New Roman" w:hAnsi="Times New Roman" w:cs="Times New Roman"/>
          <w:sz w:val="24"/>
          <w:szCs w:val="24"/>
        </w:rPr>
        <w:t xml:space="preserve">. </w:t>
      </w:r>
      <w:r w:rsidR="00C11FE2" w:rsidRPr="00B31A0C">
        <w:rPr>
          <w:rFonts w:ascii="Times New Roman" w:hAnsi="Times New Roman" w:cs="Times New Roman"/>
          <w:sz w:val="24"/>
          <w:szCs w:val="24"/>
        </w:rPr>
        <w:t>En 2010, diseñó la campaña “</w:t>
      </w:r>
      <w:r w:rsidR="00C11FE2" w:rsidRPr="00B31A0C">
        <w:rPr>
          <w:rFonts w:ascii="Times New Roman" w:hAnsi="Times New Roman" w:cs="Times New Roman"/>
          <w:i/>
          <w:sz w:val="24"/>
          <w:szCs w:val="24"/>
        </w:rPr>
        <w:t>Derechito a Votar</w:t>
      </w:r>
      <w:r w:rsidR="00C11FE2" w:rsidRPr="00B31A0C">
        <w:rPr>
          <w:rFonts w:ascii="Times New Roman" w:hAnsi="Times New Roman" w:cs="Times New Roman"/>
          <w:sz w:val="24"/>
          <w:szCs w:val="24"/>
        </w:rPr>
        <w:t xml:space="preserve">”, </w:t>
      </w:r>
      <w:r w:rsidR="007208BD" w:rsidRPr="00B31A0C">
        <w:rPr>
          <w:rFonts w:ascii="Times New Roman" w:hAnsi="Times New Roman" w:cs="Times New Roman"/>
          <w:sz w:val="24"/>
          <w:szCs w:val="24"/>
        </w:rPr>
        <w:t xml:space="preserve">para fomentar </w:t>
      </w:r>
      <w:r w:rsidR="00B31A0C">
        <w:rPr>
          <w:rFonts w:ascii="Times New Roman" w:hAnsi="Times New Roman" w:cs="Times New Roman"/>
          <w:sz w:val="24"/>
          <w:szCs w:val="24"/>
        </w:rPr>
        <w:t>el</w:t>
      </w:r>
      <w:r w:rsidR="00C11FE2" w:rsidRPr="00B31A0C">
        <w:rPr>
          <w:rFonts w:ascii="Times New Roman" w:hAnsi="Times New Roman" w:cs="Times New Roman"/>
          <w:sz w:val="24"/>
          <w:szCs w:val="24"/>
        </w:rPr>
        <w:t xml:space="preserve"> deber ciudadano </w:t>
      </w:r>
      <w:r w:rsidR="007208BD" w:rsidRPr="00B31A0C">
        <w:rPr>
          <w:rFonts w:ascii="Times New Roman" w:hAnsi="Times New Roman" w:cs="Times New Roman"/>
          <w:sz w:val="24"/>
          <w:szCs w:val="24"/>
        </w:rPr>
        <w:t>de</w:t>
      </w:r>
      <w:r w:rsidR="00C11FE2" w:rsidRPr="00B31A0C">
        <w:rPr>
          <w:rFonts w:ascii="Times New Roman" w:hAnsi="Times New Roman" w:cs="Times New Roman"/>
          <w:sz w:val="24"/>
          <w:szCs w:val="24"/>
        </w:rPr>
        <w:t xml:space="preserve"> ejercer </w:t>
      </w:r>
      <w:r w:rsidR="007208BD" w:rsidRPr="00B31A0C">
        <w:rPr>
          <w:rFonts w:ascii="Times New Roman" w:hAnsi="Times New Roman" w:cs="Times New Roman"/>
          <w:sz w:val="24"/>
          <w:szCs w:val="24"/>
        </w:rPr>
        <w:t>el</w:t>
      </w:r>
      <w:r w:rsidR="00C11FE2" w:rsidRPr="00B31A0C">
        <w:rPr>
          <w:rFonts w:ascii="Times New Roman" w:hAnsi="Times New Roman" w:cs="Times New Roman"/>
          <w:sz w:val="24"/>
          <w:szCs w:val="24"/>
        </w:rPr>
        <w:t xml:space="preserve"> derecho al voto. De data reciente </w:t>
      </w:r>
      <w:r w:rsidR="007208BD" w:rsidRPr="00B31A0C">
        <w:rPr>
          <w:rFonts w:ascii="Times New Roman" w:hAnsi="Times New Roman" w:cs="Times New Roman"/>
          <w:sz w:val="24"/>
          <w:szCs w:val="24"/>
        </w:rPr>
        <w:t xml:space="preserve">son </w:t>
      </w:r>
      <w:r w:rsidR="007208BD" w:rsidRPr="00B31A0C">
        <w:rPr>
          <w:rFonts w:ascii="Times New Roman" w:hAnsi="Times New Roman" w:cs="Times New Roman"/>
          <w:iCs/>
          <w:sz w:val="24"/>
          <w:szCs w:val="24"/>
          <w:lang w:val="es-MX"/>
        </w:rPr>
        <w:t>el “</w:t>
      </w:r>
      <w:r w:rsidR="007208BD" w:rsidRPr="00B31A0C">
        <w:rPr>
          <w:rFonts w:ascii="Times New Roman" w:hAnsi="Times New Roman" w:cs="Times New Roman"/>
          <w:i/>
          <w:iCs/>
          <w:sz w:val="24"/>
          <w:szCs w:val="24"/>
          <w:lang w:val="es-MX"/>
        </w:rPr>
        <w:t>Manual del facilitador: Taller del voto</w:t>
      </w:r>
      <w:r w:rsidR="007208BD" w:rsidRPr="00B31A0C">
        <w:rPr>
          <w:rFonts w:ascii="Times New Roman" w:hAnsi="Times New Roman" w:cs="Times New Roman"/>
          <w:iCs/>
          <w:sz w:val="24"/>
          <w:szCs w:val="24"/>
          <w:lang w:val="es-MX"/>
        </w:rPr>
        <w:t xml:space="preserve">” y </w:t>
      </w:r>
      <w:r w:rsidR="00C11FE2" w:rsidRPr="00B31A0C">
        <w:rPr>
          <w:rFonts w:ascii="Times New Roman" w:hAnsi="Times New Roman" w:cs="Times New Roman"/>
          <w:sz w:val="24"/>
          <w:szCs w:val="24"/>
        </w:rPr>
        <w:t xml:space="preserve">la </w:t>
      </w:r>
      <w:r w:rsidR="00C11FE2" w:rsidRPr="00B31A0C">
        <w:rPr>
          <w:rFonts w:ascii="Times New Roman" w:hAnsi="Times New Roman" w:cs="Times New Roman"/>
          <w:i/>
          <w:sz w:val="24"/>
          <w:szCs w:val="24"/>
        </w:rPr>
        <w:t>Compilación Legal Electoral 2012</w:t>
      </w:r>
      <w:r w:rsidR="00C11FE2" w:rsidRPr="00B31A0C">
        <w:rPr>
          <w:rFonts w:ascii="Times New Roman" w:hAnsi="Times New Roman" w:cs="Times New Roman"/>
          <w:sz w:val="24"/>
          <w:szCs w:val="24"/>
        </w:rPr>
        <w:t>, que ha sido desarrollada a fin de contribuir al fortalecimiento de una cultura democrática en nuestro país y el ejercicio consciente del derecho al sufragio por parte de todos y todas.</w:t>
      </w:r>
      <w:r w:rsidR="007208BD" w:rsidRPr="00B31A0C">
        <w:rPr>
          <w:rFonts w:ascii="Times New Roman" w:hAnsi="Times New Roman" w:cs="Times New Roman"/>
          <w:sz w:val="24"/>
          <w:szCs w:val="24"/>
        </w:rPr>
        <w:t xml:space="preserve"> </w:t>
      </w:r>
    </w:p>
    <w:p w:rsidR="00E717FA" w:rsidRDefault="00E717FA" w:rsidP="00C11FE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14. </w:t>
      </w:r>
      <w:r w:rsidRPr="00E717FA">
        <w:rPr>
          <w:rFonts w:ascii="Times New Roman" w:hAnsi="Times New Roman" w:cs="Times New Roman"/>
          <w:sz w:val="24"/>
          <w:szCs w:val="24"/>
        </w:rPr>
        <w:t>En 2013, la DdP recomendó al Consejo Nacional Electoral</w:t>
      </w:r>
      <w:r>
        <w:rPr>
          <w:rFonts w:ascii="Times New Roman" w:hAnsi="Times New Roman" w:cs="Times New Roman"/>
          <w:sz w:val="24"/>
          <w:szCs w:val="24"/>
        </w:rPr>
        <w:t xml:space="preserve"> d</w:t>
      </w:r>
      <w:r w:rsidRPr="00E717FA">
        <w:rPr>
          <w:rFonts w:ascii="Times New Roman" w:hAnsi="Times New Roman" w:cs="Times New Roman"/>
          <w:sz w:val="24"/>
          <w:szCs w:val="24"/>
        </w:rPr>
        <w:t>esarrollar la reglamentación sobre las garantías que debe ofrecer este organismo a las personas con discapacidad para el pleno ejercicio de sus derechos políticos, de conformidad con  la Ley Orgánica de Procesos Electorales; continuar implementando medidas para brindar mayor independencia a las personas con discapacidad en el ejercicio de su derecho al sufragio y; realizar, conjuntamente con el Consejo Nacional para las Personas con Discapacidad (Conapdis), inspecciones a los centros de votación, a objeto de efectuar calificaciones sobre la accesibilidad que ofrecen, con el objetivo de ofrecer a los electores y las electoras con discapacidad la posibilidad de solicitar al CNE la inscripción en los centros que se consideren más adecuados, según el tipo de discapacidad que tienen.</w:t>
      </w:r>
    </w:p>
    <w:p w:rsidR="004D23CC" w:rsidRPr="004D23CC" w:rsidRDefault="004D23CC" w:rsidP="00C11FE2">
      <w:pPr>
        <w:spacing w:before="120" w:after="120" w:line="240" w:lineRule="auto"/>
        <w:jc w:val="both"/>
        <w:rPr>
          <w:rFonts w:ascii="Times New Roman" w:hAnsi="Times New Roman" w:cs="Times New Roman"/>
          <w:b/>
          <w:sz w:val="20"/>
        </w:rPr>
      </w:pPr>
      <w:r w:rsidRPr="004D23CC">
        <w:rPr>
          <w:rFonts w:ascii="Times New Roman" w:hAnsi="Times New Roman" w:cs="Times New Roman"/>
          <w:b/>
          <w:sz w:val="20"/>
        </w:rPr>
        <w:t>Derecho al debido proceso</w:t>
      </w:r>
    </w:p>
    <w:p w:rsidR="00377AF6" w:rsidRPr="00B31A0C" w:rsidRDefault="001E4E7B" w:rsidP="00377AF6">
      <w:pPr>
        <w:pStyle w:val="Textoindependiente2"/>
        <w:spacing w:before="120" w:line="240" w:lineRule="auto"/>
        <w:jc w:val="both"/>
        <w:rPr>
          <w:rFonts w:ascii="Times New Roman" w:hAnsi="Times New Roman" w:cs="Times New Roman"/>
          <w:bCs/>
          <w:sz w:val="24"/>
          <w:szCs w:val="24"/>
        </w:rPr>
      </w:pPr>
      <w:r w:rsidRPr="00B31A0C">
        <w:rPr>
          <w:rFonts w:ascii="Times New Roman" w:hAnsi="Times New Roman" w:cs="Times New Roman"/>
          <w:bCs/>
          <w:sz w:val="24"/>
          <w:szCs w:val="24"/>
        </w:rPr>
        <w:t>1</w:t>
      </w:r>
      <w:r w:rsidR="00E717FA">
        <w:rPr>
          <w:rFonts w:ascii="Times New Roman" w:hAnsi="Times New Roman" w:cs="Times New Roman"/>
          <w:bCs/>
          <w:sz w:val="24"/>
          <w:szCs w:val="24"/>
        </w:rPr>
        <w:t>5</w:t>
      </w:r>
      <w:r w:rsidRPr="00B31A0C">
        <w:rPr>
          <w:rFonts w:ascii="Times New Roman" w:hAnsi="Times New Roman" w:cs="Times New Roman"/>
          <w:bCs/>
          <w:sz w:val="24"/>
          <w:szCs w:val="24"/>
        </w:rPr>
        <w:t xml:space="preserve">. </w:t>
      </w:r>
      <w:r w:rsidR="00B31A0C">
        <w:rPr>
          <w:rFonts w:ascii="Times New Roman" w:hAnsi="Times New Roman" w:cs="Times New Roman"/>
          <w:bCs/>
          <w:sz w:val="24"/>
          <w:szCs w:val="24"/>
        </w:rPr>
        <w:t>En 2008 y desde su actuación en el</w:t>
      </w:r>
      <w:r w:rsidR="00377AF6" w:rsidRPr="00B31A0C">
        <w:rPr>
          <w:rFonts w:ascii="Times New Roman" w:hAnsi="Times New Roman" w:cs="Times New Roman"/>
          <w:bCs/>
          <w:sz w:val="24"/>
          <w:szCs w:val="24"/>
        </w:rPr>
        <w:t xml:space="preserve"> Consejo Penitenciario de Derechos Humanos Rodeo I y II, la DdP impulsó la realización de la Mesa Interinstitucional para la Defensa del Debido Proceso, en la que participaron  representantes del Ministerio Público, Ministerio del Poder Popular para Relaciones Interiores y Justicia, Tribunal Supremo de Justicia y de la Asamblea Nacional. A través de esta mesa de diálogo</w:t>
      </w:r>
      <w:r w:rsidR="00B31A0C">
        <w:rPr>
          <w:rFonts w:ascii="Times New Roman" w:hAnsi="Times New Roman" w:cs="Times New Roman"/>
          <w:bCs/>
          <w:sz w:val="24"/>
          <w:szCs w:val="24"/>
        </w:rPr>
        <w:t>,</w:t>
      </w:r>
      <w:r w:rsidR="00377AF6" w:rsidRPr="00B31A0C">
        <w:rPr>
          <w:rFonts w:ascii="Times New Roman" w:hAnsi="Times New Roman" w:cs="Times New Roman"/>
          <w:bCs/>
          <w:sz w:val="24"/>
          <w:szCs w:val="24"/>
        </w:rPr>
        <w:t xml:space="preserve"> los privados de libertad entregaron un documento donde plantearon algunas propuestas de reforma de varios artículos del COPP. Por otra parte, también se mostró la necesidad de hacer más humanos los centros penitenciarios y erradicar el retardo procesal, mediante el establecimiento de una normativa que dé mayor celeridad al proceso penal.</w:t>
      </w:r>
    </w:p>
    <w:p w:rsidR="00C11FE2" w:rsidRPr="00802A06" w:rsidRDefault="00377AF6" w:rsidP="00802A06">
      <w:pPr>
        <w:spacing w:before="120" w:after="120" w:line="240" w:lineRule="auto"/>
        <w:jc w:val="both"/>
        <w:rPr>
          <w:rFonts w:ascii="Times New Roman" w:hAnsi="Times New Roman" w:cs="Times New Roman"/>
          <w:b/>
          <w:sz w:val="20"/>
        </w:rPr>
      </w:pPr>
      <w:r>
        <w:rPr>
          <w:rFonts w:ascii="Times New Roman" w:hAnsi="Times New Roman" w:cs="Times New Roman"/>
          <w:b/>
          <w:sz w:val="20"/>
        </w:rPr>
        <w:t>Derechos de las personas privadas de libertad</w:t>
      </w:r>
    </w:p>
    <w:p w:rsidR="00C41332" w:rsidRDefault="00802A06" w:rsidP="00C41332">
      <w:pPr>
        <w:pStyle w:val="Default"/>
        <w:spacing w:before="120" w:after="120"/>
        <w:jc w:val="both"/>
        <w:rPr>
          <w:color w:val="auto"/>
          <w:lang w:val="es-VE" w:eastAsia="es-VE"/>
        </w:rPr>
      </w:pPr>
      <w:r w:rsidRPr="00B31A0C">
        <w:rPr>
          <w:color w:val="auto"/>
          <w:lang w:val="es-VE" w:eastAsia="es-VE"/>
        </w:rPr>
        <w:t>1</w:t>
      </w:r>
      <w:r w:rsidR="00E717FA">
        <w:rPr>
          <w:color w:val="auto"/>
          <w:lang w:val="es-VE" w:eastAsia="es-VE"/>
        </w:rPr>
        <w:t>6</w:t>
      </w:r>
      <w:r w:rsidRPr="00B31A0C">
        <w:rPr>
          <w:color w:val="auto"/>
          <w:lang w:val="es-VE" w:eastAsia="es-VE"/>
        </w:rPr>
        <w:t xml:space="preserve">. </w:t>
      </w:r>
      <w:r w:rsidR="00C41332">
        <w:rPr>
          <w:color w:val="auto"/>
          <w:lang w:val="es-VE" w:eastAsia="es-VE"/>
        </w:rPr>
        <w:t>L</w:t>
      </w:r>
      <w:r w:rsidR="00C41332" w:rsidRPr="00C41332">
        <w:rPr>
          <w:color w:val="auto"/>
          <w:lang w:val="es-VE" w:eastAsia="es-VE"/>
        </w:rPr>
        <w:t>a Defensoría del Pueblo, fue miembro desde 2008 de la Comisión Nacional de Indultos, espacio interinstitucional donde el Poder Judicial, el Ministerio Público, la Defensa Pública, el ente rector del sistema penitenciario y la DdP, se avocaron a la revisión de los requisitos y parámetros para la selección de las personas privadas de libertad para obtener el Indulto Presidencial, gestionándose además un destino laboral, brindándose una atención post-penitenciaria.</w:t>
      </w:r>
    </w:p>
    <w:p w:rsidR="00B7329A" w:rsidRPr="00B31A0C" w:rsidRDefault="00E717FA" w:rsidP="00C41332">
      <w:pPr>
        <w:pStyle w:val="Default"/>
        <w:spacing w:before="120" w:after="120"/>
        <w:jc w:val="both"/>
        <w:rPr>
          <w:color w:val="auto"/>
          <w:lang w:val="es-VE" w:eastAsia="es-VE"/>
        </w:rPr>
      </w:pPr>
      <w:r>
        <w:rPr>
          <w:color w:val="auto"/>
          <w:lang w:val="es-VE" w:eastAsia="es-VE"/>
        </w:rPr>
        <w:t xml:space="preserve">17. </w:t>
      </w:r>
      <w:r w:rsidR="00C11FE2" w:rsidRPr="00B31A0C">
        <w:rPr>
          <w:color w:val="auto"/>
          <w:lang w:val="es-VE" w:eastAsia="es-VE"/>
        </w:rPr>
        <w:t>La Institución ha llevado a cabo una serie de actuaciones dentro del sistema penitenciario</w:t>
      </w:r>
      <w:r w:rsidR="00A308FB">
        <w:rPr>
          <w:color w:val="auto"/>
          <w:lang w:val="es-VE" w:eastAsia="es-VE"/>
        </w:rPr>
        <w:t xml:space="preserve"> </w:t>
      </w:r>
      <w:r w:rsidR="00A308FB" w:rsidRPr="00A308FB">
        <w:rPr>
          <w:color w:val="auto"/>
          <w:lang w:val="es-VE" w:eastAsia="es-VE"/>
        </w:rPr>
        <w:t>y del sistema penal de responsabilidad de adolescentes</w:t>
      </w:r>
      <w:r w:rsidR="00C11FE2" w:rsidRPr="00B31A0C">
        <w:rPr>
          <w:color w:val="auto"/>
          <w:lang w:val="es-VE" w:eastAsia="es-VE"/>
        </w:rPr>
        <w:t>, que abarcan desde la labor de promoción</w:t>
      </w:r>
      <w:r w:rsidR="00036594" w:rsidRPr="00B31A0C">
        <w:rPr>
          <w:color w:val="auto"/>
          <w:lang w:val="es-VE" w:eastAsia="es-VE"/>
        </w:rPr>
        <w:t xml:space="preserve"> y educación en</w:t>
      </w:r>
      <w:r w:rsidR="00C11FE2" w:rsidRPr="00B31A0C">
        <w:rPr>
          <w:color w:val="auto"/>
          <w:lang w:val="es-VE" w:eastAsia="es-VE"/>
        </w:rPr>
        <w:t xml:space="preserve"> derechos humanos de la población penitenciaria, hasta </w:t>
      </w:r>
      <w:r w:rsidR="00036594" w:rsidRPr="00B31A0C">
        <w:rPr>
          <w:color w:val="auto"/>
          <w:lang w:val="es-VE" w:eastAsia="es-VE"/>
        </w:rPr>
        <w:t xml:space="preserve">la </w:t>
      </w:r>
      <w:r w:rsidR="00036594" w:rsidRPr="00B31A0C">
        <w:rPr>
          <w:color w:val="auto"/>
          <w:lang w:val="es-VE" w:eastAsia="es-VE"/>
        </w:rPr>
        <w:lastRenderedPageBreak/>
        <w:t xml:space="preserve">inspección </w:t>
      </w:r>
      <w:r w:rsidR="00A308FB" w:rsidRPr="00A308FB">
        <w:rPr>
          <w:color w:val="auto"/>
          <w:lang w:val="es-VE" w:eastAsia="es-VE"/>
        </w:rPr>
        <w:t>de detención preventiva, establecimientos penitenciarios, y entidades de atención socioeducativas para adolescentes en conflicto con la ley penal</w:t>
      </w:r>
      <w:r w:rsidR="00B7329A">
        <w:rPr>
          <w:color w:val="auto"/>
          <w:lang w:val="es-VE" w:eastAsia="es-VE"/>
        </w:rPr>
        <w:t xml:space="preserve">, </w:t>
      </w:r>
      <w:r w:rsidR="002E15A2" w:rsidRPr="00B31A0C">
        <w:rPr>
          <w:color w:val="auto"/>
          <w:lang w:val="es-VE" w:eastAsia="es-VE"/>
        </w:rPr>
        <w:t>incluyendo</w:t>
      </w:r>
      <w:r w:rsidR="00036594" w:rsidRPr="00B31A0C">
        <w:rPr>
          <w:color w:val="auto"/>
          <w:lang w:val="es-VE" w:eastAsia="es-VE"/>
        </w:rPr>
        <w:t xml:space="preserve"> </w:t>
      </w:r>
      <w:r w:rsidR="002E15A2" w:rsidRPr="00B31A0C">
        <w:rPr>
          <w:color w:val="auto"/>
          <w:lang w:val="es-VE" w:eastAsia="es-VE"/>
        </w:rPr>
        <w:t xml:space="preserve">el seguimiento a múltiples hechos de violencia, retenciones voluntarias e involuntarias, así como huelgas de hambre y motines registrados en los </w:t>
      </w:r>
      <w:r w:rsidR="00B7329A">
        <w:rPr>
          <w:color w:val="auto"/>
          <w:lang w:val="es-VE" w:eastAsia="es-VE"/>
        </w:rPr>
        <w:t>centros penitenciarios del país</w:t>
      </w:r>
      <w:r w:rsidR="00CA337B" w:rsidRPr="00B31A0C">
        <w:rPr>
          <w:color w:val="auto"/>
          <w:lang w:val="es-VE" w:eastAsia="es-VE"/>
        </w:rPr>
        <w:t xml:space="preserve">. </w:t>
      </w:r>
      <w:r w:rsidR="00B7329A" w:rsidRPr="00B7329A">
        <w:rPr>
          <w:color w:val="auto"/>
          <w:lang w:val="es-VE" w:eastAsia="es-VE"/>
        </w:rPr>
        <w:t xml:space="preserve">Cabe destacar, que la DdP elaboró en el año 2009 unos lineamientos de actuación defensorial para optimizar la labor de vigilancia de los derechos humanos en los centros de detención preventiva, establecimientos penitenciarios, y entidades de atención socioeducativas para adolescentes en conflicto con la ley penal.    </w:t>
      </w:r>
    </w:p>
    <w:p w:rsidR="0069483F" w:rsidRDefault="00802A06" w:rsidP="00B12CBE">
      <w:pPr>
        <w:spacing w:before="120" w:after="120" w:line="240" w:lineRule="auto"/>
        <w:jc w:val="both"/>
        <w:rPr>
          <w:rFonts w:ascii="Times New Roman" w:hAnsi="Times New Roman" w:cs="Times New Roman"/>
          <w:sz w:val="24"/>
          <w:szCs w:val="24"/>
        </w:rPr>
      </w:pPr>
      <w:r w:rsidRPr="002E6D1A">
        <w:rPr>
          <w:rFonts w:ascii="Times New Roman" w:hAnsi="Times New Roman" w:cs="Times New Roman"/>
          <w:sz w:val="24"/>
          <w:szCs w:val="24"/>
          <w:lang w:val="es-ES_tradnl"/>
        </w:rPr>
        <w:t>1</w:t>
      </w:r>
      <w:r w:rsidR="00E717FA">
        <w:rPr>
          <w:rFonts w:ascii="Times New Roman" w:hAnsi="Times New Roman" w:cs="Times New Roman"/>
          <w:sz w:val="24"/>
          <w:szCs w:val="24"/>
          <w:lang w:val="es-ES_tradnl"/>
        </w:rPr>
        <w:t>8</w:t>
      </w:r>
      <w:r w:rsidRPr="002E6D1A">
        <w:rPr>
          <w:rFonts w:ascii="Times New Roman" w:hAnsi="Times New Roman" w:cs="Times New Roman"/>
          <w:sz w:val="24"/>
          <w:szCs w:val="24"/>
          <w:lang w:val="es-ES_tradnl"/>
        </w:rPr>
        <w:t xml:space="preserve">. </w:t>
      </w:r>
      <w:r w:rsidRPr="002E6D1A">
        <w:rPr>
          <w:rFonts w:ascii="Times New Roman" w:hAnsi="Times New Roman" w:cs="Times New Roman"/>
          <w:sz w:val="24"/>
          <w:szCs w:val="24"/>
        </w:rPr>
        <w:t>También presentó</w:t>
      </w:r>
      <w:r w:rsidR="0069483F" w:rsidRPr="002E6D1A">
        <w:rPr>
          <w:rFonts w:ascii="Times New Roman" w:hAnsi="Times New Roman" w:cs="Times New Roman"/>
          <w:sz w:val="24"/>
          <w:szCs w:val="24"/>
        </w:rPr>
        <w:t xml:space="preserve"> ante distintas instituciones del Ejecutivo Nacional y organizaciones no gubernamentales la iniciativa </w:t>
      </w:r>
      <w:r w:rsidR="0069483F" w:rsidRPr="002E6D1A">
        <w:rPr>
          <w:rFonts w:ascii="Times New Roman" w:hAnsi="Times New Roman" w:cs="Times New Roman"/>
          <w:i/>
          <w:sz w:val="24"/>
          <w:szCs w:val="24"/>
        </w:rPr>
        <w:t>Granja Integral de Reinserción Deuteronomio</w:t>
      </w:r>
      <w:r w:rsidR="0069483F" w:rsidRPr="002E6D1A">
        <w:rPr>
          <w:rFonts w:ascii="Times New Roman" w:hAnsi="Times New Roman" w:cs="Times New Roman"/>
          <w:sz w:val="24"/>
          <w:szCs w:val="24"/>
        </w:rPr>
        <w:t xml:space="preserve">; que tiene como objetivo que las personas que hayan cumplido su pena en el Centro Penitenciario Centro Occidente de Uribana, puedan trabajar en áreas agrícolas, pecuarias, artesanales, entre otras. El proyecto fue elaborado por la Defensoría conjuntamente con ONG integradas por personas que tuvieron algún tipo de medida privativa de libertad. </w:t>
      </w:r>
    </w:p>
    <w:p w:rsidR="00C41332" w:rsidRPr="00C41332" w:rsidRDefault="00E717FA" w:rsidP="00C4133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19. </w:t>
      </w:r>
      <w:r w:rsidR="00C41332" w:rsidRPr="00C41332">
        <w:rPr>
          <w:rFonts w:ascii="Times New Roman" w:hAnsi="Times New Roman" w:cs="Times New Roman"/>
          <w:sz w:val="24"/>
          <w:szCs w:val="24"/>
        </w:rPr>
        <w:t xml:space="preserve">En 2009 y 2010 la DdP participó activamente en el Consejo Superior Penitenciario, el cual fungió como una instancia de alto nivel interinstitucional que buscaba soluciones a los nudos críticos del Sistema Penitenciario, entre ellos, el retardo procesal, el hacinamiento y la violencia carcelaria. En tal sentido, la Institución colaboró en diferentes jornadas de atención integral para que las personas privadas de libertad se les brindara asistencia jurídica, médica odontológica y psicosocial,  a fin de velar por el escrito respeto de sus derechos. </w:t>
      </w:r>
    </w:p>
    <w:p w:rsidR="00C41332" w:rsidRPr="002E6D1A" w:rsidRDefault="00E717FA" w:rsidP="00C4133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20. </w:t>
      </w:r>
      <w:r w:rsidR="00C41332" w:rsidRPr="00C41332">
        <w:rPr>
          <w:rFonts w:ascii="Times New Roman" w:hAnsi="Times New Roman" w:cs="Times New Roman"/>
          <w:sz w:val="24"/>
          <w:szCs w:val="24"/>
        </w:rPr>
        <w:t>De igual forma, participó en la “</w:t>
      </w:r>
      <w:r w:rsidR="00C41332" w:rsidRPr="00A80BFB">
        <w:rPr>
          <w:rFonts w:ascii="Times New Roman" w:hAnsi="Times New Roman" w:cs="Times New Roman"/>
          <w:i/>
          <w:sz w:val="24"/>
          <w:szCs w:val="24"/>
        </w:rPr>
        <w:t>Operación Fuerza Justa-Justicia Fuerte</w:t>
      </w:r>
      <w:r w:rsidR="00C41332" w:rsidRPr="00C41332">
        <w:rPr>
          <w:rFonts w:ascii="Times New Roman" w:hAnsi="Times New Roman" w:cs="Times New Roman"/>
          <w:sz w:val="24"/>
          <w:szCs w:val="24"/>
        </w:rPr>
        <w:t>”, con el propósito de velar por que los cuerpos de seguridad del Estado, emplearan el uso progresivo, racional y legal  de la fuerza en el marco del rescate del régimen en el Centro Penitenciario Región Capital Yare I, con el fin de restituir el orden interno y acometer trabajos de recuperación de la infraestructura física, a objeto de mejorar las condiciones de vida de las personas privadas de libertad recluidas en dicho establecimiento penitenciario.</w:t>
      </w:r>
    </w:p>
    <w:p w:rsidR="002E15A2" w:rsidRPr="002E6D1A" w:rsidRDefault="00E717FA" w:rsidP="00C11FE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s-ES_tradnl"/>
        </w:rPr>
        <w:t>21</w:t>
      </w:r>
      <w:r w:rsidR="002E15A2" w:rsidRPr="002E6D1A">
        <w:rPr>
          <w:rFonts w:ascii="Times New Roman" w:hAnsi="Times New Roman" w:cs="Times New Roman"/>
          <w:sz w:val="24"/>
          <w:szCs w:val="24"/>
          <w:lang w:val="es-ES_tradnl"/>
        </w:rPr>
        <w:t xml:space="preserve">. En 2011, respecto a </w:t>
      </w:r>
      <w:r w:rsidR="002E15A2" w:rsidRPr="002E6D1A">
        <w:rPr>
          <w:rFonts w:ascii="Times New Roman" w:hAnsi="Times New Roman" w:cs="Times New Roman"/>
          <w:sz w:val="24"/>
          <w:szCs w:val="24"/>
        </w:rPr>
        <w:t>los eventos suscitados en el</w:t>
      </w:r>
      <w:r w:rsidR="002E15A2" w:rsidRPr="002E6D1A">
        <w:rPr>
          <w:rFonts w:ascii="Times New Roman" w:hAnsi="Times New Roman" w:cs="Times New Roman"/>
          <w:b/>
          <w:i/>
          <w:sz w:val="24"/>
          <w:szCs w:val="24"/>
        </w:rPr>
        <w:t xml:space="preserve"> </w:t>
      </w:r>
      <w:r w:rsidR="002E15A2" w:rsidRPr="002E6D1A">
        <w:rPr>
          <w:rFonts w:ascii="Times New Roman" w:hAnsi="Times New Roman" w:cs="Times New Roman"/>
          <w:i/>
          <w:sz w:val="24"/>
          <w:szCs w:val="24"/>
        </w:rPr>
        <w:t xml:space="preserve">Internado Judicial Capital “El Rodeo”, </w:t>
      </w:r>
      <w:r w:rsidR="002E15A2" w:rsidRPr="002E6D1A">
        <w:rPr>
          <w:rFonts w:ascii="Times New Roman" w:hAnsi="Times New Roman" w:cs="Times New Roman"/>
          <w:sz w:val="24"/>
          <w:szCs w:val="24"/>
        </w:rPr>
        <w:t>la Defensoría desplegó acciones dirigidas a velar por el respeto de los derechos humanos de las personas privadas de libertad, programando una serie de operativos de vigilancia que permitieron promover y verificar la ejecución, por parte de los entes competentes, de medidas de garantía de los derechos a la salud y a la alimentación, así como del derecho a la integridad personal de los privados de libertad.</w:t>
      </w:r>
    </w:p>
    <w:p w:rsidR="002E6B87" w:rsidRPr="002E6D1A" w:rsidRDefault="00E717FA" w:rsidP="002E6B8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22</w:t>
      </w:r>
      <w:r w:rsidR="009B4BDC" w:rsidRPr="002E6D1A">
        <w:rPr>
          <w:rFonts w:ascii="Times New Roman" w:hAnsi="Times New Roman" w:cs="Times New Roman"/>
          <w:sz w:val="24"/>
          <w:szCs w:val="24"/>
        </w:rPr>
        <w:t xml:space="preserve">. En 2012, la DdP ejerció su función de  mediación para que los internos de la </w:t>
      </w:r>
      <w:r w:rsidR="009B4BDC" w:rsidRPr="002E6D1A">
        <w:rPr>
          <w:rFonts w:ascii="Times New Roman" w:hAnsi="Times New Roman" w:cs="Times New Roman"/>
          <w:i/>
          <w:sz w:val="24"/>
          <w:szCs w:val="24"/>
        </w:rPr>
        <w:t>Casa de Reeducación y Rehabilitación e Internado Judicial El Paraíso</w:t>
      </w:r>
      <w:r w:rsidR="009B4BDC" w:rsidRPr="002E6D1A">
        <w:rPr>
          <w:rFonts w:ascii="Times New Roman" w:hAnsi="Times New Roman" w:cs="Times New Roman"/>
          <w:sz w:val="24"/>
          <w:szCs w:val="24"/>
        </w:rPr>
        <w:t xml:space="preserve"> (La Planta); y del </w:t>
      </w:r>
      <w:r w:rsidR="009B4BDC" w:rsidRPr="002E6D1A">
        <w:rPr>
          <w:rFonts w:ascii="Times New Roman" w:hAnsi="Times New Roman" w:cs="Times New Roman"/>
          <w:i/>
          <w:sz w:val="24"/>
          <w:szCs w:val="24"/>
        </w:rPr>
        <w:t>Internado Judicial de Coro</w:t>
      </w:r>
      <w:r w:rsidR="009B4BDC" w:rsidRPr="002E6D1A">
        <w:rPr>
          <w:rFonts w:ascii="Times New Roman" w:hAnsi="Times New Roman" w:cs="Times New Roman"/>
          <w:sz w:val="24"/>
          <w:szCs w:val="24"/>
        </w:rPr>
        <w:t xml:space="preserve"> </w:t>
      </w:r>
      <w:r w:rsidR="00B31A0C" w:rsidRPr="002E6D1A">
        <w:rPr>
          <w:rFonts w:ascii="Times New Roman" w:hAnsi="Times New Roman" w:cs="Times New Roman"/>
          <w:sz w:val="24"/>
          <w:szCs w:val="24"/>
        </w:rPr>
        <w:t>fueran</w:t>
      </w:r>
      <w:r w:rsidR="009B4BDC" w:rsidRPr="002E6D1A">
        <w:rPr>
          <w:rFonts w:ascii="Times New Roman" w:hAnsi="Times New Roman" w:cs="Times New Roman"/>
          <w:sz w:val="24"/>
          <w:szCs w:val="24"/>
        </w:rPr>
        <w:t xml:space="preserve"> desaloja</w:t>
      </w:r>
      <w:r w:rsidR="00B31A0C" w:rsidRPr="002E6D1A">
        <w:rPr>
          <w:rFonts w:ascii="Times New Roman" w:hAnsi="Times New Roman" w:cs="Times New Roman"/>
          <w:sz w:val="24"/>
          <w:szCs w:val="24"/>
        </w:rPr>
        <w:t>dos pacíficamente y en apego</w:t>
      </w:r>
      <w:r w:rsidR="009B4BDC" w:rsidRPr="002E6D1A">
        <w:rPr>
          <w:rFonts w:ascii="Times New Roman" w:hAnsi="Times New Roman" w:cs="Times New Roman"/>
          <w:sz w:val="24"/>
          <w:szCs w:val="24"/>
        </w:rPr>
        <w:t xml:space="preserve"> a la garantía y protección de los derechos humanos.</w:t>
      </w:r>
      <w:r w:rsidR="002E6B87" w:rsidRPr="002E6D1A">
        <w:rPr>
          <w:rFonts w:ascii="Times New Roman" w:hAnsi="Times New Roman" w:cs="Times New Roman"/>
          <w:sz w:val="24"/>
          <w:szCs w:val="24"/>
        </w:rPr>
        <w:t xml:space="preserve"> </w:t>
      </w:r>
      <w:r w:rsidR="002E6D1A" w:rsidRPr="002E6D1A">
        <w:rPr>
          <w:rFonts w:ascii="Times New Roman" w:hAnsi="Times New Roman" w:cs="Times New Roman"/>
          <w:sz w:val="24"/>
          <w:szCs w:val="24"/>
        </w:rPr>
        <w:t>M</w:t>
      </w:r>
      <w:r w:rsidR="002E6B87" w:rsidRPr="002E6D1A">
        <w:rPr>
          <w:rFonts w:ascii="Times New Roman" w:hAnsi="Times New Roman" w:cs="Times New Roman"/>
          <w:sz w:val="24"/>
          <w:szCs w:val="24"/>
        </w:rPr>
        <w:t xml:space="preserve">antuvo constante seguimiento a la situación del </w:t>
      </w:r>
      <w:r w:rsidR="002E6B87" w:rsidRPr="002E6D1A">
        <w:rPr>
          <w:rFonts w:ascii="Times New Roman" w:hAnsi="Times New Roman" w:cs="Times New Roman"/>
          <w:i/>
          <w:sz w:val="24"/>
          <w:szCs w:val="24"/>
        </w:rPr>
        <w:t xml:space="preserve">Centro Penitenciario de la Región Andina </w:t>
      </w:r>
      <w:r w:rsidR="002E6B87" w:rsidRPr="002E6D1A">
        <w:rPr>
          <w:rFonts w:ascii="Times New Roman" w:hAnsi="Times New Roman" w:cs="Times New Roman"/>
          <w:sz w:val="24"/>
          <w:szCs w:val="24"/>
        </w:rPr>
        <w:t xml:space="preserve">donde se suscitaron motines con las mujeres ubicadas en el anexo de dicho centro, en aras de velar por el efectivo respeto de los derechos de los privados y privadas de libertad, y efectuó distintas acciones de mediación y conciliación con las y los internos que mantenían el conflicto. </w:t>
      </w:r>
    </w:p>
    <w:p w:rsidR="001561EF" w:rsidRDefault="00E717FA" w:rsidP="001561EF">
      <w:pPr>
        <w:spacing w:before="120" w:after="120" w:line="240" w:lineRule="auto"/>
        <w:jc w:val="both"/>
        <w:rPr>
          <w:rFonts w:ascii="Times New Roman" w:hAnsi="Times New Roman" w:cs="Times New Roman"/>
          <w:sz w:val="24"/>
          <w:szCs w:val="24"/>
          <w:lang w:val="es-ES_tradnl"/>
        </w:rPr>
      </w:pPr>
      <w:r>
        <w:rPr>
          <w:rFonts w:ascii="Times New Roman" w:hAnsi="Times New Roman" w:cs="Times New Roman"/>
          <w:sz w:val="24"/>
          <w:szCs w:val="24"/>
          <w:lang w:val="es-ES_tradnl"/>
        </w:rPr>
        <w:lastRenderedPageBreak/>
        <w:t>23</w:t>
      </w:r>
      <w:r w:rsidR="009B4BDC" w:rsidRPr="002E6D1A">
        <w:rPr>
          <w:rFonts w:ascii="Times New Roman" w:hAnsi="Times New Roman" w:cs="Times New Roman"/>
          <w:sz w:val="24"/>
          <w:szCs w:val="24"/>
          <w:lang w:val="es-ES_tradnl"/>
        </w:rPr>
        <w:t>.</w:t>
      </w:r>
      <w:r w:rsidR="002E15A2" w:rsidRPr="002E6D1A">
        <w:rPr>
          <w:rFonts w:ascii="Times New Roman" w:hAnsi="Times New Roman" w:cs="Times New Roman"/>
          <w:sz w:val="24"/>
          <w:szCs w:val="24"/>
          <w:lang w:val="es-ES_tradnl"/>
        </w:rPr>
        <w:t xml:space="preserve"> H</w:t>
      </w:r>
      <w:r w:rsidR="00FD5663" w:rsidRPr="002E6D1A">
        <w:rPr>
          <w:rFonts w:ascii="Times New Roman" w:hAnsi="Times New Roman" w:cs="Times New Roman"/>
          <w:sz w:val="24"/>
          <w:szCs w:val="24"/>
          <w:lang w:val="es-ES_tradnl"/>
        </w:rPr>
        <w:t>a participado</w:t>
      </w:r>
      <w:r w:rsidR="00C11FE2" w:rsidRPr="002E6D1A">
        <w:rPr>
          <w:rFonts w:ascii="Times New Roman" w:hAnsi="Times New Roman" w:cs="Times New Roman"/>
          <w:sz w:val="24"/>
          <w:szCs w:val="24"/>
          <w:lang w:val="es-ES_tradnl"/>
        </w:rPr>
        <w:t xml:space="preserve"> en mesas de trabajo organizadas por </w:t>
      </w:r>
      <w:r w:rsidR="00FD5663" w:rsidRPr="002E6D1A">
        <w:rPr>
          <w:rFonts w:ascii="Times New Roman" w:hAnsi="Times New Roman" w:cs="Times New Roman"/>
          <w:sz w:val="24"/>
          <w:szCs w:val="24"/>
          <w:lang w:val="es-ES_tradnl"/>
        </w:rPr>
        <w:t xml:space="preserve">los distintos órganos del Estado, y en especial, ha trabajado con </w:t>
      </w:r>
      <w:r w:rsidR="00C11FE2" w:rsidRPr="002E6D1A">
        <w:rPr>
          <w:rFonts w:ascii="Times New Roman" w:hAnsi="Times New Roman" w:cs="Times New Roman"/>
          <w:sz w:val="24"/>
          <w:szCs w:val="24"/>
          <w:lang w:val="es-ES_tradnl"/>
        </w:rPr>
        <w:t>el Instituto Autónomo Consejo Nacional de Derechos del Niño, Niña y Adolescente (</w:t>
      </w:r>
      <w:r w:rsidR="00D861D7" w:rsidRPr="002E6D1A">
        <w:rPr>
          <w:rFonts w:ascii="Times New Roman" w:hAnsi="Times New Roman" w:cs="Times New Roman"/>
          <w:sz w:val="24"/>
          <w:szCs w:val="24"/>
          <w:lang w:val="es-ES_tradnl"/>
        </w:rPr>
        <w:t>I</w:t>
      </w:r>
      <w:r w:rsidR="0093307D" w:rsidRPr="002E6D1A">
        <w:rPr>
          <w:rFonts w:ascii="Times New Roman" w:hAnsi="Times New Roman" w:cs="Times New Roman"/>
          <w:sz w:val="24"/>
          <w:szCs w:val="24"/>
          <w:lang w:val="es-ES_tradnl"/>
        </w:rPr>
        <w:t>DENNA</w:t>
      </w:r>
      <w:r w:rsidR="00C11FE2" w:rsidRPr="002E6D1A">
        <w:rPr>
          <w:rFonts w:ascii="Times New Roman" w:hAnsi="Times New Roman" w:cs="Times New Roman"/>
          <w:sz w:val="24"/>
          <w:szCs w:val="24"/>
          <w:lang w:val="es-ES_tradnl"/>
        </w:rPr>
        <w:t>), a los fines de concretar la propuesta nacional para regularizar las visitas de los niños, niñas y adolescentes a los recintos penitenciarios.</w:t>
      </w:r>
      <w:r w:rsidR="003234A7" w:rsidRPr="002E6D1A">
        <w:rPr>
          <w:rFonts w:ascii="Times New Roman" w:hAnsi="Times New Roman" w:cs="Times New Roman"/>
          <w:sz w:val="24"/>
          <w:szCs w:val="24"/>
          <w:lang w:val="es-ES_tradnl"/>
        </w:rPr>
        <w:t xml:space="preserve"> </w:t>
      </w:r>
    </w:p>
    <w:p w:rsidR="001561EF" w:rsidRDefault="00E717FA" w:rsidP="001561EF">
      <w:pPr>
        <w:spacing w:before="120" w:after="120" w:line="240" w:lineRule="auto"/>
        <w:jc w:val="both"/>
        <w:rPr>
          <w:rFonts w:ascii="Times New Roman" w:hAnsi="Times New Roman" w:cs="Times New Roman"/>
          <w:sz w:val="24"/>
          <w:szCs w:val="24"/>
          <w:lang w:val="es-ES_tradnl"/>
        </w:rPr>
      </w:pPr>
      <w:r w:rsidRPr="00E717FA">
        <w:rPr>
          <w:rFonts w:ascii="Times New Roman" w:hAnsi="Times New Roman" w:cs="Times New Roman"/>
          <w:sz w:val="24"/>
          <w:szCs w:val="24"/>
          <w:lang w:val="es-ES_tradnl"/>
        </w:rPr>
        <w:t xml:space="preserve">24. </w:t>
      </w:r>
      <w:r w:rsidR="001561EF" w:rsidRPr="00E717FA">
        <w:rPr>
          <w:rFonts w:ascii="Times New Roman" w:hAnsi="Times New Roman" w:cs="Times New Roman"/>
          <w:sz w:val="24"/>
          <w:szCs w:val="24"/>
          <w:lang w:val="es-ES_tradnl"/>
        </w:rPr>
        <w:t>La DdP en el marco de sus competencias constitucionales y legales delimitadas en el Art. 170 A, literal “J” de la Ley Orgánica para la Protección de Niños, Niñas y Adolescentes (Lopnna), fortaleció en el año 2009 con el apoyo técnico del Fondo de las Naciones Unidas para la Infancia (Unicef) los instrumentos de inspección defensorial destinados a inspeccionar las entidades de atención socioeducativas para adolescentes donde se cumplen las medidas de privación de libertad y semi-libertad. De igual forma, se logró también con Unicef en 2013, la formación de más de 37 funcionarios y funcionarias a nivel nacional en materia de actuación defensorial, a los fines de optimizar la labor de defensa y vigilancia de los derechos humanos de esta población.</w:t>
      </w:r>
    </w:p>
    <w:p w:rsidR="003C3B9F" w:rsidRPr="003C3B9F" w:rsidRDefault="003C3B9F" w:rsidP="003C3B9F">
      <w:pPr>
        <w:spacing w:before="120" w:after="120" w:line="240" w:lineRule="auto"/>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25. Durante 2015, </w:t>
      </w:r>
      <w:r w:rsidRPr="003C3B9F">
        <w:rPr>
          <w:rFonts w:ascii="Times New Roman" w:hAnsi="Times New Roman" w:cs="Times New Roman"/>
          <w:sz w:val="24"/>
          <w:szCs w:val="24"/>
          <w:lang w:val="es-ES_tradnl"/>
        </w:rPr>
        <w:t xml:space="preserve">atendió </w:t>
      </w:r>
      <w:r>
        <w:rPr>
          <w:rFonts w:ascii="Times New Roman" w:hAnsi="Times New Roman" w:cs="Times New Roman"/>
          <w:sz w:val="24"/>
          <w:szCs w:val="24"/>
          <w:lang w:val="es-ES_tradnl"/>
        </w:rPr>
        <w:t xml:space="preserve">diversos </w:t>
      </w:r>
      <w:r w:rsidRPr="003C3B9F">
        <w:rPr>
          <w:rFonts w:ascii="Times New Roman" w:hAnsi="Times New Roman" w:cs="Times New Roman"/>
          <w:sz w:val="24"/>
          <w:szCs w:val="24"/>
          <w:lang w:val="es-ES_tradnl"/>
        </w:rPr>
        <w:t xml:space="preserve">casos particulares </w:t>
      </w:r>
      <w:r>
        <w:rPr>
          <w:rFonts w:ascii="Times New Roman" w:hAnsi="Times New Roman" w:cs="Times New Roman"/>
          <w:sz w:val="24"/>
          <w:szCs w:val="24"/>
          <w:lang w:val="es-ES_tradnl"/>
        </w:rPr>
        <w:t xml:space="preserve">a los fines de proteger la vida, la salud y el debido proceso de personas privadas de libertad: </w:t>
      </w:r>
      <w:r w:rsidRPr="003C3B9F">
        <w:rPr>
          <w:rFonts w:ascii="Times New Roman" w:hAnsi="Times New Roman" w:cs="Times New Roman"/>
          <w:sz w:val="24"/>
          <w:szCs w:val="24"/>
          <w:lang w:val="es-ES_tradnl"/>
        </w:rPr>
        <w:t>Marcelo Crovato, miembro de la Asociaci</w:t>
      </w:r>
      <w:r>
        <w:rPr>
          <w:rFonts w:ascii="Times New Roman" w:hAnsi="Times New Roman" w:cs="Times New Roman"/>
          <w:sz w:val="24"/>
          <w:szCs w:val="24"/>
          <w:lang w:val="es-ES_tradnl"/>
        </w:rPr>
        <w:t xml:space="preserve">ón Civil Foro Penal Venezolano, </w:t>
      </w:r>
      <w:r w:rsidRPr="003C3B9F">
        <w:rPr>
          <w:rFonts w:ascii="Times New Roman" w:hAnsi="Times New Roman" w:cs="Times New Roman"/>
          <w:sz w:val="24"/>
          <w:szCs w:val="24"/>
          <w:lang w:val="es-ES_tradnl"/>
        </w:rPr>
        <w:t>Miguel Ángel Nieto</w:t>
      </w:r>
      <w:r>
        <w:rPr>
          <w:rFonts w:ascii="Times New Roman" w:hAnsi="Times New Roman" w:cs="Times New Roman"/>
          <w:sz w:val="24"/>
          <w:szCs w:val="24"/>
          <w:lang w:val="es-ES_tradnl"/>
        </w:rPr>
        <w:t xml:space="preserve">, Leopoldo López, </w:t>
      </w:r>
      <w:r w:rsidRPr="003C3B9F">
        <w:rPr>
          <w:rFonts w:ascii="Times New Roman" w:hAnsi="Times New Roman" w:cs="Times New Roman"/>
          <w:sz w:val="24"/>
          <w:szCs w:val="24"/>
          <w:lang w:val="es-ES_tradnl"/>
        </w:rPr>
        <w:t>Antonio Ledezma</w:t>
      </w:r>
      <w:r>
        <w:rPr>
          <w:rFonts w:ascii="Times New Roman" w:hAnsi="Times New Roman" w:cs="Times New Roman"/>
          <w:sz w:val="24"/>
          <w:szCs w:val="24"/>
          <w:lang w:val="es-ES_tradnl"/>
        </w:rPr>
        <w:t xml:space="preserve">, </w:t>
      </w:r>
      <w:r w:rsidRPr="003C3B9F">
        <w:rPr>
          <w:rFonts w:ascii="Times New Roman" w:hAnsi="Times New Roman" w:cs="Times New Roman"/>
          <w:sz w:val="24"/>
          <w:szCs w:val="24"/>
        </w:rPr>
        <w:t>Daniel Ceballos, Lorent Gómez Saleh, Gabriel Valles, Christian Holdack, José de Jesús Gámez Bustamante, María Magali Contreras, Pablo Clemente Estrada Izaguirre, Daniel Cortez y Jeremías Silva, Erick Echegaray, Mohammad Bagherzadeh y Rolando Guevara.</w:t>
      </w:r>
    </w:p>
    <w:p w:rsidR="00FA06A1" w:rsidRDefault="00FA06A1" w:rsidP="00FA06A1">
      <w:pPr>
        <w:spacing w:before="120" w:after="120" w:line="240" w:lineRule="auto"/>
        <w:jc w:val="both"/>
        <w:rPr>
          <w:rFonts w:ascii="Times New Roman" w:hAnsi="Times New Roman" w:cs="Times New Roman"/>
          <w:b/>
          <w:sz w:val="20"/>
        </w:rPr>
      </w:pPr>
      <w:r w:rsidRPr="00FA06A1">
        <w:rPr>
          <w:rFonts w:ascii="Times New Roman" w:hAnsi="Times New Roman" w:cs="Times New Roman"/>
          <w:b/>
          <w:sz w:val="20"/>
        </w:rPr>
        <w:t>Derechos de las mujeres</w:t>
      </w:r>
      <w:r>
        <w:rPr>
          <w:rFonts w:ascii="Times New Roman" w:hAnsi="Times New Roman" w:cs="Times New Roman"/>
          <w:b/>
          <w:sz w:val="20"/>
        </w:rPr>
        <w:t xml:space="preserve"> a una vida libre de violencia</w:t>
      </w:r>
    </w:p>
    <w:p w:rsidR="009C7D8D" w:rsidRDefault="00A1748E" w:rsidP="00FA06A1">
      <w:pPr>
        <w:pStyle w:val="NormalWeb"/>
        <w:spacing w:before="120" w:beforeAutospacing="0" w:after="120" w:afterAutospacing="0"/>
        <w:jc w:val="both"/>
      </w:pPr>
      <w:r>
        <w:t>2</w:t>
      </w:r>
      <w:r w:rsidR="0076278D">
        <w:t>6</w:t>
      </w:r>
      <w:r w:rsidR="009E1464" w:rsidRPr="002E6D1A">
        <w:t xml:space="preserve">. </w:t>
      </w:r>
      <w:r w:rsidR="009C7D8D" w:rsidRPr="009C7D8D">
        <w:t>La DdP en colaboración con el Fondo de Población de las Naciones Unidas, publicó también las “Recomendaciones para Optimizar la Recepción de Denuncias de Violencia contra las Mujeres”. Publicación que se convierte en una herramienta dirigida a los Órganos Receptores de Denuncia (ORD), y busca contribuir a que estos órganos brinden una atención con calidad y calidez  para mejorar el acceso a la justicia de las mujeres afectadas por la violencia basada en género. En 2013, en alianza con el Ministerio del Poder Popular de Interior, Justicia y Paz se realizó una gira nacional de difusión de las Recomendaciones, contamos con la participación de más de 800 servidores y servidoras públicas de todo el país; que cumplen funciones en los  Órganos Receptores de Denuncia, para garantizar a las mujeres su derecho a una vida libre de violencia.</w:t>
      </w:r>
    </w:p>
    <w:p w:rsidR="00FA06A1" w:rsidRPr="002E6D1A" w:rsidRDefault="00E717FA" w:rsidP="00FA06A1">
      <w:pPr>
        <w:pStyle w:val="NormalWeb"/>
        <w:spacing w:before="120" w:beforeAutospacing="0" w:after="120" w:afterAutospacing="0"/>
        <w:jc w:val="both"/>
      </w:pPr>
      <w:r>
        <w:t>2</w:t>
      </w:r>
      <w:r w:rsidR="0076278D">
        <w:t>7</w:t>
      </w:r>
      <w:r>
        <w:t xml:space="preserve">. </w:t>
      </w:r>
      <w:r w:rsidR="001E4E7B" w:rsidRPr="002E6D1A">
        <w:t>Como parte de las actuaciones de la DdP respecto al fortalecimiento del nuevo modelo policial, e</w:t>
      </w:r>
      <w:r w:rsidR="00FA06A1" w:rsidRPr="002E6D1A">
        <w:t xml:space="preserve">n 2012, fue juramentada la representación de la </w:t>
      </w:r>
      <w:r w:rsidR="002E6D1A" w:rsidRPr="002E6D1A">
        <w:t>DdP</w:t>
      </w:r>
      <w:r w:rsidR="00FA06A1" w:rsidRPr="002E6D1A">
        <w:t xml:space="preserve"> ante el Consejo de Igualdad y Equidad de Género. Esta instancia consultiva, adscrita al Viceministerio de</w:t>
      </w:r>
      <w:r w:rsidR="00D4569B" w:rsidRPr="002E6D1A">
        <w:t xml:space="preserve">l Sistema Integrado de Policía </w:t>
      </w:r>
      <w:r w:rsidR="00FA06A1" w:rsidRPr="002E6D1A">
        <w:t>del M</w:t>
      </w:r>
      <w:r w:rsidR="00D4569B" w:rsidRPr="002E6D1A">
        <w:t>PPRIJ</w:t>
      </w:r>
      <w:r w:rsidR="00FA06A1" w:rsidRPr="002E6D1A">
        <w:t>, coadyuvará en la trasversalización del enfoque de género en los cuerpos policiales, en los cuales existían cerca de</w:t>
      </w:r>
      <w:r w:rsidR="00D4569B" w:rsidRPr="002E6D1A">
        <w:t xml:space="preserve"> 11.800 funcionarias policiales</w:t>
      </w:r>
      <w:r w:rsidR="00FA06A1" w:rsidRPr="002E6D1A">
        <w:t>.</w:t>
      </w:r>
      <w:r w:rsidR="00D4569B" w:rsidRPr="002E6D1A">
        <w:t xml:space="preserve"> </w:t>
      </w:r>
      <w:r w:rsidR="00FA06A1" w:rsidRPr="002E6D1A">
        <w:t>En este espacio, la Defensoría brinda asesoría para garantizar el ejercicio, defensa y goce de los derechos humanos de las mujeres que forman parte de los cuerpos policiales, así como de las que acuden a solicitar asistencia policial o son objeto de detención.</w:t>
      </w:r>
    </w:p>
    <w:p w:rsidR="00CE5A6F" w:rsidRPr="002E6D1A" w:rsidRDefault="00A1748E" w:rsidP="00CE5A6F">
      <w:pPr>
        <w:spacing w:before="120" w:after="120" w:line="240" w:lineRule="auto"/>
        <w:jc w:val="both"/>
        <w:rPr>
          <w:rFonts w:ascii="Times New Roman" w:hAnsi="Times New Roman"/>
          <w:sz w:val="24"/>
          <w:szCs w:val="24"/>
        </w:rPr>
      </w:pPr>
      <w:r>
        <w:rPr>
          <w:rFonts w:ascii="Times New Roman" w:hAnsi="Times New Roman"/>
          <w:sz w:val="24"/>
          <w:lang w:val="es-ES_tradnl"/>
        </w:rPr>
        <w:t>2</w:t>
      </w:r>
      <w:r w:rsidR="0076278D">
        <w:rPr>
          <w:rFonts w:ascii="Times New Roman" w:hAnsi="Times New Roman"/>
          <w:sz w:val="24"/>
          <w:lang w:val="es-ES_tradnl"/>
        </w:rPr>
        <w:t>8</w:t>
      </w:r>
      <w:r w:rsidR="009E1464" w:rsidRPr="002E6D1A">
        <w:rPr>
          <w:rFonts w:ascii="Times New Roman" w:hAnsi="Times New Roman"/>
          <w:sz w:val="24"/>
          <w:lang w:val="es-ES_tradnl"/>
        </w:rPr>
        <w:t xml:space="preserve">. </w:t>
      </w:r>
      <w:r w:rsidR="002E6D1A" w:rsidRPr="002E6D1A">
        <w:rPr>
          <w:rFonts w:ascii="Times New Roman" w:hAnsi="Times New Roman"/>
          <w:sz w:val="24"/>
          <w:lang w:val="es-ES_tradnl"/>
        </w:rPr>
        <w:t>C</w:t>
      </w:r>
      <w:r w:rsidR="00CE5A6F" w:rsidRPr="002E6D1A">
        <w:rPr>
          <w:rFonts w:ascii="Times New Roman" w:hAnsi="Times New Roman"/>
          <w:sz w:val="24"/>
          <w:lang w:val="es-ES_tradnl"/>
        </w:rPr>
        <w:t xml:space="preserve">omo un aporte a la lucha por el derecho de las mujeres a una vida libre de violencia, </w:t>
      </w:r>
      <w:r w:rsidR="00D4569B" w:rsidRPr="002E6D1A">
        <w:rPr>
          <w:rFonts w:ascii="Times New Roman" w:hAnsi="Times New Roman"/>
          <w:sz w:val="24"/>
          <w:lang w:val="es-ES_tradnl"/>
        </w:rPr>
        <w:t>ese mismo año,</w:t>
      </w:r>
      <w:r w:rsidR="00CE5A6F" w:rsidRPr="002E6D1A">
        <w:rPr>
          <w:rFonts w:ascii="Times New Roman" w:hAnsi="Times New Roman"/>
          <w:sz w:val="24"/>
          <w:lang w:val="es-ES_tradnl"/>
        </w:rPr>
        <w:t xml:space="preserve"> se impulsaron herramientas como el </w:t>
      </w:r>
      <w:r w:rsidR="00CE5A6F" w:rsidRPr="002E6D1A">
        <w:rPr>
          <w:rFonts w:ascii="Times New Roman" w:hAnsi="Times New Roman"/>
          <w:i/>
          <w:sz w:val="24"/>
          <w:lang w:val="es-ES_tradnl"/>
        </w:rPr>
        <w:t>Violentómetro</w:t>
      </w:r>
      <w:r w:rsidR="00CE5A6F" w:rsidRPr="002E6D1A">
        <w:rPr>
          <w:rFonts w:ascii="Times New Roman" w:hAnsi="Times New Roman"/>
          <w:sz w:val="24"/>
          <w:lang w:val="es-ES_tradnl"/>
        </w:rPr>
        <w:t xml:space="preserve">, que permite apreciar, </w:t>
      </w:r>
      <w:r w:rsidR="00CE5A6F" w:rsidRPr="002E6D1A">
        <w:rPr>
          <w:rFonts w:ascii="Times New Roman" w:hAnsi="Times New Roman"/>
          <w:sz w:val="24"/>
          <w:lang w:val="es-ES_tradnl"/>
        </w:rPr>
        <w:lastRenderedPageBreak/>
        <w:t xml:space="preserve">identificar y establecer niveles de violencia que puede ejercer una persona contra una mujer; y el afiche </w:t>
      </w:r>
      <w:r w:rsidR="00CE5A6F" w:rsidRPr="002E6D1A">
        <w:rPr>
          <w:rFonts w:ascii="Times New Roman" w:hAnsi="Times New Roman"/>
          <w:i/>
          <w:sz w:val="24"/>
          <w:szCs w:val="24"/>
        </w:rPr>
        <w:t>Por el derecho a parir con calidad y calidez</w:t>
      </w:r>
      <w:r w:rsidR="00CE5A6F" w:rsidRPr="002E6D1A">
        <w:rPr>
          <w:rFonts w:ascii="Times New Roman" w:hAnsi="Times New Roman"/>
          <w:sz w:val="24"/>
          <w:szCs w:val="24"/>
        </w:rPr>
        <w:t>,</w:t>
      </w:r>
      <w:r w:rsidR="00CE5A6F" w:rsidRPr="002E6D1A">
        <w:rPr>
          <w:rFonts w:ascii="Times New Roman" w:hAnsi="Times New Roman"/>
          <w:i/>
          <w:sz w:val="24"/>
          <w:szCs w:val="24"/>
        </w:rPr>
        <w:t xml:space="preserve"> </w:t>
      </w:r>
      <w:r w:rsidR="00CE5A6F" w:rsidRPr="002E6D1A">
        <w:rPr>
          <w:rFonts w:ascii="Times New Roman" w:hAnsi="Times New Roman"/>
          <w:sz w:val="24"/>
          <w:szCs w:val="24"/>
        </w:rPr>
        <w:t xml:space="preserve">como medio de promoción del derecho a una vida libre de violencia en el contexto del parto. </w:t>
      </w:r>
    </w:p>
    <w:p w:rsidR="00B03AD9" w:rsidRPr="00443A77" w:rsidRDefault="00B03AD9" w:rsidP="00B03AD9">
      <w:pPr>
        <w:spacing w:before="120" w:after="120" w:line="240" w:lineRule="auto"/>
        <w:jc w:val="both"/>
        <w:rPr>
          <w:rFonts w:ascii="Times New Roman" w:hAnsi="Times New Roman" w:cs="Times New Roman"/>
          <w:b/>
          <w:bCs/>
          <w:sz w:val="20"/>
        </w:rPr>
      </w:pPr>
      <w:r w:rsidRPr="00443A77">
        <w:rPr>
          <w:rFonts w:ascii="Times New Roman" w:hAnsi="Times New Roman" w:cs="Times New Roman"/>
          <w:b/>
          <w:bCs/>
          <w:sz w:val="20"/>
        </w:rPr>
        <w:t>Derecho al Buen Trato</w:t>
      </w:r>
    </w:p>
    <w:p w:rsidR="00A1748E" w:rsidRDefault="0093307D" w:rsidP="00B03AD9">
      <w:pPr>
        <w:spacing w:before="120" w:after="120" w:line="240" w:lineRule="auto"/>
        <w:jc w:val="both"/>
        <w:rPr>
          <w:rFonts w:ascii="Times New Roman" w:hAnsi="Times New Roman" w:cs="Times New Roman"/>
          <w:bCs/>
          <w:sz w:val="24"/>
        </w:rPr>
      </w:pPr>
      <w:r w:rsidRPr="002E6D1A">
        <w:rPr>
          <w:rFonts w:ascii="Times New Roman" w:hAnsi="Times New Roman" w:cs="Times New Roman"/>
          <w:bCs/>
          <w:sz w:val="24"/>
        </w:rPr>
        <w:t>2</w:t>
      </w:r>
      <w:r w:rsidR="0076278D">
        <w:rPr>
          <w:rFonts w:ascii="Times New Roman" w:hAnsi="Times New Roman" w:cs="Times New Roman"/>
          <w:bCs/>
          <w:sz w:val="24"/>
        </w:rPr>
        <w:t>9</w:t>
      </w:r>
      <w:r w:rsidRPr="002E6D1A">
        <w:rPr>
          <w:rFonts w:ascii="Times New Roman" w:hAnsi="Times New Roman" w:cs="Times New Roman"/>
          <w:bCs/>
          <w:sz w:val="24"/>
        </w:rPr>
        <w:t xml:space="preserve">. </w:t>
      </w:r>
      <w:r w:rsidR="00B03AD9" w:rsidRPr="002E6D1A">
        <w:rPr>
          <w:rFonts w:ascii="Times New Roman" w:hAnsi="Times New Roman" w:cs="Times New Roman"/>
          <w:bCs/>
          <w:sz w:val="24"/>
        </w:rPr>
        <w:t xml:space="preserve">La DdP </w:t>
      </w:r>
      <w:r w:rsidR="00A1748E">
        <w:rPr>
          <w:rFonts w:ascii="Times New Roman" w:hAnsi="Times New Roman" w:cs="Times New Roman"/>
          <w:bCs/>
          <w:sz w:val="24"/>
        </w:rPr>
        <w:t xml:space="preserve">es miembro del Sistema </w:t>
      </w:r>
      <w:r w:rsidR="00A1748E" w:rsidRPr="00A1748E">
        <w:rPr>
          <w:rFonts w:ascii="Times New Roman" w:hAnsi="Times New Roman" w:cs="Times New Roman"/>
          <w:bCs/>
          <w:sz w:val="24"/>
        </w:rPr>
        <w:t>Rector Nacional para la Protección Integral de Niños, Niñas y Adolescentes</w:t>
      </w:r>
      <w:r w:rsidR="00A1748E">
        <w:rPr>
          <w:rFonts w:ascii="Times New Roman" w:hAnsi="Times New Roman" w:cs="Times New Roman"/>
          <w:bCs/>
          <w:sz w:val="24"/>
        </w:rPr>
        <w:t>-SRNPINNA (art. 117 LOPNNA), donde debe cumplir con diversas atribuciones (arts. 169-A, 212, 278 y 321 LOPNNA). En tal sentido, promueve</w:t>
      </w:r>
      <w:r w:rsidR="00A1748E" w:rsidRPr="00A1748E">
        <w:rPr>
          <w:rFonts w:ascii="Times New Roman" w:hAnsi="Times New Roman" w:cs="Times New Roman"/>
          <w:bCs/>
          <w:sz w:val="24"/>
        </w:rPr>
        <w:t xml:space="preserve">, divulga y ejecuta actividades educativas y de investigación para la difusión y efectiva protección de los derechos humanos de niños, niñas y adolescentes, impulsa la participación ciudadana para velar por </w:t>
      </w:r>
      <w:r w:rsidR="00A1748E">
        <w:rPr>
          <w:rFonts w:ascii="Times New Roman" w:hAnsi="Times New Roman" w:cs="Times New Roman"/>
          <w:bCs/>
          <w:sz w:val="24"/>
        </w:rPr>
        <w:t>estos</w:t>
      </w:r>
      <w:r w:rsidR="00A1748E" w:rsidRPr="00A1748E">
        <w:rPr>
          <w:rFonts w:ascii="Times New Roman" w:hAnsi="Times New Roman" w:cs="Times New Roman"/>
          <w:bCs/>
          <w:sz w:val="24"/>
        </w:rPr>
        <w:t xml:space="preserve"> derechos y garantías, inspecciona las entidades de atención, programas de protección, las defensorías y a los defensores o defensoras de niños, niñas y adolescentes, así como vela por el adecuado funcionamiento de los demás integrantes del</w:t>
      </w:r>
      <w:r w:rsidR="00A1748E">
        <w:rPr>
          <w:rFonts w:ascii="Times New Roman" w:hAnsi="Times New Roman" w:cs="Times New Roman"/>
          <w:bCs/>
          <w:sz w:val="24"/>
        </w:rPr>
        <w:t xml:space="preserve"> SRNPINNA.</w:t>
      </w:r>
    </w:p>
    <w:p w:rsidR="00B03AD9" w:rsidRDefault="0076278D" w:rsidP="00B03AD9">
      <w:pPr>
        <w:spacing w:before="120" w:after="120" w:line="240" w:lineRule="auto"/>
        <w:jc w:val="both"/>
        <w:rPr>
          <w:rFonts w:ascii="Times New Roman" w:hAnsi="Times New Roman" w:cs="Times New Roman"/>
          <w:bCs/>
          <w:sz w:val="24"/>
        </w:rPr>
      </w:pPr>
      <w:r>
        <w:rPr>
          <w:rFonts w:ascii="Times New Roman" w:hAnsi="Times New Roman" w:cs="Times New Roman"/>
          <w:bCs/>
          <w:sz w:val="24"/>
        </w:rPr>
        <w:t>30</w:t>
      </w:r>
      <w:r w:rsidR="00080254">
        <w:rPr>
          <w:rFonts w:ascii="Times New Roman" w:hAnsi="Times New Roman" w:cs="Times New Roman"/>
          <w:bCs/>
          <w:sz w:val="24"/>
        </w:rPr>
        <w:t>. Desde 201</w:t>
      </w:r>
      <w:r w:rsidR="006A291E">
        <w:rPr>
          <w:rFonts w:ascii="Times New Roman" w:hAnsi="Times New Roman" w:cs="Times New Roman"/>
          <w:bCs/>
          <w:sz w:val="24"/>
        </w:rPr>
        <w:t>0</w:t>
      </w:r>
      <w:r w:rsidR="00080254">
        <w:rPr>
          <w:rFonts w:ascii="Times New Roman" w:hAnsi="Times New Roman" w:cs="Times New Roman"/>
          <w:bCs/>
          <w:sz w:val="24"/>
        </w:rPr>
        <w:t xml:space="preserve">, </w:t>
      </w:r>
      <w:r w:rsidR="00B03AD9" w:rsidRPr="002E6D1A">
        <w:rPr>
          <w:rFonts w:ascii="Times New Roman" w:hAnsi="Times New Roman" w:cs="Times New Roman"/>
          <w:bCs/>
          <w:sz w:val="24"/>
        </w:rPr>
        <w:t xml:space="preserve">lleva a cabo el Programa “Derecho al Buen Trato”, </w:t>
      </w:r>
      <w:r w:rsidR="007008DC">
        <w:rPr>
          <w:rFonts w:ascii="Times New Roman" w:hAnsi="Times New Roman" w:cs="Times New Roman"/>
          <w:bCs/>
          <w:sz w:val="24"/>
        </w:rPr>
        <w:t xml:space="preserve">que </w:t>
      </w:r>
      <w:r w:rsidR="007008DC" w:rsidRPr="007008DC">
        <w:rPr>
          <w:rFonts w:ascii="Times New Roman" w:hAnsi="Times New Roman" w:cs="Times New Roman"/>
          <w:bCs/>
          <w:sz w:val="24"/>
        </w:rPr>
        <w:t xml:space="preserve">se ha ejecutado en 19 Estados del territorio nacional. Desde </w:t>
      </w:r>
      <w:r w:rsidR="007008DC">
        <w:rPr>
          <w:rFonts w:ascii="Times New Roman" w:hAnsi="Times New Roman" w:cs="Times New Roman"/>
          <w:bCs/>
          <w:sz w:val="24"/>
        </w:rPr>
        <w:t xml:space="preserve">ese año, </w:t>
      </w:r>
      <w:r w:rsidR="007008DC" w:rsidRPr="007008DC">
        <w:rPr>
          <w:rFonts w:ascii="Times New Roman" w:hAnsi="Times New Roman" w:cs="Times New Roman"/>
          <w:bCs/>
          <w:sz w:val="24"/>
        </w:rPr>
        <w:t xml:space="preserve">hasta </w:t>
      </w:r>
      <w:r w:rsidR="007008DC">
        <w:rPr>
          <w:rFonts w:ascii="Times New Roman" w:hAnsi="Times New Roman" w:cs="Times New Roman"/>
          <w:bCs/>
          <w:sz w:val="24"/>
        </w:rPr>
        <w:t>2014</w:t>
      </w:r>
      <w:r w:rsidR="007008DC" w:rsidRPr="007008DC">
        <w:rPr>
          <w:rFonts w:ascii="Times New Roman" w:hAnsi="Times New Roman" w:cs="Times New Roman"/>
          <w:bCs/>
          <w:sz w:val="24"/>
        </w:rPr>
        <w:t xml:space="preserve"> se han formado 8.310 niños, niñas y adolescentes y 3.536 personas adultas entre personal directivo, madres, padres, docentes, representantes y líderes comunitarios.</w:t>
      </w:r>
    </w:p>
    <w:p w:rsidR="00C97214" w:rsidRDefault="00E717FA" w:rsidP="00B03AD9">
      <w:pPr>
        <w:spacing w:before="120" w:after="120" w:line="240" w:lineRule="auto"/>
        <w:jc w:val="both"/>
        <w:rPr>
          <w:rFonts w:ascii="Times New Roman" w:hAnsi="Times New Roman" w:cs="Times New Roman"/>
          <w:bCs/>
          <w:sz w:val="24"/>
        </w:rPr>
      </w:pPr>
      <w:r>
        <w:rPr>
          <w:rFonts w:ascii="Times New Roman" w:hAnsi="Times New Roman" w:cs="Times New Roman"/>
          <w:bCs/>
          <w:sz w:val="24"/>
        </w:rPr>
        <w:t>3</w:t>
      </w:r>
      <w:r w:rsidR="0076278D">
        <w:rPr>
          <w:rFonts w:ascii="Times New Roman" w:hAnsi="Times New Roman" w:cs="Times New Roman"/>
          <w:bCs/>
          <w:sz w:val="24"/>
        </w:rPr>
        <w:t>1</w:t>
      </w:r>
      <w:r w:rsidR="00C97214">
        <w:rPr>
          <w:rFonts w:ascii="Times New Roman" w:hAnsi="Times New Roman" w:cs="Times New Roman"/>
          <w:bCs/>
          <w:sz w:val="24"/>
        </w:rPr>
        <w:t>. Además, se desarrolla e</w:t>
      </w:r>
      <w:r w:rsidR="00C97214" w:rsidRPr="00C97214">
        <w:rPr>
          <w:rFonts w:ascii="Times New Roman" w:hAnsi="Times New Roman" w:cs="Times New Roman"/>
          <w:bCs/>
          <w:sz w:val="24"/>
        </w:rPr>
        <w:t>l “Programa Def</w:t>
      </w:r>
      <w:r w:rsidR="00C97214">
        <w:rPr>
          <w:rFonts w:ascii="Times New Roman" w:hAnsi="Times New Roman" w:cs="Times New Roman"/>
          <w:bCs/>
          <w:sz w:val="24"/>
        </w:rPr>
        <w:t xml:space="preserve">ensores y Defensoras Escolares”, </w:t>
      </w:r>
      <w:r w:rsidR="00C97214" w:rsidRPr="00C97214">
        <w:rPr>
          <w:rFonts w:ascii="Times New Roman" w:hAnsi="Times New Roman" w:cs="Times New Roman"/>
          <w:bCs/>
          <w:sz w:val="24"/>
        </w:rPr>
        <w:t>diseñado para promover la organización y formación de los niños, niñas y adolescentes como agentes multiplicadores en la promoción y divulgación de los derechos humanos en el ámbito escolar. Incorpora el apoyo del Sistema Rector Nacional para la Protección Integral de Niños, Niñas y Adolescentes, y prevé informar a los niños y niñas sobre este conjunto de órganos antes los cuales pueden acudir para hacer valer sus derechos. Tiene cobertura nacional y hasta le fecha se ha desarrollado en 41 centros educativos de 16 defensorías delegadas estadales. Es así como ha formado a un total de 1.483 niños, niñas y adolescentes y se han conformado 41 Consejos de Defensores y Defensoras Escolares.</w:t>
      </w:r>
    </w:p>
    <w:p w:rsidR="00FA06A1" w:rsidRPr="00FF04E5" w:rsidRDefault="00F55B81" w:rsidP="00FF04E5">
      <w:pPr>
        <w:spacing w:before="120" w:after="120" w:line="240" w:lineRule="auto"/>
        <w:jc w:val="both"/>
        <w:rPr>
          <w:rFonts w:ascii="Times New Roman" w:hAnsi="Times New Roman" w:cs="Times New Roman"/>
          <w:b/>
          <w:sz w:val="20"/>
        </w:rPr>
      </w:pPr>
      <w:r w:rsidRPr="00FF04E5">
        <w:rPr>
          <w:rFonts w:ascii="Times New Roman" w:hAnsi="Times New Roman" w:cs="Times New Roman"/>
          <w:b/>
          <w:sz w:val="20"/>
        </w:rPr>
        <w:t>Derecho de los Refugiados</w:t>
      </w:r>
    </w:p>
    <w:p w:rsidR="001E488E" w:rsidRPr="00A1748E" w:rsidRDefault="00E717FA" w:rsidP="001E488E">
      <w:pPr>
        <w:pStyle w:val="Default"/>
        <w:spacing w:before="120" w:after="120"/>
        <w:jc w:val="both"/>
        <w:rPr>
          <w:color w:val="auto"/>
        </w:rPr>
      </w:pPr>
      <w:r>
        <w:rPr>
          <w:color w:val="auto"/>
        </w:rPr>
        <w:t>3</w:t>
      </w:r>
      <w:r w:rsidR="0076278D">
        <w:rPr>
          <w:color w:val="auto"/>
        </w:rPr>
        <w:t>2</w:t>
      </w:r>
      <w:r w:rsidR="00E627F0" w:rsidRPr="00A1748E">
        <w:rPr>
          <w:color w:val="auto"/>
        </w:rPr>
        <w:t xml:space="preserve">. </w:t>
      </w:r>
      <w:r w:rsidR="00F55B81" w:rsidRPr="00A1748E">
        <w:rPr>
          <w:color w:val="auto"/>
        </w:rPr>
        <w:t xml:space="preserve">La Defensoría del Pueblo </w:t>
      </w:r>
      <w:r w:rsidR="001E488E" w:rsidRPr="00A1748E">
        <w:rPr>
          <w:color w:val="auto"/>
        </w:rPr>
        <w:t xml:space="preserve">forma parte </w:t>
      </w:r>
      <w:r w:rsidR="00A40943" w:rsidRPr="00A1748E">
        <w:rPr>
          <w:color w:val="auto"/>
        </w:rPr>
        <w:t>de la Comisión Nacional de Refugiados (</w:t>
      </w:r>
      <w:r w:rsidR="001E488E" w:rsidRPr="00A1748E">
        <w:rPr>
          <w:color w:val="auto"/>
          <w:lang w:val="es-VE" w:eastAsia="es-VE"/>
        </w:rPr>
        <w:t>ente que se enca</w:t>
      </w:r>
      <w:r w:rsidR="001923A0">
        <w:rPr>
          <w:color w:val="auto"/>
          <w:lang w:val="es-VE" w:eastAsia="es-VE"/>
        </w:rPr>
        <w:t>rga de procesar las solicitudes</w:t>
      </w:r>
      <w:r w:rsidR="001E488E" w:rsidRPr="00A1748E">
        <w:rPr>
          <w:color w:val="auto"/>
          <w:lang w:val="es-VE" w:eastAsia="es-VE"/>
        </w:rPr>
        <w:t xml:space="preserve"> de refugio, y de tomar la decisión sobre su reconocimiento)</w:t>
      </w:r>
      <w:r w:rsidR="00A40943" w:rsidRPr="00A1748E">
        <w:rPr>
          <w:color w:val="auto"/>
        </w:rPr>
        <w:t xml:space="preserve"> desde el momento de su </w:t>
      </w:r>
      <w:r w:rsidR="001E488E" w:rsidRPr="00A1748E">
        <w:rPr>
          <w:color w:val="auto"/>
        </w:rPr>
        <w:t xml:space="preserve">instalación </w:t>
      </w:r>
      <w:r w:rsidR="00A40943" w:rsidRPr="00A1748E">
        <w:rPr>
          <w:color w:val="auto"/>
        </w:rPr>
        <w:t>en 2003</w:t>
      </w:r>
      <w:r w:rsidR="001E488E" w:rsidRPr="00A1748E">
        <w:rPr>
          <w:rStyle w:val="Refdenotaalpie"/>
          <w:color w:val="auto"/>
        </w:rPr>
        <w:footnoteReference w:id="15"/>
      </w:r>
      <w:r w:rsidR="001E488E" w:rsidRPr="00A1748E">
        <w:rPr>
          <w:color w:val="auto"/>
        </w:rPr>
        <w:t xml:space="preserve">. </w:t>
      </w:r>
      <w:r w:rsidR="00007F53">
        <w:rPr>
          <w:color w:val="auto"/>
        </w:rPr>
        <w:t>Así</w:t>
      </w:r>
      <w:r w:rsidR="001E488E" w:rsidRPr="00A1748E">
        <w:rPr>
          <w:color w:val="auto"/>
        </w:rPr>
        <w:t>,</w:t>
      </w:r>
      <w:r w:rsidR="00A40943" w:rsidRPr="00A1748E">
        <w:rPr>
          <w:color w:val="auto"/>
        </w:rPr>
        <w:t xml:space="preserve"> </w:t>
      </w:r>
      <w:r w:rsidR="00F55B81" w:rsidRPr="00A1748E">
        <w:rPr>
          <w:color w:val="auto"/>
        </w:rPr>
        <w:t xml:space="preserve">ha venido trabajando en favor de los solicitantes de refugio y refugiados a nivel nacional, a través de las Defensorías Delegadas de los estados fronterizos. </w:t>
      </w:r>
    </w:p>
    <w:p w:rsidR="00F55B81" w:rsidRPr="004B475A" w:rsidRDefault="00E717FA" w:rsidP="001E488E">
      <w:pPr>
        <w:pStyle w:val="Default"/>
        <w:spacing w:before="120" w:after="120"/>
        <w:jc w:val="both"/>
        <w:rPr>
          <w:color w:val="auto"/>
        </w:rPr>
      </w:pPr>
      <w:r>
        <w:rPr>
          <w:color w:val="auto"/>
        </w:rPr>
        <w:t>3</w:t>
      </w:r>
      <w:r w:rsidR="0076278D">
        <w:rPr>
          <w:color w:val="auto"/>
        </w:rPr>
        <w:t>3</w:t>
      </w:r>
      <w:r w:rsidR="00E627F0" w:rsidRPr="004B475A">
        <w:rPr>
          <w:color w:val="auto"/>
        </w:rPr>
        <w:t xml:space="preserve">. </w:t>
      </w:r>
      <w:r w:rsidR="001E488E" w:rsidRPr="004B475A">
        <w:rPr>
          <w:color w:val="auto"/>
        </w:rPr>
        <w:t>Estas delegadas, brindan</w:t>
      </w:r>
      <w:r w:rsidR="00211B24" w:rsidRPr="004B475A">
        <w:rPr>
          <w:color w:val="auto"/>
        </w:rPr>
        <w:t xml:space="preserve"> la debida orientación y asistencia a los solicitantes de refugio o refugiados que acuden a las sedes, con el fin de obtener información sobre el procedimiento de solicitud de refugio o de presentar alguna denuncia en particular, bien por violación o amenaza de violación de sus derechos humanos.</w:t>
      </w:r>
      <w:r w:rsidR="007834A4" w:rsidRPr="004B475A">
        <w:rPr>
          <w:color w:val="auto"/>
        </w:rPr>
        <w:t xml:space="preserve"> </w:t>
      </w:r>
      <w:r w:rsidR="001E488E" w:rsidRPr="004B475A">
        <w:rPr>
          <w:color w:val="auto"/>
        </w:rPr>
        <w:t>Para llevar a cabo esta labor</w:t>
      </w:r>
      <w:r w:rsidR="007834A4" w:rsidRPr="004B475A">
        <w:rPr>
          <w:color w:val="auto"/>
        </w:rPr>
        <w:t>,</w:t>
      </w:r>
      <w:r w:rsidR="001E488E" w:rsidRPr="004B475A">
        <w:rPr>
          <w:color w:val="auto"/>
        </w:rPr>
        <w:t xml:space="preserve"> la DdP ha dispuesto </w:t>
      </w:r>
      <w:r w:rsidR="007834A4" w:rsidRPr="004B475A">
        <w:rPr>
          <w:color w:val="auto"/>
        </w:rPr>
        <w:t xml:space="preserve">un Instructivo contentivo de las Directrices en materia de Refugiados o Refugiadas y Asilados o Asiladas, con el fin garantizar que las actuaciones realizadas por las Defensorías Delegadas estadales estén conforme a la normativa vigente en la materia.  </w:t>
      </w:r>
    </w:p>
    <w:p w:rsidR="00ED1EE1" w:rsidRDefault="00E717FA" w:rsidP="00ED1EE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0076278D">
        <w:rPr>
          <w:rFonts w:ascii="Times New Roman" w:hAnsi="Times New Roman" w:cs="Times New Roman"/>
          <w:sz w:val="24"/>
          <w:szCs w:val="24"/>
        </w:rPr>
        <w:t>4</w:t>
      </w:r>
      <w:r w:rsidR="009E1464" w:rsidRPr="00007F53">
        <w:rPr>
          <w:rFonts w:ascii="Times New Roman" w:hAnsi="Times New Roman" w:cs="Times New Roman"/>
          <w:sz w:val="24"/>
          <w:szCs w:val="24"/>
        </w:rPr>
        <w:t xml:space="preserve">. </w:t>
      </w:r>
      <w:r w:rsidR="00ED1EE1" w:rsidRPr="00007F53">
        <w:rPr>
          <w:rFonts w:ascii="Times New Roman" w:hAnsi="Times New Roman" w:cs="Times New Roman"/>
          <w:sz w:val="24"/>
          <w:szCs w:val="24"/>
        </w:rPr>
        <w:t>En 2012 la DdP firmó un plan de trabajo con el Acnur</w:t>
      </w:r>
      <w:r w:rsidR="00ED1EE1" w:rsidRPr="00007F53">
        <w:rPr>
          <w:rStyle w:val="Refdenotaalpie"/>
          <w:rFonts w:ascii="Times New Roman" w:hAnsi="Times New Roman" w:cs="Times New Roman"/>
          <w:sz w:val="24"/>
          <w:szCs w:val="24"/>
        </w:rPr>
        <w:footnoteReference w:id="16"/>
      </w:r>
      <w:r w:rsidR="00ED1EE1" w:rsidRPr="00007F53">
        <w:rPr>
          <w:rFonts w:ascii="Times New Roman" w:hAnsi="Times New Roman" w:cs="Times New Roman"/>
          <w:sz w:val="24"/>
          <w:szCs w:val="24"/>
        </w:rPr>
        <w:t xml:space="preserve"> en miras de fortalecer los procesos de vigilancia y defensa de las personas refugiadas en el país, </w:t>
      </w:r>
      <w:r w:rsidR="00007F53">
        <w:rPr>
          <w:rFonts w:ascii="Times New Roman" w:hAnsi="Times New Roman" w:cs="Times New Roman"/>
          <w:sz w:val="24"/>
          <w:szCs w:val="24"/>
        </w:rPr>
        <w:t xml:space="preserve">y </w:t>
      </w:r>
      <w:r w:rsidR="00ED1EE1" w:rsidRPr="00007F53">
        <w:rPr>
          <w:rFonts w:ascii="Times New Roman" w:hAnsi="Times New Roman" w:cs="Times New Roman"/>
          <w:sz w:val="24"/>
          <w:szCs w:val="24"/>
        </w:rPr>
        <w:t>mejora</w:t>
      </w:r>
      <w:r w:rsidR="00007F53">
        <w:rPr>
          <w:rFonts w:ascii="Times New Roman" w:hAnsi="Times New Roman" w:cs="Times New Roman"/>
          <w:sz w:val="24"/>
          <w:szCs w:val="24"/>
        </w:rPr>
        <w:t>r</w:t>
      </w:r>
      <w:r w:rsidR="00ED1EE1" w:rsidRPr="00007F53">
        <w:rPr>
          <w:rFonts w:ascii="Times New Roman" w:hAnsi="Times New Roman" w:cs="Times New Roman"/>
          <w:sz w:val="24"/>
          <w:szCs w:val="24"/>
        </w:rPr>
        <w:t xml:space="preserve"> los mecanismos de cooperación y asistencia mutua y capacitación a funcionarias y funcionarios de la </w:t>
      </w:r>
      <w:r w:rsidR="00007F53">
        <w:rPr>
          <w:rFonts w:ascii="Times New Roman" w:hAnsi="Times New Roman" w:cs="Times New Roman"/>
          <w:sz w:val="24"/>
          <w:szCs w:val="24"/>
        </w:rPr>
        <w:t>I</w:t>
      </w:r>
      <w:r w:rsidR="00ED1EE1" w:rsidRPr="00007F53">
        <w:rPr>
          <w:rFonts w:ascii="Times New Roman" w:hAnsi="Times New Roman" w:cs="Times New Roman"/>
          <w:sz w:val="24"/>
          <w:szCs w:val="24"/>
        </w:rPr>
        <w:t xml:space="preserve">nstitución. Aunque estas actividades ya venían realizándose conjuntamente, en particular en los estados fronterizos, este plan viene a materializar las relaciones con esta agencia de la ONU. </w:t>
      </w:r>
    </w:p>
    <w:p w:rsidR="00EF6654" w:rsidRPr="00E62FA4" w:rsidRDefault="00E75D42" w:rsidP="00EF6654">
      <w:pPr>
        <w:spacing w:before="120" w:after="120" w:line="240" w:lineRule="auto"/>
        <w:jc w:val="both"/>
        <w:rPr>
          <w:rFonts w:ascii="Times New Roman" w:hAnsi="Times New Roman" w:cs="Times New Roman"/>
          <w:sz w:val="24"/>
          <w:szCs w:val="24"/>
        </w:rPr>
      </w:pPr>
      <w:r w:rsidRPr="00EF6654">
        <w:rPr>
          <w:rFonts w:ascii="Times New Roman" w:hAnsi="Times New Roman" w:cs="Times New Roman"/>
          <w:sz w:val="24"/>
          <w:szCs w:val="24"/>
        </w:rPr>
        <w:t>3</w:t>
      </w:r>
      <w:r w:rsidR="0076278D" w:rsidRPr="00EF6654">
        <w:rPr>
          <w:rFonts w:ascii="Times New Roman" w:hAnsi="Times New Roman" w:cs="Times New Roman"/>
          <w:sz w:val="24"/>
          <w:szCs w:val="24"/>
        </w:rPr>
        <w:t>5</w:t>
      </w:r>
      <w:r w:rsidRPr="00EF6654">
        <w:rPr>
          <w:rFonts w:ascii="Times New Roman" w:hAnsi="Times New Roman" w:cs="Times New Roman"/>
          <w:sz w:val="24"/>
          <w:szCs w:val="24"/>
        </w:rPr>
        <w:t xml:space="preserve">. </w:t>
      </w:r>
      <w:r w:rsidR="00EF6654" w:rsidRPr="00EF6654">
        <w:rPr>
          <w:rFonts w:ascii="Times New Roman" w:hAnsi="Times New Roman" w:cs="Times New Roman"/>
          <w:sz w:val="24"/>
          <w:szCs w:val="24"/>
        </w:rPr>
        <w:t>En</w:t>
      </w:r>
      <w:r w:rsidR="00EF6654">
        <w:rPr>
          <w:rFonts w:ascii="Times New Roman" w:hAnsi="Times New Roman" w:cs="Times New Roman"/>
          <w:sz w:val="24"/>
          <w:szCs w:val="24"/>
        </w:rPr>
        <w:t xml:space="preserve"> 2014, l</w:t>
      </w:r>
      <w:r w:rsidR="00EF6654" w:rsidRPr="00E62FA4">
        <w:rPr>
          <w:rFonts w:ascii="Times New Roman" w:hAnsi="Times New Roman" w:cs="Times New Roman"/>
          <w:sz w:val="24"/>
        </w:rPr>
        <w:t xml:space="preserve">a Defensoría tomó nota de la intensificación de los operativos militares de lucha contra el narcotráfico, crimen organizado transnacional, contrabando de extracción y paramilitarismo foráneo, en la frontera venezolana, </w:t>
      </w:r>
      <w:r w:rsidR="00EF6654">
        <w:rPr>
          <w:rFonts w:ascii="Times New Roman" w:hAnsi="Times New Roman" w:cs="Times New Roman"/>
          <w:sz w:val="24"/>
        </w:rPr>
        <w:t>durante dicho año</w:t>
      </w:r>
      <w:r w:rsidR="00EF6654" w:rsidRPr="00E62FA4">
        <w:rPr>
          <w:rFonts w:ascii="Times New Roman" w:hAnsi="Times New Roman" w:cs="Times New Roman"/>
          <w:sz w:val="24"/>
        </w:rPr>
        <w:t>. Al mismo tiempo, fue informada sobre el incremento de las medidas de deportación y expulsión de personas extranjeras del territorio venezolano.</w:t>
      </w:r>
      <w:r w:rsidR="00EF6654">
        <w:rPr>
          <w:rFonts w:ascii="Times New Roman" w:hAnsi="Times New Roman" w:cs="Times New Roman"/>
          <w:sz w:val="24"/>
        </w:rPr>
        <w:t xml:space="preserve"> </w:t>
      </w:r>
      <w:r w:rsidR="00EF6654" w:rsidRPr="00E62FA4">
        <w:rPr>
          <w:rFonts w:ascii="Times New Roman" w:hAnsi="Times New Roman" w:cs="Times New Roman"/>
          <w:sz w:val="24"/>
        </w:rPr>
        <w:t xml:space="preserve">Para verificar esta situación, en dos ocasiones, la Institución solicitó información al director general del Saime sobre los procedimientos de deportación y expulsión tramitados durante </w:t>
      </w:r>
      <w:r w:rsidR="00EF6654" w:rsidRPr="00E62FA4">
        <w:rPr>
          <w:rFonts w:ascii="Times New Roman" w:hAnsi="Times New Roman" w:cs="Times New Roman"/>
          <w:sz w:val="24"/>
          <w:szCs w:val="24"/>
        </w:rPr>
        <w:t>2013 y el primer semestre de 2014, a fin de estimar su impacto sobre el ejercicio de los derechos humanos de las personas extranjeras, incluidos los refugiados, sin obtener respuesta</w:t>
      </w:r>
      <w:r w:rsidR="00EF6654" w:rsidRPr="00E62FA4">
        <w:rPr>
          <w:rStyle w:val="Refdenotaalpie"/>
          <w:rFonts w:ascii="Times New Roman" w:hAnsi="Times New Roman" w:cs="Times New Roman"/>
          <w:sz w:val="24"/>
          <w:szCs w:val="24"/>
        </w:rPr>
        <w:footnoteReference w:id="17"/>
      </w:r>
      <w:r w:rsidR="00EF6654" w:rsidRPr="00E62FA4">
        <w:rPr>
          <w:rFonts w:ascii="Times New Roman" w:hAnsi="Times New Roman" w:cs="Times New Roman"/>
          <w:sz w:val="24"/>
          <w:szCs w:val="24"/>
        </w:rPr>
        <w:t>.</w:t>
      </w:r>
    </w:p>
    <w:p w:rsidR="00EF6654" w:rsidRPr="00E62FA4" w:rsidRDefault="00EF6654" w:rsidP="00EF665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36. En tal sentido, l</w:t>
      </w:r>
      <w:r w:rsidRPr="00E62FA4">
        <w:rPr>
          <w:rFonts w:ascii="Times New Roman" w:hAnsi="Times New Roman" w:cs="Times New Roman"/>
          <w:sz w:val="24"/>
          <w:szCs w:val="24"/>
        </w:rPr>
        <w:t>a Defensoría pid</w:t>
      </w:r>
      <w:r>
        <w:rPr>
          <w:rFonts w:ascii="Times New Roman" w:hAnsi="Times New Roman" w:cs="Times New Roman"/>
          <w:sz w:val="24"/>
          <w:szCs w:val="24"/>
        </w:rPr>
        <w:t>ió</w:t>
      </w:r>
      <w:r w:rsidRPr="00E62FA4">
        <w:rPr>
          <w:rFonts w:ascii="Times New Roman" w:hAnsi="Times New Roman" w:cs="Times New Roman"/>
          <w:sz w:val="24"/>
          <w:szCs w:val="24"/>
        </w:rPr>
        <w:t xml:space="preserve"> a las autoridades respetar los principios de No Devolución, No Sanción y Unidad Familiar que asisten  a las personas refugiadas y solicitantes de refugio en el territorio nacional, respetar el debido proceso que establece la Ley de Extranjería y Migración, en los casos de expulsión y deportación. Además, en los casos donde esté involucrado un niño, niña o adolescente deben prevalecer los principios de Prioridad Absoluta e Interés Superior contenidos en la Ley Orgánica para la Protección de Niñas, Niños y Adolescentes (Lopnna). </w:t>
      </w:r>
    </w:p>
    <w:p w:rsidR="00D07641" w:rsidRPr="00D07641" w:rsidRDefault="00D07641" w:rsidP="00D07641">
      <w:pPr>
        <w:spacing w:before="120" w:after="120" w:line="240" w:lineRule="auto"/>
        <w:jc w:val="both"/>
        <w:rPr>
          <w:rFonts w:ascii="Times New Roman" w:hAnsi="Times New Roman" w:cs="Times New Roman"/>
          <w:b/>
          <w:sz w:val="20"/>
        </w:rPr>
      </w:pPr>
      <w:r w:rsidRPr="00D07641">
        <w:rPr>
          <w:rFonts w:ascii="Times New Roman" w:hAnsi="Times New Roman" w:cs="Times New Roman"/>
          <w:b/>
          <w:sz w:val="20"/>
        </w:rPr>
        <w:t xml:space="preserve">Atención de </w:t>
      </w:r>
      <w:r w:rsidR="00007F53">
        <w:rPr>
          <w:rFonts w:ascii="Times New Roman" w:hAnsi="Times New Roman" w:cs="Times New Roman"/>
          <w:b/>
          <w:sz w:val="20"/>
        </w:rPr>
        <w:t>casos especialmente relevantes. Caso Franklin Brito</w:t>
      </w:r>
    </w:p>
    <w:p w:rsidR="00D07641" w:rsidRPr="00007F53" w:rsidRDefault="00E717FA" w:rsidP="00D07641">
      <w:pPr>
        <w:pStyle w:val="POSTGRADO"/>
        <w:spacing w:before="120" w:after="120" w:line="240" w:lineRule="auto"/>
        <w:rPr>
          <w:rFonts w:ascii="Times New Roman" w:hAnsi="Times New Roman"/>
        </w:rPr>
      </w:pPr>
      <w:r>
        <w:rPr>
          <w:rFonts w:ascii="Times New Roman" w:hAnsi="Times New Roman"/>
        </w:rPr>
        <w:t>3</w:t>
      </w:r>
      <w:r w:rsidR="00595E52">
        <w:rPr>
          <w:rFonts w:ascii="Times New Roman" w:hAnsi="Times New Roman"/>
        </w:rPr>
        <w:t>7</w:t>
      </w:r>
      <w:r w:rsidR="009E1464" w:rsidRPr="00007F53">
        <w:rPr>
          <w:rFonts w:ascii="Times New Roman" w:hAnsi="Times New Roman"/>
        </w:rPr>
        <w:t xml:space="preserve">. </w:t>
      </w:r>
      <w:r w:rsidR="00D07641" w:rsidRPr="00007F53">
        <w:rPr>
          <w:rFonts w:ascii="Times New Roman" w:hAnsi="Times New Roman"/>
        </w:rPr>
        <w:t>La Defensoría del Pueblo en ejercicio de sus atribuciones constitucionales, inició no menos de 50 actuaciones defensoriales y realizó un seguimiento exhaustivo del caso del ciudadano Franklin José Brito Rodríguez, a los fines de velar por el respeto a sus derechos humanos, en especial, su derecho a la vida, en cuanto es el supuesto ontológico sin el cual los demás derechos no tendrían existencia alguna, en vista de que su salud se encontraba en franco deterioro. En criterio de la Defensoría del Pueblo, se evidenció que el Estado, a través de las instituciones correspondientes garantizó al Sr. Franklin José Brito Rodríguez, el acceso a la justicia en el reclamo de sus peticiones, a través de la vía administrativa y jurisdiccional</w:t>
      </w:r>
      <w:r w:rsidR="00D07641" w:rsidRPr="00007F53">
        <w:rPr>
          <w:rFonts w:ascii="Times New Roman" w:hAnsi="Times New Roman"/>
          <w:bCs/>
          <w:spacing w:val="-4"/>
        </w:rPr>
        <w:t xml:space="preserve"> y así lo reconoció en su momento expresamente el Coordinador Residente del Programa de Naciones Unidas en Venezuela</w:t>
      </w:r>
      <w:r w:rsidR="00D07641" w:rsidRPr="00007F53">
        <w:rPr>
          <w:rStyle w:val="Refdenotaalpie"/>
          <w:rFonts w:ascii="Times New Roman" w:hAnsi="Times New Roman"/>
          <w:bCs/>
          <w:spacing w:val="-4"/>
        </w:rPr>
        <w:footnoteReference w:id="18"/>
      </w:r>
      <w:r w:rsidR="00D07641" w:rsidRPr="00007F53">
        <w:rPr>
          <w:rFonts w:ascii="Times New Roman" w:hAnsi="Times New Roman"/>
        </w:rPr>
        <w:t xml:space="preserve">. </w:t>
      </w:r>
    </w:p>
    <w:p w:rsidR="00595E52" w:rsidRDefault="00595E52" w:rsidP="00CE5A6F">
      <w:pPr>
        <w:spacing w:before="120" w:after="120" w:line="240" w:lineRule="auto"/>
        <w:jc w:val="both"/>
        <w:rPr>
          <w:rFonts w:ascii="Times New Roman" w:hAnsi="Times New Roman" w:cs="Times New Roman"/>
          <w:b/>
          <w:sz w:val="20"/>
        </w:rPr>
      </w:pPr>
    </w:p>
    <w:p w:rsidR="00595E52" w:rsidRDefault="00595E52" w:rsidP="00CE5A6F">
      <w:pPr>
        <w:spacing w:before="120" w:after="120" w:line="240" w:lineRule="auto"/>
        <w:jc w:val="both"/>
        <w:rPr>
          <w:rFonts w:ascii="Times New Roman" w:hAnsi="Times New Roman" w:cs="Times New Roman"/>
          <w:b/>
          <w:sz w:val="20"/>
        </w:rPr>
      </w:pPr>
    </w:p>
    <w:p w:rsidR="00CE5A6F" w:rsidRPr="00CE5A6F" w:rsidRDefault="00CE5A6F" w:rsidP="00CE5A6F">
      <w:pPr>
        <w:spacing w:before="120" w:after="120" w:line="240" w:lineRule="auto"/>
        <w:jc w:val="both"/>
        <w:rPr>
          <w:rFonts w:ascii="Times New Roman" w:hAnsi="Times New Roman" w:cs="Times New Roman"/>
          <w:b/>
          <w:sz w:val="20"/>
        </w:rPr>
      </w:pPr>
      <w:r w:rsidRPr="00CE5A6F">
        <w:rPr>
          <w:rFonts w:ascii="Times New Roman" w:hAnsi="Times New Roman" w:cs="Times New Roman"/>
          <w:b/>
          <w:sz w:val="20"/>
        </w:rPr>
        <w:lastRenderedPageBreak/>
        <w:t>Actuaciones judiciales</w:t>
      </w:r>
    </w:p>
    <w:p w:rsidR="00CE5A6F" w:rsidRPr="004C0FC9" w:rsidRDefault="00E717FA" w:rsidP="00CE5A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595E52">
        <w:rPr>
          <w:rFonts w:ascii="Times New Roman" w:hAnsi="Times New Roman" w:cs="Times New Roman"/>
          <w:sz w:val="24"/>
          <w:szCs w:val="24"/>
        </w:rPr>
        <w:t>8</w:t>
      </w:r>
      <w:r w:rsidR="00CE5A6F" w:rsidRPr="004C0FC9">
        <w:rPr>
          <w:rFonts w:ascii="Times New Roman" w:hAnsi="Times New Roman" w:cs="Times New Roman"/>
          <w:sz w:val="24"/>
          <w:szCs w:val="24"/>
        </w:rPr>
        <w:t>. La Institución ha interpuesto y participado en diversas acciones judiciales di</w:t>
      </w:r>
      <w:r w:rsidR="004C0FC9">
        <w:rPr>
          <w:rFonts w:ascii="Times New Roman" w:hAnsi="Times New Roman" w:cs="Times New Roman"/>
          <w:sz w:val="24"/>
          <w:szCs w:val="24"/>
        </w:rPr>
        <w:t xml:space="preserve">rigidas a proteger los derechos </w:t>
      </w:r>
      <w:r w:rsidR="00CE5A6F" w:rsidRPr="004C0FC9">
        <w:rPr>
          <w:rFonts w:ascii="Times New Roman" w:hAnsi="Times New Roman" w:cs="Times New Roman"/>
          <w:sz w:val="24"/>
          <w:szCs w:val="24"/>
        </w:rPr>
        <w:t>de las personas privadas de libertad, así como los derechos a la igualdad y no discriminación, a la libertad personal, el derecho a la justicia gratuita, y el derecho al debido proceso.</w:t>
      </w:r>
    </w:p>
    <w:p w:rsidR="00CE5A6F" w:rsidRDefault="00E717FA" w:rsidP="00CE5A6F">
      <w:pPr>
        <w:spacing w:before="120" w:after="120" w:line="240" w:lineRule="auto"/>
        <w:jc w:val="both"/>
        <w:rPr>
          <w:rFonts w:ascii="Times New Roman" w:hAnsi="Times New Roman"/>
          <w:sz w:val="24"/>
          <w:szCs w:val="24"/>
        </w:rPr>
      </w:pPr>
      <w:r>
        <w:rPr>
          <w:rFonts w:ascii="Times New Roman" w:hAnsi="Times New Roman"/>
          <w:sz w:val="24"/>
          <w:szCs w:val="24"/>
        </w:rPr>
        <w:t>3</w:t>
      </w:r>
      <w:r w:rsidR="00595E52">
        <w:rPr>
          <w:rFonts w:ascii="Times New Roman" w:hAnsi="Times New Roman"/>
          <w:sz w:val="24"/>
          <w:szCs w:val="24"/>
        </w:rPr>
        <w:t>9</w:t>
      </w:r>
      <w:r w:rsidR="009E1464" w:rsidRPr="004C0FC9">
        <w:rPr>
          <w:rFonts w:ascii="Times New Roman" w:hAnsi="Times New Roman"/>
          <w:sz w:val="24"/>
          <w:szCs w:val="24"/>
        </w:rPr>
        <w:t xml:space="preserve">. </w:t>
      </w:r>
      <w:r w:rsidR="00CE5A6F" w:rsidRPr="004C0FC9">
        <w:rPr>
          <w:rFonts w:ascii="Times New Roman" w:hAnsi="Times New Roman"/>
          <w:sz w:val="24"/>
          <w:szCs w:val="24"/>
        </w:rPr>
        <w:t xml:space="preserve">Con sus acciones judiciales, la Institución logró que se ordenara el </w:t>
      </w:r>
      <w:r w:rsidR="00CE5A6F" w:rsidRPr="004C0FC9">
        <w:rPr>
          <w:rFonts w:ascii="Times New Roman" w:hAnsi="Times New Roman"/>
          <w:bCs/>
          <w:sz w:val="24"/>
          <w:szCs w:val="24"/>
        </w:rPr>
        <w:t>retiro y reemplazo gratuito de las prótesis mamarias PIP</w:t>
      </w:r>
      <w:r w:rsidR="00CE5A6F" w:rsidRPr="004C0FC9">
        <w:rPr>
          <w:rFonts w:ascii="Times New Roman" w:hAnsi="Times New Roman"/>
          <w:sz w:val="24"/>
          <w:szCs w:val="24"/>
        </w:rPr>
        <w:t xml:space="preserve">, en los casos donde se hubiese iniciado la filtración del líquido de las prótesis, y que se </w:t>
      </w:r>
      <w:r w:rsidR="00CE5A6F" w:rsidRPr="004C0FC9">
        <w:rPr>
          <w:rFonts w:ascii="Times New Roman" w:hAnsi="Times New Roman"/>
          <w:bCs/>
          <w:sz w:val="24"/>
          <w:szCs w:val="24"/>
        </w:rPr>
        <w:t>prohibiera la venta de narguile y picadura de tabaco</w:t>
      </w:r>
      <w:r w:rsidR="00CE5A6F" w:rsidRPr="004C0FC9">
        <w:rPr>
          <w:rFonts w:ascii="Times New Roman" w:hAnsi="Times New Roman"/>
          <w:b/>
          <w:bCs/>
          <w:sz w:val="24"/>
          <w:szCs w:val="24"/>
        </w:rPr>
        <w:t xml:space="preserve"> </w:t>
      </w:r>
      <w:r w:rsidR="00CE5A6F" w:rsidRPr="004C0FC9">
        <w:rPr>
          <w:rFonts w:ascii="Times New Roman" w:hAnsi="Times New Roman"/>
          <w:sz w:val="24"/>
          <w:szCs w:val="24"/>
        </w:rPr>
        <w:t xml:space="preserve">a niños, niñas y adolescentes en todo el territorio nacional. </w:t>
      </w:r>
      <w:r w:rsidR="00CE5A6F" w:rsidRPr="004C0FC9">
        <w:rPr>
          <w:rFonts w:ascii="Times New Roman" w:hAnsi="Times New Roman"/>
          <w:bCs/>
          <w:sz w:val="24"/>
          <w:szCs w:val="24"/>
        </w:rPr>
        <w:t>También logró que se prohibiera el uso y aplicación de sustancias de relleno</w:t>
      </w:r>
      <w:r w:rsidR="00CE5A6F" w:rsidRPr="004C0FC9">
        <w:rPr>
          <w:rFonts w:ascii="Times New Roman" w:hAnsi="Times New Roman"/>
          <w:b/>
          <w:bCs/>
          <w:sz w:val="24"/>
          <w:szCs w:val="24"/>
        </w:rPr>
        <w:t xml:space="preserve"> </w:t>
      </w:r>
      <w:r w:rsidR="00CE5A6F" w:rsidRPr="004C0FC9">
        <w:rPr>
          <w:rFonts w:ascii="Times New Roman" w:hAnsi="Times New Roman"/>
          <w:sz w:val="24"/>
          <w:szCs w:val="24"/>
        </w:rPr>
        <w:t xml:space="preserve">(biopolímeros, polímeros y otros afines) en tratamientos con fines estéticos; y que se dictara </w:t>
      </w:r>
      <w:r w:rsidR="00CE5A6F" w:rsidRPr="004C0FC9">
        <w:rPr>
          <w:rFonts w:ascii="Times New Roman" w:hAnsi="Times New Roman"/>
          <w:sz w:val="24"/>
          <w:szCs w:val="24"/>
          <w:lang w:eastAsia="es-VE"/>
        </w:rPr>
        <w:t>el desalojo, inhabilitación y demolición de los edificios 9, 10, 11, 12 y 13 de la primera etapa del conjunto Residencial Terrazas de La Vega, prohibiéndose el desarrollo de unidades habitacionales en el sector.</w:t>
      </w:r>
    </w:p>
    <w:p w:rsidR="007177D4" w:rsidRPr="007177D4" w:rsidRDefault="007177D4" w:rsidP="007177D4">
      <w:pPr>
        <w:spacing w:before="120" w:after="120" w:line="240" w:lineRule="auto"/>
        <w:jc w:val="both"/>
        <w:rPr>
          <w:rFonts w:ascii="Times New Roman" w:hAnsi="Times New Roman" w:cs="Times New Roman"/>
          <w:b/>
          <w:sz w:val="20"/>
        </w:rPr>
      </w:pPr>
      <w:r w:rsidRPr="007177D4">
        <w:rPr>
          <w:rFonts w:ascii="Times New Roman" w:hAnsi="Times New Roman" w:cs="Times New Roman"/>
          <w:b/>
          <w:sz w:val="20"/>
        </w:rPr>
        <w:t>Iniciativa Legislativa</w:t>
      </w:r>
    </w:p>
    <w:p w:rsidR="007177D4" w:rsidRPr="004C0FC9" w:rsidRDefault="00595E52" w:rsidP="007177D4">
      <w:pPr>
        <w:pStyle w:val="Textoindependiente"/>
        <w:spacing w:before="120" w:after="120"/>
        <w:jc w:val="both"/>
        <w:rPr>
          <w:b w:val="0"/>
        </w:rPr>
      </w:pPr>
      <w:r>
        <w:rPr>
          <w:b w:val="0"/>
        </w:rPr>
        <w:t>40</w:t>
      </w:r>
      <w:r w:rsidR="00A6262B" w:rsidRPr="004C0FC9">
        <w:rPr>
          <w:b w:val="0"/>
        </w:rPr>
        <w:t xml:space="preserve">. </w:t>
      </w:r>
      <w:r w:rsidR="007C455E" w:rsidRPr="004C0FC9">
        <w:rPr>
          <w:b w:val="0"/>
        </w:rPr>
        <w:t>En 2010, l</w:t>
      </w:r>
      <w:r w:rsidR="007177D4" w:rsidRPr="004C0FC9">
        <w:rPr>
          <w:b w:val="0"/>
        </w:rPr>
        <w:t>a DdP present</w:t>
      </w:r>
      <w:r w:rsidR="00CE5A6F" w:rsidRPr="004C0FC9">
        <w:rPr>
          <w:b w:val="0"/>
        </w:rPr>
        <w:t>ó</w:t>
      </w:r>
      <w:r w:rsidR="007177D4" w:rsidRPr="004C0FC9">
        <w:rPr>
          <w:b w:val="0"/>
        </w:rPr>
        <w:t xml:space="preserve"> un Proyecto de Reforma de la Ley Orgánica de Amparo sobre Derechos y Garantías Constitucionales, a efectos de adaptar la Ley a la CRBV y demás instrumentos jurisprudenciales sobrevenidos y convertirlo en un instrumento eficaz para quienes acudan al Poder Judicial a procurar amparo para sus derechos y garantías constitucionales. La propuesta incorporó los criterios vertidos en la jurisprudencia de la Sala Constitucional del TSJ en esta materia y contiene, entre otras, las siguientes innovaciones: a) la posibilidad de crear tribunales temporales o permanentes en materia de amparo; b</w:t>
      </w:r>
      <w:r w:rsidR="00EE75C7" w:rsidRPr="004C0FC9">
        <w:rPr>
          <w:b w:val="0"/>
        </w:rPr>
        <w:t>)</w:t>
      </w:r>
      <w:r w:rsidR="007177D4" w:rsidRPr="004C0FC9">
        <w:rPr>
          <w:b w:val="0"/>
        </w:rPr>
        <w:t xml:space="preserve"> la asistencia técnica de la Defensoría del Pueblo cuando el accionante denuncie la violación de derechos humanos; y c) una pena accesoria no corporal para los casos de desacato de las decisiones de amparo constitucional, actualmente considerado como una falta sancionada con multa por el Código Penal. </w:t>
      </w:r>
    </w:p>
    <w:p w:rsidR="003E5D07" w:rsidRPr="007C455E" w:rsidRDefault="003E5D07" w:rsidP="007C455E">
      <w:pPr>
        <w:spacing w:before="120" w:after="120" w:line="240" w:lineRule="auto"/>
        <w:jc w:val="both"/>
        <w:rPr>
          <w:rFonts w:ascii="Times New Roman" w:hAnsi="Times New Roman" w:cs="Times New Roman"/>
          <w:b/>
          <w:sz w:val="20"/>
        </w:rPr>
      </w:pPr>
      <w:r w:rsidRPr="007C455E">
        <w:rPr>
          <w:rFonts w:ascii="Times New Roman" w:hAnsi="Times New Roman" w:cs="Times New Roman"/>
          <w:b/>
          <w:sz w:val="20"/>
        </w:rPr>
        <w:t xml:space="preserve">Diferencia de edad </w:t>
      </w:r>
      <w:r w:rsidR="00A6262B">
        <w:rPr>
          <w:rFonts w:ascii="Times New Roman" w:hAnsi="Times New Roman" w:cs="Times New Roman"/>
          <w:b/>
          <w:sz w:val="20"/>
        </w:rPr>
        <w:t xml:space="preserve">e igualdad </w:t>
      </w:r>
      <w:r w:rsidRPr="007C455E">
        <w:rPr>
          <w:rFonts w:ascii="Times New Roman" w:hAnsi="Times New Roman" w:cs="Times New Roman"/>
          <w:b/>
          <w:sz w:val="20"/>
        </w:rPr>
        <w:t xml:space="preserve">en el matrimonio </w:t>
      </w:r>
    </w:p>
    <w:p w:rsidR="003E5D07" w:rsidRPr="004C0FC9" w:rsidRDefault="00595E52" w:rsidP="003E5D07">
      <w:pPr>
        <w:pStyle w:val="Textoindependiente"/>
        <w:spacing w:before="120" w:after="120"/>
        <w:jc w:val="both"/>
        <w:rPr>
          <w:b w:val="0"/>
        </w:rPr>
      </w:pPr>
      <w:r>
        <w:rPr>
          <w:b w:val="0"/>
        </w:rPr>
        <w:t>41</w:t>
      </w:r>
      <w:r w:rsidR="00A6262B" w:rsidRPr="004C0FC9">
        <w:rPr>
          <w:b w:val="0"/>
        </w:rPr>
        <w:t xml:space="preserve">. </w:t>
      </w:r>
      <w:r w:rsidR="003E5D07" w:rsidRPr="004C0FC9">
        <w:rPr>
          <w:b w:val="0"/>
        </w:rPr>
        <w:t>El 9 de febrero de 2010, la DdP ejerció ante la Sala Constitucional del Tribunal Supremo de Justicia un recurso de nulidad por razones de inconstitucionalidad contra el artículo 46 del Código Civil, publicado en Gaceta Oficial n°. 2.990 Extraordinario del 26 de julio de 1982</w:t>
      </w:r>
      <w:r w:rsidR="00364DD2" w:rsidRPr="004C0FC9">
        <w:rPr>
          <w:rStyle w:val="Refdenotaalpie"/>
          <w:b w:val="0"/>
        </w:rPr>
        <w:footnoteReference w:id="19"/>
      </w:r>
      <w:r w:rsidR="003E5D07" w:rsidRPr="004C0FC9">
        <w:rPr>
          <w:b w:val="0"/>
        </w:rPr>
        <w:t xml:space="preserve">, el cual establece los requisitos de edad para la celebración del matrimonio. </w:t>
      </w:r>
      <w:r w:rsidR="007C455E" w:rsidRPr="004C0FC9">
        <w:rPr>
          <w:b w:val="0"/>
        </w:rPr>
        <w:t>S</w:t>
      </w:r>
      <w:r w:rsidR="003E5D07" w:rsidRPr="004C0FC9">
        <w:rPr>
          <w:b w:val="0"/>
        </w:rPr>
        <w:t>e esgrimió que dicho artículo infringe de manera flagrante y directa el derecho a la igualdad y no discriminación, previsto en el artículo 21 de la CRBV, así como la igualdad absoluta de los derechos de los cónyuges, consagrada en el artículo 77 eiusdem, al establecer un tratamiento diferenciado sobre la edad mínima para contraer matrimonio, fundado de manera exclusiva</w:t>
      </w:r>
      <w:r w:rsidR="007C455E" w:rsidRPr="004C0FC9">
        <w:rPr>
          <w:b w:val="0"/>
        </w:rPr>
        <w:t xml:space="preserve"> en el sexo</w:t>
      </w:r>
      <w:r w:rsidR="003E5D07" w:rsidRPr="004C0FC9">
        <w:rPr>
          <w:b w:val="0"/>
        </w:rPr>
        <w:t>.</w:t>
      </w:r>
      <w:r w:rsidR="007C455E" w:rsidRPr="004C0FC9">
        <w:rPr>
          <w:b w:val="0"/>
        </w:rPr>
        <w:t xml:space="preserve"> </w:t>
      </w:r>
      <w:r w:rsidR="00A6262B" w:rsidRPr="004C0FC9">
        <w:rPr>
          <w:b w:val="0"/>
        </w:rPr>
        <w:t>En octubre de 2012,</w:t>
      </w:r>
      <w:r w:rsidR="004C0FC9">
        <w:rPr>
          <w:b w:val="0"/>
        </w:rPr>
        <w:t xml:space="preserve"> la Sala</w:t>
      </w:r>
      <w:r w:rsidR="00A6262B" w:rsidRPr="004C0FC9">
        <w:rPr>
          <w:b w:val="0"/>
        </w:rPr>
        <w:t xml:space="preserve"> admite el recurso y remite el expediente al Juzgado de Sustanciación, a fin de que practique la citación del Presidente de la Asamblea Nacional.</w:t>
      </w:r>
    </w:p>
    <w:p w:rsidR="00D128EF" w:rsidRPr="004C0FC9" w:rsidRDefault="00595E52" w:rsidP="003E5D07">
      <w:pPr>
        <w:pStyle w:val="Textoindependiente"/>
        <w:spacing w:before="120" w:after="120"/>
        <w:jc w:val="both"/>
        <w:rPr>
          <w:b w:val="0"/>
        </w:rPr>
      </w:pPr>
      <w:r>
        <w:rPr>
          <w:b w:val="0"/>
        </w:rPr>
        <w:t>42</w:t>
      </w:r>
      <w:r w:rsidR="00A6262B" w:rsidRPr="004C0FC9">
        <w:rPr>
          <w:b w:val="0"/>
        </w:rPr>
        <w:t xml:space="preserve">. </w:t>
      </w:r>
      <w:r w:rsidR="003E5D07" w:rsidRPr="004C0FC9">
        <w:rPr>
          <w:b w:val="0"/>
        </w:rPr>
        <w:t>E</w:t>
      </w:r>
      <w:r w:rsidR="00A6262B" w:rsidRPr="004C0FC9">
        <w:rPr>
          <w:b w:val="0"/>
        </w:rPr>
        <w:t>se mismo día</w:t>
      </w:r>
      <w:r w:rsidR="003E5D07" w:rsidRPr="004C0FC9">
        <w:rPr>
          <w:b w:val="0"/>
        </w:rPr>
        <w:t xml:space="preserve">, se ejerció ante la Sala Constitucional del Tribunal Supremo de Justicia un recurso de nulidad por razones de inconstitucionalidad, conjuntamente con solicitud de </w:t>
      </w:r>
      <w:r w:rsidR="003E5D07" w:rsidRPr="004C0FC9">
        <w:rPr>
          <w:b w:val="0"/>
        </w:rPr>
        <w:lastRenderedPageBreak/>
        <w:t xml:space="preserve">medida cautelar, contra el artículo 57 del Código Civil, publicado en Gaceta Oficial n° 2.990 Extraordinario del 26 de julio de 1982, en razón de que el referido artículo establece un impedimento absoluto para contraer matrimonio que sólo afecta a la mujer y por tanto infringe de manera flagrante y directa el derecho a la igualdad y no discriminación, previsto en el artículo 21 de la CRBV. En efecto, conforme al artículo 57 del Código Civil una vez disuelto un vínculo matrimonial el hombre está autorizado por la ley para proceder a contraer nuevas nupcias de manera inmediata, en cambio, la mujer está impedida de contraer nuevas nupcias por un período de diez (10) meses, a menos que en dicho lapso haya dado a luz o presente evidencia médica de que no se encuentra embarazada. </w:t>
      </w:r>
    </w:p>
    <w:p w:rsidR="003E5D07" w:rsidRDefault="00E717FA" w:rsidP="003E5D07">
      <w:pPr>
        <w:pStyle w:val="Textoindependiente"/>
        <w:spacing w:before="120" w:after="120"/>
        <w:jc w:val="both"/>
        <w:rPr>
          <w:b w:val="0"/>
        </w:rPr>
      </w:pPr>
      <w:r>
        <w:rPr>
          <w:b w:val="0"/>
        </w:rPr>
        <w:t>4</w:t>
      </w:r>
      <w:r w:rsidR="00595E52">
        <w:rPr>
          <w:b w:val="0"/>
        </w:rPr>
        <w:t>3</w:t>
      </w:r>
      <w:r w:rsidR="00A6262B" w:rsidRPr="004C0FC9">
        <w:rPr>
          <w:b w:val="0"/>
        </w:rPr>
        <w:t xml:space="preserve">. </w:t>
      </w:r>
      <w:r w:rsidR="003E5D07" w:rsidRPr="004C0FC9">
        <w:rPr>
          <w:b w:val="0"/>
        </w:rPr>
        <w:t>En fecha 3 de noviembre de 2010, la Sala Constitucio</w:t>
      </w:r>
      <w:r w:rsidR="00D128EF" w:rsidRPr="004C0FC9">
        <w:rPr>
          <w:b w:val="0"/>
        </w:rPr>
        <w:t>nal admitió el presente recurso y en julio de 2013 declaró con lugar la acción de nulidad, por contradecir palmariamente los artículos 21 y 77 de la Constitución de la República Bolivariana de Venezuela, al establecer condicionamientos diferenciados en función del género y a la igualdad entre los cónyuges, por lo que, congruente con los principios y derechos constitucionales establecidos en el Texto Fundamental, cabe reiterar que “la mujer no tiene ningún impedimento legal para la celebración de nuevas nupcias con posterioridad a la anulación o disolución del matrimonio anterior”</w:t>
      </w:r>
      <w:r w:rsidR="00107382" w:rsidRPr="004C0FC9">
        <w:rPr>
          <w:rStyle w:val="Refdenotaalpie"/>
          <w:b w:val="0"/>
        </w:rPr>
        <w:footnoteReference w:id="20"/>
      </w:r>
      <w:r w:rsidR="00D128EF" w:rsidRPr="004C0FC9">
        <w:rPr>
          <w:b w:val="0"/>
        </w:rPr>
        <w:t>.</w:t>
      </w:r>
    </w:p>
    <w:p w:rsidR="007177D4" w:rsidRDefault="007177D4" w:rsidP="007177D4">
      <w:pPr>
        <w:spacing w:before="120" w:after="120" w:line="240" w:lineRule="auto"/>
        <w:jc w:val="both"/>
        <w:rPr>
          <w:rFonts w:ascii="Times New Roman" w:hAnsi="Times New Roman" w:cs="Times New Roman"/>
          <w:b/>
          <w:sz w:val="20"/>
        </w:rPr>
      </w:pPr>
      <w:r w:rsidRPr="007177D4">
        <w:rPr>
          <w:rFonts w:ascii="Times New Roman" w:hAnsi="Times New Roman" w:cs="Times New Roman"/>
          <w:b/>
          <w:sz w:val="20"/>
        </w:rPr>
        <w:t>Defensoría del Pueblo y la Comisión Nacional de Prevención de la Tortura y otros Tratos Crueles, Inhumanos o Degradantes</w:t>
      </w:r>
    </w:p>
    <w:p w:rsidR="007177D4" w:rsidRPr="00933561" w:rsidRDefault="00E717FA" w:rsidP="007177D4">
      <w:pPr>
        <w:autoSpaceDE w:val="0"/>
        <w:autoSpaceDN w:val="0"/>
        <w:adjustRightInd w:val="0"/>
        <w:spacing w:before="120" w:after="120" w:line="240" w:lineRule="auto"/>
        <w:jc w:val="both"/>
        <w:rPr>
          <w:rFonts w:ascii="Times New Roman" w:eastAsia="Times New Roman" w:hAnsi="Times New Roman" w:cs="Times New Roman"/>
          <w:sz w:val="24"/>
          <w:szCs w:val="24"/>
          <w:lang w:eastAsia="es-VE"/>
        </w:rPr>
      </w:pPr>
      <w:r>
        <w:rPr>
          <w:rFonts w:ascii="Times New Roman" w:hAnsi="Times New Roman" w:cs="Times New Roman"/>
          <w:sz w:val="24"/>
          <w:szCs w:val="24"/>
        </w:rPr>
        <w:t>4</w:t>
      </w:r>
      <w:r w:rsidR="00595E52">
        <w:rPr>
          <w:rFonts w:ascii="Times New Roman" w:hAnsi="Times New Roman" w:cs="Times New Roman"/>
          <w:sz w:val="24"/>
          <w:szCs w:val="24"/>
        </w:rPr>
        <w:t>4</w:t>
      </w:r>
      <w:r w:rsidR="0061379E" w:rsidRPr="00933561">
        <w:rPr>
          <w:rFonts w:ascii="Times New Roman" w:hAnsi="Times New Roman" w:cs="Times New Roman"/>
          <w:sz w:val="24"/>
          <w:szCs w:val="24"/>
        </w:rPr>
        <w:t xml:space="preserve">. </w:t>
      </w:r>
      <w:r w:rsidR="007177D4" w:rsidRPr="00933561">
        <w:rPr>
          <w:rFonts w:ascii="Times New Roman" w:hAnsi="Times New Roman" w:cs="Times New Roman"/>
          <w:sz w:val="24"/>
          <w:szCs w:val="24"/>
        </w:rPr>
        <w:t>En junio de 2013, se aprobó en Asamblea Nacional, la Ley Especial para Prevenir y Sancionar la Tortura y otros Tratos Crueles, Inhumanos o Degradantes</w:t>
      </w:r>
      <w:r w:rsidR="007177D4" w:rsidRPr="00933561">
        <w:rPr>
          <w:rStyle w:val="Refdenotaalpie"/>
          <w:rFonts w:ascii="Times New Roman" w:hAnsi="Times New Roman" w:cs="Times New Roman"/>
          <w:sz w:val="24"/>
          <w:szCs w:val="24"/>
        </w:rPr>
        <w:footnoteReference w:id="21"/>
      </w:r>
      <w:r w:rsidR="007177D4" w:rsidRPr="00933561">
        <w:rPr>
          <w:rFonts w:ascii="Times New Roman" w:hAnsi="Times New Roman" w:cs="Times New Roman"/>
          <w:sz w:val="24"/>
          <w:szCs w:val="24"/>
        </w:rPr>
        <w:t xml:space="preserve">. </w:t>
      </w:r>
      <w:r w:rsidR="007177D4" w:rsidRPr="00933561">
        <w:rPr>
          <w:rFonts w:ascii="Times New Roman" w:eastAsia="Times New Roman" w:hAnsi="Times New Roman" w:cs="Times New Roman"/>
          <w:bCs/>
          <w:sz w:val="24"/>
          <w:szCs w:val="24"/>
          <w:lang w:eastAsia="es-VE"/>
        </w:rPr>
        <w:t xml:space="preserve">La Ley Especial </w:t>
      </w:r>
      <w:r w:rsidR="007177D4" w:rsidRPr="00933561">
        <w:rPr>
          <w:rFonts w:ascii="Times New Roman" w:hAnsi="Times New Roman" w:cs="Times New Roman"/>
          <w:sz w:val="24"/>
          <w:szCs w:val="24"/>
        </w:rPr>
        <w:t xml:space="preserve">prevé en su artículo 11, la creación de una Comisión Nacional, </w:t>
      </w:r>
      <w:r w:rsidR="007177D4" w:rsidRPr="00933561">
        <w:rPr>
          <w:rFonts w:ascii="Times New Roman" w:eastAsia="Times New Roman" w:hAnsi="Times New Roman" w:cs="Times New Roman"/>
          <w:sz w:val="24"/>
          <w:szCs w:val="24"/>
          <w:lang w:eastAsia="es-VE"/>
        </w:rPr>
        <w:t>integrada a la estructura organizat</w:t>
      </w:r>
      <w:r w:rsidR="0061379E" w:rsidRPr="00933561">
        <w:rPr>
          <w:rFonts w:ascii="Times New Roman" w:eastAsia="Times New Roman" w:hAnsi="Times New Roman" w:cs="Times New Roman"/>
          <w:sz w:val="24"/>
          <w:szCs w:val="24"/>
          <w:lang w:eastAsia="es-VE"/>
        </w:rPr>
        <w:t>iva de la Defensoría del Pueblo que tiene por objeto la coordinación, promoción, supervisión y control nacional de las políticas y planes nacionales de prevención de la tortura, y otros tratos crueles, inhumanos o degradantes, la vigilancia de los derechos de las personas privadas de libertad y velar por el cumplimiento de la Ley, de la garantía del derecho a la integridad física, psíquica y moral, y la prohibición de tortura y otros tratos crueles, inhumanos o degradantes.</w:t>
      </w:r>
    </w:p>
    <w:p w:rsidR="007177D4" w:rsidRPr="00983608" w:rsidRDefault="00E717FA" w:rsidP="00A2771B">
      <w:pPr>
        <w:autoSpaceDE w:val="0"/>
        <w:autoSpaceDN w:val="0"/>
        <w:adjustRightInd w:val="0"/>
        <w:spacing w:before="120" w:after="120" w:line="240" w:lineRule="auto"/>
        <w:jc w:val="both"/>
        <w:rPr>
          <w:rFonts w:ascii="Times New Roman" w:eastAsia="Times New Roman" w:hAnsi="Times New Roman" w:cs="Times New Roman"/>
          <w:sz w:val="24"/>
          <w:szCs w:val="24"/>
          <w:lang w:eastAsia="es-VE"/>
        </w:rPr>
      </w:pPr>
      <w:r>
        <w:rPr>
          <w:rFonts w:ascii="Times New Roman" w:eastAsia="Times New Roman" w:hAnsi="Times New Roman" w:cs="Times New Roman"/>
          <w:sz w:val="24"/>
          <w:szCs w:val="24"/>
          <w:lang w:eastAsia="es-VE"/>
        </w:rPr>
        <w:t>4</w:t>
      </w:r>
      <w:r w:rsidR="00595E52">
        <w:rPr>
          <w:rFonts w:ascii="Times New Roman" w:eastAsia="Times New Roman" w:hAnsi="Times New Roman" w:cs="Times New Roman"/>
          <w:sz w:val="24"/>
          <w:szCs w:val="24"/>
          <w:lang w:eastAsia="es-VE"/>
        </w:rPr>
        <w:t>5</w:t>
      </w:r>
      <w:r w:rsidR="0061379E" w:rsidRPr="00983608">
        <w:rPr>
          <w:rFonts w:ascii="Times New Roman" w:eastAsia="Times New Roman" w:hAnsi="Times New Roman" w:cs="Times New Roman"/>
          <w:sz w:val="24"/>
          <w:szCs w:val="24"/>
          <w:lang w:eastAsia="es-VE"/>
        </w:rPr>
        <w:t xml:space="preserve">. </w:t>
      </w:r>
      <w:r w:rsidR="007177D4" w:rsidRPr="00983608">
        <w:rPr>
          <w:rFonts w:ascii="Times New Roman" w:eastAsia="Times New Roman" w:hAnsi="Times New Roman" w:cs="Times New Roman"/>
          <w:sz w:val="24"/>
          <w:szCs w:val="24"/>
          <w:lang w:eastAsia="es-VE"/>
        </w:rPr>
        <w:t xml:space="preserve">A los efectos, la DdP efectuó una serie de actividades durante 2013 que </w:t>
      </w:r>
      <w:r w:rsidR="00A2771B" w:rsidRPr="00983608">
        <w:rPr>
          <w:rFonts w:ascii="Times New Roman" w:eastAsia="Times New Roman" w:hAnsi="Times New Roman" w:cs="Times New Roman"/>
          <w:sz w:val="24"/>
          <w:szCs w:val="24"/>
          <w:lang w:eastAsia="es-VE"/>
        </w:rPr>
        <w:t>vienen a fortalecer el trabajo que sobre la materia se ha venido desarrollando en el país, entre las que se encuentran: el</w:t>
      </w:r>
      <w:r w:rsidR="007177D4" w:rsidRPr="00983608">
        <w:rPr>
          <w:rFonts w:ascii="Times New Roman" w:eastAsia="Times New Roman" w:hAnsi="Times New Roman" w:cs="Times New Roman"/>
          <w:sz w:val="24"/>
          <w:szCs w:val="24"/>
          <w:lang w:eastAsia="es-VE"/>
        </w:rPr>
        <w:t xml:space="preserve"> Plan Nacional de Prevención de la Tortura y otros Tratos Crueles, Inhumanos o Degradantes, </w:t>
      </w:r>
      <w:r w:rsidR="00A2771B" w:rsidRPr="00983608">
        <w:rPr>
          <w:rFonts w:ascii="Times New Roman" w:eastAsia="Times New Roman" w:hAnsi="Times New Roman" w:cs="Times New Roman"/>
          <w:sz w:val="24"/>
          <w:szCs w:val="24"/>
          <w:lang w:eastAsia="es-VE"/>
        </w:rPr>
        <w:t xml:space="preserve">el </w:t>
      </w:r>
      <w:r w:rsidR="007177D4" w:rsidRPr="00983608">
        <w:rPr>
          <w:rFonts w:ascii="Times New Roman" w:eastAsia="Times New Roman" w:hAnsi="Times New Roman" w:cs="Times New Roman"/>
          <w:sz w:val="24"/>
          <w:szCs w:val="24"/>
          <w:lang w:eastAsia="es-VE"/>
        </w:rPr>
        <w:t xml:space="preserve">Foro sobre la “Ley Especial para la Prevención de la Tortura y Otros Tratos Crueles Inhumanos y Degradantes”, </w:t>
      </w:r>
      <w:r w:rsidR="00A2771B" w:rsidRPr="00983608">
        <w:rPr>
          <w:rFonts w:ascii="Times New Roman" w:eastAsia="Times New Roman" w:hAnsi="Times New Roman" w:cs="Times New Roman"/>
          <w:sz w:val="24"/>
          <w:szCs w:val="24"/>
          <w:lang w:eastAsia="es-VE"/>
        </w:rPr>
        <w:t>y el desarrollo de un “</w:t>
      </w:r>
      <w:r w:rsidR="007177D4" w:rsidRPr="00983608">
        <w:rPr>
          <w:rFonts w:ascii="Times New Roman" w:eastAsia="Times New Roman" w:hAnsi="Times New Roman" w:cs="Times New Roman"/>
          <w:sz w:val="24"/>
          <w:szCs w:val="24"/>
          <w:lang w:eastAsia="es-VE"/>
        </w:rPr>
        <w:t>Lineamiento General sobre la Actuación de la Defensoría del Pueblo en el Marco de la Ley Especial para Prevenir y Sancionar la Tortura y Otros Tratos Crueles, Inhumanos y Degradantes</w:t>
      </w:r>
      <w:r w:rsidR="00A2771B" w:rsidRPr="00983608">
        <w:rPr>
          <w:rFonts w:ascii="Times New Roman" w:eastAsia="Times New Roman" w:hAnsi="Times New Roman" w:cs="Times New Roman"/>
          <w:sz w:val="24"/>
          <w:szCs w:val="24"/>
          <w:lang w:eastAsia="es-VE"/>
        </w:rPr>
        <w:t>”.</w:t>
      </w:r>
    </w:p>
    <w:p w:rsidR="005110C9" w:rsidRDefault="00AF403F" w:rsidP="00AF403F">
      <w:pPr>
        <w:spacing w:before="120" w:after="120" w:line="240" w:lineRule="auto"/>
        <w:jc w:val="both"/>
        <w:rPr>
          <w:b/>
          <w:sz w:val="20"/>
        </w:rPr>
      </w:pPr>
      <w:r w:rsidRPr="00AF403F">
        <w:rPr>
          <w:rFonts w:ascii="Times New Roman" w:hAnsi="Times New Roman" w:cs="Times New Roman"/>
          <w:b/>
          <w:sz w:val="20"/>
        </w:rPr>
        <w:t>Comisión por la Justicia y la Verdad</w:t>
      </w:r>
    </w:p>
    <w:p w:rsidR="00AF403F" w:rsidRDefault="00E717FA" w:rsidP="005110C9">
      <w:pPr>
        <w:spacing w:before="120" w:after="120" w:line="240" w:lineRule="auto"/>
        <w:jc w:val="both"/>
        <w:rPr>
          <w:rStyle w:val="p"/>
          <w:rFonts w:ascii="Times New Roman" w:hAnsi="Times New Roman" w:cs="Times New Roman"/>
          <w:sz w:val="24"/>
        </w:rPr>
      </w:pPr>
      <w:r>
        <w:rPr>
          <w:rFonts w:ascii="Times New Roman" w:hAnsi="Times New Roman" w:cs="Times New Roman"/>
          <w:sz w:val="24"/>
        </w:rPr>
        <w:t>4</w:t>
      </w:r>
      <w:r w:rsidR="00595E52">
        <w:rPr>
          <w:rFonts w:ascii="Times New Roman" w:hAnsi="Times New Roman" w:cs="Times New Roman"/>
          <w:sz w:val="24"/>
        </w:rPr>
        <w:t>6</w:t>
      </w:r>
      <w:r w:rsidR="00764FB5" w:rsidRPr="005110C9">
        <w:rPr>
          <w:rFonts w:ascii="Times New Roman" w:hAnsi="Times New Roman" w:cs="Times New Roman"/>
          <w:sz w:val="24"/>
        </w:rPr>
        <w:t>. Desde el</w:t>
      </w:r>
      <w:r w:rsidR="00AF403F" w:rsidRPr="005110C9">
        <w:rPr>
          <w:rFonts w:ascii="Times New Roman" w:hAnsi="Times New Roman" w:cs="Times New Roman"/>
          <w:sz w:val="24"/>
        </w:rPr>
        <w:t xml:space="preserve"> 27 de febrero de 2013</w:t>
      </w:r>
      <w:r w:rsidR="00764FB5" w:rsidRPr="005110C9">
        <w:rPr>
          <w:rFonts w:ascii="Times New Roman" w:hAnsi="Times New Roman" w:cs="Times New Roman"/>
          <w:sz w:val="24"/>
        </w:rPr>
        <w:t xml:space="preserve">, la DdP forma parte de </w:t>
      </w:r>
      <w:r w:rsidR="00AF403F" w:rsidRPr="005110C9">
        <w:rPr>
          <w:rFonts w:ascii="Times New Roman" w:hAnsi="Times New Roman" w:cs="Times New Roman"/>
          <w:sz w:val="24"/>
        </w:rPr>
        <w:t xml:space="preserve">la Comisión por la Justicia y la Verdad, </w:t>
      </w:r>
      <w:r w:rsidR="00AF403F" w:rsidRPr="005110C9">
        <w:rPr>
          <w:rStyle w:val="p"/>
          <w:rFonts w:ascii="Times New Roman" w:hAnsi="Times New Roman" w:cs="Times New Roman"/>
          <w:sz w:val="24"/>
        </w:rPr>
        <w:t xml:space="preserve">órgano descentralizado con autonomía funcional y dependencia administrativa y </w:t>
      </w:r>
      <w:r w:rsidR="00AF403F" w:rsidRPr="005110C9">
        <w:rPr>
          <w:rStyle w:val="p"/>
          <w:rFonts w:ascii="Times New Roman" w:hAnsi="Times New Roman" w:cs="Times New Roman"/>
          <w:sz w:val="24"/>
        </w:rPr>
        <w:lastRenderedPageBreak/>
        <w:t>presupuestaria del Consejo Moral Republicano y cuya duración será de tre</w:t>
      </w:r>
      <w:r w:rsidR="00764FB5" w:rsidRPr="005110C9">
        <w:rPr>
          <w:rStyle w:val="p"/>
          <w:rFonts w:ascii="Times New Roman" w:hAnsi="Times New Roman" w:cs="Times New Roman"/>
          <w:sz w:val="24"/>
        </w:rPr>
        <w:t>s años, prorrogables por un año; a fin de servir de plataforma organizativa e informativa a los organismos del Sistema de Justicia Venezolana a efectos de coordinar, denunciar, informar, organizar y gestionar todo lo relativo al cumplimiento de las responsabilidades indicadas en la</w:t>
      </w:r>
      <w:r w:rsidR="00983608" w:rsidRPr="005110C9">
        <w:rPr>
          <w:rStyle w:val="p"/>
          <w:rFonts w:ascii="Times New Roman" w:hAnsi="Times New Roman" w:cs="Times New Roman"/>
          <w:sz w:val="24"/>
        </w:rPr>
        <w:t xml:space="preserve"> </w:t>
      </w:r>
      <w:r w:rsidR="00764FB5" w:rsidRPr="005110C9">
        <w:rPr>
          <w:rStyle w:val="p"/>
          <w:rFonts w:ascii="Times New Roman" w:hAnsi="Times New Roman" w:cs="Times New Roman"/>
          <w:sz w:val="24"/>
        </w:rPr>
        <w:t>Ley para Sancionar los Crímenes, Desapariciones, Torturas y Violaciones de los Derechos Humanos por Razones Políticas en el período 1958-1998.</w:t>
      </w:r>
      <w:r w:rsidR="00983608" w:rsidRPr="005110C9">
        <w:rPr>
          <w:rStyle w:val="p"/>
          <w:rFonts w:ascii="Times New Roman" w:hAnsi="Times New Roman" w:cs="Times New Roman"/>
          <w:sz w:val="24"/>
        </w:rPr>
        <w:t xml:space="preserve"> Esta Ley fue editada por la DdP y fue entregada a los presentes en la celebración de la Semana de los Derechos Humanos.</w:t>
      </w:r>
    </w:p>
    <w:p w:rsidR="00D7539F" w:rsidRPr="00D7539F" w:rsidRDefault="00D7539F" w:rsidP="00D7539F">
      <w:pPr>
        <w:spacing w:before="120" w:after="120" w:line="240" w:lineRule="auto"/>
        <w:jc w:val="both"/>
        <w:rPr>
          <w:rFonts w:ascii="Times New Roman" w:hAnsi="Times New Roman" w:cs="Times New Roman"/>
          <w:b/>
          <w:sz w:val="20"/>
        </w:rPr>
      </w:pPr>
      <w:r w:rsidRPr="00D7539F">
        <w:rPr>
          <w:rFonts w:ascii="Times New Roman" w:hAnsi="Times New Roman" w:cs="Times New Roman"/>
          <w:b/>
          <w:sz w:val="20"/>
        </w:rPr>
        <w:t>Formación permanente en materia de derechos humanos</w:t>
      </w:r>
    </w:p>
    <w:p w:rsidR="00C97214" w:rsidRPr="00A326A5" w:rsidRDefault="00E717FA" w:rsidP="00C97214">
      <w:pPr>
        <w:pStyle w:val="Ttulo62"/>
        <w:spacing w:after="120"/>
        <w:jc w:val="both"/>
        <w:rPr>
          <w:rFonts w:ascii="Calibri" w:hAnsi="Calibri"/>
          <w:sz w:val="22"/>
          <w:szCs w:val="22"/>
        </w:rPr>
      </w:pPr>
      <w:r>
        <w:rPr>
          <w:rFonts w:eastAsia="Calibri"/>
          <w:spacing w:val="-4"/>
          <w:lang w:val="es-ES" w:eastAsia="es-ES"/>
        </w:rPr>
        <w:t>4</w:t>
      </w:r>
      <w:r w:rsidR="00595E52">
        <w:rPr>
          <w:rFonts w:eastAsia="Calibri"/>
          <w:spacing w:val="-4"/>
          <w:lang w:val="es-ES" w:eastAsia="es-ES"/>
        </w:rPr>
        <w:t>7</w:t>
      </w:r>
      <w:r w:rsidR="00DB4A47" w:rsidRPr="00983608">
        <w:rPr>
          <w:rFonts w:eastAsia="Calibri"/>
          <w:spacing w:val="-4"/>
          <w:lang w:val="es-ES" w:eastAsia="es-ES"/>
        </w:rPr>
        <w:t xml:space="preserve">. </w:t>
      </w:r>
      <w:r w:rsidR="00D7539F" w:rsidRPr="00983608">
        <w:rPr>
          <w:rFonts w:eastAsia="Calibri"/>
          <w:spacing w:val="-4"/>
          <w:lang w:val="es-ES" w:eastAsia="es-ES"/>
        </w:rPr>
        <w:t xml:space="preserve">La DdP desde 2008 ha fomentado una cultura de derechos humanos, mediante la participación protagónica y organización de las comunidades, para avanzar hacia un estado de justicia social. En tal sentido, </w:t>
      </w:r>
      <w:r w:rsidR="001A7995" w:rsidRPr="00983608">
        <w:rPr>
          <w:rFonts w:eastAsia="Calibri"/>
          <w:spacing w:val="-4"/>
          <w:lang w:val="es-ES" w:eastAsia="es-ES"/>
        </w:rPr>
        <w:t xml:space="preserve">a través de la Escuela de Derechos Humanos, la Fundación Juan Vives Suriá y el Programa Haciendo Comunidad para los Derechos Humanos, </w:t>
      </w:r>
      <w:r w:rsidR="00D7539F" w:rsidRPr="00983608">
        <w:rPr>
          <w:rFonts w:eastAsia="Calibri"/>
          <w:spacing w:val="-4"/>
          <w:lang w:val="es-ES" w:eastAsia="es-ES"/>
        </w:rPr>
        <w:t xml:space="preserve">ha realizado </w:t>
      </w:r>
      <w:r w:rsidR="001A7995" w:rsidRPr="00983608">
        <w:rPr>
          <w:rFonts w:eastAsia="Calibri"/>
          <w:spacing w:val="-4"/>
          <w:lang w:val="es-ES" w:eastAsia="es-ES"/>
        </w:rPr>
        <w:t xml:space="preserve">cursos, diplomas, </w:t>
      </w:r>
      <w:r w:rsidR="00D7539F" w:rsidRPr="00983608">
        <w:rPr>
          <w:rFonts w:eastAsia="Calibri"/>
          <w:spacing w:val="-4"/>
          <w:lang w:val="es-ES" w:eastAsia="es-ES"/>
        </w:rPr>
        <w:t xml:space="preserve">talleres, foros, seminarios y conversatorios sobre </w:t>
      </w:r>
      <w:r w:rsidR="00C97214" w:rsidRPr="00983608">
        <w:rPr>
          <w:rFonts w:eastAsia="Calibri"/>
          <w:spacing w:val="-4"/>
          <w:lang w:val="es-ES" w:eastAsia="es-ES"/>
        </w:rPr>
        <w:t xml:space="preserve">el contenido y justiciabilidad de los derechos civiles y políticos en Venezuela, </w:t>
      </w:r>
      <w:r w:rsidR="00C97214">
        <w:rPr>
          <w:rFonts w:eastAsia="Calibri"/>
          <w:spacing w:val="-4"/>
          <w:lang w:val="es-ES" w:eastAsia="es-ES"/>
        </w:rPr>
        <w:t xml:space="preserve">así como de </w:t>
      </w:r>
      <w:r w:rsidR="00C97214" w:rsidRPr="00C97214">
        <w:rPr>
          <w:szCs w:val="22"/>
        </w:rPr>
        <w:t xml:space="preserve">Derechos Humanos de Niños, Niñas y Adolescentes, y </w:t>
      </w:r>
      <w:r w:rsidR="00C97214">
        <w:rPr>
          <w:szCs w:val="22"/>
        </w:rPr>
        <w:t xml:space="preserve">respecto al </w:t>
      </w:r>
      <w:r w:rsidR="00C97214" w:rsidRPr="00C97214">
        <w:rPr>
          <w:szCs w:val="22"/>
        </w:rPr>
        <w:t>Sistema Penal</w:t>
      </w:r>
      <w:r w:rsidR="00C97214">
        <w:rPr>
          <w:szCs w:val="22"/>
        </w:rPr>
        <w:t xml:space="preserve"> de Responsabilidad Adolescente, </w:t>
      </w:r>
      <w:r w:rsidR="0047438C" w:rsidRPr="00983608">
        <w:rPr>
          <w:rFonts w:eastAsia="Calibri"/>
          <w:spacing w:val="-4"/>
          <w:lang w:val="es-ES" w:eastAsia="es-ES"/>
        </w:rPr>
        <w:t xml:space="preserve">los cuales </w:t>
      </w:r>
      <w:r w:rsidR="00D7539F" w:rsidRPr="00983608">
        <w:rPr>
          <w:rFonts w:eastAsia="Calibri"/>
          <w:spacing w:val="-4"/>
          <w:lang w:val="es-ES" w:eastAsia="es-ES"/>
        </w:rPr>
        <w:t>se han dirigido a funcionarios y funcionarias de los cuerpos de seguridad del Estado, la Fuerza Armada Nacional, las comunidades organizadas</w:t>
      </w:r>
      <w:r w:rsidR="006E3B3F" w:rsidRPr="00983608">
        <w:rPr>
          <w:rFonts w:eastAsia="Calibri"/>
          <w:spacing w:val="-4"/>
          <w:lang w:val="es-ES" w:eastAsia="es-ES"/>
        </w:rPr>
        <w:t xml:space="preserve"> (</w:t>
      </w:r>
      <w:r w:rsidR="00FA06A1" w:rsidRPr="00983608">
        <w:rPr>
          <w:rFonts w:eastAsia="Calibri"/>
          <w:spacing w:val="-4"/>
          <w:lang w:val="es-ES" w:eastAsia="es-ES"/>
        </w:rPr>
        <w:t xml:space="preserve">Comunas, </w:t>
      </w:r>
      <w:r w:rsidR="006E3B3F" w:rsidRPr="00983608">
        <w:rPr>
          <w:rFonts w:eastAsia="Calibri"/>
          <w:spacing w:val="-4"/>
          <w:lang w:val="es-ES" w:eastAsia="es-ES"/>
        </w:rPr>
        <w:t>Consejos Comunales, Comités de Ciudadanos y Ciudadanas de Control Policial, etc.)</w:t>
      </w:r>
      <w:r w:rsidR="00D7539F" w:rsidRPr="00983608">
        <w:rPr>
          <w:rFonts w:eastAsia="Calibri"/>
          <w:spacing w:val="-4"/>
          <w:lang w:val="es-ES" w:eastAsia="es-ES"/>
        </w:rPr>
        <w:t>, e</w:t>
      </w:r>
      <w:r w:rsidR="00FF4781" w:rsidRPr="00983608">
        <w:rPr>
          <w:rFonts w:eastAsia="Calibri"/>
          <w:spacing w:val="-4"/>
          <w:lang w:val="es-ES" w:eastAsia="es-ES"/>
        </w:rPr>
        <w:t>studiantes y público en general.</w:t>
      </w:r>
      <w:r w:rsidR="00C97214">
        <w:rPr>
          <w:rFonts w:eastAsia="Calibri"/>
          <w:spacing w:val="-4"/>
          <w:lang w:val="es-ES" w:eastAsia="es-ES"/>
        </w:rPr>
        <w:t xml:space="preserve"> </w:t>
      </w:r>
      <w:r w:rsidR="00C97214" w:rsidRPr="00C97214">
        <w:rPr>
          <w:szCs w:val="22"/>
        </w:rPr>
        <w:t>Hasta la fecha han participado más de 15 mil personas.</w:t>
      </w:r>
    </w:p>
    <w:p w:rsidR="00E97B8A" w:rsidRPr="00983608" w:rsidRDefault="00E717FA" w:rsidP="00E97B8A">
      <w:pPr>
        <w:spacing w:before="120" w:after="120" w:line="240" w:lineRule="auto"/>
        <w:jc w:val="both"/>
        <w:rPr>
          <w:rFonts w:ascii="Times New Roman" w:hAnsi="Times New Roman" w:cs="Times New Roman"/>
          <w:sz w:val="24"/>
          <w:szCs w:val="24"/>
          <w:lang w:val="es-ES_tradnl"/>
        </w:rPr>
      </w:pPr>
      <w:r>
        <w:rPr>
          <w:rFonts w:ascii="Times New Roman" w:hAnsi="Times New Roman" w:cs="Times New Roman"/>
          <w:sz w:val="24"/>
          <w:szCs w:val="24"/>
        </w:rPr>
        <w:t>4</w:t>
      </w:r>
      <w:r w:rsidR="00595E52">
        <w:rPr>
          <w:rFonts w:ascii="Times New Roman" w:hAnsi="Times New Roman" w:cs="Times New Roman"/>
          <w:sz w:val="24"/>
          <w:szCs w:val="24"/>
        </w:rPr>
        <w:t>8</w:t>
      </w:r>
      <w:r w:rsidR="00DB4A47" w:rsidRPr="00983608">
        <w:rPr>
          <w:rFonts w:ascii="Times New Roman" w:hAnsi="Times New Roman" w:cs="Times New Roman"/>
          <w:sz w:val="24"/>
          <w:szCs w:val="24"/>
        </w:rPr>
        <w:t xml:space="preserve">. </w:t>
      </w:r>
      <w:r w:rsidR="0047438C" w:rsidRPr="00983608">
        <w:rPr>
          <w:rFonts w:ascii="Times New Roman" w:hAnsi="Times New Roman" w:cs="Times New Roman"/>
          <w:sz w:val="24"/>
          <w:szCs w:val="24"/>
        </w:rPr>
        <w:t>De igual forma, la Instituci</w:t>
      </w:r>
      <w:r w:rsidR="00AA12A0" w:rsidRPr="00983608">
        <w:rPr>
          <w:rFonts w:ascii="Times New Roman" w:hAnsi="Times New Roman" w:cs="Times New Roman"/>
          <w:sz w:val="24"/>
          <w:szCs w:val="24"/>
        </w:rPr>
        <w:t xml:space="preserve">ón realizó en 2012 </w:t>
      </w:r>
      <w:r w:rsidR="00E97B8A" w:rsidRPr="00983608">
        <w:rPr>
          <w:rFonts w:ascii="Times New Roman" w:hAnsi="Times New Roman" w:cs="Times New Roman"/>
          <w:sz w:val="24"/>
          <w:szCs w:val="24"/>
        </w:rPr>
        <w:t>la exposición hemerográfica “</w:t>
      </w:r>
      <w:r w:rsidR="00E97B8A" w:rsidRPr="00983608">
        <w:rPr>
          <w:rFonts w:ascii="Times New Roman" w:hAnsi="Times New Roman" w:cs="Times New Roman"/>
          <w:i/>
          <w:sz w:val="24"/>
          <w:szCs w:val="24"/>
          <w:lang w:val="es-ES_tradnl"/>
        </w:rPr>
        <w:t>Violación Sistemática de los Derechos Humanos e</w:t>
      </w:r>
      <w:r w:rsidR="00AA12A0" w:rsidRPr="00983608">
        <w:rPr>
          <w:rFonts w:ascii="Times New Roman" w:hAnsi="Times New Roman" w:cs="Times New Roman"/>
          <w:i/>
          <w:sz w:val="24"/>
          <w:szCs w:val="24"/>
          <w:lang w:val="es-ES_tradnl"/>
        </w:rPr>
        <w:t>n Venezuela 1958-1998</w:t>
      </w:r>
      <w:r w:rsidR="00AA12A0" w:rsidRPr="00983608">
        <w:rPr>
          <w:rFonts w:ascii="Times New Roman" w:hAnsi="Times New Roman" w:cs="Times New Roman"/>
          <w:sz w:val="24"/>
          <w:szCs w:val="24"/>
          <w:lang w:val="es-ES_tradnl"/>
        </w:rPr>
        <w:t xml:space="preserve">”, </w:t>
      </w:r>
      <w:r w:rsidR="00E97B8A" w:rsidRPr="00983608">
        <w:rPr>
          <w:rFonts w:ascii="Times New Roman" w:hAnsi="Times New Roman" w:cs="Times New Roman"/>
          <w:sz w:val="24"/>
          <w:szCs w:val="24"/>
          <w:lang w:val="es-ES_tradnl"/>
        </w:rPr>
        <w:t>una investigación</w:t>
      </w:r>
      <w:r w:rsidR="007208BD" w:rsidRPr="00983608">
        <w:rPr>
          <w:rFonts w:ascii="Times New Roman" w:hAnsi="Times New Roman" w:cs="Times New Roman"/>
          <w:sz w:val="24"/>
          <w:szCs w:val="24"/>
          <w:lang w:val="es-ES_tradnl"/>
        </w:rPr>
        <w:t xml:space="preserve"> realizada por la Institución </w:t>
      </w:r>
      <w:r w:rsidR="00E97B8A" w:rsidRPr="00983608">
        <w:rPr>
          <w:rFonts w:ascii="Times New Roman" w:hAnsi="Times New Roman" w:cs="Times New Roman"/>
          <w:sz w:val="24"/>
          <w:szCs w:val="24"/>
          <w:lang w:val="es-ES_tradnl"/>
        </w:rPr>
        <w:t>contra el olvido y la impunidad, sobre las violaciones masivas de los de</w:t>
      </w:r>
      <w:r w:rsidR="007208BD" w:rsidRPr="00983608">
        <w:rPr>
          <w:rFonts w:ascii="Times New Roman" w:hAnsi="Times New Roman" w:cs="Times New Roman"/>
          <w:sz w:val="24"/>
          <w:szCs w:val="24"/>
          <w:lang w:val="es-ES_tradnl"/>
        </w:rPr>
        <w:t xml:space="preserve">rechos humanos en dichas fechas, </w:t>
      </w:r>
      <w:r w:rsidR="00E97B8A" w:rsidRPr="00983608">
        <w:rPr>
          <w:rFonts w:ascii="Times New Roman" w:hAnsi="Times New Roman" w:cs="Times New Roman"/>
          <w:sz w:val="24"/>
          <w:szCs w:val="24"/>
          <w:lang w:val="es-ES_tradnl"/>
        </w:rPr>
        <w:t>y</w:t>
      </w:r>
      <w:r w:rsidR="00AA12A0" w:rsidRPr="00983608">
        <w:rPr>
          <w:rFonts w:ascii="Times New Roman" w:hAnsi="Times New Roman" w:cs="Times New Roman"/>
          <w:sz w:val="24"/>
          <w:szCs w:val="24"/>
          <w:lang w:val="es-ES_tradnl"/>
        </w:rPr>
        <w:t xml:space="preserve"> se llevaron a cabo </w:t>
      </w:r>
      <w:r w:rsidR="00E97B8A" w:rsidRPr="00983608">
        <w:rPr>
          <w:rFonts w:ascii="Times New Roman" w:hAnsi="Times New Roman" w:cs="Times New Roman"/>
          <w:sz w:val="24"/>
          <w:szCs w:val="24"/>
          <w:lang w:val="es-ES_tradnl"/>
        </w:rPr>
        <w:t>los conversatorios: “</w:t>
      </w:r>
      <w:r w:rsidR="00E97B8A" w:rsidRPr="00983608">
        <w:rPr>
          <w:rFonts w:ascii="Times New Roman" w:hAnsi="Times New Roman" w:cs="Times New Roman"/>
          <w:i/>
          <w:sz w:val="24"/>
          <w:szCs w:val="24"/>
          <w:lang w:val="es-ES_tradnl"/>
        </w:rPr>
        <w:t>El rol de los medios de comunicación en la violación de los derechos humanos</w:t>
      </w:r>
      <w:r w:rsidR="00E97B8A" w:rsidRPr="00983608">
        <w:rPr>
          <w:rFonts w:ascii="Times New Roman" w:hAnsi="Times New Roman" w:cs="Times New Roman"/>
          <w:sz w:val="24"/>
          <w:szCs w:val="24"/>
          <w:lang w:val="es-ES_tradnl"/>
        </w:rPr>
        <w:t>”, “</w:t>
      </w:r>
      <w:r w:rsidR="00E97B8A" w:rsidRPr="00983608">
        <w:rPr>
          <w:rFonts w:ascii="Times New Roman" w:hAnsi="Times New Roman" w:cs="Times New Roman"/>
          <w:i/>
          <w:sz w:val="24"/>
          <w:szCs w:val="24"/>
          <w:lang w:val="es-ES_tradnl"/>
        </w:rPr>
        <w:t>Masacre, Tortura y otras Violaciones a los derechos Humanos</w:t>
      </w:r>
      <w:r w:rsidR="00E97B8A" w:rsidRPr="00983608">
        <w:rPr>
          <w:rFonts w:ascii="Times New Roman" w:hAnsi="Times New Roman" w:cs="Times New Roman"/>
          <w:sz w:val="24"/>
          <w:szCs w:val="24"/>
          <w:lang w:val="es-ES_tradnl"/>
        </w:rPr>
        <w:t>” y “</w:t>
      </w:r>
      <w:r w:rsidR="00E97B8A" w:rsidRPr="00983608">
        <w:rPr>
          <w:rFonts w:ascii="Times New Roman" w:hAnsi="Times New Roman" w:cs="Times New Roman"/>
          <w:i/>
          <w:sz w:val="24"/>
          <w:szCs w:val="24"/>
          <w:lang w:val="es-ES_tradnl"/>
        </w:rPr>
        <w:t>Represión Estudiantil y papel de los cuerpos represivos</w:t>
      </w:r>
      <w:r w:rsidR="00E97B8A" w:rsidRPr="00983608">
        <w:rPr>
          <w:rFonts w:ascii="Times New Roman" w:hAnsi="Times New Roman" w:cs="Times New Roman"/>
          <w:sz w:val="24"/>
          <w:szCs w:val="24"/>
          <w:lang w:val="es-ES_tradnl"/>
        </w:rPr>
        <w:t xml:space="preserve">”, todos circunscritos al periodo 1958-1998. </w:t>
      </w:r>
    </w:p>
    <w:p w:rsidR="00C94609" w:rsidRDefault="00C94609" w:rsidP="00E97B8A">
      <w:pPr>
        <w:spacing w:before="120" w:after="120" w:line="240" w:lineRule="auto"/>
        <w:jc w:val="both"/>
        <w:rPr>
          <w:rFonts w:ascii="Times New Roman" w:hAnsi="Times New Roman" w:cs="Times New Roman"/>
          <w:color w:val="FF0000"/>
          <w:sz w:val="24"/>
          <w:szCs w:val="24"/>
          <w:lang w:val="es-ES_tradnl"/>
        </w:rPr>
      </w:pPr>
      <w:r w:rsidRPr="00DB4A47">
        <w:rPr>
          <w:rFonts w:ascii="Times New Roman" w:hAnsi="Times New Roman" w:cs="Times New Roman"/>
          <w:b/>
          <w:sz w:val="20"/>
        </w:rPr>
        <w:t>Informes anuales, defensoriales e internacionales</w:t>
      </w:r>
    </w:p>
    <w:p w:rsidR="00C94609" w:rsidRPr="00983608" w:rsidRDefault="00E717FA" w:rsidP="00E97B8A">
      <w:pPr>
        <w:spacing w:before="120" w:after="120" w:line="240" w:lineRule="auto"/>
        <w:jc w:val="both"/>
        <w:rPr>
          <w:rFonts w:ascii="Times New Roman" w:hAnsi="Times New Roman" w:cs="Times New Roman"/>
          <w:sz w:val="24"/>
        </w:rPr>
      </w:pPr>
      <w:r>
        <w:rPr>
          <w:rFonts w:ascii="Times New Roman" w:hAnsi="Times New Roman" w:cs="Times New Roman"/>
          <w:sz w:val="24"/>
        </w:rPr>
        <w:t>4</w:t>
      </w:r>
      <w:r w:rsidR="00595E52">
        <w:rPr>
          <w:rFonts w:ascii="Times New Roman" w:hAnsi="Times New Roman" w:cs="Times New Roman"/>
          <w:sz w:val="24"/>
        </w:rPr>
        <w:t>9</w:t>
      </w:r>
      <w:r w:rsidR="00DB4A47" w:rsidRPr="00983608">
        <w:rPr>
          <w:rFonts w:ascii="Times New Roman" w:hAnsi="Times New Roman" w:cs="Times New Roman"/>
          <w:sz w:val="24"/>
        </w:rPr>
        <w:t xml:space="preserve">. </w:t>
      </w:r>
      <w:r w:rsidR="00C94609" w:rsidRPr="00983608">
        <w:rPr>
          <w:rFonts w:ascii="Times New Roman" w:hAnsi="Times New Roman" w:cs="Times New Roman"/>
          <w:sz w:val="24"/>
        </w:rPr>
        <w:t xml:space="preserve">Desde 2001 la DdP elabora los Capítulos </w:t>
      </w:r>
      <w:r w:rsidR="00700357">
        <w:rPr>
          <w:rFonts w:ascii="Times New Roman" w:hAnsi="Times New Roman" w:cs="Times New Roman"/>
          <w:sz w:val="24"/>
        </w:rPr>
        <w:t xml:space="preserve">“Derechos de los pueblos indígenas”, “Derechos de los Niños, Niñas y Adolescentes”, “Derecho de las Mujeres”, “Derechos de las Personas con Discapacidad”, </w:t>
      </w:r>
      <w:r w:rsidR="00330A16">
        <w:rPr>
          <w:rFonts w:ascii="Times New Roman" w:hAnsi="Times New Roman" w:cs="Times New Roman"/>
          <w:sz w:val="24"/>
        </w:rPr>
        <w:t xml:space="preserve">“Derechos de la Juventud”, </w:t>
      </w:r>
      <w:r w:rsidR="00C94609" w:rsidRPr="00983608">
        <w:rPr>
          <w:rFonts w:ascii="Times New Roman" w:hAnsi="Times New Roman" w:cs="Times New Roman"/>
          <w:sz w:val="24"/>
        </w:rPr>
        <w:t xml:space="preserve">“Seguridad Ciudadana y Actuación Policial”, “Derecho a la vida, a la libertad personal y a la integridad personal”, “Derecho a la justicia y al debido proceso”, Derechos de las personas privadas de libertad” y “Derecho al Asilo y al Refugio”, entre otros, dispuestos en sus Informes Anuales (IA). A partir de 2011 la Institución incorpora el Capítulo “Afrodescendencia y Derechos Humanos” y en 2013, dedica un capítulo a la situación de derechos humanos de la población LGBTTI. </w:t>
      </w:r>
    </w:p>
    <w:p w:rsidR="007669F6" w:rsidRPr="00983608" w:rsidRDefault="00595E52" w:rsidP="007669F6">
      <w:pPr>
        <w:spacing w:before="120" w:after="120" w:line="240" w:lineRule="auto"/>
        <w:jc w:val="both"/>
        <w:rPr>
          <w:rFonts w:ascii="Times New Roman" w:hAnsi="Times New Roman" w:cs="Times New Roman"/>
          <w:bCs/>
          <w:sz w:val="24"/>
          <w:szCs w:val="24"/>
        </w:rPr>
      </w:pPr>
      <w:r>
        <w:rPr>
          <w:rFonts w:ascii="Times New Roman" w:hAnsi="Times New Roman" w:cs="Times New Roman"/>
          <w:sz w:val="24"/>
          <w:szCs w:val="24"/>
        </w:rPr>
        <w:t>50</w:t>
      </w:r>
      <w:r w:rsidR="00DB4A47" w:rsidRPr="00983608">
        <w:rPr>
          <w:rFonts w:ascii="Times New Roman" w:hAnsi="Times New Roman" w:cs="Times New Roman"/>
          <w:sz w:val="24"/>
          <w:szCs w:val="24"/>
        </w:rPr>
        <w:t xml:space="preserve">. </w:t>
      </w:r>
      <w:r w:rsidR="00E127CA" w:rsidRPr="00983608">
        <w:rPr>
          <w:rFonts w:ascii="Times New Roman" w:hAnsi="Times New Roman" w:cs="Times New Roman"/>
          <w:sz w:val="24"/>
          <w:szCs w:val="24"/>
        </w:rPr>
        <w:t>También</w:t>
      </w:r>
      <w:r w:rsidR="00C94609" w:rsidRPr="00983608">
        <w:rPr>
          <w:rFonts w:ascii="Times New Roman" w:hAnsi="Times New Roman" w:cs="Times New Roman"/>
          <w:sz w:val="24"/>
          <w:szCs w:val="24"/>
        </w:rPr>
        <w:t>, ha elaborado los Informes sobre Derechos Humanos, “Capítulo Venezuela” presentados ante la Federación Iberoamericana del Ombudsman</w:t>
      </w:r>
      <w:r w:rsidR="007669F6" w:rsidRPr="00983608">
        <w:rPr>
          <w:rFonts w:ascii="Times New Roman" w:hAnsi="Times New Roman" w:cs="Times New Roman"/>
          <w:sz w:val="24"/>
          <w:szCs w:val="24"/>
        </w:rPr>
        <w:t>-FIO</w:t>
      </w:r>
      <w:r w:rsidR="00C94609" w:rsidRPr="00983608">
        <w:rPr>
          <w:rFonts w:ascii="Times New Roman" w:hAnsi="Times New Roman" w:cs="Times New Roman"/>
          <w:sz w:val="24"/>
          <w:szCs w:val="24"/>
        </w:rPr>
        <w:t xml:space="preserve"> (2008-2013). </w:t>
      </w:r>
      <w:r w:rsidR="007669F6" w:rsidRPr="00983608">
        <w:rPr>
          <w:rFonts w:ascii="Times New Roman" w:hAnsi="Times New Roman" w:cs="Times New Roman"/>
          <w:bCs/>
          <w:sz w:val="24"/>
          <w:szCs w:val="24"/>
        </w:rPr>
        <w:t xml:space="preserve">De igual manera, la DdP ha dado respuesta a cuestionarios de la FIO y organismos de las Naciones Unidas referentes a los derechos civiles y políticos. </w:t>
      </w:r>
    </w:p>
    <w:p w:rsidR="006E442A" w:rsidRPr="00983608" w:rsidRDefault="00595E52" w:rsidP="008B6113">
      <w:pPr>
        <w:spacing w:before="120" w:after="120" w:line="240" w:lineRule="auto"/>
        <w:jc w:val="both"/>
        <w:rPr>
          <w:rFonts w:ascii="Times New Roman" w:hAnsi="Times New Roman" w:cs="Times New Roman"/>
          <w:bCs/>
          <w:sz w:val="24"/>
        </w:rPr>
      </w:pPr>
      <w:r>
        <w:rPr>
          <w:rFonts w:ascii="Times New Roman" w:hAnsi="Times New Roman" w:cs="Times New Roman"/>
          <w:bCs/>
          <w:sz w:val="24"/>
          <w:szCs w:val="24"/>
        </w:rPr>
        <w:lastRenderedPageBreak/>
        <w:t>51</w:t>
      </w:r>
      <w:r w:rsidR="00DB4A47" w:rsidRPr="00983608">
        <w:rPr>
          <w:rFonts w:ascii="Times New Roman" w:hAnsi="Times New Roman" w:cs="Times New Roman"/>
          <w:bCs/>
          <w:sz w:val="24"/>
          <w:szCs w:val="24"/>
        </w:rPr>
        <w:t xml:space="preserve">. </w:t>
      </w:r>
      <w:r w:rsidR="004D23CC" w:rsidRPr="00983608">
        <w:rPr>
          <w:rFonts w:ascii="Times New Roman" w:hAnsi="Times New Roman" w:cs="Times New Roman"/>
          <w:bCs/>
          <w:sz w:val="24"/>
        </w:rPr>
        <w:t xml:space="preserve">De conformidad con el artículo 15.13 de la LODdP, la Defensoría es competente para </w:t>
      </w:r>
      <w:r w:rsidR="004D23CC" w:rsidRPr="00983608">
        <w:rPr>
          <w:rFonts w:ascii="Times New Roman" w:hAnsi="Times New Roman" w:cs="Times New Roman"/>
          <w:bCs/>
          <w:iCs/>
          <w:sz w:val="24"/>
        </w:rPr>
        <w:t>“</w:t>
      </w:r>
      <w:r w:rsidR="004D23CC" w:rsidRPr="00983608">
        <w:rPr>
          <w:rFonts w:ascii="Times New Roman" w:hAnsi="Times New Roman" w:cs="Times New Roman"/>
          <w:bCs/>
          <w:i/>
          <w:iCs/>
          <w:sz w:val="24"/>
        </w:rPr>
        <w:t>realizar estudios e investigaciones con el objeto de presentar iniciativas de ley, u</w:t>
      </w:r>
      <w:r w:rsidR="004D23CC" w:rsidRPr="00983608">
        <w:rPr>
          <w:rFonts w:ascii="Times New Roman" w:hAnsi="Times New Roman" w:cs="Times New Roman"/>
          <w:bCs/>
          <w:sz w:val="24"/>
        </w:rPr>
        <w:t xml:space="preserve"> </w:t>
      </w:r>
      <w:r w:rsidR="004D23CC" w:rsidRPr="00983608">
        <w:rPr>
          <w:rFonts w:ascii="Times New Roman" w:hAnsi="Times New Roman" w:cs="Times New Roman"/>
          <w:bCs/>
          <w:i/>
          <w:iCs/>
          <w:sz w:val="24"/>
        </w:rPr>
        <w:t>ordenanzas, o formular recomendaciones</w:t>
      </w:r>
      <w:r w:rsidR="004D23CC" w:rsidRPr="00983608">
        <w:rPr>
          <w:rFonts w:ascii="Times New Roman" w:hAnsi="Times New Roman" w:cs="Times New Roman"/>
          <w:bCs/>
          <w:iCs/>
          <w:sz w:val="24"/>
        </w:rPr>
        <w:t>”</w:t>
      </w:r>
      <w:r w:rsidR="004D23CC" w:rsidRPr="00983608">
        <w:rPr>
          <w:rFonts w:ascii="Times New Roman" w:hAnsi="Times New Roman" w:cs="Times New Roman"/>
          <w:bCs/>
          <w:sz w:val="24"/>
        </w:rPr>
        <w:t xml:space="preserve">. </w:t>
      </w:r>
    </w:p>
    <w:p w:rsidR="007669F6" w:rsidRDefault="00595E52" w:rsidP="007669F6">
      <w:pPr>
        <w:spacing w:before="120" w:after="120" w:line="240" w:lineRule="auto"/>
        <w:jc w:val="both"/>
        <w:rPr>
          <w:rFonts w:ascii="Times New Roman" w:hAnsi="Times New Roman" w:cs="Times New Roman"/>
          <w:bCs/>
          <w:color w:val="FF0000"/>
          <w:sz w:val="24"/>
          <w:szCs w:val="24"/>
        </w:rPr>
      </w:pPr>
      <w:r>
        <w:rPr>
          <w:rFonts w:ascii="Times New Roman" w:hAnsi="Times New Roman" w:cs="Times New Roman"/>
          <w:bCs/>
          <w:sz w:val="24"/>
        </w:rPr>
        <w:t>52</w:t>
      </w:r>
      <w:r w:rsidR="006E442A" w:rsidRPr="00983608">
        <w:rPr>
          <w:rFonts w:ascii="Times New Roman" w:hAnsi="Times New Roman" w:cs="Times New Roman"/>
          <w:bCs/>
          <w:sz w:val="24"/>
        </w:rPr>
        <w:t xml:space="preserve">. </w:t>
      </w:r>
      <w:r w:rsidR="00E127CA" w:rsidRPr="00983608">
        <w:rPr>
          <w:rFonts w:ascii="Times New Roman" w:hAnsi="Times New Roman" w:cs="Times New Roman"/>
          <w:bCs/>
          <w:sz w:val="24"/>
          <w:szCs w:val="24"/>
        </w:rPr>
        <w:t xml:space="preserve">Informes defensoriales </w:t>
      </w:r>
      <w:r w:rsidR="006A088D" w:rsidRPr="00983608">
        <w:rPr>
          <w:rFonts w:ascii="Times New Roman" w:hAnsi="Times New Roman" w:cs="Times New Roman"/>
          <w:bCs/>
          <w:sz w:val="24"/>
          <w:szCs w:val="24"/>
        </w:rPr>
        <w:t xml:space="preserve">y de investigación </w:t>
      </w:r>
      <w:r w:rsidR="00E127CA" w:rsidRPr="00983608">
        <w:rPr>
          <w:rFonts w:ascii="Times New Roman" w:hAnsi="Times New Roman" w:cs="Times New Roman"/>
          <w:bCs/>
          <w:sz w:val="24"/>
          <w:szCs w:val="24"/>
        </w:rPr>
        <w:t xml:space="preserve">que han dado cuenta de la situación de los derechos civiles y políticos en el país </w:t>
      </w:r>
      <w:r w:rsidR="00C435DE" w:rsidRPr="00983608">
        <w:rPr>
          <w:rFonts w:ascii="Times New Roman" w:hAnsi="Times New Roman" w:cs="Times New Roman"/>
          <w:bCs/>
          <w:sz w:val="24"/>
          <w:szCs w:val="24"/>
        </w:rPr>
        <w:t>y la ac</w:t>
      </w:r>
      <w:r w:rsidR="0074771F" w:rsidRPr="00983608">
        <w:rPr>
          <w:rFonts w:ascii="Times New Roman" w:hAnsi="Times New Roman" w:cs="Times New Roman"/>
          <w:bCs/>
          <w:sz w:val="24"/>
          <w:szCs w:val="24"/>
        </w:rPr>
        <w:t>tuación defensorial al respecto</w:t>
      </w:r>
      <w:r w:rsidR="00C435DE" w:rsidRPr="00983608">
        <w:rPr>
          <w:rFonts w:ascii="Times New Roman" w:hAnsi="Times New Roman" w:cs="Times New Roman"/>
          <w:bCs/>
          <w:sz w:val="24"/>
          <w:szCs w:val="24"/>
        </w:rPr>
        <w:t xml:space="preserve"> </w:t>
      </w:r>
      <w:r w:rsidR="00E127CA" w:rsidRPr="00983608">
        <w:rPr>
          <w:rFonts w:ascii="Times New Roman" w:hAnsi="Times New Roman" w:cs="Times New Roman"/>
          <w:bCs/>
          <w:sz w:val="24"/>
          <w:szCs w:val="24"/>
        </w:rPr>
        <w:t>son</w:t>
      </w:r>
      <w:r w:rsidR="0074771F" w:rsidRPr="00983608">
        <w:rPr>
          <w:rFonts w:ascii="Times New Roman" w:hAnsi="Times New Roman" w:cs="Times New Roman"/>
          <w:bCs/>
          <w:sz w:val="24"/>
          <w:szCs w:val="24"/>
        </w:rPr>
        <w:t>, entre otros</w:t>
      </w:r>
      <w:r w:rsidR="00E127CA" w:rsidRPr="00983608">
        <w:rPr>
          <w:rFonts w:ascii="Times New Roman" w:hAnsi="Times New Roman" w:cs="Times New Roman"/>
          <w:bCs/>
          <w:sz w:val="24"/>
          <w:szCs w:val="24"/>
        </w:rPr>
        <w:t xml:space="preserve">: </w:t>
      </w:r>
      <w:r w:rsidR="006E442A" w:rsidRPr="00983608">
        <w:rPr>
          <w:rFonts w:ascii="Times New Roman" w:hAnsi="Times New Roman" w:cs="Times New Roman"/>
          <w:sz w:val="24"/>
          <w:szCs w:val="24"/>
        </w:rPr>
        <w:t>Trata de personas</w:t>
      </w:r>
      <w:r w:rsidR="006E442A" w:rsidRPr="00983608">
        <w:rPr>
          <w:rFonts w:ascii="Times New Roman" w:hAnsi="Times New Roman" w:cs="Times New Roman"/>
          <w:bCs/>
          <w:sz w:val="24"/>
          <w:szCs w:val="24"/>
        </w:rPr>
        <w:t xml:space="preserve"> (2005), </w:t>
      </w:r>
      <w:r w:rsidR="006E442A" w:rsidRPr="00983608">
        <w:rPr>
          <w:rFonts w:ascii="Times New Roman" w:hAnsi="Times New Roman" w:cs="Times New Roman"/>
          <w:sz w:val="24"/>
          <w:szCs w:val="24"/>
        </w:rPr>
        <w:t xml:space="preserve">Informe Especial: Violencia en el Campo (2006), “A 18 años de El Caracazo: Sed de Justicia (2007), </w:t>
      </w:r>
      <w:r w:rsidR="002A7F45" w:rsidRPr="00983608">
        <w:rPr>
          <w:rFonts w:ascii="Times New Roman" w:hAnsi="Times New Roman" w:cs="Times New Roman"/>
          <w:bCs/>
          <w:sz w:val="24"/>
          <w:szCs w:val="24"/>
        </w:rPr>
        <w:t xml:space="preserve">El transporte urbano en Caracas: Una revisión desde la perspectiva de los derechos humanos (2010), </w:t>
      </w:r>
      <w:r w:rsidR="00E127CA" w:rsidRPr="00983608">
        <w:rPr>
          <w:rFonts w:ascii="Times New Roman" w:hAnsi="Times New Roman" w:cs="Times New Roman"/>
          <w:bCs/>
          <w:sz w:val="24"/>
          <w:szCs w:val="24"/>
        </w:rPr>
        <w:t>Policía Nacional Bolivariana: a un año de</w:t>
      </w:r>
      <w:r w:rsidR="00E127CA" w:rsidRPr="00DB4A47">
        <w:rPr>
          <w:rFonts w:ascii="Times New Roman" w:hAnsi="Times New Roman" w:cs="Times New Roman"/>
          <w:bCs/>
          <w:color w:val="FF0000"/>
          <w:sz w:val="24"/>
          <w:szCs w:val="24"/>
        </w:rPr>
        <w:t xml:space="preserve"> </w:t>
      </w:r>
      <w:r w:rsidR="00E127CA" w:rsidRPr="00983608">
        <w:rPr>
          <w:rFonts w:ascii="Times New Roman" w:hAnsi="Times New Roman" w:cs="Times New Roman"/>
          <w:bCs/>
          <w:sz w:val="24"/>
          <w:szCs w:val="24"/>
        </w:rPr>
        <w:t>gestión (201</w:t>
      </w:r>
      <w:r w:rsidR="002A7F45" w:rsidRPr="00983608">
        <w:rPr>
          <w:rFonts w:ascii="Times New Roman" w:hAnsi="Times New Roman" w:cs="Times New Roman"/>
          <w:bCs/>
          <w:sz w:val="24"/>
          <w:szCs w:val="24"/>
        </w:rPr>
        <w:t>0</w:t>
      </w:r>
      <w:r w:rsidR="00E127CA" w:rsidRPr="00983608">
        <w:rPr>
          <w:rFonts w:ascii="Times New Roman" w:hAnsi="Times New Roman" w:cs="Times New Roman"/>
          <w:bCs/>
          <w:sz w:val="24"/>
          <w:szCs w:val="24"/>
        </w:rPr>
        <w:t>)</w:t>
      </w:r>
      <w:r w:rsidR="008C13B0" w:rsidRPr="00983608">
        <w:rPr>
          <w:rStyle w:val="Refdenotaalpie"/>
          <w:rFonts w:ascii="Times New Roman" w:hAnsi="Times New Roman" w:cs="Times New Roman"/>
          <w:bCs/>
          <w:sz w:val="24"/>
          <w:szCs w:val="24"/>
        </w:rPr>
        <w:footnoteReference w:id="22"/>
      </w:r>
      <w:r w:rsidR="008B6113" w:rsidRPr="00983608">
        <w:rPr>
          <w:rFonts w:ascii="Times New Roman" w:hAnsi="Times New Roman" w:cs="Times New Roman"/>
          <w:bCs/>
          <w:sz w:val="24"/>
          <w:szCs w:val="24"/>
        </w:rPr>
        <w:t>,</w:t>
      </w:r>
      <w:r w:rsidR="00E127CA" w:rsidRPr="00983608">
        <w:rPr>
          <w:rFonts w:ascii="Times New Roman" w:hAnsi="Times New Roman" w:cs="Times New Roman"/>
          <w:bCs/>
          <w:sz w:val="24"/>
          <w:szCs w:val="24"/>
        </w:rPr>
        <w:t xml:space="preserve"> </w:t>
      </w:r>
      <w:r w:rsidR="002A7F45" w:rsidRPr="00983608">
        <w:rPr>
          <w:rFonts w:ascii="Times New Roman" w:hAnsi="Times New Roman" w:cs="Times New Roman"/>
          <w:bCs/>
          <w:sz w:val="24"/>
          <w:szCs w:val="24"/>
        </w:rPr>
        <w:t xml:space="preserve">Informe de la DdP. Caso: Sr. Franklin José Brito Rodríguez (2010), </w:t>
      </w:r>
      <w:r w:rsidR="008B6113" w:rsidRPr="00983608">
        <w:rPr>
          <w:rFonts w:ascii="Times New Roman" w:hAnsi="Times New Roman" w:cs="Times New Roman"/>
          <w:bCs/>
          <w:sz w:val="24"/>
          <w:szCs w:val="24"/>
        </w:rPr>
        <w:t xml:space="preserve">Derecho al Sufragio: Elecciones Presidenciales, 7 de Octubre de 2012 (2012), Actuaciones de la Defensoría del Pueblo para la Protección de Niños, Niñas y Adolescentes 2008-2012 (2012), </w:t>
      </w:r>
      <w:r w:rsidR="00E127CA" w:rsidRPr="00983608">
        <w:rPr>
          <w:rFonts w:ascii="Times New Roman" w:hAnsi="Times New Roman" w:cs="Times New Roman"/>
          <w:bCs/>
          <w:sz w:val="24"/>
          <w:szCs w:val="24"/>
        </w:rPr>
        <w:t xml:space="preserve">Elección Presidencial 14 Abril 2013 (2013), </w:t>
      </w:r>
      <w:r w:rsidR="002A7F45" w:rsidRPr="00983608">
        <w:rPr>
          <w:rFonts w:ascii="Times New Roman" w:hAnsi="Times New Roman" w:cs="Times New Roman"/>
          <w:bCs/>
          <w:sz w:val="24"/>
          <w:szCs w:val="24"/>
        </w:rPr>
        <w:t xml:space="preserve">y el </w:t>
      </w:r>
      <w:r w:rsidR="00E127CA" w:rsidRPr="00983608">
        <w:rPr>
          <w:rFonts w:ascii="Times New Roman" w:hAnsi="Times New Roman" w:cs="Times New Roman"/>
          <w:bCs/>
          <w:sz w:val="24"/>
          <w:szCs w:val="24"/>
        </w:rPr>
        <w:t>Informe Preliminar Febrero 2014: Un Golpe a la Paz (2014)</w:t>
      </w:r>
      <w:r w:rsidR="002A7F45" w:rsidRPr="00983608">
        <w:rPr>
          <w:rFonts w:ascii="Times New Roman" w:hAnsi="Times New Roman" w:cs="Times New Roman"/>
          <w:bCs/>
          <w:sz w:val="24"/>
          <w:szCs w:val="24"/>
        </w:rPr>
        <w:t>.</w:t>
      </w:r>
      <w:r w:rsidR="007669F6" w:rsidRPr="00983608">
        <w:rPr>
          <w:rFonts w:ascii="Times New Roman" w:hAnsi="Times New Roman" w:cs="Times New Roman"/>
          <w:bCs/>
          <w:sz w:val="24"/>
          <w:szCs w:val="24"/>
        </w:rPr>
        <w:t xml:space="preserve"> </w:t>
      </w:r>
    </w:p>
    <w:p w:rsidR="00AB1B89" w:rsidRPr="00D92DC9" w:rsidRDefault="00AB1B89" w:rsidP="00AB1B89">
      <w:pPr>
        <w:spacing w:before="120" w:after="120" w:line="240" w:lineRule="auto"/>
        <w:jc w:val="both"/>
        <w:rPr>
          <w:rFonts w:ascii="Times New Roman" w:hAnsi="Times New Roman" w:cs="Times New Roman"/>
          <w:b/>
          <w:sz w:val="20"/>
        </w:rPr>
      </w:pPr>
      <w:r w:rsidRPr="00D92DC9">
        <w:rPr>
          <w:rFonts w:ascii="Times New Roman" w:hAnsi="Times New Roman" w:cs="Times New Roman"/>
          <w:b/>
          <w:sz w:val="20"/>
        </w:rPr>
        <w:t>Publicaciones en derechos humanos</w:t>
      </w:r>
    </w:p>
    <w:p w:rsidR="00B57DE7" w:rsidRPr="00983608" w:rsidRDefault="00E717FA" w:rsidP="00EA7A1F">
      <w:pPr>
        <w:spacing w:before="120" w:after="120" w:line="240" w:lineRule="auto"/>
        <w:jc w:val="both"/>
        <w:rPr>
          <w:rFonts w:ascii="Times New Roman" w:hAnsi="Times New Roman" w:cs="Times New Roman"/>
          <w:iCs/>
          <w:sz w:val="24"/>
          <w:szCs w:val="24"/>
          <w:lang w:val="es-MX"/>
        </w:rPr>
      </w:pPr>
      <w:r>
        <w:rPr>
          <w:rFonts w:ascii="Times New Roman" w:hAnsi="Times New Roman" w:cs="Times New Roman"/>
          <w:bCs/>
          <w:iCs/>
          <w:sz w:val="24"/>
          <w:szCs w:val="24"/>
        </w:rPr>
        <w:t>5</w:t>
      </w:r>
      <w:r w:rsidR="00595E52">
        <w:rPr>
          <w:rFonts w:ascii="Times New Roman" w:hAnsi="Times New Roman" w:cs="Times New Roman"/>
          <w:bCs/>
          <w:iCs/>
          <w:sz w:val="24"/>
          <w:szCs w:val="24"/>
        </w:rPr>
        <w:t>3</w:t>
      </w:r>
      <w:r w:rsidR="00DB4A47" w:rsidRPr="00983608">
        <w:rPr>
          <w:rFonts w:ascii="Times New Roman" w:hAnsi="Times New Roman" w:cs="Times New Roman"/>
          <w:bCs/>
          <w:iCs/>
          <w:sz w:val="24"/>
          <w:szCs w:val="24"/>
        </w:rPr>
        <w:t xml:space="preserve">. </w:t>
      </w:r>
      <w:r w:rsidR="00AB1B89" w:rsidRPr="00983608">
        <w:rPr>
          <w:rFonts w:ascii="Times New Roman" w:hAnsi="Times New Roman" w:cs="Times New Roman"/>
          <w:bCs/>
          <w:iCs/>
          <w:sz w:val="24"/>
          <w:szCs w:val="24"/>
        </w:rPr>
        <w:t xml:space="preserve">Las publicaciones constituyen una de las áreas estratégicas de la DdP. A través de la Fundación Juan Vives Suriá y la Escuela de Derechos Humanos se ha dado impulso a la divulgación de líneas de pensamiento con visión crítica. </w:t>
      </w:r>
      <w:r w:rsidR="00EA7A1F" w:rsidRPr="00983608">
        <w:rPr>
          <w:rFonts w:ascii="Times New Roman" w:hAnsi="Times New Roman" w:cs="Times New Roman"/>
          <w:bCs/>
          <w:iCs/>
          <w:sz w:val="24"/>
          <w:szCs w:val="24"/>
        </w:rPr>
        <w:t>C</w:t>
      </w:r>
      <w:r w:rsidR="00AB1B89" w:rsidRPr="00983608">
        <w:rPr>
          <w:rFonts w:ascii="Times New Roman" w:hAnsi="Times New Roman" w:cs="Times New Roman"/>
          <w:iCs/>
          <w:sz w:val="24"/>
          <w:szCs w:val="24"/>
          <w:lang w:val="es-MX"/>
        </w:rPr>
        <w:t xml:space="preserve">on la Fundación Editorial El Perro y La Rana se ha editado </w:t>
      </w:r>
      <w:r w:rsidR="00EA7A1F" w:rsidRPr="00983608">
        <w:rPr>
          <w:rFonts w:ascii="Times New Roman" w:hAnsi="Times New Roman" w:cs="Times New Roman"/>
          <w:iCs/>
          <w:sz w:val="24"/>
          <w:szCs w:val="24"/>
          <w:lang w:val="es-MX"/>
        </w:rPr>
        <w:t>la “</w:t>
      </w:r>
      <w:r w:rsidR="00EA7A1F" w:rsidRPr="00983608">
        <w:rPr>
          <w:rFonts w:ascii="Times New Roman" w:hAnsi="Times New Roman" w:cs="Times New Roman"/>
          <w:i/>
          <w:iCs/>
          <w:sz w:val="24"/>
          <w:szCs w:val="24"/>
          <w:lang w:val="es-MX"/>
        </w:rPr>
        <w:t>Serie Derechos Humanos</w:t>
      </w:r>
      <w:r w:rsidR="00EA7A1F" w:rsidRPr="00983608">
        <w:rPr>
          <w:rFonts w:ascii="Times New Roman" w:hAnsi="Times New Roman" w:cs="Times New Roman"/>
          <w:iCs/>
          <w:sz w:val="24"/>
          <w:szCs w:val="24"/>
          <w:lang w:val="es-MX"/>
        </w:rPr>
        <w:t>”, que cuenta con publicaciones como: “</w:t>
      </w:r>
      <w:r w:rsidR="00EA7A1F" w:rsidRPr="00983608">
        <w:rPr>
          <w:rFonts w:ascii="Times New Roman" w:hAnsi="Times New Roman" w:cs="Times New Roman"/>
          <w:i/>
          <w:iCs/>
          <w:sz w:val="24"/>
          <w:szCs w:val="24"/>
          <w:lang w:val="es-MX"/>
        </w:rPr>
        <w:t>Derechos Humanos: Historia y Conceptos básicos</w:t>
      </w:r>
      <w:r w:rsidR="00EA7A1F" w:rsidRPr="00983608">
        <w:rPr>
          <w:rFonts w:ascii="Times New Roman" w:hAnsi="Times New Roman" w:cs="Times New Roman"/>
          <w:iCs/>
          <w:sz w:val="24"/>
          <w:szCs w:val="24"/>
          <w:lang w:val="es-MX"/>
        </w:rPr>
        <w:t>”, “</w:t>
      </w:r>
      <w:r w:rsidR="00EA7A1F" w:rsidRPr="00983608">
        <w:rPr>
          <w:rFonts w:ascii="Times New Roman" w:hAnsi="Times New Roman" w:cs="Times New Roman"/>
          <w:i/>
          <w:iCs/>
          <w:sz w:val="24"/>
          <w:szCs w:val="24"/>
          <w:lang w:val="es-MX"/>
        </w:rPr>
        <w:t>Derechos Humanos en el ámbito internacional</w:t>
      </w:r>
      <w:r w:rsidR="00EA7A1F" w:rsidRPr="00983608">
        <w:rPr>
          <w:rFonts w:ascii="Times New Roman" w:hAnsi="Times New Roman" w:cs="Times New Roman"/>
          <w:iCs/>
          <w:sz w:val="24"/>
          <w:szCs w:val="24"/>
          <w:lang w:val="es-MX"/>
        </w:rPr>
        <w:t>”, “</w:t>
      </w:r>
      <w:r w:rsidR="00EA7A1F" w:rsidRPr="00983608">
        <w:rPr>
          <w:rFonts w:ascii="Times New Roman" w:hAnsi="Times New Roman" w:cs="Times New Roman"/>
          <w:i/>
          <w:iCs/>
          <w:sz w:val="24"/>
          <w:szCs w:val="24"/>
          <w:lang w:val="es-MX"/>
        </w:rPr>
        <w:t>La Doctrina de la Protección Integral</w:t>
      </w:r>
      <w:r w:rsidR="00EA7A1F" w:rsidRPr="00983608">
        <w:rPr>
          <w:rFonts w:ascii="Times New Roman" w:hAnsi="Times New Roman" w:cs="Times New Roman"/>
          <w:iCs/>
          <w:sz w:val="24"/>
          <w:szCs w:val="24"/>
          <w:lang w:val="es-MX"/>
        </w:rPr>
        <w:t>”, “</w:t>
      </w:r>
      <w:r w:rsidR="00EA7A1F" w:rsidRPr="00983608">
        <w:rPr>
          <w:rFonts w:ascii="Times New Roman" w:hAnsi="Times New Roman" w:cs="Times New Roman"/>
          <w:i/>
          <w:iCs/>
          <w:spacing w:val="-2"/>
          <w:sz w:val="24"/>
          <w:szCs w:val="24"/>
          <w:lang w:val="es-MX"/>
        </w:rPr>
        <w:t>Derecho de las Mujeres a vivir una vida libre de violencia</w:t>
      </w:r>
      <w:r w:rsidR="00EA7A1F" w:rsidRPr="00983608">
        <w:rPr>
          <w:rFonts w:ascii="Times New Roman" w:hAnsi="Times New Roman" w:cs="Times New Roman"/>
          <w:iCs/>
          <w:spacing w:val="-2"/>
          <w:sz w:val="24"/>
          <w:szCs w:val="24"/>
          <w:lang w:val="es-MX"/>
        </w:rPr>
        <w:t>”, “</w:t>
      </w:r>
      <w:r w:rsidR="00EA7A1F" w:rsidRPr="00983608">
        <w:rPr>
          <w:rFonts w:ascii="Times New Roman" w:hAnsi="Times New Roman" w:cs="Times New Roman"/>
          <w:i/>
          <w:iCs/>
          <w:spacing w:val="-2"/>
          <w:sz w:val="24"/>
          <w:szCs w:val="24"/>
          <w:lang w:val="es-MX"/>
        </w:rPr>
        <w:t>Sistema de Protección Específico para Niños, Niñas y Adolescentes</w:t>
      </w:r>
      <w:r w:rsidR="00EA7A1F" w:rsidRPr="00983608">
        <w:rPr>
          <w:rFonts w:ascii="Times New Roman" w:hAnsi="Times New Roman" w:cs="Times New Roman"/>
          <w:iCs/>
          <w:spacing w:val="-2"/>
          <w:sz w:val="24"/>
          <w:szCs w:val="24"/>
          <w:lang w:val="es-MX"/>
        </w:rPr>
        <w:t>”, “</w:t>
      </w:r>
      <w:r w:rsidR="00EA7A1F" w:rsidRPr="00983608">
        <w:rPr>
          <w:rFonts w:ascii="Times New Roman" w:hAnsi="Times New Roman" w:cs="Times New Roman"/>
          <w:i/>
          <w:iCs/>
          <w:spacing w:val="-2"/>
          <w:sz w:val="24"/>
          <w:szCs w:val="24"/>
          <w:lang w:val="es-MX"/>
        </w:rPr>
        <w:t>Hacia un Estado pluricultural</w:t>
      </w:r>
      <w:r w:rsidR="00EA7A1F" w:rsidRPr="00983608">
        <w:rPr>
          <w:rFonts w:ascii="Times New Roman" w:hAnsi="Times New Roman" w:cs="Times New Roman"/>
          <w:iCs/>
          <w:spacing w:val="-2"/>
          <w:sz w:val="24"/>
          <w:szCs w:val="24"/>
          <w:lang w:val="es-MX"/>
        </w:rPr>
        <w:t xml:space="preserve">”, </w:t>
      </w:r>
      <w:r w:rsidR="00AB1B89" w:rsidRPr="00983608">
        <w:rPr>
          <w:rFonts w:ascii="Times New Roman" w:hAnsi="Times New Roman" w:cs="Times New Roman"/>
          <w:iCs/>
          <w:sz w:val="24"/>
          <w:szCs w:val="24"/>
          <w:lang w:val="es-MX"/>
        </w:rPr>
        <w:t>“</w:t>
      </w:r>
      <w:r w:rsidR="00AB1B89" w:rsidRPr="00983608">
        <w:rPr>
          <w:rFonts w:ascii="Times New Roman" w:hAnsi="Times New Roman" w:cs="Times New Roman"/>
          <w:i/>
          <w:iCs/>
          <w:sz w:val="24"/>
          <w:szCs w:val="24"/>
          <w:lang w:val="es-MX"/>
        </w:rPr>
        <w:t>Minorías Sexuales: Elementos Conceptuales y Psicosociales para una Política de Defensa”</w:t>
      </w:r>
      <w:r w:rsidR="00EA7A1F" w:rsidRPr="00983608">
        <w:rPr>
          <w:rFonts w:ascii="Times New Roman" w:hAnsi="Times New Roman" w:cs="Times New Roman"/>
          <w:iCs/>
          <w:sz w:val="24"/>
          <w:szCs w:val="24"/>
          <w:lang w:val="es-MX"/>
        </w:rPr>
        <w:t xml:space="preserve">, </w:t>
      </w:r>
      <w:r w:rsidR="00AB1B89" w:rsidRPr="00983608">
        <w:rPr>
          <w:rFonts w:ascii="Times New Roman" w:hAnsi="Times New Roman" w:cs="Times New Roman"/>
          <w:iCs/>
          <w:sz w:val="24"/>
          <w:szCs w:val="24"/>
          <w:lang w:val="es-MX"/>
        </w:rPr>
        <w:t>“</w:t>
      </w:r>
      <w:r w:rsidR="00AB1B89" w:rsidRPr="00983608">
        <w:rPr>
          <w:rFonts w:ascii="Times New Roman" w:hAnsi="Times New Roman" w:cs="Times New Roman"/>
          <w:i/>
          <w:iCs/>
          <w:sz w:val="24"/>
          <w:szCs w:val="24"/>
          <w:lang w:val="es-MX"/>
        </w:rPr>
        <w:t>Protección de los Derechos Humanos de las Minorías Sexuales</w:t>
      </w:r>
      <w:r w:rsidR="00EA7A1F" w:rsidRPr="00983608">
        <w:rPr>
          <w:rFonts w:ascii="Times New Roman" w:hAnsi="Times New Roman" w:cs="Times New Roman"/>
          <w:iCs/>
          <w:sz w:val="24"/>
          <w:szCs w:val="24"/>
          <w:lang w:val="es-MX"/>
        </w:rPr>
        <w:t>”.</w:t>
      </w:r>
      <w:r w:rsidR="00B57DE7">
        <w:rPr>
          <w:rFonts w:ascii="Times New Roman" w:hAnsi="Times New Roman" w:cs="Times New Roman"/>
          <w:iCs/>
          <w:sz w:val="24"/>
          <w:szCs w:val="24"/>
          <w:lang w:val="es-MX"/>
        </w:rPr>
        <w:t xml:space="preserve"> Además, cuenta con la </w:t>
      </w:r>
      <w:r w:rsidR="00B57DE7" w:rsidRPr="00B57DE7">
        <w:rPr>
          <w:rFonts w:ascii="Times New Roman" w:hAnsi="Times New Roman" w:cs="Times New Roman"/>
          <w:iCs/>
          <w:sz w:val="24"/>
          <w:szCs w:val="24"/>
          <w:lang w:val="es-MX"/>
        </w:rPr>
        <w:t xml:space="preserve">Revista infantil </w:t>
      </w:r>
      <w:r w:rsidR="00B57DE7" w:rsidRPr="00B57DE7">
        <w:rPr>
          <w:rFonts w:ascii="Times New Roman" w:hAnsi="Times New Roman" w:cs="Times New Roman"/>
          <w:i/>
          <w:iCs/>
          <w:sz w:val="24"/>
          <w:szCs w:val="24"/>
          <w:lang w:val="es-MX"/>
        </w:rPr>
        <w:t>Festival de Derechos</w:t>
      </w:r>
      <w:r w:rsidR="00B57DE7">
        <w:rPr>
          <w:rFonts w:ascii="Times New Roman" w:hAnsi="Times New Roman" w:cs="Times New Roman"/>
          <w:iCs/>
          <w:sz w:val="24"/>
          <w:szCs w:val="24"/>
          <w:lang w:val="es-MX"/>
        </w:rPr>
        <w:t xml:space="preserve">, que en 2013 editó su </w:t>
      </w:r>
      <w:r w:rsidR="00B57DE7" w:rsidRPr="00B57DE7">
        <w:rPr>
          <w:rFonts w:ascii="Times New Roman" w:hAnsi="Times New Roman" w:cs="Times New Roman"/>
          <w:iCs/>
          <w:sz w:val="24"/>
          <w:szCs w:val="24"/>
          <w:lang w:val="es-MX"/>
        </w:rPr>
        <w:t>número 2</w:t>
      </w:r>
      <w:r w:rsidR="00B57DE7">
        <w:rPr>
          <w:rFonts w:ascii="Times New Roman" w:hAnsi="Times New Roman" w:cs="Times New Roman"/>
          <w:iCs/>
          <w:sz w:val="24"/>
          <w:szCs w:val="24"/>
          <w:lang w:val="es-MX"/>
        </w:rPr>
        <w:t xml:space="preserve">, dedicada al </w:t>
      </w:r>
      <w:r w:rsidR="00B57DE7" w:rsidRPr="00E717FA">
        <w:rPr>
          <w:rFonts w:ascii="Times New Roman" w:hAnsi="Times New Roman" w:cs="Times New Roman"/>
          <w:i/>
          <w:iCs/>
          <w:sz w:val="24"/>
          <w:szCs w:val="24"/>
          <w:lang w:val="es-MX"/>
        </w:rPr>
        <w:t>Derecho a la Participación</w:t>
      </w:r>
      <w:r w:rsidR="00B57DE7">
        <w:rPr>
          <w:rFonts w:ascii="Times New Roman" w:hAnsi="Times New Roman" w:cs="Times New Roman"/>
          <w:iCs/>
          <w:sz w:val="24"/>
          <w:szCs w:val="24"/>
          <w:lang w:val="es-MX"/>
        </w:rPr>
        <w:t>.</w:t>
      </w:r>
      <w:r w:rsidR="00B57DE7" w:rsidRPr="00B57DE7">
        <w:rPr>
          <w:rFonts w:ascii="Times New Roman" w:hAnsi="Times New Roman" w:cs="Times New Roman"/>
          <w:iCs/>
          <w:sz w:val="24"/>
          <w:szCs w:val="24"/>
          <w:lang w:val="es-MX"/>
        </w:rPr>
        <w:t xml:space="preserve"> </w:t>
      </w:r>
    </w:p>
    <w:p w:rsidR="007669F6" w:rsidRPr="00983608" w:rsidRDefault="00E717FA" w:rsidP="007669F6">
      <w:pPr>
        <w:spacing w:before="120" w:after="120" w:line="240" w:lineRule="auto"/>
        <w:jc w:val="both"/>
        <w:rPr>
          <w:rFonts w:ascii="Times New Roman" w:hAnsi="Times New Roman" w:cs="Times New Roman"/>
          <w:bCs/>
          <w:sz w:val="24"/>
          <w:szCs w:val="24"/>
        </w:rPr>
      </w:pPr>
      <w:r>
        <w:rPr>
          <w:rFonts w:ascii="Times New Roman" w:hAnsi="Times New Roman" w:cs="Times New Roman"/>
          <w:sz w:val="24"/>
          <w:szCs w:val="24"/>
          <w:lang w:val="es-ES_tradnl"/>
        </w:rPr>
        <w:t>5</w:t>
      </w:r>
      <w:r w:rsidR="00595E52">
        <w:rPr>
          <w:rFonts w:ascii="Times New Roman" w:hAnsi="Times New Roman" w:cs="Times New Roman"/>
          <w:sz w:val="24"/>
          <w:szCs w:val="24"/>
          <w:lang w:val="es-ES_tradnl"/>
        </w:rPr>
        <w:t>4</w:t>
      </w:r>
      <w:r w:rsidR="00072195" w:rsidRPr="00983608">
        <w:rPr>
          <w:rFonts w:ascii="Times New Roman" w:hAnsi="Times New Roman" w:cs="Times New Roman"/>
          <w:sz w:val="24"/>
          <w:szCs w:val="24"/>
          <w:lang w:val="es-ES_tradnl"/>
        </w:rPr>
        <w:t xml:space="preserve">. </w:t>
      </w:r>
      <w:r w:rsidR="00EA7A1F" w:rsidRPr="00983608">
        <w:rPr>
          <w:rFonts w:ascii="Times New Roman" w:hAnsi="Times New Roman" w:cs="Times New Roman"/>
          <w:sz w:val="24"/>
          <w:szCs w:val="24"/>
          <w:lang w:val="es-ES_tradnl"/>
        </w:rPr>
        <w:t xml:space="preserve">De la línea editorial “Perspectiva Crítica”, se </w:t>
      </w:r>
      <w:r w:rsidR="00AB1B89" w:rsidRPr="00983608">
        <w:rPr>
          <w:rFonts w:ascii="Times New Roman" w:hAnsi="Times New Roman" w:cs="Times New Roman"/>
          <w:sz w:val="24"/>
          <w:szCs w:val="24"/>
          <w:lang w:val="es-ES_tradnl"/>
        </w:rPr>
        <w:t>presentó el libro “</w:t>
      </w:r>
      <w:r w:rsidR="00AB1B89" w:rsidRPr="00983608">
        <w:rPr>
          <w:rFonts w:ascii="Times New Roman" w:hAnsi="Times New Roman" w:cs="Times New Roman"/>
          <w:i/>
          <w:sz w:val="24"/>
          <w:szCs w:val="24"/>
          <w:lang w:val="es-ES_tradnl"/>
        </w:rPr>
        <w:t>Los Derechos Humanos desde el enfoque crítico: Reflexiones para el abordaje de la realidad venezolana y latinoamericana</w:t>
      </w:r>
      <w:r w:rsidR="00AB1B89" w:rsidRPr="00983608">
        <w:rPr>
          <w:rFonts w:ascii="Times New Roman" w:hAnsi="Times New Roman" w:cs="Times New Roman"/>
          <w:sz w:val="24"/>
          <w:szCs w:val="24"/>
          <w:lang w:val="es-ES_tradnl"/>
        </w:rPr>
        <w:t>”</w:t>
      </w:r>
      <w:r w:rsidR="00EA7A1F" w:rsidRPr="00983608">
        <w:rPr>
          <w:rFonts w:ascii="Times New Roman" w:hAnsi="Times New Roman" w:cs="Times New Roman"/>
          <w:sz w:val="24"/>
          <w:szCs w:val="24"/>
          <w:lang w:val="es-ES_tradnl"/>
        </w:rPr>
        <w:t xml:space="preserve">, y se reimprimieron las obras </w:t>
      </w:r>
      <w:r w:rsidR="00EA7A1F" w:rsidRPr="00983608">
        <w:rPr>
          <w:rFonts w:ascii="Times New Roman" w:hAnsi="Times New Roman" w:cs="Times New Roman"/>
          <w:iCs/>
          <w:spacing w:val="-2"/>
          <w:sz w:val="24"/>
          <w:szCs w:val="24"/>
          <w:lang w:val="es-MX"/>
        </w:rPr>
        <w:t>“</w:t>
      </w:r>
      <w:r w:rsidR="00EA7A1F" w:rsidRPr="00983608">
        <w:rPr>
          <w:rFonts w:ascii="Times New Roman" w:hAnsi="Times New Roman" w:cs="Times New Roman"/>
          <w:i/>
          <w:iCs/>
          <w:spacing w:val="-2"/>
          <w:sz w:val="24"/>
          <w:szCs w:val="24"/>
          <w:lang w:val="es-MX"/>
        </w:rPr>
        <w:t>Los Documentos de Golpe</w:t>
      </w:r>
      <w:r w:rsidR="00EA7A1F" w:rsidRPr="00983608">
        <w:rPr>
          <w:rFonts w:ascii="Times New Roman" w:hAnsi="Times New Roman" w:cs="Times New Roman"/>
          <w:iCs/>
          <w:spacing w:val="-2"/>
          <w:sz w:val="24"/>
          <w:szCs w:val="24"/>
          <w:lang w:val="es-MX"/>
        </w:rPr>
        <w:t>” y “</w:t>
      </w:r>
      <w:r w:rsidR="00EA7A1F" w:rsidRPr="00983608">
        <w:rPr>
          <w:rFonts w:ascii="Times New Roman" w:hAnsi="Times New Roman" w:cs="Times New Roman"/>
          <w:i/>
          <w:iCs/>
          <w:spacing w:val="-2"/>
          <w:sz w:val="24"/>
          <w:szCs w:val="24"/>
          <w:lang w:val="es-MX"/>
        </w:rPr>
        <w:t>El 27- F para siempre en la memoria de nuestro pueblo</w:t>
      </w:r>
      <w:r w:rsidR="00EA7A1F" w:rsidRPr="00983608">
        <w:rPr>
          <w:rFonts w:ascii="Times New Roman" w:hAnsi="Times New Roman" w:cs="Times New Roman"/>
          <w:iCs/>
          <w:spacing w:val="-2"/>
          <w:sz w:val="24"/>
          <w:szCs w:val="24"/>
          <w:lang w:val="es-MX"/>
        </w:rPr>
        <w:t>”.</w:t>
      </w:r>
      <w:r w:rsidR="007669F6" w:rsidRPr="00983608">
        <w:rPr>
          <w:rFonts w:ascii="Times New Roman" w:hAnsi="Times New Roman" w:cs="Times New Roman"/>
          <w:iCs/>
          <w:spacing w:val="-2"/>
          <w:sz w:val="24"/>
          <w:szCs w:val="24"/>
          <w:lang w:val="es-MX"/>
        </w:rPr>
        <w:t xml:space="preserve"> </w:t>
      </w:r>
      <w:r w:rsidR="007669F6" w:rsidRPr="00983608">
        <w:rPr>
          <w:rFonts w:ascii="Times New Roman" w:hAnsi="Times New Roman" w:cs="Times New Roman"/>
          <w:sz w:val="24"/>
        </w:rPr>
        <w:t xml:space="preserve">Además, a </w:t>
      </w:r>
      <w:r w:rsidR="007669F6" w:rsidRPr="00983608">
        <w:rPr>
          <w:rFonts w:ascii="Times New Roman" w:hAnsi="Times New Roman" w:cs="Times New Roman"/>
          <w:sz w:val="24"/>
          <w:szCs w:val="24"/>
        </w:rPr>
        <w:t xml:space="preserve">través de su Revista </w:t>
      </w:r>
      <w:r w:rsidR="007669F6" w:rsidRPr="00983608">
        <w:rPr>
          <w:rFonts w:ascii="Times New Roman" w:hAnsi="Times New Roman" w:cs="Times New Roman"/>
          <w:bCs/>
          <w:i/>
          <w:iCs/>
          <w:sz w:val="24"/>
          <w:szCs w:val="24"/>
        </w:rPr>
        <w:t>Lápiz de Pueblo</w:t>
      </w:r>
      <w:r w:rsidR="007669F6" w:rsidRPr="00983608">
        <w:rPr>
          <w:rFonts w:ascii="Times New Roman" w:hAnsi="Times New Roman" w:cs="Times New Roman"/>
          <w:bCs/>
          <w:iCs/>
          <w:sz w:val="24"/>
          <w:szCs w:val="24"/>
        </w:rPr>
        <w:t xml:space="preserve"> ha expuesto diferentes consideraciones sobre los derechos civiles y políticos en Venezuela</w:t>
      </w:r>
      <w:r w:rsidR="007669F6" w:rsidRPr="00983608">
        <w:rPr>
          <w:rFonts w:ascii="Times New Roman" w:hAnsi="Times New Roman" w:cs="Times New Roman"/>
          <w:bCs/>
          <w:sz w:val="24"/>
          <w:szCs w:val="24"/>
        </w:rPr>
        <w:t xml:space="preserve">. </w:t>
      </w:r>
    </w:p>
    <w:p w:rsidR="00595E52" w:rsidRDefault="00595E52" w:rsidP="00AB1B89">
      <w:pPr>
        <w:spacing w:before="120" w:after="120" w:line="240" w:lineRule="auto"/>
        <w:jc w:val="both"/>
        <w:rPr>
          <w:rFonts w:ascii="Times New Roman" w:hAnsi="Times New Roman" w:cs="Times New Roman"/>
          <w:b/>
          <w:sz w:val="20"/>
        </w:rPr>
      </w:pPr>
    </w:p>
    <w:p w:rsidR="00AB1B89" w:rsidRPr="00B22B05" w:rsidRDefault="00AB1B89" w:rsidP="00AB1B89">
      <w:pPr>
        <w:spacing w:before="120" w:after="120" w:line="240" w:lineRule="auto"/>
        <w:jc w:val="both"/>
        <w:rPr>
          <w:rFonts w:ascii="Times New Roman" w:hAnsi="Times New Roman" w:cs="Times New Roman"/>
          <w:iCs/>
          <w:color w:val="4A442A" w:themeColor="background2" w:themeShade="40"/>
          <w:sz w:val="24"/>
          <w:szCs w:val="24"/>
          <w:lang w:val="es-MX"/>
        </w:rPr>
      </w:pPr>
      <w:r w:rsidRPr="00EA7A1F">
        <w:rPr>
          <w:rFonts w:ascii="Times New Roman" w:hAnsi="Times New Roman" w:cs="Times New Roman"/>
          <w:b/>
          <w:sz w:val="20"/>
        </w:rPr>
        <w:lastRenderedPageBreak/>
        <w:t>Campaña Sin memoria no hay Justicia</w:t>
      </w:r>
    </w:p>
    <w:p w:rsidR="00AB1B89" w:rsidRDefault="00E717FA" w:rsidP="00A61BB9">
      <w:pPr>
        <w:spacing w:before="120" w:after="120" w:line="240" w:lineRule="auto"/>
        <w:jc w:val="both"/>
        <w:rPr>
          <w:rFonts w:ascii="Times New Roman" w:hAnsi="Times New Roman" w:cs="Times New Roman"/>
          <w:iCs/>
          <w:spacing w:val="-2"/>
          <w:sz w:val="24"/>
          <w:szCs w:val="24"/>
          <w:lang w:val="es-MX"/>
        </w:rPr>
      </w:pPr>
      <w:r>
        <w:rPr>
          <w:rFonts w:ascii="Times New Roman" w:hAnsi="Times New Roman" w:cs="Times New Roman"/>
          <w:iCs/>
          <w:sz w:val="24"/>
          <w:szCs w:val="24"/>
          <w:lang w:val="es-MX"/>
        </w:rPr>
        <w:t>5</w:t>
      </w:r>
      <w:r w:rsidR="00595E52">
        <w:rPr>
          <w:rFonts w:ascii="Times New Roman" w:hAnsi="Times New Roman" w:cs="Times New Roman"/>
          <w:iCs/>
          <w:sz w:val="24"/>
          <w:szCs w:val="24"/>
          <w:lang w:val="es-MX"/>
        </w:rPr>
        <w:t>5</w:t>
      </w:r>
      <w:r w:rsidR="00072195" w:rsidRPr="00983608">
        <w:rPr>
          <w:rFonts w:ascii="Times New Roman" w:hAnsi="Times New Roman" w:cs="Times New Roman"/>
          <w:iCs/>
          <w:sz w:val="24"/>
          <w:szCs w:val="24"/>
          <w:lang w:val="es-MX"/>
        </w:rPr>
        <w:t xml:space="preserve">. </w:t>
      </w:r>
      <w:r w:rsidR="00AB1B89" w:rsidRPr="00983608">
        <w:rPr>
          <w:rFonts w:ascii="Times New Roman" w:hAnsi="Times New Roman" w:cs="Times New Roman"/>
          <w:iCs/>
          <w:sz w:val="24"/>
          <w:szCs w:val="24"/>
          <w:lang w:val="es-MX"/>
        </w:rPr>
        <w:t xml:space="preserve">Sin memoria no hay Justicia, es una campaña que impulsa la Defensoría del Pueblo, con el propósito de testimoniar los sucesos trágicos que marcaron la historia política y social </w:t>
      </w:r>
      <w:r w:rsidR="00A61BB9" w:rsidRPr="00983608">
        <w:rPr>
          <w:rFonts w:ascii="Times New Roman" w:hAnsi="Times New Roman" w:cs="Times New Roman"/>
          <w:iCs/>
          <w:sz w:val="24"/>
          <w:szCs w:val="24"/>
          <w:lang w:val="es-MX"/>
        </w:rPr>
        <w:t xml:space="preserve">de Venezuela </w:t>
      </w:r>
      <w:r w:rsidR="00AB1B89" w:rsidRPr="00983608">
        <w:rPr>
          <w:rFonts w:ascii="Times New Roman" w:hAnsi="Times New Roman" w:cs="Times New Roman"/>
          <w:iCs/>
          <w:sz w:val="24"/>
          <w:szCs w:val="24"/>
          <w:lang w:val="es-MX"/>
        </w:rPr>
        <w:t>durante las décadas 60</w:t>
      </w:r>
      <w:r w:rsidR="00A61BB9" w:rsidRPr="00983608">
        <w:rPr>
          <w:rFonts w:ascii="Times New Roman" w:hAnsi="Times New Roman" w:cs="Times New Roman"/>
          <w:iCs/>
          <w:sz w:val="24"/>
          <w:szCs w:val="24"/>
          <w:lang w:val="es-MX"/>
        </w:rPr>
        <w:t xml:space="preserve"> a </w:t>
      </w:r>
      <w:r w:rsidR="00AB1B89" w:rsidRPr="00983608">
        <w:rPr>
          <w:rFonts w:ascii="Times New Roman" w:hAnsi="Times New Roman" w:cs="Times New Roman"/>
          <w:iCs/>
          <w:sz w:val="24"/>
          <w:szCs w:val="24"/>
          <w:lang w:val="es-MX"/>
        </w:rPr>
        <w:t>90 del siglo XX. Para tal fin se realiza</w:t>
      </w:r>
      <w:r w:rsidR="00A61BB9" w:rsidRPr="00983608">
        <w:rPr>
          <w:rFonts w:ascii="Times New Roman" w:hAnsi="Times New Roman" w:cs="Times New Roman"/>
          <w:iCs/>
          <w:sz w:val="24"/>
          <w:szCs w:val="24"/>
          <w:lang w:val="es-MX"/>
        </w:rPr>
        <w:t>ro</w:t>
      </w:r>
      <w:r w:rsidR="00AB1B89" w:rsidRPr="00983608">
        <w:rPr>
          <w:rFonts w:ascii="Times New Roman" w:hAnsi="Times New Roman" w:cs="Times New Roman"/>
          <w:iCs/>
          <w:sz w:val="24"/>
          <w:szCs w:val="24"/>
          <w:lang w:val="es-MX"/>
        </w:rPr>
        <w:t xml:space="preserve">n investigaciones </w:t>
      </w:r>
      <w:r w:rsidR="00A61BB9" w:rsidRPr="00983608">
        <w:rPr>
          <w:rFonts w:ascii="Times New Roman" w:hAnsi="Times New Roman" w:cs="Times New Roman"/>
          <w:iCs/>
          <w:sz w:val="24"/>
          <w:szCs w:val="24"/>
          <w:lang w:val="es-MX"/>
        </w:rPr>
        <w:t>documentadas</w:t>
      </w:r>
      <w:r w:rsidR="00AB1B89" w:rsidRPr="00983608">
        <w:rPr>
          <w:rFonts w:ascii="Times New Roman" w:hAnsi="Times New Roman" w:cs="Times New Roman"/>
          <w:iCs/>
          <w:sz w:val="24"/>
          <w:szCs w:val="24"/>
          <w:lang w:val="es-MX"/>
        </w:rPr>
        <w:t xml:space="preserve"> </w:t>
      </w:r>
      <w:r w:rsidR="00A61BB9" w:rsidRPr="00983608">
        <w:rPr>
          <w:rFonts w:ascii="Times New Roman" w:hAnsi="Times New Roman" w:cs="Times New Roman"/>
          <w:iCs/>
          <w:sz w:val="24"/>
          <w:szCs w:val="24"/>
          <w:lang w:val="es-MX"/>
        </w:rPr>
        <w:t xml:space="preserve">con referencias hemerográficas y </w:t>
      </w:r>
      <w:r w:rsidR="00AB1B89" w:rsidRPr="00983608">
        <w:rPr>
          <w:rFonts w:ascii="Times New Roman" w:hAnsi="Times New Roman" w:cs="Times New Roman"/>
          <w:iCs/>
          <w:sz w:val="24"/>
          <w:szCs w:val="24"/>
          <w:lang w:val="es-MX"/>
        </w:rPr>
        <w:t>con el apoyo pleno de famil</w:t>
      </w:r>
      <w:r w:rsidR="00A61BB9" w:rsidRPr="00983608">
        <w:rPr>
          <w:rFonts w:ascii="Times New Roman" w:hAnsi="Times New Roman" w:cs="Times New Roman"/>
          <w:iCs/>
          <w:sz w:val="24"/>
          <w:szCs w:val="24"/>
          <w:lang w:val="es-MX"/>
        </w:rPr>
        <w:t>iares y víctimas sobrevivientes</w:t>
      </w:r>
      <w:r w:rsidR="00AB1B89" w:rsidRPr="00983608">
        <w:rPr>
          <w:rFonts w:ascii="Times New Roman" w:hAnsi="Times New Roman" w:cs="Times New Roman"/>
          <w:iCs/>
          <w:sz w:val="24"/>
          <w:szCs w:val="24"/>
          <w:lang w:val="es-MX"/>
        </w:rPr>
        <w:t xml:space="preserve">. </w:t>
      </w:r>
      <w:r w:rsidR="00AB1B89" w:rsidRPr="00983608">
        <w:rPr>
          <w:rFonts w:ascii="Times New Roman" w:hAnsi="Times New Roman" w:cs="Times New Roman"/>
          <w:sz w:val="24"/>
        </w:rPr>
        <w:t xml:space="preserve">En este marco, la DdP y la Fundación Editorial </w:t>
      </w:r>
      <w:r w:rsidR="00A61BB9" w:rsidRPr="00983608">
        <w:rPr>
          <w:rFonts w:ascii="Times New Roman" w:hAnsi="Times New Roman" w:cs="Times New Roman"/>
          <w:sz w:val="24"/>
        </w:rPr>
        <w:t>E</w:t>
      </w:r>
      <w:r w:rsidR="00AB1B89" w:rsidRPr="00983608">
        <w:rPr>
          <w:rFonts w:ascii="Times New Roman" w:hAnsi="Times New Roman" w:cs="Times New Roman"/>
          <w:sz w:val="24"/>
        </w:rPr>
        <w:t xml:space="preserve">l </w:t>
      </w:r>
      <w:r w:rsidR="00A61BB9" w:rsidRPr="00983608">
        <w:rPr>
          <w:rFonts w:ascii="Times New Roman" w:hAnsi="Times New Roman" w:cs="Times New Roman"/>
          <w:sz w:val="24"/>
        </w:rPr>
        <w:t>P</w:t>
      </w:r>
      <w:r w:rsidR="00AB1B89" w:rsidRPr="00983608">
        <w:rPr>
          <w:rFonts w:ascii="Times New Roman" w:hAnsi="Times New Roman" w:cs="Times New Roman"/>
          <w:sz w:val="24"/>
        </w:rPr>
        <w:t xml:space="preserve">erro y </w:t>
      </w:r>
      <w:r w:rsidR="00A61BB9" w:rsidRPr="00983608">
        <w:rPr>
          <w:rFonts w:ascii="Times New Roman" w:hAnsi="Times New Roman" w:cs="Times New Roman"/>
          <w:sz w:val="24"/>
        </w:rPr>
        <w:t>L</w:t>
      </w:r>
      <w:r w:rsidR="00AB1B89" w:rsidRPr="00983608">
        <w:rPr>
          <w:rFonts w:ascii="Times New Roman" w:hAnsi="Times New Roman" w:cs="Times New Roman"/>
          <w:sz w:val="24"/>
        </w:rPr>
        <w:t xml:space="preserve">a </w:t>
      </w:r>
      <w:r w:rsidR="00A61BB9" w:rsidRPr="00983608">
        <w:rPr>
          <w:rFonts w:ascii="Times New Roman" w:hAnsi="Times New Roman" w:cs="Times New Roman"/>
          <w:sz w:val="24"/>
        </w:rPr>
        <w:t>R</w:t>
      </w:r>
      <w:r w:rsidR="00AB1B89" w:rsidRPr="00983608">
        <w:rPr>
          <w:rFonts w:ascii="Times New Roman" w:hAnsi="Times New Roman" w:cs="Times New Roman"/>
          <w:sz w:val="24"/>
        </w:rPr>
        <w:t>ana, presentaron la publicación “</w:t>
      </w:r>
      <w:r w:rsidR="00AB1B89" w:rsidRPr="00983608">
        <w:rPr>
          <w:rFonts w:ascii="Times New Roman" w:hAnsi="Times New Roman" w:cs="Times New Roman"/>
          <w:bCs/>
          <w:i/>
          <w:sz w:val="24"/>
        </w:rPr>
        <w:t>La lucha social y la lucha armada en Venezuela</w:t>
      </w:r>
      <w:r w:rsidR="00A61BB9" w:rsidRPr="00983608">
        <w:rPr>
          <w:rFonts w:ascii="Times New Roman" w:hAnsi="Times New Roman" w:cs="Times New Roman"/>
          <w:bCs/>
          <w:sz w:val="24"/>
        </w:rPr>
        <w:t>”</w:t>
      </w:r>
      <w:r w:rsidR="00A61BB9" w:rsidRPr="00983608">
        <w:rPr>
          <w:rFonts w:ascii="Times New Roman" w:hAnsi="Times New Roman" w:cs="Times New Roman"/>
          <w:sz w:val="24"/>
        </w:rPr>
        <w:t xml:space="preserve">, </w:t>
      </w:r>
      <w:r w:rsidR="00A61BB9" w:rsidRPr="00983608">
        <w:rPr>
          <w:rFonts w:ascii="Times New Roman" w:hAnsi="Times New Roman" w:cs="Times New Roman"/>
          <w:sz w:val="24"/>
          <w:szCs w:val="24"/>
        </w:rPr>
        <w:t xml:space="preserve">así como </w:t>
      </w:r>
      <w:r w:rsidR="00A61BB9" w:rsidRPr="00983608">
        <w:rPr>
          <w:rFonts w:ascii="Times New Roman" w:hAnsi="Times New Roman" w:cs="Times New Roman"/>
          <w:iCs/>
          <w:spacing w:val="-2"/>
          <w:sz w:val="24"/>
          <w:szCs w:val="24"/>
          <w:lang w:val="es-MX"/>
        </w:rPr>
        <w:t>los libros “</w:t>
      </w:r>
      <w:r w:rsidR="00A61BB9" w:rsidRPr="00983608">
        <w:rPr>
          <w:rFonts w:ascii="Times New Roman" w:hAnsi="Times New Roman" w:cs="Times New Roman"/>
          <w:i/>
          <w:iCs/>
          <w:spacing w:val="-2"/>
          <w:sz w:val="24"/>
          <w:szCs w:val="24"/>
          <w:lang w:val="es-MX"/>
        </w:rPr>
        <w:t>Violación sistemática de los Derechos Humanos en Venezuela 1958-1998</w:t>
      </w:r>
      <w:r w:rsidR="00A61BB9" w:rsidRPr="00983608">
        <w:rPr>
          <w:rFonts w:ascii="Times New Roman" w:hAnsi="Times New Roman" w:cs="Times New Roman"/>
          <w:iCs/>
          <w:spacing w:val="-2"/>
          <w:sz w:val="24"/>
          <w:szCs w:val="24"/>
          <w:lang w:val="es-MX"/>
        </w:rPr>
        <w:t>”; “</w:t>
      </w:r>
      <w:r w:rsidR="00A61BB9" w:rsidRPr="00983608">
        <w:rPr>
          <w:rFonts w:ascii="Times New Roman" w:hAnsi="Times New Roman" w:cs="Times New Roman"/>
          <w:i/>
          <w:iCs/>
          <w:spacing w:val="-2"/>
          <w:sz w:val="24"/>
          <w:szCs w:val="24"/>
          <w:lang w:val="es-MX"/>
        </w:rPr>
        <w:t>Guerra y Millán: La masacre del Liceo Sanz</w:t>
      </w:r>
      <w:r w:rsidR="00A61BB9" w:rsidRPr="00983608">
        <w:rPr>
          <w:rFonts w:ascii="Times New Roman" w:hAnsi="Times New Roman" w:cs="Times New Roman"/>
          <w:iCs/>
          <w:spacing w:val="-2"/>
          <w:sz w:val="24"/>
          <w:szCs w:val="24"/>
          <w:lang w:val="es-MX"/>
        </w:rPr>
        <w:t xml:space="preserve">”. </w:t>
      </w:r>
      <w:r w:rsidR="00A61BB9" w:rsidRPr="00983608">
        <w:rPr>
          <w:rFonts w:ascii="Times New Roman" w:hAnsi="Times New Roman" w:cs="Times New Roman"/>
          <w:i/>
          <w:iCs/>
          <w:spacing w:val="-2"/>
          <w:sz w:val="24"/>
          <w:szCs w:val="24"/>
          <w:lang w:val="es-MX"/>
        </w:rPr>
        <w:t>Maturín 1962</w:t>
      </w:r>
      <w:r w:rsidR="00A61BB9" w:rsidRPr="00983608">
        <w:rPr>
          <w:rFonts w:ascii="Times New Roman" w:hAnsi="Times New Roman" w:cs="Times New Roman"/>
          <w:iCs/>
          <w:spacing w:val="-2"/>
          <w:sz w:val="24"/>
          <w:szCs w:val="24"/>
          <w:lang w:val="es-MX"/>
        </w:rPr>
        <w:t>”; y “</w:t>
      </w:r>
      <w:r w:rsidR="00A61BB9" w:rsidRPr="00983608">
        <w:rPr>
          <w:rFonts w:ascii="Times New Roman" w:hAnsi="Times New Roman" w:cs="Times New Roman"/>
          <w:i/>
          <w:iCs/>
          <w:spacing w:val="-2"/>
          <w:sz w:val="24"/>
          <w:szCs w:val="24"/>
          <w:lang w:val="es-MX"/>
        </w:rPr>
        <w:t>La masacre de Cantaura. 30 años</w:t>
      </w:r>
      <w:r w:rsidR="00A61BB9" w:rsidRPr="00983608">
        <w:rPr>
          <w:rFonts w:ascii="Times New Roman" w:hAnsi="Times New Roman" w:cs="Times New Roman"/>
          <w:iCs/>
          <w:spacing w:val="-2"/>
          <w:sz w:val="24"/>
          <w:szCs w:val="24"/>
          <w:lang w:val="es-MX"/>
        </w:rPr>
        <w:t>”.</w:t>
      </w:r>
    </w:p>
    <w:p w:rsidR="002A7F45" w:rsidRPr="000A58D5" w:rsidRDefault="002A7F45" w:rsidP="008B6113">
      <w:pPr>
        <w:spacing w:before="120" w:after="120" w:line="240" w:lineRule="auto"/>
        <w:jc w:val="both"/>
        <w:rPr>
          <w:rFonts w:ascii="Times New Roman" w:hAnsi="Times New Roman" w:cs="Times New Roman"/>
          <w:b/>
          <w:sz w:val="20"/>
        </w:rPr>
      </w:pPr>
      <w:r w:rsidRPr="000A58D5">
        <w:rPr>
          <w:rFonts w:ascii="Times New Roman" w:hAnsi="Times New Roman" w:cs="Times New Roman"/>
          <w:b/>
          <w:sz w:val="20"/>
        </w:rPr>
        <w:t xml:space="preserve">Participación en </w:t>
      </w:r>
      <w:r w:rsidR="00983608">
        <w:rPr>
          <w:rFonts w:ascii="Times New Roman" w:hAnsi="Times New Roman" w:cs="Times New Roman"/>
          <w:b/>
          <w:sz w:val="20"/>
        </w:rPr>
        <w:t>espacios interinstitucionales</w:t>
      </w:r>
    </w:p>
    <w:p w:rsidR="006B757E" w:rsidRPr="00983608" w:rsidRDefault="00E717FA" w:rsidP="006B757E">
      <w:pPr>
        <w:spacing w:before="120" w:after="120" w:line="240" w:lineRule="auto"/>
        <w:jc w:val="both"/>
        <w:rPr>
          <w:rFonts w:ascii="Times New Roman" w:hAnsi="Times New Roman" w:cs="Times New Roman"/>
          <w:sz w:val="24"/>
          <w:szCs w:val="24"/>
          <w:lang w:val="es-ES_tradnl"/>
        </w:rPr>
      </w:pPr>
      <w:r>
        <w:rPr>
          <w:rFonts w:ascii="Times New Roman" w:hAnsi="Times New Roman" w:cs="Times New Roman"/>
          <w:sz w:val="24"/>
          <w:szCs w:val="24"/>
          <w:lang w:val="es-ES_tradnl"/>
        </w:rPr>
        <w:t>5</w:t>
      </w:r>
      <w:r w:rsidR="00595E52">
        <w:rPr>
          <w:rFonts w:ascii="Times New Roman" w:hAnsi="Times New Roman" w:cs="Times New Roman"/>
          <w:sz w:val="24"/>
          <w:szCs w:val="24"/>
          <w:lang w:val="es-ES_tradnl"/>
        </w:rPr>
        <w:t>6</w:t>
      </w:r>
      <w:r w:rsidR="00072195" w:rsidRPr="00983608">
        <w:rPr>
          <w:rFonts w:ascii="Times New Roman" w:hAnsi="Times New Roman" w:cs="Times New Roman"/>
          <w:sz w:val="24"/>
          <w:szCs w:val="24"/>
          <w:lang w:val="es-ES_tradnl"/>
        </w:rPr>
        <w:t xml:space="preserve">. </w:t>
      </w:r>
      <w:r w:rsidR="006B757E" w:rsidRPr="00983608">
        <w:rPr>
          <w:rFonts w:ascii="Times New Roman" w:hAnsi="Times New Roman" w:cs="Times New Roman"/>
          <w:sz w:val="24"/>
          <w:szCs w:val="24"/>
          <w:lang w:val="es-ES_tradnl"/>
        </w:rPr>
        <w:t xml:space="preserve">La </w:t>
      </w:r>
      <w:r w:rsidR="00166CBF" w:rsidRPr="00983608">
        <w:rPr>
          <w:rFonts w:ascii="Times New Roman" w:hAnsi="Times New Roman" w:cs="Times New Roman"/>
          <w:sz w:val="24"/>
          <w:szCs w:val="24"/>
          <w:lang w:val="es-ES_tradnl"/>
        </w:rPr>
        <w:t xml:space="preserve">DdP ha venido participando en la </w:t>
      </w:r>
      <w:r w:rsidR="006B757E" w:rsidRPr="00983608">
        <w:rPr>
          <w:rFonts w:ascii="Times New Roman" w:hAnsi="Times New Roman" w:cs="Times New Roman"/>
          <w:sz w:val="24"/>
          <w:szCs w:val="24"/>
          <w:lang w:val="es-ES_tradnl"/>
        </w:rPr>
        <w:t xml:space="preserve">Mesa Técnica Interinstitucional de Población y Desarrollo </w:t>
      </w:r>
      <w:r w:rsidR="00845A6C" w:rsidRPr="00983608">
        <w:rPr>
          <w:rFonts w:ascii="Times New Roman" w:hAnsi="Times New Roman" w:cs="Times New Roman"/>
          <w:sz w:val="24"/>
          <w:szCs w:val="24"/>
          <w:lang w:val="es-ES_tradnl"/>
        </w:rPr>
        <w:t>promovida por</w:t>
      </w:r>
      <w:r w:rsidR="00166CBF" w:rsidRPr="00983608">
        <w:rPr>
          <w:rFonts w:ascii="Times New Roman" w:hAnsi="Times New Roman" w:cs="Times New Roman"/>
          <w:sz w:val="24"/>
          <w:szCs w:val="24"/>
          <w:lang w:val="es-ES_tradnl"/>
        </w:rPr>
        <w:t xml:space="preserve"> el Ministerio del Poder Popular para Planificación y Finanzas y el </w:t>
      </w:r>
      <w:r w:rsidR="00845A6C" w:rsidRPr="00983608">
        <w:rPr>
          <w:rFonts w:ascii="Times New Roman" w:hAnsi="Times New Roman" w:cs="Times New Roman"/>
          <w:sz w:val="24"/>
          <w:szCs w:val="24"/>
          <w:lang w:val="es-ES_tradnl"/>
        </w:rPr>
        <w:t>Fondo de Población de las Naciones Unidas (UNFPA), la cual se define como</w:t>
      </w:r>
      <w:r w:rsidR="006B757E" w:rsidRPr="00983608">
        <w:rPr>
          <w:rFonts w:ascii="Times New Roman" w:hAnsi="Times New Roman" w:cs="Times New Roman"/>
          <w:sz w:val="24"/>
          <w:szCs w:val="24"/>
          <w:lang w:val="es-ES_tradnl"/>
        </w:rPr>
        <w:t xml:space="preserve"> un espacio permanente de diálogo y fortalecimiento de las capacidades de las instituciones que hacen vida en el ámbito de lo público para el análisis de las tendencias demográficas del país y su vinculación con las áreas económicas, sociales, culturales y políticas desde los enfoques de género, derechos humanos, ciclo de vida, etnicidad, participación comunitaria y desarrollo local, para su incorporación en los planes de desarrollo y en los procesos de instrumentación de políticas públicas.</w:t>
      </w:r>
    </w:p>
    <w:p w:rsidR="00C94609" w:rsidRPr="00983608" w:rsidRDefault="00E717FA" w:rsidP="008B6113">
      <w:pPr>
        <w:spacing w:before="120" w:after="120" w:line="240" w:lineRule="auto"/>
        <w:jc w:val="both"/>
        <w:rPr>
          <w:rFonts w:ascii="Times New Roman" w:hAnsi="Times New Roman" w:cs="Times New Roman"/>
          <w:sz w:val="24"/>
          <w:szCs w:val="24"/>
          <w:lang w:val="es-ES_tradnl"/>
        </w:rPr>
      </w:pPr>
      <w:r>
        <w:rPr>
          <w:rFonts w:ascii="Times New Roman" w:hAnsi="Times New Roman" w:cs="Times New Roman"/>
          <w:sz w:val="24"/>
          <w:szCs w:val="24"/>
          <w:lang w:val="es-ES_tradnl"/>
        </w:rPr>
        <w:t>5</w:t>
      </w:r>
      <w:r w:rsidR="00595E52">
        <w:rPr>
          <w:rFonts w:ascii="Times New Roman" w:hAnsi="Times New Roman" w:cs="Times New Roman"/>
          <w:sz w:val="24"/>
          <w:szCs w:val="24"/>
          <w:lang w:val="es-ES_tradnl"/>
        </w:rPr>
        <w:t>7</w:t>
      </w:r>
      <w:r w:rsidR="00072195" w:rsidRPr="00983608">
        <w:rPr>
          <w:rFonts w:ascii="Times New Roman" w:hAnsi="Times New Roman" w:cs="Times New Roman"/>
          <w:sz w:val="24"/>
          <w:szCs w:val="24"/>
          <w:lang w:val="es-ES_tradnl"/>
        </w:rPr>
        <w:t xml:space="preserve">. </w:t>
      </w:r>
      <w:r w:rsidR="00845A6C" w:rsidRPr="00983608">
        <w:rPr>
          <w:rFonts w:ascii="Times New Roman" w:hAnsi="Times New Roman" w:cs="Times New Roman"/>
          <w:sz w:val="24"/>
          <w:szCs w:val="24"/>
          <w:lang w:val="es-ES_tradnl"/>
        </w:rPr>
        <w:t xml:space="preserve">A su vez, participa activamente en las </w:t>
      </w:r>
      <w:r w:rsidR="008B6113" w:rsidRPr="00983608">
        <w:rPr>
          <w:rFonts w:ascii="Times New Roman" w:hAnsi="Times New Roman" w:cs="Times New Roman"/>
          <w:sz w:val="24"/>
          <w:szCs w:val="24"/>
          <w:lang w:val="es-ES_tradnl"/>
        </w:rPr>
        <w:t xml:space="preserve">Mesas de Trabajo </w:t>
      </w:r>
      <w:r w:rsidR="00845A6C" w:rsidRPr="00983608">
        <w:rPr>
          <w:rFonts w:ascii="Times New Roman" w:hAnsi="Times New Roman" w:cs="Times New Roman"/>
          <w:sz w:val="24"/>
          <w:szCs w:val="24"/>
          <w:lang w:val="es-ES_tradnl"/>
        </w:rPr>
        <w:t>de los Subcomités de Estadísticas de Niños, Niñas, Adolescentes y Jóvenes y de Género</w:t>
      </w:r>
      <w:r w:rsidR="00B56EDD">
        <w:rPr>
          <w:rFonts w:ascii="Times New Roman" w:hAnsi="Times New Roman" w:cs="Times New Roman"/>
          <w:sz w:val="24"/>
          <w:szCs w:val="24"/>
          <w:lang w:val="es-ES_tradnl"/>
        </w:rPr>
        <w:t>, dirigidas por el Instituto Nacional de Estadística (INE)</w:t>
      </w:r>
      <w:r w:rsidR="00845A6C" w:rsidRPr="00983608">
        <w:rPr>
          <w:rFonts w:ascii="Times New Roman" w:hAnsi="Times New Roman" w:cs="Times New Roman"/>
          <w:sz w:val="24"/>
          <w:szCs w:val="24"/>
          <w:lang w:val="es-ES_tradnl"/>
        </w:rPr>
        <w:t xml:space="preserve">. Entre los </w:t>
      </w:r>
      <w:r w:rsidR="008B6113" w:rsidRPr="00983608">
        <w:rPr>
          <w:rFonts w:ascii="Times New Roman" w:hAnsi="Times New Roman" w:cs="Times New Roman"/>
          <w:sz w:val="24"/>
          <w:szCs w:val="24"/>
          <w:lang w:val="es-ES_tradnl"/>
        </w:rPr>
        <w:t>aportes</w:t>
      </w:r>
      <w:r w:rsidR="00845A6C" w:rsidRPr="00983608">
        <w:rPr>
          <w:rFonts w:ascii="Times New Roman" w:hAnsi="Times New Roman" w:cs="Times New Roman"/>
          <w:sz w:val="24"/>
          <w:szCs w:val="24"/>
          <w:lang w:val="es-ES_tradnl"/>
        </w:rPr>
        <w:t xml:space="preserve"> relevantes de la DdP ante estos </w:t>
      </w:r>
      <w:r w:rsidR="008B6113" w:rsidRPr="00983608">
        <w:rPr>
          <w:rFonts w:ascii="Times New Roman" w:hAnsi="Times New Roman" w:cs="Times New Roman"/>
          <w:sz w:val="24"/>
          <w:szCs w:val="24"/>
          <w:lang w:val="es-ES_tradnl"/>
        </w:rPr>
        <w:t>Subcomité</w:t>
      </w:r>
      <w:r w:rsidR="00845A6C" w:rsidRPr="00983608">
        <w:rPr>
          <w:rFonts w:ascii="Times New Roman" w:hAnsi="Times New Roman" w:cs="Times New Roman"/>
          <w:sz w:val="24"/>
          <w:szCs w:val="24"/>
          <w:lang w:val="es-ES_tradnl"/>
        </w:rPr>
        <w:t>s</w:t>
      </w:r>
      <w:r w:rsidR="007A0A7D" w:rsidRPr="00983608">
        <w:rPr>
          <w:rFonts w:ascii="Times New Roman" w:hAnsi="Times New Roman" w:cs="Times New Roman"/>
          <w:sz w:val="24"/>
          <w:szCs w:val="24"/>
          <w:lang w:val="es-ES_tradnl"/>
        </w:rPr>
        <w:t>,</w:t>
      </w:r>
      <w:r w:rsidR="008B6113" w:rsidRPr="00983608">
        <w:rPr>
          <w:rFonts w:ascii="Times New Roman" w:hAnsi="Times New Roman" w:cs="Times New Roman"/>
          <w:sz w:val="24"/>
          <w:szCs w:val="24"/>
          <w:lang w:val="es-ES_tradnl"/>
        </w:rPr>
        <w:t xml:space="preserve"> </w:t>
      </w:r>
      <w:r w:rsidR="00845A6C" w:rsidRPr="00983608">
        <w:rPr>
          <w:rFonts w:ascii="Times New Roman" w:hAnsi="Times New Roman" w:cs="Times New Roman"/>
          <w:sz w:val="24"/>
          <w:szCs w:val="24"/>
          <w:lang w:val="es-ES_tradnl"/>
        </w:rPr>
        <w:t>se encuentran la</w:t>
      </w:r>
      <w:r w:rsidR="008B6113" w:rsidRPr="00983608">
        <w:rPr>
          <w:rFonts w:ascii="Times New Roman" w:hAnsi="Times New Roman" w:cs="Times New Roman"/>
          <w:sz w:val="24"/>
          <w:szCs w:val="24"/>
          <w:lang w:val="es-ES_tradnl"/>
        </w:rPr>
        <w:t xml:space="preserve"> </w:t>
      </w:r>
      <w:r w:rsidR="008B6113" w:rsidRPr="00983608">
        <w:rPr>
          <w:rFonts w:ascii="Times New Roman" w:hAnsi="Times New Roman" w:cs="Times New Roman"/>
          <w:i/>
          <w:sz w:val="24"/>
          <w:szCs w:val="24"/>
          <w:lang w:val="es-ES_tradnl"/>
        </w:rPr>
        <w:t>Formulación de Indicadores de derechos civiles y políticos</w:t>
      </w:r>
      <w:r w:rsidR="00845A6C" w:rsidRPr="00983608">
        <w:rPr>
          <w:rFonts w:ascii="Times New Roman" w:hAnsi="Times New Roman" w:cs="Times New Roman"/>
          <w:i/>
          <w:sz w:val="24"/>
          <w:szCs w:val="24"/>
          <w:lang w:val="es-ES_tradnl"/>
        </w:rPr>
        <w:t xml:space="preserve"> de niños, niñas, adolescentes y jóvenes</w:t>
      </w:r>
      <w:r w:rsidR="00845A6C" w:rsidRPr="00983608">
        <w:rPr>
          <w:rFonts w:ascii="Times New Roman" w:hAnsi="Times New Roman" w:cs="Times New Roman"/>
          <w:sz w:val="24"/>
          <w:szCs w:val="24"/>
          <w:lang w:val="es-ES_tradnl"/>
        </w:rPr>
        <w:t xml:space="preserve">, y </w:t>
      </w:r>
      <w:r w:rsidR="007A0A7D" w:rsidRPr="00983608">
        <w:rPr>
          <w:rFonts w:ascii="Times New Roman" w:hAnsi="Times New Roman" w:cs="Times New Roman"/>
          <w:sz w:val="24"/>
          <w:szCs w:val="24"/>
          <w:lang w:val="es-ES_tradnl"/>
        </w:rPr>
        <w:t xml:space="preserve">el diseño y presentación de </w:t>
      </w:r>
      <w:r w:rsidR="00845A6C" w:rsidRPr="00983608">
        <w:rPr>
          <w:rFonts w:ascii="Times New Roman" w:hAnsi="Times New Roman" w:cs="Times New Roman"/>
          <w:sz w:val="24"/>
          <w:szCs w:val="24"/>
          <w:lang w:val="es-ES_tradnl"/>
        </w:rPr>
        <w:t>l</w:t>
      </w:r>
      <w:r w:rsidR="00DC3B88" w:rsidRPr="00983608">
        <w:rPr>
          <w:rFonts w:ascii="Times New Roman" w:hAnsi="Times New Roman" w:cs="Times New Roman"/>
          <w:sz w:val="24"/>
          <w:szCs w:val="24"/>
          <w:lang w:val="es-ES_tradnl"/>
        </w:rPr>
        <w:t>a</w:t>
      </w:r>
      <w:r w:rsidR="00845A6C" w:rsidRPr="00983608">
        <w:rPr>
          <w:rFonts w:ascii="Times New Roman" w:hAnsi="Times New Roman" w:cs="Times New Roman"/>
          <w:sz w:val="24"/>
          <w:szCs w:val="24"/>
          <w:lang w:val="es-ES_tradnl"/>
        </w:rPr>
        <w:t xml:space="preserve">s </w:t>
      </w:r>
      <w:r w:rsidR="00DC3B88" w:rsidRPr="00983608">
        <w:rPr>
          <w:rFonts w:ascii="Times New Roman" w:hAnsi="Times New Roman" w:cs="Times New Roman"/>
          <w:sz w:val="24"/>
          <w:szCs w:val="24"/>
          <w:lang w:val="es-ES_tradnl"/>
        </w:rPr>
        <w:t>actividades formativas “</w:t>
      </w:r>
      <w:r w:rsidR="00DC3B88" w:rsidRPr="00983608">
        <w:rPr>
          <w:rFonts w:ascii="Times New Roman" w:hAnsi="Times New Roman" w:cs="Times New Roman"/>
          <w:i/>
          <w:sz w:val="24"/>
          <w:szCs w:val="24"/>
          <w:lang w:val="es-ES_tradnl"/>
        </w:rPr>
        <w:t>Taller de Estadísticas con perspectiva de género</w:t>
      </w:r>
      <w:r w:rsidR="00DC3B88" w:rsidRPr="00983608">
        <w:rPr>
          <w:rFonts w:ascii="Times New Roman" w:hAnsi="Times New Roman" w:cs="Times New Roman"/>
          <w:sz w:val="24"/>
          <w:szCs w:val="24"/>
          <w:lang w:val="es-ES_tradnl"/>
        </w:rPr>
        <w:t>” y “</w:t>
      </w:r>
      <w:r w:rsidR="00DC3B88" w:rsidRPr="00983608">
        <w:rPr>
          <w:rFonts w:ascii="Times New Roman" w:hAnsi="Times New Roman" w:cs="Times New Roman"/>
          <w:i/>
          <w:sz w:val="24"/>
          <w:szCs w:val="24"/>
          <w:lang w:val="es-ES_tradnl"/>
        </w:rPr>
        <w:t>Taller  Construcción de Metainformación y Presentación de Indicadores</w:t>
      </w:r>
      <w:r w:rsidR="00DC3B88" w:rsidRPr="00983608">
        <w:rPr>
          <w:rFonts w:ascii="Times New Roman" w:hAnsi="Times New Roman" w:cs="Times New Roman"/>
          <w:sz w:val="24"/>
          <w:szCs w:val="24"/>
          <w:lang w:val="es-ES_tradnl"/>
        </w:rPr>
        <w:t>”.</w:t>
      </w:r>
    </w:p>
    <w:p w:rsidR="00FE5A74" w:rsidRPr="00983608" w:rsidRDefault="00E717FA" w:rsidP="006E442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595E52">
        <w:rPr>
          <w:rFonts w:ascii="Times New Roman" w:hAnsi="Times New Roman" w:cs="Times New Roman"/>
          <w:sz w:val="24"/>
          <w:szCs w:val="24"/>
        </w:rPr>
        <w:t>8</w:t>
      </w:r>
      <w:r w:rsidR="00072195" w:rsidRPr="00983608">
        <w:rPr>
          <w:rFonts w:ascii="Times New Roman" w:hAnsi="Times New Roman" w:cs="Times New Roman"/>
          <w:sz w:val="24"/>
          <w:szCs w:val="24"/>
        </w:rPr>
        <w:t xml:space="preserve">. </w:t>
      </w:r>
      <w:r w:rsidR="006E442A" w:rsidRPr="00983608">
        <w:rPr>
          <w:rFonts w:ascii="Times New Roman" w:hAnsi="Times New Roman" w:cs="Times New Roman"/>
          <w:sz w:val="24"/>
          <w:szCs w:val="24"/>
        </w:rPr>
        <w:t>La Institución tiene presencia en otros espacios interinstitucionales de los que forma parte o ha sido invitada a participar, entre ellos: la Comisión Presidencial para la Prevención y Eliminación de la Discriminación Racial y Otras Distinciones en el Sistema Educativo Venezolano, la Comisión Interinstitucional para Prevenir y Sancionar la Trata de Personas y Asistir Integralmente a las Víctimas, y ha sido jurado en el Primer y Segundo Concurso de Buenas Prácticas Policiales</w:t>
      </w:r>
      <w:r w:rsidR="00FE5A74" w:rsidRPr="00983608">
        <w:rPr>
          <w:rFonts w:ascii="Times New Roman" w:hAnsi="Times New Roman" w:cs="Times New Roman"/>
          <w:sz w:val="24"/>
          <w:szCs w:val="24"/>
        </w:rPr>
        <w:t>. En</w:t>
      </w:r>
      <w:r w:rsidR="006E442A" w:rsidRPr="00983608">
        <w:rPr>
          <w:rFonts w:ascii="Times New Roman" w:hAnsi="Times New Roman" w:cs="Times New Roman"/>
          <w:sz w:val="24"/>
          <w:szCs w:val="24"/>
        </w:rPr>
        <w:t xml:space="preserve"> el Consejo General de Policía</w:t>
      </w:r>
      <w:r w:rsidR="00FE5A74" w:rsidRPr="00983608">
        <w:rPr>
          <w:rFonts w:ascii="Times New Roman" w:hAnsi="Times New Roman" w:cs="Times New Roman"/>
          <w:sz w:val="24"/>
          <w:szCs w:val="24"/>
        </w:rPr>
        <w:t xml:space="preserve">, la DdP ha participado en la discusión y aprobación de las Resoluciones sobre el desempeño de la función policial, realizando las observaciones y recomendaciones pertinentes para fortalecer el enfoque de derechos humanos de estos instrumentos. </w:t>
      </w:r>
    </w:p>
    <w:p w:rsidR="00FE5A74" w:rsidRPr="00983608" w:rsidRDefault="00E717FA" w:rsidP="006E442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595E52">
        <w:rPr>
          <w:rFonts w:ascii="Times New Roman" w:hAnsi="Times New Roman" w:cs="Times New Roman"/>
          <w:sz w:val="24"/>
          <w:szCs w:val="24"/>
        </w:rPr>
        <w:t>9</w:t>
      </w:r>
      <w:r w:rsidR="00FE5A74" w:rsidRPr="00983608">
        <w:rPr>
          <w:rFonts w:ascii="Times New Roman" w:hAnsi="Times New Roman" w:cs="Times New Roman"/>
          <w:sz w:val="24"/>
          <w:szCs w:val="24"/>
        </w:rPr>
        <w:t>. Entre las Resoluciones debatidas y aprobadas en 2012, destacan: (i) la Resolución sobre Régimen Único de Permisos y Licencias; (</w:t>
      </w:r>
      <w:proofErr w:type="spellStart"/>
      <w:r w:rsidR="00FE5A74" w:rsidRPr="00983608">
        <w:rPr>
          <w:rFonts w:ascii="Times New Roman" w:hAnsi="Times New Roman" w:cs="Times New Roman"/>
          <w:sz w:val="24"/>
          <w:szCs w:val="24"/>
        </w:rPr>
        <w:t>ii</w:t>
      </w:r>
      <w:proofErr w:type="spellEnd"/>
      <w:r w:rsidR="00FE5A74" w:rsidRPr="00983608">
        <w:rPr>
          <w:rFonts w:ascii="Times New Roman" w:hAnsi="Times New Roman" w:cs="Times New Roman"/>
          <w:sz w:val="24"/>
          <w:szCs w:val="24"/>
        </w:rPr>
        <w:t>) las Normas sobre la Integración, Organización y Funcionamiento de los Consejos Disciplinarios del Cuerpo de Policía Nacional Bolivariana y demás Cuerpos de Policía estadales y municipales y; (</w:t>
      </w:r>
      <w:proofErr w:type="spellStart"/>
      <w:r w:rsidR="00FE5A74" w:rsidRPr="00983608">
        <w:rPr>
          <w:rFonts w:ascii="Times New Roman" w:hAnsi="Times New Roman" w:cs="Times New Roman"/>
          <w:sz w:val="24"/>
          <w:szCs w:val="24"/>
        </w:rPr>
        <w:t>iii</w:t>
      </w:r>
      <w:proofErr w:type="spellEnd"/>
      <w:r w:rsidR="00FE5A74" w:rsidRPr="00983608">
        <w:rPr>
          <w:rFonts w:ascii="Times New Roman" w:hAnsi="Times New Roman" w:cs="Times New Roman"/>
          <w:sz w:val="24"/>
          <w:szCs w:val="24"/>
        </w:rPr>
        <w:t xml:space="preserve">) las Normas y Garantías Relativas a los Derechos de las Mujeres, a la igualdad y Equidad de Género en los </w:t>
      </w:r>
      <w:r w:rsidR="00FE5A74" w:rsidRPr="00983608">
        <w:rPr>
          <w:rFonts w:ascii="Times New Roman" w:hAnsi="Times New Roman" w:cs="Times New Roman"/>
          <w:sz w:val="24"/>
          <w:szCs w:val="24"/>
        </w:rPr>
        <w:lastRenderedPageBreak/>
        <w:t>Cuerpos de Policía Nacional Bolivariana y Demás Cuerpos de Policía Estadales y Municipales.</w:t>
      </w:r>
    </w:p>
    <w:p w:rsidR="00AA3C87" w:rsidRDefault="00595E52" w:rsidP="006E442A">
      <w:pPr>
        <w:spacing w:before="120" w:after="120" w:line="240" w:lineRule="auto"/>
        <w:jc w:val="both"/>
        <w:rPr>
          <w:rFonts w:ascii="Times New Roman" w:hAnsi="Times New Roman" w:cs="Times New Roman"/>
          <w:sz w:val="24"/>
          <w:szCs w:val="24"/>
        </w:rPr>
      </w:pPr>
      <w:r w:rsidRPr="00FD497E">
        <w:rPr>
          <w:rFonts w:ascii="Times New Roman" w:hAnsi="Times New Roman" w:cs="Times New Roman"/>
          <w:sz w:val="24"/>
          <w:szCs w:val="24"/>
        </w:rPr>
        <w:t>60</w:t>
      </w:r>
      <w:r w:rsidR="00072195" w:rsidRPr="00983608">
        <w:rPr>
          <w:rFonts w:ascii="Times New Roman" w:hAnsi="Times New Roman" w:cs="Times New Roman"/>
          <w:sz w:val="24"/>
          <w:szCs w:val="24"/>
        </w:rPr>
        <w:t xml:space="preserve">. </w:t>
      </w:r>
      <w:r w:rsidR="00FE5A74" w:rsidRPr="00983608">
        <w:rPr>
          <w:rFonts w:ascii="Times New Roman" w:hAnsi="Times New Roman" w:cs="Times New Roman"/>
          <w:sz w:val="24"/>
          <w:szCs w:val="24"/>
        </w:rPr>
        <w:t>La DdP t</w:t>
      </w:r>
      <w:r w:rsidR="00072195" w:rsidRPr="00983608">
        <w:rPr>
          <w:rFonts w:ascii="Times New Roman" w:hAnsi="Times New Roman" w:cs="Times New Roman"/>
          <w:sz w:val="24"/>
          <w:szCs w:val="24"/>
        </w:rPr>
        <w:t xml:space="preserve">ambién participa en la </w:t>
      </w:r>
      <w:r w:rsidR="00AA3C87" w:rsidRPr="00983608">
        <w:rPr>
          <w:rFonts w:ascii="Times New Roman" w:hAnsi="Times New Roman" w:cs="Times New Roman"/>
          <w:sz w:val="24"/>
          <w:szCs w:val="24"/>
        </w:rPr>
        <w:t>Red de Investigadores/as y centros de producción de conocimiento en el área de se</w:t>
      </w:r>
      <w:r w:rsidR="00072195" w:rsidRPr="00983608">
        <w:rPr>
          <w:rFonts w:ascii="Times New Roman" w:hAnsi="Times New Roman" w:cs="Times New Roman"/>
          <w:sz w:val="24"/>
          <w:szCs w:val="24"/>
        </w:rPr>
        <w:t>guridad ciudadana y convivencia de la Universidad Nacional Experimental de la Seguridad</w:t>
      </w:r>
      <w:r w:rsidR="00AA3C87" w:rsidRPr="00983608">
        <w:rPr>
          <w:rFonts w:ascii="Times New Roman" w:hAnsi="Times New Roman" w:cs="Times New Roman"/>
          <w:sz w:val="24"/>
          <w:szCs w:val="24"/>
        </w:rPr>
        <w:t xml:space="preserve"> </w:t>
      </w:r>
      <w:r w:rsidR="00072195" w:rsidRPr="00983608">
        <w:rPr>
          <w:rFonts w:ascii="Times New Roman" w:hAnsi="Times New Roman" w:cs="Times New Roman"/>
          <w:sz w:val="24"/>
          <w:szCs w:val="24"/>
        </w:rPr>
        <w:t>(</w:t>
      </w:r>
      <w:r w:rsidR="00AA3C87" w:rsidRPr="00983608">
        <w:rPr>
          <w:rFonts w:ascii="Times New Roman" w:hAnsi="Times New Roman" w:cs="Times New Roman"/>
          <w:sz w:val="24"/>
          <w:szCs w:val="24"/>
        </w:rPr>
        <w:t>UNES</w:t>
      </w:r>
      <w:r w:rsidR="00072195" w:rsidRPr="00983608">
        <w:rPr>
          <w:rFonts w:ascii="Times New Roman" w:hAnsi="Times New Roman" w:cs="Times New Roman"/>
          <w:sz w:val="24"/>
          <w:szCs w:val="24"/>
        </w:rPr>
        <w:t>)</w:t>
      </w:r>
      <w:r w:rsidR="00261594" w:rsidRPr="00983608">
        <w:rPr>
          <w:rFonts w:ascii="Times New Roman" w:hAnsi="Times New Roman" w:cs="Times New Roman"/>
          <w:sz w:val="24"/>
          <w:szCs w:val="24"/>
        </w:rPr>
        <w:t>, a través del cual ha presentado sus investigaciones y avances en materia de seguimiento a las políticas de seguridad ciudadana impulsadas por el Estado venezolano en los últimos años.</w:t>
      </w:r>
    </w:p>
    <w:p w:rsidR="008A6D8C" w:rsidRPr="008A6D8C" w:rsidRDefault="00E06CBF" w:rsidP="008A6D8C">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61</w:t>
      </w:r>
      <w:r w:rsidR="00E717FA" w:rsidRPr="00E717FA">
        <w:rPr>
          <w:rFonts w:ascii="Times New Roman" w:hAnsi="Times New Roman" w:cs="Times New Roman"/>
          <w:sz w:val="24"/>
          <w:szCs w:val="24"/>
        </w:rPr>
        <w:t xml:space="preserve">. </w:t>
      </w:r>
      <w:r w:rsidR="008A6D8C" w:rsidRPr="00E717FA">
        <w:rPr>
          <w:rFonts w:ascii="Times New Roman" w:hAnsi="Times New Roman" w:cs="Times New Roman"/>
          <w:sz w:val="24"/>
          <w:szCs w:val="24"/>
        </w:rPr>
        <w:t>En 2013, la Defensoría del Pueblo en estrecha colaboración con  la Defensoría del Pueblo de la República del Ecuador, fue la anfitriona de un encuentro denominado: “</w:t>
      </w:r>
      <w:r w:rsidR="008A6D8C" w:rsidRPr="00A80BFB">
        <w:rPr>
          <w:rFonts w:ascii="Times New Roman" w:hAnsi="Times New Roman" w:cs="Times New Roman"/>
          <w:i/>
          <w:sz w:val="24"/>
          <w:szCs w:val="24"/>
        </w:rPr>
        <w:t>Seminario Internacional  La Escuela: un espacio para la paz y el buen trato</w:t>
      </w:r>
      <w:r w:rsidR="008A6D8C" w:rsidRPr="00E717FA">
        <w:rPr>
          <w:rFonts w:ascii="Times New Roman" w:hAnsi="Times New Roman" w:cs="Times New Roman"/>
          <w:sz w:val="24"/>
          <w:szCs w:val="24"/>
        </w:rPr>
        <w:t>”. Contó con la participación del Fondo de las Naciones Unidas para la Infancia (UNICEF) y  fue organizado en el marco de la Red de Instituciones Nacionales para la Promoción y Protección de los Derechos Humanos del Continente Americano, bajo el auspicio del Comité Internacional de Coordinación y la Oficina del Alto Comisionado de las Naciones Unidas para los Derechos Humanos. Allí</w:t>
      </w:r>
      <w:r w:rsidR="00D556BE">
        <w:rPr>
          <w:rFonts w:ascii="Times New Roman" w:hAnsi="Times New Roman" w:cs="Times New Roman"/>
          <w:sz w:val="24"/>
          <w:szCs w:val="24"/>
        </w:rPr>
        <w:t>,</w:t>
      </w:r>
      <w:r w:rsidR="008A6D8C" w:rsidRPr="00E717FA">
        <w:rPr>
          <w:rFonts w:ascii="Times New Roman" w:hAnsi="Times New Roman" w:cs="Times New Roman"/>
          <w:sz w:val="24"/>
          <w:szCs w:val="24"/>
        </w:rPr>
        <w:t xml:space="preserve"> intercambiaron experiencias voceros y voceras de las Instituciones Nacionales de Derechos Humanos de Argentina, Bolivia, Canadá, Colombia, Costa Rica, Chile, Ecuador, México, Nicaragua, Panamá y Venezuela, con el fin de promover el derecho que tienen los niños, niñas y adolescentes a una vida libre de violencia en el ámbito escolar.</w:t>
      </w:r>
    </w:p>
    <w:p w:rsidR="00EA7A1F" w:rsidRPr="00983608" w:rsidRDefault="00EA7A1F" w:rsidP="000A58D5">
      <w:pPr>
        <w:spacing w:before="120" w:after="120" w:line="240" w:lineRule="auto"/>
        <w:jc w:val="both"/>
        <w:rPr>
          <w:rFonts w:ascii="Times New Roman" w:hAnsi="Times New Roman" w:cs="Times New Roman"/>
          <w:b/>
          <w:sz w:val="20"/>
        </w:rPr>
      </w:pPr>
      <w:r w:rsidRPr="00983608">
        <w:rPr>
          <w:rFonts w:ascii="Times New Roman" w:hAnsi="Times New Roman" w:cs="Times New Roman"/>
          <w:b/>
          <w:sz w:val="20"/>
        </w:rPr>
        <w:t>Organización comunitaria para los Derechos Humanos</w:t>
      </w:r>
    </w:p>
    <w:p w:rsidR="000A58D5" w:rsidRPr="00983608" w:rsidRDefault="00E06CBF" w:rsidP="006E68A5">
      <w:pPr>
        <w:pStyle w:val="Ttulo52"/>
        <w:spacing w:after="120"/>
        <w:jc w:val="both"/>
      </w:pPr>
      <w:r>
        <w:rPr>
          <w:bCs/>
        </w:rPr>
        <w:t>62</w:t>
      </w:r>
      <w:r w:rsidR="00764FB5" w:rsidRPr="00983608">
        <w:rPr>
          <w:bCs/>
        </w:rPr>
        <w:t xml:space="preserve">. </w:t>
      </w:r>
      <w:r w:rsidR="00F7383D" w:rsidRPr="00983608">
        <w:rPr>
          <w:bCs/>
        </w:rPr>
        <w:t xml:space="preserve">La DdP cuenta con el </w:t>
      </w:r>
      <w:r w:rsidR="000A58D5" w:rsidRPr="00983608">
        <w:rPr>
          <w:bCs/>
        </w:rPr>
        <w:t>Programa Haciendo Comunidad para los Derechos Humanos</w:t>
      </w:r>
      <w:r w:rsidR="00F7383D" w:rsidRPr="00983608">
        <w:rPr>
          <w:bCs/>
        </w:rPr>
        <w:t>, el cual</w:t>
      </w:r>
      <w:r w:rsidR="00F7383D" w:rsidRPr="00983608">
        <w:rPr>
          <w:b/>
          <w:bCs/>
        </w:rPr>
        <w:t xml:space="preserve"> </w:t>
      </w:r>
      <w:r w:rsidR="000A58D5" w:rsidRPr="00983608">
        <w:t>representa un mecanismo para la generación de procesos de construcción colectiva de políticas y acciones para la co</w:t>
      </w:r>
      <w:r w:rsidR="00FB386C" w:rsidRPr="00983608">
        <w:t>nquista de los derechos humanos</w:t>
      </w:r>
      <w:r w:rsidR="000A58D5" w:rsidRPr="00983608">
        <w:t xml:space="preserve">. </w:t>
      </w:r>
      <w:r w:rsidR="00FB386C" w:rsidRPr="00983608">
        <w:t xml:space="preserve">Uno de los objetivos del Programa es </w:t>
      </w:r>
      <w:r w:rsidR="00FB386C" w:rsidRPr="00983608">
        <w:rPr>
          <w:i/>
        </w:rPr>
        <w:t>contribuir con el fortalecimiento y revitalización del tejido social, mediante la promoción de redes socio-institucionales para la defensa de los derechos humanos, a través de la conformación de los Consejos para la Defensa de los Derechos Humanos</w:t>
      </w:r>
      <w:r w:rsidR="00FB386C" w:rsidRPr="00983608">
        <w:t xml:space="preserve">. </w:t>
      </w:r>
      <w:r w:rsidR="000A58D5" w:rsidRPr="00983608">
        <w:t xml:space="preserve">El Programa se divide en </w:t>
      </w:r>
      <w:r w:rsidR="00FB386C" w:rsidRPr="00983608">
        <w:t>varios</w:t>
      </w:r>
      <w:r w:rsidR="000A58D5" w:rsidRPr="00983608">
        <w:t xml:space="preserve"> subprogramas: </w:t>
      </w:r>
      <w:r w:rsidR="006E68A5" w:rsidRPr="00983608">
        <w:t xml:space="preserve">Comunidades, </w:t>
      </w:r>
      <w:r w:rsidR="000A58D5" w:rsidRPr="00983608">
        <w:t>Penitenciario</w:t>
      </w:r>
      <w:r w:rsidR="006E68A5" w:rsidRPr="00983608">
        <w:t xml:space="preserve"> e Indígena</w:t>
      </w:r>
      <w:r w:rsidR="006E68A5" w:rsidRPr="00983608">
        <w:rPr>
          <w:rStyle w:val="Refdenotaalpie"/>
        </w:rPr>
        <w:footnoteReference w:id="23"/>
      </w:r>
      <w:r w:rsidR="000A58D5" w:rsidRPr="00983608">
        <w:t xml:space="preserve">. </w:t>
      </w:r>
    </w:p>
    <w:p w:rsidR="00AA3C87" w:rsidRPr="0093307D" w:rsidRDefault="00AA3C87" w:rsidP="00AA3C87">
      <w:pPr>
        <w:spacing w:before="120" w:after="120" w:line="240" w:lineRule="auto"/>
        <w:jc w:val="both"/>
        <w:rPr>
          <w:rFonts w:ascii="Times New Roman" w:hAnsi="Times New Roman" w:cs="Times New Roman"/>
          <w:b/>
          <w:sz w:val="20"/>
        </w:rPr>
      </w:pPr>
      <w:r w:rsidRPr="0093307D">
        <w:rPr>
          <w:rFonts w:ascii="Times New Roman" w:hAnsi="Times New Roman" w:cs="Times New Roman"/>
          <w:b/>
          <w:sz w:val="20"/>
        </w:rPr>
        <w:t>Participación en eventos internacionales de derechos humanos</w:t>
      </w:r>
    </w:p>
    <w:p w:rsidR="000A58D5" w:rsidRPr="00983608" w:rsidRDefault="00E06CBF" w:rsidP="00AA3C87">
      <w:pPr>
        <w:spacing w:before="120" w:after="120" w:line="240" w:lineRule="auto"/>
        <w:jc w:val="both"/>
        <w:rPr>
          <w:rFonts w:ascii="Times New Roman" w:hAnsi="Times New Roman" w:cs="Times New Roman"/>
          <w:sz w:val="24"/>
        </w:rPr>
      </w:pPr>
      <w:r>
        <w:rPr>
          <w:rFonts w:ascii="Times New Roman" w:hAnsi="Times New Roman" w:cs="Times New Roman"/>
          <w:sz w:val="24"/>
          <w:szCs w:val="24"/>
        </w:rPr>
        <w:t>63</w:t>
      </w:r>
      <w:r w:rsidR="00764FB5" w:rsidRPr="00983608">
        <w:rPr>
          <w:rFonts w:ascii="Times New Roman" w:hAnsi="Times New Roman" w:cs="Times New Roman"/>
          <w:sz w:val="24"/>
          <w:szCs w:val="24"/>
        </w:rPr>
        <w:t>.</w:t>
      </w:r>
      <w:r w:rsidR="003C0928">
        <w:rPr>
          <w:rFonts w:ascii="Times New Roman" w:hAnsi="Times New Roman" w:cs="Times New Roman"/>
          <w:sz w:val="24"/>
          <w:szCs w:val="24"/>
        </w:rPr>
        <w:t xml:space="preserve"> </w:t>
      </w:r>
      <w:r w:rsidR="00072195" w:rsidRPr="00983608">
        <w:rPr>
          <w:rFonts w:ascii="Times New Roman" w:hAnsi="Times New Roman" w:cs="Times New Roman"/>
          <w:sz w:val="24"/>
          <w:szCs w:val="24"/>
        </w:rPr>
        <w:t>En 2013 la DdP tuvo presencia en el II Congreso Internacional Ombudsman y Democracia del Programa Regional de Apoyo a las Defensorías del Pueblo de Iberoamérica (</w:t>
      </w:r>
      <w:r w:rsidR="00754686" w:rsidRPr="00983608">
        <w:rPr>
          <w:rFonts w:ascii="Times New Roman" w:hAnsi="Times New Roman" w:cs="Times New Roman"/>
          <w:sz w:val="24"/>
          <w:szCs w:val="24"/>
        </w:rPr>
        <w:t>PRADPI</w:t>
      </w:r>
      <w:r w:rsidR="00072195" w:rsidRPr="00983608">
        <w:rPr>
          <w:rFonts w:ascii="Times New Roman" w:hAnsi="Times New Roman" w:cs="Times New Roman"/>
          <w:sz w:val="24"/>
          <w:szCs w:val="24"/>
        </w:rPr>
        <w:t xml:space="preserve">), celebrado en Madrid-España. Allí la Institución presentó diversas comunicaciones, entre las que destacan: </w:t>
      </w:r>
      <w:r w:rsidR="00AA3C87" w:rsidRPr="00983608">
        <w:rPr>
          <w:rFonts w:ascii="Times New Roman" w:hAnsi="Times New Roman" w:cs="Times New Roman"/>
          <w:sz w:val="24"/>
        </w:rPr>
        <w:t>“</w:t>
      </w:r>
      <w:r w:rsidR="00072195" w:rsidRPr="00983608">
        <w:rPr>
          <w:rFonts w:ascii="Times New Roman" w:hAnsi="Times New Roman" w:cs="Times New Roman"/>
          <w:i/>
          <w:sz w:val="24"/>
        </w:rPr>
        <w:t>Rol de la Defensoría del Pueblo en los procesos electorales de Venezuela</w:t>
      </w:r>
      <w:r w:rsidR="00AA3C87" w:rsidRPr="00983608">
        <w:rPr>
          <w:rFonts w:ascii="Times New Roman" w:hAnsi="Times New Roman" w:cs="Times New Roman"/>
          <w:sz w:val="24"/>
        </w:rPr>
        <w:t>” y “</w:t>
      </w:r>
      <w:r w:rsidR="00AA3C87" w:rsidRPr="00983608">
        <w:rPr>
          <w:rFonts w:ascii="Times New Roman" w:hAnsi="Times New Roman" w:cs="Times New Roman"/>
          <w:i/>
          <w:sz w:val="24"/>
        </w:rPr>
        <w:t>Contribuciones de la Defensoría del Pueblo al fortalecimiento de la participación ciudadana en Venezuela</w:t>
      </w:r>
      <w:r w:rsidR="00AA3C87" w:rsidRPr="00983608">
        <w:rPr>
          <w:rFonts w:ascii="Times New Roman" w:hAnsi="Times New Roman" w:cs="Times New Roman"/>
          <w:sz w:val="24"/>
        </w:rPr>
        <w:t>”.</w:t>
      </w:r>
    </w:p>
    <w:p w:rsidR="00DB6AB0" w:rsidRPr="00261594" w:rsidRDefault="00DB6AB0" w:rsidP="00DB6AB0">
      <w:pPr>
        <w:pBdr>
          <w:bottom w:val="single" w:sz="4" w:space="1" w:color="auto"/>
        </w:pBdr>
        <w:spacing w:before="120" w:after="120" w:line="240" w:lineRule="auto"/>
        <w:jc w:val="both"/>
        <w:rPr>
          <w:rFonts w:ascii="Times New Roman" w:hAnsi="Times New Roman" w:cs="Times New Roman"/>
          <w:b/>
          <w:sz w:val="24"/>
          <w:szCs w:val="24"/>
        </w:rPr>
      </w:pPr>
      <w:r w:rsidRPr="00261594">
        <w:rPr>
          <w:rFonts w:ascii="Times New Roman" w:hAnsi="Times New Roman" w:cs="Times New Roman"/>
          <w:b/>
          <w:sz w:val="24"/>
          <w:szCs w:val="24"/>
        </w:rPr>
        <w:t>Balance Nacional</w:t>
      </w:r>
    </w:p>
    <w:p w:rsidR="00DB6AB0" w:rsidRPr="00261594" w:rsidRDefault="00DB6AB0" w:rsidP="00DB6AB0">
      <w:pPr>
        <w:spacing w:before="120" w:after="120" w:line="240" w:lineRule="auto"/>
        <w:jc w:val="both"/>
        <w:rPr>
          <w:rFonts w:ascii="Times New Roman" w:hAnsi="Times New Roman" w:cs="Times New Roman"/>
          <w:b/>
          <w:sz w:val="20"/>
        </w:rPr>
      </w:pPr>
      <w:r w:rsidRPr="00261594">
        <w:rPr>
          <w:rFonts w:ascii="Times New Roman" w:hAnsi="Times New Roman" w:cs="Times New Roman"/>
          <w:b/>
          <w:sz w:val="20"/>
        </w:rPr>
        <w:t>Sistema de justicia</w:t>
      </w:r>
    </w:p>
    <w:p w:rsidR="00DB6AB0" w:rsidRPr="00983608" w:rsidRDefault="00E06CBF" w:rsidP="00DB6AB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64</w:t>
      </w:r>
      <w:r w:rsidR="00287D71" w:rsidRPr="00983608">
        <w:rPr>
          <w:rFonts w:ascii="Times New Roman" w:hAnsi="Times New Roman" w:cs="Times New Roman"/>
          <w:sz w:val="24"/>
          <w:szCs w:val="24"/>
        </w:rPr>
        <w:t xml:space="preserve">. </w:t>
      </w:r>
      <w:r w:rsidR="00DB6AB0" w:rsidRPr="00983608">
        <w:rPr>
          <w:rFonts w:ascii="Times New Roman" w:hAnsi="Times New Roman" w:cs="Times New Roman"/>
          <w:sz w:val="24"/>
          <w:szCs w:val="24"/>
        </w:rPr>
        <w:t xml:space="preserve">La DdP ha observado el avance del Estado en fortalecer su sistema de justicia. La CRBV reconoce a toda persona el derecho al acceso a los órganos de administración de justicia y el derecho a una tutela efectiva y a obtener con prontitud la decisión correspondiente (art. 26 CRBV), y reconoce a las autoridades legítimas de los pueblos indígenas el derecho de aplicar en su hábitat instancias de justicia con base en sus tradiciones ancestrales y que sólo afecte a sus integrantes (art. 260 CRBV). La LOPCI consagra derechos específicos en los procesos ventilados ante la jurisdicción ordinaria, cuando estos involucren a población indígena. Entre esos derechos se encuentran el uso del idioma propio y el respeto de su cultura durante todas las fases del proceso. </w:t>
      </w:r>
    </w:p>
    <w:p w:rsidR="004C0AA2" w:rsidRDefault="004C0AA2" w:rsidP="004C0AA2">
      <w:pPr>
        <w:spacing w:before="120" w:after="120" w:line="240" w:lineRule="auto"/>
        <w:jc w:val="both"/>
        <w:rPr>
          <w:rFonts w:ascii="Times New Roman" w:hAnsi="Times New Roman" w:cs="Times New Roman"/>
          <w:sz w:val="24"/>
        </w:rPr>
      </w:pPr>
      <w:r>
        <w:rPr>
          <w:rFonts w:ascii="Times New Roman" w:hAnsi="Times New Roman" w:cs="Times New Roman"/>
          <w:b/>
          <w:sz w:val="20"/>
        </w:rPr>
        <w:t xml:space="preserve">Seguridad ciudadana. </w:t>
      </w:r>
      <w:r w:rsidRPr="004C0AA2">
        <w:rPr>
          <w:rFonts w:ascii="Times New Roman" w:hAnsi="Times New Roman" w:cs="Times New Roman"/>
          <w:b/>
          <w:sz w:val="20"/>
        </w:rPr>
        <w:t>Reforma Policial</w:t>
      </w:r>
    </w:p>
    <w:p w:rsidR="00983608" w:rsidRDefault="00E06CBF" w:rsidP="004C0AA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65</w:t>
      </w:r>
      <w:r w:rsidR="00983608" w:rsidRPr="00983608">
        <w:rPr>
          <w:rFonts w:ascii="Times New Roman" w:hAnsi="Times New Roman" w:cs="Times New Roman"/>
          <w:sz w:val="24"/>
          <w:szCs w:val="24"/>
        </w:rPr>
        <w:t xml:space="preserve">. </w:t>
      </w:r>
      <w:r w:rsidR="004C0AA2" w:rsidRPr="00983608">
        <w:rPr>
          <w:rFonts w:ascii="Times New Roman" w:hAnsi="Times New Roman" w:cs="Times New Roman"/>
          <w:sz w:val="24"/>
          <w:szCs w:val="24"/>
        </w:rPr>
        <w:t>La DdP valora positivamente que el Estado venezolano haya llevado a cabo un proceso integral de reforma policial iniciado en 2006</w:t>
      </w:r>
      <w:r w:rsidR="00894DA5" w:rsidRPr="00983608">
        <w:rPr>
          <w:rFonts w:ascii="Times New Roman" w:hAnsi="Times New Roman" w:cs="Times New Roman"/>
          <w:sz w:val="24"/>
          <w:szCs w:val="24"/>
        </w:rPr>
        <w:t xml:space="preserve"> y puesto en marcha el nuevo modelo en 2009</w:t>
      </w:r>
      <w:r w:rsidR="00894DA5" w:rsidRPr="00983608">
        <w:rPr>
          <w:rFonts w:ascii="Times New Roman" w:hAnsi="Times New Roman" w:cs="Times New Roman"/>
          <w:bCs/>
          <w:sz w:val="24"/>
          <w:szCs w:val="24"/>
          <w:highlight w:val="yellow"/>
        </w:rPr>
        <w:t xml:space="preserve"> </w:t>
      </w:r>
      <w:r w:rsidR="00894DA5" w:rsidRPr="00983608">
        <w:rPr>
          <w:rFonts w:ascii="Times New Roman" w:hAnsi="Times New Roman" w:cs="Times New Roman"/>
          <w:bCs/>
          <w:sz w:val="24"/>
          <w:szCs w:val="24"/>
        </w:rPr>
        <w:t>enfocado en una visión de derechos humanos</w:t>
      </w:r>
      <w:r w:rsidR="004C0AA2" w:rsidRPr="00983608">
        <w:rPr>
          <w:rFonts w:ascii="Times New Roman" w:hAnsi="Times New Roman" w:cs="Times New Roman"/>
          <w:sz w:val="24"/>
          <w:szCs w:val="24"/>
        </w:rPr>
        <w:t>.</w:t>
      </w:r>
      <w:r w:rsidR="00894DA5" w:rsidRPr="00983608">
        <w:rPr>
          <w:rFonts w:ascii="Times New Roman" w:hAnsi="Times New Roman" w:cs="Times New Roman"/>
          <w:sz w:val="24"/>
          <w:szCs w:val="24"/>
        </w:rPr>
        <w:t xml:space="preserve"> </w:t>
      </w:r>
      <w:r w:rsidR="004C0AA2" w:rsidRPr="00983608">
        <w:rPr>
          <w:rFonts w:ascii="Times New Roman" w:hAnsi="Times New Roman" w:cs="Times New Roman"/>
          <w:sz w:val="24"/>
          <w:szCs w:val="24"/>
        </w:rPr>
        <w:t>Celebra los avances en materia de profesionalización y control de la actividad policial</w:t>
      </w:r>
      <w:r w:rsidR="00894DA5" w:rsidRPr="00983608">
        <w:rPr>
          <w:rFonts w:ascii="Times New Roman" w:hAnsi="Times New Roman" w:cs="Times New Roman"/>
          <w:sz w:val="24"/>
          <w:szCs w:val="24"/>
        </w:rPr>
        <w:t xml:space="preserve">, la legislación aplicada a ello: </w:t>
      </w:r>
      <w:r w:rsidR="004C0AA2" w:rsidRPr="00983608">
        <w:rPr>
          <w:rFonts w:ascii="Times New Roman" w:hAnsi="Times New Roman" w:cs="Times New Roman"/>
          <w:sz w:val="24"/>
          <w:szCs w:val="24"/>
        </w:rPr>
        <w:t xml:space="preserve">Ley del Servicio de Policía y el Cuerpo de Policía Nacional Bolivariana (LOSPCPNB), Ley del Estatuto de la Función Policial y </w:t>
      </w:r>
      <w:r w:rsidR="00894DA5" w:rsidRPr="00983608">
        <w:rPr>
          <w:rFonts w:ascii="Times New Roman" w:hAnsi="Times New Roman" w:cs="Times New Roman"/>
          <w:sz w:val="24"/>
          <w:szCs w:val="24"/>
        </w:rPr>
        <w:t>las</w:t>
      </w:r>
      <w:r w:rsidR="004C0AA2" w:rsidRPr="00983608">
        <w:rPr>
          <w:rFonts w:ascii="Times New Roman" w:hAnsi="Times New Roman" w:cs="Times New Roman"/>
          <w:sz w:val="24"/>
          <w:szCs w:val="24"/>
        </w:rPr>
        <w:t xml:space="preserve"> resoluciones emanadas del C</w:t>
      </w:r>
      <w:r w:rsidR="00894DA5" w:rsidRPr="00983608">
        <w:rPr>
          <w:rFonts w:ascii="Times New Roman" w:hAnsi="Times New Roman" w:cs="Times New Roman"/>
          <w:sz w:val="24"/>
          <w:szCs w:val="24"/>
        </w:rPr>
        <w:t xml:space="preserve">onsejo General de Policía (CGP). </w:t>
      </w:r>
    </w:p>
    <w:p w:rsidR="004C0AA2" w:rsidRPr="00983608" w:rsidRDefault="00E06CBF" w:rsidP="004C0AA2">
      <w:pPr>
        <w:spacing w:before="120" w:after="120" w:line="240" w:lineRule="auto"/>
        <w:jc w:val="both"/>
        <w:rPr>
          <w:rFonts w:ascii="Times New Roman" w:hAnsi="Times New Roman" w:cs="Times New Roman"/>
          <w:spacing w:val="-4"/>
          <w:sz w:val="24"/>
        </w:rPr>
      </w:pPr>
      <w:r>
        <w:rPr>
          <w:rFonts w:ascii="Times New Roman" w:hAnsi="Times New Roman" w:cs="Times New Roman"/>
          <w:sz w:val="24"/>
          <w:szCs w:val="24"/>
        </w:rPr>
        <w:t>66</w:t>
      </w:r>
      <w:r w:rsidR="00983608">
        <w:rPr>
          <w:rFonts w:ascii="Times New Roman" w:hAnsi="Times New Roman" w:cs="Times New Roman"/>
          <w:sz w:val="24"/>
          <w:szCs w:val="24"/>
        </w:rPr>
        <w:t>. La Institución, v</w:t>
      </w:r>
      <w:r w:rsidR="00894DA5" w:rsidRPr="00983608">
        <w:rPr>
          <w:rFonts w:ascii="Times New Roman" w:hAnsi="Times New Roman" w:cs="Times New Roman"/>
          <w:sz w:val="24"/>
          <w:szCs w:val="24"/>
        </w:rPr>
        <w:t>alora</w:t>
      </w:r>
      <w:r w:rsidR="004C0AA2" w:rsidRPr="00983608">
        <w:rPr>
          <w:rFonts w:ascii="Times New Roman" w:hAnsi="Times New Roman" w:cs="Times New Roman"/>
          <w:sz w:val="24"/>
          <w:szCs w:val="24"/>
        </w:rPr>
        <w:t xml:space="preserve"> la creación de la Universidad Nacional Experimental de la Seguridad (UNES), la profundización de la estandarización de todo el funcionamiento de los cuerpos de policía y la creación de l</w:t>
      </w:r>
      <w:r w:rsidR="004C0AA2" w:rsidRPr="00983608">
        <w:rPr>
          <w:rStyle w:val="apple-style-span"/>
          <w:rFonts w:ascii="Times New Roman" w:hAnsi="Times New Roman"/>
          <w:spacing w:val="-4"/>
          <w:sz w:val="24"/>
          <w:szCs w:val="24"/>
          <w:shd w:val="clear" w:color="auto" w:fill="FFFFFF"/>
        </w:rPr>
        <w:t>as instancias de control interno de la policía: la Oficina de Control</w:t>
      </w:r>
      <w:r w:rsidR="004C0AA2" w:rsidRPr="00BB0E0A">
        <w:rPr>
          <w:rStyle w:val="apple-style-span"/>
          <w:rFonts w:ascii="Times New Roman" w:hAnsi="Times New Roman"/>
          <w:color w:val="FF0000"/>
          <w:spacing w:val="-4"/>
          <w:sz w:val="24"/>
          <w:szCs w:val="24"/>
          <w:shd w:val="clear" w:color="auto" w:fill="FFFFFF"/>
        </w:rPr>
        <w:t xml:space="preserve"> </w:t>
      </w:r>
      <w:r w:rsidR="004C0AA2" w:rsidRPr="00983608">
        <w:rPr>
          <w:rStyle w:val="apple-style-span"/>
          <w:rFonts w:ascii="Times New Roman" w:hAnsi="Times New Roman"/>
          <w:spacing w:val="-4"/>
          <w:sz w:val="24"/>
          <w:szCs w:val="24"/>
          <w:shd w:val="clear" w:color="auto" w:fill="FFFFFF"/>
        </w:rPr>
        <w:t>de Actuación Policial, la Oficina de Respuesta a las Desviaciones Policiales y el Consejo Disciplinario de Policía.</w:t>
      </w:r>
      <w:r w:rsidR="00983608">
        <w:rPr>
          <w:rStyle w:val="apple-style-span"/>
          <w:rFonts w:ascii="Times New Roman" w:hAnsi="Times New Roman"/>
          <w:spacing w:val="-4"/>
          <w:sz w:val="24"/>
          <w:szCs w:val="24"/>
          <w:shd w:val="clear" w:color="auto" w:fill="FFFFFF"/>
        </w:rPr>
        <w:t xml:space="preserve"> </w:t>
      </w:r>
      <w:r w:rsidR="00983608">
        <w:rPr>
          <w:rFonts w:ascii="Times New Roman" w:hAnsi="Times New Roman" w:cs="Times New Roman"/>
          <w:spacing w:val="-4"/>
          <w:sz w:val="24"/>
        </w:rPr>
        <w:t>R</w:t>
      </w:r>
      <w:r w:rsidR="00894DA5" w:rsidRPr="00983608">
        <w:rPr>
          <w:rFonts w:ascii="Times New Roman" w:hAnsi="Times New Roman" w:cs="Times New Roman"/>
          <w:spacing w:val="-4"/>
          <w:sz w:val="24"/>
        </w:rPr>
        <w:t xml:space="preserve">econoce los avances en la reforma de la policía de investigación, y la nueva Ley que rige su actuación, la </w:t>
      </w:r>
      <w:r w:rsidR="004C0AA2" w:rsidRPr="00983608">
        <w:rPr>
          <w:rFonts w:ascii="Times New Roman" w:hAnsi="Times New Roman" w:cs="Times New Roman"/>
          <w:spacing w:val="-4"/>
          <w:sz w:val="24"/>
        </w:rPr>
        <w:t>Ley Orgánica del Servicio de Policía de Investigación</w:t>
      </w:r>
      <w:r w:rsidR="00894DA5" w:rsidRPr="00983608">
        <w:rPr>
          <w:rStyle w:val="Refdenotaalpie"/>
          <w:rFonts w:ascii="Times New Roman" w:hAnsi="Times New Roman" w:cs="Times New Roman"/>
          <w:spacing w:val="-4"/>
          <w:sz w:val="24"/>
        </w:rPr>
        <w:footnoteReference w:id="24"/>
      </w:r>
      <w:r w:rsidR="004C0AA2" w:rsidRPr="00983608">
        <w:rPr>
          <w:rFonts w:ascii="Times New Roman" w:hAnsi="Times New Roman" w:cs="Times New Roman"/>
          <w:spacing w:val="-4"/>
          <w:sz w:val="24"/>
        </w:rPr>
        <w:t xml:space="preserve">. </w:t>
      </w:r>
    </w:p>
    <w:p w:rsidR="00DB6AB0" w:rsidRPr="001A7280" w:rsidRDefault="001A7280" w:rsidP="00DB6AB0">
      <w:pPr>
        <w:spacing w:before="120" w:after="120" w:line="240" w:lineRule="auto"/>
        <w:jc w:val="both"/>
        <w:rPr>
          <w:rFonts w:ascii="Times New Roman" w:hAnsi="Times New Roman" w:cs="Times New Roman"/>
          <w:b/>
          <w:sz w:val="20"/>
        </w:rPr>
      </w:pPr>
      <w:r>
        <w:rPr>
          <w:rFonts w:ascii="Times New Roman" w:hAnsi="Times New Roman" w:cs="Times New Roman"/>
          <w:b/>
          <w:sz w:val="20"/>
        </w:rPr>
        <w:t xml:space="preserve">Seguridad ciudadana. </w:t>
      </w:r>
      <w:r w:rsidR="00DB6AB0" w:rsidRPr="001A7280">
        <w:rPr>
          <w:rFonts w:ascii="Times New Roman" w:hAnsi="Times New Roman" w:cs="Times New Roman"/>
          <w:b/>
          <w:sz w:val="20"/>
        </w:rPr>
        <w:t>Gran Misión ¡A Toda Vida! Venezuela</w:t>
      </w:r>
    </w:p>
    <w:p w:rsidR="00DB6AB0" w:rsidRDefault="00E06CBF" w:rsidP="00DB6AB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67</w:t>
      </w:r>
      <w:r w:rsidR="00DB6AB0" w:rsidRPr="00983608">
        <w:rPr>
          <w:rFonts w:ascii="Times New Roman" w:hAnsi="Times New Roman" w:cs="Times New Roman"/>
          <w:sz w:val="24"/>
          <w:szCs w:val="24"/>
        </w:rPr>
        <w:t xml:space="preserve">. </w:t>
      </w:r>
      <w:r w:rsidR="00983608">
        <w:rPr>
          <w:rFonts w:ascii="Times New Roman" w:hAnsi="Times New Roman" w:cs="Times New Roman"/>
          <w:sz w:val="24"/>
          <w:szCs w:val="24"/>
        </w:rPr>
        <w:t xml:space="preserve">La DdP celebra la creación de la </w:t>
      </w:r>
      <w:r w:rsidR="00DB6AB0" w:rsidRPr="00983608">
        <w:rPr>
          <w:rFonts w:ascii="Times New Roman" w:hAnsi="Times New Roman" w:cs="Times New Roman"/>
          <w:sz w:val="24"/>
          <w:szCs w:val="24"/>
        </w:rPr>
        <w:t>“Gran Misión ¡A Toda Vida! Venezuela”,</w:t>
      </w:r>
      <w:r w:rsidR="00983608">
        <w:rPr>
          <w:rFonts w:ascii="Times New Roman" w:hAnsi="Times New Roman" w:cs="Times New Roman"/>
          <w:sz w:val="24"/>
          <w:szCs w:val="24"/>
        </w:rPr>
        <w:t xml:space="preserve"> que nace como plan integral para la garantía de la protección del Estado </w:t>
      </w:r>
      <w:r w:rsidR="00983608" w:rsidRPr="00983608">
        <w:rPr>
          <w:rFonts w:ascii="Times New Roman" w:hAnsi="Times New Roman" w:cs="Times New Roman"/>
          <w:sz w:val="24"/>
          <w:szCs w:val="24"/>
        </w:rPr>
        <w:t>a través de los órganos de seguridad ciudadana</w:t>
      </w:r>
      <w:r w:rsidR="00983608">
        <w:rPr>
          <w:rFonts w:ascii="Times New Roman" w:hAnsi="Times New Roman" w:cs="Times New Roman"/>
          <w:sz w:val="24"/>
          <w:szCs w:val="24"/>
        </w:rPr>
        <w:t>, donde la participación activa de las comunidades y de todo el aparato del Estado es fundamental para el buen vivir de todas las personas que habitan en el país</w:t>
      </w:r>
      <w:r w:rsidR="00DB6AB0" w:rsidRPr="00983608">
        <w:rPr>
          <w:rFonts w:ascii="Times New Roman" w:hAnsi="Times New Roman" w:cs="Times New Roman"/>
          <w:sz w:val="24"/>
          <w:szCs w:val="24"/>
        </w:rPr>
        <w:t>.</w:t>
      </w:r>
      <w:r w:rsidR="00AD02B6">
        <w:rPr>
          <w:rFonts w:ascii="Times New Roman" w:hAnsi="Times New Roman" w:cs="Times New Roman"/>
          <w:sz w:val="24"/>
          <w:szCs w:val="24"/>
        </w:rPr>
        <w:t xml:space="preserve"> </w:t>
      </w:r>
      <w:r w:rsidR="00AD02B6" w:rsidRPr="00AD02B6">
        <w:rPr>
          <w:rFonts w:ascii="Times New Roman" w:hAnsi="Times New Roman" w:cs="Times New Roman"/>
          <w:sz w:val="24"/>
          <w:szCs w:val="24"/>
        </w:rPr>
        <w:t>Articulada sobre seis vértices de acción, esta Gran Misión se propone generar mayores niveles de seguridad en el país, a la vez que implementar programas dirigidos a la formación en valores y el fortalecimiento del tejido comunitario en Venezuela.</w:t>
      </w:r>
    </w:p>
    <w:p w:rsidR="00C0734E" w:rsidRPr="00747540" w:rsidRDefault="00C0734E" w:rsidP="00DB6AB0">
      <w:pPr>
        <w:spacing w:before="120" w:after="120" w:line="240" w:lineRule="auto"/>
        <w:jc w:val="both"/>
        <w:rPr>
          <w:rFonts w:ascii="Times New Roman" w:hAnsi="Times New Roman" w:cs="Times New Roman"/>
          <w:b/>
          <w:sz w:val="20"/>
        </w:rPr>
      </w:pPr>
      <w:r w:rsidRPr="00747540">
        <w:rPr>
          <w:rFonts w:ascii="Times New Roman" w:hAnsi="Times New Roman" w:cs="Times New Roman"/>
          <w:b/>
          <w:sz w:val="20"/>
        </w:rPr>
        <w:t>Derecho a la identidad y la identificación</w:t>
      </w:r>
    </w:p>
    <w:p w:rsidR="00DB6AB0" w:rsidRPr="00983608" w:rsidRDefault="00E717FA" w:rsidP="00DB6AB0">
      <w:pPr>
        <w:pStyle w:val="Textoindependiente"/>
        <w:spacing w:before="120" w:after="120"/>
        <w:jc w:val="both"/>
        <w:rPr>
          <w:b w:val="0"/>
        </w:rPr>
      </w:pPr>
      <w:r>
        <w:rPr>
          <w:b w:val="0"/>
        </w:rPr>
        <w:t>6</w:t>
      </w:r>
      <w:r w:rsidR="00E06CBF">
        <w:rPr>
          <w:b w:val="0"/>
        </w:rPr>
        <w:t>8</w:t>
      </w:r>
      <w:r w:rsidR="00DB6AB0" w:rsidRPr="00983608">
        <w:rPr>
          <w:b w:val="0"/>
        </w:rPr>
        <w:t>. La DdP observa con satisfacción que el Ejecutivo Nacional, a los fines de garantizar el derecho a la identidad y en el mar</w:t>
      </w:r>
      <w:r w:rsidR="004E69A5">
        <w:rPr>
          <w:b w:val="0"/>
        </w:rPr>
        <w:t>co de la Misión Identidad, creara</w:t>
      </w:r>
      <w:r w:rsidR="00DB6AB0" w:rsidRPr="00983608">
        <w:rPr>
          <w:b w:val="0"/>
        </w:rPr>
        <w:t xml:space="preserve"> la Ruta de Cedulación de Pueblos Originarios con el objetivo de cedular a todas las personas que se reconocen como indígenas, con un documento que contiene datos del pueblo indígena, comunidad e idioma. </w:t>
      </w:r>
    </w:p>
    <w:p w:rsidR="001A7280" w:rsidRPr="00983608" w:rsidRDefault="00E717FA" w:rsidP="001A728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6</w:t>
      </w:r>
      <w:r w:rsidR="00E06CBF">
        <w:rPr>
          <w:rFonts w:ascii="Times New Roman" w:hAnsi="Times New Roman" w:cs="Times New Roman"/>
          <w:sz w:val="24"/>
          <w:szCs w:val="24"/>
        </w:rPr>
        <w:t>9</w:t>
      </w:r>
      <w:r w:rsidR="00824800" w:rsidRPr="00983608">
        <w:rPr>
          <w:rFonts w:ascii="Times New Roman" w:hAnsi="Times New Roman" w:cs="Times New Roman"/>
          <w:sz w:val="24"/>
          <w:szCs w:val="24"/>
        </w:rPr>
        <w:t xml:space="preserve">. </w:t>
      </w:r>
      <w:r w:rsidR="001A7280" w:rsidRPr="00983608">
        <w:rPr>
          <w:rFonts w:ascii="Times New Roman" w:hAnsi="Times New Roman" w:cs="Times New Roman"/>
          <w:sz w:val="24"/>
          <w:szCs w:val="24"/>
        </w:rPr>
        <w:t>La Institución valora positivamente el contenido de la Ley Orgánica de Registro Civil</w:t>
      </w:r>
      <w:r w:rsidR="00C0734E" w:rsidRPr="00983608">
        <w:rPr>
          <w:rFonts w:ascii="Times New Roman" w:hAnsi="Times New Roman" w:cs="Times New Roman"/>
          <w:sz w:val="24"/>
          <w:szCs w:val="24"/>
        </w:rPr>
        <w:t xml:space="preserve"> (LORC)</w:t>
      </w:r>
      <w:r w:rsidR="001A7280" w:rsidRPr="00983608">
        <w:rPr>
          <w:rStyle w:val="Refdenotaalpie"/>
          <w:rFonts w:ascii="Times New Roman" w:hAnsi="Times New Roman" w:cs="Times New Roman"/>
          <w:sz w:val="24"/>
          <w:szCs w:val="24"/>
        </w:rPr>
        <w:footnoteReference w:id="25"/>
      </w:r>
      <w:r w:rsidR="001A7280" w:rsidRPr="00983608">
        <w:rPr>
          <w:rFonts w:ascii="Times New Roman" w:hAnsi="Times New Roman" w:cs="Times New Roman"/>
          <w:sz w:val="24"/>
          <w:szCs w:val="24"/>
        </w:rPr>
        <w:t xml:space="preserve"> la cual </w:t>
      </w:r>
      <w:r w:rsidR="001A7280" w:rsidRPr="00983608">
        <w:rPr>
          <w:rFonts w:ascii="Times New Roman" w:eastAsia="Times New Roman" w:hAnsi="Times New Roman" w:cs="Times New Roman"/>
          <w:sz w:val="24"/>
          <w:szCs w:val="24"/>
          <w:lang w:eastAsia="es-VE"/>
        </w:rPr>
        <w:t>introduce un registro civil automatizado reglamentado e instrumentado por el Consejo Nacional Electoral (CNE) a través de una Comisión de Registro Civil y Electoral, disponiendo para ello de una oficina de Registro Civil municipal, unidades en parroquias, establecimientos de salud públicos o privados y en cementerios.</w:t>
      </w:r>
      <w:r w:rsidR="00564A96" w:rsidRPr="00983608">
        <w:rPr>
          <w:rFonts w:ascii="Times New Roman" w:eastAsia="Times New Roman" w:hAnsi="Times New Roman" w:cs="Times New Roman"/>
          <w:sz w:val="24"/>
          <w:szCs w:val="24"/>
          <w:lang w:eastAsia="es-VE"/>
        </w:rPr>
        <w:t xml:space="preserve"> </w:t>
      </w:r>
      <w:r w:rsidR="001A7280" w:rsidRPr="00983608">
        <w:rPr>
          <w:rFonts w:ascii="Times New Roman" w:eastAsia="Times New Roman" w:hAnsi="Times New Roman" w:cs="Times New Roman"/>
          <w:sz w:val="24"/>
          <w:szCs w:val="24"/>
          <w:lang w:eastAsia="es-VE"/>
        </w:rPr>
        <w:t xml:space="preserve">Observa con gran satisfacción que el CNE haya establecido entre sus políticas de registro, la creación y administración de un portal </w:t>
      </w:r>
      <w:r w:rsidR="001A7280" w:rsidRPr="00983608">
        <w:rPr>
          <w:rFonts w:ascii="Times New Roman" w:eastAsia="Times New Roman" w:hAnsi="Times New Roman" w:cs="Times New Roman"/>
          <w:i/>
          <w:sz w:val="24"/>
          <w:szCs w:val="24"/>
          <w:lang w:eastAsia="es-VE"/>
        </w:rPr>
        <w:t>web</w:t>
      </w:r>
      <w:r w:rsidR="001A7280" w:rsidRPr="00983608">
        <w:rPr>
          <w:rFonts w:ascii="Times New Roman" w:eastAsia="Times New Roman" w:hAnsi="Times New Roman" w:cs="Times New Roman"/>
          <w:sz w:val="24"/>
          <w:szCs w:val="24"/>
          <w:lang w:eastAsia="es-VE"/>
        </w:rPr>
        <w:t xml:space="preserve"> para garantizar el acceso a los datos cargados en el archivo </w:t>
      </w:r>
      <w:r w:rsidR="00824800" w:rsidRPr="00983608">
        <w:rPr>
          <w:rFonts w:ascii="Times New Roman" w:eastAsia="Times New Roman" w:hAnsi="Times New Roman" w:cs="Times New Roman"/>
          <w:sz w:val="24"/>
          <w:szCs w:val="24"/>
          <w:lang w:eastAsia="es-VE"/>
        </w:rPr>
        <w:t xml:space="preserve">de manera </w:t>
      </w:r>
      <w:r w:rsidR="001A7280" w:rsidRPr="00983608">
        <w:rPr>
          <w:rFonts w:ascii="Times New Roman" w:eastAsia="Times New Roman" w:hAnsi="Times New Roman" w:cs="Times New Roman"/>
          <w:sz w:val="24"/>
          <w:szCs w:val="24"/>
          <w:lang w:eastAsia="es-VE"/>
        </w:rPr>
        <w:t>digital y automatizad</w:t>
      </w:r>
      <w:r w:rsidR="00824800" w:rsidRPr="00983608">
        <w:rPr>
          <w:rFonts w:ascii="Times New Roman" w:eastAsia="Times New Roman" w:hAnsi="Times New Roman" w:cs="Times New Roman"/>
          <w:sz w:val="24"/>
          <w:szCs w:val="24"/>
          <w:lang w:eastAsia="es-VE"/>
        </w:rPr>
        <w:t>a</w:t>
      </w:r>
      <w:r w:rsidR="001A7280" w:rsidRPr="00983608">
        <w:rPr>
          <w:rFonts w:ascii="Times New Roman" w:eastAsia="Times New Roman" w:hAnsi="Times New Roman" w:cs="Times New Roman"/>
          <w:sz w:val="24"/>
          <w:szCs w:val="24"/>
          <w:lang w:eastAsia="es-VE"/>
        </w:rPr>
        <w:t>.</w:t>
      </w:r>
    </w:p>
    <w:p w:rsidR="00564A96" w:rsidRPr="00983608" w:rsidRDefault="00E06CBF" w:rsidP="00564A96">
      <w:pPr>
        <w:spacing w:before="120" w:after="120" w:line="240" w:lineRule="auto"/>
        <w:jc w:val="both"/>
        <w:rPr>
          <w:rFonts w:ascii="Times New Roman" w:eastAsia="Times New Roman" w:hAnsi="Times New Roman" w:cs="Times New Roman"/>
          <w:sz w:val="24"/>
          <w:szCs w:val="24"/>
          <w:lang w:eastAsia="es-VE"/>
        </w:rPr>
      </w:pPr>
      <w:r>
        <w:rPr>
          <w:rFonts w:ascii="Times New Roman" w:hAnsi="Times New Roman" w:cs="Times New Roman"/>
          <w:sz w:val="24"/>
          <w:szCs w:val="24"/>
        </w:rPr>
        <w:t>70</w:t>
      </w:r>
      <w:r w:rsidR="00824800" w:rsidRPr="00983608">
        <w:rPr>
          <w:rFonts w:ascii="Times New Roman" w:hAnsi="Times New Roman" w:cs="Times New Roman"/>
          <w:sz w:val="24"/>
          <w:szCs w:val="24"/>
        </w:rPr>
        <w:t xml:space="preserve">. </w:t>
      </w:r>
      <w:r w:rsidR="00564A96" w:rsidRPr="00983608">
        <w:rPr>
          <w:rFonts w:ascii="Times New Roman" w:hAnsi="Times New Roman" w:cs="Times New Roman"/>
          <w:sz w:val="24"/>
          <w:szCs w:val="24"/>
        </w:rPr>
        <w:t xml:space="preserve">También reconoce los esfuerzos del Estado en garantizar el </w:t>
      </w:r>
      <w:r w:rsidR="00564A96" w:rsidRPr="00983608">
        <w:rPr>
          <w:rFonts w:ascii="Times New Roman" w:eastAsia="Times New Roman" w:hAnsi="Times New Roman" w:cs="Times New Roman"/>
          <w:sz w:val="24"/>
          <w:szCs w:val="24"/>
          <w:lang w:eastAsia="es-VE"/>
        </w:rPr>
        <w:t>derecho de los niños, niñas y adolescentes a la identidad y al conocimiento de sus padres biológicos, tal como lo establece la CRBV, al establecer mecanismos de registro en las maternidades del país, la posibilidad por ley de la madre de inscribir el nacimiento del niño o niña sin necesidad de presentar el documento de identificación del padre o presunto padre señalado por la madre, la posibilidad de la persona señalada como padre de reconocer o negar la paternidad que se le atribuye y de solicitar una prueba de ADN si lo considera pertinente.</w:t>
      </w:r>
    </w:p>
    <w:p w:rsidR="00C0734E" w:rsidRPr="00983608" w:rsidRDefault="00E06CBF" w:rsidP="00DB6AB0">
      <w:pPr>
        <w:spacing w:before="120" w:after="120" w:line="240" w:lineRule="auto"/>
        <w:jc w:val="both"/>
        <w:rPr>
          <w:rFonts w:ascii="Times New Roman" w:eastAsia="Times New Roman" w:hAnsi="Times New Roman" w:cs="Times New Roman"/>
          <w:sz w:val="24"/>
          <w:szCs w:val="24"/>
          <w:lang w:eastAsia="es-VE"/>
        </w:rPr>
      </w:pPr>
      <w:r>
        <w:rPr>
          <w:rFonts w:ascii="Times New Roman" w:eastAsia="Times New Roman" w:hAnsi="Times New Roman" w:cs="Times New Roman"/>
          <w:sz w:val="24"/>
          <w:szCs w:val="24"/>
          <w:lang w:eastAsia="es-VE"/>
        </w:rPr>
        <w:t>71</w:t>
      </w:r>
      <w:r w:rsidR="00287D71" w:rsidRPr="00983608">
        <w:rPr>
          <w:rFonts w:ascii="Times New Roman" w:eastAsia="Times New Roman" w:hAnsi="Times New Roman" w:cs="Times New Roman"/>
          <w:sz w:val="24"/>
          <w:szCs w:val="24"/>
          <w:lang w:eastAsia="es-VE"/>
        </w:rPr>
        <w:t xml:space="preserve">. </w:t>
      </w:r>
      <w:r w:rsidR="00C0734E" w:rsidRPr="00983608">
        <w:rPr>
          <w:rFonts w:ascii="Times New Roman" w:eastAsia="Times New Roman" w:hAnsi="Times New Roman" w:cs="Times New Roman"/>
          <w:sz w:val="24"/>
          <w:szCs w:val="24"/>
          <w:lang w:eastAsia="es-VE"/>
        </w:rPr>
        <w:t>La DdP celebra la inscripción vía administrativa, en el registro de nacimiento de 1.698 personas adultas mayores que se encontraban sin acta de nacimiento, restituyéndole sus derechos como ciudada</w:t>
      </w:r>
      <w:r w:rsidR="00983608">
        <w:rPr>
          <w:rFonts w:ascii="Times New Roman" w:eastAsia="Times New Roman" w:hAnsi="Times New Roman" w:cs="Times New Roman"/>
          <w:sz w:val="24"/>
          <w:szCs w:val="24"/>
          <w:lang w:eastAsia="es-VE"/>
        </w:rPr>
        <w:t xml:space="preserve">nos y ciudadanas venezolanos y </w:t>
      </w:r>
      <w:r w:rsidR="00C0734E" w:rsidRPr="00983608">
        <w:rPr>
          <w:rFonts w:ascii="Times New Roman" w:eastAsia="Times New Roman" w:hAnsi="Times New Roman" w:cs="Times New Roman"/>
          <w:sz w:val="24"/>
          <w:szCs w:val="24"/>
          <w:lang w:eastAsia="es-VE"/>
        </w:rPr>
        <w:t>denota la importancia de que toda persona, de acuerdo con la LORC, pueda cambiar su nombre propio, por una sola vez, cuando éste sea infamante, la someta al escarnio público, atente contra su integridad moral, honor y reputación, o no se corresponda con su género, afectando así el libre desenvolvimiento de su personalidad (art. 146).</w:t>
      </w:r>
    </w:p>
    <w:p w:rsidR="00C0734E" w:rsidRPr="003C5EF1" w:rsidRDefault="00C0734E" w:rsidP="00DB6AB0">
      <w:pPr>
        <w:spacing w:before="120" w:after="120" w:line="240" w:lineRule="auto"/>
        <w:jc w:val="both"/>
        <w:rPr>
          <w:rFonts w:ascii="Times New Roman" w:hAnsi="Times New Roman" w:cs="Times New Roman"/>
          <w:b/>
          <w:sz w:val="20"/>
        </w:rPr>
      </w:pPr>
      <w:r w:rsidRPr="003C5EF1">
        <w:rPr>
          <w:rFonts w:ascii="Times New Roman" w:hAnsi="Times New Roman" w:cs="Times New Roman"/>
          <w:b/>
          <w:sz w:val="20"/>
        </w:rPr>
        <w:t>Derecho al sufragio</w:t>
      </w:r>
    </w:p>
    <w:p w:rsidR="00DB6AB0" w:rsidRDefault="00E06CBF" w:rsidP="00DB6AB0">
      <w:pPr>
        <w:spacing w:before="120" w:after="120" w:line="240" w:lineRule="auto"/>
        <w:jc w:val="both"/>
        <w:rPr>
          <w:rFonts w:ascii="Times New Roman" w:hAnsi="Times New Roman" w:cs="Times New Roman"/>
          <w:spacing w:val="-2"/>
          <w:sz w:val="24"/>
          <w:szCs w:val="24"/>
          <w:lang w:val="es-ES"/>
        </w:rPr>
      </w:pPr>
      <w:r>
        <w:rPr>
          <w:rFonts w:ascii="Times New Roman" w:hAnsi="Times New Roman" w:cs="Times New Roman"/>
          <w:sz w:val="24"/>
          <w:szCs w:val="24"/>
        </w:rPr>
        <w:t>72</w:t>
      </w:r>
      <w:r w:rsidR="00287D71" w:rsidRPr="00983608">
        <w:rPr>
          <w:rFonts w:ascii="Times New Roman" w:hAnsi="Times New Roman" w:cs="Times New Roman"/>
          <w:sz w:val="24"/>
          <w:szCs w:val="24"/>
        </w:rPr>
        <w:t xml:space="preserve">. </w:t>
      </w:r>
      <w:r w:rsidR="00C0734E" w:rsidRPr="00983608">
        <w:rPr>
          <w:rFonts w:ascii="Times New Roman" w:hAnsi="Times New Roman" w:cs="Times New Roman"/>
          <w:sz w:val="24"/>
          <w:szCs w:val="24"/>
        </w:rPr>
        <w:t xml:space="preserve">La DdP celebra la participación activa de las personas mayores de 18 años en Venezuela, en las distintas elecciones llevadas a cabo en el país durante los últimos diez años. </w:t>
      </w:r>
      <w:r w:rsidR="00DB6AB0" w:rsidRPr="00983608">
        <w:rPr>
          <w:rFonts w:ascii="Times New Roman" w:hAnsi="Times New Roman" w:cs="Times New Roman"/>
          <w:sz w:val="24"/>
          <w:szCs w:val="24"/>
        </w:rPr>
        <w:t xml:space="preserve">En la </w:t>
      </w:r>
      <w:r w:rsidR="00983608" w:rsidRPr="00983608">
        <w:rPr>
          <w:rFonts w:ascii="Times New Roman" w:hAnsi="Times New Roman" w:cs="Times New Roman"/>
          <w:sz w:val="24"/>
          <w:szCs w:val="24"/>
        </w:rPr>
        <w:t xml:space="preserve">elección presidencial </w:t>
      </w:r>
      <w:r w:rsidR="00DB6AB0" w:rsidRPr="00983608">
        <w:rPr>
          <w:rFonts w:ascii="Times New Roman" w:hAnsi="Times New Roman" w:cs="Times New Roman"/>
          <w:sz w:val="24"/>
          <w:szCs w:val="24"/>
        </w:rPr>
        <w:t xml:space="preserve">2012 se registró una de las participaciones más altas en la historia electoral del país, ya que más de 15 millones de electores y electoras acudieron a ejercer su derecho al sufragio, representando más del 80% de los inscritos e inscritas en el </w:t>
      </w:r>
      <w:r w:rsidR="00C0734E" w:rsidRPr="00983608">
        <w:rPr>
          <w:rFonts w:ascii="Times New Roman" w:hAnsi="Times New Roman" w:cs="Times New Roman"/>
          <w:spacing w:val="-2"/>
          <w:sz w:val="24"/>
          <w:szCs w:val="24"/>
          <w:lang w:val="es-ES"/>
        </w:rPr>
        <w:t>Registro Electoral</w:t>
      </w:r>
      <w:r w:rsidR="00C0734E" w:rsidRPr="00983608">
        <w:rPr>
          <w:rFonts w:ascii="Times New Roman" w:hAnsi="Times New Roman" w:cs="Times New Roman"/>
          <w:sz w:val="24"/>
          <w:szCs w:val="24"/>
        </w:rPr>
        <w:t xml:space="preserve"> (</w:t>
      </w:r>
      <w:r w:rsidR="00DB6AB0" w:rsidRPr="00983608">
        <w:rPr>
          <w:rFonts w:ascii="Times New Roman" w:hAnsi="Times New Roman" w:cs="Times New Roman"/>
          <w:sz w:val="24"/>
          <w:szCs w:val="24"/>
        </w:rPr>
        <w:t>RE</w:t>
      </w:r>
      <w:r w:rsidR="00C0734E" w:rsidRPr="00983608">
        <w:rPr>
          <w:rFonts w:ascii="Times New Roman" w:hAnsi="Times New Roman" w:cs="Times New Roman"/>
          <w:sz w:val="24"/>
          <w:szCs w:val="24"/>
        </w:rPr>
        <w:t>)</w:t>
      </w:r>
      <w:r w:rsidR="00DB6AB0" w:rsidRPr="00983608">
        <w:rPr>
          <w:rFonts w:ascii="Times New Roman" w:hAnsi="Times New Roman" w:cs="Times New Roman"/>
          <w:sz w:val="24"/>
          <w:szCs w:val="24"/>
        </w:rPr>
        <w:t>. Fue reafirmado</w:t>
      </w:r>
      <w:r w:rsidR="00C0734E" w:rsidRPr="00983608">
        <w:rPr>
          <w:rFonts w:ascii="Times New Roman" w:hAnsi="Times New Roman" w:cs="Times New Roman"/>
          <w:sz w:val="24"/>
          <w:szCs w:val="24"/>
        </w:rPr>
        <w:t>,</w:t>
      </w:r>
      <w:r w:rsidR="00DB6AB0" w:rsidRPr="00983608">
        <w:rPr>
          <w:rFonts w:ascii="Times New Roman" w:hAnsi="Times New Roman" w:cs="Times New Roman"/>
          <w:sz w:val="24"/>
          <w:szCs w:val="24"/>
        </w:rPr>
        <w:t xml:space="preserve"> el talante democrático y la confianza de la población</w:t>
      </w:r>
      <w:r w:rsidR="00C0734E" w:rsidRPr="00983608">
        <w:rPr>
          <w:rFonts w:ascii="Times New Roman" w:hAnsi="Times New Roman" w:cs="Times New Roman"/>
          <w:sz w:val="24"/>
          <w:szCs w:val="24"/>
        </w:rPr>
        <w:t xml:space="preserve"> del país en el Poder Electoral,</w:t>
      </w:r>
      <w:r w:rsidR="00C0734E" w:rsidRPr="00983608">
        <w:rPr>
          <w:rFonts w:ascii="Times New Roman" w:hAnsi="Times New Roman" w:cs="Times New Roman"/>
          <w:spacing w:val="-2"/>
          <w:sz w:val="24"/>
          <w:szCs w:val="24"/>
          <w:lang w:val="es-ES"/>
        </w:rPr>
        <w:t xml:space="preserve"> lo cual redundó en la abstención más baja de la historia electoral venezolana, ubicándose en 19,33% del total del RE, es decir, 3 millones 596 mil 214 personas.</w:t>
      </w:r>
    </w:p>
    <w:p w:rsidR="003C5EF1" w:rsidRPr="003C5EF1" w:rsidRDefault="003C5EF1" w:rsidP="00DB6AB0">
      <w:pPr>
        <w:spacing w:before="120" w:after="120" w:line="240" w:lineRule="auto"/>
        <w:jc w:val="both"/>
        <w:rPr>
          <w:rFonts w:ascii="Times New Roman" w:hAnsi="Times New Roman" w:cs="Times New Roman"/>
          <w:b/>
          <w:sz w:val="20"/>
        </w:rPr>
      </w:pPr>
      <w:r w:rsidRPr="003C5EF1">
        <w:rPr>
          <w:rFonts w:ascii="Times New Roman" w:hAnsi="Times New Roman" w:cs="Times New Roman"/>
          <w:b/>
          <w:sz w:val="20"/>
        </w:rPr>
        <w:t>Derechos de las mujeres a una vida libre de violencia</w:t>
      </w:r>
    </w:p>
    <w:p w:rsidR="0026557D" w:rsidRPr="00983608" w:rsidRDefault="00E06CBF" w:rsidP="0026557D">
      <w:pPr>
        <w:spacing w:before="120" w:after="120" w:line="240" w:lineRule="auto"/>
        <w:jc w:val="both"/>
        <w:rPr>
          <w:rFonts w:ascii="Times New Roman" w:hAnsi="Times New Roman" w:cs="Times New Roman"/>
          <w:sz w:val="24"/>
          <w:szCs w:val="24"/>
          <w:lang w:val="es-ES"/>
        </w:rPr>
      </w:pPr>
      <w:r>
        <w:rPr>
          <w:rFonts w:ascii="Times New Roman" w:hAnsi="Times New Roman" w:cs="Times New Roman"/>
          <w:sz w:val="24"/>
          <w:szCs w:val="24"/>
          <w:lang w:val="es-ES"/>
        </w:rPr>
        <w:t>73</w:t>
      </w:r>
      <w:r w:rsidR="00287D71" w:rsidRPr="00983608">
        <w:rPr>
          <w:rFonts w:ascii="Times New Roman" w:hAnsi="Times New Roman" w:cs="Times New Roman"/>
          <w:sz w:val="24"/>
          <w:szCs w:val="24"/>
          <w:lang w:val="es-ES"/>
        </w:rPr>
        <w:t xml:space="preserve">. </w:t>
      </w:r>
      <w:r w:rsidR="000E793E" w:rsidRPr="00983608">
        <w:rPr>
          <w:rFonts w:ascii="Times New Roman" w:hAnsi="Times New Roman" w:cs="Times New Roman"/>
          <w:sz w:val="24"/>
          <w:szCs w:val="24"/>
          <w:lang w:val="es-ES"/>
        </w:rPr>
        <w:t>La</w:t>
      </w:r>
      <w:r w:rsidR="003C5EF1" w:rsidRPr="00983608">
        <w:rPr>
          <w:rFonts w:ascii="Times New Roman" w:hAnsi="Times New Roman" w:cs="Times New Roman"/>
          <w:sz w:val="24"/>
          <w:szCs w:val="24"/>
          <w:lang w:val="es-ES"/>
        </w:rPr>
        <w:t xml:space="preserve"> DdP estima de gran relevancia la Ley Orgánica del Derecho de las Mujeres a una vida libre de Violencia, con la cual </w:t>
      </w:r>
      <w:r w:rsidR="0026557D" w:rsidRPr="00983608">
        <w:rPr>
          <w:rFonts w:ascii="Times New Roman" w:hAnsi="Times New Roman" w:cs="Times New Roman"/>
          <w:sz w:val="24"/>
          <w:szCs w:val="24"/>
          <w:lang w:val="es-ES"/>
        </w:rPr>
        <w:t xml:space="preserve">se fortalece </w:t>
      </w:r>
      <w:r w:rsidR="000E793E" w:rsidRPr="00983608">
        <w:rPr>
          <w:rFonts w:ascii="Times New Roman" w:hAnsi="Times New Roman" w:cs="Times New Roman"/>
          <w:sz w:val="24"/>
          <w:szCs w:val="24"/>
          <w:lang w:val="es-ES"/>
        </w:rPr>
        <w:t>el marco procesal al establecer un procedimiento especial con sus lapsos, recursos y jurisdicción propia; el establecimiento de medidas de seguridad y protección, así como de medidas cautelares, las cuales son de aplicación inmediata y preferente a las establecidas en la Ley de Protección de Víctimas, Testi</w:t>
      </w:r>
      <w:r w:rsidR="0026557D" w:rsidRPr="00983608">
        <w:rPr>
          <w:rFonts w:ascii="Times New Roman" w:hAnsi="Times New Roman" w:cs="Times New Roman"/>
          <w:sz w:val="24"/>
          <w:szCs w:val="24"/>
          <w:lang w:val="es-ES"/>
        </w:rPr>
        <w:t>gos y demás sujetos procesales, además de la creación de oficinas especializadas para la recepción de denuncias de violencia contra la mujer.</w:t>
      </w:r>
    </w:p>
    <w:p w:rsidR="0026557D" w:rsidRPr="00983608" w:rsidRDefault="00E717FA" w:rsidP="000E793E">
      <w:pPr>
        <w:spacing w:before="120" w:after="120" w:line="240" w:lineRule="auto"/>
        <w:jc w:val="both"/>
        <w:rPr>
          <w:rFonts w:ascii="Times New Roman" w:hAnsi="Times New Roman" w:cs="Times New Roman"/>
          <w:sz w:val="24"/>
          <w:szCs w:val="24"/>
          <w:lang w:val="es-ES"/>
        </w:rPr>
      </w:pPr>
      <w:r>
        <w:rPr>
          <w:rFonts w:ascii="Times New Roman" w:hAnsi="Times New Roman" w:cs="Times New Roman"/>
          <w:sz w:val="24"/>
          <w:szCs w:val="24"/>
          <w:lang w:val="es-ES"/>
        </w:rPr>
        <w:lastRenderedPageBreak/>
        <w:t>7</w:t>
      </w:r>
      <w:r w:rsidR="00E06CBF">
        <w:rPr>
          <w:rFonts w:ascii="Times New Roman" w:hAnsi="Times New Roman" w:cs="Times New Roman"/>
          <w:sz w:val="24"/>
          <w:szCs w:val="24"/>
          <w:lang w:val="es-ES"/>
        </w:rPr>
        <w:t>4</w:t>
      </w:r>
      <w:r w:rsidR="00287D71" w:rsidRPr="00983608">
        <w:rPr>
          <w:rFonts w:ascii="Times New Roman" w:hAnsi="Times New Roman" w:cs="Times New Roman"/>
          <w:sz w:val="24"/>
          <w:szCs w:val="24"/>
          <w:lang w:val="es-ES"/>
        </w:rPr>
        <w:t>. C</w:t>
      </w:r>
      <w:r w:rsidR="0026557D" w:rsidRPr="00983608">
        <w:rPr>
          <w:rFonts w:ascii="Times New Roman" w:hAnsi="Times New Roman" w:cs="Times New Roman"/>
          <w:sz w:val="24"/>
          <w:szCs w:val="24"/>
          <w:lang w:val="es-ES"/>
        </w:rPr>
        <w:t xml:space="preserve">elebra </w:t>
      </w:r>
      <w:r w:rsidR="005A6458" w:rsidRPr="00983608">
        <w:rPr>
          <w:rFonts w:ascii="Times New Roman" w:hAnsi="Times New Roman" w:cs="Times New Roman"/>
          <w:sz w:val="24"/>
          <w:szCs w:val="24"/>
          <w:lang w:val="es-ES"/>
        </w:rPr>
        <w:t xml:space="preserve">las acciones que han seguido luego de la puesta en vigencia de esta Ley: creación de la Comisión Nacional de Justicia de Género del Tribunal Supremo de Justicia, a fin de garantizar el desarrollo y diseño de políticas judiciales tendientes a optimizar el sistema de justicia de género y el fortalecimiento del enlace entre los Tribunales de Violencia contra la Mujer y los Consejos Comunales; </w:t>
      </w:r>
      <w:r w:rsidR="0026557D" w:rsidRPr="00983608">
        <w:rPr>
          <w:rFonts w:ascii="Times New Roman" w:hAnsi="Times New Roman" w:cs="Times New Roman"/>
          <w:sz w:val="24"/>
          <w:szCs w:val="24"/>
          <w:lang w:val="es-ES"/>
        </w:rPr>
        <w:t>la creación de la Dirección de Defensa de la Mujer del Ministerio Público</w:t>
      </w:r>
      <w:r w:rsidR="005A6458" w:rsidRPr="00983608">
        <w:rPr>
          <w:rFonts w:ascii="Times New Roman" w:hAnsi="Times New Roman" w:cs="Times New Roman"/>
          <w:sz w:val="24"/>
          <w:szCs w:val="24"/>
          <w:lang w:val="es-ES"/>
        </w:rPr>
        <w:t xml:space="preserve"> que cuenta con 61 Fiscalías adscritas, 42 Despachos Fiscales comisionados dependientes de la Dirección de Delitos Comunes y 17 Fiscalías Municipales, para un total de 120 Fiscalías para garantizar una atención adecuada a las mujeres víctimas de violencias</w:t>
      </w:r>
      <w:r w:rsidR="00287D71" w:rsidRPr="00983608">
        <w:rPr>
          <w:rFonts w:ascii="Times New Roman" w:hAnsi="Times New Roman" w:cs="Times New Roman"/>
          <w:sz w:val="24"/>
          <w:szCs w:val="24"/>
          <w:lang w:val="es-ES"/>
        </w:rPr>
        <w:t>.</w:t>
      </w:r>
    </w:p>
    <w:p w:rsidR="00894DA5" w:rsidRPr="00983608" w:rsidRDefault="00E06CBF" w:rsidP="00894DA5">
      <w:pPr>
        <w:pStyle w:val="Textoindependiente"/>
        <w:spacing w:before="120" w:after="120"/>
        <w:jc w:val="both"/>
        <w:rPr>
          <w:b w:val="0"/>
        </w:rPr>
      </w:pPr>
      <w:r>
        <w:rPr>
          <w:b w:val="0"/>
        </w:rPr>
        <w:t>75</w:t>
      </w:r>
      <w:r w:rsidR="00983608" w:rsidRPr="00983608">
        <w:rPr>
          <w:b w:val="0"/>
        </w:rPr>
        <w:t xml:space="preserve">. </w:t>
      </w:r>
      <w:r w:rsidR="00252DC2" w:rsidRPr="00983608">
        <w:rPr>
          <w:b w:val="0"/>
        </w:rPr>
        <w:t>La Institución valora de manera positiva, la</w:t>
      </w:r>
      <w:r w:rsidR="00EB1DAF" w:rsidRPr="00983608">
        <w:rPr>
          <w:b w:val="0"/>
        </w:rPr>
        <w:t>s diversas</w:t>
      </w:r>
      <w:r w:rsidR="00252DC2" w:rsidRPr="00983608">
        <w:rPr>
          <w:b w:val="0"/>
        </w:rPr>
        <w:t xml:space="preserve"> campaña</w:t>
      </w:r>
      <w:r w:rsidR="00EB1DAF" w:rsidRPr="00983608">
        <w:rPr>
          <w:b w:val="0"/>
        </w:rPr>
        <w:t>s que se han diseñado para concien</w:t>
      </w:r>
      <w:r w:rsidR="00983608">
        <w:rPr>
          <w:b w:val="0"/>
        </w:rPr>
        <w:t>ci</w:t>
      </w:r>
      <w:r w:rsidR="00EB1DAF" w:rsidRPr="00983608">
        <w:rPr>
          <w:b w:val="0"/>
        </w:rPr>
        <w:t>ar a la población sobre la violencia contra la mujer y las formas de prevenirla:</w:t>
      </w:r>
      <w:r w:rsidR="00252DC2" w:rsidRPr="00983608">
        <w:rPr>
          <w:b w:val="0"/>
        </w:rPr>
        <w:t xml:space="preserve"> “</w:t>
      </w:r>
      <w:r w:rsidR="00252DC2" w:rsidRPr="00983608">
        <w:rPr>
          <w:b w:val="0"/>
          <w:i/>
        </w:rPr>
        <w:t>Cuenta Tres, Saca lo Mejor de Ti</w:t>
      </w:r>
      <w:r w:rsidR="00252DC2" w:rsidRPr="00983608">
        <w:rPr>
          <w:b w:val="0"/>
        </w:rPr>
        <w:t>”</w:t>
      </w:r>
      <w:r w:rsidR="00EB1DAF" w:rsidRPr="00983608">
        <w:rPr>
          <w:b w:val="0"/>
        </w:rPr>
        <w:t xml:space="preserve"> (2006) y </w:t>
      </w:r>
      <w:r w:rsidR="00252DC2" w:rsidRPr="0027236E">
        <w:rPr>
          <w:b w:val="0"/>
          <w:i/>
        </w:rPr>
        <w:t xml:space="preserve">“Restemos Violencia. Sumemos Respeto” </w:t>
      </w:r>
      <w:r w:rsidR="00EB1DAF" w:rsidRPr="00983608">
        <w:rPr>
          <w:b w:val="0"/>
        </w:rPr>
        <w:t xml:space="preserve">(2008). </w:t>
      </w:r>
    </w:p>
    <w:p w:rsidR="00287D71" w:rsidRPr="00287D71" w:rsidRDefault="00287D71" w:rsidP="000E793E">
      <w:pPr>
        <w:spacing w:before="120" w:after="120" w:line="240" w:lineRule="auto"/>
        <w:jc w:val="both"/>
        <w:rPr>
          <w:rFonts w:ascii="Times New Roman" w:hAnsi="Times New Roman" w:cs="Times New Roman"/>
          <w:b/>
          <w:sz w:val="20"/>
        </w:rPr>
      </w:pPr>
      <w:r w:rsidRPr="00C422D3">
        <w:rPr>
          <w:rFonts w:ascii="Times New Roman" w:hAnsi="Times New Roman" w:cs="Times New Roman"/>
          <w:b/>
          <w:sz w:val="20"/>
        </w:rPr>
        <w:t>Trata</w:t>
      </w:r>
      <w:r w:rsidR="00C422D3">
        <w:rPr>
          <w:rFonts w:ascii="Times New Roman" w:hAnsi="Times New Roman" w:cs="Times New Roman"/>
          <w:b/>
          <w:sz w:val="20"/>
        </w:rPr>
        <w:t xml:space="preserve"> </w:t>
      </w:r>
      <w:r w:rsidRPr="00C422D3">
        <w:rPr>
          <w:rFonts w:ascii="Times New Roman" w:hAnsi="Times New Roman" w:cs="Times New Roman"/>
          <w:b/>
          <w:sz w:val="20"/>
        </w:rPr>
        <w:t xml:space="preserve">de </w:t>
      </w:r>
      <w:r w:rsidR="00C422D3" w:rsidRPr="00C422D3">
        <w:rPr>
          <w:rFonts w:ascii="Times New Roman" w:hAnsi="Times New Roman" w:cs="Times New Roman"/>
          <w:b/>
          <w:sz w:val="20"/>
        </w:rPr>
        <w:t>personas</w:t>
      </w:r>
    </w:p>
    <w:p w:rsidR="00662F47" w:rsidRPr="006A0B3E" w:rsidRDefault="00E06CBF" w:rsidP="00662F47">
      <w:pPr>
        <w:spacing w:before="120" w:after="120" w:line="240" w:lineRule="auto"/>
        <w:jc w:val="both"/>
        <w:rPr>
          <w:rFonts w:ascii="Times New Roman" w:hAnsi="Times New Roman" w:cs="Times New Roman"/>
          <w:sz w:val="24"/>
          <w:szCs w:val="24"/>
        </w:rPr>
      </w:pPr>
      <w:r w:rsidRPr="006A0B3E">
        <w:rPr>
          <w:rFonts w:ascii="Times New Roman" w:hAnsi="Times New Roman" w:cs="Times New Roman"/>
          <w:sz w:val="24"/>
          <w:szCs w:val="24"/>
        </w:rPr>
        <w:t>76</w:t>
      </w:r>
      <w:r w:rsidR="00F5688A" w:rsidRPr="006A0B3E">
        <w:rPr>
          <w:rFonts w:ascii="Times New Roman" w:hAnsi="Times New Roman" w:cs="Times New Roman"/>
          <w:sz w:val="24"/>
          <w:szCs w:val="24"/>
        </w:rPr>
        <w:t xml:space="preserve">. </w:t>
      </w:r>
      <w:r w:rsidR="006820AE" w:rsidRPr="006A0B3E">
        <w:rPr>
          <w:rFonts w:ascii="Times New Roman" w:hAnsi="Times New Roman" w:cs="Times New Roman"/>
          <w:sz w:val="24"/>
          <w:szCs w:val="24"/>
        </w:rPr>
        <w:t>En el ámbito internacional, el Estado venezolano ha suscrito y ratificado una serie de  pactos, convenciones, protocolos y demás acuerdos internacionales vinculados directamente a la lucha contra el delito de la trata de personas y el respeto de los derechos  humanos de las  víctimas de esta tipología criminal.</w:t>
      </w:r>
    </w:p>
    <w:p w:rsidR="005F1953" w:rsidRPr="00F5688A" w:rsidRDefault="00E717FA" w:rsidP="005F1953">
      <w:pPr>
        <w:spacing w:before="120" w:after="120" w:line="240" w:lineRule="auto"/>
        <w:ind w:left="3"/>
        <w:jc w:val="both"/>
        <w:rPr>
          <w:rFonts w:ascii="Times New Roman" w:hAnsi="Times New Roman" w:cs="Times New Roman"/>
        </w:rPr>
      </w:pPr>
      <w:r>
        <w:rPr>
          <w:rFonts w:ascii="Times New Roman" w:hAnsi="Times New Roman" w:cs="Times New Roman"/>
          <w:sz w:val="24"/>
          <w:szCs w:val="24"/>
        </w:rPr>
        <w:t>7</w:t>
      </w:r>
      <w:r w:rsidR="00E06CBF">
        <w:rPr>
          <w:rFonts w:ascii="Times New Roman" w:hAnsi="Times New Roman" w:cs="Times New Roman"/>
          <w:sz w:val="24"/>
          <w:szCs w:val="24"/>
        </w:rPr>
        <w:t>7</w:t>
      </w:r>
      <w:r w:rsidR="00F5688A" w:rsidRPr="00F5688A">
        <w:rPr>
          <w:rFonts w:ascii="Times New Roman" w:hAnsi="Times New Roman" w:cs="Times New Roman"/>
          <w:sz w:val="24"/>
          <w:szCs w:val="24"/>
        </w:rPr>
        <w:t xml:space="preserve">. </w:t>
      </w:r>
      <w:r w:rsidR="006820AE" w:rsidRPr="006820AE">
        <w:rPr>
          <w:rFonts w:ascii="Times New Roman" w:hAnsi="Times New Roman" w:cs="Times New Roman"/>
          <w:sz w:val="24"/>
          <w:szCs w:val="24"/>
        </w:rPr>
        <w:t xml:space="preserve">Entre ellos: la Convención 29 de la Organización Internacional del Trabajo (OIT) sobre el Trabajo Forzoso, la Convención 105 de la OIT sobre la Abolición del Trabajo Forzoso, el Convenio para la Represión de la Trata de Personas y de la Explotación de la Prostitución Ajena, el Pacto de los Derechos Civiles y Políticos, la Convención Americana de Derechos Humanos, la Convención sobre la Eliminación de todas las formas de Violencia contra la Mujer, el Convenio 138 de la OIT sobre la Edad Mínima de Vinculación al Trabajo, la Convección de los Derechos del Niño, la Convención Interamericana para Prevenir, Sancionar y Erradicar la Violencia contra  la Mujer, el Estatuto de Roma, el Convenio 182 de la OIT sobre las peores formas de Trabajo Infantil, la Convención de las Naciones Unidas contra la Delincuencia Organizada Trasnacional, el Protocolo para Prevenir, Reprimir y Sancionar la Trata de Personas, especialmente la de Mujeres y Niños, el Protocolo Facultativo de la Convención sobre los Derechos del Niño relativo a la Venta de Niños, Prostitución Infantil  y utilización de Niños en la Pornografía, el Protocolo Contra el Tráfico Ilícito de Migrantes por Tierra, Mar y Aire, y el Plan de Acción para la Lucha contra la Trata de Personas entre los Estados Parte del MERCOSUR y Estados asociados. </w:t>
      </w:r>
      <w:r w:rsidR="005F1953" w:rsidRPr="00F5688A">
        <w:rPr>
          <w:rFonts w:ascii="Times New Roman" w:hAnsi="Times New Roman" w:cs="Times New Roman"/>
        </w:rPr>
        <w:t xml:space="preserve"> </w:t>
      </w:r>
    </w:p>
    <w:p w:rsidR="006820AE" w:rsidRPr="006820AE" w:rsidRDefault="00E06CBF" w:rsidP="006820AE">
      <w:pPr>
        <w:jc w:val="both"/>
        <w:rPr>
          <w:rFonts w:ascii="Times New Roman" w:hAnsi="Times New Roman" w:cs="Times New Roman"/>
          <w:bCs/>
          <w:sz w:val="24"/>
          <w:szCs w:val="24"/>
        </w:rPr>
      </w:pPr>
      <w:r>
        <w:rPr>
          <w:rFonts w:ascii="Times New Roman" w:hAnsi="Times New Roman" w:cs="Times New Roman"/>
          <w:sz w:val="24"/>
          <w:szCs w:val="24"/>
          <w:lang w:val="es-ES"/>
        </w:rPr>
        <w:t>78</w:t>
      </w:r>
      <w:r w:rsidR="00F5688A" w:rsidRPr="006820AE">
        <w:rPr>
          <w:rFonts w:ascii="Times New Roman" w:hAnsi="Times New Roman" w:cs="Times New Roman"/>
          <w:sz w:val="24"/>
          <w:szCs w:val="24"/>
          <w:lang w:val="es-ES"/>
        </w:rPr>
        <w:t xml:space="preserve">. </w:t>
      </w:r>
      <w:r w:rsidR="006820AE" w:rsidRPr="006820AE">
        <w:rPr>
          <w:rFonts w:ascii="Times New Roman" w:hAnsi="Times New Roman" w:cs="Times New Roman"/>
          <w:sz w:val="24"/>
          <w:szCs w:val="24"/>
        </w:rPr>
        <w:t xml:space="preserve">La DdP celebra que en materia legislativa, el Estado venezolano cuente con una amplia normativa que sancione la trata de personas y proteja a las víctimas de esta tipología criminal, en especial a los niños, niñas, adolescentes y mujeres, dando cumplimiento a los establecido en el artículo 23 y 54 de la CRVB. No obstante, a pesar que se está a la espera de la discusión y aprobación del  “Proyecto de Ley contra la Trata de Personas”, por parte </w:t>
      </w:r>
      <w:r w:rsidR="006820AE" w:rsidRPr="006820AE">
        <w:rPr>
          <w:rFonts w:ascii="Times New Roman" w:hAnsi="Times New Roman" w:cs="Times New Roman"/>
          <w:sz w:val="24"/>
          <w:szCs w:val="24"/>
        </w:rPr>
        <w:lastRenderedPageBreak/>
        <w:t>del Poder Legislativo, Venezuela</w:t>
      </w:r>
      <w:r w:rsidR="006820AE" w:rsidRPr="006820AE">
        <w:rPr>
          <w:rStyle w:val="Refdenotaalpie"/>
          <w:rFonts w:ascii="Times New Roman" w:hAnsi="Times New Roman" w:cs="Times New Roman"/>
          <w:sz w:val="24"/>
          <w:szCs w:val="24"/>
        </w:rPr>
        <w:footnoteReference w:id="26"/>
      </w:r>
      <w:r w:rsidR="006820AE" w:rsidRPr="006820AE">
        <w:rPr>
          <w:rFonts w:ascii="Times New Roman" w:hAnsi="Times New Roman" w:cs="Times New Roman"/>
          <w:sz w:val="24"/>
          <w:szCs w:val="24"/>
        </w:rPr>
        <w:t xml:space="preserve">, cuenta con diferentes instrumentos jurídicos que tipifican prohíben y sancionan esta categoría delictiva. Entre ellas se destaca, el artículo 41 de la  </w:t>
      </w:r>
      <w:r w:rsidR="006820AE" w:rsidRPr="006820AE">
        <w:rPr>
          <w:rFonts w:ascii="Times New Roman" w:hAnsi="Times New Roman" w:cs="Times New Roman"/>
          <w:bCs/>
          <w:sz w:val="24"/>
          <w:szCs w:val="24"/>
        </w:rPr>
        <w:t>Ley Orgánica contra la Delincuencia Organizada y Financiamiento al Terrorismo</w:t>
      </w:r>
      <w:r w:rsidR="006820AE" w:rsidRPr="006820AE">
        <w:rPr>
          <w:rStyle w:val="Refdenotaalpie"/>
          <w:rFonts w:ascii="Times New Roman" w:hAnsi="Times New Roman" w:cs="Times New Roman"/>
          <w:bCs/>
          <w:sz w:val="24"/>
          <w:szCs w:val="24"/>
        </w:rPr>
        <w:footnoteReference w:id="27"/>
      </w:r>
      <w:r w:rsidR="006820AE" w:rsidRPr="006820AE">
        <w:rPr>
          <w:rFonts w:ascii="Times New Roman" w:hAnsi="Times New Roman" w:cs="Times New Roman"/>
          <w:bCs/>
          <w:sz w:val="24"/>
          <w:szCs w:val="24"/>
        </w:rPr>
        <w:t>; artículos 33, 38,40, 231, 238, 255, 256, 266,</w:t>
      </w:r>
      <w:r w:rsidR="00876688">
        <w:rPr>
          <w:rFonts w:ascii="Times New Roman" w:hAnsi="Times New Roman" w:cs="Times New Roman"/>
          <w:bCs/>
          <w:sz w:val="24"/>
          <w:szCs w:val="24"/>
        </w:rPr>
        <w:t xml:space="preserve"> </w:t>
      </w:r>
      <w:r w:rsidR="006820AE" w:rsidRPr="006820AE">
        <w:rPr>
          <w:rFonts w:ascii="Times New Roman" w:hAnsi="Times New Roman" w:cs="Times New Roman"/>
          <w:bCs/>
          <w:sz w:val="24"/>
          <w:szCs w:val="24"/>
        </w:rPr>
        <w:t>267 y 268 de la Lopnna;  artículos 15 numeral 19 y 56 de la Ley Orgánica sobre el Derecho de las Mujeres a una Vida Libre de Violencia</w:t>
      </w:r>
      <w:r w:rsidR="006820AE" w:rsidRPr="006820AE">
        <w:rPr>
          <w:rStyle w:val="Refdenotaalpie"/>
          <w:rFonts w:ascii="Times New Roman" w:hAnsi="Times New Roman" w:cs="Times New Roman"/>
          <w:bCs/>
          <w:sz w:val="24"/>
          <w:szCs w:val="24"/>
        </w:rPr>
        <w:footnoteReference w:id="28"/>
      </w:r>
      <w:r w:rsidR="006820AE" w:rsidRPr="006820AE">
        <w:rPr>
          <w:rFonts w:ascii="Times New Roman" w:hAnsi="Times New Roman" w:cs="Times New Roman"/>
          <w:bCs/>
          <w:sz w:val="24"/>
          <w:szCs w:val="24"/>
        </w:rPr>
        <w:t>; art. 53 de la Ley de Migración y Extranjería</w:t>
      </w:r>
      <w:r w:rsidR="006820AE" w:rsidRPr="006820AE">
        <w:rPr>
          <w:rStyle w:val="Refdenotaalpie"/>
          <w:rFonts w:ascii="Times New Roman" w:hAnsi="Times New Roman" w:cs="Times New Roman"/>
          <w:bCs/>
          <w:sz w:val="24"/>
          <w:szCs w:val="24"/>
        </w:rPr>
        <w:footnoteReference w:id="29"/>
      </w:r>
      <w:r w:rsidR="006820AE" w:rsidRPr="006820AE">
        <w:rPr>
          <w:rFonts w:ascii="Times New Roman" w:hAnsi="Times New Roman" w:cs="Times New Roman"/>
          <w:bCs/>
          <w:sz w:val="24"/>
          <w:szCs w:val="24"/>
        </w:rPr>
        <w:t>, y los artículos 173,</w:t>
      </w:r>
      <w:r w:rsidR="006F432C">
        <w:rPr>
          <w:rFonts w:ascii="Times New Roman" w:hAnsi="Times New Roman" w:cs="Times New Roman"/>
          <w:bCs/>
          <w:sz w:val="24"/>
          <w:szCs w:val="24"/>
        </w:rPr>
        <w:t xml:space="preserve"> </w:t>
      </w:r>
      <w:r w:rsidR="006820AE" w:rsidRPr="006820AE">
        <w:rPr>
          <w:rFonts w:ascii="Times New Roman" w:hAnsi="Times New Roman" w:cs="Times New Roman"/>
          <w:bCs/>
          <w:sz w:val="24"/>
          <w:szCs w:val="24"/>
        </w:rPr>
        <w:t>174, y 387 del Código Penal</w:t>
      </w:r>
      <w:r w:rsidR="006820AE" w:rsidRPr="006820AE">
        <w:rPr>
          <w:rStyle w:val="Refdenotaalpie"/>
          <w:rFonts w:ascii="Times New Roman" w:hAnsi="Times New Roman" w:cs="Times New Roman"/>
          <w:bCs/>
          <w:sz w:val="24"/>
          <w:szCs w:val="24"/>
        </w:rPr>
        <w:footnoteReference w:id="30"/>
      </w:r>
      <w:r w:rsidR="006820AE" w:rsidRPr="006820AE">
        <w:rPr>
          <w:rFonts w:ascii="Times New Roman" w:hAnsi="Times New Roman" w:cs="Times New Roman"/>
          <w:bCs/>
          <w:sz w:val="24"/>
          <w:szCs w:val="24"/>
        </w:rPr>
        <w:t xml:space="preserve">.    </w:t>
      </w:r>
    </w:p>
    <w:p w:rsidR="000E793E" w:rsidRDefault="00E717FA" w:rsidP="00287D71">
      <w:pPr>
        <w:spacing w:before="120" w:after="120" w:line="240" w:lineRule="auto"/>
        <w:jc w:val="both"/>
        <w:rPr>
          <w:rFonts w:ascii="Times New Roman" w:hAnsi="Times New Roman" w:cs="Times New Roman"/>
          <w:bCs/>
          <w:sz w:val="24"/>
        </w:rPr>
      </w:pPr>
      <w:r>
        <w:rPr>
          <w:rFonts w:ascii="Times New Roman" w:hAnsi="Times New Roman" w:cs="Times New Roman"/>
          <w:sz w:val="24"/>
          <w:szCs w:val="24"/>
          <w:lang w:val="es-ES"/>
        </w:rPr>
        <w:t>7</w:t>
      </w:r>
      <w:r w:rsidR="00E06CBF">
        <w:rPr>
          <w:rFonts w:ascii="Times New Roman" w:hAnsi="Times New Roman" w:cs="Times New Roman"/>
          <w:sz w:val="24"/>
          <w:szCs w:val="24"/>
          <w:lang w:val="es-ES"/>
        </w:rPr>
        <w:t>9</w:t>
      </w:r>
      <w:r>
        <w:rPr>
          <w:rFonts w:ascii="Times New Roman" w:hAnsi="Times New Roman" w:cs="Times New Roman"/>
          <w:sz w:val="24"/>
          <w:szCs w:val="24"/>
          <w:lang w:val="es-ES"/>
        </w:rPr>
        <w:t xml:space="preserve">. </w:t>
      </w:r>
      <w:r w:rsidR="00287D71" w:rsidRPr="00F5688A">
        <w:rPr>
          <w:rFonts w:ascii="Times New Roman" w:hAnsi="Times New Roman" w:cs="Times New Roman"/>
          <w:sz w:val="24"/>
          <w:szCs w:val="24"/>
          <w:lang w:val="es-ES"/>
        </w:rPr>
        <w:t>La DdP valora positivamente que e</w:t>
      </w:r>
      <w:r w:rsidR="000E793E" w:rsidRPr="00F5688A">
        <w:rPr>
          <w:rFonts w:ascii="Times New Roman" w:hAnsi="Times New Roman" w:cs="Times New Roman"/>
          <w:sz w:val="24"/>
          <w:szCs w:val="24"/>
          <w:lang w:val="es-ES"/>
        </w:rPr>
        <w:t>l Estado venezolano</w:t>
      </w:r>
      <w:r w:rsidR="00287D71" w:rsidRPr="00F5688A">
        <w:rPr>
          <w:rFonts w:ascii="Times New Roman" w:hAnsi="Times New Roman" w:cs="Times New Roman"/>
          <w:sz w:val="24"/>
          <w:szCs w:val="24"/>
          <w:lang w:val="es-ES"/>
        </w:rPr>
        <w:t xml:space="preserve">, </w:t>
      </w:r>
      <w:r w:rsidR="000E793E" w:rsidRPr="00F5688A">
        <w:rPr>
          <w:rFonts w:ascii="Times New Roman" w:hAnsi="Times New Roman" w:cs="Times New Roman"/>
          <w:spacing w:val="-4"/>
          <w:sz w:val="24"/>
          <w:szCs w:val="24"/>
        </w:rPr>
        <w:t xml:space="preserve">a través </w:t>
      </w:r>
      <w:r w:rsidR="00287D71" w:rsidRPr="00F5688A">
        <w:rPr>
          <w:rFonts w:ascii="Times New Roman" w:hAnsi="Times New Roman" w:cs="Times New Roman"/>
          <w:spacing w:val="-4"/>
          <w:sz w:val="24"/>
          <w:szCs w:val="24"/>
        </w:rPr>
        <w:t>del</w:t>
      </w:r>
      <w:r w:rsidR="000E793E" w:rsidRPr="00F5688A">
        <w:rPr>
          <w:rFonts w:ascii="Times New Roman" w:hAnsi="Times New Roman" w:cs="Times New Roman"/>
          <w:spacing w:val="-4"/>
          <w:sz w:val="24"/>
          <w:szCs w:val="24"/>
        </w:rPr>
        <w:t xml:space="preserve"> Ministerio encargado de la seguridad ciudadana </w:t>
      </w:r>
      <w:r w:rsidR="00287D71" w:rsidRPr="00F5688A">
        <w:rPr>
          <w:rFonts w:ascii="Times New Roman" w:hAnsi="Times New Roman" w:cs="Times New Roman"/>
          <w:spacing w:val="-4"/>
          <w:sz w:val="24"/>
          <w:szCs w:val="24"/>
        </w:rPr>
        <w:t xml:space="preserve">haya </w:t>
      </w:r>
      <w:r w:rsidR="000E793E" w:rsidRPr="00F5688A">
        <w:rPr>
          <w:rFonts w:ascii="Times New Roman" w:hAnsi="Times New Roman" w:cs="Times New Roman"/>
          <w:spacing w:val="-4"/>
          <w:sz w:val="24"/>
          <w:szCs w:val="24"/>
        </w:rPr>
        <w:t>designa</w:t>
      </w:r>
      <w:r w:rsidR="00287D71" w:rsidRPr="00F5688A">
        <w:rPr>
          <w:rFonts w:ascii="Times New Roman" w:hAnsi="Times New Roman" w:cs="Times New Roman"/>
          <w:spacing w:val="-4"/>
          <w:sz w:val="24"/>
          <w:szCs w:val="24"/>
        </w:rPr>
        <w:t>do</w:t>
      </w:r>
      <w:r w:rsidR="000E793E" w:rsidRPr="00F5688A">
        <w:rPr>
          <w:rFonts w:ascii="Times New Roman" w:hAnsi="Times New Roman" w:cs="Times New Roman"/>
          <w:spacing w:val="-4"/>
          <w:sz w:val="24"/>
          <w:szCs w:val="24"/>
        </w:rPr>
        <w:t xml:space="preserve"> a la Dirección General de Prevención del Delito como </w:t>
      </w:r>
      <w:r w:rsidR="000E793E" w:rsidRPr="00F5688A">
        <w:rPr>
          <w:rFonts w:ascii="Times New Roman" w:hAnsi="Times New Roman" w:cs="Times New Roman"/>
          <w:i/>
          <w:iCs/>
          <w:spacing w:val="-4"/>
          <w:sz w:val="24"/>
          <w:szCs w:val="24"/>
        </w:rPr>
        <w:t>“autoridad central para la elaboración, coordinación y ejecución de las medidas preventivas y de cooperación previstas en el Art. 9 del Protocolo para Prevenir, Reprimir y Sancionar el delito de Trata de Personas, especialmente mujeres y niños que Complementa la Convención de las Naciones Unidas Contra la Delincuencia Organizada Trasnacional (Protocolo de Palermo, 2000)”</w:t>
      </w:r>
      <w:r w:rsidR="00316320">
        <w:rPr>
          <w:rFonts w:ascii="Times New Roman" w:hAnsi="Times New Roman" w:cs="Times New Roman"/>
          <w:iCs/>
          <w:spacing w:val="-4"/>
          <w:sz w:val="24"/>
          <w:szCs w:val="24"/>
        </w:rPr>
        <w:t xml:space="preserve"> y la implementación de un Plan Nacional sobre la materia</w:t>
      </w:r>
      <w:r w:rsidR="000E793E" w:rsidRPr="00F5688A">
        <w:rPr>
          <w:rFonts w:ascii="Times New Roman" w:hAnsi="Times New Roman" w:cs="Times New Roman"/>
          <w:spacing w:val="-4"/>
          <w:sz w:val="24"/>
          <w:szCs w:val="24"/>
        </w:rPr>
        <w:t>.</w:t>
      </w:r>
      <w:r w:rsidR="006820AE">
        <w:rPr>
          <w:rFonts w:ascii="Times New Roman" w:hAnsi="Times New Roman" w:cs="Times New Roman"/>
          <w:spacing w:val="-4"/>
          <w:sz w:val="24"/>
          <w:szCs w:val="24"/>
        </w:rPr>
        <w:t xml:space="preserve"> </w:t>
      </w:r>
      <w:r w:rsidR="006820AE" w:rsidRPr="006820AE">
        <w:rPr>
          <w:rFonts w:ascii="Times New Roman" w:hAnsi="Times New Roman" w:cs="Times New Roman"/>
          <w:bCs/>
          <w:sz w:val="24"/>
        </w:rPr>
        <w:t>En tal sentido, la Defensoría del Pueblo participó activamente en las reuniones interinstitucionales para el diseño de un Plan Nacional para prevenir, combatir y sancionar la trata de personas, así como asistir integralmente a las víctimas de este delito</w:t>
      </w:r>
      <w:r w:rsidR="006820AE" w:rsidRPr="006820AE">
        <w:rPr>
          <w:rStyle w:val="Refdenotaalpie"/>
          <w:rFonts w:ascii="Times New Roman" w:hAnsi="Times New Roman" w:cs="Times New Roman"/>
          <w:bCs/>
          <w:sz w:val="24"/>
        </w:rPr>
        <w:footnoteReference w:id="31"/>
      </w:r>
      <w:r w:rsidR="006820AE" w:rsidRPr="006820AE">
        <w:rPr>
          <w:rFonts w:ascii="Times New Roman" w:hAnsi="Times New Roman" w:cs="Times New Roman"/>
          <w:bCs/>
          <w:sz w:val="24"/>
        </w:rPr>
        <w:t>.</w:t>
      </w:r>
    </w:p>
    <w:p w:rsidR="006820AE" w:rsidRPr="006820AE" w:rsidRDefault="00E06CBF" w:rsidP="00287D71">
      <w:pPr>
        <w:spacing w:before="120" w:after="120" w:line="240" w:lineRule="auto"/>
        <w:jc w:val="both"/>
        <w:rPr>
          <w:rFonts w:ascii="Times New Roman" w:hAnsi="Times New Roman" w:cs="Times New Roman"/>
          <w:spacing w:val="-4"/>
          <w:sz w:val="24"/>
          <w:szCs w:val="24"/>
        </w:rPr>
      </w:pPr>
      <w:r>
        <w:rPr>
          <w:rFonts w:ascii="Times New Roman" w:hAnsi="Times New Roman" w:cs="Times New Roman"/>
          <w:spacing w:val="-4"/>
          <w:sz w:val="24"/>
          <w:szCs w:val="24"/>
        </w:rPr>
        <w:t>80</w:t>
      </w:r>
      <w:r w:rsidR="00E717FA">
        <w:rPr>
          <w:rFonts w:ascii="Times New Roman" w:hAnsi="Times New Roman" w:cs="Times New Roman"/>
          <w:spacing w:val="-4"/>
          <w:sz w:val="24"/>
          <w:szCs w:val="24"/>
        </w:rPr>
        <w:t xml:space="preserve">. </w:t>
      </w:r>
      <w:r w:rsidR="006820AE" w:rsidRPr="006820AE">
        <w:rPr>
          <w:rFonts w:ascii="Times New Roman" w:hAnsi="Times New Roman" w:cs="Times New Roman"/>
          <w:spacing w:val="-4"/>
          <w:sz w:val="24"/>
          <w:szCs w:val="24"/>
        </w:rPr>
        <w:t xml:space="preserve">Cabe destacar, que en 2013 esta responsabilidad </w:t>
      </w:r>
      <w:r w:rsidR="006820AE">
        <w:rPr>
          <w:rFonts w:ascii="Times New Roman" w:hAnsi="Times New Roman" w:cs="Times New Roman"/>
          <w:spacing w:val="-4"/>
          <w:sz w:val="24"/>
          <w:szCs w:val="24"/>
        </w:rPr>
        <w:t>fue asumida por</w:t>
      </w:r>
      <w:r w:rsidR="006820AE" w:rsidRPr="006820AE">
        <w:rPr>
          <w:rFonts w:ascii="Times New Roman" w:hAnsi="Times New Roman" w:cs="Times New Roman"/>
          <w:spacing w:val="-4"/>
          <w:sz w:val="24"/>
          <w:szCs w:val="24"/>
        </w:rPr>
        <w:t xml:space="preserve"> el Viceministerio del Sistema Integrado de Investigación Penal del Ministerio del Poder Popular para las Relaciones Interiores, Justicia y Paz, a través de la Oficina Nacional contra la Delincuencia Organizada y Financiamiento al Terrorismo.</w:t>
      </w:r>
    </w:p>
    <w:p w:rsidR="00FD1D21" w:rsidRPr="00287D71" w:rsidRDefault="00FD1D21" w:rsidP="00FD1D21">
      <w:pPr>
        <w:spacing w:before="120" w:after="120" w:line="240" w:lineRule="auto"/>
        <w:jc w:val="both"/>
        <w:rPr>
          <w:rFonts w:ascii="Times New Roman" w:hAnsi="Times New Roman" w:cs="Times New Roman"/>
          <w:b/>
          <w:sz w:val="20"/>
        </w:rPr>
      </w:pPr>
      <w:r w:rsidRPr="00287D71">
        <w:rPr>
          <w:rFonts w:ascii="Times New Roman" w:hAnsi="Times New Roman" w:cs="Times New Roman"/>
          <w:b/>
          <w:sz w:val="20"/>
        </w:rPr>
        <w:t>Participación de la mujer en los poderes públicos</w:t>
      </w:r>
      <w:r w:rsidR="0055180A">
        <w:rPr>
          <w:rFonts w:ascii="Times New Roman" w:hAnsi="Times New Roman" w:cs="Times New Roman"/>
          <w:b/>
          <w:sz w:val="20"/>
        </w:rPr>
        <w:t xml:space="preserve"> </w:t>
      </w:r>
    </w:p>
    <w:p w:rsidR="00FD1D21" w:rsidRDefault="00E06CBF" w:rsidP="00FD1D2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81</w:t>
      </w:r>
      <w:r w:rsidR="00F5688A" w:rsidRPr="00F5688A">
        <w:rPr>
          <w:rFonts w:ascii="Times New Roman" w:hAnsi="Times New Roman" w:cs="Times New Roman"/>
          <w:sz w:val="24"/>
          <w:szCs w:val="24"/>
        </w:rPr>
        <w:t xml:space="preserve">. </w:t>
      </w:r>
      <w:r w:rsidR="00FD1D21" w:rsidRPr="00F5688A">
        <w:rPr>
          <w:rFonts w:ascii="Times New Roman" w:hAnsi="Times New Roman" w:cs="Times New Roman"/>
          <w:sz w:val="24"/>
          <w:szCs w:val="24"/>
        </w:rPr>
        <w:t xml:space="preserve">La Institución reconoce la labor que vienen desarrollando todas las mujeres que se mantienen en cargos públicos de gran relevancia para el país. En todos los poderes públicos, existe presencia femenina, destacando que son las máximas representantes en el Poder Judicial, </w:t>
      </w:r>
      <w:r w:rsidR="009C6002">
        <w:rPr>
          <w:rFonts w:ascii="Times New Roman" w:hAnsi="Times New Roman" w:cs="Times New Roman"/>
          <w:sz w:val="24"/>
          <w:szCs w:val="24"/>
        </w:rPr>
        <w:t>y el Poder Electoral</w:t>
      </w:r>
      <w:r w:rsidR="00FD1D21" w:rsidRPr="00F5688A">
        <w:rPr>
          <w:rFonts w:ascii="Times New Roman" w:hAnsi="Times New Roman" w:cs="Times New Roman"/>
          <w:sz w:val="24"/>
          <w:szCs w:val="24"/>
        </w:rPr>
        <w:t xml:space="preserve">. No obstante, preocupa que la participación femenina en el Parlamento y en diversos espacios del Poder Ejecutivo, aún no alcance el nivel de paridad 50/50. </w:t>
      </w:r>
    </w:p>
    <w:p w:rsidR="0055180A" w:rsidRPr="00287D71" w:rsidRDefault="0055180A" w:rsidP="0055180A">
      <w:pPr>
        <w:spacing w:before="120" w:after="120" w:line="240" w:lineRule="auto"/>
        <w:jc w:val="both"/>
        <w:rPr>
          <w:rFonts w:ascii="Times New Roman" w:hAnsi="Times New Roman" w:cs="Times New Roman"/>
          <w:b/>
          <w:sz w:val="20"/>
        </w:rPr>
      </w:pPr>
      <w:r w:rsidRPr="00287D71">
        <w:rPr>
          <w:rFonts w:ascii="Times New Roman" w:hAnsi="Times New Roman" w:cs="Times New Roman"/>
          <w:b/>
          <w:sz w:val="20"/>
        </w:rPr>
        <w:t xml:space="preserve">Participación de la mujer en </w:t>
      </w:r>
      <w:r>
        <w:rPr>
          <w:rFonts w:ascii="Times New Roman" w:hAnsi="Times New Roman" w:cs="Times New Roman"/>
          <w:b/>
          <w:sz w:val="20"/>
        </w:rPr>
        <w:t xml:space="preserve">la gestión comunitaria </w:t>
      </w:r>
    </w:p>
    <w:p w:rsidR="003E518C" w:rsidRPr="00F5688A" w:rsidRDefault="00E06CBF" w:rsidP="00FD1D2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82</w:t>
      </w:r>
      <w:r w:rsidR="00E717FA" w:rsidRPr="00E717FA">
        <w:rPr>
          <w:rFonts w:ascii="Times New Roman" w:hAnsi="Times New Roman" w:cs="Times New Roman"/>
          <w:sz w:val="24"/>
          <w:szCs w:val="24"/>
        </w:rPr>
        <w:t xml:space="preserve">. </w:t>
      </w:r>
      <w:r w:rsidR="003E518C" w:rsidRPr="00E717FA">
        <w:rPr>
          <w:rFonts w:ascii="Times New Roman" w:hAnsi="Times New Roman" w:cs="Times New Roman"/>
          <w:sz w:val="24"/>
          <w:szCs w:val="24"/>
        </w:rPr>
        <w:t>La DdP resalta la incorporación de las mujeres en las nuevas formas de participación política y protagónica tomando los espacios comunitarios y populares. Las cifras del Ministerio del Poder Popular para las Comunas y Protección Social, destacan que las mujeres representaban un 54.40% del total de integrantes de los Consejos Comunales, en el primer trimestre del año 2012.  La participación de las mujeres en las organizaciones de base comunitaria es significativa. Para septiembre de 2013 “en el país  existen  40.035 Consejos Comunales,  1.401 Comunas, 1.294 Salas de Batalla Social y 28 mil 791 Movimientos Sociales”.</w:t>
      </w:r>
    </w:p>
    <w:p w:rsidR="00287D71" w:rsidRPr="00F5688A" w:rsidRDefault="00287D71" w:rsidP="00287D71">
      <w:pPr>
        <w:spacing w:before="120" w:after="120" w:line="240" w:lineRule="auto"/>
        <w:jc w:val="both"/>
        <w:rPr>
          <w:rFonts w:ascii="Times New Roman" w:hAnsi="Times New Roman" w:cs="Times New Roman"/>
          <w:b/>
          <w:sz w:val="20"/>
        </w:rPr>
      </w:pPr>
      <w:r w:rsidRPr="00F5688A">
        <w:rPr>
          <w:rFonts w:ascii="Times New Roman" w:hAnsi="Times New Roman" w:cs="Times New Roman"/>
          <w:b/>
          <w:sz w:val="20"/>
        </w:rPr>
        <w:t>Derechos de niños, niñas y adolescentes</w:t>
      </w:r>
    </w:p>
    <w:p w:rsidR="00EB1DAF" w:rsidRDefault="00E717FA" w:rsidP="00EB1DAF">
      <w:pPr>
        <w:spacing w:before="120" w:after="120" w:line="240" w:lineRule="auto"/>
        <w:jc w:val="both"/>
        <w:rPr>
          <w:rFonts w:ascii="Times New Roman" w:hAnsi="Times New Roman" w:cs="Times New Roman"/>
          <w:bCs/>
          <w:sz w:val="24"/>
          <w:szCs w:val="24"/>
          <w:lang w:val="es-ES"/>
        </w:rPr>
      </w:pPr>
      <w:r>
        <w:rPr>
          <w:rFonts w:ascii="Times New Roman" w:hAnsi="Times New Roman" w:cs="Times New Roman"/>
          <w:bCs/>
          <w:sz w:val="24"/>
          <w:szCs w:val="24"/>
          <w:lang w:val="es-ES"/>
        </w:rPr>
        <w:t>8</w:t>
      </w:r>
      <w:r w:rsidR="00E06CBF">
        <w:rPr>
          <w:rFonts w:ascii="Times New Roman" w:hAnsi="Times New Roman" w:cs="Times New Roman"/>
          <w:bCs/>
          <w:sz w:val="24"/>
          <w:szCs w:val="24"/>
          <w:lang w:val="es-ES"/>
        </w:rPr>
        <w:t>3</w:t>
      </w:r>
      <w:r w:rsidR="00F5688A" w:rsidRPr="00F5688A">
        <w:rPr>
          <w:rFonts w:ascii="Times New Roman" w:hAnsi="Times New Roman" w:cs="Times New Roman"/>
          <w:bCs/>
          <w:sz w:val="24"/>
          <w:szCs w:val="24"/>
          <w:lang w:val="es-ES"/>
        </w:rPr>
        <w:t xml:space="preserve">. </w:t>
      </w:r>
      <w:r w:rsidR="00287D71" w:rsidRPr="00F5688A">
        <w:rPr>
          <w:rFonts w:ascii="Times New Roman" w:hAnsi="Times New Roman" w:cs="Times New Roman"/>
          <w:bCs/>
          <w:sz w:val="24"/>
          <w:szCs w:val="24"/>
          <w:lang w:val="es-ES"/>
        </w:rPr>
        <w:t xml:space="preserve">La Institución celebra que la </w:t>
      </w:r>
      <w:r w:rsidR="008F3884" w:rsidRPr="00F5688A">
        <w:rPr>
          <w:rFonts w:ascii="Times New Roman" w:hAnsi="Times New Roman" w:cs="Times New Roman"/>
          <w:bCs/>
          <w:sz w:val="24"/>
          <w:szCs w:val="24"/>
          <w:lang w:val="es-ES"/>
        </w:rPr>
        <w:t>Defensa Pública cuent</w:t>
      </w:r>
      <w:r w:rsidR="00287D71" w:rsidRPr="00F5688A">
        <w:rPr>
          <w:rFonts w:ascii="Times New Roman" w:hAnsi="Times New Roman" w:cs="Times New Roman"/>
          <w:bCs/>
          <w:sz w:val="24"/>
          <w:szCs w:val="24"/>
          <w:lang w:val="es-ES"/>
        </w:rPr>
        <w:t>e</w:t>
      </w:r>
      <w:r w:rsidR="008F3884" w:rsidRPr="00F5688A">
        <w:rPr>
          <w:rFonts w:ascii="Times New Roman" w:hAnsi="Times New Roman" w:cs="Times New Roman"/>
          <w:bCs/>
          <w:sz w:val="24"/>
          <w:szCs w:val="24"/>
          <w:lang w:val="es-ES"/>
        </w:rPr>
        <w:t xml:space="preserve"> con 158 </w:t>
      </w:r>
      <w:r w:rsidR="00EB1DAF" w:rsidRPr="00F5688A">
        <w:rPr>
          <w:rFonts w:ascii="Times New Roman" w:hAnsi="Times New Roman" w:cs="Times New Roman"/>
          <w:bCs/>
          <w:sz w:val="24"/>
          <w:szCs w:val="24"/>
          <w:lang w:val="es-ES"/>
        </w:rPr>
        <w:t>d</w:t>
      </w:r>
      <w:r w:rsidR="008F3884" w:rsidRPr="00F5688A">
        <w:rPr>
          <w:rFonts w:ascii="Times New Roman" w:hAnsi="Times New Roman" w:cs="Times New Roman"/>
          <w:bCs/>
          <w:sz w:val="24"/>
          <w:szCs w:val="24"/>
          <w:lang w:val="es-ES"/>
        </w:rPr>
        <w:t xml:space="preserve">efensoras y </w:t>
      </w:r>
      <w:r w:rsidR="00EB1DAF" w:rsidRPr="00F5688A">
        <w:rPr>
          <w:rFonts w:ascii="Times New Roman" w:hAnsi="Times New Roman" w:cs="Times New Roman"/>
          <w:bCs/>
          <w:sz w:val="24"/>
          <w:szCs w:val="24"/>
          <w:lang w:val="es-ES"/>
        </w:rPr>
        <w:t>d</w:t>
      </w:r>
      <w:r w:rsidR="008F3884" w:rsidRPr="00F5688A">
        <w:rPr>
          <w:rFonts w:ascii="Times New Roman" w:hAnsi="Times New Roman" w:cs="Times New Roman"/>
          <w:bCs/>
          <w:sz w:val="24"/>
          <w:szCs w:val="24"/>
          <w:lang w:val="es-ES"/>
        </w:rPr>
        <w:t xml:space="preserve">efensores </w:t>
      </w:r>
      <w:r w:rsidR="00EB1DAF" w:rsidRPr="00F5688A">
        <w:rPr>
          <w:rFonts w:ascii="Times New Roman" w:hAnsi="Times New Roman" w:cs="Times New Roman"/>
          <w:bCs/>
          <w:sz w:val="24"/>
          <w:szCs w:val="24"/>
          <w:lang w:val="es-ES"/>
        </w:rPr>
        <w:t>p</w:t>
      </w:r>
      <w:r w:rsidR="008F3884" w:rsidRPr="00F5688A">
        <w:rPr>
          <w:rFonts w:ascii="Times New Roman" w:hAnsi="Times New Roman" w:cs="Times New Roman"/>
          <w:bCs/>
          <w:sz w:val="24"/>
          <w:szCs w:val="24"/>
          <w:lang w:val="es-ES"/>
        </w:rPr>
        <w:t xml:space="preserve">úblicos en materia de </w:t>
      </w:r>
      <w:r w:rsidR="00287D71" w:rsidRPr="00F5688A">
        <w:rPr>
          <w:rFonts w:ascii="Times New Roman" w:hAnsi="Times New Roman" w:cs="Times New Roman"/>
          <w:bCs/>
          <w:sz w:val="24"/>
          <w:szCs w:val="24"/>
          <w:lang w:val="es-ES"/>
        </w:rPr>
        <w:t>protección</w:t>
      </w:r>
      <w:r w:rsidR="00EB1DAF" w:rsidRPr="00F5688A">
        <w:rPr>
          <w:rFonts w:ascii="Times New Roman" w:hAnsi="Times New Roman" w:cs="Times New Roman"/>
          <w:bCs/>
          <w:sz w:val="24"/>
          <w:szCs w:val="24"/>
          <w:lang w:val="es-ES"/>
        </w:rPr>
        <w:t xml:space="preserve"> de niños, niñas y adolescentes, </w:t>
      </w:r>
      <w:r w:rsidR="00287D71" w:rsidRPr="00F5688A">
        <w:rPr>
          <w:rFonts w:ascii="Times New Roman" w:hAnsi="Times New Roman" w:cs="Times New Roman"/>
          <w:bCs/>
          <w:sz w:val="24"/>
          <w:szCs w:val="24"/>
          <w:lang w:val="es-ES"/>
        </w:rPr>
        <w:t>para</w:t>
      </w:r>
      <w:r w:rsidR="008F3884" w:rsidRPr="00F5688A">
        <w:rPr>
          <w:rFonts w:ascii="Times New Roman" w:hAnsi="Times New Roman" w:cs="Times New Roman"/>
          <w:bCs/>
          <w:sz w:val="24"/>
          <w:szCs w:val="24"/>
          <w:lang w:val="es-ES"/>
        </w:rPr>
        <w:t xml:space="preserve"> brindar asesoría, asistencia y representación gratuita a los niños, niñas y adolescentes y demás interesados en cualquier procedimiento judicial o administrativo a fin de defender los derechos, intereses y garantías, individuales, colectivos o difusos, relacionados con las instituciones familiares contempladas en la Constitución de la República Bolivariana de Venezuela, los Convenios Internacionales y la ley que regula la materia, siempre teniendo como norte el interés superior del niño, niña o adolescente. </w:t>
      </w:r>
      <w:r w:rsidR="00EB1DAF" w:rsidRPr="00F5688A">
        <w:rPr>
          <w:rFonts w:ascii="Times New Roman" w:hAnsi="Times New Roman" w:cs="Times New Roman"/>
          <w:bCs/>
          <w:sz w:val="24"/>
          <w:szCs w:val="24"/>
          <w:lang w:val="es-ES"/>
        </w:rPr>
        <w:t>Encomia a los 117 defensores y defensoras públicos en materia de Responsabilidad Penal del Adolescente, que defienden los derechos y garantías judiciales de los adolescentes ante el Sistema de Responsabilidad Penal.</w:t>
      </w:r>
    </w:p>
    <w:p w:rsidR="00FD1D21" w:rsidRPr="00FD1D21" w:rsidRDefault="00FD1D21" w:rsidP="00FD1D21">
      <w:pPr>
        <w:spacing w:before="120" w:after="120" w:line="240" w:lineRule="auto"/>
        <w:jc w:val="both"/>
        <w:rPr>
          <w:rFonts w:ascii="Times New Roman" w:hAnsi="Times New Roman" w:cs="Times New Roman"/>
          <w:b/>
          <w:sz w:val="20"/>
        </w:rPr>
      </w:pPr>
      <w:r w:rsidRPr="00FD1D21">
        <w:rPr>
          <w:rFonts w:ascii="Times New Roman" w:hAnsi="Times New Roman" w:cs="Times New Roman"/>
          <w:b/>
          <w:sz w:val="20"/>
        </w:rPr>
        <w:t>Derecho al refugio</w:t>
      </w:r>
    </w:p>
    <w:p w:rsidR="008B10A8" w:rsidRDefault="00E717FA" w:rsidP="00E533A3">
      <w:pPr>
        <w:pStyle w:val="Textonotapie"/>
        <w:tabs>
          <w:tab w:val="left" w:pos="0"/>
        </w:tabs>
        <w:spacing w:before="120" w:after="120"/>
        <w:jc w:val="both"/>
        <w:rPr>
          <w:sz w:val="24"/>
          <w:szCs w:val="24"/>
        </w:rPr>
      </w:pPr>
      <w:r>
        <w:rPr>
          <w:sz w:val="24"/>
          <w:szCs w:val="24"/>
        </w:rPr>
        <w:t>8</w:t>
      </w:r>
      <w:r w:rsidR="00E06CBF">
        <w:rPr>
          <w:sz w:val="24"/>
          <w:szCs w:val="24"/>
        </w:rPr>
        <w:t>4</w:t>
      </w:r>
      <w:r w:rsidR="00F5688A" w:rsidRPr="00F5688A">
        <w:rPr>
          <w:sz w:val="24"/>
          <w:szCs w:val="24"/>
        </w:rPr>
        <w:t xml:space="preserve">. </w:t>
      </w:r>
      <w:r w:rsidR="00FD1D21" w:rsidRPr="00F5688A">
        <w:rPr>
          <w:sz w:val="24"/>
          <w:szCs w:val="24"/>
        </w:rPr>
        <w:t xml:space="preserve">La DdP manifiesta su satisfacción con </w:t>
      </w:r>
      <w:r w:rsidR="008B10A8">
        <w:rPr>
          <w:sz w:val="24"/>
          <w:szCs w:val="24"/>
        </w:rPr>
        <w:t>la apertura en 2013 de la Jornada Especial de Reconsideraciones en casos de Violencia Generalizada</w:t>
      </w:r>
      <w:r w:rsidR="0080796B">
        <w:rPr>
          <w:sz w:val="24"/>
          <w:szCs w:val="24"/>
        </w:rPr>
        <w:t xml:space="preserve">, </w:t>
      </w:r>
      <w:r w:rsidR="008B10A8">
        <w:rPr>
          <w:sz w:val="24"/>
          <w:szCs w:val="24"/>
        </w:rPr>
        <w:t>dando cumplimiento a las d</w:t>
      </w:r>
      <w:r w:rsidR="00CE035A">
        <w:rPr>
          <w:sz w:val="24"/>
          <w:szCs w:val="24"/>
        </w:rPr>
        <w:t>eclaraciones</w:t>
      </w:r>
      <w:r w:rsidR="008B10A8">
        <w:rPr>
          <w:sz w:val="24"/>
          <w:szCs w:val="24"/>
        </w:rPr>
        <w:t xml:space="preserve"> emanadas del Mercosur y la Declaración de Cartagena</w:t>
      </w:r>
      <w:r w:rsidR="00B6753C">
        <w:rPr>
          <w:sz w:val="24"/>
          <w:szCs w:val="24"/>
        </w:rPr>
        <w:t xml:space="preserve"> de 1984</w:t>
      </w:r>
      <w:r w:rsidR="008B10A8">
        <w:rPr>
          <w:sz w:val="24"/>
          <w:szCs w:val="24"/>
        </w:rPr>
        <w:t>.</w:t>
      </w:r>
      <w:r w:rsidR="00AA411D">
        <w:rPr>
          <w:sz w:val="24"/>
          <w:szCs w:val="24"/>
        </w:rPr>
        <w:t xml:space="preserve"> Así mismo </w:t>
      </w:r>
      <w:r w:rsidR="0037337B">
        <w:rPr>
          <w:sz w:val="24"/>
          <w:szCs w:val="24"/>
        </w:rPr>
        <w:t xml:space="preserve">valora </w:t>
      </w:r>
      <w:r w:rsidR="00CE035A">
        <w:rPr>
          <w:sz w:val="24"/>
          <w:szCs w:val="24"/>
        </w:rPr>
        <w:t xml:space="preserve">la aplicación </w:t>
      </w:r>
      <w:r w:rsidR="0037337B">
        <w:rPr>
          <w:sz w:val="24"/>
          <w:szCs w:val="24"/>
        </w:rPr>
        <w:t>de las cl</w:t>
      </w:r>
      <w:r w:rsidR="00D022DF">
        <w:rPr>
          <w:sz w:val="24"/>
          <w:szCs w:val="24"/>
        </w:rPr>
        <w:t>á</w:t>
      </w:r>
      <w:r w:rsidR="0037337B">
        <w:rPr>
          <w:sz w:val="24"/>
          <w:szCs w:val="24"/>
        </w:rPr>
        <w:t>usulas</w:t>
      </w:r>
      <w:r w:rsidR="00CE035A">
        <w:rPr>
          <w:sz w:val="24"/>
          <w:szCs w:val="24"/>
        </w:rPr>
        <w:t xml:space="preserve"> </w:t>
      </w:r>
      <w:r w:rsidR="0037337B">
        <w:rPr>
          <w:sz w:val="24"/>
          <w:szCs w:val="24"/>
        </w:rPr>
        <w:t xml:space="preserve">de inclusión </w:t>
      </w:r>
      <w:r w:rsidR="00CE035A">
        <w:rPr>
          <w:sz w:val="24"/>
          <w:szCs w:val="24"/>
        </w:rPr>
        <w:t xml:space="preserve">por </w:t>
      </w:r>
      <w:r w:rsidR="0037337B">
        <w:rPr>
          <w:sz w:val="24"/>
          <w:szCs w:val="24"/>
        </w:rPr>
        <w:t xml:space="preserve">razones de </w:t>
      </w:r>
      <w:r w:rsidR="00CE035A">
        <w:rPr>
          <w:sz w:val="24"/>
          <w:szCs w:val="24"/>
        </w:rPr>
        <w:t xml:space="preserve">violencia de género y orientación sexual e identidad de género. Empero le preocupa los obstáculos </w:t>
      </w:r>
      <w:r w:rsidR="000B3E0C">
        <w:rPr>
          <w:sz w:val="24"/>
          <w:szCs w:val="24"/>
        </w:rPr>
        <w:t xml:space="preserve">que existen actualmente </w:t>
      </w:r>
      <w:r w:rsidR="00AE4620">
        <w:rPr>
          <w:sz w:val="24"/>
          <w:szCs w:val="24"/>
        </w:rPr>
        <w:t>para</w:t>
      </w:r>
      <w:r w:rsidR="00CE035A">
        <w:rPr>
          <w:sz w:val="24"/>
          <w:szCs w:val="24"/>
        </w:rPr>
        <w:t xml:space="preserve"> la obtención y renovación de cédulas de identidad </w:t>
      </w:r>
      <w:r w:rsidR="00804A34">
        <w:rPr>
          <w:sz w:val="24"/>
          <w:szCs w:val="24"/>
        </w:rPr>
        <w:t>de</w:t>
      </w:r>
      <w:r w:rsidR="00CE035A">
        <w:rPr>
          <w:sz w:val="24"/>
          <w:szCs w:val="24"/>
        </w:rPr>
        <w:t xml:space="preserve"> las y los refugiados</w:t>
      </w:r>
      <w:r w:rsidR="007F1A7A">
        <w:rPr>
          <w:sz w:val="24"/>
          <w:szCs w:val="24"/>
        </w:rPr>
        <w:t xml:space="preserve"> ante </w:t>
      </w:r>
      <w:r w:rsidR="004C1BF1">
        <w:rPr>
          <w:sz w:val="24"/>
          <w:szCs w:val="24"/>
        </w:rPr>
        <w:t>la</w:t>
      </w:r>
      <w:r w:rsidR="007F1A7A">
        <w:rPr>
          <w:sz w:val="24"/>
          <w:szCs w:val="24"/>
        </w:rPr>
        <w:t xml:space="preserve"> </w:t>
      </w:r>
      <w:r w:rsidR="004C1BF1">
        <w:rPr>
          <w:sz w:val="24"/>
          <w:szCs w:val="24"/>
        </w:rPr>
        <w:t>autoridad</w:t>
      </w:r>
      <w:r w:rsidR="007F1A7A">
        <w:rPr>
          <w:sz w:val="24"/>
          <w:szCs w:val="24"/>
        </w:rPr>
        <w:t xml:space="preserve"> migratori</w:t>
      </w:r>
      <w:r w:rsidR="004C1BF1">
        <w:rPr>
          <w:sz w:val="24"/>
          <w:szCs w:val="24"/>
        </w:rPr>
        <w:t>a</w:t>
      </w:r>
      <w:r w:rsidR="00CD1216">
        <w:rPr>
          <w:sz w:val="24"/>
          <w:szCs w:val="24"/>
        </w:rPr>
        <w:t xml:space="preserve"> nacional</w:t>
      </w:r>
      <w:r w:rsidR="00CE035A">
        <w:rPr>
          <w:sz w:val="24"/>
          <w:szCs w:val="24"/>
        </w:rPr>
        <w:t>.</w:t>
      </w:r>
    </w:p>
    <w:p w:rsidR="00FD1D21" w:rsidRPr="00F5688A" w:rsidRDefault="00FD1D21" w:rsidP="00FD1D21">
      <w:pPr>
        <w:spacing w:before="120" w:after="120" w:line="240" w:lineRule="auto"/>
        <w:jc w:val="both"/>
        <w:rPr>
          <w:rFonts w:ascii="Times New Roman" w:hAnsi="Times New Roman" w:cs="Times New Roman"/>
          <w:b/>
          <w:sz w:val="20"/>
        </w:rPr>
      </w:pPr>
      <w:r w:rsidRPr="00F5688A">
        <w:rPr>
          <w:rFonts w:ascii="Times New Roman" w:hAnsi="Times New Roman" w:cs="Times New Roman"/>
          <w:b/>
          <w:sz w:val="20"/>
        </w:rPr>
        <w:t>Legislación nacional para el fomento de la participación ciudadana y comunitaria</w:t>
      </w:r>
    </w:p>
    <w:p w:rsidR="0033463F" w:rsidRDefault="00E717FA" w:rsidP="0033463F">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8</w:t>
      </w:r>
      <w:r w:rsidR="00E06CBF">
        <w:rPr>
          <w:rFonts w:ascii="Times New Roman" w:hAnsi="Times New Roman" w:cs="Times New Roman"/>
          <w:bCs/>
          <w:sz w:val="24"/>
          <w:szCs w:val="24"/>
        </w:rPr>
        <w:t>5</w:t>
      </w:r>
      <w:r w:rsidR="00F5688A" w:rsidRPr="00F5688A">
        <w:rPr>
          <w:rFonts w:ascii="Times New Roman" w:hAnsi="Times New Roman" w:cs="Times New Roman"/>
          <w:bCs/>
          <w:sz w:val="24"/>
          <w:szCs w:val="24"/>
        </w:rPr>
        <w:t xml:space="preserve">. </w:t>
      </w:r>
      <w:r w:rsidR="0033463F" w:rsidRPr="00F5688A">
        <w:rPr>
          <w:rFonts w:ascii="Times New Roman" w:hAnsi="Times New Roman" w:cs="Times New Roman"/>
          <w:bCs/>
          <w:sz w:val="24"/>
          <w:szCs w:val="24"/>
        </w:rPr>
        <w:t>La Institución considera positivos los avances del Estado en garantizar una mayor participación y protagonismo del pueblo en asuntos públicos a través de nuevas formas de organización como Consejos Comunales y Comunas</w:t>
      </w:r>
      <w:r w:rsidR="00F5688A">
        <w:rPr>
          <w:rFonts w:ascii="Times New Roman" w:hAnsi="Times New Roman" w:cs="Times New Roman"/>
          <w:bCs/>
          <w:sz w:val="24"/>
          <w:szCs w:val="24"/>
        </w:rPr>
        <w:t>, establecidas en la legislación nacional vigente</w:t>
      </w:r>
      <w:r w:rsidR="0033463F" w:rsidRPr="00F5688A">
        <w:rPr>
          <w:rFonts w:ascii="Times New Roman" w:hAnsi="Times New Roman" w:cs="Times New Roman"/>
          <w:bCs/>
          <w:sz w:val="24"/>
          <w:szCs w:val="24"/>
        </w:rPr>
        <w:t xml:space="preserve">. </w:t>
      </w:r>
    </w:p>
    <w:p w:rsidR="001D00D2" w:rsidRDefault="005F1953" w:rsidP="00E533A3">
      <w:pPr>
        <w:spacing w:before="120" w:after="120" w:line="240" w:lineRule="auto"/>
        <w:jc w:val="both"/>
        <w:rPr>
          <w:rFonts w:ascii="Times New Roman" w:hAnsi="Times New Roman" w:cs="Times New Roman"/>
          <w:b/>
          <w:sz w:val="20"/>
        </w:rPr>
      </w:pPr>
      <w:r w:rsidRPr="005F1953">
        <w:rPr>
          <w:rFonts w:ascii="Times New Roman" w:hAnsi="Times New Roman" w:cs="Times New Roman"/>
          <w:b/>
          <w:sz w:val="20"/>
        </w:rPr>
        <w:t>Ley contra la discriminación racial</w:t>
      </w:r>
    </w:p>
    <w:p w:rsidR="0019580F" w:rsidRPr="00F5688A" w:rsidRDefault="00E06CBF" w:rsidP="00E533A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86</w:t>
      </w:r>
      <w:r w:rsidR="00F5688A" w:rsidRPr="00F5688A">
        <w:rPr>
          <w:rFonts w:ascii="Times New Roman" w:hAnsi="Times New Roman" w:cs="Times New Roman"/>
          <w:sz w:val="24"/>
          <w:szCs w:val="24"/>
        </w:rPr>
        <w:t xml:space="preserve">. </w:t>
      </w:r>
      <w:r w:rsidR="00FC3B53" w:rsidRPr="00F5688A">
        <w:rPr>
          <w:rFonts w:ascii="Times New Roman" w:hAnsi="Times New Roman" w:cs="Times New Roman"/>
          <w:sz w:val="24"/>
          <w:szCs w:val="24"/>
        </w:rPr>
        <w:t>La Defensoría del Pueblo (DdP) celebra que Venezuela cuente con la Ley Orgánica Contra la Discriminación Racial (LOCDR)</w:t>
      </w:r>
      <w:r w:rsidR="009E3CDB" w:rsidRPr="00F5688A">
        <w:rPr>
          <w:rStyle w:val="Refdenotaalpie"/>
          <w:rFonts w:ascii="Times New Roman" w:hAnsi="Times New Roman" w:cs="Times New Roman"/>
          <w:sz w:val="24"/>
          <w:szCs w:val="24"/>
        </w:rPr>
        <w:footnoteReference w:id="32"/>
      </w:r>
      <w:r w:rsidR="00FC3B53" w:rsidRPr="00F5688A">
        <w:rPr>
          <w:rFonts w:ascii="Times New Roman" w:hAnsi="Times New Roman" w:cs="Times New Roman"/>
          <w:sz w:val="24"/>
          <w:szCs w:val="24"/>
        </w:rPr>
        <w:t xml:space="preserve"> la cual establece los mecanismos para prevenir, atender, erradicar y sancionar la discriminación, además de reconocer la diversidad cultural de la sociedad venezolana, aspecto fundamental para el desarrollo de políticas públicas acordes a las realidades de cada grupo poblacional/cultural.</w:t>
      </w:r>
    </w:p>
    <w:p w:rsidR="00FC3B53" w:rsidRPr="00F5688A" w:rsidRDefault="00E717FA" w:rsidP="00FC3B5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8</w:t>
      </w:r>
      <w:r w:rsidR="00E06CBF">
        <w:rPr>
          <w:rFonts w:ascii="Times New Roman" w:hAnsi="Times New Roman" w:cs="Times New Roman"/>
          <w:sz w:val="24"/>
          <w:szCs w:val="24"/>
        </w:rPr>
        <w:t>7</w:t>
      </w:r>
      <w:r w:rsidR="00F5688A" w:rsidRPr="00F5688A">
        <w:rPr>
          <w:rFonts w:ascii="Times New Roman" w:hAnsi="Times New Roman" w:cs="Times New Roman"/>
          <w:sz w:val="24"/>
          <w:szCs w:val="24"/>
        </w:rPr>
        <w:t xml:space="preserve">. </w:t>
      </w:r>
      <w:r w:rsidR="00FC3B53" w:rsidRPr="00F5688A">
        <w:rPr>
          <w:rFonts w:ascii="Times New Roman" w:hAnsi="Times New Roman" w:cs="Times New Roman"/>
          <w:sz w:val="24"/>
          <w:szCs w:val="24"/>
        </w:rPr>
        <w:t xml:space="preserve">La Institución valora positivo que la LOCDR, tipifique el delito de discriminación racial (art. 37) donde queda enmarcado toda acción u omisión que distinga o excluya a una o varias personas, en razón de su origen étnico, origen nacional o rasgos del fenotipo, con el objeto de anular o menoscabar el goce o ejercicio de sus derechos humanos reconocidos en la Constitución, en los tratados, pactos y convenios internacionales suscritos y ratificados por la República. </w:t>
      </w:r>
    </w:p>
    <w:p w:rsidR="00C67D68" w:rsidRDefault="00153110" w:rsidP="00E533A3">
      <w:pPr>
        <w:spacing w:before="120" w:after="120" w:line="240" w:lineRule="auto"/>
        <w:jc w:val="both"/>
        <w:rPr>
          <w:rFonts w:ascii="Times New Roman" w:hAnsi="Times New Roman" w:cs="Times New Roman"/>
          <w:b/>
          <w:sz w:val="20"/>
        </w:rPr>
      </w:pPr>
      <w:r w:rsidRPr="00153110">
        <w:rPr>
          <w:rFonts w:ascii="Times New Roman" w:hAnsi="Times New Roman" w:cs="Times New Roman"/>
          <w:b/>
          <w:sz w:val="20"/>
        </w:rPr>
        <w:t>Personas privadas de libertad</w:t>
      </w:r>
    </w:p>
    <w:p w:rsidR="00153110" w:rsidRPr="00153110" w:rsidRDefault="00E717FA" w:rsidP="00E533A3">
      <w:pPr>
        <w:spacing w:before="120" w:after="120" w:line="240" w:lineRule="auto"/>
        <w:jc w:val="both"/>
        <w:rPr>
          <w:rFonts w:ascii="Times New Roman" w:hAnsi="Times New Roman" w:cs="Times New Roman"/>
          <w:sz w:val="24"/>
        </w:rPr>
      </w:pPr>
      <w:r>
        <w:rPr>
          <w:rFonts w:ascii="Times New Roman" w:hAnsi="Times New Roman" w:cs="Times New Roman"/>
          <w:sz w:val="24"/>
        </w:rPr>
        <w:t>8</w:t>
      </w:r>
      <w:r w:rsidR="00E06CBF">
        <w:rPr>
          <w:rFonts w:ascii="Times New Roman" w:hAnsi="Times New Roman" w:cs="Times New Roman"/>
          <w:sz w:val="24"/>
        </w:rPr>
        <w:t>8</w:t>
      </w:r>
      <w:r w:rsidR="00153110" w:rsidRPr="00153110">
        <w:rPr>
          <w:rFonts w:ascii="Times New Roman" w:hAnsi="Times New Roman" w:cs="Times New Roman"/>
          <w:sz w:val="24"/>
        </w:rPr>
        <w:t xml:space="preserve">. </w:t>
      </w:r>
      <w:r w:rsidR="00153110">
        <w:rPr>
          <w:rFonts w:ascii="Times New Roman" w:hAnsi="Times New Roman" w:cs="Times New Roman"/>
          <w:sz w:val="24"/>
        </w:rPr>
        <w:t>L</w:t>
      </w:r>
      <w:r w:rsidR="00153110" w:rsidRPr="00153110">
        <w:rPr>
          <w:rFonts w:ascii="Times New Roman" w:hAnsi="Times New Roman" w:cs="Times New Roman"/>
          <w:sz w:val="24"/>
        </w:rPr>
        <w:t xml:space="preserve">a </w:t>
      </w:r>
      <w:r w:rsidR="00153110">
        <w:rPr>
          <w:rFonts w:ascii="Times New Roman" w:hAnsi="Times New Roman" w:cs="Times New Roman"/>
          <w:sz w:val="24"/>
        </w:rPr>
        <w:t>DdP ha recibido</w:t>
      </w:r>
      <w:r w:rsidR="00153110" w:rsidRPr="00153110">
        <w:rPr>
          <w:rFonts w:ascii="Times New Roman" w:hAnsi="Times New Roman" w:cs="Times New Roman"/>
          <w:sz w:val="24"/>
        </w:rPr>
        <w:t xml:space="preserve"> en positivo la creac</w:t>
      </w:r>
      <w:r w:rsidR="00153110">
        <w:rPr>
          <w:rFonts w:ascii="Times New Roman" w:hAnsi="Times New Roman" w:cs="Times New Roman"/>
          <w:sz w:val="24"/>
        </w:rPr>
        <w:t xml:space="preserve">ión y puesta en funcionamiento </w:t>
      </w:r>
      <w:r w:rsidR="00153110" w:rsidRPr="00153110">
        <w:rPr>
          <w:rFonts w:ascii="Times New Roman" w:hAnsi="Times New Roman" w:cs="Times New Roman"/>
          <w:sz w:val="24"/>
        </w:rPr>
        <w:t>del Ministerio del Poder Popular para el Servicio Penitenciario</w:t>
      </w:r>
      <w:r w:rsidR="00153110">
        <w:rPr>
          <w:rFonts w:ascii="Times New Roman" w:hAnsi="Times New Roman" w:cs="Times New Roman"/>
          <w:sz w:val="24"/>
        </w:rPr>
        <w:t xml:space="preserve">, a la vez que </w:t>
      </w:r>
      <w:r w:rsidR="00153110" w:rsidRPr="00153110">
        <w:rPr>
          <w:rFonts w:ascii="Times New Roman" w:hAnsi="Times New Roman" w:cs="Times New Roman"/>
          <w:sz w:val="24"/>
        </w:rPr>
        <w:t xml:space="preserve">alienta las acciones que desde el comienzo de su gestión ha venido realizando </w:t>
      </w:r>
      <w:r w:rsidR="00153110">
        <w:rPr>
          <w:rFonts w:ascii="Times New Roman" w:hAnsi="Times New Roman" w:cs="Times New Roman"/>
          <w:sz w:val="24"/>
        </w:rPr>
        <w:t>este organismo</w:t>
      </w:r>
      <w:r w:rsidR="00153110" w:rsidRPr="00153110">
        <w:rPr>
          <w:rFonts w:ascii="Times New Roman" w:hAnsi="Times New Roman" w:cs="Times New Roman"/>
          <w:sz w:val="24"/>
        </w:rPr>
        <w:t>, de cara a una atención consistente, consecuente e integral de la realidad penitenciaria venezolana</w:t>
      </w:r>
      <w:r w:rsidR="00153110">
        <w:rPr>
          <w:rFonts w:ascii="Times New Roman" w:hAnsi="Times New Roman" w:cs="Times New Roman"/>
          <w:sz w:val="24"/>
        </w:rPr>
        <w:t>.</w:t>
      </w:r>
    </w:p>
    <w:p w:rsidR="00153110" w:rsidRDefault="00153110" w:rsidP="00E533A3">
      <w:pPr>
        <w:spacing w:before="120" w:after="120" w:line="240" w:lineRule="auto"/>
        <w:jc w:val="both"/>
        <w:rPr>
          <w:rFonts w:ascii="Times New Roman" w:hAnsi="Times New Roman" w:cs="Times New Roman"/>
          <w:b/>
          <w:sz w:val="20"/>
        </w:rPr>
      </w:pPr>
      <w:r>
        <w:rPr>
          <w:rFonts w:ascii="Times New Roman" w:hAnsi="Times New Roman" w:cs="Times New Roman"/>
          <w:b/>
          <w:sz w:val="20"/>
        </w:rPr>
        <w:t>Reforma del Código Orgánico Procesal Penal</w:t>
      </w:r>
    </w:p>
    <w:p w:rsidR="00153110" w:rsidRDefault="00E06CBF" w:rsidP="00E533A3">
      <w:pPr>
        <w:spacing w:before="120" w:after="120" w:line="240" w:lineRule="auto"/>
        <w:jc w:val="both"/>
        <w:rPr>
          <w:rFonts w:ascii="Times New Roman" w:hAnsi="Times New Roman" w:cs="Times New Roman"/>
          <w:sz w:val="24"/>
        </w:rPr>
      </w:pPr>
      <w:r>
        <w:rPr>
          <w:rFonts w:ascii="Times New Roman" w:hAnsi="Times New Roman" w:cs="Times New Roman"/>
          <w:sz w:val="24"/>
        </w:rPr>
        <w:t>89</w:t>
      </w:r>
      <w:r w:rsidR="0078302F">
        <w:rPr>
          <w:rFonts w:ascii="Times New Roman" w:hAnsi="Times New Roman" w:cs="Times New Roman"/>
          <w:sz w:val="24"/>
        </w:rPr>
        <w:t xml:space="preserve">. </w:t>
      </w:r>
      <w:r w:rsidR="00153110" w:rsidRPr="00153110">
        <w:rPr>
          <w:rFonts w:ascii="Times New Roman" w:hAnsi="Times New Roman" w:cs="Times New Roman"/>
          <w:sz w:val="24"/>
        </w:rPr>
        <w:t>La DdP</w:t>
      </w:r>
      <w:r w:rsidR="00153110">
        <w:rPr>
          <w:rFonts w:ascii="Times New Roman" w:hAnsi="Times New Roman" w:cs="Times New Roman"/>
          <w:sz w:val="24"/>
        </w:rPr>
        <w:t xml:space="preserve"> valora de manera positiva la reforma del COPP, toda vez que se </w:t>
      </w:r>
      <w:r w:rsidR="00153110" w:rsidRPr="00153110">
        <w:rPr>
          <w:rFonts w:ascii="Times New Roman" w:hAnsi="Times New Roman" w:cs="Times New Roman"/>
          <w:sz w:val="24"/>
        </w:rPr>
        <w:t>adec</w:t>
      </w:r>
      <w:r w:rsidR="00153110">
        <w:rPr>
          <w:rFonts w:ascii="Times New Roman" w:hAnsi="Times New Roman" w:cs="Times New Roman"/>
          <w:sz w:val="24"/>
        </w:rPr>
        <w:t>ú</w:t>
      </w:r>
      <w:r w:rsidR="00153110" w:rsidRPr="00153110">
        <w:rPr>
          <w:rFonts w:ascii="Times New Roman" w:hAnsi="Times New Roman" w:cs="Times New Roman"/>
          <w:sz w:val="24"/>
        </w:rPr>
        <w:t xml:space="preserve">a el sistema de justicia (proceso penal), a los principios y preceptos de la CRBV y, en consecuencia, </w:t>
      </w:r>
      <w:r w:rsidR="00153110">
        <w:rPr>
          <w:rFonts w:ascii="Times New Roman" w:hAnsi="Times New Roman" w:cs="Times New Roman"/>
          <w:sz w:val="24"/>
        </w:rPr>
        <w:t xml:space="preserve">se puede </w:t>
      </w:r>
      <w:r w:rsidR="00153110" w:rsidRPr="00153110">
        <w:rPr>
          <w:rFonts w:ascii="Times New Roman" w:hAnsi="Times New Roman" w:cs="Times New Roman"/>
          <w:sz w:val="24"/>
        </w:rPr>
        <w:t>mejorar el funcionamiento de cada una de las instituciones que lo componen, y coadyuvar en la transformación del Sistema Penitenciario Venezolano.</w:t>
      </w:r>
      <w:r w:rsidR="00153110">
        <w:rPr>
          <w:rFonts w:ascii="Times New Roman" w:hAnsi="Times New Roman" w:cs="Times New Roman"/>
          <w:sz w:val="24"/>
        </w:rPr>
        <w:t xml:space="preserve"> Considera importante la inclusión del</w:t>
      </w:r>
      <w:r w:rsidR="00153110" w:rsidRPr="00153110">
        <w:rPr>
          <w:rFonts w:ascii="Times New Roman" w:hAnsi="Times New Roman" w:cs="Times New Roman"/>
          <w:sz w:val="24"/>
        </w:rPr>
        <w:t xml:space="preserve"> principio de participación ciudadana en la administración de justicia penal, tanto para la selección y designación de jueces y jueces como para la asistencia y control social, en los juicios orales</w:t>
      </w:r>
      <w:r w:rsidR="00153110">
        <w:rPr>
          <w:rFonts w:ascii="Times New Roman" w:hAnsi="Times New Roman" w:cs="Times New Roman"/>
          <w:sz w:val="24"/>
        </w:rPr>
        <w:t xml:space="preserve">, además del </w:t>
      </w:r>
      <w:r w:rsidR="00153110" w:rsidRPr="00153110">
        <w:rPr>
          <w:rFonts w:ascii="Times New Roman" w:hAnsi="Times New Roman" w:cs="Times New Roman"/>
          <w:sz w:val="24"/>
        </w:rPr>
        <w:t>seguimiento, en la aplicación de fórmulas alternativas a la prosecución del proceso y cumplimiento de la pena</w:t>
      </w:r>
      <w:r w:rsidR="00153110">
        <w:rPr>
          <w:rFonts w:ascii="Times New Roman" w:hAnsi="Times New Roman" w:cs="Times New Roman"/>
          <w:sz w:val="24"/>
        </w:rPr>
        <w:t>.</w:t>
      </w:r>
      <w:r w:rsidR="00B91FEC">
        <w:rPr>
          <w:rFonts w:ascii="Times New Roman" w:hAnsi="Times New Roman" w:cs="Times New Roman"/>
          <w:sz w:val="24"/>
        </w:rPr>
        <w:t xml:space="preserve"> </w:t>
      </w:r>
      <w:r w:rsidR="00B91FEC" w:rsidRPr="00B91FEC">
        <w:rPr>
          <w:rFonts w:ascii="Times New Roman" w:hAnsi="Times New Roman" w:cs="Times New Roman"/>
          <w:sz w:val="24"/>
        </w:rPr>
        <w:t xml:space="preserve">No obstante, </w:t>
      </w:r>
      <w:r w:rsidR="00B91FEC">
        <w:rPr>
          <w:rFonts w:ascii="Times New Roman" w:hAnsi="Times New Roman" w:cs="Times New Roman"/>
          <w:sz w:val="24"/>
        </w:rPr>
        <w:t xml:space="preserve">ha observado que </w:t>
      </w:r>
      <w:r w:rsidR="00B91FEC" w:rsidRPr="00B91FEC">
        <w:rPr>
          <w:rFonts w:ascii="Times New Roman" w:hAnsi="Times New Roman" w:cs="Times New Roman"/>
          <w:sz w:val="24"/>
        </w:rPr>
        <w:t>aún persiste una cultura punitiva que coadyuva a que el juzgamiento en libertad sea la excepción y no la regla, lo que implica una inobservancia del artículo 9 del COPP; y en la fase de ejecución, la negativa a las fórmulas alternativas de cumplimiento de penas, lo que contraviene el artículo 272 de la CRBV.</w:t>
      </w:r>
    </w:p>
    <w:p w:rsidR="00C41332" w:rsidRPr="001D00D2" w:rsidRDefault="00C41332" w:rsidP="00E533A3">
      <w:pPr>
        <w:spacing w:before="120" w:after="120" w:line="240" w:lineRule="auto"/>
        <w:jc w:val="both"/>
        <w:rPr>
          <w:rFonts w:ascii="Times New Roman" w:hAnsi="Times New Roman" w:cs="Times New Roman"/>
          <w:b/>
          <w:sz w:val="20"/>
        </w:rPr>
      </w:pPr>
      <w:r w:rsidRPr="001D00D2">
        <w:rPr>
          <w:rFonts w:ascii="Times New Roman" w:hAnsi="Times New Roman" w:cs="Times New Roman"/>
          <w:b/>
          <w:sz w:val="20"/>
        </w:rPr>
        <w:t>Código Orgánico Penitenciario</w:t>
      </w:r>
    </w:p>
    <w:p w:rsidR="00C41332" w:rsidRPr="00153110" w:rsidRDefault="00E06CBF" w:rsidP="00E533A3">
      <w:pPr>
        <w:spacing w:before="120" w:after="120" w:line="240" w:lineRule="auto"/>
        <w:jc w:val="both"/>
        <w:rPr>
          <w:rFonts w:ascii="Times New Roman" w:hAnsi="Times New Roman" w:cs="Times New Roman"/>
          <w:sz w:val="24"/>
        </w:rPr>
      </w:pPr>
      <w:r>
        <w:rPr>
          <w:rFonts w:ascii="Times New Roman" w:hAnsi="Times New Roman" w:cs="Times New Roman"/>
          <w:sz w:val="24"/>
        </w:rPr>
        <w:t>90</w:t>
      </w:r>
      <w:r w:rsidR="00C41332">
        <w:rPr>
          <w:rFonts w:ascii="Times New Roman" w:hAnsi="Times New Roman" w:cs="Times New Roman"/>
          <w:sz w:val="24"/>
        </w:rPr>
        <w:t xml:space="preserve">. </w:t>
      </w:r>
      <w:r w:rsidR="00C41332" w:rsidRPr="00C41332">
        <w:rPr>
          <w:rFonts w:ascii="Times New Roman" w:hAnsi="Times New Roman" w:cs="Times New Roman"/>
          <w:sz w:val="24"/>
        </w:rPr>
        <w:t>La Defensoría del Pueblo, valora positivamente la aprobación en 2013 por parte de  la Asamblea Nacional d</w:t>
      </w:r>
      <w:r w:rsidR="00C41332" w:rsidRPr="00C41332">
        <w:rPr>
          <w:rFonts w:ascii="Times New Roman" w:hAnsi="Times New Roman" w:cs="Times New Roman"/>
          <w:bCs/>
          <w:sz w:val="24"/>
        </w:rPr>
        <w:t>el C</w:t>
      </w:r>
      <w:r w:rsidR="00C41332">
        <w:rPr>
          <w:rFonts w:ascii="Times New Roman" w:hAnsi="Times New Roman" w:cs="Times New Roman"/>
          <w:bCs/>
          <w:sz w:val="24"/>
        </w:rPr>
        <w:t xml:space="preserve">ódigo </w:t>
      </w:r>
      <w:r w:rsidR="00C41332" w:rsidRPr="00C41332">
        <w:rPr>
          <w:rFonts w:ascii="Times New Roman" w:hAnsi="Times New Roman" w:cs="Times New Roman"/>
          <w:bCs/>
          <w:sz w:val="24"/>
        </w:rPr>
        <w:t>O</w:t>
      </w:r>
      <w:r w:rsidR="00C41332">
        <w:rPr>
          <w:rFonts w:ascii="Times New Roman" w:hAnsi="Times New Roman" w:cs="Times New Roman"/>
          <w:bCs/>
          <w:sz w:val="24"/>
        </w:rPr>
        <w:t xml:space="preserve">rgánico </w:t>
      </w:r>
      <w:r w:rsidR="00C41332" w:rsidRPr="00C41332">
        <w:rPr>
          <w:rFonts w:ascii="Times New Roman" w:hAnsi="Times New Roman" w:cs="Times New Roman"/>
          <w:bCs/>
          <w:sz w:val="24"/>
        </w:rPr>
        <w:t>P</w:t>
      </w:r>
      <w:r w:rsidR="00C41332">
        <w:rPr>
          <w:rFonts w:ascii="Times New Roman" w:hAnsi="Times New Roman" w:cs="Times New Roman"/>
          <w:bCs/>
          <w:sz w:val="24"/>
        </w:rPr>
        <w:t>enitenciario</w:t>
      </w:r>
      <w:r w:rsidR="00C41332" w:rsidRPr="00C41332">
        <w:rPr>
          <w:rStyle w:val="Refdenotaalpie"/>
          <w:rFonts w:ascii="Times New Roman" w:hAnsi="Times New Roman" w:cs="Times New Roman"/>
          <w:sz w:val="24"/>
        </w:rPr>
        <w:footnoteReference w:id="33"/>
      </w:r>
      <w:r w:rsidR="00C41332" w:rsidRPr="00C41332">
        <w:rPr>
          <w:rFonts w:ascii="Times New Roman" w:hAnsi="Times New Roman" w:cs="Times New Roman"/>
          <w:sz w:val="24"/>
        </w:rPr>
        <w:t xml:space="preserve">, el cual desarrolla los preceptos del ámbito penitenciario </w:t>
      </w:r>
      <w:r w:rsidR="00C41332" w:rsidRPr="00C41332">
        <w:rPr>
          <w:rFonts w:ascii="Times New Roman" w:hAnsi="Times New Roman" w:cs="Times New Roman"/>
          <w:bCs/>
          <w:iCs/>
          <w:sz w:val="24"/>
        </w:rPr>
        <w:t>establecidos en la Constitución de la República Bolivariana de Venezuela, así como en los tratados, pactos y</w:t>
      </w:r>
      <w:r w:rsidR="00086599">
        <w:rPr>
          <w:rFonts w:ascii="Times New Roman" w:hAnsi="Times New Roman" w:cs="Times New Roman"/>
          <w:bCs/>
          <w:iCs/>
          <w:sz w:val="24"/>
        </w:rPr>
        <w:t xml:space="preserve"> </w:t>
      </w:r>
      <w:r w:rsidR="00C41332" w:rsidRPr="00C41332">
        <w:rPr>
          <w:rFonts w:ascii="Times New Roman" w:hAnsi="Times New Roman" w:cs="Times New Roman"/>
          <w:bCs/>
          <w:iCs/>
          <w:sz w:val="24"/>
        </w:rPr>
        <w:t xml:space="preserve">convenios internacionales suscritos y ratificados por la República en materia de derechos humanos de las personas privadas de libertad, y </w:t>
      </w:r>
      <w:r w:rsidR="00C41332" w:rsidRPr="00C41332">
        <w:rPr>
          <w:rFonts w:ascii="Times New Roman" w:hAnsi="Times New Roman" w:cs="Times New Roman"/>
          <w:sz w:val="24"/>
        </w:rPr>
        <w:t>unifica en una sola estructura jurídica todas las leyes regulatorias del Sistema Penitenciario venezolano</w:t>
      </w:r>
      <w:r w:rsidR="00C41332" w:rsidRPr="00C41332">
        <w:rPr>
          <w:rStyle w:val="Refdenotaalpie"/>
          <w:rFonts w:ascii="Times New Roman" w:hAnsi="Times New Roman" w:cs="Times New Roman"/>
          <w:sz w:val="24"/>
        </w:rPr>
        <w:footnoteReference w:id="34"/>
      </w:r>
      <w:r w:rsidR="00C41332" w:rsidRPr="00C41332">
        <w:rPr>
          <w:rFonts w:ascii="Times New Roman" w:hAnsi="Times New Roman" w:cs="Times New Roman"/>
          <w:sz w:val="24"/>
        </w:rPr>
        <w:t>.</w:t>
      </w:r>
      <w:r w:rsidR="00E717FA">
        <w:rPr>
          <w:rFonts w:ascii="Times New Roman" w:hAnsi="Times New Roman" w:cs="Times New Roman"/>
          <w:sz w:val="24"/>
        </w:rPr>
        <w:t xml:space="preserve"> </w:t>
      </w:r>
      <w:r w:rsidR="00C41332" w:rsidRPr="00C41332">
        <w:rPr>
          <w:rFonts w:ascii="Times New Roman" w:hAnsi="Times New Roman" w:cs="Times New Roman"/>
          <w:bCs/>
          <w:sz w:val="24"/>
        </w:rPr>
        <w:t xml:space="preserve">Esta novísima norma, tiene como objetivo, regular y desarrollar la organización, administración y el funcionamiento del sistema penitenciario venezolano, así como garantizar a las personas privadas de libertad su rehabilitación integral, el respeto de sus derechos humanos y su reinserción a la sociedad. </w:t>
      </w:r>
    </w:p>
    <w:sectPr w:rsidR="00C41332" w:rsidRPr="00153110" w:rsidSect="00754529">
      <w:headerReference w:type="default" r:id="rId8"/>
      <w:footerReference w:type="default" r:id="rId9"/>
      <w:pgSz w:w="12240" w:h="15840"/>
      <w:pgMar w:top="2211" w:right="1644"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7EE4" w:rsidRDefault="00D67EE4" w:rsidP="000A3395">
      <w:pPr>
        <w:spacing w:after="0" w:line="240" w:lineRule="auto"/>
      </w:pPr>
      <w:r>
        <w:separator/>
      </w:r>
    </w:p>
  </w:endnote>
  <w:endnote w:type="continuationSeparator" w:id="0">
    <w:p w:rsidR="00D67EE4" w:rsidRDefault="00D67EE4" w:rsidP="000A33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rtoGothic Std">
    <w:altName w:val="CartoGothic Std"/>
    <w:panose1 w:val="00000000000000000000"/>
    <w:charset w:val="00"/>
    <w:family w:val="auto"/>
    <w:notTrueType/>
    <w:pitch w:val="default"/>
    <w:sig w:usb0="00000003" w:usb1="00000000" w:usb2="00000000" w:usb3="00000000" w:csb0="00000001" w:csb1="00000000"/>
  </w:font>
  <w:font w:name="Eurostile LT Std Bold">
    <w:altName w:val="Eurostile LT Std 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DejaVu Sans">
    <w:panose1 w:val="020B0603030804020204"/>
    <w:charset w:val="00"/>
    <w:family w:val="swiss"/>
    <w:pitch w:val="variable"/>
    <w:sig w:usb0="E7000EFF" w:usb1="5200FDFF" w:usb2="0A042021" w:usb3="00000000" w:csb0="000001BF" w:csb1="00000000"/>
  </w:font>
  <w:font w:name="FreeSans">
    <w:altName w:val="Arial Unicode MS"/>
    <w:charset w:val="8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67751"/>
      <w:docPartObj>
        <w:docPartGallery w:val="Page Numbers (Bottom of Page)"/>
        <w:docPartUnique/>
      </w:docPartObj>
    </w:sdtPr>
    <w:sdtContent>
      <w:sdt>
        <w:sdtPr>
          <w:id w:val="216747587"/>
          <w:docPartObj>
            <w:docPartGallery w:val="Page Numbers (Top of Page)"/>
            <w:docPartUnique/>
          </w:docPartObj>
        </w:sdtPr>
        <w:sdtContent>
          <w:p w:rsidR="00153110" w:rsidRDefault="00153110">
            <w:pPr>
              <w:pStyle w:val="Piedepgina"/>
              <w:jc w:val="right"/>
            </w:pPr>
            <w:r>
              <w:t xml:space="preserve">Página </w:t>
            </w:r>
            <w:r w:rsidR="003A2E8C">
              <w:rPr>
                <w:b/>
                <w:sz w:val="24"/>
                <w:szCs w:val="24"/>
              </w:rPr>
              <w:fldChar w:fldCharType="begin"/>
            </w:r>
            <w:r>
              <w:rPr>
                <w:b/>
              </w:rPr>
              <w:instrText>PAGE</w:instrText>
            </w:r>
            <w:r w:rsidR="003A2E8C">
              <w:rPr>
                <w:b/>
                <w:sz w:val="24"/>
                <w:szCs w:val="24"/>
              </w:rPr>
              <w:fldChar w:fldCharType="separate"/>
            </w:r>
            <w:r w:rsidR="00696170">
              <w:rPr>
                <w:b/>
                <w:noProof/>
              </w:rPr>
              <w:t>20</w:t>
            </w:r>
            <w:r w:rsidR="003A2E8C">
              <w:rPr>
                <w:b/>
                <w:sz w:val="24"/>
                <w:szCs w:val="24"/>
              </w:rPr>
              <w:fldChar w:fldCharType="end"/>
            </w:r>
            <w:r>
              <w:t xml:space="preserve"> de </w:t>
            </w:r>
            <w:r w:rsidR="003A2E8C">
              <w:rPr>
                <w:b/>
                <w:sz w:val="24"/>
                <w:szCs w:val="24"/>
              </w:rPr>
              <w:fldChar w:fldCharType="begin"/>
            </w:r>
            <w:r>
              <w:rPr>
                <w:b/>
              </w:rPr>
              <w:instrText>NUMPAGES</w:instrText>
            </w:r>
            <w:r w:rsidR="003A2E8C">
              <w:rPr>
                <w:b/>
                <w:sz w:val="24"/>
                <w:szCs w:val="24"/>
              </w:rPr>
              <w:fldChar w:fldCharType="separate"/>
            </w:r>
            <w:r w:rsidR="00696170">
              <w:rPr>
                <w:b/>
                <w:noProof/>
              </w:rPr>
              <w:t>20</w:t>
            </w:r>
            <w:r w:rsidR="003A2E8C">
              <w:rPr>
                <w:b/>
                <w:sz w:val="24"/>
                <w:szCs w:val="24"/>
              </w:rPr>
              <w:fldChar w:fldCharType="end"/>
            </w:r>
          </w:p>
        </w:sdtContent>
      </w:sdt>
    </w:sdtContent>
  </w:sdt>
  <w:p w:rsidR="00153110" w:rsidRDefault="00153110">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7EE4" w:rsidRDefault="00D67EE4" w:rsidP="000A3395">
      <w:pPr>
        <w:spacing w:after="0" w:line="240" w:lineRule="auto"/>
      </w:pPr>
      <w:r>
        <w:separator/>
      </w:r>
    </w:p>
  </w:footnote>
  <w:footnote w:type="continuationSeparator" w:id="0">
    <w:p w:rsidR="00D67EE4" w:rsidRDefault="00D67EE4" w:rsidP="000A3395">
      <w:pPr>
        <w:spacing w:after="0" w:line="240" w:lineRule="auto"/>
      </w:pPr>
      <w:r>
        <w:continuationSeparator/>
      </w:r>
    </w:p>
  </w:footnote>
  <w:footnote w:id="1">
    <w:p w:rsidR="00C0455D" w:rsidRPr="00C0455D" w:rsidRDefault="00C0455D" w:rsidP="002B1192">
      <w:pPr>
        <w:pStyle w:val="Textonotapie"/>
        <w:jc w:val="both"/>
        <w:rPr>
          <w:lang w:val="es-VE"/>
        </w:rPr>
      </w:pPr>
      <w:r>
        <w:rPr>
          <w:rStyle w:val="Refdenotaalpie"/>
        </w:rPr>
        <w:footnoteRef/>
      </w:r>
      <w:r>
        <w:t xml:space="preserve"> Ley Orgánica de la Defensoría del Pueblo. </w:t>
      </w:r>
      <w:r w:rsidRPr="00C0455D">
        <w:t>Gaceta Oficial n°. 37.995, 05 de agosto de 2004</w:t>
      </w:r>
      <w:r>
        <w:t>.</w:t>
      </w:r>
    </w:p>
  </w:footnote>
  <w:footnote w:id="2">
    <w:p w:rsidR="00D81087" w:rsidRPr="00D81087" w:rsidRDefault="00D81087" w:rsidP="002B1192">
      <w:pPr>
        <w:pStyle w:val="Textonotapie"/>
        <w:jc w:val="both"/>
        <w:rPr>
          <w:lang w:val="es-VE"/>
        </w:rPr>
      </w:pPr>
      <w:r>
        <w:rPr>
          <w:rStyle w:val="Refdenotaalpie"/>
        </w:rPr>
        <w:footnoteRef/>
      </w:r>
      <w:r>
        <w:t xml:space="preserve"> Gaceta Oficial n.° 6.078 Extraordinario, 15 de junio de 2012.</w:t>
      </w:r>
    </w:p>
  </w:footnote>
  <w:footnote w:id="3">
    <w:p w:rsidR="00D81087" w:rsidRPr="00D81087" w:rsidRDefault="00D81087" w:rsidP="002B1192">
      <w:pPr>
        <w:pStyle w:val="Textonotapie"/>
        <w:jc w:val="both"/>
        <w:rPr>
          <w:lang w:val="es-VE"/>
        </w:rPr>
      </w:pPr>
      <w:r>
        <w:rPr>
          <w:rStyle w:val="Refdenotaalpie"/>
        </w:rPr>
        <w:footnoteRef/>
      </w:r>
      <w:r>
        <w:t xml:space="preserve"> </w:t>
      </w:r>
      <w:r w:rsidRPr="00D81087">
        <w:t xml:space="preserve">Gaceta Oficial </w:t>
      </w:r>
      <w:r>
        <w:t>n.</w:t>
      </w:r>
      <w:r w:rsidRPr="00D81087">
        <w:t>° 38.770, 17 de septiembre de 2007.</w:t>
      </w:r>
    </w:p>
  </w:footnote>
  <w:footnote w:id="4">
    <w:p w:rsidR="00C0455D" w:rsidRPr="00C0455D" w:rsidRDefault="00C0455D" w:rsidP="002B1192">
      <w:pPr>
        <w:pStyle w:val="Textonotapie"/>
        <w:jc w:val="both"/>
        <w:rPr>
          <w:lang w:val="es-VE"/>
        </w:rPr>
      </w:pPr>
      <w:r>
        <w:rPr>
          <w:rStyle w:val="Refdenotaalpie"/>
        </w:rPr>
        <w:footnoteRef/>
      </w:r>
      <w:r>
        <w:t xml:space="preserve"> </w:t>
      </w:r>
      <w:r>
        <w:rPr>
          <w:lang w:val="es-VE"/>
        </w:rPr>
        <w:t xml:space="preserve">Gaceta Oficial n.° </w:t>
      </w:r>
      <w:r w:rsidRPr="00C0455D">
        <w:rPr>
          <w:lang w:val="es-VE"/>
        </w:rPr>
        <w:t>37</w:t>
      </w:r>
      <w:r>
        <w:rPr>
          <w:lang w:val="es-VE"/>
        </w:rPr>
        <w:t>.</w:t>
      </w:r>
      <w:r w:rsidRPr="00C0455D">
        <w:rPr>
          <w:lang w:val="es-VE"/>
        </w:rPr>
        <w:t>404</w:t>
      </w:r>
      <w:r>
        <w:rPr>
          <w:lang w:val="es-VE"/>
        </w:rPr>
        <w:t>,</w:t>
      </w:r>
      <w:r w:rsidRPr="00C0455D">
        <w:rPr>
          <w:lang w:val="es-VE"/>
        </w:rPr>
        <w:t xml:space="preserve"> 14</w:t>
      </w:r>
      <w:r>
        <w:rPr>
          <w:lang w:val="es-VE"/>
        </w:rPr>
        <w:t xml:space="preserve"> de marzo de </w:t>
      </w:r>
      <w:r w:rsidRPr="00C0455D">
        <w:rPr>
          <w:lang w:val="es-VE"/>
        </w:rPr>
        <w:t>2002</w:t>
      </w:r>
      <w:r>
        <w:rPr>
          <w:lang w:val="es-VE"/>
        </w:rPr>
        <w:t>.</w:t>
      </w:r>
    </w:p>
  </w:footnote>
  <w:footnote w:id="5">
    <w:p w:rsidR="00921018" w:rsidRPr="00921018" w:rsidRDefault="00921018" w:rsidP="002B1192">
      <w:pPr>
        <w:pStyle w:val="Textonotapie"/>
        <w:jc w:val="both"/>
        <w:rPr>
          <w:lang w:val="es-VE"/>
        </w:rPr>
      </w:pPr>
      <w:r>
        <w:rPr>
          <w:rStyle w:val="Refdenotaalpie"/>
        </w:rPr>
        <w:footnoteRef/>
      </w:r>
      <w:r>
        <w:t xml:space="preserve"> </w:t>
      </w:r>
      <w:r w:rsidRPr="00921018">
        <w:t xml:space="preserve">Gaceta Oficial </w:t>
      </w:r>
      <w:r>
        <w:t>n.</w:t>
      </w:r>
      <w:r w:rsidRPr="00921018">
        <w:t>° 38.344, 27 de diciembre de 2005.</w:t>
      </w:r>
    </w:p>
  </w:footnote>
  <w:footnote w:id="6">
    <w:p w:rsidR="006F5918" w:rsidRPr="006F5918" w:rsidRDefault="006F5918" w:rsidP="002B1192">
      <w:pPr>
        <w:pStyle w:val="Textonotapie"/>
        <w:jc w:val="both"/>
        <w:rPr>
          <w:lang w:val="es-VE"/>
        </w:rPr>
      </w:pPr>
      <w:r>
        <w:rPr>
          <w:rStyle w:val="Refdenotaalpie"/>
        </w:rPr>
        <w:footnoteRef/>
      </w:r>
      <w:r>
        <w:t xml:space="preserve"> </w:t>
      </w:r>
      <w:r w:rsidRPr="006F5918">
        <w:t xml:space="preserve">Gaceta Oficial </w:t>
      </w:r>
      <w:r>
        <w:t>n.</w:t>
      </w:r>
      <w:r w:rsidRPr="006F5918">
        <w:t>° 37.296, 03 de octubre de 2001.</w:t>
      </w:r>
    </w:p>
  </w:footnote>
  <w:footnote w:id="7">
    <w:p w:rsidR="006F5918" w:rsidRPr="006F5918" w:rsidRDefault="006F5918" w:rsidP="002B1192">
      <w:pPr>
        <w:pStyle w:val="Textonotapie"/>
        <w:jc w:val="both"/>
        <w:rPr>
          <w:lang w:val="es-VE"/>
        </w:rPr>
      </w:pPr>
      <w:r>
        <w:rPr>
          <w:rStyle w:val="Refdenotaalpie"/>
        </w:rPr>
        <w:footnoteRef/>
      </w:r>
      <w:r>
        <w:t xml:space="preserve"> </w:t>
      </w:r>
      <w:r w:rsidR="002B1192">
        <w:t>Gaceta Oficial n.°</w:t>
      </w:r>
      <w:r w:rsidRPr="006F5918">
        <w:t xml:space="preserve"> 5.266, Extraordinario, 02 de septiembre de 1999</w:t>
      </w:r>
      <w:r>
        <w:t xml:space="preserve">. Reformada según Gaceta Oficial </w:t>
      </w:r>
      <w:r w:rsidRPr="006F5918">
        <w:t>n.° 5.859, 10 de diciembre de 2007</w:t>
      </w:r>
      <w:r>
        <w:t>.</w:t>
      </w:r>
    </w:p>
  </w:footnote>
  <w:footnote w:id="8">
    <w:p w:rsidR="006F5918" w:rsidRPr="006F5918" w:rsidRDefault="006F5918">
      <w:pPr>
        <w:pStyle w:val="Textonotapie"/>
        <w:rPr>
          <w:lang w:val="es-VE"/>
        </w:rPr>
      </w:pPr>
      <w:r>
        <w:rPr>
          <w:rStyle w:val="Refdenotaalpie"/>
        </w:rPr>
        <w:footnoteRef/>
      </w:r>
      <w:r>
        <w:t xml:space="preserve"> </w:t>
      </w:r>
      <w:r w:rsidRPr="006F5918">
        <w:t xml:space="preserve">Gaceta Oficial </w:t>
      </w:r>
      <w:r>
        <w:t>n.</w:t>
      </w:r>
      <w:r w:rsidRPr="006F5918">
        <w:t>° 5.914 Extraordinario, 7 de diciembre de 2009.</w:t>
      </w:r>
    </w:p>
  </w:footnote>
  <w:footnote w:id="9">
    <w:p w:rsidR="00D1534F" w:rsidRPr="00D1534F" w:rsidRDefault="00D1534F">
      <w:pPr>
        <w:pStyle w:val="Textonotapie"/>
        <w:rPr>
          <w:lang w:val="es-VE"/>
        </w:rPr>
      </w:pPr>
      <w:r>
        <w:rPr>
          <w:rStyle w:val="Refdenotaalpie"/>
        </w:rPr>
        <w:footnoteRef/>
      </w:r>
      <w:r>
        <w:t xml:space="preserve"> </w:t>
      </w:r>
      <w:r w:rsidRPr="00D1534F">
        <w:t xml:space="preserve">Gaceta Oficial </w:t>
      </w:r>
      <w:r>
        <w:t>n.</w:t>
      </w:r>
      <w:r w:rsidRPr="00D1534F">
        <w:t>° 39.276</w:t>
      </w:r>
      <w:r>
        <w:t xml:space="preserve">, </w:t>
      </w:r>
      <w:r w:rsidRPr="00D1534F">
        <w:t>1 de octubre de 2009.</w:t>
      </w:r>
    </w:p>
  </w:footnote>
  <w:footnote w:id="10">
    <w:p w:rsidR="00D1534F" w:rsidRPr="00D1534F" w:rsidRDefault="00D1534F">
      <w:pPr>
        <w:pStyle w:val="Textonotapie"/>
        <w:rPr>
          <w:lang w:val="es-VE"/>
        </w:rPr>
      </w:pPr>
      <w:r>
        <w:rPr>
          <w:rStyle w:val="Refdenotaalpie"/>
        </w:rPr>
        <w:footnoteRef/>
      </w:r>
      <w:r>
        <w:t xml:space="preserve"> </w:t>
      </w:r>
      <w:r w:rsidRPr="00D1534F">
        <w:t xml:space="preserve">Gaceta Oficial </w:t>
      </w:r>
      <w:r>
        <w:t>n.</w:t>
      </w:r>
      <w:r w:rsidRPr="00D1534F">
        <w:t>° 39.264, 15 de septiembre de 2009.</w:t>
      </w:r>
    </w:p>
  </w:footnote>
  <w:footnote w:id="11">
    <w:p w:rsidR="00D1534F" w:rsidRPr="00D1534F" w:rsidRDefault="00D1534F">
      <w:pPr>
        <w:pStyle w:val="Textonotapie"/>
        <w:rPr>
          <w:lang w:val="es-VE"/>
        </w:rPr>
      </w:pPr>
      <w:r>
        <w:rPr>
          <w:rStyle w:val="Refdenotaalpie"/>
        </w:rPr>
        <w:footnoteRef/>
      </w:r>
      <w:r>
        <w:t xml:space="preserve"> </w:t>
      </w:r>
      <w:r w:rsidRPr="00D1534F">
        <w:t xml:space="preserve">Gaceta Oficial </w:t>
      </w:r>
      <w:r>
        <w:t>n.</w:t>
      </w:r>
      <w:r w:rsidRPr="00D1534F">
        <w:t xml:space="preserve">° </w:t>
      </w:r>
      <w:r w:rsidR="00DC3B17" w:rsidRPr="00D1534F">
        <w:t>39.808,</w:t>
      </w:r>
      <w:r w:rsidRPr="00D1534F">
        <w:t xml:space="preserve"> 25 de noviembre de 2011.</w:t>
      </w:r>
    </w:p>
  </w:footnote>
  <w:footnote w:id="12">
    <w:p w:rsidR="00A71567" w:rsidRPr="00A71567" w:rsidRDefault="00A71567">
      <w:pPr>
        <w:pStyle w:val="Textonotapie"/>
        <w:rPr>
          <w:lang w:val="es-VE"/>
        </w:rPr>
      </w:pPr>
      <w:r>
        <w:rPr>
          <w:rStyle w:val="Refdenotaalpie"/>
        </w:rPr>
        <w:footnoteRef/>
      </w:r>
      <w:r>
        <w:t xml:space="preserve"> </w:t>
      </w:r>
      <w:r>
        <w:rPr>
          <w:lang w:val="es-VE"/>
        </w:rPr>
        <w:t>Gaceta Oficial n. º 40.212, 22de julio de 2013.</w:t>
      </w:r>
    </w:p>
  </w:footnote>
  <w:footnote w:id="13">
    <w:p w:rsidR="00153110" w:rsidRPr="00F55B81" w:rsidRDefault="00153110" w:rsidP="006F5918">
      <w:pPr>
        <w:pStyle w:val="Textonotapie"/>
        <w:jc w:val="both"/>
        <w:rPr>
          <w:lang w:val="es-VE"/>
        </w:rPr>
      </w:pPr>
      <w:r>
        <w:rPr>
          <w:rStyle w:val="Refdenotaalpie"/>
        </w:rPr>
        <w:footnoteRef/>
      </w:r>
      <w:r>
        <w:t xml:space="preserve"> </w:t>
      </w:r>
      <w:r w:rsidRPr="00907C96">
        <w:t>Sentencia n.</w:t>
      </w:r>
      <w:r w:rsidR="00A71567">
        <w:t xml:space="preserve"> </w:t>
      </w:r>
      <w:r w:rsidRPr="00907C96">
        <w:t>º 163 de Sala Constitucional, Expediente n</w:t>
      </w:r>
      <w:r w:rsidR="00E45798" w:rsidRPr="00907C96">
        <w:t>. º</w:t>
      </w:r>
      <w:r w:rsidRPr="00907C96">
        <w:t xml:space="preserve"> 07-0124 del 28 de febrero de 2008.</w:t>
      </w:r>
    </w:p>
  </w:footnote>
  <w:footnote w:id="14">
    <w:p w:rsidR="00153110" w:rsidRPr="00055BC7" w:rsidRDefault="00153110" w:rsidP="00B12CBE">
      <w:pPr>
        <w:pStyle w:val="Textonotapie"/>
        <w:jc w:val="both"/>
        <w:rPr>
          <w:lang w:val="es-VE"/>
        </w:rPr>
      </w:pPr>
      <w:r w:rsidRPr="00B12CBE">
        <w:rPr>
          <w:rStyle w:val="Refdenotaalpie"/>
        </w:rPr>
        <w:footnoteRef/>
      </w:r>
      <w:r w:rsidRPr="00B12CBE">
        <w:t xml:space="preserve"> Para mayor información acerca de la actuación defensorial en cada uno de los eventos electorales, ver los Informes Anuales de la Defensoría del Pueblo 2001, 2004, 2005, 2006, 2008, 2010, 2012 y el Informe Especial “Elección Presidencial 14 de Abril 2013, todos ellos disponibles en la página web de la Institución, a través del siguiente enlace: &lt;http://www.defensoria.gob.ve/dp/index.php/publicaciones&gt;</w:t>
      </w:r>
      <w:r w:rsidRPr="00B12CBE">
        <w:rPr>
          <w:lang w:val="es-VE"/>
        </w:rPr>
        <w:t>.</w:t>
      </w:r>
    </w:p>
  </w:footnote>
  <w:footnote w:id="15">
    <w:p w:rsidR="00153110" w:rsidRPr="001E488E" w:rsidRDefault="00153110">
      <w:pPr>
        <w:pStyle w:val="Textonotapie"/>
        <w:rPr>
          <w:lang w:val="es-VE"/>
        </w:rPr>
      </w:pPr>
      <w:r>
        <w:rPr>
          <w:rStyle w:val="Refdenotaalpie"/>
        </w:rPr>
        <w:footnoteRef/>
      </w:r>
      <w:r>
        <w:t xml:space="preserve"> </w:t>
      </w:r>
      <w:r>
        <w:rPr>
          <w:lang w:val="es-VE"/>
        </w:rPr>
        <w:t>La DdP tiene un representante ante dicha Comisión, con voz, más no voto.</w:t>
      </w:r>
    </w:p>
  </w:footnote>
  <w:footnote w:id="16">
    <w:p w:rsidR="00153110" w:rsidRPr="007A0DBB" w:rsidRDefault="00153110" w:rsidP="00ED1EE1">
      <w:pPr>
        <w:pStyle w:val="Textonotapie"/>
        <w:jc w:val="both"/>
      </w:pPr>
      <w:r w:rsidRPr="007A0DBB">
        <w:rPr>
          <w:rStyle w:val="Refdenotaalpie"/>
        </w:rPr>
        <w:footnoteRef/>
      </w:r>
      <w:r w:rsidRPr="007A0DBB">
        <w:t xml:space="preserve"> En: &lt;http://www.acnur.org/t3/fileadmin/scripts/doc.php?file=t3/fileadmin/Documentos/BDL/2012/8984&gt;. Consultado el 11 de octubre de 2012.</w:t>
      </w:r>
    </w:p>
  </w:footnote>
  <w:footnote w:id="17">
    <w:p w:rsidR="00EF6654" w:rsidRPr="00E62FA4" w:rsidRDefault="00EF6654" w:rsidP="00EF6654">
      <w:pPr>
        <w:pStyle w:val="Textonotapie"/>
        <w:jc w:val="both"/>
      </w:pPr>
      <w:r w:rsidRPr="00E62FA4">
        <w:rPr>
          <w:rStyle w:val="Refdenotaalpie"/>
        </w:rPr>
        <w:footnoteRef/>
      </w:r>
      <w:r w:rsidRPr="00E62FA4">
        <w:t xml:space="preserve"> La Defensoría conoció sobre la aplicación de 39 expulsiones en 2012, 59 en 2013 y 37 en el primer semestre de 2014, a instancia del Saime. Es probable, entonces, que se estén ejecutando medidas de este tipo al margen de la ley, debido al bajo número registrado.</w:t>
      </w:r>
    </w:p>
  </w:footnote>
  <w:footnote w:id="18">
    <w:p w:rsidR="00153110" w:rsidRPr="00D07641" w:rsidRDefault="00153110" w:rsidP="00D07641">
      <w:pPr>
        <w:pStyle w:val="Textonotapie"/>
        <w:jc w:val="both"/>
        <w:rPr>
          <w:lang w:val="es-VE"/>
        </w:rPr>
      </w:pPr>
      <w:r>
        <w:rPr>
          <w:rStyle w:val="Refdenotaalpie"/>
        </w:rPr>
        <w:footnoteRef/>
      </w:r>
      <w:r>
        <w:t xml:space="preserve"> </w:t>
      </w:r>
      <w:r>
        <w:rPr>
          <w:lang w:val="es-VE"/>
        </w:rPr>
        <w:t>Ver Informe Defensorial Sr. Franklin Brito Rodríguez. Disponible en: &lt;</w:t>
      </w:r>
      <w:r w:rsidRPr="00D07641">
        <w:rPr>
          <w:lang w:val="es-VE"/>
        </w:rPr>
        <w:t>http://www.defensoria.gob.ve/dp/index.php/publicaciones/informes-especiales/1466-informe-brito</w:t>
      </w:r>
      <w:r>
        <w:rPr>
          <w:lang w:val="es-VE"/>
        </w:rPr>
        <w:t>&gt;.</w:t>
      </w:r>
    </w:p>
  </w:footnote>
  <w:footnote w:id="19">
    <w:p w:rsidR="00153110" w:rsidRPr="00364DD2" w:rsidRDefault="00153110" w:rsidP="00D50FC4">
      <w:pPr>
        <w:pStyle w:val="Textonotapie"/>
        <w:jc w:val="both"/>
        <w:rPr>
          <w:lang w:val="es-VE"/>
        </w:rPr>
      </w:pPr>
      <w:r>
        <w:rPr>
          <w:rStyle w:val="Refdenotaalpie"/>
        </w:rPr>
        <w:footnoteRef/>
      </w:r>
      <w:r>
        <w:t xml:space="preserve"> </w:t>
      </w:r>
      <w:r>
        <w:rPr>
          <w:lang w:val="es-VE"/>
        </w:rPr>
        <w:t>Sentencia 1.406, 24 de octubre de 2012. En: &lt;</w:t>
      </w:r>
      <w:r w:rsidRPr="0061379E">
        <w:rPr>
          <w:lang w:val="es-VE"/>
        </w:rPr>
        <w:t>http://www.tsj.gov.ve/decisiones/scon/octubre/1406-241012-2012-10-0161.HTML</w:t>
      </w:r>
      <w:r>
        <w:rPr>
          <w:lang w:val="es-VE"/>
        </w:rPr>
        <w:t>&gt;.</w:t>
      </w:r>
    </w:p>
  </w:footnote>
  <w:footnote w:id="20">
    <w:p w:rsidR="00153110" w:rsidRPr="00107382" w:rsidRDefault="00153110" w:rsidP="005110C9">
      <w:pPr>
        <w:pStyle w:val="Textonotapie"/>
        <w:jc w:val="both"/>
        <w:rPr>
          <w:lang w:val="es-VE"/>
        </w:rPr>
      </w:pPr>
      <w:r>
        <w:rPr>
          <w:rStyle w:val="Refdenotaalpie"/>
        </w:rPr>
        <w:footnoteRef/>
      </w:r>
      <w:r>
        <w:t xml:space="preserve"> </w:t>
      </w:r>
      <w:r>
        <w:rPr>
          <w:lang w:val="es-VE"/>
        </w:rPr>
        <w:t>Sentencia n.° 953, 16 de julio de 2013. En: &lt;</w:t>
      </w:r>
      <w:r w:rsidRPr="00107382">
        <w:rPr>
          <w:lang w:val="es-VE"/>
        </w:rPr>
        <w:t>http://www.tsj.gov.ve/decisiones/scon/julio/953-16713-2013-10-0238.HTML</w:t>
      </w:r>
      <w:r>
        <w:rPr>
          <w:lang w:val="es-VE"/>
        </w:rPr>
        <w:t>&gt;.</w:t>
      </w:r>
    </w:p>
  </w:footnote>
  <w:footnote w:id="21">
    <w:p w:rsidR="00153110" w:rsidRPr="00643B70" w:rsidRDefault="00153110" w:rsidP="005110C9">
      <w:pPr>
        <w:pStyle w:val="Textonotapie"/>
        <w:jc w:val="both"/>
      </w:pPr>
      <w:r w:rsidRPr="00643B70">
        <w:rPr>
          <w:rStyle w:val="Refdenotaalpie"/>
        </w:rPr>
        <w:footnoteRef/>
      </w:r>
      <w:r w:rsidRPr="00643B70">
        <w:t xml:space="preserve"> G</w:t>
      </w:r>
      <w:r>
        <w:t xml:space="preserve">aceta </w:t>
      </w:r>
      <w:r w:rsidRPr="00643B70">
        <w:t>O</w:t>
      </w:r>
      <w:r>
        <w:t xml:space="preserve">ficial n. </w:t>
      </w:r>
      <w:r w:rsidRPr="00643B70">
        <w:t>° 40.212</w:t>
      </w:r>
      <w:r>
        <w:t>,</w:t>
      </w:r>
      <w:r w:rsidRPr="00643B70">
        <w:t xml:space="preserve"> 22 de julio de 2013.</w:t>
      </w:r>
    </w:p>
  </w:footnote>
  <w:footnote w:id="22">
    <w:p w:rsidR="00153110" w:rsidRPr="008C13B0" w:rsidRDefault="00153110" w:rsidP="005110C9">
      <w:pPr>
        <w:spacing w:after="0" w:line="240" w:lineRule="auto"/>
        <w:jc w:val="both"/>
        <w:rPr>
          <w:rFonts w:ascii="Times New Roman" w:eastAsia="Times New Roman" w:hAnsi="Times New Roman" w:cs="Times New Roman"/>
          <w:sz w:val="20"/>
          <w:szCs w:val="20"/>
          <w:lang w:eastAsia="es-ES"/>
        </w:rPr>
      </w:pPr>
      <w:r w:rsidRPr="008C13B0">
        <w:rPr>
          <w:rStyle w:val="Refdenotaalpie"/>
          <w:rFonts w:ascii="Times New Roman" w:hAnsi="Times New Roman" w:cs="Times New Roman"/>
          <w:sz w:val="20"/>
          <w:szCs w:val="20"/>
        </w:rPr>
        <w:footnoteRef/>
      </w:r>
      <w:r w:rsidRPr="008C13B0">
        <w:rPr>
          <w:rFonts w:ascii="Times New Roman" w:hAnsi="Times New Roman" w:cs="Times New Roman"/>
          <w:sz w:val="20"/>
          <w:szCs w:val="20"/>
        </w:rPr>
        <w:t xml:space="preserve"> En 2012, la DdP a través de su Dirección de Análisis e Investigación en Derechos Humanos y la Fundación Juan Vives Suriá, presentó ante el Fondo Nacional de Ciencia, Tecnología e Innovación, para optar a  financiamiento, la propuesta de investigación “Policía Nacional Bolivariana: Balance desde la labor de vigilancia de la Defensoría del Pueblo 2013-2014”, que tiene como objetivo general </w:t>
      </w:r>
      <w:r w:rsidRPr="008C13B0">
        <w:rPr>
          <w:rFonts w:ascii="Times New Roman" w:eastAsia="Times New Roman" w:hAnsi="Times New Roman" w:cs="Times New Roman"/>
          <w:i/>
          <w:sz w:val="20"/>
          <w:szCs w:val="20"/>
          <w:lang w:eastAsia="es-ES"/>
        </w:rPr>
        <w:t>Evaluar el desempeño de la PNB en los estados Aragua, Anzoátegui, Carabobo, Distrito Capital, Lara, Miranda, Táchira y Zulia desde un enfoque de derechos humanos, a través del seguimiento a las recomendaciones realizadas por la DdP en 2010, la comparación de la percepción en parroquia Sucre (2010 y 2013), y el análisis del nuevo despliegue policial desde la Gran Misión ¡A Toda Vida! Venezuela</w:t>
      </w:r>
      <w:r w:rsidRPr="008C13B0">
        <w:rPr>
          <w:rFonts w:ascii="Times New Roman" w:eastAsia="Times New Roman" w:hAnsi="Times New Roman" w:cs="Times New Roman"/>
          <w:sz w:val="20"/>
          <w:szCs w:val="20"/>
          <w:lang w:eastAsia="es-ES"/>
        </w:rPr>
        <w:t>.</w:t>
      </w:r>
      <w:r>
        <w:rPr>
          <w:rFonts w:ascii="Times New Roman" w:eastAsia="Times New Roman" w:hAnsi="Times New Roman" w:cs="Times New Roman"/>
          <w:sz w:val="20"/>
          <w:szCs w:val="20"/>
          <w:lang w:eastAsia="es-ES"/>
        </w:rPr>
        <w:t xml:space="preserve"> En tal sentido, a finales de 2013, dicho Fondo otorgó los recursos solicitados para la realización de la investigación que se encuentra en fase de aplicación de los instrumentos de recolección de información.</w:t>
      </w:r>
    </w:p>
  </w:footnote>
  <w:footnote w:id="23">
    <w:p w:rsidR="00153110" w:rsidRPr="006E68A5" w:rsidRDefault="00153110" w:rsidP="006E68A5">
      <w:pPr>
        <w:pStyle w:val="Textonotapie"/>
        <w:jc w:val="both"/>
        <w:rPr>
          <w:lang w:val="es-VE"/>
        </w:rPr>
      </w:pPr>
      <w:r>
        <w:rPr>
          <w:rStyle w:val="Refdenotaalpie"/>
        </w:rPr>
        <w:footnoteRef/>
      </w:r>
      <w:r>
        <w:t xml:space="preserve"> </w:t>
      </w:r>
      <w:r>
        <w:rPr>
          <w:lang w:val="es-VE"/>
        </w:rPr>
        <w:t xml:space="preserve">Los resultados del Programa, pueden observarse en los distintos Informes Anuales de la Defensoría del Pueblo (2008-2013) publicados en su Portal </w:t>
      </w:r>
      <w:r w:rsidRPr="006E68A5">
        <w:rPr>
          <w:i/>
          <w:lang w:val="es-VE"/>
        </w:rPr>
        <w:t>web</w:t>
      </w:r>
      <w:r>
        <w:rPr>
          <w:i/>
          <w:lang w:val="es-VE"/>
        </w:rPr>
        <w:t xml:space="preserve">, </w:t>
      </w:r>
      <w:r w:rsidRPr="006E68A5">
        <w:rPr>
          <w:lang w:val="es-VE"/>
        </w:rPr>
        <w:t>a través del siguiente enlace:</w:t>
      </w:r>
      <w:r>
        <w:rPr>
          <w:lang w:val="es-VE"/>
        </w:rPr>
        <w:t xml:space="preserve"> &lt;</w:t>
      </w:r>
      <w:r w:rsidRPr="006E68A5">
        <w:rPr>
          <w:lang w:val="es-VE"/>
        </w:rPr>
        <w:t>http://www.defensoria.gob.ve/dp/index.php/publicaciones/informes-anuales</w:t>
      </w:r>
      <w:r>
        <w:rPr>
          <w:lang w:val="es-VE"/>
        </w:rPr>
        <w:t>&gt;.</w:t>
      </w:r>
    </w:p>
  </w:footnote>
  <w:footnote w:id="24">
    <w:p w:rsidR="00153110" w:rsidRPr="00894DA5" w:rsidRDefault="00153110">
      <w:pPr>
        <w:pStyle w:val="Textonotapie"/>
        <w:rPr>
          <w:sz w:val="16"/>
          <w:lang w:val="es-VE"/>
        </w:rPr>
      </w:pPr>
      <w:r>
        <w:rPr>
          <w:rStyle w:val="Refdenotaalpie"/>
        </w:rPr>
        <w:footnoteRef/>
      </w:r>
      <w:r>
        <w:t xml:space="preserve"> </w:t>
      </w:r>
      <w:r w:rsidRPr="00894DA5">
        <w:rPr>
          <w:spacing w:val="-4"/>
        </w:rPr>
        <w:t>Gaceta Oficial 6.079, Extraordinario del 15 de junio de 2012</w:t>
      </w:r>
      <w:r>
        <w:rPr>
          <w:spacing w:val="-4"/>
        </w:rPr>
        <w:t>.</w:t>
      </w:r>
    </w:p>
  </w:footnote>
  <w:footnote w:id="25">
    <w:p w:rsidR="00153110" w:rsidRPr="001A7280" w:rsidRDefault="00153110">
      <w:pPr>
        <w:pStyle w:val="Textonotapie"/>
        <w:rPr>
          <w:lang w:val="es-VE"/>
        </w:rPr>
      </w:pPr>
      <w:r w:rsidRPr="00824800">
        <w:rPr>
          <w:rStyle w:val="Refdenotaalpie"/>
          <w:sz w:val="16"/>
        </w:rPr>
        <w:footnoteRef/>
      </w:r>
      <w:r w:rsidRPr="00824800">
        <w:rPr>
          <w:sz w:val="16"/>
        </w:rPr>
        <w:t xml:space="preserve"> </w:t>
      </w:r>
      <w:r w:rsidRPr="00824800">
        <w:rPr>
          <w:szCs w:val="24"/>
          <w:lang w:eastAsia="es-VE"/>
        </w:rPr>
        <w:t>Gaceta Oficial n.º 39.264</w:t>
      </w:r>
      <w:r>
        <w:rPr>
          <w:szCs w:val="24"/>
          <w:lang w:eastAsia="es-VE"/>
        </w:rPr>
        <w:t>,</w:t>
      </w:r>
      <w:r w:rsidRPr="00824800">
        <w:rPr>
          <w:szCs w:val="24"/>
          <w:lang w:eastAsia="es-VE"/>
        </w:rPr>
        <w:t xml:space="preserve"> 15 de septiembre de 2009.</w:t>
      </w:r>
    </w:p>
  </w:footnote>
  <w:footnote w:id="26">
    <w:p w:rsidR="006820AE" w:rsidRPr="00662817" w:rsidRDefault="006820AE" w:rsidP="006820AE">
      <w:pPr>
        <w:pStyle w:val="Textonotapie"/>
        <w:rPr>
          <w:lang w:val="es-VE"/>
        </w:rPr>
      </w:pPr>
      <w:r>
        <w:rPr>
          <w:rStyle w:val="Refdenotaalpie"/>
        </w:rPr>
        <w:footnoteRef/>
      </w:r>
      <w:r>
        <w:t xml:space="preserve"> </w:t>
      </w:r>
      <w:r>
        <w:rPr>
          <w:lang w:val="es-VE"/>
        </w:rPr>
        <w:t xml:space="preserve">Al respecto la DdP  en 2012, exhortó  al Poder Legislativo para que agilice la discusión y aprobación de este proyecto de Ley presentado por el Ejecutivo Nacional. </w:t>
      </w:r>
    </w:p>
  </w:footnote>
  <w:footnote w:id="27">
    <w:p w:rsidR="006820AE" w:rsidRPr="006C3FD3" w:rsidRDefault="006820AE" w:rsidP="006820AE">
      <w:pPr>
        <w:pStyle w:val="Textonotapie"/>
        <w:rPr>
          <w:lang w:val="es-VE"/>
        </w:rPr>
      </w:pPr>
      <w:r>
        <w:rPr>
          <w:rStyle w:val="Refdenotaalpie"/>
        </w:rPr>
        <w:footnoteRef/>
      </w:r>
      <w:r>
        <w:t xml:space="preserve"> </w:t>
      </w:r>
      <w:r>
        <w:rPr>
          <w:lang w:val="es-VE"/>
        </w:rPr>
        <w:t>Gaceta Oficial n. º 39.912, 30 de abril de 2012.</w:t>
      </w:r>
    </w:p>
  </w:footnote>
  <w:footnote w:id="28">
    <w:p w:rsidR="006820AE" w:rsidRPr="005870DC" w:rsidRDefault="006820AE" w:rsidP="006820AE">
      <w:pPr>
        <w:pStyle w:val="Textonotapie"/>
        <w:rPr>
          <w:lang w:val="es-VE"/>
        </w:rPr>
      </w:pPr>
      <w:r>
        <w:rPr>
          <w:rStyle w:val="Refdenotaalpie"/>
        </w:rPr>
        <w:footnoteRef/>
      </w:r>
      <w:r>
        <w:t xml:space="preserve"> </w:t>
      </w:r>
      <w:r>
        <w:rPr>
          <w:lang w:val="es-VE"/>
        </w:rPr>
        <w:t>Gaceta Oficial n, º 38.770, 07 de septiembre de 2007.</w:t>
      </w:r>
    </w:p>
  </w:footnote>
  <w:footnote w:id="29">
    <w:p w:rsidR="006820AE" w:rsidRPr="005870DC" w:rsidRDefault="006820AE" w:rsidP="006820AE">
      <w:pPr>
        <w:pStyle w:val="Textonotapie"/>
        <w:rPr>
          <w:lang w:val="es-VE"/>
        </w:rPr>
      </w:pPr>
      <w:r>
        <w:rPr>
          <w:rStyle w:val="Refdenotaalpie"/>
        </w:rPr>
        <w:footnoteRef/>
      </w:r>
      <w:r>
        <w:t xml:space="preserve"> </w:t>
      </w:r>
      <w:r>
        <w:rPr>
          <w:lang w:val="es-VE"/>
        </w:rPr>
        <w:t>Gaceta Oficial n, º 37.944, 23 de mayo de 2004.</w:t>
      </w:r>
    </w:p>
  </w:footnote>
  <w:footnote w:id="30">
    <w:p w:rsidR="006820AE" w:rsidRPr="00103242" w:rsidRDefault="006820AE" w:rsidP="006820AE">
      <w:pPr>
        <w:pStyle w:val="Textonotapie"/>
        <w:rPr>
          <w:lang w:val="es-VE"/>
        </w:rPr>
      </w:pPr>
      <w:r>
        <w:rPr>
          <w:rStyle w:val="Refdenotaalpie"/>
        </w:rPr>
        <w:footnoteRef/>
      </w:r>
      <w:r>
        <w:t xml:space="preserve"> </w:t>
      </w:r>
      <w:r>
        <w:rPr>
          <w:lang w:val="es-VE"/>
        </w:rPr>
        <w:t>Gaceta Oficial n, º 38.412  de abril de 2006.</w:t>
      </w:r>
    </w:p>
  </w:footnote>
  <w:footnote w:id="31">
    <w:p w:rsidR="006820AE" w:rsidRPr="00E56AFD" w:rsidRDefault="006820AE" w:rsidP="006820AE">
      <w:pPr>
        <w:pStyle w:val="Textonotapie"/>
        <w:jc w:val="both"/>
        <w:rPr>
          <w:lang w:val="es-VE"/>
        </w:rPr>
      </w:pPr>
      <w:r>
        <w:rPr>
          <w:rStyle w:val="Refdenotaalpie"/>
        </w:rPr>
        <w:footnoteRef/>
      </w:r>
      <w:r>
        <w:t xml:space="preserve"> L</w:t>
      </w:r>
      <w:r>
        <w:rPr>
          <w:lang w:val="es-VE"/>
        </w:rPr>
        <w:t xml:space="preserve">a DdP  en 2012, exhortó al  Ministerio del Poder Popular para Relaciones Interiores y Justicia para que agilice la firma del Plan Nacional por parte de las diferentes instituciones participantes. Y se asuman  </w:t>
      </w:r>
      <w:r w:rsidRPr="00E56AFD">
        <w:rPr>
          <w:lang w:val="es-VE"/>
        </w:rPr>
        <w:t>los compromis</w:t>
      </w:r>
      <w:r>
        <w:rPr>
          <w:lang w:val="es-VE"/>
        </w:rPr>
        <w:t>os necesarios para consolidar una</w:t>
      </w:r>
      <w:r w:rsidRPr="00E56AFD">
        <w:rPr>
          <w:lang w:val="es-VE"/>
        </w:rPr>
        <w:t xml:space="preserve"> política de Estado que coadyuve a prevenir, reprimir y sancionar este delito de lesa humanidad en nuestro país,  así como asistir integralmente a las víctimas de la trata.      </w:t>
      </w:r>
    </w:p>
    <w:p w:rsidR="006820AE" w:rsidRPr="00662817" w:rsidRDefault="006820AE" w:rsidP="006820AE">
      <w:pPr>
        <w:pStyle w:val="Textonotapie"/>
        <w:jc w:val="both"/>
        <w:rPr>
          <w:lang w:val="es-VE"/>
        </w:rPr>
      </w:pPr>
    </w:p>
  </w:footnote>
  <w:footnote w:id="32">
    <w:p w:rsidR="00153110" w:rsidRPr="005A6458" w:rsidRDefault="00153110">
      <w:pPr>
        <w:pStyle w:val="Textonotapie"/>
        <w:rPr>
          <w:lang w:val="es-VE"/>
        </w:rPr>
      </w:pPr>
      <w:r w:rsidRPr="005A6458">
        <w:rPr>
          <w:rStyle w:val="Refdenotaalpie"/>
        </w:rPr>
        <w:footnoteRef/>
      </w:r>
      <w:r w:rsidRPr="005A6458">
        <w:t xml:space="preserve"> Gaceta Oficial 39.823, 19 de diciembre de 2011</w:t>
      </w:r>
      <w:r>
        <w:t>.</w:t>
      </w:r>
    </w:p>
  </w:footnote>
  <w:footnote w:id="33">
    <w:p w:rsidR="00C41332" w:rsidRPr="00C41332" w:rsidRDefault="00C41332" w:rsidP="00C41332">
      <w:pPr>
        <w:pStyle w:val="Textonotapie"/>
        <w:spacing w:before="120" w:after="120"/>
        <w:jc w:val="both"/>
        <w:rPr>
          <w:b/>
          <w:bCs/>
        </w:rPr>
      </w:pPr>
      <w:r w:rsidRPr="00C41332">
        <w:rPr>
          <w:rStyle w:val="Refdenotaalpie"/>
        </w:rPr>
        <w:footnoteRef/>
      </w:r>
      <w:r w:rsidRPr="00C41332">
        <w:t xml:space="preserve">ASAMBLEA NACIONAL. </w:t>
      </w:r>
      <w:r w:rsidRPr="00C41332">
        <w:rPr>
          <w:bCs/>
          <w:i/>
        </w:rPr>
        <w:t>AN sancionó Código Orgánico Penitenciario.</w:t>
      </w:r>
      <w:r w:rsidRPr="00C41332">
        <w:rPr>
          <w:b/>
          <w:bCs/>
        </w:rPr>
        <w:t xml:space="preserve"> </w:t>
      </w:r>
      <w:r w:rsidRPr="00C41332">
        <w:t xml:space="preserve">En: </w:t>
      </w:r>
      <w:r w:rsidRPr="00C41332">
        <w:rPr>
          <w:lang w:val="en-US"/>
        </w:rPr>
        <w:t>&lt;</w:t>
      </w:r>
      <w:r w:rsidRPr="00C41332">
        <w:rPr>
          <w:lang w:val="es-VE"/>
        </w:rPr>
        <w:t>http://www.asambleanacional.gob.ve/noticia/show/id/4210</w:t>
      </w:r>
      <w:r w:rsidRPr="00C41332">
        <w:rPr>
          <w:lang w:val="en-US"/>
        </w:rPr>
        <w:t>&gt;.</w:t>
      </w:r>
      <w:r w:rsidRPr="00C41332">
        <w:rPr>
          <w:rStyle w:val="PiedepginaCar"/>
          <w:rFonts w:ascii="Times New Roman" w:hAnsi="Times New Roman" w:cs="Times New Roman"/>
        </w:rPr>
        <w:t xml:space="preserve"> Consultado el 07 de noviembre  2013.             </w:t>
      </w:r>
    </w:p>
  </w:footnote>
  <w:footnote w:id="34">
    <w:p w:rsidR="00C41332" w:rsidRPr="00C41332" w:rsidRDefault="00C41332" w:rsidP="00C41332">
      <w:pPr>
        <w:pStyle w:val="Textonotapie"/>
        <w:spacing w:before="120" w:after="120"/>
        <w:jc w:val="both"/>
      </w:pPr>
      <w:r w:rsidRPr="00C41332">
        <w:rPr>
          <w:rStyle w:val="Refdenotaalpie"/>
        </w:rPr>
        <w:footnoteRef/>
      </w:r>
      <w:r w:rsidRPr="00C41332">
        <w:t>Entre ellas: Ley de Régimen Penitenciario. Gaceta Oficial n. ° 36.975, 19 de julio de 2000; y Ley de Redención Judicial de la Pena por el Trabajo y Estudio. Gaceta Oficial n.° 4.623, Extraordinario del 3 de septiembre de 1993.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3110" w:rsidRDefault="00E06CBF" w:rsidP="000A3395">
    <w:pPr>
      <w:pStyle w:val="Encabezado"/>
      <w:jc w:val="center"/>
    </w:pPr>
    <w:r w:rsidRPr="00E06CBF">
      <w:drawing>
        <wp:inline distT="0" distB="0" distL="0" distR="0">
          <wp:extent cx="1228725" cy="714375"/>
          <wp:effectExtent l="0" t="0" r="0" b="0"/>
          <wp:docPr id="19" name="Imagen 1" descr="Macintosh HD:Users:fundacionjuanvivessuria:Desktop:Logo jpg, pdf y editables:Logo cmyk.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acintosh HD:Users:fundacionjuanvivessuria:Desktop:Logo jpg, pdf y editables:Logo cmyk.pdf"/>
                  <pic:cNvPicPr>
                    <a:picLocks noChangeAspect="1" noChangeArrowheads="1"/>
                  </pic:cNvPicPr>
                </pic:nvPicPr>
                <pic:blipFill>
                  <a:blip r:embed="rId1" cstate="print"/>
                  <a:srcRect/>
                  <a:stretch>
                    <a:fillRect/>
                  </a:stretch>
                </pic:blipFill>
                <pic:spPr bwMode="auto">
                  <a:xfrm>
                    <a:off x="0" y="0"/>
                    <a:ext cx="1228725" cy="71437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64A6B"/>
    <w:multiLevelType w:val="hybridMultilevel"/>
    <w:tmpl w:val="2D624DBA"/>
    <w:lvl w:ilvl="0" w:tplc="6E368066">
      <w:numFmt w:val="bullet"/>
      <w:lvlText w:val="•"/>
      <w:lvlJc w:val="left"/>
      <w:pPr>
        <w:ind w:left="1065" w:hanging="705"/>
      </w:pPr>
      <w:rPr>
        <w:rFonts w:ascii="Times New Roman" w:eastAsia="Calibri" w:hAnsi="Times New Roman" w:cs="Times New Roman" w:hint="default"/>
      </w:rPr>
    </w:lvl>
    <w:lvl w:ilvl="1" w:tplc="651AF3F6" w:tentative="1">
      <w:start w:val="1"/>
      <w:numFmt w:val="bullet"/>
      <w:lvlText w:val="o"/>
      <w:lvlJc w:val="left"/>
      <w:pPr>
        <w:ind w:left="1440" w:hanging="360"/>
      </w:pPr>
      <w:rPr>
        <w:rFonts w:ascii="Courier New" w:hAnsi="Courier New" w:cs="Courier New" w:hint="default"/>
      </w:rPr>
    </w:lvl>
    <w:lvl w:ilvl="2" w:tplc="E77C2C9C" w:tentative="1">
      <w:start w:val="1"/>
      <w:numFmt w:val="bullet"/>
      <w:lvlText w:val=""/>
      <w:lvlJc w:val="left"/>
      <w:pPr>
        <w:ind w:left="2160" w:hanging="360"/>
      </w:pPr>
      <w:rPr>
        <w:rFonts w:ascii="Wingdings" w:hAnsi="Wingdings" w:hint="default"/>
      </w:rPr>
    </w:lvl>
    <w:lvl w:ilvl="3" w:tplc="E7BC951E" w:tentative="1">
      <w:start w:val="1"/>
      <w:numFmt w:val="bullet"/>
      <w:lvlText w:val=""/>
      <w:lvlJc w:val="left"/>
      <w:pPr>
        <w:ind w:left="2880" w:hanging="360"/>
      </w:pPr>
      <w:rPr>
        <w:rFonts w:ascii="Symbol" w:hAnsi="Symbol" w:hint="default"/>
      </w:rPr>
    </w:lvl>
    <w:lvl w:ilvl="4" w:tplc="1368C3C2" w:tentative="1">
      <w:start w:val="1"/>
      <w:numFmt w:val="bullet"/>
      <w:lvlText w:val="o"/>
      <w:lvlJc w:val="left"/>
      <w:pPr>
        <w:ind w:left="3600" w:hanging="360"/>
      </w:pPr>
      <w:rPr>
        <w:rFonts w:ascii="Courier New" w:hAnsi="Courier New" w:cs="Courier New" w:hint="default"/>
      </w:rPr>
    </w:lvl>
    <w:lvl w:ilvl="5" w:tplc="8BBE86B4" w:tentative="1">
      <w:start w:val="1"/>
      <w:numFmt w:val="bullet"/>
      <w:lvlText w:val=""/>
      <w:lvlJc w:val="left"/>
      <w:pPr>
        <w:ind w:left="4320" w:hanging="360"/>
      </w:pPr>
      <w:rPr>
        <w:rFonts w:ascii="Wingdings" w:hAnsi="Wingdings" w:hint="default"/>
      </w:rPr>
    </w:lvl>
    <w:lvl w:ilvl="6" w:tplc="4DE23D20" w:tentative="1">
      <w:start w:val="1"/>
      <w:numFmt w:val="bullet"/>
      <w:lvlText w:val=""/>
      <w:lvlJc w:val="left"/>
      <w:pPr>
        <w:ind w:left="5040" w:hanging="360"/>
      </w:pPr>
      <w:rPr>
        <w:rFonts w:ascii="Symbol" w:hAnsi="Symbol" w:hint="default"/>
      </w:rPr>
    </w:lvl>
    <w:lvl w:ilvl="7" w:tplc="46D23748" w:tentative="1">
      <w:start w:val="1"/>
      <w:numFmt w:val="bullet"/>
      <w:lvlText w:val="o"/>
      <w:lvlJc w:val="left"/>
      <w:pPr>
        <w:ind w:left="5760" w:hanging="360"/>
      </w:pPr>
      <w:rPr>
        <w:rFonts w:ascii="Courier New" w:hAnsi="Courier New" w:cs="Courier New" w:hint="default"/>
      </w:rPr>
    </w:lvl>
    <w:lvl w:ilvl="8" w:tplc="4E0238C0" w:tentative="1">
      <w:start w:val="1"/>
      <w:numFmt w:val="bullet"/>
      <w:lvlText w:val=""/>
      <w:lvlJc w:val="left"/>
      <w:pPr>
        <w:ind w:left="6480" w:hanging="360"/>
      </w:pPr>
      <w:rPr>
        <w:rFonts w:ascii="Wingdings" w:hAnsi="Wingdings" w:hint="default"/>
      </w:rPr>
    </w:lvl>
  </w:abstractNum>
  <w:abstractNum w:abstractNumId="1">
    <w:nsid w:val="0A53323E"/>
    <w:multiLevelType w:val="hybridMultilevel"/>
    <w:tmpl w:val="47EEDE4E"/>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CB4043B"/>
    <w:multiLevelType w:val="hybridMultilevel"/>
    <w:tmpl w:val="0248FF02"/>
    <w:lvl w:ilvl="0" w:tplc="25DA872C">
      <w:start w:val="1"/>
      <w:numFmt w:val="decimal"/>
      <w:lvlText w:val="%1."/>
      <w:lvlJc w:val="left"/>
      <w:pPr>
        <w:ind w:left="360" w:hanging="360"/>
      </w:pPr>
      <w:rPr>
        <w:b w:val="0"/>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
    <w:nsid w:val="0FD1669C"/>
    <w:multiLevelType w:val="hybridMultilevel"/>
    <w:tmpl w:val="9982B804"/>
    <w:lvl w:ilvl="0" w:tplc="E712230E">
      <w:start w:val="1"/>
      <w:numFmt w:val="decimal"/>
      <w:lvlText w:val="%1."/>
      <w:lvlJc w:val="left"/>
      <w:pPr>
        <w:tabs>
          <w:tab w:val="num" w:pos="1620"/>
        </w:tabs>
        <w:ind w:left="1620" w:hanging="540"/>
      </w:pPr>
      <w:rPr>
        <w:rFonts w:hint="default"/>
        <w:b w:val="0"/>
        <w:i w:val="0"/>
        <w:color w:val="auto"/>
        <w:sz w:val="24"/>
      </w:rPr>
    </w:lvl>
    <w:lvl w:ilvl="1" w:tplc="200A0019" w:tentative="1">
      <w:start w:val="1"/>
      <w:numFmt w:val="lowerLetter"/>
      <w:lvlText w:val="%2."/>
      <w:lvlJc w:val="left"/>
      <w:pPr>
        <w:ind w:left="2160" w:hanging="360"/>
      </w:pPr>
    </w:lvl>
    <w:lvl w:ilvl="2" w:tplc="200A001B" w:tentative="1">
      <w:start w:val="1"/>
      <w:numFmt w:val="lowerRoman"/>
      <w:lvlText w:val="%3."/>
      <w:lvlJc w:val="right"/>
      <w:pPr>
        <w:ind w:left="2880" w:hanging="180"/>
      </w:pPr>
    </w:lvl>
    <w:lvl w:ilvl="3" w:tplc="200A000F" w:tentative="1">
      <w:start w:val="1"/>
      <w:numFmt w:val="decimal"/>
      <w:lvlText w:val="%4."/>
      <w:lvlJc w:val="left"/>
      <w:pPr>
        <w:ind w:left="3600" w:hanging="360"/>
      </w:pPr>
    </w:lvl>
    <w:lvl w:ilvl="4" w:tplc="200A0019" w:tentative="1">
      <w:start w:val="1"/>
      <w:numFmt w:val="lowerLetter"/>
      <w:lvlText w:val="%5."/>
      <w:lvlJc w:val="left"/>
      <w:pPr>
        <w:ind w:left="4320" w:hanging="360"/>
      </w:pPr>
    </w:lvl>
    <w:lvl w:ilvl="5" w:tplc="200A001B" w:tentative="1">
      <w:start w:val="1"/>
      <w:numFmt w:val="lowerRoman"/>
      <w:lvlText w:val="%6."/>
      <w:lvlJc w:val="right"/>
      <w:pPr>
        <w:ind w:left="5040" w:hanging="180"/>
      </w:pPr>
    </w:lvl>
    <w:lvl w:ilvl="6" w:tplc="200A000F" w:tentative="1">
      <w:start w:val="1"/>
      <w:numFmt w:val="decimal"/>
      <w:lvlText w:val="%7."/>
      <w:lvlJc w:val="left"/>
      <w:pPr>
        <w:ind w:left="5760" w:hanging="360"/>
      </w:pPr>
    </w:lvl>
    <w:lvl w:ilvl="7" w:tplc="200A0019" w:tentative="1">
      <w:start w:val="1"/>
      <w:numFmt w:val="lowerLetter"/>
      <w:lvlText w:val="%8."/>
      <w:lvlJc w:val="left"/>
      <w:pPr>
        <w:ind w:left="6480" w:hanging="360"/>
      </w:pPr>
    </w:lvl>
    <w:lvl w:ilvl="8" w:tplc="200A001B" w:tentative="1">
      <w:start w:val="1"/>
      <w:numFmt w:val="lowerRoman"/>
      <w:lvlText w:val="%9."/>
      <w:lvlJc w:val="right"/>
      <w:pPr>
        <w:ind w:left="7200" w:hanging="180"/>
      </w:pPr>
    </w:lvl>
  </w:abstractNum>
  <w:abstractNum w:abstractNumId="4">
    <w:nsid w:val="18842667"/>
    <w:multiLevelType w:val="hybridMultilevel"/>
    <w:tmpl w:val="010807BC"/>
    <w:lvl w:ilvl="0" w:tplc="6EB453EE">
      <w:start w:val="1"/>
      <w:numFmt w:val="bullet"/>
      <w:lvlText w:val=""/>
      <w:lvlJc w:val="left"/>
      <w:pPr>
        <w:tabs>
          <w:tab w:val="num" w:pos="720"/>
        </w:tabs>
        <w:ind w:left="720" w:hanging="360"/>
      </w:pPr>
      <w:rPr>
        <w:rFonts w:ascii="Symbol" w:hAnsi="Symbol" w:hint="default"/>
      </w:rPr>
    </w:lvl>
    <w:lvl w:ilvl="1" w:tplc="200A0003" w:tentative="1">
      <w:start w:val="1"/>
      <w:numFmt w:val="bullet"/>
      <w:lvlText w:val="o"/>
      <w:lvlJc w:val="left"/>
      <w:pPr>
        <w:tabs>
          <w:tab w:val="num" w:pos="1440"/>
        </w:tabs>
        <w:ind w:left="1440" w:hanging="360"/>
      </w:pPr>
      <w:rPr>
        <w:rFonts w:ascii="Courier New" w:hAnsi="Courier New" w:cs="Courier New" w:hint="default"/>
      </w:rPr>
    </w:lvl>
    <w:lvl w:ilvl="2" w:tplc="200A0005" w:tentative="1">
      <w:start w:val="1"/>
      <w:numFmt w:val="bullet"/>
      <w:lvlText w:val=""/>
      <w:lvlJc w:val="left"/>
      <w:pPr>
        <w:tabs>
          <w:tab w:val="num" w:pos="2160"/>
        </w:tabs>
        <w:ind w:left="2160" w:hanging="360"/>
      </w:pPr>
      <w:rPr>
        <w:rFonts w:ascii="Wingdings" w:hAnsi="Wingdings" w:hint="default"/>
      </w:rPr>
    </w:lvl>
    <w:lvl w:ilvl="3" w:tplc="200A0001" w:tentative="1">
      <w:start w:val="1"/>
      <w:numFmt w:val="bullet"/>
      <w:lvlText w:val=""/>
      <w:lvlJc w:val="left"/>
      <w:pPr>
        <w:tabs>
          <w:tab w:val="num" w:pos="2880"/>
        </w:tabs>
        <w:ind w:left="2880" w:hanging="360"/>
      </w:pPr>
      <w:rPr>
        <w:rFonts w:ascii="Symbol" w:hAnsi="Symbol" w:hint="default"/>
      </w:rPr>
    </w:lvl>
    <w:lvl w:ilvl="4" w:tplc="200A0003" w:tentative="1">
      <w:start w:val="1"/>
      <w:numFmt w:val="bullet"/>
      <w:lvlText w:val="o"/>
      <w:lvlJc w:val="left"/>
      <w:pPr>
        <w:tabs>
          <w:tab w:val="num" w:pos="3600"/>
        </w:tabs>
        <w:ind w:left="3600" w:hanging="360"/>
      </w:pPr>
      <w:rPr>
        <w:rFonts w:ascii="Courier New" w:hAnsi="Courier New" w:cs="Courier New" w:hint="default"/>
      </w:rPr>
    </w:lvl>
    <w:lvl w:ilvl="5" w:tplc="200A0005" w:tentative="1">
      <w:start w:val="1"/>
      <w:numFmt w:val="bullet"/>
      <w:lvlText w:val=""/>
      <w:lvlJc w:val="left"/>
      <w:pPr>
        <w:tabs>
          <w:tab w:val="num" w:pos="4320"/>
        </w:tabs>
        <w:ind w:left="4320" w:hanging="360"/>
      </w:pPr>
      <w:rPr>
        <w:rFonts w:ascii="Wingdings" w:hAnsi="Wingdings" w:hint="default"/>
      </w:rPr>
    </w:lvl>
    <w:lvl w:ilvl="6" w:tplc="200A0001" w:tentative="1">
      <w:start w:val="1"/>
      <w:numFmt w:val="bullet"/>
      <w:lvlText w:val=""/>
      <w:lvlJc w:val="left"/>
      <w:pPr>
        <w:tabs>
          <w:tab w:val="num" w:pos="5040"/>
        </w:tabs>
        <w:ind w:left="5040" w:hanging="360"/>
      </w:pPr>
      <w:rPr>
        <w:rFonts w:ascii="Symbol" w:hAnsi="Symbol" w:hint="default"/>
      </w:rPr>
    </w:lvl>
    <w:lvl w:ilvl="7" w:tplc="200A0003" w:tentative="1">
      <w:start w:val="1"/>
      <w:numFmt w:val="bullet"/>
      <w:lvlText w:val="o"/>
      <w:lvlJc w:val="left"/>
      <w:pPr>
        <w:tabs>
          <w:tab w:val="num" w:pos="5760"/>
        </w:tabs>
        <w:ind w:left="5760" w:hanging="360"/>
      </w:pPr>
      <w:rPr>
        <w:rFonts w:ascii="Courier New" w:hAnsi="Courier New" w:cs="Courier New" w:hint="default"/>
      </w:rPr>
    </w:lvl>
    <w:lvl w:ilvl="8" w:tplc="200A0005" w:tentative="1">
      <w:start w:val="1"/>
      <w:numFmt w:val="bullet"/>
      <w:lvlText w:val=""/>
      <w:lvlJc w:val="left"/>
      <w:pPr>
        <w:tabs>
          <w:tab w:val="num" w:pos="6480"/>
        </w:tabs>
        <w:ind w:left="6480" w:hanging="360"/>
      </w:pPr>
      <w:rPr>
        <w:rFonts w:ascii="Wingdings" w:hAnsi="Wingdings" w:hint="default"/>
      </w:rPr>
    </w:lvl>
  </w:abstractNum>
  <w:abstractNum w:abstractNumId="5">
    <w:nsid w:val="1AB96CDD"/>
    <w:multiLevelType w:val="hybridMultilevel"/>
    <w:tmpl w:val="6DA4C4D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1EE01DC3"/>
    <w:multiLevelType w:val="hybridMultilevel"/>
    <w:tmpl w:val="36E67E7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nsid w:val="207B3E80"/>
    <w:multiLevelType w:val="hybridMultilevel"/>
    <w:tmpl w:val="E9DC313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nsid w:val="210169DC"/>
    <w:multiLevelType w:val="hybridMultilevel"/>
    <w:tmpl w:val="BDA6302C"/>
    <w:lvl w:ilvl="0" w:tplc="200A0001">
      <w:start w:val="1"/>
      <w:numFmt w:val="decimal"/>
      <w:lvlText w:val="%1."/>
      <w:lvlJc w:val="left"/>
      <w:pPr>
        <w:tabs>
          <w:tab w:val="num" w:pos="900"/>
        </w:tabs>
        <w:ind w:left="900" w:hanging="540"/>
      </w:pPr>
      <w:rPr>
        <w:rFonts w:ascii="Times New Roman" w:hAnsi="Times New Roman" w:cs="Times New Roman" w:hint="default"/>
        <w:b w:val="0"/>
        <w:i w:val="0"/>
        <w:color w:val="auto"/>
        <w:sz w:val="24"/>
      </w:rPr>
    </w:lvl>
    <w:lvl w:ilvl="1" w:tplc="200A0003" w:tentative="1">
      <w:start w:val="1"/>
      <w:numFmt w:val="lowerLetter"/>
      <w:lvlText w:val="%2."/>
      <w:lvlJc w:val="left"/>
      <w:pPr>
        <w:ind w:left="1440" w:hanging="360"/>
      </w:pPr>
    </w:lvl>
    <w:lvl w:ilvl="2" w:tplc="200A0005" w:tentative="1">
      <w:start w:val="1"/>
      <w:numFmt w:val="lowerRoman"/>
      <w:lvlText w:val="%3."/>
      <w:lvlJc w:val="right"/>
      <w:pPr>
        <w:ind w:left="2160" w:hanging="180"/>
      </w:pPr>
    </w:lvl>
    <w:lvl w:ilvl="3" w:tplc="200A0001" w:tentative="1">
      <w:start w:val="1"/>
      <w:numFmt w:val="decimal"/>
      <w:lvlText w:val="%4."/>
      <w:lvlJc w:val="left"/>
      <w:pPr>
        <w:ind w:left="2880" w:hanging="360"/>
      </w:pPr>
    </w:lvl>
    <w:lvl w:ilvl="4" w:tplc="200A0003" w:tentative="1">
      <w:start w:val="1"/>
      <w:numFmt w:val="lowerLetter"/>
      <w:lvlText w:val="%5."/>
      <w:lvlJc w:val="left"/>
      <w:pPr>
        <w:ind w:left="3600" w:hanging="360"/>
      </w:pPr>
    </w:lvl>
    <w:lvl w:ilvl="5" w:tplc="200A0005" w:tentative="1">
      <w:start w:val="1"/>
      <w:numFmt w:val="lowerRoman"/>
      <w:lvlText w:val="%6."/>
      <w:lvlJc w:val="right"/>
      <w:pPr>
        <w:ind w:left="4320" w:hanging="180"/>
      </w:pPr>
    </w:lvl>
    <w:lvl w:ilvl="6" w:tplc="200A0001" w:tentative="1">
      <w:start w:val="1"/>
      <w:numFmt w:val="decimal"/>
      <w:lvlText w:val="%7."/>
      <w:lvlJc w:val="left"/>
      <w:pPr>
        <w:ind w:left="5040" w:hanging="360"/>
      </w:pPr>
    </w:lvl>
    <w:lvl w:ilvl="7" w:tplc="200A0003" w:tentative="1">
      <w:start w:val="1"/>
      <w:numFmt w:val="lowerLetter"/>
      <w:lvlText w:val="%8."/>
      <w:lvlJc w:val="left"/>
      <w:pPr>
        <w:ind w:left="5760" w:hanging="360"/>
      </w:pPr>
    </w:lvl>
    <w:lvl w:ilvl="8" w:tplc="200A0005" w:tentative="1">
      <w:start w:val="1"/>
      <w:numFmt w:val="lowerRoman"/>
      <w:lvlText w:val="%9."/>
      <w:lvlJc w:val="right"/>
      <w:pPr>
        <w:ind w:left="6480" w:hanging="180"/>
      </w:pPr>
    </w:lvl>
  </w:abstractNum>
  <w:abstractNum w:abstractNumId="9">
    <w:nsid w:val="22845A3A"/>
    <w:multiLevelType w:val="hybridMultilevel"/>
    <w:tmpl w:val="68C60812"/>
    <w:lvl w:ilvl="0" w:tplc="3BEAF8A8">
      <w:start w:val="1"/>
      <w:numFmt w:val="bullet"/>
      <w:lvlText w:val=""/>
      <w:lvlJc w:val="left"/>
      <w:pPr>
        <w:tabs>
          <w:tab w:val="num" w:pos="720"/>
        </w:tabs>
        <w:ind w:left="720" w:hanging="360"/>
      </w:pPr>
      <w:rPr>
        <w:rFonts w:ascii="Symbol" w:hAnsi="Symbol" w:hint="default"/>
      </w:rPr>
    </w:lvl>
    <w:lvl w:ilvl="1" w:tplc="0C0A0019" w:tentative="1">
      <w:start w:val="1"/>
      <w:numFmt w:val="bullet"/>
      <w:lvlText w:val="o"/>
      <w:lvlJc w:val="left"/>
      <w:pPr>
        <w:tabs>
          <w:tab w:val="num" w:pos="1440"/>
        </w:tabs>
        <w:ind w:left="1440" w:hanging="360"/>
      </w:pPr>
      <w:rPr>
        <w:rFonts w:ascii="Courier New" w:hAnsi="Courier New" w:cs="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10">
    <w:nsid w:val="2B965C85"/>
    <w:multiLevelType w:val="hybridMultilevel"/>
    <w:tmpl w:val="5E10ECAC"/>
    <w:lvl w:ilvl="0" w:tplc="0C0A0001">
      <w:start w:val="1"/>
      <w:numFmt w:val="decimal"/>
      <w:lvlText w:val="%1."/>
      <w:lvlJc w:val="left"/>
      <w:pPr>
        <w:ind w:left="720" w:hanging="360"/>
      </w:p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1">
    <w:nsid w:val="2E6172F8"/>
    <w:multiLevelType w:val="multilevel"/>
    <w:tmpl w:val="EB862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68489C"/>
    <w:multiLevelType w:val="hybridMultilevel"/>
    <w:tmpl w:val="94AC25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3BB253ED"/>
    <w:multiLevelType w:val="hybridMultilevel"/>
    <w:tmpl w:val="EFB6AD10"/>
    <w:lvl w:ilvl="0" w:tplc="200A0001">
      <w:start w:val="1"/>
      <w:numFmt w:val="bullet"/>
      <w:lvlText w:val=""/>
      <w:lvlJc w:val="left"/>
      <w:pPr>
        <w:ind w:left="1080" w:hanging="360"/>
      </w:pPr>
      <w:rPr>
        <w:rFonts w:ascii="Symbol" w:hAnsi="Symbol" w:hint="default"/>
      </w:rPr>
    </w:lvl>
    <w:lvl w:ilvl="1" w:tplc="200A0003" w:tentative="1">
      <w:start w:val="1"/>
      <w:numFmt w:val="bullet"/>
      <w:lvlText w:val="o"/>
      <w:lvlJc w:val="left"/>
      <w:pPr>
        <w:ind w:left="1800" w:hanging="360"/>
      </w:pPr>
      <w:rPr>
        <w:rFonts w:ascii="Courier New" w:hAnsi="Courier New" w:cs="Courier New" w:hint="default"/>
      </w:rPr>
    </w:lvl>
    <w:lvl w:ilvl="2" w:tplc="200A0005" w:tentative="1">
      <w:start w:val="1"/>
      <w:numFmt w:val="bullet"/>
      <w:lvlText w:val=""/>
      <w:lvlJc w:val="left"/>
      <w:pPr>
        <w:ind w:left="2520" w:hanging="360"/>
      </w:pPr>
      <w:rPr>
        <w:rFonts w:ascii="Wingdings" w:hAnsi="Wingdings" w:hint="default"/>
      </w:rPr>
    </w:lvl>
    <w:lvl w:ilvl="3" w:tplc="200A0001" w:tentative="1">
      <w:start w:val="1"/>
      <w:numFmt w:val="bullet"/>
      <w:lvlText w:val=""/>
      <w:lvlJc w:val="left"/>
      <w:pPr>
        <w:ind w:left="3240" w:hanging="360"/>
      </w:pPr>
      <w:rPr>
        <w:rFonts w:ascii="Symbol" w:hAnsi="Symbol" w:hint="default"/>
      </w:rPr>
    </w:lvl>
    <w:lvl w:ilvl="4" w:tplc="200A0003" w:tentative="1">
      <w:start w:val="1"/>
      <w:numFmt w:val="bullet"/>
      <w:lvlText w:val="o"/>
      <w:lvlJc w:val="left"/>
      <w:pPr>
        <w:ind w:left="3960" w:hanging="360"/>
      </w:pPr>
      <w:rPr>
        <w:rFonts w:ascii="Courier New" w:hAnsi="Courier New" w:cs="Courier New" w:hint="default"/>
      </w:rPr>
    </w:lvl>
    <w:lvl w:ilvl="5" w:tplc="200A0005" w:tentative="1">
      <w:start w:val="1"/>
      <w:numFmt w:val="bullet"/>
      <w:lvlText w:val=""/>
      <w:lvlJc w:val="left"/>
      <w:pPr>
        <w:ind w:left="4680" w:hanging="360"/>
      </w:pPr>
      <w:rPr>
        <w:rFonts w:ascii="Wingdings" w:hAnsi="Wingdings" w:hint="default"/>
      </w:rPr>
    </w:lvl>
    <w:lvl w:ilvl="6" w:tplc="200A0001" w:tentative="1">
      <w:start w:val="1"/>
      <w:numFmt w:val="bullet"/>
      <w:lvlText w:val=""/>
      <w:lvlJc w:val="left"/>
      <w:pPr>
        <w:ind w:left="5400" w:hanging="360"/>
      </w:pPr>
      <w:rPr>
        <w:rFonts w:ascii="Symbol" w:hAnsi="Symbol" w:hint="default"/>
      </w:rPr>
    </w:lvl>
    <w:lvl w:ilvl="7" w:tplc="200A0003" w:tentative="1">
      <w:start w:val="1"/>
      <w:numFmt w:val="bullet"/>
      <w:lvlText w:val="o"/>
      <w:lvlJc w:val="left"/>
      <w:pPr>
        <w:ind w:left="6120" w:hanging="360"/>
      </w:pPr>
      <w:rPr>
        <w:rFonts w:ascii="Courier New" w:hAnsi="Courier New" w:cs="Courier New" w:hint="default"/>
      </w:rPr>
    </w:lvl>
    <w:lvl w:ilvl="8" w:tplc="200A0005" w:tentative="1">
      <w:start w:val="1"/>
      <w:numFmt w:val="bullet"/>
      <w:lvlText w:val=""/>
      <w:lvlJc w:val="left"/>
      <w:pPr>
        <w:ind w:left="6840" w:hanging="360"/>
      </w:pPr>
      <w:rPr>
        <w:rFonts w:ascii="Wingdings" w:hAnsi="Wingdings" w:hint="default"/>
      </w:rPr>
    </w:lvl>
  </w:abstractNum>
  <w:abstractNum w:abstractNumId="14">
    <w:nsid w:val="44815C64"/>
    <w:multiLevelType w:val="hybridMultilevel"/>
    <w:tmpl w:val="1AC681B4"/>
    <w:lvl w:ilvl="0" w:tplc="0AD26C02">
      <w:start w:val="1"/>
      <w:numFmt w:val="bullet"/>
      <w:lvlText w:val=""/>
      <w:lvlJc w:val="left"/>
      <w:pPr>
        <w:tabs>
          <w:tab w:val="num" w:pos="720"/>
        </w:tabs>
        <w:ind w:left="720" w:hanging="360"/>
      </w:pPr>
      <w:rPr>
        <w:rFonts w:ascii="Symbol" w:hAnsi="Symbol" w:hint="default"/>
      </w:rPr>
    </w:lvl>
    <w:lvl w:ilvl="1" w:tplc="E95C1890">
      <w:start w:val="1"/>
      <w:numFmt w:val="bullet"/>
      <w:lvlText w:val=""/>
      <w:lvlJc w:val="left"/>
      <w:pPr>
        <w:tabs>
          <w:tab w:val="num" w:pos="1440"/>
        </w:tabs>
        <w:ind w:left="1440" w:hanging="360"/>
      </w:pPr>
      <w:rPr>
        <w:rFonts w:ascii="Symbol" w:hAnsi="Symbol" w:hint="default"/>
      </w:rPr>
    </w:lvl>
    <w:lvl w:ilvl="2" w:tplc="AD4A9476" w:tentative="1">
      <w:start w:val="1"/>
      <w:numFmt w:val="bullet"/>
      <w:lvlText w:val=""/>
      <w:lvlJc w:val="left"/>
      <w:pPr>
        <w:tabs>
          <w:tab w:val="num" w:pos="2160"/>
        </w:tabs>
        <w:ind w:left="2160" w:hanging="360"/>
      </w:pPr>
      <w:rPr>
        <w:rFonts w:ascii="Wingdings" w:hAnsi="Wingdings" w:hint="default"/>
      </w:rPr>
    </w:lvl>
    <w:lvl w:ilvl="3" w:tplc="11B6AF7E" w:tentative="1">
      <w:start w:val="1"/>
      <w:numFmt w:val="bullet"/>
      <w:lvlText w:val=""/>
      <w:lvlJc w:val="left"/>
      <w:pPr>
        <w:tabs>
          <w:tab w:val="num" w:pos="2880"/>
        </w:tabs>
        <w:ind w:left="2880" w:hanging="360"/>
      </w:pPr>
      <w:rPr>
        <w:rFonts w:ascii="Symbol" w:hAnsi="Symbol" w:hint="default"/>
      </w:rPr>
    </w:lvl>
    <w:lvl w:ilvl="4" w:tplc="0ECCF298" w:tentative="1">
      <w:start w:val="1"/>
      <w:numFmt w:val="bullet"/>
      <w:lvlText w:val="o"/>
      <w:lvlJc w:val="left"/>
      <w:pPr>
        <w:tabs>
          <w:tab w:val="num" w:pos="3600"/>
        </w:tabs>
        <w:ind w:left="3600" w:hanging="360"/>
      </w:pPr>
      <w:rPr>
        <w:rFonts w:ascii="Courier New" w:hAnsi="Courier New" w:cs="Courier New" w:hint="default"/>
      </w:rPr>
    </w:lvl>
    <w:lvl w:ilvl="5" w:tplc="67C0C4F8" w:tentative="1">
      <w:start w:val="1"/>
      <w:numFmt w:val="bullet"/>
      <w:lvlText w:val=""/>
      <w:lvlJc w:val="left"/>
      <w:pPr>
        <w:tabs>
          <w:tab w:val="num" w:pos="4320"/>
        </w:tabs>
        <w:ind w:left="4320" w:hanging="360"/>
      </w:pPr>
      <w:rPr>
        <w:rFonts w:ascii="Wingdings" w:hAnsi="Wingdings" w:hint="default"/>
      </w:rPr>
    </w:lvl>
    <w:lvl w:ilvl="6" w:tplc="0F9EA4CE" w:tentative="1">
      <w:start w:val="1"/>
      <w:numFmt w:val="bullet"/>
      <w:lvlText w:val=""/>
      <w:lvlJc w:val="left"/>
      <w:pPr>
        <w:tabs>
          <w:tab w:val="num" w:pos="5040"/>
        </w:tabs>
        <w:ind w:left="5040" w:hanging="360"/>
      </w:pPr>
      <w:rPr>
        <w:rFonts w:ascii="Symbol" w:hAnsi="Symbol" w:hint="default"/>
      </w:rPr>
    </w:lvl>
    <w:lvl w:ilvl="7" w:tplc="185A8DBC" w:tentative="1">
      <w:start w:val="1"/>
      <w:numFmt w:val="bullet"/>
      <w:lvlText w:val="o"/>
      <w:lvlJc w:val="left"/>
      <w:pPr>
        <w:tabs>
          <w:tab w:val="num" w:pos="5760"/>
        </w:tabs>
        <w:ind w:left="5760" w:hanging="360"/>
      </w:pPr>
      <w:rPr>
        <w:rFonts w:ascii="Courier New" w:hAnsi="Courier New" w:cs="Courier New" w:hint="default"/>
      </w:rPr>
    </w:lvl>
    <w:lvl w:ilvl="8" w:tplc="EA9E2CD2" w:tentative="1">
      <w:start w:val="1"/>
      <w:numFmt w:val="bullet"/>
      <w:lvlText w:val=""/>
      <w:lvlJc w:val="left"/>
      <w:pPr>
        <w:tabs>
          <w:tab w:val="num" w:pos="6480"/>
        </w:tabs>
        <w:ind w:left="6480" w:hanging="360"/>
      </w:pPr>
      <w:rPr>
        <w:rFonts w:ascii="Wingdings" w:hAnsi="Wingdings" w:hint="default"/>
      </w:rPr>
    </w:lvl>
  </w:abstractNum>
  <w:abstractNum w:abstractNumId="15">
    <w:nsid w:val="4AE15680"/>
    <w:multiLevelType w:val="hybridMultilevel"/>
    <w:tmpl w:val="747A0B5A"/>
    <w:lvl w:ilvl="0" w:tplc="0C0A0001">
      <w:start w:val="1"/>
      <w:numFmt w:val="bullet"/>
      <w:lvlText w:val=""/>
      <w:lvlJc w:val="left"/>
      <w:pPr>
        <w:ind w:left="720" w:hanging="360"/>
      </w:pPr>
      <w:rPr>
        <w:rFonts w:ascii="Wingdings" w:hAnsi="Wingdings" w:hint="default"/>
      </w:rPr>
    </w:lvl>
    <w:lvl w:ilvl="1" w:tplc="0C0A0001"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CE35550"/>
    <w:multiLevelType w:val="hybridMultilevel"/>
    <w:tmpl w:val="3DBE2D54"/>
    <w:lvl w:ilvl="0" w:tplc="0C0A000B">
      <w:start w:val="1"/>
      <w:numFmt w:val="decimal"/>
      <w:lvlText w:val="%1."/>
      <w:lvlJc w:val="left"/>
      <w:pPr>
        <w:ind w:left="720" w:hanging="360"/>
      </w:p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7">
    <w:nsid w:val="53A109FD"/>
    <w:multiLevelType w:val="hybridMultilevel"/>
    <w:tmpl w:val="6A42C3AE"/>
    <w:lvl w:ilvl="0" w:tplc="0C0A000F">
      <w:start w:val="5"/>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B755F2E"/>
    <w:multiLevelType w:val="hybridMultilevel"/>
    <w:tmpl w:val="86EC8F36"/>
    <w:lvl w:ilvl="0" w:tplc="1CCC1EE2">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nsid w:val="5BBB6954"/>
    <w:multiLevelType w:val="hybridMultilevel"/>
    <w:tmpl w:val="82BE24B0"/>
    <w:lvl w:ilvl="0" w:tplc="200A000F">
      <w:start w:val="1"/>
      <w:numFmt w:val="decimal"/>
      <w:lvlText w:val="%1."/>
      <w:lvlJc w:val="left"/>
      <w:pPr>
        <w:tabs>
          <w:tab w:val="num" w:pos="1620"/>
        </w:tabs>
        <w:ind w:left="1620" w:hanging="540"/>
      </w:pPr>
      <w:rPr>
        <w:rFonts w:hint="default"/>
        <w:b w:val="0"/>
        <w:i w:val="0"/>
        <w:color w:val="auto"/>
        <w:sz w:val="24"/>
      </w:rPr>
    </w:lvl>
    <w:lvl w:ilvl="1" w:tplc="200A0019" w:tentative="1">
      <w:start w:val="1"/>
      <w:numFmt w:val="lowerLetter"/>
      <w:lvlText w:val="%2."/>
      <w:lvlJc w:val="left"/>
      <w:pPr>
        <w:ind w:left="2160" w:hanging="360"/>
      </w:pPr>
    </w:lvl>
    <w:lvl w:ilvl="2" w:tplc="200A001B" w:tentative="1">
      <w:start w:val="1"/>
      <w:numFmt w:val="lowerRoman"/>
      <w:lvlText w:val="%3."/>
      <w:lvlJc w:val="right"/>
      <w:pPr>
        <w:ind w:left="2880" w:hanging="180"/>
      </w:pPr>
    </w:lvl>
    <w:lvl w:ilvl="3" w:tplc="200A000F" w:tentative="1">
      <w:start w:val="1"/>
      <w:numFmt w:val="decimal"/>
      <w:lvlText w:val="%4."/>
      <w:lvlJc w:val="left"/>
      <w:pPr>
        <w:ind w:left="3600" w:hanging="360"/>
      </w:pPr>
    </w:lvl>
    <w:lvl w:ilvl="4" w:tplc="200A0019" w:tentative="1">
      <w:start w:val="1"/>
      <w:numFmt w:val="lowerLetter"/>
      <w:lvlText w:val="%5."/>
      <w:lvlJc w:val="left"/>
      <w:pPr>
        <w:ind w:left="4320" w:hanging="360"/>
      </w:pPr>
    </w:lvl>
    <w:lvl w:ilvl="5" w:tplc="200A001B" w:tentative="1">
      <w:start w:val="1"/>
      <w:numFmt w:val="lowerRoman"/>
      <w:lvlText w:val="%6."/>
      <w:lvlJc w:val="right"/>
      <w:pPr>
        <w:ind w:left="5040" w:hanging="180"/>
      </w:pPr>
    </w:lvl>
    <w:lvl w:ilvl="6" w:tplc="200A000F" w:tentative="1">
      <w:start w:val="1"/>
      <w:numFmt w:val="decimal"/>
      <w:lvlText w:val="%7."/>
      <w:lvlJc w:val="left"/>
      <w:pPr>
        <w:ind w:left="5760" w:hanging="360"/>
      </w:pPr>
    </w:lvl>
    <w:lvl w:ilvl="7" w:tplc="200A0019" w:tentative="1">
      <w:start w:val="1"/>
      <w:numFmt w:val="lowerLetter"/>
      <w:lvlText w:val="%8."/>
      <w:lvlJc w:val="left"/>
      <w:pPr>
        <w:ind w:left="6480" w:hanging="360"/>
      </w:pPr>
    </w:lvl>
    <w:lvl w:ilvl="8" w:tplc="200A001B" w:tentative="1">
      <w:start w:val="1"/>
      <w:numFmt w:val="lowerRoman"/>
      <w:lvlText w:val="%9."/>
      <w:lvlJc w:val="right"/>
      <w:pPr>
        <w:ind w:left="7200" w:hanging="180"/>
      </w:pPr>
    </w:lvl>
  </w:abstractNum>
  <w:abstractNum w:abstractNumId="20">
    <w:nsid w:val="6888772B"/>
    <w:multiLevelType w:val="multilevel"/>
    <w:tmpl w:val="C79C2ECC"/>
    <w:lvl w:ilvl="0">
      <w:start w:val="16"/>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800"/>
        </w:tabs>
        <w:ind w:left="1800" w:hanging="144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21">
    <w:nsid w:val="6B4A351D"/>
    <w:multiLevelType w:val="hybridMultilevel"/>
    <w:tmpl w:val="AA3AFE0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nsid w:val="72D52B66"/>
    <w:multiLevelType w:val="multilevel"/>
    <w:tmpl w:val="00000001"/>
    <w:lvl w:ilvl="0">
      <w:start w:val="1"/>
      <w:numFmt w:val="lowerLetter"/>
      <w:lvlText w:val="%1."/>
      <w:lvlJc w:val="left"/>
      <w:pPr>
        <w:tabs>
          <w:tab w:val="num" w:pos="0"/>
        </w:tabs>
        <w:ind w:left="840" w:hanging="360"/>
      </w:pPr>
      <w:rPr>
        <w:rFonts w:cs="Times New Roman"/>
      </w:rPr>
    </w:lvl>
    <w:lvl w:ilvl="1">
      <w:start w:val="1"/>
      <w:numFmt w:val="lowerRoman"/>
      <w:lvlText w:val="%2."/>
      <w:lvlJc w:val="left"/>
      <w:pPr>
        <w:tabs>
          <w:tab w:val="num" w:pos="0"/>
        </w:tabs>
        <w:ind w:left="1560" w:hanging="360"/>
      </w:pPr>
      <w:rPr>
        <w:rFonts w:cs="Times New Roman"/>
      </w:rPr>
    </w:lvl>
    <w:lvl w:ilvl="2">
      <w:start w:val="1"/>
      <w:numFmt w:val="lowerRoman"/>
      <w:lvlText w:val="%3."/>
      <w:lvlJc w:val="left"/>
      <w:pPr>
        <w:tabs>
          <w:tab w:val="num" w:pos="0"/>
        </w:tabs>
        <w:ind w:left="2280" w:hanging="180"/>
      </w:pPr>
      <w:rPr>
        <w:rFonts w:cs="Times New Roman"/>
      </w:rPr>
    </w:lvl>
    <w:lvl w:ilvl="3">
      <w:start w:val="1"/>
      <w:numFmt w:val="decimal"/>
      <w:lvlText w:val="%4."/>
      <w:lvlJc w:val="left"/>
      <w:pPr>
        <w:tabs>
          <w:tab w:val="num" w:pos="0"/>
        </w:tabs>
        <w:ind w:left="3000" w:hanging="360"/>
      </w:pPr>
      <w:rPr>
        <w:rFonts w:cs="Times New Roman"/>
      </w:rPr>
    </w:lvl>
    <w:lvl w:ilvl="4">
      <w:start w:val="1"/>
      <w:numFmt w:val="lowerLetter"/>
      <w:lvlText w:val="%5."/>
      <w:lvlJc w:val="left"/>
      <w:pPr>
        <w:tabs>
          <w:tab w:val="num" w:pos="0"/>
        </w:tabs>
        <w:ind w:left="3720" w:hanging="360"/>
      </w:pPr>
      <w:rPr>
        <w:rFonts w:cs="Times New Roman"/>
      </w:rPr>
    </w:lvl>
    <w:lvl w:ilvl="5">
      <w:start w:val="1"/>
      <w:numFmt w:val="lowerRoman"/>
      <w:lvlText w:val="%6."/>
      <w:lvlJc w:val="left"/>
      <w:pPr>
        <w:tabs>
          <w:tab w:val="num" w:pos="0"/>
        </w:tabs>
        <w:ind w:left="4440" w:hanging="180"/>
      </w:pPr>
      <w:rPr>
        <w:rFonts w:cs="Times New Roman"/>
      </w:rPr>
    </w:lvl>
    <w:lvl w:ilvl="6">
      <w:start w:val="1"/>
      <w:numFmt w:val="decimal"/>
      <w:lvlText w:val="%7."/>
      <w:lvlJc w:val="left"/>
      <w:pPr>
        <w:tabs>
          <w:tab w:val="num" w:pos="0"/>
        </w:tabs>
        <w:ind w:left="5160" w:hanging="360"/>
      </w:pPr>
      <w:rPr>
        <w:rFonts w:cs="Times New Roman"/>
      </w:rPr>
    </w:lvl>
    <w:lvl w:ilvl="7">
      <w:start w:val="1"/>
      <w:numFmt w:val="lowerLetter"/>
      <w:lvlText w:val="%8."/>
      <w:lvlJc w:val="left"/>
      <w:pPr>
        <w:tabs>
          <w:tab w:val="num" w:pos="0"/>
        </w:tabs>
        <w:ind w:left="5880" w:hanging="360"/>
      </w:pPr>
      <w:rPr>
        <w:rFonts w:cs="Times New Roman"/>
      </w:rPr>
    </w:lvl>
    <w:lvl w:ilvl="8">
      <w:start w:val="1"/>
      <w:numFmt w:val="lowerRoman"/>
      <w:lvlText w:val="%9."/>
      <w:lvlJc w:val="left"/>
      <w:pPr>
        <w:tabs>
          <w:tab w:val="num" w:pos="0"/>
        </w:tabs>
        <w:ind w:left="6600" w:hanging="180"/>
      </w:pPr>
      <w:rPr>
        <w:rFonts w:cs="Times New Roman"/>
      </w:rPr>
    </w:lvl>
  </w:abstractNum>
  <w:num w:numId="1">
    <w:abstractNumId w:val="17"/>
  </w:num>
  <w:num w:numId="2">
    <w:abstractNumId w:val="11"/>
  </w:num>
  <w:num w:numId="3">
    <w:abstractNumId w:val="15"/>
  </w:num>
  <w:num w:numId="4">
    <w:abstractNumId w:val="10"/>
  </w:num>
  <w:num w:numId="5">
    <w:abstractNumId w:val="0"/>
  </w:num>
  <w:num w:numId="6">
    <w:abstractNumId w:val="18"/>
  </w:num>
  <w:num w:numId="7">
    <w:abstractNumId w:val="14"/>
  </w:num>
  <w:num w:numId="8">
    <w:abstractNumId w:val="4"/>
  </w:num>
  <w:num w:numId="9">
    <w:abstractNumId w:val="5"/>
  </w:num>
  <w:num w:numId="10">
    <w:abstractNumId w:val="9"/>
  </w:num>
  <w:num w:numId="11">
    <w:abstractNumId w:val="19"/>
  </w:num>
  <w:num w:numId="12">
    <w:abstractNumId w:val="8"/>
  </w:num>
  <w:num w:numId="13">
    <w:abstractNumId w:val="6"/>
  </w:num>
  <w:num w:numId="14">
    <w:abstractNumId w:val="16"/>
  </w:num>
  <w:num w:numId="15">
    <w:abstractNumId w:val="1"/>
  </w:num>
  <w:num w:numId="16">
    <w:abstractNumId w:val="13"/>
  </w:num>
  <w:num w:numId="17">
    <w:abstractNumId w:val="20"/>
  </w:num>
  <w:num w:numId="18">
    <w:abstractNumId w:val="21"/>
  </w:num>
  <w:num w:numId="19">
    <w:abstractNumId w:val="7"/>
  </w:num>
  <w:num w:numId="20">
    <w:abstractNumId w:val="22"/>
  </w:num>
  <w:num w:numId="21">
    <w:abstractNumId w:val="3"/>
  </w:num>
  <w:num w:numId="22">
    <w:abstractNumId w:val="2"/>
  </w:num>
  <w:num w:numId="2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hdrShapeDefaults>
    <o:shapedefaults v:ext="edit" spidmax="25602"/>
  </w:hdrShapeDefaults>
  <w:footnotePr>
    <w:footnote w:id="-1"/>
    <w:footnote w:id="0"/>
  </w:footnotePr>
  <w:endnotePr>
    <w:endnote w:id="-1"/>
    <w:endnote w:id="0"/>
  </w:endnotePr>
  <w:compat/>
  <w:rsids>
    <w:rsidRoot w:val="000A3395"/>
    <w:rsid w:val="000025BF"/>
    <w:rsid w:val="00002D32"/>
    <w:rsid w:val="00007F53"/>
    <w:rsid w:val="00010EC5"/>
    <w:rsid w:val="00036594"/>
    <w:rsid w:val="00037C89"/>
    <w:rsid w:val="00043CD7"/>
    <w:rsid w:val="000516FC"/>
    <w:rsid w:val="00055BC7"/>
    <w:rsid w:val="00057673"/>
    <w:rsid w:val="00072195"/>
    <w:rsid w:val="00080254"/>
    <w:rsid w:val="00086599"/>
    <w:rsid w:val="0009269C"/>
    <w:rsid w:val="00097889"/>
    <w:rsid w:val="000A3395"/>
    <w:rsid w:val="000A58D5"/>
    <w:rsid w:val="000A7683"/>
    <w:rsid w:val="000B3E0C"/>
    <w:rsid w:val="000E00EC"/>
    <w:rsid w:val="000E725F"/>
    <w:rsid w:val="000E793E"/>
    <w:rsid w:val="000F44A9"/>
    <w:rsid w:val="001023D3"/>
    <w:rsid w:val="00107382"/>
    <w:rsid w:val="00115323"/>
    <w:rsid w:val="00115EFE"/>
    <w:rsid w:val="00136B8F"/>
    <w:rsid w:val="00136D7C"/>
    <w:rsid w:val="00140034"/>
    <w:rsid w:val="00153110"/>
    <w:rsid w:val="001561EF"/>
    <w:rsid w:val="00166CBF"/>
    <w:rsid w:val="001923A0"/>
    <w:rsid w:val="001926A2"/>
    <w:rsid w:val="0019580F"/>
    <w:rsid w:val="00195B67"/>
    <w:rsid w:val="001963C6"/>
    <w:rsid w:val="001A7280"/>
    <w:rsid w:val="001A7995"/>
    <w:rsid w:val="001B1329"/>
    <w:rsid w:val="001B6445"/>
    <w:rsid w:val="001C4523"/>
    <w:rsid w:val="001D00D2"/>
    <w:rsid w:val="001E488E"/>
    <w:rsid w:val="001E4E7B"/>
    <w:rsid w:val="001F28FA"/>
    <w:rsid w:val="0020298B"/>
    <w:rsid w:val="00211B24"/>
    <w:rsid w:val="00216A5D"/>
    <w:rsid w:val="00221CA9"/>
    <w:rsid w:val="002246F8"/>
    <w:rsid w:val="00230B8D"/>
    <w:rsid w:val="0023545E"/>
    <w:rsid w:val="00235ED0"/>
    <w:rsid w:val="00252DC2"/>
    <w:rsid w:val="00261594"/>
    <w:rsid w:val="00264348"/>
    <w:rsid w:val="0026557D"/>
    <w:rsid w:val="0027236E"/>
    <w:rsid w:val="0027798C"/>
    <w:rsid w:val="00287D71"/>
    <w:rsid w:val="002A7F45"/>
    <w:rsid w:val="002B1192"/>
    <w:rsid w:val="002B5F31"/>
    <w:rsid w:val="002C5580"/>
    <w:rsid w:val="002D0982"/>
    <w:rsid w:val="002D4E65"/>
    <w:rsid w:val="002E15A2"/>
    <w:rsid w:val="002E6B87"/>
    <w:rsid w:val="002E6D1A"/>
    <w:rsid w:val="003026B1"/>
    <w:rsid w:val="00316320"/>
    <w:rsid w:val="00320A0E"/>
    <w:rsid w:val="003227EA"/>
    <w:rsid w:val="003234A7"/>
    <w:rsid w:val="00330A16"/>
    <w:rsid w:val="0033463F"/>
    <w:rsid w:val="00347192"/>
    <w:rsid w:val="00347CA4"/>
    <w:rsid w:val="00351981"/>
    <w:rsid w:val="00351AF4"/>
    <w:rsid w:val="00353D53"/>
    <w:rsid w:val="00361EA4"/>
    <w:rsid w:val="003649EB"/>
    <w:rsid w:val="00364DD2"/>
    <w:rsid w:val="0037337B"/>
    <w:rsid w:val="00375EFB"/>
    <w:rsid w:val="00377AF6"/>
    <w:rsid w:val="003945D8"/>
    <w:rsid w:val="003A0DE9"/>
    <w:rsid w:val="003A2E8C"/>
    <w:rsid w:val="003B1070"/>
    <w:rsid w:val="003B14F4"/>
    <w:rsid w:val="003C0928"/>
    <w:rsid w:val="003C3B9F"/>
    <w:rsid w:val="003C5EF1"/>
    <w:rsid w:val="003D59E4"/>
    <w:rsid w:val="003E518C"/>
    <w:rsid w:val="003E5D07"/>
    <w:rsid w:val="003F389D"/>
    <w:rsid w:val="00407725"/>
    <w:rsid w:val="00412F53"/>
    <w:rsid w:val="00426423"/>
    <w:rsid w:val="00427B79"/>
    <w:rsid w:val="0043055F"/>
    <w:rsid w:val="0047438C"/>
    <w:rsid w:val="00481B37"/>
    <w:rsid w:val="004A073A"/>
    <w:rsid w:val="004B475A"/>
    <w:rsid w:val="004B5C29"/>
    <w:rsid w:val="004C0AA2"/>
    <w:rsid w:val="004C0FC9"/>
    <w:rsid w:val="004C1BF1"/>
    <w:rsid w:val="004C7B93"/>
    <w:rsid w:val="004D0DAF"/>
    <w:rsid w:val="004D23CC"/>
    <w:rsid w:val="004E2881"/>
    <w:rsid w:val="004E69A5"/>
    <w:rsid w:val="004F3062"/>
    <w:rsid w:val="0050241D"/>
    <w:rsid w:val="005110C9"/>
    <w:rsid w:val="00531A0F"/>
    <w:rsid w:val="005358D1"/>
    <w:rsid w:val="00542F84"/>
    <w:rsid w:val="0055008F"/>
    <w:rsid w:val="0055180A"/>
    <w:rsid w:val="00552E38"/>
    <w:rsid w:val="00563C83"/>
    <w:rsid w:val="00564A96"/>
    <w:rsid w:val="005666E1"/>
    <w:rsid w:val="00570D0A"/>
    <w:rsid w:val="00595E52"/>
    <w:rsid w:val="005A4339"/>
    <w:rsid w:val="005A6458"/>
    <w:rsid w:val="005A681F"/>
    <w:rsid w:val="005A716E"/>
    <w:rsid w:val="005B2ACE"/>
    <w:rsid w:val="005C634B"/>
    <w:rsid w:val="005E1227"/>
    <w:rsid w:val="005E38A1"/>
    <w:rsid w:val="005F1953"/>
    <w:rsid w:val="0060184B"/>
    <w:rsid w:val="0060685F"/>
    <w:rsid w:val="0061379E"/>
    <w:rsid w:val="0064085D"/>
    <w:rsid w:val="006454AB"/>
    <w:rsid w:val="0065763D"/>
    <w:rsid w:val="00662F47"/>
    <w:rsid w:val="00671815"/>
    <w:rsid w:val="006721DC"/>
    <w:rsid w:val="00675543"/>
    <w:rsid w:val="006820AE"/>
    <w:rsid w:val="006873E9"/>
    <w:rsid w:val="00692CC7"/>
    <w:rsid w:val="0069483F"/>
    <w:rsid w:val="00696170"/>
    <w:rsid w:val="00697FEC"/>
    <w:rsid w:val="006A088D"/>
    <w:rsid w:val="006A0B3E"/>
    <w:rsid w:val="006A0EB9"/>
    <w:rsid w:val="006A291E"/>
    <w:rsid w:val="006A6580"/>
    <w:rsid w:val="006B757E"/>
    <w:rsid w:val="006C33F9"/>
    <w:rsid w:val="006E3B3F"/>
    <w:rsid w:val="006E442A"/>
    <w:rsid w:val="006E68A5"/>
    <w:rsid w:val="006F0364"/>
    <w:rsid w:val="006F432C"/>
    <w:rsid w:val="006F5918"/>
    <w:rsid w:val="00700357"/>
    <w:rsid w:val="007008DC"/>
    <w:rsid w:val="00704D24"/>
    <w:rsid w:val="00710F39"/>
    <w:rsid w:val="007177D4"/>
    <w:rsid w:val="007208BD"/>
    <w:rsid w:val="0072163A"/>
    <w:rsid w:val="007233D5"/>
    <w:rsid w:val="007235E4"/>
    <w:rsid w:val="00731C7E"/>
    <w:rsid w:val="00736569"/>
    <w:rsid w:val="00740D56"/>
    <w:rsid w:val="00747540"/>
    <w:rsid w:val="0074771F"/>
    <w:rsid w:val="00752C26"/>
    <w:rsid w:val="00754529"/>
    <w:rsid w:val="00754686"/>
    <w:rsid w:val="007547E9"/>
    <w:rsid w:val="00757B91"/>
    <w:rsid w:val="0076278D"/>
    <w:rsid w:val="00764FB5"/>
    <w:rsid w:val="007669F6"/>
    <w:rsid w:val="00770F6A"/>
    <w:rsid w:val="0078302F"/>
    <w:rsid w:val="007834A4"/>
    <w:rsid w:val="0078501A"/>
    <w:rsid w:val="0079411B"/>
    <w:rsid w:val="007A0A7D"/>
    <w:rsid w:val="007A7183"/>
    <w:rsid w:val="007C1213"/>
    <w:rsid w:val="007C455E"/>
    <w:rsid w:val="007C510E"/>
    <w:rsid w:val="007C6B36"/>
    <w:rsid w:val="007C6D3B"/>
    <w:rsid w:val="007E0B23"/>
    <w:rsid w:val="007E5EF4"/>
    <w:rsid w:val="007F134C"/>
    <w:rsid w:val="007F1A7A"/>
    <w:rsid w:val="00802A06"/>
    <w:rsid w:val="00804A34"/>
    <w:rsid w:val="00807520"/>
    <w:rsid w:val="0080796B"/>
    <w:rsid w:val="00814FA0"/>
    <w:rsid w:val="00824800"/>
    <w:rsid w:val="00834627"/>
    <w:rsid w:val="00836E81"/>
    <w:rsid w:val="00845A6C"/>
    <w:rsid w:val="00860108"/>
    <w:rsid w:val="00874048"/>
    <w:rsid w:val="00876688"/>
    <w:rsid w:val="00882303"/>
    <w:rsid w:val="00894DA5"/>
    <w:rsid w:val="008A3F35"/>
    <w:rsid w:val="008A5AD7"/>
    <w:rsid w:val="008A6D8C"/>
    <w:rsid w:val="008B10A8"/>
    <w:rsid w:val="008B6113"/>
    <w:rsid w:val="008C0840"/>
    <w:rsid w:val="008C0FA1"/>
    <w:rsid w:val="008C13B0"/>
    <w:rsid w:val="008C5126"/>
    <w:rsid w:val="008E16FD"/>
    <w:rsid w:val="008F3884"/>
    <w:rsid w:val="008F728B"/>
    <w:rsid w:val="009003E7"/>
    <w:rsid w:val="00921018"/>
    <w:rsid w:val="00924F59"/>
    <w:rsid w:val="009253FA"/>
    <w:rsid w:val="0093307D"/>
    <w:rsid w:val="00933561"/>
    <w:rsid w:val="0093461B"/>
    <w:rsid w:val="00947C98"/>
    <w:rsid w:val="00955949"/>
    <w:rsid w:val="00955A56"/>
    <w:rsid w:val="00967BC6"/>
    <w:rsid w:val="00967DCC"/>
    <w:rsid w:val="009747FA"/>
    <w:rsid w:val="00974D25"/>
    <w:rsid w:val="0097708D"/>
    <w:rsid w:val="00983608"/>
    <w:rsid w:val="009B4BDC"/>
    <w:rsid w:val="009C2B65"/>
    <w:rsid w:val="009C3F06"/>
    <w:rsid w:val="009C6002"/>
    <w:rsid w:val="009C6D18"/>
    <w:rsid w:val="009C7D8D"/>
    <w:rsid w:val="009D5203"/>
    <w:rsid w:val="009E1464"/>
    <w:rsid w:val="009E3CDB"/>
    <w:rsid w:val="009E4ED6"/>
    <w:rsid w:val="009F4AD8"/>
    <w:rsid w:val="009F5965"/>
    <w:rsid w:val="009F7E14"/>
    <w:rsid w:val="00A00ED0"/>
    <w:rsid w:val="00A11C13"/>
    <w:rsid w:val="00A1552D"/>
    <w:rsid w:val="00A1748E"/>
    <w:rsid w:val="00A2771B"/>
    <w:rsid w:val="00A308FB"/>
    <w:rsid w:val="00A3133F"/>
    <w:rsid w:val="00A327FE"/>
    <w:rsid w:val="00A40943"/>
    <w:rsid w:val="00A61BB9"/>
    <w:rsid w:val="00A6262B"/>
    <w:rsid w:val="00A71567"/>
    <w:rsid w:val="00A80BFB"/>
    <w:rsid w:val="00A849E7"/>
    <w:rsid w:val="00A97CE6"/>
    <w:rsid w:val="00AA0658"/>
    <w:rsid w:val="00AA12A0"/>
    <w:rsid w:val="00AA2634"/>
    <w:rsid w:val="00AA3C87"/>
    <w:rsid w:val="00AA411D"/>
    <w:rsid w:val="00AB1B89"/>
    <w:rsid w:val="00AB6514"/>
    <w:rsid w:val="00AC67D9"/>
    <w:rsid w:val="00AD02B6"/>
    <w:rsid w:val="00AD5088"/>
    <w:rsid w:val="00AE4620"/>
    <w:rsid w:val="00AF403F"/>
    <w:rsid w:val="00AF7D6E"/>
    <w:rsid w:val="00B03AD9"/>
    <w:rsid w:val="00B05402"/>
    <w:rsid w:val="00B059F6"/>
    <w:rsid w:val="00B079FA"/>
    <w:rsid w:val="00B12CBE"/>
    <w:rsid w:val="00B22B05"/>
    <w:rsid w:val="00B267FB"/>
    <w:rsid w:val="00B31A0C"/>
    <w:rsid w:val="00B503E6"/>
    <w:rsid w:val="00B56EDD"/>
    <w:rsid w:val="00B57DE7"/>
    <w:rsid w:val="00B6214F"/>
    <w:rsid w:val="00B6753C"/>
    <w:rsid w:val="00B7329A"/>
    <w:rsid w:val="00B865D5"/>
    <w:rsid w:val="00B91FEC"/>
    <w:rsid w:val="00B97499"/>
    <w:rsid w:val="00BB0E0A"/>
    <w:rsid w:val="00BB0ED5"/>
    <w:rsid w:val="00BE65C3"/>
    <w:rsid w:val="00C0455D"/>
    <w:rsid w:val="00C0734E"/>
    <w:rsid w:val="00C11683"/>
    <w:rsid w:val="00C11FE2"/>
    <w:rsid w:val="00C4032F"/>
    <w:rsid w:val="00C41332"/>
    <w:rsid w:val="00C422D3"/>
    <w:rsid w:val="00C435DE"/>
    <w:rsid w:val="00C67D68"/>
    <w:rsid w:val="00C847B9"/>
    <w:rsid w:val="00C92567"/>
    <w:rsid w:val="00C92A2F"/>
    <w:rsid w:val="00C94609"/>
    <w:rsid w:val="00C95FBA"/>
    <w:rsid w:val="00C97214"/>
    <w:rsid w:val="00CA337B"/>
    <w:rsid w:val="00CB627D"/>
    <w:rsid w:val="00CC441F"/>
    <w:rsid w:val="00CD1216"/>
    <w:rsid w:val="00CD6AD6"/>
    <w:rsid w:val="00CE035A"/>
    <w:rsid w:val="00CE1988"/>
    <w:rsid w:val="00CE1C8F"/>
    <w:rsid w:val="00CE1FC1"/>
    <w:rsid w:val="00CE223D"/>
    <w:rsid w:val="00CE3C3E"/>
    <w:rsid w:val="00CE5A6F"/>
    <w:rsid w:val="00CE5E0C"/>
    <w:rsid w:val="00CE7A7B"/>
    <w:rsid w:val="00CF428B"/>
    <w:rsid w:val="00CF581A"/>
    <w:rsid w:val="00D00E68"/>
    <w:rsid w:val="00D022DF"/>
    <w:rsid w:val="00D07641"/>
    <w:rsid w:val="00D128EF"/>
    <w:rsid w:val="00D12B00"/>
    <w:rsid w:val="00D1534F"/>
    <w:rsid w:val="00D163E2"/>
    <w:rsid w:val="00D1780D"/>
    <w:rsid w:val="00D27953"/>
    <w:rsid w:val="00D34318"/>
    <w:rsid w:val="00D4074F"/>
    <w:rsid w:val="00D42DCF"/>
    <w:rsid w:val="00D453A0"/>
    <w:rsid w:val="00D4569B"/>
    <w:rsid w:val="00D50FC4"/>
    <w:rsid w:val="00D54054"/>
    <w:rsid w:val="00D556BE"/>
    <w:rsid w:val="00D61A67"/>
    <w:rsid w:val="00D64191"/>
    <w:rsid w:val="00D67EE4"/>
    <w:rsid w:val="00D7539F"/>
    <w:rsid w:val="00D804E0"/>
    <w:rsid w:val="00D81087"/>
    <w:rsid w:val="00D861D7"/>
    <w:rsid w:val="00D92DC9"/>
    <w:rsid w:val="00DA2D35"/>
    <w:rsid w:val="00DA2DCA"/>
    <w:rsid w:val="00DB4A47"/>
    <w:rsid w:val="00DB6AB0"/>
    <w:rsid w:val="00DC1093"/>
    <w:rsid w:val="00DC3B17"/>
    <w:rsid w:val="00DC3B88"/>
    <w:rsid w:val="00DC5DB9"/>
    <w:rsid w:val="00DC5F32"/>
    <w:rsid w:val="00DE27EC"/>
    <w:rsid w:val="00DF6E8B"/>
    <w:rsid w:val="00DF760B"/>
    <w:rsid w:val="00E05C96"/>
    <w:rsid w:val="00E06CBF"/>
    <w:rsid w:val="00E11E92"/>
    <w:rsid w:val="00E127CA"/>
    <w:rsid w:val="00E233AA"/>
    <w:rsid w:val="00E260F3"/>
    <w:rsid w:val="00E355A3"/>
    <w:rsid w:val="00E45798"/>
    <w:rsid w:val="00E533A3"/>
    <w:rsid w:val="00E5534B"/>
    <w:rsid w:val="00E55E47"/>
    <w:rsid w:val="00E6079C"/>
    <w:rsid w:val="00E627F0"/>
    <w:rsid w:val="00E66172"/>
    <w:rsid w:val="00E66501"/>
    <w:rsid w:val="00E7063D"/>
    <w:rsid w:val="00E717FA"/>
    <w:rsid w:val="00E71DF2"/>
    <w:rsid w:val="00E727FC"/>
    <w:rsid w:val="00E742CC"/>
    <w:rsid w:val="00E75D42"/>
    <w:rsid w:val="00E84DBE"/>
    <w:rsid w:val="00E91A01"/>
    <w:rsid w:val="00E93A60"/>
    <w:rsid w:val="00E96B61"/>
    <w:rsid w:val="00E97B8A"/>
    <w:rsid w:val="00EA22B7"/>
    <w:rsid w:val="00EA7A1F"/>
    <w:rsid w:val="00EB1DAF"/>
    <w:rsid w:val="00EB5516"/>
    <w:rsid w:val="00EB65FB"/>
    <w:rsid w:val="00ED1EE1"/>
    <w:rsid w:val="00ED76E9"/>
    <w:rsid w:val="00EE4643"/>
    <w:rsid w:val="00EE75C7"/>
    <w:rsid w:val="00EF6193"/>
    <w:rsid w:val="00EF6654"/>
    <w:rsid w:val="00F072B8"/>
    <w:rsid w:val="00F16FB4"/>
    <w:rsid w:val="00F229A9"/>
    <w:rsid w:val="00F32256"/>
    <w:rsid w:val="00F34290"/>
    <w:rsid w:val="00F37E85"/>
    <w:rsid w:val="00F55B81"/>
    <w:rsid w:val="00F5688A"/>
    <w:rsid w:val="00F66132"/>
    <w:rsid w:val="00F7383D"/>
    <w:rsid w:val="00F73DF5"/>
    <w:rsid w:val="00F8318B"/>
    <w:rsid w:val="00F9132C"/>
    <w:rsid w:val="00FA06A1"/>
    <w:rsid w:val="00FA179D"/>
    <w:rsid w:val="00FA462E"/>
    <w:rsid w:val="00FA5836"/>
    <w:rsid w:val="00FB386C"/>
    <w:rsid w:val="00FC3B53"/>
    <w:rsid w:val="00FD1D21"/>
    <w:rsid w:val="00FD385A"/>
    <w:rsid w:val="00FD497E"/>
    <w:rsid w:val="00FD5663"/>
    <w:rsid w:val="00FD7733"/>
    <w:rsid w:val="00FE5A74"/>
    <w:rsid w:val="00FF04E5"/>
    <w:rsid w:val="00FF4781"/>
  </w:rsids>
  <m:mathPr>
    <m:mathFont m:val="Cambria Math"/>
    <m:brkBin m:val="before"/>
    <m:brkBinSub m:val="--"/>
    <m:smallFrac m:val="off"/>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V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3395"/>
    <w:rPr>
      <w:rFonts w:ascii="Calibri" w:eastAsia="Calibri" w:hAnsi="Calibri" w:cs="Calibri"/>
    </w:rPr>
  </w:style>
  <w:style w:type="paragraph" w:styleId="Ttulo1">
    <w:name w:val="heading 1"/>
    <w:basedOn w:val="Normal"/>
    <w:next w:val="Normal"/>
    <w:link w:val="Ttulo1Car"/>
    <w:uiPriority w:val="9"/>
    <w:qFormat/>
    <w:rsid w:val="00375EF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0516FC"/>
    <w:pPr>
      <w:keepNext/>
      <w:spacing w:after="0" w:line="240" w:lineRule="auto"/>
      <w:jc w:val="both"/>
      <w:outlineLvl w:val="1"/>
    </w:pPr>
    <w:rPr>
      <w:rFonts w:ascii="Times New Roman" w:eastAsia="Times New Roman" w:hAnsi="Times New Roman" w:cs="Times New Roman"/>
      <w:b/>
      <w:i/>
      <w:iCs/>
      <w:sz w:val="24"/>
      <w:szCs w:val="24"/>
      <w:lang w:val="es-ES_tradnl" w:eastAsia="es-ES_tradnl"/>
    </w:rPr>
  </w:style>
  <w:style w:type="paragraph" w:styleId="Ttulo3">
    <w:name w:val="heading 3"/>
    <w:basedOn w:val="Normal"/>
    <w:next w:val="Normal"/>
    <w:link w:val="Ttulo3Car"/>
    <w:uiPriority w:val="9"/>
    <w:semiHidden/>
    <w:unhideWhenUsed/>
    <w:qFormat/>
    <w:rsid w:val="000516FC"/>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E727FC"/>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uiPriority w:val="9"/>
    <w:semiHidden/>
    <w:unhideWhenUsed/>
    <w:qFormat/>
    <w:rsid w:val="000516FC"/>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BE65C3"/>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unhideWhenUsed/>
    <w:rsid w:val="000A33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0A3395"/>
    <w:rPr>
      <w:rFonts w:ascii="Calibri" w:eastAsia="Calibri" w:hAnsi="Calibri" w:cs="Calibri"/>
    </w:rPr>
  </w:style>
  <w:style w:type="paragraph" w:styleId="Piedepgina">
    <w:name w:val="footer"/>
    <w:basedOn w:val="Normal"/>
    <w:link w:val="PiedepginaCar"/>
    <w:uiPriority w:val="99"/>
    <w:unhideWhenUsed/>
    <w:rsid w:val="000A33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A3395"/>
    <w:rPr>
      <w:rFonts w:ascii="Calibri" w:eastAsia="Calibri" w:hAnsi="Calibri" w:cs="Calibri"/>
    </w:rPr>
  </w:style>
  <w:style w:type="paragraph" w:styleId="Textodeglobo">
    <w:name w:val="Balloon Text"/>
    <w:basedOn w:val="Normal"/>
    <w:link w:val="TextodegloboCar"/>
    <w:uiPriority w:val="99"/>
    <w:semiHidden/>
    <w:unhideWhenUsed/>
    <w:rsid w:val="000A33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A3395"/>
    <w:rPr>
      <w:rFonts w:ascii="Tahoma" w:eastAsia="Calibri" w:hAnsi="Tahoma" w:cs="Tahoma"/>
      <w:sz w:val="16"/>
      <w:szCs w:val="16"/>
    </w:rPr>
  </w:style>
  <w:style w:type="paragraph" w:styleId="Textoindependiente">
    <w:name w:val="Body Text"/>
    <w:basedOn w:val="Normal"/>
    <w:link w:val="TextoindependienteCar"/>
    <w:semiHidden/>
    <w:rsid w:val="00874048"/>
    <w:pPr>
      <w:spacing w:after="0" w:line="240" w:lineRule="auto"/>
      <w:jc w:val="center"/>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basedOn w:val="Fuentedeprrafopredeter"/>
    <w:link w:val="Textoindependiente"/>
    <w:semiHidden/>
    <w:rsid w:val="00874048"/>
    <w:rPr>
      <w:rFonts w:ascii="Times New Roman" w:eastAsia="Times New Roman" w:hAnsi="Times New Roman" w:cs="Times New Roman"/>
      <w:b/>
      <w:bCs/>
      <w:sz w:val="24"/>
      <w:szCs w:val="24"/>
      <w:lang w:val="es-ES" w:eastAsia="es-ES"/>
    </w:rPr>
  </w:style>
  <w:style w:type="paragraph" w:styleId="Textonotapie">
    <w:name w:val="footnote text"/>
    <w:aliases w:val="footnote text,Footnote Text Char Char Char Char Char,Footnote Text Char Char Char Char,FA Fu,Footnote reference,Footnote Text Char Char Char,Footnote Text Cha,FA Fußnotentext,FA Fuﬂnotentext,Footnote Text Char Char,FRef. pie de página,5_G"/>
    <w:basedOn w:val="Normal"/>
    <w:link w:val="TextonotapieCar"/>
    <w:uiPriority w:val="99"/>
    <w:rsid w:val="0087404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ar,Footnote Text Char Char Char Char Char Car,Footnote Text Char Char Char Char Car,FA Fu Car,Footnote reference Car,Footnote Text Char Char Char Car,Footnote Text Cha Car,FA Fußnotentext Car,FA Fuﬂnotentext Car,5_G Car"/>
    <w:basedOn w:val="Fuentedeprrafopredeter"/>
    <w:link w:val="Textonotapie"/>
    <w:uiPriority w:val="99"/>
    <w:rsid w:val="00874048"/>
    <w:rPr>
      <w:rFonts w:ascii="Times New Roman" w:eastAsia="Times New Roman" w:hAnsi="Times New Roman" w:cs="Times New Roman"/>
      <w:sz w:val="20"/>
      <w:szCs w:val="20"/>
      <w:lang w:val="es-ES" w:eastAsia="es-ES"/>
    </w:rPr>
  </w:style>
  <w:style w:type="character" w:styleId="Refdenotaalpie">
    <w:name w:val="footnote reference"/>
    <w:aliases w:val="4_G"/>
    <w:basedOn w:val="Fuentedeprrafopredeter"/>
    <w:uiPriority w:val="99"/>
    <w:rsid w:val="00874048"/>
    <w:rPr>
      <w:vertAlign w:val="superscript"/>
    </w:rPr>
  </w:style>
  <w:style w:type="paragraph" w:styleId="NormalWeb">
    <w:name w:val="Normal (Web)"/>
    <w:basedOn w:val="Normal"/>
    <w:link w:val="NormalWebCar"/>
    <w:uiPriority w:val="99"/>
    <w:unhideWhenUsed/>
    <w:rsid w:val="00CD6AD6"/>
    <w:pPr>
      <w:spacing w:before="100" w:beforeAutospacing="1" w:after="100" w:afterAutospacing="1" w:line="240" w:lineRule="auto"/>
    </w:pPr>
    <w:rPr>
      <w:rFonts w:ascii="Times New Roman" w:eastAsia="Times New Roman" w:hAnsi="Times New Roman" w:cs="Times New Roman"/>
      <w:sz w:val="24"/>
      <w:szCs w:val="24"/>
      <w:lang w:eastAsia="es-VE"/>
    </w:rPr>
  </w:style>
  <w:style w:type="paragraph" w:customStyle="1" w:styleId="Default">
    <w:name w:val="Default"/>
    <w:rsid w:val="004D0DAF"/>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styleId="Prrafodelista">
    <w:name w:val="List Paragraph"/>
    <w:basedOn w:val="Normal"/>
    <w:uiPriority w:val="34"/>
    <w:qFormat/>
    <w:rsid w:val="006721DC"/>
    <w:pPr>
      <w:ind w:left="720"/>
      <w:contextualSpacing/>
    </w:pPr>
  </w:style>
  <w:style w:type="paragraph" w:customStyle="1" w:styleId="Ttulo22">
    <w:name w:val="Título 2+2"/>
    <w:basedOn w:val="Default"/>
    <w:next w:val="Default"/>
    <w:uiPriority w:val="99"/>
    <w:rsid w:val="00C847B9"/>
    <w:pPr>
      <w:widowControl w:val="0"/>
    </w:pPr>
    <w:rPr>
      <w:rFonts w:eastAsiaTheme="minorEastAsia"/>
      <w:color w:val="auto"/>
      <w:lang w:val="es-VE" w:eastAsia="es-VE"/>
    </w:rPr>
  </w:style>
  <w:style w:type="paragraph" w:customStyle="1" w:styleId="Normal2">
    <w:name w:val="Normal++2"/>
    <w:basedOn w:val="Default"/>
    <w:next w:val="Default"/>
    <w:uiPriority w:val="99"/>
    <w:rsid w:val="00C847B9"/>
    <w:pPr>
      <w:widowControl w:val="0"/>
    </w:pPr>
    <w:rPr>
      <w:rFonts w:eastAsiaTheme="minorEastAsia"/>
      <w:color w:val="auto"/>
      <w:lang w:val="es-VE" w:eastAsia="es-VE"/>
    </w:rPr>
  </w:style>
  <w:style w:type="paragraph" w:customStyle="1" w:styleId="Ttulo51">
    <w:name w:val="Título 5+1"/>
    <w:basedOn w:val="Default"/>
    <w:next w:val="Default"/>
    <w:uiPriority w:val="99"/>
    <w:rsid w:val="00C847B9"/>
    <w:pPr>
      <w:widowControl w:val="0"/>
      <w:spacing w:before="120"/>
    </w:pPr>
    <w:rPr>
      <w:rFonts w:eastAsiaTheme="minorEastAsia"/>
      <w:color w:val="auto"/>
      <w:lang w:val="es-VE" w:eastAsia="es-VE"/>
    </w:rPr>
  </w:style>
  <w:style w:type="paragraph" w:customStyle="1" w:styleId="Normal4">
    <w:name w:val="Normal+4"/>
    <w:basedOn w:val="Default"/>
    <w:next w:val="Default"/>
    <w:rsid w:val="00C847B9"/>
    <w:pPr>
      <w:widowControl w:val="0"/>
    </w:pPr>
    <w:rPr>
      <w:rFonts w:eastAsiaTheme="minorEastAsia"/>
      <w:color w:val="auto"/>
      <w:lang w:val="es-VE" w:eastAsia="es-VE"/>
    </w:rPr>
  </w:style>
  <w:style w:type="paragraph" w:customStyle="1" w:styleId="Ttulo62">
    <w:name w:val="Título 6+2"/>
    <w:basedOn w:val="Default"/>
    <w:next w:val="Default"/>
    <w:uiPriority w:val="99"/>
    <w:rsid w:val="00C847B9"/>
    <w:pPr>
      <w:widowControl w:val="0"/>
      <w:spacing w:before="120"/>
    </w:pPr>
    <w:rPr>
      <w:rFonts w:eastAsiaTheme="minorEastAsia"/>
      <w:color w:val="auto"/>
      <w:lang w:val="es-VE" w:eastAsia="es-VE"/>
    </w:rPr>
  </w:style>
  <w:style w:type="paragraph" w:customStyle="1" w:styleId="Ttulo52">
    <w:name w:val="Título 5+2"/>
    <w:basedOn w:val="Default"/>
    <w:next w:val="Default"/>
    <w:uiPriority w:val="99"/>
    <w:rsid w:val="00C847B9"/>
    <w:pPr>
      <w:widowControl w:val="0"/>
      <w:spacing w:before="120"/>
    </w:pPr>
    <w:rPr>
      <w:rFonts w:eastAsiaTheme="minorEastAsia"/>
      <w:color w:val="auto"/>
      <w:lang w:val="es-VE" w:eastAsia="es-VE"/>
    </w:rPr>
  </w:style>
  <w:style w:type="paragraph" w:customStyle="1" w:styleId="Sangra2detindependiente3">
    <w:name w:val="Sangría 2 de t. independiente+3"/>
    <w:basedOn w:val="Default"/>
    <w:next w:val="Default"/>
    <w:uiPriority w:val="99"/>
    <w:rsid w:val="00C847B9"/>
    <w:pPr>
      <w:widowControl w:val="0"/>
    </w:pPr>
    <w:rPr>
      <w:rFonts w:eastAsiaTheme="minorEastAsia"/>
      <w:color w:val="auto"/>
      <w:lang w:val="es-VE" w:eastAsia="es-VE"/>
    </w:rPr>
  </w:style>
  <w:style w:type="paragraph" w:customStyle="1" w:styleId="Textoindependiente22">
    <w:name w:val="Texto independiente 2+2"/>
    <w:basedOn w:val="Default"/>
    <w:next w:val="Default"/>
    <w:uiPriority w:val="99"/>
    <w:rsid w:val="00C847B9"/>
    <w:pPr>
      <w:widowControl w:val="0"/>
      <w:spacing w:before="240" w:after="240"/>
    </w:pPr>
    <w:rPr>
      <w:rFonts w:eastAsiaTheme="minorEastAsia"/>
      <w:color w:val="auto"/>
      <w:lang w:val="es-VE" w:eastAsia="es-VE"/>
    </w:rPr>
  </w:style>
  <w:style w:type="paragraph" w:customStyle="1" w:styleId="Textoindependiente3">
    <w:name w:val="Texto independiente+3"/>
    <w:basedOn w:val="Default"/>
    <w:next w:val="Default"/>
    <w:uiPriority w:val="99"/>
    <w:rsid w:val="005A681F"/>
    <w:pPr>
      <w:widowControl w:val="0"/>
    </w:pPr>
    <w:rPr>
      <w:rFonts w:eastAsiaTheme="minorEastAsia"/>
      <w:color w:val="auto"/>
      <w:lang w:val="es-VE" w:eastAsia="es-VE"/>
    </w:rPr>
  </w:style>
  <w:style w:type="paragraph" w:customStyle="1" w:styleId="Sangra3detindependiente2">
    <w:name w:val="Sangría 3 de t. independiente+2"/>
    <w:basedOn w:val="Default"/>
    <w:next w:val="Default"/>
    <w:uiPriority w:val="99"/>
    <w:rsid w:val="005A681F"/>
    <w:pPr>
      <w:widowControl w:val="0"/>
    </w:pPr>
    <w:rPr>
      <w:rFonts w:eastAsiaTheme="minorEastAsia"/>
      <w:color w:val="auto"/>
      <w:lang w:val="es-VE" w:eastAsia="es-VE"/>
    </w:rPr>
  </w:style>
  <w:style w:type="paragraph" w:customStyle="1" w:styleId="Textoindependiente212">
    <w:name w:val="Texto independiente 21+2"/>
    <w:basedOn w:val="Default"/>
    <w:next w:val="Default"/>
    <w:uiPriority w:val="99"/>
    <w:rsid w:val="005A681F"/>
    <w:pPr>
      <w:widowControl w:val="0"/>
    </w:pPr>
    <w:rPr>
      <w:rFonts w:eastAsiaTheme="minorEastAsia"/>
      <w:color w:val="auto"/>
      <w:lang w:val="es-VE" w:eastAsia="es-VE"/>
    </w:rPr>
  </w:style>
  <w:style w:type="paragraph" w:customStyle="1" w:styleId="Textoindependiente33">
    <w:name w:val="Texto independiente 3+3"/>
    <w:basedOn w:val="Default"/>
    <w:next w:val="Default"/>
    <w:uiPriority w:val="99"/>
    <w:rsid w:val="00731C7E"/>
    <w:pPr>
      <w:widowControl w:val="0"/>
    </w:pPr>
    <w:rPr>
      <w:rFonts w:eastAsiaTheme="minorEastAsia"/>
      <w:color w:val="auto"/>
      <w:lang w:val="es-VE" w:eastAsia="es-VE"/>
    </w:rPr>
  </w:style>
  <w:style w:type="paragraph" w:customStyle="1" w:styleId="Ttulo71">
    <w:name w:val="Título 7+1"/>
    <w:basedOn w:val="Default"/>
    <w:next w:val="Default"/>
    <w:uiPriority w:val="99"/>
    <w:rsid w:val="00731C7E"/>
    <w:pPr>
      <w:widowControl w:val="0"/>
      <w:spacing w:after="240"/>
    </w:pPr>
    <w:rPr>
      <w:rFonts w:eastAsiaTheme="minorEastAsia"/>
      <w:color w:val="auto"/>
      <w:lang w:val="es-VE" w:eastAsia="es-VE"/>
    </w:rPr>
  </w:style>
  <w:style w:type="paragraph" w:customStyle="1" w:styleId="Textoindependiente311">
    <w:name w:val="Texto independiente 31+1"/>
    <w:basedOn w:val="Default"/>
    <w:next w:val="Default"/>
    <w:uiPriority w:val="99"/>
    <w:rsid w:val="00731C7E"/>
    <w:pPr>
      <w:widowControl w:val="0"/>
    </w:pPr>
    <w:rPr>
      <w:rFonts w:eastAsiaTheme="minorEastAsia"/>
      <w:color w:val="auto"/>
      <w:lang w:val="es-VE" w:eastAsia="es-VE"/>
    </w:rPr>
  </w:style>
  <w:style w:type="character" w:styleId="Hipervnculo">
    <w:name w:val="Hyperlink"/>
    <w:basedOn w:val="Fuentedeprrafopredeter"/>
    <w:uiPriority w:val="99"/>
    <w:unhideWhenUsed/>
    <w:rsid w:val="00057673"/>
    <w:rPr>
      <w:color w:val="0000FF" w:themeColor="hyperlink"/>
      <w:u w:val="single"/>
    </w:rPr>
  </w:style>
  <w:style w:type="paragraph" w:customStyle="1" w:styleId="Textoindependiente31">
    <w:name w:val="Texto independiente 31"/>
    <w:basedOn w:val="Normal"/>
    <w:rsid w:val="000516FC"/>
    <w:pPr>
      <w:suppressAutoHyphens/>
      <w:spacing w:after="120" w:line="360" w:lineRule="auto"/>
      <w:jc w:val="both"/>
    </w:pPr>
    <w:rPr>
      <w:rFonts w:ascii="Tahoma" w:eastAsia="Times New Roman" w:hAnsi="Tahoma" w:cs="Tahoma"/>
      <w:b/>
      <w:bCs/>
      <w:sz w:val="24"/>
      <w:szCs w:val="24"/>
      <w:lang w:val="es-ES" w:eastAsia="ar-SA"/>
    </w:rPr>
  </w:style>
  <w:style w:type="character" w:customStyle="1" w:styleId="Ttulo2Car">
    <w:name w:val="Título 2 Car"/>
    <w:basedOn w:val="Fuentedeprrafopredeter"/>
    <w:link w:val="Ttulo2"/>
    <w:rsid w:val="000516FC"/>
    <w:rPr>
      <w:rFonts w:ascii="Times New Roman" w:eastAsia="Times New Roman" w:hAnsi="Times New Roman" w:cs="Times New Roman"/>
      <w:b/>
      <w:i/>
      <w:iCs/>
      <w:sz w:val="24"/>
      <w:szCs w:val="24"/>
      <w:lang w:val="es-ES_tradnl" w:eastAsia="es-ES_tradnl"/>
    </w:rPr>
  </w:style>
  <w:style w:type="paragraph" w:styleId="Textoindependiente2">
    <w:name w:val="Body Text 2"/>
    <w:basedOn w:val="Normal"/>
    <w:link w:val="Textoindependiente2Car"/>
    <w:uiPriority w:val="99"/>
    <w:unhideWhenUsed/>
    <w:rsid w:val="000516FC"/>
    <w:pPr>
      <w:spacing w:after="120" w:line="480" w:lineRule="auto"/>
    </w:pPr>
  </w:style>
  <w:style w:type="character" w:customStyle="1" w:styleId="Textoindependiente2Car">
    <w:name w:val="Texto independiente 2 Car"/>
    <w:basedOn w:val="Fuentedeprrafopredeter"/>
    <w:link w:val="Textoindependiente2"/>
    <w:uiPriority w:val="99"/>
    <w:rsid w:val="000516FC"/>
    <w:rPr>
      <w:rFonts w:ascii="Calibri" w:eastAsia="Calibri" w:hAnsi="Calibri" w:cs="Calibri"/>
    </w:rPr>
  </w:style>
  <w:style w:type="paragraph" w:customStyle="1" w:styleId="Textoindependiente21">
    <w:name w:val="Texto independiente 21"/>
    <w:basedOn w:val="Normal"/>
    <w:rsid w:val="000516FC"/>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s-ES_tradnl" w:eastAsia="es-ES"/>
    </w:rPr>
  </w:style>
  <w:style w:type="character" w:customStyle="1" w:styleId="Ttulo3Car">
    <w:name w:val="Título 3 Car"/>
    <w:basedOn w:val="Fuentedeprrafopredeter"/>
    <w:link w:val="Ttulo3"/>
    <w:uiPriority w:val="9"/>
    <w:semiHidden/>
    <w:rsid w:val="000516FC"/>
    <w:rPr>
      <w:rFonts w:asciiTheme="majorHAnsi" w:eastAsiaTheme="majorEastAsia" w:hAnsiTheme="majorHAnsi" w:cstheme="majorBidi"/>
      <w:b/>
      <w:bCs/>
      <w:color w:val="4F81BD" w:themeColor="accent1"/>
    </w:rPr>
  </w:style>
  <w:style w:type="character" w:customStyle="1" w:styleId="Ttulo6Car">
    <w:name w:val="Título 6 Car"/>
    <w:basedOn w:val="Fuentedeprrafopredeter"/>
    <w:link w:val="Ttulo6"/>
    <w:uiPriority w:val="9"/>
    <w:semiHidden/>
    <w:rsid w:val="000516FC"/>
    <w:rPr>
      <w:rFonts w:asciiTheme="majorHAnsi" w:eastAsiaTheme="majorEastAsia" w:hAnsiTheme="majorHAnsi" w:cstheme="majorBidi"/>
      <w:i/>
      <w:iCs/>
      <w:color w:val="243F60" w:themeColor="accent1" w:themeShade="7F"/>
    </w:rPr>
  </w:style>
  <w:style w:type="character" w:customStyle="1" w:styleId="Ttulo1Car">
    <w:name w:val="Título 1 Car"/>
    <w:basedOn w:val="Fuentedeprrafopredeter"/>
    <w:link w:val="Ttulo1"/>
    <w:uiPriority w:val="9"/>
    <w:rsid w:val="00375EFB"/>
    <w:rPr>
      <w:rFonts w:asciiTheme="majorHAnsi" w:eastAsiaTheme="majorEastAsia" w:hAnsiTheme="majorHAnsi" w:cstheme="majorBidi"/>
      <w:b/>
      <w:bCs/>
      <w:color w:val="365F91" w:themeColor="accent1" w:themeShade="BF"/>
      <w:sz w:val="28"/>
      <w:szCs w:val="28"/>
    </w:rPr>
  </w:style>
  <w:style w:type="paragraph" w:styleId="Sangra3detindependiente">
    <w:name w:val="Body Text Indent 3"/>
    <w:basedOn w:val="Normal"/>
    <w:link w:val="Sangra3detindependienteCar"/>
    <w:uiPriority w:val="99"/>
    <w:semiHidden/>
    <w:unhideWhenUsed/>
    <w:rsid w:val="00375EFB"/>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375EFB"/>
    <w:rPr>
      <w:rFonts w:ascii="Calibri" w:eastAsia="Calibri" w:hAnsi="Calibri" w:cs="Calibri"/>
      <w:sz w:val="16"/>
      <w:szCs w:val="16"/>
    </w:rPr>
  </w:style>
  <w:style w:type="paragraph" w:customStyle="1" w:styleId="POSTGRADO">
    <w:name w:val="POSTGRADO"/>
    <w:basedOn w:val="Normal"/>
    <w:link w:val="POSTGRADOCar"/>
    <w:rsid w:val="00E727FC"/>
    <w:pPr>
      <w:spacing w:after="0" w:line="360" w:lineRule="auto"/>
      <w:jc w:val="both"/>
    </w:pPr>
    <w:rPr>
      <w:rFonts w:ascii="Garamond" w:eastAsia="Times New Roman" w:hAnsi="Garamond" w:cs="Times New Roman"/>
      <w:sz w:val="24"/>
      <w:szCs w:val="24"/>
      <w:lang w:val="es-ES" w:eastAsia="es-ES"/>
    </w:rPr>
  </w:style>
  <w:style w:type="character" w:customStyle="1" w:styleId="Ttulo4Car">
    <w:name w:val="Título 4 Car"/>
    <w:basedOn w:val="Fuentedeprrafopredeter"/>
    <w:link w:val="Ttulo4"/>
    <w:uiPriority w:val="9"/>
    <w:semiHidden/>
    <w:rsid w:val="00E727FC"/>
    <w:rPr>
      <w:rFonts w:asciiTheme="majorHAnsi" w:eastAsiaTheme="majorEastAsia" w:hAnsiTheme="majorHAnsi" w:cstheme="majorBidi"/>
      <w:b/>
      <w:bCs/>
      <w:i/>
      <w:iCs/>
      <w:color w:val="4F81BD" w:themeColor="accent1"/>
    </w:rPr>
  </w:style>
  <w:style w:type="paragraph" w:styleId="Saludo">
    <w:name w:val="Salutation"/>
    <w:basedOn w:val="Normal"/>
    <w:next w:val="Normal"/>
    <w:link w:val="SaludoCar"/>
    <w:rsid w:val="005358D1"/>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5358D1"/>
    <w:rPr>
      <w:rFonts w:ascii="Times New Roman" w:eastAsia="Times New Roman" w:hAnsi="Times New Roman" w:cs="Times New Roman"/>
      <w:sz w:val="24"/>
      <w:szCs w:val="24"/>
      <w:lang w:val="es-ES" w:eastAsia="es-ES"/>
    </w:rPr>
  </w:style>
  <w:style w:type="character" w:customStyle="1" w:styleId="POSTGRADOCar">
    <w:name w:val="POSTGRADO Car"/>
    <w:basedOn w:val="Fuentedeprrafopredeter"/>
    <w:link w:val="POSTGRADO"/>
    <w:rsid w:val="00CE5E0C"/>
    <w:rPr>
      <w:rFonts w:ascii="Garamond" w:eastAsia="Times New Roman" w:hAnsi="Garamond" w:cs="Times New Roman"/>
      <w:sz w:val="24"/>
      <w:szCs w:val="24"/>
      <w:lang w:val="es-ES" w:eastAsia="es-ES"/>
    </w:rPr>
  </w:style>
  <w:style w:type="character" w:customStyle="1" w:styleId="NormalWebCar">
    <w:name w:val="Normal (Web) Car"/>
    <w:basedOn w:val="Fuentedeprrafopredeter"/>
    <w:link w:val="NormalWeb"/>
    <w:uiPriority w:val="99"/>
    <w:rsid w:val="001926A2"/>
    <w:rPr>
      <w:rFonts w:ascii="Times New Roman" w:eastAsia="Times New Roman" w:hAnsi="Times New Roman" w:cs="Times New Roman"/>
      <w:sz w:val="24"/>
      <w:szCs w:val="24"/>
      <w:lang w:eastAsia="es-VE"/>
    </w:rPr>
  </w:style>
  <w:style w:type="paragraph" w:customStyle="1" w:styleId="createdby">
    <w:name w:val="createdby"/>
    <w:basedOn w:val="Normal"/>
    <w:rsid w:val="001926A2"/>
    <w:pPr>
      <w:spacing w:before="100" w:beforeAutospacing="1" w:after="100" w:afterAutospacing="1" w:line="240" w:lineRule="auto"/>
    </w:pPr>
    <w:rPr>
      <w:rFonts w:ascii="Times New Roman" w:eastAsia="Times New Roman" w:hAnsi="Times New Roman" w:cs="Times New Roman"/>
      <w:sz w:val="24"/>
      <w:szCs w:val="24"/>
      <w:lang w:val="es-ES_tradnl" w:eastAsia="es-ES_tradnl"/>
    </w:rPr>
  </w:style>
  <w:style w:type="paragraph" w:customStyle="1" w:styleId="Prrafodelista12">
    <w:name w:val="Párrafo de lista12"/>
    <w:basedOn w:val="Normal"/>
    <w:rsid w:val="001926A2"/>
    <w:pPr>
      <w:spacing w:after="0" w:line="240" w:lineRule="auto"/>
      <w:ind w:left="720"/>
      <w:contextualSpacing/>
    </w:pPr>
    <w:rPr>
      <w:rFonts w:ascii="Times New Roman" w:eastAsia="Times New Roman" w:hAnsi="Times New Roman" w:cs="Times New Roman"/>
      <w:noProof/>
      <w:sz w:val="24"/>
      <w:szCs w:val="24"/>
      <w:lang w:val="es-ES_tradnl" w:eastAsia="es-ES"/>
    </w:rPr>
  </w:style>
  <w:style w:type="paragraph" w:styleId="Subttulo">
    <w:name w:val="Subtitle"/>
    <w:basedOn w:val="Normal"/>
    <w:next w:val="Normal"/>
    <w:link w:val="SubttuloCar"/>
    <w:uiPriority w:val="11"/>
    <w:qFormat/>
    <w:rsid w:val="001926A2"/>
    <w:pPr>
      <w:spacing w:after="60"/>
      <w:jc w:val="center"/>
      <w:outlineLvl w:val="1"/>
    </w:pPr>
    <w:rPr>
      <w:rFonts w:ascii="Cambria" w:eastAsia="Times New Roman" w:hAnsi="Cambria" w:cs="Times New Roman"/>
      <w:sz w:val="24"/>
      <w:szCs w:val="24"/>
    </w:rPr>
  </w:style>
  <w:style w:type="character" w:customStyle="1" w:styleId="SubttuloCar">
    <w:name w:val="Subtítulo Car"/>
    <w:basedOn w:val="Fuentedeprrafopredeter"/>
    <w:link w:val="Subttulo"/>
    <w:uiPriority w:val="11"/>
    <w:rsid w:val="001926A2"/>
    <w:rPr>
      <w:rFonts w:ascii="Cambria" w:eastAsia="Times New Roman" w:hAnsi="Cambria" w:cs="Times New Roman"/>
      <w:sz w:val="24"/>
      <w:szCs w:val="24"/>
    </w:rPr>
  </w:style>
  <w:style w:type="paragraph" w:styleId="Sangradetextonormal">
    <w:name w:val="Body Text Indent"/>
    <w:basedOn w:val="Normal"/>
    <w:link w:val="SangradetextonormalCar"/>
    <w:unhideWhenUsed/>
    <w:rsid w:val="001926A2"/>
    <w:pPr>
      <w:spacing w:after="120"/>
      <w:ind w:left="283"/>
    </w:pPr>
    <w:rPr>
      <w:rFonts w:cs="Times New Roman"/>
    </w:rPr>
  </w:style>
  <w:style w:type="character" w:customStyle="1" w:styleId="SangradetextonormalCar">
    <w:name w:val="Sangría de texto normal Car"/>
    <w:basedOn w:val="Fuentedeprrafopredeter"/>
    <w:link w:val="Sangradetextonormal"/>
    <w:rsid w:val="001926A2"/>
    <w:rPr>
      <w:rFonts w:ascii="Calibri" w:eastAsia="Calibri" w:hAnsi="Calibri" w:cs="Times New Roman"/>
    </w:rPr>
  </w:style>
  <w:style w:type="paragraph" w:styleId="Listaconvietas">
    <w:name w:val="List Bullet"/>
    <w:basedOn w:val="Normal"/>
    <w:rsid w:val="0043055F"/>
    <w:pPr>
      <w:spacing w:after="0" w:line="240" w:lineRule="auto"/>
    </w:pPr>
    <w:rPr>
      <w:rFonts w:ascii="Times New Roman" w:eastAsia="Times New Roman" w:hAnsi="Times New Roman" w:cs="Times New Roman"/>
      <w:sz w:val="24"/>
      <w:szCs w:val="24"/>
      <w:lang w:val="es-ES" w:eastAsia="es-ES"/>
    </w:rPr>
  </w:style>
  <w:style w:type="paragraph" w:customStyle="1" w:styleId="ecxmsonormal">
    <w:name w:val="ecxmsonormal"/>
    <w:basedOn w:val="Normal"/>
    <w:rsid w:val="0027798C"/>
    <w:pPr>
      <w:spacing w:after="324" w:line="240" w:lineRule="auto"/>
    </w:pPr>
    <w:rPr>
      <w:rFonts w:ascii="Times New Roman" w:eastAsia="Times New Roman" w:hAnsi="Times New Roman" w:cs="Times New Roman"/>
      <w:sz w:val="24"/>
      <w:szCs w:val="24"/>
      <w:lang w:val="es-ES_tradnl" w:eastAsia="es-ES_tradnl"/>
    </w:rPr>
  </w:style>
  <w:style w:type="character" w:customStyle="1" w:styleId="A2">
    <w:name w:val="A2"/>
    <w:uiPriority w:val="99"/>
    <w:rsid w:val="0027798C"/>
    <w:rPr>
      <w:rFonts w:cs="CartoGothic Std"/>
      <w:color w:val="150000"/>
      <w:sz w:val="22"/>
      <w:szCs w:val="22"/>
    </w:rPr>
  </w:style>
  <w:style w:type="paragraph" w:customStyle="1" w:styleId="Pa4">
    <w:name w:val="Pa4"/>
    <w:basedOn w:val="Default"/>
    <w:next w:val="Default"/>
    <w:uiPriority w:val="99"/>
    <w:rsid w:val="0027798C"/>
    <w:pPr>
      <w:spacing w:line="241" w:lineRule="atLeast"/>
    </w:pPr>
    <w:rPr>
      <w:rFonts w:ascii="Eurostile LT Std Bold" w:hAnsi="Eurostile LT Std Bold"/>
      <w:color w:val="auto"/>
      <w:lang w:val="es-VE" w:eastAsia="en-US"/>
    </w:rPr>
  </w:style>
  <w:style w:type="paragraph" w:styleId="Textonotaalfinal">
    <w:name w:val="endnote text"/>
    <w:basedOn w:val="Normal"/>
    <w:link w:val="TextonotaalfinalCar"/>
    <w:uiPriority w:val="99"/>
    <w:semiHidden/>
    <w:rsid w:val="0009269C"/>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semiHidden/>
    <w:rsid w:val="0009269C"/>
    <w:rPr>
      <w:rFonts w:ascii="Times New Roman" w:eastAsia="Times New Roman" w:hAnsi="Times New Roman" w:cs="Times New Roman"/>
      <w:sz w:val="20"/>
      <w:szCs w:val="20"/>
      <w:lang w:val="es-ES" w:eastAsia="es-ES"/>
    </w:rPr>
  </w:style>
  <w:style w:type="character" w:styleId="Refdenotaalfinal">
    <w:name w:val="endnote reference"/>
    <w:basedOn w:val="Fuentedeprrafopredeter"/>
    <w:uiPriority w:val="99"/>
    <w:semiHidden/>
    <w:rsid w:val="0009269C"/>
    <w:rPr>
      <w:vertAlign w:val="superscript"/>
    </w:rPr>
  </w:style>
  <w:style w:type="paragraph" w:customStyle="1" w:styleId="SinespaciadoCarCarCarCarCarCarCarCarCarCarCar">
    <w:name w:val="Sin espaciado Car Car Car Car Car Car Car Car Car Car Car"/>
    <w:rsid w:val="00351AF4"/>
    <w:pPr>
      <w:suppressAutoHyphens/>
      <w:spacing w:after="0" w:line="240" w:lineRule="auto"/>
    </w:pPr>
    <w:rPr>
      <w:rFonts w:ascii="Calibri" w:eastAsia="Arial" w:hAnsi="Calibri" w:cs="Times New Roman"/>
      <w:kern w:val="1"/>
      <w:lang w:val="es-ES_tradnl" w:eastAsia="ar-SA"/>
    </w:rPr>
  </w:style>
  <w:style w:type="character" w:customStyle="1" w:styleId="Ttulo8Car">
    <w:name w:val="Título 8 Car"/>
    <w:basedOn w:val="Fuentedeprrafopredeter"/>
    <w:link w:val="Ttulo8"/>
    <w:uiPriority w:val="9"/>
    <w:semiHidden/>
    <w:rsid w:val="00BE65C3"/>
    <w:rPr>
      <w:rFonts w:asciiTheme="majorHAnsi" w:eastAsiaTheme="majorEastAsia" w:hAnsiTheme="majorHAnsi" w:cstheme="majorBidi"/>
      <w:color w:val="404040" w:themeColor="text1" w:themeTint="BF"/>
      <w:sz w:val="20"/>
      <w:szCs w:val="20"/>
    </w:rPr>
  </w:style>
  <w:style w:type="paragraph" w:styleId="Textoindependiente30">
    <w:name w:val="Body Text 3"/>
    <w:basedOn w:val="Normal"/>
    <w:link w:val="Textoindependiente3Car"/>
    <w:uiPriority w:val="99"/>
    <w:semiHidden/>
    <w:unhideWhenUsed/>
    <w:rsid w:val="00C95FBA"/>
    <w:pPr>
      <w:spacing w:after="120"/>
    </w:pPr>
    <w:rPr>
      <w:sz w:val="16"/>
      <w:szCs w:val="16"/>
    </w:rPr>
  </w:style>
  <w:style w:type="character" w:customStyle="1" w:styleId="Textoindependiente3Car">
    <w:name w:val="Texto independiente 3 Car"/>
    <w:basedOn w:val="Fuentedeprrafopredeter"/>
    <w:link w:val="Textoindependiente30"/>
    <w:uiPriority w:val="99"/>
    <w:semiHidden/>
    <w:rsid w:val="00C95FBA"/>
    <w:rPr>
      <w:rFonts w:ascii="Calibri" w:eastAsia="Calibri" w:hAnsi="Calibri" w:cs="Calibri"/>
      <w:sz w:val="16"/>
      <w:szCs w:val="16"/>
    </w:rPr>
  </w:style>
  <w:style w:type="character" w:customStyle="1" w:styleId="black91">
    <w:name w:val="black91"/>
    <w:basedOn w:val="Fuentedeprrafopredeter"/>
    <w:rsid w:val="009003E7"/>
    <w:rPr>
      <w:rFonts w:ascii="Verdana" w:hAnsi="Verdana" w:hint="default"/>
      <w:color w:val="000000"/>
      <w:sz w:val="16"/>
      <w:szCs w:val="16"/>
    </w:rPr>
  </w:style>
  <w:style w:type="paragraph" w:customStyle="1" w:styleId="Prrafodelista1">
    <w:name w:val="Párrafo de lista1"/>
    <w:basedOn w:val="Normal"/>
    <w:rsid w:val="00CE1FC1"/>
    <w:pPr>
      <w:suppressAutoHyphens/>
      <w:spacing w:after="0" w:line="240" w:lineRule="auto"/>
      <w:ind w:left="720"/>
    </w:pPr>
    <w:rPr>
      <w:rFonts w:ascii="Times New Roman" w:eastAsia="DejaVu Sans" w:hAnsi="Times New Roman" w:cs="FreeSans"/>
      <w:kern w:val="1"/>
      <w:sz w:val="24"/>
      <w:szCs w:val="24"/>
      <w:lang w:eastAsia="hi-IN" w:bidi="hi-IN"/>
    </w:rPr>
  </w:style>
  <w:style w:type="character" w:customStyle="1" w:styleId="Caracteresdenotaalpie">
    <w:name w:val="Caracteres de nota al pie"/>
    <w:rsid w:val="00924F59"/>
    <w:rPr>
      <w:rFonts w:ascii="Times New Roman" w:hAnsi="Times New Roman" w:cs="Times New Roman"/>
      <w:sz w:val="18"/>
      <w:vertAlign w:val="superscript"/>
    </w:rPr>
  </w:style>
  <w:style w:type="paragraph" w:customStyle="1" w:styleId="Prrafodelista2">
    <w:name w:val="Párrafo de lista2"/>
    <w:basedOn w:val="Normal"/>
    <w:rsid w:val="00924F59"/>
    <w:pPr>
      <w:suppressAutoHyphens/>
      <w:spacing w:after="0" w:line="240" w:lineRule="auto"/>
      <w:ind w:left="720"/>
    </w:pPr>
    <w:rPr>
      <w:rFonts w:ascii="Times New Roman" w:eastAsia="Times New Roman" w:hAnsi="Times New Roman" w:cs="Times New Roman"/>
      <w:sz w:val="24"/>
      <w:szCs w:val="24"/>
      <w:lang w:val="es-ES" w:eastAsia="ar-SA"/>
    </w:rPr>
  </w:style>
  <w:style w:type="paragraph" w:styleId="Textodebloque">
    <w:name w:val="Block Text"/>
    <w:basedOn w:val="Normal"/>
    <w:semiHidden/>
    <w:rsid w:val="00037C89"/>
    <w:pPr>
      <w:autoSpaceDE w:val="0"/>
      <w:autoSpaceDN w:val="0"/>
      <w:adjustRightInd w:val="0"/>
      <w:spacing w:after="0" w:line="240" w:lineRule="auto"/>
      <w:ind w:left="567" w:right="567"/>
      <w:jc w:val="both"/>
    </w:pPr>
    <w:rPr>
      <w:rFonts w:cs="Times New Roman"/>
      <w:lang w:val="es-ES_tradnl"/>
    </w:rPr>
  </w:style>
  <w:style w:type="character" w:customStyle="1" w:styleId="p">
    <w:name w:val="p"/>
    <w:basedOn w:val="Fuentedeprrafopredeter"/>
    <w:rsid w:val="00AF403F"/>
  </w:style>
  <w:style w:type="character" w:customStyle="1" w:styleId="apple-style-span">
    <w:name w:val="apple-style-span"/>
    <w:basedOn w:val="Fuentedeprrafopredeter"/>
    <w:uiPriority w:val="99"/>
    <w:rsid w:val="00BB0E0A"/>
    <w:rPr>
      <w:rFonts w:cs="Times New Roman"/>
    </w:rPr>
  </w:style>
</w:styles>
</file>

<file path=word/webSettings.xml><?xml version="1.0" encoding="utf-8"?>
<w:webSettings xmlns:r="http://schemas.openxmlformats.org/officeDocument/2006/relationships" xmlns:w="http://schemas.openxmlformats.org/wordprocessingml/2006/main">
  <w:divs>
    <w:div w:id="273248093">
      <w:bodyDiv w:val="1"/>
      <w:marLeft w:val="0"/>
      <w:marRight w:val="0"/>
      <w:marTop w:val="0"/>
      <w:marBottom w:val="0"/>
      <w:divBdr>
        <w:top w:val="none" w:sz="0" w:space="0" w:color="auto"/>
        <w:left w:val="none" w:sz="0" w:space="0" w:color="auto"/>
        <w:bottom w:val="none" w:sz="0" w:space="0" w:color="auto"/>
        <w:right w:val="none" w:sz="0" w:space="0" w:color="auto"/>
      </w:divBdr>
    </w:div>
    <w:div w:id="440954319">
      <w:bodyDiv w:val="1"/>
      <w:marLeft w:val="0"/>
      <w:marRight w:val="0"/>
      <w:marTop w:val="0"/>
      <w:marBottom w:val="0"/>
      <w:divBdr>
        <w:top w:val="none" w:sz="0" w:space="0" w:color="auto"/>
        <w:left w:val="none" w:sz="0" w:space="0" w:color="auto"/>
        <w:bottom w:val="none" w:sz="0" w:space="0" w:color="auto"/>
        <w:right w:val="none" w:sz="0" w:space="0" w:color="auto"/>
      </w:divBdr>
    </w:div>
    <w:div w:id="465124227">
      <w:bodyDiv w:val="1"/>
      <w:marLeft w:val="0"/>
      <w:marRight w:val="0"/>
      <w:marTop w:val="0"/>
      <w:marBottom w:val="0"/>
      <w:divBdr>
        <w:top w:val="none" w:sz="0" w:space="0" w:color="auto"/>
        <w:left w:val="none" w:sz="0" w:space="0" w:color="auto"/>
        <w:bottom w:val="none" w:sz="0" w:space="0" w:color="auto"/>
        <w:right w:val="none" w:sz="0" w:space="0" w:color="auto"/>
      </w:divBdr>
    </w:div>
    <w:div w:id="1079520441">
      <w:bodyDiv w:val="1"/>
      <w:marLeft w:val="0"/>
      <w:marRight w:val="0"/>
      <w:marTop w:val="0"/>
      <w:marBottom w:val="0"/>
      <w:divBdr>
        <w:top w:val="none" w:sz="0" w:space="0" w:color="auto"/>
        <w:left w:val="none" w:sz="0" w:space="0" w:color="auto"/>
        <w:bottom w:val="none" w:sz="0" w:space="0" w:color="auto"/>
        <w:right w:val="none" w:sz="0" w:space="0" w:color="auto"/>
      </w:divBdr>
    </w:div>
    <w:div w:id="1140457855">
      <w:bodyDiv w:val="1"/>
      <w:marLeft w:val="0"/>
      <w:marRight w:val="0"/>
      <w:marTop w:val="0"/>
      <w:marBottom w:val="0"/>
      <w:divBdr>
        <w:top w:val="none" w:sz="0" w:space="0" w:color="auto"/>
        <w:left w:val="none" w:sz="0" w:space="0" w:color="auto"/>
        <w:bottom w:val="none" w:sz="0" w:space="0" w:color="auto"/>
        <w:right w:val="none" w:sz="0" w:space="0" w:color="auto"/>
      </w:divBdr>
      <w:divsChild>
        <w:div w:id="1118185600">
          <w:marLeft w:val="0"/>
          <w:marRight w:val="0"/>
          <w:marTop w:val="0"/>
          <w:marBottom w:val="0"/>
          <w:divBdr>
            <w:top w:val="none" w:sz="0" w:space="0" w:color="auto"/>
            <w:left w:val="none" w:sz="0" w:space="0" w:color="auto"/>
            <w:bottom w:val="none" w:sz="0" w:space="0" w:color="auto"/>
            <w:right w:val="none" w:sz="0" w:space="0" w:color="auto"/>
          </w:divBdr>
          <w:divsChild>
            <w:div w:id="825977601">
              <w:marLeft w:val="0"/>
              <w:marRight w:val="0"/>
              <w:marTop w:val="0"/>
              <w:marBottom w:val="0"/>
              <w:divBdr>
                <w:top w:val="none" w:sz="0" w:space="0" w:color="auto"/>
                <w:left w:val="none" w:sz="0" w:space="0" w:color="auto"/>
                <w:bottom w:val="none" w:sz="0" w:space="0" w:color="auto"/>
                <w:right w:val="none" w:sz="0" w:space="0" w:color="auto"/>
              </w:divBdr>
            </w:div>
            <w:div w:id="775714613">
              <w:marLeft w:val="0"/>
              <w:marRight w:val="0"/>
              <w:marTop w:val="0"/>
              <w:marBottom w:val="0"/>
              <w:divBdr>
                <w:top w:val="none" w:sz="0" w:space="0" w:color="auto"/>
                <w:left w:val="none" w:sz="0" w:space="0" w:color="auto"/>
                <w:bottom w:val="none" w:sz="0" w:space="0" w:color="auto"/>
                <w:right w:val="none" w:sz="0" w:space="0" w:color="auto"/>
              </w:divBdr>
            </w:div>
            <w:div w:id="1663390285">
              <w:marLeft w:val="0"/>
              <w:marRight w:val="0"/>
              <w:marTop w:val="0"/>
              <w:marBottom w:val="0"/>
              <w:divBdr>
                <w:top w:val="none" w:sz="0" w:space="0" w:color="auto"/>
                <w:left w:val="none" w:sz="0" w:space="0" w:color="auto"/>
                <w:bottom w:val="none" w:sz="0" w:space="0" w:color="auto"/>
                <w:right w:val="none" w:sz="0" w:space="0" w:color="auto"/>
              </w:divBdr>
            </w:div>
            <w:div w:id="1665695521">
              <w:marLeft w:val="0"/>
              <w:marRight w:val="0"/>
              <w:marTop w:val="0"/>
              <w:marBottom w:val="0"/>
              <w:divBdr>
                <w:top w:val="none" w:sz="0" w:space="0" w:color="auto"/>
                <w:left w:val="none" w:sz="0" w:space="0" w:color="auto"/>
                <w:bottom w:val="none" w:sz="0" w:space="0" w:color="auto"/>
                <w:right w:val="none" w:sz="0" w:space="0" w:color="auto"/>
              </w:divBdr>
            </w:div>
            <w:div w:id="1133249390">
              <w:marLeft w:val="0"/>
              <w:marRight w:val="0"/>
              <w:marTop w:val="0"/>
              <w:marBottom w:val="0"/>
              <w:divBdr>
                <w:top w:val="none" w:sz="0" w:space="0" w:color="auto"/>
                <w:left w:val="none" w:sz="0" w:space="0" w:color="auto"/>
                <w:bottom w:val="none" w:sz="0" w:space="0" w:color="auto"/>
                <w:right w:val="none" w:sz="0" w:space="0" w:color="auto"/>
              </w:divBdr>
            </w:div>
            <w:div w:id="678041806">
              <w:marLeft w:val="0"/>
              <w:marRight w:val="0"/>
              <w:marTop w:val="0"/>
              <w:marBottom w:val="0"/>
              <w:divBdr>
                <w:top w:val="none" w:sz="0" w:space="0" w:color="auto"/>
                <w:left w:val="none" w:sz="0" w:space="0" w:color="auto"/>
                <w:bottom w:val="none" w:sz="0" w:space="0" w:color="auto"/>
                <w:right w:val="none" w:sz="0" w:space="0" w:color="auto"/>
              </w:divBdr>
            </w:div>
            <w:div w:id="658849323">
              <w:marLeft w:val="0"/>
              <w:marRight w:val="0"/>
              <w:marTop w:val="0"/>
              <w:marBottom w:val="0"/>
              <w:divBdr>
                <w:top w:val="none" w:sz="0" w:space="0" w:color="auto"/>
                <w:left w:val="none" w:sz="0" w:space="0" w:color="auto"/>
                <w:bottom w:val="none" w:sz="0" w:space="0" w:color="auto"/>
                <w:right w:val="none" w:sz="0" w:space="0" w:color="auto"/>
              </w:divBdr>
            </w:div>
            <w:div w:id="156312964">
              <w:marLeft w:val="0"/>
              <w:marRight w:val="0"/>
              <w:marTop w:val="0"/>
              <w:marBottom w:val="0"/>
              <w:divBdr>
                <w:top w:val="none" w:sz="0" w:space="0" w:color="auto"/>
                <w:left w:val="none" w:sz="0" w:space="0" w:color="auto"/>
                <w:bottom w:val="none" w:sz="0" w:space="0" w:color="auto"/>
                <w:right w:val="none" w:sz="0" w:space="0" w:color="auto"/>
              </w:divBdr>
            </w:div>
            <w:div w:id="1386880046">
              <w:marLeft w:val="0"/>
              <w:marRight w:val="0"/>
              <w:marTop w:val="0"/>
              <w:marBottom w:val="0"/>
              <w:divBdr>
                <w:top w:val="none" w:sz="0" w:space="0" w:color="auto"/>
                <w:left w:val="none" w:sz="0" w:space="0" w:color="auto"/>
                <w:bottom w:val="none" w:sz="0" w:space="0" w:color="auto"/>
                <w:right w:val="none" w:sz="0" w:space="0" w:color="auto"/>
              </w:divBdr>
            </w:div>
            <w:div w:id="568852618">
              <w:marLeft w:val="0"/>
              <w:marRight w:val="0"/>
              <w:marTop w:val="0"/>
              <w:marBottom w:val="0"/>
              <w:divBdr>
                <w:top w:val="none" w:sz="0" w:space="0" w:color="auto"/>
                <w:left w:val="none" w:sz="0" w:space="0" w:color="auto"/>
                <w:bottom w:val="none" w:sz="0" w:space="0" w:color="auto"/>
                <w:right w:val="none" w:sz="0" w:space="0" w:color="auto"/>
              </w:divBdr>
            </w:div>
            <w:div w:id="77413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037629">
      <w:bodyDiv w:val="1"/>
      <w:marLeft w:val="0"/>
      <w:marRight w:val="0"/>
      <w:marTop w:val="0"/>
      <w:marBottom w:val="0"/>
      <w:divBdr>
        <w:top w:val="none" w:sz="0" w:space="0" w:color="auto"/>
        <w:left w:val="none" w:sz="0" w:space="0" w:color="auto"/>
        <w:bottom w:val="none" w:sz="0" w:space="0" w:color="auto"/>
        <w:right w:val="none" w:sz="0" w:space="0" w:color="auto"/>
      </w:divBdr>
    </w:div>
    <w:div w:id="1636713664">
      <w:bodyDiv w:val="1"/>
      <w:marLeft w:val="0"/>
      <w:marRight w:val="0"/>
      <w:marTop w:val="0"/>
      <w:marBottom w:val="0"/>
      <w:divBdr>
        <w:top w:val="none" w:sz="0" w:space="0" w:color="auto"/>
        <w:left w:val="none" w:sz="0" w:space="0" w:color="auto"/>
        <w:bottom w:val="none" w:sz="0" w:space="0" w:color="auto"/>
        <w:right w:val="none" w:sz="0" w:space="0" w:color="auto"/>
      </w:divBdr>
    </w:div>
    <w:div w:id="1705980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E8833E-D6AE-49D4-99AE-FD73CCA1E1DA}"/>
</file>

<file path=customXml/itemProps2.xml><?xml version="1.0" encoding="utf-8"?>
<ds:datastoreItem xmlns:ds="http://schemas.openxmlformats.org/officeDocument/2006/customXml" ds:itemID="{4B021C0B-5449-4F0A-B351-5EB39FDCBBF5}"/>
</file>

<file path=customXml/itemProps3.xml><?xml version="1.0" encoding="utf-8"?>
<ds:datastoreItem xmlns:ds="http://schemas.openxmlformats.org/officeDocument/2006/customXml" ds:itemID="{602E80C0-525D-4A27-B986-F92A04EECD40}"/>
</file>

<file path=customXml/itemProps4.xml><?xml version="1.0" encoding="utf-8"?>
<ds:datastoreItem xmlns:ds="http://schemas.openxmlformats.org/officeDocument/2006/customXml" ds:itemID="{794D6488-E422-4B1E-9183-D522492BA677}"/>
</file>

<file path=docProps/app.xml><?xml version="1.0" encoding="utf-8"?>
<Properties xmlns="http://schemas.openxmlformats.org/officeDocument/2006/extended-properties" xmlns:vt="http://schemas.openxmlformats.org/officeDocument/2006/docPropsVTypes">
  <Template>Normal</Template>
  <TotalTime>59</TotalTime>
  <Pages>20</Pages>
  <Words>9075</Words>
  <Characters>49916</Characters>
  <Application>Microsoft Office Word</Application>
  <DocSecurity>0</DocSecurity>
  <Lines>415</Lines>
  <Paragraphs>117</Paragraphs>
  <ScaleCrop>false</ScaleCrop>
  <HeadingPairs>
    <vt:vector size="2" baseType="variant">
      <vt:variant>
        <vt:lpstr>Título</vt:lpstr>
      </vt:variant>
      <vt:variant>
        <vt:i4>1</vt:i4>
      </vt:variant>
    </vt:vector>
  </HeadingPairs>
  <TitlesOfParts>
    <vt:vector size="1" baseType="lpstr">
      <vt:lpstr/>
    </vt:vector>
  </TitlesOfParts>
  <Company>www.landerxtremo.s5.com</Company>
  <LinksUpToDate>false</LinksUpToDate>
  <CharactersWithSpaces>58874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lrivero</dc:creator>
  <cp:keywords/>
  <dc:description/>
  <cp:lastModifiedBy>palarcon</cp:lastModifiedBy>
  <cp:revision>16</cp:revision>
  <cp:lastPrinted>2015-06-08T20:54:00Z</cp:lastPrinted>
  <dcterms:created xsi:type="dcterms:W3CDTF">2015-06-08T19:09:00Z</dcterms:created>
  <dcterms:modified xsi:type="dcterms:W3CDTF">2015-06-08T20:59:00Z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