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802E8" w14:textId="65450933" w:rsidR="005B05CA" w:rsidRPr="00426600" w:rsidRDefault="00880141" w:rsidP="00506C11">
      <w:pPr>
        <w:jc w:val="center"/>
        <w:rPr>
          <w:rFonts w:ascii="Times New Roman" w:hAnsi="Times New Roman" w:cs="Times New Roman"/>
          <w:b/>
          <w:sz w:val="28"/>
          <w:szCs w:val="28"/>
        </w:rPr>
      </w:pPr>
      <w:r w:rsidRPr="00426600">
        <w:rPr>
          <w:rFonts w:ascii="Times New Roman" w:hAnsi="Times New Roman" w:cs="Times New Roman"/>
          <w:b/>
          <w:sz w:val="28"/>
          <w:szCs w:val="28"/>
        </w:rPr>
        <w:t>ANNEX C</w:t>
      </w:r>
    </w:p>
    <w:p w14:paraId="247ED98C" w14:textId="77777777" w:rsidR="00A5725D" w:rsidRPr="00426600" w:rsidRDefault="00A5725D" w:rsidP="00506C11">
      <w:pPr>
        <w:jc w:val="center"/>
        <w:rPr>
          <w:rFonts w:ascii="Times New Roman" w:hAnsi="Times New Roman" w:cs="Times New Roman"/>
          <w:b/>
          <w:sz w:val="28"/>
          <w:szCs w:val="28"/>
        </w:rPr>
      </w:pPr>
    </w:p>
    <w:p w14:paraId="4632BC6B" w14:textId="50ACD29D" w:rsidR="006206CA" w:rsidRPr="00426600" w:rsidRDefault="00BC5AB6" w:rsidP="00506C11">
      <w:pPr>
        <w:jc w:val="center"/>
        <w:rPr>
          <w:rFonts w:ascii="Times New Roman" w:hAnsi="Times New Roman" w:cs="Times New Roman"/>
          <w:b/>
          <w:sz w:val="28"/>
          <w:szCs w:val="28"/>
        </w:rPr>
      </w:pPr>
      <w:r w:rsidRPr="00426600">
        <w:rPr>
          <w:rFonts w:ascii="Times New Roman" w:hAnsi="Times New Roman" w:cs="Times New Roman"/>
          <w:b/>
          <w:sz w:val="28"/>
          <w:szCs w:val="28"/>
        </w:rPr>
        <w:t>Supplementary information responsive to the Committee’s questions</w:t>
      </w:r>
    </w:p>
    <w:p w14:paraId="2F546D1A" w14:textId="77777777" w:rsidR="00880141" w:rsidRPr="007E442B" w:rsidRDefault="00880141" w:rsidP="00506C11">
      <w:pPr>
        <w:jc w:val="center"/>
        <w:rPr>
          <w:rFonts w:ascii="Times New Roman" w:hAnsi="Times New Roman" w:cs="Times New Roman"/>
        </w:rPr>
      </w:pPr>
    </w:p>
    <w:p w14:paraId="54EA4ACC" w14:textId="77777777" w:rsidR="00880141" w:rsidRPr="00426600" w:rsidRDefault="00880141" w:rsidP="00506C11">
      <w:pPr>
        <w:jc w:val="center"/>
        <w:rPr>
          <w:rFonts w:ascii="Times New Roman" w:hAnsi="Times New Roman" w:cs="Times New Roman"/>
        </w:rPr>
      </w:pPr>
    </w:p>
    <w:p w14:paraId="5341DB0D" w14:textId="36A0CFDD" w:rsidR="006C6614" w:rsidRPr="00426600" w:rsidRDefault="00BC5AB6" w:rsidP="00506C11">
      <w:pPr>
        <w:rPr>
          <w:rFonts w:ascii="Times New Roman" w:eastAsia="Times New Roman" w:hAnsi="Times New Roman" w:cs="Times New Roman"/>
          <w:bCs/>
        </w:rPr>
      </w:pPr>
      <w:r w:rsidRPr="00426600">
        <w:rPr>
          <w:rFonts w:ascii="Times New Roman" w:eastAsia="Times New Roman" w:hAnsi="Times New Roman" w:cs="Times New Roman"/>
          <w:bCs/>
          <w:u w:val="single"/>
        </w:rPr>
        <w:t>Paragraph 16.  Prohibition of Torture</w:t>
      </w:r>
      <w:r w:rsidRPr="00426600">
        <w:rPr>
          <w:rFonts w:ascii="Times New Roman" w:eastAsia="Times New Roman" w:hAnsi="Times New Roman" w:cs="Times New Roman"/>
          <w:bCs/>
        </w:rPr>
        <w:t>.</w:t>
      </w:r>
    </w:p>
    <w:p w14:paraId="5253243B" w14:textId="5AA1C832" w:rsidR="00BC5AB6" w:rsidRPr="007E442B" w:rsidRDefault="00BC5AB6" w:rsidP="00506C11">
      <w:pPr>
        <w:rPr>
          <w:rFonts w:ascii="Times New Roman" w:eastAsia="Times New Roman" w:hAnsi="Times New Roman" w:cs="Times New Roman"/>
          <w:bCs/>
        </w:rPr>
      </w:pPr>
    </w:p>
    <w:p w14:paraId="47714092" w14:textId="48B0C2C7" w:rsidR="00BC5AB6" w:rsidRPr="00426600" w:rsidRDefault="00A5725D" w:rsidP="000E331A">
      <w:pPr>
        <w:spacing w:line="360" w:lineRule="auto"/>
        <w:rPr>
          <w:rFonts w:ascii="Times New Roman" w:eastAsia="Times New Roman" w:hAnsi="Times New Roman" w:cs="Times New Roman"/>
          <w:bCs/>
          <w:color w:val="000000" w:themeColor="text1"/>
          <w:sz w:val="20"/>
          <w:szCs w:val="20"/>
        </w:rPr>
      </w:pPr>
      <w:r w:rsidRPr="00426600">
        <w:rPr>
          <w:rFonts w:ascii="Times New Roman" w:eastAsia="Times New Roman" w:hAnsi="Times New Roman" w:cs="Times New Roman"/>
          <w:bCs/>
          <w:sz w:val="20"/>
          <w:szCs w:val="20"/>
        </w:rPr>
        <w:t>1</w:t>
      </w:r>
      <w:r w:rsidR="00BC5AB6" w:rsidRPr="00426600">
        <w:rPr>
          <w:rFonts w:ascii="Times New Roman" w:eastAsia="Times New Roman" w:hAnsi="Times New Roman" w:cs="Times New Roman"/>
          <w:bCs/>
          <w:sz w:val="20"/>
          <w:szCs w:val="20"/>
        </w:rPr>
        <w:t xml:space="preserve">.  The 2016 DOJ study on the </w:t>
      </w:r>
      <w:r w:rsidR="00BC5AB6" w:rsidRPr="00426600">
        <w:rPr>
          <w:rFonts w:ascii="Times New Roman" w:eastAsia="Times New Roman" w:hAnsi="Times New Roman" w:cs="Times New Roman"/>
          <w:sz w:val="20"/>
          <w:szCs w:val="20"/>
        </w:rPr>
        <w:t>use of restrictive housing in American prisons</w:t>
      </w:r>
      <w:r w:rsidR="00BC5AB6" w:rsidRPr="00426600">
        <w:rPr>
          <w:rFonts w:ascii="Times New Roman" w:eastAsia="Times New Roman" w:hAnsi="Times New Roman" w:cs="Times New Roman"/>
          <w:bCs/>
          <w:sz w:val="20"/>
          <w:szCs w:val="20"/>
        </w:rPr>
        <w:t xml:space="preserve"> included a series of “Guiding Principles” for limiting the use of restrictive housing across the American criminal justice system, as well as specific policy changes that BOP and other DOJ components could undertake </w:t>
      </w:r>
      <w:r w:rsidR="00ED248F" w:rsidRPr="00426600">
        <w:rPr>
          <w:rFonts w:ascii="Times New Roman" w:eastAsia="Times New Roman" w:hAnsi="Times New Roman" w:cs="Times New Roman"/>
          <w:bCs/>
          <w:sz w:val="20"/>
          <w:szCs w:val="20"/>
        </w:rPr>
        <w:t>to implement these principles. </w:t>
      </w:r>
      <w:r w:rsidR="00BC5AB6" w:rsidRPr="00426600">
        <w:rPr>
          <w:rFonts w:ascii="Times New Roman" w:eastAsia="Times New Roman" w:hAnsi="Times New Roman" w:cs="Times New Roman"/>
          <w:bCs/>
          <w:sz w:val="20"/>
          <w:szCs w:val="20"/>
        </w:rPr>
        <w:t>The guiding principles included the following:</w:t>
      </w:r>
      <w:r w:rsidR="007E442B" w:rsidRPr="00426600">
        <w:rPr>
          <w:rFonts w:ascii="Times New Roman" w:hAnsi="Times New Roman" w:cs="Times New Roman"/>
          <w:bCs/>
          <w:sz w:val="20"/>
          <w:szCs w:val="20"/>
        </w:rPr>
        <w:t xml:space="preserve"> </w:t>
      </w:r>
      <w:r w:rsidR="00BC5AB6" w:rsidRPr="00426600">
        <w:rPr>
          <w:rFonts w:ascii="Times New Roman" w:hAnsi="Times New Roman" w:cs="Times New Roman"/>
          <w:bCs/>
          <w:sz w:val="20"/>
          <w:szCs w:val="20"/>
        </w:rPr>
        <w:t xml:space="preserve">inmates should be housed in the least restrictive setting necessary to ensure their own safety, as well as the safety of staff, other inmates, and the public; correctional systems should be able to clearly articulate the specific reasons for an inmate’s placement and retention in restrictive housing; for each inmate in restrictive housing, correctional staff should develop a clear plan for returning the inmate to less restrictive conditions as promptly as possible; placement in restrictive housing should be regularly reviewed by a multi-disciplinary staff committee; and all correctional staff should be regularly trained on restrictive housing policies. The study’s policy recommendations included: ending restrictive housing for juveniles; diverting inmates with serious mental illness to alternative forms of housing; diverting “protective custody” inmates to less restrictive conditions; limiting the use of punitive segregation; holding the most </w:t>
      </w:r>
      <w:r w:rsidR="00BC5AB6" w:rsidRPr="00426600">
        <w:rPr>
          <w:rFonts w:ascii="Times New Roman" w:hAnsi="Times New Roman" w:cs="Times New Roman"/>
          <w:bCs/>
          <w:color w:val="000000" w:themeColor="text1"/>
          <w:sz w:val="20"/>
          <w:szCs w:val="20"/>
        </w:rPr>
        <w:t xml:space="preserve">dangerous inmates accountable through federal criminal prosecutions; directing wardens to expand out-of-cell time; limiting releases directly to the community; and increasing transparency. </w:t>
      </w:r>
      <w:r w:rsidR="00EE2219" w:rsidRPr="00426600">
        <w:rPr>
          <w:rStyle w:val="normaltextrun"/>
          <w:rFonts w:ascii="Times New Roman" w:hAnsi="Times New Roman" w:cs="Times New Roman"/>
          <w:color w:val="000000" w:themeColor="text1"/>
          <w:sz w:val="20"/>
          <w:szCs w:val="20"/>
          <w:bdr w:val="none" w:sz="0" w:space="0" w:color="auto" w:frame="1"/>
        </w:rPr>
        <w:t>BOP continues to use restrictive housing consistent with the Guiding Principles identified in the report, and has implemented the majority of the recommendations</w:t>
      </w:r>
      <w:r w:rsidR="00ED248F" w:rsidRPr="00426600">
        <w:rPr>
          <w:rStyle w:val="normaltextrun"/>
          <w:rFonts w:ascii="Times New Roman" w:hAnsi="Times New Roman" w:cs="Times New Roman"/>
          <w:color w:val="000000" w:themeColor="text1"/>
          <w:sz w:val="20"/>
          <w:szCs w:val="20"/>
          <w:bdr w:val="none" w:sz="0" w:space="0" w:color="auto" w:frame="1"/>
        </w:rPr>
        <w:t>,</w:t>
      </w:r>
      <w:r w:rsidR="000E331A" w:rsidRPr="00426600">
        <w:rPr>
          <w:rStyle w:val="normaltextrun"/>
          <w:rFonts w:ascii="Times New Roman" w:hAnsi="Times New Roman" w:cs="Times New Roman"/>
          <w:color w:val="000000" w:themeColor="text1"/>
          <w:sz w:val="20"/>
          <w:szCs w:val="20"/>
          <w:bdr w:val="none" w:sz="0" w:space="0" w:color="auto" w:frame="1"/>
        </w:rPr>
        <w:t xml:space="preserve"> </w:t>
      </w:r>
      <w:hyperlink r:id="rId6" w:history="1">
        <w:r w:rsidR="000E331A" w:rsidRPr="00426600">
          <w:rPr>
            <w:rStyle w:val="Hyperlink"/>
            <w:rFonts w:ascii="Times New Roman" w:eastAsia="Times New Roman" w:hAnsi="Times New Roman" w:cs="Times New Roman"/>
            <w:bCs/>
            <w:sz w:val="20"/>
            <w:szCs w:val="20"/>
          </w:rPr>
          <w:t>https://www.justice.gov/archives/dag/report-and-recommendations-concerning-use-restrictive-housing</w:t>
        </w:r>
      </w:hyperlink>
      <w:r w:rsidR="00BC5AB6" w:rsidRPr="00426600">
        <w:rPr>
          <w:rFonts w:ascii="Times New Roman" w:eastAsia="Times New Roman" w:hAnsi="Times New Roman" w:cs="Times New Roman"/>
          <w:bCs/>
          <w:color w:val="000000" w:themeColor="text1"/>
          <w:sz w:val="20"/>
          <w:szCs w:val="20"/>
        </w:rPr>
        <w:t xml:space="preserve">.  </w:t>
      </w:r>
    </w:p>
    <w:p w14:paraId="5EC6FDE0" w14:textId="21DA1878" w:rsidR="00BC5AB6" w:rsidRPr="00426600" w:rsidRDefault="00A5725D" w:rsidP="000E331A">
      <w:pPr>
        <w:shd w:val="clear" w:color="auto" w:fill="FFFFFF"/>
        <w:spacing w:before="100" w:beforeAutospacing="1" w:after="100" w:afterAutospacing="1" w:line="360" w:lineRule="auto"/>
        <w:rPr>
          <w:rFonts w:ascii="Times New Roman" w:hAnsi="Times New Roman" w:cs="Times New Roman"/>
          <w:sz w:val="20"/>
          <w:szCs w:val="20"/>
          <w:lang w:val="en"/>
        </w:rPr>
      </w:pPr>
      <w:r w:rsidRPr="00426600">
        <w:rPr>
          <w:rFonts w:ascii="Times New Roman" w:hAnsi="Times New Roman" w:cs="Times New Roman"/>
          <w:sz w:val="20"/>
          <w:szCs w:val="20"/>
          <w:lang w:val="en"/>
        </w:rPr>
        <w:t>2</w:t>
      </w:r>
      <w:r w:rsidR="00BC5AB6" w:rsidRPr="00426600">
        <w:rPr>
          <w:rFonts w:ascii="Times New Roman" w:hAnsi="Times New Roman" w:cs="Times New Roman"/>
          <w:sz w:val="20"/>
          <w:szCs w:val="20"/>
          <w:lang w:val="en"/>
        </w:rPr>
        <w:t xml:space="preserve">.  Pursuant to a Presidential Memorandum directing all agencies using restrictive housing to review the DOJ study and implement corresponding changes, in 2016, DHS/ICE incorporated recommendations </w:t>
      </w:r>
      <w:bookmarkStart w:id="0" w:name="_GoBack"/>
      <w:bookmarkEnd w:id="0"/>
      <w:r w:rsidR="00BC5AB6" w:rsidRPr="00426600">
        <w:rPr>
          <w:rFonts w:ascii="Times New Roman" w:hAnsi="Times New Roman" w:cs="Times New Roman"/>
          <w:sz w:val="20"/>
          <w:szCs w:val="20"/>
          <w:lang w:val="en"/>
        </w:rPr>
        <w:t xml:space="preserve">related to the use of segregation in ICE detention facilities into its 2011 Performance Based Detention Standards. Prior to these revisions, in 2013, ICE issued Directive 11065.1, </w:t>
      </w:r>
      <w:r w:rsidR="00BC5AB6" w:rsidRPr="00426600">
        <w:rPr>
          <w:rFonts w:ascii="Times New Roman" w:hAnsi="Times New Roman" w:cs="Times New Roman"/>
          <w:i/>
          <w:iCs/>
          <w:sz w:val="20"/>
          <w:szCs w:val="20"/>
          <w:bdr w:val="none" w:sz="0" w:space="0" w:color="auto" w:frame="1"/>
          <w:lang w:val="en"/>
        </w:rPr>
        <w:t>Review of the Use of Segregation for ICE Detainees</w:t>
      </w:r>
      <w:r w:rsidR="00BC5AB6" w:rsidRPr="00426600">
        <w:rPr>
          <w:rFonts w:ascii="Times New Roman" w:hAnsi="Times New Roman" w:cs="Times New Roman"/>
          <w:sz w:val="20"/>
          <w:szCs w:val="20"/>
          <w:lang w:val="en"/>
        </w:rPr>
        <w:t xml:space="preserve"> (Segregation Directive).  The Segregation Directive established policy and procedures to review the placement of ICE detainees in segregated housing, and requires collaborative assessments by detention facility administrators and Field Office supervisory-level staff. Under the Segregation Directive, facility staff must notify the Field Office of detainees held in segregation for 14 days </w:t>
      </w:r>
      <w:r w:rsidR="00BC5AB6" w:rsidRPr="00426600">
        <w:rPr>
          <w:rFonts w:ascii="Times New Roman" w:hAnsi="Times New Roman" w:cs="Times New Roman"/>
          <w:sz w:val="20"/>
          <w:szCs w:val="20"/>
        </w:rPr>
        <w:t>or longer, for 14 days out of any 21-day period, and immediately, but no later than 72 hours after placement, when a detainee has a known special vulnerability</w:t>
      </w:r>
      <w:r w:rsidR="00BC5AB6" w:rsidRPr="00426600">
        <w:rPr>
          <w:rFonts w:ascii="Times New Roman" w:hAnsi="Times New Roman" w:cs="Times New Roman"/>
          <w:sz w:val="20"/>
          <w:szCs w:val="20"/>
          <w:lang w:val="en"/>
        </w:rPr>
        <w:t>. </w:t>
      </w:r>
    </w:p>
    <w:p w14:paraId="4C9DBAD8" w14:textId="7DBCFFA6" w:rsidR="00506C11" w:rsidRPr="00426600" w:rsidRDefault="00A5725D" w:rsidP="000E331A">
      <w:pPr>
        <w:spacing w:line="360" w:lineRule="auto"/>
        <w:rPr>
          <w:rFonts w:ascii="Times New Roman" w:eastAsia="Times New Roman" w:hAnsi="Times New Roman" w:cs="Times New Roman"/>
          <w:sz w:val="20"/>
          <w:szCs w:val="20"/>
        </w:rPr>
      </w:pPr>
      <w:r w:rsidRPr="00426600">
        <w:rPr>
          <w:rFonts w:ascii="Times New Roman" w:hAnsi="Times New Roman" w:cs="Times New Roman"/>
          <w:sz w:val="20"/>
          <w:szCs w:val="20"/>
        </w:rPr>
        <w:t>3</w:t>
      </w:r>
      <w:r w:rsidR="00BC5AB6" w:rsidRPr="00426600">
        <w:rPr>
          <w:rFonts w:ascii="Times New Roman" w:hAnsi="Times New Roman" w:cs="Times New Roman"/>
          <w:sz w:val="20"/>
          <w:szCs w:val="20"/>
        </w:rPr>
        <w:t xml:space="preserve">.  The placement of ICE detainees in segregated housing is a serious step that requires careful consideration of alternatives. In compliance with DHS/ICE’s policies and procedures, the placement of a detainee in administrative segregation due to a special vulnerability is used only as a last resort and when </w:t>
      </w:r>
      <w:r w:rsidR="00BC5AB6" w:rsidRPr="00426600">
        <w:rPr>
          <w:rFonts w:ascii="Times New Roman" w:hAnsi="Times New Roman" w:cs="Times New Roman"/>
          <w:sz w:val="20"/>
          <w:szCs w:val="20"/>
        </w:rPr>
        <w:lastRenderedPageBreak/>
        <w:t xml:space="preserve">no other viable housing options exist. Administrative segregation is a non-punitive form of separation from the general population and is authorized only as necessary to ensure the safety of the detainee, facility staff, and other detainees; the protection of property; or the security or good order of the facility. </w:t>
      </w:r>
      <w:r w:rsidR="00506C11" w:rsidRPr="00426600">
        <w:rPr>
          <w:rFonts w:ascii="Times New Roman" w:hAnsi="Times New Roman" w:cs="Times New Roman"/>
          <w:sz w:val="20"/>
          <w:szCs w:val="20"/>
        </w:rPr>
        <w:t>D</w:t>
      </w:r>
      <w:r w:rsidR="00BC5AB6" w:rsidRPr="00426600">
        <w:rPr>
          <w:rFonts w:ascii="Times New Roman" w:hAnsi="Times New Roman" w:cs="Times New Roman"/>
          <w:sz w:val="20"/>
          <w:szCs w:val="20"/>
        </w:rPr>
        <w:t xml:space="preserve">etainees with serious mental illness may not be automatically placed in a Special Management Unit based on such mental illness alone. </w:t>
      </w:r>
      <w:r w:rsidR="00506C11" w:rsidRPr="00426600">
        <w:rPr>
          <w:rFonts w:ascii="Times New Roman" w:eastAsia="Times New Roman" w:hAnsi="Times New Roman" w:cs="Times New Roman"/>
          <w:color w:val="000000" w:themeColor="text1"/>
          <w:sz w:val="20"/>
          <w:szCs w:val="20"/>
        </w:rPr>
        <w:t xml:space="preserve">Furthermore, a detainee’s age, physical disability, sexual orientation, gender identity, race, or religion may not provide the sole basis for a decision to place the detainee </w:t>
      </w:r>
      <w:r w:rsidR="000E331A" w:rsidRPr="00426600">
        <w:rPr>
          <w:rFonts w:ascii="Times New Roman" w:eastAsia="Times New Roman" w:hAnsi="Times New Roman" w:cs="Times New Roman"/>
          <w:color w:val="000000" w:themeColor="text1"/>
          <w:sz w:val="20"/>
          <w:szCs w:val="20"/>
        </w:rPr>
        <w:t xml:space="preserve">in involuntary segregation. Generally, </w:t>
      </w:r>
      <w:r w:rsidR="00BC5AB6" w:rsidRPr="00426600">
        <w:rPr>
          <w:rFonts w:ascii="Times New Roman" w:hAnsi="Times New Roman" w:cs="Times New Roman"/>
          <w:sz w:val="20"/>
          <w:szCs w:val="20"/>
        </w:rPr>
        <w:t>detainees in administrative segregation receive the same privileges as detainees housed in the general population, consistent with safety and security concerns.</w:t>
      </w:r>
      <w:r w:rsidR="000E331A" w:rsidRPr="00426600">
        <w:rPr>
          <w:rFonts w:ascii="Times New Roman" w:eastAsia="Times New Roman" w:hAnsi="Times New Roman" w:cs="Times New Roman"/>
          <w:sz w:val="20"/>
          <w:szCs w:val="20"/>
        </w:rPr>
        <w:br/>
      </w:r>
    </w:p>
    <w:p w14:paraId="104712A7" w14:textId="7AFC5658" w:rsidR="00506C11" w:rsidRPr="00426600" w:rsidRDefault="000E331A" w:rsidP="00506C11">
      <w:pPr>
        <w:spacing w:line="360" w:lineRule="auto"/>
        <w:rPr>
          <w:rFonts w:ascii="Times New Roman" w:eastAsia="Times New Roman" w:hAnsi="Times New Roman" w:cs="Times New Roman"/>
          <w:color w:val="000000" w:themeColor="text1"/>
          <w:sz w:val="20"/>
          <w:szCs w:val="20"/>
        </w:rPr>
      </w:pPr>
      <w:r w:rsidRPr="00426600">
        <w:rPr>
          <w:rFonts w:ascii="Times New Roman" w:eastAsia="Times New Roman" w:hAnsi="Times New Roman" w:cs="Times New Roman"/>
          <w:color w:val="000000" w:themeColor="text1"/>
          <w:sz w:val="20"/>
          <w:szCs w:val="20"/>
        </w:rPr>
        <w:t xml:space="preserve">4.   </w:t>
      </w:r>
      <w:r w:rsidR="00506C11" w:rsidRPr="00426600">
        <w:rPr>
          <w:rFonts w:ascii="Times New Roman" w:eastAsia="Times New Roman" w:hAnsi="Times New Roman" w:cs="Times New Roman"/>
          <w:color w:val="000000" w:themeColor="text1"/>
          <w:sz w:val="20"/>
          <w:szCs w:val="20"/>
        </w:rPr>
        <w:t>ICE detainees may be placed in disciplinary segregation only by order of the Institution Disciplinary Panel, or its equivalent, after a hearing in which the detainee has been found to have committed a prohibited act and only when alternative dispositions may inadequately regulate the detainee’s behavior. ICE detention</w:t>
      </w:r>
      <w:r w:rsidRPr="00426600">
        <w:rPr>
          <w:rFonts w:ascii="Times New Roman" w:eastAsia="Times New Roman" w:hAnsi="Times New Roman" w:cs="Times New Roman"/>
          <w:color w:val="000000" w:themeColor="text1"/>
          <w:sz w:val="20"/>
          <w:szCs w:val="20"/>
        </w:rPr>
        <w:t xml:space="preserve"> </w:t>
      </w:r>
      <w:r w:rsidR="00506C11" w:rsidRPr="00426600">
        <w:rPr>
          <w:rFonts w:ascii="Times New Roman" w:eastAsia="Times New Roman" w:hAnsi="Times New Roman" w:cs="Times New Roman"/>
          <w:color w:val="000000" w:themeColor="text1"/>
          <w:sz w:val="20"/>
          <w:szCs w:val="20"/>
        </w:rPr>
        <w:t>standards require an evaluation by a medical professional prior to the disciplinary process (or when that is infeasible, as soon as possible and no later than within 24 hours of placement) to determine if detainee understood the rules/violation and if their condition had an impact on their behavior. The facility conducts a review of each detainee in disciplinary segregation after the first 30 days of segregation, and each 30 days thereafter, to determine whether continued detention in disciplinary segregation is warranted. Additionally, detainees may be removed from segregation if the ICE Health Service Corps determines that the segregation placement has resulted in deterioration of the detainee’s medical or mental health, and an appropriate alternative is available. </w:t>
      </w:r>
    </w:p>
    <w:p w14:paraId="75273028" w14:textId="66E9F4EA" w:rsidR="00BC5AB6" w:rsidRPr="00426600" w:rsidRDefault="000E331A" w:rsidP="00506C11">
      <w:pPr>
        <w:shd w:val="clear" w:color="auto" w:fill="FFFFFF" w:themeFill="background1"/>
        <w:spacing w:before="100" w:beforeAutospacing="1" w:after="100" w:afterAutospacing="1" w:line="360" w:lineRule="auto"/>
        <w:rPr>
          <w:rFonts w:ascii="Times New Roman" w:hAnsi="Times New Roman" w:cs="Times New Roman"/>
          <w:color w:val="000000" w:themeColor="text1"/>
          <w:sz w:val="20"/>
          <w:szCs w:val="20"/>
        </w:rPr>
      </w:pPr>
      <w:r w:rsidRPr="00426600">
        <w:rPr>
          <w:rFonts w:ascii="Times New Roman" w:hAnsi="Times New Roman" w:cs="Times New Roman"/>
          <w:bCs/>
          <w:sz w:val="20"/>
          <w:szCs w:val="20"/>
        </w:rPr>
        <w:t>5</w:t>
      </w:r>
      <w:r w:rsidR="00BC5AB6" w:rsidRPr="00426600">
        <w:rPr>
          <w:rFonts w:ascii="Times New Roman" w:hAnsi="Times New Roman" w:cs="Times New Roman"/>
          <w:bCs/>
          <w:sz w:val="20"/>
          <w:szCs w:val="20"/>
        </w:rPr>
        <w:t>.  BOP stopped the practice of solitary confinement for juveniles in January 2016. The First Step Act,</w:t>
      </w:r>
      <w:r w:rsidR="00BC5AB6" w:rsidRPr="00426600">
        <w:rPr>
          <w:rFonts w:ascii="Times New Roman" w:eastAsia="Times New Roman" w:hAnsi="Times New Roman" w:cs="Times New Roman"/>
          <w:bCs/>
          <w:sz w:val="20"/>
          <w:szCs w:val="20"/>
        </w:rPr>
        <w:t xml:space="preserve"> enacted in December 2018,</w:t>
      </w:r>
      <w:r w:rsidR="00BC5AB6" w:rsidRPr="00426600">
        <w:rPr>
          <w:rFonts w:ascii="Times New Roman" w:hAnsi="Times New Roman" w:cs="Times New Roman"/>
          <w:bCs/>
          <w:sz w:val="20"/>
          <w:szCs w:val="20"/>
        </w:rPr>
        <w:t xml:space="preserve"> </w:t>
      </w:r>
      <w:r w:rsidR="00BC5AB6" w:rsidRPr="00426600">
        <w:rPr>
          <w:rFonts w:ascii="Times New Roman" w:eastAsia="Times New Roman" w:hAnsi="Times New Roman" w:cs="Times New Roman"/>
          <w:bCs/>
          <w:sz w:val="20"/>
          <w:szCs w:val="20"/>
        </w:rPr>
        <w:t xml:space="preserve">prohibits the use of solitary confinement for juveniles in federal custody except under limited circumstances. </w:t>
      </w:r>
      <w:r w:rsidR="00BC5AB6" w:rsidRPr="00426600">
        <w:rPr>
          <w:rFonts w:ascii="Times New Roman" w:hAnsi="Times New Roman" w:cs="Times New Roman"/>
          <w:bCs/>
          <w:sz w:val="20"/>
          <w:szCs w:val="20"/>
        </w:rPr>
        <w:t xml:space="preserve">As a result of court decisions and state laws and/or policies, a number of states and Washington, D.C. also limit or prohibit use of solitary confinement for juveniles, particularly the use of punitive (i.e., long-term) solitary confinement. These include Arizona, Texas, Colorado, Oklahoma, Tennessee, West Virginia, Virginia, Connecticut, New Jersey, California, Nevada, Alaska, New York, Vermont, Massachusetts, Maine, and the District of Columbia.     </w:t>
      </w:r>
    </w:p>
    <w:p w14:paraId="7B6F721A" w14:textId="2F3C18FA" w:rsidR="00BC5AB6" w:rsidRPr="00426600" w:rsidRDefault="000E331A" w:rsidP="00506C11">
      <w:pPr>
        <w:spacing w:line="360" w:lineRule="auto"/>
        <w:rPr>
          <w:rFonts w:ascii="Times New Roman" w:hAnsi="Times New Roman" w:cs="Times New Roman"/>
          <w:color w:val="000000" w:themeColor="text1"/>
          <w:sz w:val="20"/>
          <w:szCs w:val="20"/>
          <w:u w:val="single"/>
          <w:shd w:val="clear" w:color="auto" w:fill="FFFFFF"/>
        </w:rPr>
      </w:pPr>
      <w:r w:rsidRPr="00426600">
        <w:rPr>
          <w:rFonts w:ascii="Times New Roman" w:eastAsia="Times New Roman" w:hAnsi="Times New Roman" w:cs="Times New Roman"/>
          <w:color w:val="000000" w:themeColor="text1"/>
          <w:sz w:val="20"/>
          <w:szCs w:val="20"/>
          <w:shd w:val="clear" w:color="auto" w:fill="FFFFFF"/>
        </w:rPr>
        <w:t>6</w:t>
      </w:r>
      <w:r w:rsidR="00BC5AB6" w:rsidRPr="00426600">
        <w:rPr>
          <w:rFonts w:ascii="Times New Roman" w:eastAsia="Times New Roman" w:hAnsi="Times New Roman" w:cs="Times New Roman"/>
          <w:color w:val="000000" w:themeColor="text1"/>
          <w:sz w:val="20"/>
          <w:szCs w:val="20"/>
          <w:shd w:val="clear" w:color="auto" w:fill="FFFFFF"/>
        </w:rPr>
        <w:t xml:space="preserve">.  </w:t>
      </w:r>
      <w:r w:rsidR="00EE2219" w:rsidRPr="00426600">
        <w:rPr>
          <w:rStyle w:val="normaltextrun"/>
          <w:rFonts w:ascii="Times New Roman" w:hAnsi="Times New Roman" w:cs="Times New Roman"/>
          <w:color w:val="000000" w:themeColor="text1"/>
          <w:sz w:val="20"/>
          <w:szCs w:val="20"/>
          <w:shd w:val="clear" w:color="auto" w:fill="FFFFFF"/>
        </w:rPr>
        <w:t xml:space="preserve">With regard to use of restrictive housing in state prisons and local jails, DOJ’s Civil Rights Division may investigate practices in such facilities pursuant to the Civil Rights of Institutionalized Persons Act (CRIPA) or the prohibition on law enforcement agencies engaging in a pattern or practice of violating civil rights (42 U.S. § 14141, recodified at 34 U.S.C. 12601). These statutes allow suit for declaratory or equitable relief for a pattern or practice of unconstitutional conditions of confinement. For example, in August 2020, DOJ entered a consent decree that limits use of restrictive housing in the Hampton Roads (Virginia) Regional Jail. The decree addresses the findings in the Department’s December 2018 CRIPA Notice report. That Notice report concluded that the Jail’s use of prolonged restrictive housing violated the constitutional rights of prisoners with serious mental illness, and that the jail’s </w:t>
      </w:r>
      <w:r w:rsidR="00EE2219" w:rsidRPr="00426600">
        <w:rPr>
          <w:rStyle w:val="normaltextrun"/>
          <w:rFonts w:ascii="Times New Roman" w:hAnsi="Times New Roman" w:cs="Times New Roman"/>
          <w:color w:val="000000" w:themeColor="text1"/>
          <w:sz w:val="20"/>
          <w:szCs w:val="20"/>
          <w:shd w:val="clear" w:color="auto" w:fill="FFFFFF"/>
        </w:rPr>
        <w:lastRenderedPageBreak/>
        <w:t>restrictive housing practices discriminated against prisoners with mental health disabilities in violation of the Americans with Disabilities Act, 42 U.S.C. § 12132, placing prisoners in restrictive housing because of their disability and denying them the benefits of the jail’s services, programs, and activities when they would otherwise be qualified to access these benefits in non-restrictive housing. In February 2020, DOJ opened a CRIPA investigation into conditions at four Mississippi prisons. The investigation includes whether Mississippi violates the constitutional rights of prisoners at the Mississippi State Penitentiary by failing to provide adequate suicide prevention and mental health care, including exposing prisoners to prolonged isolation. </w:t>
      </w:r>
      <w:r w:rsidRPr="00426600">
        <w:rPr>
          <w:rFonts w:ascii="Times New Roman" w:eastAsia="Times New Roman" w:hAnsi="Times New Roman" w:cs="Times New Roman"/>
          <w:color w:val="000000" w:themeColor="text1"/>
          <w:sz w:val="20"/>
          <w:szCs w:val="20"/>
        </w:rPr>
        <w:t>In April 2019, DOJ concluded that there was reasonable cause to believe that prisoners were subjected to inappropriate use of restrictive housing in Alabama’s prisons for men in response to reporting sexual abuse</w:t>
      </w:r>
      <w:r w:rsidR="00EE2219" w:rsidRPr="00426600">
        <w:rPr>
          <w:rStyle w:val="normaltextrun"/>
          <w:rFonts w:ascii="Times New Roman" w:hAnsi="Times New Roman" w:cs="Times New Roman"/>
          <w:color w:val="000000" w:themeColor="text1"/>
          <w:sz w:val="20"/>
          <w:szCs w:val="20"/>
          <w:shd w:val="clear" w:color="auto" w:fill="FFFFFF"/>
        </w:rPr>
        <w:t>.</w:t>
      </w:r>
    </w:p>
    <w:p w14:paraId="5044CCF5" w14:textId="77777777" w:rsidR="00BC5AB6" w:rsidRPr="007E442B" w:rsidRDefault="00BC5AB6" w:rsidP="00506C11">
      <w:pPr>
        <w:spacing w:line="360" w:lineRule="auto"/>
        <w:rPr>
          <w:rFonts w:ascii="Times New Roman" w:eastAsia="Times New Roman" w:hAnsi="Times New Roman" w:cs="Times New Roman"/>
          <w:shd w:val="clear" w:color="auto" w:fill="FFFFFF"/>
          <w:vertAlign w:val="superscript"/>
        </w:rPr>
      </w:pPr>
    </w:p>
    <w:p w14:paraId="6AC0E934" w14:textId="1DD8875F" w:rsidR="007E442B" w:rsidRPr="00426600" w:rsidRDefault="007E442B" w:rsidP="00506C11">
      <w:pPr>
        <w:spacing w:line="360" w:lineRule="auto"/>
        <w:rPr>
          <w:rFonts w:ascii="Times New Roman" w:eastAsia="Times New Roman" w:hAnsi="Times New Roman" w:cs="Times New Roman"/>
          <w:bCs/>
          <w:u w:val="single"/>
        </w:rPr>
      </w:pPr>
      <w:r w:rsidRPr="00426600">
        <w:rPr>
          <w:rFonts w:ascii="Times New Roman" w:eastAsia="Times New Roman" w:hAnsi="Times New Roman" w:cs="Times New Roman"/>
          <w:bCs/>
          <w:u w:val="single"/>
        </w:rPr>
        <w:t>Paragraph 18.  Human Trafficking</w:t>
      </w:r>
      <w:r w:rsidRPr="00426600">
        <w:rPr>
          <w:rFonts w:ascii="Times New Roman" w:eastAsia="Times New Roman" w:hAnsi="Times New Roman" w:cs="Times New Roman"/>
          <w:bCs/>
        </w:rPr>
        <w:t>.</w:t>
      </w:r>
    </w:p>
    <w:p w14:paraId="70DB49AB" w14:textId="2A2C84A0" w:rsidR="007E442B" w:rsidRPr="00426600" w:rsidRDefault="007E442B" w:rsidP="007E442B">
      <w:pPr>
        <w:pStyle w:val="ListParagraph"/>
        <w:spacing w:before="100" w:beforeAutospacing="1" w:after="100" w:afterAutospacing="1" w:line="360" w:lineRule="auto"/>
        <w:ind w:left="0"/>
        <w:rPr>
          <w:bCs/>
          <w:sz w:val="20"/>
          <w:szCs w:val="20"/>
        </w:rPr>
      </w:pPr>
      <w:r w:rsidRPr="00426600">
        <w:rPr>
          <w:bCs/>
          <w:sz w:val="20"/>
          <w:szCs w:val="20"/>
        </w:rPr>
        <w:t>7.  In FY 2019, pursuant to its authorities under the Trafficking Victims Protection Act of 2000, 22 USC § 7105, HHS issued 311 Certification Letters to foreign adults and 892 Eligibility Letters to foreign national minor victims of human trafficking to allow them access to federally funded benefits and services to the same extent as refugees, compared to 412 Certification Letters and 466 Eligibility Letters in FY 2018. HHS also continued its grant-funded efforts under the Trafficking Victim Assistance Program (TVAP) to provide comprehensive case management and support services to foreign adult and child human trafficking victims, their dependent foreign children, and certain other family members. In FY 2019, 1,573 individual participants received case management services through one TVAP grantee. HHS also continued its grant-funded efforts to provide comprehensive case management and support services for U.S. Citizen and Lawful Permanent Resident victims of human trafficking through the Domestic Victims of Human Trafficking (DVHT) program, which served 825 individual clients in FY 2019. HHS continued its grant-funded efforts to conduct outreach to identify and refer foreign national and domestic victims of human trafficking through the Look Beneath the Surface Regional Anti-Trafficking (LBS) Program, which identified 1,673 potential victims in FY 2019. LBS grantees also partner with law enforcement, legal providers, consulates, advocacy groups, and other stakeholders to build capacity and provide remedies to workers who experience exploitation. This sort of collaborative work led to the debarment of a recruiting company using H-2A visas to procure workers from Mexico for labor exploitation and trafficking in Wisconsin.</w:t>
      </w:r>
    </w:p>
    <w:p w14:paraId="27A61F1B" w14:textId="08E8AF3E" w:rsidR="007E442B" w:rsidRPr="00426600" w:rsidRDefault="007E442B" w:rsidP="007E442B">
      <w:pPr>
        <w:spacing w:line="360" w:lineRule="auto"/>
        <w:rPr>
          <w:rFonts w:ascii="Times New Roman" w:hAnsi="Times New Roman" w:cs="Times New Roman"/>
          <w:sz w:val="20"/>
          <w:szCs w:val="20"/>
        </w:rPr>
      </w:pPr>
      <w:r w:rsidRPr="00426600">
        <w:rPr>
          <w:rFonts w:ascii="Times New Roman" w:hAnsi="Times New Roman" w:cs="Times New Roman"/>
          <w:sz w:val="20"/>
          <w:szCs w:val="20"/>
        </w:rPr>
        <w:t xml:space="preserve">8.  In FY 2019, the HHS-funded National Human Trafficking Hotline received reports of 11,852 unique cases of potential human trafficking, compared to 10,658 cases in FY 2018. By the end of FY 2019, the hotline had received information regarding the outcomes of 1,638 cases of potential trafficking, and investigations were opened in 1,086 cases. </w:t>
      </w:r>
    </w:p>
    <w:p w14:paraId="2B041D8F" w14:textId="77777777" w:rsidR="007E442B" w:rsidRPr="00426600" w:rsidRDefault="007E442B" w:rsidP="007E442B">
      <w:pPr>
        <w:spacing w:line="360" w:lineRule="auto"/>
        <w:rPr>
          <w:rFonts w:ascii="Times New Roman" w:hAnsi="Times New Roman" w:cs="Times New Roman"/>
          <w:bCs/>
          <w:sz w:val="20"/>
          <w:szCs w:val="20"/>
        </w:rPr>
      </w:pPr>
    </w:p>
    <w:p w14:paraId="57EECD1E" w14:textId="5CC6398C" w:rsidR="007E442B" w:rsidRPr="00426600" w:rsidRDefault="007E442B" w:rsidP="007E442B">
      <w:pPr>
        <w:spacing w:line="360" w:lineRule="auto"/>
        <w:rPr>
          <w:rFonts w:ascii="Times New Roman" w:hAnsi="Times New Roman" w:cs="Times New Roman"/>
          <w:sz w:val="20"/>
          <w:szCs w:val="20"/>
        </w:rPr>
      </w:pPr>
      <w:r w:rsidRPr="00426600">
        <w:rPr>
          <w:rFonts w:ascii="Times New Roman" w:hAnsi="Times New Roman" w:cs="Times New Roman"/>
          <w:bCs/>
          <w:sz w:val="20"/>
          <w:szCs w:val="20"/>
        </w:rPr>
        <w:lastRenderedPageBreak/>
        <w:t xml:space="preserve">9.  On its own and in collaboration with other agencies, ED has been involved in numerous efforts to elevate awareness on combating human trafficking, including technical assistance, working with partners at the federal, state and local level, hosting webinars, using social media, and presenting at national conferences. In 2020, ED hosted three webinars on human trafficking in schools. The first webinar focused on providing building-level school administrators, teachers, and specialized instructional support personnel with </w:t>
      </w:r>
      <w:r w:rsidRPr="00426600">
        <w:rPr>
          <w:rFonts w:ascii="Times New Roman" w:hAnsi="Times New Roman" w:cs="Times New Roman"/>
          <w:bCs/>
          <w:color w:val="000000" w:themeColor="text1"/>
          <w:sz w:val="20"/>
          <w:szCs w:val="20"/>
        </w:rPr>
        <w:t xml:space="preserve">information on effectively identifying and supporting students impacted by trafficking. The second </w:t>
      </w:r>
      <w:r w:rsidRPr="00426600">
        <w:rPr>
          <w:rStyle w:val="normaltextrun"/>
          <w:rFonts w:ascii="Times New Roman" w:hAnsi="Times New Roman" w:cs="Times New Roman"/>
          <w:color w:val="000000" w:themeColor="text1"/>
          <w:sz w:val="20"/>
          <w:szCs w:val="20"/>
          <w:shd w:val="clear" w:color="auto" w:fill="FFFFFF"/>
        </w:rPr>
        <w:t xml:space="preserve">and third webinars focused on providing educators, parents, caregivers, and students with trauma-informed and survivor-centered tips and strategies for protecting students from online trafficking activity. </w:t>
      </w:r>
      <w:r w:rsidRPr="00426600">
        <w:rPr>
          <w:rFonts w:ascii="Times New Roman" w:hAnsi="Times New Roman" w:cs="Times New Roman"/>
          <w:color w:val="000000" w:themeColor="text1"/>
          <w:sz w:val="20"/>
          <w:szCs w:val="20"/>
        </w:rPr>
        <w:t xml:space="preserve">ED released a guide for educators in 2015 on ways to identify and help prevent child trafficking in schools, </w:t>
      </w:r>
      <w:r w:rsidRPr="00426600">
        <w:rPr>
          <w:rFonts w:ascii="Times New Roman" w:hAnsi="Times New Roman" w:cs="Times New Roman"/>
          <w:i/>
          <w:iCs/>
          <w:color w:val="000000" w:themeColor="text1"/>
          <w:sz w:val="20"/>
          <w:szCs w:val="20"/>
        </w:rPr>
        <w:t>Human Trafficking in America’s Schools</w:t>
      </w:r>
      <w:r w:rsidRPr="00426600">
        <w:rPr>
          <w:rFonts w:ascii="Times New Roman" w:hAnsi="Times New Roman" w:cs="Times New Roman"/>
          <w:color w:val="000000" w:themeColor="text1"/>
          <w:sz w:val="20"/>
          <w:szCs w:val="20"/>
        </w:rPr>
        <w:t xml:space="preserve">, that includes information for school staff about risk factors, recruitment, and how to identify trafficking; what to do if someone suspects trafficking; and other resources. </w:t>
      </w:r>
      <w:r w:rsidRPr="00426600">
        <w:rPr>
          <w:rFonts w:ascii="Times New Roman" w:hAnsi="Times New Roman" w:cs="Times New Roman"/>
          <w:color w:val="000000" w:themeColor="text1"/>
          <w:sz w:val="20"/>
          <w:szCs w:val="20"/>
          <w:shd w:val="clear" w:color="auto" w:fill="FFFFFF"/>
        </w:rPr>
        <w:t>A revised guide, which features recent research on human trafficking prevention and protection strategies and an additional focus on vulnerable populations and reintegration of trafficking survivors, will be released in January 2021. With it, ED will co-release another guidance document, </w:t>
      </w:r>
      <w:r w:rsidRPr="00426600">
        <w:rPr>
          <w:rFonts w:ascii="Times New Roman" w:hAnsi="Times New Roman" w:cs="Times New Roman"/>
          <w:i/>
          <w:iCs/>
          <w:color w:val="000000" w:themeColor="text1"/>
          <w:sz w:val="20"/>
          <w:szCs w:val="20"/>
          <w:shd w:val="clear" w:color="auto" w:fill="FFFFFF"/>
        </w:rPr>
        <w:t>Addressing the Growing Problem of Domestic Sex Trafficking in Minors through Positive Behavioral Interventions and Supports</w:t>
      </w:r>
      <w:r w:rsidRPr="00426600">
        <w:rPr>
          <w:rFonts w:ascii="Times New Roman" w:hAnsi="Times New Roman" w:cs="Times New Roman"/>
          <w:color w:val="000000" w:themeColor="text1"/>
          <w:sz w:val="20"/>
          <w:szCs w:val="20"/>
          <w:shd w:val="clear" w:color="auto" w:fill="FFFFFF"/>
        </w:rPr>
        <w:t xml:space="preserve">. Both documents will publish with ED’s new dedicated website for human trafficking resources: </w:t>
      </w:r>
      <w:r w:rsidRPr="00426600">
        <w:rPr>
          <w:rFonts w:ascii="Times New Roman" w:hAnsi="Times New Roman" w:cs="Times New Roman"/>
          <w:color w:val="000000" w:themeColor="text1"/>
          <w:sz w:val="20"/>
          <w:szCs w:val="20"/>
          <w:u w:val="single"/>
          <w:shd w:val="clear" w:color="auto" w:fill="FFFFFF"/>
        </w:rPr>
        <w:t>https://www.ed.gov/human-trafficking</w:t>
      </w:r>
      <w:r w:rsidRPr="00426600">
        <w:rPr>
          <w:rFonts w:ascii="Times New Roman" w:hAnsi="Times New Roman" w:cs="Times New Roman"/>
          <w:color w:val="000000" w:themeColor="text1"/>
          <w:sz w:val="20"/>
          <w:szCs w:val="20"/>
          <w:shd w:val="clear" w:color="auto" w:fill="FFFFFF"/>
        </w:rPr>
        <w:t>. </w:t>
      </w:r>
      <w:r w:rsidRPr="00426600">
        <w:rPr>
          <w:rFonts w:ascii="Times New Roman" w:hAnsi="Times New Roman" w:cs="Times New Roman"/>
          <w:color w:val="000000" w:themeColor="text1"/>
          <w:sz w:val="20"/>
          <w:szCs w:val="20"/>
        </w:rPr>
        <w:t xml:space="preserve">In </w:t>
      </w:r>
      <w:r w:rsidRPr="00426600">
        <w:rPr>
          <w:rFonts w:ascii="Times New Roman" w:hAnsi="Times New Roman" w:cs="Times New Roman"/>
          <w:sz w:val="20"/>
          <w:szCs w:val="20"/>
        </w:rPr>
        <w:t xml:space="preserve">2017, ED and HHS hosted a session focused on trafficking awareness and prevention that included a panel of parents, survivors, subject matter experts, and representatives from ED, HHS, and the community.  </w:t>
      </w:r>
    </w:p>
    <w:p w14:paraId="7F3FCD63" w14:textId="35B8B1EA" w:rsidR="007E442B" w:rsidRPr="00426600" w:rsidRDefault="007E442B" w:rsidP="007E442B">
      <w:pPr>
        <w:pStyle w:val="ListParagraph"/>
        <w:spacing w:before="100" w:beforeAutospacing="1" w:after="100" w:afterAutospacing="1" w:line="360" w:lineRule="auto"/>
        <w:ind w:left="0"/>
        <w:rPr>
          <w:sz w:val="20"/>
          <w:szCs w:val="20"/>
        </w:rPr>
      </w:pPr>
      <w:r w:rsidRPr="00426600">
        <w:rPr>
          <w:sz w:val="20"/>
          <w:szCs w:val="20"/>
        </w:rPr>
        <w:t>10.  DHS U.S. Immigration and Customs Enforcement (ICE) Homeland Security Investigations (ICE HSI) identified and assisted 428 human trafficking victims, initiated 1,024 human trafficking cases in FY 2019, and reported 2,197 criminal arrests, 1,113 criminal counts in indictments, and 691 criminal counts in</w:t>
      </w:r>
      <w:r w:rsidRPr="00426600">
        <w:rPr>
          <w:color w:val="E3008C"/>
          <w:sz w:val="20"/>
          <w:szCs w:val="20"/>
        </w:rPr>
        <w:t xml:space="preserve"> </w:t>
      </w:r>
      <w:r w:rsidRPr="00426600">
        <w:rPr>
          <w:sz w:val="20"/>
          <w:szCs w:val="20"/>
        </w:rPr>
        <w:t xml:space="preserve">federal, state, and local convictions. For FY 2019, ICE HSI’s Child Exploitation Investigations Unit reported the identification and/or rescue of 1,069 child victims with 4,474 cases initiated, resulting in 3,957 criminal arrests, 2,332 indictments, and 1,796 convictions. DHS U.S. Citizenship and Immigration Services (DHS/USCIS) approved 500 applications for T nonimmigrant status for human trafficking victims and 491 applications for T nonimmigrant status for victims’ family members. USCIS also approved 17,856 petitions for U nonimmigrant status for victims of certain qualifying criminal activity (which may include human trafficking) and their family members.  </w:t>
      </w:r>
    </w:p>
    <w:p w14:paraId="4DB758D5" w14:textId="143A88A2" w:rsidR="007E442B" w:rsidRPr="00426600" w:rsidRDefault="007E442B" w:rsidP="007E442B">
      <w:pPr>
        <w:spacing w:line="360" w:lineRule="auto"/>
        <w:rPr>
          <w:rFonts w:ascii="Times New Roman" w:hAnsi="Times New Roman" w:cs="Times New Roman"/>
          <w:sz w:val="20"/>
          <w:szCs w:val="20"/>
        </w:rPr>
      </w:pPr>
      <w:r w:rsidRPr="00426600">
        <w:rPr>
          <w:rFonts w:ascii="Times New Roman" w:hAnsi="Times New Roman" w:cs="Times New Roman"/>
          <w:sz w:val="20"/>
          <w:szCs w:val="20"/>
        </w:rPr>
        <w:t xml:space="preserve">11.  In FY2018 and 2019, the DHS/Federal Law Enforcement Training Centers (FLETC) trained over 5,500 federal law enforcement officers through its basic training programs on indicators of human trafficking. Additionally, FLETC has developed a one-day Introductory Human Trafficking Awareness Training (HTAT) Program for federal, state, local, and tribal law enforcement agencies to instill awareness of indicators of human trafficking for the broad law enforcement community. </w:t>
      </w:r>
      <w:r w:rsidRPr="00426600">
        <w:rPr>
          <w:rFonts w:ascii="Times New Roman" w:hAnsi="Times New Roman" w:cs="Times New Roman"/>
          <w:color w:val="000000" w:themeColor="text1"/>
          <w:sz w:val="20"/>
          <w:szCs w:val="20"/>
          <w:bdr w:val="none" w:sz="0" w:space="0" w:color="auto" w:frame="1"/>
        </w:rPr>
        <w:t xml:space="preserve">FLETC completed development of its online version of HTAT in May of 2020. The FLETC online delivery of HTAT includes a facilitated panel of regional federal, state, and local human trafficking subject matter experts, including </w:t>
      </w:r>
      <w:r w:rsidRPr="00426600">
        <w:rPr>
          <w:rFonts w:ascii="Times New Roman" w:hAnsi="Times New Roman" w:cs="Times New Roman"/>
          <w:color w:val="000000" w:themeColor="text1"/>
          <w:sz w:val="20"/>
          <w:szCs w:val="20"/>
          <w:bdr w:val="none" w:sz="0" w:space="0" w:color="auto" w:frame="1"/>
        </w:rPr>
        <w:lastRenderedPageBreak/>
        <w:t>subject matter experts from Homeland Security Investigations, the U.S. Attorney’s Office, Federal Bureau of Investigation Human Trafficking Task Force, state and local prosecutors, and victim services non-governmental organizations. The goal is to introduce students to resources they can depend on to assist with suspected human trafficking cases they may encounter.</w:t>
      </w:r>
      <w:r w:rsidRPr="00426600">
        <w:rPr>
          <w:rFonts w:ascii="Times New Roman" w:hAnsi="Times New Roman" w:cs="Times New Roman"/>
          <w:color w:val="4F6BED"/>
          <w:sz w:val="20"/>
          <w:szCs w:val="20"/>
          <w:bdr w:val="none" w:sz="0" w:space="0" w:color="auto" w:frame="1"/>
        </w:rPr>
        <w:br/>
      </w:r>
    </w:p>
    <w:p w14:paraId="0DD7C59D" w14:textId="3CCEEF70" w:rsidR="007E442B" w:rsidRPr="00426600" w:rsidRDefault="007E442B" w:rsidP="007E442B">
      <w:pPr>
        <w:spacing w:line="360" w:lineRule="auto"/>
        <w:rPr>
          <w:rFonts w:ascii="Times New Roman" w:hAnsi="Times New Roman" w:cs="Times New Roman"/>
          <w:sz w:val="20"/>
          <w:szCs w:val="20"/>
        </w:rPr>
      </w:pPr>
      <w:r w:rsidRPr="00426600">
        <w:rPr>
          <w:rFonts w:ascii="Times New Roman" w:hAnsi="Times New Roman" w:cs="Times New Roman"/>
          <w:bCs/>
          <w:sz w:val="20"/>
          <w:szCs w:val="20"/>
        </w:rPr>
        <w:t xml:space="preserve">12. </w:t>
      </w:r>
      <w:r w:rsidRPr="00426600">
        <w:rPr>
          <w:rFonts w:ascii="Times New Roman" w:hAnsi="Times New Roman" w:cs="Times New Roman"/>
          <w:color w:val="201F1E"/>
          <w:sz w:val="20"/>
          <w:szCs w:val="20"/>
          <w:shd w:val="clear" w:color="auto" w:fill="FFFFFF"/>
        </w:rPr>
        <w:t xml:space="preserve"> In </w:t>
      </w:r>
      <w:r w:rsidRPr="00426600">
        <w:rPr>
          <w:rFonts w:ascii="Times New Roman" w:hAnsi="Times New Roman" w:cs="Times New Roman"/>
          <w:bCs/>
          <w:color w:val="201F1E"/>
          <w:sz w:val="20"/>
          <w:szCs w:val="20"/>
          <w:shd w:val="clear" w:color="auto" w:fill="FFFFFF"/>
        </w:rPr>
        <w:t>2020</w:t>
      </w:r>
      <w:r w:rsidRPr="00426600">
        <w:rPr>
          <w:rFonts w:ascii="Times New Roman" w:hAnsi="Times New Roman" w:cs="Times New Roman"/>
          <w:color w:val="201F1E"/>
          <w:sz w:val="20"/>
          <w:szCs w:val="20"/>
          <w:shd w:val="clear" w:color="auto" w:fill="FFFFFF"/>
        </w:rPr>
        <w:t>, DOL’s International Labor Affairs Bureau (ILAB) awarded </w:t>
      </w:r>
      <w:r w:rsidRPr="00426600">
        <w:rPr>
          <w:rFonts w:ascii="Times New Roman" w:hAnsi="Times New Roman" w:cs="Times New Roman"/>
          <w:bCs/>
          <w:color w:val="201F1E"/>
          <w:sz w:val="20"/>
          <w:szCs w:val="20"/>
          <w:bdr w:val="none" w:sz="0" w:space="0" w:color="auto" w:frame="1"/>
          <w:shd w:val="clear" w:color="auto" w:fill="FFFFFF"/>
        </w:rPr>
        <w:t>six new projects totaling approximately $25 million</w:t>
      </w:r>
      <w:r w:rsidRPr="00426600">
        <w:rPr>
          <w:rFonts w:ascii="Times New Roman" w:hAnsi="Times New Roman" w:cs="Times New Roman"/>
          <w:bCs/>
          <w:color w:val="201F1E"/>
          <w:sz w:val="20"/>
          <w:szCs w:val="20"/>
          <w:shd w:val="clear" w:color="auto" w:fill="FFFFFF"/>
        </w:rPr>
        <w:t> </w:t>
      </w:r>
      <w:r w:rsidRPr="00426600">
        <w:rPr>
          <w:rFonts w:ascii="Times New Roman" w:hAnsi="Times New Roman" w:cs="Times New Roman"/>
          <w:bCs/>
          <w:color w:val="201F1E"/>
          <w:sz w:val="20"/>
          <w:szCs w:val="20"/>
          <w:bdr w:val="none" w:sz="0" w:space="0" w:color="auto" w:frame="1"/>
          <w:shd w:val="clear" w:color="auto" w:fill="FFFFFF"/>
        </w:rPr>
        <w:t>to address child labor and forced labor issues around the world. ILAB also awarded cost increases totaling approximately $14.5 million to sixteen existing projects addressing child labor and forced labor.</w:t>
      </w:r>
      <w:r w:rsidRPr="00426600">
        <w:rPr>
          <w:rFonts w:ascii="Times New Roman" w:hAnsi="Times New Roman" w:cs="Times New Roman"/>
          <w:bCs/>
          <w:color w:val="201F1E"/>
          <w:sz w:val="20"/>
          <w:szCs w:val="20"/>
          <w:shd w:val="clear" w:color="auto" w:fill="FFFFFF"/>
        </w:rPr>
        <w:t xml:space="preserve"> Also in 2020</w:t>
      </w:r>
      <w:r w:rsidRPr="00426600">
        <w:rPr>
          <w:rFonts w:ascii="Times New Roman" w:hAnsi="Times New Roman" w:cs="Times New Roman"/>
          <w:color w:val="201F1E"/>
          <w:sz w:val="20"/>
          <w:szCs w:val="20"/>
          <w:shd w:val="clear" w:color="auto" w:fill="FFFFFF"/>
        </w:rPr>
        <w:t>, DOL released the</w:t>
      </w:r>
      <w:r w:rsidRPr="00426600">
        <w:rPr>
          <w:rFonts w:ascii="Times New Roman" w:hAnsi="Times New Roman" w:cs="Times New Roman"/>
          <w:bCs/>
          <w:color w:val="201F1E"/>
          <w:sz w:val="20"/>
          <w:szCs w:val="20"/>
          <w:shd w:val="clear" w:color="auto" w:fill="FFFFFF"/>
        </w:rPr>
        <w:t xml:space="preserve"> ninth </w:t>
      </w:r>
      <w:r w:rsidRPr="00426600">
        <w:rPr>
          <w:rFonts w:ascii="Times New Roman" w:hAnsi="Times New Roman" w:cs="Times New Roman"/>
          <w:color w:val="201F1E"/>
          <w:sz w:val="20"/>
          <w:szCs w:val="20"/>
          <w:shd w:val="clear" w:color="auto" w:fill="FFFFFF"/>
        </w:rPr>
        <w:t>edition of its </w:t>
      </w:r>
      <w:r w:rsidRPr="00426600">
        <w:rPr>
          <w:rFonts w:ascii="Times New Roman" w:hAnsi="Times New Roman" w:cs="Times New Roman"/>
          <w:i/>
          <w:iCs/>
          <w:color w:val="201F1E"/>
          <w:sz w:val="20"/>
          <w:szCs w:val="20"/>
          <w:shd w:val="clear" w:color="auto" w:fill="FFFFFF"/>
        </w:rPr>
        <w:t xml:space="preserve">List of Goods </w:t>
      </w:r>
      <w:r w:rsidRPr="00426600">
        <w:rPr>
          <w:rFonts w:ascii="Times New Roman" w:hAnsi="Times New Roman" w:cs="Times New Roman"/>
          <w:i/>
          <w:iCs/>
          <w:color w:val="000000" w:themeColor="text1"/>
          <w:sz w:val="20"/>
          <w:szCs w:val="20"/>
          <w:shd w:val="clear" w:color="auto" w:fill="FFFFFF"/>
        </w:rPr>
        <w:t>Produced by Child </w:t>
      </w:r>
      <w:r w:rsidRPr="00426600">
        <w:rPr>
          <w:rFonts w:ascii="Times New Roman" w:hAnsi="Times New Roman" w:cs="Times New Roman"/>
          <w:i/>
          <w:iCs/>
          <w:color w:val="000000" w:themeColor="text1"/>
          <w:sz w:val="20"/>
          <w:szCs w:val="20"/>
          <w:bdr w:val="none" w:sz="0" w:space="0" w:color="auto" w:frame="1"/>
          <w:shd w:val="clear" w:color="auto" w:fill="FFFFFF"/>
        </w:rPr>
        <w:t>Labor </w:t>
      </w:r>
      <w:r w:rsidRPr="00426600">
        <w:rPr>
          <w:rFonts w:ascii="Times New Roman" w:hAnsi="Times New Roman" w:cs="Times New Roman"/>
          <w:i/>
          <w:iCs/>
          <w:color w:val="000000" w:themeColor="text1"/>
          <w:sz w:val="20"/>
          <w:szCs w:val="20"/>
          <w:shd w:val="clear" w:color="auto" w:fill="FFFFFF"/>
        </w:rPr>
        <w:t>or Forced Labor</w:t>
      </w:r>
      <w:r w:rsidRPr="00426600">
        <w:rPr>
          <w:rFonts w:ascii="Times New Roman" w:hAnsi="Times New Roman" w:cs="Times New Roman"/>
          <w:color w:val="000000" w:themeColor="text1"/>
          <w:sz w:val="20"/>
          <w:szCs w:val="20"/>
          <w:shd w:val="clear" w:color="auto" w:fill="FFFFFF"/>
        </w:rPr>
        <w:t> in violation of international standards, a tool to educate </w:t>
      </w:r>
      <w:r w:rsidRPr="00426600">
        <w:rPr>
          <w:rFonts w:ascii="Times New Roman" w:hAnsi="Times New Roman" w:cs="Times New Roman"/>
          <w:color w:val="000000" w:themeColor="text1"/>
          <w:sz w:val="20"/>
          <w:szCs w:val="20"/>
          <w:bdr w:val="none" w:sz="0" w:space="0" w:color="auto" w:frame="1"/>
          <w:shd w:val="clear" w:color="auto" w:fill="FFFFFF"/>
        </w:rPr>
        <w:t>governments and </w:t>
      </w:r>
      <w:r w:rsidRPr="00426600">
        <w:rPr>
          <w:rFonts w:ascii="Times New Roman" w:hAnsi="Times New Roman" w:cs="Times New Roman"/>
          <w:color w:val="000000" w:themeColor="text1"/>
          <w:sz w:val="20"/>
          <w:szCs w:val="20"/>
          <w:shd w:val="clear" w:color="auto" w:fill="FFFFFF"/>
        </w:rPr>
        <w:t>stakeholders about </w:t>
      </w:r>
      <w:r w:rsidRPr="00426600">
        <w:rPr>
          <w:rFonts w:ascii="Times New Roman" w:hAnsi="Times New Roman" w:cs="Times New Roman"/>
          <w:color w:val="000000" w:themeColor="text1"/>
          <w:sz w:val="20"/>
          <w:szCs w:val="20"/>
          <w:bdr w:val="none" w:sz="0" w:space="0" w:color="auto" w:frame="1"/>
          <w:shd w:val="clear" w:color="auto" w:fill="FFFFFF"/>
        </w:rPr>
        <w:t>child labor, forced labor, and human </w:t>
      </w:r>
      <w:r w:rsidRPr="00426600">
        <w:rPr>
          <w:rFonts w:ascii="Times New Roman" w:hAnsi="Times New Roman" w:cs="Times New Roman"/>
          <w:color w:val="000000" w:themeColor="text1"/>
          <w:sz w:val="20"/>
          <w:szCs w:val="20"/>
          <w:shd w:val="clear" w:color="auto" w:fill="FFFFFF"/>
        </w:rPr>
        <w:t xml:space="preserve">trafficking in supply chains. </w:t>
      </w:r>
      <w:r w:rsidRPr="00426600">
        <w:rPr>
          <w:rFonts w:ascii="Times New Roman" w:hAnsi="Times New Roman" w:cs="Times New Roman"/>
          <w:bCs/>
          <w:color w:val="000000" w:themeColor="text1"/>
          <w:sz w:val="20"/>
          <w:szCs w:val="20"/>
          <w:bdr w:val="none" w:sz="0" w:space="0" w:color="auto" w:frame="1"/>
          <w:shd w:val="clear" w:color="auto" w:fill="FFFFFF"/>
        </w:rPr>
        <w:t>Twenty-five items were added to the list of goods, including five goods – gloves, hair products, textiles, thread/yarn, and tomato products – made by Uyghur and other ethnic or religious, mostly Muslim, minorities in forced labor in China. One item was deleted from the list – cattle from Namibia (child labor). DOL published a notice to propose the addition of one new line item (bricks from Cambodia) to the </w:t>
      </w:r>
      <w:r w:rsidRPr="00426600">
        <w:rPr>
          <w:rFonts w:ascii="Times New Roman" w:hAnsi="Times New Roman" w:cs="Times New Roman"/>
          <w:bCs/>
          <w:i/>
          <w:iCs/>
          <w:color w:val="000000" w:themeColor="text1"/>
          <w:sz w:val="20"/>
          <w:szCs w:val="20"/>
          <w:bdr w:val="none" w:sz="0" w:space="0" w:color="auto" w:frame="1"/>
          <w:shd w:val="clear" w:color="auto" w:fill="FFFFFF"/>
        </w:rPr>
        <w:t>List of Products Produced by Forced or Indentured Child Labor</w:t>
      </w:r>
      <w:r w:rsidRPr="00426600">
        <w:rPr>
          <w:rFonts w:ascii="Times New Roman" w:hAnsi="Times New Roman" w:cs="Times New Roman"/>
          <w:bCs/>
          <w:color w:val="000000" w:themeColor="text1"/>
          <w:sz w:val="20"/>
          <w:szCs w:val="20"/>
          <w:bdr w:val="none" w:sz="0" w:space="0" w:color="auto" w:frame="1"/>
          <w:shd w:val="clear" w:color="auto" w:fill="FFFFFF"/>
        </w:rPr>
        <w:t>, pursuant to Executive Order 13126</w:t>
      </w:r>
      <w:r w:rsidRPr="00426600">
        <w:rPr>
          <w:rFonts w:ascii="Times New Roman" w:hAnsi="Times New Roman" w:cs="Times New Roman"/>
          <w:color w:val="000000" w:themeColor="text1"/>
          <w:sz w:val="20"/>
          <w:szCs w:val="20"/>
          <w:bdr w:val="none" w:sz="0" w:space="0" w:color="auto" w:frame="1"/>
          <w:shd w:val="clear" w:color="auto" w:fill="FFFFFF"/>
        </w:rPr>
        <w:t>. </w:t>
      </w:r>
      <w:r w:rsidRPr="00426600">
        <w:rPr>
          <w:rFonts w:ascii="Times New Roman" w:hAnsi="Times New Roman" w:cs="Times New Roman"/>
          <w:color w:val="000000" w:themeColor="text1"/>
          <w:sz w:val="20"/>
          <w:szCs w:val="20"/>
          <w:shd w:val="clear" w:color="auto" w:fill="FFFFFF"/>
        </w:rPr>
        <w:t>ILAB </w:t>
      </w:r>
      <w:r w:rsidRPr="00426600">
        <w:rPr>
          <w:rFonts w:ascii="Times New Roman" w:hAnsi="Times New Roman" w:cs="Times New Roman"/>
          <w:bCs/>
          <w:color w:val="000000" w:themeColor="text1"/>
          <w:sz w:val="20"/>
          <w:szCs w:val="20"/>
          <w:shd w:val="clear" w:color="auto" w:fill="FFFFFF"/>
        </w:rPr>
        <w:t>also </w:t>
      </w:r>
      <w:r w:rsidRPr="00426600">
        <w:rPr>
          <w:rFonts w:ascii="Times New Roman" w:hAnsi="Times New Roman" w:cs="Times New Roman"/>
          <w:color w:val="000000" w:themeColor="text1"/>
          <w:sz w:val="20"/>
          <w:szCs w:val="20"/>
          <w:shd w:val="clear" w:color="auto" w:fill="FFFFFF"/>
        </w:rPr>
        <w:t>updated </w:t>
      </w:r>
      <w:r w:rsidRPr="00426600">
        <w:rPr>
          <w:rFonts w:ascii="Times New Roman" w:hAnsi="Times New Roman" w:cs="Times New Roman"/>
          <w:i/>
          <w:iCs/>
          <w:color w:val="000000" w:themeColor="text1"/>
          <w:sz w:val="20"/>
          <w:szCs w:val="20"/>
          <w:shd w:val="clear" w:color="auto" w:fill="FFFFFF"/>
        </w:rPr>
        <w:t>Comply Chain, </w:t>
      </w:r>
      <w:r w:rsidRPr="00426600">
        <w:rPr>
          <w:rFonts w:ascii="Times New Roman" w:hAnsi="Times New Roman" w:cs="Times New Roman"/>
          <w:color w:val="000000" w:themeColor="text1"/>
          <w:sz w:val="20"/>
          <w:szCs w:val="20"/>
          <w:shd w:val="clear" w:color="auto" w:fill="FFFFFF"/>
        </w:rPr>
        <w:t xml:space="preserve">its free smartphone application, to assist businesses to identify risks and remediate violations of child labor and forced labor in </w:t>
      </w:r>
      <w:r w:rsidRPr="00426600">
        <w:rPr>
          <w:rFonts w:ascii="Times New Roman" w:hAnsi="Times New Roman" w:cs="Times New Roman"/>
          <w:color w:val="201F1E"/>
          <w:sz w:val="20"/>
          <w:szCs w:val="20"/>
          <w:shd w:val="clear" w:color="auto" w:fill="FFFFFF"/>
        </w:rPr>
        <w:t>their global supply chains, </w:t>
      </w:r>
      <w:r w:rsidRPr="00426600">
        <w:rPr>
          <w:rFonts w:ascii="Times New Roman" w:hAnsi="Times New Roman" w:cs="Times New Roman"/>
          <w:bCs/>
          <w:color w:val="201F1E"/>
          <w:sz w:val="20"/>
          <w:szCs w:val="20"/>
          <w:bdr w:val="none" w:sz="0" w:space="0" w:color="auto" w:frame="1"/>
          <w:shd w:val="clear" w:color="auto" w:fill="FFFFFF"/>
        </w:rPr>
        <w:t>including new examples; recent legal developments; and information about specialized topics, such as responsible recruitment and worker empowerment.</w:t>
      </w:r>
    </w:p>
    <w:p w14:paraId="0C257B77" w14:textId="11F8E7B3" w:rsidR="007E442B" w:rsidRPr="00426600" w:rsidRDefault="007E442B" w:rsidP="00E611FE">
      <w:pPr>
        <w:pStyle w:val="ListParagraph"/>
        <w:spacing w:before="100" w:beforeAutospacing="1" w:after="100" w:afterAutospacing="1" w:line="360" w:lineRule="auto"/>
        <w:ind w:left="0"/>
        <w:rPr>
          <w:bCs/>
          <w:sz w:val="20"/>
          <w:szCs w:val="20"/>
        </w:rPr>
      </w:pPr>
      <w:r w:rsidRPr="00426600">
        <w:rPr>
          <w:sz w:val="20"/>
          <w:szCs w:val="20"/>
        </w:rPr>
        <w:t xml:space="preserve">13.  DOS’s Office to Monitor and Combat Trafficking in Persons (TIP) issued the 19th annual Trafficking in Persons Report in June 2019. In addition, the DOS October 29, 2019, Report on U. S. Government Efforts to Combat Trafficking in Persons indicates that TIP had awarded more than $56 million to fund 58 projects worldwide addressing both sex and labor trafficking. As of September 2019, TIP had 99 open anti-trafficking projects in more than 85 countries, totaling more than $183 million. Additionally, the office awarded $50 million under the Program to End Modern Slavery, which aims to reduce the prevalence of modern slavery in specific countries and regions as well as to increase global funding to address the issue. DOS also launched its Human Trafficking Expert Consultant Network, comprised of survivors and other subject matter experts.  </w:t>
      </w:r>
      <w:r w:rsidRPr="00426600">
        <w:rPr>
          <w:color w:val="201F1E"/>
          <w:sz w:val="20"/>
          <w:szCs w:val="20"/>
        </w:rPr>
        <w:t xml:space="preserve">Between </w:t>
      </w:r>
      <w:r w:rsidRPr="00426600">
        <w:rPr>
          <w:sz w:val="20"/>
          <w:szCs w:val="20"/>
        </w:rPr>
        <w:t>October 2014 and August 2020, the TIP Office funded a total of 252 anti-trafficking projects totaling $282,899,048.</w:t>
      </w:r>
    </w:p>
    <w:p w14:paraId="19B52760" w14:textId="2B072C10" w:rsidR="00BC5AB6" w:rsidRPr="00426600" w:rsidRDefault="00BC5AB6" w:rsidP="00506C11">
      <w:pPr>
        <w:spacing w:line="360" w:lineRule="auto"/>
        <w:rPr>
          <w:rFonts w:ascii="Times New Roman" w:eastAsia="Times New Roman" w:hAnsi="Times New Roman" w:cs="Times New Roman"/>
          <w:bCs/>
        </w:rPr>
      </w:pPr>
      <w:r w:rsidRPr="00426600">
        <w:rPr>
          <w:rFonts w:ascii="Times New Roman" w:eastAsia="Times New Roman" w:hAnsi="Times New Roman" w:cs="Times New Roman"/>
          <w:bCs/>
          <w:u w:val="single"/>
        </w:rPr>
        <w:t>Paragraph 20.  Zero Tolerance Policy and treatment of children</w:t>
      </w:r>
      <w:r w:rsidRPr="00426600">
        <w:rPr>
          <w:rFonts w:ascii="Times New Roman" w:eastAsia="Times New Roman" w:hAnsi="Times New Roman" w:cs="Times New Roman"/>
          <w:bCs/>
        </w:rPr>
        <w:t xml:space="preserve">.  </w:t>
      </w:r>
      <w:r w:rsidR="00426600">
        <w:rPr>
          <w:rFonts w:ascii="Times New Roman" w:eastAsia="Times New Roman" w:hAnsi="Times New Roman" w:cs="Times New Roman"/>
          <w:bCs/>
        </w:rPr>
        <w:br/>
      </w:r>
    </w:p>
    <w:p w14:paraId="11B516B6" w14:textId="1168F03B" w:rsidR="00BC5AB6" w:rsidRPr="00426600" w:rsidRDefault="007E442B">
      <w:pPr>
        <w:spacing w:line="360" w:lineRule="auto"/>
        <w:rPr>
          <w:rFonts w:ascii="Times New Roman" w:eastAsia="Times New Roman" w:hAnsi="Times New Roman" w:cs="Times New Roman"/>
          <w:bCs/>
          <w:color w:val="000000" w:themeColor="text1"/>
          <w:sz w:val="20"/>
          <w:szCs w:val="20"/>
        </w:rPr>
      </w:pPr>
      <w:r w:rsidRPr="00426600">
        <w:rPr>
          <w:rFonts w:ascii="Times New Roman" w:eastAsia="Times New Roman" w:hAnsi="Times New Roman" w:cs="Times New Roman"/>
          <w:bCs/>
          <w:sz w:val="20"/>
          <w:szCs w:val="20"/>
        </w:rPr>
        <w:t>14</w:t>
      </w:r>
      <w:r w:rsidR="00BC5AB6" w:rsidRPr="00426600">
        <w:rPr>
          <w:rFonts w:ascii="Times New Roman" w:eastAsia="Times New Roman" w:hAnsi="Times New Roman" w:cs="Times New Roman"/>
          <w:bCs/>
          <w:sz w:val="20"/>
          <w:szCs w:val="20"/>
        </w:rPr>
        <w:t xml:space="preserve">.  The Emergency Supplemental Appropriations for Humanitarian Assistance and Security at the Southern Border Act of 2019 provided $4.6 billion in supplemental funding, including $1.1 billion for CBP for humanitarian support, border operations, and mission support. To enhance humanitarian support efforts, </w:t>
      </w:r>
      <w:r w:rsidR="00BC5AB6" w:rsidRPr="00426600">
        <w:rPr>
          <w:rFonts w:ascii="Times New Roman" w:eastAsia="Times New Roman" w:hAnsi="Times New Roman" w:cs="Times New Roman"/>
          <w:bCs/>
          <w:sz w:val="20"/>
          <w:szCs w:val="20"/>
        </w:rPr>
        <w:lastRenderedPageBreak/>
        <w:t>CBP purchased food, water, sanitary items, blankets, medical support, and other consumables with these funds; in addition, 462 additional shower stalls, 79 additional portable toilets, six additional laundry trailers, 51 commercial washer-dryer sets, 90 refrigerators and freezers, and 200 climate control systems were procured. CB</w:t>
      </w:r>
      <w:r w:rsidR="00BC5AB6" w:rsidRPr="00426600">
        <w:rPr>
          <w:rFonts w:ascii="Times New Roman" w:eastAsia="Times New Roman" w:hAnsi="Times New Roman" w:cs="Times New Roman"/>
          <w:bCs/>
          <w:color w:val="000000" w:themeColor="text1"/>
          <w:sz w:val="20"/>
          <w:szCs w:val="20"/>
        </w:rPr>
        <w:t>P also purchased additional transportation assets including buses, vans, and Emergency Medical Technician (EMT) vehicles.</w:t>
      </w:r>
    </w:p>
    <w:p w14:paraId="6B350E38" w14:textId="77777777" w:rsidR="00BC5AB6" w:rsidRPr="00426600" w:rsidRDefault="00BC5AB6">
      <w:pPr>
        <w:spacing w:line="360" w:lineRule="auto"/>
        <w:rPr>
          <w:rFonts w:ascii="Times New Roman" w:eastAsia="Times New Roman" w:hAnsi="Times New Roman" w:cs="Times New Roman"/>
          <w:bCs/>
          <w:color w:val="000000" w:themeColor="text1"/>
          <w:sz w:val="20"/>
          <w:szCs w:val="20"/>
        </w:rPr>
      </w:pPr>
    </w:p>
    <w:p w14:paraId="6D6F6CD5" w14:textId="5BEE8BC0" w:rsidR="00BC5AB6" w:rsidRPr="00426600" w:rsidRDefault="007E442B">
      <w:pPr>
        <w:spacing w:line="360" w:lineRule="auto"/>
        <w:rPr>
          <w:rFonts w:ascii="Times New Roman" w:eastAsia="Times New Roman" w:hAnsi="Times New Roman" w:cs="Times New Roman"/>
          <w:bCs/>
          <w:color w:val="000000" w:themeColor="text1"/>
          <w:sz w:val="20"/>
          <w:szCs w:val="20"/>
        </w:rPr>
      </w:pPr>
      <w:r w:rsidRPr="00426600">
        <w:rPr>
          <w:rFonts w:ascii="Times New Roman" w:eastAsia="Times New Roman" w:hAnsi="Times New Roman" w:cs="Times New Roman"/>
          <w:bCs/>
          <w:color w:val="000000" w:themeColor="text1"/>
          <w:sz w:val="20"/>
          <w:szCs w:val="20"/>
        </w:rPr>
        <w:t>15</w:t>
      </w:r>
      <w:r w:rsidR="00BC5AB6" w:rsidRPr="00426600">
        <w:rPr>
          <w:rFonts w:ascii="Times New Roman" w:eastAsia="Times New Roman" w:hAnsi="Times New Roman" w:cs="Times New Roman"/>
          <w:bCs/>
          <w:color w:val="000000" w:themeColor="text1"/>
          <w:sz w:val="20"/>
          <w:szCs w:val="20"/>
        </w:rPr>
        <w:t>.  In the summer of 2018, CBP expanded the medical support contract to additional priority locations in the Laredo, El Paso, and Yuma sectors. CBP continued to enhance and expand medical support throughout 2019, dramatically increasing the number of contracted medical professionals from approximately 20 in January 2019 to more than 700 in January 2020. As of January 2020, each day approximately 300 contracted medical professionals were providing 24/7 on-site medical support at more than 40 facilities along the Southwest border. As of January 2020, support was available at all nine Southwest border U.S. Border Patrol (USBP) sectors and all four Southwest border Office of Field Operations (OFO) field offices.</w:t>
      </w:r>
    </w:p>
    <w:p w14:paraId="66AF1632" w14:textId="77777777" w:rsidR="00BC5AB6" w:rsidRPr="00426600" w:rsidRDefault="00BC5AB6">
      <w:pPr>
        <w:spacing w:line="360" w:lineRule="auto"/>
        <w:rPr>
          <w:rFonts w:ascii="Times New Roman" w:eastAsia="Times New Roman" w:hAnsi="Times New Roman" w:cs="Times New Roman"/>
          <w:bCs/>
          <w:color w:val="000000" w:themeColor="text1"/>
          <w:sz w:val="20"/>
          <w:szCs w:val="20"/>
        </w:rPr>
      </w:pPr>
    </w:p>
    <w:p w14:paraId="65F36EE1" w14:textId="697435E4" w:rsidR="00BC5AB6" w:rsidRPr="00426600" w:rsidRDefault="007E442B" w:rsidP="00506C11">
      <w:pPr>
        <w:spacing w:line="360" w:lineRule="auto"/>
        <w:rPr>
          <w:rFonts w:ascii="Times New Roman" w:eastAsia="Times New Roman" w:hAnsi="Times New Roman" w:cs="Times New Roman"/>
          <w:sz w:val="20"/>
          <w:szCs w:val="20"/>
        </w:rPr>
      </w:pPr>
      <w:r w:rsidRPr="00426600">
        <w:rPr>
          <w:rFonts w:ascii="Times New Roman" w:eastAsia="Times New Roman" w:hAnsi="Times New Roman" w:cs="Times New Roman"/>
          <w:color w:val="000000" w:themeColor="text1"/>
          <w:sz w:val="20"/>
          <w:szCs w:val="20"/>
          <w:lang w:val="en"/>
        </w:rPr>
        <w:t>16</w:t>
      </w:r>
      <w:r w:rsidR="00BC5AB6" w:rsidRPr="00426600">
        <w:rPr>
          <w:rFonts w:ascii="Times New Roman" w:eastAsia="Times New Roman" w:hAnsi="Times New Roman" w:cs="Times New Roman"/>
          <w:color w:val="000000" w:themeColor="text1"/>
          <w:sz w:val="20"/>
          <w:szCs w:val="20"/>
          <w:lang w:val="en"/>
        </w:rPr>
        <w:t xml:space="preserve">.  In January 2019, CBP issued an Interim Enhanced Medical Directive, establishing initial priority approaches to enhance CBP medical care for people in </w:t>
      </w:r>
      <w:r w:rsidR="00506C11" w:rsidRPr="00426600">
        <w:rPr>
          <w:rFonts w:ascii="Times New Roman" w:eastAsia="Times New Roman" w:hAnsi="Times New Roman" w:cs="Times New Roman"/>
          <w:color w:val="000000" w:themeColor="text1"/>
          <w:sz w:val="20"/>
          <w:szCs w:val="20"/>
          <w:lang w:val="en"/>
        </w:rPr>
        <w:t xml:space="preserve">its </w:t>
      </w:r>
      <w:r w:rsidR="00BC5AB6" w:rsidRPr="00426600">
        <w:rPr>
          <w:rFonts w:ascii="Times New Roman" w:eastAsia="Times New Roman" w:hAnsi="Times New Roman" w:cs="Times New Roman"/>
          <w:color w:val="000000" w:themeColor="text1"/>
          <w:sz w:val="20"/>
          <w:szCs w:val="20"/>
          <w:lang w:val="en"/>
        </w:rPr>
        <w:t>custody</w:t>
      </w:r>
      <w:r w:rsidR="00506C11" w:rsidRPr="00426600">
        <w:rPr>
          <w:rFonts w:ascii="Times New Roman" w:eastAsia="Times New Roman" w:hAnsi="Times New Roman" w:cs="Times New Roman"/>
          <w:color w:val="000000" w:themeColor="text1"/>
          <w:sz w:val="20"/>
          <w:szCs w:val="20"/>
          <w:lang w:val="en"/>
        </w:rPr>
        <w:t xml:space="preserve"> </w:t>
      </w:r>
      <w:r w:rsidR="00506C11" w:rsidRPr="00426600">
        <w:rPr>
          <w:rFonts w:ascii="Times New Roman" w:eastAsia="Times New Roman" w:hAnsi="Times New Roman" w:cs="Times New Roman"/>
          <w:color w:val="000000" w:themeColor="text1"/>
          <w:sz w:val="20"/>
          <w:szCs w:val="20"/>
          <w:shd w:val="clear" w:color="auto" w:fill="FFFFFF"/>
          <w:lang w:val="en"/>
        </w:rPr>
        <w:t>at facilities that experienced a significant increase of people in custody along the southwest border</w:t>
      </w:r>
      <w:r w:rsidR="00BC5AB6" w:rsidRPr="00426600">
        <w:rPr>
          <w:rFonts w:ascii="Times New Roman" w:eastAsia="Times New Roman" w:hAnsi="Times New Roman" w:cs="Times New Roman"/>
          <w:color w:val="000000" w:themeColor="text1"/>
          <w:sz w:val="20"/>
          <w:szCs w:val="20"/>
          <w:lang w:val="en"/>
        </w:rPr>
        <w:t xml:space="preserve">. On December 30, 2019, CBP issued an Enhanced Medical Support Directive, developed using operational and medical lessons learned and </w:t>
      </w:r>
      <w:r w:rsidR="00506C11" w:rsidRPr="00426600">
        <w:rPr>
          <w:rFonts w:ascii="Times New Roman" w:eastAsia="Times New Roman" w:hAnsi="Times New Roman" w:cs="Times New Roman"/>
          <w:color w:val="000000" w:themeColor="text1"/>
          <w:sz w:val="20"/>
          <w:szCs w:val="20"/>
          <w:lang w:val="en"/>
        </w:rPr>
        <w:t xml:space="preserve">incorporating </w:t>
      </w:r>
      <w:r w:rsidR="00BC5AB6" w:rsidRPr="00426600">
        <w:rPr>
          <w:rFonts w:ascii="Times New Roman" w:eastAsia="Times New Roman" w:hAnsi="Times New Roman" w:cs="Times New Roman"/>
          <w:color w:val="000000" w:themeColor="text1"/>
          <w:sz w:val="20"/>
          <w:szCs w:val="20"/>
          <w:lang w:val="en"/>
        </w:rPr>
        <w:t>significant stakeholder and medical expert input.</w:t>
      </w:r>
    </w:p>
    <w:p w14:paraId="46F18B19" w14:textId="77777777" w:rsidR="00BC5AB6" w:rsidRPr="00426600" w:rsidRDefault="00BC5AB6" w:rsidP="00506C11">
      <w:pPr>
        <w:spacing w:line="360" w:lineRule="auto"/>
        <w:textAlignment w:val="baseline"/>
        <w:rPr>
          <w:rFonts w:ascii="Times New Roman" w:eastAsia="Times New Roman" w:hAnsi="Times New Roman" w:cs="Times New Roman"/>
          <w:color w:val="000000" w:themeColor="text1"/>
          <w:sz w:val="20"/>
          <w:szCs w:val="20"/>
          <w:lang w:val="en"/>
        </w:rPr>
      </w:pPr>
    </w:p>
    <w:p w14:paraId="3B72245C" w14:textId="69823B9C" w:rsidR="00BC5AB6" w:rsidRPr="00426600" w:rsidRDefault="007E442B" w:rsidP="00506C11">
      <w:pPr>
        <w:spacing w:line="360" w:lineRule="auto"/>
        <w:rPr>
          <w:rFonts w:ascii="Times New Roman" w:eastAsia="Times New Roman" w:hAnsi="Times New Roman" w:cs="Times New Roman"/>
          <w:sz w:val="20"/>
          <w:szCs w:val="20"/>
        </w:rPr>
      </w:pPr>
      <w:r w:rsidRPr="00426600">
        <w:rPr>
          <w:rFonts w:ascii="Times New Roman" w:eastAsia="Times New Roman" w:hAnsi="Times New Roman" w:cs="Times New Roman"/>
          <w:color w:val="000000" w:themeColor="text1"/>
          <w:sz w:val="20"/>
          <w:szCs w:val="20"/>
          <w:lang w:val="en"/>
        </w:rPr>
        <w:t>17</w:t>
      </w:r>
      <w:r w:rsidR="00BC5AB6" w:rsidRPr="00426600">
        <w:rPr>
          <w:rFonts w:ascii="Times New Roman" w:eastAsia="Times New Roman" w:hAnsi="Times New Roman" w:cs="Times New Roman"/>
          <w:color w:val="000000" w:themeColor="text1"/>
          <w:sz w:val="20"/>
          <w:szCs w:val="20"/>
          <w:lang w:val="en"/>
        </w:rPr>
        <w:t xml:space="preserve">.  The Enhanced Medical Support Directive outlines the responsibilities and procedures for both USBP and OFO </w:t>
      </w:r>
      <w:r w:rsidR="00506C11" w:rsidRPr="00426600">
        <w:rPr>
          <w:rFonts w:ascii="Times New Roman" w:eastAsia="Times New Roman" w:hAnsi="Times New Roman" w:cs="Times New Roman"/>
          <w:color w:val="000000" w:themeColor="text1"/>
          <w:sz w:val="20"/>
          <w:szCs w:val="20"/>
          <w:lang w:val="en"/>
        </w:rPr>
        <w:t xml:space="preserve">for the deployment and administration of </w:t>
      </w:r>
      <w:r w:rsidR="00BC5AB6" w:rsidRPr="00426600">
        <w:rPr>
          <w:rFonts w:ascii="Times New Roman" w:eastAsia="Times New Roman" w:hAnsi="Times New Roman" w:cs="Times New Roman"/>
          <w:color w:val="000000" w:themeColor="text1"/>
          <w:sz w:val="20"/>
          <w:szCs w:val="20"/>
          <w:lang w:val="en"/>
        </w:rPr>
        <w:t>enhanced medical support efforts to mitigate health risks to those in custody along the southwest border</w:t>
      </w:r>
      <w:r w:rsidR="00506C11" w:rsidRPr="00426600">
        <w:rPr>
          <w:rFonts w:ascii="Times New Roman" w:eastAsia="Times New Roman" w:hAnsi="Times New Roman" w:cs="Times New Roman"/>
          <w:color w:val="000000" w:themeColor="text1"/>
          <w:sz w:val="20"/>
          <w:szCs w:val="20"/>
          <w:shd w:val="clear" w:color="auto" w:fill="FFFFFF"/>
          <w:lang w:val="en"/>
        </w:rPr>
        <w:t>, enhancing processes established in the Interim Enhanced Medical Directive.</w:t>
      </w:r>
      <w:r w:rsidR="00BC5AB6" w:rsidRPr="00426600">
        <w:rPr>
          <w:rFonts w:ascii="Times New Roman" w:eastAsia="Times New Roman" w:hAnsi="Times New Roman" w:cs="Times New Roman"/>
          <w:color w:val="000000" w:themeColor="text1"/>
          <w:sz w:val="20"/>
          <w:szCs w:val="20"/>
          <w:lang w:val="en"/>
        </w:rPr>
        <w:t xml:space="preserve"> This </w:t>
      </w:r>
      <w:r w:rsidR="00506C11" w:rsidRPr="00426600">
        <w:rPr>
          <w:rFonts w:ascii="Times New Roman" w:eastAsia="Times New Roman" w:hAnsi="Times New Roman" w:cs="Times New Roman"/>
          <w:color w:val="000000" w:themeColor="text1"/>
          <w:sz w:val="20"/>
          <w:szCs w:val="20"/>
          <w:lang w:val="en"/>
        </w:rPr>
        <w:t xml:space="preserve">Directive </w:t>
      </w:r>
      <w:r w:rsidR="00BC5AB6" w:rsidRPr="00426600">
        <w:rPr>
          <w:rFonts w:ascii="Times New Roman" w:eastAsia="Times New Roman" w:hAnsi="Times New Roman" w:cs="Times New Roman"/>
          <w:color w:val="000000" w:themeColor="text1"/>
          <w:sz w:val="20"/>
          <w:szCs w:val="20"/>
          <w:lang w:val="en"/>
        </w:rPr>
        <w:t>aligns USBP and OFO medical support efforts</w:t>
      </w:r>
      <w:r w:rsidR="00506C11" w:rsidRPr="00426600">
        <w:rPr>
          <w:rStyle w:val="CommentReference"/>
          <w:rFonts w:ascii="Times New Roman" w:hAnsi="Times New Roman" w:cs="Times New Roman"/>
          <w:color w:val="000000" w:themeColor="text1"/>
          <w:sz w:val="20"/>
          <w:szCs w:val="20"/>
          <w:shd w:val="clear" w:color="auto" w:fill="FFFFFF"/>
          <w:lang w:val="en"/>
        </w:rPr>
        <w:t xml:space="preserve"> </w:t>
      </w:r>
      <w:r w:rsidR="00506C11" w:rsidRPr="00426600">
        <w:rPr>
          <w:rFonts w:ascii="Times New Roman" w:eastAsia="Times New Roman" w:hAnsi="Times New Roman" w:cs="Times New Roman"/>
          <w:color w:val="000000" w:themeColor="text1"/>
          <w:sz w:val="20"/>
          <w:szCs w:val="20"/>
          <w:shd w:val="clear" w:color="auto" w:fill="FFFFFF"/>
          <w:lang w:val="en"/>
        </w:rPr>
        <w:t>and provides clear direction for USBP and OFO for establishing a contract for enhanced medical support along the Southwest border. The Directive indicates that these enhanced medical efforts are</w:t>
      </w:r>
      <w:r w:rsidR="00506C11" w:rsidRPr="00426600">
        <w:rPr>
          <w:rFonts w:ascii="Times New Roman" w:eastAsia="Times New Roman" w:hAnsi="Times New Roman" w:cs="Times New Roman"/>
          <w:color w:val="000000" w:themeColor="text1"/>
          <w:sz w:val="20"/>
          <w:szCs w:val="20"/>
        </w:rPr>
        <w:t xml:space="preserve"> </w:t>
      </w:r>
      <w:r w:rsidR="00BC5AB6" w:rsidRPr="00426600">
        <w:rPr>
          <w:rFonts w:ascii="Times New Roman" w:eastAsia="Times New Roman" w:hAnsi="Times New Roman" w:cs="Times New Roman"/>
          <w:color w:val="000000" w:themeColor="text1"/>
          <w:sz w:val="20"/>
          <w:szCs w:val="20"/>
          <w:lang w:val="en"/>
        </w:rPr>
        <w:t>subject to resource availability and operational requirements</w:t>
      </w:r>
      <w:r w:rsidR="00506C11" w:rsidRPr="00426600">
        <w:rPr>
          <w:rFonts w:ascii="Times New Roman" w:eastAsia="Times New Roman" w:hAnsi="Times New Roman" w:cs="Times New Roman"/>
          <w:color w:val="000000" w:themeColor="text1"/>
          <w:sz w:val="20"/>
          <w:szCs w:val="20"/>
          <w:lang w:val="en"/>
        </w:rPr>
        <w:t xml:space="preserve"> </w:t>
      </w:r>
      <w:r w:rsidR="00BC5AB6" w:rsidRPr="00426600">
        <w:rPr>
          <w:rFonts w:ascii="Times New Roman" w:eastAsia="Times New Roman" w:hAnsi="Times New Roman" w:cs="Times New Roman"/>
          <w:color w:val="000000" w:themeColor="text1"/>
          <w:sz w:val="20"/>
          <w:szCs w:val="20"/>
          <w:lang w:val="en"/>
        </w:rPr>
        <w:t xml:space="preserve">and </w:t>
      </w:r>
      <w:r w:rsidR="00506C11" w:rsidRPr="00426600">
        <w:rPr>
          <w:rFonts w:ascii="Times New Roman" w:eastAsia="Times New Roman" w:hAnsi="Times New Roman" w:cs="Times New Roman"/>
          <w:color w:val="000000" w:themeColor="text1"/>
          <w:sz w:val="20"/>
          <w:szCs w:val="20"/>
          <w:lang w:val="en"/>
        </w:rPr>
        <w:t xml:space="preserve">includes </w:t>
      </w:r>
      <w:r w:rsidR="00BC5AB6" w:rsidRPr="00426600">
        <w:rPr>
          <w:rFonts w:ascii="Times New Roman" w:eastAsia="Times New Roman" w:hAnsi="Times New Roman" w:cs="Times New Roman"/>
          <w:color w:val="000000" w:themeColor="text1"/>
          <w:sz w:val="20"/>
          <w:szCs w:val="20"/>
          <w:lang w:val="en"/>
        </w:rPr>
        <w:t>intentional flexib</w:t>
      </w:r>
      <w:r w:rsidR="00506C11" w:rsidRPr="00426600">
        <w:rPr>
          <w:rFonts w:ascii="Times New Roman" w:eastAsia="Times New Roman" w:hAnsi="Times New Roman" w:cs="Times New Roman"/>
          <w:color w:val="000000" w:themeColor="text1"/>
          <w:sz w:val="20"/>
          <w:szCs w:val="20"/>
          <w:lang w:val="en"/>
        </w:rPr>
        <w:t>ility</w:t>
      </w:r>
      <w:r w:rsidR="00BC5AB6" w:rsidRPr="00426600">
        <w:rPr>
          <w:rFonts w:ascii="Times New Roman" w:eastAsia="Times New Roman" w:hAnsi="Times New Roman" w:cs="Times New Roman"/>
          <w:color w:val="000000" w:themeColor="text1"/>
          <w:sz w:val="20"/>
          <w:szCs w:val="20"/>
          <w:lang w:val="en"/>
        </w:rPr>
        <w:t xml:space="preserve"> to facilitate modifications </w:t>
      </w:r>
      <w:r w:rsidR="00506C11" w:rsidRPr="00426600">
        <w:rPr>
          <w:rFonts w:ascii="Times New Roman" w:eastAsia="Times New Roman" w:hAnsi="Times New Roman" w:cs="Times New Roman"/>
          <w:color w:val="000000" w:themeColor="text1"/>
          <w:sz w:val="20"/>
          <w:szCs w:val="20"/>
          <w:lang w:val="en"/>
        </w:rPr>
        <w:t xml:space="preserve">to </w:t>
      </w:r>
      <w:r w:rsidR="00BC5AB6" w:rsidRPr="00426600">
        <w:rPr>
          <w:rFonts w:ascii="Times New Roman" w:eastAsia="Times New Roman" w:hAnsi="Times New Roman" w:cs="Times New Roman"/>
          <w:color w:val="000000" w:themeColor="text1"/>
          <w:sz w:val="20"/>
          <w:szCs w:val="20"/>
          <w:lang w:val="en"/>
        </w:rPr>
        <w:t xml:space="preserve">align with </w:t>
      </w:r>
      <w:r w:rsidR="00506C11" w:rsidRPr="00426600">
        <w:rPr>
          <w:rFonts w:ascii="Times New Roman" w:eastAsia="Times New Roman" w:hAnsi="Times New Roman" w:cs="Times New Roman"/>
          <w:color w:val="000000" w:themeColor="text1"/>
          <w:sz w:val="20"/>
          <w:szCs w:val="20"/>
          <w:lang w:val="en"/>
        </w:rPr>
        <w:t>the dynamic operational environment</w:t>
      </w:r>
      <w:r w:rsidR="00BC5AB6" w:rsidRPr="00426600">
        <w:rPr>
          <w:rFonts w:ascii="Times New Roman" w:eastAsia="Times New Roman" w:hAnsi="Times New Roman" w:cs="Times New Roman"/>
          <w:color w:val="000000" w:themeColor="text1"/>
          <w:sz w:val="20"/>
          <w:szCs w:val="20"/>
          <w:lang w:val="en"/>
        </w:rPr>
        <w:t xml:space="preserve">. Furthermore, </w:t>
      </w:r>
      <w:r w:rsidR="00506C11" w:rsidRPr="00426600">
        <w:rPr>
          <w:rFonts w:ascii="Times New Roman" w:eastAsia="Times New Roman" w:hAnsi="Times New Roman" w:cs="Times New Roman"/>
          <w:color w:val="000000" w:themeColor="text1"/>
          <w:sz w:val="20"/>
          <w:szCs w:val="20"/>
          <w:lang w:val="en"/>
        </w:rPr>
        <w:t xml:space="preserve">the Directive </w:t>
      </w:r>
      <w:r w:rsidR="00BC5AB6" w:rsidRPr="00426600">
        <w:rPr>
          <w:rFonts w:ascii="Times New Roman" w:eastAsia="Times New Roman" w:hAnsi="Times New Roman" w:cs="Times New Roman"/>
          <w:color w:val="000000" w:themeColor="text1"/>
          <w:sz w:val="20"/>
          <w:szCs w:val="20"/>
          <w:lang w:val="en"/>
        </w:rPr>
        <w:t xml:space="preserve">establishes foundational levels of medical support, although in many cases CBP already exceeds these levels.  </w:t>
      </w:r>
    </w:p>
    <w:p w14:paraId="24E9B4F1" w14:textId="77777777" w:rsidR="00BC5AB6" w:rsidRPr="00426600" w:rsidRDefault="00BC5AB6" w:rsidP="00506C11">
      <w:pPr>
        <w:spacing w:line="360" w:lineRule="auto"/>
        <w:textAlignment w:val="baseline"/>
        <w:rPr>
          <w:rFonts w:ascii="Times New Roman" w:eastAsia="Times New Roman" w:hAnsi="Times New Roman" w:cs="Times New Roman"/>
          <w:color w:val="000000" w:themeColor="text1"/>
          <w:sz w:val="20"/>
          <w:szCs w:val="20"/>
          <w:lang w:val="en"/>
        </w:rPr>
      </w:pPr>
    </w:p>
    <w:p w14:paraId="06D768DB" w14:textId="7497F47F" w:rsidR="00BC5AB6" w:rsidRPr="00426600" w:rsidRDefault="00BC5AB6" w:rsidP="00426600">
      <w:pPr>
        <w:spacing w:line="360" w:lineRule="auto"/>
        <w:textAlignment w:val="baseline"/>
        <w:rPr>
          <w:rFonts w:ascii="Times New Roman" w:eastAsia="Times New Roman" w:hAnsi="Times New Roman" w:cs="Times New Roman"/>
          <w:color w:val="000000" w:themeColor="text1"/>
          <w:sz w:val="20"/>
          <w:szCs w:val="20"/>
          <w:lang w:val="en"/>
        </w:rPr>
      </w:pPr>
      <w:r w:rsidRPr="00426600">
        <w:rPr>
          <w:rFonts w:ascii="Times New Roman" w:eastAsia="Times New Roman" w:hAnsi="Times New Roman" w:cs="Times New Roman"/>
          <w:color w:val="000000" w:themeColor="text1"/>
          <w:sz w:val="20"/>
          <w:szCs w:val="20"/>
          <w:lang w:val="en"/>
        </w:rPr>
        <w:t>1</w:t>
      </w:r>
      <w:r w:rsidR="007E442B" w:rsidRPr="00426600">
        <w:rPr>
          <w:rFonts w:ascii="Times New Roman" w:eastAsia="Times New Roman" w:hAnsi="Times New Roman" w:cs="Times New Roman"/>
          <w:color w:val="000000" w:themeColor="text1"/>
          <w:sz w:val="20"/>
          <w:szCs w:val="20"/>
          <w:lang w:val="en"/>
        </w:rPr>
        <w:t>8</w:t>
      </w:r>
      <w:r w:rsidRPr="00426600">
        <w:rPr>
          <w:rFonts w:ascii="Times New Roman" w:eastAsia="Times New Roman" w:hAnsi="Times New Roman" w:cs="Times New Roman"/>
          <w:color w:val="000000" w:themeColor="text1"/>
          <w:sz w:val="20"/>
          <w:szCs w:val="20"/>
          <w:lang w:val="en"/>
        </w:rPr>
        <w:t>.  The Enhanced Medical Directive ensures that CBP will sustain enhanced medical support capabilities with an emphasis on children less than 18 years old. The</w:t>
      </w:r>
      <w:r w:rsidR="00506C11" w:rsidRPr="00426600">
        <w:rPr>
          <w:rFonts w:ascii="Times New Roman" w:eastAsia="Times New Roman" w:hAnsi="Times New Roman" w:cs="Times New Roman"/>
          <w:color w:val="000000" w:themeColor="text1"/>
          <w:sz w:val="20"/>
          <w:szCs w:val="20"/>
          <w:lang w:val="en"/>
        </w:rPr>
        <w:t xml:space="preserve"> Directive</w:t>
      </w:r>
      <w:r w:rsidRPr="00426600">
        <w:rPr>
          <w:rFonts w:ascii="Times New Roman" w:eastAsia="Times New Roman" w:hAnsi="Times New Roman" w:cs="Times New Roman"/>
          <w:color w:val="000000" w:themeColor="text1"/>
          <w:sz w:val="20"/>
          <w:szCs w:val="20"/>
          <w:lang w:val="en"/>
        </w:rPr>
        <w:t xml:space="preserve"> include</w:t>
      </w:r>
      <w:r w:rsidR="00506C11" w:rsidRPr="00426600">
        <w:rPr>
          <w:rFonts w:ascii="Times New Roman" w:eastAsia="Times New Roman" w:hAnsi="Times New Roman" w:cs="Times New Roman"/>
          <w:color w:val="000000" w:themeColor="text1"/>
          <w:sz w:val="20"/>
          <w:szCs w:val="20"/>
          <w:lang w:val="en"/>
        </w:rPr>
        <w:t>s</w:t>
      </w:r>
      <w:r w:rsidRPr="00426600">
        <w:rPr>
          <w:rFonts w:ascii="Times New Roman" w:eastAsia="Times New Roman" w:hAnsi="Times New Roman" w:cs="Times New Roman"/>
          <w:color w:val="000000" w:themeColor="text1"/>
          <w:sz w:val="20"/>
          <w:szCs w:val="20"/>
          <w:lang w:val="en"/>
        </w:rPr>
        <w:t xml:space="preserve"> a</w:t>
      </w:r>
      <w:r w:rsidR="00506C11" w:rsidRPr="00426600">
        <w:rPr>
          <w:rFonts w:ascii="Times New Roman" w:eastAsia="Times New Roman" w:hAnsi="Times New Roman" w:cs="Times New Roman"/>
          <w:color w:val="000000" w:themeColor="text1"/>
          <w:sz w:val="20"/>
          <w:szCs w:val="20"/>
          <w:lang w:val="en"/>
        </w:rPr>
        <w:t xml:space="preserve"> provision for</w:t>
      </w:r>
      <w:r w:rsidRPr="00426600">
        <w:rPr>
          <w:rFonts w:ascii="Times New Roman" w:eastAsia="Times New Roman" w:hAnsi="Times New Roman" w:cs="Times New Roman"/>
          <w:color w:val="000000" w:themeColor="text1"/>
          <w:sz w:val="20"/>
          <w:szCs w:val="20"/>
          <w:lang w:val="en"/>
        </w:rPr>
        <w:t xml:space="preserve"> health interview</w:t>
      </w:r>
      <w:r w:rsidR="00506C11" w:rsidRPr="00426600">
        <w:rPr>
          <w:rFonts w:ascii="Times New Roman" w:eastAsia="Times New Roman" w:hAnsi="Times New Roman" w:cs="Times New Roman"/>
          <w:color w:val="000000" w:themeColor="text1"/>
          <w:sz w:val="20"/>
          <w:szCs w:val="20"/>
          <w:lang w:val="en"/>
        </w:rPr>
        <w:t>s for all persons under age 18,</w:t>
      </w:r>
      <w:r w:rsidRPr="00426600">
        <w:rPr>
          <w:rFonts w:ascii="Times New Roman" w:eastAsia="Times New Roman" w:hAnsi="Times New Roman" w:cs="Times New Roman"/>
          <w:color w:val="000000" w:themeColor="text1"/>
          <w:sz w:val="20"/>
          <w:szCs w:val="20"/>
          <w:lang w:val="en"/>
        </w:rPr>
        <w:t xml:space="preserve"> upon</w:t>
      </w:r>
      <w:r w:rsidR="00506C11" w:rsidRPr="00426600">
        <w:rPr>
          <w:rFonts w:ascii="Times New Roman" w:eastAsia="Times New Roman" w:hAnsi="Times New Roman" w:cs="Times New Roman"/>
          <w:color w:val="000000" w:themeColor="text1"/>
          <w:sz w:val="20"/>
          <w:szCs w:val="20"/>
          <w:lang w:val="en"/>
        </w:rPr>
        <w:t xml:space="preserve"> their</w:t>
      </w:r>
      <w:r w:rsidRPr="00426600">
        <w:rPr>
          <w:rFonts w:ascii="Times New Roman" w:eastAsia="Times New Roman" w:hAnsi="Times New Roman" w:cs="Times New Roman"/>
          <w:color w:val="000000" w:themeColor="text1"/>
          <w:sz w:val="20"/>
          <w:szCs w:val="20"/>
          <w:lang w:val="en"/>
        </w:rPr>
        <w:t xml:space="preserve"> initial arrival at a CBP facility. The interviews will be conducted by </w:t>
      </w:r>
      <w:r w:rsidR="00506C11" w:rsidRPr="00426600">
        <w:rPr>
          <w:rFonts w:ascii="Times New Roman" w:eastAsia="Times New Roman" w:hAnsi="Times New Roman" w:cs="Times New Roman"/>
          <w:color w:val="000000" w:themeColor="text1"/>
          <w:sz w:val="20"/>
          <w:szCs w:val="20"/>
          <w:lang w:val="en"/>
        </w:rPr>
        <w:t xml:space="preserve">either </w:t>
      </w:r>
      <w:r w:rsidRPr="00426600">
        <w:rPr>
          <w:rFonts w:ascii="Times New Roman" w:eastAsia="Times New Roman" w:hAnsi="Times New Roman" w:cs="Times New Roman"/>
          <w:color w:val="000000" w:themeColor="text1"/>
          <w:sz w:val="20"/>
          <w:szCs w:val="20"/>
          <w:lang w:val="en"/>
        </w:rPr>
        <w:t xml:space="preserve">contracted medical personnel or by CBP agents/officers using a standardized health form. Subject to resource availability, USBP and OFO will ensure that a more detailed medical assessment is conducted on all tender-age (12 and under) children, any person with a positive response to mandatory referral questions on the health interview form, or any other person with a known or reported medical </w:t>
      </w:r>
      <w:r w:rsidRPr="00426600">
        <w:rPr>
          <w:rFonts w:ascii="Times New Roman" w:eastAsia="Times New Roman" w:hAnsi="Times New Roman" w:cs="Times New Roman"/>
          <w:color w:val="000000" w:themeColor="text1"/>
          <w:sz w:val="20"/>
          <w:szCs w:val="20"/>
          <w:lang w:val="en"/>
        </w:rPr>
        <w:lastRenderedPageBreak/>
        <w:t>concern. The medical assessments will be conducted by CBP-contracted health providers where available, or, when appropriate, the individual will be referred to local health care system/providers. CBP EMT-certified agents and officers will conduct medical assessments only in exigent circumstances and when operationally available.</w:t>
      </w:r>
    </w:p>
    <w:sectPr w:rsidR="00BC5AB6" w:rsidRPr="00426600" w:rsidSect="00332DDF">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AAEE2" w14:textId="77777777" w:rsidR="007E442B" w:rsidRDefault="007E442B" w:rsidP="007E442B">
      <w:r>
        <w:separator/>
      </w:r>
    </w:p>
  </w:endnote>
  <w:endnote w:type="continuationSeparator" w:id="0">
    <w:p w14:paraId="2D799076" w14:textId="77777777" w:rsidR="007E442B" w:rsidRDefault="007E442B" w:rsidP="007E4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88D1F" w14:textId="77777777" w:rsidR="00F126B5" w:rsidRDefault="00F12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137668"/>
      <w:docPartObj>
        <w:docPartGallery w:val="Page Numbers (Bottom of Page)"/>
        <w:docPartUnique/>
      </w:docPartObj>
    </w:sdtPr>
    <w:sdtEndPr>
      <w:rPr>
        <w:noProof/>
      </w:rPr>
    </w:sdtEndPr>
    <w:sdtContent>
      <w:p w14:paraId="39A9560F" w14:textId="0AC59CD2" w:rsidR="00600006" w:rsidRDefault="00600006">
        <w:pPr>
          <w:pStyle w:val="Footer"/>
          <w:jc w:val="right"/>
        </w:pPr>
        <w:r w:rsidRPr="00600006">
          <w:rPr>
            <w:rFonts w:ascii="Times New Roman" w:hAnsi="Times New Roman" w:cs="Times New Roman"/>
          </w:rPr>
          <w:fldChar w:fldCharType="begin"/>
        </w:r>
        <w:r w:rsidRPr="00600006">
          <w:rPr>
            <w:rFonts w:ascii="Times New Roman" w:hAnsi="Times New Roman" w:cs="Times New Roman"/>
          </w:rPr>
          <w:instrText xml:space="preserve"> PAGE   \* MERGEFORMAT </w:instrText>
        </w:r>
        <w:r w:rsidRPr="00600006">
          <w:rPr>
            <w:rFonts w:ascii="Times New Roman" w:hAnsi="Times New Roman" w:cs="Times New Roman"/>
          </w:rPr>
          <w:fldChar w:fldCharType="separate"/>
        </w:r>
        <w:r w:rsidR="00F126B5">
          <w:rPr>
            <w:rFonts w:ascii="Times New Roman" w:hAnsi="Times New Roman" w:cs="Times New Roman"/>
            <w:noProof/>
          </w:rPr>
          <w:t>3</w:t>
        </w:r>
        <w:r w:rsidRPr="00600006">
          <w:rPr>
            <w:rFonts w:ascii="Times New Roman" w:hAnsi="Times New Roman" w:cs="Times New Roman"/>
            <w:noProof/>
          </w:rPr>
          <w:fldChar w:fldCharType="end"/>
        </w:r>
      </w:p>
    </w:sdtContent>
  </w:sdt>
  <w:p w14:paraId="6BF231E6" w14:textId="707C40FD" w:rsidR="007E442B" w:rsidRPr="00600006" w:rsidRDefault="007E442B" w:rsidP="006000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8B2A2" w14:textId="77777777" w:rsidR="00F126B5" w:rsidRDefault="00F1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3B9C0" w14:textId="77777777" w:rsidR="007E442B" w:rsidRDefault="007E442B" w:rsidP="007E442B">
      <w:r>
        <w:separator/>
      </w:r>
    </w:p>
  </w:footnote>
  <w:footnote w:type="continuationSeparator" w:id="0">
    <w:p w14:paraId="6BF851A5" w14:textId="77777777" w:rsidR="007E442B" w:rsidRDefault="007E442B" w:rsidP="007E4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63CD0" w14:textId="77777777" w:rsidR="00F126B5" w:rsidRDefault="00F12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803AC" w14:textId="77777777" w:rsidR="00F126B5" w:rsidRDefault="00F126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82EAC" w14:textId="77777777" w:rsidR="00F126B5" w:rsidRDefault="00F126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141"/>
    <w:rsid w:val="00031CBA"/>
    <w:rsid w:val="00032D77"/>
    <w:rsid w:val="000B4F5A"/>
    <w:rsid w:val="000E331A"/>
    <w:rsid w:val="002249E5"/>
    <w:rsid w:val="002B52E9"/>
    <w:rsid w:val="00332DDF"/>
    <w:rsid w:val="00333840"/>
    <w:rsid w:val="00426600"/>
    <w:rsid w:val="00432068"/>
    <w:rsid w:val="00483CF6"/>
    <w:rsid w:val="00506C11"/>
    <w:rsid w:val="00507F32"/>
    <w:rsid w:val="005B05CA"/>
    <w:rsid w:val="00600006"/>
    <w:rsid w:val="006206CA"/>
    <w:rsid w:val="006C6614"/>
    <w:rsid w:val="007E442B"/>
    <w:rsid w:val="00880141"/>
    <w:rsid w:val="009301D7"/>
    <w:rsid w:val="0094311B"/>
    <w:rsid w:val="00A5725D"/>
    <w:rsid w:val="00BC5AB6"/>
    <w:rsid w:val="00C739AC"/>
    <w:rsid w:val="00D56663"/>
    <w:rsid w:val="00E611FE"/>
    <w:rsid w:val="00ED248F"/>
    <w:rsid w:val="00EE2219"/>
    <w:rsid w:val="00F126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DD19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880141"/>
    <w:rPr>
      <w:sz w:val="18"/>
      <w:szCs w:val="18"/>
    </w:rPr>
  </w:style>
  <w:style w:type="paragraph" w:styleId="CommentText">
    <w:name w:val="annotation text"/>
    <w:basedOn w:val="Normal"/>
    <w:link w:val="CommentTextChar"/>
    <w:uiPriority w:val="99"/>
    <w:unhideWhenUsed/>
    <w:rsid w:val="00880141"/>
  </w:style>
  <w:style w:type="character" w:customStyle="1" w:styleId="CommentTextChar">
    <w:name w:val="Comment Text Char"/>
    <w:basedOn w:val="DefaultParagraphFont"/>
    <w:link w:val="CommentText"/>
    <w:uiPriority w:val="99"/>
    <w:rsid w:val="00880141"/>
  </w:style>
  <w:style w:type="paragraph" w:styleId="NormalWeb">
    <w:name w:val="Normal (Web)"/>
    <w:basedOn w:val="Normal"/>
    <w:link w:val="NormalWebChar"/>
    <w:uiPriority w:val="99"/>
    <w:unhideWhenUsed/>
    <w:rsid w:val="00880141"/>
    <w:pPr>
      <w:spacing w:before="100" w:beforeAutospacing="1" w:after="100" w:afterAutospacing="1"/>
    </w:pPr>
    <w:rPr>
      <w:rFonts w:ascii="Times" w:hAnsi="Times" w:cs="Times New Roman"/>
      <w:sz w:val="20"/>
      <w:szCs w:val="20"/>
    </w:rPr>
  </w:style>
  <w:style w:type="character" w:customStyle="1" w:styleId="NormalWebChar">
    <w:name w:val="Normal (Web) Char"/>
    <w:basedOn w:val="DefaultParagraphFont"/>
    <w:link w:val="NormalWeb"/>
    <w:uiPriority w:val="99"/>
    <w:locked/>
    <w:rsid w:val="00880141"/>
    <w:rPr>
      <w:rFonts w:ascii="Times" w:hAnsi="Times" w:cs="Times New Roman"/>
      <w:sz w:val="20"/>
      <w:szCs w:val="20"/>
    </w:rPr>
  </w:style>
  <w:style w:type="paragraph" w:styleId="BalloonText">
    <w:name w:val="Balloon Text"/>
    <w:basedOn w:val="Normal"/>
    <w:link w:val="BalloonTextChar"/>
    <w:uiPriority w:val="99"/>
    <w:semiHidden/>
    <w:unhideWhenUsed/>
    <w:rsid w:val="00880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0141"/>
    <w:rPr>
      <w:rFonts w:ascii="Lucida Grande" w:hAnsi="Lucida Grande" w:cs="Lucida Grande"/>
      <w:sz w:val="18"/>
      <w:szCs w:val="18"/>
    </w:rPr>
  </w:style>
  <w:style w:type="character" w:styleId="Hyperlink">
    <w:name w:val="Hyperlink"/>
    <w:basedOn w:val="DefaultParagraphFont"/>
    <w:uiPriority w:val="99"/>
    <w:unhideWhenUsed/>
    <w:rsid w:val="006C6614"/>
    <w:rPr>
      <w:color w:val="0000FF"/>
      <w:u w:val="single"/>
    </w:rPr>
  </w:style>
  <w:style w:type="character" w:customStyle="1" w:styleId="normaltextrun">
    <w:name w:val="normaltextrun"/>
    <w:basedOn w:val="DefaultParagraphFont"/>
    <w:rsid w:val="00506C11"/>
  </w:style>
  <w:style w:type="character" w:customStyle="1" w:styleId="eop">
    <w:name w:val="eop"/>
    <w:basedOn w:val="DefaultParagraphFont"/>
    <w:rsid w:val="00506C11"/>
  </w:style>
  <w:style w:type="paragraph" w:styleId="CommentSubject">
    <w:name w:val="annotation subject"/>
    <w:basedOn w:val="CommentText"/>
    <w:next w:val="CommentText"/>
    <w:link w:val="CommentSubjectChar"/>
    <w:uiPriority w:val="99"/>
    <w:semiHidden/>
    <w:unhideWhenUsed/>
    <w:rsid w:val="00506C11"/>
    <w:rPr>
      <w:b/>
      <w:bCs/>
      <w:sz w:val="20"/>
      <w:szCs w:val="20"/>
    </w:rPr>
  </w:style>
  <w:style w:type="character" w:customStyle="1" w:styleId="CommentSubjectChar">
    <w:name w:val="Comment Subject Char"/>
    <w:basedOn w:val="CommentTextChar"/>
    <w:link w:val="CommentSubject"/>
    <w:uiPriority w:val="99"/>
    <w:semiHidden/>
    <w:rsid w:val="00506C11"/>
    <w:rPr>
      <w:b/>
      <w:bCs/>
      <w:sz w:val="20"/>
      <w:szCs w:val="20"/>
    </w:rPr>
  </w:style>
  <w:style w:type="character" w:customStyle="1" w:styleId="UnresolvedMention">
    <w:name w:val="Unresolved Mention"/>
    <w:basedOn w:val="DefaultParagraphFont"/>
    <w:uiPriority w:val="99"/>
    <w:semiHidden/>
    <w:unhideWhenUsed/>
    <w:rsid w:val="000E331A"/>
    <w:rPr>
      <w:color w:val="605E5C"/>
      <w:shd w:val="clear" w:color="auto" w:fill="E1DFDD"/>
    </w:rPr>
  </w:style>
  <w:style w:type="character" w:styleId="FollowedHyperlink">
    <w:name w:val="FollowedHyperlink"/>
    <w:basedOn w:val="DefaultParagraphFont"/>
    <w:uiPriority w:val="99"/>
    <w:semiHidden/>
    <w:unhideWhenUsed/>
    <w:rsid w:val="000E331A"/>
    <w:rPr>
      <w:color w:val="800080" w:themeColor="followedHyperlink"/>
      <w:u w:val="single"/>
    </w:rPr>
  </w:style>
  <w:style w:type="paragraph" w:styleId="ListParagraph">
    <w:name w:val="List Paragraph"/>
    <w:aliases w:val="Dot pt,F5 List Paragraph,List Paragraph Char Char Char,Indicator Text,Numbered Para 1,Bullet 1,Bullet Points,List Paragraph2,MAIN CONTENT,Normal numbered,List Paragraph1,Colorful List - Accent 11,No Spacing1,Issue Action POC,3,Heading A"/>
    <w:basedOn w:val="Normal"/>
    <w:link w:val="ListParagraphChar"/>
    <w:uiPriority w:val="34"/>
    <w:qFormat/>
    <w:rsid w:val="007E442B"/>
    <w:pPr>
      <w:ind w:left="720"/>
      <w:contextualSpacing/>
    </w:pPr>
    <w:rPr>
      <w:rFonts w:ascii="Times New Roman" w:eastAsia="Times New Roman" w:hAnsi="Times New Roman" w:cs="Times New Roman"/>
    </w:r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basedOn w:val="DefaultParagraphFont"/>
    <w:link w:val="ListParagraph"/>
    <w:uiPriority w:val="34"/>
    <w:locked/>
    <w:rsid w:val="007E442B"/>
    <w:rPr>
      <w:rFonts w:ascii="Times New Roman" w:eastAsia="Times New Roman" w:hAnsi="Times New Roman" w:cs="Times New Roman"/>
    </w:rPr>
  </w:style>
  <w:style w:type="paragraph" w:styleId="Header">
    <w:name w:val="header"/>
    <w:basedOn w:val="Normal"/>
    <w:link w:val="HeaderChar"/>
    <w:uiPriority w:val="99"/>
    <w:unhideWhenUsed/>
    <w:rsid w:val="007E442B"/>
    <w:pPr>
      <w:tabs>
        <w:tab w:val="center" w:pos="4680"/>
        <w:tab w:val="right" w:pos="9360"/>
      </w:tabs>
    </w:pPr>
  </w:style>
  <w:style w:type="character" w:customStyle="1" w:styleId="HeaderChar">
    <w:name w:val="Header Char"/>
    <w:basedOn w:val="DefaultParagraphFont"/>
    <w:link w:val="Header"/>
    <w:uiPriority w:val="99"/>
    <w:rsid w:val="007E442B"/>
  </w:style>
  <w:style w:type="paragraph" w:styleId="Footer">
    <w:name w:val="footer"/>
    <w:basedOn w:val="Normal"/>
    <w:link w:val="FooterChar"/>
    <w:uiPriority w:val="99"/>
    <w:unhideWhenUsed/>
    <w:rsid w:val="007E442B"/>
    <w:pPr>
      <w:tabs>
        <w:tab w:val="center" w:pos="4680"/>
        <w:tab w:val="right" w:pos="9360"/>
      </w:tabs>
    </w:pPr>
  </w:style>
  <w:style w:type="character" w:customStyle="1" w:styleId="FooterChar">
    <w:name w:val="Footer Char"/>
    <w:basedOn w:val="DefaultParagraphFont"/>
    <w:link w:val="Footer"/>
    <w:uiPriority w:val="99"/>
    <w:rsid w:val="007E4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520646">
      <w:bodyDiv w:val="1"/>
      <w:marLeft w:val="0"/>
      <w:marRight w:val="0"/>
      <w:marTop w:val="0"/>
      <w:marBottom w:val="0"/>
      <w:divBdr>
        <w:top w:val="none" w:sz="0" w:space="0" w:color="auto"/>
        <w:left w:val="none" w:sz="0" w:space="0" w:color="auto"/>
        <w:bottom w:val="none" w:sz="0" w:space="0" w:color="auto"/>
        <w:right w:val="none" w:sz="0" w:space="0" w:color="auto"/>
      </w:divBdr>
    </w:div>
    <w:div w:id="565066556">
      <w:bodyDiv w:val="1"/>
      <w:marLeft w:val="0"/>
      <w:marRight w:val="0"/>
      <w:marTop w:val="0"/>
      <w:marBottom w:val="0"/>
      <w:divBdr>
        <w:top w:val="none" w:sz="0" w:space="0" w:color="auto"/>
        <w:left w:val="none" w:sz="0" w:space="0" w:color="auto"/>
        <w:bottom w:val="none" w:sz="0" w:space="0" w:color="auto"/>
        <w:right w:val="none" w:sz="0" w:space="0" w:color="auto"/>
      </w:divBdr>
    </w:div>
    <w:div w:id="1273633593">
      <w:bodyDiv w:val="1"/>
      <w:marLeft w:val="0"/>
      <w:marRight w:val="0"/>
      <w:marTop w:val="0"/>
      <w:marBottom w:val="0"/>
      <w:divBdr>
        <w:top w:val="none" w:sz="0" w:space="0" w:color="auto"/>
        <w:left w:val="none" w:sz="0" w:space="0" w:color="auto"/>
        <w:bottom w:val="none" w:sz="0" w:space="0" w:color="auto"/>
        <w:right w:val="none" w:sz="0" w:space="0" w:color="auto"/>
      </w:divBdr>
    </w:div>
    <w:div w:id="1289966633">
      <w:bodyDiv w:val="1"/>
      <w:marLeft w:val="0"/>
      <w:marRight w:val="0"/>
      <w:marTop w:val="0"/>
      <w:marBottom w:val="0"/>
      <w:divBdr>
        <w:top w:val="none" w:sz="0" w:space="0" w:color="auto"/>
        <w:left w:val="none" w:sz="0" w:space="0" w:color="auto"/>
        <w:bottom w:val="none" w:sz="0" w:space="0" w:color="auto"/>
        <w:right w:val="none" w:sz="0" w:space="0" w:color="auto"/>
      </w:divBdr>
    </w:div>
    <w:div w:id="1413552479">
      <w:bodyDiv w:val="1"/>
      <w:marLeft w:val="0"/>
      <w:marRight w:val="0"/>
      <w:marTop w:val="0"/>
      <w:marBottom w:val="0"/>
      <w:divBdr>
        <w:top w:val="none" w:sz="0" w:space="0" w:color="auto"/>
        <w:left w:val="none" w:sz="0" w:space="0" w:color="auto"/>
        <w:bottom w:val="none" w:sz="0" w:space="0" w:color="auto"/>
        <w:right w:val="none" w:sz="0" w:space="0" w:color="auto"/>
      </w:divBdr>
    </w:div>
    <w:div w:id="1454906585">
      <w:bodyDiv w:val="1"/>
      <w:marLeft w:val="0"/>
      <w:marRight w:val="0"/>
      <w:marTop w:val="0"/>
      <w:marBottom w:val="0"/>
      <w:divBdr>
        <w:top w:val="none" w:sz="0" w:space="0" w:color="auto"/>
        <w:left w:val="none" w:sz="0" w:space="0" w:color="auto"/>
        <w:bottom w:val="none" w:sz="0" w:space="0" w:color="auto"/>
        <w:right w:val="none" w:sz="0" w:space="0" w:color="auto"/>
      </w:divBdr>
    </w:div>
    <w:div w:id="1561945066">
      <w:bodyDiv w:val="1"/>
      <w:marLeft w:val="0"/>
      <w:marRight w:val="0"/>
      <w:marTop w:val="0"/>
      <w:marBottom w:val="0"/>
      <w:divBdr>
        <w:top w:val="none" w:sz="0" w:space="0" w:color="auto"/>
        <w:left w:val="none" w:sz="0" w:space="0" w:color="auto"/>
        <w:bottom w:val="none" w:sz="0" w:space="0" w:color="auto"/>
        <w:right w:val="none" w:sz="0" w:space="0" w:color="auto"/>
      </w:divBdr>
    </w:div>
    <w:div w:id="1641688164">
      <w:bodyDiv w:val="1"/>
      <w:marLeft w:val="0"/>
      <w:marRight w:val="0"/>
      <w:marTop w:val="0"/>
      <w:marBottom w:val="0"/>
      <w:divBdr>
        <w:top w:val="none" w:sz="0" w:space="0" w:color="auto"/>
        <w:left w:val="none" w:sz="0" w:space="0" w:color="auto"/>
        <w:bottom w:val="none" w:sz="0" w:space="0" w:color="auto"/>
        <w:right w:val="none" w:sz="0" w:space="0" w:color="auto"/>
      </w:divBdr>
    </w:div>
    <w:div w:id="17737466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yperlink" Target="https://www.justice.gov/archives/dag/report-and-recommendations-concerning-use-restrictive-housing"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983D04-756D-495C-8891-F35B03E0BE4F}"/>
</file>

<file path=customXml/itemProps2.xml><?xml version="1.0" encoding="utf-8"?>
<ds:datastoreItem xmlns:ds="http://schemas.openxmlformats.org/officeDocument/2006/customXml" ds:itemID="{05680FC6-6F8B-421A-B513-23344734AD59}"/>
</file>

<file path=customXml/itemProps3.xml><?xml version="1.0" encoding="utf-8"?>
<ds:datastoreItem xmlns:ds="http://schemas.openxmlformats.org/officeDocument/2006/customXml" ds:itemID="{2B61B5C5-A17C-40EE-B8C4-2900D4A85F44}"/>
</file>

<file path=docProps/app.xml><?xml version="1.0" encoding="utf-8"?>
<Properties xmlns="http://schemas.openxmlformats.org/officeDocument/2006/extended-properties" xmlns:vt="http://schemas.openxmlformats.org/officeDocument/2006/docPropsVTypes">
  <Template>Normal</Template>
  <TotalTime>0</TotalTime>
  <Pages>7</Pages>
  <Words>3034</Words>
  <Characters>17295</Characters>
  <Application>Microsoft Office Word</Application>
  <DocSecurity>0</DocSecurity>
  <Lines>144</Lines>
  <Paragraphs>40</Paragraphs>
  <ScaleCrop>false</ScaleCrop>
  <Company/>
  <LinksUpToDate>false</LinksUpToDate>
  <CharactersWithSpaces>20289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2021-01-14T15:38:00Z</dcterms:created>
  <dcterms:modified xsi:type="dcterms:W3CDTF">2021-01-14T15:38:00Z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iteId">
    <vt:lpwstr>66cf5074-5afe-48d1-a691-a12b2121f44b</vt:lpwstr>
  </property>
  <property fmtid="{D5CDD505-2E9C-101B-9397-08002B2CF9AE}" pid="4" name="MSIP_Label_1665d9ee-429a-4d5f-97cc-cfb56e044a6e_Owner">
    <vt:lpwstr>NelsonAK@state.gov</vt:lpwstr>
  </property>
  <property fmtid="{D5CDD505-2E9C-101B-9397-08002B2CF9AE}" pid="5" name="MSIP_Label_1665d9ee-429a-4d5f-97cc-cfb56e044a6e_SetDate">
    <vt:lpwstr>2021-01-14T15:38:36.9086826Z</vt:lpwstr>
  </property>
  <property fmtid="{D5CDD505-2E9C-101B-9397-08002B2CF9AE}" pid="6" name="MSIP_Label_1665d9ee-429a-4d5f-97cc-cfb56e044a6e_Name">
    <vt:lpwstr>Unclassified</vt:lpwstr>
  </property>
  <property fmtid="{D5CDD505-2E9C-101B-9397-08002B2CF9AE}" pid="7" name="MSIP_Label_1665d9ee-429a-4d5f-97cc-cfb56e044a6e_Application">
    <vt:lpwstr>Microsoft Azure Information Protection</vt:lpwstr>
  </property>
  <property fmtid="{D5CDD505-2E9C-101B-9397-08002B2CF9AE}" pid="8" name="MSIP_Label_1665d9ee-429a-4d5f-97cc-cfb56e044a6e_ActionId">
    <vt:lpwstr>497058c9-d6cb-4351-8b3a-22b7758879a5</vt:lpwstr>
  </property>
  <property fmtid="{D5CDD505-2E9C-101B-9397-08002B2CF9AE}" pid="9" name="MSIP_Label_1665d9ee-429a-4d5f-97cc-cfb56e044a6e_Extended_MSFT_Method">
    <vt:lpwstr>Manual</vt:lpwstr>
  </property>
  <property fmtid="{D5CDD505-2E9C-101B-9397-08002B2CF9AE}" pid="10" name="Sensitivity">
    <vt:lpwstr>Unclassified</vt:lpwstr>
  </property>
  <property fmtid="{D5CDD505-2E9C-101B-9397-08002B2CF9AE}" pid="11" name="ContentTypeId">
    <vt:lpwstr>0x0101001095AF07E9D52746B60E2F270CE938D2</vt:lpwstr>
  </property>
</Properties>
</file>