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973BE9" w14:paraId="241970DE" w14:textId="77777777" w:rsidTr="00E56EE3">
        <w:trPr>
          <w:trHeight w:hRule="exact" w:val="851"/>
        </w:trPr>
        <w:tc>
          <w:tcPr>
            <w:tcW w:w="1280" w:type="dxa"/>
            <w:tcBorders>
              <w:bottom w:val="single" w:sz="4" w:space="0" w:color="auto"/>
            </w:tcBorders>
            <w:shd w:val="clear" w:color="auto" w:fill="auto"/>
          </w:tcPr>
          <w:p w14:paraId="40882E89" w14:textId="77777777" w:rsidR="002D5AAC" w:rsidRDefault="002D5AAC" w:rsidP="00E56EE3"/>
        </w:tc>
        <w:tc>
          <w:tcPr>
            <w:tcW w:w="2273" w:type="dxa"/>
            <w:tcBorders>
              <w:bottom w:val="single" w:sz="4" w:space="0" w:color="auto"/>
            </w:tcBorders>
            <w:shd w:val="clear" w:color="auto" w:fill="auto"/>
            <w:vAlign w:val="bottom"/>
          </w:tcPr>
          <w:p w14:paraId="436E2399" w14:textId="2F8FC3D1" w:rsidR="002D5AAC" w:rsidRPr="00D4778E" w:rsidRDefault="002D5AAC" w:rsidP="00E56EE3">
            <w:pPr>
              <w:spacing w:after="80" w:line="300" w:lineRule="exact"/>
              <w:rPr>
                <w:sz w:val="28"/>
              </w:rPr>
            </w:pPr>
          </w:p>
        </w:tc>
        <w:tc>
          <w:tcPr>
            <w:tcW w:w="6086" w:type="dxa"/>
            <w:gridSpan w:val="2"/>
            <w:tcBorders>
              <w:bottom w:val="single" w:sz="4" w:space="0" w:color="auto"/>
            </w:tcBorders>
            <w:shd w:val="clear" w:color="auto" w:fill="auto"/>
            <w:vAlign w:val="bottom"/>
          </w:tcPr>
          <w:p w14:paraId="735878A6" w14:textId="77777777" w:rsidR="002D5AAC" w:rsidRDefault="009770A9" w:rsidP="00E56EE3">
            <w:pPr>
              <w:jc w:val="right"/>
            </w:pPr>
            <w:r w:rsidRPr="00660281">
              <w:rPr>
                <w:sz w:val="40"/>
              </w:rPr>
              <w:t>CRPD</w:t>
            </w:r>
            <w:r w:rsidR="00935A0B" w:rsidRPr="00F43810">
              <w:t>/C/HND/RQ/2-4</w:t>
            </w:r>
          </w:p>
        </w:tc>
      </w:tr>
      <w:tr w:rsidR="00973BE9" w14:paraId="62E8834C" w14:textId="77777777" w:rsidTr="00E56EE3">
        <w:trPr>
          <w:trHeight w:hRule="exact" w:val="2835"/>
        </w:trPr>
        <w:tc>
          <w:tcPr>
            <w:tcW w:w="1280" w:type="dxa"/>
            <w:tcBorders>
              <w:top w:val="single" w:sz="4" w:space="0" w:color="auto"/>
              <w:bottom w:val="single" w:sz="12" w:space="0" w:color="auto"/>
            </w:tcBorders>
            <w:shd w:val="clear" w:color="auto" w:fill="auto"/>
          </w:tcPr>
          <w:p w14:paraId="7F0BB229" w14:textId="3957FDE5" w:rsidR="002D5AAC" w:rsidRDefault="002D5AAC" w:rsidP="00E56EE3">
            <w:pPr>
              <w:spacing w:before="120"/>
              <w:jc w:val="center"/>
            </w:pPr>
          </w:p>
        </w:tc>
        <w:tc>
          <w:tcPr>
            <w:tcW w:w="5540" w:type="dxa"/>
            <w:gridSpan w:val="2"/>
            <w:tcBorders>
              <w:top w:val="single" w:sz="4" w:space="0" w:color="auto"/>
              <w:bottom w:val="single" w:sz="12" w:space="0" w:color="auto"/>
            </w:tcBorders>
            <w:shd w:val="clear" w:color="auto" w:fill="auto"/>
          </w:tcPr>
          <w:p w14:paraId="7EBED3F7" w14:textId="77777777" w:rsidR="002D5AAC" w:rsidRPr="00D4778E" w:rsidRDefault="009770A9" w:rsidP="00CC3501">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shd w:val="clear" w:color="auto" w:fill="auto"/>
          </w:tcPr>
          <w:p w14:paraId="79D69B58" w14:textId="77777777" w:rsidR="00935A0B" w:rsidRPr="00F43810" w:rsidRDefault="009770A9" w:rsidP="00935A0B">
            <w:pPr>
              <w:spacing w:before="240" w:line="240" w:lineRule="exact"/>
            </w:pPr>
            <w:proofErr w:type="spellStart"/>
            <w:r w:rsidRPr="00F43810">
              <w:t>Distr</w:t>
            </w:r>
            <w:proofErr w:type="spellEnd"/>
            <w:r w:rsidRPr="00F43810">
              <w:t xml:space="preserve">. </w:t>
            </w:r>
            <w:r w:rsidR="006551F6" w:rsidRPr="00F43810">
              <w:t>general</w:t>
            </w:r>
          </w:p>
          <w:p w14:paraId="39127F79" w14:textId="77777777" w:rsidR="00935A0B" w:rsidRPr="00F43810" w:rsidRDefault="009770A9" w:rsidP="00935A0B">
            <w:r w:rsidRPr="00F43810">
              <w:t>20 de noviembre de 2023</w:t>
            </w:r>
          </w:p>
          <w:p w14:paraId="15B10C37" w14:textId="77777777" w:rsidR="00935A0B" w:rsidRPr="00F43810" w:rsidRDefault="00935A0B" w:rsidP="00935A0B"/>
          <w:p w14:paraId="442E69DB" w14:textId="77777777" w:rsidR="00935A0B" w:rsidRPr="00F43810" w:rsidRDefault="009770A9" w:rsidP="00935A0B">
            <w:r w:rsidRPr="00F43810">
              <w:t>Original: español</w:t>
            </w:r>
          </w:p>
          <w:p w14:paraId="439FC229" w14:textId="77777777" w:rsidR="002D5AAC" w:rsidRDefault="00935A0B" w:rsidP="00935A0B">
            <w:pPr>
              <w:spacing w:line="240" w:lineRule="exact"/>
            </w:pPr>
            <w:r w:rsidRPr="00F43810">
              <w:t xml:space="preserve">Árabe, español, francés </w:t>
            </w:r>
            <w:proofErr w:type="spellStart"/>
            <w:r w:rsidRPr="00F43810">
              <w:t>y</w:t>
            </w:r>
            <w:proofErr w:type="spellEnd"/>
            <w:r w:rsidRPr="00F43810">
              <w:t xml:space="preserve"> inglés únicamente</w:t>
            </w:r>
          </w:p>
        </w:tc>
      </w:tr>
    </w:tbl>
    <w:p w14:paraId="0D01E3BD" w14:textId="77777777" w:rsidR="001A4396" w:rsidRDefault="009770A9" w:rsidP="001A4396">
      <w:pPr>
        <w:spacing w:before="120"/>
        <w:rPr>
          <w:b/>
          <w:sz w:val="24"/>
          <w:szCs w:val="24"/>
        </w:rPr>
      </w:pPr>
      <w:r w:rsidRPr="00D65EF3">
        <w:rPr>
          <w:b/>
          <w:sz w:val="24"/>
          <w:szCs w:val="24"/>
        </w:rPr>
        <w:t>Comité sobre los Derechos de las Personas con Discapacidad</w:t>
      </w:r>
    </w:p>
    <w:p w14:paraId="5358A4DC" w14:textId="7E9CDF79" w:rsidR="003B4D5D" w:rsidRPr="0057653A" w:rsidRDefault="009770A9" w:rsidP="00EF145F">
      <w:pPr>
        <w:rPr>
          <w:rFonts w:eastAsia="Times New Roman"/>
          <w:b/>
          <w:bCs/>
        </w:rPr>
      </w:pPr>
      <w:r w:rsidRPr="002C3864">
        <w:rPr>
          <w:b/>
        </w:rPr>
        <w:t>[</w:t>
      </w:r>
    </w:p>
    <w:p w14:paraId="0AB96863" w14:textId="782B4B84" w:rsidR="003B4D5D" w:rsidRPr="00FA7E8E" w:rsidRDefault="009770A9" w:rsidP="0057653A">
      <w:pPr>
        <w:pStyle w:val="HMG"/>
      </w:pPr>
      <w:r w:rsidRPr="00FA7E8E">
        <w:rPr>
          <w:color w:val="000000"/>
        </w:rPr>
        <w:tab/>
      </w:r>
      <w:r w:rsidRPr="00FA7E8E">
        <w:rPr>
          <w:color w:val="000000"/>
        </w:rPr>
        <w:tab/>
      </w:r>
      <w:bookmarkStart w:id="0" w:name="_Toc151375558"/>
      <w:r w:rsidR="008346E4" w:rsidRPr="002D7768">
        <w:rPr>
          <w:lang w:val="es-ES_tradnl"/>
        </w:rPr>
        <w:t xml:space="preserve">Respuestas </w:t>
      </w:r>
      <w:r w:rsidR="008346E4">
        <w:rPr>
          <w:lang w:val="es-ES_tradnl"/>
        </w:rPr>
        <w:t xml:space="preserve">de Honduras </w:t>
      </w:r>
      <w:r w:rsidR="008346E4" w:rsidRPr="002D7768">
        <w:rPr>
          <w:lang w:val="es-ES_tradnl"/>
        </w:rPr>
        <w:t xml:space="preserve">a la lista de cuestiones </w:t>
      </w:r>
      <w:r w:rsidRPr="002D7768">
        <w:rPr>
          <w:lang w:val="es-ES_tradnl"/>
        </w:rPr>
        <w:t>relativa</w:t>
      </w:r>
      <w:r w:rsidRPr="00FA7E8E">
        <w:t xml:space="preserve"> </w:t>
      </w:r>
      <w:r w:rsidR="008346E4" w:rsidRPr="009770A9">
        <w:rPr>
          <w:color w:val="000000" w:themeColor="text1"/>
        </w:rPr>
        <w:t xml:space="preserve">a sus informes </w:t>
      </w:r>
      <w:r w:rsidR="008346E4">
        <w:t>periódicos segundo a cuarto combinados</w:t>
      </w:r>
      <w:r>
        <w:rPr>
          <w:rStyle w:val="FootnoteReference"/>
          <w:b w:val="0"/>
          <w:color w:val="000000" w:themeColor="text1"/>
          <w:sz w:val="20"/>
          <w:vertAlign w:val="baseline"/>
        </w:rPr>
        <w:footnoteReference w:customMarkFollows="1" w:id="1"/>
        <w:t>*</w:t>
      </w:r>
      <w:bookmarkEnd w:id="0"/>
    </w:p>
    <w:p w14:paraId="05E656FD" w14:textId="64AAAEE1" w:rsidR="003B4D5D" w:rsidRPr="009770A9" w:rsidRDefault="009770A9" w:rsidP="003B4D5D">
      <w:pPr>
        <w:pStyle w:val="SingleTxtG"/>
        <w:jc w:val="right"/>
        <w:rPr>
          <w:color w:val="000000" w:themeColor="text1"/>
        </w:rPr>
      </w:pPr>
      <w:r w:rsidRPr="009770A9">
        <w:rPr>
          <w:color w:val="000000" w:themeColor="text1"/>
        </w:rPr>
        <w:t>[</w:t>
      </w:r>
      <w:r w:rsidRPr="009770A9">
        <w:rPr>
          <w:color w:val="000000" w:themeColor="text1"/>
          <w:lang w:val="es-ES_tradnl"/>
        </w:rPr>
        <w:t>Fecha de recepción:</w:t>
      </w:r>
      <w:r w:rsidRPr="009770A9">
        <w:rPr>
          <w:color w:val="000000" w:themeColor="text1"/>
        </w:rPr>
        <w:t xml:space="preserve"> 20</w:t>
      </w:r>
      <w:r w:rsidRPr="009770A9">
        <w:rPr>
          <w:color w:val="000000" w:themeColor="text1"/>
          <w:lang w:val="es-ES_tradnl"/>
        </w:rPr>
        <w:t xml:space="preserve"> de noviembre de 2023</w:t>
      </w:r>
      <w:r w:rsidRPr="009770A9">
        <w:rPr>
          <w:color w:val="000000" w:themeColor="text1"/>
        </w:rPr>
        <w:t>]</w:t>
      </w:r>
    </w:p>
    <w:p w14:paraId="5A748781" w14:textId="11724CCD" w:rsidR="009770A9" w:rsidRDefault="009770A9">
      <w:pPr>
        <w:spacing w:line="240" w:lineRule="auto"/>
      </w:pPr>
      <w:r>
        <w:br w:type="page"/>
      </w:r>
    </w:p>
    <w:p w14:paraId="5FA7F2ED" w14:textId="72341EB9" w:rsidR="00BD0011" w:rsidRPr="00BD0011" w:rsidRDefault="008115CB" w:rsidP="008115CB">
      <w:pPr>
        <w:pStyle w:val="H1G"/>
        <w:rPr>
          <w:lang w:eastAsia="es-HN"/>
        </w:rPr>
      </w:pPr>
      <w:bookmarkStart w:id="1" w:name="_Toc148970467"/>
      <w:r>
        <w:rPr>
          <w:lang w:eastAsia="es-HN"/>
        </w:rPr>
        <w:lastRenderedPageBreak/>
        <w:tab/>
      </w:r>
      <w:r>
        <w:rPr>
          <w:lang w:eastAsia="es-HN"/>
        </w:rPr>
        <w:tab/>
      </w:r>
      <w:r w:rsidR="00BD0011" w:rsidRPr="00BD0011">
        <w:rPr>
          <w:lang w:eastAsia="es-HN"/>
        </w:rPr>
        <w:t>Introducción</w:t>
      </w:r>
      <w:bookmarkEnd w:id="1"/>
    </w:p>
    <w:p w14:paraId="491F61F0" w14:textId="77777777" w:rsidR="00BD0011" w:rsidRPr="00BD0011" w:rsidRDefault="00BD0011" w:rsidP="008115CB">
      <w:pPr>
        <w:pStyle w:val="SingleTxtG"/>
        <w:numPr>
          <w:ilvl w:val="0"/>
          <w:numId w:val="40"/>
        </w:numPr>
        <w:ind w:left="1134" w:firstLine="0"/>
        <w:rPr>
          <w:lang w:eastAsia="es-HN"/>
        </w:rPr>
      </w:pPr>
      <w:r w:rsidRPr="00BD0011">
        <w:rPr>
          <w:lang w:eastAsia="es-HN"/>
        </w:rPr>
        <w:t>El Estado de Honduras presentó su segundo, tercero y cuarto Informe Periódico Combinado ante el Comité sobre los Derechos de las Personas con Discapacidad</w:t>
      </w:r>
      <w:r w:rsidRPr="00BD0011">
        <w:rPr>
          <w:vertAlign w:val="superscript"/>
          <w:lang w:eastAsia="es-HN"/>
        </w:rPr>
        <w:footnoteReference w:id="2"/>
      </w:r>
      <w:r w:rsidRPr="00BD0011">
        <w:rPr>
          <w:lang w:eastAsia="es-HN"/>
        </w:rPr>
        <w:t xml:space="preserve"> (CRPD) el 12 de julio de 2022, conforme con el artículo 34 de la Convención sobre los Derechos de las Personas con Discapacidad (la Convención).</w:t>
      </w:r>
    </w:p>
    <w:p w14:paraId="53FD06FB" w14:textId="77777777" w:rsidR="00BD0011" w:rsidRPr="00BD0011" w:rsidRDefault="00BD0011" w:rsidP="008115CB">
      <w:pPr>
        <w:pStyle w:val="SingleTxtG"/>
        <w:numPr>
          <w:ilvl w:val="0"/>
          <w:numId w:val="40"/>
        </w:numPr>
        <w:ind w:left="1134" w:firstLine="0"/>
        <w:rPr>
          <w:lang w:eastAsia="es-HN"/>
        </w:rPr>
      </w:pPr>
      <w:r w:rsidRPr="00BD0011">
        <w:rPr>
          <w:lang w:eastAsia="es-HN"/>
        </w:rPr>
        <w:t>El 17 de abril de 2023, el CRPD remitió al Estado de Honduras una lista de cuestiones relativa con los informes presentados</w:t>
      </w:r>
      <w:r w:rsidRPr="00BD0011">
        <w:rPr>
          <w:vertAlign w:val="superscript"/>
          <w:lang w:eastAsia="es-HN"/>
        </w:rPr>
        <w:footnoteReference w:id="3"/>
      </w:r>
      <w:r w:rsidRPr="00BD0011">
        <w:rPr>
          <w:lang w:eastAsia="es-HN"/>
        </w:rPr>
        <w:t xml:space="preserve">; en respuesta, se elaboró el presente informe que detalla las acciones realizadas por el Gobierno Solidario de la presidenta Xiomara Castro, de febrero de 2022 a septiembre de 2023. </w:t>
      </w:r>
    </w:p>
    <w:p w14:paraId="2D01C05F" w14:textId="77777777" w:rsidR="00BD0011" w:rsidRPr="00BD0011" w:rsidRDefault="00BD0011" w:rsidP="008115CB">
      <w:pPr>
        <w:pStyle w:val="SingleTxtG"/>
        <w:numPr>
          <w:ilvl w:val="0"/>
          <w:numId w:val="40"/>
        </w:numPr>
        <w:ind w:left="1134" w:firstLine="0"/>
        <w:rPr>
          <w:lang w:eastAsia="es-HN"/>
        </w:rPr>
      </w:pPr>
      <w:r w:rsidRPr="00BD0011">
        <w:rPr>
          <w:lang w:eastAsia="es-HN"/>
        </w:rPr>
        <w:t>La preparación del informe estuvo a cargo de la Secretaría de Estado en el Despacho de Derechos Humanos (SEDH), con el apoyo de la Secretaría de Estado en el Despacho de Desarrollo Social (SEDESOL). Para ello, se coordinó la instalación de la Mesa del Sistema de Monitoreo de Recomendaciones en Honduras (SIMOREH), conformada por enlaces institucionales de los tres poderes del Estado, instituciones descentralizadas y desconcentradas.</w:t>
      </w:r>
    </w:p>
    <w:p w14:paraId="68BC94B5" w14:textId="3A47CEA0" w:rsidR="0077667E" w:rsidRPr="0077667E" w:rsidRDefault="0077667E" w:rsidP="0077667E">
      <w:pPr>
        <w:pStyle w:val="H1G"/>
      </w:pPr>
      <w:bookmarkStart w:id="2" w:name="_xn5zwjt750x8" w:colFirst="0" w:colLast="0"/>
      <w:bookmarkStart w:id="3" w:name="_1fr1ukyqo5vf" w:colFirst="0" w:colLast="0"/>
      <w:bookmarkEnd w:id="2"/>
      <w:bookmarkEnd w:id="3"/>
      <w:r w:rsidRPr="0077667E">
        <w:tab/>
      </w:r>
      <w:r w:rsidR="00EB3380">
        <w:t>A</w:t>
      </w:r>
      <w:r w:rsidRPr="0077667E">
        <w:t>.</w:t>
      </w:r>
      <w:r w:rsidRPr="0077667E">
        <w:tab/>
        <w:t>Propósito y obligaciones generales (arts. 1 a 4)</w:t>
      </w:r>
    </w:p>
    <w:p w14:paraId="007F5568" w14:textId="3FB9459A" w:rsidR="00EB3380" w:rsidRPr="00A3384B" w:rsidRDefault="00EB3380" w:rsidP="00EB3380">
      <w:pPr>
        <w:pStyle w:val="H23G"/>
        <w:rPr>
          <w:lang w:val="es-MX"/>
        </w:rPr>
      </w:pPr>
      <w:bookmarkStart w:id="4" w:name="_Toc147932953"/>
      <w:r>
        <w:tab/>
      </w:r>
      <w:r>
        <w:tab/>
      </w:r>
      <w:bookmarkEnd w:id="4"/>
      <w:r>
        <w:t xml:space="preserve">Respuesta al párrafo 1 a) de la lista de cuestiones </w:t>
      </w:r>
      <w:r w:rsidRPr="00A3384B">
        <w:rPr>
          <w:lang w:val="es-ES_tradnl"/>
        </w:rPr>
        <w:t>(CRPD/C/</w:t>
      </w:r>
      <w:r>
        <w:rPr>
          <w:lang w:val="es-ES_tradnl"/>
        </w:rPr>
        <w:t>HND</w:t>
      </w:r>
      <w:r w:rsidRPr="00A3384B">
        <w:rPr>
          <w:lang w:val="es-ES_tradnl"/>
        </w:rPr>
        <w:t>/Q/</w:t>
      </w:r>
      <w:r>
        <w:rPr>
          <w:lang w:val="es-ES_tradnl"/>
        </w:rPr>
        <w:t>2-4</w:t>
      </w:r>
      <w:r w:rsidRPr="00A3384B">
        <w:rPr>
          <w:lang w:val="es-ES_tradnl"/>
        </w:rPr>
        <w:t>)</w:t>
      </w:r>
    </w:p>
    <w:p w14:paraId="7FE27EB9" w14:textId="77777777" w:rsidR="00BD0011" w:rsidRPr="00BD0011" w:rsidRDefault="00BD0011" w:rsidP="00EB3380">
      <w:pPr>
        <w:pStyle w:val="SingleTxtG"/>
        <w:numPr>
          <w:ilvl w:val="0"/>
          <w:numId w:val="40"/>
        </w:numPr>
        <w:ind w:left="1134" w:firstLine="0"/>
        <w:rPr>
          <w:lang w:eastAsia="es-HN"/>
        </w:rPr>
      </w:pPr>
      <w:r w:rsidRPr="00BD0011">
        <w:rPr>
          <w:b/>
          <w:bCs/>
          <w:lang w:eastAsia="es-HN"/>
        </w:rPr>
        <w:t>Cuestión 1, inciso a)</w:t>
      </w:r>
      <w:r w:rsidRPr="00BD0011">
        <w:rPr>
          <w:lang w:eastAsia="es-HN"/>
        </w:rPr>
        <w:t xml:space="preserve">, sobre las medidas legislativas para garantizar los derechos de las </w:t>
      </w:r>
      <w:proofErr w:type="spellStart"/>
      <w:r w:rsidRPr="00BD0011">
        <w:rPr>
          <w:lang w:eastAsia="es-HN"/>
        </w:rPr>
        <w:t>PcD</w:t>
      </w:r>
      <w:proofErr w:type="spellEnd"/>
      <w:r w:rsidRPr="00BD0011">
        <w:rPr>
          <w:lang w:eastAsia="es-HN"/>
        </w:rPr>
        <w:t xml:space="preserve">, en 2022 se presentaron ante el Congreso Nacional (CN) dos iniciativas de ley; el Proyecto de Ley de Desarrollo Inclusivo para las </w:t>
      </w:r>
      <w:proofErr w:type="spellStart"/>
      <w:r w:rsidRPr="00BD0011">
        <w:rPr>
          <w:lang w:eastAsia="es-HN"/>
        </w:rPr>
        <w:t>PcD</w:t>
      </w:r>
      <w:proofErr w:type="spellEnd"/>
      <w:r w:rsidRPr="00BD0011">
        <w:rPr>
          <w:lang w:eastAsia="es-HN"/>
        </w:rPr>
        <w:t xml:space="preserve"> y el Proyecto de Ley de Desarrollo Inclusivo Sostenible para las </w:t>
      </w:r>
      <w:proofErr w:type="spellStart"/>
      <w:r w:rsidRPr="00BD0011">
        <w:rPr>
          <w:lang w:eastAsia="es-HN"/>
        </w:rPr>
        <w:t>PcD</w:t>
      </w:r>
      <w:proofErr w:type="spellEnd"/>
      <w:r w:rsidRPr="00BD0011">
        <w:rPr>
          <w:lang w:eastAsia="es-HN"/>
        </w:rPr>
        <w:t>. Los proyectos fueron turnados, uno a la Comisión Ordinaria de Justicia y Derechos Humanos, y otro a la Comisión Ordinaria de Género.</w:t>
      </w:r>
    </w:p>
    <w:p w14:paraId="2F248448" w14:textId="77777777" w:rsidR="00BD0011" w:rsidRPr="00BD0011" w:rsidRDefault="00BD0011" w:rsidP="00EB3380">
      <w:pPr>
        <w:pStyle w:val="SingleTxtG"/>
        <w:numPr>
          <w:ilvl w:val="0"/>
          <w:numId w:val="40"/>
        </w:numPr>
        <w:ind w:left="1134" w:firstLine="0"/>
        <w:rPr>
          <w:lang w:eastAsia="es-HN"/>
        </w:rPr>
      </w:pPr>
      <w:r w:rsidRPr="00BD0011">
        <w:rPr>
          <w:lang w:eastAsia="es-HN"/>
        </w:rPr>
        <w:t xml:space="preserve">Ambos proyectos contemplan disposiciones sobre derechos civiles, políticos económicos, sociales y culturales; aspectos técnicos y reglamentarios, descuentos, incentivos fiscales, creación del Consejo Consultivo, sanciones, recursos; y la creación de la institución rectora de la materia, en una reunión sostenida entre las comisiones legislativas y SEDESOL, en donde se compartieron las iniciativas de ley. </w:t>
      </w:r>
    </w:p>
    <w:p w14:paraId="26F38869" w14:textId="77777777" w:rsidR="00BD0011" w:rsidRPr="00BD0011" w:rsidRDefault="00BD0011" w:rsidP="00EB3380">
      <w:pPr>
        <w:pStyle w:val="SingleTxtG"/>
        <w:numPr>
          <w:ilvl w:val="0"/>
          <w:numId w:val="40"/>
        </w:numPr>
        <w:ind w:left="1134" w:firstLine="0"/>
        <w:rPr>
          <w:lang w:eastAsia="es-HN"/>
        </w:rPr>
      </w:pPr>
      <w:r w:rsidRPr="00BD0011">
        <w:rPr>
          <w:lang w:eastAsia="es-HN"/>
        </w:rPr>
        <w:t>En julio de 2022, SEDESOL instaló la Mesa Técnica de Reforma Integral a la Ley 160-2005 para la reforma de dicha ley, armonizada con la Convención.</w:t>
      </w:r>
    </w:p>
    <w:p w14:paraId="67C4FE35" w14:textId="77777777" w:rsidR="00BD0011" w:rsidRPr="00BD0011" w:rsidRDefault="00BD0011" w:rsidP="00EB3380">
      <w:pPr>
        <w:pStyle w:val="SingleTxtG"/>
        <w:numPr>
          <w:ilvl w:val="0"/>
          <w:numId w:val="40"/>
        </w:numPr>
        <w:ind w:left="1134" w:firstLine="0"/>
        <w:rPr>
          <w:lang w:eastAsia="es-HN"/>
        </w:rPr>
      </w:pPr>
      <w:r w:rsidRPr="00BD0011">
        <w:rPr>
          <w:lang w:eastAsia="es-HN"/>
        </w:rPr>
        <w:t>La Mesa Técnica está integrada por funcionarios/as de SEDESOL, la Secretaría de Asuntos de la Mujer (SEMUJER), SEDH y el Comisionado Nacional de Derechos Humanos (CONADEH); y por representantes de la Federación Nacional de Organismos de Personas con Discapacidad de Honduras (FENOPDIH), la</w:t>
      </w:r>
      <w:r w:rsidRPr="00BD0011">
        <w:rPr>
          <w:rFonts w:ascii="Calibri" w:eastAsia="Calibri" w:hAnsi="Calibri" w:cs="Calibri"/>
          <w:sz w:val="22"/>
          <w:szCs w:val="22"/>
          <w:lang w:eastAsia="es-HN"/>
        </w:rPr>
        <w:t xml:space="preserve"> </w:t>
      </w:r>
      <w:r w:rsidRPr="00BD0011">
        <w:rPr>
          <w:lang w:eastAsia="es-HN"/>
        </w:rPr>
        <w:t>Federación Nacional de Madres, Padres y Familias de Personas con Discapacidad de Honduras (FENAPAPEDISH) y la Red Coordinadora de Instituciones y Asociaciones de Rehabilitación de Honduras (CIARH). Además, cuenta con el acompañamiento técnico de la OCNUDH y la Oficina de la Coordinadora Residente del Sistema de Naciones Unidas en Honduras.</w:t>
      </w:r>
    </w:p>
    <w:p w14:paraId="0B591DD6" w14:textId="77777777" w:rsidR="00BD0011" w:rsidRPr="00BD0011" w:rsidRDefault="00BD0011" w:rsidP="00EB3380">
      <w:pPr>
        <w:pStyle w:val="SingleTxtG"/>
        <w:numPr>
          <w:ilvl w:val="0"/>
          <w:numId w:val="40"/>
        </w:numPr>
        <w:ind w:left="1134" w:firstLine="0"/>
        <w:rPr>
          <w:lang w:eastAsia="es-HN"/>
        </w:rPr>
      </w:pPr>
      <w:r w:rsidRPr="00BD0011">
        <w:rPr>
          <w:lang w:eastAsia="es-HN"/>
        </w:rPr>
        <w:t>Para la reforma de la ley 160-2005, SEDESOL realizó 10 asambleas a nivel nacional</w:t>
      </w:r>
      <w:r w:rsidRPr="00BD0011">
        <w:rPr>
          <w:vertAlign w:val="superscript"/>
          <w:lang w:eastAsia="es-HN"/>
        </w:rPr>
        <w:footnoteReference w:id="4"/>
      </w:r>
      <w:r w:rsidRPr="00BD0011">
        <w:rPr>
          <w:lang w:eastAsia="es-HN"/>
        </w:rPr>
        <w:t>,  para consultar con actores estatales y organizaciones de sociedad civil (OSC).</w:t>
      </w:r>
    </w:p>
    <w:p w14:paraId="74DA4167" w14:textId="77777777" w:rsidR="00BD0011" w:rsidRPr="00BD0011" w:rsidRDefault="00BD0011" w:rsidP="00EB3380">
      <w:pPr>
        <w:pStyle w:val="SingleTxtG"/>
        <w:numPr>
          <w:ilvl w:val="0"/>
          <w:numId w:val="40"/>
        </w:numPr>
        <w:ind w:left="1134" w:firstLine="0"/>
        <w:rPr>
          <w:lang w:eastAsia="es-HN"/>
        </w:rPr>
      </w:pPr>
      <w:r w:rsidRPr="00BD0011">
        <w:rPr>
          <w:lang w:eastAsia="es-HN"/>
        </w:rPr>
        <w:t xml:space="preserve">Para ampliar la participación y legitimidad de las </w:t>
      </w:r>
      <w:proofErr w:type="spellStart"/>
      <w:r w:rsidRPr="00BD0011">
        <w:rPr>
          <w:lang w:eastAsia="es-HN"/>
        </w:rPr>
        <w:t>PcD</w:t>
      </w:r>
      <w:proofErr w:type="spellEnd"/>
      <w:r w:rsidRPr="00BD0011">
        <w:rPr>
          <w:lang w:eastAsia="es-HN"/>
        </w:rPr>
        <w:t xml:space="preserve"> organizadas e independientes, SEDESOL, mediante la Dirección General de Desarrollo para las Personas con Discapacidad (DIGEDEPDI), implementó una alternativa de consulta virtual para la recolección de insumos que permite descargar los documentos y realizar aportes al borrador de ley</w:t>
      </w:r>
      <w:r w:rsidRPr="00BD0011">
        <w:rPr>
          <w:vertAlign w:val="superscript"/>
          <w:lang w:eastAsia="es-HN"/>
        </w:rPr>
        <w:footnoteReference w:id="5"/>
      </w:r>
      <w:r w:rsidRPr="00BD0011">
        <w:rPr>
          <w:lang w:eastAsia="es-HN"/>
        </w:rPr>
        <w:t>.</w:t>
      </w:r>
    </w:p>
    <w:p w14:paraId="740C0221" w14:textId="77777777" w:rsidR="00BD0011" w:rsidRPr="00BD0011" w:rsidRDefault="00BD0011" w:rsidP="00EB3380">
      <w:pPr>
        <w:pStyle w:val="SingleTxtG"/>
        <w:numPr>
          <w:ilvl w:val="0"/>
          <w:numId w:val="40"/>
        </w:numPr>
        <w:ind w:left="1134" w:firstLine="0"/>
        <w:rPr>
          <w:lang w:eastAsia="es-HN"/>
        </w:rPr>
      </w:pPr>
      <w:r w:rsidRPr="00BD0011">
        <w:rPr>
          <w:lang w:eastAsia="es-HN"/>
        </w:rPr>
        <w:lastRenderedPageBreak/>
        <w:t>Previo a dictaminar los proyectos de ley presentados, el CN está esperando, a petición de SEDESOL, el proyecto de ley integral que elabora la Mesa Técnica.</w:t>
      </w:r>
    </w:p>
    <w:p w14:paraId="0BBA939E" w14:textId="77777777" w:rsidR="00BD0011" w:rsidRPr="00BD0011" w:rsidRDefault="00BD0011" w:rsidP="00EB3380">
      <w:pPr>
        <w:pStyle w:val="SingleTxtG"/>
        <w:numPr>
          <w:ilvl w:val="0"/>
          <w:numId w:val="40"/>
        </w:numPr>
        <w:ind w:left="1134" w:firstLine="0"/>
        <w:rPr>
          <w:lang w:eastAsia="es-HN"/>
        </w:rPr>
      </w:pPr>
      <w:r w:rsidRPr="00BD0011">
        <w:rPr>
          <w:lang w:eastAsia="es-HN"/>
        </w:rPr>
        <w:t xml:space="preserve">A solicitud de la Mesa, la Dirección de Control de Convencionalidad Jurídica de la SEDH realizó el análisis jurídico de control de convencionalidad al Proyecto de Ley de Derechos de las </w:t>
      </w:r>
      <w:proofErr w:type="spellStart"/>
      <w:r w:rsidRPr="00BD0011">
        <w:rPr>
          <w:lang w:eastAsia="es-HN"/>
        </w:rPr>
        <w:t>PcD</w:t>
      </w:r>
      <w:proofErr w:type="spellEnd"/>
      <w:r w:rsidRPr="00BD0011">
        <w:rPr>
          <w:lang w:eastAsia="es-HN"/>
        </w:rPr>
        <w:t xml:space="preserve"> y al Proyecto de Ley de Desarrollo Inclusivo y Sostenible para las </w:t>
      </w:r>
      <w:proofErr w:type="spellStart"/>
      <w:r w:rsidRPr="00BD0011">
        <w:rPr>
          <w:lang w:eastAsia="es-HN"/>
        </w:rPr>
        <w:t>PcD</w:t>
      </w:r>
      <w:proofErr w:type="spellEnd"/>
      <w:r w:rsidRPr="00BD0011">
        <w:rPr>
          <w:lang w:eastAsia="es-HN"/>
        </w:rPr>
        <w:t>.</w:t>
      </w:r>
    </w:p>
    <w:p w14:paraId="0FBDCFF8" w14:textId="77777777" w:rsidR="00BD0011" w:rsidRPr="00BD0011" w:rsidRDefault="00BD0011" w:rsidP="00EB3380">
      <w:pPr>
        <w:pStyle w:val="SingleTxtG"/>
        <w:numPr>
          <w:ilvl w:val="0"/>
          <w:numId w:val="40"/>
        </w:numPr>
        <w:ind w:left="1134" w:firstLine="0"/>
        <w:rPr>
          <w:lang w:eastAsia="es-HN"/>
        </w:rPr>
      </w:pPr>
      <w:r w:rsidRPr="00BD0011">
        <w:rPr>
          <w:b/>
          <w:bCs/>
          <w:lang w:eastAsia="es-HN"/>
        </w:rPr>
        <w:t>Inciso b)</w:t>
      </w:r>
      <w:r w:rsidRPr="00BD0011">
        <w:rPr>
          <w:lang w:eastAsia="es-HN"/>
        </w:rPr>
        <w:t xml:space="preserve">, sobre la derogación de la terminología peyorativa en la legislación, el 17 de marzo de 2022 se presentó el proyecto de reforma del artículo 1555 del Código Civil; en el que se establece que las </w:t>
      </w:r>
      <w:proofErr w:type="spellStart"/>
      <w:r w:rsidRPr="00BD0011">
        <w:rPr>
          <w:lang w:eastAsia="es-HN"/>
        </w:rPr>
        <w:t>PcD</w:t>
      </w:r>
      <w:proofErr w:type="spellEnd"/>
      <w:r w:rsidRPr="00BD0011">
        <w:rPr>
          <w:lang w:eastAsia="es-HN"/>
        </w:rPr>
        <w:t xml:space="preserve"> tienen capacidad jurídica en igualdad de condiciones con los demás en todos los aspectos de la vida. En tales casos, el Estado asegurará que las medidas relativas al ejercicio de la capacidad jurídica</w:t>
      </w:r>
      <w:r w:rsidRPr="00BD0011">
        <w:rPr>
          <w:rFonts w:ascii="Calibri" w:eastAsia="Calibri" w:hAnsi="Calibri" w:cs="Calibri"/>
          <w:sz w:val="22"/>
          <w:szCs w:val="22"/>
          <w:lang w:eastAsia="es-HN"/>
        </w:rPr>
        <w:t xml:space="preserve"> </w:t>
      </w:r>
      <w:r w:rsidRPr="00BD0011">
        <w:rPr>
          <w:lang w:eastAsia="es-HN"/>
        </w:rPr>
        <w:t xml:space="preserve">garanticen el reconocimiento de las </w:t>
      </w:r>
      <w:proofErr w:type="spellStart"/>
      <w:r w:rsidRPr="00BD0011">
        <w:rPr>
          <w:lang w:eastAsia="es-HN"/>
        </w:rPr>
        <w:t>PcD</w:t>
      </w:r>
      <w:proofErr w:type="spellEnd"/>
      <w:r w:rsidRPr="00BD0011">
        <w:rPr>
          <w:lang w:eastAsia="es-HN"/>
        </w:rPr>
        <w:t xml:space="preserve"> ante la ley, teniendo en cuenta el consentimiento de las </w:t>
      </w:r>
      <w:proofErr w:type="spellStart"/>
      <w:r w:rsidRPr="00BD0011">
        <w:rPr>
          <w:lang w:eastAsia="es-HN"/>
        </w:rPr>
        <w:t>PcD</w:t>
      </w:r>
      <w:proofErr w:type="spellEnd"/>
      <w:r w:rsidRPr="00BD0011">
        <w:rPr>
          <w:lang w:eastAsia="es-HN"/>
        </w:rPr>
        <w:t xml:space="preserve"> en la aplicación de las medidas de apoyo, el uso de tecnologías y ajustes razonables que se puedan necesitar en el ejercicio de su capacidad jurídica. También, que se proporcionen salvaguardas adecuadas y efectivas para impedir los abusos de conformidad con el derecho internacional. Actualmente, el proyecto se encuentra esperando opinión de la Corte Suprema de Justicia.</w:t>
      </w:r>
    </w:p>
    <w:p w14:paraId="7FE02013" w14:textId="77777777" w:rsidR="00BD0011" w:rsidRPr="00BD0011" w:rsidRDefault="00BD0011" w:rsidP="00EB3380">
      <w:pPr>
        <w:pStyle w:val="SingleTxtG"/>
        <w:numPr>
          <w:ilvl w:val="0"/>
          <w:numId w:val="40"/>
        </w:numPr>
        <w:ind w:left="1134" w:firstLine="0"/>
        <w:rPr>
          <w:lang w:eastAsia="es-HN"/>
        </w:rPr>
      </w:pPr>
      <w:r w:rsidRPr="00BD0011">
        <w:rPr>
          <w:b/>
          <w:bCs/>
          <w:lang w:eastAsia="es-HN"/>
        </w:rPr>
        <w:t>Inciso c)</w:t>
      </w:r>
      <w:r w:rsidRPr="00BD0011">
        <w:rPr>
          <w:lang w:eastAsia="es-HN"/>
        </w:rPr>
        <w:t>, sobre</w:t>
      </w:r>
      <w:r w:rsidRPr="00BD0011">
        <w:rPr>
          <w:color w:val="0070C0"/>
          <w:lang w:eastAsia="es-HN"/>
        </w:rPr>
        <w:t xml:space="preserve"> </w:t>
      </w:r>
      <w:r w:rsidRPr="00BD0011">
        <w:rPr>
          <w:lang w:eastAsia="es-HN"/>
        </w:rPr>
        <w:t>la actualización de la política de discapacidad, el 17 de agosto de 2023 SEDESOL inició el proceso de actualización de la política pública, y realizó la primera asamblea con representantes del sector.</w:t>
      </w:r>
    </w:p>
    <w:p w14:paraId="543B87F1" w14:textId="77777777" w:rsidR="00BD0011" w:rsidRPr="00BD0011" w:rsidRDefault="00BD0011" w:rsidP="00EB3380">
      <w:pPr>
        <w:pStyle w:val="SingleTxtG"/>
        <w:numPr>
          <w:ilvl w:val="0"/>
          <w:numId w:val="40"/>
        </w:numPr>
        <w:ind w:left="1134" w:firstLine="0"/>
        <w:rPr>
          <w:lang w:eastAsia="es-HN"/>
        </w:rPr>
      </w:pPr>
      <w:r w:rsidRPr="00BD0011">
        <w:rPr>
          <w:b/>
          <w:bCs/>
          <w:lang w:eastAsia="es-HN"/>
        </w:rPr>
        <w:t>Inciso d)</w:t>
      </w:r>
      <w:r w:rsidRPr="00BD0011">
        <w:rPr>
          <w:lang w:eastAsia="es-HN"/>
        </w:rPr>
        <w:t xml:space="preserve">, para la certificación de las </w:t>
      </w:r>
      <w:proofErr w:type="spellStart"/>
      <w:r w:rsidRPr="00BD0011">
        <w:rPr>
          <w:lang w:eastAsia="es-HN"/>
        </w:rPr>
        <w:t>PcD</w:t>
      </w:r>
      <w:proofErr w:type="spellEnd"/>
      <w:r w:rsidRPr="00BD0011">
        <w:rPr>
          <w:lang w:eastAsia="es-HN"/>
        </w:rPr>
        <w:t>,</w:t>
      </w:r>
      <w:r w:rsidRPr="00BD0011">
        <w:rPr>
          <w:i/>
          <w:iCs/>
          <w:lang w:eastAsia="es-HN"/>
        </w:rPr>
        <w:t xml:space="preserve"> </w:t>
      </w:r>
      <w:r w:rsidRPr="00BD0011">
        <w:rPr>
          <w:lang w:eastAsia="es-HN"/>
        </w:rPr>
        <w:t xml:space="preserve">la DIGEDEPDI inició la etapa de carnetización de </w:t>
      </w:r>
      <w:proofErr w:type="spellStart"/>
      <w:r w:rsidRPr="00BD0011">
        <w:rPr>
          <w:lang w:eastAsia="es-HN"/>
        </w:rPr>
        <w:t>PcD</w:t>
      </w:r>
      <w:proofErr w:type="spellEnd"/>
      <w:r w:rsidRPr="00BD0011">
        <w:rPr>
          <w:lang w:eastAsia="es-HN"/>
        </w:rPr>
        <w:t xml:space="preserve">, con el objetivo de recopilar los datos personales de las </w:t>
      </w:r>
      <w:proofErr w:type="spellStart"/>
      <w:r w:rsidRPr="00BD0011">
        <w:rPr>
          <w:lang w:eastAsia="es-HN"/>
        </w:rPr>
        <w:t>PcD</w:t>
      </w:r>
      <w:proofErr w:type="spellEnd"/>
      <w:r w:rsidRPr="00BD0011">
        <w:rPr>
          <w:lang w:eastAsia="es-HN"/>
        </w:rPr>
        <w:t xml:space="preserve"> e ingresarlos en una base de datos que les permitirá acceder a los programas sociales del Gobierno Solidario.</w:t>
      </w:r>
      <w:r w:rsidRPr="00BD0011">
        <w:rPr>
          <w:vertAlign w:val="superscript"/>
          <w:lang w:eastAsia="es-HN"/>
        </w:rPr>
        <w:footnoteReference w:id="6"/>
      </w:r>
    </w:p>
    <w:p w14:paraId="0ADAF8F4" w14:textId="77777777" w:rsidR="00BD0011" w:rsidRPr="00EB3380" w:rsidRDefault="00BD0011" w:rsidP="00EB3380">
      <w:pPr>
        <w:pStyle w:val="SingleTxtG"/>
        <w:numPr>
          <w:ilvl w:val="0"/>
          <w:numId w:val="40"/>
        </w:numPr>
        <w:ind w:left="1134" w:firstLine="0"/>
        <w:rPr>
          <w:color w:val="000000" w:themeColor="text1"/>
          <w:lang w:eastAsia="es-HN"/>
        </w:rPr>
      </w:pPr>
      <w:r w:rsidRPr="00BD0011">
        <w:rPr>
          <w:b/>
          <w:bCs/>
          <w:lang w:eastAsia="es-HN"/>
        </w:rPr>
        <w:t>Inciso e)</w:t>
      </w:r>
      <w:r w:rsidRPr="00BD0011">
        <w:rPr>
          <w:lang w:eastAsia="es-HN"/>
        </w:rPr>
        <w:t xml:space="preserve">, para la efectiva transversalización, coordinación intersectorial y evitar continuar con la fragmentación de la arquitectura institucional en políticas y programas dispersos, el Gobierno Solidario crea la SEDESOL en 2022, y retoma el cumplimiento de la Ley de Equidad y Desarrollo Integral para las Personas con Discapacidad y restituye a la DIGEDEPDI a nivel de dirección general y la hace responsable de realizar las transferencias </w:t>
      </w:r>
      <w:r w:rsidRPr="00EB3380">
        <w:rPr>
          <w:color w:val="000000" w:themeColor="text1"/>
          <w:lang w:eastAsia="es-HN"/>
        </w:rPr>
        <w:t xml:space="preserve">aprobadas en el presupuesto nacional de la República, a 53 organizaciones de </w:t>
      </w:r>
      <w:proofErr w:type="spellStart"/>
      <w:r w:rsidRPr="00EB3380">
        <w:rPr>
          <w:color w:val="000000" w:themeColor="text1"/>
          <w:lang w:eastAsia="es-HN"/>
        </w:rPr>
        <w:t>PcD</w:t>
      </w:r>
      <w:proofErr w:type="spellEnd"/>
      <w:r w:rsidRPr="00EB3380">
        <w:rPr>
          <w:color w:val="000000" w:themeColor="text1"/>
          <w:lang w:eastAsia="es-HN"/>
        </w:rPr>
        <w:t>.</w:t>
      </w:r>
    </w:p>
    <w:p w14:paraId="0D8D584C" w14:textId="77777777" w:rsidR="00BD0011" w:rsidRPr="00EB3380" w:rsidRDefault="00BD0011" w:rsidP="00EB3380">
      <w:pPr>
        <w:pStyle w:val="SingleTxtG"/>
        <w:numPr>
          <w:ilvl w:val="0"/>
          <w:numId w:val="40"/>
        </w:numPr>
        <w:ind w:left="1134" w:firstLine="0"/>
        <w:rPr>
          <w:color w:val="000000" w:themeColor="text1"/>
          <w:lang w:eastAsia="es-HN"/>
        </w:rPr>
      </w:pPr>
      <w:r w:rsidRPr="00EB3380">
        <w:rPr>
          <w:color w:val="000000" w:themeColor="text1"/>
          <w:lang w:eastAsia="es-HN"/>
        </w:rPr>
        <w:t xml:space="preserve">Para mejorar las condiciones de vida de las </w:t>
      </w:r>
      <w:proofErr w:type="spellStart"/>
      <w:r w:rsidRPr="00EB3380">
        <w:rPr>
          <w:color w:val="000000" w:themeColor="text1"/>
          <w:lang w:eastAsia="es-HN"/>
        </w:rPr>
        <w:t>PcD</w:t>
      </w:r>
      <w:proofErr w:type="spellEnd"/>
      <w:r w:rsidRPr="00EB3380">
        <w:rPr>
          <w:color w:val="000000" w:themeColor="text1"/>
          <w:lang w:eastAsia="es-HN"/>
        </w:rPr>
        <w:t xml:space="preserve"> y el acceso a recursos financieros, se creó el Fondo Solidario para el Sector Discapacidad en Honduras</w:t>
      </w:r>
      <w:r w:rsidRPr="00EB3380">
        <w:rPr>
          <w:color w:val="000000" w:themeColor="text1"/>
          <w:vertAlign w:val="superscript"/>
          <w:lang w:eastAsia="es-HN"/>
        </w:rPr>
        <w:footnoteReference w:id="7"/>
      </w:r>
      <w:r w:rsidRPr="00EB3380">
        <w:rPr>
          <w:color w:val="000000" w:themeColor="text1"/>
          <w:lang w:eastAsia="es-HN"/>
        </w:rPr>
        <w:t>, con fondos nacionales e internacionales destinados al financiamiento y asesoría técnico-administrativa de proyectos fundamentados en cinco líneas estratégicas y los Objetivos</w:t>
      </w:r>
      <w:r w:rsidRPr="00EB3380">
        <w:rPr>
          <w:rFonts w:ascii="Calibri" w:eastAsia="Calibri" w:hAnsi="Calibri" w:cs="Calibri"/>
          <w:color w:val="000000" w:themeColor="text1"/>
          <w:sz w:val="22"/>
          <w:szCs w:val="22"/>
          <w:lang w:eastAsia="es-HN"/>
        </w:rPr>
        <w:t xml:space="preserve"> </w:t>
      </w:r>
      <w:r w:rsidRPr="00EB3380">
        <w:rPr>
          <w:color w:val="000000" w:themeColor="text1"/>
          <w:lang w:eastAsia="es-HN"/>
        </w:rPr>
        <w:t>de Desarrollo Sostenible (ODS).</w:t>
      </w:r>
    </w:p>
    <w:p w14:paraId="0281232C" w14:textId="77777777" w:rsidR="00BD0011" w:rsidRPr="00EB3380" w:rsidRDefault="00BD0011" w:rsidP="00EB3380">
      <w:pPr>
        <w:pStyle w:val="SingleTxtG"/>
        <w:numPr>
          <w:ilvl w:val="0"/>
          <w:numId w:val="40"/>
        </w:numPr>
        <w:ind w:left="1134" w:firstLine="0"/>
        <w:rPr>
          <w:color w:val="000000" w:themeColor="text1"/>
          <w:lang w:eastAsia="es-HN"/>
        </w:rPr>
      </w:pPr>
      <w:r w:rsidRPr="00EB3380">
        <w:rPr>
          <w:color w:val="000000" w:themeColor="text1"/>
          <w:lang w:eastAsia="es-HN"/>
        </w:rPr>
        <w:t>El Gabinete de Desarrollo Social, por medio de SEDESOL y el Programa de Acción Solidaria (PROASOL), vela por los derechos de todos los grupos en situación de vulnerabilidad y en cumplimiento del Plan de Gobierno para la Refundación de Honduras 2022-2026.</w:t>
      </w:r>
    </w:p>
    <w:p w14:paraId="2F2EEE02" w14:textId="77777777" w:rsidR="00BD0011" w:rsidRPr="00BD0011" w:rsidRDefault="00BD0011" w:rsidP="00EB3380">
      <w:pPr>
        <w:pStyle w:val="SingleTxtG"/>
        <w:numPr>
          <w:ilvl w:val="0"/>
          <w:numId w:val="40"/>
        </w:numPr>
        <w:ind w:left="1134" w:firstLine="0"/>
        <w:rPr>
          <w:lang w:eastAsia="es-HN"/>
        </w:rPr>
      </w:pPr>
      <w:r w:rsidRPr="00BD0011">
        <w:rPr>
          <w:b/>
          <w:bCs/>
          <w:lang w:eastAsia="es-HN"/>
        </w:rPr>
        <w:t>Inciso f)</w:t>
      </w:r>
      <w:r w:rsidRPr="00BD0011">
        <w:rPr>
          <w:lang w:eastAsia="es-HN"/>
        </w:rPr>
        <w:t xml:space="preserve">, sobre los mecanismos de consulta y participación plena y efectiva de </w:t>
      </w:r>
      <w:proofErr w:type="spellStart"/>
      <w:r w:rsidRPr="00BD0011">
        <w:rPr>
          <w:lang w:eastAsia="es-HN"/>
        </w:rPr>
        <w:t>PcD</w:t>
      </w:r>
      <w:proofErr w:type="spellEnd"/>
      <w:r w:rsidRPr="00BD0011">
        <w:rPr>
          <w:lang w:eastAsia="es-HN"/>
        </w:rPr>
        <w:t>, el Consejo Consultivo</w:t>
      </w:r>
      <w:r w:rsidRPr="00BD0011">
        <w:rPr>
          <w:vertAlign w:val="superscript"/>
          <w:lang w:eastAsia="es-HN"/>
        </w:rPr>
        <w:footnoteReference w:id="8"/>
      </w:r>
      <w:r w:rsidRPr="00BD0011">
        <w:rPr>
          <w:lang w:eastAsia="es-HN"/>
        </w:rPr>
        <w:t xml:space="preserve"> está integrado por representantes del sector de discapacidad a nivel público y privado.</w:t>
      </w:r>
    </w:p>
    <w:p w14:paraId="366D7DD9" w14:textId="354C9DBC" w:rsidR="00BD0011" w:rsidRPr="00BD0011" w:rsidRDefault="00EB3380" w:rsidP="00EB3380">
      <w:pPr>
        <w:pStyle w:val="H1G"/>
        <w:rPr>
          <w:lang w:eastAsia="es-HN"/>
        </w:rPr>
      </w:pPr>
      <w:bookmarkStart w:id="5" w:name="_1xsn9i3unv6u" w:colFirst="0" w:colLast="0"/>
      <w:bookmarkStart w:id="6" w:name="_h8avyy1hzy38" w:colFirst="0" w:colLast="0"/>
      <w:bookmarkStart w:id="7" w:name="_Toc106955508"/>
      <w:bookmarkStart w:id="8" w:name="_Toc106955707"/>
      <w:bookmarkStart w:id="9" w:name="_Toc147932955"/>
      <w:bookmarkStart w:id="10" w:name="_Toc148970469"/>
      <w:bookmarkEnd w:id="5"/>
      <w:bookmarkEnd w:id="6"/>
      <w:r>
        <w:rPr>
          <w:lang w:eastAsia="es-HN"/>
        </w:rPr>
        <w:tab/>
        <w:t>B.</w:t>
      </w:r>
      <w:bookmarkEnd w:id="7"/>
      <w:bookmarkEnd w:id="8"/>
      <w:r>
        <w:rPr>
          <w:lang w:eastAsia="es-HN"/>
        </w:rPr>
        <w:tab/>
      </w:r>
      <w:r w:rsidR="00BD0011" w:rsidRPr="00BD0011">
        <w:rPr>
          <w:lang w:eastAsia="es-HN"/>
        </w:rPr>
        <w:t>Dere</w:t>
      </w:r>
      <w:r>
        <w:rPr>
          <w:lang w:eastAsia="es-HN"/>
        </w:rPr>
        <w:t>c</w:t>
      </w:r>
      <w:r w:rsidR="00BD0011" w:rsidRPr="00BD0011">
        <w:rPr>
          <w:lang w:eastAsia="es-HN"/>
        </w:rPr>
        <w:t>hos específicos</w:t>
      </w:r>
      <w:bookmarkEnd w:id="9"/>
      <w:bookmarkEnd w:id="10"/>
    </w:p>
    <w:p w14:paraId="2181C460" w14:textId="2F5CB09F" w:rsidR="00BD0011" w:rsidRPr="00BD0011" w:rsidRDefault="00BD0011" w:rsidP="00EB3380">
      <w:pPr>
        <w:pStyle w:val="H23G"/>
        <w:rPr>
          <w:lang w:eastAsia="es-HN"/>
        </w:rPr>
      </w:pPr>
      <w:r w:rsidRPr="00BD0011">
        <w:rPr>
          <w:lang w:eastAsia="es-HN"/>
        </w:rPr>
        <w:tab/>
      </w:r>
      <w:bookmarkStart w:id="11" w:name="_Toc147932956"/>
      <w:bookmarkStart w:id="12" w:name="_Toc148970470"/>
      <w:r w:rsidR="00EB3380">
        <w:rPr>
          <w:lang w:eastAsia="es-HN"/>
        </w:rPr>
        <w:tab/>
      </w:r>
      <w:r w:rsidR="00EB3380">
        <w:rPr>
          <w:lang w:eastAsia="es-HN"/>
        </w:rPr>
        <w:tab/>
      </w:r>
      <w:r w:rsidRPr="00BD0011">
        <w:rPr>
          <w:lang w:eastAsia="es-HN"/>
        </w:rPr>
        <w:t xml:space="preserve">Igualdad y no discriminación </w:t>
      </w:r>
      <w:r w:rsidRPr="00BD0011">
        <w:rPr>
          <w:szCs w:val="24"/>
          <w:lang w:eastAsia="es-HN"/>
        </w:rPr>
        <w:t>(art. 5)</w:t>
      </w:r>
      <w:bookmarkEnd w:id="11"/>
      <w:bookmarkEnd w:id="12"/>
    </w:p>
    <w:p w14:paraId="0A5768DA" w14:textId="77777777" w:rsidR="00BD0011" w:rsidRPr="00BD0011" w:rsidRDefault="00BD0011" w:rsidP="00EB3380">
      <w:pPr>
        <w:pStyle w:val="SingleTxtG"/>
        <w:numPr>
          <w:ilvl w:val="0"/>
          <w:numId w:val="40"/>
        </w:numPr>
        <w:ind w:left="1134" w:firstLine="0"/>
        <w:rPr>
          <w:lang w:eastAsia="es-HN"/>
        </w:rPr>
      </w:pPr>
      <w:r w:rsidRPr="00BD0011">
        <w:rPr>
          <w:b/>
          <w:bCs/>
          <w:lang w:eastAsia="es-HN"/>
        </w:rPr>
        <w:t>Cuestión 2, inciso a)</w:t>
      </w:r>
      <w:r w:rsidRPr="00BD0011">
        <w:rPr>
          <w:lang w:eastAsia="es-HN"/>
        </w:rPr>
        <w:t xml:space="preserve">, sobre las medidas legislativas contra la discriminación de las </w:t>
      </w:r>
      <w:proofErr w:type="spellStart"/>
      <w:r w:rsidRPr="00BD0011">
        <w:rPr>
          <w:lang w:eastAsia="es-HN"/>
        </w:rPr>
        <w:t>PcD</w:t>
      </w:r>
      <w:proofErr w:type="spellEnd"/>
      <w:r w:rsidRPr="00BD0011">
        <w:rPr>
          <w:lang w:eastAsia="es-HN"/>
        </w:rPr>
        <w:t xml:space="preserve">, el proyecto de ley que trabaja la Mesa Técnica incorpora elementos para la atención integral, promover la inclusión y prevenir la discriminación. </w:t>
      </w:r>
    </w:p>
    <w:p w14:paraId="565E1BBB" w14:textId="77777777" w:rsidR="00BD0011" w:rsidRPr="00BD0011" w:rsidRDefault="00BD0011" w:rsidP="00EB3380">
      <w:pPr>
        <w:pStyle w:val="SingleTxtG"/>
        <w:numPr>
          <w:ilvl w:val="0"/>
          <w:numId w:val="40"/>
        </w:numPr>
        <w:ind w:left="1134" w:firstLine="0"/>
        <w:rPr>
          <w:lang w:eastAsia="es-HN"/>
        </w:rPr>
      </w:pPr>
      <w:r w:rsidRPr="00BD0011">
        <w:rPr>
          <w:lang w:eastAsia="es-HN"/>
        </w:rPr>
        <w:lastRenderedPageBreak/>
        <w:t xml:space="preserve">La DIGEDEPDI sensibiliza a las </w:t>
      </w:r>
      <w:proofErr w:type="spellStart"/>
      <w:r w:rsidRPr="00BD0011">
        <w:rPr>
          <w:lang w:eastAsia="es-HN"/>
        </w:rPr>
        <w:t>PcD</w:t>
      </w:r>
      <w:proofErr w:type="spellEnd"/>
      <w:r w:rsidRPr="00BD0011">
        <w:rPr>
          <w:lang w:eastAsia="es-HN"/>
        </w:rPr>
        <w:t xml:space="preserve"> para que realicen el trámite de carnetización y la solicitud de ayudas técnicas. Hasta abril de 2023, la DIGEDEPDI registra la entrega de más de mil carnés.</w:t>
      </w:r>
      <w:r w:rsidRPr="00BD0011">
        <w:rPr>
          <w:vertAlign w:val="superscript"/>
          <w:lang w:eastAsia="es-HN"/>
        </w:rPr>
        <w:footnoteReference w:id="9"/>
      </w:r>
      <w:r w:rsidRPr="00BD0011">
        <w:rPr>
          <w:lang w:eastAsia="es-HN"/>
        </w:rPr>
        <w:t xml:space="preserve"> También, realiza procesos de formación para funcionarios del Poder Ejecutivo, además, junto al PNUD, realizó foros de participación política ciudadana, discriminación y violencia contra las </w:t>
      </w:r>
      <w:proofErr w:type="spellStart"/>
      <w:r w:rsidRPr="00BD0011">
        <w:rPr>
          <w:lang w:eastAsia="es-HN"/>
        </w:rPr>
        <w:t>PcD</w:t>
      </w:r>
      <w:proofErr w:type="spellEnd"/>
      <w:r w:rsidRPr="00BD0011">
        <w:rPr>
          <w:lang w:eastAsia="es-HN"/>
        </w:rPr>
        <w:t>.</w:t>
      </w:r>
    </w:p>
    <w:p w14:paraId="735AB909" w14:textId="77777777" w:rsidR="00BD0011" w:rsidRPr="00BD0011" w:rsidRDefault="00BD0011" w:rsidP="00EB3380">
      <w:pPr>
        <w:pStyle w:val="SingleTxtG"/>
        <w:numPr>
          <w:ilvl w:val="0"/>
          <w:numId w:val="40"/>
        </w:numPr>
        <w:ind w:left="1134" w:firstLine="0"/>
        <w:rPr>
          <w:lang w:eastAsia="es-HN"/>
        </w:rPr>
      </w:pPr>
      <w:r w:rsidRPr="00BD0011">
        <w:rPr>
          <w:b/>
          <w:bCs/>
          <w:lang w:eastAsia="es-HN"/>
        </w:rPr>
        <w:t>Inciso b)</w:t>
      </w:r>
      <w:r w:rsidRPr="00BD0011">
        <w:rPr>
          <w:lang w:eastAsia="es-HN"/>
        </w:rPr>
        <w:t xml:space="preserve">, respecto a los ajustes razonables, la Escuela de Profesionalización de la Administración Pública de la Dirección General de Servicio Civil (DGSC) coordinó el proceso de formación denominado </w:t>
      </w:r>
      <w:r w:rsidRPr="00BD0011">
        <w:rPr>
          <w:i/>
          <w:iCs/>
          <w:lang w:eastAsia="es-HN"/>
        </w:rPr>
        <w:t>Hablemos de inclusión y discapacidad</w:t>
      </w:r>
      <w:r w:rsidRPr="00BD0011">
        <w:rPr>
          <w:lang w:eastAsia="es-HN"/>
        </w:rPr>
        <w:t xml:space="preserve">, para aborda la temática de ajustes razonables y accesibilidad universal para que las </w:t>
      </w:r>
      <w:proofErr w:type="spellStart"/>
      <w:r w:rsidRPr="00BD0011">
        <w:rPr>
          <w:lang w:eastAsia="es-HN"/>
        </w:rPr>
        <w:t>PcD</w:t>
      </w:r>
      <w:proofErr w:type="spellEnd"/>
      <w:r w:rsidRPr="00BD0011">
        <w:rPr>
          <w:lang w:eastAsia="es-HN"/>
        </w:rPr>
        <w:t xml:space="preserve"> puedan realizar sus actividades laborales de manera digna e incluyente.</w:t>
      </w:r>
    </w:p>
    <w:p w14:paraId="7A7981E1" w14:textId="77777777" w:rsidR="00BD0011" w:rsidRPr="00BD0011" w:rsidRDefault="00BD0011" w:rsidP="00EB3380">
      <w:pPr>
        <w:pStyle w:val="SingleTxtG"/>
        <w:numPr>
          <w:ilvl w:val="0"/>
          <w:numId w:val="40"/>
        </w:numPr>
        <w:ind w:left="1134" w:firstLine="0"/>
        <w:rPr>
          <w:lang w:eastAsia="es-HN"/>
        </w:rPr>
      </w:pPr>
      <w:r w:rsidRPr="00BD0011">
        <w:rPr>
          <w:lang w:eastAsia="es-HN"/>
        </w:rPr>
        <w:t>La DIGEDEPDI realiza mapeos en instituciones públicas y privadas, elabora informes con recomendaciones pertinentes y los ajustes razonables necesarios dentro del ámbito social y laboral. Actualmente, está trabajando, en conjunto con el BID, un proyecto de mapeo de las instalaciones físicas que cuentan con accesibilidad.</w:t>
      </w:r>
    </w:p>
    <w:p w14:paraId="22789F6F" w14:textId="77777777" w:rsidR="00BD0011" w:rsidRPr="00BD0011" w:rsidRDefault="00BD0011" w:rsidP="00EB3380">
      <w:pPr>
        <w:pStyle w:val="SingleTxtG"/>
        <w:numPr>
          <w:ilvl w:val="0"/>
          <w:numId w:val="40"/>
        </w:numPr>
        <w:ind w:left="1134" w:firstLine="0"/>
        <w:rPr>
          <w:lang w:eastAsia="es-HN"/>
        </w:rPr>
      </w:pPr>
      <w:r w:rsidRPr="00BD0011">
        <w:rPr>
          <w:b/>
          <w:bCs/>
          <w:lang w:eastAsia="es-HN"/>
        </w:rPr>
        <w:t>Inciso c)</w:t>
      </w:r>
      <w:r w:rsidRPr="00BD0011">
        <w:rPr>
          <w:lang w:eastAsia="es-HN"/>
        </w:rPr>
        <w:t>, sobre el mecanismo de recepción de quejas o denuncias, el CONADEH cuenta con el mecanismo SIQUEJAS para la atención y seguimiento especializado de las quejas interpuestas por personas o grupos en situación de vulnerabilidad.</w:t>
      </w:r>
      <w:r w:rsidRPr="00BD0011">
        <w:rPr>
          <w:rFonts w:eastAsia="Calibri"/>
          <w:lang w:eastAsia="es-HN"/>
        </w:rPr>
        <w:t xml:space="preserve"> </w:t>
      </w:r>
    </w:p>
    <w:p w14:paraId="08892132" w14:textId="77777777" w:rsidR="00BD0011" w:rsidRPr="00BD0011" w:rsidRDefault="00BD0011" w:rsidP="00BD0011">
      <w:pPr>
        <w:spacing w:line="276" w:lineRule="auto"/>
        <w:ind w:left="1440"/>
        <w:contextualSpacing/>
        <w:jc w:val="both"/>
        <w:rPr>
          <w:rFonts w:eastAsia="Times New Roman"/>
          <w:sz w:val="24"/>
          <w:szCs w:val="24"/>
          <w:lang w:eastAsia="es-HN"/>
        </w:rPr>
      </w:pPr>
    </w:p>
    <w:tbl>
      <w:tblPr>
        <w:tblStyle w:val="TableGrid2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487"/>
        <w:gridCol w:w="1441"/>
        <w:gridCol w:w="1442"/>
      </w:tblGrid>
      <w:tr w:rsidR="00BD0011" w:rsidRPr="00EB3380" w14:paraId="0189B297" w14:textId="77777777" w:rsidTr="00EB3380">
        <w:trPr>
          <w:tblHeader/>
        </w:trPr>
        <w:tc>
          <w:tcPr>
            <w:tcW w:w="7370" w:type="dxa"/>
            <w:gridSpan w:val="3"/>
            <w:tcBorders>
              <w:top w:val="single" w:sz="4" w:space="0" w:color="auto"/>
              <w:bottom w:val="single" w:sz="12" w:space="0" w:color="auto"/>
            </w:tcBorders>
            <w:shd w:val="clear" w:color="auto" w:fill="auto"/>
            <w:vAlign w:val="bottom"/>
          </w:tcPr>
          <w:p w14:paraId="0FCB33AA" w14:textId="77777777" w:rsidR="00BD0011" w:rsidRPr="00EB3380" w:rsidRDefault="00BD0011" w:rsidP="00EB3380">
            <w:pPr>
              <w:spacing w:before="80" w:after="80" w:line="200" w:lineRule="exact"/>
              <w:rPr>
                <w:rFonts w:ascii="Times New Roman" w:eastAsia="Times New Roman" w:hAnsi="Times New Roman" w:cs="Times New Roman"/>
                <w:bCs/>
                <w:i/>
                <w:sz w:val="16"/>
                <w:szCs w:val="24"/>
                <w:lang w:eastAsia="es-HN"/>
              </w:rPr>
            </w:pPr>
            <w:r w:rsidRPr="00EB3380">
              <w:rPr>
                <w:rFonts w:ascii="Times New Roman" w:eastAsia="Times New Roman" w:hAnsi="Times New Roman" w:cs="Times New Roman"/>
                <w:bCs/>
                <w:i/>
                <w:sz w:val="16"/>
                <w:szCs w:val="24"/>
                <w:lang w:eastAsia="es-HN"/>
              </w:rPr>
              <w:t xml:space="preserve">Quejas interpuestas por las </w:t>
            </w:r>
            <w:proofErr w:type="spellStart"/>
            <w:r w:rsidRPr="00EB3380">
              <w:rPr>
                <w:rFonts w:ascii="Times New Roman" w:eastAsia="Times New Roman" w:hAnsi="Times New Roman" w:cs="Times New Roman"/>
                <w:bCs/>
                <w:i/>
                <w:sz w:val="16"/>
                <w:szCs w:val="24"/>
                <w:lang w:eastAsia="es-HN"/>
              </w:rPr>
              <w:t>PcD</w:t>
            </w:r>
            <w:proofErr w:type="spellEnd"/>
            <w:r w:rsidRPr="00EB3380">
              <w:rPr>
                <w:rFonts w:ascii="Times New Roman" w:eastAsia="Times New Roman" w:hAnsi="Times New Roman" w:cs="Times New Roman"/>
                <w:bCs/>
                <w:i/>
                <w:sz w:val="16"/>
                <w:szCs w:val="24"/>
                <w:lang w:eastAsia="es-HN"/>
              </w:rPr>
              <w:t xml:space="preserve"> a través de SIQUEJAS</w:t>
            </w:r>
          </w:p>
        </w:tc>
      </w:tr>
      <w:tr w:rsidR="00EB3380" w:rsidRPr="00EB3380" w14:paraId="7EAB51AC" w14:textId="77777777" w:rsidTr="00EB3380">
        <w:tc>
          <w:tcPr>
            <w:tcW w:w="4487" w:type="dxa"/>
            <w:tcBorders>
              <w:top w:val="single" w:sz="12" w:space="0" w:color="auto"/>
            </w:tcBorders>
            <w:shd w:val="clear" w:color="auto" w:fill="auto"/>
          </w:tcPr>
          <w:p w14:paraId="1A94F651" w14:textId="77777777" w:rsidR="00BD0011" w:rsidRPr="00EB3380" w:rsidRDefault="00BD0011" w:rsidP="00EB3380">
            <w:pPr>
              <w:spacing w:before="40" w:after="40" w:line="220" w:lineRule="exact"/>
              <w:rPr>
                <w:rFonts w:ascii="Times New Roman" w:eastAsia="Times New Roman" w:hAnsi="Times New Roman" w:cs="Times New Roman"/>
                <w:b/>
                <w:bCs/>
                <w:sz w:val="18"/>
                <w:lang w:eastAsia="es-HN"/>
              </w:rPr>
            </w:pPr>
            <w:r w:rsidRPr="00EB3380">
              <w:rPr>
                <w:rFonts w:ascii="Times New Roman" w:eastAsia="Times New Roman" w:hAnsi="Times New Roman" w:cs="Times New Roman"/>
                <w:b/>
                <w:bCs/>
                <w:sz w:val="18"/>
                <w:lang w:eastAsia="es-HN"/>
              </w:rPr>
              <w:t>Derechos vulnerados con mayor incidencia</w:t>
            </w:r>
          </w:p>
        </w:tc>
        <w:tc>
          <w:tcPr>
            <w:tcW w:w="1441" w:type="dxa"/>
            <w:tcBorders>
              <w:top w:val="single" w:sz="12" w:space="0" w:color="auto"/>
            </w:tcBorders>
            <w:shd w:val="clear" w:color="auto" w:fill="auto"/>
          </w:tcPr>
          <w:p w14:paraId="5FBA4263" w14:textId="77777777" w:rsidR="00BD0011" w:rsidRPr="00EB3380" w:rsidRDefault="00BD0011" w:rsidP="00EB3380">
            <w:pPr>
              <w:spacing w:before="40" w:after="40" w:line="220" w:lineRule="exact"/>
              <w:rPr>
                <w:rFonts w:ascii="Times New Roman" w:eastAsia="Times New Roman" w:hAnsi="Times New Roman" w:cs="Times New Roman"/>
                <w:b/>
                <w:bCs/>
                <w:sz w:val="18"/>
                <w:lang w:eastAsia="es-HN"/>
              </w:rPr>
            </w:pPr>
            <w:r w:rsidRPr="00EB3380">
              <w:rPr>
                <w:rFonts w:ascii="Times New Roman" w:eastAsia="Times New Roman" w:hAnsi="Times New Roman" w:cs="Times New Roman"/>
                <w:b/>
                <w:bCs/>
                <w:sz w:val="18"/>
                <w:lang w:eastAsia="es-HN"/>
              </w:rPr>
              <w:t>2022</w:t>
            </w:r>
          </w:p>
        </w:tc>
        <w:tc>
          <w:tcPr>
            <w:tcW w:w="1442" w:type="dxa"/>
            <w:tcBorders>
              <w:top w:val="single" w:sz="12" w:space="0" w:color="auto"/>
            </w:tcBorders>
            <w:shd w:val="clear" w:color="auto" w:fill="auto"/>
          </w:tcPr>
          <w:p w14:paraId="0791C7D1" w14:textId="77777777" w:rsidR="00BD0011" w:rsidRPr="00EB3380" w:rsidRDefault="00BD0011" w:rsidP="00EB3380">
            <w:pPr>
              <w:spacing w:before="40" w:after="40" w:line="220" w:lineRule="exact"/>
              <w:rPr>
                <w:rFonts w:ascii="Times New Roman" w:eastAsia="Times New Roman" w:hAnsi="Times New Roman" w:cs="Times New Roman"/>
                <w:b/>
                <w:bCs/>
                <w:sz w:val="18"/>
                <w:lang w:eastAsia="es-HN"/>
              </w:rPr>
            </w:pPr>
            <w:r w:rsidRPr="00EB3380">
              <w:rPr>
                <w:rFonts w:ascii="Times New Roman" w:eastAsia="Times New Roman" w:hAnsi="Times New Roman" w:cs="Times New Roman"/>
                <w:b/>
                <w:bCs/>
                <w:sz w:val="18"/>
                <w:lang w:eastAsia="es-HN"/>
              </w:rPr>
              <w:t>2023</w:t>
            </w:r>
          </w:p>
        </w:tc>
      </w:tr>
      <w:tr w:rsidR="00BD0011" w:rsidRPr="00EB3380" w14:paraId="3EDF1AF4" w14:textId="77777777" w:rsidTr="00EB3380">
        <w:tc>
          <w:tcPr>
            <w:tcW w:w="4487" w:type="dxa"/>
            <w:shd w:val="clear" w:color="auto" w:fill="auto"/>
          </w:tcPr>
          <w:p w14:paraId="0D692EE5" w14:textId="77777777" w:rsidR="00BD0011" w:rsidRPr="00EB3380" w:rsidRDefault="00BD0011" w:rsidP="00EB3380">
            <w:pPr>
              <w:spacing w:before="40" w:after="40" w:line="220" w:lineRule="exact"/>
              <w:rPr>
                <w:rFonts w:ascii="Times New Roman" w:eastAsia="Times New Roman" w:hAnsi="Times New Roman" w:cs="Times New Roman"/>
                <w:sz w:val="18"/>
                <w:lang w:eastAsia="es-HN"/>
              </w:rPr>
            </w:pPr>
            <w:r w:rsidRPr="00EB3380">
              <w:rPr>
                <w:rFonts w:ascii="Times New Roman" w:eastAsia="Times New Roman" w:hAnsi="Times New Roman" w:cs="Times New Roman"/>
                <w:sz w:val="18"/>
                <w:lang w:eastAsia="es-HN"/>
              </w:rPr>
              <w:t>Civiles y políticos</w:t>
            </w:r>
          </w:p>
        </w:tc>
        <w:tc>
          <w:tcPr>
            <w:tcW w:w="1441" w:type="dxa"/>
            <w:shd w:val="clear" w:color="auto" w:fill="auto"/>
          </w:tcPr>
          <w:p w14:paraId="1738C0F7" w14:textId="77777777" w:rsidR="00BD0011" w:rsidRPr="00EB3380" w:rsidRDefault="00BD0011" w:rsidP="00EB3380">
            <w:pPr>
              <w:spacing w:before="40" w:after="40" w:line="220" w:lineRule="exact"/>
              <w:rPr>
                <w:rFonts w:ascii="Times New Roman" w:eastAsia="Times New Roman" w:hAnsi="Times New Roman" w:cs="Times New Roman"/>
                <w:sz w:val="18"/>
                <w:lang w:eastAsia="es-HN"/>
              </w:rPr>
            </w:pPr>
            <w:r w:rsidRPr="00EB3380">
              <w:rPr>
                <w:rFonts w:ascii="Times New Roman" w:eastAsia="Times New Roman" w:hAnsi="Times New Roman" w:cs="Times New Roman"/>
                <w:sz w:val="18"/>
                <w:lang w:eastAsia="es-HN"/>
              </w:rPr>
              <w:t>47</w:t>
            </w:r>
          </w:p>
        </w:tc>
        <w:tc>
          <w:tcPr>
            <w:tcW w:w="1442" w:type="dxa"/>
            <w:shd w:val="clear" w:color="auto" w:fill="auto"/>
          </w:tcPr>
          <w:p w14:paraId="774F78ED" w14:textId="77777777" w:rsidR="00BD0011" w:rsidRPr="00EB3380" w:rsidRDefault="00BD0011" w:rsidP="00EB3380">
            <w:pPr>
              <w:spacing w:before="40" w:after="40" w:line="220" w:lineRule="exact"/>
              <w:rPr>
                <w:rFonts w:ascii="Times New Roman" w:eastAsia="Times New Roman" w:hAnsi="Times New Roman" w:cs="Times New Roman"/>
                <w:sz w:val="18"/>
                <w:lang w:eastAsia="es-HN"/>
              </w:rPr>
            </w:pPr>
            <w:r w:rsidRPr="00EB3380">
              <w:rPr>
                <w:rFonts w:ascii="Times New Roman" w:eastAsia="Times New Roman" w:hAnsi="Times New Roman" w:cs="Times New Roman"/>
                <w:sz w:val="18"/>
                <w:lang w:eastAsia="es-HN"/>
              </w:rPr>
              <w:t>22</w:t>
            </w:r>
          </w:p>
        </w:tc>
      </w:tr>
      <w:tr w:rsidR="00BD0011" w:rsidRPr="00EB3380" w14:paraId="2CFA9020" w14:textId="77777777" w:rsidTr="00EB3380">
        <w:tc>
          <w:tcPr>
            <w:tcW w:w="4487" w:type="dxa"/>
            <w:shd w:val="clear" w:color="auto" w:fill="auto"/>
          </w:tcPr>
          <w:p w14:paraId="1019CA0D" w14:textId="77777777" w:rsidR="00BD0011" w:rsidRPr="00EB3380" w:rsidRDefault="00BD0011" w:rsidP="00EB3380">
            <w:pPr>
              <w:spacing w:before="40" w:after="40" w:line="220" w:lineRule="exact"/>
              <w:rPr>
                <w:rFonts w:ascii="Times New Roman" w:eastAsia="Times New Roman" w:hAnsi="Times New Roman" w:cs="Times New Roman"/>
                <w:sz w:val="18"/>
                <w:lang w:eastAsia="es-HN"/>
              </w:rPr>
            </w:pPr>
            <w:r w:rsidRPr="00EB3380">
              <w:rPr>
                <w:rFonts w:ascii="Times New Roman" w:eastAsia="Times New Roman" w:hAnsi="Times New Roman" w:cs="Times New Roman"/>
                <w:sz w:val="18"/>
                <w:lang w:eastAsia="es-HN"/>
              </w:rPr>
              <w:t>Económicos, sociales y culturales</w:t>
            </w:r>
          </w:p>
        </w:tc>
        <w:tc>
          <w:tcPr>
            <w:tcW w:w="1441" w:type="dxa"/>
            <w:shd w:val="clear" w:color="auto" w:fill="auto"/>
          </w:tcPr>
          <w:p w14:paraId="48690C2B" w14:textId="77777777" w:rsidR="00BD0011" w:rsidRPr="00EB3380" w:rsidRDefault="00BD0011" w:rsidP="00EB3380">
            <w:pPr>
              <w:spacing w:before="40" w:after="40" w:line="220" w:lineRule="exact"/>
              <w:rPr>
                <w:rFonts w:ascii="Times New Roman" w:eastAsia="Times New Roman" w:hAnsi="Times New Roman" w:cs="Times New Roman"/>
                <w:sz w:val="18"/>
                <w:lang w:eastAsia="es-HN"/>
              </w:rPr>
            </w:pPr>
            <w:r w:rsidRPr="00EB3380">
              <w:rPr>
                <w:rFonts w:ascii="Times New Roman" w:eastAsia="Times New Roman" w:hAnsi="Times New Roman" w:cs="Times New Roman"/>
                <w:sz w:val="18"/>
                <w:lang w:eastAsia="es-HN"/>
              </w:rPr>
              <w:t>27</w:t>
            </w:r>
          </w:p>
        </w:tc>
        <w:tc>
          <w:tcPr>
            <w:tcW w:w="1442" w:type="dxa"/>
            <w:shd w:val="clear" w:color="auto" w:fill="auto"/>
          </w:tcPr>
          <w:p w14:paraId="0104B759" w14:textId="77777777" w:rsidR="00BD0011" w:rsidRPr="00EB3380" w:rsidRDefault="00BD0011" w:rsidP="00EB3380">
            <w:pPr>
              <w:spacing w:before="40" w:after="40" w:line="220" w:lineRule="exact"/>
              <w:rPr>
                <w:rFonts w:ascii="Times New Roman" w:eastAsia="Times New Roman" w:hAnsi="Times New Roman" w:cs="Times New Roman"/>
                <w:sz w:val="18"/>
                <w:lang w:eastAsia="es-HN"/>
              </w:rPr>
            </w:pPr>
            <w:r w:rsidRPr="00EB3380">
              <w:rPr>
                <w:rFonts w:ascii="Times New Roman" w:eastAsia="Times New Roman" w:hAnsi="Times New Roman" w:cs="Times New Roman"/>
                <w:sz w:val="18"/>
                <w:lang w:eastAsia="es-HN"/>
              </w:rPr>
              <w:t>14</w:t>
            </w:r>
          </w:p>
        </w:tc>
      </w:tr>
      <w:tr w:rsidR="00BD0011" w:rsidRPr="00EB3380" w14:paraId="15C18BAB" w14:textId="77777777" w:rsidTr="00EB3380">
        <w:tc>
          <w:tcPr>
            <w:tcW w:w="4487" w:type="dxa"/>
            <w:shd w:val="clear" w:color="auto" w:fill="auto"/>
          </w:tcPr>
          <w:p w14:paraId="2377D759" w14:textId="77777777" w:rsidR="00BD0011" w:rsidRPr="00EB3380" w:rsidRDefault="00BD0011" w:rsidP="00EB3380">
            <w:pPr>
              <w:spacing w:before="40" w:after="40" w:line="220" w:lineRule="exact"/>
              <w:rPr>
                <w:rFonts w:ascii="Times New Roman" w:eastAsia="Times New Roman" w:hAnsi="Times New Roman" w:cs="Times New Roman"/>
                <w:sz w:val="18"/>
                <w:lang w:eastAsia="es-HN"/>
              </w:rPr>
            </w:pPr>
            <w:r w:rsidRPr="00EB3380">
              <w:rPr>
                <w:rFonts w:ascii="Times New Roman" w:eastAsia="Times New Roman" w:hAnsi="Times New Roman" w:cs="Times New Roman"/>
                <w:sz w:val="18"/>
                <w:lang w:eastAsia="es-HN"/>
              </w:rPr>
              <w:t>Total, quejas</w:t>
            </w:r>
          </w:p>
        </w:tc>
        <w:tc>
          <w:tcPr>
            <w:tcW w:w="1441" w:type="dxa"/>
            <w:shd w:val="clear" w:color="auto" w:fill="auto"/>
          </w:tcPr>
          <w:p w14:paraId="478D2765" w14:textId="77777777" w:rsidR="00BD0011" w:rsidRPr="00EB3380" w:rsidRDefault="00BD0011" w:rsidP="00EB3380">
            <w:pPr>
              <w:spacing w:before="40" w:after="40" w:line="220" w:lineRule="exact"/>
              <w:rPr>
                <w:rFonts w:ascii="Times New Roman" w:eastAsia="Times New Roman" w:hAnsi="Times New Roman" w:cs="Times New Roman"/>
                <w:sz w:val="18"/>
                <w:lang w:eastAsia="es-HN"/>
              </w:rPr>
            </w:pPr>
            <w:r w:rsidRPr="00EB3380">
              <w:rPr>
                <w:rFonts w:ascii="Times New Roman" w:eastAsia="Times New Roman" w:hAnsi="Times New Roman" w:cs="Times New Roman"/>
                <w:sz w:val="18"/>
                <w:lang w:eastAsia="es-HN"/>
              </w:rPr>
              <w:t>91</w:t>
            </w:r>
          </w:p>
        </w:tc>
        <w:tc>
          <w:tcPr>
            <w:tcW w:w="1442" w:type="dxa"/>
            <w:shd w:val="clear" w:color="auto" w:fill="auto"/>
          </w:tcPr>
          <w:p w14:paraId="0D2D166A" w14:textId="77777777" w:rsidR="00BD0011" w:rsidRPr="00EB3380" w:rsidRDefault="00BD0011" w:rsidP="00EB3380">
            <w:pPr>
              <w:spacing w:before="40" w:after="40" w:line="220" w:lineRule="exact"/>
              <w:rPr>
                <w:rFonts w:ascii="Times New Roman" w:eastAsia="Times New Roman" w:hAnsi="Times New Roman" w:cs="Times New Roman"/>
                <w:sz w:val="18"/>
                <w:lang w:eastAsia="es-HN"/>
              </w:rPr>
            </w:pPr>
            <w:r w:rsidRPr="00EB3380">
              <w:rPr>
                <w:rFonts w:ascii="Times New Roman" w:eastAsia="Times New Roman" w:hAnsi="Times New Roman" w:cs="Times New Roman"/>
                <w:sz w:val="18"/>
                <w:lang w:eastAsia="es-HN"/>
              </w:rPr>
              <w:t>45</w:t>
            </w:r>
          </w:p>
        </w:tc>
      </w:tr>
      <w:tr w:rsidR="00BD0011" w:rsidRPr="00EB3380" w14:paraId="598EDFDE" w14:textId="77777777" w:rsidTr="00EB3380">
        <w:tc>
          <w:tcPr>
            <w:tcW w:w="7370" w:type="dxa"/>
            <w:gridSpan w:val="3"/>
            <w:tcBorders>
              <w:bottom w:val="single" w:sz="12" w:space="0" w:color="auto"/>
            </w:tcBorders>
            <w:shd w:val="clear" w:color="auto" w:fill="auto"/>
          </w:tcPr>
          <w:p w14:paraId="3D17EA93" w14:textId="77777777" w:rsidR="00BD0011" w:rsidRPr="00EB3380" w:rsidRDefault="00BD0011" w:rsidP="00EB3380">
            <w:pPr>
              <w:spacing w:before="40" w:after="40" w:line="220" w:lineRule="exact"/>
              <w:rPr>
                <w:rFonts w:ascii="Times New Roman" w:eastAsia="Times New Roman" w:hAnsi="Times New Roman" w:cs="Times New Roman"/>
                <w:i/>
                <w:iCs/>
                <w:sz w:val="18"/>
                <w:szCs w:val="24"/>
                <w:lang w:eastAsia="es-HN"/>
              </w:rPr>
            </w:pPr>
            <w:r w:rsidRPr="00EB3380">
              <w:rPr>
                <w:rFonts w:ascii="Times New Roman" w:eastAsia="Times New Roman" w:hAnsi="Times New Roman" w:cs="Times New Roman"/>
                <w:i/>
                <w:iCs/>
                <w:sz w:val="18"/>
                <w:lang w:eastAsia="es-HN"/>
              </w:rPr>
              <w:t>Fuente.  CONADEH</w:t>
            </w:r>
            <w:r w:rsidRPr="00EB3380">
              <w:rPr>
                <w:rFonts w:ascii="Times New Roman" w:eastAsia="Times New Roman" w:hAnsi="Times New Roman" w:cs="Times New Roman"/>
                <w:i/>
                <w:iCs/>
                <w:sz w:val="18"/>
                <w:vertAlign w:val="superscript"/>
                <w:lang w:eastAsia="es-HN"/>
              </w:rPr>
              <w:footnoteReference w:id="10"/>
            </w:r>
          </w:p>
        </w:tc>
      </w:tr>
    </w:tbl>
    <w:p w14:paraId="3CE99776" w14:textId="77777777" w:rsidR="00EB3380" w:rsidRDefault="00EB3380" w:rsidP="00EB3380">
      <w:pPr>
        <w:pStyle w:val="SingleTxtG"/>
        <w:rPr>
          <w:rFonts w:eastAsia="Calibri"/>
          <w:lang w:eastAsia="es-HN"/>
        </w:rPr>
      </w:pPr>
    </w:p>
    <w:p w14:paraId="592F3904" w14:textId="1CE29E8F" w:rsidR="00BD0011" w:rsidRPr="00BD0011" w:rsidRDefault="00BD0011" w:rsidP="00EB3380">
      <w:pPr>
        <w:pStyle w:val="SingleTxtG"/>
        <w:numPr>
          <w:ilvl w:val="0"/>
          <w:numId w:val="40"/>
        </w:numPr>
        <w:ind w:left="1134" w:firstLine="0"/>
        <w:rPr>
          <w:lang w:eastAsia="es-HN"/>
        </w:rPr>
      </w:pPr>
      <w:r w:rsidRPr="00BD0011">
        <w:rPr>
          <w:rFonts w:eastAsia="Calibri"/>
          <w:lang w:eastAsia="es-HN"/>
        </w:rPr>
        <w:t xml:space="preserve">También el CONADEH, mediante la </w:t>
      </w:r>
      <w:r w:rsidRPr="00BD0011">
        <w:rPr>
          <w:lang w:eastAsia="es-HN"/>
        </w:rPr>
        <w:t xml:space="preserve">Defensoría de las Personas con Discapacidad y Adulto Mayor y sus demás delegaciones, ha establecido lazos de cooperación con OSC de </w:t>
      </w:r>
      <w:proofErr w:type="spellStart"/>
      <w:r w:rsidRPr="00BD0011">
        <w:rPr>
          <w:lang w:eastAsia="es-HN"/>
        </w:rPr>
        <w:t>PcD</w:t>
      </w:r>
      <w:proofErr w:type="spellEnd"/>
      <w:r w:rsidRPr="00BD0011">
        <w:rPr>
          <w:lang w:eastAsia="es-HN"/>
        </w:rPr>
        <w:t>, para brindar procesos formativos en derechos humanos y promoción de la cultura de queja.</w:t>
      </w:r>
    </w:p>
    <w:p w14:paraId="03AB217A" w14:textId="160D672A" w:rsidR="00BD0011" w:rsidRPr="00BD0011" w:rsidRDefault="00EB3380" w:rsidP="00EB3380">
      <w:pPr>
        <w:pStyle w:val="H23G"/>
        <w:rPr>
          <w:lang w:eastAsia="es-HN"/>
        </w:rPr>
      </w:pPr>
      <w:bookmarkStart w:id="13" w:name="_Toc147932957"/>
      <w:bookmarkStart w:id="14" w:name="_Toc148970471"/>
      <w:r>
        <w:rPr>
          <w:lang w:eastAsia="es-HN"/>
        </w:rPr>
        <w:tab/>
      </w:r>
      <w:r>
        <w:rPr>
          <w:lang w:eastAsia="es-HN"/>
        </w:rPr>
        <w:tab/>
      </w:r>
      <w:r w:rsidR="00BD0011" w:rsidRPr="00BD0011">
        <w:rPr>
          <w:lang w:eastAsia="es-HN"/>
        </w:rPr>
        <w:t xml:space="preserve">Mujeres con discapacidad </w:t>
      </w:r>
      <w:r w:rsidR="00BD0011" w:rsidRPr="00BD0011">
        <w:rPr>
          <w:szCs w:val="24"/>
          <w:lang w:eastAsia="es-HN"/>
        </w:rPr>
        <w:t>(art. 6)</w:t>
      </w:r>
      <w:bookmarkEnd w:id="13"/>
      <w:bookmarkEnd w:id="14"/>
      <w:r w:rsidR="00BD0011" w:rsidRPr="00BD0011">
        <w:rPr>
          <w:lang w:eastAsia="es-HN"/>
        </w:rPr>
        <w:t xml:space="preserve"> </w:t>
      </w:r>
    </w:p>
    <w:p w14:paraId="573002AF" w14:textId="77777777" w:rsidR="00BD0011" w:rsidRPr="00BD0011" w:rsidRDefault="00BD0011" w:rsidP="00EB3380">
      <w:pPr>
        <w:pStyle w:val="SingleTxtG"/>
        <w:numPr>
          <w:ilvl w:val="0"/>
          <w:numId w:val="40"/>
        </w:numPr>
        <w:ind w:left="1134" w:firstLine="0"/>
        <w:rPr>
          <w:lang w:eastAsia="es-HN"/>
        </w:rPr>
      </w:pPr>
      <w:r w:rsidRPr="00BD0011">
        <w:rPr>
          <w:b/>
          <w:bCs/>
          <w:lang w:eastAsia="es-HN"/>
        </w:rPr>
        <w:t xml:space="preserve">Cuestión 3, </w:t>
      </w:r>
      <w:bookmarkStart w:id="15" w:name="_Hlk145424417"/>
      <w:r w:rsidRPr="00BD0011">
        <w:rPr>
          <w:b/>
          <w:bCs/>
          <w:lang w:eastAsia="es-HN"/>
        </w:rPr>
        <w:t>inciso a)</w:t>
      </w:r>
      <w:r w:rsidRPr="00BD0011">
        <w:rPr>
          <w:lang w:eastAsia="es-HN"/>
        </w:rPr>
        <w:t>, sobre las medidas con perspectiva de género y discapacidad, SEDESOL, con el apoyo de la Cooperación Española, formula un proyecto para mujeres con discapacidad, a fin de mejorar el acceso a los recursos y la capacidad de empleabilidad, con la posibilidad de trabajar en proyectos enmarcados en el Marco de Asociación País España-Honduras MAP 2020-2023.</w:t>
      </w:r>
    </w:p>
    <w:p w14:paraId="67E3EAB5" w14:textId="77777777" w:rsidR="00BD0011" w:rsidRPr="00BD0011" w:rsidRDefault="00BD0011" w:rsidP="00EB3380">
      <w:pPr>
        <w:pStyle w:val="SingleTxtG"/>
        <w:numPr>
          <w:ilvl w:val="0"/>
          <w:numId w:val="40"/>
        </w:numPr>
        <w:ind w:left="1134" w:firstLine="0"/>
        <w:rPr>
          <w:lang w:eastAsia="es-HN"/>
        </w:rPr>
      </w:pPr>
      <w:r w:rsidRPr="00BD0011">
        <w:rPr>
          <w:lang w:eastAsia="es-HN"/>
        </w:rPr>
        <w:t>Por su parte, el Programa Ciudad Mujer, adscrito a SEMUJER,</w:t>
      </w:r>
      <w:r w:rsidRPr="00BD0011">
        <w:rPr>
          <w:rFonts w:ascii="Calibri" w:eastAsia="Calibri" w:hAnsi="Calibri" w:cs="Calibri"/>
          <w:sz w:val="22"/>
          <w:szCs w:val="22"/>
          <w:lang w:eastAsia="es-HN"/>
        </w:rPr>
        <w:t xml:space="preserve"> </w:t>
      </w:r>
      <w:r w:rsidRPr="00BD0011">
        <w:rPr>
          <w:lang w:eastAsia="es-HN"/>
        </w:rPr>
        <w:t>constituye uno de los programas operativos relevantes para avanzar en la implementación de las</w:t>
      </w:r>
      <w:r w:rsidRPr="00BD0011">
        <w:rPr>
          <w:rFonts w:ascii="Calibri" w:eastAsia="Calibri" w:hAnsi="Calibri" w:cs="Calibri"/>
          <w:sz w:val="22"/>
          <w:szCs w:val="22"/>
          <w:lang w:eastAsia="es-HN"/>
        </w:rPr>
        <w:t xml:space="preserve"> </w:t>
      </w:r>
      <w:r w:rsidRPr="00BD0011">
        <w:rPr>
          <w:lang w:eastAsia="es-HN"/>
        </w:rPr>
        <w:t xml:space="preserve">políticas públicas de género. Para asegurar el adecuado funcionamiento de los diferentes módulos de cada Centro Ciudad Mujer (CCM), las instituciones que integran el programa consignan el presupuesto con etiqueta de género. Los seis CCM a nivel nacional brindan servicios integrales a mujeres, y niños, niñas y adolescentes (NNA). </w:t>
      </w:r>
    </w:p>
    <w:p w14:paraId="2DB01A9D" w14:textId="77777777" w:rsidR="00BD0011" w:rsidRPr="00BD0011" w:rsidRDefault="00BD0011" w:rsidP="00EB3380">
      <w:pPr>
        <w:pStyle w:val="SingleTxtG"/>
        <w:numPr>
          <w:ilvl w:val="0"/>
          <w:numId w:val="40"/>
        </w:numPr>
        <w:ind w:left="1134" w:firstLine="0"/>
        <w:rPr>
          <w:lang w:eastAsia="es-HN"/>
        </w:rPr>
      </w:pPr>
      <w:r w:rsidRPr="00BD0011">
        <w:rPr>
          <w:lang w:eastAsia="es-HN"/>
        </w:rPr>
        <w:t>Entre noviembre y diciembre de 2023, SEMUJER realizará el lanzamiento del III Plan de Igualdad y Justicia de Género (III-PIJG) 2023-2033, que incorporará la perspectiva sobre discapacidad en cuatro ejes estratégicos.</w:t>
      </w:r>
    </w:p>
    <w:p w14:paraId="57F9D259" w14:textId="77777777" w:rsidR="00BD0011" w:rsidRPr="00BD0011" w:rsidRDefault="00BD0011" w:rsidP="00EB3380">
      <w:pPr>
        <w:pStyle w:val="SingleTxtG"/>
        <w:numPr>
          <w:ilvl w:val="0"/>
          <w:numId w:val="40"/>
        </w:numPr>
        <w:ind w:left="1134" w:firstLine="0"/>
        <w:rPr>
          <w:lang w:eastAsia="es-HN"/>
        </w:rPr>
      </w:pPr>
      <w:r w:rsidRPr="00BD0011">
        <w:rPr>
          <w:lang w:eastAsia="es-HN"/>
        </w:rPr>
        <w:t xml:space="preserve">Sobre la Ley de Casas Refugio, esta se encuentra pendiente de aprobación por el CN, sin embargo, el artículo 17 del Decreto Legislativo 157-2022, cuestión 27, Presupuesto General de Ingresos y Egresos de la República, establece que la Secretaría de Finanzas </w:t>
      </w:r>
      <w:r w:rsidRPr="00BD0011">
        <w:rPr>
          <w:lang w:eastAsia="es-HN"/>
        </w:rPr>
        <w:lastRenderedPageBreak/>
        <w:t xml:space="preserve">(SEFIN) asignará a SEMUJER 30 millones de lempiras para la construcción, equipamiento y mantenimiento de las casas refugio. En ese sentido, SEMUJER firmó un convenio de cooperación interinstitucional con la Alcaldía Municipal del Distrito Central para el apoyo en el cumplimiento de las acciones </w:t>
      </w:r>
      <w:r w:rsidRPr="00BD0011">
        <w:rPr>
          <w:i/>
          <w:iCs/>
          <w:lang w:eastAsia="es-HN"/>
        </w:rPr>
        <w:t>ut supra</w:t>
      </w:r>
      <w:r w:rsidRPr="00BD0011">
        <w:rPr>
          <w:lang w:eastAsia="es-HN"/>
        </w:rPr>
        <w:t xml:space="preserve"> mencionadas.</w:t>
      </w:r>
    </w:p>
    <w:p w14:paraId="26078DF4" w14:textId="77777777" w:rsidR="00BD0011" w:rsidRPr="00BD0011" w:rsidRDefault="00BD0011" w:rsidP="00EB3380">
      <w:pPr>
        <w:pStyle w:val="SingleTxtG"/>
        <w:numPr>
          <w:ilvl w:val="0"/>
          <w:numId w:val="40"/>
        </w:numPr>
        <w:ind w:left="1134" w:firstLine="0"/>
        <w:rPr>
          <w:lang w:eastAsia="es-HN"/>
        </w:rPr>
      </w:pPr>
      <w:r w:rsidRPr="00BD0011">
        <w:rPr>
          <w:b/>
          <w:bCs/>
          <w:lang w:eastAsia="es-HN"/>
        </w:rPr>
        <w:t>Inciso b)</w:t>
      </w:r>
      <w:r w:rsidRPr="00BD0011">
        <w:rPr>
          <w:lang w:eastAsia="es-HN"/>
        </w:rPr>
        <w:t>, para prevenir, sancionar y erradicar la violencia contra grupos en situación de vulnerabilidad, se presentó el proyecto de reforma al artículo 228 del Código Penal</w:t>
      </w:r>
      <w:r w:rsidRPr="00BD0011">
        <w:rPr>
          <w:vertAlign w:val="superscript"/>
          <w:lang w:eastAsia="es-HN"/>
        </w:rPr>
        <w:footnoteReference w:id="11"/>
      </w:r>
      <w:r w:rsidRPr="00BD0011">
        <w:rPr>
          <w:lang w:eastAsia="es-HN"/>
        </w:rPr>
        <w:t xml:space="preserve">, sobre el abandono de menores de edad, </w:t>
      </w:r>
      <w:proofErr w:type="spellStart"/>
      <w:r w:rsidRPr="00BD0011">
        <w:rPr>
          <w:lang w:eastAsia="es-HN"/>
        </w:rPr>
        <w:t>PcD</w:t>
      </w:r>
      <w:proofErr w:type="spellEnd"/>
      <w:r w:rsidRPr="00BD0011">
        <w:rPr>
          <w:lang w:eastAsia="es-HN"/>
        </w:rPr>
        <w:t>, adultos mayores o enfermos, que establece penas de prisión de 6 a 10 años, además de ser castigado con prestación de servicios de utilidad pública o a las víctimas de 6 meses a un año y multa de 300 a 600 días. En caso de padre o hijos, tutores o guardadores legales, la pena se agrava en 2/3.</w:t>
      </w:r>
    </w:p>
    <w:p w14:paraId="0ADD9985" w14:textId="77777777" w:rsidR="00BD0011" w:rsidRPr="00BD0011" w:rsidRDefault="00BD0011" w:rsidP="00EB3380">
      <w:pPr>
        <w:pStyle w:val="SingleTxtG"/>
        <w:numPr>
          <w:ilvl w:val="0"/>
          <w:numId w:val="40"/>
        </w:numPr>
        <w:ind w:left="1134" w:firstLine="0"/>
        <w:rPr>
          <w:lang w:eastAsia="es-HN"/>
        </w:rPr>
      </w:pPr>
      <w:r w:rsidRPr="00BD0011">
        <w:rPr>
          <w:lang w:eastAsia="es-HN"/>
        </w:rPr>
        <w:t>La SEMUJER trabaja en el lanzamiento del III-PIJG 2023-2033 y el Plan Nacional contra las Violencias hacia las Mujeres, ambos instrumentos fueron sometidos a jornadas de evaluación en 2022, en la que participaron OSC de mujeres y sociedad civil.</w:t>
      </w:r>
    </w:p>
    <w:p w14:paraId="7257288E" w14:textId="77777777" w:rsidR="00BD0011" w:rsidRPr="00BD0011" w:rsidRDefault="00BD0011" w:rsidP="00EB3380">
      <w:pPr>
        <w:pStyle w:val="SingleTxtG"/>
        <w:numPr>
          <w:ilvl w:val="0"/>
          <w:numId w:val="40"/>
        </w:numPr>
        <w:ind w:left="1134" w:firstLine="0"/>
        <w:rPr>
          <w:lang w:eastAsia="es-HN"/>
        </w:rPr>
      </w:pPr>
      <w:r w:rsidRPr="00BD0011">
        <w:rPr>
          <w:lang w:eastAsia="es-HN"/>
        </w:rPr>
        <w:t>En el marco de la Comisión Interinstitucional de Seguimiento a las Muertes Violentas de Mujeres y Femicidios se elaboró el Proyecto de Ley de Alerta Morada, con el objetivo de brindar una respuesta inmediata y eficaz en casos de mujeres, niñas y adolescentes desaparecidas.</w:t>
      </w:r>
    </w:p>
    <w:p w14:paraId="14BBB3FE" w14:textId="77777777" w:rsidR="00BD0011" w:rsidRPr="00BD0011" w:rsidRDefault="00BD0011" w:rsidP="00EB3380">
      <w:pPr>
        <w:pStyle w:val="SingleTxtG"/>
        <w:numPr>
          <w:ilvl w:val="0"/>
          <w:numId w:val="40"/>
        </w:numPr>
        <w:ind w:left="1134" w:firstLine="0"/>
        <w:rPr>
          <w:lang w:eastAsia="es-HN"/>
        </w:rPr>
      </w:pPr>
      <w:r w:rsidRPr="00BD0011">
        <w:rPr>
          <w:b/>
          <w:bCs/>
          <w:lang w:eastAsia="es-HN"/>
        </w:rPr>
        <w:t>Inciso c)</w:t>
      </w:r>
      <w:r w:rsidRPr="00BD0011">
        <w:rPr>
          <w:lang w:eastAsia="es-HN"/>
        </w:rPr>
        <w:t>, respecto con la línea de atención telefónica, SEMUJER suscribió un convenio de cooperación interinstitucional con la Secretaría de Estado en el Despacho de Seguridad (SEDS), el cual contempla la apertura de la Línea 114-MUJER y la creación y fortalecimiento de las Unidades de Investigación de Muertes Violentas y Femicidios en la Dirección Policial de Investigación (DPI).</w:t>
      </w:r>
    </w:p>
    <w:p w14:paraId="7FF4DA08" w14:textId="77777777" w:rsidR="00BD0011" w:rsidRPr="00BD0011" w:rsidRDefault="00BD0011" w:rsidP="00EB3380">
      <w:pPr>
        <w:pStyle w:val="SingleTxtG"/>
        <w:numPr>
          <w:ilvl w:val="0"/>
          <w:numId w:val="40"/>
        </w:numPr>
        <w:ind w:left="1134" w:firstLine="0"/>
        <w:rPr>
          <w:lang w:eastAsia="es-HN"/>
        </w:rPr>
      </w:pPr>
      <w:r w:rsidRPr="00BD0011">
        <w:rPr>
          <w:lang w:eastAsia="es-HN"/>
        </w:rPr>
        <w:t>Para la incorporación del enfoque de discapacidad, se creó la Mesa de Mujeres y Discapacidad en coordinación del Programa Ciudad Mujer, la Subdirección General de Educación para Personas con Capacidades Diferentes o Talentos Excepcionales de la Secretaría de Educación (SEDUC) y la DIGEDEPDI para promover un diseño de accesibilidad en todos los espacios de los CCM, e instaurar, en sus servicios, talleres de atención psicológica para rehabilitación emocional para abordar casos de violencia y acoso en el sector discapacidad, además de talleres de desarrollo de habilidades blandas en las mujeres con discapacidad con el apoyo de FENAPAPEDISH.</w:t>
      </w:r>
    </w:p>
    <w:p w14:paraId="6F5D5F09" w14:textId="77777777" w:rsidR="00BD0011" w:rsidRPr="00BD0011" w:rsidRDefault="00BD0011" w:rsidP="00EB3380">
      <w:pPr>
        <w:pStyle w:val="SingleTxtG"/>
        <w:numPr>
          <w:ilvl w:val="0"/>
          <w:numId w:val="40"/>
        </w:numPr>
        <w:ind w:left="1134" w:firstLine="0"/>
        <w:rPr>
          <w:lang w:eastAsia="es-HN"/>
        </w:rPr>
      </w:pPr>
      <w:r w:rsidRPr="00BD0011">
        <w:rPr>
          <w:lang w:eastAsia="es-HN"/>
        </w:rPr>
        <w:t>Asimismo, la mesa busca recopilar, en el sistema de registro de los CCM, la estadística de atención diferenciada de mujeres con discapacidad.</w:t>
      </w:r>
    </w:p>
    <w:p w14:paraId="6C13DF77" w14:textId="77777777" w:rsidR="00BD0011" w:rsidRPr="00BD0011" w:rsidRDefault="00BD0011" w:rsidP="00EB3380">
      <w:pPr>
        <w:pStyle w:val="SingleTxtG"/>
        <w:numPr>
          <w:ilvl w:val="0"/>
          <w:numId w:val="40"/>
        </w:numPr>
        <w:ind w:left="1134" w:firstLine="0"/>
        <w:rPr>
          <w:lang w:eastAsia="es-HN"/>
        </w:rPr>
      </w:pPr>
      <w:r w:rsidRPr="00BD0011">
        <w:rPr>
          <w:lang w:eastAsia="es-HN"/>
        </w:rPr>
        <w:t>Con el propósito de abordar de manera integral y adecuada a las mujeres y niñas, el 6 de diciembre de 2022, la SESAL lanzó el Protocolo de Atención Integral a Víctimas de Violencia Sexual, con el fin de contar con una herramienta técnica que permita a los proveedores de servicios de salud públicos y privados brindar atención integral y oportuna a personas víctimas y sobrevivientes de violencia sexual. Asimismo, se han realizado talleres para capacitar a médicos, psicólogos y sexólogos sobre la aplicación del protocolo</w:t>
      </w:r>
      <w:r w:rsidRPr="00BD0011">
        <w:rPr>
          <w:vertAlign w:val="superscript"/>
          <w:lang w:eastAsia="es-HN"/>
        </w:rPr>
        <w:footnoteReference w:id="12"/>
      </w:r>
      <w:r w:rsidRPr="00BD0011">
        <w:rPr>
          <w:lang w:eastAsia="es-HN"/>
        </w:rPr>
        <w:t>.</w:t>
      </w:r>
    </w:p>
    <w:p w14:paraId="5170DA88" w14:textId="77777777" w:rsidR="00BD0011" w:rsidRPr="00BD0011" w:rsidRDefault="00BD0011" w:rsidP="00EB3380">
      <w:pPr>
        <w:pStyle w:val="SingleTxtG"/>
        <w:numPr>
          <w:ilvl w:val="0"/>
          <w:numId w:val="40"/>
        </w:numPr>
        <w:ind w:left="1134" w:firstLine="0"/>
        <w:rPr>
          <w:lang w:eastAsia="es-HN"/>
        </w:rPr>
      </w:pPr>
      <w:r w:rsidRPr="00BD0011">
        <w:rPr>
          <w:b/>
          <w:bCs/>
          <w:lang w:eastAsia="es-HN"/>
        </w:rPr>
        <w:t>Inciso d)</w:t>
      </w:r>
      <w:r w:rsidRPr="00BD0011">
        <w:rPr>
          <w:lang w:eastAsia="es-HN"/>
        </w:rPr>
        <w:t>, para el empoderamiento de mujeres y niñas con discapacidad, el Proyecto de Promoción del Desarrollo Socioeconómico de las Mujeres con Discapacidad en Honduras, formulado por SEDESOL con la Cooperación Española, busca contribuir al desarrollo socioeconómico de las mujeres con discapacidad y garantizar el acceso al mercado laboral en cinco municipios de Honduras; esto mediante la formación y asesorías para la creación de microempresas y/o la incorporación a un empleo formal.</w:t>
      </w:r>
    </w:p>
    <w:p w14:paraId="717C6872" w14:textId="58942547" w:rsidR="00BD0011" w:rsidRPr="00BD0011" w:rsidRDefault="00EB3380" w:rsidP="00EB3380">
      <w:pPr>
        <w:pStyle w:val="H23G"/>
        <w:rPr>
          <w:lang w:eastAsia="es-HN"/>
        </w:rPr>
      </w:pPr>
      <w:bookmarkStart w:id="16" w:name="_Toc147932958"/>
      <w:bookmarkStart w:id="17" w:name="_Toc148970472"/>
      <w:bookmarkEnd w:id="15"/>
      <w:r>
        <w:rPr>
          <w:lang w:eastAsia="es-HN"/>
        </w:rPr>
        <w:tab/>
      </w:r>
      <w:r>
        <w:rPr>
          <w:lang w:eastAsia="es-HN"/>
        </w:rPr>
        <w:tab/>
      </w:r>
      <w:r w:rsidR="00BD0011" w:rsidRPr="00BD0011">
        <w:rPr>
          <w:lang w:eastAsia="es-HN"/>
        </w:rPr>
        <w:t xml:space="preserve">Niños y niñas con discapacidad </w:t>
      </w:r>
      <w:r w:rsidR="00BD0011" w:rsidRPr="00BD0011">
        <w:rPr>
          <w:szCs w:val="24"/>
          <w:lang w:eastAsia="es-HN"/>
        </w:rPr>
        <w:t>(art. 7)</w:t>
      </w:r>
      <w:bookmarkEnd w:id="16"/>
      <w:bookmarkEnd w:id="17"/>
    </w:p>
    <w:p w14:paraId="4CBFE3D6" w14:textId="77777777" w:rsidR="00BD0011" w:rsidRPr="00BD0011" w:rsidRDefault="00BD0011" w:rsidP="00EB3380">
      <w:pPr>
        <w:pStyle w:val="SingleTxtG"/>
        <w:numPr>
          <w:ilvl w:val="0"/>
          <w:numId w:val="40"/>
        </w:numPr>
        <w:ind w:left="1134" w:firstLine="0"/>
        <w:rPr>
          <w:lang w:eastAsia="es-HN"/>
        </w:rPr>
      </w:pPr>
      <w:r w:rsidRPr="00BD0011">
        <w:rPr>
          <w:b/>
          <w:bCs/>
          <w:lang w:eastAsia="es-HN"/>
        </w:rPr>
        <w:t>Cuestión 4, inciso a)</w:t>
      </w:r>
      <w:r w:rsidRPr="00BD0011">
        <w:rPr>
          <w:lang w:eastAsia="es-HN"/>
        </w:rPr>
        <w:t>, para fomentar la participación e inclusión de los NNA, en septiembre de 2022, el CN realizó el Congreso Nacional Infantil, que aglutinó 128 NNA estudiantes, incluidos NNA con discapacidad, que representaron a los 128 congresistas de los 18 departamentos de Honduras.</w:t>
      </w:r>
    </w:p>
    <w:p w14:paraId="78945D7C" w14:textId="77777777" w:rsidR="00BD0011" w:rsidRPr="00BD0011" w:rsidRDefault="00BD0011" w:rsidP="007631F0">
      <w:pPr>
        <w:pStyle w:val="SingleTxtG"/>
        <w:numPr>
          <w:ilvl w:val="0"/>
          <w:numId w:val="40"/>
        </w:numPr>
        <w:ind w:left="1134" w:firstLine="0"/>
        <w:rPr>
          <w:lang w:eastAsia="es-HN"/>
        </w:rPr>
      </w:pPr>
      <w:r w:rsidRPr="00BD0011">
        <w:rPr>
          <w:lang w:eastAsia="es-HN"/>
        </w:rPr>
        <w:lastRenderedPageBreak/>
        <w:t xml:space="preserve">De las necesidades expuestas en el Congreso Nacional Infantil, se creó la Mesa Interinstitucional por la Niñez de Honduras el 20 de septiembre de 2022, mediante la firma del Compromiso Bicentenario por la Niñez Hondureña. </w:t>
      </w:r>
    </w:p>
    <w:p w14:paraId="6ED34898" w14:textId="77777777" w:rsidR="00BD0011" w:rsidRPr="00BD0011" w:rsidRDefault="00BD0011" w:rsidP="007631F0">
      <w:pPr>
        <w:pStyle w:val="SingleTxtG"/>
        <w:numPr>
          <w:ilvl w:val="0"/>
          <w:numId w:val="40"/>
        </w:numPr>
        <w:ind w:left="1134" w:firstLine="0"/>
        <w:rPr>
          <w:lang w:eastAsia="es-HN"/>
        </w:rPr>
      </w:pPr>
      <w:r w:rsidRPr="00BD0011">
        <w:rPr>
          <w:lang w:eastAsia="es-HN"/>
        </w:rPr>
        <w:t>La Mesa está integrada por las comisiones del CN (Comisión de la Familia, la Niñez, Juventud y Adulto Mayor; Comisión de Educación; Comisión de Justicia y Derechos Humanos; Comisión Legislativa de Migración; y la Agenda Social de Presidencia); por la Subsecretaría de la Presidencia de la República, la Dirección de Niñez, Adolescencia y Familia (DINAF) y la SEDUC por parte del Poder Ejecutivo; por las OSC que atienden los temas de niñez, aglutinadas en la Coordinación de instituciones privadas pro niñas, niños, adolescentes, jóvenes y sus derechos (COIPRODEN); y por los cooperantes nacionales e internacionales.</w:t>
      </w:r>
    </w:p>
    <w:p w14:paraId="3A94D473" w14:textId="77777777" w:rsidR="00BD0011" w:rsidRPr="00BD0011" w:rsidRDefault="00BD0011" w:rsidP="007631F0">
      <w:pPr>
        <w:pStyle w:val="SingleTxtG"/>
        <w:numPr>
          <w:ilvl w:val="0"/>
          <w:numId w:val="40"/>
        </w:numPr>
        <w:ind w:left="1134" w:firstLine="0"/>
        <w:rPr>
          <w:lang w:eastAsia="es-HN"/>
        </w:rPr>
      </w:pPr>
      <w:r w:rsidRPr="00BD0011">
        <w:rPr>
          <w:lang w:eastAsia="es-HN"/>
        </w:rPr>
        <w:t>La conformación de esta mesa tiene por objeto unir esfuerzos en pro de garantizar los derechos de la niñez que se encuentra en condición de vulnerabilidad, impulsar la colaboración institucional de manera integral, con el fin de brindar atención y protección a la niñez hondureña, la cual ha sido retornada al país o que se encuentran en ruta migratoria —garantiza los derechos de la niñez extranjera en tránsito por el territorio nacional en calidad de migrante—. Asimismo, para abordar temas prioritarios que, de manera integral, garanticen los derechos de los NNA en general, conforme con la legislación nacional e internacional adoptada por Honduras.</w:t>
      </w:r>
    </w:p>
    <w:p w14:paraId="7AA70289" w14:textId="77777777" w:rsidR="00BD0011" w:rsidRPr="00BD0011" w:rsidRDefault="00BD0011" w:rsidP="007631F0">
      <w:pPr>
        <w:pStyle w:val="SingleTxtG"/>
        <w:numPr>
          <w:ilvl w:val="0"/>
          <w:numId w:val="40"/>
        </w:numPr>
        <w:ind w:left="1134" w:firstLine="0"/>
        <w:rPr>
          <w:lang w:eastAsia="es-HN"/>
        </w:rPr>
      </w:pPr>
      <w:r w:rsidRPr="00BD0011">
        <w:rPr>
          <w:b/>
          <w:bCs/>
          <w:lang w:eastAsia="es-HN"/>
        </w:rPr>
        <w:t>Inciso c)</w:t>
      </w:r>
      <w:r w:rsidRPr="00BD0011">
        <w:rPr>
          <w:lang w:eastAsia="es-HN"/>
        </w:rPr>
        <w:t>, sobre la adopción de medidas de protección de los NNA, incluida los NNA con discapacidad, el DINAF ha construido la Política Nacional para la Garantía de Derechos de Niñez y Adolescencia, que se encuentra en proceso de actualización de indicadores y revisión presupuestaria.</w:t>
      </w:r>
    </w:p>
    <w:p w14:paraId="74193BE6" w14:textId="77777777" w:rsidR="00BD0011" w:rsidRPr="00BD0011" w:rsidRDefault="00BD0011" w:rsidP="007631F0">
      <w:pPr>
        <w:pStyle w:val="SingleTxtG"/>
        <w:numPr>
          <w:ilvl w:val="0"/>
          <w:numId w:val="40"/>
        </w:numPr>
        <w:ind w:left="1134" w:firstLine="0"/>
        <w:rPr>
          <w:lang w:eastAsia="es-HN"/>
        </w:rPr>
      </w:pPr>
      <w:r w:rsidRPr="00BD0011">
        <w:rPr>
          <w:b/>
          <w:bCs/>
          <w:lang w:eastAsia="es-HN"/>
        </w:rPr>
        <w:t>Inciso d)</w:t>
      </w:r>
      <w:r w:rsidRPr="00BD0011">
        <w:rPr>
          <w:lang w:eastAsia="es-HN"/>
        </w:rPr>
        <w:t xml:space="preserve">, para asegurar la participación efectiva de los NNA con discapacidad en procesos judiciales, la ley establece que deben ser escuchados si su madurez lo permite en todos los procesos judiciales.  Asimismo, los jueces deben tener en cuenta sus opiniones al momento de tomar decisiones, y en caso de que sean víctimas en procesos penales, el órgano jurisdiccional competente debe oír previamente al representante del menor o de la </w:t>
      </w:r>
      <w:proofErr w:type="spellStart"/>
      <w:r w:rsidRPr="00BD0011">
        <w:rPr>
          <w:lang w:eastAsia="es-HN"/>
        </w:rPr>
        <w:t>PcD</w:t>
      </w:r>
      <w:proofErr w:type="spellEnd"/>
      <w:r w:rsidRPr="00BD0011">
        <w:rPr>
          <w:lang w:eastAsia="es-HN"/>
        </w:rPr>
        <w:t>.</w:t>
      </w:r>
    </w:p>
    <w:p w14:paraId="071BE9C2" w14:textId="72E8413D" w:rsidR="00BD0011" w:rsidRPr="00BD0011" w:rsidRDefault="007631F0" w:rsidP="007631F0">
      <w:pPr>
        <w:pStyle w:val="H23G"/>
        <w:rPr>
          <w:lang w:eastAsia="es-HN"/>
        </w:rPr>
      </w:pPr>
      <w:bookmarkStart w:id="18" w:name="_Toc147932959"/>
      <w:bookmarkStart w:id="19" w:name="_Toc148970473"/>
      <w:r>
        <w:rPr>
          <w:lang w:eastAsia="es-HN"/>
        </w:rPr>
        <w:tab/>
      </w:r>
      <w:r>
        <w:rPr>
          <w:lang w:eastAsia="es-HN"/>
        </w:rPr>
        <w:tab/>
      </w:r>
      <w:r w:rsidR="00BD0011" w:rsidRPr="00BD0011">
        <w:rPr>
          <w:lang w:eastAsia="es-HN"/>
        </w:rPr>
        <w:t xml:space="preserve">Toma de conciencia </w:t>
      </w:r>
      <w:r w:rsidR="00BD0011" w:rsidRPr="00BD0011">
        <w:rPr>
          <w:szCs w:val="24"/>
          <w:lang w:eastAsia="es-HN"/>
        </w:rPr>
        <w:t>(art. 8)</w:t>
      </w:r>
      <w:bookmarkEnd w:id="18"/>
      <w:bookmarkEnd w:id="19"/>
    </w:p>
    <w:p w14:paraId="54E36D0D" w14:textId="77777777" w:rsidR="00BD0011" w:rsidRPr="00BD0011" w:rsidRDefault="00BD0011" w:rsidP="007631F0">
      <w:pPr>
        <w:pStyle w:val="SingleTxtG"/>
        <w:numPr>
          <w:ilvl w:val="0"/>
          <w:numId w:val="40"/>
        </w:numPr>
        <w:ind w:left="1134" w:firstLine="0"/>
        <w:rPr>
          <w:lang w:eastAsia="es-HN"/>
        </w:rPr>
      </w:pPr>
      <w:r w:rsidRPr="00BD0011">
        <w:rPr>
          <w:b/>
          <w:bCs/>
          <w:lang w:eastAsia="es-HN"/>
        </w:rPr>
        <w:t>Cuestión 5, inciso a)</w:t>
      </w:r>
      <w:r w:rsidRPr="00BD0011">
        <w:rPr>
          <w:lang w:eastAsia="es-HN"/>
        </w:rPr>
        <w:t xml:space="preserve">, para erradicar los prejuicios y estereotipos hacia las </w:t>
      </w:r>
      <w:proofErr w:type="spellStart"/>
      <w:r w:rsidRPr="00BD0011">
        <w:rPr>
          <w:lang w:eastAsia="es-HN"/>
        </w:rPr>
        <w:t>PcD</w:t>
      </w:r>
      <w:proofErr w:type="spellEnd"/>
      <w:r w:rsidRPr="00BD0011">
        <w:rPr>
          <w:lang w:eastAsia="es-HN"/>
        </w:rPr>
        <w:t xml:space="preserve">, a nivel interinstitucional, el Estado trabaja en un programa de sensibilización sobre los términos correctos que se deben usar al referirse a las </w:t>
      </w:r>
      <w:proofErr w:type="spellStart"/>
      <w:r w:rsidRPr="00BD0011">
        <w:rPr>
          <w:lang w:eastAsia="es-HN"/>
        </w:rPr>
        <w:t>PcD</w:t>
      </w:r>
      <w:proofErr w:type="spellEnd"/>
      <w:r w:rsidRPr="00BD0011">
        <w:rPr>
          <w:lang w:eastAsia="es-HN"/>
        </w:rPr>
        <w:t>. La campaña de sensibilización deberá abarcar tanto instituciones públicas como privadas, así como la población en general, la cual será difundida a través de medios de comunicación, plataformas digitales y redes sociales.</w:t>
      </w:r>
    </w:p>
    <w:p w14:paraId="33DB60B1" w14:textId="77777777" w:rsidR="00BD0011" w:rsidRPr="00BD0011" w:rsidRDefault="00BD0011" w:rsidP="007631F0">
      <w:pPr>
        <w:pStyle w:val="SingleTxtG"/>
        <w:numPr>
          <w:ilvl w:val="0"/>
          <w:numId w:val="40"/>
        </w:numPr>
        <w:ind w:left="1134" w:firstLine="0"/>
        <w:rPr>
          <w:lang w:eastAsia="es-HN"/>
        </w:rPr>
      </w:pPr>
      <w:r w:rsidRPr="00BD0011">
        <w:rPr>
          <w:lang w:eastAsia="es-HN"/>
        </w:rPr>
        <w:t>El 29 y 30 de noviembre de 2022 se desarrolló en Ciudad Mujer el primer Encuentro de Mujeres con Discapacidad en Honduras, impulsado por OSC como Colectiva Mariposa 88HN y FENAPAPEDISH, junto con la SEDUC y la DIGEDEPDI, para abordar la legislación nacional y garantizar la seguridad integral de las niñas, adolescentes y mujeres con discapacidad</w:t>
      </w:r>
      <w:r w:rsidRPr="00BD0011">
        <w:rPr>
          <w:vertAlign w:val="superscript"/>
          <w:lang w:eastAsia="es-HN"/>
        </w:rPr>
        <w:footnoteReference w:id="13"/>
      </w:r>
      <w:r w:rsidRPr="00BD0011">
        <w:rPr>
          <w:lang w:eastAsia="es-HN"/>
        </w:rPr>
        <w:t>.</w:t>
      </w:r>
    </w:p>
    <w:p w14:paraId="02193F65" w14:textId="77777777" w:rsidR="00BD0011" w:rsidRPr="00BD0011" w:rsidRDefault="00BD0011" w:rsidP="007631F0">
      <w:pPr>
        <w:pStyle w:val="SingleTxtG"/>
        <w:numPr>
          <w:ilvl w:val="0"/>
          <w:numId w:val="40"/>
        </w:numPr>
        <w:ind w:left="1134" w:firstLine="0"/>
        <w:rPr>
          <w:lang w:eastAsia="es-HN"/>
        </w:rPr>
      </w:pPr>
      <w:r w:rsidRPr="00BD0011">
        <w:rPr>
          <w:lang w:eastAsia="es-HN"/>
        </w:rPr>
        <w:t>El 25 de julio de 2023, en el marco de la conmemoración del Día Internacional de la Mujer Afrodescendiente, SEDESOL y la Secretaría de las Culturas, las Artes y los Patrimonios de los Pueblos de Honduras (SECAPPH)</w:t>
      </w:r>
      <w:r w:rsidRPr="00BD0011">
        <w:rPr>
          <w:vertAlign w:val="superscript"/>
          <w:lang w:eastAsia="es-HN"/>
        </w:rPr>
        <w:footnoteReference w:id="14"/>
      </w:r>
      <w:r w:rsidRPr="00BD0011">
        <w:rPr>
          <w:lang w:eastAsia="es-HN"/>
        </w:rPr>
        <w:t xml:space="preserve"> sostuvieron un diálogo para crear un espacio de trabajo junto con mujeres afro hondureñas e indígenas con discapacidad, para garantizar la reivindicación de la identidad sobre la lucha de las mujeres afrolatinas, afrocaribeñas e indígenas y de la diáspora.</w:t>
      </w:r>
    </w:p>
    <w:p w14:paraId="1DA1B80C" w14:textId="77777777" w:rsidR="00BD0011" w:rsidRPr="00BD0011" w:rsidRDefault="00BD0011" w:rsidP="007631F0">
      <w:pPr>
        <w:pStyle w:val="SingleTxtG"/>
        <w:numPr>
          <w:ilvl w:val="0"/>
          <w:numId w:val="40"/>
        </w:numPr>
        <w:ind w:left="1134" w:firstLine="0"/>
        <w:rPr>
          <w:lang w:eastAsia="es-HN"/>
        </w:rPr>
      </w:pPr>
      <w:r w:rsidRPr="00BD0011">
        <w:rPr>
          <w:b/>
          <w:bCs/>
          <w:lang w:eastAsia="es-HN"/>
        </w:rPr>
        <w:t>Inciso b)</w:t>
      </w:r>
      <w:r w:rsidRPr="00BD0011">
        <w:rPr>
          <w:lang w:eastAsia="es-HN"/>
        </w:rPr>
        <w:t xml:space="preserve">, en relación con la conmemoración del Día Internacional de las </w:t>
      </w:r>
      <w:proofErr w:type="spellStart"/>
      <w:r w:rsidRPr="00BD0011">
        <w:rPr>
          <w:lang w:eastAsia="es-HN"/>
        </w:rPr>
        <w:t>PcD</w:t>
      </w:r>
      <w:proofErr w:type="spellEnd"/>
      <w:r w:rsidRPr="00BD0011">
        <w:rPr>
          <w:lang w:eastAsia="es-HN"/>
        </w:rPr>
        <w:t xml:space="preserve">, celebrado el 03 de diciembre de 2023, SEDESOL realizó el segundo Festival de la Solidaridad SOLIFEST-HN, en coordinación con más de 20 organizaciones del sector discapacidad y con el apoyo de un reconocido medio de comunicación, con el objetivo de </w:t>
      </w:r>
      <w:r w:rsidRPr="00BD0011">
        <w:rPr>
          <w:lang w:eastAsia="es-HN"/>
        </w:rPr>
        <w:lastRenderedPageBreak/>
        <w:t xml:space="preserve">generar conciencia y visibilizar las habilidades, talentos, productos y servicios que ofrecen las </w:t>
      </w:r>
      <w:proofErr w:type="spellStart"/>
      <w:r w:rsidRPr="00BD0011">
        <w:rPr>
          <w:lang w:eastAsia="es-HN"/>
        </w:rPr>
        <w:t>PcD</w:t>
      </w:r>
      <w:proofErr w:type="spellEnd"/>
      <w:r w:rsidRPr="00BD0011">
        <w:rPr>
          <w:lang w:eastAsia="es-HN"/>
        </w:rPr>
        <w:t xml:space="preserve"> a la sociedad. Por lo anterior, se posiciona el tema de la discapacidad en la agenda pública del Gobierno Solidario.</w:t>
      </w:r>
    </w:p>
    <w:p w14:paraId="601E5A3C" w14:textId="77777777" w:rsidR="00BD0011" w:rsidRPr="00BD0011" w:rsidRDefault="00BD0011" w:rsidP="007631F0">
      <w:pPr>
        <w:pStyle w:val="SingleTxtG"/>
        <w:numPr>
          <w:ilvl w:val="0"/>
          <w:numId w:val="40"/>
        </w:numPr>
        <w:ind w:left="1134" w:firstLine="0"/>
        <w:rPr>
          <w:lang w:eastAsia="es-HN"/>
        </w:rPr>
      </w:pPr>
      <w:r w:rsidRPr="00BD0011">
        <w:rPr>
          <w:b/>
          <w:bCs/>
          <w:lang w:eastAsia="es-HN"/>
        </w:rPr>
        <w:t>Inciso c)</w:t>
      </w:r>
      <w:r w:rsidRPr="00BD0011">
        <w:rPr>
          <w:lang w:eastAsia="es-HN"/>
        </w:rPr>
        <w:t xml:space="preserve">, sobre los programas de formación, a través del proceso </w:t>
      </w:r>
      <w:r w:rsidRPr="00BD0011">
        <w:rPr>
          <w:i/>
          <w:iCs/>
          <w:lang w:eastAsia="es-HN"/>
        </w:rPr>
        <w:t>Hablemos de inclusión y discapacidad</w:t>
      </w:r>
      <w:r w:rsidRPr="00BD0011">
        <w:rPr>
          <w:lang w:eastAsia="es-HN"/>
        </w:rPr>
        <w:t xml:space="preserve">, se han capacitado a 250 servidores/as públicos/as en el abordaje y terminologías con enfoque de derechos humanos, lenguaje inclusivo, accesibilidad universal y ajustes razonables. </w:t>
      </w:r>
    </w:p>
    <w:p w14:paraId="07789148" w14:textId="77777777" w:rsidR="00BD0011" w:rsidRPr="00BD0011" w:rsidRDefault="00BD0011" w:rsidP="007631F0">
      <w:pPr>
        <w:pStyle w:val="SingleTxtG"/>
        <w:numPr>
          <w:ilvl w:val="0"/>
          <w:numId w:val="40"/>
        </w:numPr>
        <w:ind w:left="1134" w:firstLine="0"/>
        <w:rPr>
          <w:lang w:eastAsia="es-HN"/>
        </w:rPr>
      </w:pPr>
      <w:r w:rsidRPr="00BD0011">
        <w:rPr>
          <w:lang w:eastAsia="es-HN"/>
        </w:rPr>
        <w:t xml:space="preserve">Además, SEDESOL cuenta con el manual </w:t>
      </w:r>
      <w:r w:rsidRPr="00BD0011">
        <w:rPr>
          <w:i/>
          <w:iCs/>
          <w:lang w:eastAsia="es-HN"/>
        </w:rPr>
        <w:t>Tipos de discapacidad y protocolo</w:t>
      </w:r>
      <w:r w:rsidRPr="00BD0011">
        <w:rPr>
          <w:lang w:eastAsia="es-HN"/>
        </w:rPr>
        <w:t>, elaborado con apoyo de la OIT en el ámbito del proyecto del empleo y la protección social, en el marco integral de respuesta a los refugiados en Centroamérica y México. El manual incluye tipos de discapacidad, el uso de lenguaje incluyente y una guía de términos positivos</w:t>
      </w:r>
      <w:r w:rsidRPr="00BD0011">
        <w:rPr>
          <w:vertAlign w:val="superscript"/>
          <w:lang w:eastAsia="es-HN"/>
        </w:rPr>
        <w:footnoteReference w:id="15"/>
      </w:r>
      <w:r w:rsidRPr="00BD0011">
        <w:rPr>
          <w:lang w:eastAsia="es-HN"/>
        </w:rPr>
        <w:t xml:space="preserve">. </w:t>
      </w:r>
    </w:p>
    <w:p w14:paraId="376A36B2" w14:textId="77777777" w:rsidR="00BD0011" w:rsidRPr="00BD0011" w:rsidRDefault="00BD0011" w:rsidP="007631F0">
      <w:pPr>
        <w:pStyle w:val="SingleTxtG"/>
        <w:numPr>
          <w:ilvl w:val="0"/>
          <w:numId w:val="40"/>
        </w:numPr>
        <w:ind w:left="1134" w:firstLine="0"/>
        <w:rPr>
          <w:lang w:eastAsia="es-HN"/>
        </w:rPr>
      </w:pPr>
      <w:r w:rsidRPr="00BD0011">
        <w:rPr>
          <w:lang w:eastAsia="es-HN"/>
        </w:rPr>
        <w:t>La SEDH también capacita en temas de derechos humanos,</w:t>
      </w:r>
      <w:r w:rsidRPr="00BD0011">
        <w:rPr>
          <w:rFonts w:ascii="Calibri" w:eastAsia="Calibri" w:hAnsi="Calibri" w:cs="Calibri"/>
          <w:sz w:val="22"/>
          <w:szCs w:val="22"/>
          <w:lang w:eastAsia="es-HN"/>
        </w:rPr>
        <w:t xml:space="preserve"> </w:t>
      </w:r>
      <w:r w:rsidRPr="00BD0011">
        <w:rPr>
          <w:lang w:eastAsia="es-HN"/>
        </w:rPr>
        <w:t xml:space="preserve">dignidad humana, prevención de la discriminación, interseccionalidad, género y derechos de los grupos colocados en situación de vulnerabilidad, donde se aborda como grupo a las </w:t>
      </w:r>
      <w:proofErr w:type="spellStart"/>
      <w:r w:rsidRPr="00BD0011">
        <w:rPr>
          <w:lang w:eastAsia="es-HN"/>
        </w:rPr>
        <w:t>PcD</w:t>
      </w:r>
      <w:proofErr w:type="spellEnd"/>
      <w:r w:rsidRPr="00BD0011">
        <w:rPr>
          <w:lang w:eastAsia="es-HN"/>
        </w:rPr>
        <w:t>. Desde el 2022 a agosto de 2023 se capacitó a 15,217 personas, de los cuales, 5,253 son servidores/as públicos/as, 9,186 funcionarios/as encargados/as de hacer cumplir la ley y 778 personas de población en general.</w:t>
      </w:r>
    </w:p>
    <w:p w14:paraId="00C125B5" w14:textId="77777777" w:rsidR="00BD0011" w:rsidRPr="00BD0011" w:rsidRDefault="00BD0011" w:rsidP="007631F0">
      <w:pPr>
        <w:pStyle w:val="SingleTxtG"/>
        <w:numPr>
          <w:ilvl w:val="0"/>
          <w:numId w:val="40"/>
        </w:numPr>
        <w:ind w:left="1134" w:firstLine="0"/>
        <w:rPr>
          <w:lang w:eastAsia="es-HN"/>
        </w:rPr>
      </w:pPr>
      <w:r w:rsidRPr="00BD0011">
        <w:rPr>
          <w:lang w:eastAsia="es-HN"/>
        </w:rPr>
        <w:t xml:space="preserve">Por su parte, la Universidad Nacional Autónoma de Honduras (UNAH), a través del Comisionado Universitario, realiza capacitaciones, charlas y campañas para prevenir la discriminación de las </w:t>
      </w:r>
      <w:proofErr w:type="spellStart"/>
      <w:r w:rsidRPr="00BD0011">
        <w:rPr>
          <w:lang w:eastAsia="es-HN"/>
        </w:rPr>
        <w:t>PcD</w:t>
      </w:r>
      <w:proofErr w:type="spellEnd"/>
      <w:r w:rsidRPr="00BD0011">
        <w:rPr>
          <w:lang w:eastAsia="es-HN"/>
        </w:rPr>
        <w:t>, concientizando a los estudiantes, docentes y personal administrativo sobre el respeto de sus derechos y en generar conciencia sobre los ajustes razonables, en estricto cumplimiento de la normativa universitaria y la legislación en derechos humanos.</w:t>
      </w:r>
    </w:p>
    <w:p w14:paraId="0CD03878" w14:textId="77777777" w:rsidR="00BD0011" w:rsidRPr="00BD0011" w:rsidRDefault="00BD0011" w:rsidP="007631F0">
      <w:pPr>
        <w:pStyle w:val="SingleTxtG"/>
        <w:numPr>
          <w:ilvl w:val="0"/>
          <w:numId w:val="40"/>
        </w:numPr>
        <w:ind w:left="1134" w:firstLine="0"/>
        <w:rPr>
          <w:lang w:eastAsia="es-HN"/>
        </w:rPr>
      </w:pPr>
      <w:r w:rsidRPr="00BD0011">
        <w:rPr>
          <w:lang w:eastAsia="es-HN"/>
        </w:rPr>
        <w:t xml:space="preserve">En el presente año, el Comisionado Universitario ha trabajado en la elaboración de boletines relacionados con la temática de promoción y respeto de los derechos humanos de personas en situación de vulnerabilidad, entre ellos, el boletín especial sobre las </w:t>
      </w:r>
      <w:proofErr w:type="spellStart"/>
      <w:r w:rsidRPr="00BD0011">
        <w:rPr>
          <w:lang w:eastAsia="es-HN"/>
        </w:rPr>
        <w:t>PcD</w:t>
      </w:r>
      <w:proofErr w:type="spellEnd"/>
      <w:r w:rsidRPr="00BD0011">
        <w:rPr>
          <w:lang w:eastAsia="es-HN"/>
        </w:rPr>
        <w:t>, el que se encuentra pendiente de impresión y publicación.</w:t>
      </w:r>
    </w:p>
    <w:p w14:paraId="2B13116A" w14:textId="518EDC3F" w:rsidR="00BD0011" w:rsidRPr="00BD0011" w:rsidRDefault="0084495E" w:rsidP="0084495E">
      <w:pPr>
        <w:pStyle w:val="H23G"/>
        <w:rPr>
          <w:lang w:eastAsia="es-HN"/>
        </w:rPr>
      </w:pPr>
      <w:bookmarkStart w:id="20" w:name="_Toc147932960"/>
      <w:bookmarkStart w:id="21" w:name="_Toc148970474"/>
      <w:r>
        <w:rPr>
          <w:lang w:eastAsia="es-HN"/>
        </w:rPr>
        <w:tab/>
      </w:r>
      <w:r>
        <w:rPr>
          <w:lang w:eastAsia="es-HN"/>
        </w:rPr>
        <w:tab/>
      </w:r>
      <w:r w:rsidR="00BD0011" w:rsidRPr="00BD0011">
        <w:rPr>
          <w:lang w:eastAsia="es-HN"/>
        </w:rPr>
        <w:t xml:space="preserve">Accesibilidad </w:t>
      </w:r>
      <w:r w:rsidR="00BD0011" w:rsidRPr="00BD0011">
        <w:rPr>
          <w:szCs w:val="24"/>
          <w:lang w:eastAsia="es-HN"/>
        </w:rPr>
        <w:t>(art. 9)</w:t>
      </w:r>
      <w:bookmarkEnd w:id="20"/>
      <w:bookmarkEnd w:id="21"/>
    </w:p>
    <w:p w14:paraId="158FC8DE" w14:textId="77777777" w:rsidR="00BD0011" w:rsidRPr="00BD0011" w:rsidRDefault="00BD0011" w:rsidP="0084495E">
      <w:pPr>
        <w:pStyle w:val="SingleTxtG"/>
        <w:numPr>
          <w:ilvl w:val="0"/>
          <w:numId w:val="40"/>
        </w:numPr>
        <w:ind w:left="1134" w:firstLine="0"/>
        <w:rPr>
          <w:lang w:eastAsia="es-HN"/>
        </w:rPr>
      </w:pPr>
      <w:r w:rsidRPr="00BD0011">
        <w:rPr>
          <w:b/>
          <w:bCs/>
          <w:lang w:eastAsia="es-HN"/>
        </w:rPr>
        <w:t>Cuestión 6, inciso a)</w:t>
      </w:r>
      <w:r w:rsidRPr="00BD0011">
        <w:rPr>
          <w:lang w:eastAsia="es-HN"/>
        </w:rPr>
        <w:t xml:space="preserve">, respecto con la plena accesibilidad de las </w:t>
      </w:r>
      <w:proofErr w:type="spellStart"/>
      <w:r w:rsidRPr="00BD0011">
        <w:rPr>
          <w:lang w:eastAsia="es-HN"/>
        </w:rPr>
        <w:t>PcD</w:t>
      </w:r>
      <w:proofErr w:type="spellEnd"/>
      <w:r w:rsidRPr="00BD0011">
        <w:rPr>
          <w:lang w:eastAsia="es-HN"/>
        </w:rPr>
        <w:t xml:space="preserve">, la DIGEDEPDI, en coordinación con el BID, lanzaron el proyecto Mapea Tegucigalpa Accesible, que se encuentra en su fase piloto y busca promover y garantizar la accesibilidad de las </w:t>
      </w:r>
      <w:proofErr w:type="spellStart"/>
      <w:r w:rsidRPr="00BD0011">
        <w:rPr>
          <w:lang w:eastAsia="es-HN"/>
        </w:rPr>
        <w:t>PcD</w:t>
      </w:r>
      <w:proofErr w:type="spellEnd"/>
      <w:r w:rsidRPr="00BD0011">
        <w:rPr>
          <w:lang w:eastAsia="es-HN"/>
        </w:rPr>
        <w:t xml:space="preserve"> en la infraestructura social y pública de la ciudad de Tegucigalpa. A través de la primera aplicación universal de accesibilidad Mapp4all, se potencia mecanismos inclusivos que faciliten el día a día de las </w:t>
      </w:r>
      <w:proofErr w:type="spellStart"/>
      <w:r w:rsidRPr="00BD0011">
        <w:rPr>
          <w:lang w:eastAsia="es-HN"/>
        </w:rPr>
        <w:t>PcD</w:t>
      </w:r>
      <w:proofErr w:type="spellEnd"/>
      <w:r w:rsidRPr="00BD0011">
        <w:rPr>
          <w:lang w:eastAsia="es-HN"/>
        </w:rPr>
        <w:t>, para aumentar su autonomía, productividad y al mismo tiempo promover el desarrollo de sus comunidades.</w:t>
      </w:r>
    </w:p>
    <w:p w14:paraId="4819B511" w14:textId="77777777" w:rsidR="00BD0011" w:rsidRPr="00BD0011" w:rsidRDefault="00BD0011" w:rsidP="0084495E">
      <w:pPr>
        <w:pStyle w:val="SingleTxtG"/>
        <w:numPr>
          <w:ilvl w:val="0"/>
          <w:numId w:val="40"/>
        </w:numPr>
        <w:ind w:left="1134" w:firstLine="0"/>
        <w:rPr>
          <w:lang w:eastAsia="es-HN"/>
        </w:rPr>
      </w:pPr>
      <w:r w:rsidRPr="00BD0011">
        <w:rPr>
          <w:lang w:eastAsia="es-HN"/>
        </w:rPr>
        <w:t xml:space="preserve">Por otra parte, las </w:t>
      </w:r>
      <w:proofErr w:type="spellStart"/>
      <w:r w:rsidRPr="00BD0011">
        <w:rPr>
          <w:lang w:eastAsia="es-HN"/>
        </w:rPr>
        <w:t>PcD</w:t>
      </w:r>
      <w:proofErr w:type="spellEnd"/>
      <w:r w:rsidRPr="00BD0011">
        <w:rPr>
          <w:lang w:eastAsia="es-HN"/>
        </w:rPr>
        <w:t xml:space="preserve"> auditiva y del habla pueden tramitar permisos de conducir ante la Dirección Nacional de Vialidad y Transporte. Esta entidad cuenta con un instructor que imparte las charlas y capacitaciones para obtener la licencia de conducir en lengua de señas, además, es intérprete para las </w:t>
      </w:r>
      <w:proofErr w:type="spellStart"/>
      <w:r w:rsidRPr="00BD0011">
        <w:rPr>
          <w:lang w:eastAsia="es-HN"/>
        </w:rPr>
        <w:t>PcD</w:t>
      </w:r>
      <w:proofErr w:type="spellEnd"/>
      <w:r w:rsidRPr="00BD0011">
        <w:rPr>
          <w:lang w:eastAsia="es-HN"/>
        </w:rPr>
        <w:t xml:space="preserve"> que realizan diferentes trámites ante la Dirección. En la primera charla impartida en 2022, se otorgaron licencias a 21 </w:t>
      </w:r>
      <w:proofErr w:type="spellStart"/>
      <w:r w:rsidRPr="00BD0011">
        <w:rPr>
          <w:lang w:eastAsia="es-HN"/>
        </w:rPr>
        <w:t>PcD</w:t>
      </w:r>
      <w:proofErr w:type="spellEnd"/>
      <w:r w:rsidRPr="00BD0011">
        <w:rPr>
          <w:lang w:eastAsia="es-HN"/>
        </w:rPr>
        <w:t>.</w:t>
      </w:r>
    </w:p>
    <w:p w14:paraId="1D442927" w14:textId="77777777" w:rsidR="00BD0011" w:rsidRPr="00BD0011" w:rsidRDefault="00BD0011" w:rsidP="0084495E">
      <w:pPr>
        <w:pStyle w:val="SingleTxtG"/>
        <w:numPr>
          <w:ilvl w:val="0"/>
          <w:numId w:val="40"/>
        </w:numPr>
        <w:ind w:left="1134" w:firstLine="0"/>
        <w:rPr>
          <w:lang w:eastAsia="es-HN"/>
        </w:rPr>
      </w:pPr>
      <w:r w:rsidRPr="00BD0011">
        <w:rPr>
          <w:b/>
          <w:bCs/>
          <w:lang w:eastAsia="es-HN"/>
        </w:rPr>
        <w:t>Inciso c)</w:t>
      </w:r>
      <w:r w:rsidRPr="00BD0011">
        <w:rPr>
          <w:lang w:eastAsia="es-HN"/>
        </w:rPr>
        <w:t xml:space="preserve">, para garantizar el derecho a la información y lograr la accesibilidad a los portales de gobierno, el Instituto de Acceso a la Información Pública (IAIP) ha implementado un menú de accesibilidad al portal único de transparencia enfocado a </w:t>
      </w:r>
      <w:proofErr w:type="spellStart"/>
      <w:r w:rsidRPr="00BD0011">
        <w:rPr>
          <w:lang w:eastAsia="es-HN"/>
        </w:rPr>
        <w:t>PcD</w:t>
      </w:r>
      <w:proofErr w:type="spellEnd"/>
      <w:r w:rsidRPr="00BD0011">
        <w:rPr>
          <w:lang w:eastAsia="es-HN"/>
        </w:rPr>
        <w:t xml:space="preserve"> con dislexia, déficit de atención y daltonismo, al igual que un sistema de navegación por voz amigable para las personas ciegas.</w:t>
      </w:r>
    </w:p>
    <w:p w14:paraId="5AEB8267" w14:textId="5221D7B3" w:rsidR="00BD0011" w:rsidRPr="00BD0011" w:rsidRDefault="0084495E" w:rsidP="0084495E">
      <w:pPr>
        <w:pStyle w:val="H23G"/>
        <w:rPr>
          <w:lang w:eastAsia="es-HN"/>
        </w:rPr>
      </w:pPr>
      <w:bookmarkStart w:id="22" w:name="_Toc147932961"/>
      <w:bookmarkStart w:id="23" w:name="_Toc148970475"/>
      <w:r>
        <w:rPr>
          <w:lang w:eastAsia="es-HN"/>
        </w:rPr>
        <w:tab/>
      </w:r>
      <w:r>
        <w:rPr>
          <w:lang w:eastAsia="es-HN"/>
        </w:rPr>
        <w:tab/>
      </w:r>
      <w:r w:rsidR="00BD0011" w:rsidRPr="00BD0011">
        <w:rPr>
          <w:lang w:eastAsia="es-HN"/>
        </w:rPr>
        <w:t xml:space="preserve">Derecho a la vida </w:t>
      </w:r>
      <w:r w:rsidR="00BD0011" w:rsidRPr="00BD0011">
        <w:rPr>
          <w:szCs w:val="24"/>
          <w:lang w:eastAsia="es-HN"/>
        </w:rPr>
        <w:t>(art. 10)</w:t>
      </w:r>
      <w:bookmarkEnd w:id="22"/>
      <w:bookmarkEnd w:id="23"/>
    </w:p>
    <w:p w14:paraId="17F67CF7" w14:textId="77777777" w:rsidR="00BD0011" w:rsidRPr="00BD0011" w:rsidRDefault="00BD0011" w:rsidP="0084495E">
      <w:pPr>
        <w:pStyle w:val="SingleTxtG"/>
        <w:numPr>
          <w:ilvl w:val="0"/>
          <w:numId w:val="40"/>
        </w:numPr>
        <w:ind w:left="1134" w:firstLine="0"/>
        <w:rPr>
          <w:lang w:eastAsia="es-HN"/>
        </w:rPr>
      </w:pPr>
      <w:r w:rsidRPr="00BD0011">
        <w:rPr>
          <w:b/>
          <w:bCs/>
          <w:lang w:eastAsia="es-HN"/>
        </w:rPr>
        <w:t>Cuestión 7</w:t>
      </w:r>
      <w:r w:rsidRPr="00BD0011">
        <w:rPr>
          <w:lang w:eastAsia="es-HN"/>
        </w:rPr>
        <w:t xml:space="preserve">, respecto con la investigación de los delitos contra las </w:t>
      </w:r>
      <w:proofErr w:type="spellStart"/>
      <w:r w:rsidRPr="00BD0011">
        <w:rPr>
          <w:lang w:eastAsia="es-HN"/>
        </w:rPr>
        <w:t>PcD</w:t>
      </w:r>
      <w:proofErr w:type="spellEnd"/>
      <w:r w:rsidRPr="00BD0011">
        <w:rPr>
          <w:lang w:eastAsia="es-HN"/>
        </w:rPr>
        <w:t xml:space="preserve">, estos son investigados por el Ministerio Publico (MP), a través de la Fiscalía Especial de Delitos Contra la Vida (FEDCV). Los casos que actualmente se conocen representan un número reducido </w:t>
      </w:r>
      <w:r w:rsidRPr="00BD0011">
        <w:rPr>
          <w:lang w:eastAsia="es-HN"/>
        </w:rPr>
        <w:lastRenderedPageBreak/>
        <w:t>de eventos criminales, y hasta el momento no se relacionan con circunstancias como extorsión y bandas criminales. En cuanto a los casos en centros de salud mental, el MP reporta un caso que se encuentra judicializado.</w:t>
      </w:r>
    </w:p>
    <w:p w14:paraId="6624D783" w14:textId="77777777" w:rsidR="00BD0011" w:rsidRPr="00BD0011" w:rsidRDefault="00BD0011" w:rsidP="009D6FD8">
      <w:pPr>
        <w:pStyle w:val="SingleTxtG"/>
        <w:numPr>
          <w:ilvl w:val="0"/>
          <w:numId w:val="40"/>
        </w:numPr>
        <w:ind w:left="1134" w:firstLine="0"/>
        <w:rPr>
          <w:lang w:eastAsia="es-HN"/>
        </w:rPr>
      </w:pPr>
      <w:r w:rsidRPr="00BD0011">
        <w:rPr>
          <w:lang w:eastAsia="es-HN"/>
        </w:rPr>
        <w:t xml:space="preserve">La FEDCV trabaja de manera proactiva, ya que conduce sus investigaciones para identificar, de manera objetiva, a los autores y partícipes de los delitos. Para esto se coordina con otras fiscalías como la Fiscalía de Protección a la Mujer; Fiscalía Especial de Protección al Consumidor y Tercera Edad; y la Fiscalía Especial de Derechos Humanos (FEDH), que investiga los delitos cometidos en perjuicio de las </w:t>
      </w:r>
      <w:proofErr w:type="spellStart"/>
      <w:r w:rsidRPr="00BD0011">
        <w:rPr>
          <w:lang w:eastAsia="es-HN"/>
        </w:rPr>
        <w:t>PcD</w:t>
      </w:r>
      <w:proofErr w:type="spellEnd"/>
      <w:r w:rsidRPr="00BD0011">
        <w:rPr>
          <w:lang w:eastAsia="es-HN"/>
        </w:rPr>
        <w:t>.</w:t>
      </w:r>
    </w:p>
    <w:p w14:paraId="2E6C96E1" w14:textId="77777777" w:rsidR="00BD0011" w:rsidRPr="00BD0011" w:rsidRDefault="00BD0011" w:rsidP="009D6FD8">
      <w:pPr>
        <w:pStyle w:val="SingleTxtG"/>
        <w:numPr>
          <w:ilvl w:val="0"/>
          <w:numId w:val="40"/>
        </w:numPr>
        <w:ind w:left="1134" w:firstLine="0"/>
        <w:rPr>
          <w:lang w:eastAsia="es-HN"/>
        </w:rPr>
      </w:pPr>
      <w:r w:rsidRPr="00BD0011">
        <w:rPr>
          <w:lang w:eastAsia="es-HN"/>
        </w:rPr>
        <w:t xml:space="preserve">Desde la Mesa Nacional Interinstitucional de Prevención y Abordaje de Conflictos Sociales se realizan los análisis y recomendaciones a la SEDS para que pueda realizar las acciones pertinentes para garantizar el derecho a la vida de las </w:t>
      </w:r>
      <w:proofErr w:type="spellStart"/>
      <w:r w:rsidRPr="00BD0011">
        <w:rPr>
          <w:lang w:eastAsia="es-HN"/>
        </w:rPr>
        <w:t>PcD</w:t>
      </w:r>
      <w:proofErr w:type="spellEnd"/>
      <w:r w:rsidRPr="00BD0011">
        <w:rPr>
          <w:lang w:eastAsia="es-HN"/>
        </w:rPr>
        <w:t>.</w:t>
      </w:r>
    </w:p>
    <w:p w14:paraId="16E50ADC" w14:textId="61E117A1" w:rsidR="00BD0011" w:rsidRPr="00BD0011" w:rsidRDefault="00D16773" w:rsidP="00D16773">
      <w:pPr>
        <w:pStyle w:val="H23G"/>
        <w:rPr>
          <w:lang w:eastAsia="es-HN"/>
        </w:rPr>
      </w:pPr>
      <w:bookmarkStart w:id="24" w:name="_Toc147932962"/>
      <w:bookmarkStart w:id="25" w:name="_Toc148970476"/>
      <w:r>
        <w:rPr>
          <w:lang w:eastAsia="es-HN"/>
        </w:rPr>
        <w:tab/>
      </w:r>
      <w:r>
        <w:rPr>
          <w:lang w:eastAsia="es-HN"/>
        </w:rPr>
        <w:tab/>
      </w:r>
      <w:r w:rsidR="00BD0011" w:rsidRPr="00BD0011">
        <w:rPr>
          <w:lang w:eastAsia="es-HN"/>
        </w:rPr>
        <w:t xml:space="preserve">Situaciones de riesgo y emergencias humanitarias </w:t>
      </w:r>
      <w:r w:rsidR="00BD0011" w:rsidRPr="00BD0011">
        <w:rPr>
          <w:szCs w:val="24"/>
          <w:lang w:eastAsia="es-HN"/>
        </w:rPr>
        <w:t>(art. 11)</w:t>
      </w:r>
      <w:bookmarkEnd w:id="24"/>
      <w:bookmarkEnd w:id="25"/>
    </w:p>
    <w:p w14:paraId="6BDE5A95" w14:textId="77777777" w:rsidR="00BD0011" w:rsidRPr="00BD0011" w:rsidRDefault="00BD0011" w:rsidP="00D16773">
      <w:pPr>
        <w:pStyle w:val="SingleTxtG"/>
        <w:numPr>
          <w:ilvl w:val="0"/>
          <w:numId w:val="40"/>
        </w:numPr>
        <w:ind w:left="1134" w:firstLine="0"/>
        <w:rPr>
          <w:lang w:eastAsia="es-HN"/>
        </w:rPr>
      </w:pPr>
      <w:r w:rsidRPr="00BD0011">
        <w:rPr>
          <w:b/>
          <w:bCs/>
          <w:lang w:eastAsia="es-HN"/>
        </w:rPr>
        <w:t>Cuestión 8, inciso a)</w:t>
      </w:r>
      <w:r w:rsidRPr="00BD0011">
        <w:rPr>
          <w:lang w:eastAsia="es-HN"/>
        </w:rPr>
        <w:t xml:space="preserve">, en relación con los protocolos de atención de las </w:t>
      </w:r>
      <w:proofErr w:type="spellStart"/>
      <w:r w:rsidRPr="00BD0011">
        <w:rPr>
          <w:lang w:eastAsia="es-HN"/>
        </w:rPr>
        <w:t>PcD</w:t>
      </w:r>
      <w:proofErr w:type="spellEnd"/>
      <w:r w:rsidRPr="00BD0011">
        <w:rPr>
          <w:lang w:eastAsia="es-HN"/>
        </w:rPr>
        <w:t>, actualmente, SEDESOL y COPECO</w:t>
      </w:r>
      <w:r w:rsidRPr="00BD0011">
        <w:rPr>
          <w:rFonts w:ascii="Calibri" w:eastAsia="Calibri" w:hAnsi="Calibri" w:cs="Calibri"/>
          <w:sz w:val="22"/>
          <w:szCs w:val="22"/>
          <w:lang w:eastAsia="es-HN"/>
        </w:rPr>
        <w:t xml:space="preserve"> </w:t>
      </w:r>
      <w:r w:rsidRPr="00BD0011">
        <w:rPr>
          <w:lang w:eastAsia="es-HN"/>
        </w:rPr>
        <w:t>están trabajando en un protocolo de intervención eficaz, para dar respuestas a la población de los sectores más vulnerables.</w:t>
      </w:r>
    </w:p>
    <w:p w14:paraId="4C45FCF7" w14:textId="77777777" w:rsidR="00BD0011" w:rsidRPr="00BD0011" w:rsidRDefault="00BD0011" w:rsidP="00D16773">
      <w:pPr>
        <w:pStyle w:val="SingleTxtG"/>
        <w:numPr>
          <w:ilvl w:val="0"/>
          <w:numId w:val="40"/>
        </w:numPr>
        <w:ind w:left="1134" w:firstLine="0"/>
        <w:rPr>
          <w:lang w:eastAsia="es-HN"/>
        </w:rPr>
      </w:pPr>
      <w:r w:rsidRPr="00BD0011">
        <w:rPr>
          <w:lang w:eastAsia="es-HN"/>
        </w:rPr>
        <w:t>Cabe señalar que durante la pandemia por la COVID-19, el MP atendió las denuncias recibidas a través del sistema 911 y realizó inspecciones a lugares de cuarentena para constatar la situación en que se encontraban grupos vulnerables, especialmente los NNA.</w:t>
      </w:r>
    </w:p>
    <w:p w14:paraId="34066CDE" w14:textId="2BEFB19F" w:rsidR="00BD0011" w:rsidRPr="00BD0011" w:rsidRDefault="00D16773" w:rsidP="00D16773">
      <w:pPr>
        <w:pStyle w:val="H23G"/>
        <w:rPr>
          <w:lang w:eastAsia="es-HN"/>
        </w:rPr>
      </w:pPr>
      <w:bookmarkStart w:id="26" w:name="_Toc147932963"/>
      <w:bookmarkStart w:id="27" w:name="_Toc148970477"/>
      <w:r>
        <w:rPr>
          <w:lang w:eastAsia="es-HN"/>
        </w:rPr>
        <w:tab/>
      </w:r>
      <w:r>
        <w:rPr>
          <w:lang w:eastAsia="es-HN"/>
        </w:rPr>
        <w:tab/>
      </w:r>
      <w:r w:rsidR="00BD0011" w:rsidRPr="00BD0011">
        <w:rPr>
          <w:lang w:eastAsia="es-HN"/>
        </w:rPr>
        <w:t xml:space="preserve">Igual reconocimiento como persona ante la ley </w:t>
      </w:r>
      <w:r w:rsidR="00BD0011" w:rsidRPr="00BD0011">
        <w:rPr>
          <w:szCs w:val="24"/>
          <w:lang w:eastAsia="es-HN"/>
        </w:rPr>
        <w:t>(art. 12)</w:t>
      </w:r>
      <w:bookmarkEnd w:id="26"/>
      <w:bookmarkEnd w:id="27"/>
    </w:p>
    <w:p w14:paraId="758B5205" w14:textId="77777777" w:rsidR="00BD0011" w:rsidRPr="00BD0011" w:rsidRDefault="00BD0011" w:rsidP="00D16773">
      <w:pPr>
        <w:pStyle w:val="SingleTxtG"/>
        <w:numPr>
          <w:ilvl w:val="0"/>
          <w:numId w:val="40"/>
        </w:numPr>
        <w:ind w:left="1134" w:firstLine="0"/>
        <w:rPr>
          <w:lang w:eastAsia="es-HN"/>
        </w:rPr>
      </w:pPr>
      <w:r w:rsidRPr="00BD0011">
        <w:rPr>
          <w:b/>
          <w:bCs/>
          <w:lang w:eastAsia="es-HN"/>
        </w:rPr>
        <w:t>Cuestión 9, inciso a)</w:t>
      </w:r>
      <w:r w:rsidRPr="00BD0011">
        <w:rPr>
          <w:lang w:eastAsia="es-HN"/>
        </w:rPr>
        <w:t>,</w:t>
      </w:r>
      <w:r w:rsidRPr="00BD0011">
        <w:rPr>
          <w:rFonts w:ascii="Calibri" w:eastAsia="Calibri" w:hAnsi="Calibri" w:cs="Calibri"/>
          <w:sz w:val="22"/>
          <w:szCs w:val="22"/>
          <w:lang w:eastAsia="es-HN"/>
        </w:rPr>
        <w:t xml:space="preserve"> s</w:t>
      </w:r>
      <w:r w:rsidRPr="00BD0011">
        <w:rPr>
          <w:lang w:eastAsia="es-HN"/>
        </w:rPr>
        <w:t>obre la reforma del Código Civil, ver respuesta de la cuestión 1, inciso b).</w:t>
      </w:r>
    </w:p>
    <w:p w14:paraId="7CD66DB1" w14:textId="77777777" w:rsidR="00BD0011" w:rsidRPr="00BD0011" w:rsidRDefault="00BD0011" w:rsidP="00D16773">
      <w:pPr>
        <w:pStyle w:val="SingleTxtG"/>
        <w:numPr>
          <w:ilvl w:val="0"/>
          <w:numId w:val="40"/>
        </w:numPr>
        <w:ind w:left="1134" w:firstLine="0"/>
        <w:rPr>
          <w:lang w:eastAsia="es-HN"/>
        </w:rPr>
      </w:pPr>
      <w:r w:rsidRPr="00BD0011">
        <w:rPr>
          <w:b/>
          <w:bCs/>
          <w:lang w:eastAsia="es-HN"/>
        </w:rPr>
        <w:t>Inciso b)</w:t>
      </w:r>
      <w:r w:rsidRPr="00BD0011">
        <w:rPr>
          <w:lang w:eastAsia="es-HN"/>
        </w:rPr>
        <w:t xml:space="preserve">, respecto con el acceso de las </w:t>
      </w:r>
      <w:proofErr w:type="spellStart"/>
      <w:r w:rsidRPr="00BD0011">
        <w:rPr>
          <w:lang w:eastAsia="es-HN"/>
        </w:rPr>
        <w:t>PcD</w:t>
      </w:r>
      <w:proofErr w:type="spellEnd"/>
      <w:r w:rsidRPr="00BD0011">
        <w:rPr>
          <w:lang w:eastAsia="es-HN"/>
        </w:rPr>
        <w:t xml:space="preserve"> a los servicios financieros, en el artículo 6 de las Normas para el Fortalecimiento de la Transparencia, la Cultura Financiera, Conducta de Mercado y Atención al Usuario Financiero de las Instituciones Supervisadas se incorporó lo relacionado al Manual para la Gestión de la Conducta de Mercado, el cual deberá contener acciones para el fomento de la inclusión financiera y atención especial a grupos en situación de vulnerabilidad y grupos de interés.</w:t>
      </w:r>
    </w:p>
    <w:p w14:paraId="493B2473" w14:textId="78EDDB81" w:rsidR="00BD0011" w:rsidRPr="00BD0011" w:rsidRDefault="00D16773" w:rsidP="00D16773">
      <w:pPr>
        <w:pStyle w:val="H23G"/>
        <w:rPr>
          <w:lang w:eastAsia="es-HN"/>
        </w:rPr>
      </w:pPr>
      <w:bookmarkStart w:id="28" w:name="_Toc147932964"/>
      <w:bookmarkStart w:id="29" w:name="_Toc148970478"/>
      <w:r>
        <w:rPr>
          <w:lang w:eastAsia="es-HN"/>
        </w:rPr>
        <w:tab/>
      </w:r>
      <w:r>
        <w:rPr>
          <w:lang w:eastAsia="es-HN"/>
        </w:rPr>
        <w:tab/>
      </w:r>
      <w:r w:rsidR="00BD0011" w:rsidRPr="00BD0011">
        <w:rPr>
          <w:lang w:eastAsia="es-HN"/>
        </w:rPr>
        <w:t xml:space="preserve">Acceso a la justicia </w:t>
      </w:r>
      <w:r w:rsidR="00BD0011" w:rsidRPr="00BD0011">
        <w:rPr>
          <w:szCs w:val="24"/>
          <w:lang w:eastAsia="es-HN"/>
        </w:rPr>
        <w:t>(art. 13)</w:t>
      </w:r>
      <w:bookmarkEnd w:id="28"/>
      <w:bookmarkEnd w:id="29"/>
      <w:r w:rsidR="00BD0011" w:rsidRPr="00BD0011">
        <w:rPr>
          <w:lang w:eastAsia="es-HN"/>
        </w:rPr>
        <w:t xml:space="preserve"> </w:t>
      </w:r>
    </w:p>
    <w:p w14:paraId="7CF22112" w14:textId="77777777" w:rsidR="00BD0011" w:rsidRPr="00BD0011" w:rsidRDefault="00BD0011" w:rsidP="00D16773">
      <w:pPr>
        <w:pStyle w:val="SingleTxtG"/>
        <w:numPr>
          <w:ilvl w:val="0"/>
          <w:numId w:val="40"/>
        </w:numPr>
        <w:ind w:left="1134" w:firstLine="0"/>
        <w:rPr>
          <w:lang w:eastAsia="es-HN"/>
        </w:rPr>
      </w:pPr>
      <w:r w:rsidRPr="00BD0011">
        <w:rPr>
          <w:b/>
          <w:bCs/>
          <w:lang w:eastAsia="es-HN"/>
        </w:rPr>
        <w:t>Cuestión 10, inciso a)</w:t>
      </w:r>
      <w:r w:rsidRPr="00BD0011">
        <w:rPr>
          <w:lang w:eastAsia="es-HN"/>
        </w:rPr>
        <w:t xml:space="preserve">, para que las </w:t>
      </w:r>
      <w:proofErr w:type="spellStart"/>
      <w:r w:rsidRPr="00BD0011">
        <w:rPr>
          <w:lang w:eastAsia="es-HN"/>
        </w:rPr>
        <w:t>PcD</w:t>
      </w:r>
      <w:proofErr w:type="spellEnd"/>
      <w:r w:rsidRPr="00BD0011">
        <w:rPr>
          <w:lang w:eastAsia="es-HN"/>
        </w:rPr>
        <w:t xml:space="preserve"> tengan acceso a la justicia expedito, los juzgados marcan con un sello especial la carátula de los expedientes relacionados a </w:t>
      </w:r>
      <w:proofErr w:type="spellStart"/>
      <w:r w:rsidRPr="00BD0011">
        <w:rPr>
          <w:lang w:eastAsia="es-HN"/>
        </w:rPr>
        <w:t>PcD</w:t>
      </w:r>
      <w:proofErr w:type="spellEnd"/>
      <w:r w:rsidRPr="00BD0011">
        <w:rPr>
          <w:lang w:eastAsia="es-HN"/>
        </w:rPr>
        <w:t xml:space="preserve"> que corrobora la situación de </w:t>
      </w:r>
      <w:proofErr w:type="spellStart"/>
      <w:r w:rsidRPr="00BD0011">
        <w:rPr>
          <w:lang w:eastAsia="es-HN"/>
        </w:rPr>
        <w:t>PcD</w:t>
      </w:r>
      <w:proofErr w:type="spellEnd"/>
      <w:r w:rsidRPr="00BD0011">
        <w:rPr>
          <w:lang w:eastAsia="es-HN"/>
        </w:rPr>
        <w:t xml:space="preserve"> y de mujer embarazada para darles prioridad con relación en el señalamiento de audiencia y una atención preferencial en lo relacionado al juzgado.</w:t>
      </w:r>
    </w:p>
    <w:p w14:paraId="6FEBB2D0" w14:textId="77777777" w:rsidR="00BD0011" w:rsidRPr="00BD0011" w:rsidRDefault="00BD0011" w:rsidP="00D16773">
      <w:pPr>
        <w:pStyle w:val="SingleTxtG"/>
        <w:numPr>
          <w:ilvl w:val="0"/>
          <w:numId w:val="40"/>
        </w:numPr>
        <w:ind w:left="1134" w:firstLine="0"/>
        <w:rPr>
          <w:lang w:eastAsia="es-HN"/>
        </w:rPr>
      </w:pPr>
      <w:r w:rsidRPr="00BD0011">
        <w:rPr>
          <w:b/>
          <w:bCs/>
          <w:lang w:eastAsia="es-HN"/>
        </w:rPr>
        <w:t>Inciso b)</w:t>
      </w:r>
      <w:r w:rsidRPr="00BD0011">
        <w:rPr>
          <w:lang w:eastAsia="es-HN"/>
        </w:rPr>
        <w:t xml:space="preserve">, sobre las acciones para eliminar las restricciones a las </w:t>
      </w:r>
      <w:proofErr w:type="spellStart"/>
      <w:r w:rsidRPr="00BD0011">
        <w:rPr>
          <w:lang w:eastAsia="es-HN"/>
        </w:rPr>
        <w:t>PcD</w:t>
      </w:r>
      <w:proofErr w:type="spellEnd"/>
      <w:r w:rsidRPr="00BD0011">
        <w:rPr>
          <w:lang w:eastAsia="es-HN"/>
        </w:rPr>
        <w:t xml:space="preserve">, el Poder Judicial ha adoptado leyes y políticas inclusivas, además, ha tomado medidas para la accesibilidad física y comunicativa, así como la adaptación de las necesidades individuales. También, desarrolla procesos de sensibilización, capacitación, consulta y participación conforme con la convención como: </w:t>
      </w:r>
    </w:p>
    <w:p w14:paraId="4037B865" w14:textId="77777777" w:rsidR="00BD0011" w:rsidRPr="00BD0011" w:rsidRDefault="00BD0011" w:rsidP="00D16773">
      <w:pPr>
        <w:pStyle w:val="SingleTxtG"/>
        <w:numPr>
          <w:ilvl w:val="0"/>
          <w:numId w:val="41"/>
        </w:numPr>
        <w:ind w:left="1701" w:firstLine="0"/>
        <w:rPr>
          <w:lang w:eastAsia="es-HN"/>
        </w:rPr>
      </w:pPr>
      <w:r w:rsidRPr="00BD0011">
        <w:rPr>
          <w:lang w:eastAsia="es-HN"/>
        </w:rPr>
        <w:t>Dos ediciones del Diplomado de Actualización sobre la Jurisprudencia de la Corte Interamericana de Derechos Humanos;</w:t>
      </w:r>
    </w:p>
    <w:p w14:paraId="34A9C4A6" w14:textId="77777777" w:rsidR="00BD0011" w:rsidRPr="00BD0011" w:rsidRDefault="00BD0011" w:rsidP="00D16773">
      <w:pPr>
        <w:pStyle w:val="SingleTxtG"/>
        <w:numPr>
          <w:ilvl w:val="0"/>
          <w:numId w:val="41"/>
        </w:numPr>
        <w:ind w:left="1701" w:firstLine="0"/>
        <w:rPr>
          <w:lang w:eastAsia="es-HN"/>
        </w:rPr>
      </w:pPr>
      <w:r w:rsidRPr="00BD0011">
        <w:rPr>
          <w:lang w:eastAsia="es-HN"/>
        </w:rPr>
        <w:t>curso sobre Acceso a la Justicia para Grupos Vulnerables, capacitándose a 290 funcionarios/as del PJ; y</w:t>
      </w:r>
    </w:p>
    <w:p w14:paraId="6FE9D27E" w14:textId="77777777" w:rsidR="00BD0011" w:rsidRPr="00BD0011" w:rsidRDefault="00BD0011" w:rsidP="00D16773">
      <w:pPr>
        <w:pStyle w:val="SingleTxtG"/>
        <w:numPr>
          <w:ilvl w:val="0"/>
          <w:numId w:val="41"/>
        </w:numPr>
        <w:ind w:left="1701" w:firstLine="0"/>
        <w:rPr>
          <w:lang w:eastAsia="es-HN"/>
        </w:rPr>
      </w:pPr>
      <w:r w:rsidRPr="00BD0011">
        <w:rPr>
          <w:lang w:eastAsia="es-HN"/>
        </w:rPr>
        <w:t>participación en el curso virtual sobre Protección de Víctimas y sus Usuarios Especiales en sus Relaciones con la Administración de Justicia.</w:t>
      </w:r>
    </w:p>
    <w:p w14:paraId="783D22D5" w14:textId="77777777" w:rsidR="00BD0011" w:rsidRPr="00BD0011" w:rsidRDefault="00BD0011" w:rsidP="00D16773">
      <w:pPr>
        <w:pStyle w:val="SingleTxtG"/>
        <w:numPr>
          <w:ilvl w:val="0"/>
          <w:numId w:val="40"/>
        </w:numPr>
        <w:ind w:left="1134" w:firstLine="0"/>
        <w:rPr>
          <w:lang w:eastAsia="es-HN"/>
        </w:rPr>
      </w:pPr>
      <w:r w:rsidRPr="00BD0011">
        <w:rPr>
          <w:lang w:eastAsia="es-HN"/>
        </w:rPr>
        <w:t xml:space="preserve">Para asegurar la accesibilidad en los procesos judiciales, </w:t>
      </w:r>
      <w:bookmarkStart w:id="30" w:name="_Hlk146787813"/>
      <w:r w:rsidRPr="00BD0011">
        <w:rPr>
          <w:lang w:eastAsia="es-HN"/>
        </w:rPr>
        <w:t>el Plan Estratégico Institucional 2023-2027 del PJ, alineado con el eje estratégico; y Gestión Judicial eficaz, buscan como resultados una justicia accesible, con el objetivo de ampliar y modernizar la gestión del Registro de Peritos, Intérpretes y Traductores.</w:t>
      </w:r>
    </w:p>
    <w:p w14:paraId="5C6E3758" w14:textId="77777777" w:rsidR="00BD0011" w:rsidRPr="00BD0011" w:rsidRDefault="00BD0011" w:rsidP="00D16773">
      <w:pPr>
        <w:pStyle w:val="SingleTxtG"/>
        <w:numPr>
          <w:ilvl w:val="0"/>
          <w:numId w:val="40"/>
        </w:numPr>
        <w:ind w:left="1134" w:firstLine="0"/>
        <w:rPr>
          <w:lang w:eastAsia="es-HN"/>
        </w:rPr>
      </w:pPr>
      <w:r w:rsidRPr="00BD0011">
        <w:rPr>
          <w:lang w:eastAsia="es-HN"/>
        </w:rPr>
        <w:t xml:space="preserve">El Registro cuenta con un Sistema de Apoyo Judicial de carácter público, que constituye una base de datos con información actualizada de especialistas seleccionados en </w:t>
      </w:r>
      <w:r w:rsidRPr="00BD0011">
        <w:rPr>
          <w:lang w:eastAsia="es-HN"/>
        </w:rPr>
        <w:lastRenderedPageBreak/>
        <w:t xml:space="preserve">distintas ramas de conocimiento científico, técnico, artístico, tecnológico, prácticos u otros, a nivel nacional. </w:t>
      </w:r>
    </w:p>
    <w:p w14:paraId="0B4E0F73" w14:textId="77777777" w:rsidR="00BD0011" w:rsidRPr="00BD0011" w:rsidRDefault="00BD0011" w:rsidP="00D16773">
      <w:pPr>
        <w:pStyle w:val="SingleTxtG"/>
        <w:numPr>
          <w:ilvl w:val="0"/>
          <w:numId w:val="40"/>
        </w:numPr>
        <w:ind w:left="1134" w:firstLine="0"/>
        <w:rPr>
          <w:lang w:eastAsia="es-HN"/>
        </w:rPr>
      </w:pPr>
      <w:r w:rsidRPr="00BD0011">
        <w:rPr>
          <w:lang w:eastAsia="es-HN"/>
        </w:rPr>
        <w:t>En aplicación del Reglamento para el Registro de Peritos, Intérpretes y Traductores</w:t>
      </w:r>
      <w:r w:rsidRPr="00BD0011">
        <w:rPr>
          <w:vertAlign w:val="superscript"/>
          <w:lang w:eastAsia="es-HN"/>
        </w:rPr>
        <w:footnoteReference w:id="16"/>
      </w:r>
      <w:r w:rsidRPr="00BD0011">
        <w:rPr>
          <w:lang w:eastAsia="es-HN"/>
        </w:rPr>
        <w:t>, se proporcionan, a solicitud de los juzgados, intérpretes en lenguas de señas para las personas sordas y traductores para las personas que hablan lenguas indígenas y afrodescendientes</w:t>
      </w:r>
      <w:bookmarkEnd w:id="30"/>
      <w:r w:rsidRPr="00BD0011">
        <w:rPr>
          <w:lang w:eastAsia="es-HN"/>
        </w:rPr>
        <w:t>.</w:t>
      </w:r>
    </w:p>
    <w:p w14:paraId="4CB37882" w14:textId="502CA707" w:rsidR="00BD0011" w:rsidRPr="00BD0011" w:rsidRDefault="00D16773" w:rsidP="00D16773">
      <w:pPr>
        <w:pStyle w:val="H23G"/>
        <w:rPr>
          <w:lang w:eastAsia="es-HN"/>
        </w:rPr>
      </w:pPr>
      <w:bookmarkStart w:id="31" w:name="_Toc147932965"/>
      <w:bookmarkStart w:id="32" w:name="_Toc148970479"/>
      <w:r>
        <w:rPr>
          <w:lang w:eastAsia="es-HN"/>
        </w:rPr>
        <w:tab/>
      </w:r>
      <w:r>
        <w:rPr>
          <w:lang w:eastAsia="es-HN"/>
        </w:rPr>
        <w:tab/>
      </w:r>
      <w:r w:rsidR="00BD0011" w:rsidRPr="00BD0011">
        <w:rPr>
          <w:lang w:eastAsia="es-HN"/>
        </w:rPr>
        <w:t xml:space="preserve">Libertad y seguridad </w:t>
      </w:r>
      <w:r w:rsidR="00BD0011" w:rsidRPr="00BD0011">
        <w:rPr>
          <w:szCs w:val="24"/>
          <w:lang w:eastAsia="es-HN"/>
        </w:rPr>
        <w:t>(art. 14)</w:t>
      </w:r>
      <w:bookmarkEnd w:id="31"/>
      <w:bookmarkEnd w:id="32"/>
    </w:p>
    <w:p w14:paraId="1C22E2E1" w14:textId="77777777" w:rsidR="00BD0011" w:rsidRPr="00BD0011" w:rsidRDefault="00BD0011" w:rsidP="00D16773">
      <w:pPr>
        <w:pStyle w:val="SingleTxtG"/>
        <w:numPr>
          <w:ilvl w:val="0"/>
          <w:numId w:val="40"/>
        </w:numPr>
        <w:ind w:left="1134" w:firstLine="0"/>
        <w:rPr>
          <w:lang w:eastAsia="es-HN"/>
        </w:rPr>
      </w:pPr>
      <w:r w:rsidRPr="00BD0011">
        <w:rPr>
          <w:b/>
          <w:bCs/>
          <w:lang w:eastAsia="es-HN"/>
        </w:rPr>
        <w:t>Cuestión 11, inciso a)</w:t>
      </w:r>
      <w:r w:rsidRPr="00BD0011">
        <w:rPr>
          <w:lang w:eastAsia="es-HN"/>
        </w:rPr>
        <w:t xml:space="preserve">, sobre la reforma de las normas que afectan a las </w:t>
      </w:r>
      <w:proofErr w:type="spellStart"/>
      <w:r w:rsidRPr="00BD0011">
        <w:rPr>
          <w:lang w:eastAsia="es-HN"/>
        </w:rPr>
        <w:t>PcD</w:t>
      </w:r>
      <w:proofErr w:type="spellEnd"/>
      <w:r w:rsidRPr="00BD0011">
        <w:rPr>
          <w:lang w:eastAsia="es-HN"/>
        </w:rPr>
        <w:t xml:space="preserve"> privadas de libertad, en 2022 se creó una comisión especial destinada para investigar toda la</w:t>
      </w:r>
      <w:r w:rsidRPr="00BD0011">
        <w:rPr>
          <w:rFonts w:ascii="Calibri" w:eastAsia="Calibri" w:hAnsi="Calibri" w:cs="Calibri"/>
          <w:sz w:val="22"/>
          <w:szCs w:val="22"/>
          <w:lang w:eastAsia="es-HN"/>
        </w:rPr>
        <w:t xml:space="preserve"> </w:t>
      </w:r>
      <w:r w:rsidRPr="00BD0011">
        <w:rPr>
          <w:lang w:eastAsia="es-HN"/>
        </w:rPr>
        <w:t>documentación, las recomendaciones formuladas, la discusión, votación y aprobación del actual Código Penal.</w:t>
      </w:r>
      <w:bookmarkStart w:id="33" w:name="_Hlk146789560"/>
      <w:r w:rsidRPr="00BD0011">
        <w:rPr>
          <w:lang w:eastAsia="es-HN"/>
        </w:rPr>
        <w:t xml:space="preserve"> En ese sentido, las reformas son al artículo 100 del Código Penal, en lo que concierne a trastorno mental sobrevenido del penado; y la revisión de las medidas en los artículos 86 y 87.</w:t>
      </w:r>
      <w:bookmarkEnd w:id="33"/>
    </w:p>
    <w:p w14:paraId="01668871" w14:textId="77777777" w:rsidR="00BD0011" w:rsidRPr="00BD0011" w:rsidRDefault="00BD0011" w:rsidP="00D16773">
      <w:pPr>
        <w:pStyle w:val="SingleTxtG"/>
        <w:numPr>
          <w:ilvl w:val="0"/>
          <w:numId w:val="40"/>
        </w:numPr>
        <w:ind w:left="1134" w:firstLine="0"/>
        <w:rPr>
          <w:lang w:eastAsia="es-HN"/>
        </w:rPr>
      </w:pPr>
      <w:r w:rsidRPr="00BD0011">
        <w:rPr>
          <w:b/>
          <w:bCs/>
          <w:lang w:eastAsia="es-HN"/>
        </w:rPr>
        <w:t>Inciso b)</w:t>
      </w:r>
      <w:r w:rsidRPr="00BD0011">
        <w:rPr>
          <w:lang w:eastAsia="es-HN"/>
        </w:rPr>
        <w:t>, respecto con las</w:t>
      </w:r>
      <w:r w:rsidRPr="00BD0011">
        <w:rPr>
          <w:b/>
          <w:bCs/>
          <w:lang w:eastAsia="es-HN"/>
        </w:rPr>
        <w:t xml:space="preserve"> </w:t>
      </w:r>
      <w:r w:rsidRPr="00BD0011">
        <w:rPr>
          <w:lang w:eastAsia="es-HN"/>
        </w:rPr>
        <w:t>investigaciones en los centros de internamiento, la FEDH realiza un aproximado de tres visitas mensuales a dichos centros, así como a los centros de detención para verificar las condiciones de vida de las personas privadas de libertad (PPL); sin embargo, a la fecha, no se han encontrado quejas o hallazgos que motiven la apertura de una denuncia o, en su defecto, realizar recomendaciones a la Dirección Ejecutiva del Internamiento.</w:t>
      </w:r>
      <w:r w:rsidRPr="00BD0011">
        <w:rPr>
          <w:rFonts w:ascii="Calibri" w:eastAsia="Calibri" w:hAnsi="Calibri" w:cs="Calibri"/>
          <w:sz w:val="22"/>
          <w:szCs w:val="22"/>
          <w:lang w:eastAsia="es-HN"/>
        </w:rPr>
        <w:t xml:space="preserve"> </w:t>
      </w:r>
    </w:p>
    <w:p w14:paraId="558CFB17" w14:textId="77777777" w:rsidR="00BD0011" w:rsidRPr="00BD0011" w:rsidRDefault="00BD0011" w:rsidP="00D16773">
      <w:pPr>
        <w:pStyle w:val="SingleTxtG"/>
        <w:numPr>
          <w:ilvl w:val="0"/>
          <w:numId w:val="40"/>
        </w:numPr>
        <w:ind w:left="1134" w:firstLine="0"/>
        <w:rPr>
          <w:lang w:eastAsia="es-HN"/>
        </w:rPr>
      </w:pPr>
      <w:r w:rsidRPr="00BD0011">
        <w:rPr>
          <w:b/>
          <w:bCs/>
          <w:lang w:eastAsia="es-HN"/>
        </w:rPr>
        <w:t>Inciso c)</w:t>
      </w:r>
      <w:r w:rsidRPr="00BD0011">
        <w:rPr>
          <w:lang w:eastAsia="es-HN"/>
        </w:rPr>
        <w:t xml:space="preserve">, para garantizar el debido proceso de las </w:t>
      </w:r>
      <w:proofErr w:type="spellStart"/>
      <w:r w:rsidRPr="00BD0011">
        <w:rPr>
          <w:lang w:eastAsia="es-HN"/>
        </w:rPr>
        <w:t>PcD</w:t>
      </w:r>
      <w:proofErr w:type="spellEnd"/>
      <w:r w:rsidRPr="00BD0011">
        <w:rPr>
          <w:lang w:eastAsia="es-HN"/>
        </w:rPr>
        <w:t>, el MP, en aplicación de la normativa nacional y los tratados internacionales, garantizará el acceso a la justicia, ejerciendo la acción penal pública en aquellos casos donde se encuentre la existencia de delitos.</w:t>
      </w:r>
    </w:p>
    <w:p w14:paraId="1C89895C" w14:textId="77777777" w:rsidR="00BD0011" w:rsidRPr="00BD0011" w:rsidRDefault="00BD0011" w:rsidP="00D16773">
      <w:pPr>
        <w:pStyle w:val="SingleTxtG"/>
        <w:numPr>
          <w:ilvl w:val="0"/>
          <w:numId w:val="40"/>
        </w:numPr>
        <w:ind w:left="1134" w:firstLine="0"/>
        <w:rPr>
          <w:lang w:eastAsia="es-HN"/>
        </w:rPr>
      </w:pPr>
      <w:r w:rsidRPr="00BD0011">
        <w:rPr>
          <w:lang w:eastAsia="es-HN"/>
        </w:rPr>
        <w:t xml:space="preserve">Para evitar que las </w:t>
      </w:r>
      <w:proofErr w:type="spellStart"/>
      <w:r w:rsidRPr="00BD0011">
        <w:rPr>
          <w:lang w:eastAsia="es-HN"/>
        </w:rPr>
        <w:t>PcD</w:t>
      </w:r>
      <w:proofErr w:type="spellEnd"/>
      <w:r w:rsidRPr="00BD0011">
        <w:rPr>
          <w:lang w:eastAsia="es-HN"/>
        </w:rPr>
        <w:t xml:space="preserve"> sean declaradas inimputables, </w:t>
      </w:r>
      <w:bookmarkStart w:id="34" w:name="_Hlk146789859"/>
      <w:r w:rsidRPr="00BD0011">
        <w:rPr>
          <w:lang w:eastAsia="es-HN"/>
        </w:rPr>
        <w:t xml:space="preserve">al respecto, el PJ, junto a la mesa técnica del Comité Internacional de la Cruz Roja (CICR), están evaluando reformas a las normas penitenciarias respecto con la aplicación de la escala de </w:t>
      </w:r>
      <w:proofErr w:type="spellStart"/>
      <w:r w:rsidRPr="00BD0011">
        <w:rPr>
          <w:lang w:eastAsia="es-HN"/>
        </w:rPr>
        <w:t>Karnofsky</w:t>
      </w:r>
      <w:proofErr w:type="spellEnd"/>
      <w:r w:rsidRPr="00BD0011">
        <w:rPr>
          <w:lang w:eastAsia="es-HN"/>
        </w:rPr>
        <w:t xml:space="preserve"> para la liberación de las </w:t>
      </w:r>
      <w:proofErr w:type="spellStart"/>
      <w:r w:rsidRPr="00BD0011">
        <w:rPr>
          <w:lang w:eastAsia="es-HN"/>
        </w:rPr>
        <w:t>PcD</w:t>
      </w:r>
      <w:proofErr w:type="spellEnd"/>
      <w:r w:rsidRPr="00BD0011">
        <w:rPr>
          <w:lang w:eastAsia="es-HN"/>
        </w:rPr>
        <w:t>.</w:t>
      </w:r>
      <w:bookmarkEnd w:id="34"/>
    </w:p>
    <w:p w14:paraId="636751DB" w14:textId="77777777" w:rsidR="00BD0011" w:rsidRPr="00BD0011" w:rsidRDefault="00BD0011" w:rsidP="00D16773">
      <w:pPr>
        <w:pStyle w:val="SingleTxtG"/>
        <w:numPr>
          <w:ilvl w:val="0"/>
          <w:numId w:val="40"/>
        </w:numPr>
        <w:ind w:left="1134" w:firstLine="0"/>
        <w:rPr>
          <w:lang w:eastAsia="es-HN"/>
        </w:rPr>
      </w:pPr>
      <w:r w:rsidRPr="00BD0011">
        <w:rPr>
          <w:b/>
          <w:bCs/>
          <w:lang w:eastAsia="es-HN"/>
        </w:rPr>
        <w:t>Inciso d)</w:t>
      </w:r>
      <w:r w:rsidRPr="00BD0011">
        <w:rPr>
          <w:lang w:eastAsia="es-HN"/>
        </w:rPr>
        <w:t>, ver respuesta del inciso b).</w:t>
      </w:r>
    </w:p>
    <w:p w14:paraId="0DBC2AAF" w14:textId="23867E52" w:rsidR="00BD0011" w:rsidRPr="00BD0011" w:rsidRDefault="00EF5425" w:rsidP="00EF5425">
      <w:pPr>
        <w:pStyle w:val="H23G"/>
        <w:rPr>
          <w:lang w:eastAsia="es-HN"/>
        </w:rPr>
      </w:pPr>
      <w:bookmarkStart w:id="35" w:name="_Toc147932966"/>
      <w:bookmarkStart w:id="36" w:name="_Toc148970480"/>
      <w:r>
        <w:rPr>
          <w:lang w:eastAsia="es-HN"/>
        </w:rPr>
        <w:tab/>
      </w:r>
      <w:r>
        <w:rPr>
          <w:lang w:eastAsia="es-HN"/>
        </w:rPr>
        <w:tab/>
      </w:r>
      <w:r w:rsidR="00BD0011" w:rsidRPr="00BD0011">
        <w:rPr>
          <w:lang w:eastAsia="es-HN"/>
        </w:rPr>
        <w:t xml:space="preserve">Protección contra la tortura y otros tratos o penas crueles, inhumanos o degradantes </w:t>
      </w:r>
      <w:r w:rsidR="00BD0011" w:rsidRPr="00BD0011">
        <w:rPr>
          <w:szCs w:val="24"/>
          <w:lang w:eastAsia="es-HN"/>
        </w:rPr>
        <w:t>(art. 15)</w:t>
      </w:r>
      <w:bookmarkEnd w:id="35"/>
      <w:bookmarkEnd w:id="36"/>
    </w:p>
    <w:p w14:paraId="06BE332D" w14:textId="77777777" w:rsidR="00BD0011" w:rsidRPr="00BD0011" w:rsidRDefault="00BD0011" w:rsidP="00EF5425">
      <w:pPr>
        <w:pStyle w:val="SingleTxtG"/>
        <w:numPr>
          <w:ilvl w:val="0"/>
          <w:numId w:val="40"/>
        </w:numPr>
        <w:ind w:left="1134" w:firstLine="0"/>
        <w:rPr>
          <w:lang w:eastAsia="es-HN"/>
        </w:rPr>
      </w:pPr>
      <w:r w:rsidRPr="00BD0011">
        <w:rPr>
          <w:b/>
          <w:bCs/>
          <w:lang w:eastAsia="es-HN"/>
        </w:rPr>
        <w:t>Cuestión 12, inciso a),</w:t>
      </w:r>
      <w:r w:rsidRPr="00BD0011">
        <w:rPr>
          <w:lang w:eastAsia="es-HN"/>
        </w:rPr>
        <w:t xml:space="preserve"> para garantizar la protección de las </w:t>
      </w:r>
      <w:proofErr w:type="spellStart"/>
      <w:r w:rsidRPr="00BD0011">
        <w:rPr>
          <w:lang w:eastAsia="es-HN"/>
        </w:rPr>
        <w:t>PcD</w:t>
      </w:r>
      <w:proofErr w:type="spellEnd"/>
      <w:r w:rsidRPr="00BD0011">
        <w:rPr>
          <w:lang w:eastAsia="es-HN"/>
        </w:rPr>
        <w:t xml:space="preserve"> en los centros penitenciarios, el Mecanismo Nacional de Prevención de Honduras (MNP-CONAPREV) participa en mesas de trabajo en acompañamiento del CONADEH, el Instituto Nacional de Menores Infractores (INAMI) y la organización </w:t>
      </w:r>
      <w:proofErr w:type="spellStart"/>
      <w:r w:rsidRPr="00BD0011">
        <w:rPr>
          <w:i/>
          <w:iCs/>
          <w:lang w:eastAsia="es-HN"/>
        </w:rPr>
        <w:t>Cooperação</w:t>
      </w:r>
      <w:proofErr w:type="spellEnd"/>
      <w:r w:rsidRPr="00BD0011">
        <w:rPr>
          <w:i/>
          <w:iCs/>
          <w:lang w:eastAsia="es-HN"/>
        </w:rPr>
        <w:t xml:space="preserve"> e </w:t>
      </w:r>
      <w:proofErr w:type="spellStart"/>
      <w:r w:rsidRPr="00BD0011">
        <w:rPr>
          <w:i/>
          <w:iCs/>
          <w:lang w:eastAsia="es-HN"/>
        </w:rPr>
        <w:t>Desenvolvimento</w:t>
      </w:r>
      <w:proofErr w:type="spellEnd"/>
      <w:r w:rsidRPr="00BD0011">
        <w:rPr>
          <w:lang w:eastAsia="es-HN"/>
        </w:rPr>
        <w:t xml:space="preserve">-OIKOS, con la finalidad de trabajar en el material didáctico para la promoción de los derechos humanos de las </w:t>
      </w:r>
      <w:proofErr w:type="spellStart"/>
      <w:r w:rsidRPr="00BD0011">
        <w:rPr>
          <w:lang w:eastAsia="es-HN"/>
        </w:rPr>
        <w:t>PcD</w:t>
      </w:r>
      <w:proofErr w:type="spellEnd"/>
      <w:r w:rsidRPr="00BD0011">
        <w:rPr>
          <w:lang w:eastAsia="es-HN"/>
        </w:rPr>
        <w:t xml:space="preserve"> privadas de libertad; lo que resulta en la impresión de 800 trifolios informativos que fueron socializados en jornadas de formación impartidas a las PPL, los funcionarios públicos a cargo de su guarda y custodia, y los familiares de las PPL.</w:t>
      </w:r>
    </w:p>
    <w:p w14:paraId="49BDF048" w14:textId="77777777" w:rsidR="00BD0011" w:rsidRPr="00BD0011" w:rsidRDefault="00BD0011" w:rsidP="00EF5425">
      <w:pPr>
        <w:pStyle w:val="SingleTxtG"/>
        <w:numPr>
          <w:ilvl w:val="0"/>
          <w:numId w:val="40"/>
        </w:numPr>
        <w:ind w:left="1134" w:firstLine="0"/>
        <w:rPr>
          <w:lang w:eastAsia="es-HN"/>
        </w:rPr>
      </w:pPr>
      <w:r w:rsidRPr="00BD0011">
        <w:rPr>
          <w:b/>
          <w:bCs/>
          <w:lang w:eastAsia="es-HN"/>
        </w:rPr>
        <w:t>Inciso b)</w:t>
      </w:r>
      <w:r w:rsidRPr="00BD0011">
        <w:rPr>
          <w:lang w:eastAsia="es-HN"/>
        </w:rPr>
        <w:t xml:space="preserve">, en relación con las acciones para prohibir y eliminar actos que pueden ser constitutivos de tortura y/o tratos o penas crueles, inhumanas o degradantes, el MNP-CONAPREV ha recomendado a las autoridades del Instituto Nacional Penitenciario (INP), PJ, MP e INAMI y demás entes, sujetos a su mandato, tomar medidas de prevención, capacitación, sensibilización e investigación para mejorar las condiciones de las PPL en los centros penitenciarios. </w:t>
      </w:r>
    </w:p>
    <w:p w14:paraId="16B7D712" w14:textId="77777777" w:rsidR="00BD0011" w:rsidRPr="00BD0011" w:rsidRDefault="00BD0011" w:rsidP="00EF5425">
      <w:pPr>
        <w:pStyle w:val="SingleTxtG"/>
        <w:numPr>
          <w:ilvl w:val="0"/>
          <w:numId w:val="40"/>
        </w:numPr>
        <w:ind w:left="1134" w:firstLine="0"/>
        <w:rPr>
          <w:lang w:eastAsia="es-HN"/>
        </w:rPr>
      </w:pPr>
      <w:r w:rsidRPr="00BD0011">
        <w:rPr>
          <w:b/>
          <w:bCs/>
          <w:lang w:eastAsia="es-HN"/>
        </w:rPr>
        <w:t>Inciso c)</w:t>
      </w:r>
      <w:r w:rsidRPr="00BD0011">
        <w:rPr>
          <w:lang w:eastAsia="es-HN"/>
        </w:rPr>
        <w:t>, el MNP-CONAPREV ha promovido y realizado 50 jornadas de formación en temas como grupos en condición de vulnerabilidad, prevención de la tortura, principios del uso progresivo de la fuerza, derechos humanos en el contexto penitenciario y el mandato del MNP-CONAPREV, el cual ha capacitado a 1,485 agentes de seguridad, defensa y autoridades gubernamentales.</w:t>
      </w:r>
    </w:p>
    <w:p w14:paraId="25C28A02" w14:textId="77777777" w:rsidR="00BD0011" w:rsidRPr="00BD0011" w:rsidRDefault="00BD0011" w:rsidP="003415E3">
      <w:pPr>
        <w:pStyle w:val="SingleTxtG"/>
        <w:numPr>
          <w:ilvl w:val="0"/>
          <w:numId w:val="40"/>
        </w:numPr>
        <w:ind w:left="1134" w:firstLine="0"/>
        <w:rPr>
          <w:lang w:eastAsia="es-HN"/>
        </w:rPr>
      </w:pPr>
      <w:r w:rsidRPr="00BD0011">
        <w:rPr>
          <w:lang w:eastAsia="es-HN"/>
        </w:rPr>
        <w:t xml:space="preserve">El MP, con apoyo de la Universidad de Defensa de Honduras y el CICR, ha capacitado al personal fiscal de la Fiscalía Especial para la Protección de los Defensores de Derechos </w:t>
      </w:r>
      <w:r w:rsidRPr="00BD0011">
        <w:rPr>
          <w:lang w:eastAsia="es-HN"/>
        </w:rPr>
        <w:lastRenderedPageBreak/>
        <w:t>Humanos, Periodistas, Comunicadores Sociales y Operadores de Justicia (FEPRODDHH) sobre el código de conducta para funcionarios encargados de hacer cumplir la ley; prevención de la tortura; tratos crueles, inhumanos y degradantes; derechos humanos; y principios básicos sobre el empleo de la fuerza y armas de fuego.</w:t>
      </w:r>
    </w:p>
    <w:p w14:paraId="3335389B" w14:textId="77777777" w:rsidR="00BD0011" w:rsidRPr="00BD0011" w:rsidRDefault="00BD0011" w:rsidP="003415E3">
      <w:pPr>
        <w:pStyle w:val="SingleTxtG"/>
        <w:numPr>
          <w:ilvl w:val="0"/>
          <w:numId w:val="40"/>
        </w:numPr>
        <w:ind w:left="1134" w:firstLine="0"/>
        <w:rPr>
          <w:lang w:eastAsia="es-HN"/>
        </w:rPr>
      </w:pPr>
      <w:r w:rsidRPr="00BD0011">
        <w:rPr>
          <w:b/>
          <w:bCs/>
          <w:lang w:eastAsia="es-HN"/>
        </w:rPr>
        <w:t>Inciso d)</w:t>
      </w:r>
      <w:r w:rsidRPr="00BD0011">
        <w:rPr>
          <w:lang w:eastAsia="es-HN"/>
        </w:rPr>
        <w:t>, sobre los mecanismos para prevenir y proteger a las PPL con discapacidad de la tortura y malos tratos. El MNP-CONAPREV de enero de 2023 a la fecha, ha realizado un total de 261 visitas de monitoreo a centros penitenciarios, centros pedagógicos de internamiento, unidades policiales, casas hogares y hospitales generales y psiquiátricos.</w:t>
      </w:r>
    </w:p>
    <w:p w14:paraId="1BC96FE6" w14:textId="77777777" w:rsidR="00BD0011" w:rsidRPr="00BD0011" w:rsidRDefault="00BD0011" w:rsidP="003415E3">
      <w:pPr>
        <w:pStyle w:val="SingleTxtG"/>
        <w:numPr>
          <w:ilvl w:val="0"/>
          <w:numId w:val="40"/>
        </w:numPr>
        <w:ind w:left="1134" w:firstLine="0"/>
        <w:rPr>
          <w:lang w:eastAsia="es-HN"/>
        </w:rPr>
      </w:pPr>
      <w:r w:rsidRPr="00BD0011">
        <w:rPr>
          <w:lang w:eastAsia="es-HN"/>
        </w:rPr>
        <w:t>Los PPL cuentan con el mecanismo de presentación de quejas, establecido en los artículos 294 y 297 del Reglamento de la Ley del Sistema Penitenciario, además, les corresponde a los jueces de ejecución acordar lo que proceda para brindar respuesta a la queja presentada.</w:t>
      </w:r>
    </w:p>
    <w:p w14:paraId="19D67903" w14:textId="4ED395CF" w:rsidR="00BD0011" w:rsidRPr="00BD0011" w:rsidRDefault="003415E3" w:rsidP="003415E3">
      <w:pPr>
        <w:pStyle w:val="H23G"/>
        <w:rPr>
          <w:lang w:eastAsia="es-HN"/>
        </w:rPr>
      </w:pPr>
      <w:bookmarkStart w:id="37" w:name="_Toc147932967"/>
      <w:bookmarkStart w:id="38" w:name="_Toc148970481"/>
      <w:r>
        <w:rPr>
          <w:lang w:eastAsia="es-HN"/>
        </w:rPr>
        <w:tab/>
      </w:r>
      <w:r>
        <w:rPr>
          <w:lang w:eastAsia="es-HN"/>
        </w:rPr>
        <w:tab/>
      </w:r>
      <w:r w:rsidR="00BD0011" w:rsidRPr="00BD0011">
        <w:rPr>
          <w:lang w:eastAsia="es-HN"/>
        </w:rPr>
        <w:t xml:space="preserve">Protección contra la explotación, la violencia y el abuso </w:t>
      </w:r>
      <w:r w:rsidR="00BD0011" w:rsidRPr="00BD0011">
        <w:rPr>
          <w:szCs w:val="24"/>
          <w:lang w:eastAsia="es-HN"/>
        </w:rPr>
        <w:t>(art. 16)</w:t>
      </w:r>
      <w:bookmarkEnd w:id="37"/>
      <w:bookmarkEnd w:id="38"/>
    </w:p>
    <w:p w14:paraId="53ED333E" w14:textId="77777777" w:rsidR="00BD0011" w:rsidRPr="00BD0011" w:rsidRDefault="00BD0011" w:rsidP="003415E3">
      <w:pPr>
        <w:pStyle w:val="SingleTxtG"/>
        <w:numPr>
          <w:ilvl w:val="0"/>
          <w:numId w:val="40"/>
        </w:numPr>
        <w:ind w:left="1134" w:firstLine="0"/>
        <w:rPr>
          <w:lang w:eastAsia="es-HN"/>
        </w:rPr>
      </w:pPr>
      <w:r w:rsidRPr="00BD0011">
        <w:rPr>
          <w:b/>
          <w:bCs/>
          <w:lang w:eastAsia="es-HN"/>
        </w:rPr>
        <w:t>Cuestión 13, inciso a)</w:t>
      </w:r>
      <w:r w:rsidRPr="00BD0011">
        <w:rPr>
          <w:lang w:eastAsia="es-HN"/>
        </w:rPr>
        <w:t>, para prevenir y erradicar todas las formas de explotación o trata de personas, el MP, a través de la Unidad Contra la Trata de Personas, ejerce la acción penal publica por delitos de trata en sus diferentes modalidades y por delitos de explotación sexual. Por lo tanto, de conformidad con el Código Penal, se tipificó, en el artículo 259, la conducta contraria a derecho denominada Explotación Sexual de Menores o Personas con Discapacidad, que es competencia de la referida unidad, la persecución penal de este ilícito.</w:t>
      </w:r>
    </w:p>
    <w:p w14:paraId="4DD3B27B" w14:textId="77777777" w:rsidR="00BD0011" w:rsidRPr="00BD0011" w:rsidRDefault="00BD0011" w:rsidP="003415E3">
      <w:pPr>
        <w:pStyle w:val="SingleTxtG"/>
        <w:numPr>
          <w:ilvl w:val="0"/>
          <w:numId w:val="40"/>
        </w:numPr>
        <w:ind w:left="1134" w:firstLine="0"/>
        <w:rPr>
          <w:lang w:eastAsia="es-HN"/>
        </w:rPr>
      </w:pPr>
      <w:r w:rsidRPr="00BD0011">
        <w:rPr>
          <w:lang w:eastAsia="es-HN"/>
        </w:rPr>
        <w:t>Por otra parte, la DIGEDEPDI, en coordinación con OSC como Colectivo Mariposa 88HN, FENAPAPEDISH y ONU Mujeres, elaboraron la investigación denominada Situación de la Violencia Sexual Basada en Género en las Mujeres Hondureñas con Discapacidad, para reconocer las causas de violencia y consolidar el protocolo de atención y seguimiento que reciben las mujeres víctimas de violencia sexual</w:t>
      </w:r>
      <w:r w:rsidRPr="00BD0011">
        <w:rPr>
          <w:vertAlign w:val="superscript"/>
          <w:lang w:eastAsia="es-HN"/>
        </w:rPr>
        <w:t xml:space="preserve"> </w:t>
      </w:r>
      <w:r w:rsidRPr="00BD0011">
        <w:rPr>
          <w:vertAlign w:val="superscript"/>
          <w:lang w:eastAsia="es-HN"/>
        </w:rPr>
        <w:footnoteReference w:id="17"/>
      </w:r>
      <w:r w:rsidRPr="00BD0011">
        <w:rPr>
          <w:lang w:eastAsia="es-HN"/>
        </w:rPr>
        <w:t>.</w:t>
      </w:r>
    </w:p>
    <w:p w14:paraId="4D72F42C" w14:textId="77777777" w:rsidR="00BD0011" w:rsidRPr="00BD0011" w:rsidRDefault="00BD0011" w:rsidP="003415E3">
      <w:pPr>
        <w:pStyle w:val="SingleTxtG"/>
        <w:numPr>
          <w:ilvl w:val="0"/>
          <w:numId w:val="40"/>
        </w:numPr>
        <w:ind w:left="1134" w:firstLine="0"/>
        <w:rPr>
          <w:rFonts w:eastAsia="Times New Roman"/>
          <w:lang w:eastAsia="es-HN"/>
        </w:rPr>
      </w:pPr>
      <w:r w:rsidRPr="00BD0011">
        <w:rPr>
          <w:rFonts w:eastAsia="Times New Roman"/>
          <w:b/>
          <w:bCs/>
          <w:lang w:eastAsia="es-HN"/>
        </w:rPr>
        <w:t>Inciso b)</w:t>
      </w:r>
      <w:r w:rsidRPr="00BD0011">
        <w:rPr>
          <w:rFonts w:eastAsia="Times New Roman"/>
          <w:lang w:eastAsia="es-HN"/>
        </w:rPr>
        <w:t xml:space="preserve">, sobre los casos de explotación, trata y abuso contra las </w:t>
      </w:r>
      <w:proofErr w:type="spellStart"/>
      <w:r w:rsidRPr="00BD0011">
        <w:rPr>
          <w:rFonts w:eastAsia="Times New Roman"/>
          <w:lang w:eastAsia="es-HN"/>
        </w:rPr>
        <w:t>PcD</w:t>
      </w:r>
      <w:proofErr w:type="spellEnd"/>
      <w:r w:rsidRPr="00BD0011">
        <w:rPr>
          <w:rFonts w:eastAsia="Times New Roman"/>
          <w:lang w:eastAsia="es-HN"/>
        </w:rPr>
        <w:t>, l</w:t>
      </w:r>
      <w:r w:rsidRPr="00BD0011">
        <w:rPr>
          <w:lang w:eastAsia="es-HN"/>
        </w:rPr>
        <w:t>a Unidad Contra la Trata de Personas del MP, en octubre de 2022, procesó a un hombre por los delitos de violación agravada y elaboración de pornografía infantil agravada en perjuicio de una víctima con discapacidad; proceso penal que está por finalizar con el procedimiento especial de juicio abreviado.</w:t>
      </w:r>
    </w:p>
    <w:p w14:paraId="4E0E0D81" w14:textId="53F13237" w:rsidR="00BD0011" w:rsidRPr="00BD0011" w:rsidRDefault="003415E3" w:rsidP="003415E3">
      <w:pPr>
        <w:pStyle w:val="H23G"/>
        <w:rPr>
          <w:lang w:eastAsia="es-HN"/>
        </w:rPr>
      </w:pPr>
      <w:bookmarkStart w:id="39" w:name="_Toc147932968"/>
      <w:bookmarkStart w:id="40" w:name="_Toc148970482"/>
      <w:r>
        <w:rPr>
          <w:lang w:eastAsia="es-HN"/>
        </w:rPr>
        <w:tab/>
      </w:r>
      <w:r>
        <w:rPr>
          <w:lang w:eastAsia="es-HN"/>
        </w:rPr>
        <w:tab/>
      </w:r>
      <w:r w:rsidR="00BD0011" w:rsidRPr="00BD0011">
        <w:rPr>
          <w:lang w:eastAsia="es-HN"/>
        </w:rPr>
        <w:t xml:space="preserve">Protección contra la integridad personal </w:t>
      </w:r>
      <w:r w:rsidR="00BD0011" w:rsidRPr="00BD0011">
        <w:rPr>
          <w:szCs w:val="24"/>
          <w:lang w:eastAsia="es-HN"/>
        </w:rPr>
        <w:t>(art. 17)</w:t>
      </w:r>
      <w:bookmarkEnd w:id="39"/>
      <w:bookmarkEnd w:id="40"/>
    </w:p>
    <w:p w14:paraId="0C28FFAF" w14:textId="77777777" w:rsidR="00BD0011" w:rsidRPr="00BD0011" w:rsidRDefault="00BD0011" w:rsidP="003415E3">
      <w:pPr>
        <w:pStyle w:val="SingleTxtG"/>
        <w:numPr>
          <w:ilvl w:val="0"/>
          <w:numId w:val="40"/>
        </w:numPr>
        <w:ind w:left="1134" w:firstLine="0"/>
        <w:rPr>
          <w:lang w:eastAsia="es-HN"/>
        </w:rPr>
      </w:pPr>
      <w:r w:rsidRPr="00BD0011">
        <w:rPr>
          <w:b/>
          <w:bCs/>
          <w:lang w:eastAsia="es-HN"/>
        </w:rPr>
        <w:t>Cuestión 14, inciso a)</w:t>
      </w:r>
      <w:r w:rsidRPr="00BD0011">
        <w:rPr>
          <w:lang w:eastAsia="es-HN"/>
        </w:rPr>
        <w:t xml:space="preserve">, respecto con la revisión de políticas que prohíban la esterilización forzada, se informa que el proceso de actualización de la Política Pública para las </w:t>
      </w:r>
      <w:proofErr w:type="spellStart"/>
      <w:r w:rsidRPr="00BD0011">
        <w:rPr>
          <w:lang w:eastAsia="es-HN"/>
        </w:rPr>
        <w:t>PcD</w:t>
      </w:r>
      <w:proofErr w:type="spellEnd"/>
      <w:r w:rsidRPr="00BD0011">
        <w:rPr>
          <w:lang w:eastAsia="es-HN"/>
        </w:rPr>
        <w:t>, mediante el Centro Hondureño para el Estudio de Políticas de Estado en el Sector Social (CHEPES), se están recolectando insumos de las organizaciones del sector discapacidad para el diagnóstico de la situación actual del sector. Este proceso se realiza a través del Laboratorio de Innovación y dentro de los insumos aportados se encuentran lo referente con la salud sexual reproductiva de las mujeres con discapacidad y el derecho a la maternidad.</w:t>
      </w:r>
    </w:p>
    <w:p w14:paraId="1BE58CAE" w14:textId="77777777" w:rsidR="00BD0011" w:rsidRPr="00BD0011" w:rsidRDefault="00BD0011" w:rsidP="003415E3">
      <w:pPr>
        <w:pStyle w:val="SingleTxtG"/>
        <w:numPr>
          <w:ilvl w:val="0"/>
          <w:numId w:val="40"/>
        </w:numPr>
        <w:ind w:left="1134" w:firstLine="0"/>
        <w:rPr>
          <w:lang w:eastAsia="es-HN"/>
        </w:rPr>
      </w:pPr>
      <w:r w:rsidRPr="00BD0011">
        <w:rPr>
          <w:b/>
          <w:bCs/>
          <w:lang w:eastAsia="es-HN"/>
        </w:rPr>
        <w:t>Inciso c)</w:t>
      </w:r>
      <w:r w:rsidRPr="00BD0011">
        <w:rPr>
          <w:lang w:eastAsia="es-HN"/>
        </w:rPr>
        <w:t xml:space="preserve">, en cuanto a quejas por esterilización forzada, aborto y utilización forzada de anticoncepción a </w:t>
      </w:r>
      <w:proofErr w:type="spellStart"/>
      <w:r w:rsidRPr="00BD0011">
        <w:rPr>
          <w:lang w:eastAsia="es-HN"/>
        </w:rPr>
        <w:t>PcD</w:t>
      </w:r>
      <w:proofErr w:type="spellEnd"/>
      <w:r w:rsidRPr="00BD0011">
        <w:rPr>
          <w:lang w:eastAsia="es-HN"/>
        </w:rPr>
        <w:t>, no se cuenta ningún caso registrado.</w:t>
      </w:r>
    </w:p>
    <w:p w14:paraId="5052BA37" w14:textId="222D2FA4" w:rsidR="00BD0011" w:rsidRPr="00BD0011" w:rsidRDefault="003415E3" w:rsidP="003415E3">
      <w:pPr>
        <w:pStyle w:val="H23G"/>
        <w:rPr>
          <w:lang w:eastAsia="es-HN"/>
        </w:rPr>
      </w:pPr>
      <w:bookmarkStart w:id="41" w:name="_Toc147932969"/>
      <w:bookmarkStart w:id="42" w:name="_Toc148970483"/>
      <w:r>
        <w:rPr>
          <w:lang w:eastAsia="es-HN"/>
        </w:rPr>
        <w:tab/>
      </w:r>
      <w:r>
        <w:rPr>
          <w:lang w:eastAsia="es-HN"/>
        </w:rPr>
        <w:tab/>
      </w:r>
      <w:r w:rsidR="00BD0011" w:rsidRPr="00BD0011">
        <w:rPr>
          <w:lang w:eastAsia="es-HN"/>
        </w:rPr>
        <w:t xml:space="preserve">Libertad de circulación y nacionalidad </w:t>
      </w:r>
      <w:r w:rsidR="00BD0011" w:rsidRPr="00BD0011">
        <w:rPr>
          <w:szCs w:val="24"/>
          <w:lang w:eastAsia="es-HN"/>
        </w:rPr>
        <w:t>(art. 18)</w:t>
      </w:r>
      <w:bookmarkEnd w:id="41"/>
      <w:bookmarkEnd w:id="42"/>
    </w:p>
    <w:p w14:paraId="10BEA301" w14:textId="77777777" w:rsidR="00BD0011" w:rsidRPr="00BD0011" w:rsidRDefault="00BD0011" w:rsidP="003415E3">
      <w:pPr>
        <w:pStyle w:val="SingleTxtG"/>
        <w:numPr>
          <w:ilvl w:val="0"/>
          <w:numId w:val="40"/>
        </w:numPr>
        <w:ind w:left="1134" w:firstLine="0"/>
        <w:rPr>
          <w:lang w:eastAsia="es-HN"/>
        </w:rPr>
      </w:pPr>
      <w:r w:rsidRPr="00BD0011">
        <w:rPr>
          <w:b/>
          <w:bCs/>
          <w:lang w:eastAsia="es-HN"/>
        </w:rPr>
        <w:t>Cuestión 15, inciso a)</w:t>
      </w:r>
      <w:r w:rsidRPr="00BD0011">
        <w:rPr>
          <w:lang w:eastAsia="es-HN"/>
        </w:rPr>
        <w:t>, respecto con los refugiados y solicitantes de asilo, en mayo de 2022 el CN aprobó un beneficio de amnistía migratoria para</w:t>
      </w:r>
      <w:r w:rsidRPr="00BD0011">
        <w:rPr>
          <w:rFonts w:ascii="Calibri" w:eastAsia="Calibri" w:hAnsi="Calibri" w:cs="Calibri"/>
          <w:sz w:val="22"/>
          <w:szCs w:val="22"/>
          <w:lang w:eastAsia="es-HN"/>
        </w:rPr>
        <w:t xml:space="preserve"> </w:t>
      </w:r>
      <w:r w:rsidRPr="00BD0011">
        <w:rPr>
          <w:lang w:eastAsia="es-HN"/>
        </w:rPr>
        <w:t>todas las personas migrantes que ingresaran al país de forma irregular y que los exime del cobro del pago de la sanción administrativa contentiva en el artículo 104 de la Ley de Migración y Extranjería.</w:t>
      </w:r>
    </w:p>
    <w:p w14:paraId="7C801ABA" w14:textId="77777777" w:rsidR="00BD0011" w:rsidRPr="00BD0011" w:rsidRDefault="00BD0011" w:rsidP="003415E3">
      <w:pPr>
        <w:pStyle w:val="SingleTxtG"/>
        <w:numPr>
          <w:ilvl w:val="0"/>
          <w:numId w:val="40"/>
        </w:numPr>
        <w:ind w:left="1134" w:firstLine="0"/>
        <w:rPr>
          <w:lang w:eastAsia="es-HN"/>
        </w:rPr>
      </w:pPr>
      <w:r w:rsidRPr="00BD0011">
        <w:rPr>
          <w:lang w:eastAsia="es-HN"/>
        </w:rPr>
        <w:t>Mediante el Decreto 42-2022</w:t>
      </w:r>
      <w:r w:rsidRPr="00BD0011">
        <w:rPr>
          <w:vertAlign w:val="superscript"/>
          <w:lang w:eastAsia="es-HN"/>
        </w:rPr>
        <w:footnoteReference w:id="18"/>
      </w:r>
      <w:r w:rsidRPr="00BD0011">
        <w:rPr>
          <w:lang w:eastAsia="es-HN"/>
        </w:rPr>
        <w:t xml:space="preserve"> se otorga la Amnistía Migratoria por un plazo de tres (3) meses. Mediante el Decreto 79-2022 se reforma el Artículo 1 del Decreto 42-2022 y </w:t>
      </w:r>
      <w:r w:rsidRPr="00BD0011">
        <w:rPr>
          <w:lang w:eastAsia="es-HN"/>
        </w:rPr>
        <w:lastRenderedPageBreak/>
        <w:t>adiciona cinco artículos que regulan la aplicación de la amnistía por parte del Instituto Nacional de Migración (INM) y extiende la fecha para ser beneficiario de la amnistía hasta el 01 de diciembre de 2022. El 24 de noviembre de 2022, el CN aprueba el Decreto 137-2022 que reforma el Decreto de Amnistía y amplia el beneficio hasta el 01 de junio de 2023.</w:t>
      </w:r>
    </w:p>
    <w:p w14:paraId="598E48B4" w14:textId="77777777" w:rsidR="00BD0011" w:rsidRPr="00BD0011" w:rsidRDefault="00BD0011" w:rsidP="00902039">
      <w:pPr>
        <w:pStyle w:val="SingleTxtG"/>
        <w:numPr>
          <w:ilvl w:val="0"/>
          <w:numId w:val="40"/>
        </w:numPr>
        <w:ind w:left="1134" w:firstLine="0"/>
        <w:rPr>
          <w:lang w:eastAsia="es-HN"/>
        </w:rPr>
      </w:pPr>
      <w:r w:rsidRPr="00BD0011">
        <w:rPr>
          <w:b/>
          <w:bCs/>
          <w:lang w:eastAsia="es-HN"/>
        </w:rPr>
        <w:t>Inciso c)</w:t>
      </w:r>
      <w:r w:rsidRPr="00BD0011">
        <w:rPr>
          <w:lang w:eastAsia="es-HN"/>
        </w:rPr>
        <w:t xml:space="preserve">, respecto con las </w:t>
      </w:r>
      <w:proofErr w:type="spellStart"/>
      <w:r w:rsidRPr="00BD0011">
        <w:rPr>
          <w:lang w:eastAsia="es-HN"/>
        </w:rPr>
        <w:t>PcD</w:t>
      </w:r>
      <w:proofErr w:type="spellEnd"/>
      <w:r w:rsidRPr="00BD0011">
        <w:rPr>
          <w:lang w:eastAsia="es-HN"/>
        </w:rPr>
        <w:t xml:space="preserve"> desplazadas internamente por violencia, el 21 de diciembre de 2022 el CN aprobó el Decreto 154-2022, contentivo de la Ley para la Prevención, Atención y Protección de las Personas Desplazadas Internamente, con la finalidad de prevenir el desplazamiento interno, atender, proteger y brindar asistencia humanitaria a las personas o grupos de personas forzadas a escapar de su hogar, para evitar los efectos de un conflicto armado, situaciones de violencia generalizada, violaciones de derechos humanos y que no han cruzado una frontera.</w:t>
      </w:r>
    </w:p>
    <w:p w14:paraId="42881A66" w14:textId="77777777" w:rsidR="00BD0011" w:rsidRPr="00BD0011" w:rsidRDefault="00BD0011" w:rsidP="00902039">
      <w:pPr>
        <w:pStyle w:val="SingleTxtG"/>
        <w:numPr>
          <w:ilvl w:val="0"/>
          <w:numId w:val="40"/>
        </w:numPr>
        <w:ind w:left="1134" w:firstLine="0"/>
        <w:rPr>
          <w:lang w:eastAsia="es-HN"/>
        </w:rPr>
      </w:pPr>
      <w:r w:rsidRPr="00BD0011">
        <w:rPr>
          <w:lang w:eastAsia="es-HN"/>
        </w:rPr>
        <w:t>A través de la Mesa Nacional Interinstitucional de Prevención y Abordaje de Conflictos Sociales, con el asesoramiento del ACNUR, se elaboró el protocolo sobre el desplazamiento forzado.</w:t>
      </w:r>
    </w:p>
    <w:p w14:paraId="7A69A24D" w14:textId="77777777" w:rsidR="00BD0011" w:rsidRPr="00BD0011" w:rsidRDefault="00BD0011" w:rsidP="00902039">
      <w:pPr>
        <w:pStyle w:val="SingleTxtG"/>
        <w:numPr>
          <w:ilvl w:val="0"/>
          <w:numId w:val="40"/>
        </w:numPr>
        <w:ind w:left="1134" w:firstLine="0"/>
        <w:rPr>
          <w:lang w:eastAsia="es-HN"/>
        </w:rPr>
      </w:pPr>
      <w:r w:rsidRPr="00BD0011">
        <w:rPr>
          <w:b/>
          <w:bCs/>
          <w:lang w:eastAsia="es-HN"/>
        </w:rPr>
        <w:t>Inciso d)</w:t>
      </w:r>
      <w:r w:rsidRPr="00BD0011">
        <w:rPr>
          <w:lang w:eastAsia="es-HN"/>
        </w:rPr>
        <w:t xml:space="preserve">, para la atención y protección de los derechos de las </w:t>
      </w:r>
      <w:proofErr w:type="spellStart"/>
      <w:r w:rsidRPr="00BD0011">
        <w:rPr>
          <w:lang w:eastAsia="es-HN"/>
        </w:rPr>
        <w:t>PcD</w:t>
      </w:r>
      <w:proofErr w:type="spellEnd"/>
      <w:r w:rsidRPr="00BD0011">
        <w:rPr>
          <w:lang w:eastAsia="es-HN"/>
        </w:rPr>
        <w:t>, por medio del proyecto del Fondo Solidario para el Sector Discapacidad en Honduras, se brinda atención directa a los migrantes retornados con discapacidad física y sus familias en asistencia inmediata en salud física y mental.</w:t>
      </w:r>
    </w:p>
    <w:p w14:paraId="41846FB7" w14:textId="77777777" w:rsidR="00BD0011" w:rsidRPr="00BD0011" w:rsidRDefault="00BD0011" w:rsidP="00902039">
      <w:pPr>
        <w:pStyle w:val="SingleTxtG"/>
        <w:numPr>
          <w:ilvl w:val="0"/>
          <w:numId w:val="40"/>
        </w:numPr>
        <w:ind w:left="1134" w:firstLine="0"/>
        <w:rPr>
          <w:lang w:eastAsia="es-HN"/>
        </w:rPr>
      </w:pPr>
      <w:r w:rsidRPr="00BD0011">
        <w:rPr>
          <w:lang w:eastAsia="es-HN"/>
        </w:rPr>
        <w:t>Además, se realizarán visitas de campo para identificar las necesidades de los casos que han regresado en los últimos dos años, y aquellos casos en los que han informado que presentan problemas de salud, priorizando a las mujeres migrantes y a las cuidadoras de migrantes con lesiones medulares y cerebrales. Para esto, se cuenta con formatos para recopilación de información como la ficha de registro y estudio socioeconómico.</w:t>
      </w:r>
    </w:p>
    <w:p w14:paraId="10BE902E" w14:textId="59858054" w:rsidR="00BD0011" w:rsidRPr="00BD0011" w:rsidRDefault="003415E3" w:rsidP="003415E3">
      <w:pPr>
        <w:pStyle w:val="H23G"/>
        <w:rPr>
          <w:lang w:eastAsia="es-HN"/>
        </w:rPr>
      </w:pPr>
      <w:bookmarkStart w:id="43" w:name="_Toc147932970"/>
      <w:bookmarkStart w:id="44" w:name="_Toc148970484"/>
      <w:r>
        <w:rPr>
          <w:lang w:eastAsia="es-HN"/>
        </w:rPr>
        <w:tab/>
      </w:r>
      <w:r>
        <w:rPr>
          <w:lang w:eastAsia="es-HN"/>
        </w:rPr>
        <w:tab/>
      </w:r>
      <w:r w:rsidR="00BD0011" w:rsidRPr="00BD0011">
        <w:rPr>
          <w:lang w:eastAsia="es-HN"/>
        </w:rPr>
        <w:t xml:space="preserve">Vida independiente e inclusión en la comunidad </w:t>
      </w:r>
      <w:r w:rsidR="00BD0011" w:rsidRPr="00BD0011">
        <w:rPr>
          <w:szCs w:val="24"/>
          <w:lang w:eastAsia="es-HN"/>
        </w:rPr>
        <w:t>(art. 19)</w:t>
      </w:r>
      <w:bookmarkEnd w:id="43"/>
      <w:bookmarkEnd w:id="44"/>
    </w:p>
    <w:p w14:paraId="79AE003C" w14:textId="77777777" w:rsidR="00BD0011" w:rsidRPr="00BD0011" w:rsidRDefault="00BD0011" w:rsidP="00902039">
      <w:pPr>
        <w:pStyle w:val="SingleTxtG"/>
        <w:numPr>
          <w:ilvl w:val="0"/>
          <w:numId w:val="40"/>
        </w:numPr>
        <w:ind w:left="1134" w:firstLine="0"/>
        <w:rPr>
          <w:lang w:eastAsia="es-HN"/>
        </w:rPr>
      </w:pPr>
      <w:r w:rsidRPr="00BD0011">
        <w:rPr>
          <w:b/>
          <w:bCs/>
          <w:lang w:eastAsia="es-HN"/>
        </w:rPr>
        <w:t>Cuestión 16, inciso a)</w:t>
      </w:r>
      <w:r w:rsidRPr="00BD0011">
        <w:rPr>
          <w:lang w:eastAsia="es-HN"/>
        </w:rPr>
        <w:t xml:space="preserve">, en relación con el derecho de las </w:t>
      </w:r>
      <w:proofErr w:type="spellStart"/>
      <w:r w:rsidRPr="00BD0011">
        <w:rPr>
          <w:lang w:eastAsia="es-HN"/>
        </w:rPr>
        <w:t>PcD</w:t>
      </w:r>
      <w:proofErr w:type="spellEnd"/>
      <w:r w:rsidRPr="00BD0011">
        <w:rPr>
          <w:lang w:eastAsia="es-HN"/>
        </w:rPr>
        <w:t xml:space="preserve"> para elegir su residencia, se instaló la Mesa Técnica para la Construcción y Socialización de los Avances de la Política Pública de Vivienda, que trabaja SEDESOL con el Programa de Vivienda y Asentamientos Humanos y diferentes sectores de la sociedad. Esta política busca liberalizar fondos y volver más accesible la obtención de viviendas dignas y adecuadas en condiciones justas y equitativas.</w:t>
      </w:r>
    </w:p>
    <w:p w14:paraId="234C0199" w14:textId="77777777" w:rsidR="00BD0011" w:rsidRPr="00BD0011" w:rsidRDefault="00BD0011" w:rsidP="00902039">
      <w:pPr>
        <w:pStyle w:val="SingleTxtG"/>
        <w:numPr>
          <w:ilvl w:val="0"/>
          <w:numId w:val="40"/>
        </w:numPr>
        <w:ind w:left="1134" w:firstLine="0"/>
        <w:rPr>
          <w:lang w:eastAsia="es-HN"/>
        </w:rPr>
      </w:pPr>
      <w:r w:rsidRPr="00BD0011">
        <w:rPr>
          <w:b/>
          <w:bCs/>
          <w:lang w:eastAsia="es-HN"/>
        </w:rPr>
        <w:t>Inciso c)</w:t>
      </w:r>
      <w:r w:rsidRPr="00BD0011">
        <w:rPr>
          <w:lang w:eastAsia="es-HN"/>
        </w:rPr>
        <w:t xml:space="preserve">, para extender la disponibilidad de los servicios que brinda SEDESOL en los municipios y comunidades a nivel nacional, se plantea la creación de las Unidades Municipales de Discapacidad (UMD), que facilitarán el acceso a los diferentes servicios y velarán por el cumplimiento de los derechos de las </w:t>
      </w:r>
      <w:proofErr w:type="spellStart"/>
      <w:r w:rsidRPr="00BD0011">
        <w:rPr>
          <w:lang w:eastAsia="es-HN"/>
        </w:rPr>
        <w:t>PcD</w:t>
      </w:r>
      <w:proofErr w:type="spellEnd"/>
      <w:r w:rsidRPr="00BD0011">
        <w:rPr>
          <w:lang w:eastAsia="es-HN"/>
        </w:rPr>
        <w:t>.</w:t>
      </w:r>
    </w:p>
    <w:p w14:paraId="35E6118A" w14:textId="675BA651" w:rsidR="00BD0011" w:rsidRPr="00BD0011" w:rsidRDefault="003415E3" w:rsidP="003415E3">
      <w:pPr>
        <w:pStyle w:val="H23G"/>
        <w:rPr>
          <w:lang w:eastAsia="es-HN"/>
        </w:rPr>
      </w:pPr>
      <w:bookmarkStart w:id="45" w:name="_Toc147932971"/>
      <w:bookmarkStart w:id="46" w:name="_Toc148970485"/>
      <w:r>
        <w:rPr>
          <w:lang w:eastAsia="es-HN"/>
        </w:rPr>
        <w:tab/>
      </w:r>
      <w:r>
        <w:rPr>
          <w:lang w:eastAsia="es-HN"/>
        </w:rPr>
        <w:tab/>
      </w:r>
      <w:r w:rsidR="00BD0011" w:rsidRPr="00BD0011">
        <w:rPr>
          <w:lang w:eastAsia="es-HN"/>
        </w:rPr>
        <w:t xml:space="preserve">Movilidad personal </w:t>
      </w:r>
      <w:r w:rsidR="00BD0011" w:rsidRPr="00BD0011">
        <w:rPr>
          <w:szCs w:val="24"/>
          <w:lang w:eastAsia="es-HN"/>
        </w:rPr>
        <w:t>(art. 20)</w:t>
      </w:r>
      <w:bookmarkEnd w:id="45"/>
      <w:bookmarkEnd w:id="46"/>
    </w:p>
    <w:p w14:paraId="563BB57F" w14:textId="77777777" w:rsidR="00BD0011" w:rsidRPr="00BD0011" w:rsidRDefault="00BD0011" w:rsidP="00902039">
      <w:pPr>
        <w:pStyle w:val="SingleTxtG"/>
        <w:numPr>
          <w:ilvl w:val="0"/>
          <w:numId w:val="40"/>
        </w:numPr>
        <w:ind w:left="1134" w:firstLine="0"/>
        <w:rPr>
          <w:lang w:eastAsia="es-HN"/>
        </w:rPr>
      </w:pPr>
      <w:r w:rsidRPr="00BD0011">
        <w:rPr>
          <w:b/>
          <w:bCs/>
          <w:lang w:eastAsia="es-HN"/>
        </w:rPr>
        <w:t>Cuestión 17</w:t>
      </w:r>
      <w:r w:rsidRPr="00BD0011">
        <w:rPr>
          <w:lang w:eastAsia="es-HN"/>
        </w:rPr>
        <w:t xml:space="preserve">, </w:t>
      </w:r>
      <w:bookmarkStart w:id="47" w:name="_Hlk146806851"/>
      <w:r w:rsidRPr="00BD0011">
        <w:rPr>
          <w:lang w:eastAsia="es-HN"/>
        </w:rPr>
        <w:t xml:space="preserve">para facilitar la movilidad y accesibilidad al transporte de las </w:t>
      </w:r>
      <w:proofErr w:type="spellStart"/>
      <w:r w:rsidRPr="00BD0011">
        <w:rPr>
          <w:lang w:eastAsia="es-HN"/>
        </w:rPr>
        <w:t>PcD</w:t>
      </w:r>
      <w:proofErr w:type="spellEnd"/>
      <w:r w:rsidRPr="00BD0011">
        <w:rPr>
          <w:lang w:eastAsia="es-HN"/>
        </w:rPr>
        <w:t>, la DIGEDEPDI</w:t>
      </w:r>
      <w:bookmarkEnd w:id="47"/>
      <w:r w:rsidRPr="00BD0011">
        <w:rPr>
          <w:lang w:eastAsia="es-HN"/>
        </w:rPr>
        <w:t xml:space="preserve">, en conjunto con la Unidad de Movilidad Urbana del Distrito Central, promueve un proyecto de utilización de calcomanía para automóviles que pertenecen o transporten a </w:t>
      </w:r>
      <w:proofErr w:type="spellStart"/>
      <w:r w:rsidRPr="00BD0011">
        <w:rPr>
          <w:lang w:eastAsia="es-HN"/>
        </w:rPr>
        <w:t>PcD</w:t>
      </w:r>
      <w:proofErr w:type="spellEnd"/>
      <w:r w:rsidRPr="00BD0011">
        <w:rPr>
          <w:lang w:eastAsia="es-HN"/>
        </w:rPr>
        <w:t xml:space="preserve">. El objetivo es que los carros que transportan a </w:t>
      </w:r>
      <w:proofErr w:type="spellStart"/>
      <w:r w:rsidRPr="00BD0011">
        <w:rPr>
          <w:lang w:eastAsia="es-HN"/>
        </w:rPr>
        <w:t>PcD</w:t>
      </w:r>
      <w:proofErr w:type="spellEnd"/>
      <w:r w:rsidRPr="00BD0011">
        <w:rPr>
          <w:lang w:eastAsia="es-HN"/>
        </w:rPr>
        <w:t xml:space="preserve"> accedan de forma efectiva a los parqueaderos preferenciales. También, se pretende que las demás personas respeten los espacios destinados para </w:t>
      </w:r>
      <w:proofErr w:type="spellStart"/>
      <w:r w:rsidRPr="00BD0011">
        <w:rPr>
          <w:lang w:eastAsia="es-HN"/>
        </w:rPr>
        <w:t>PcD</w:t>
      </w:r>
      <w:proofErr w:type="spellEnd"/>
      <w:r w:rsidRPr="00BD0011">
        <w:rPr>
          <w:lang w:eastAsia="es-HN"/>
        </w:rPr>
        <w:t xml:space="preserve"> o para quienes los transportan</w:t>
      </w:r>
      <w:r w:rsidRPr="00BD0011">
        <w:rPr>
          <w:rFonts w:ascii="Calibri" w:eastAsia="Calibri" w:hAnsi="Calibri" w:cs="Calibri"/>
          <w:sz w:val="22"/>
          <w:szCs w:val="22"/>
          <w:lang w:eastAsia="es-HN"/>
        </w:rPr>
        <w:t xml:space="preserve">, </w:t>
      </w:r>
      <w:r w:rsidRPr="00BD0011">
        <w:rPr>
          <w:lang w:eastAsia="es-HN"/>
        </w:rPr>
        <w:t>así como garantizar su independencia y movilidad en cualquier lugar de la ciudad.</w:t>
      </w:r>
    </w:p>
    <w:p w14:paraId="4BAEA539" w14:textId="2E5D31F9" w:rsidR="00BD0011" w:rsidRPr="00BD0011" w:rsidRDefault="003415E3" w:rsidP="003415E3">
      <w:pPr>
        <w:pStyle w:val="H23G"/>
        <w:rPr>
          <w:lang w:eastAsia="es-HN"/>
        </w:rPr>
      </w:pPr>
      <w:bookmarkStart w:id="48" w:name="_Toc147932972"/>
      <w:bookmarkStart w:id="49" w:name="_Toc148970486"/>
      <w:r>
        <w:rPr>
          <w:lang w:eastAsia="es-HN"/>
        </w:rPr>
        <w:tab/>
      </w:r>
      <w:r>
        <w:rPr>
          <w:lang w:eastAsia="es-HN"/>
        </w:rPr>
        <w:tab/>
      </w:r>
      <w:r w:rsidR="00BD0011" w:rsidRPr="00BD0011">
        <w:rPr>
          <w:lang w:eastAsia="es-HN"/>
        </w:rPr>
        <w:t xml:space="preserve">Libertad de expresión, opinión y acceso a la información </w:t>
      </w:r>
      <w:r w:rsidR="00BD0011" w:rsidRPr="00BD0011">
        <w:rPr>
          <w:szCs w:val="24"/>
          <w:lang w:eastAsia="es-HN"/>
        </w:rPr>
        <w:t>(art. 21)</w:t>
      </w:r>
      <w:bookmarkEnd w:id="48"/>
      <w:bookmarkEnd w:id="49"/>
      <w:r w:rsidR="00BD0011" w:rsidRPr="00BD0011">
        <w:rPr>
          <w:lang w:eastAsia="es-HN"/>
        </w:rPr>
        <w:t xml:space="preserve"> </w:t>
      </w:r>
    </w:p>
    <w:p w14:paraId="06055E9E" w14:textId="77777777" w:rsidR="00BD0011" w:rsidRPr="00BD0011" w:rsidRDefault="00BD0011" w:rsidP="00902039">
      <w:pPr>
        <w:pStyle w:val="SingleTxtG"/>
        <w:numPr>
          <w:ilvl w:val="0"/>
          <w:numId w:val="40"/>
        </w:numPr>
        <w:ind w:left="1134" w:firstLine="0"/>
        <w:rPr>
          <w:lang w:eastAsia="es-HN"/>
        </w:rPr>
      </w:pPr>
      <w:r w:rsidRPr="00BD0011">
        <w:rPr>
          <w:b/>
          <w:bCs/>
          <w:lang w:eastAsia="es-HN"/>
        </w:rPr>
        <w:t>Cuestión 18, inciso a)</w:t>
      </w:r>
      <w:r w:rsidRPr="00BD0011">
        <w:rPr>
          <w:lang w:eastAsia="es-HN"/>
        </w:rPr>
        <w:t xml:space="preserve">, </w:t>
      </w:r>
      <w:bookmarkStart w:id="50" w:name="_Hlk146791432"/>
      <w:r w:rsidRPr="00BD0011">
        <w:rPr>
          <w:lang w:eastAsia="es-HN"/>
        </w:rPr>
        <w:t xml:space="preserve">para asegurar el acceso de las </w:t>
      </w:r>
      <w:proofErr w:type="spellStart"/>
      <w:r w:rsidRPr="00BD0011">
        <w:rPr>
          <w:lang w:eastAsia="es-HN"/>
        </w:rPr>
        <w:t>PcD</w:t>
      </w:r>
      <w:proofErr w:type="spellEnd"/>
      <w:r w:rsidRPr="00BD0011">
        <w:rPr>
          <w:lang w:eastAsia="es-HN"/>
        </w:rPr>
        <w:t xml:space="preserve"> a información pública en formatos accesibles, el IAIP cuenta con la versión en el sistema de lecto-escritura braille de la Ley de Transparencia y Acceso a la Información Pública. Actualmente, está pendiente la reproducción y difusión de esta, lo cual se están gestionando fondos con cooperación externa para dar cumplimiento al proyecto.</w:t>
      </w:r>
      <w:bookmarkEnd w:id="50"/>
    </w:p>
    <w:p w14:paraId="170B7DE3" w14:textId="77777777" w:rsidR="00BD0011" w:rsidRPr="00BD0011" w:rsidRDefault="00BD0011" w:rsidP="00902039">
      <w:pPr>
        <w:pStyle w:val="SingleTxtG"/>
        <w:numPr>
          <w:ilvl w:val="0"/>
          <w:numId w:val="40"/>
        </w:numPr>
        <w:ind w:left="1134" w:firstLine="0"/>
        <w:rPr>
          <w:lang w:eastAsia="es-HN"/>
        </w:rPr>
      </w:pPr>
      <w:r w:rsidRPr="00BD0011">
        <w:rPr>
          <w:lang w:eastAsia="es-HN"/>
        </w:rPr>
        <w:t xml:space="preserve">A través del fondo solidario se imparte el curso de la Lengua de Señas Hondureñas (LESHO), orientado a la emergencia, y tiene una duración de 10 horas teóricas y 10 horas de práctica. El curso pretende entregar los lineamientos básicos de la lengua de señas, ya que se </w:t>
      </w:r>
      <w:r w:rsidRPr="00BD0011">
        <w:rPr>
          <w:lang w:eastAsia="es-HN"/>
        </w:rPr>
        <w:lastRenderedPageBreak/>
        <w:t>centra en la instrucción de gestos, cuyo objetivo es ayudar a las personas sordas a tranquilizarse, requerirles información y poder orientarlos para que encuentren un lugar seguro. Esta iniciativa ha surgido de GHAPERS, para prevenir una situación de emergencia y la dificultad que enfrentarían las personas sordas en una situación de desastre.</w:t>
      </w:r>
    </w:p>
    <w:p w14:paraId="2EE92091" w14:textId="77777777" w:rsidR="00BD0011" w:rsidRPr="00BD0011" w:rsidRDefault="00BD0011" w:rsidP="00902039">
      <w:pPr>
        <w:pStyle w:val="SingleTxtG"/>
        <w:numPr>
          <w:ilvl w:val="0"/>
          <w:numId w:val="40"/>
        </w:numPr>
        <w:ind w:left="1134" w:firstLine="0"/>
        <w:rPr>
          <w:lang w:eastAsia="es-HN"/>
        </w:rPr>
      </w:pPr>
      <w:r w:rsidRPr="00BD0011">
        <w:rPr>
          <w:lang w:eastAsia="es-HN"/>
        </w:rPr>
        <w:t>La UNAH, a través del Programa de Servicios a Estudiantes con Necesidades Especiales (PROSENE), imparte cursos gratuitos para la comunidad universitaria y público en general, donde capacita ha capacitado a 174 personas en el curso de los períodos académicos de 2022 y 2023.</w:t>
      </w:r>
    </w:p>
    <w:p w14:paraId="40932FDF" w14:textId="77777777" w:rsidR="00BD0011" w:rsidRPr="00BD0011" w:rsidRDefault="00BD0011" w:rsidP="00902039">
      <w:pPr>
        <w:pStyle w:val="SingleTxtG"/>
        <w:numPr>
          <w:ilvl w:val="0"/>
          <w:numId w:val="40"/>
        </w:numPr>
        <w:ind w:left="1134" w:firstLine="0"/>
        <w:rPr>
          <w:lang w:eastAsia="es-HN"/>
        </w:rPr>
      </w:pPr>
      <w:r w:rsidRPr="00BD0011">
        <w:rPr>
          <w:b/>
          <w:bCs/>
          <w:lang w:eastAsia="es-HN"/>
        </w:rPr>
        <w:t>Inciso b)</w:t>
      </w:r>
      <w:r w:rsidRPr="00BD0011">
        <w:rPr>
          <w:lang w:eastAsia="es-HN"/>
        </w:rPr>
        <w:t xml:space="preserve">, sobre la implementación de la lengua de señas y el sistema braille, aún persisten las barreras en la información y comunicación para las </w:t>
      </w:r>
      <w:proofErr w:type="spellStart"/>
      <w:r w:rsidRPr="00BD0011">
        <w:rPr>
          <w:lang w:eastAsia="es-HN"/>
        </w:rPr>
        <w:t>PcD</w:t>
      </w:r>
      <w:proofErr w:type="spellEnd"/>
      <w:r w:rsidRPr="00BD0011">
        <w:rPr>
          <w:lang w:eastAsia="es-HN"/>
        </w:rPr>
        <w:t>; sin embargo, existen iniciativas tanto de instituciones públicas como empresas privadas que han iniciado a implementar algunos de estos medios de comunicación alternativos.</w:t>
      </w:r>
    </w:p>
    <w:p w14:paraId="69A045A4" w14:textId="47171FFB" w:rsidR="00BD0011" w:rsidRPr="00BD0011" w:rsidRDefault="00902039" w:rsidP="00902039">
      <w:pPr>
        <w:pStyle w:val="H23G"/>
        <w:rPr>
          <w:lang w:eastAsia="es-HN"/>
        </w:rPr>
      </w:pPr>
      <w:bookmarkStart w:id="51" w:name="_Toc147932973"/>
      <w:bookmarkStart w:id="52" w:name="_Toc148970487"/>
      <w:r>
        <w:rPr>
          <w:lang w:eastAsia="es-HN"/>
        </w:rPr>
        <w:tab/>
      </w:r>
      <w:r>
        <w:rPr>
          <w:lang w:eastAsia="es-HN"/>
        </w:rPr>
        <w:tab/>
      </w:r>
      <w:r w:rsidR="00BD0011" w:rsidRPr="00BD0011">
        <w:rPr>
          <w:lang w:eastAsia="es-HN"/>
        </w:rPr>
        <w:t xml:space="preserve">Respeto a la privacidad </w:t>
      </w:r>
      <w:r w:rsidR="00BD0011" w:rsidRPr="00BD0011">
        <w:rPr>
          <w:szCs w:val="24"/>
          <w:lang w:eastAsia="es-HN"/>
        </w:rPr>
        <w:t>(art. 22)</w:t>
      </w:r>
      <w:bookmarkEnd w:id="51"/>
      <w:bookmarkEnd w:id="52"/>
    </w:p>
    <w:p w14:paraId="449C974B" w14:textId="77777777" w:rsidR="00BD0011" w:rsidRPr="00BD0011" w:rsidRDefault="00BD0011" w:rsidP="00902039">
      <w:pPr>
        <w:pStyle w:val="SingleTxtG"/>
        <w:numPr>
          <w:ilvl w:val="0"/>
          <w:numId w:val="40"/>
        </w:numPr>
        <w:ind w:left="1134" w:firstLine="0"/>
        <w:rPr>
          <w:lang w:eastAsia="es-HN"/>
        </w:rPr>
      </w:pPr>
      <w:r w:rsidRPr="00BD0011">
        <w:rPr>
          <w:b/>
          <w:bCs/>
          <w:lang w:eastAsia="es-HN"/>
        </w:rPr>
        <w:t>Consulta 19</w:t>
      </w:r>
      <w:r w:rsidRPr="00BD0011">
        <w:rPr>
          <w:lang w:eastAsia="es-HN"/>
        </w:rPr>
        <w:t>, para proteger la privacidad de la información personal financiera, el Código de Comercio establece que las instituciones no podrán dar noticias de los depósitos o demás operaciones, solo puede proporcionarse al depositante, deudor o beneficiario, y a sus representantes legales (salvo en los casos en que lo pidiere la autoridad judicial).</w:t>
      </w:r>
    </w:p>
    <w:p w14:paraId="4664F59B" w14:textId="77777777" w:rsidR="00BD0011" w:rsidRPr="00BD0011" w:rsidRDefault="00BD0011" w:rsidP="00902039">
      <w:pPr>
        <w:pStyle w:val="SingleTxtG"/>
        <w:numPr>
          <w:ilvl w:val="0"/>
          <w:numId w:val="40"/>
        </w:numPr>
        <w:ind w:left="1134" w:firstLine="0"/>
        <w:rPr>
          <w:lang w:eastAsia="es-HN"/>
        </w:rPr>
      </w:pPr>
      <w:r w:rsidRPr="00BD0011">
        <w:rPr>
          <w:lang w:eastAsia="es-HN"/>
        </w:rPr>
        <w:t>Los funcionarios de las instituciones de crédito serán responsables en los términos de la ley por la violación del secreto que se establece. Las instituciones estarán obligadas, en caso de revelación de secreto, a reparar los daños y perjuicios que se causen. Dicha disposición es aplicable para todos los usuarios financieros, sin excepción.</w:t>
      </w:r>
    </w:p>
    <w:p w14:paraId="2A2F2196" w14:textId="77777777" w:rsidR="00BD0011" w:rsidRPr="00BD0011" w:rsidRDefault="00BD0011" w:rsidP="00902039">
      <w:pPr>
        <w:pStyle w:val="SingleTxtG"/>
        <w:numPr>
          <w:ilvl w:val="0"/>
          <w:numId w:val="40"/>
        </w:numPr>
        <w:ind w:left="1134" w:firstLine="0"/>
        <w:rPr>
          <w:lang w:eastAsia="es-HN"/>
        </w:rPr>
      </w:pPr>
      <w:r w:rsidRPr="00BD0011">
        <w:rPr>
          <w:lang w:eastAsia="es-HN"/>
        </w:rPr>
        <w:t>Para la protección de los usuarios financieros, la Comisión Nacional de Bancas y seguros (CNBS) reformó, en 2022, las Normas para el Fortalecimiento de la Transparencia, la Cultura Financiera, Conducta de Mercado y Atención al Usuario Financiero de las Instituciones Supervisadas</w:t>
      </w:r>
      <w:r w:rsidRPr="00BD0011">
        <w:rPr>
          <w:vertAlign w:val="superscript"/>
          <w:lang w:eastAsia="es-HN"/>
        </w:rPr>
        <w:footnoteReference w:id="19"/>
      </w:r>
      <w:r w:rsidRPr="00BD0011">
        <w:rPr>
          <w:lang w:eastAsia="es-HN"/>
        </w:rPr>
        <w:t xml:space="preserve">; que establece un plazo de seis meses para que las instituciones financieras pudieran adoptar e implementar las nuevas disposiciones. </w:t>
      </w:r>
    </w:p>
    <w:p w14:paraId="6D284F02" w14:textId="77777777" w:rsidR="00BD0011" w:rsidRPr="00BD0011" w:rsidRDefault="00BD0011" w:rsidP="00902039">
      <w:pPr>
        <w:pStyle w:val="SingleTxtG"/>
        <w:numPr>
          <w:ilvl w:val="0"/>
          <w:numId w:val="40"/>
        </w:numPr>
        <w:ind w:left="1134" w:firstLine="0"/>
        <w:rPr>
          <w:lang w:eastAsia="es-HN"/>
        </w:rPr>
      </w:pPr>
      <w:r w:rsidRPr="00BD0011">
        <w:rPr>
          <w:highlight w:val="white"/>
          <w:lang w:eastAsia="es-HN"/>
        </w:rPr>
        <w:t>Los usuarios financieros tienen derecho a presentar reclamos ante las instituciones financieras privadas, además, en caso de no obtener una respuesta satisfactoria, tienen derecho de presentar denuncia ante la CNBS, quien debe dar trámite a las reclamaciones o quejas que se presenten y ordenar las medidas que resulten pertinentes.</w:t>
      </w:r>
    </w:p>
    <w:p w14:paraId="3E6BDF8F" w14:textId="6534B99F" w:rsidR="00BD0011" w:rsidRPr="00BD0011" w:rsidRDefault="00902039" w:rsidP="00902039">
      <w:pPr>
        <w:pStyle w:val="H23G"/>
        <w:rPr>
          <w:lang w:eastAsia="es-HN"/>
        </w:rPr>
      </w:pPr>
      <w:bookmarkStart w:id="53" w:name="_Toc147932974"/>
      <w:bookmarkStart w:id="54" w:name="_Toc148970488"/>
      <w:r>
        <w:rPr>
          <w:lang w:eastAsia="es-HN"/>
        </w:rPr>
        <w:tab/>
      </w:r>
      <w:r>
        <w:rPr>
          <w:lang w:eastAsia="es-HN"/>
        </w:rPr>
        <w:tab/>
      </w:r>
      <w:r w:rsidR="00BD0011" w:rsidRPr="00BD0011">
        <w:rPr>
          <w:lang w:eastAsia="es-HN"/>
        </w:rPr>
        <w:t xml:space="preserve">Educación </w:t>
      </w:r>
      <w:r w:rsidR="00BD0011" w:rsidRPr="00BD0011">
        <w:rPr>
          <w:szCs w:val="24"/>
          <w:lang w:eastAsia="es-HN"/>
        </w:rPr>
        <w:t>(art. 24)</w:t>
      </w:r>
      <w:bookmarkEnd w:id="53"/>
      <w:bookmarkEnd w:id="54"/>
    </w:p>
    <w:p w14:paraId="4B6C5713" w14:textId="77777777" w:rsidR="00BD0011" w:rsidRPr="00BD0011" w:rsidRDefault="00BD0011" w:rsidP="00902039">
      <w:pPr>
        <w:pStyle w:val="SingleTxtG"/>
        <w:numPr>
          <w:ilvl w:val="0"/>
          <w:numId w:val="40"/>
        </w:numPr>
        <w:ind w:left="1134" w:firstLine="0"/>
        <w:rPr>
          <w:lang w:eastAsia="es-HN"/>
        </w:rPr>
      </w:pPr>
      <w:r w:rsidRPr="00BD0011">
        <w:rPr>
          <w:b/>
          <w:bCs/>
          <w:lang w:eastAsia="es-HN"/>
        </w:rPr>
        <w:t>Cuestión 21, inciso a)</w:t>
      </w:r>
      <w:r w:rsidRPr="00BD0011">
        <w:rPr>
          <w:lang w:eastAsia="es-HN"/>
        </w:rPr>
        <w:t>, sobre la construcción de una política educativa inclusiva a nivel superior, la UNAH se encuentra en proceso de construcción de una Política de Inclusión a la Educación Superior con Equidad para la Cohesión Social (PIES).</w:t>
      </w:r>
    </w:p>
    <w:p w14:paraId="165563D9" w14:textId="77777777" w:rsidR="00BD0011" w:rsidRPr="00BD0011" w:rsidRDefault="00BD0011" w:rsidP="00902039">
      <w:pPr>
        <w:pStyle w:val="SingleTxtG"/>
        <w:numPr>
          <w:ilvl w:val="0"/>
          <w:numId w:val="40"/>
        </w:numPr>
        <w:ind w:left="1134" w:firstLine="0"/>
        <w:rPr>
          <w:lang w:eastAsia="es-HN"/>
        </w:rPr>
      </w:pPr>
      <w:r w:rsidRPr="00BD0011">
        <w:rPr>
          <w:b/>
          <w:bCs/>
          <w:lang w:eastAsia="es-HN"/>
        </w:rPr>
        <w:t>Inciso b)</w:t>
      </w:r>
      <w:r w:rsidRPr="00BD0011">
        <w:rPr>
          <w:lang w:eastAsia="es-HN"/>
        </w:rPr>
        <w:t xml:space="preserve">, en cuanto al registro de matrícula escolar activa de enero al 31 de agosto de 2023, la SEDUC atiende a 1,857,422 educandos, de los cuales 207,187 son atendidos en nivel prebásica, 1,069,331 en básica del I y II ciclo, 367,974 en básica de III ciclo, 209,534 en nivel medio, y 3,396 son adultos.  </w:t>
      </w:r>
    </w:p>
    <w:p w14:paraId="64E43D8B" w14:textId="77777777" w:rsidR="00BD0011" w:rsidRPr="00BD0011" w:rsidRDefault="00BD0011" w:rsidP="00902039">
      <w:pPr>
        <w:pStyle w:val="SingleTxtG"/>
        <w:numPr>
          <w:ilvl w:val="0"/>
          <w:numId w:val="40"/>
        </w:numPr>
        <w:ind w:left="1134" w:firstLine="0"/>
        <w:rPr>
          <w:lang w:eastAsia="es-HN"/>
        </w:rPr>
      </w:pPr>
      <w:r w:rsidRPr="00BD0011">
        <w:rPr>
          <w:lang w:eastAsia="es-HN"/>
        </w:rPr>
        <w:t>La Unidad del Sistema Nacional de Información Educativa de Honduras (USINIEH) levanta una encuesta en la que registró 21,847 NNA con discapacidad matriculados en 2022 en el sistema educativo nacional gubernamental y no gubernamental.</w:t>
      </w:r>
    </w:p>
    <w:p w14:paraId="2319E2CD" w14:textId="77777777" w:rsidR="00BD0011" w:rsidRPr="00BD0011" w:rsidRDefault="00BD0011" w:rsidP="00902039">
      <w:pPr>
        <w:pStyle w:val="SingleTxtG"/>
        <w:numPr>
          <w:ilvl w:val="0"/>
          <w:numId w:val="40"/>
        </w:numPr>
        <w:ind w:left="1134" w:firstLine="0"/>
        <w:rPr>
          <w:lang w:eastAsia="es-HN"/>
        </w:rPr>
      </w:pPr>
      <w:r w:rsidRPr="00BD0011">
        <w:rPr>
          <w:lang w:eastAsia="es-HN"/>
        </w:rPr>
        <w:t xml:space="preserve">La SEDUC también cuenta con una base de datos en la que se identifican los perfiles de NNA en riesgo de abandono </w:t>
      </w:r>
      <w:r w:rsidRPr="00902039">
        <w:rPr>
          <w:highlight w:val="white"/>
          <w:lang w:eastAsia="es-HN"/>
        </w:rPr>
        <w:t>escolar</w:t>
      </w:r>
      <w:r w:rsidRPr="00BD0011">
        <w:rPr>
          <w:lang w:eastAsia="es-HN"/>
        </w:rPr>
        <w:t xml:space="preserve">, que tiene el objetivo de planificar acciones para hacer frente a las situaciones </w:t>
      </w:r>
      <w:r w:rsidRPr="00902039">
        <w:rPr>
          <w:highlight w:val="white"/>
          <w:lang w:eastAsia="es-HN"/>
        </w:rPr>
        <w:t>de</w:t>
      </w:r>
      <w:r w:rsidRPr="00BD0011">
        <w:rPr>
          <w:lang w:eastAsia="es-HN"/>
        </w:rPr>
        <w:t xml:space="preserve"> vulnerabilidad que originan dichos riesgos. De los 4,604 NNA con perfil de riesgo de abandono escolar, 187 tienen discapacidad intelectual, 60 motora, 44 visual, 42 congénita, 41 auditiva, 30 discapacidad múltiple, 10 discapacidad adquirida, 102 otras discapacidades, 259 psicosocial, 83 trastorno del lenguaje, 378 trastorno de aprendizaje y 264 otros trastornos</w:t>
      </w:r>
      <w:r w:rsidRPr="00BD0011">
        <w:rPr>
          <w:vertAlign w:val="superscript"/>
          <w:lang w:eastAsia="es-HN"/>
        </w:rPr>
        <w:footnoteReference w:id="20"/>
      </w:r>
      <w:r w:rsidRPr="00BD0011">
        <w:rPr>
          <w:lang w:eastAsia="es-HN"/>
        </w:rPr>
        <w:t xml:space="preserve">.   </w:t>
      </w:r>
    </w:p>
    <w:p w14:paraId="331E9C21" w14:textId="77777777" w:rsidR="00BD0011" w:rsidRPr="00BD0011" w:rsidRDefault="00BD0011" w:rsidP="00902039">
      <w:pPr>
        <w:pStyle w:val="SingleTxtG"/>
        <w:numPr>
          <w:ilvl w:val="0"/>
          <w:numId w:val="40"/>
        </w:numPr>
        <w:ind w:left="1134" w:firstLine="0"/>
        <w:rPr>
          <w:lang w:eastAsia="es-HN"/>
        </w:rPr>
      </w:pPr>
      <w:r w:rsidRPr="00BD0011">
        <w:rPr>
          <w:lang w:eastAsia="es-HN"/>
        </w:rPr>
        <w:lastRenderedPageBreak/>
        <w:t xml:space="preserve">La SEDUC realizó el lanzamiento del año de la Inclusión Educativa 2022, con el lema </w:t>
      </w:r>
      <w:r w:rsidRPr="00BD0011">
        <w:rPr>
          <w:i/>
          <w:iCs/>
          <w:lang w:eastAsia="es-HN"/>
        </w:rPr>
        <w:t>Educación para aprender e inclusión para convivir; inclúyeme, es mi derecho</w:t>
      </w:r>
      <w:r w:rsidRPr="00BD0011">
        <w:rPr>
          <w:vertAlign w:val="superscript"/>
          <w:lang w:eastAsia="es-HN"/>
        </w:rPr>
        <w:footnoteReference w:id="21"/>
      </w:r>
      <w:r w:rsidRPr="00BD0011">
        <w:rPr>
          <w:lang w:eastAsia="es-HN"/>
        </w:rPr>
        <w:t>.</w:t>
      </w:r>
    </w:p>
    <w:p w14:paraId="385866AB" w14:textId="77777777" w:rsidR="00BD0011" w:rsidRPr="00BD0011" w:rsidRDefault="00BD0011" w:rsidP="00902039">
      <w:pPr>
        <w:pStyle w:val="SingleTxtG"/>
        <w:numPr>
          <w:ilvl w:val="0"/>
          <w:numId w:val="40"/>
        </w:numPr>
        <w:ind w:left="1134" w:firstLine="0"/>
        <w:rPr>
          <w:lang w:eastAsia="es-HN"/>
        </w:rPr>
      </w:pPr>
      <w:r w:rsidRPr="00BD0011">
        <w:rPr>
          <w:b/>
          <w:bCs/>
          <w:lang w:eastAsia="es-HN"/>
        </w:rPr>
        <w:t>Inciso d)</w:t>
      </w:r>
      <w:r w:rsidRPr="00BD0011">
        <w:rPr>
          <w:lang w:eastAsia="es-HN"/>
        </w:rPr>
        <w:t xml:space="preserve">, el PROSENE es una estrategia única en Honduras, encaminada en fortalecer la inclusión educativa a nivel superior, que brinda los servicios de apoyo en el proceso de admisión para los aspirantes con discapacidad que se someten a la prueba de aptitud académica de la UNAH y ayuda durante el proceso de matrícula y asesoría académica. El total de </w:t>
      </w:r>
      <w:proofErr w:type="spellStart"/>
      <w:r w:rsidRPr="00BD0011">
        <w:rPr>
          <w:lang w:eastAsia="es-HN"/>
        </w:rPr>
        <w:t>PcD</w:t>
      </w:r>
      <w:proofErr w:type="spellEnd"/>
      <w:r w:rsidRPr="00BD0011">
        <w:rPr>
          <w:lang w:eastAsia="es-HN"/>
        </w:rPr>
        <w:t xml:space="preserve"> matriculadas en la UNAH, en los períodos académicos de 2022 y 2023, es de 292 y 268 respectivamente.</w:t>
      </w:r>
    </w:p>
    <w:p w14:paraId="32678F4E" w14:textId="77777777" w:rsidR="00BD0011" w:rsidRPr="00BD0011" w:rsidRDefault="00BD0011" w:rsidP="00902039">
      <w:pPr>
        <w:pStyle w:val="SingleTxtG"/>
        <w:numPr>
          <w:ilvl w:val="0"/>
          <w:numId w:val="40"/>
        </w:numPr>
        <w:ind w:left="1134" w:firstLine="0"/>
        <w:rPr>
          <w:lang w:eastAsia="es-HN"/>
        </w:rPr>
      </w:pPr>
      <w:r w:rsidRPr="00BD0011">
        <w:rPr>
          <w:lang w:eastAsia="es-HN"/>
        </w:rPr>
        <w:t>En cuanto apoyo y atención individualizada para los estudiantes con discapacidad, PROSENE realiza visitas y reuniones en las aulas universitarias, según demanda a solicitud de los estudiantes y/o docente. En los periodos académicos de 2022 y 2023 se han realizado 118 visitas.</w:t>
      </w:r>
    </w:p>
    <w:p w14:paraId="49F16D5D" w14:textId="77777777" w:rsidR="00BD0011" w:rsidRPr="00BD0011" w:rsidRDefault="00BD0011" w:rsidP="00902039">
      <w:pPr>
        <w:pStyle w:val="SingleTxtG"/>
        <w:numPr>
          <w:ilvl w:val="0"/>
          <w:numId w:val="40"/>
        </w:numPr>
        <w:ind w:left="1134" w:firstLine="0"/>
        <w:rPr>
          <w:lang w:eastAsia="es-HN"/>
        </w:rPr>
      </w:pPr>
      <w:r w:rsidRPr="00BD0011">
        <w:rPr>
          <w:b/>
          <w:bCs/>
          <w:lang w:eastAsia="es-HN"/>
        </w:rPr>
        <w:t>Inciso e)</w:t>
      </w:r>
      <w:r w:rsidRPr="00BD0011">
        <w:rPr>
          <w:lang w:eastAsia="es-HN"/>
        </w:rPr>
        <w:t>, respecto al acceso al material, la SEDUC ha dotado de materiales y textos adaptados a educandos con discapacidad visual. Para el concurso docente de 2022, se adaptó al braille el temario y examen para los docentes con discapacidad visual</w:t>
      </w:r>
      <w:r w:rsidRPr="00BD0011">
        <w:rPr>
          <w:vertAlign w:val="superscript"/>
          <w:lang w:eastAsia="es-HN"/>
        </w:rPr>
        <w:footnoteReference w:id="22"/>
      </w:r>
      <w:r w:rsidRPr="00BD0011">
        <w:rPr>
          <w:lang w:eastAsia="es-HN"/>
        </w:rPr>
        <w:t>.</w:t>
      </w:r>
    </w:p>
    <w:p w14:paraId="4DFD744F" w14:textId="77777777" w:rsidR="00BD0011" w:rsidRPr="00BD0011" w:rsidRDefault="00BD0011" w:rsidP="00902039">
      <w:pPr>
        <w:pStyle w:val="SingleTxtG"/>
        <w:numPr>
          <w:ilvl w:val="0"/>
          <w:numId w:val="40"/>
        </w:numPr>
        <w:ind w:left="1134" w:firstLine="0"/>
        <w:rPr>
          <w:lang w:eastAsia="es-HN"/>
        </w:rPr>
      </w:pPr>
      <w:r w:rsidRPr="00BD0011">
        <w:rPr>
          <w:lang w:eastAsia="es-HN"/>
        </w:rPr>
        <w:t>La UNAH cuenta con su propio laboratorio de tecnología adaptativa, donde el universitario puede efectuar conversiones de textos al sistema braille, lectura y grabación de textos</w:t>
      </w:r>
      <w:r w:rsidRPr="00BD0011">
        <w:rPr>
          <w:vertAlign w:val="superscript"/>
          <w:lang w:eastAsia="es-HN"/>
        </w:rPr>
        <w:footnoteReference w:id="23"/>
      </w:r>
      <w:r w:rsidRPr="00BD0011">
        <w:rPr>
          <w:lang w:eastAsia="es-HN"/>
        </w:rPr>
        <w:t>. En los periodos académicos de 2022 y 2023 se han convertido 239 documentos a audios.</w:t>
      </w:r>
    </w:p>
    <w:p w14:paraId="0F63C747" w14:textId="77777777" w:rsidR="00BD0011" w:rsidRPr="00BD0011" w:rsidRDefault="00BD0011" w:rsidP="00902039">
      <w:pPr>
        <w:pStyle w:val="SingleTxtG"/>
        <w:numPr>
          <w:ilvl w:val="0"/>
          <w:numId w:val="40"/>
        </w:numPr>
        <w:ind w:left="1134" w:firstLine="0"/>
        <w:rPr>
          <w:lang w:eastAsia="es-HN"/>
        </w:rPr>
      </w:pPr>
      <w:r w:rsidRPr="00BD0011">
        <w:rPr>
          <w:lang w:eastAsia="es-HN"/>
        </w:rPr>
        <w:t>También, ofrece el servicio de intérprete de LESHO, ayuda en el acceso y adaptación de la plataforma virtual de la UNAH, adecuación curricular, tutorías académicas, orientación psicológica y facilita la accesibilidad al entorno físico.</w:t>
      </w:r>
    </w:p>
    <w:p w14:paraId="01E0BAB3" w14:textId="77777777" w:rsidR="00BD0011" w:rsidRPr="00BD0011" w:rsidRDefault="00BD0011" w:rsidP="00902039">
      <w:pPr>
        <w:pStyle w:val="SingleTxtG"/>
        <w:numPr>
          <w:ilvl w:val="0"/>
          <w:numId w:val="40"/>
        </w:numPr>
        <w:ind w:left="1134" w:firstLine="0"/>
        <w:rPr>
          <w:lang w:eastAsia="es-HN"/>
        </w:rPr>
      </w:pPr>
      <w:r w:rsidRPr="00BD0011">
        <w:rPr>
          <w:b/>
          <w:bCs/>
          <w:lang w:eastAsia="es-HN"/>
        </w:rPr>
        <w:t>Inciso f)</w:t>
      </w:r>
      <w:r w:rsidRPr="00BD0011">
        <w:rPr>
          <w:lang w:eastAsia="es-HN"/>
        </w:rPr>
        <w:t>, para la formación docente, el PROSENE</w:t>
      </w:r>
      <w:r w:rsidRPr="00BD0011">
        <w:rPr>
          <w:rFonts w:ascii="Calibri" w:eastAsia="Calibri" w:hAnsi="Calibri" w:cs="Calibri"/>
          <w:sz w:val="22"/>
          <w:szCs w:val="22"/>
          <w:lang w:eastAsia="es-HN"/>
        </w:rPr>
        <w:t xml:space="preserve"> </w:t>
      </w:r>
      <w:r w:rsidRPr="00BD0011">
        <w:rPr>
          <w:lang w:eastAsia="es-HN"/>
        </w:rPr>
        <w:t xml:space="preserve">brinda capacitaciones a docentes y personal administrativo referente con las adecuaciones que se deban realizar para atención de estudiantes con discapacidad, por ejemplo: </w:t>
      </w:r>
    </w:p>
    <w:p w14:paraId="25671894" w14:textId="77777777" w:rsidR="00BD0011" w:rsidRPr="00BD0011" w:rsidRDefault="00BD0011" w:rsidP="00902039">
      <w:pPr>
        <w:pStyle w:val="SingleTxtG"/>
        <w:numPr>
          <w:ilvl w:val="0"/>
          <w:numId w:val="42"/>
        </w:numPr>
        <w:ind w:left="1134" w:firstLine="567"/>
        <w:rPr>
          <w:lang w:eastAsia="es-HN"/>
        </w:rPr>
      </w:pPr>
      <w:r w:rsidRPr="00BD0011">
        <w:rPr>
          <w:lang w:eastAsia="es-HN"/>
        </w:rPr>
        <w:t>Soy profesor de la UNAH sobre ajustes razonables y los servicios PROSENE.</w:t>
      </w:r>
    </w:p>
    <w:p w14:paraId="7F26BE68" w14:textId="77777777" w:rsidR="00BD0011" w:rsidRPr="00BD0011" w:rsidRDefault="00BD0011" w:rsidP="00902039">
      <w:pPr>
        <w:pStyle w:val="SingleTxtG"/>
        <w:numPr>
          <w:ilvl w:val="0"/>
          <w:numId w:val="42"/>
        </w:numPr>
        <w:ind w:left="1134" w:firstLine="567"/>
        <w:rPr>
          <w:lang w:eastAsia="es-HN"/>
        </w:rPr>
      </w:pPr>
      <w:r w:rsidRPr="00BD0011">
        <w:rPr>
          <w:lang w:eastAsia="es-HN"/>
        </w:rPr>
        <w:t>Panel internacional sobre buenas prácticas en la educación superior para organizar materiales accesibles, para docentes de las universidades de Latinoamérica.</w:t>
      </w:r>
    </w:p>
    <w:p w14:paraId="0C63880E" w14:textId="77777777" w:rsidR="00BD0011" w:rsidRPr="00BD0011" w:rsidRDefault="00BD0011" w:rsidP="00902039">
      <w:pPr>
        <w:pStyle w:val="SingleTxtG"/>
        <w:numPr>
          <w:ilvl w:val="0"/>
          <w:numId w:val="42"/>
        </w:numPr>
        <w:ind w:left="1134" w:firstLine="567"/>
        <w:rPr>
          <w:lang w:eastAsia="es-HN"/>
        </w:rPr>
      </w:pPr>
      <w:r w:rsidRPr="00BD0011">
        <w:rPr>
          <w:lang w:eastAsia="es-HN"/>
        </w:rPr>
        <w:t xml:space="preserve">Capacitación en el uso y manejo del campus virtual y las adecuaciones para las </w:t>
      </w:r>
      <w:proofErr w:type="spellStart"/>
      <w:r w:rsidRPr="00BD0011">
        <w:rPr>
          <w:lang w:eastAsia="es-HN"/>
        </w:rPr>
        <w:t>PcD</w:t>
      </w:r>
      <w:proofErr w:type="spellEnd"/>
      <w:r w:rsidRPr="00BD0011">
        <w:rPr>
          <w:lang w:eastAsia="es-HN"/>
        </w:rPr>
        <w:t>.</w:t>
      </w:r>
    </w:p>
    <w:p w14:paraId="616746B1" w14:textId="77777777" w:rsidR="00BD0011" w:rsidRPr="00BD0011" w:rsidRDefault="00BD0011" w:rsidP="00902039">
      <w:pPr>
        <w:pStyle w:val="SingleTxtG"/>
        <w:numPr>
          <w:ilvl w:val="0"/>
          <w:numId w:val="42"/>
        </w:numPr>
        <w:ind w:left="1134" w:firstLine="567"/>
        <w:rPr>
          <w:lang w:eastAsia="es-HN"/>
        </w:rPr>
      </w:pPr>
      <w:r w:rsidRPr="00BD0011">
        <w:rPr>
          <w:lang w:eastAsia="es-HN"/>
        </w:rPr>
        <w:t>Capacitaciones personalizadas según demanda espontánea a docentes sobre ajustes razonables.</w:t>
      </w:r>
    </w:p>
    <w:p w14:paraId="520FEAB0" w14:textId="77777777" w:rsidR="00BD0011" w:rsidRPr="00BD0011" w:rsidRDefault="00BD0011" w:rsidP="00902039">
      <w:pPr>
        <w:pStyle w:val="SingleTxtG"/>
        <w:numPr>
          <w:ilvl w:val="0"/>
          <w:numId w:val="42"/>
        </w:numPr>
        <w:ind w:left="1134" w:firstLine="567"/>
        <w:rPr>
          <w:lang w:eastAsia="es-HN"/>
        </w:rPr>
      </w:pPr>
      <w:r w:rsidRPr="00BD0011">
        <w:rPr>
          <w:lang w:eastAsia="es-HN"/>
        </w:rPr>
        <w:t xml:space="preserve">Charla a estudiantes de las carreras de Psicología y Pedagogía sobre el uso de la tecnología adaptativa de las </w:t>
      </w:r>
      <w:proofErr w:type="spellStart"/>
      <w:r w:rsidRPr="00BD0011">
        <w:rPr>
          <w:lang w:eastAsia="es-HN"/>
        </w:rPr>
        <w:t>PcD</w:t>
      </w:r>
      <w:proofErr w:type="spellEnd"/>
      <w:r w:rsidRPr="00BD0011">
        <w:rPr>
          <w:lang w:eastAsia="es-HN"/>
        </w:rPr>
        <w:t>.</w:t>
      </w:r>
    </w:p>
    <w:p w14:paraId="47AB3B7A" w14:textId="77777777" w:rsidR="00BD0011" w:rsidRPr="00BD0011" w:rsidRDefault="00BD0011" w:rsidP="00902039">
      <w:pPr>
        <w:pStyle w:val="SingleTxtG"/>
        <w:numPr>
          <w:ilvl w:val="0"/>
          <w:numId w:val="42"/>
        </w:numPr>
        <w:ind w:left="1134" w:firstLine="567"/>
        <w:rPr>
          <w:lang w:eastAsia="es-HN"/>
        </w:rPr>
      </w:pPr>
      <w:r w:rsidRPr="00BD0011">
        <w:rPr>
          <w:lang w:eastAsia="es-HN"/>
        </w:rPr>
        <w:t xml:space="preserve">Charla en la enseñanza del uso de la tecnología para las </w:t>
      </w:r>
      <w:proofErr w:type="spellStart"/>
      <w:r w:rsidRPr="00BD0011">
        <w:rPr>
          <w:lang w:eastAsia="es-HN"/>
        </w:rPr>
        <w:t>PcD</w:t>
      </w:r>
      <w:proofErr w:type="spellEnd"/>
      <w:r w:rsidRPr="00BD0011">
        <w:rPr>
          <w:lang w:eastAsia="es-HN"/>
        </w:rPr>
        <w:t xml:space="preserve">, dirigido a docentes de la Universidad de San Carlos de Guatemala. </w:t>
      </w:r>
    </w:p>
    <w:p w14:paraId="0F15937C" w14:textId="77777777" w:rsidR="00BD0011" w:rsidRPr="00BD0011" w:rsidRDefault="00BD0011" w:rsidP="00902039">
      <w:pPr>
        <w:pStyle w:val="SingleTxtG"/>
        <w:numPr>
          <w:ilvl w:val="0"/>
          <w:numId w:val="42"/>
        </w:numPr>
        <w:ind w:left="1134" w:firstLine="567"/>
        <w:rPr>
          <w:lang w:eastAsia="es-HN"/>
        </w:rPr>
      </w:pPr>
      <w:r w:rsidRPr="00BD0011">
        <w:rPr>
          <w:lang w:eastAsia="es-HN"/>
        </w:rPr>
        <w:t>Charlas a estudiantes sobre los servicios del PROSENE.</w:t>
      </w:r>
    </w:p>
    <w:p w14:paraId="49C7BF8F" w14:textId="77777777" w:rsidR="00BD0011" w:rsidRPr="00BD0011" w:rsidRDefault="00BD0011" w:rsidP="00902039">
      <w:pPr>
        <w:pStyle w:val="SingleTxtG"/>
        <w:numPr>
          <w:ilvl w:val="0"/>
          <w:numId w:val="40"/>
        </w:numPr>
        <w:ind w:left="1134" w:firstLine="0"/>
        <w:rPr>
          <w:lang w:eastAsia="es-HN"/>
        </w:rPr>
      </w:pPr>
      <w:r w:rsidRPr="00BD0011">
        <w:rPr>
          <w:lang w:eastAsia="es-HN"/>
        </w:rPr>
        <w:t>Para atender a estudiantes con discapacidad, el PROSENE trabaja conforme con la Convención, el tratado de Marrakech, la Ley de Equidad para las Personas con Discapacidad, y la Ley Orgánica y las normas académicas de la UNAH.</w:t>
      </w:r>
    </w:p>
    <w:p w14:paraId="0F0C9DAE" w14:textId="77777777" w:rsidR="00BD0011" w:rsidRPr="00BD0011" w:rsidRDefault="00BD0011" w:rsidP="00902039">
      <w:pPr>
        <w:pStyle w:val="SingleTxtG"/>
        <w:numPr>
          <w:ilvl w:val="0"/>
          <w:numId w:val="40"/>
        </w:numPr>
        <w:ind w:left="1134" w:firstLine="0"/>
        <w:rPr>
          <w:lang w:eastAsia="es-HN"/>
        </w:rPr>
      </w:pPr>
      <w:r w:rsidRPr="00BD0011">
        <w:rPr>
          <w:lang w:eastAsia="es-HN"/>
        </w:rPr>
        <w:t xml:space="preserve">Por otra parte, la SEDH ha capacitado, desde 2022 a agosto de 2023, a 86 docentes mediante el Curso Básico de Derechos Humanos en contenidos relativos a los derechos humanos, dignidad humana, prevención de la discriminación, interseccionalidad, género, derechos humanos de los grupos colocados en situación de vulnerabilidad donde se aborda como grupo a las </w:t>
      </w:r>
      <w:proofErr w:type="spellStart"/>
      <w:r w:rsidRPr="00BD0011">
        <w:rPr>
          <w:lang w:eastAsia="es-HN"/>
        </w:rPr>
        <w:t>PcD</w:t>
      </w:r>
      <w:proofErr w:type="spellEnd"/>
      <w:r w:rsidRPr="00BD0011">
        <w:rPr>
          <w:lang w:eastAsia="es-HN"/>
        </w:rPr>
        <w:t xml:space="preserve">. </w:t>
      </w:r>
    </w:p>
    <w:p w14:paraId="7209CFAF" w14:textId="77777777" w:rsidR="00BD0011" w:rsidRPr="00BD0011" w:rsidRDefault="00BD0011" w:rsidP="00902039">
      <w:pPr>
        <w:pStyle w:val="SingleTxtG"/>
        <w:numPr>
          <w:ilvl w:val="0"/>
          <w:numId w:val="40"/>
        </w:numPr>
        <w:ind w:left="1134" w:firstLine="0"/>
        <w:rPr>
          <w:lang w:eastAsia="es-HN"/>
        </w:rPr>
      </w:pPr>
      <w:r w:rsidRPr="00BD0011">
        <w:rPr>
          <w:b/>
          <w:bCs/>
          <w:lang w:eastAsia="es-HN"/>
        </w:rPr>
        <w:lastRenderedPageBreak/>
        <w:t>Inciso g)</w:t>
      </w:r>
      <w:r w:rsidRPr="00BD0011">
        <w:rPr>
          <w:lang w:eastAsia="es-HN"/>
        </w:rPr>
        <w:t xml:space="preserve">, sobre la apertura de la carrera-técnico Intérprete en la Lengua de Señas, autoridades de la UNAH sostuvieron una reunión con la Asociación de Sordos de Honduras para informar sobre los avances en la apertura de dicha carrera. La Facultad de Humanidades y Artes ha dado el debido seguimiento a la propuesta del rediseño de la carrera, conscientes del compromiso y deuda que tiene la institución con la comunidad sorda hondureña. </w:t>
      </w:r>
    </w:p>
    <w:p w14:paraId="7D71649B" w14:textId="77777777" w:rsidR="00BD0011" w:rsidRPr="00BD0011" w:rsidRDefault="00BD0011" w:rsidP="00902039">
      <w:pPr>
        <w:pStyle w:val="SingleTxtG"/>
        <w:numPr>
          <w:ilvl w:val="0"/>
          <w:numId w:val="40"/>
        </w:numPr>
        <w:ind w:left="1134" w:firstLine="0"/>
        <w:rPr>
          <w:lang w:eastAsia="es-HN"/>
        </w:rPr>
      </w:pPr>
      <w:r w:rsidRPr="00BD0011">
        <w:rPr>
          <w:lang w:eastAsia="es-HN"/>
        </w:rPr>
        <w:t>En cuanto al proceso, se cuenta con el dictamen del Departamento Legal y de la Dirección Académica de Formación Tecnológica; y al dictamen financiero, se espera el dictamen final.</w:t>
      </w:r>
      <w:r w:rsidRPr="00BD0011">
        <w:rPr>
          <w:rFonts w:ascii="Calibri" w:eastAsia="Calibri" w:hAnsi="Calibri" w:cs="Calibri"/>
          <w:sz w:val="22"/>
          <w:szCs w:val="22"/>
          <w:lang w:eastAsia="es-HN"/>
        </w:rPr>
        <w:t xml:space="preserve"> </w:t>
      </w:r>
      <w:r w:rsidRPr="00BD0011">
        <w:rPr>
          <w:lang w:eastAsia="es-HN"/>
        </w:rPr>
        <w:t>Con los tres dictámenes, la Vicerrectoría Académica turnará la documentación a la Junta de Dirección Universitaria (JDU-UNAH) para que emita un dictamen unificador. Una vez dictaminada, se solicitará la aprobación de la carrera al Consejo Universitario, y una vez aprobada, se trasladada al Consejo de Educación Superior-Dirección de Educación Superior para su registro.</w:t>
      </w:r>
    </w:p>
    <w:p w14:paraId="022D8E37" w14:textId="77777777" w:rsidR="00BD0011" w:rsidRPr="00BD0011" w:rsidRDefault="00BD0011" w:rsidP="00902039">
      <w:pPr>
        <w:pStyle w:val="SingleTxtG"/>
        <w:numPr>
          <w:ilvl w:val="0"/>
          <w:numId w:val="40"/>
        </w:numPr>
        <w:ind w:left="1134" w:firstLine="0"/>
        <w:rPr>
          <w:lang w:eastAsia="es-HN"/>
        </w:rPr>
      </w:pPr>
      <w:r w:rsidRPr="00BD0011">
        <w:rPr>
          <w:lang w:eastAsia="es-HN"/>
        </w:rPr>
        <w:t>Completado los registros, la secretaría general de la UNAH remitirá el plan de estudio a la oficina de la Dirección de Ingreso, Permanencia y Promoción para que lo inserte en el sistema y los aspirantes puedan matricular la carrera.</w:t>
      </w:r>
    </w:p>
    <w:p w14:paraId="28B589DB" w14:textId="7DC59D5C" w:rsidR="00BD0011" w:rsidRPr="00BD0011" w:rsidRDefault="001012F4" w:rsidP="001012F4">
      <w:pPr>
        <w:pStyle w:val="H23G"/>
        <w:rPr>
          <w:szCs w:val="36"/>
          <w:lang w:eastAsia="es-HN"/>
        </w:rPr>
      </w:pPr>
      <w:bookmarkStart w:id="55" w:name="_Toc147932975"/>
      <w:bookmarkStart w:id="56" w:name="_Toc148970489"/>
      <w:r>
        <w:rPr>
          <w:szCs w:val="36"/>
          <w:lang w:eastAsia="es-HN"/>
        </w:rPr>
        <w:tab/>
      </w:r>
      <w:r>
        <w:rPr>
          <w:szCs w:val="36"/>
          <w:lang w:eastAsia="es-HN"/>
        </w:rPr>
        <w:tab/>
      </w:r>
      <w:r w:rsidR="00BD0011" w:rsidRPr="00BD0011">
        <w:rPr>
          <w:szCs w:val="36"/>
          <w:lang w:eastAsia="es-HN"/>
        </w:rPr>
        <w:t xml:space="preserve">Salud </w:t>
      </w:r>
      <w:r w:rsidR="00BD0011" w:rsidRPr="00BD0011">
        <w:rPr>
          <w:lang w:eastAsia="es-HN"/>
        </w:rPr>
        <w:t>(art. 25)</w:t>
      </w:r>
      <w:bookmarkEnd w:id="55"/>
      <w:bookmarkEnd w:id="56"/>
    </w:p>
    <w:p w14:paraId="5776610A" w14:textId="77777777" w:rsidR="00BD0011" w:rsidRPr="00BD0011" w:rsidRDefault="00BD0011" w:rsidP="001012F4">
      <w:pPr>
        <w:pStyle w:val="SingleTxtG"/>
        <w:numPr>
          <w:ilvl w:val="0"/>
          <w:numId w:val="40"/>
        </w:numPr>
        <w:ind w:left="1134" w:firstLine="0"/>
        <w:rPr>
          <w:lang w:eastAsia="es-HN"/>
        </w:rPr>
      </w:pPr>
      <w:r w:rsidRPr="00BD0011">
        <w:rPr>
          <w:b/>
          <w:bCs/>
          <w:lang w:eastAsia="es-HN"/>
        </w:rPr>
        <w:t>Cuestión 22, inciso b)</w:t>
      </w:r>
      <w:r w:rsidRPr="00BD0011">
        <w:rPr>
          <w:lang w:eastAsia="es-HN"/>
        </w:rPr>
        <w:t>, sobre los programas de capacitación, la SESAL continuó el proceso de capacitación para los trabajadores de la salud en primera línea de atención de las 20 regiones sanitarias y sus hospitales en temas relacionados con la COVID-19.</w:t>
      </w:r>
    </w:p>
    <w:p w14:paraId="73759C3D" w14:textId="77777777" w:rsidR="00BD0011" w:rsidRPr="00BD0011" w:rsidRDefault="00BD0011" w:rsidP="001012F4">
      <w:pPr>
        <w:pStyle w:val="SingleTxtG"/>
        <w:numPr>
          <w:ilvl w:val="0"/>
          <w:numId w:val="40"/>
        </w:numPr>
        <w:ind w:left="1134" w:firstLine="0"/>
        <w:rPr>
          <w:lang w:eastAsia="es-HN"/>
        </w:rPr>
      </w:pPr>
      <w:r w:rsidRPr="00BD0011">
        <w:rPr>
          <w:b/>
          <w:bCs/>
          <w:lang w:eastAsia="es-HN"/>
        </w:rPr>
        <w:t>Inciso d)</w:t>
      </w:r>
      <w:r w:rsidRPr="00BD0011">
        <w:rPr>
          <w:lang w:eastAsia="es-HN"/>
        </w:rPr>
        <w:t xml:space="preserve">, respecto con la priorización de la vacunación de las </w:t>
      </w:r>
      <w:proofErr w:type="spellStart"/>
      <w:r w:rsidRPr="00BD0011">
        <w:rPr>
          <w:lang w:eastAsia="es-HN"/>
        </w:rPr>
        <w:t>PcD</w:t>
      </w:r>
      <w:proofErr w:type="spellEnd"/>
      <w:r w:rsidRPr="00BD0011">
        <w:rPr>
          <w:lang w:eastAsia="es-HN"/>
        </w:rPr>
        <w:t xml:space="preserve"> contra la COVID-19, el Estado de Honduras priorizó la vacunación de las </w:t>
      </w:r>
      <w:proofErr w:type="spellStart"/>
      <w:r w:rsidRPr="00BD0011">
        <w:rPr>
          <w:lang w:eastAsia="es-HN"/>
        </w:rPr>
        <w:t>PcD</w:t>
      </w:r>
      <w:proofErr w:type="spellEnd"/>
      <w:r w:rsidRPr="00BD0011">
        <w:rPr>
          <w:lang w:eastAsia="es-HN"/>
        </w:rPr>
        <w:t xml:space="preserve"> y personas con comorbilidades, asegurando que las complicaciones en estos grupos en caso de infección sean menores. Asimismo, se mantuvo informada a la población a través de cadenas nacionales que se trasmitían diariamente, acompañadas con intérprete de lengua de señas para garantizar la comunicación de las personas sordas.  </w:t>
      </w:r>
    </w:p>
    <w:p w14:paraId="01F7C7AD" w14:textId="77777777" w:rsidR="00BD0011" w:rsidRPr="00BD0011" w:rsidRDefault="00BD0011" w:rsidP="001012F4">
      <w:pPr>
        <w:pStyle w:val="SingleTxtG"/>
        <w:numPr>
          <w:ilvl w:val="0"/>
          <w:numId w:val="40"/>
        </w:numPr>
        <w:ind w:left="1134" w:firstLine="0"/>
        <w:rPr>
          <w:lang w:eastAsia="es-HN"/>
        </w:rPr>
      </w:pPr>
      <w:r w:rsidRPr="00BD0011">
        <w:rPr>
          <w:b/>
          <w:bCs/>
          <w:lang w:eastAsia="es-HN"/>
        </w:rPr>
        <w:t>Inciso f)</w:t>
      </w:r>
      <w:r w:rsidRPr="00BD0011">
        <w:rPr>
          <w:lang w:eastAsia="es-HN"/>
        </w:rPr>
        <w:t>, sobre la reforma del Acuerdo Ministerial 2744,</w:t>
      </w:r>
      <w:r w:rsidRPr="00BD0011">
        <w:rPr>
          <w:i/>
          <w:iCs/>
          <w:lang w:eastAsia="es-HN"/>
        </w:rPr>
        <w:t xml:space="preserve"> </w:t>
      </w:r>
      <w:r w:rsidRPr="00BD0011">
        <w:rPr>
          <w:lang w:eastAsia="es-HN"/>
        </w:rPr>
        <w:t>en marzo de 2023, la presidenta Xiomara Castro y el titular de la SESAL firmaron el Acuerdo Ejecutivo 75-2023 para garantizar el uso, acceso, compra y venta de la píldora anticonceptiva de emergencia (PAE), por lo que dejó sin valor y efecto el Acuerdo Ejecutivo 2744-19 de la SESAL, el cual prohibía su uso y comercialización</w:t>
      </w:r>
      <w:r w:rsidRPr="00BD0011">
        <w:rPr>
          <w:vertAlign w:val="superscript"/>
          <w:lang w:eastAsia="es-HN"/>
        </w:rPr>
        <w:footnoteReference w:id="24"/>
      </w:r>
      <w:r w:rsidRPr="00BD0011">
        <w:rPr>
          <w:lang w:eastAsia="es-HN"/>
        </w:rPr>
        <w:t>.</w:t>
      </w:r>
    </w:p>
    <w:p w14:paraId="19B3E089" w14:textId="77777777" w:rsidR="00BD0011" w:rsidRPr="00BD0011" w:rsidRDefault="00BD0011" w:rsidP="001012F4">
      <w:pPr>
        <w:pStyle w:val="SingleTxtG"/>
        <w:numPr>
          <w:ilvl w:val="0"/>
          <w:numId w:val="40"/>
        </w:numPr>
        <w:ind w:left="1134" w:firstLine="0"/>
        <w:rPr>
          <w:lang w:eastAsia="es-HN"/>
        </w:rPr>
      </w:pPr>
      <w:r w:rsidRPr="00BD0011">
        <w:rPr>
          <w:lang w:eastAsia="es-HN"/>
        </w:rPr>
        <w:t>A solicitud de SEMUJER, el Colegio Médico de Honduras emitió, el 18 de agosto de 2022, un dictamen indicando que la PAE no es abortiva y no impide la implantación de un óvulo fecundado, ya que no tiene efecto sobre el endometrio y no existen condiciones médicas conocidas en las cuales no se deba usar esta pastilla.</w:t>
      </w:r>
    </w:p>
    <w:p w14:paraId="24B9B374" w14:textId="77777777" w:rsidR="00BD0011" w:rsidRPr="00BD0011" w:rsidRDefault="00BD0011" w:rsidP="001012F4">
      <w:pPr>
        <w:pStyle w:val="SingleTxtG"/>
        <w:numPr>
          <w:ilvl w:val="0"/>
          <w:numId w:val="40"/>
        </w:numPr>
        <w:ind w:left="1134" w:firstLine="0"/>
        <w:rPr>
          <w:lang w:eastAsia="es-HN"/>
        </w:rPr>
      </w:pPr>
      <w:r w:rsidRPr="00BD0011">
        <w:rPr>
          <w:lang w:eastAsia="es-HN"/>
        </w:rPr>
        <w:t>Para asegurar el acceso seguro y efectivo de la PAE, la Agencia de Regulación Sanitaria autorizó los registros sanitarios para su comercialización y garantizar el cumplimiento de estrictos estándares de fabricación y etiquetado</w:t>
      </w:r>
      <w:r w:rsidRPr="00BD0011">
        <w:rPr>
          <w:vertAlign w:val="superscript"/>
          <w:lang w:eastAsia="es-HN"/>
        </w:rPr>
        <w:footnoteReference w:id="25"/>
      </w:r>
      <w:r w:rsidRPr="00BD0011">
        <w:rPr>
          <w:lang w:eastAsia="es-HN"/>
        </w:rPr>
        <w:t xml:space="preserve">. </w:t>
      </w:r>
    </w:p>
    <w:p w14:paraId="03261ECB" w14:textId="52D5F457" w:rsidR="00BD0011" w:rsidRPr="00BD0011" w:rsidRDefault="001012F4" w:rsidP="001012F4">
      <w:pPr>
        <w:pStyle w:val="H23G"/>
        <w:rPr>
          <w:lang w:eastAsia="es-HN"/>
        </w:rPr>
      </w:pPr>
      <w:bookmarkStart w:id="57" w:name="_Toc147932976"/>
      <w:bookmarkStart w:id="58" w:name="_Toc148970490"/>
      <w:r>
        <w:rPr>
          <w:lang w:eastAsia="es-HN"/>
        </w:rPr>
        <w:tab/>
      </w:r>
      <w:r>
        <w:rPr>
          <w:lang w:eastAsia="es-HN"/>
        </w:rPr>
        <w:tab/>
      </w:r>
      <w:r w:rsidR="00BD0011" w:rsidRPr="00BD0011">
        <w:rPr>
          <w:lang w:eastAsia="es-HN"/>
        </w:rPr>
        <w:t xml:space="preserve">Rehabilitación y habilitación </w:t>
      </w:r>
      <w:r w:rsidR="00BD0011" w:rsidRPr="00BD0011">
        <w:rPr>
          <w:szCs w:val="24"/>
          <w:lang w:eastAsia="es-HN"/>
        </w:rPr>
        <w:t>(art. 26)</w:t>
      </w:r>
      <w:bookmarkEnd w:id="57"/>
      <w:bookmarkEnd w:id="58"/>
    </w:p>
    <w:p w14:paraId="68780751" w14:textId="77777777" w:rsidR="00BD0011" w:rsidRPr="00BD0011" w:rsidRDefault="00BD0011" w:rsidP="001012F4">
      <w:pPr>
        <w:pStyle w:val="SingleTxtG"/>
        <w:numPr>
          <w:ilvl w:val="0"/>
          <w:numId w:val="40"/>
        </w:numPr>
        <w:ind w:left="1134" w:firstLine="0"/>
        <w:rPr>
          <w:lang w:eastAsia="es-HN"/>
        </w:rPr>
      </w:pPr>
      <w:r w:rsidRPr="00BD0011">
        <w:rPr>
          <w:b/>
          <w:bCs/>
          <w:lang w:eastAsia="es-HN"/>
        </w:rPr>
        <w:t>Cuestión 23, inciso a)</w:t>
      </w:r>
      <w:r w:rsidRPr="00BD0011">
        <w:rPr>
          <w:lang w:eastAsia="es-HN"/>
        </w:rPr>
        <w:t xml:space="preserve">, para garantizar a las </w:t>
      </w:r>
      <w:proofErr w:type="spellStart"/>
      <w:r w:rsidRPr="00BD0011">
        <w:rPr>
          <w:lang w:eastAsia="es-HN"/>
        </w:rPr>
        <w:t>PcD</w:t>
      </w:r>
      <w:proofErr w:type="spellEnd"/>
      <w:r w:rsidRPr="00BD0011">
        <w:rPr>
          <w:lang w:eastAsia="es-HN"/>
        </w:rPr>
        <w:t xml:space="preserve"> programas terapéuticos y rehabilitación, la DIGEDEPDI, junto con la SECAPPH, construyó una iniciativa artística para </w:t>
      </w:r>
      <w:proofErr w:type="spellStart"/>
      <w:r w:rsidRPr="00BD0011">
        <w:rPr>
          <w:lang w:eastAsia="es-HN"/>
        </w:rPr>
        <w:t>PcD</w:t>
      </w:r>
      <w:proofErr w:type="spellEnd"/>
      <w:r w:rsidRPr="00BD0011">
        <w:rPr>
          <w:lang w:eastAsia="es-HN"/>
        </w:rPr>
        <w:t xml:space="preserve"> con enfoque de arte terapéutico para contribuir a mejorar la salud mental y física, interactuar y compartir de manera pacífica, y fortalecer el desarrollo de cualidades y capacidades artísticas en las </w:t>
      </w:r>
      <w:proofErr w:type="spellStart"/>
      <w:r w:rsidRPr="00BD0011">
        <w:rPr>
          <w:lang w:eastAsia="es-HN"/>
        </w:rPr>
        <w:t>PcD</w:t>
      </w:r>
      <w:proofErr w:type="spellEnd"/>
      <w:r w:rsidRPr="00BD0011">
        <w:rPr>
          <w:lang w:eastAsia="es-HN"/>
        </w:rPr>
        <w:t>, así como acceder al disfrute del arte como un derecho.</w:t>
      </w:r>
    </w:p>
    <w:p w14:paraId="5FBDA9C2" w14:textId="77777777" w:rsidR="00BD0011" w:rsidRPr="00BD0011" w:rsidRDefault="00BD0011" w:rsidP="001012F4">
      <w:pPr>
        <w:pStyle w:val="SingleTxtG"/>
        <w:numPr>
          <w:ilvl w:val="0"/>
          <w:numId w:val="40"/>
        </w:numPr>
        <w:ind w:left="1134" w:firstLine="0"/>
        <w:rPr>
          <w:lang w:eastAsia="es-HN"/>
        </w:rPr>
      </w:pPr>
      <w:r w:rsidRPr="00BD0011">
        <w:rPr>
          <w:b/>
          <w:bCs/>
          <w:lang w:eastAsia="es-HN"/>
        </w:rPr>
        <w:t>Inciso b)</w:t>
      </w:r>
      <w:r w:rsidRPr="00BD0011">
        <w:rPr>
          <w:lang w:eastAsia="es-HN"/>
        </w:rPr>
        <w:t>, para mejorar las condiciones de trabajo y brindar atención a los buzos con discapacidad por síndrome de descompresión, la Secretaría de Trabajo y Seguridad Social (SETRASS) realizó en abril de 2023 una gira para establecer procesos operativos, recopilación de información y fortalecimiento de las oficinas de la SETRASS en Puerto Lempira, departamento de Gracias a Dios, donde desarrollaron las siguientes acciones:</w:t>
      </w:r>
    </w:p>
    <w:p w14:paraId="0A266793" w14:textId="77777777" w:rsidR="00BD0011" w:rsidRPr="00BD0011" w:rsidRDefault="00BD0011" w:rsidP="00A516A5">
      <w:pPr>
        <w:pStyle w:val="SingleTxtG"/>
        <w:numPr>
          <w:ilvl w:val="0"/>
          <w:numId w:val="43"/>
        </w:numPr>
        <w:ind w:left="1134" w:firstLine="567"/>
        <w:rPr>
          <w:lang w:eastAsia="es-HN"/>
        </w:rPr>
      </w:pPr>
      <w:r w:rsidRPr="00BD0011">
        <w:rPr>
          <w:lang w:eastAsia="es-HN"/>
        </w:rPr>
        <w:lastRenderedPageBreak/>
        <w:t xml:space="preserve">Reunión de coordinación con el secretario de la Asociación de </w:t>
      </w:r>
      <w:proofErr w:type="spellStart"/>
      <w:r w:rsidRPr="00BD0011">
        <w:rPr>
          <w:lang w:eastAsia="es-HN"/>
        </w:rPr>
        <w:t>Miskitos</w:t>
      </w:r>
      <w:proofErr w:type="spellEnd"/>
      <w:r w:rsidRPr="00BD0011">
        <w:rPr>
          <w:lang w:eastAsia="es-HN"/>
        </w:rPr>
        <w:t xml:space="preserve"> Hondureños de Buzos Lisiados (AMHBLI). </w:t>
      </w:r>
    </w:p>
    <w:p w14:paraId="7E601BAF" w14:textId="77777777" w:rsidR="00BD0011" w:rsidRPr="00BD0011" w:rsidRDefault="00BD0011" w:rsidP="00A516A5">
      <w:pPr>
        <w:pStyle w:val="SingleTxtG"/>
        <w:numPr>
          <w:ilvl w:val="0"/>
          <w:numId w:val="43"/>
        </w:numPr>
        <w:ind w:left="1134" w:firstLine="567"/>
        <w:rPr>
          <w:lang w:eastAsia="es-HN"/>
        </w:rPr>
      </w:pPr>
      <w:r w:rsidRPr="00BD0011">
        <w:rPr>
          <w:lang w:eastAsia="es-HN"/>
        </w:rPr>
        <w:t>Capacitación sobre Reglamento de Seguridad y Salud Ocupacional de la Pesca Submarina por Buceo</w:t>
      </w:r>
      <w:r w:rsidRPr="00BD0011">
        <w:rPr>
          <w:vertAlign w:val="superscript"/>
          <w:lang w:eastAsia="es-HN"/>
        </w:rPr>
        <w:footnoteReference w:id="26"/>
      </w:r>
      <w:r w:rsidRPr="00BD0011">
        <w:rPr>
          <w:lang w:eastAsia="es-HN"/>
        </w:rPr>
        <w:t xml:space="preserve"> y una charla sobre el síndrome de descompresión y los efectos en la salud de los trabajadores, impartida a 101 personas (97 hombre y 4 mujeres), de los cuales eran buzos activos, saca-buzos, instructores de buceo y autoridades de la AMHBLI.</w:t>
      </w:r>
    </w:p>
    <w:p w14:paraId="48130C00" w14:textId="77777777" w:rsidR="00BD0011" w:rsidRPr="00BD0011" w:rsidRDefault="00BD0011" w:rsidP="00A516A5">
      <w:pPr>
        <w:pStyle w:val="SingleTxtG"/>
        <w:numPr>
          <w:ilvl w:val="0"/>
          <w:numId w:val="43"/>
        </w:numPr>
        <w:ind w:left="1134" w:firstLine="567"/>
        <w:rPr>
          <w:lang w:eastAsia="es-HN"/>
        </w:rPr>
      </w:pPr>
      <w:r w:rsidRPr="00BD0011">
        <w:rPr>
          <w:lang w:eastAsia="es-HN"/>
        </w:rPr>
        <w:t xml:space="preserve">Conversatorio inductivo en el tema de medicina ocupacional con discusión práctica de casos reales. </w:t>
      </w:r>
    </w:p>
    <w:p w14:paraId="1DC0268E" w14:textId="77777777" w:rsidR="00BD0011" w:rsidRPr="00BD0011" w:rsidRDefault="00BD0011" w:rsidP="00A516A5">
      <w:pPr>
        <w:pStyle w:val="SingleTxtG"/>
        <w:numPr>
          <w:ilvl w:val="0"/>
          <w:numId w:val="43"/>
        </w:numPr>
        <w:ind w:left="1134" w:firstLine="567"/>
        <w:rPr>
          <w:lang w:eastAsia="es-HN"/>
        </w:rPr>
      </w:pPr>
      <w:r w:rsidRPr="00BD0011">
        <w:rPr>
          <w:lang w:eastAsia="es-HN"/>
        </w:rPr>
        <w:t>Higiene y seguridad ocupacional, con una asistencia de 50 personas.</w:t>
      </w:r>
    </w:p>
    <w:p w14:paraId="6F93E528" w14:textId="77777777" w:rsidR="00BD0011" w:rsidRPr="00BD0011" w:rsidRDefault="00BD0011" w:rsidP="00A516A5">
      <w:pPr>
        <w:pStyle w:val="SingleTxtG"/>
        <w:numPr>
          <w:ilvl w:val="0"/>
          <w:numId w:val="43"/>
        </w:numPr>
        <w:ind w:left="1134" w:firstLine="567"/>
        <w:rPr>
          <w:lang w:eastAsia="es-HN"/>
        </w:rPr>
      </w:pPr>
      <w:r w:rsidRPr="00BD0011">
        <w:rPr>
          <w:lang w:eastAsia="es-HN"/>
        </w:rPr>
        <w:t>Visitas domiciliarias y entrevista estructurada para estudios socioeconómicos de una muestra de buzo activo y lesionado.</w:t>
      </w:r>
    </w:p>
    <w:p w14:paraId="17CB2BFD" w14:textId="77777777" w:rsidR="00BD0011" w:rsidRPr="00BD0011" w:rsidRDefault="00BD0011" w:rsidP="00A516A5">
      <w:pPr>
        <w:pStyle w:val="SingleTxtG"/>
        <w:numPr>
          <w:ilvl w:val="0"/>
          <w:numId w:val="43"/>
        </w:numPr>
        <w:ind w:left="1134" w:firstLine="567"/>
        <w:rPr>
          <w:lang w:eastAsia="es-HN"/>
        </w:rPr>
      </w:pPr>
      <w:r w:rsidRPr="00BD0011">
        <w:rPr>
          <w:lang w:eastAsia="es-HN"/>
        </w:rPr>
        <w:t>Seguimiento a la implementación del Programa Empléate-Plus.</w:t>
      </w:r>
    </w:p>
    <w:p w14:paraId="68635782" w14:textId="77777777" w:rsidR="00BD0011" w:rsidRPr="00BD0011" w:rsidRDefault="00BD0011" w:rsidP="00A516A5">
      <w:pPr>
        <w:pStyle w:val="SingleTxtG"/>
        <w:numPr>
          <w:ilvl w:val="0"/>
          <w:numId w:val="43"/>
        </w:numPr>
        <w:ind w:left="1134" w:firstLine="567"/>
        <w:rPr>
          <w:lang w:eastAsia="es-HN"/>
        </w:rPr>
      </w:pPr>
      <w:r w:rsidRPr="00BD0011">
        <w:rPr>
          <w:lang w:eastAsia="es-HN"/>
        </w:rPr>
        <w:t>Análisis diagnóstico para la implementación de los Programas SI EMPLEO y Programa de Trabajo Temporal en el Extranjero (PTTE), con destino a los Estados Unidos de Norte América, México y España.</w:t>
      </w:r>
    </w:p>
    <w:p w14:paraId="462104D2" w14:textId="77777777" w:rsidR="00BD0011" w:rsidRPr="00BD0011" w:rsidRDefault="00BD0011" w:rsidP="00A516A5">
      <w:pPr>
        <w:pStyle w:val="SingleTxtG"/>
        <w:numPr>
          <w:ilvl w:val="0"/>
          <w:numId w:val="40"/>
        </w:numPr>
        <w:ind w:left="1134" w:firstLine="0"/>
        <w:rPr>
          <w:lang w:eastAsia="es-HN"/>
        </w:rPr>
      </w:pPr>
      <w:r w:rsidRPr="00BD0011">
        <w:rPr>
          <w:lang w:eastAsia="es-HN"/>
        </w:rPr>
        <w:t>La SETRASS realizó reuniones con el administrador del hospital de Puerto Lempira para solicitar el apoyo de los médicos encargados de las evaluaciones y tratamientos de los trabajadores buzos afectados por riesgo profesional, donde se verificó que las evaluaciones contengan la información necesaria para emitir el dictamen por médicos de la</w:t>
      </w:r>
      <w:r w:rsidRPr="00BD0011">
        <w:rPr>
          <w:rFonts w:ascii="Calibri" w:eastAsia="Calibri" w:hAnsi="Calibri" w:cs="Calibri"/>
          <w:sz w:val="22"/>
          <w:szCs w:val="22"/>
          <w:lang w:eastAsia="es-HN"/>
        </w:rPr>
        <w:t xml:space="preserve"> </w:t>
      </w:r>
      <w:r w:rsidRPr="00BD0011">
        <w:rPr>
          <w:lang w:eastAsia="es-HN"/>
        </w:rPr>
        <w:t>SETRASS de manera expedita sin que los trabajadores tengan que salir de la localidad y la entrega de material para los médicos del Hospital. Asimismo, se realizó un recorrido por la cámara hiperbárica y el área de trabajo social del hospital.</w:t>
      </w:r>
    </w:p>
    <w:p w14:paraId="7BC2CA05" w14:textId="77777777" w:rsidR="00BD0011" w:rsidRPr="00BD0011" w:rsidRDefault="00BD0011" w:rsidP="00A516A5">
      <w:pPr>
        <w:pStyle w:val="SingleTxtG"/>
        <w:numPr>
          <w:ilvl w:val="0"/>
          <w:numId w:val="40"/>
        </w:numPr>
        <w:ind w:left="1134" w:firstLine="0"/>
        <w:rPr>
          <w:lang w:eastAsia="es-HN"/>
        </w:rPr>
      </w:pPr>
      <w:r w:rsidRPr="00BD0011">
        <w:rPr>
          <w:lang w:eastAsia="es-HN"/>
        </w:rPr>
        <w:t xml:space="preserve">En seguimiento con las recomendaciones del primer Informe del Diagnóstico Técnico en Materia Laboral para la zona de la </w:t>
      </w:r>
      <w:proofErr w:type="spellStart"/>
      <w:r w:rsidRPr="00BD0011">
        <w:rPr>
          <w:lang w:eastAsia="es-HN"/>
        </w:rPr>
        <w:t>Moskitia</w:t>
      </w:r>
      <w:proofErr w:type="spellEnd"/>
      <w:r w:rsidRPr="00BD0011">
        <w:rPr>
          <w:lang w:eastAsia="es-HN"/>
        </w:rPr>
        <w:t xml:space="preserve">, relativo para velar por la salud y seguridad ocupacional de las </w:t>
      </w:r>
      <w:proofErr w:type="spellStart"/>
      <w:r w:rsidRPr="00BD0011">
        <w:rPr>
          <w:lang w:eastAsia="es-HN"/>
        </w:rPr>
        <w:t>PcD</w:t>
      </w:r>
      <w:proofErr w:type="spellEnd"/>
      <w:r w:rsidRPr="00BD0011">
        <w:rPr>
          <w:lang w:eastAsia="es-HN"/>
        </w:rPr>
        <w:t xml:space="preserve"> y la prevención de las discapacidades por riesgos profesionales y accidentes de trabajo. El personal de la SETRASS de Tegucigalpa ha brindado acompañamiento a los procesos de capacitación en </w:t>
      </w:r>
      <w:proofErr w:type="spellStart"/>
      <w:r w:rsidRPr="00BD0011">
        <w:rPr>
          <w:lang w:eastAsia="es-HN"/>
        </w:rPr>
        <w:t>Kaukira</w:t>
      </w:r>
      <w:proofErr w:type="spellEnd"/>
      <w:r w:rsidRPr="00BD0011">
        <w:rPr>
          <w:lang w:eastAsia="es-HN"/>
        </w:rPr>
        <w:t xml:space="preserve">. </w:t>
      </w:r>
    </w:p>
    <w:p w14:paraId="7ACD2AEF" w14:textId="77777777" w:rsidR="00BD0011" w:rsidRPr="00BD0011" w:rsidRDefault="00BD0011" w:rsidP="00A516A5">
      <w:pPr>
        <w:pStyle w:val="SingleTxtG"/>
        <w:numPr>
          <w:ilvl w:val="0"/>
          <w:numId w:val="40"/>
        </w:numPr>
        <w:ind w:left="1134" w:firstLine="0"/>
        <w:rPr>
          <w:lang w:eastAsia="es-HN"/>
        </w:rPr>
      </w:pPr>
      <w:r w:rsidRPr="00BD0011">
        <w:rPr>
          <w:lang w:eastAsia="es-HN"/>
        </w:rPr>
        <w:t xml:space="preserve">La SETRASS participa en espacios de atención para la población afiliada con asociaciones tales como AMHBLI, en los que exponen sus limitantes para mejorar las condiciones de trabajo. Las oficinas de SETRASS cuentan con lo siguiente: </w:t>
      </w:r>
    </w:p>
    <w:p w14:paraId="2BF4FC40" w14:textId="77777777" w:rsidR="00BD0011" w:rsidRPr="00BD0011" w:rsidRDefault="00BD0011" w:rsidP="00A516A5">
      <w:pPr>
        <w:pStyle w:val="SingleTxtG"/>
        <w:numPr>
          <w:ilvl w:val="0"/>
          <w:numId w:val="44"/>
        </w:numPr>
        <w:tabs>
          <w:tab w:val="clear" w:pos="1701"/>
        </w:tabs>
        <w:ind w:left="1134" w:firstLine="567"/>
        <w:rPr>
          <w:lang w:eastAsia="es-HN"/>
        </w:rPr>
      </w:pPr>
      <w:r w:rsidRPr="00BD0011">
        <w:rPr>
          <w:lang w:eastAsia="es-HN"/>
        </w:rPr>
        <w:t>Accesibilidad a sus instalaciones (rampla para usuario de silla de rueda).</w:t>
      </w:r>
    </w:p>
    <w:p w14:paraId="707DEC9A" w14:textId="77777777" w:rsidR="00BD0011" w:rsidRPr="00BD0011" w:rsidRDefault="00BD0011" w:rsidP="00A516A5">
      <w:pPr>
        <w:pStyle w:val="SingleTxtG"/>
        <w:numPr>
          <w:ilvl w:val="0"/>
          <w:numId w:val="44"/>
        </w:numPr>
        <w:tabs>
          <w:tab w:val="clear" w:pos="1701"/>
        </w:tabs>
        <w:ind w:left="1134" w:firstLine="567"/>
        <w:rPr>
          <w:lang w:eastAsia="es-HN"/>
        </w:rPr>
      </w:pPr>
      <w:r w:rsidRPr="00BD0011">
        <w:rPr>
          <w:lang w:eastAsia="es-HN"/>
        </w:rPr>
        <w:t xml:space="preserve">Servicios instalados para la atención de las </w:t>
      </w:r>
      <w:proofErr w:type="spellStart"/>
      <w:r w:rsidRPr="00BD0011">
        <w:rPr>
          <w:lang w:eastAsia="es-HN"/>
        </w:rPr>
        <w:t>PcD</w:t>
      </w:r>
      <w:proofErr w:type="spellEnd"/>
      <w:r w:rsidRPr="00BD0011">
        <w:rPr>
          <w:lang w:eastAsia="es-HN"/>
        </w:rPr>
        <w:t>.</w:t>
      </w:r>
    </w:p>
    <w:p w14:paraId="29EAC97B" w14:textId="77777777" w:rsidR="00BD0011" w:rsidRPr="00BD0011" w:rsidRDefault="00BD0011" w:rsidP="00A516A5">
      <w:pPr>
        <w:pStyle w:val="SingleTxtG"/>
        <w:numPr>
          <w:ilvl w:val="0"/>
          <w:numId w:val="44"/>
        </w:numPr>
        <w:tabs>
          <w:tab w:val="clear" w:pos="1701"/>
        </w:tabs>
        <w:ind w:left="1134" w:firstLine="567"/>
        <w:rPr>
          <w:lang w:eastAsia="es-HN"/>
        </w:rPr>
      </w:pPr>
      <w:r w:rsidRPr="00BD0011">
        <w:rPr>
          <w:lang w:eastAsia="es-HN"/>
        </w:rPr>
        <w:t>Articulación con organizaciones que aglutinan a personas buzos lisiados y activos, junto con la cámara de comercio.</w:t>
      </w:r>
    </w:p>
    <w:p w14:paraId="2F403F23" w14:textId="77777777" w:rsidR="00BD0011" w:rsidRPr="00BD0011" w:rsidRDefault="00BD0011" w:rsidP="00A516A5">
      <w:pPr>
        <w:pStyle w:val="SingleTxtG"/>
        <w:numPr>
          <w:ilvl w:val="0"/>
          <w:numId w:val="40"/>
        </w:numPr>
        <w:ind w:left="1134" w:firstLine="0"/>
        <w:rPr>
          <w:lang w:eastAsia="es-HN"/>
        </w:rPr>
      </w:pPr>
      <w:r w:rsidRPr="00BD0011">
        <w:rPr>
          <w:lang w:eastAsia="es-HN"/>
        </w:rPr>
        <w:t>Entre 2022-2023, la Dirección General de Marina Mercante certificó a ocho inspectores de trabajo a nivel nacional en el curso de seguridad marítima para realizar inspecciones en altamar.</w:t>
      </w:r>
    </w:p>
    <w:p w14:paraId="4EC2F82E" w14:textId="77777777" w:rsidR="00BD0011" w:rsidRPr="00BD0011" w:rsidRDefault="00BD0011" w:rsidP="00A516A5">
      <w:pPr>
        <w:pStyle w:val="SingleTxtG"/>
        <w:numPr>
          <w:ilvl w:val="0"/>
          <w:numId w:val="40"/>
        </w:numPr>
        <w:ind w:left="1134" w:firstLine="0"/>
        <w:rPr>
          <w:lang w:eastAsia="es-HN"/>
        </w:rPr>
      </w:pPr>
      <w:r w:rsidRPr="00BD0011">
        <w:rPr>
          <w:lang w:eastAsia="es-HN"/>
        </w:rPr>
        <w:t>Entre julio a septiembre de 2023, funcionarios e inspectores de las instituciones que conforman la Comisión Interinstitucional para la Atención y Prevención de la Problemática de la Pesca por Buceo (CIAPEB), realizaron inspecciones ordinarias y levantaron Acta Integral Circunstanciada con el fin de verificar el cumplimiento de la normativa laboral en los distintos puertos en donde zarpan las embarcaciones pesqueras, emitiéndose 79 constancias de embarcaciones pesqueras.</w:t>
      </w:r>
    </w:p>
    <w:p w14:paraId="28B7EE14" w14:textId="77777777" w:rsidR="00BD0011" w:rsidRPr="00BD0011" w:rsidRDefault="00BD0011" w:rsidP="00A516A5">
      <w:pPr>
        <w:pStyle w:val="SingleTxtG"/>
        <w:numPr>
          <w:ilvl w:val="0"/>
          <w:numId w:val="40"/>
        </w:numPr>
        <w:ind w:left="1134" w:firstLine="0"/>
        <w:rPr>
          <w:lang w:eastAsia="es-HN"/>
        </w:rPr>
      </w:pPr>
      <w:r w:rsidRPr="00BD0011">
        <w:rPr>
          <w:lang w:eastAsia="es-HN"/>
        </w:rPr>
        <w:t xml:space="preserve">Cabe destacar que, en marzo de 2023, en el marco del cumplimiento de la Sentencia </w:t>
      </w:r>
      <w:proofErr w:type="spellStart"/>
      <w:r w:rsidRPr="00BD0011">
        <w:rPr>
          <w:i/>
          <w:iCs/>
          <w:lang w:eastAsia="es-HN"/>
        </w:rPr>
        <w:t>Opario</w:t>
      </w:r>
      <w:proofErr w:type="spellEnd"/>
      <w:r w:rsidRPr="00BD0011">
        <w:rPr>
          <w:i/>
          <w:iCs/>
          <w:lang w:eastAsia="es-HN"/>
        </w:rPr>
        <w:t xml:space="preserve"> Lemon Morris y Otros</w:t>
      </w:r>
      <w:r w:rsidRPr="00BD0011">
        <w:rPr>
          <w:lang w:eastAsia="es-HN"/>
        </w:rPr>
        <w:t xml:space="preserve">, el Estado realizó el acto de perdón, al mismo tiempo que se destinaron más 700,000 lempiras para la Clínica de Atención del Síndrome de Descompresión, para mejorar las instalaciones físicas y la compra de materiales necesarios para asegurar una mejor atención a las </w:t>
      </w:r>
      <w:proofErr w:type="spellStart"/>
      <w:r w:rsidRPr="00BD0011">
        <w:rPr>
          <w:lang w:eastAsia="es-HN"/>
        </w:rPr>
        <w:t>PcD</w:t>
      </w:r>
      <w:proofErr w:type="spellEnd"/>
      <w:r w:rsidRPr="00BD0011">
        <w:rPr>
          <w:lang w:eastAsia="es-HN"/>
        </w:rPr>
        <w:t>. Asimismo, se está por adquirir dos cámaras hiperbáricas.</w:t>
      </w:r>
    </w:p>
    <w:p w14:paraId="3335484A" w14:textId="77777777" w:rsidR="00BD0011" w:rsidRPr="00BD0011" w:rsidRDefault="00BD0011" w:rsidP="00A516A5">
      <w:pPr>
        <w:pStyle w:val="SingleTxtG"/>
        <w:numPr>
          <w:ilvl w:val="0"/>
          <w:numId w:val="40"/>
        </w:numPr>
        <w:ind w:left="1134" w:firstLine="0"/>
        <w:rPr>
          <w:lang w:eastAsia="es-HN"/>
        </w:rPr>
      </w:pPr>
      <w:r w:rsidRPr="00BD0011">
        <w:rPr>
          <w:b/>
          <w:bCs/>
          <w:lang w:eastAsia="es-HN"/>
        </w:rPr>
        <w:lastRenderedPageBreak/>
        <w:t>Inciso c)</w:t>
      </w:r>
      <w:r w:rsidRPr="00BD0011">
        <w:rPr>
          <w:lang w:eastAsia="es-HN"/>
        </w:rPr>
        <w:t xml:space="preserve">, para la reinserción de los trabajadores migrantes retornados con discapacidad, la SETRASS, en coordinación con la Secretaría de Relaciones Exteriores y Cooperación Internacional, implementó la jornada piloto de oportunidad laboral dirigido a hombres y mujeres </w:t>
      </w:r>
      <w:proofErr w:type="spellStart"/>
      <w:r w:rsidRPr="00BD0011">
        <w:rPr>
          <w:lang w:eastAsia="es-HN"/>
        </w:rPr>
        <w:t>migrantes</w:t>
      </w:r>
      <w:proofErr w:type="spellEnd"/>
      <w:r w:rsidRPr="00BD0011">
        <w:rPr>
          <w:lang w:eastAsia="es-HN"/>
        </w:rPr>
        <w:t xml:space="preserve"> retornados en años anteriores. La jornada contó con la participación de 30 personas, por lo que realizaron los siguientes:</w:t>
      </w:r>
    </w:p>
    <w:p w14:paraId="1E22FC40" w14:textId="77777777" w:rsidR="00BD0011" w:rsidRPr="00BD0011" w:rsidRDefault="00BD0011" w:rsidP="00A516A5">
      <w:pPr>
        <w:pStyle w:val="SingleTxtG"/>
        <w:numPr>
          <w:ilvl w:val="0"/>
          <w:numId w:val="45"/>
        </w:numPr>
        <w:ind w:left="1134" w:firstLine="567"/>
        <w:rPr>
          <w:lang w:eastAsia="es-HN"/>
        </w:rPr>
      </w:pPr>
      <w:r w:rsidRPr="00BD0011">
        <w:rPr>
          <w:lang w:eastAsia="es-HN"/>
        </w:rPr>
        <w:t xml:space="preserve">Exposición sobre las funciones de la Unidad de Fomento a la Inclusión Laboral (UFIL). </w:t>
      </w:r>
    </w:p>
    <w:p w14:paraId="3F33F406" w14:textId="77777777" w:rsidR="00BD0011" w:rsidRPr="00BD0011" w:rsidRDefault="00BD0011" w:rsidP="00A516A5">
      <w:pPr>
        <w:pStyle w:val="SingleTxtG"/>
        <w:numPr>
          <w:ilvl w:val="0"/>
          <w:numId w:val="45"/>
        </w:numPr>
        <w:ind w:left="1134" w:firstLine="567"/>
        <w:rPr>
          <w:lang w:eastAsia="es-HN"/>
        </w:rPr>
      </w:pPr>
      <w:r w:rsidRPr="00BD0011">
        <w:rPr>
          <w:lang w:eastAsia="es-HN"/>
        </w:rPr>
        <w:t xml:space="preserve">Exposición sobre el sistema computarizado de registro de obra con discapacidad denominado EMPLEATE-PLUS. </w:t>
      </w:r>
    </w:p>
    <w:p w14:paraId="47255CAD" w14:textId="77777777" w:rsidR="00BD0011" w:rsidRPr="00BD0011" w:rsidRDefault="00BD0011" w:rsidP="00A516A5">
      <w:pPr>
        <w:pStyle w:val="SingleTxtG"/>
        <w:numPr>
          <w:ilvl w:val="0"/>
          <w:numId w:val="45"/>
        </w:numPr>
        <w:ind w:left="1134" w:firstLine="567"/>
        <w:rPr>
          <w:lang w:eastAsia="es-HN"/>
        </w:rPr>
      </w:pPr>
      <w:r w:rsidRPr="00BD0011">
        <w:rPr>
          <w:lang w:eastAsia="es-HN"/>
        </w:rPr>
        <w:t>Evaluación técnica del personal.</w:t>
      </w:r>
    </w:p>
    <w:p w14:paraId="7F613229" w14:textId="77777777" w:rsidR="00BD0011" w:rsidRPr="00BD0011" w:rsidRDefault="00BD0011" w:rsidP="00A516A5">
      <w:pPr>
        <w:pStyle w:val="SingleTxtG"/>
        <w:numPr>
          <w:ilvl w:val="0"/>
          <w:numId w:val="45"/>
        </w:numPr>
        <w:ind w:left="1134" w:firstLine="567"/>
        <w:rPr>
          <w:lang w:eastAsia="es-HN"/>
        </w:rPr>
      </w:pPr>
      <w:r w:rsidRPr="00BD0011">
        <w:rPr>
          <w:lang w:eastAsia="es-HN"/>
        </w:rPr>
        <w:t>Atención personalizada a 14 de 15 persona.</w:t>
      </w:r>
    </w:p>
    <w:p w14:paraId="4ECE3C84" w14:textId="77777777" w:rsidR="00BD0011" w:rsidRPr="00BD0011" w:rsidRDefault="00BD0011" w:rsidP="00A516A5">
      <w:pPr>
        <w:pStyle w:val="SingleTxtG"/>
        <w:numPr>
          <w:ilvl w:val="0"/>
          <w:numId w:val="45"/>
        </w:numPr>
        <w:ind w:left="1134" w:firstLine="567"/>
        <w:rPr>
          <w:lang w:eastAsia="es-HN"/>
        </w:rPr>
      </w:pPr>
      <w:r w:rsidRPr="00BD0011">
        <w:rPr>
          <w:lang w:eastAsia="es-HN"/>
        </w:rPr>
        <w:t xml:space="preserve">Seguimiento a la promoción de perfiles curriculares en empresas. </w:t>
      </w:r>
    </w:p>
    <w:p w14:paraId="58F463E7" w14:textId="77777777" w:rsidR="00BD0011" w:rsidRPr="00BD0011" w:rsidRDefault="00BD0011" w:rsidP="00A516A5">
      <w:pPr>
        <w:pStyle w:val="SingleTxtG"/>
        <w:numPr>
          <w:ilvl w:val="0"/>
          <w:numId w:val="40"/>
        </w:numPr>
        <w:ind w:left="1134" w:firstLine="0"/>
        <w:rPr>
          <w:lang w:eastAsia="es-HN"/>
        </w:rPr>
      </w:pPr>
      <w:r w:rsidRPr="00BD0011">
        <w:rPr>
          <w:lang w:eastAsia="es-HN"/>
        </w:rPr>
        <w:t xml:space="preserve">A través de las UMD, ubicadas en los municipios fronterizos, se pretende desconcentrar y descentralizar las atenciones para las </w:t>
      </w:r>
      <w:proofErr w:type="spellStart"/>
      <w:r w:rsidRPr="00BD0011">
        <w:rPr>
          <w:lang w:eastAsia="es-HN"/>
        </w:rPr>
        <w:t>PcD</w:t>
      </w:r>
      <w:proofErr w:type="spellEnd"/>
      <w:r w:rsidRPr="00BD0011">
        <w:rPr>
          <w:lang w:eastAsia="es-HN"/>
        </w:rPr>
        <w:t xml:space="preserve">, que cuenten con un profesional en psicología para atender y ayudar en el proceso de reinserción social de las </w:t>
      </w:r>
      <w:proofErr w:type="spellStart"/>
      <w:r w:rsidRPr="00BD0011">
        <w:rPr>
          <w:lang w:eastAsia="es-HN"/>
        </w:rPr>
        <w:t>PcD</w:t>
      </w:r>
      <w:proofErr w:type="spellEnd"/>
      <w:r w:rsidRPr="00BD0011">
        <w:rPr>
          <w:lang w:eastAsia="es-HN"/>
        </w:rPr>
        <w:t>.</w:t>
      </w:r>
    </w:p>
    <w:p w14:paraId="32A9677D" w14:textId="7AF7B0D7" w:rsidR="00BD0011" w:rsidRPr="00BD0011" w:rsidRDefault="00A516A5" w:rsidP="00A516A5">
      <w:pPr>
        <w:pStyle w:val="H23G"/>
        <w:rPr>
          <w:lang w:eastAsia="es-HN"/>
        </w:rPr>
      </w:pPr>
      <w:bookmarkStart w:id="59" w:name="_Toc147932977"/>
      <w:bookmarkStart w:id="60" w:name="_Toc148970491"/>
      <w:r>
        <w:rPr>
          <w:lang w:eastAsia="es-HN"/>
        </w:rPr>
        <w:tab/>
      </w:r>
      <w:r>
        <w:rPr>
          <w:lang w:eastAsia="es-HN"/>
        </w:rPr>
        <w:tab/>
      </w:r>
      <w:r w:rsidR="00BD0011" w:rsidRPr="00BD0011">
        <w:rPr>
          <w:lang w:eastAsia="es-HN"/>
        </w:rPr>
        <w:t xml:space="preserve">Trabajo y empleo </w:t>
      </w:r>
      <w:r w:rsidR="00BD0011" w:rsidRPr="00BD0011">
        <w:rPr>
          <w:szCs w:val="24"/>
          <w:lang w:eastAsia="es-HN"/>
        </w:rPr>
        <w:t>(art. 27)</w:t>
      </w:r>
      <w:bookmarkEnd w:id="59"/>
      <w:bookmarkEnd w:id="60"/>
    </w:p>
    <w:p w14:paraId="27F406B2" w14:textId="77777777" w:rsidR="00BD0011" w:rsidRPr="00BD0011" w:rsidRDefault="00BD0011" w:rsidP="00A516A5">
      <w:pPr>
        <w:pStyle w:val="SingleTxtG"/>
        <w:numPr>
          <w:ilvl w:val="0"/>
          <w:numId w:val="40"/>
        </w:numPr>
        <w:ind w:left="1134" w:firstLine="0"/>
        <w:rPr>
          <w:lang w:eastAsia="es-HN"/>
        </w:rPr>
      </w:pPr>
      <w:r w:rsidRPr="00BD0011">
        <w:rPr>
          <w:b/>
          <w:bCs/>
          <w:lang w:eastAsia="es-HN"/>
        </w:rPr>
        <w:t>Cuestión 24, inciso a)</w:t>
      </w:r>
      <w:r w:rsidRPr="00BD0011">
        <w:rPr>
          <w:lang w:eastAsia="es-HN"/>
        </w:rPr>
        <w:t xml:space="preserve">, para subsanar las deficiencias de incumplimiento en cuanto a la no contratación de las </w:t>
      </w:r>
      <w:proofErr w:type="spellStart"/>
      <w:r w:rsidRPr="00BD0011">
        <w:rPr>
          <w:lang w:eastAsia="es-HN"/>
        </w:rPr>
        <w:t>PcD</w:t>
      </w:r>
      <w:proofErr w:type="spellEnd"/>
      <w:r w:rsidRPr="00BD0011">
        <w:rPr>
          <w:lang w:eastAsia="es-HN"/>
        </w:rPr>
        <w:t xml:space="preserve"> en las empresas, la UFIL de la Dirección General de Empleo y la Inspección General de Trabajo trabajan en conjunto en un proyecto piloto relacionado con el funcionamiento de los procesos de intermediación y cumplimiento de las cuotas de contratación de las </w:t>
      </w:r>
      <w:proofErr w:type="spellStart"/>
      <w:r w:rsidRPr="00BD0011">
        <w:rPr>
          <w:lang w:eastAsia="es-HN"/>
        </w:rPr>
        <w:t>PcD</w:t>
      </w:r>
      <w:proofErr w:type="spellEnd"/>
      <w:r w:rsidRPr="00BD0011">
        <w:rPr>
          <w:lang w:eastAsia="es-HN"/>
        </w:rPr>
        <w:t>, según lo establecido en el artículo 35 de la Ley de Equidad para las Personas con Discapacidad.</w:t>
      </w:r>
    </w:p>
    <w:p w14:paraId="57B19DCC" w14:textId="77777777" w:rsidR="00BD0011" w:rsidRPr="00BD0011" w:rsidRDefault="00BD0011" w:rsidP="00A516A5">
      <w:pPr>
        <w:pStyle w:val="SingleTxtG"/>
        <w:numPr>
          <w:ilvl w:val="0"/>
          <w:numId w:val="40"/>
        </w:numPr>
        <w:ind w:left="1134" w:firstLine="0"/>
        <w:rPr>
          <w:lang w:eastAsia="es-HN"/>
        </w:rPr>
      </w:pPr>
      <w:r w:rsidRPr="00BD0011">
        <w:rPr>
          <w:lang w:eastAsia="es-HN"/>
        </w:rPr>
        <w:t xml:space="preserve">En ausencia de un reglamento, se aplica el artículo 90 de la Ley de Inspección de Trabajo, ya que se emplearon </w:t>
      </w:r>
      <w:proofErr w:type="spellStart"/>
      <w:r w:rsidRPr="00BD0011">
        <w:rPr>
          <w:lang w:eastAsia="es-HN"/>
        </w:rPr>
        <w:t>PcD</w:t>
      </w:r>
      <w:proofErr w:type="spellEnd"/>
      <w:r w:rsidRPr="00BD0011">
        <w:rPr>
          <w:lang w:eastAsia="es-HN"/>
        </w:rPr>
        <w:t xml:space="preserve"> en empresas privadas que solicitaron a SETRASS candidatos para laborar en sus empresas, la cual es una medida positiva para la inclusión de las </w:t>
      </w:r>
      <w:proofErr w:type="spellStart"/>
      <w:r w:rsidRPr="00BD0011">
        <w:rPr>
          <w:lang w:eastAsia="es-HN"/>
        </w:rPr>
        <w:t>PcD</w:t>
      </w:r>
      <w:proofErr w:type="spellEnd"/>
      <w:r w:rsidRPr="00BD0011">
        <w:rPr>
          <w:lang w:eastAsia="es-HN"/>
        </w:rPr>
        <w:t>, las cuales fueron colocados en empleos permanentes.</w:t>
      </w:r>
    </w:p>
    <w:p w14:paraId="53FF91B8" w14:textId="77777777" w:rsidR="00BD0011" w:rsidRPr="00BD0011" w:rsidRDefault="00BD0011" w:rsidP="00A516A5">
      <w:pPr>
        <w:pStyle w:val="SingleTxtG"/>
        <w:numPr>
          <w:ilvl w:val="0"/>
          <w:numId w:val="40"/>
        </w:numPr>
        <w:ind w:left="1134" w:firstLine="0"/>
        <w:rPr>
          <w:lang w:eastAsia="es-HN"/>
        </w:rPr>
      </w:pPr>
      <w:r w:rsidRPr="00BD0011">
        <w:rPr>
          <w:lang w:eastAsia="es-HN"/>
        </w:rPr>
        <w:t xml:space="preserve">Luego de la pandemia por la COVID-19, que limitó la circulación de la población por las medidas de restricción, se apersonaron en la SETRASS dos empresas en 2021 y cinco empresas en 2022, a quienes se les asesoró y compartió la Ley de Equidad para las Personas con Discapacidad y se les sensibilizó respecto con sus derechos y las cuotas de contratación. Hasta septiembre de 2023 se han asesorado tres empresas de manera presencial y 72 empresas de manera virtual. </w:t>
      </w:r>
    </w:p>
    <w:p w14:paraId="0E862E4B" w14:textId="77777777" w:rsidR="00BD0011" w:rsidRPr="00BD0011" w:rsidRDefault="00BD0011" w:rsidP="00A516A5">
      <w:pPr>
        <w:pStyle w:val="SingleTxtG"/>
        <w:numPr>
          <w:ilvl w:val="0"/>
          <w:numId w:val="40"/>
        </w:numPr>
        <w:ind w:left="1134" w:firstLine="0"/>
        <w:rPr>
          <w:lang w:eastAsia="es-HN"/>
        </w:rPr>
      </w:pPr>
      <w:r w:rsidRPr="00BD0011">
        <w:rPr>
          <w:lang w:eastAsia="es-HN"/>
        </w:rPr>
        <w:t xml:space="preserve">Respecto al empleo de las </w:t>
      </w:r>
      <w:proofErr w:type="spellStart"/>
      <w:r w:rsidRPr="00BD0011">
        <w:rPr>
          <w:lang w:eastAsia="es-HN"/>
        </w:rPr>
        <w:t>PcD</w:t>
      </w:r>
      <w:proofErr w:type="spellEnd"/>
      <w:r w:rsidRPr="00BD0011">
        <w:rPr>
          <w:lang w:eastAsia="es-HN"/>
        </w:rPr>
        <w:t xml:space="preserve">, la SEDESOL lanzó la Bolsa Virtual de Empleo para </w:t>
      </w:r>
      <w:proofErr w:type="spellStart"/>
      <w:r w:rsidRPr="00BD0011">
        <w:rPr>
          <w:lang w:eastAsia="es-HN"/>
        </w:rPr>
        <w:t>PcD</w:t>
      </w:r>
      <w:proofErr w:type="spellEnd"/>
      <w:r w:rsidRPr="00BD0011">
        <w:rPr>
          <w:vertAlign w:val="superscript"/>
          <w:lang w:eastAsia="es-HN"/>
        </w:rPr>
        <w:footnoteReference w:id="27"/>
      </w:r>
      <w:r w:rsidRPr="00BD0011">
        <w:rPr>
          <w:lang w:eastAsia="es-HN"/>
        </w:rPr>
        <w:t>, donde pueden subir su hoja de vida para que las empresas tengan acceso a la base de datos y perfiles laborales y puedan ofrecer sus plazas de trabajo. La Bolsa cuenta con más de 500 personas registradas.</w:t>
      </w:r>
    </w:p>
    <w:p w14:paraId="4CAA9CAE" w14:textId="77777777" w:rsidR="00BD0011" w:rsidRPr="00BD0011" w:rsidRDefault="00BD0011" w:rsidP="00A516A5">
      <w:pPr>
        <w:pStyle w:val="SingleTxtG"/>
        <w:numPr>
          <w:ilvl w:val="0"/>
          <w:numId w:val="40"/>
        </w:numPr>
        <w:ind w:left="1134" w:firstLine="0"/>
        <w:rPr>
          <w:lang w:eastAsia="es-HN"/>
        </w:rPr>
      </w:pPr>
      <w:r w:rsidRPr="00BD0011">
        <w:rPr>
          <w:lang w:eastAsia="es-HN"/>
        </w:rPr>
        <w:t xml:space="preserve">La SETRASS conformó en 2022 el Grupo Interinstitucional para la Refundación de la Política de Empleo de Honduras, que ha realizado propuestas orientadas a integrar el enfoque de género en dicha política, para garantizar el acceso equitativo a oportunidades laborales entre hombres y mujeres. Asimismo, la propuesta de reforma de la Ley de Equidad incluye la cuota de empleabilidad de al menos 4 % de </w:t>
      </w:r>
      <w:proofErr w:type="spellStart"/>
      <w:r w:rsidRPr="00BD0011">
        <w:rPr>
          <w:lang w:eastAsia="es-HN"/>
        </w:rPr>
        <w:t>PcD</w:t>
      </w:r>
      <w:proofErr w:type="spellEnd"/>
      <w:r w:rsidRPr="00BD0011">
        <w:rPr>
          <w:lang w:eastAsia="es-HN"/>
        </w:rPr>
        <w:t>.</w:t>
      </w:r>
    </w:p>
    <w:p w14:paraId="4849AA35" w14:textId="77777777" w:rsidR="00BD0011" w:rsidRPr="00BD0011" w:rsidRDefault="00BD0011" w:rsidP="00A516A5">
      <w:pPr>
        <w:pStyle w:val="SingleTxtG"/>
        <w:numPr>
          <w:ilvl w:val="0"/>
          <w:numId w:val="40"/>
        </w:numPr>
        <w:ind w:left="1134" w:firstLine="0"/>
        <w:rPr>
          <w:lang w:eastAsia="es-HN"/>
        </w:rPr>
      </w:pPr>
      <w:r w:rsidRPr="00BD0011">
        <w:rPr>
          <w:b/>
          <w:bCs/>
          <w:lang w:eastAsia="es-HN"/>
        </w:rPr>
        <w:t>Inciso b)</w:t>
      </w:r>
      <w:r w:rsidRPr="00BD0011">
        <w:rPr>
          <w:lang w:eastAsia="es-HN"/>
        </w:rPr>
        <w:t xml:space="preserve">, para proteger los derechos de las </w:t>
      </w:r>
      <w:proofErr w:type="spellStart"/>
      <w:r w:rsidRPr="00BD0011">
        <w:rPr>
          <w:lang w:eastAsia="es-HN"/>
        </w:rPr>
        <w:t>PcD</w:t>
      </w:r>
      <w:proofErr w:type="spellEnd"/>
      <w:r w:rsidRPr="00BD0011">
        <w:rPr>
          <w:lang w:eastAsia="es-HN"/>
        </w:rPr>
        <w:t xml:space="preserve"> restringidas durante la pandemia por la COVID-19, se implementaron acciones por la UFIL. Entre ellas, se compartió con OSC de</w:t>
      </w:r>
      <w:r w:rsidRPr="00BD0011">
        <w:rPr>
          <w:rFonts w:ascii="Calibri" w:eastAsia="Calibri" w:hAnsi="Calibri" w:cs="Calibri"/>
          <w:sz w:val="16"/>
          <w:szCs w:val="16"/>
          <w:lang w:eastAsia="es-HN"/>
        </w:rPr>
        <w:t xml:space="preserve"> </w:t>
      </w:r>
      <w:proofErr w:type="spellStart"/>
      <w:r w:rsidRPr="00BD0011">
        <w:rPr>
          <w:lang w:eastAsia="es-HN"/>
        </w:rPr>
        <w:t>PcD</w:t>
      </w:r>
      <w:proofErr w:type="spellEnd"/>
      <w:r w:rsidRPr="00BD0011">
        <w:rPr>
          <w:lang w:eastAsia="es-HN"/>
        </w:rPr>
        <w:t xml:space="preserve"> que integran la Mesa de Inclusión y la Comisión de Inclusión Laboral, un enlace de SETRASS para abordar consultas y brindar apoyo en el registro y actualizaciones de datos en la plataforma EMPLEATE-PLUS.</w:t>
      </w:r>
    </w:p>
    <w:p w14:paraId="4D139BC7" w14:textId="77777777" w:rsidR="00BD0011" w:rsidRPr="00BD0011" w:rsidRDefault="00BD0011" w:rsidP="00A516A5">
      <w:pPr>
        <w:pStyle w:val="SingleTxtG"/>
        <w:numPr>
          <w:ilvl w:val="0"/>
          <w:numId w:val="40"/>
        </w:numPr>
        <w:ind w:left="1134" w:firstLine="0"/>
        <w:rPr>
          <w:lang w:eastAsia="es-HN"/>
        </w:rPr>
      </w:pPr>
      <w:r w:rsidRPr="00BD0011">
        <w:rPr>
          <w:b/>
          <w:bCs/>
          <w:lang w:eastAsia="es-HN"/>
        </w:rPr>
        <w:t>Inciso c)</w:t>
      </w:r>
      <w:r w:rsidRPr="00BD0011">
        <w:rPr>
          <w:lang w:eastAsia="es-HN"/>
        </w:rPr>
        <w:t xml:space="preserve">, para garantizar los ajustes razonables y los derechos de las </w:t>
      </w:r>
      <w:proofErr w:type="spellStart"/>
      <w:r w:rsidRPr="00BD0011">
        <w:rPr>
          <w:lang w:eastAsia="es-HN"/>
        </w:rPr>
        <w:t>PcD</w:t>
      </w:r>
      <w:proofErr w:type="spellEnd"/>
      <w:r w:rsidRPr="00BD0011">
        <w:rPr>
          <w:lang w:eastAsia="es-HN"/>
        </w:rPr>
        <w:t xml:space="preserve">, se realiza la supervisión permanente del cumplimiento del artículo 367 del Código del Trabajo y </w:t>
      </w:r>
      <w:r w:rsidRPr="00BD0011">
        <w:rPr>
          <w:lang w:eastAsia="es-HN"/>
        </w:rPr>
        <w:lastRenderedPageBreak/>
        <w:t>artículo 128 de la Constitución de la República, para la promoción, sensibilización, no discriminación, igualdad de oportunidades y condiciones dignas de trabajo.</w:t>
      </w:r>
    </w:p>
    <w:p w14:paraId="044C0A0C" w14:textId="77777777" w:rsidR="00BD0011" w:rsidRPr="00BD0011" w:rsidRDefault="00BD0011" w:rsidP="00A516A5">
      <w:pPr>
        <w:pStyle w:val="SingleTxtG"/>
        <w:numPr>
          <w:ilvl w:val="0"/>
          <w:numId w:val="40"/>
        </w:numPr>
        <w:ind w:left="1134" w:firstLine="0"/>
        <w:rPr>
          <w:lang w:eastAsia="es-HN"/>
        </w:rPr>
      </w:pPr>
      <w:r w:rsidRPr="00BD0011">
        <w:rPr>
          <w:b/>
          <w:bCs/>
          <w:lang w:eastAsia="es-HN"/>
        </w:rPr>
        <w:t>Inciso e)</w:t>
      </w:r>
      <w:r w:rsidRPr="00BD0011">
        <w:rPr>
          <w:lang w:eastAsia="es-HN"/>
        </w:rPr>
        <w:t>, sobre las inspecciones y la</w:t>
      </w:r>
      <w:r w:rsidRPr="00BD0011">
        <w:rPr>
          <w:rFonts w:ascii="Calibri" w:eastAsia="Calibri" w:hAnsi="Calibri" w:cs="Calibri"/>
          <w:sz w:val="22"/>
          <w:szCs w:val="22"/>
          <w:lang w:eastAsia="es-HN"/>
        </w:rPr>
        <w:t xml:space="preserve"> </w:t>
      </w:r>
      <w:r w:rsidRPr="00BD0011">
        <w:rPr>
          <w:lang w:eastAsia="es-HN"/>
        </w:rPr>
        <w:t xml:space="preserve">supervisión del cumplimiento de las cuotas laborales de las </w:t>
      </w:r>
      <w:proofErr w:type="spellStart"/>
      <w:r w:rsidRPr="00BD0011">
        <w:rPr>
          <w:lang w:eastAsia="es-HN"/>
        </w:rPr>
        <w:t>PcD</w:t>
      </w:r>
      <w:proofErr w:type="spellEnd"/>
      <w:r w:rsidRPr="00BD0011">
        <w:rPr>
          <w:lang w:eastAsia="es-HN"/>
        </w:rPr>
        <w:t xml:space="preserve">; en 2022, técnicos de la UFIL visitaron a un grupo focal de instituciones públicas a las que se les solicitó, de forma personalizada, la verificación de </w:t>
      </w:r>
      <w:proofErr w:type="spellStart"/>
      <w:r w:rsidRPr="00BD0011">
        <w:rPr>
          <w:lang w:eastAsia="es-HN"/>
        </w:rPr>
        <w:t>PcD</w:t>
      </w:r>
      <w:proofErr w:type="spellEnd"/>
      <w:r w:rsidRPr="00BD0011">
        <w:rPr>
          <w:lang w:eastAsia="es-HN"/>
        </w:rPr>
        <w:t xml:space="preserve"> laborando, la recopilación de la información, el seguimiento de la información y los avances de contratación de dichas instituciones.</w:t>
      </w:r>
    </w:p>
    <w:p w14:paraId="742A1F49" w14:textId="77777777" w:rsidR="00BD0011" w:rsidRPr="00BD0011" w:rsidRDefault="00BD0011" w:rsidP="00A516A5">
      <w:pPr>
        <w:pStyle w:val="SingleTxtG"/>
        <w:numPr>
          <w:ilvl w:val="0"/>
          <w:numId w:val="40"/>
        </w:numPr>
        <w:ind w:left="1134" w:firstLine="0"/>
        <w:rPr>
          <w:lang w:eastAsia="es-HN"/>
        </w:rPr>
      </w:pPr>
      <w:r w:rsidRPr="00BD0011">
        <w:rPr>
          <w:lang w:eastAsia="es-HN"/>
        </w:rPr>
        <w:t>Para vigilar el cumplimiento al artículo 35 de la Ley de Equidad</w:t>
      </w:r>
      <w:r w:rsidRPr="00BD0011">
        <w:rPr>
          <w:rFonts w:ascii="Calibri" w:eastAsia="Calibri" w:hAnsi="Calibri" w:cs="Calibri"/>
          <w:sz w:val="22"/>
          <w:szCs w:val="22"/>
          <w:lang w:eastAsia="es-HN"/>
        </w:rPr>
        <w:t xml:space="preserve"> </w:t>
      </w:r>
      <w:r w:rsidRPr="00BD0011">
        <w:rPr>
          <w:lang w:eastAsia="es-HN"/>
        </w:rPr>
        <w:t>para las personas con discapacidad, la Dirección General de Inspección del Trabajo, a partir de julio de 2023, giró instrucciones a todas las oficinas regionales y locales a nivel nacional para que, mediante las inspecciones ordinarias (iniciales y periódicas), se pueda verificar el cumplimiento, y en caso de existir infracción, se procederá a la aplicación del procedimiento establecido en la Ley de Inspección del Trabajo.</w:t>
      </w:r>
    </w:p>
    <w:p w14:paraId="0EFF24D0" w14:textId="77777777" w:rsidR="00BD0011" w:rsidRPr="00BD0011" w:rsidRDefault="00BD0011" w:rsidP="00A516A5">
      <w:pPr>
        <w:pStyle w:val="SingleTxtG"/>
        <w:numPr>
          <w:ilvl w:val="0"/>
          <w:numId w:val="40"/>
        </w:numPr>
        <w:ind w:left="1134" w:firstLine="0"/>
        <w:rPr>
          <w:lang w:eastAsia="es-HN"/>
        </w:rPr>
      </w:pPr>
      <w:r w:rsidRPr="00BD0011">
        <w:rPr>
          <w:lang w:eastAsia="es-HN"/>
        </w:rPr>
        <w:t xml:space="preserve">La DGSC y la SETRASS, de manera intersectorial con integrantes de organizaciones del sector discapacidad, integraron el Comité de Veeduría de la Bolsa Virtual de Empleo, con el objetivo de monitorear y dar seguimiento a las acciones realizadas para lograr la cuota laboral mínima de contratación de </w:t>
      </w:r>
      <w:proofErr w:type="spellStart"/>
      <w:r w:rsidRPr="00BD0011">
        <w:rPr>
          <w:lang w:eastAsia="es-HN"/>
        </w:rPr>
        <w:t>PcD</w:t>
      </w:r>
      <w:proofErr w:type="spellEnd"/>
      <w:r w:rsidRPr="00BD0011">
        <w:rPr>
          <w:lang w:eastAsia="es-HN"/>
        </w:rPr>
        <w:t>.</w:t>
      </w:r>
    </w:p>
    <w:p w14:paraId="6D340B9D" w14:textId="77777777" w:rsidR="00BD0011" w:rsidRPr="00BD0011" w:rsidRDefault="00BD0011" w:rsidP="00A516A5">
      <w:pPr>
        <w:pStyle w:val="SingleTxtG"/>
        <w:numPr>
          <w:ilvl w:val="0"/>
          <w:numId w:val="40"/>
        </w:numPr>
        <w:ind w:left="1134" w:firstLine="0"/>
        <w:rPr>
          <w:lang w:eastAsia="es-HN"/>
        </w:rPr>
      </w:pPr>
      <w:r w:rsidRPr="00BD0011">
        <w:rPr>
          <w:b/>
          <w:bCs/>
          <w:lang w:eastAsia="es-HN"/>
        </w:rPr>
        <w:t>Inciso f)</w:t>
      </w:r>
      <w:r w:rsidRPr="00BD0011">
        <w:rPr>
          <w:lang w:eastAsia="es-HN"/>
        </w:rPr>
        <w:t xml:space="preserve">, a continuación, se informa sobre las atenciones brindadas por SETRASS a las </w:t>
      </w:r>
      <w:proofErr w:type="spellStart"/>
      <w:r w:rsidRPr="00BD0011">
        <w:rPr>
          <w:lang w:eastAsia="es-HN"/>
        </w:rPr>
        <w:t>PcD</w:t>
      </w:r>
      <w:proofErr w:type="spellEnd"/>
      <w:r w:rsidRPr="00BD0011">
        <w:rPr>
          <w:lang w:eastAsia="es-HN"/>
        </w:rPr>
        <w:t xml:space="preserve"> despedidas entre 2022-2023: </w:t>
      </w:r>
    </w:p>
    <w:p w14:paraId="00AE6DE4" w14:textId="77777777" w:rsidR="00BD0011" w:rsidRPr="00BD0011" w:rsidRDefault="00BD0011" w:rsidP="00A516A5">
      <w:pPr>
        <w:pStyle w:val="SingleTxtG"/>
        <w:rPr>
          <w:lang w:eastAsia="es-HN"/>
        </w:rPr>
      </w:pPr>
    </w:p>
    <w:tbl>
      <w:tblPr>
        <w:tblStyle w:val="TableGrid2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80"/>
        <w:gridCol w:w="924"/>
        <w:gridCol w:w="1001"/>
        <w:gridCol w:w="1070"/>
        <w:gridCol w:w="924"/>
        <w:gridCol w:w="1001"/>
        <w:gridCol w:w="1070"/>
      </w:tblGrid>
      <w:tr w:rsidR="00BD0011" w:rsidRPr="00180416" w14:paraId="111B4D0C" w14:textId="77777777" w:rsidTr="00180416">
        <w:trPr>
          <w:tblHeader/>
        </w:trPr>
        <w:tc>
          <w:tcPr>
            <w:tcW w:w="5000" w:type="pct"/>
            <w:gridSpan w:val="7"/>
            <w:tcBorders>
              <w:top w:val="single" w:sz="4" w:space="0" w:color="auto"/>
              <w:bottom w:val="single" w:sz="12" w:space="0" w:color="auto"/>
            </w:tcBorders>
            <w:shd w:val="clear" w:color="auto" w:fill="auto"/>
            <w:vAlign w:val="bottom"/>
          </w:tcPr>
          <w:p w14:paraId="3EBA6E03" w14:textId="77777777" w:rsidR="00BD0011" w:rsidRPr="00180416" w:rsidRDefault="00BD0011" w:rsidP="00180416">
            <w:pPr>
              <w:spacing w:before="80" w:after="80" w:line="200" w:lineRule="exact"/>
              <w:contextualSpacing/>
              <w:rPr>
                <w:rFonts w:ascii="Times New Roman" w:eastAsia="Times New Roman" w:hAnsi="Times New Roman" w:cs="Times New Roman"/>
                <w:bCs/>
                <w:i/>
                <w:sz w:val="16"/>
                <w:lang w:eastAsia="es-HN"/>
              </w:rPr>
            </w:pPr>
            <w:proofErr w:type="spellStart"/>
            <w:r w:rsidRPr="00180416">
              <w:rPr>
                <w:rFonts w:ascii="Times New Roman" w:eastAsia="Times New Roman" w:hAnsi="Times New Roman" w:cs="Times New Roman"/>
                <w:bCs/>
                <w:i/>
                <w:sz w:val="16"/>
                <w:szCs w:val="24"/>
                <w:lang w:eastAsia="es-HN"/>
              </w:rPr>
              <w:t>PcD</w:t>
            </w:r>
            <w:proofErr w:type="spellEnd"/>
            <w:r w:rsidRPr="00180416">
              <w:rPr>
                <w:rFonts w:ascii="Times New Roman" w:eastAsia="Times New Roman" w:hAnsi="Times New Roman" w:cs="Times New Roman"/>
                <w:bCs/>
                <w:i/>
                <w:sz w:val="16"/>
                <w:szCs w:val="24"/>
                <w:lang w:eastAsia="es-HN"/>
              </w:rPr>
              <w:t xml:space="preserve"> atendidas desagregadas por sexo y año.</w:t>
            </w:r>
          </w:p>
        </w:tc>
      </w:tr>
      <w:tr w:rsidR="00180416" w:rsidRPr="00180416" w14:paraId="2BB136D7" w14:textId="77777777" w:rsidTr="00180416">
        <w:tc>
          <w:tcPr>
            <w:tcW w:w="936" w:type="pct"/>
            <w:vMerge w:val="restart"/>
            <w:tcBorders>
              <w:top w:val="single" w:sz="12" w:space="0" w:color="auto"/>
            </w:tcBorders>
            <w:shd w:val="clear" w:color="auto" w:fill="auto"/>
          </w:tcPr>
          <w:p w14:paraId="5F679023" w14:textId="77777777" w:rsidR="00BD0011" w:rsidRPr="00180416" w:rsidRDefault="00BD0011" w:rsidP="00180416">
            <w:pPr>
              <w:spacing w:before="40" w:after="40" w:line="220" w:lineRule="exact"/>
              <w:contextualSpacing/>
              <w:rPr>
                <w:rFonts w:ascii="Times New Roman" w:eastAsia="Times New Roman" w:hAnsi="Times New Roman" w:cs="Times New Roman"/>
                <w:sz w:val="18"/>
                <w:lang w:eastAsia="es-HN"/>
              </w:rPr>
            </w:pPr>
            <w:r w:rsidRPr="00180416">
              <w:rPr>
                <w:rFonts w:ascii="Times New Roman" w:eastAsia="Times New Roman" w:hAnsi="Times New Roman" w:cs="Times New Roman"/>
                <w:b/>
                <w:bCs/>
                <w:sz w:val="18"/>
                <w:lang w:eastAsia="es-HN"/>
              </w:rPr>
              <w:t>Tipo de atención</w:t>
            </w:r>
          </w:p>
        </w:tc>
        <w:tc>
          <w:tcPr>
            <w:tcW w:w="2032" w:type="pct"/>
            <w:gridSpan w:val="3"/>
            <w:tcBorders>
              <w:top w:val="single" w:sz="12" w:space="0" w:color="auto"/>
            </w:tcBorders>
            <w:shd w:val="clear" w:color="auto" w:fill="auto"/>
          </w:tcPr>
          <w:p w14:paraId="23117332" w14:textId="77777777" w:rsidR="00BD0011" w:rsidRPr="00180416" w:rsidRDefault="00BD0011" w:rsidP="00180416">
            <w:pPr>
              <w:spacing w:before="40" w:after="40" w:line="220" w:lineRule="exact"/>
              <w:contextualSpacing/>
              <w:rPr>
                <w:rFonts w:ascii="Times New Roman" w:eastAsia="Times New Roman" w:hAnsi="Times New Roman" w:cs="Times New Roman"/>
                <w:b/>
                <w:bCs/>
                <w:sz w:val="18"/>
                <w:lang w:eastAsia="es-HN"/>
              </w:rPr>
            </w:pPr>
            <w:r w:rsidRPr="00180416">
              <w:rPr>
                <w:rFonts w:ascii="Times New Roman" w:eastAsia="Times New Roman" w:hAnsi="Times New Roman" w:cs="Times New Roman"/>
                <w:b/>
                <w:bCs/>
                <w:sz w:val="18"/>
                <w:lang w:eastAsia="es-HN"/>
              </w:rPr>
              <w:t>Enero-diciembre de 2022</w:t>
            </w:r>
          </w:p>
        </w:tc>
        <w:tc>
          <w:tcPr>
            <w:tcW w:w="2032" w:type="pct"/>
            <w:gridSpan w:val="3"/>
            <w:tcBorders>
              <w:top w:val="single" w:sz="12" w:space="0" w:color="auto"/>
            </w:tcBorders>
            <w:shd w:val="clear" w:color="auto" w:fill="auto"/>
          </w:tcPr>
          <w:p w14:paraId="6F7D0EE4" w14:textId="77777777" w:rsidR="00BD0011" w:rsidRPr="00180416" w:rsidRDefault="00BD0011" w:rsidP="00180416">
            <w:pPr>
              <w:spacing w:before="40" w:after="40" w:line="220" w:lineRule="exact"/>
              <w:contextualSpacing/>
              <w:rPr>
                <w:rFonts w:ascii="Times New Roman" w:eastAsia="Times New Roman" w:hAnsi="Times New Roman" w:cs="Times New Roman"/>
                <w:b/>
                <w:bCs/>
                <w:sz w:val="18"/>
                <w:lang w:eastAsia="es-HN"/>
              </w:rPr>
            </w:pPr>
            <w:r w:rsidRPr="00180416">
              <w:rPr>
                <w:rFonts w:ascii="Times New Roman" w:eastAsia="Times New Roman" w:hAnsi="Times New Roman" w:cs="Times New Roman"/>
                <w:b/>
                <w:bCs/>
                <w:sz w:val="18"/>
                <w:lang w:eastAsia="es-HN"/>
              </w:rPr>
              <w:t>Enero-agosto de 2023</w:t>
            </w:r>
          </w:p>
        </w:tc>
      </w:tr>
      <w:tr w:rsidR="00180416" w:rsidRPr="00180416" w14:paraId="66EC2B56" w14:textId="77777777" w:rsidTr="00180416">
        <w:tc>
          <w:tcPr>
            <w:tcW w:w="936" w:type="pct"/>
            <w:vMerge/>
            <w:shd w:val="clear" w:color="auto" w:fill="auto"/>
          </w:tcPr>
          <w:p w14:paraId="4891B33E" w14:textId="77777777" w:rsidR="00BD0011" w:rsidRPr="00180416" w:rsidRDefault="00BD0011" w:rsidP="00180416">
            <w:pPr>
              <w:spacing w:before="40" w:after="40" w:line="220" w:lineRule="exact"/>
              <w:contextualSpacing/>
              <w:rPr>
                <w:rFonts w:ascii="Times New Roman" w:eastAsia="Times New Roman" w:hAnsi="Times New Roman" w:cs="Times New Roman"/>
                <w:b/>
                <w:bCs/>
                <w:sz w:val="18"/>
                <w:lang w:eastAsia="es-HN"/>
              </w:rPr>
            </w:pPr>
          </w:p>
        </w:tc>
        <w:tc>
          <w:tcPr>
            <w:tcW w:w="627" w:type="pct"/>
            <w:shd w:val="clear" w:color="auto" w:fill="auto"/>
          </w:tcPr>
          <w:p w14:paraId="189622E6" w14:textId="77777777" w:rsidR="00BD0011" w:rsidRPr="00180416" w:rsidRDefault="00BD0011" w:rsidP="00180416">
            <w:pPr>
              <w:spacing w:before="40" w:after="40" w:line="220" w:lineRule="exact"/>
              <w:contextualSpacing/>
              <w:rPr>
                <w:rFonts w:ascii="Times New Roman" w:eastAsia="Times New Roman" w:hAnsi="Times New Roman" w:cs="Times New Roman"/>
                <w:sz w:val="18"/>
                <w:lang w:eastAsia="es-HN"/>
              </w:rPr>
            </w:pPr>
            <w:r w:rsidRPr="00180416">
              <w:rPr>
                <w:rFonts w:ascii="Times New Roman" w:eastAsia="Times New Roman" w:hAnsi="Times New Roman" w:cs="Times New Roman"/>
                <w:sz w:val="18"/>
                <w:lang w:eastAsia="es-HN"/>
              </w:rPr>
              <w:t>Mujeres</w:t>
            </w:r>
          </w:p>
        </w:tc>
        <w:tc>
          <w:tcPr>
            <w:tcW w:w="679" w:type="pct"/>
            <w:shd w:val="clear" w:color="auto" w:fill="auto"/>
          </w:tcPr>
          <w:p w14:paraId="52C58F12" w14:textId="77777777" w:rsidR="00BD0011" w:rsidRPr="00180416" w:rsidRDefault="00BD0011" w:rsidP="00180416">
            <w:pPr>
              <w:spacing w:before="40" w:after="40" w:line="220" w:lineRule="exact"/>
              <w:contextualSpacing/>
              <w:rPr>
                <w:rFonts w:ascii="Times New Roman" w:eastAsia="Times New Roman" w:hAnsi="Times New Roman" w:cs="Times New Roman"/>
                <w:sz w:val="18"/>
                <w:lang w:eastAsia="es-HN"/>
              </w:rPr>
            </w:pPr>
            <w:r w:rsidRPr="00180416">
              <w:rPr>
                <w:rFonts w:ascii="Times New Roman" w:eastAsia="Times New Roman" w:hAnsi="Times New Roman" w:cs="Times New Roman"/>
                <w:sz w:val="18"/>
                <w:lang w:eastAsia="es-HN"/>
              </w:rPr>
              <w:t>Hombres</w:t>
            </w:r>
          </w:p>
        </w:tc>
        <w:tc>
          <w:tcPr>
            <w:tcW w:w="726" w:type="pct"/>
            <w:shd w:val="clear" w:color="auto" w:fill="auto"/>
          </w:tcPr>
          <w:p w14:paraId="000E8441" w14:textId="77777777" w:rsidR="00BD0011" w:rsidRPr="00180416" w:rsidRDefault="00BD0011" w:rsidP="00180416">
            <w:pPr>
              <w:spacing w:before="40" w:after="40" w:line="220" w:lineRule="exact"/>
              <w:contextualSpacing/>
              <w:rPr>
                <w:rFonts w:ascii="Times New Roman" w:eastAsia="Times New Roman" w:hAnsi="Times New Roman" w:cs="Times New Roman"/>
                <w:sz w:val="18"/>
                <w:lang w:eastAsia="es-HN"/>
              </w:rPr>
            </w:pPr>
            <w:r w:rsidRPr="00180416">
              <w:rPr>
                <w:rFonts w:ascii="Times New Roman" w:eastAsia="Times New Roman" w:hAnsi="Times New Roman" w:cs="Times New Roman"/>
                <w:sz w:val="18"/>
                <w:lang w:eastAsia="es-HN"/>
              </w:rPr>
              <w:t>Total, atendidos</w:t>
            </w:r>
          </w:p>
        </w:tc>
        <w:tc>
          <w:tcPr>
            <w:tcW w:w="627" w:type="pct"/>
            <w:shd w:val="clear" w:color="auto" w:fill="auto"/>
          </w:tcPr>
          <w:p w14:paraId="47F45581" w14:textId="77777777" w:rsidR="00BD0011" w:rsidRPr="00180416" w:rsidRDefault="00BD0011" w:rsidP="00180416">
            <w:pPr>
              <w:spacing w:before="40" w:after="40" w:line="220" w:lineRule="exact"/>
              <w:contextualSpacing/>
              <w:rPr>
                <w:rFonts w:ascii="Times New Roman" w:eastAsia="Times New Roman" w:hAnsi="Times New Roman" w:cs="Times New Roman"/>
                <w:sz w:val="18"/>
                <w:lang w:eastAsia="es-HN"/>
              </w:rPr>
            </w:pPr>
            <w:r w:rsidRPr="00180416">
              <w:rPr>
                <w:rFonts w:ascii="Times New Roman" w:eastAsia="Times New Roman" w:hAnsi="Times New Roman" w:cs="Times New Roman"/>
                <w:sz w:val="18"/>
                <w:lang w:eastAsia="es-HN"/>
              </w:rPr>
              <w:t>Mujeres</w:t>
            </w:r>
          </w:p>
        </w:tc>
        <w:tc>
          <w:tcPr>
            <w:tcW w:w="679" w:type="pct"/>
            <w:shd w:val="clear" w:color="auto" w:fill="auto"/>
          </w:tcPr>
          <w:p w14:paraId="03810FEF" w14:textId="77777777" w:rsidR="00BD0011" w:rsidRPr="00180416" w:rsidRDefault="00BD0011" w:rsidP="00180416">
            <w:pPr>
              <w:spacing w:before="40" w:after="40" w:line="220" w:lineRule="exact"/>
              <w:contextualSpacing/>
              <w:rPr>
                <w:rFonts w:ascii="Times New Roman" w:eastAsia="Times New Roman" w:hAnsi="Times New Roman" w:cs="Times New Roman"/>
                <w:sz w:val="18"/>
                <w:lang w:eastAsia="es-HN"/>
              </w:rPr>
            </w:pPr>
            <w:r w:rsidRPr="00180416">
              <w:rPr>
                <w:rFonts w:ascii="Times New Roman" w:eastAsia="Times New Roman" w:hAnsi="Times New Roman" w:cs="Times New Roman"/>
                <w:sz w:val="18"/>
                <w:lang w:eastAsia="es-HN"/>
              </w:rPr>
              <w:t>Hombres</w:t>
            </w:r>
          </w:p>
        </w:tc>
        <w:tc>
          <w:tcPr>
            <w:tcW w:w="726" w:type="pct"/>
            <w:shd w:val="clear" w:color="auto" w:fill="auto"/>
          </w:tcPr>
          <w:p w14:paraId="094CEB51" w14:textId="77777777" w:rsidR="00BD0011" w:rsidRPr="00180416" w:rsidRDefault="00BD0011" w:rsidP="00180416">
            <w:pPr>
              <w:spacing w:before="40" w:after="40" w:line="220" w:lineRule="exact"/>
              <w:contextualSpacing/>
              <w:rPr>
                <w:rFonts w:ascii="Times New Roman" w:eastAsia="Times New Roman" w:hAnsi="Times New Roman" w:cs="Times New Roman"/>
                <w:sz w:val="18"/>
                <w:lang w:eastAsia="es-HN"/>
              </w:rPr>
            </w:pPr>
            <w:r w:rsidRPr="00180416">
              <w:rPr>
                <w:rFonts w:ascii="Times New Roman" w:eastAsia="Times New Roman" w:hAnsi="Times New Roman" w:cs="Times New Roman"/>
                <w:sz w:val="18"/>
                <w:lang w:eastAsia="es-HN"/>
              </w:rPr>
              <w:t>Total, atendidos</w:t>
            </w:r>
          </w:p>
        </w:tc>
      </w:tr>
      <w:tr w:rsidR="00180416" w:rsidRPr="00180416" w14:paraId="41380148" w14:textId="77777777" w:rsidTr="00180416">
        <w:tc>
          <w:tcPr>
            <w:tcW w:w="936" w:type="pct"/>
            <w:shd w:val="clear" w:color="auto" w:fill="auto"/>
          </w:tcPr>
          <w:p w14:paraId="0D4762D4" w14:textId="77777777" w:rsidR="00BD0011" w:rsidRPr="00180416" w:rsidRDefault="00BD0011" w:rsidP="00180416">
            <w:pPr>
              <w:spacing w:before="40" w:after="40" w:line="220" w:lineRule="exact"/>
              <w:contextualSpacing/>
              <w:rPr>
                <w:rFonts w:ascii="Times New Roman" w:eastAsia="Times New Roman" w:hAnsi="Times New Roman" w:cs="Times New Roman"/>
                <w:sz w:val="18"/>
                <w:lang w:eastAsia="es-HN"/>
              </w:rPr>
            </w:pPr>
            <w:r w:rsidRPr="00180416">
              <w:rPr>
                <w:rFonts w:ascii="Times New Roman" w:eastAsia="Times New Roman" w:hAnsi="Times New Roman" w:cs="Times New Roman"/>
                <w:sz w:val="18"/>
                <w:lang w:eastAsia="es-HN"/>
              </w:rPr>
              <w:t>Asesorías</w:t>
            </w:r>
          </w:p>
        </w:tc>
        <w:tc>
          <w:tcPr>
            <w:tcW w:w="627" w:type="pct"/>
            <w:shd w:val="clear" w:color="auto" w:fill="auto"/>
          </w:tcPr>
          <w:p w14:paraId="06A717AA" w14:textId="77777777" w:rsidR="00BD0011" w:rsidRPr="00180416" w:rsidRDefault="00BD0011" w:rsidP="00180416">
            <w:pPr>
              <w:spacing w:before="40" w:after="40" w:line="220" w:lineRule="exact"/>
              <w:contextualSpacing/>
              <w:rPr>
                <w:rFonts w:ascii="Times New Roman" w:eastAsia="Times New Roman" w:hAnsi="Times New Roman" w:cs="Times New Roman"/>
                <w:sz w:val="18"/>
                <w:lang w:eastAsia="es-HN"/>
              </w:rPr>
            </w:pPr>
            <w:r w:rsidRPr="00180416">
              <w:rPr>
                <w:rFonts w:ascii="Times New Roman" w:eastAsia="Times New Roman" w:hAnsi="Times New Roman" w:cs="Times New Roman"/>
                <w:sz w:val="18"/>
                <w:lang w:eastAsia="es-HN"/>
              </w:rPr>
              <w:t>21</w:t>
            </w:r>
          </w:p>
        </w:tc>
        <w:tc>
          <w:tcPr>
            <w:tcW w:w="679" w:type="pct"/>
            <w:shd w:val="clear" w:color="auto" w:fill="auto"/>
          </w:tcPr>
          <w:p w14:paraId="53439485" w14:textId="77777777" w:rsidR="00BD0011" w:rsidRPr="00180416" w:rsidRDefault="00BD0011" w:rsidP="00180416">
            <w:pPr>
              <w:spacing w:before="40" w:after="40" w:line="220" w:lineRule="exact"/>
              <w:contextualSpacing/>
              <w:rPr>
                <w:rFonts w:ascii="Times New Roman" w:eastAsia="Times New Roman" w:hAnsi="Times New Roman" w:cs="Times New Roman"/>
                <w:sz w:val="18"/>
                <w:lang w:eastAsia="es-HN"/>
              </w:rPr>
            </w:pPr>
            <w:r w:rsidRPr="00180416">
              <w:rPr>
                <w:rFonts w:ascii="Times New Roman" w:eastAsia="Times New Roman" w:hAnsi="Times New Roman" w:cs="Times New Roman"/>
                <w:sz w:val="18"/>
                <w:lang w:eastAsia="es-HN"/>
              </w:rPr>
              <w:t>39</w:t>
            </w:r>
          </w:p>
        </w:tc>
        <w:tc>
          <w:tcPr>
            <w:tcW w:w="726" w:type="pct"/>
            <w:shd w:val="clear" w:color="auto" w:fill="auto"/>
          </w:tcPr>
          <w:p w14:paraId="62A5A242" w14:textId="77777777" w:rsidR="00BD0011" w:rsidRPr="00180416" w:rsidRDefault="00BD0011" w:rsidP="00180416">
            <w:pPr>
              <w:spacing w:before="40" w:after="40" w:line="220" w:lineRule="exact"/>
              <w:contextualSpacing/>
              <w:rPr>
                <w:rFonts w:ascii="Times New Roman" w:eastAsia="Times New Roman" w:hAnsi="Times New Roman" w:cs="Times New Roman"/>
                <w:b/>
                <w:bCs/>
                <w:sz w:val="18"/>
                <w:lang w:eastAsia="es-HN"/>
              </w:rPr>
            </w:pPr>
            <w:r w:rsidRPr="00180416">
              <w:rPr>
                <w:rFonts w:ascii="Times New Roman" w:eastAsia="Times New Roman" w:hAnsi="Times New Roman" w:cs="Times New Roman"/>
                <w:b/>
                <w:bCs/>
                <w:sz w:val="18"/>
                <w:lang w:eastAsia="es-HN"/>
              </w:rPr>
              <w:t>60</w:t>
            </w:r>
          </w:p>
        </w:tc>
        <w:tc>
          <w:tcPr>
            <w:tcW w:w="627" w:type="pct"/>
            <w:shd w:val="clear" w:color="auto" w:fill="auto"/>
          </w:tcPr>
          <w:p w14:paraId="074EA60E" w14:textId="77777777" w:rsidR="00BD0011" w:rsidRPr="00180416" w:rsidRDefault="00BD0011" w:rsidP="00180416">
            <w:pPr>
              <w:spacing w:before="40" w:after="40" w:line="220" w:lineRule="exact"/>
              <w:contextualSpacing/>
              <w:rPr>
                <w:rFonts w:ascii="Times New Roman" w:eastAsia="Times New Roman" w:hAnsi="Times New Roman" w:cs="Times New Roman"/>
                <w:sz w:val="18"/>
                <w:lang w:eastAsia="es-HN"/>
              </w:rPr>
            </w:pPr>
            <w:r w:rsidRPr="00180416">
              <w:rPr>
                <w:rFonts w:ascii="Times New Roman" w:eastAsia="Times New Roman" w:hAnsi="Times New Roman" w:cs="Times New Roman"/>
                <w:sz w:val="18"/>
                <w:lang w:eastAsia="es-HN"/>
              </w:rPr>
              <w:t>13</w:t>
            </w:r>
          </w:p>
        </w:tc>
        <w:tc>
          <w:tcPr>
            <w:tcW w:w="679" w:type="pct"/>
            <w:shd w:val="clear" w:color="auto" w:fill="auto"/>
          </w:tcPr>
          <w:p w14:paraId="6F452606" w14:textId="77777777" w:rsidR="00BD0011" w:rsidRPr="00180416" w:rsidRDefault="00BD0011" w:rsidP="00180416">
            <w:pPr>
              <w:spacing w:before="40" w:after="40" w:line="220" w:lineRule="exact"/>
              <w:contextualSpacing/>
              <w:rPr>
                <w:rFonts w:ascii="Times New Roman" w:eastAsia="Times New Roman" w:hAnsi="Times New Roman" w:cs="Times New Roman"/>
                <w:sz w:val="18"/>
                <w:lang w:eastAsia="es-HN"/>
              </w:rPr>
            </w:pPr>
            <w:r w:rsidRPr="00180416">
              <w:rPr>
                <w:rFonts w:ascii="Times New Roman" w:eastAsia="Times New Roman" w:hAnsi="Times New Roman" w:cs="Times New Roman"/>
                <w:sz w:val="18"/>
                <w:lang w:eastAsia="es-HN"/>
              </w:rPr>
              <w:t>20</w:t>
            </w:r>
          </w:p>
        </w:tc>
        <w:tc>
          <w:tcPr>
            <w:tcW w:w="726" w:type="pct"/>
            <w:shd w:val="clear" w:color="auto" w:fill="auto"/>
          </w:tcPr>
          <w:p w14:paraId="4AD0A432" w14:textId="77777777" w:rsidR="00BD0011" w:rsidRPr="00180416" w:rsidRDefault="00BD0011" w:rsidP="00180416">
            <w:pPr>
              <w:spacing w:before="40" w:after="40" w:line="220" w:lineRule="exact"/>
              <w:contextualSpacing/>
              <w:rPr>
                <w:rFonts w:ascii="Times New Roman" w:eastAsia="Times New Roman" w:hAnsi="Times New Roman" w:cs="Times New Roman"/>
                <w:b/>
                <w:bCs/>
                <w:sz w:val="18"/>
                <w:lang w:eastAsia="es-HN"/>
              </w:rPr>
            </w:pPr>
            <w:r w:rsidRPr="00180416">
              <w:rPr>
                <w:rFonts w:ascii="Times New Roman" w:eastAsia="Times New Roman" w:hAnsi="Times New Roman" w:cs="Times New Roman"/>
                <w:b/>
                <w:bCs/>
                <w:sz w:val="18"/>
                <w:lang w:eastAsia="es-HN"/>
              </w:rPr>
              <w:t>33</w:t>
            </w:r>
          </w:p>
        </w:tc>
      </w:tr>
      <w:tr w:rsidR="00180416" w:rsidRPr="00180416" w14:paraId="53BEF7A3" w14:textId="77777777" w:rsidTr="00180416">
        <w:tc>
          <w:tcPr>
            <w:tcW w:w="936" w:type="pct"/>
            <w:shd w:val="clear" w:color="auto" w:fill="auto"/>
          </w:tcPr>
          <w:p w14:paraId="1C960F4F" w14:textId="77777777" w:rsidR="00BD0011" w:rsidRPr="00180416" w:rsidRDefault="00BD0011" w:rsidP="00180416">
            <w:pPr>
              <w:spacing w:before="40" w:after="40" w:line="220" w:lineRule="exact"/>
              <w:contextualSpacing/>
              <w:rPr>
                <w:rFonts w:ascii="Times New Roman" w:eastAsia="Times New Roman" w:hAnsi="Times New Roman" w:cs="Times New Roman"/>
                <w:sz w:val="18"/>
                <w:lang w:eastAsia="es-HN"/>
              </w:rPr>
            </w:pPr>
            <w:r w:rsidRPr="00180416">
              <w:rPr>
                <w:rFonts w:ascii="Times New Roman" w:eastAsia="Times New Roman" w:hAnsi="Times New Roman" w:cs="Times New Roman"/>
                <w:sz w:val="18"/>
                <w:lang w:eastAsia="es-HN"/>
              </w:rPr>
              <w:t>Reclamos</w:t>
            </w:r>
          </w:p>
        </w:tc>
        <w:tc>
          <w:tcPr>
            <w:tcW w:w="627" w:type="pct"/>
            <w:shd w:val="clear" w:color="auto" w:fill="auto"/>
          </w:tcPr>
          <w:p w14:paraId="43D60F9B" w14:textId="77777777" w:rsidR="00BD0011" w:rsidRPr="00180416" w:rsidRDefault="00BD0011" w:rsidP="00180416">
            <w:pPr>
              <w:spacing w:before="40" w:after="40" w:line="220" w:lineRule="exact"/>
              <w:contextualSpacing/>
              <w:rPr>
                <w:rFonts w:ascii="Times New Roman" w:eastAsia="Times New Roman" w:hAnsi="Times New Roman" w:cs="Times New Roman"/>
                <w:sz w:val="18"/>
                <w:lang w:eastAsia="es-HN"/>
              </w:rPr>
            </w:pPr>
            <w:r w:rsidRPr="00180416">
              <w:rPr>
                <w:rFonts w:ascii="Times New Roman" w:eastAsia="Times New Roman" w:hAnsi="Times New Roman" w:cs="Times New Roman"/>
                <w:sz w:val="18"/>
                <w:lang w:eastAsia="es-HN"/>
              </w:rPr>
              <w:t>18</w:t>
            </w:r>
          </w:p>
        </w:tc>
        <w:tc>
          <w:tcPr>
            <w:tcW w:w="679" w:type="pct"/>
            <w:shd w:val="clear" w:color="auto" w:fill="auto"/>
          </w:tcPr>
          <w:p w14:paraId="06219936" w14:textId="77777777" w:rsidR="00BD0011" w:rsidRPr="00180416" w:rsidRDefault="00BD0011" w:rsidP="00180416">
            <w:pPr>
              <w:spacing w:before="40" w:after="40" w:line="220" w:lineRule="exact"/>
              <w:contextualSpacing/>
              <w:rPr>
                <w:rFonts w:ascii="Times New Roman" w:eastAsia="Times New Roman" w:hAnsi="Times New Roman" w:cs="Times New Roman"/>
                <w:sz w:val="18"/>
                <w:lang w:eastAsia="es-HN"/>
              </w:rPr>
            </w:pPr>
            <w:r w:rsidRPr="00180416">
              <w:rPr>
                <w:rFonts w:ascii="Times New Roman" w:eastAsia="Times New Roman" w:hAnsi="Times New Roman" w:cs="Times New Roman"/>
                <w:sz w:val="18"/>
                <w:lang w:eastAsia="es-HN"/>
              </w:rPr>
              <w:t>35</w:t>
            </w:r>
          </w:p>
        </w:tc>
        <w:tc>
          <w:tcPr>
            <w:tcW w:w="726" w:type="pct"/>
            <w:shd w:val="clear" w:color="auto" w:fill="auto"/>
          </w:tcPr>
          <w:p w14:paraId="51FF4F4F" w14:textId="77777777" w:rsidR="00BD0011" w:rsidRPr="00180416" w:rsidRDefault="00BD0011" w:rsidP="00180416">
            <w:pPr>
              <w:spacing w:before="40" w:after="40" w:line="220" w:lineRule="exact"/>
              <w:contextualSpacing/>
              <w:rPr>
                <w:rFonts w:ascii="Times New Roman" w:eastAsia="Times New Roman" w:hAnsi="Times New Roman" w:cs="Times New Roman"/>
                <w:b/>
                <w:bCs/>
                <w:sz w:val="18"/>
                <w:lang w:eastAsia="es-HN"/>
              </w:rPr>
            </w:pPr>
            <w:r w:rsidRPr="00180416">
              <w:rPr>
                <w:rFonts w:ascii="Times New Roman" w:eastAsia="Times New Roman" w:hAnsi="Times New Roman" w:cs="Times New Roman"/>
                <w:b/>
                <w:bCs/>
                <w:sz w:val="18"/>
                <w:lang w:eastAsia="es-HN"/>
              </w:rPr>
              <w:t>53</w:t>
            </w:r>
          </w:p>
        </w:tc>
        <w:tc>
          <w:tcPr>
            <w:tcW w:w="627" w:type="pct"/>
            <w:shd w:val="clear" w:color="auto" w:fill="auto"/>
          </w:tcPr>
          <w:p w14:paraId="4A92675C" w14:textId="77777777" w:rsidR="00BD0011" w:rsidRPr="00180416" w:rsidRDefault="00BD0011" w:rsidP="00180416">
            <w:pPr>
              <w:spacing w:before="40" w:after="40" w:line="220" w:lineRule="exact"/>
              <w:contextualSpacing/>
              <w:rPr>
                <w:rFonts w:ascii="Times New Roman" w:eastAsia="Times New Roman" w:hAnsi="Times New Roman" w:cs="Times New Roman"/>
                <w:sz w:val="18"/>
                <w:lang w:eastAsia="es-HN"/>
              </w:rPr>
            </w:pPr>
            <w:r w:rsidRPr="00180416">
              <w:rPr>
                <w:rFonts w:ascii="Times New Roman" w:eastAsia="Times New Roman" w:hAnsi="Times New Roman" w:cs="Times New Roman"/>
                <w:sz w:val="18"/>
                <w:lang w:eastAsia="es-HN"/>
              </w:rPr>
              <w:t>9</w:t>
            </w:r>
          </w:p>
        </w:tc>
        <w:tc>
          <w:tcPr>
            <w:tcW w:w="679" w:type="pct"/>
            <w:shd w:val="clear" w:color="auto" w:fill="auto"/>
          </w:tcPr>
          <w:p w14:paraId="6D941035" w14:textId="77777777" w:rsidR="00BD0011" w:rsidRPr="00180416" w:rsidRDefault="00BD0011" w:rsidP="00180416">
            <w:pPr>
              <w:spacing w:before="40" w:after="40" w:line="220" w:lineRule="exact"/>
              <w:contextualSpacing/>
              <w:rPr>
                <w:rFonts w:ascii="Times New Roman" w:eastAsia="Times New Roman" w:hAnsi="Times New Roman" w:cs="Times New Roman"/>
                <w:sz w:val="18"/>
                <w:lang w:eastAsia="es-HN"/>
              </w:rPr>
            </w:pPr>
            <w:r w:rsidRPr="00180416">
              <w:rPr>
                <w:rFonts w:ascii="Times New Roman" w:eastAsia="Times New Roman" w:hAnsi="Times New Roman" w:cs="Times New Roman"/>
                <w:sz w:val="18"/>
                <w:lang w:eastAsia="es-HN"/>
              </w:rPr>
              <w:t>10</w:t>
            </w:r>
          </w:p>
        </w:tc>
        <w:tc>
          <w:tcPr>
            <w:tcW w:w="726" w:type="pct"/>
            <w:shd w:val="clear" w:color="auto" w:fill="auto"/>
          </w:tcPr>
          <w:p w14:paraId="643EAEA6" w14:textId="77777777" w:rsidR="00BD0011" w:rsidRPr="00180416" w:rsidRDefault="00BD0011" w:rsidP="00180416">
            <w:pPr>
              <w:spacing w:before="40" w:after="40" w:line="220" w:lineRule="exact"/>
              <w:contextualSpacing/>
              <w:rPr>
                <w:rFonts w:ascii="Times New Roman" w:eastAsia="Times New Roman" w:hAnsi="Times New Roman" w:cs="Times New Roman"/>
                <w:b/>
                <w:bCs/>
                <w:sz w:val="18"/>
                <w:lang w:eastAsia="es-HN"/>
              </w:rPr>
            </w:pPr>
            <w:r w:rsidRPr="00180416">
              <w:rPr>
                <w:rFonts w:ascii="Times New Roman" w:eastAsia="Times New Roman" w:hAnsi="Times New Roman" w:cs="Times New Roman"/>
                <w:b/>
                <w:bCs/>
                <w:sz w:val="18"/>
                <w:lang w:eastAsia="es-HN"/>
              </w:rPr>
              <w:t>19</w:t>
            </w:r>
          </w:p>
        </w:tc>
      </w:tr>
      <w:tr w:rsidR="00180416" w:rsidRPr="00180416" w14:paraId="0C729B43" w14:textId="77777777" w:rsidTr="00180416">
        <w:tc>
          <w:tcPr>
            <w:tcW w:w="936" w:type="pct"/>
            <w:shd w:val="clear" w:color="auto" w:fill="auto"/>
          </w:tcPr>
          <w:p w14:paraId="602F002E" w14:textId="77777777" w:rsidR="00BD0011" w:rsidRPr="00180416" w:rsidRDefault="00BD0011" w:rsidP="00180416">
            <w:pPr>
              <w:spacing w:before="40" w:after="40" w:line="220" w:lineRule="exact"/>
              <w:contextualSpacing/>
              <w:rPr>
                <w:rFonts w:ascii="Times New Roman" w:eastAsia="Times New Roman" w:hAnsi="Times New Roman" w:cs="Times New Roman"/>
                <w:sz w:val="18"/>
                <w:lang w:eastAsia="es-HN"/>
              </w:rPr>
            </w:pPr>
            <w:r w:rsidRPr="00180416">
              <w:rPr>
                <w:rFonts w:ascii="Times New Roman" w:eastAsia="Times New Roman" w:hAnsi="Times New Roman" w:cs="Times New Roman"/>
                <w:sz w:val="18"/>
                <w:lang w:eastAsia="es-HN"/>
              </w:rPr>
              <w:t>Seguimientos</w:t>
            </w:r>
          </w:p>
        </w:tc>
        <w:tc>
          <w:tcPr>
            <w:tcW w:w="627" w:type="pct"/>
            <w:shd w:val="clear" w:color="auto" w:fill="auto"/>
          </w:tcPr>
          <w:p w14:paraId="0626C7FF" w14:textId="77777777" w:rsidR="00BD0011" w:rsidRPr="00180416" w:rsidRDefault="00BD0011" w:rsidP="00180416">
            <w:pPr>
              <w:spacing w:before="40" w:after="40" w:line="220" w:lineRule="exact"/>
              <w:contextualSpacing/>
              <w:rPr>
                <w:rFonts w:ascii="Times New Roman" w:eastAsia="Times New Roman" w:hAnsi="Times New Roman" w:cs="Times New Roman"/>
                <w:sz w:val="18"/>
                <w:lang w:eastAsia="es-HN"/>
              </w:rPr>
            </w:pPr>
            <w:r w:rsidRPr="00180416">
              <w:rPr>
                <w:rFonts w:ascii="Times New Roman" w:eastAsia="Times New Roman" w:hAnsi="Times New Roman" w:cs="Times New Roman"/>
                <w:sz w:val="18"/>
                <w:lang w:eastAsia="es-HN"/>
              </w:rPr>
              <w:t>13</w:t>
            </w:r>
          </w:p>
        </w:tc>
        <w:tc>
          <w:tcPr>
            <w:tcW w:w="679" w:type="pct"/>
            <w:shd w:val="clear" w:color="auto" w:fill="auto"/>
          </w:tcPr>
          <w:p w14:paraId="18D3289A" w14:textId="77777777" w:rsidR="00BD0011" w:rsidRPr="00180416" w:rsidRDefault="00BD0011" w:rsidP="00180416">
            <w:pPr>
              <w:spacing w:before="40" w:after="40" w:line="220" w:lineRule="exact"/>
              <w:contextualSpacing/>
              <w:rPr>
                <w:rFonts w:ascii="Times New Roman" w:eastAsia="Times New Roman" w:hAnsi="Times New Roman" w:cs="Times New Roman"/>
                <w:sz w:val="18"/>
                <w:lang w:eastAsia="es-HN"/>
              </w:rPr>
            </w:pPr>
            <w:r w:rsidRPr="00180416">
              <w:rPr>
                <w:rFonts w:ascii="Times New Roman" w:eastAsia="Times New Roman" w:hAnsi="Times New Roman" w:cs="Times New Roman"/>
                <w:sz w:val="18"/>
                <w:lang w:eastAsia="es-HN"/>
              </w:rPr>
              <w:t>27</w:t>
            </w:r>
          </w:p>
        </w:tc>
        <w:tc>
          <w:tcPr>
            <w:tcW w:w="726" w:type="pct"/>
            <w:shd w:val="clear" w:color="auto" w:fill="auto"/>
          </w:tcPr>
          <w:p w14:paraId="77C960CD" w14:textId="77777777" w:rsidR="00BD0011" w:rsidRPr="00180416" w:rsidRDefault="00BD0011" w:rsidP="00180416">
            <w:pPr>
              <w:spacing w:before="40" w:after="40" w:line="220" w:lineRule="exact"/>
              <w:contextualSpacing/>
              <w:rPr>
                <w:rFonts w:ascii="Times New Roman" w:eastAsia="Times New Roman" w:hAnsi="Times New Roman" w:cs="Times New Roman"/>
                <w:b/>
                <w:bCs/>
                <w:sz w:val="18"/>
                <w:lang w:eastAsia="es-HN"/>
              </w:rPr>
            </w:pPr>
            <w:r w:rsidRPr="00180416">
              <w:rPr>
                <w:rFonts w:ascii="Times New Roman" w:eastAsia="Times New Roman" w:hAnsi="Times New Roman" w:cs="Times New Roman"/>
                <w:b/>
                <w:bCs/>
                <w:sz w:val="18"/>
                <w:lang w:eastAsia="es-HN"/>
              </w:rPr>
              <w:t>40</w:t>
            </w:r>
          </w:p>
        </w:tc>
        <w:tc>
          <w:tcPr>
            <w:tcW w:w="627" w:type="pct"/>
            <w:shd w:val="clear" w:color="auto" w:fill="auto"/>
          </w:tcPr>
          <w:p w14:paraId="039395E8" w14:textId="77777777" w:rsidR="00BD0011" w:rsidRPr="00180416" w:rsidRDefault="00BD0011" w:rsidP="00180416">
            <w:pPr>
              <w:spacing w:before="40" w:after="40" w:line="220" w:lineRule="exact"/>
              <w:contextualSpacing/>
              <w:rPr>
                <w:rFonts w:ascii="Times New Roman" w:eastAsia="Times New Roman" w:hAnsi="Times New Roman" w:cs="Times New Roman"/>
                <w:sz w:val="18"/>
                <w:lang w:eastAsia="es-HN"/>
              </w:rPr>
            </w:pPr>
            <w:r w:rsidRPr="00180416">
              <w:rPr>
                <w:rFonts w:ascii="Times New Roman" w:eastAsia="Times New Roman" w:hAnsi="Times New Roman" w:cs="Times New Roman"/>
                <w:sz w:val="18"/>
                <w:lang w:eastAsia="es-HN"/>
              </w:rPr>
              <w:t>6</w:t>
            </w:r>
          </w:p>
        </w:tc>
        <w:tc>
          <w:tcPr>
            <w:tcW w:w="679" w:type="pct"/>
            <w:shd w:val="clear" w:color="auto" w:fill="auto"/>
          </w:tcPr>
          <w:p w14:paraId="4FEA9B74" w14:textId="77777777" w:rsidR="00BD0011" w:rsidRPr="00180416" w:rsidRDefault="00BD0011" w:rsidP="00180416">
            <w:pPr>
              <w:spacing w:before="40" w:after="40" w:line="220" w:lineRule="exact"/>
              <w:contextualSpacing/>
              <w:rPr>
                <w:rFonts w:ascii="Times New Roman" w:eastAsia="Times New Roman" w:hAnsi="Times New Roman" w:cs="Times New Roman"/>
                <w:sz w:val="18"/>
                <w:lang w:eastAsia="es-HN"/>
              </w:rPr>
            </w:pPr>
            <w:r w:rsidRPr="00180416">
              <w:rPr>
                <w:rFonts w:ascii="Times New Roman" w:eastAsia="Times New Roman" w:hAnsi="Times New Roman" w:cs="Times New Roman"/>
                <w:sz w:val="18"/>
                <w:lang w:eastAsia="es-HN"/>
              </w:rPr>
              <w:t>15</w:t>
            </w:r>
          </w:p>
        </w:tc>
        <w:tc>
          <w:tcPr>
            <w:tcW w:w="726" w:type="pct"/>
            <w:shd w:val="clear" w:color="auto" w:fill="auto"/>
          </w:tcPr>
          <w:p w14:paraId="765A977D" w14:textId="77777777" w:rsidR="00BD0011" w:rsidRPr="00180416" w:rsidRDefault="00BD0011" w:rsidP="00180416">
            <w:pPr>
              <w:spacing w:before="40" w:after="40" w:line="220" w:lineRule="exact"/>
              <w:contextualSpacing/>
              <w:rPr>
                <w:rFonts w:ascii="Times New Roman" w:eastAsia="Times New Roman" w:hAnsi="Times New Roman" w:cs="Times New Roman"/>
                <w:b/>
                <w:bCs/>
                <w:sz w:val="18"/>
                <w:lang w:eastAsia="es-HN"/>
              </w:rPr>
            </w:pPr>
            <w:r w:rsidRPr="00180416">
              <w:rPr>
                <w:rFonts w:ascii="Times New Roman" w:eastAsia="Times New Roman" w:hAnsi="Times New Roman" w:cs="Times New Roman"/>
                <w:b/>
                <w:bCs/>
                <w:sz w:val="18"/>
                <w:lang w:eastAsia="es-HN"/>
              </w:rPr>
              <w:t>21</w:t>
            </w:r>
          </w:p>
        </w:tc>
      </w:tr>
      <w:tr w:rsidR="00180416" w:rsidRPr="00180416" w14:paraId="025449A1" w14:textId="77777777" w:rsidTr="00180416">
        <w:tc>
          <w:tcPr>
            <w:tcW w:w="936" w:type="pct"/>
            <w:shd w:val="clear" w:color="auto" w:fill="auto"/>
          </w:tcPr>
          <w:p w14:paraId="23BB0EC4" w14:textId="77777777" w:rsidR="00BD0011" w:rsidRPr="00180416" w:rsidRDefault="00BD0011" w:rsidP="00180416">
            <w:pPr>
              <w:spacing w:before="40" w:after="40" w:line="220" w:lineRule="exact"/>
              <w:contextualSpacing/>
              <w:rPr>
                <w:rFonts w:ascii="Times New Roman" w:eastAsia="Times New Roman" w:hAnsi="Times New Roman" w:cs="Times New Roman"/>
                <w:sz w:val="18"/>
                <w:lang w:eastAsia="es-HN"/>
              </w:rPr>
            </w:pPr>
            <w:r w:rsidRPr="00180416">
              <w:rPr>
                <w:rFonts w:ascii="Times New Roman" w:eastAsia="Times New Roman" w:hAnsi="Times New Roman" w:cs="Times New Roman"/>
                <w:sz w:val="18"/>
                <w:lang w:eastAsia="es-HN"/>
              </w:rPr>
              <w:t>Registros</w:t>
            </w:r>
          </w:p>
        </w:tc>
        <w:tc>
          <w:tcPr>
            <w:tcW w:w="627" w:type="pct"/>
            <w:shd w:val="clear" w:color="auto" w:fill="auto"/>
          </w:tcPr>
          <w:p w14:paraId="5A323C3C" w14:textId="77777777" w:rsidR="00BD0011" w:rsidRPr="00180416" w:rsidRDefault="00BD0011" w:rsidP="00180416">
            <w:pPr>
              <w:spacing w:before="40" w:after="40" w:line="220" w:lineRule="exact"/>
              <w:contextualSpacing/>
              <w:rPr>
                <w:rFonts w:ascii="Times New Roman" w:eastAsia="Times New Roman" w:hAnsi="Times New Roman" w:cs="Times New Roman"/>
                <w:sz w:val="18"/>
                <w:lang w:eastAsia="es-HN"/>
              </w:rPr>
            </w:pPr>
            <w:r w:rsidRPr="00180416">
              <w:rPr>
                <w:rFonts w:ascii="Times New Roman" w:eastAsia="Times New Roman" w:hAnsi="Times New Roman" w:cs="Times New Roman"/>
                <w:sz w:val="18"/>
                <w:lang w:eastAsia="es-HN"/>
              </w:rPr>
              <w:t>28</w:t>
            </w:r>
          </w:p>
        </w:tc>
        <w:tc>
          <w:tcPr>
            <w:tcW w:w="679" w:type="pct"/>
            <w:shd w:val="clear" w:color="auto" w:fill="auto"/>
          </w:tcPr>
          <w:p w14:paraId="543DAB21" w14:textId="77777777" w:rsidR="00BD0011" w:rsidRPr="00180416" w:rsidRDefault="00BD0011" w:rsidP="00180416">
            <w:pPr>
              <w:spacing w:before="40" w:after="40" w:line="220" w:lineRule="exact"/>
              <w:contextualSpacing/>
              <w:rPr>
                <w:rFonts w:ascii="Times New Roman" w:eastAsia="Times New Roman" w:hAnsi="Times New Roman" w:cs="Times New Roman"/>
                <w:sz w:val="18"/>
                <w:lang w:eastAsia="es-HN"/>
              </w:rPr>
            </w:pPr>
            <w:r w:rsidRPr="00180416">
              <w:rPr>
                <w:rFonts w:ascii="Times New Roman" w:eastAsia="Times New Roman" w:hAnsi="Times New Roman" w:cs="Times New Roman"/>
                <w:sz w:val="18"/>
                <w:lang w:eastAsia="es-HN"/>
              </w:rPr>
              <w:t>61</w:t>
            </w:r>
          </w:p>
        </w:tc>
        <w:tc>
          <w:tcPr>
            <w:tcW w:w="726" w:type="pct"/>
            <w:shd w:val="clear" w:color="auto" w:fill="auto"/>
          </w:tcPr>
          <w:p w14:paraId="5CDAE8F4" w14:textId="77777777" w:rsidR="00BD0011" w:rsidRPr="00180416" w:rsidRDefault="00BD0011" w:rsidP="00180416">
            <w:pPr>
              <w:spacing w:before="40" w:after="40" w:line="220" w:lineRule="exact"/>
              <w:contextualSpacing/>
              <w:rPr>
                <w:rFonts w:ascii="Times New Roman" w:eastAsia="Times New Roman" w:hAnsi="Times New Roman" w:cs="Times New Roman"/>
                <w:b/>
                <w:bCs/>
                <w:sz w:val="18"/>
                <w:lang w:eastAsia="es-HN"/>
              </w:rPr>
            </w:pPr>
            <w:r w:rsidRPr="00180416">
              <w:rPr>
                <w:rFonts w:ascii="Times New Roman" w:eastAsia="Times New Roman" w:hAnsi="Times New Roman" w:cs="Times New Roman"/>
                <w:b/>
                <w:bCs/>
                <w:sz w:val="18"/>
                <w:lang w:eastAsia="es-HN"/>
              </w:rPr>
              <w:t>89</w:t>
            </w:r>
          </w:p>
        </w:tc>
        <w:tc>
          <w:tcPr>
            <w:tcW w:w="627" w:type="pct"/>
            <w:shd w:val="clear" w:color="auto" w:fill="auto"/>
          </w:tcPr>
          <w:p w14:paraId="5527BBEB" w14:textId="77777777" w:rsidR="00BD0011" w:rsidRPr="00180416" w:rsidRDefault="00BD0011" w:rsidP="00180416">
            <w:pPr>
              <w:spacing w:before="40" w:after="40" w:line="220" w:lineRule="exact"/>
              <w:contextualSpacing/>
              <w:rPr>
                <w:rFonts w:ascii="Times New Roman" w:eastAsia="Times New Roman" w:hAnsi="Times New Roman" w:cs="Times New Roman"/>
                <w:sz w:val="18"/>
                <w:lang w:eastAsia="es-HN"/>
              </w:rPr>
            </w:pPr>
            <w:r w:rsidRPr="00180416">
              <w:rPr>
                <w:rFonts w:ascii="Times New Roman" w:eastAsia="Times New Roman" w:hAnsi="Times New Roman" w:cs="Times New Roman"/>
                <w:sz w:val="18"/>
                <w:lang w:eastAsia="es-HN"/>
              </w:rPr>
              <w:t>19</w:t>
            </w:r>
          </w:p>
        </w:tc>
        <w:tc>
          <w:tcPr>
            <w:tcW w:w="679" w:type="pct"/>
            <w:shd w:val="clear" w:color="auto" w:fill="auto"/>
          </w:tcPr>
          <w:p w14:paraId="70611A0F" w14:textId="77777777" w:rsidR="00BD0011" w:rsidRPr="00180416" w:rsidRDefault="00BD0011" w:rsidP="00180416">
            <w:pPr>
              <w:spacing w:before="40" w:after="40" w:line="220" w:lineRule="exact"/>
              <w:contextualSpacing/>
              <w:rPr>
                <w:rFonts w:ascii="Times New Roman" w:eastAsia="Times New Roman" w:hAnsi="Times New Roman" w:cs="Times New Roman"/>
                <w:sz w:val="18"/>
                <w:lang w:eastAsia="es-HN"/>
              </w:rPr>
            </w:pPr>
            <w:r w:rsidRPr="00180416">
              <w:rPr>
                <w:rFonts w:ascii="Times New Roman" w:eastAsia="Times New Roman" w:hAnsi="Times New Roman" w:cs="Times New Roman"/>
                <w:sz w:val="18"/>
                <w:lang w:eastAsia="es-HN"/>
              </w:rPr>
              <w:t>44</w:t>
            </w:r>
          </w:p>
        </w:tc>
        <w:tc>
          <w:tcPr>
            <w:tcW w:w="726" w:type="pct"/>
            <w:shd w:val="clear" w:color="auto" w:fill="auto"/>
          </w:tcPr>
          <w:p w14:paraId="58319CAC" w14:textId="77777777" w:rsidR="00BD0011" w:rsidRPr="00180416" w:rsidRDefault="00BD0011" w:rsidP="00180416">
            <w:pPr>
              <w:spacing w:before="40" w:after="40" w:line="220" w:lineRule="exact"/>
              <w:contextualSpacing/>
              <w:rPr>
                <w:rFonts w:ascii="Times New Roman" w:eastAsia="Times New Roman" w:hAnsi="Times New Roman" w:cs="Times New Roman"/>
                <w:b/>
                <w:bCs/>
                <w:sz w:val="18"/>
                <w:lang w:eastAsia="es-HN"/>
              </w:rPr>
            </w:pPr>
            <w:r w:rsidRPr="00180416">
              <w:rPr>
                <w:rFonts w:ascii="Times New Roman" w:eastAsia="Times New Roman" w:hAnsi="Times New Roman" w:cs="Times New Roman"/>
                <w:b/>
                <w:bCs/>
                <w:sz w:val="18"/>
                <w:lang w:eastAsia="es-HN"/>
              </w:rPr>
              <w:t>63</w:t>
            </w:r>
          </w:p>
        </w:tc>
      </w:tr>
      <w:tr w:rsidR="00180416" w:rsidRPr="00180416" w14:paraId="0AF507D9" w14:textId="77777777" w:rsidTr="00180416">
        <w:tc>
          <w:tcPr>
            <w:tcW w:w="936" w:type="pct"/>
            <w:shd w:val="clear" w:color="auto" w:fill="auto"/>
          </w:tcPr>
          <w:p w14:paraId="7699627A" w14:textId="77777777" w:rsidR="00BD0011" w:rsidRPr="00180416" w:rsidRDefault="00BD0011" w:rsidP="00180416">
            <w:pPr>
              <w:spacing w:before="40" w:after="40" w:line="220" w:lineRule="exact"/>
              <w:contextualSpacing/>
              <w:rPr>
                <w:rFonts w:ascii="Times New Roman" w:eastAsia="Times New Roman" w:hAnsi="Times New Roman" w:cs="Times New Roman"/>
                <w:sz w:val="18"/>
                <w:lang w:eastAsia="es-HN"/>
              </w:rPr>
            </w:pPr>
            <w:r w:rsidRPr="00180416">
              <w:rPr>
                <w:rFonts w:ascii="Times New Roman" w:eastAsia="Times New Roman" w:hAnsi="Times New Roman" w:cs="Times New Roman"/>
                <w:sz w:val="18"/>
                <w:lang w:eastAsia="es-HN"/>
              </w:rPr>
              <w:t>Total</w:t>
            </w:r>
          </w:p>
        </w:tc>
        <w:tc>
          <w:tcPr>
            <w:tcW w:w="627" w:type="pct"/>
            <w:shd w:val="clear" w:color="auto" w:fill="auto"/>
          </w:tcPr>
          <w:p w14:paraId="7563DCFA" w14:textId="77777777" w:rsidR="00BD0011" w:rsidRPr="00180416" w:rsidRDefault="00BD0011" w:rsidP="00180416">
            <w:pPr>
              <w:spacing w:before="40" w:after="40" w:line="220" w:lineRule="exact"/>
              <w:contextualSpacing/>
              <w:rPr>
                <w:rFonts w:ascii="Times New Roman" w:eastAsia="Times New Roman" w:hAnsi="Times New Roman" w:cs="Times New Roman"/>
                <w:b/>
                <w:bCs/>
                <w:sz w:val="18"/>
                <w:lang w:eastAsia="es-HN"/>
              </w:rPr>
            </w:pPr>
            <w:r w:rsidRPr="00180416">
              <w:rPr>
                <w:rFonts w:ascii="Times New Roman" w:eastAsia="Times New Roman" w:hAnsi="Times New Roman" w:cs="Times New Roman"/>
                <w:b/>
                <w:bCs/>
                <w:sz w:val="18"/>
                <w:lang w:eastAsia="es-HN"/>
              </w:rPr>
              <w:t>80</w:t>
            </w:r>
          </w:p>
        </w:tc>
        <w:tc>
          <w:tcPr>
            <w:tcW w:w="679" w:type="pct"/>
            <w:shd w:val="clear" w:color="auto" w:fill="auto"/>
          </w:tcPr>
          <w:p w14:paraId="132160ED" w14:textId="77777777" w:rsidR="00BD0011" w:rsidRPr="00180416" w:rsidRDefault="00BD0011" w:rsidP="00180416">
            <w:pPr>
              <w:spacing w:before="40" w:after="40" w:line="220" w:lineRule="exact"/>
              <w:contextualSpacing/>
              <w:rPr>
                <w:rFonts w:ascii="Times New Roman" w:eastAsia="Times New Roman" w:hAnsi="Times New Roman" w:cs="Times New Roman"/>
                <w:b/>
                <w:bCs/>
                <w:sz w:val="18"/>
                <w:lang w:eastAsia="es-HN"/>
              </w:rPr>
            </w:pPr>
            <w:r w:rsidRPr="00180416">
              <w:rPr>
                <w:rFonts w:ascii="Times New Roman" w:eastAsia="Times New Roman" w:hAnsi="Times New Roman" w:cs="Times New Roman"/>
                <w:b/>
                <w:bCs/>
                <w:sz w:val="18"/>
                <w:lang w:eastAsia="es-HN"/>
              </w:rPr>
              <w:t>162</w:t>
            </w:r>
          </w:p>
        </w:tc>
        <w:tc>
          <w:tcPr>
            <w:tcW w:w="726" w:type="pct"/>
            <w:shd w:val="clear" w:color="auto" w:fill="auto"/>
          </w:tcPr>
          <w:p w14:paraId="0290328D" w14:textId="77777777" w:rsidR="00BD0011" w:rsidRPr="00180416" w:rsidRDefault="00BD0011" w:rsidP="00180416">
            <w:pPr>
              <w:spacing w:before="40" w:after="40" w:line="220" w:lineRule="exact"/>
              <w:contextualSpacing/>
              <w:rPr>
                <w:rFonts w:ascii="Times New Roman" w:eastAsia="Times New Roman" w:hAnsi="Times New Roman" w:cs="Times New Roman"/>
                <w:b/>
                <w:bCs/>
                <w:sz w:val="18"/>
                <w:lang w:eastAsia="es-HN"/>
              </w:rPr>
            </w:pPr>
            <w:r w:rsidRPr="00180416">
              <w:rPr>
                <w:rFonts w:ascii="Times New Roman" w:eastAsia="Times New Roman" w:hAnsi="Times New Roman" w:cs="Times New Roman"/>
                <w:b/>
                <w:bCs/>
                <w:sz w:val="18"/>
                <w:lang w:eastAsia="es-HN"/>
              </w:rPr>
              <w:t>242</w:t>
            </w:r>
          </w:p>
        </w:tc>
        <w:tc>
          <w:tcPr>
            <w:tcW w:w="627" w:type="pct"/>
            <w:shd w:val="clear" w:color="auto" w:fill="auto"/>
          </w:tcPr>
          <w:p w14:paraId="70F00584" w14:textId="77777777" w:rsidR="00BD0011" w:rsidRPr="00180416" w:rsidRDefault="00BD0011" w:rsidP="00180416">
            <w:pPr>
              <w:spacing w:before="40" w:after="40" w:line="220" w:lineRule="exact"/>
              <w:contextualSpacing/>
              <w:rPr>
                <w:rFonts w:ascii="Times New Roman" w:eastAsia="Times New Roman" w:hAnsi="Times New Roman" w:cs="Times New Roman"/>
                <w:b/>
                <w:bCs/>
                <w:sz w:val="18"/>
                <w:lang w:eastAsia="es-HN"/>
              </w:rPr>
            </w:pPr>
            <w:r w:rsidRPr="00180416">
              <w:rPr>
                <w:rFonts w:ascii="Times New Roman" w:eastAsia="Times New Roman" w:hAnsi="Times New Roman" w:cs="Times New Roman"/>
                <w:b/>
                <w:bCs/>
                <w:sz w:val="18"/>
                <w:lang w:eastAsia="es-HN"/>
              </w:rPr>
              <w:t>47</w:t>
            </w:r>
          </w:p>
        </w:tc>
        <w:tc>
          <w:tcPr>
            <w:tcW w:w="679" w:type="pct"/>
            <w:shd w:val="clear" w:color="auto" w:fill="auto"/>
          </w:tcPr>
          <w:p w14:paraId="43107EEF" w14:textId="77777777" w:rsidR="00BD0011" w:rsidRPr="00180416" w:rsidRDefault="00BD0011" w:rsidP="00180416">
            <w:pPr>
              <w:spacing w:before="40" w:after="40" w:line="220" w:lineRule="exact"/>
              <w:contextualSpacing/>
              <w:rPr>
                <w:rFonts w:ascii="Times New Roman" w:eastAsia="Times New Roman" w:hAnsi="Times New Roman" w:cs="Times New Roman"/>
                <w:b/>
                <w:bCs/>
                <w:sz w:val="18"/>
                <w:lang w:eastAsia="es-HN"/>
              </w:rPr>
            </w:pPr>
            <w:r w:rsidRPr="00180416">
              <w:rPr>
                <w:rFonts w:ascii="Times New Roman" w:eastAsia="Times New Roman" w:hAnsi="Times New Roman" w:cs="Times New Roman"/>
                <w:b/>
                <w:bCs/>
                <w:sz w:val="18"/>
                <w:lang w:eastAsia="es-HN"/>
              </w:rPr>
              <w:t>89</w:t>
            </w:r>
          </w:p>
        </w:tc>
        <w:tc>
          <w:tcPr>
            <w:tcW w:w="726" w:type="pct"/>
            <w:shd w:val="clear" w:color="auto" w:fill="auto"/>
          </w:tcPr>
          <w:p w14:paraId="6AE26978" w14:textId="77777777" w:rsidR="00BD0011" w:rsidRPr="00180416" w:rsidRDefault="00BD0011" w:rsidP="00180416">
            <w:pPr>
              <w:spacing w:before="40" w:after="40" w:line="220" w:lineRule="exact"/>
              <w:contextualSpacing/>
              <w:rPr>
                <w:rFonts w:ascii="Times New Roman" w:eastAsia="Times New Roman" w:hAnsi="Times New Roman" w:cs="Times New Roman"/>
                <w:b/>
                <w:bCs/>
                <w:sz w:val="18"/>
                <w:lang w:eastAsia="es-HN"/>
              </w:rPr>
            </w:pPr>
            <w:r w:rsidRPr="00180416">
              <w:rPr>
                <w:rFonts w:ascii="Times New Roman" w:eastAsia="Times New Roman" w:hAnsi="Times New Roman" w:cs="Times New Roman"/>
                <w:b/>
                <w:bCs/>
                <w:sz w:val="18"/>
                <w:lang w:eastAsia="es-HN"/>
              </w:rPr>
              <w:t>136</w:t>
            </w:r>
          </w:p>
        </w:tc>
      </w:tr>
      <w:tr w:rsidR="00BD0011" w:rsidRPr="00180416" w14:paraId="6C23EB32" w14:textId="77777777" w:rsidTr="00180416">
        <w:tc>
          <w:tcPr>
            <w:tcW w:w="5000" w:type="pct"/>
            <w:gridSpan w:val="7"/>
            <w:tcBorders>
              <w:bottom w:val="single" w:sz="12" w:space="0" w:color="auto"/>
            </w:tcBorders>
            <w:shd w:val="clear" w:color="auto" w:fill="auto"/>
          </w:tcPr>
          <w:p w14:paraId="753ACEFE" w14:textId="77777777" w:rsidR="00BD0011" w:rsidRPr="00180416" w:rsidRDefault="00BD0011" w:rsidP="00180416">
            <w:pPr>
              <w:spacing w:before="40" w:after="40" w:line="220" w:lineRule="exact"/>
              <w:contextualSpacing/>
              <w:rPr>
                <w:rFonts w:ascii="Times New Roman" w:eastAsia="Times New Roman" w:hAnsi="Times New Roman" w:cs="Times New Roman"/>
                <w:i/>
                <w:iCs/>
                <w:sz w:val="18"/>
                <w:lang w:eastAsia="es-HN"/>
              </w:rPr>
            </w:pPr>
            <w:r w:rsidRPr="00180416">
              <w:rPr>
                <w:rFonts w:ascii="Times New Roman" w:eastAsia="Times New Roman" w:hAnsi="Times New Roman" w:cs="Times New Roman"/>
                <w:i/>
                <w:iCs/>
                <w:sz w:val="18"/>
                <w:lang w:eastAsia="es-HN"/>
              </w:rPr>
              <w:t>Fuente: SETRASS</w:t>
            </w:r>
          </w:p>
        </w:tc>
      </w:tr>
    </w:tbl>
    <w:p w14:paraId="3902BFFF" w14:textId="586CA95F" w:rsidR="007315E9" w:rsidRDefault="007315E9" w:rsidP="00BD0011">
      <w:pPr>
        <w:spacing w:line="276" w:lineRule="auto"/>
        <w:ind w:left="1440"/>
        <w:contextualSpacing/>
        <w:jc w:val="both"/>
        <w:rPr>
          <w:rFonts w:eastAsia="Times New Roman"/>
          <w:sz w:val="24"/>
          <w:szCs w:val="24"/>
          <w:lang w:eastAsia="es-HN"/>
        </w:rPr>
      </w:pPr>
    </w:p>
    <w:p w14:paraId="5BAA925A" w14:textId="77777777" w:rsidR="007315E9" w:rsidRDefault="007315E9">
      <w:pPr>
        <w:spacing w:line="240" w:lineRule="auto"/>
        <w:rPr>
          <w:rFonts w:eastAsia="Times New Roman"/>
          <w:sz w:val="24"/>
          <w:szCs w:val="24"/>
          <w:lang w:eastAsia="es-HN"/>
        </w:rPr>
      </w:pPr>
      <w:r>
        <w:rPr>
          <w:rFonts w:eastAsia="Times New Roman"/>
          <w:sz w:val="24"/>
          <w:szCs w:val="24"/>
          <w:lang w:eastAsia="es-HN"/>
        </w:rPr>
        <w:br w:type="page"/>
      </w:r>
    </w:p>
    <w:p w14:paraId="398C6397" w14:textId="7E6CB91B" w:rsidR="00BD0011" w:rsidRPr="00BD0011" w:rsidRDefault="00BD0011" w:rsidP="007315E9">
      <w:pPr>
        <w:pStyle w:val="SingleTxtG"/>
        <w:numPr>
          <w:ilvl w:val="0"/>
          <w:numId w:val="40"/>
        </w:numPr>
        <w:ind w:left="1134" w:firstLine="0"/>
        <w:rPr>
          <w:lang w:eastAsia="es-HN"/>
        </w:rPr>
      </w:pPr>
      <w:r w:rsidRPr="00BD0011">
        <w:rPr>
          <w:lang w:eastAsia="es-HN"/>
        </w:rPr>
        <w:lastRenderedPageBreak/>
        <w:t>De 2018 a 2022 fueron analizadas 9,403 vacantes para medir la tendencia de equidad de género, en cuanto a la igualdad de oportunidades para hombres y mujeres. A continuación, se muestra el gráfico de tendencia:</w:t>
      </w:r>
    </w:p>
    <w:p w14:paraId="59D57C68" w14:textId="2C0629C9" w:rsidR="00BD0011" w:rsidRPr="00BD0011" w:rsidRDefault="007315E9" w:rsidP="00BD0011">
      <w:pPr>
        <w:spacing w:after="160" w:line="276" w:lineRule="auto"/>
        <w:ind w:left="1080" w:hanging="938"/>
        <w:jc w:val="both"/>
        <w:rPr>
          <w:rFonts w:eastAsia="Times New Roman"/>
          <w:i/>
          <w:iCs/>
          <w:lang w:eastAsia="es-HN"/>
        </w:rPr>
      </w:pPr>
      <w:r w:rsidRPr="00BD0011">
        <w:rPr>
          <w:noProof/>
          <w:lang w:eastAsia="es-HN"/>
        </w:rPr>
        <w:drawing>
          <wp:anchor distT="0" distB="0" distL="114300" distR="114300" simplePos="0" relativeHeight="251659264" behindDoc="0" locked="0" layoutInCell="1" allowOverlap="1" wp14:anchorId="461DC208" wp14:editId="2D5D3E23">
            <wp:simplePos x="0" y="0"/>
            <wp:positionH relativeFrom="column">
              <wp:posOffset>778510</wp:posOffset>
            </wp:positionH>
            <wp:positionV relativeFrom="paragraph">
              <wp:posOffset>268605</wp:posOffset>
            </wp:positionV>
            <wp:extent cx="5156200" cy="3143250"/>
            <wp:effectExtent l="0" t="0" r="6350" b="0"/>
            <wp:wrapSquare wrapText="bothSides"/>
            <wp:docPr id="1472838778"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00BD0011" w:rsidRPr="00BD0011">
        <w:rPr>
          <w:rFonts w:eastAsia="Times New Roman"/>
          <w:i/>
          <w:iCs/>
          <w:lang w:eastAsia="es-HN"/>
        </w:rPr>
        <w:t>Fuente: SETRASS</w:t>
      </w:r>
    </w:p>
    <w:p w14:paraId="0B56A375" w14:textId="77777777" w:rsidR="007315E9" w:rsidRDefault="007315E9" w:rsidP="007315E9">
      <w:pPr>
        <w:pStyle w:val="SingleTxtG"/>
        <w:rPr>
          <w:lang w:eastAsia="es-HN"/>
        </w:rPr>
      </w:pPr>
    </w:p>
    <w:p w14:paraId="6E1298D7" w14:textId="70947B9A" w:rsidR="00BD0011" w:rsidRPr="00BD0011" w:rsidRDefault="00BD0011" w:rsidP="007315E9">
      <w:pPr>
        <w:pStyle w:val="SingleTxtG"/>
        <w:numPr>
          <w:ilvl w:val="0"/>
          <w:numId w:val="40"/>
        </w:numPr>
        <w:ind w:left="1134" w:firstLine="0"/>
        <w:rPr>
          <w:lang w:eastAsia="es-HN"/>
        </w:rPr>
      </w:pPr>
      <w:r w:rsidRPr="00BD0011">
        <w:rPr>
          <w:lang w:eastAsia="es-HN"/>
        </w:rPr>
        <w:t xml:space="preserve">Respecto a los datos estadísticos de </w:t>
      </w:r>
      <w:proofErr w:type="spellStart"/>
      <w:r w:rsidRPr="00BD0011">
        <w:rPr>
          <w:lang w:eastAsia="es-HN"/>
        </w:rPr>
        <w:t>PcD</w:t>
      </w:r>
      <w:proofErr w:type="spellEnd"/>
      <w:r w:rsidRPr="00BD0011">
        <w:rPr>
          <w:lang w:eastAsia="es-HN"/>
        </w:rPr>
        <w:t xml:space="preserve"> despidos, la SETRASS solo cuenta con los casos de </w:t>
      </w:r>
      <w:proofErr w:type="spellStart"/>
      <w:r w:rsidRPr="00BD0011">
        <w:rPr>
          <w:lang w:eastAsia="es-HN"/>
        </w:rPr>
        <w:t>PcD</w:t>
      </w:r>
      <w:proofErr w:type="spellEnd"/>
      <w:r w:rsidRPr="00BD0011">
        <w:rPr>
          <w:lang w:eastAsia="es-HN"/>
        </w:rPr>
        <w:t xml:space="preserve"> afectadas que acudieron a solicitar acompañamiento y asesoría de la UFIL por inspectores de trabajo e inspectores de derechos humanos.</w:t>
      </w:r>
      <w:bookmarkStart w:id="61" w:name="_Toc147932978"/>
      <w:bookmarkStart w:id="62" w:name="_Toc148970492"/>
    </w:p>
    <w:p w14:paraId="5A7E61FF" w14:textId="2689EF61" w:rsidR="00BD0011" w:rsidRPr="00BD0011" w:rsidRDefault="007315E9" w:rsidP="007315E9">
      <w:pPr>
        <w:pStyle w:val="H23G"/>
        <w:rPr>
          <w:lang w:eastAsia="es-HN"/>
        </w:rPr>
      </w:pPr>
      <w:r>
        <w:rPr>
          <w:lang w:eastAsia="es-HN"/>
        </w:rPr>
        <w:tab/>
      </w:r>
      <w:r>
        <w:rPr>
          <w:lang w:eastAsia="es-HN"/>
        </w:rPr>
        <w:tab/>
      </w:r>
      <w:r w:rsidR="00BD0011" w:rsidRPr="00BD0011">
        <w:rPr>
          <w:lang w:eastAsia="es-HN"/>
        </w:rPr>
        <w:t xml:space="preserve">Nivel de vida adecuado y protección social </w:t>
      </w:r>
      <w:r w:rsidR="00BD0011" w:rsidRPr="00BD0011">
        <w:rPr>
          <w:szCs w:val="24"/>
          <w:lang w:eastAsia="es-HN"/>
        </w:rPr>
        <w:t>(art. 28)</w:t>
      </w:r>
      <w:bookmarkEnd w:id="61"/>
      <w:bookmarkEnd w:id="62"/>
    </w:p>
    <w:p w14:paraId="3D825113" w14:textId="77777777" w:rsidR="00BD0011" w:rsidRPr="00BD0011" w:rsidRDefault="00BD0011" w:rsidP="007315E9">
      <w:pPr>
        <w:pStyle w:val="SingleTxtG"/>
        <w:numPr>
          <w:ilvl w:val="0"/>
          <w:numId w:val="40"/>
        </w:numPr>
        <w:ind w:left="1134" w:firstLine="0"/>
        <w:rPr>
          <w:lang w:eastAsia="es-HN"/>
        </w:rPr>
      </w:pPr>
      <w:r w:rsidRPr="00BD0011">
        <w:rPr>
          <w:b/>
          <w:bCs/>
          <w:lang w:eastAsia="es-HN"/>
        </w:rPr>
        <w:t>Cuestión 25, inciso a)</w:t>
      </w:r>
      <w:r w:rsidRPr="00BD0011">
        <w:rPr>
          <w:lang w:eastAsia="es-HN"/>
        </w:rPr>
        <w:t xml:space="preserve">, para promover un nivel de vida adecuado de las </w:t>
      </w:r>
      <w:proofErr w:type="spellStart"/>
      <w:r w:rsidRPr="00BD0011">
        <w:rPr>
          <w:lang w:eastAsia="es-HN"/>
        </w:rPr>
        <w:t>PcD</w:t>
      </w:r>
      <w:proofErr w:type="spellEnd"/>
      <w:r w:rsidRPr="00BD0011">
        <w:rPr>
          <w:lang w:eastAsia="es-HN"/>
        </w:rPr>
        <w:t xml:space="preserve">, el fondo solidario tiene por objetivo aumentar la participación de las </w:t>
      </w:r>
      <w:proofErr w:type="spellStart"/>
      <w:r w:rsidRPr="00BD0011">
        <w:rPr>
          <w:lang w:eastAsia="es-HN"/>
        </w:rPr>
        <w:t>PcD</w:t>
      </w:r>
      <w:proofErr w:type="spellEnd"/>
      <w:r w:rsidRPr="00BD0011">
        <w:rPr>
          <w:lang w:eastAsia="es-HN"/>
        </w:rPr>
        <w:t xml:space="preserve"> en los ámbitos económicos, sociales, culturales y ambientales, mediante proyectos innovadores que respondan a los ODS. En este sentido, se ha logrado financiar iniciativas que potencien la inclusión social para beneficiar a 40,000 </w:t>
      </w:r>
      <w:proofErr w:type="spellStart"/>
      <w:r w:rsidRPr="00BD0011">
        <w:rPr>
          <w:lang w:eastAsia="es-HN"/>
        </w:rPr>
        <w:t>PcD</w:t>
      </w:r>
      <w:proofErr w:type="spellEnd"/>
      <w:r w:rsidRPr="00BD0011">
        <w:rPr>
          <w:lang w:eastAsia="es-HN"/>
        </w:rPr>
        <w:t xml:space="preserve"> a nivel nacional.</w:t>
      </w:r>
    </w:p>
    <w:p w14:paraId="4B6D0CC9" w14:textId="77777777" w:rsidR="00BD0011" w:rsidRPr="00BD0011" w:rsidRDefault="00BD0011" w:rsidP="007315E9">
      <w:pPr>
        <w:pStyle w:val="SingleTxtG"/>
        <w:numPr>
          <w:ilvl w:val="0"/>
          <w:numId w:val="40"/>
        </w:numPr>
        <w:ind w:left="1134" w:firstLine="0"/>
        <w:rPr>
          <w:lang w:eastAsia="es-HN"/>
        </w:rPr>
      </w:pPr>
      <w:r w:rsidRPr="00BD0011">
        <w:rPr>
          <w:b/>
          <w:bCs/>
          <w:lang w:eastAsia="es-HN"/>
        </w:rPr>
        <w:t>Inciso b)</w:t>
      </w:r>
      <w:r w:rsidRPr="00BD0011">
        <w:rPr>
          <w:lang w:eastAsia="es-HN"/>
        </w:rPr>
        <w:t>, mediante los programas sociales PROASOL y Red Solidaria</w:t>
      </w:r>
      <w:r w:rsidRPr="00BD0011">
        <w:rPr>
          <w:vertAlign w:val="superscript"/>
          <w:lang w:eastAsia="es-HN"/>
        </w:rPr>
        <w:footnoteReference w:id="28"/>
      </w:r>
      <w:r w:rsidRPr="00BD0011">
        <w:rPr>
          <w:lang w:eastAsia="es-HN"/>
        </w:rPr>
        <w:t>, SEDESOL ejecuta proyectos para mejorar de manera progresiva las condiciones de vida y acceso a mecanismos de protección social de hogares que viven en condiciones de pobreza y grupos colocados en situación de vulnerabilidad.</w:t>
      </w:r>
    </w:p>
    <w:p w14:paraId="31904E6A" w14:textId="77777777" w:rsidR="00BD0011" w:rsidRPr="00BD0011" w:rsidRDefault="00BD0011" w:rsidP="007315E9">
      <w:pPr>
        <w:pStyle w:val="SingleTxtG"/>
        <w:numPr>
          <w:ilvl w:val="0"/>
          <w:numId w:val="40"/>
        </w:numPr>
        <w:ind w:left="1134" w:firstLine="0"/>
        <w:rPr>
          <w:lang w:eastAsia="es-HN"/>
        </w:rPr>
      </w:pPr>
      <w:r w:rsidRPr="00BD0011">
        <w:rPr>
          <w:lang w:eastAsia="es-HN"/>
        </w:rPr>
        <w:t xml:space="preserve">Por medio de PROASOL se han beneficiado a las </w:t>
      </w:r>
      <w:proofErr w:type="spellStart"/>
      <w:r w:rsidRPr="00BD0011">
        <w:rPr>
          <w:lang w:eastAsia="es-HN"/>
        </w:rPr>
        <w:t>PcD</w:t>
      </w:r>
      <w:proofErr w:type="spellEnd"/>
      <w:r w:rsidRPr="00BD0011">
        <w:rPr>
          <w:lang w:eastAsia="es-HN"/>
        </w:rPr>
        <w:t xml:space="preserve"> a través de la entrega de bonos a 12,801 </w:t>
      </w:r>
      <w:proofErr w:type="spellStart"/>
      <w:r w:rsidRPr="00BD0011">
        <w:rPr>
          <w:lang w:eastAsia="es-HN"/>
        </w:rPr>
        <w:t>PcD</w:t>
      </w:r>
      <w:proofErr w:type="spellEnd"/>
      <w:r w:rsidRPr="00BD0011">
        <w:rPr>
          <w:lang w:eastAsia="es-HN"/>
        </w:rPr>
        <w:t xml:space="preserve"> en 2022, con una inversión de L25,602,000. En 2023 son 30,000 participantes a nivel nacional que están recibiendo los bonos, con una inversión de 60 millones de lempiras.</w:t>
      </w:r>
    </w:p>
    <w:p w14:paraId="081D18B8" w14:textId="77777777" w:rsidR="00BD0011" w:rsidRPr="00BD0011" w:rsidRDefault="00BD0011" w:rsidP="007315E9">
      <w:pPr>
        <w:pStyle w:val="SingleTxtG"/>
        <w:numPr>
          <w:ilvl w:val="0"/>
          <w:numId w:val="40"/>
        </w:numPr>
        <w:ind w:left="1134" w:firstLine="0"/>
        <w:rPr>
          <w:lang w:eastAsia="es-HN"/>
        </w:rPr>
      </w:pPr>
      <w:r w:rsidRPr="00BD0011">
        <w:rPr>
          <w:lang w:eastAsia="es-HN"/>
        </w:rPr>
        <w:t>En 2023 SEDESOL creó el Programa de Becas Solidarias</w:t>
      </w:r>
      <w:r w:rsidRPr="00BD0011">
        <w:rPr>
          <w:vertAlign w:val="superscript"/>
          <w:lang w:eastAsia="es-HN"/>
        </w:rPr>
        <w:footnoteReference w:id="29"/>
      </w:r>
      <w:r w:rsidRPr="00BD0011">
        <w:rPr>
          <w:lang w:eastAsia="es-HN"/>
        </w:rPr>
        <w:t xml:space="preserve">, para fortalecer el acceso a la educación superior en los niveles de grado y posgrado, priorizando las poblaciones en condición de vulnerabilidad, como ser PIAH, hijas e hijos de </w:t>
      </w:r>
      <w:proofErr w:type="spellStart"/>
      <w:r w:rsidRPr="00BD0011">
        <w:rPr>
          <w:lang w:eastAsia="es-HN"/>
        </w:rPr>
        <w:t>PcD</w:t>
      </w:r>
      <w:proofErr w:type="spellEnd"/>
      <w:r w:rsidRPr="00BD0011">
        <w:rPr>
          <w:lang w:eastAsia="es-HN"/>
        </w:rPr>
        <w:t>, madres solteras, defensores de derechos humanos, en condición de pobreza o focalizada de las 2,007 aldeas de la Red Solidaria.</w:t>
      </w:r>
    </w:p>
    <w:p w14:paraId="5F4A0702" w14:textId="5D19ACCA" w:rsidR="00BD0011" w:rsidRPr="00BD0011" w:rsidRDefault="007315E9" w:rsidP="007315E9">
      <w:pPr>
        <w:pStyle w:val="H23G"/>
        <w:rPr>
          <w:lang w:eastAsia="es-HN"/>
        </w:rPr>
      </w:pPr>
      <w:bookmarkStart w:id="63" w:name="_Toc147932979"/>
      <w:bookmarkStart w:id="64" w:name="_Toc148970493"/>
      <w:r>
        <w:rPr>
          <w:lang w:eastAsia="es-HN"/>
        </w:rPr>
        <w:tab/>
      </w:r>
      <w:r>
        <w:rPr>
          <w:lang w:eastAsia="es-HN"/>
        </w:rPr>
        <w:tab/>
      </w:r>
      <w:r w:rsidR="00BD0011" w:rsidRPr="00BD0011">
        <w:rPr>
          <w:lang w:eastAsia="es-HN"/>
        </w:rPr>
        <w:t xml:space="preserve">Participación en la vida política y pública </w:t>
      </w:r>
      <w:r w:rsidR="00BD0011" w:rsidRPr="00BD0011">
        <w:rPr>
          <w:szCs w:val="24"/>
          <w:lang w:eastAsia="es-HN"/>
        </w:rPr>
        <w:t>(art. 29)</w:t>
      </w:r>
      <w:bookmarkEnd w:id="63"/>
      <w:bookmarkEnd w:id="64"/>
      <w:r w:rsidR="00BD0011" w:rsidRPr="00BD0011">
        <w:rPr>
          <w:lang w:eastAsia="es-HN"/>
        </w:rPr>
        <w:t xml:space="preserve"> </w:t>
      </w:r>
    </w:p>
    <w:p w14:paraId="35FBD276" w14:textId="77777777" w:rsidR="00BD0011" w:rsidRPr="00BD0011" w:rsidRDefault="00BD0011" w:rsidP="007315E9">
      <w:pPr>
        <w:pStyle w:val="SingleTxtG"/>
        <w:numPr>
          <w:ilvl w:val="0"/>
          <w:numId w:val="40"/>
        </w:numPr>
        <w:ind w:left="1134" w:firstLine="0"/>
        <w:rPr>
          <w:lang w:eastAsia="es-HN"/>
        </w:rPr>
      </w:pPr>
      <w:r w:rsidRPr="00BD0011">
        <w:rPr>
          <w:b/>
          <w:bCs/>
          <w:lang w:eastAsia="es-HN"/>
        </w:rPr>
        <w:t>Cuestión 26, inciso a)</w:t>
      </w:r>
      <w:r w:rsidRPr="00BD0011">
        <w:rPr>
          <w:lang w:eastAsia="es-HN"/>
        </w:rPr>
        <w:t xml:space="preserve">, para garantizar el ejercicio efectivo del sufragio de las </w:t>
      </w:r>
      <w:proofErr w:type="spellStart"/>
      <w:r w:rsidRPr="00BD0011">
        <w:rPr>
          <w:lang w:eastAsia="es-HN"/>
        </w:rPr>
        <w:t>PcD</w:t>
      </w:r>
      <w:proofErr w:type="spellEnd"/>
      <w:r w:rsidRPr="00BD0011">
        <w:rPr>
          <w:lang w:eastAsia="es-HN"/>
        </w:rPr>
        <w:t xml:space="preserve">, el Consejo Nacional Electoral (CNE), junto con el PNUD, realizaron un simulacro de </w:t>
      </w:r>
      <w:r w:rsidRPr="00BD0011">
        <w:rPr>
          <w:lang w:eastAsia="es-HN"/>
        </w:rPr>
        <w:lastRenderedPageBreak/>
        <w:t xml:space="preserve">sufragio para las </w:t>
      </w:r>
      <w:proofErr w:type="spellStart"/>
      <w:r w:rsidRPr="00BD0011">
        <w:rPr>
          <w:lang w:eastAsia="es-HN"/>
        </w:rPr>
        <w:t>PcD</w:t>
      </w:r>
      <w:proofErr w:type="spellEnd"/>
      <w:r w:rsidRPr="00BD0011">
        <w:rPr>
          <w:lang w:eastAsia="es-HN"/>
        </w:rPr>
        <w:t>, detectando algunas deficiencias, las cuales se pretenden mejorar para garantizar que el próximo proceso electoral sea inclusivo y transparente.</w:t>
      </w:r>
    </w:p>
    <w:p w14:paraId="18C5C094" w14:textId="00179A9D" w:rsidR="00BD0011" w:rsidRPr="00BD0011" w:rsidRDefault="007315E9" w:rsidP="007315E9">
      <w:pPr>
        <w:pStyle w:val="H23G"/>
        <w:rPr>
          <w:lang w:eastAsia="es-HN"/>
        </w:rPr>
      </w:pPr>
      <w:bookmarkStart w:id="65" w:name="_Toc147932980"/>
      <w:bookmarkStart w:id="66" w:name="_Toc148970494"/>
      <w:r>
        <w:rPr>
          <w:lang w:eastAsia="es-HN"/>
        </w:rPr>
        <w:tab/>
      </w:r>
      <w:r>
        <w:rPr>
          <w:lang w:eastAsia="es-HN"/>
        </w:rPr>
        <w:tab/>
      </w:r>
      <w:r w:rsidR="00BD0011" w:rsidRPr="00BD0011">
        <w:rPr>
          <w:lang w:eastAsia="es-HN"/>
        </w:rPr>
        <w:t xml:space="preserve">Cultural, actividades recreativas y deporte </w:t>
      </w:r>
      <w:r w:rsidR="00BD0011" w:rsidRPr="00BD0011">
        <w:rPr>
          <w:szCs w:val="24"/>
          <w:lang w:eastAsia="es-HN"/>
        </w:rPr>
        <w:t>(art. 30)</w:t>
      </w:r>
      <w:bookmarkEnd w:id="65"/>
      <w:bookmarkEnd w:id="66"/>
    </w:p>
    <w:p w14:paraId="75799AB8" w14:textId="77777777" w:rsidR="00BD0011" w:rsidRPr="00BD0011" w:rsidRDefault="00BD0011" w:rsidP="007315E9">
      <w:pPr>
        <w:pStyle w:val="SingleTxtG"/>
        <w:numPr>
          <w:ilvl w:val="0"/>
          <w:numId w:val="40"/>
        </w:numPr>
        <w:ind w:left="1134" w:firstLine="0"/>
        <w:rPr>
          <w:lang w:eastAsia="es-HN"/>
        </w:rPr>
      </w:pPr>
      <w:r w:rsidRPr="00BD0011">
        <w:rPr>
          <w:b/>
          <w:bCs/>
          <w:lang w:eastAsia="es-HN"/>
        </w:rPr>
        <w:t>Cuestión 27, inciso a)</w:t>
      </w:r>
      <w:r w:rsidRPr="00BD0011">
        <w:rPr>
          <w:lang w:eastAsia="es-HN"/>
        </w:rPr>
        <w:t xml:space="preserve">, sobre los planes de accesibilidad, ver respuesta a la cuestión 6, inciso a). </w:t>
      </w:r>
    </w:p>
    <w:p w14:paraId="55318472" w14:textId="77777777" w:rsidR="00BD0011" w:rsidRPr="00BD0011" w:rsidRDefault="00BD0011" w:rsidP="007315E9">
      <w:pPr>
        <w:pStyle w:val="SingleTxtG"/>
        <w:numPr>
          <w:ilvl w:val="0"/>
          <w:numId w:val="40"/>
        </w:numPr>
        <w:ind w:left="1134" w:firstLine="0"/>
        <w:rPr>
          <w:lang w:eastAsia="es-HN"/>
        </w:rPr>
      </w:pPr>
      <w:r w:rsidRPr="00BD0011">
        <w:rPr>
          <w:lang w:eastAsia="es-HN"/>
        </w:rPr>
        <w:t>Para el mapeado de la infraestructura social y pública, SEDESOL tiene identificada una hoja de ruta que incluye parques, colegios, hospitales, bibliotecas, museos, oficinas de gobierno, entre otros.</w:t>
      </w:r>
    </w:p>
    <w:p w14:paraId="67B2F023" w14:textId="77777777" w:rsidR="00BD0011" w:rsidRPr="00BD0011" w:rsidRDefault="00BD0011" w:rsidP="007315E9">
      <w:pPr>
        <w:pStyle w:val="SingleTxtG"/>
        <w:numPr>
          <w:ilvl w:val="0"/>
          <w:numId w:val="40"/>
        </w:numPr>
        <w:ind w:left="1134" w:firstLine="0"/>
        <w:rPr>
          <w:lang w:eastAsia="es-HN"/>
        </w:rPr>
      </w:pPr>
      <w:r w:rsidRPr="00BD0011">
        <w:rPr>
          <w:b/>
          <w:bCs/>
          <w:lang w:eastAsia="es-HN"/>
        </w:rPr>
        <w:t>Inciso b)</w:t>
      </w:r>
      <w:r w:rsidRPr="00BD0011">
        <w:rPr>
          <w:lang w:eastAsia="es-HN"/>
        </w:rPr>
        <w:t xml:space="preserve">, sobre la participación de las </w:t>
      </w:r>
      <w:proofErr w:type="spellStart"/>
      <w:r w:rsidRPr="00BD0011">
        <w:rPr>
          <w:lang w:eastAsia="es-HN"/>
        </w:rPr>
        <w:t>PcD</w:t>
      </w:r>
      <w:proofErr w:type="spellEnd"/>
      <w:r w:rsidRPr="00BD0011">
        <w:rPr>
          <w:lang w:eastAsia="es-HN"/>
        </w:rPr>
        <w:t xml:space="preserve"> en actividades deportivas, en 2022 la SEDUC desarrolló una competencia de atletismo donde participaron 100 educandos con discapacidad. </w:t>
      </w:r>
    </w:p>
    <w:p w14:paraId="56B3700A" w14:textId="77777777" w:rsidR="00BD0011" w:rsidRPr="00BD0011" w:rsidRDefault="00BD0011" w:rsidP="007315E9">
      <w:pPr>
        <w:pStyle w:val="SingleTxtG"/>
        <w:numPr>
          <w:ilvl w:val="0"/>
          <w:numId w:val="40"/>
        </w:numPr>
        <w:ind w:left="1134" w:firstLine="0"/>
        <w:rPr>
          <w:lang w:eastAsia="es-HN"/>
        </w:rPr>
      </w:pPr>
      <w:r w:rsidRPr="00BD0011">
        <w:rPr>
          <w:lang w:eastAsia="es-HN"/>
        </w:rPr>
        <w:t xml:space="preserve">También, destaca la participación del Comité de Olimpiadas Especiales en los Juegos de Discapacidad de Verano 2023, desarrollados en Berlín, Alemania, del 14 al 25 de junio. </w:t>
      </w:r>
      <w:r w:rsidRPr="00BD0011">
        <w:rPr>
          <w:rFonts w:eastAsia="Calibri"/>
          <w:lang w:eastAsia="es-HN"/>
        </w:rPr>
        <w:t>Para asegurar la participación de los jóvenes atletas con su delegación y entrenadores en cinco disciplinas deportivas (obtuvieron 14 medallas para el país), SEDESOL financió 1.6 millones de lempiras.</w:t>
      </w:r>
    </w:p>
    <w:p w14:paraId="3CDE1D1B" w14:textId="77777777" w:rsidR="00BD0011" w:rsidRPr="00BD0011" w:rsidRDefault="00BD0011" w:rsidP="007315E9">
      <w:pPr>
        <w:pStyle w:val="SingleTxtG"/>
        <w:numPr>
          <w:ilvl w:val="0"/>
          <w:numId w:val="40"/>
        </w:numPr>
        <w:ind w:left="1134" w:firstLine="0"/>
        <w:rPr>
          <w:lang w:eastAsia="es-HN"/>
        </w:rPr>
      </w:pPr>
      <w:r w:rsidRPr="00BD0011">
        <w:rPr>
          <w:b/>
          <w:bCs/>
          <w:lang w:eastAsia="es-HN"/>
        </w:rPr>
        <w:t>Inciso c)</w:t>
      </w:r>
      <w:r w:rsidRPr="00BD0011">
        <w:rPr>
          <w:lang w:eastAsia="es-HN"/>
        </w:rPr>
        <w:t>, respecto al Tratado de Marrakech, este es implementado por PROSENE, quién, además, implementa otros tratados internacionales como la convención y la normativa interna para mejorar la atención de los estudiantes con discapacidad.</w:t>
      </w:r>
    </w:p>
    <w:p w14:paraId="300F56BF" w14:textId="37263771" w:rsidR="00BD0011" w:rsidRPr="00BD0011" w:rsidRDefault="007315E9" w:rsidP="007315E9">
      <w:pPr>
        <w:pStyle w:val="H1G"/>
        <w:rPr>
          <w:lang w:eastAsia="es-HN"/>
        </w:rPr>
      </w:pPr>
      <w:bookmarkStart w:id="67" w:name="_oyzc6rt710dn" w:colFirst="0" w:colLast="0"/>
      <w:bookmarkStart w:id="68" w:name="_Toc106955510"/>
      <w:bookmarkStart w:id="69" w:name="_Toc106955709"/>
      <w:bookmarkStart w:id="70" w:name="_Toc147932981"/>
      <w:bookmarkStart w:id="71" w:name="_Toc148970495"/>
      <w:bookmarkEnd w:id="67"/>
      <w:r>
        <w:rPr>
          <w:lang w:eastAsia="es-HN"/>
        </w:rPr>
        <w:tab/>
        <w:t>C.</w:t>
      </w:r>
      <w:r>
        <w:rPr>
          <w:lang w:eastAsia="es-HN"/>
        </w:rPr>
        <w:tab/>
      </w:r>
      <w:bookmarkEnd w:id="68"/>
      <w:bookmarkEnd w:id="69"/>
      <w:r>
        <w:rPr>
          <w:lang w:eastAsia="es-HN"/>
        </w:rPr>
        <w:tab/>
      </w:r>
      <w:r w:rsidR="00BD0011" w:rsidRPr="00BD0011">
        <w:rPr>
          <w:lang w:eastAsia="es-HN"/>
        </w:rPr>
        <w:t>Obligaciones específicas</w:t>
      </w:r>
      <w:bookmarkEnd w:id="70"/>
      <w:bookmarkEnd w:id="71"/>
    </w:p>
    <w:p w14:paraId="577FB13B" w14:textId="25C4990A" w:rsidR="00BD0011" w:rsidRPr="00BD0011" w:rsidRDefault="007315E9" w:rsidP="007315E9">
      <w:pPr>
        <w:pStyle w:val="H23G"/>
        <w:rPr>
          <w:lang w:eastAsia="es-HN"/>
        </w:rPr>
      </w:pPr>
      <w:bookmarkStart w:id="72" w:name="_Toc147932982"/>
      <w:bookmarkStart w:id="73" w:name="_Toc148970496"/>
      <w:r>
        <w:rPr>
          <w:lang w:eastAsia="es-HN"/>
        </w:rPr>
        <w:tab/>
      </w:r>
      <w:r>
        <w:rPr>
          <w:lang w:eastAsia="es-HN"/>
        </w:rPr>
        <w:tab/>
      </w:r>
      <w:r w:rsidR="00BD0011" w:rsidRPr="00BD0011">
        <w:rPr>
          <w:lang w:eastAsia="es-HN"/>
        </w:rPr>
        <w:t xml:space="preserve">Recopilación de datos y estadísticas </w:t>
      </w:r>
      <w:r w:rsidR="00BD0011" w:rsidRPr="00BD0011">
        <w:rPr>
          <w:szCs w:val="24"/>
          <w:lang w:eastAsia="es-HN"/>
        </w:rPr>
        <w:t>(art. 31)</w:t>
      </w:r>
      <w:bookmarkEnd w:id="72"/>
      <w:bookmarkEnd w:id="73"/>
    </w:p>
    <w:p w14:paraId="58BF0816" w14:textId="77777777" w:rsidR="00BD0011" w:rsidRPr="00BD0011" w:rsidRDefault="00BD0011" w:rsidP="007315E9">
      <w:pPr>
        <w:pStyle w:val="SingleTxtG"/>
        <w:numPr>
          <w:ilvl w:val="0"/>
          <w:numId w:val="40"/>
        </w:numPr>
        <w:ind w:left="1134" w:firstLine="0"/>
        <w:rPr>
          <w:lang w:eastAsia="es-HN"/>
        </w:rPr>
      </w:pPr>
      <w:r w:rsidRPr="00BD0011">
        <w:rPr>
          <w:b/>
          <w:bCs/>
          <w:lang w:eastAsia="es-HN"/>
        </w:rPr>
        <w:t>Cuestión 28, inciso a)</w:t>
      </w:r>
      <w:r w:rsidRPr="00BD0011">
        <w:rPr>
          <w:lang w:eastAsia="es-HN"/>
        </w:rPr>
        <w:t>, para</w:t>
      </w:r>
      <w:r w:rsidRPr="00BD0011">
        <w:rPr>
          <w:color w:val="0070C0"/>
          <w:lang w:eastAsia="es-HN"/>
        </w:rPr>
        <w:t xml:space="preserve"> </w:t>
      </w:r>
      <w:r w:rsidRPr="00BD0011">
        <w:rPr>
          <w:lang w:eastAsia="es-HN"/>
        </w:rPr>
        <w:t>el fortalecimiento del Instituto Nacional de Estadísticas (INE), se le asignó un presupuesto de L100,419,593.00 para el ejercicio fiscal 2023</w:t>
      </w:r>
      <w:r w:rsidRPr="00BD0011">
        <w:rPr>
          <w:vertAlign w:val="superscript"/>
          <w:lang w:eastAsia="es-HN"/>
        </w:rPr>
        <w:footnoteReference w:id="30"/>
      </w:r>
      <w:r w:rsidRPr="00BD0011">
        <w:rPr>
          <w:lang w:eastAsia="es-HN"/>
        </w:rPr>
        <w:t>, el cual representa un incremento del 17.77 % respecto al presupuesto asignado para el ejercicio fiscal 2022, el cual fue de L85,261,859.00</w:t>
      </w:r>
      <w:r w:rsidRPr="00BD0011">
        <w:rPr>
          <w:vertAlign w:val="superscript"/>
          <w:lang w:eastAsia="es-HN"/>
        </w:rPr>
        <w:footnoteReference w:id="31"/>
      </w:r>
      <w:r w:rsidRPr="00BD0011">
        <w:rPr>
          <w:lang w:eastAsia="es-HN"/>
        </w:rPr>
        <w:t>.</w:t>
      </w:r>
    </w:p>
    <w:p w14:paraId="33A62429" w14:textId="77777777" w:rsidR="00BD0011" w:rsidRPr="00BD0011" w:rsidRDefault="00BD0011" w:rsidP="007315E9">
      <w:pPr>
        <w:pStyle w:val="SingleTxtG"/>
        <w:numPr>
          <w:ilvl w:val="0"/>
          <w:numId w:val="40"/>
        </w:numPr>
        <w:ind w:left="1134" w:firstLine="0"/>
        <w:rPr>
          <w:lang w:eastAsia="es-HN"/>
        </w:rPr>
      </w:pPr>
      <w:r w:rsidRPr="00BD0011">
        <w:rPr>
          <w:lang w:eastAsia="es-HN"/>
        </w:rPr>
        <w:t xml:space="preserve">Para mejorar el registro administrativo, el Instituto Hondureño de Seguridad Social (IHSS), en colaboración con el INE, trabaja en la incorporación de dos campos en su base de datos para recopilar información sobre los derechohabientes y usuarios de los servicios del IHSS. Uno de los campos que actualmente se está incorporando recopila datos de mujeres PIAH. El otro campo es sobre mujeres con discapacidad, el cual está incorporado y se está recolectando la información, por lo que aún no se tiene el dato consolidado. </w:t>
      </w:r>
    </w:p>
    <w:p w14:paraId="07C60F84" w14:textId="77777777" w:rsidR="00BD0011" w:rsidRPr="00BD0011" w:rsidRDefault="00BD0011" w:rsidP="007315E9">
      <w:pPr>
        <w:pStyle w:val="SingleTxtG"/>
        <w:numPr>
          <w:ilvl w:val="0"/>
          <w:numId w:val="40"/>
        </w:numPr>
        <w:ind w:left="1134" w:firstLine="0"/>
        <w:rPr>
          <w:lang w:eastAsia="es-HN"/>
        </w:rPr>
      </w:pPr>
      <w:r w:rsidRPr="00BD0011">
        <w:rPr>
          <w:b/>
          <w:bCs/>
          <w:lang w:eastAsia="es-HN"/>
        </w:rPr>
        <w:t>Inciso b)</w:t>
      </w:r>
      <w:r w:rsidRPr="00BD0011">
        <w:rPr>
          <w:lang w:eastAsia="es-HN"/>
        </w:rPr>
        <w:t xml:space="preserve">, respecto con la Agenda Nacional 2030 de ODS, el Estado ha continuado avanzando en la implementación de un sistema de indicadores fundamentado en los derechos humanos y en sintonía con la Agenda; logrando avances significativos al conectar de manera efectiva los objetivos y prioridades de la Agenda con los instrumentos globales del sistema nacional de planificación a largo y mediano plazo. </w:t>
      </w:r>
    </w:p>
    <w:p w14:paraId="544DED87" w14:textId="77777777" w:rsidR="00BD0011" w:rsidRPr="00BD0011" w:rsidRDefault="00BD0011" w:rsidP="007315E9">
      <w:pPr>
        <w:pStyle w:val="SingleTxtG"/>
        <w:numPr>
          <w:ilvl w:val="0"/>
          <w:numId w:val="40"/>
        </w:numPr>
        <w:ind w:left="1134" w:firstLine="0"/>
        <w:rPr>
          <w:lang w:eastAsia="es-HN"/>
        </w:rPr>
      </w:pPr>
      <w:r w:rsidRPr="00BD0011">
        <w:rPr>
          <w:lang w:eastAsia="es-HN"/>
        </w:rPr>
        <w:t>Además, se ha trabajado en la integración de los objetivos, metas e indicadores de la Agenda en el nuevo plan de nación para el período 2022-2034. Esto incluye tanto los planes de gobierno como la incursión en la planificación a nivel institucional y territorial.</w:t>
      </w:r>
    </w:p>
    <w:p w14:paraId="4C9E452F" w14:textId="77777777" w:rsidR="00BD0011" w:rsidRPr="00BD0011" w:rsidRDefault="00BD0011" w:rsidP="007315E9">
      <w:pPr>
        <w:pStyle w:val="SingleTxtG"/>
        <w:numPr>
          <w:ilvl w:val="0"/>
          <w:numId w:val="40"/>
        </w:numPr>
        <w:ind w:left="1134" w:firstLine="0"/>
        <w:rPr>
          <w:lang w:eastAsia="es-HN"/>
        </w:rPr>
      </w:pPr>
      <w:r w:rsidRPr="00BD0011">
        <w:rPr>
          <w:lang w:eastAsia="es-HN"/>
        </w:rPr>
        <w:t>Actualmente, el Plan Estratégico de Gobierno se articula en seis gabinetes, los cuales se desglosan en ejes sectoriales que están enlazado con resultados específicos, relacionados directamente con las metas ODS.</w:t>
      </w:r>
    </w:p>
    <w:p w14:paraId="6ED1008D" w14:textId="77777777" w:rsidR="00BD0011" w:rsidRPr="00BD0011" w:rsidRDefault="00BD0011" w:rsidP="007315E9">
      <w:pPr>
        <w:pStyle w:val="SingleTxtG"/>
        <w:numPr>
          <w:ilvl w:val="0"/>
          <w:numId w:val="40"/>
        </w:numPr>
        <w:ind w:left="1134" w:firstLine="0"/>
        <w:rPr>
          <w:lang w:eastAsia="es-HN"/>
        </w:rPr>
      </w:pPr>
      <w:bookmarkStart w:id="74" w:name="_Hlk146800800"/>
      <w:bookmarkStart w:id="75" w:name="_Hlk146800861"/>
      <w:r w:rsidRPr="00BD0011">
        <w:rPr>
          <w:lang w:eastAsia="es-HN"/>
        </w:rPr>
        <w:t xml:space="preserve">La </w:t>
      </w:r>
      <w:bookmarkStart w:id="76" w:name="_Hlk146800838"/>
      <w:r w:rsidRPr="00BD0011">
        <w:rPr>
          <w:lang w:eastAsia="es-HN"/>
        </w:rPr>
        <w:t>Secretaría de Planificación Estratégica está en proceso de territorialización de los ODS, con el objetivo de impulsar la planificación a nivel municipal en consonancia con dichos objetivos.</w:t>
      </w:r>
    </w:p>
    <w:p w14:paraId="630F1150" w14:textId="77777777" w:rsidR="00BD0011" w:rsidRPr="00BD0011" w:rsidRDefault="00BD0011" w:rsidP="007315E9">
      <w:pPr>
        <w:pStyle w:val="SingleTxtG"/>
        <w:numPr>
          <w:ilvl w:val="0"/>
          <w:numId w:val="40"/>
        </w:numPr>
        <w:ind w:left="1134" w:firstLine="0"/>
        <w:rPr>
          <w:lang w:eastAsia="es-HN"/>
        </w:rPr>
      </w:pPr>
      <w:r w:rsidRPr="00BD0011">
        <w:rPr>
          <w:lang w:eastAsia="es-HN"/>
        </w:rPr>
        <w:lastRenderedPageBreak/>
        <w:t xml:space="preserve">Asimismo, en el proceso de validación de los Planes Operativos Anuales de las instituciones públicas, se han incorporado secciones dedicadas al análisis del alineamiento de cada programa institucional con la Agenda 2030. </w:t>
      </w:r>
      <w:bookmarkEnd w:id="74"/>
      <w:r w:rsidRPr="00BD0011">
        <w:rPr>
          <w:lang w:eastAsia="es-HN"/>
        </w:rPr>
        <w:t>La implementación de los ODS se ha integrado en la estructura de planificación estratégica y en las etapas de validación y evaluación continua de los programas institucionales.</w:t>
      </w:r>
    </w:p>
    <w:bookmarkEnd w:id="75"/>
    <w:bookmarkEnd w:id="76"/>
    <w:p w14:paraId="54182013" w14:textId="77777777" w:rsidR="00BD0011" w:rsidRPr="00BD0011" w:rsidRDefault="00BD0011" w:rsidP="007315E9">
      <w:pPr>
        <w:pStyle w:val="SingleTxtG"/>
        <w:numPr>
          <w:ilvl w:val="0"/>
          <w:numId w:val="40"/>
        </w:numPr>
        <w:ind w:left="1134" w:firstLine="0"/>
        <w:rPr>
          <w:lang w:eastAsia="es-HN"/>
        </w:rPr>
      </w:pPr>
      <w:r w:rsidRPr="00BD0011">
        <w:rPr>
          <w:b/>
          <w:bCs/>
          <w:lang w:eastAsia="es-HN"/>
        </w:rPr>
        <w:t>Inciso c)</w:t>
      </w:r>
      <w:r w:rsidRPr="00BD0011">
        <w:rPr>
          <w:lang w:eastAsia="es-HN"/>
        </w:rPr>
        <w:t xml:space="preserve">, </w:t>
      </w:r>
      <w:bookmarkStart w:id="77" w:name="_Hlk146801308"/>
      <w:r w:rsidRPr="00BD0011">
        <w:rPr>
          <w:lang w:eastAsia="es-HN"/>
        </w:rPr>
        <w:t>para la recopilación de datos estadísticos, el Comité de Niñez, Adolescencia, Juventud y Familia integrado por DINAF, INE, organizaciones de derechos de la niñez, el Fondo de Población de las Naciones Unidas y UNICEF están trabajando en el levantamiento de datos sobre la situación en la que vive la niñez hondureña que se encuentra institucionalizada por motivos de vulneración de derechos, con el propósito de diseñar programas y políticas públicas basados en evidencia que garanticen derechos de los NNA</w:t>
      </w:r>
      <w:r w:rsidRPr="00BD0011">
        <w:rPr>
          <w:rFonts w:ascii="Calibri" w:eastAsia="Calibri" w:hAnsi="Calibri" w:cs="Calibri"/>
          <w:sz w:val="22"/>
          <w:szCs w:val="22"/>
          <w:vertAlign w:val="superscript"/>
          <w:lang w:eastAsia="es-HN"/>
        </w:rPr>
        <w:footnoteReference w:id="32"/>
      </w:r>
      <w:r w:rsidRPr="00BD0011">
        <w:rPr>
          <w:lang w:eastAsia="es-HN"/>
        </w:rPr>
        <w:t>.</w:t>
      </w:r>
    </w:p>
    <w:p w14:paraId="3C9355F7" w14:textId="77777777" w:rsidR="00BD0011" w:rsidRPr="00BD0011" w:rsidRDefault="00BD0011" w:rsidP="007315E9">
      <w:pPr>
        <w:pStyle w:val="SingleTxtG"/>
        <w:numPr>
          <w:ilvl w:val="0"/>
          <w:numId w:val="40"/>
        </w:numPr>
        <w:ind w:left="1134" w:firstLine="0"/>
        <w:rPr>
          <w:lang w:eastAsia="es-HN"/>
        </w:rPr>
      </w:pPr>
      <w:r w:rsidRPr="00BD0011">
        <w:rPr>
          <w:lang w:eastAsia="es-HN"/>
        </w:rPr>
        <w:t>En a</w:t>
      </w:r>
      <w:hyperlink r:id="rId12" w:history="1">
        <w:r w:rsidRPr="00BD0011">
          <w:rPr>
            <w:lang w:eastAsia="es-HN"/>
          </w:rPr>
          <w:t>bril de 2023</w:t>
        </w:r>
      </w:hyperlink>
      <w:r w:rsidRPr="00BD0011">
        <w:rPr>
          <w:lang w:eastAsia="es-HN"/>
        </w:rPr>
        <w:t>, el INE en coordinación con la DINAF, reactivaron el Comité Estadístico de la Niñez, Adolescencia, Juventud y Familia, conformado</w:t>
      </w:r>
      <w:r w:rsidRPr="00BD0011">
        <w:rPr>
          <w:rFonts w:ascii="Arial" w:eastAsia="Arial" w:hAnsi="Arial" w:cs="Arial"/>
          <w:sz w:val="26"/>
          <w:szCs w:val="26"/>
          <w:highlight w:val="white"/>
          <w:lang w:eastAsia="es-HN"/>
        </w:rPr>
        <w:t xml:space="preserve"> </w:t>
      </w:r>
      <w:r w:rsidRPr="00BD0011">
        <w:rPr>
          <w:lang w:eastAsia="es-HN"/>
        </w:rPr>
        <w:t>por 19 instituciones estatales</w:t>
      </w:r>
      <w:r w:rsidRPr="00BD0011">
        <w:rPr>
          <w:rFonts w:ascii="Calibri" w:eastAsia="Calibri" w:hAnsi="Calibri" w:cs="Calibri"/>
          <w:sz w:val="22"/>
          <w:szCs w:val="22"/>
          <w:vertAlign w:val="superscript"/>
          <w:lang w:eastAsia="es-HN"/>
        </w:rPr>
        <w:footnoteReference w:id="33"/>
      </w:r>
      <w:r w:rsidRPr="00BD0011">
        <w:rPr>
          <w:lang w:eastAsia="es-HN"/>
        </w:rPr>
        <w:t>. Además, se firmó un memorándum de entendimiento para dar seguimiento a la iniciativa “Censo y encuesta nacional de niñez bajo cuidado residencial” entre INE, DINAF, Secretaría de la Presidencia, Secretaría de Gobernación, Justicia y Descentralización y UNICEF. Esto permitirá conocer el número de organizaciones privadas que brindan el servicio de cuidado alternativo a la familia, regular su actividad, la calidad en la prestación del servicio y cuántos NNA se encuentran en esas instituciones</w:t>
      </w:r>
      <w:r w:rsidRPr="00BD0011">
        <w:rPr>
          <w:rFonts w:ascii="Calibri" w:eastAsia="Calibri" w:hAnsi="Calibri" w:cs="Calibri"/>
          <w:sz w:val="22"/>
          <w:szCs w:val="22"/>
          <w:vertAlign w:val="superscript"/>
          <w:lang w:eastAsia="es-HN"/>
        </w:rPr>
        <w:footnoteReference w:id="34"/>
      </w:r>
      <w:bookmarkEnd w:id="77"/>
      <w:r w:rsidRPr="00BD0011">
        <w:rPr>
          <w:lang w:eastAsia="es-HN"/>
        </w:rPr>
        <w:t>.</w:t>
      </w:r>
    </w:p>
    <w:p w14:paraId="7B55AF22" w14:textId="4883FCE9" w:rsidR="00BD0011" w:rsidRPr="00BD0011" w:rsidRDefault="007315E9" w:rsidP="007315E9">
      <w:pPr>
        <w:pStyle w:val="H23G"/>
        <w:rPr>
          <w:lang w:eastAsia="es-HN"/>
        </w:rPr>
      </w:pPr>
      <w:bookmarkStart w:id="78" w:name="_Toc147932983"/>
      <w:bookmarkStart w:id="79" w:name="_Toc148970497"/>
      <w:r>
        <w:rPr>
          <w:lang w:eastAsia="es-HN"/>
        </w:rPr>
        <w:tab/>
      </w:r>
      <w:r>
        <w:rPr>
          <w:lang w:eastAsia="es-HN"/>
        </w:rPr>
        <w:tab/>
      </w:r>
      <w:r w:rsidR="00BD0011" w:rsidRPr="00BD0011">
        <w:rPr>
          <w:lang w:eastAsia="es-HN"/>
        </w:rPr>
        <w:t xml:space="preserve">Aplicación y seguimiento </w:t>
      </w:r>
      <w:r w:rsidR="00BD0011" w:rsidRPr="00BD0011">
        <w:rPr>
          <w:szCs w:val="24"/>
          <w:lang w:eastAsia="es-HN"/>
        </w:rPr>
        <w:t>(art. 33)</w:t>
      </w:r>
      <w:bookmarkEnd w:id="78"/>
      <w:bookmarkEnd w:id="79"/>
    </w:p>
    <w:p w14:paraId="212C935B" w14:textId="77777777" w:rsidR="00BD0011" w:rsidRPr="00BD0011" w:rsidRDefault="00BD0011" w:rsidP="007315E9">
      <w:pPr>
        <w:pStyle w:val="SingleTxtG"/>
        <w:numPr>
          <w:ilvl w:val="0"/>
          <w:numId w:val="40"/>
        </w:numPr>
        <w:ind w:left="1134" w:firstLine="0"/>
        <w:rPr>
          <w:lang w:eastAsia="es-HN"/>
        </w:rPr>
      </w:pPr>
      <w:r w:rsidRPr="00BD0011">
        <w:rPr>
          <w:b/>
          <w:bCs/>
          <w:lang w:eastAsia="es-HN"/>
        </w:rPr>
        <w:t xml:space="preserve">Cuestión 30, </w:t>
      </w:r>
      <w:r w:rsidRPr="00BD0011">
        <w:rPr>
          <w:lang w:eastAsia="es-HN"/>
        </w:rPr>
        <w:t>respecto al mecanismo de supervisión independiente de la Convención, el CONADEH, en su Informe anual 2022 presentado al CN, informó que a pesar de sus esfuerzos realizados y los esfuerzos de las OSC del sector discapacidad, aún no se ha puesto en marcha la implementación de dicho mecanismo</w:t>
      </w:r>
      <w:r w:rsidRPr="00BD0011">
        <w:rPr>
          <w:vertAlign w:val="superscript"/>
          <w:lang w:eastAsia="es-HN"/>
        </w:rPr>
        <w:footnoteReference w:id="35"/>
      </w:r>
      <w:r w:rsidRPr="00BD0011">
        <w:rPr>
          <w:lang w:eastAsia="es-HN"/>
        </w:rPr>
        <w:t>.</w:t>
      </w:r>
    </w:p>
    <w:p w14:paraId="5CEE2B8C" w14:textId="50A80A0D" w:rsidR="00381C24" w:rsidRPr="009770A9" w:rsidRDefault="009770A9" w:rsidP="009770A9">
      <w:pPr>
        <w:pStyle w:val="SingleTxtG"/>
        <w:suppressAutoHyphens/>
        <w:spacing w:before="240" w:after="0"/>
        <w:jc w:val="center"/>
        <w:rPr>
          <w:u w:val="single"/>
        </w:rPr>
      </w:pPr>
      <w:r>
        <w:rPr>
          <w:u w:val="single"/>
        </w:rPr>
        <w:tab/>
      </w:r>
      <w:r>
        <w:rPr>
          <w:u w:val="single"/>
        </w:rPr>
        <w:tab/>
      </w:r>
      <w:r>
        <w:rPr>
          <w:u w:val="single"/>
        </w:rPr>
        <w:tab/>
      </w:r>
    </w:p>
    <w:sectPr w:rsidR="00381C24" w:rsidRPr="009770A9" w:rsidSect="00E56EE3">
      <w:headerReference w:type="even" r:id="rId13"/>
      <w:headerReference w:type="default" r:id="rId14"/>
      <w:footerReference w:type="even" r:id="rId15"/>
      <w:footerReference w:type="default" r:id="rId16"/>
      <w:headerReference w:type="first" r:id="rId17"/>
      <w:footerReference w:type="first" r:id="rId18"/>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80C56" w14:textId="77777777" w:rsidR="00CB242B" w:rsidRDefault="009770A9">
      <w:r>
        <w:separator/>
      </w:r>
    </w:p>
  </w:endnote>
  <w:endnote w:type="continuationSeparator" w:id="0">
    <w:p w14:paraId="0040A6BE" w14:textId="77777777" w:rsidR="00CB242B" w:rsidRDefault="009770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3F541" w14:textId="77777777" w:rsidR="001A4396" w:rsidRPr="001A4396" w:rsidRDefault="009770A9"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471414">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38090" w14:textId="77777777" w:rsidR="001A4396" w:rsidRPr="001A4396" w:rsidRDefault="009770A9" w:rsidP="00935A0B">
    <w:pPr>
      <w:pStyle w:val="Footer"/>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9874BF">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B0541" w14:textId="07FEFAC7" w:rsidR="002D4172" w:rsidRPr="00053EA6" w:rsidRDefault="009770A9" w:rsidP="00521DC1">
    <w:pPr>
      <w:pStyle w:val="Footer"/>
      <w:rPr>
        <w:noProof/>
        <w:sz w:val="20"/>
        <w:lang w:val="fr-FR" w:eastAsia="fr-FR"/>
      </w:rPr>
    </w:pPr>
    <w:r w:rsidRPr="00053EA6">
      <w:rPr>
        <w:sz w:val="20"/>
      </w:rPr>
      <w:t>GE.</w:t>
    </w:r>
    <w:r>
      <w:rPr>
        <w:noProof/>
        <w:sz w:val="20"/>
        <w:lang w:val="fr-FR" w:eastAsia="fr-FR"/>
      </w:rPr>
      <w:t>23-</w:t>
    </w:r>
  </w:p>
  <w:tbl>
    <w:tblPr>
      <w:tblStyle w:val="Tablaconcuadrcula1"/>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973BE9" w14:paraId="0A269DCB" w14:textId="77777777" w:rsidTr="00303190">
      <w:tc>
        <w:tcPr>
          <w:tcW w:w="1848" w:type="dxa"/>
          <w:vAlign w:val="bottom"/>
          <w:hideMark/>
        </w:tcPr>
        <w:p w14:paraId="37A57903" w14:textId="77777777" w:rsidR="002D4172" w:rsidRPr="00754B77" w:rsidRDefault="009770A9" w:rsidP="002D4172">
          <w:pPr>
            <w:kinsoku w:val="0"/>
            <w:overflowPunct w:val="0"/>
            <w:autoSpaceDE w:val="0"/>
            <w:autoSpaceDN w:val="0"/>
            <w:adjustRightInd w:val="0"/>
            <w:snapToGrid w:val="0"/>
            <w:spacing w:before="120" w:after="120" w:line="240" w:lineRule="auto"/>
            <w:jc w:val="right"/>
            <w:rPr>
              <w:sz w:val="16"/>
              <w:lang w:val="fr-CH"/>
            </w:rPr>
          </w:pPr>
          <w:r w:rsidRPr="002D4172">
            <w:rPr>
              <w:noProof/>
              <w:sz w:val="16"/>
              <w:lang w:eastAsia="zh-CN"/>
            </w:rPr>
            <w:drawing>
              <wp:inline distT="0" distB="0" distL="0" distR="0" wp14:anchorId="75065DC8" wp14:editId="1048B2CD">
                <wp:extent cx="1076400" cy="230400"/>
                <wp:effectExtent l="0" t="0" r="0" b="0"/>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descr="recycle_Span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76400" cy="230400"/>
                        </a:xfrm>
                        <a:prstGeom prst="rect">
                          <a:avLst/>
                        </a:prstGeom>
                        <a:noFill/>
                        <a:ln>
                          <a:noFill/>
                        </a:ln>
                      </pic:spPr>
                    </pic:pic>
                  </a:graphicData>
                </a:graphic>
              </wp:inline>
            </w:drawing>
          </w:r>
        </w:p>
      </w:tc>
      <w:tc>
        <w:tcPr>
          <w:tcW w:w="1274" w:type="dxa"/>
        </w:tcPr>
        <w:p w14:paraId="62203F3B" w14:textId="77777777" w:rsidR="002D4172" w:rsidRPr="00754B77" w:rsidRDefault="002D4172" w:rsidP="002D4172">
          <w:pPr>
            <w:kinsoku w:val="0"/>
            <w:overflowPunct w:val="0"/>
            <w:autoSpaceDE w:val="0"/>
            <w:autoSpaceDN w:val="0"/>
            <w:adjustRightInd w:val="0"/>
            <w:snapToGrid w:val="0"/>
            <w:spacing w:line="240" w:lineRule="auto"/>
            <w:jc w:val="right"/>
            <w:rPr>
              <w:sz w:val="16"/>
              <w:lang w:val="fr-CH"/>
            </w:rPr>
          </w:pPr>
        </w:p>
      </w:tc>
    </w:tr>
  </w:tbl>
  <w:p w14:paraId="068022AE" w14:textId="77777777" w:rsidR="00A86F80" w:rsidRPr="002A02C6" w:rsidRDefault="00A86F80" w:rsidP="00521D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81795" w14:textId="77777777" w:rsidR="00CB242B" w:rsidRPr="001075E9" w:rsidRDefault="009770A9" w:rsidP="001075E9">
      <w:pPr>
        <w:tabs>
          <w:tab w:val="right" w:pos="2155"/>
        </w:tabs>
        <w:spacing w:after="80" w:line="240" w:lineRule="auto"/>
        <w:ind w:left="680"/>
        <w:rPr>
          <w:u w:val="single"/>
        </w:rPr>
      </w:pPr>
      <w:r>
        <w:rPr>
          <w:u w:val="single"/>
        </w:rPr>
        <w:tab/>
      </w:r>
    </w:p>
  </w:footnote>
  <w:footnote w:type="continuationSeparator" w:id="0">
    <w:p w14:paraId="739F8E5A" w14:textId="77777777" w:rsidR="00CB242B" w:rsidRDefault="009770A9" w:rsidP="00407B78">
      <w:pPr>
        <w:tabs>
          <w:tab w:val="right" w:pos="2155"/>
        </w:tabs>
        <w:spacing w:after="80"/>
        <w:ind w:left="680"/>
        <w:rPr>
          <w:u w:val="single"/>
        </w:rPr>
      </w:pPr>
      <w:r>
        <w:rPr>
          <w:u w:val="single"/>
        </w:rPr>
        <w:tab/>
      </w:r>
    </w:p>
  </w:footnote>
  <w:footnote w:id="1">
    <w:p w14:paraId="500020BD" w14:textId="77777777" w:rsidR="008346E4" w:rsidRPr="0043216B" w:rsidRDefault="009770A9" w:rsidP="008346E4">
      <w:pPr>
        <w:pStyle w:val="FootnoteText"/>
        <w:rPr>
          <w:sz w:val="20"/>
        </w:rPr>
      </w:pPr>
      <w:r>
        <w:tab/>
      </w:r>
      <w:r w:rsidRPr="0043216B">
        <w:rPr>
          <w:rStyle w:val="FootnoteReference"/>
          <w:sz w:val="20"/>
          <w:vertAlign w:val="baseline"/>
        </w:rPr>
        <w:t>*</w:t>
      </w:r>
      <w:r w:rsidRPr="0043216B">
        <w:rPr>
          <w:rStyle w:val="FootnoteReference"/>
          <w:vertAlign w:val="baseline"/>
        </w:rPr>
        <w:tab/>
      </w:r>
      <w:r w:rsidR="00822D45">
        <w:t>El presente documento se publica sin haber sido objeto de revisión editorial oficial</w:t>
      </w:r>
      <w:r w:rsidRPr="0043216B">
        <w:t>.</w:t>
      </w:r>
    </w:p>
  </w:footnote>
  <w:footnote w:id="2">
    <w:p w14:paraId="46D453E1" w14:textId="3E92EAB8" w:rsidR="00BD0011" w:rsidRPr="00EB3380" w:rsidRDefault="00EB3380" w:rsidP="00BD0011">
      <w:pPr>
        <w:pStyle w:val="FootnoteText"/>
        <w:rPr>
          <w:szCs w:val="18"/>
          <w:lang w:val="en-US"/>
        </w:rPr>
      </w:pPr>
      <w:r w:rsidRPr="00EF145F">
        <w:rPr>
          <w:szCs w:val="18"/>
        </w:rPr>
        <w:tab/>
      </w:r>
      <w:r w:rsidR="00BD0011" w:rsidRPr="00EB3380">
        <w:rPr>
          <w:rStyle w:val="FootnoteReference"/>
          <w:szCs w:val="18"/>
        </w:rPr>
        <w:footnoteRef/>
      </w:r>
      <w:r>
        <w:rPr>
          <w:szCs w:val="18"/>
          <w:lang w:val="en-US"/>
        </w:rPr>
        <w:tab/>
      </w:r>
      <w:r w:rsidR="00BD0011" w:rsidRPr="00EB3380">
        <w:rPr>
          <w:szCs w:val="18"/>
          <w:lang w:val="en-US"/>
        </w:rPr>
        <w:t>CPRD/C/HND/2-4</w:t>
      </w:r>
    </w:p>
  </w:footnote>
  <w:footnote w:id="3">
    <w:p w14:paraId="5AA2C384" w14:textId="57F6A298" w:rsidR="00BD0011" w:rsidRPr="00EB3380" w:rsidRDefault="00EB3380" w:rsidP="00BD0011">
      <w:pPr>
        <w:pStyle w:val="FootnoteText"/>
        <w:rPr>
          <w:szCs w:val="18"/>
          <w:lang w:val="en-US"/>
        </w:rPr>
      </w:pPr>
      <w:r>
        <w:rPr>
          <w:szCs w:val="18"/>
          <w:lang w:val="en-US"/>
        </w:rPr>
        <w:tab/>
      </w:r>
      <w:r w:rsidR="00BD0011" w:rsidRPr="00EB3380">
        <w:rPr>
          <w:rStyle w:val="FootnoteReference"/>
          <w:szCs w:val="18"/>
        </w:rPr>
        <w:footnoteRef/>
      </w:r>
      <w:r>
        <w:rPr>
          <w:szCs w:val="18"/>
          <w:lang w:val="en-US"/>
        </w:rPr>
        <w:tab/>
      </w:r>
      <w:r w:rsidR="00BD0011" w:rsidRPr="00EB3380">
        <w:rPr>
          <w:szCs w:val="18"/>
          <w:lang w:val="en-US"/>
        </w:rPr>
        <w:t>CRPD/C/HND/Q/2-4</w:t>
      </w:r>
    </w:p>
  </w:footnote>
  <w:footnote w:id="4">
    <w:p w14:paraId="3133848F" w14:textId="5A5A422A" w:rsidR="00BD0011" w:rsidRPr="00EB3380" w:rsidRDefault="00EB3380" w:rsidP="00BD0011">
      <w:pPr>
        <w:pStyle w:val="FootnoteText"/>
        <w:rPr>
          <w:szCs w:val="18"/>
          <w:lang w:val="es-MX"/>
        </w:rPr>
      </w:pPr>
      <w:r w:rsidRPr="00EF145F">
        <w:rPr>
          <w:szCs w:val="18"/>
          <w:lang w:val="en-US"/>
        </w:rPr>
        <w:tab/>
      </w:r>
      <w:r w:rsidR="00BD0011" w:rsidRPr="00EB3380">
        <w:rPr>
          <w:rStyle w:val="FootnoteReference"/>
          <w:szCs w:val="18"/>
        </w:rPr>
        <w:footnoteRef/>
      </w:r>
      <w:r>
        <w:rPr>
          <w:szCs w:val="18"/>
        </w:rPr>
        <w:tab/>
      </w:r>
      <w:r w:rsidR="00BD0011" w:rsidRPr="00EB3380">
        <w:rPr>
          <w:szCs w:val="18"/>
        </w:rPr>
        <w:t xml:space="preserve">SEDESOL, </w:t>
      </w:r>
      <w:r w:rsidR="00BD0011" w:rsidRPr="00EB3380">
        <w:rPr>
          <w:i/>
          <w:iCs/>
          <w:szCs w:val="18"/>
        </w:rPr>
        <w:t>Primera consulta virtual–Ley por los Derechos de las Personas con Discapacidad</w:t>
      </w:r>
      <w:r w:rsidR="00BD0011" w:rsidRPr="00EB3380">
        <w:rPr>
          <w:szCs w:val="18"/>
        </w:rPr>
        <w:t xml:space="preserve">, s. f. Párr. 8 </w:t>
      </w:r>
      <w:hyperlink r:id="rId1" w:history="1">
        <w:r w:rsidR="00BD0011" w:rsidRPr="00EB3380">
          <w:rPr>
            <w:rStyle w:val="Hyperlink"/>
            <w:szCs w:val="18"/>
          </w:rPr>
          <w:t>https://n9.cl/md7uo</w:t>
        </w:r>
      </w:hyperlink>
      <w:r w:rsidR="00BD0011" w:rsidRPr="00EB3380">
        <w:rPr>
          <w:szCs w:val="18"/>
        </w:rPr>
        <w:t xml:space="preserve"> </w:t>
      </w:r>
    </w:p>
  </w:footnote>
  <w:footnote w:id="5">
    <w:p w14:paraId="2F103419" w14:textId="6520EF45" w:rsidR="00BD0011" w:rsidRPr="00D22E01" w:rsidRDefault="00EB3380" w:rsidP="00BD0011">
      <w:pPr>
        <w:pStyle w:val="FootnoteText"/>
        <w:rPr>
          <w:lang w:val="es-MX"/>
        </w:rPr>
      </w:pPr>
      <w:r>
        <w:rPr>
          <w:szCs w:val="18"/>
        </w:rPr>
        <w:tab/>
      </w:r>
      <w:r w:rsidR="00BD0011" w:rsidRPr="00EB3380">
        <w:rPr>
          <w:rStyle w:val="FootnoteReference"/>
          <w:szCs w:val="18"/>
        </w:rPr>
        <w:footnoteRef/>
      </w:r>
      <w:r>
        <w:rPr>
          <w:szCs w:val="18"/>
        </w:rPr>
        <w:tab/>
      </w:r>
      <w:r w:rsidR="00BD0011" w:rsidRPr="00EB3380">
        <w:rPr>
          <w:szCs w:val="18"/>
        </w:rPr>
        <w:t xml:space="preserve">SEDESOL, </w:t>
      </w:r>
      <w:r w:rsidR="00BD0011" w:rsidRPr="00EB3380">
        <w:rPr>
          <w:i/>
          <w:iCs/>
          <w:szCs w:val="18"/>
        </w:rPr>
        <w:t>Primera consulta virtual–Ley por los Derechos de las Personas con Discapacidad</w:t>
      </w:r>
      <w:r w:rsidR="00BD0011" w:rsidRPr="00EB3380">
        <w:rPr>
          <w:szCs w:val="18"/>
        </w:rPr>
        <w:t xml:space="preserve">, s. f. Párr.10 </w:t>
      </w:r>
      <w:hyperlink r:id="rId2" w:history="1">
        <w:r w:rsidR="00BD0011" w:rsidRPr="00EB3380">
          <w:rPr>
            <w:rStyle w:val="Hyperlink"/>
            <w:szCs w:val="18"/>
          </w:rPr>
          <w:t>https://n9.cl/md7uo</w:t>
        </w:r>
      </w:hyperlink>
      <w:r w:rsidR="00BD0011" w:rsidRPr="00EB3380">
        <w:rPr>
          <w:szCs w:val="18"/>
        </w:rPr>
        <w:t xml:space="preserve"> </w:t>
      </w:r>
    </w:p>
  </w:footnote>
  <w:footnote w:id="6">
    <w:p w14:paraId="1BAB5F67" w14:textId="3C61EA39" w:rsidR="00BD0011" w:rsidRPr="00EB3380" w:rsidRDefault="00EB3380" w:rsidP="00BD0011">
      <w:pPr>
        <w:pStyle w:val="FootnoteText"/>
        <w:jc w:val="both"/>
        <w:rPr>
          <w:szCs w:val="18"/>
        </w:rPr>
      </w:pPr>
      <w:r>
        <w:rPr>
          <w:szCs w:val="18"/>
        </w:rPr>
        <w:tab/>
      </w:r>
      <w:r w:rsidR="00BD0011" w:rsidRPr="00EB3380">
        <w:rPr>
          <w:rStyle w:val="FootnoteReference"/>
          <w:szCs w:val="18"/>
        </w:rPr>
        <w:footnoteRef/>
      </w:r>
      <w:r>
        <w:rPr>
          <w:szCs w:val="18"/>
        </w:rPr>
        <w:tab/>
      </w:r>
      <w:r w:rsidR="00BD0011" w:rsidRPr="00EB3380">
        <w:rPr>
          <w:szCs w:val="18"/>
        </w:rPr>
        <w:t xml:space="preserve">SEDESOL, </w:t>
      </w:r>
      <w:r w:rsidR="00BD0011" w:rsidRPr="00EB3380">
        <w:rPr>
          <w:i/>
          <w:iCs/>
          <w:szCs w:val="18"/>
        </w:rPr>
        <w:t xml:space="preserve">La Secretaría de Desarrollo Social inicia procesos de carnetización a </w:t>
      </w:r>
      <w:proofErr w:type="spellStart"/>
      <w:r w:rsidR="00BD0011" w:rsidRPr="00EB3380">
        <w:rPr>
          <w:i/>
          <w:iCs/>
          <w:szCs w:val="18"/>
        </w:rPr>
        <w:t>PcD</w:t>
      </w:r>
      <w:proofErr w:type="spellEnd"/>
      <w:r w:rsidR="00BD0011" w:rsidRPr="00EB3380">
        <w:rPr>
          <w:szCs w:val="18"/>
        </w:rPr>
        <w:t xml:space="preserve">, s. f. </w:t>
      </w:r>
      <w:hyperlink r:id="rId3" w:history="1">
        <w:r w:rsidR="00BD0011" w:rsidRPr="00EB3380">
          <w:rPr>
            <w:rStyle w:val="Hyperlink"/>
            <w:szCs w:val="18"/>
          </w:rPr>
          <w:t>https://n9.cl/0m6y8</w:t>
        </w:r>
      </w:hyperlink>
      <w:r w:rsidR="00BD0011" w:rsidRPr="00EB3380">
        <w:rPr>
          <w:szCs w:val="18"/>
        </w:rPr>
        <w:t xml:space="preserve"> </w:t>
      </w:r>
    </w:p>
  </w:footnote>
  <w:footnote w:id="7">
    <w:p w14:paraId="1877AE5D" w14:textId="6923145B" w:rsidR="00BD0011" w:rsidRPr="00EB3380" w:rsidRDefault="00EB3380" w:rsidP="00BD0011">
      <w:pPr>
        <w:pStyle w:val="FootnoteText"/>
        <w:rPr>
          <w:szCs w:val="18"/>
          <w:lang w:val="es-MX"/>
        </w:rPr>
      </w:pPr>
      <w:r>
        <w:rPr>
          <w:szCs w:val="18"/>
        </w:rPr>
        <w:tab/>
      </w:r>
      <w:r w:rsidR="00BD0011" w:rsidRPr="00EB3380">
        <w:rPr>
          <w:rStyle w:val="FootnoteReference"/>
          <w:szCs w:val="18"/>
        </w:rPr>
        <w:footnoteRef/>
      </w:r>
      <w:r>
        <w:rPr>
          <w:szCs w:val="18"/>
        </w:rPr>
        <w:tab/>
      </w:r>
      <w:r w:rsidR="00BD0011" w:rsidRPr="00EB3380">
        <w:rPr>
          <w:szCs w:val="18"/>
        </w:rPr>
        <w:t xml:space="preserve">Acuerdo Ministerial 010-SEDESOL-2022, </w:t>
      </w:r>
      <w:r w:rsidR="00BD0011" w:rsidRPr="00EB3380">
        <w:rPr>
          <w:i/>
          <w:iCs/>
          <w:szCs w:val="18"/>
        </w:rPr>
        <w:t>Ley General de la Administración Pública Gaceta</w:t>
      </w:r>
      <w:r w:rsidR="00BD0011" w:rsidRPr="00EB3380">
        <w:rPr>
          <w:szCs w:val="18"/>
        </w:rPr>
        <w:t xml:space="preserve"> (La Gaceta, núm. 36,006. 19 de agosto de 2022). </w:t>
      </w:r>
      <w:hyperlink r:id="rId4" w:history="1">
        <w:r w:rsidR="00BD0011" w:rsidRPr="00EB3380">
          <w:rPr>
            <w:rStyle w:val="Hyperlink"/>
            <w:szCs w:val="18"/>
          </w:rPr>
          <w:t>https://n9.cl/sd1jc</w:t>
        </w:r>
      </w:hyperlink>
      <w:r w:rsidR="00BD0011" w:rsidRPr="00EB3380">
        <w:rPr>
          <w:szCs w:val="18"/>
        </w:rPr>
        <w:t xml:space="preserve"> </w:t>
      </w:r>
    </w:p>
  </w:footnote>
  <w:footnote w:id="8">
    <w:p w14:paraId="4268E540" w14:textId="3071C03E" w:rsidR="00BD0011" w:rsidRPr="00EB3380" w:rsidRDefault="00EB3380" w:rsidP="00BD0011">
      <w:pPr>
        <w:pStyle w:val="FootnoteText"/>
        <w:rPr>
          <w:i/>
          <w:iCs/>
          <w:szCs w:val="18"/>
          <w:lang w:val="es-MX"/>
        </w:rPr>
      </w:pPr>
      <w:r>
        <w:rPr>
          <w:szCs w:val="18"/>
        </w:rPr>
        <w:tab/>
      </w:r>
      <w:r w:rsidR="00BD0011" w:rsidRPr="00EB3380">
        <w:rPr>
          <w:rStyle w:val="FootnoteReference"/>
          <w:szCs w:val="18"/>
        </w:rPr>
        <w:footnoteRef/>
      </w:r>
      <w:r>
        <w:rPr>
          <w:szCs w:val="18"/>
        </w:rPr>
        <w:tab/>
      </w:r>
      <w:r w:rsidR="00BD0011" w:rsidRPr="00EB3380">
        <w:rPr>
          <w:szCs w:val="18"/>
        </w:rPr>
        <w:t xml:space="preserve">Decreto Legislativo 160-2005, artículo 66. </w:t>
      </w:r>
      <w:r w:rsidR="00BD0011" w:rsidRPr="00EB3380">
        <w:rPr>
          <w:i/>
          <w:iCs/>
          <w:szCs w:val="18"/>
        </w:rPr>
        <w:t xml:space="preserve">Ley de Equidad y Desarrollo Integral para las Personas con Discapacidad, </w:t>
      </w:r>
      <w:r w:rsidR="00BD0011" w:rsidRPr="00EB3380">
        <w:rPr>
          <w:szCs w:val="18"/>
        </w:rPr>
        <w:t>del Poder Legislativo</w:t>
      </w:r>
      <w:r w:rsidR="00BD0011" w:rsidRPr="00EB3380">
        <w:rPr>
          <w:i/>
          <w:iCs/>
          <w:szCs w:val="18"/>
        </w:rPr>
        <w:t xml:space="preserve">. </w:t>
      </w:r>
      <w:hyperlink r:id="rId5" w:history="1">
        <w:r w:rsidR="00BD0011" w:rsidRPr="00EB3380">
          <w:rPr>
            <w:rStyle w:val="Hyperlink"/>
            <w:i/>
            <w:iCs/>
            <w:szCs w:val="18"/>
          </w:rPr>
          <w:t>https://n9.cl/de160hn</w:t>
        </w:r>
      </w:hyperlink>
      <w:r w:rsidR="00BD0011" w:rsidRPr="00EB3380">
        <w:rPr>
          <w:i/>
          <w:iCs/>
          <w:szCs w:val="18"/>
        </w:rPr>
        <w:t xml:space="preserve"> </w:t>
      </w:r>
    </w:p>
  </w:footnote>
  <w:footnote w:id="9">
    <w:p w14:paraId="4D2F9C52" w14:textId="79B3A4D0" w:rsidR="00BD0011" w:rsidRPr="00EB3380" w:rsidRDefault="00EB3380" w:rsidP="00BD0011">
      <w:pPr>
        <w:pStyle w:val="FootnoteText"/>
        <w:jc w:val="both"/>
        <w:rPr>
          <w:szCs w:val="18"/>
          <w:lang w:val="es-MX"/>
        </w:rPr>
      </w:pPr>
      <w:r>
        <w:rPr>
          <w:szCs w:val="18"/>
        </w:rPr>
        <w:tab/>
      </w:r>
      <w:r w:rsidR="00BD0011" w:rsidRPr="00EB3380">
        <w:rPr>
          <w:rStyle w:val="FootnoteReference"/>
          <w:szCs w:val="18"/>
        </w:rPr>
        <w:footnoteRef/>
      </w:r>
      <w:r>
        <w:rPr>
          <w:szCs w:val="18"/>
        </w:rPr>
        <w:tab/>
      </w:r>
      <w:r w:rsidR="00BD0011" w:rsidRPr="00EB3380">
        <w:rPr>
          <w:szCs w:val="18"/>
        </w:rPr>
        <w:t xml:space="preserve">SEDESOL, </w:t>
      </w:r>
      <w:r w:rsidR="00BD0011" w:rsidRPr="00EB3380">
        <w:rPr>
          <w:i/>
          <w:iCs/>
          <w:szCs w:val="18"/>
        </w:rPr>
        <w:t xml:space="preserve">CIDH realiza visita in loco </w:t>
      </w:r>
      <w:r w:rsidR="00BD0011" w:rsidRPr="00EB3380">
        <w:rPr>
          <w:szCs w:val="18"/>
        </w:rPr>
        <w:t xml:space="preserve">a </w:t>
      </w:r>
      <w:r w:rsidR="00BD0011" w:rsidRPr="00EB3380">
        <w:rPr>
          <w:i/>
          <w:iCs/>
          <w:szCs w:val="18"/>
        </w:rPr>
        <w:t xml:space="preserve">Honduras, </w:t>
      </w:r>
      <w:r w:rsidR="00BD0011" w:rsidRPr="00EB3380">
        <w:rPr>
          <w:szCs w:val="18"/>
        </w:rPr>
        <w:t>27 de abril de 2023</w:t>
      </w:r>
      <w:r w:rsidR="00BD0011" w:rsidRPr="00EB3380">
        <w:rPr>
          <w:i/>
          <w:iCs/>
          <w:szCs w:val="18"/>
        </w:rPr>
        <w:t>.</w:t>
      </w:r>
      <w:r w:rsidR="00BD0011" w:rsidRPr="00EB3380">
        <w:rPr>
          <w:szCs w:val="18"/>
        </w:rPr>
        <w:t xml:space="preserve"> </w:t>
      </w:r>
      <w:hyperlink r:id="rId6" w:history="1">
        <w:r w:rsidR="00BD0011" w:rsidRPr="00EB3380">
          <w:rPr>
            <w:rStyle w:val="Hyperlink"/>
            <w:szCs w:val="18"/>
          </w:rPr>
          <w:t>https://n9.cl/8toux</w:t>
        </w:r>
      </w:hyperlink>
      <w:r w:rsidR="00BD0011" w:rsidRPr="00EB3380">
        <w:rPr>
          <w:szCs w:val="18"/>
        </w:rPr>
        <w:t xml:space="preserve">  </w:t>
      </w:r>
    </w:p>
  </w:footnote>
  <w:footnote w:id="10">
    <w:p w14:paraId="368CC7FC" w14:textId="616BCAAD" w:rsidR="00BD0011" w:rsidRPr="00EB3380" w:rsidRDefault="00EB3380" w:rsidP="00BD0011">
      <w:pPr>
        <w:pStyle w:val="FootnoteText"/>
        <w:rPr>
          <w:szCs w:val="18"/>
          <w:lang w:val="es-MX"/>
        </w:rPr>
      </w:pPr>
      <w:r>
        <w:rPr>
          <w:szCs w:val="18"/>
        </w:rPr>
        <w:tab/>
      </w:r>
      <w:r w:rsidR="00BD0011" w:rsidRPr="00EB3380">
        <w:rPr>
          <w:rStyle w:val="FootnoteReference"/>
          <w:szCs w:val="18"/>
        </w:rPr>
        <w:footnoteRef/>
      </w:r>
      <w:r>
        <w:rPr>
          <w:szCs w:val="18"/>
        </w:rPr>
        <w:tab/>
      </w:r>
      <w:r w:rsidR="00BD0011" w:rsidRPr="00EB3380">
        <w:rPr>
          <w:szCs w:val="18"/>
        </w:rPr>
        <w:t xml:space="preserve">CONADEH, </w:t>
      </w:r>
      <w:r w:rsidR="00BD0011" w:rsidRPr="00EB3380">
        <w:rPr>
          <w:rFonts w:eastAsia="Times New Roman"/>
          <w:i/>
          <w:iCs/>
          <w:szCs w:val="18"/>
        </w:rPr>
        <w:t>Informe Anual: situación de los derechos humanos en Honduras y la gestión institucional 2022.</w:t>
      </w:r>
      <w:r w:rsidR="00BD0011" w:rsidRPr="00EB3380" w:rsidDel="00CD7005">
        <w:rPr>
          <w:szCs w:val="18"/>
          <w:lang w:val="es-MX"/>
        </w:rPr>
        <w:t xml:space="preserve"> </w:t>
      </w:r>
      <w:hyperlink r:id="rId7" w:history="1">
        <w:r w:rsidR="00BD0011" w:rsidRPr="00EB3380">
          <w:rPr>
            <w:rStyle w:val="Hyperlink"/>
            <w:szCs w:val="18"/>
            <w:lang w:val="es-MX"/>
          </w:rPr>
          <w:t>https://n9.cl/7dnxc</w:t>
        </w:r>
      </w:hyperlink>
    </w:p>
  </w:footnote>
  <w:footnote w:id="11">
    <w:p w14:paraId="51E0F25A" w14:textId="70D368D8" w:rsidR="00BD0011" w:rsidRPr="00EB3380" w:rsidRDefault="00EB3380" w:rsidP="00BD0011">
      <w:pPr>
        <w:pStyle w:val="FootnoteText"/>
        <w:rPr>
          <w:szCs w:val="18"/>
          <w:lang w:val="es-MX"/>
        </w:rPr>
      </w:pPr>
      <w:r>
        <w:rPr>
          <w:szCs w:val="18"/>
        </w:rPr>
        <w:tab/>
      </w:r>
      <w:r w:rsidR="00BD0011" w:rsidRPr="00EB3380">
        <w:rPr>
          <w:rStyle w:val="FootnoteReference"/>
          <w:szCs w:val="18"/>
        </w:rPr>
        <w:footnoteRef/>
      </w:r>
      <w:r>
        <w:rPr>
          <w:szCs w:val="18"/>
        </w:rPr>
        <w:tab/>
      </w:r>
      <w:r w:rsidR="00BD0011" w:rsidRPr="00EB3380">
        <w:rPr>
          <w:szCs w:val="18"/>
        </w:rPr>
        <w:t>Decreto Legislativo No.130-2017.</w:t>
      </w:r>
    </w:p>
  </w:footnote>
  <w:footnote w:id="12">
    <w:p w14:paraId="3DBE3E70" w14:textId="0FB7CCD7" w:rsidR="00BD0011" w:rsidRPr="00EB3380" w:rsidRDefault="00EB3380" w:rsidP="00BD0011">
      <w:pPr>
        <w:pStyle w:val="FootnoteText"/>
        <w:rPr>
          <w:szCs w:val="18"/>
          <w:lang w:val="es-MX"/>
        </w:rPr>
      </w:pPr>
      <w:r>
        <w:rPr>
          <w:szCs w:val="18"/>
        </w:rPr>
        <w:tab/>
      </w:r>
      <w:r w:rsidR="00BD0011" w:rsidRPr="00EB3380">
        <w:rPr>
          <w:rStyle w:val="FootnoteReference"/>
          <w:szCs w:val="18"/>
        </w:rPr>
        <w:footnoteRef/>
      </w:r>
      <w:r>
        <w:rPr>
          <w:szCs w:val="18"/>
        </w:rPr>
        <w:tab/>
      </w:r>
      <w:r w:rsidR="00BD0011" w:rsidRPr="00EB3380">
        <w:rPr>
          <w:szCs w:val="18"/>
        </w:rPr>
        <w:t xml:space="preserve">Poder Popular, </w:t>
      </w:r>
      <w:r w:rsidR="00BD0011" w:rsidRPr="00EB3380">
        <w:rPr>
          <w:i/>
          <w:iCs/>
          <w:szCs w:val="18"/>
        </w:rPr>
        <w:t>Salud capacita a médicos, psicólogos y sexólogos sobre protocolo de Atención Integral a personas víctimas y sobrevivientes de violencia sexual</w:t>
      </w:r>
      <w:r w:rsidR="00BD0011" w:rsidRPr="00EB3380">
        <w:rPr>
          <w:szCs w:val="18"/>
        </w:rPr>
        <w:t xml:space="preserve">, 2023. </w:t>
      </w:r>
      <w:hyperlink r:id="rId8" w:history="1">
        <w:r w:rsidR="00BD0011" w:rsidRPr="00EB3380">
          <w:rPr>
            <w:rStyle w:val="Hyperlink"/>
            <w:szCs w:val="18"/>
          </w:rPr>
          <w:t>https://n9.cl/pri4t</w:t>
        </w:r>
      </w:hyperlink>
      <w:r w:rsidR="00BD0011" w:rsidRPr="00EB3380">
        <w:rPr>
          <w:szCs w:val="18"/>
        </w:rPr>
        <w:t xml:space="preserve"> </w:t>
      </w:r>
    </w:p>
  </w:footnote>
  <w:footnote w:id="13">
    <w:p w14:paraId="466E1D10" w14:textId="34185F48" w:rsidR="00BD0011" w:rsidRPr="007631F0" w:rsidRDefault="007631F0" w:rsidP="00BD0011">
      <w:pPr>
        <w:pStyle w:val="FootnoteText"/>
        <w:rPr>
          <w:szCs w:val="18"/>
          <w:lang w:val="es-MX"/>
        </w:rPr>
      </w:pPr>
      <w:r>
        <w:rPr>
          <w:szCs w:val="18"/>
        </w:rPr>
        <w:tab/>
      </w:r>
      <w:r w:rsidR="00BD0011" w:rsidRPr="007631F0">
        <w:rPr>
          <w:rStyle w:val="FootnoteReference"/>
          <w:szCs w:val="18"/>
        </w:rPr>
        <w:footnoteRef/>
      </w:r>
      <w:r>
        <w:rPr>
          <w:szCs w:val="18"/>
        </w:rPr>
        <w:tab/>
      </w:r>
      <w:r w:rsidR="00BD0011" w:rsidRPr="007631F0">
        <w:rPr>
          <w:szCs w:val="18"/>
        </w:rPr>
        <w:t xml:space="preserve">SEDESOL, </w:t>
      </w:r>
      <w:r w:rsidR="00BD0011" w:rsidRPr="007631F0">
        <w:rPr>
          <w:i/>
          <w:iCs/>
          <w:szCs w:val="18"/>
        </w:rPr>
        <w:t>El Gobierno Solidario promueve el primer encuentro de mujeres con discapacidad en Honduras</w:t>
      </w:r>
      <w:r w:rsidR="00BD0011" w:rsidRPr="007631F0">
        <w:rPr>
          <w:szCs w:val="18"/>
        </w:rPr>
        <w:t xml:space="preserve">. </w:t>
      </w:r>
      <w:hyperlink r:id="rId9" w:history="1">
        <w:r w:rsidR="00BD0011" w:rsidRPr="007631F0">
          <w:rPr>
            <w:rStyle w:val="Hyperlink"/>
            <w:szCs w:val="18"/>
          </w:rPr>
          <w:t>https://n9.cl/b3b2j</w:t>
        </w:r>
      </w:hyperlink>
      <w:r w:rsidR="00BD0011" w:rsidRPr="007631F0">
        <w:rPr>
          <w:szCs w:val="18"/>
        </w:rPr>
        <w:t xml:space="preserve"> </w:t>
      </w:r>
    </w:p>
  </w:footnote>
  <w:footnote w:id="14">
    <w:p w14:paraId="095DC881" w14:textId="62B87C07" w:rsidR="00BD0011" w:rsidRPr="007631F0" w:rsidRDefault="007631F0" w:rsidP="00BD0011">
      <w:pPr>
        <w:pStyle w:val="FootnoteText"/>
        <w:rPr>
          <w:szCs w:val="18"/>
          <w:lang w:val="es-MX"/>
        </w:rPr>
      </w:pPr>
      <w:r>
        <w:rPr>
          <w:szCs w:val="18"/>
        </w:rPr>
        <w:tab/>
      </w:r>
      <w:r w:rsidR="00BD0011" w:rsidRPr="007631F0">
        <w:rPr>
          <w:rStyle w:val="FootnoteReference"/>
          <w:szCs w:val="18"/>
        </w:rPr>
        <w:footnoteRef/>
      </w:r>
      <w:r>
        <w:rPr>
          <w:szCs w:val="18"/>
        </w:rPr>
        <w:tab/>
      </w:r>
      <w:r w:rsidR="00BD0011" w:rsidRPr="007631F0">
        <w:rPr>
          <w:szCs w:val="18"/>
          <w:lang w:val="es-MX"/>
        </w:rPr>
        <w:t>Creada mediante Decreto PCM-05-2022, Gaceta 35,892.</w:t>
      </w:r>
    </w:p>
  </w:footnote>
  <w:footnote w:id="15">
    <w:p w14:paraId="6DE1C099" w14:textId="33D884D6" w:rsidR="00BD0011" w:rsidRPr="0084495E" w:rsidRDefault="0084495E" w:rsidP="00BD0011">
      <w:pPr>
        <w:pStyle w:val="FootnoteText"/>
        <w:rPr>
          <w:szCs w:val="18"/>
          <w:lang w:val="es-MX"/>
        </w:rPr>
      </w:pPr>
      <w:r>
        <w:rPr>
          <w:szCs w:val="18"/>
        </w:rPr>
        <w:tab/>
      </w:r>
      <w:r w:rsidR="00BD0011" w:rsidRPr="0084495E">
        <w:rPr>
          <w:rStyle w:val="FootnoteReference"/>
          <w:szCs w:val="18"/>
        </w:rPr>
        <w:footnoteRef/>
      </w:r>
      <w:r>
        <w:rPr>
          <w:szCs w:val="18"/>
        </w:rPr>
        <w:tab/>
      </w:r>
      <w:r w:rsidR="00BD0011" w:rsidRPr="0084495E">
        <w:rPr>
          <w:szCs w:val="18"/>
        </w:rPr>
        <w:t xml:space="preserve">SEDESOL, </w:t>
      </w:r>
      <w:r w:rsidR="00BD0011" w:rsidRPr="0084495E">
        <w:rPr>
          <w:i/>
          <w:iCs/>
          <w:szCs w:val="18"/>
        </w:rPr>
        <w:t>El camino de la resistencia al poder: Aspectos Históricos</w:t>
      </w:r>
      <w:r w:rsidR="00BD0011" w:rsidRPr="0084495E">
        <w:rPr>
          <w:szCs w:val="18"/>
          <w:lang w:val="es-MX"/>
        </w:rPr>
        <w:t xml:space="preserve">. </w:t>
      </w:r>
      <w:hyperlink r:id="rId10" w:history="1">
        <w:r w:rsidR="00BD0011" w:rsidRPr="0084495E">
          <w:rPr>
            <w:rStyle w:val="Hyperlink"/>
            <w:szCs w:val="18"/>
            <w:lang w:val="es-MX"/>
          </w:rPr>
          <w:t>https://n9.cl/qthnl</w:t>
        </w:r>
      </w:hyperlink>
      <w:r w:rsidR="00BD0011" w:rsidRPr="0084495E">
        <w:rPr>
          <w:szCs w:val="18"/>
          <w:lang w:val="es-MX"/>
        </w:rPr>
        <w:t xml:space="preserve"> </w:t>
      </w:r>
    </w:p>
  </w:footnote>
  <w:footnote w:id="16">
    <w:p w14:paraId="08A68F38" w14:textId="14CBB2D6" w:rsidR="00BD0011" w:rsidRPr="00EF5425" w:rsidRDefault="00EF5425" w:rsidP="00BD0011">
      <w:pPr>
        <w:pStyle w:val="FootnoteText"/>
        <w:rPr>
          <w:szCs w:val="18"/>
          <w:lang w:val="es-MX"/>
        </w:rPr>
      </w:pPr>
      <w:r>
        <w:rPr>
          <w:szCs w:val="18"/>
        </w:rPr>
        <w:tab/>
      </w:r>
      <w:r w:rsidR="00BD0011" w:rsidRPr="00EF5425">
        <w:rPr>
          <w:rStyle w:val="FootnoteReference"/>
          <w:szCs w:val="18"/>
        </w:rPr>
        <w:footnoteRef/>
      </w:r>
      <w:r>
        <w:rPr>
          <w:szCs w:val="18"/>
        </w:rPr>
        <w:tab/>
      </w:r>
      <w:r w:rsidR="00BD0011" w:rsidRPr="00EF5425">
        <w:rPr>
          <w:szCs w:val="18"/>
        </w:rPr>
        <w:t>Poder Judicial. Acuerdo No.05-2017, Gaceta 34,445.</w:t>
      </w:r>
    </w:p>
  </w:footnote>
  <w:footnote w:id="17">
    <w:p w14:paraId="78D0FE87" w14:textId="4711953C" w:rsidR="00BD0011" w:rsidRPr="003415E3" w:rsidRDefault="003415E3" w:rsidP="00BD0011">
      <w:pPr>
        <w:pStyle w:val="FootnoteText"/>
        <w:rPr>
          <w:szCs w:val="18"/>
          <w:lang w:val="es-MX"/>
        </w:rPr>
      </w:pPr>
      <w:r>
        <w:rPr>
          <w:szCs w:val="18"/>
        </w:rPr>
        <w:tab/>
      </w:r>
      <w:r w:rsidR="00BD0011" w:rsidRPr="003415E3">
        <w:rPr>
          <w:rStyle w:val="FootnoteReference"/>
          <w:szCs w:val="18"/>
        </w:rPr>
        <w:footnoteRef/>
      </w:r>
      <w:r>
        <w:rPr>
          <w:szCs w:val="18"/>
        </w:rPr>
        <w:tab/>
      </w:r>
      <w:r w:rsidR="00BD0011" w:rsidRPr="003415E3">
        <w:rPr>
          <w:szCs w:val="18"/>
        </w:rPr>
        <w:t xml:space="preserve">Poder Popular HN, </w:t>
      </w:r>
      <w:r w:rsidR="00BD0011" w:rsidRPr="003415E3">
        <w:rPr>
          <w:i/>
          <w:iCs/>
          <w:szCs w:val="18"/>
        </w:rPr>
        <w:t>La SEDESOL junto a OSC y ONU-Mujeres Instalan la primera mesa de mujeres y discapacidad en Honduras</w:t>
      </w:r>
      <w:r w:rsidR="00BD0011" w:rsidRPr="003415E3">
        <w:rPr>
          <w:szCs w:val="18"/>
        </w:rPr>
        <w:t xml:space="preserve">.2023. </w:t>
      </w:r>
      <w:hyperlink r:id="rId11" w:history="1">
        <w:r w:rsidR="00BD0011" w:rsidRPr="003415E3">
          <w:rPr>
            <w:rStyle w:val="Hyperlink"/>
            <w:szCs w:val="18"/>
          </w:rPr>
          <w:t>https://n9.cl/hgojlx</w:t>
        </w:r>
      </w:hyperlink>
      <w:r w:rsidR="00BD0011" w:rsidRPr="003415E3">
        <w:rPr>
          <w:szCs w:val="18"/>
        </w:rPr>
        <w:t xml:space="preserve"> </w:t>
      </w:r>
    </w:p>
  </w:footnote>
  <w:footnote w:id="18">
    <w:p w14:paraId="04C1812D" w14:textId="20F7BB47" w:rsidR="00BD0011" w:rsidRPr="00623149" w:rsidRDefault="003415E3" w:rsidP="00BD0011">
      <w:pPr>
        <w:pStyle w:val="FootnoteText"/>
        <w:rPr>
          <w:lang w:val="es-MX"/>
        </w:rPr>
      </w:pPr>
      <w:r>
        <w:rPr>
          <w:szCs w:val="18"/>
        </w:rPr>
        <w:tab/>
      </w:r>
      <w:r w:rsidR="00BD0011" w:rsidRPr="003415E3">
        <w:rPr>
          <w:rStyle w:val="FootnoteReference"/>
          <w:szCs w:val="18"/>
        </w:rPr>
        <w:footnoteRef/>
      </w:r>
      <w:r>
        <w:rPr>
          <w:szCs w:val="18"/>
        </w:rPr>
        <w:tab/>
      </w:r>
      <w:r w:rsidR="00BD0011" w:rsidRPr="003415E3">
        <w:rPr>
          <w:szCs w:val="18"/>
        </w:rPr>
        <w:t>Decreto Legislativo No.42-2022.</w:t>
      </w:r>
    </w:p>
  </w:footnote>
  <w:footnote w:id="19">
    <w:p w14:paraId="0E853FD7" w14:textId="47DB2D3F" w:rsidR="00BD0011" w:rsidRPr="00902039" w:rsidRDefault="00902039" w:rsidP="00BD0011">
      <w:pPr>
        <w:pStyle w:val="FootnoteText"/>
        <w:rPr>
          <w:szCs w:val="18"/>
          <w:lang w:val="es-MX"/>
        </w:rPr>
      </w:pPr>
      <w:r>
        <w:rPr>
          <w:szCs w:val="18"/>
        </w:rPr>
        <w:tab/>
      </w:r>
      <w:r w:rsidR="00BD0011" w:rsidRPr="00902039">
        <w:rPr>
          <w:rStyle w:val="FootnoteReference"/>
          <w:szCs w:val="18"/>
        </w:rPr>
        <w:footnoteRef/>
      </w:r>
      <w:r>
        <w:rPr>
          <w:szCs w:val="18"/>
        </w:rPr>
        <w:tab/>
      </w:r>
      <w:r w:rsidR="00BD0011" w:rsidRPr="00902039">
        <w:rPr>
          <w:rFonts w:eastAsia="Times New Roman"/>
          <w:szCs w:val="18"/>
        </w:rPr>
        <w:t>Resolución GRD-767/05-12-2022 y GRD-768/05-12-2022.</w:t>
      </w:r>
    </w:p>
  </w:footnote>
  <w:footnote w:id="20">
    <w:p w14:paraId="28EEE031" w14:textId="7E4456F2" w:rsidR="00BD0011" w:rsidRPr="00902039" w:rsidRDefault="00902039" w:rsidP="00BD0011">
      <w:pPr>
        <w:pStyle w:val="FootnoteText"/>
        <w:rPr>
          <w:szCs w:val="18"/>
          <w:lang w:val="es-MX"/>
        </w:rPr>
      </w:pPr>
      <w:r>
        <w:rPr>
          <w:szCs w:val="18"/>
        </w:rPr>
        <w:tab/>
      </w:r>
      <w:r w:rsidR="00BD0011" w:rsidRPr="00902039">
        <w:rPr>
          <w:rStyle w:val="FootnoteReference"/>
          <w:szCs w:val="18"/>
        </w:rPr>
        <w:footnoteRef/>
      </w:r>
      <w:r>
        <w:rPr>
          <w:szCs w:val="18"/>
        </w:rPr>
        <w:tab/>
      </w:r>
      <w:r w:rsidR="00BD0011" w:rsidRPr="00902039">
        <w:rPr>
          <w:szCs w:val="18"/>
          <w:lang w:val="es-MX"/>
        </w:rPr>
        <w:t>Datos proporcionados por SART/SACE-USINIEH-SEDUC.</w:t>
      </w:r>
    </w:p>
  </w:footnote>
  <w:footnote w:id="21">
    <w:p w14:paraId="6F1B7D68" w14:textId="0DF19B52" w:rsidR="00BD0011" w:rsidRPr="00902039" w:rsidRDefault="00902039" w:rsidP="00BD0011">
      <w:pPr>
        <w:pStyle w:val="FootnoteText"/>
        <w:rPr>
          <w:szCs w:val="18"/>
          <w:lang w:val="es-MX"/>
        </w:rPr>
      </w:pPr>
      <w:r>
        <w:rPr>
          <w:szCs w:val="18"/>
        </w:rPr>
        <w:tab/>
      </w:r>
      <w:r w:rsidR="00BD0011" w:rsidRPr="00902039">
        <w:rPr>
          <w:rStyle w:val="FootnoteReference"/>
          <w:szCs w:val="18"/>
        </w:rPr>
        <w:footnoteRef/>
      </w:r>
      <w:r>
        <w:rPr>
          <w:szCs w:val="18"/>
        </w:rPr>
        <w:tab/>
      </w:r>
      <w:r w:rsidR="00BD0011" w:rsidRPr="00902039">
        <w:rPr>
          <w:szCs w:val="18"/>
        </w:rPr>
        <w:t xml:space="preserve">SEDUC, </w:t>
      </w:r>
      <w:r w:rsidR="00BD0011" w:rsidRPr="00902039">
        <w:rPr>
          <w:i/>
          <w:iCs/>
          <w:szCs w:val="18"/>
          <w:lang w:val="es-MX"/>
        </w:rPr>
        <w:t>Educación Lanza el año de la Inclusión Educativa en Honduras</w:t>
      </w:r>
      <w:r w:rsidR="00BD0011" w:rsidRPr="00902039">
        <w:rPr>
          <w:szCs w:val="18"/>
          <w:lang w:val="es-MX"/>
        </w:rPr>
        <w:t xml:space="preserve">. </w:t>
      </w:r>
      <w:hyperlink r:id="rId12" w:history="1">
        <w:r w:rsidR="00BD0011" w:rsidRPr="00902039">
          <w:rPr>
            <w:rStyle w:val="Hyperlink"/>
            <w:szCs w:val="18"/>
            <w:lang w:val="es-MX"/>
          </w:rPr>
          <w:t>https://n9.cl/ox1uh</w:t>
        </w:r>
      </w:hyperlink>
      <w:r w:rsidR="00BD0011" w:rsidRPr="00902039">
        <w:rPr>
          <w:szCs w:val="18"/>
          <w:lang w:val="es-MX"/>
        </w:rPr>
        <w:t xml:space="preserve">  </w:t>
      </w:r>
    </w:p>
  </w:footnote>
  <w:footnote w:id="22">
    <w:p w14:paraId="0CA6F52C" w14:textId="169E6233" w:rsidR="00BD0011" w:rsidRPr="00902039" w:rsidRDefault="00902039" w:rsidP="00902039">
      <w:pPr>
        <w:pStyle w:val="FootnoteText"/>
        <w:rPr>
          <w:szCs w:val="18"/>
        </w:rPr>
      </w:pPr>
      <w:r>
        <w:rPr>
          <w:szCs w:val="18"/>
        </w:rPr>
        <w:tab/>
      </w:r>
      <w:r w:rsidR="00BD0011" w:rsidRPr="00902039">
        <w:rPr>
          <w:szCs w:val="18"/>
          <w:vertAlign w:val="superscript"/>
        </w:rPr>
        <w:footnoteRef/>
      </w:r>
      <w:r>
        <w:rPr>
          <w:szCs w:val="18"/>
        </w:rPr>
        <w:tab/>
      </w:r>
      <w:r w:rsidR="00BD0011" w:rsidRPr="00902039">
        <w:rPr>
          <w:rFonts w:eastAsia="Times New Roman"/>
          <w:szCs w:val="18"/>
        </w:rPr>
        <w:t xml:space="preserve">SEDUC, </w:t>
      </w:r>
      <w:r w:rsidR="00BD0011" w:rsidRPr="00902039">
        <w:rPr>
          <w:rFonts w:eastAsia="Times New Roman"/>
          <w:i/>
          <w:iCs/>
          <w:szCs w:val="18"/>
        </w:rPr>
        <w:t>Memoria Institucional Anual 2022.</w:t>
      </w:r>
      <w:r w:rsidR="00BD0011" w:rsidRPr="00902039">
        <w:rPr>
          <w:rFonts w:eastAsia="Times New Roman"/>
          <w:szCs w:val="18"/>
        </w:rPr>
        <w:t xml:space="preserve"> </w:t>
      </w:r>
    </w:p>
  </w:footnote>
  <w:footnote w:id="23">
    <w:p w14:paraId="4B2E9D0E" w14:textId="7E82B5C7" w:rsidR="00BD0011" w:rsidRPr="00902039" w:rsidRDefault="00902039" w:rsidP="00BD0011">
      <w:pPr>
        <w:pStyle w:val="FootnoteText"/>
        <w:rPr>
          <w:szCs w:val="18"/>
          <w:lang w:val="es-MX"/>
        </w:rPr>
      </w:pPr>
      <w:r>
        <w:rPr>
          <w:szCs w:val="18"/>
        </w:rPr>
        <w:tab/>
      </w:r>
      <w:r w:rsidR="00BD0011" w:rsidRPr="00902039">
        <w:rPr>
          <w:rStyle w:val="FootnoteReference"/>
          <w:szCs w:val="18"/>
        </w:rPr>
        <w:footnoteRef/>
      </w:r>
      <w:r>
        <w:rPr>
          <w:szCs w:val="18"/>
        </w:rPr>
        <w:tab/>
      </w:r>
      <w:r w:rsidR="00BD0011" w:rsidRPr="00902039">
        <w:rPr>
          <w:szCs w:val="18"/>
        </w:rPr>
        <w:t xml:space="preserve">DIRCOM, </w:t>
      </w:r>
      <w:r w:rsidR="00BD0011" w:rsidRPr="00902039">
        <w:rPr>
          <w:i/>
          <w:iCs/>
          <w:szCs w:val="18"/>
          <w:lang w:val="es-MX"/>
        </w:rPr>
        <w:t>PROSENE pilar fundamental de la inclusión educativa a favor de los estudiantes con discapacidad.</w:t>
      </w:r>
      <w:r w:rsidR="00BD0011" w:rsidRPr="00902039">
        <w:rPr>
          <w:szCs w:val="18"/>
          <w:lang w:val="es-MX"/>
        </w:rPr>
        <w:t>2022</w:t>
      </w:r>
      <w:r w:rsidR="00BD0011" w:rsidRPr="00902039">
        <w:rPr>
          <w:i/>
          <w:iCs/>
          <w:szCs w:val="18"/>
          <w:lang w:val="es-MX"/>
        </w:rPr>
        <w:t xml:space="preserve">. </w:t>
      </w:r>
      <w:hyperlink r:id="rId13" w:history="1">
        <w:r w:rsidR="00BD0011" w:rsidRPr="00902039">
          <w:rPr>
            <w:rStyle w:val="Hyperlink"/>
            <w:szCs w:val="18"/>
            <w:lang w:val="es-MX"/>
          </w:rPr>
          <w:t>https://n9.cl/rywuq</w:t>
        </w:r>
      </w:hyperlink>
      <w:r w:rsidR="00BD0011" w:rsidRPr="00902039">
        <w:rPr>
          <w:szCs w:val="18"/>
          <w:lang w:val="es-MX"/>
        </w:rPr>
        <w:t xml:space="preserve"> </w:t>
      </w:r>
    </w:p>
  </w:footnote>
  <w:footnote w:id="24">
    <w:p w14:paraId="564C0C1C" w14:textId="2E8B8FE1" w:rsidR="00BD0011" w:rsidRPr="001012F4" w:rsidRDefault="001012F4" w:rsidP="00BD0011">
      <w:pPr>
        <w:pStyle w:val="FootnoteText"/>
        <w:jc w:val="both"/>
        <w:rPr>
          <w:szCs w:val="18"/>
          <w:lang w:val="es-MX"/>
        </w:rPr>
      </w:pPr>
      <w:r>
        <w:rPr>
          <w:szCs w:val="18"/>
        </w:rPr>
        <w:tab/>
      </w:r>
      <w:r w:rsidR="00BD0011" w:rsidRPr="001012F4">
        <w:rPr>
          <w:rStyle w:val="FootnoteReference"/>
          <w:szCs w:val="18"/>
        </w:rPr>
        <w:footnoteRef/>
      </w:r>
      <w:r>
        <w:rPr>
          <w:szCs w:val="18"/>
        </w:rPr>
        <w:tab/>
      </w:r>
      <w:r w:rsidR="00BD0011" w:rsidRPr="001012F4">
        <w:rPr>
          <w:szCs w:val="18"/>
        </w:rPr>
        <w:t>Acuerdo 75-2023, Gaceta 36,174.</w:t>
      </w:r>
    </w:p>
  </w:footnote>
  <w:footnote w:id="25">
    <w:p w14:paraId="3E7968D6" w14:textId="6C252B7C" w:rsidR="00BD0011" w:rsidRPr="001012F4" w:rsidRDefault="001012F4" w:rsidP="00BD0011">
      <w:pPr>
        <w:pStyle w:val="FootnoteText"/>
        <w:jc w:val="both"/>
        <w:rPr>
          <w:szCs w:val="18"/>
          <w:lang w:val="es-MX"/>
        </w:rPr>
      </w:pPr>
      <w:r>
        <w:rPr>
          <w:szCs w:val="18"/>
        </w:rPr>
        <w:tab/>
      </w:r>
      <w:r w:rsidR="00BD0011" w:rsidRPr="001012F4">
        <w:rPr>
          <w:rStyle w:val="FootnoteReference"/>
          <w:szCs w:val="18"/>
        </w:rPr>
        <w:footnoteRef/>
      </w:r>
      <w:r>
        <w:rPr>
          <w:szCs w:val="18"/>
        </w:rPr>
        <w:tab/>
      </w:r>
      <w:r w:rsidR="00BD0011" w:rsidRPr="001012F4">
        <w:rPr>
          <w:szCs w:val="18"/>
        </w:rPr>
        <w:t xml:space="preserve">Poder Popular, </w:t>
      </w:r>
      <w:r w:rsidR="00BD0011" w:rsidRPr="001012F4">
        <w:rPr>
          <w:i/>
          <w:iCs/>
          <w:szCs w:val="18"/>
        </w:rPr>
        <w:t>La ARSA autoriza nuevos registros sanitarios para la comercialización de la PAE</w:t>
      </w:r>
      <w:r w:rsidR="00BD0011" w:rsidRPr="001012F4">
        <w:rPr>
          <w:szCs w:val="18"/>
        </w:rPr>
        <w:t xml:space="preserve">. 2022. </w:t>
      </w:r>
      <w:hyperlink r:id="rId14" w:history="1">
        <w:r w:rsidR="00BD0011" w:rsidRPr="001012F4">
          <w:rPr>
            <w:rStyle w:val="Hyperlink"/>
            <w:szCs w:val="18"/>
          </w:rPr>
          <w:t>https://n9.cl/sh398</w:t>
        </w:r>
      </w:hyperlink>
      <w:r w:rsidR="00BD0011" w:rsidRPr="001012F4">
        <w:rPr>
          <w:szCs w:val="18"/>
        </w:rPr>
        <w:t xml:space="preserve"> </w:t>
      </w:r>
      <w:r w:rsidR="00BD0011" w:rsidRPr="001012F4" w:rsidDel="00DE63A8">
        <w:rPr>
          <w:szCs w:val="18"/>
        </w:rPr>
        <w:t xml:space="preserve"> </w:t>
      </w:r>
    </w:p>
  </w:footnote>
  <w:footnote w:id="26">
    <w:p w14:paraId="52B7AB57" w14:textId="714DE9FD" w:rsidR="00BD0011" w:rsidRPr="00A516A5" w:rsidRDefault="00A516A5" w:rsidP="00BD0011">
      <w:pPr>
        <w:pStyle w:val="FootnoteText"/>
        <w:rPr>
          <w:szCs w:val="18"/>
          <w:lang w:val="es-MX"/>
        </w:rPr>
      </w:pPr>
      <w:r>
        <w:rPr>
          <w:szCs w:val="18"/>
        </w:rPr>
        <w:tab/>
      </w:r>
      <w:r w:rsidR="00BD0011" w:rsidRPr="00A516A5">
        <w:rPr>
          <w:rStyle w:val="FootnoteReference"/>
          <w:szCs w:val="18"/>
        </w:rPr>
        <w:footnoteRef/>
      </w:r>
      <w:r>
        <w:rPr>
          <w:szCs w:val="18"/>
        </w:rPr>
        <w:tab/>
      </w:r>
      <w:r w:rsidR="00BD0011" w:rsidRPr="00A516A5">
        <w:rPr>
          <w:szCs w:val="18"/>
        </w:rPr>
        <w:t>Acuerdo Ejecutivo STSS-577-2020.</w:t>
      </w:r>
    </w:p>
  </w:footnote>
  <w:footnote w:id="27">
    <w:p w14:paraId="6B34FB06" w14:textId="5C509B69" w:rsidR="00BD0011" w:rsidRPr="00A516A5" w:rsidRDefault="00A516A5" w:rsidP="00BD0011">
      <w:pPr>
        <w:pStyle w:val="FootnoteText"/>
        <w:rPr>
          <w:szCs w:val="18"/>
          <w:lang w:val="es-MX"/>
        </w:rPr>
      </w:pPr>
      <w:r>
        <w:rPr>
          <w:szCs w:val="18"/>
          <w:lang w:val="es-MX"/>
        </w:rPr>
        <w:tab/>
      </w:r>
      <w:r w:rsidR="00BD0011" w:rsidRPr="00A516A5">
        <w:rPr>
          <w:rStyle w:val="FootnoteReference"/>
          <w:szCs w:val="18"/>
        </w:rPr>
        <w:footnoteRef/>
      </w:r>
      <w:r>
        <w:rPr>
          <w:szCs w:val="18"/>
          <w:lang w:val="es-MX"/>
        </w:rPr>
        <w:tab/>
      </w:r>
      <w:r w:rsidR="00BD0011" w:rsidRPr="00A516A5">
        <w:rPr>
          <w:szCs w:val="18"/>
          <w:lang w:val="es-MX"/>
        </w:rPr>
        <w:t xml:space="preserve">SEDESOL </w:t>
      </w:r>
      <w:r w:rsidR="00BD0011" w:rsidRPr="00A516A5">
        <w:rPr>
          <w:i/>
          <w:iCs/>
          <w:szCs w:val="18"/>
          <w:lang w:val="es-MX"/>
        </w:rPr>
        <w:t xml:space="preserve">lanza Bolsa Virtual de Empleo para </w:t>
      </w:r>
      <w:proofErr w:type="spellStart"/>
      <w:r w:rsidR="00BD0011" w:rsidRPr="00A516A5">
        <w:rPr>
          <w:i/>
          <w:iCs/>
          <w:szCs w:val="18"/>
          <w:lang w:val="es-MX"/>
        </w:rPr>
        <w:t>PcD</w:t>
      </w:r>
      <w:proofErr w:type="spellEnd"/>
      <w:r w:rsidR="00BD0011" w:rsidRPr="00A516A5">
        <w:rPr>
          <w:i/>
          <w:iCs/>
          <w:szCs w:val="18"/>
          <w:lang w:val="es-MX"/>
        </w:rPr>
        <w:t xml:space="preserve"> y contrató las dos primeras personas a través de esa herramienta digita</w:t>
      </w:r>
      <w:r w:rsidR="00BD0011" w:rsidRPr="00A516A5">
        <w:rPr>
          <w:szCs w:val="18"/>
          <w:lang w:val="es-MX"/>
        </w:rPr>
        <w:t xml:space="preserve">. 2022. </w:t>
      </w:r>
      <w:hyperlink r:id="rId15" w:history="1">
        <w:r w:rsidR="00BD0011" w:rsidRPr="00A516A5">
          <w:rPr>
            <w:rStyle w:val="Hyperlink"/>
            <w:szCs w:val="18"/>
          </w:rPr>
          <w:t>https://n9.cl/vy7hz</w:t>
        </w:r>
      </w:hyperlink>
      <w:r w:rsidR="00BD0011" w:rsidRPr="00A516A5">
        <w:rPr>
          <w:szCs w:val="18"/>
        </w:rPr>
        <w:t xml:space="preserve"> </w:t>
      </w:r>
    </w:p>
  </w:footnote>
  <w:footnote w:id="28">
    <w:p w14:paraId="6A8F0DE3" w14:textId="41C223B7" w:rsidR="00BD0011" w:rsidRPr="007315E9" w:rsidRDefault="007315E9" w:rsidP="00BD0011">
      <w:pPr>
        <w:pStyle w:val="FootnoteText"/>
        <w:rPr>
          <w:szCs w:val="18"/>
          <w:lang w:val="es-MX"/>
        </w:rPr>
      </w:pPr>
      <w:r>
        <w:rPr>
          <w:szCs w:val="18"/>
        </w:rPr>
        <w:tab/>
      </w:r>
      <w:r w:rsidR="00BD0011" w:rsidRPr="007315E9">
        <w:rPr>
          <w:rStyle w:val="FootnoteReference"/>
          <w:szCs w:val="18"/>
        </w:rPr>
        <w:footnoteRef/>
      </w:r>
      <w:r>
        <w:rPr>
          <w:szCs w:val="18"/>
        </w:rPr>
        <w:tab/>
      </w:r>
      <w:r w:rsidR="00BD0011" w:rsidRPr="007315E9">
        <w:rPr>
          <w:szCs w:val="18"/>
          <w:lang w:val="es-MX"/>
        </w:rPr>
        <w:t>Decreto Ejecutivo PCM-08-2022, Gaceta 35,912.</w:t>
      </w:r>
    </w:p>
  </w:footnote>
  <w:footnote w:id="29">
    <w:p w14:paraId="0D14AF49" w14:textId="3D388A48" w:rsidR="00BD0011" w:rsidRPr="007315E9" w:rsidRDefault="007315E9" w:rsidP="00BD0011">
      <w:pPr>
        <w:pStyle w:val="FootnoteText"/>
        <w:rPr>
          <w:szCs w:val="18"/>
          <w:lang w:val="es-MX"/>
        </w:rPr>
      </w:pPr>
      <w:r>
        <w:rPr>
          <w:szCs w:val="18"/>
        </w:rPr>
        <w:tab/>
      </w:r>
      <w:r w:rsidR="00BD0011" w:rsidRPr="007315E9">
        <w:rPr>
          <w:rStyle w:val="FootnoteReference"/>
          <w:szCs w:val="18"/>
        </w:rPr>
        <w:footnoteRef/>
      </w:r>
      <w:r>
        <w:rPr>
          <w:szCs w:val="18"/>
        </w:rPr>
        <w:tab/>
      </w:r>
      <w:r w:rsidR="00BD0011" w:rsidRPr="007315E9">
        <w:rPr>
          <w:szCs w:val="18"/>
        </w:rPr>
        <w:t>Decreto Ejecutivo PCM-09-2023, Gaceta 36,151.</w:t>
      </w:r>
    </w:p>
  </w:footnote>
  <w:footnote w:id="30">
    <w:p w14:paraId="6D95339F" w14:textId="3F4D7AF8" w:rsidR="00BD0011" w:rsidRPr="007315E9" w:rsidRDefault="007315E9" w:rsidP="007315E9">
      <w:pPr>
        <w:pStyle w:val="FootnoteText"/>
        <w:rPr>
          <w:szCs w:val="18"/>
        </w:rPr>
      </w:pPr>
      <w:r>
        <w:rPr>
          <w:szCs w:val="18"/>
        </w:rPr>
        <w:tab/>
      </w:r>
      <w:r w:rsidR="00BD0011" w:rsidRPr="007315E9">
        <w:rPr>
          <w:szCs w:val="18"/>
          <w:vertAlign w:val="superscript"/>
        </w:rPr>
        <w:footnoteRef/>
      </w:r>
      <w:r>
        <w:rPr>
          <w:szCs w:val="18"/>
        </w:rPr>
        <w:tab/>
      </w:r>
      <w:r w:rsidR="00BD0011" w:rsidRPr="007315E9">
        <w:rPr>
          <w:rFonts w:eastAsia="Times New Roman"/>
          <w:szCs w:val="18"/>
        </w:rPr>
        <w:t>Decreto Legislativo No.157-2022, Gaceta 36,127.</w:t>
      </w:r>
    </w:p>
  </w:footnote>
  <w:footnote w:id="31">
    <w:p w14:paraId="0FEA4C22" w14:textId="2E623436" w:rsidR="00BD0011" w:rsidRDefault="007315E9" w:rsidP="007315E9">
      <w:pPr>
        <w:pStyle w:val="FootnoteText"/>
      </w:pPr>
      <w:r>
        <w:rPr>
          <w:szCs w:val="18"/>
        </w:rPr>
        <w:tab/>
      </w:r>
      <w:r w:rsidR="00BD0011" w:rsidRPr="007315E9">
        <w:rPr>
          <w:szCs w:val="18"/>
          <w:vertAlign w:val="superscript"/>
        </w:rPr>
        <w:footnoteRef/>
      </w:r>
      <w:r>
        <w:rPr>
          <w:szCs w:val="18"/>
        </w:rPr>
        <w:tab/>
      </w:r>
      <w:r w:rsidR="00BD0011" w:rsidRPr="007315E9">
        <w:rPr>
          <w:rFonts w:eastAsia="Times New Roman"/>
          <w:szCs w:val="18"/>
        </w:rPr>
        <w:t>Decreto Legislativo No.107-2021, Gaceta 35,800.</w:t>
      </w:r>
    </w:p>
  </w:footnote>
  <w:footnote w:id="32">
    <w:p w14:paraId="2A776116" w14:textId="77777777" w:rsidR="00BD0011" w:rsidRPr="009B7639" w:rsidRDefault="00BD0011" w:rsidP="00BD0011">
      <w:pPr>
        <w:spacing w:line="240" w:lineRule="auto"/>
        <w:rPr>
          <w:sz w:val="16"/>
          <w:szCs w:val="16"/>
        </w:rPr>
      </w:pPr>
      <w:r w:rsidRPr="00707251">
        <w:rPr>
          <w:vertAlign w:val="superscript"/>
        </w:rPr>
        <w:footnoteRef/>
      </w:r>
      <w:r w:rsidRPr="00707251">
        <w:t xml:space="preserve"> </w:t>
      </w:r>
      <w:r w:rsidRPr="009B7639">
        <w:rPr>
          <w:rFonts w:eastAsia="Times New Roman"/>
          <w:sz w:val="16"/>
          <w:szCs w:val="16"/>
        </w:rPr>
        <w:t xml:space="preserve">DINAF, </w:t>
      </w:r>
      <w:r w:rsidRPr="009B7639">
        <w:rPr>
          <w:rFonts w:eastAsia="Times New Roman"/>
          <w:i/>
          <w:iCs/>
          <w:sz w:val="16"/>
          <w:szCs w:val="16"/>
        </w:rPr>
        <w:t xml:space="preserve">Firma memorándum de entendimiento con la DINAF, Secretaría de la Presidencial, Secretaría de Gobernación, Justicia y Descentralización, INE y el UNICEF. 2023. </w:t>
      </w:r>
      <w:hyperlink r:id="rId16" w:history="1">
        <w:r w:rsidRPr="009B7639">
          <w:rPr>
            <w:rStyle w:val="Hyperlink"/>
            <w:rFonts w:eastAsia="Times New Roman"/>
            <w:i/>
            <w:iCs/>
            <w:sz w:val="16"/>
            <w:szCs w:val="16"/>
          </w:rPr>
          <w:t xml:space="preserve"> </w:t>
        </w:r>
      </w:hyperlink>
      <w:hyperlink r:id="rId17" w:history="1">
        <w:r w:rsidRPr="009B7639">
          <w:rPr>
            <w:rStyle w:val="Hyperlink"/>
            <w:rFonts w:eastAsia="Times New Roman"/>
            <w:color w:val="1155CC"/>
            <w:sz w:val="16"/>
            <w:szCs w:val="16"/>
          </w:rPr>
          <w:t>https://n9.cl/135ku/</w:t>
        </w:r>
      </w:hyperlink>
    </w:p>
  </w:footnote>
  <w:footnote w:id="33">
    <w:p w14:paraId="40D44D54" w14:textId="77777777" w:rsidR="00BD0011" w:rsidRPr="009B7639" w:rsidRDefault="00BD0011" w:rsidP="00BD0011">
      <w:pPr>
        <w:spacing w:line="240" w:lineRule="auto"/>
        <w:rPr>
          <w:sz w:val="16"/>
          <w:szCs w:val="16"/>
        </w:rPr>
      </w:pPr>
      <w:r w:rsidRPr="009B7639">
        <w:rPr>
          <w:sz w:val="16"/>
          <w:szCs w:val="16"/>
          <w:vertAlign w:val="superscript"/>
        </w:rPr>
        <w:footnoteRef/>
      </w:r>
      <w:r w:rsidRPr="009B7639">
        <w:rPr>
          <w:sz w:val="16"/>
          <w:szCs w:val="16"/>
        </w:rPr>
        <w:t xml:space="preserve"> INE, </w:t>
      </w:r>
      <w:r w:rsidRPr="009B7639">
        <w:rPr>
          <w:i/>
          <w:iCs/>
          <w:sz w:val="16"/>
          <w:szCs w:val="16"/>
        </w:rPr>
        <w:t>Reunión de Reactivación del Comité Estadístico de la Niñez, Adolescencia, Juventud y Familia</w:t>
      </w:r>
      <w:r w:rsidRPr="009B7639">
        <w:rPr>
          <w:sz w:val="16"/>
          <w:szCs w:val="16"/>
        </w:rPr>
        <w:t xml:space="preserve">. 2023. </w:t>
      </w:r>
      <w:hyperlink w:history="1"/>
      <w:r w:rsidRPr="009B7639">
        <w:rPr>
          <w:rStyle w:val="Hyperlink"/>
          <w:rFonts w:eastAsia="Times New Roman"/>
          <w:color w:val="1155CC"/>
          <w:sz w:val="16"/>
          <w:szCs w:val="16"/>
        </w:rPr>
        <w:t>https://n9.cl/f4x65</w:t>
      </w:r>
    </w:p>
  </w:footnote>
  <w:footnote w:id="34">
    <w:p w14:paraId="2BA75C2B" w14:textId="77777777" w:rsidR="00BD0011" w:rsidRPr="00707251" w:rsidRDefault="00BD0011" w:rsidP="00BD0011">
      <w:pPr>
        <w:spacing w:line="240" w:lineRule="auto"/>
        <w:jc w:val="both"/>
        <w:rPr>
          <w:rFonts w:eastAsia="Times New Roman"/>
          <w:color w:val="1155CC"/>
          <w:u w:val="single"/>
        </w:rPr>
      </w:pPr>
      <w:r w:rsidRPr="009B7639">
        <w:rPr>
          <w:sz w:val="16"/>
          <w:szCs w:val="16"/>
          <w:vertAlign w:val="superscript"/>
        </w:rPr>
        <w:footnoteRef/>
      </w:r>
      <w:r w:rsidRPr="009B7639">
        <w:rPr>
          <w:sz w:val="16"/>
          <w:szCs w:val="16"/>
        </w:rPr>
        <w:t xml:space="preserve"> </w:t>
      </w:r>
      <w:r w:rsidRPr="009B7639">
        <w:rPr>
          <w:rFonts w:eastAsia="Times New Roman"/>
          <w:sz w:val="16"/>
          <w:szCs w:val="16"/>
        </w:rPr>
        <w:t xml:space="preserve">INE, </w:t>
      </w:r>
      <w:r w:rsidRPr="009B7639">
        <w:rPr>
          <w:rFonts w:eastAsia="Times New Roman"/>
          <w:i/>
          <w:iCs/>
          <w:sz w:val="16"/>
          <w:szCs w:val="16"/>
        </w:rPr>
        <w:t>Firma memorándum de entendimiento para dar seguimiento a la iniciativa Censo y Encuesta Nacional de Niñez bajo Cuidado Residencial.</w:t>
      </w:r>
      <w:r w:rsidRPr="009B7639">
        <w:rPr>
          <w:rFonts w:eastAsia="Times New Roman"/>
          <w:sz w:val="16"/>
          <w:szCs w:val="16"/>
        </w:rPr>
        <w:t>2023</w:t>
      </w:r>
      <w:r w:rsidRPr="009B7639">
        <w:rPr>
          <w:rFonts w:eastAsia="Times New Roman"/>
          <w:i/>
          <w:iCs/>
          <w:sz w:val="16"/>
          <w:szCs w:val="16"/>
        </w:rPr>
        <w:t xml:space="preserve">. </w:t>
      </w:r>
      <w:hyperlink r:id="rId18" w:history="1">
        <w:r w:rsidRPr="009B7639">
          <w:rPr>
            <w:rStyle w:val="Hyperlink"/>
            <w:rFonts w:eastAsia="Times New Roman"/>
            <w:sz w:val="16"/>
            <w:szCs w:val="16"/>
          </w:rPr>
          <w:t>https://n9.cl/ree1q</w:t>
        </w:r>
      </w:hyperlink>
      <w:r>
        <w:rPr>
          <w:rFonts w:eastAsia="Times New Roman"/>
        </w:rPr>
        <w:t xml:space="preserve"> </w:t>
      </w:r>
    </w:p>
  </w:footnote>
  <w:footnote w:id="35">
    <w:p w14:paraId="4E87B07E" w14:textId="77777777" w:rsidR="00BD0011" w:rsidRPr="00707251" w:rsidRDefault="00BD0011" w:rsidP="00BD0011">
      <w:pPr>
        <w:pStyle w:val="FootnoteText"/>
        <w:jc w:val="both"/>
        <w:rPr>
          <w:lang w:val="es-MX"/>
        </w:rPr>
      </w:pPr>
      <w:r w:rsidRPr="00707251">
        <w:rPr>
          <w:rStyle w:val="FootnoteReference"/>
        </w:rPr>
        <w:footnoteRef/>
      </w:r>
      <w:r w:rsidRPr="00707251">
        <w:t xml:space="preserve"> </w:t>
      </w:r>
      <w:r>
        <w:t xml:space="preserve">CONADEH. (2023). </w:t>
      </w:r>
      <w:r w:rsidRPr="00F328C8">
        <w:rPr>
          <w:rFonts w:eastAsia="Times New Roman"/>
          <w:i/>
          <w:iCs/>
        </w:rPr>
        <w:t>Informe Anual</w:t>
      </w:r>
      <w:r>
        <w:rPr>
          <w:rFonts w:eastAsia="Times New Roman"/>
          <w:i/>
          <w:iCs/>
        </w:rPr>
        <w:t xml:space="preserv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C99BB" w14:textId="77777777" w:rsidR="001A4396" w:rsidRPr="001A4396" w:rsidRDefault="00053EA6">
    <w:pPr>
      <w:pStyle w:val="Header"/>
    </w:pPr>
    <w:r>
      <w:t>CRPD/C/HND/RQ/2-4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FBD98" w14:textId="77777777" w:rsidR="001A4396" w:rsidRPr="00935A0B" w:rsidRDefault="00053EA6" w:rsidP="00935A0B">
    <w:pPr>
      <w:pStyle w:val="Header"/>
      <w:jc w:val="right"/>
      <w:rPr>
        <w:u w:val="double"/>
      </w:rPr>
    </w:pPr>
    <w:r>
      <w:t>CRPD/C/HND/RQ/2-4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A1782" w14:textId="77777777" w:rsidR="00A711FB" w:rsidRDefault="00A711FB" w:rsidP="00A711FB">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D51646"/>
    <w:multiLevelType w:val="hybridMultilevel"/>
    <w:tmpl w:val="629C9188"/>
    <w:lvl w:ilvl="0" w:tplc="480A0019">
      <w:start w:val="1"/>
      <w:numFmt w:val="lowerLetter"/>
      <w:lvlText w:val="%1."/>
      <w:lvlJc w:val="left"/>
      <w:pPr>
        <w:ind w:left="2160" w:hanging="360"/>
      </w:pPr>
    </w:lvl>
    <w:lvl w:ilvl="1" w:tplc="480A0019" w:tentative="1">
      <w:start w:val="1"/>
      <w:numFmt w:val="lowerLetter"/>
      <w:lvlText w:val="%2."/>
      <w:lvlJc w:val="left"/>
      <w:pPr>
        <w:ind w:left="2880" w:hanging="360"/>
      </w:pPr>
    </w:lvl>
    <w:lvl w:ilvl="2" w:tplc="480A001B" w:tentative="1">
      <w:start w:val="1"/>
      <w:numFmt w:val="lowerRoman"/>
      <w:lvlText w:val="%3."/>
      <w:lvlJc w:val="right"/>
      <w:pPr>
        <w:ind w:left="3600" w:hanging="180"/>
      </w:pPr>
    </w:lvl>
    <w:lvl w:ilvl="3" w:tplc="480A000F" w:tentative="1">
      <w:start w:val="1"/>
      <w:numFmt w:val="decimal"/>
      <w:lvlText w:val="%4."/>
      <w:lvlJc w:val="left"/>
      <w:pPr>
        <w:ind w:left="4320" w:hanging="360"/>
      </w:pPr>
    </w:lvl>
    <w:lvl w:ilvl="4" w:tplc="480A0019" w:tentative="1">
      <w:start w:val="1"/>
      <w:numFmt w:val="lowerLetter"/>
      <w:lvlText w:val="%5."/>
      <w:lvlJc w:val="left"/>
      <w:pPr>
        <w:ind w:left="5040" w:hanging="360"/>
      </w:pPr>
    </w:lvl>
    <w:lvl w:ilvl="5" w:tplc="480A001B" w:tentative="1">
      <w:start w:val="1"/>
      <w:numFmt w:val="lowerRoman"/>
      <w:lvlText w:val="%6."/>
      <w:lvlJc w:val="right"/>
      <w:pPr>
        <w:ind w:left="5760" w:hanging="180"/>
      </w:pPr>
    </w:lvl>
    <w:lvl w:ilvl="6" w:tplc="480A000F" w:tentative="1">
      <w:start w:val="1"/>
      <w:numFmt w:val="decimal"/>
      <w:lvlText w:val="%7."/>
      <w:lvlJc w:val="left"/>
      <w:pPr>
        <w:ind w:left="6480" w:hanging="360"/>
      </w:pPr>
    </w:lvl>
    <w:lvl w:ilvl="7" w:tplc="480A0019" w:tentative="1">
      <w:start w:val="1"/>
      <w:numFmt w:val="lowerLetter"/>
      <w:lvlText w:val="%8."/>
      <w:lvlJc w:val="left"/>
      <w:pPr>
        <w:ind w:left="7200" w:hanging="360"/>
      </w:pPr>
    </w:lvl>
    <w:lvl w:ilvl="8" w:tplc="480A001B" w:tentative="1">
      <w:start w:val="1"/>
      <w:numFmt w:val="lowerRoman"/>
      <w:lvlText w:val="%9."/>
      <w:lvlJc w:val="right"/>
      <w:pPr>
        <w:ind w:left="7920" w:hanging="180"/>
      </w:pPr>
    </w:lvl>
  </w:abstractNum>
  <w:abstractNum w:abstractNumId="11" w15:restartNumberingAfterBreak="0">
    <w:nsid w:val="07625A72"/>
    <w:multiLevelType w:val="hybridMultilevel"/>
    <w:tmpl w:val="12280D92"/>
    <w:lvl w:ilvl="0" w:tplc="480A0019">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2" w15:restartNumberingAfterBreak="0">
    <w:nsid w:val="089153F8"/>
    <w:multiLevelType w:val="hybridMultilevel"/>
    <w:tmpl w:val="398867F8"/>
    <w:lvl w:ilvl="0" w:tplc="08090017">
      <w:start w:val="1"/>
      <w:numFmt w:val="lowerLetter"/>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3" w15:restartNumberingAfterBreak="0">
    <w:nsid w:val="08DA32A7"/>
    <w:multiLevelType w:val="multilevel"/>
    <w:tmpl w:val="819A90B6"/>
    <w:lvl w:ilvl="0">
      <w:start w:val="1"/>
      <w:numFmt w:val="upperRoman"/>
      <w:pStyle w:val="Informes"/>
      <w:lvlText w:val="%1."/>
      <w:lvlJc w:val="right"/>
      <w:pPr>
        <w:ind w:left="1080" w:hanging="720"/>
      </w:pPr>
      <w:rPr>
        <w:rFonts w:hint="default"/>
      </w:rPr>
    </w:lvl>
    <w:lvl w:ilvl="1">
      <w:start w:val="1"/>
      <w:numFmt w:val="decimal"/>
      <w:lvlText w:val="%2."/>
      <w:lvlJc w:val="left"/>
      <w:pPr>
        <w:ind w:left="1440" w:hanging="360"/>
      </w:pPr>
      <w:rPr>
        <w:rFonts w:hint="default"/>
        <w:color w:val="auto"/>
      </w:rPr>
    </w:lvl>
    <w:lvl w:ilvl="2">
      <w:start w:val="1"/>
      <w:numFmt w:val="decimal"/>
      <w:lvlText w:val="%3."/>
      <w:lvlJc w:val="left"/>
      <w:pPr>
        <w:ind w:left="2160" w:hanging="18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Letter"/>
      <w:lvlText w:val="(%6)"/>
      <w:lvlJc w:val="left"/>
      <w:pPr>
        <w:ind w:left="4320" w:hanging="180"/>
      </w:pPr>
      <w:rPr>
        <w:rFonts w:hint="default"/>
      </w:rPr>
    </w:lvl>
    <w:lvl w:ilvl="6">
      <w:start w:val="1"/>
      <w:numFmt w:val="lowerRoman"/>
      <w:lvlText w:val="(%7)"/>
      <w:lvlJc w:val="righ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C571BDE"/>
    <w:multiLevelType w:val="hybridMultilevel"/>
    <w:tmpl w:val="6FA46330"/>
    <w:lvl w:ilvl="0" w:tplc="480A0017">
      <w:start w:val="1"/>
      <w:numFmt w:val="lowerLetter"/>
      <w:lvlText w:val="%1)"/>
      <w:lvlJc w:val="left"/>
      <w:pPr>
        <w:ind w:left="2160" w:hanging="360"/>
      </w:pPr>
    </w:lvl>
    <w:lvl w:ilvl="1" w:tplc="480A0019" w:tentative="1">
      <w:start w:val="1"/>
      <w:numFmt w:val="lowerLetter"/>
      <w:lvlText w:val="%2."/>
      <w:lvlJc w:val="left"/>
      <w:pPr>
        <w:ind w:left="2880" w:hanging="360"/>
      </w:pPr>
    </w:lvl>
    <w:lvl w:ilvl="2" w:tplc="480A001B" w:tentative="1">
      <w:start w:val="1"/>
      <w:numFmt w:val="lowerRoman"/>
      <w:lvlText w:val="%3."/>
      <w:lvlJc w:val="right"/>
      <w:pPr>
        <w:ind w:left="3600" w:hanging="180"/>
      </w:pPr>
    </w:lvl>
    <w:lvl w:ilvl="3" w:tplc="480A000F" w:tentative="1">
      <w:start w:val="1"/>
      <w:numFmt w:val="decimal"/>
      <w:lvlText w:val="%4."/>
      <w:lvlJc w:val="left"/>
      <w:pPr>
        <w:ind w:left="4320" w:hanging="360"/>
      </w:pPr>
    </w:lvl>
    <w:lvl w:ilvl="4" w:tplc="480A0019" w:tentative="1">
      <w:start w:val="1"/>
      <w:numFmt w:val="lowerLetter"/>
      <w:lvlText w:val="%5."/>
      <w:lvlJc w:val="left"/>
      <w:pPr>
        <w:ind w:left="5040" w:hanging="360"/>
      </w:pPr>
    </w:lvl>
    <w:lvl w:ilvl="5" w:tplc="480A001B" w:tentative="1">
      <w:start w:val="1"/>
      <w:numFmt w:val="lowerRoman"/>
      <w:lvlText w:val="%6."/>
      <w:lvlJc w:val="right"/>
      <w:pPr>
        <w:ind w:left="5760" w:hanging="180"/>
      </w:pPr>
    </w:lvl>
    <w:lvl w:ilvl="6" w:tplc="480A000F" w:tentative="1">
      <w:start w:val="1"/>
      <w:numFmt w:val="decimal"/>
      <w:lvlText w:val="%7."/>
      <w:lvlJc w:val="left"/>
      <w:pPr>
        <w:ind w:left="6480" w:hanging="360"/>
      </w:pPr>
    </w:lvl>
    <w:lvl w:ilvl="7" w:tplc="480A0019" w:tentative="1">
      <w:start w:val="1"/>
      <w:numFmt w:val="lowerLetter"/>
      <w:lvlText w:val="%8."/>
      <w:lvlJc w:val="left"/>
      <w:pPr>
        <w:ind w:left="7200" w:hanging="360"/>
      </w:pPr>
    </w:lvl>
    <w:lvl w:ilvl="8" w:tplc="480A001B" w:tentative="1">
      <w:start w:val="1"/>
      <w:numFmt w:val="lowerRoman"/>
      <w:lvlText w:val="%9."/>
      <w:lvlJc w:val="right"/>
      <w:pPr>
        <w:ind w:left="7920" w:hanging="180"/>
      </w:pPr>
    </w:lvl>
  </w:abstractNum>
  <w:abstractNum w:abstractNumId="15" w15:restartNumberingAfterBreak="0">
    <w:nsid w:val="0D954887"/>
    <w:multiLevelType w:val="hybridMultilevel"/>
    <w:tmpl w:val="5A48E46A"/>
    <w:lvl w:ilvl="0" w:tplc="FB34C4C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14035CA" w:tentative="1">
      <w:start w:val="1"/>
      <w:numFmt w:val="lowerLetter"/>
      <w:lvlText w:val="%2."/>
      <w:lvlJc w:val="left"/>
      <w:pPr>
        <w:tabs>
          <w:tab w:val="num" w:pos="1440"/>
        </w:tabs>
        <w:ind w:left="1440" w:hanging="360"/>
      </w:pPr>
    </w:lvl>
    <w:lvl w:ilvl="2" w:tplc="F63AB0F2" w:tentative="1">
      <w:start w:val="1"/>
      <w:numFmt w:val="lowerRoman"/>
      <w:lvlText w:val="%3."/>
      <w:lvlJc w:val="right"/>
      <w:pPr>
        <w:tabs>
          <w:tab w:val="num" w:pos="2160"/>
        </w:tabs>
        <w:ind w:left="2160" w:hanging="180"/>
      </w:pPr>
    </w:lvl>
    <w:lvl w:ilvl="3" w:tplc="BEF07DDC" w:tentative="1">
      <w:start w:val="1"/>
      <w:numFmt w:val="decimal"/>
      <w:lvlText w:val="%4."/>
      <w:lvlJc w:val="left"/>
      <w:pPr>
        <w:tabs>
          <w:tab w:val="num" w:pos="2880"/>
        </w:tabs>
        <w:ind w:left="2880" w:hanging="360"/>
      </w:pPr>
    </w:lvl>
    <w:lvl w:ilvl="4" w:tplc="D97882CC" w:tentative="1">
      <w:start w:val="1"/>
      <w:numFmt w:val="lowerLetter"/>
      <w:lvlText w:val="%5."/>
      <w:lvlJc w:val="left"/>
      <w:pPr>
        <w:tabs>
          <w:tab w:val="num" w:pos="3600"/>
        </w:tabs>
        <w:ind w:left="3600" w:hanging="360"/>
      </w:pPr>
    </w:lvl>
    <w:lvl w:ilvl="5" w:tplc="73D29B7A" w:tentative="1">
      <w:start w:val="1"/>
      <w:numFmt w:val="lowerRoman"/>
      <w:lvlText w:val="%6."/>
      <w:lvlJc w:val="right"/>
      <w:pPr>
        <w:tabs>
          <w:tab w:val="num" w:pos="4320"/>
        </w:tabs>
        <w:ind w:left="4320" w:hanging="180"/>
      </w:pPr>
    </w:lvl>
    <w:lvl w:ilvl="6" w:tplc="339EA118" w:tentative="1">
      <w:start w:val="1"/>
      <w:numFmt w:val="decimal"/>
      <w:lvlText w:val="%7."/>
      <w:lvlJc w:val="left"/>
      <w:pPr>
        <w:tabs>
          <w:tab w:val="num" w:pos="5040"/>
        </w:tabs>
        <w:ind w:left="5040" w:hanging="360"/>
      </w:pPr>
    </w:lvl>
    <w:lvl w:ilvl="7" w:tplc="B672CFD8" w:tentative="1">
      <w:start w:val="1"/>
      <w:numFmt w:val="lowerLetter"/>
      <w:lvlText w:val="%8."/>
      <w:lvlJc w:val="left"/>
      <w:pPr>
        <w:tabs>
          <w:tab w:val="num" w:pos="5760"/>
        </w:tabs>
        <w:ind w:left="5760" w:hanging="360"/>
      </w:pPr>
    </w:lvl>
    <w:lvl w:ilvl="8" w:tplc="3506B87C" w:tentative="1">
      <w:start w:val="1"/>
      <w:numFmt w:val="lowerRoman"/>
      <w:lvlText w:val="%9."/>
      <w:lvlJc w:val="right"/>
      <w:pPr>
        <w:tabs>
          <w:tab w:val="num" w:pos="6480"/>
        </w:tabs>
        <w:ind w:left="6480" w:hanging="180"/>
      </w:pPr>
    </w:lvl>
  </w:abstractNum>
  <w:abstractNum w:abstractNumId="16" w15:restartNumberingAfterBreak="0">
    <w:nsid w:val="11BA52B2"/>
    <w:multiLevelType w:val="hybridMultilevel"/>
    <w:tmpl w:val="55AC03B4"/>
    <w:lvl w:ilvl="0" w:tplc="480A0019">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7" w15:restartNumberingAfterBreak="0">
    <w:nsid w:val="13450470"/>
    <w:multiLevelType w:val="multilevel"/>
    <w:tmpl w:val="59128254"/>
    <w:lvl w:ilvl="0">
      <w:start w:val="3"/>
      <w:numFmt w:val="upperRoman"/>
      <w:lvlText w:val="%1."/>
      <w:lvlJc w:val="right"/>
      <w:pPr>
        <w:ind w:left="1080" w:hanging="720"/>
      </w:pPr>
      <w:rPr>
        <w:rFonts w:hint="default"/>
      </w:rPr>
    </w:lvl>
    <w:lvl w:ilvl="1">
      <w:start w:val="7"/>
      <w:numFmt w:val="decimal"/>
      <w:lvlText w:val="%2."/>
      <w:lvlJc w:val="left"/>
      <w:pPr>
        <w:ind w:left="1440" w:hanging="360"/>
      </w:pPr>
      <w:rPr>
        <w:rFonts w:hint="default"/>
        <w:color w:val="auto"/>
      </w:rPr>
    </w:lvl>
    <w:lvl w:ilvl="2">
      <w:start w:val="1"/>
      <w:numFmt w:val="decimal"/>
      <w:lvlText w:val="%3."/>
      <w:lvlJc w:val="left"/>
      <w:pPr>
        <w:ind w:left="2160" w:hanging="18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Letter"/>
      <w:lvlText w:val="(%6)"/>
      <w:lvlJc w:val="left"/>
      <w:pPr>
        <w:ind w:left="4320" w:hanging="180"/>
      </w:pPr>
      <w:rPr>
        <w:rFonts w:hint="default"/>
      </w:rPr>
    </w:lvl>
    <w:lvl w:ilvl="6">
      <w:start w:val="1"/>
      <w:numFmt w:val="lowerRoman"/>
      <w:lvlText w:val="(%7)"/>
      <w:lvlJc w:val="righ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1D5E6540"/>
    <w:multiLevelType w:val="multilevel"/>
    <w:tmpl w:val="13062F5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E6E20FA"/>
    <w:multiLevelType w:val="hybridMultilevel"/>
    <w:tmpl w:val="9B86E60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1F26236B"/>
    <w:multiLevelType w:val="hybridMultilevel"/>
    <w:tmpl w:val="D02E0008"/>
    <w:lvl w:ilvl="0" w:tplc="480A0017">
      <w:start w:val="1"/>
      <w:numFmt w:val="lowerLetter"/>
      <w:lvlText w:val="%1)"/>
      <w:lvlJc w:val="left"/>
      <w:pPr>
        <w:ind w:left="1800" w:hanging="360"/>
      </w:pPr>
    </w:lvl>
    <w:lvl w:ilvl="1" w:tplc="480A0019" w:tentative="1">
      <w:start w:val="1"/>
      <w:numFmt w:val="lowerLetter"/>
      <w:lvlText w:val="%2."/>
      <w:lvlJc w:val="left"/>
      <w:pPr>
        <w:ind w:left="2520" w:hanging="360"/>
      </w:pPr>
    </w:lvl>
    <w:lvl w:ilvl="2" w:tplc="480A001B" w:tentative="1">
      <w:start w:val="1"/>
      <w:numFmt w:val="lowerRoman"/>
      <w:lvlText w:val="%3."/>
      <w:lvlJc w:val="right"/>
      <w:pPr>
        <w:ind w:left="3240" w:hanging="180"/>
      </w:pPr>
    </w:lvl>
    <w:lvl w:ilvl="3" w:tplc="480A000F" w:tentative="1">
      <w:start w:val="1"/>
      <w:numFmt w:val="decimal"/>
      <w:lvlText w:val="%4."/>
      <w:lvlJc w:val="left"/>
      <w:pPr>
        <w:ind w:left="3960" w:hanging="360"/>
      </w:pPr>
    </w:lvl>
    <w:lvl w:ilvl="4" w:tplc="480A0019" w:tentative="1">
      <w:start w:val="1"/>
      <w:numFmt w:val="lowerLetter"/>
      <w:lvlText w:val="%5."/>
      <w:lvlJc w:val="left"/>
      <w:pPr>
        <w:ind w:left="4680" w:hanging="360"/>
      </w:pPr>
    </w:lvl>
    <w:lvl w:ilvl="5" w:tplc="480A001B" w:tentative="1">
      <w:start w:val="1"/>
      <w:numFmt w:val="lowerRoman"/>
      <w:lvlText w:val="%6."/>
      <w:lvlJc w:val="right"/>
      <w:pPr>
        <w:ind w:left="5400" w:hanging="180"/>
      </w:pPr>
    </w:lvl>
    <w:lvl w:ilvl="6" w:tplc="480A000F" w:tentative="1">
      <w:start w:val="1"/>
      <w:numFmt w:val="decimal"/>
      <w:lvlText w:val="%7."/>
      <w:lvlJc w:val="left"/>
      <w:pPr>
        <w:ind w:left="6120" w:hanging="360"/>
      </w:pPr>
    </w:lvl>
    <w:lvl w:ilvl="7" w:tplc="480A0019" w:tentative="1">
      <w:start w:val="1"/>
      <w:numFmt w:val="lowerLetter"/>
      <w:lvlText w:val="%8."/>
      <w:lvlJc w:val="left"/>
      <w:pPr>
        <w:ind w:left="6840" w:hanging="360"/>
      </w:pPr>
    </w:lvl>
    <w:lvl w:ilvl="8" w:tplc="480A001B" w:tentative="1">
      <w:start w:val="1"/>
      <w:numFmt w:val="lowerRoman"/>
      <w:lvlText w:val="%9."/>
      <w:lvlJc w:val="right"/>
      <w:pPr>
        <w:ind w:left="7560" w:hanging="180"/>
      </w:pPr>
    </w:lvl>
  </w:abstractNum>
  <w:abstractNum w:abstractNumId="21" w15:restartNumberingAfterBreak="0">
    <w:nsid w:val="20D25D38"/>
    <w:multiLevelType w:val="hybridMultilevel"/>
    <w:tmpl w:val="C6D6B6B0"/>
    <w:lvl w:ilvl="0" w:tplc="480A0019">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22" w15:restartNumberingAfterBreak="0">
    <w:nsid w:val="212E15F9"/>
    <w:multiLevelType w:val="hybridMultilevel"/>
    <w:tmpl w:val="33384D86"/>
    <w:lvl w:ilvl="0" w:tplc="480A0017">
      <w:start w:val="1"/>
      <w:numFmt w:val="lowerLetter"/>
      <w:lvlText w:val="%1)"/>
      <w:lvlJc w:val="left"/>
      <w:pPr>
        <w:ind w:left="2160" w:hanging="360"/>
      </w:pPr>
    </w:lvl>
    <w:lvl w:ilvl="1" w:tplc="480A0019" w:tentative="1">
      <w:start w:val="1"/>
      <w:numFmt w:val="lowerLetter"/>
      <w:lvlText w:val="%2."/>
      <w:lvlJc w:val="left"/>
      <w:pPr>
        <w:ind w:left="2880" w:hanging="360"/>
      </w:pPr>
    </w:lvl>
    <w:lvl w:ilvl="2" w:tplc="480A001B" w:tentative="1">
      <w:start w:val="1"/>
      <w:numFmt w:val="lowerRoman"/>
      <w:lvlText w:val="%3."/>
      <w:lvlJc w:val="right"/>
      <w:pPr>
        <w:ind w:left="3600" w:hanging="180"/>
      </w:pPr>
    </w:lvl>
    <w:lvl w:ilvl="3" w:tplc="480A000F" w:tentative="1">
      <w:start w:val="1"/>
      <w:numFmt w:val="decimal"/>
      <w:lvlText w:val="%4."/>
      <w:lvlJc w:val="left"/>
      <w:pPr>
        <w:ind w:left="4320" w:hanging="360"/>
      </w:pPr>
    </w:lvl>
    <w:lvl w:ilvl="4" w:tplc="480A0019" w:tentative="1">
      <w:start w:val="1"/>
      <w:numFmt w:val="lowerLetter"/>
      <w:lvlText w:val="%5."/>
      <w:lvlJc w:val="left"/>
      <w:pPr>
        <w:ind w:left="5040" w:hanging="360"/>
      </w:pPr>
    </w:lvl>
    <w:lvl w:ilvl="5" w:tplc="480A001B" w:tentative="1">
      <w:start w:val="1"/>
      <w:numFmt w:val="lowerRoman"/>
      <w:lvlText w:val="%6."/>
      <w:lvlJc w:val="right"/>
      <w:pPr>
        <w:ind w:left="5760" w:hanging="180"/>
      </w:pPr>
    </w:lvl>
    <w:lvl w:ilvl="6" w:tplc="480A000F" w:tentative="1">
      <w:start w:val="1"/>
      <w:numFmt w:val="decimal"/>
      <w:lvlText w:val="%7."/>
      <w:lvlJc w:val="left"/>
      <w:pPr>
        <w:ind w:left="6480" w:hanging="360"/>
      </w:pPr>
    </w:lvl>
    <w:lvl w:ilvl="7" w:tplc="480A0019" w:tentative="1">
      <w:start w:val="1"/>
      <w:numFmt w:val="lowerLetter"/>
      <w:lvlText w:val="%8."/>
      <w:lvlJc w:val="left"/>
      <w:pPr>
        <w:ind w:left="7200" w:hanging="360"/>
      </w:pPr>
    </w:lvl>
    <w:lvl w:ilvl="8" w:tplc="480A001B" w:tentative="1">
      <w:start w:val="1"/>
      <w:numFmt w:val="lowerRoman"/>
      <w:lvlText w:val="%9."/>
      <w:lvlJc w:val="right"/>
      <w:pPr>
        <w:ind w:left="7920" w:hanging="180"/>
      </w:pPr>
    </w:lvl>
  </w:abstractNum>
  <w:abstractNum w:abstractNumId="23" w15:restartNumberingAfterBreak="0">
    <w:nsid w:val="2A15165C"/>
    <w:multiLevelType w:val="multilevel"/>
    <w:tmpl w:val="6C44DFBE"/>
    <w:lvl w:ilvl="0">
      <w:start w:val="1"/>
      <w:numFmt w:val="lowerLetter"/>
      <w:pStyle w:val="SubtitulosInformes"/>
      <w:lvlText w:val="%1)"/>
      <w:lvlJc w:val="left"/>
      <w:pPr>
        <w:ind w:left="1440" w:hanging="360"/>
      </w:pPr>
      <w:rPr>
        <w:rFonts w:hint="default"/>
      </w:rPr>
    </w:lvl>
    <w:lvl w:ilvl="1">
      <w:start w:val="1"/>
      <w:numFmt w:val="lowerRoman"/>
      <w:lvlText w:val="%2)"/>
      <w:lvlJc w:val="right"/>
      <w:pPr>
        <w:ind w:left="2160" w:hanging="360"/>
      </w:pPr>
      <w:rPr>
        <w:rFonts w:hint="default"/>
        <w:u w:val="none"/>
      </w:rPr>
    </w:lvl>
    <w:lvl w:ilvl="2">
      <w:start w:val="1"/>
      <w:numFmt w:val="decimal"/>
      <w:lvlText w:val="%3)"/>
      <w:lvlJc w:val="left"/>
      <w:pPr>
        <w:ind w:left="2880" w:hanging="360"/>
      </w:pPr>
      <w:rPr>
        <w:rFonts w:hint="default"/>
        <w:u w:val="none"/>
      </w:rPr>
    </w:lvl>
    <w:lvl w:ilvl="3">
      <w:start w:val="1"/>
      <w:numFmt w:val="lowerLetter"/>
      <w:lvlText w:val="(%4)"/>
      <w:lvlJc w:val="left"/>
      <w:pPr>
        <w:ind w:left="3600" w:hanging="360"/>
      </w:pPr>
      <w:rPr>
        <w:rFonts w:hint="default"/>
        <w:u w:val="none"/>
      </w:rPr>
    </w:lvl>
    <w:lvl w:ilvl="4">
      <w:start w:val="1"/>
      <w:numFmt w:val="lowerRoman"/>
      <w:lvlText w:val="(%5)"/>
      <w:lvlJc w:val="right"/>
      <w:pPr>
        <w:ind w:left="4320" w:hanging="360"/>
      </w:pPr>
      <w:rPr>
        <w:rFonts w:hint="default"/>
        <w:u w:val="none"/>
      </w:rPr>
    </w:lvl>
    <w:lvl w:ilvl="5">
      <w:start w:val="1"/>
      <w:numFmt w:val="decimal"/>
      <w:lvlText w:val="(%6)"/>
      <w:lvlJc w:val="left"/>
      <w:pPr>
        <w:ind w:left="5040" w:hanging="360"/>
      </w:pPr>
      <w:rPr>
        <w:rFonts w:hint="default"/>
        <w:u w:val="none"/>
      </w:rPr>
    </w:lvl>
    <w:lvl w:ilvl="6">
      <w:start w:val="1"/>
      <w:numFmt w:val="lowerLetter"/>
      <w:lvlText w:val="%7."/>
      <w:lvlJc w:val="left"/>
      <w:pPr>
        <w:ind w:left="5760" w:hanging="360"/>
      </w:pPr>
      <w:rPr>
        <w:rFonts w:hint="default"/>
        <w:u w:val="none"/>
      </w:rPr>
    </w:lvl>
    <w:lvl w:ilvl="7">
      <w:start w:val="1"/>
      <w:numFmt w:val="lowerRoman"/>
      <w:lvlText w:val="%8."/>
      <w:lvlJc w:val="right"/>
      <w:pPr>
        <w:ind w:left="6480" w:hanging="360"/>
      </w:pPr>
      <w:rPr>
        <w:rFonts w:hint="default"/>
        <w:u w:val="none"/>
      </w:rPr>
    </w:lvl>
    <w:lvl w:ilvl="8">
      <w:start w:val="1"/>
      <w:numFmt w:val="decimal"/>
      <w:lvlText w:val="%9."/>
      <w:lvlJc w:val="left"/>
      <w:pPr>
        <w:ind w:left="7200" w:hanging="360"/>
      </w:pPr>
      <w:rPr>
        <w:rFonts w:hint="default"/>
        <w:u w:val="none"/>
      </w:rPr>
    </w:lvl>
  </w:abstractNum>
  <w:abstractNum w:abstractNumId="24" w15:restartNumberingAfterBreak="0">
    <w:nsid w:val="2DAE26DB"/>
    <w:multiLevelType w:val="hybridMultilevel"/>
    <w:tmpl w:val="B5A4DC42"/>
    <w:lvl w:ilvl="0" w:tplc="480A0017">
      <w:start w:val="1"/>
      <w:numFmt w:val="lowerLetter"/>
      <w:lvlText w:val="%1)"/>
      <w:lvlJc w:val="left"/>
      <w:pPr>
        <w:ind w:left="2160" w:hanging="360"/>
      </w:pPr>
    </w:lvl>
    <w:lvl w:ilvl="1" w:tplc="480A0019" w:tentative="1">
      <w:start w:val="1"/>
      <w:numFmt w:val="lowerLetter"/>
      <w:lvlText w:val="%2."/>
      <w:lvlJc w:val="left"/>
      <w:pPr>
        <w:ind w:left="2880" w:hanging="360"/>
      </w:pPr>
    </w:lvl>
    <w:lvl w:ilvl="2" w:tplc="480A001B" w:tentative="1">
      <w:start w:val="1"/>
      <w:numFmt w:val="lowerRoman"/>
      <w:lvlText w:val="%3."/>
      <w:lvlJc w:val="right"/>
      <w:pPr>
        <w:ind w:left="3600" w:hanging="180"/>
      </w:pPr>
    </w:lvl>
    <w:lvl w:ilvl="3" w:tplc="480A000F" w:tentative="1">
      <w:start w:val="1"/>
      <w:numFmt w:val="decimal"/>
      <w:lvlText w:val="%4."/>
      <w:lvlJc w:val="left"/>
      <w:pPr>
        <w:ind w:left="4320" w:hanging="360"/>
      </w:pPr>
    </w:lvl>
    <w:lvl w:ilvl="4" w:tplc="480A0019" w:tentative="1">
      <w:start w:val="1"/>
      <w:numFmt w:val="lowerLetter"/>
      <w:lvlText w:val="%5."/>
      <w:lvlJc w:val="left"/>
      <w:pPr>
        <w:ind w:left="5040" w:hanging="360"/>
      </w:pPr>
    </w:lvl>
    <w:lvl w:ilvl="5" w:tplc="480A001B" w:tentative="1">
      <w:start w:val="1"/>
      <w:numFmt w:val="lowerRoman"/>
      <w:lvlText w:val="%6."/>
      <w:lvlJc w:val="right"/>
      <w:pPr>
        <w:ind w:left="5760" w:hanging="180"/>
      </w:pPr>
    </w:lvl>
    <w:lvl w:ilvl="6" w:tplc="480A000F" w:tentative="1">
      <w:start w:val="1"/>
      <w:numFmt w:val="decimal"/>
      <w:lvlText w:val="%7."/>
      <w:lvlJc w:val="left"/>
      <w:pPr>
        <w:ind w:left="6480" w:hanging="360"/>
      </w:pPr>
    </w:lvl>
    <w:lvl w:ilvl="7" w:tplc="480A0019" w:tentative="1">
      <w:start w:val="1"/>
      <w:numFmt w:val="lowerLetter"/>
      <w:lvlText w:val="%8."/>
      <w:lvlJc w:val="left"/>
      <w:pPr>
        <w:ind w:left="7200" w:hanging="360"/>
      </w:pPr>
    </w:lvl>
    <w:lvl w:ilvl="8" w:tplc="480A001B" w:tentative="1">
      <w:start w:val="1"/>
      <w:numFmt w:val="lowerRoman"/>
      <w:lvlText w:val="%9."/>
      <w:lvlJc w:val="right"/>
      <w:pPr>
        <w:ind w:left="7920" w:hanging="180"/>
      </w:pPr>
    </w:lvl>
  </w:abstractNum>
  <w:abstractNum w:abstractNumId="25" w15:restartNumberingAfterBreak="0">
    <w:nsid w:val="36A7743B"/>
    <w:multiLevelType w:val="hybridMultilevel"/>
    <w:tmpl w:val="165289D8"/>
    <w:lvl w:ilvl="0" w:tplc="86D07F0A">
      <w:start w:val="1"/>
      <w:numFmt w:val="bullet"/>
      <w:pStyle w:val="Bullet2G"/>
      <w:lvlText w:val="•"/>
      <w:lvlJc w:val="left"/>
      <w:pPr>
        <w:tabs>
          <w:tab w:val="num" w:pos="2268"/>
        </w:tabs>
        <w:ind w:left="2268" w:hanging="170"/>
      </w:pPr>
      <w:rPr>
        <w:rFonts w:ascii="Times New Roman" w:hAnsi="Times New Roman" w:cs="Times New Roman" w:hint="default"/>
      </w:rPr>
    </w:lvl>
    <w:lvl w:ilvl="1" w:tplc="31643F0A" w:tentative="1">
      <w:start w:val="1"/>
      <w:numFmt w:val="bullet"/>
      <w:lvlText w:val="o"/>
      <w:lvlJc w:val="left"/>
      <w:pPr>
        <w:tabs>
          <w:tab w:val="num" w:pos="1440"/>
        </w:tabs>
        <w:ind w:left="1440" w:hanging="360"/>
      </w:pPr>
      <w:rPr>
        <w:rFonts w:ascii="Courier New" w:hAnsi="Courier New" w:hint="default"/>
      </w:rPr>
    </w:lvl>
    <w:lvl w:ilvl="2" w:tplc="F5B6DA9A" w:tentative="1">
      <w:start w:val="1"/>
      <w:numFmt w:val="bullet"/>
      <w:lvlText w:val=""/>
      <w:lvlJc w:val="left"/>
      <w:pPr>
        <w:tabs>
          <w:tab w:val="num" w:pos="2160"/>
        </w:tabs>
        <w:ind w:left="2160" w:hanging="360"/>
      </w:pPr>
      <w:rPr>
        <w:rFonts w:ascii="Wingdings" w:hAnsi="Wingdings" w:hint="default"/>
      </w:rPr>
    </w:lvl>
    <w:lvl w:ilvl="3" w:tplc="076E4900" w:tentative="1">
      <w:start w:val="1"/>
      <w:numFmt w:val="bullet"/>
      <w:lvlText w:val=""/>
      <w:lvlJc w:val="left"/>
      <w:pPr>
        <w:tabs>
          <w:tab w:val="num" w:pos="2880"/>
        </w:tabs>
        <w:ind w:left="2880" w:hanging="360"/>
      </w:pPr>
      <w:rPr>
        <w:rFonts w:ascii="Symbol" w:hAnsi="Symbol" w:hint="default"/>
      </w:rPr>
    </w:lvl>
    <w:lvl w:ilvl="4" w:tplc="FD3C80F4" w:tentative="1">
      <w:start w:val="1"/>
      <w:numFmt w:val="bullet"/>
      <w:lvlText w:val="o"/>
      <w:lvlJc w:val="left"/>
      <w:pPr>
        <w:tabs>
          <w:tab w:val="num" w:pos="3600"/>
        </w:tabs>
        <w:ind w:left="3600" w:hanging="360"/>
      </w:pPr>
      <w:rPr>
        <w:rFonts w:ascii="Courier New" w:hAnsi="Courier New" w:hint="default"/>
      </w:rPr>
    </w:lvl>
    <w:lvl w:ilvl="5" w:tplc="8E98009E" w:tentative="1">
      <w:start w:val="1"/>
      <w:numFmt w:val="bullet"/>
      <w:lvlText w:val=""/>
      <w:lvlJc w:val="left"/>
      <w:pPr>
        <w:tabs>
          <w:tab w:val="num" w:pos="4320"/>
        </w:tabs>
        <w:ind w:left="4320" w:hanging="360"/>
      </w:pPr>
      <w:rPr>
        <w:rFonts w:ascii="Wingdings" w:hAnsi="Wingdings" w:hint="default"/>
      </w:rPr>
    </w:lvl>
    <w:lvl w:ilvl="6" w:tplc="2A7AF766" w:tentative="1">
      <w:start w:val="1"/>
      <w:numFmt w:val="bullet"/>
      <w:lvlText w:val=""/>
      <w:lvlJc w:val="left"/>
      <w:pPr>
        <w:tabs>
          <w:tab w:val="num" w:pos="5040"/>
        </w:tabs>
        <w:ind w:left="5040" w:hanging="360"/>
      </w:pPr>
      <w:rPr>
        <w:rFonts w:ascii="Symbol" w:hAnsi="Symbol" w:hint="default"/>
      </w:rPr>
    </w:lvl>
    <w:lvl w:ilvl="7" w:tplc="96E088EA" w:tentative="1">
      <w:start w:val="1"/>
      <w:numFmt w:val="bullet"/>
      <w:lvlText w:val="o"/>
      <w:lvlJc w:val="left"/>
      <w:pPr>
        <w:tabs>
          <w:tab w:val="num" w:pos="5760"/>
        </w:tabs>
        <w:ind w:left="5760" w:hanging="360"/>
      </w:pPr>
      <w:rPr>
        <w:rFonts w:ascii="Courier New" w:hAnsi="Courier New" w:hint="default"/>
      </w:rPr>
    </w:lvl>
    <w:lvl w:ilvl="8" w:tplc="234EE6E0"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A185B82"/>
    <w:multiLevelType w:val="multilevel"/>
    <w:tmpl w:val="D75460EC"/>
    <w:lvl w:ilvl="0">
      <w:start w:val="3"/>
      <w:numFmt w:val="upperRoman"/>
      <w:lvlText w:val="%1."/>
      <w:lvlJc w:val="right"/>
      <w:pPr>
        <w:ind w:left="1080" w:hanging="720"/>
      </w:pPr>
    </w:lvl>
    <w:lvl w:ilvl="1">
      <w:start w:val="7"/>
      <w:numFmt w:val="decimal"/>
      <w:lvlText w:val="%2."/>
      <w:lvlJc w:val="left"/>
      <w:pPr>
        <w:ind w:left="1440" w:hanging="360"/>
      </w:pPr>
      <w:rPr>
        <w:rFonts w:ascii="Times New Roman" w:hAnsi="Times New Roman" w:cs="Times New Roman" w:hint="default"/>
        <w:color w:val="000000"/>
      </w:rPr>
    </w:lvl>
    <w:lvl w:ilvl="2">
      <w:start w:val="1"/>
      <w:numFmt w:val="decimal"/>
      <w:lvlText w:val="%3."/>
      <w:lvlJc w:val="left"/>
      <w:pPr>
        <w:ind w:left="2160" w:hanging="18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Letter"/>
      <w:lvlText w:val="(%6)"/>
      <w:lvlJc w:val="left"/>
      <w:pPr>
        <w:ind w:left="4320" w:hanging="180"/>
      </w:pPr>
    </w:lvl>
    <w:lvl w:ilvl="6">
      <w:start w:val="1"/>
      <w:numFmt w:val="lowerRoman"/>
      <w:lvlText w:val="(%7)"/>
      <w:lvlJc w:val="righ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AD53104"/>
    <w:multiLevelType w:val="hybridMultilevel"/>
    <w:tmpl w:val="2432FE1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3D75773F"/>
    <w:multiLevelType w:val="hybridMultilevel"/>
    <w:tmpl w:val="1E701920"/>
    <w:lvl w:ilvl="0" w:tplc="480A0019">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29" w15:restartNumberingAfterBreak="0">
    <w:nsid w:val="3E464724"/>
    <w:multiLevelType w:val="multilevel"/>
    <w:tmpl w:val="0048064C"/>
    <w:lvl w:ilvl="0">
      <w:start w:val="3"/>
      <w:numFmt w:val="upperRoman"/>
      <w:lvlText w:val="%1."/>
      <w:lvlJc w:val="right"/>
      <w:pPr>
        <w:ind w:left="1080" w:hanging="720"/>
      </w:pPr>
      <w:rPr>
        <w:rFonts w:hint="default"/>
      </w:rPr>
    </w:lvl>
    <w:lvl w:ilvl="1">
      <w:start w:val="7"/>
      <w:numFmt w:val="decimal"/>
      <w:lvlText w:val="%2."/>
      <w:lvlJc w:val="left"/>
      <w:pPr>
        <w:ind w:left="1440" w:hanging="360"/>
      </w:pPr>
      <w:rPr>
        <w:rFonts w:hint="default"/>
        <w:i w:val="0"/>
        <w:iCs w:val="0"/>
        <w:color w:val="auto"/>
      </w:rPr>
    </w:lvl>
    <w:lvl w:ilvl="2">
      <w:start w:val="1"/>
      <w:numFmt w:val="decimal"/>
      <w:lvlText w:val="%3."/>
      <w:lvlJc w:val="left"/>
      <w:pPr>
        <w:ind w:left="2160" w:hanging="18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Letter"/>
      <w:lvlText w:val="(%6)"/>
      <w:lvlJc w:val="left"/>
      <w:pPr>
        <w:ind w:left="4320" w:hanging="180"/>
      </w:pPr>
      <w:rPr>
        <w:rFonts w:hint="default"/>
      </w:rPr>
    </w:lvl>
    <w:lvl w:ilvl="6">
      <w:start w:val="1"/>
      <w:numFmt w:val="lowerRoman"/>
      <w:lvlText w:val="(%7)"/>
      <w:lvlJc w:val="righ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43A97A7F"/>
    <w:multiLevelType w:val="hybridMultilevel"/>
    <w:tmpl w:val="590C7E44"/>
    <w:lvl w:ilvl="0" w:tplc="480A0017">
      <w:start w:val="1"/>
      <w:numFmt w:val="lowerLetter"/>
      <w:lvlText w:val="%1)"/>
      <w:lvlJc w:val="left"/>
      <w:pPr>
        <w:ind w:left="2160" w:hanging="360"/>
      </w:pPr>
    </w:lvl>
    <w:lvl w:ilvl="1" w:tplc="480A0019" w:tentative="1">
      <w:start w:val="1"/>
      <w:numFmt w:val="lowerLetter"/>
      <w:lvlText w:val="%2."/>
      <w:lvlJc w:val="left"/>
      <w:pPr>
        <w:ind w:left="2880" w:hanging="360"/>
      </w:pPr>
    </w:lvl>
    <w:lvl w:ilvl="2" w:tplc="480A001B" w:tentative="1">
      <w:start w:val="1"/>
      <w:numFmt w:val="lowerRoman"/>
      <w:lvlText w:val="%3."/>
      <w:lvlJc w:val="right"/>
      <w:pPr>
        <w:ind w:left="3600" w:hanging="180"/>
      </w:pPr>
    </w:lvl>
    <w:lvl w:ilvl="3" w:tplc="480A000F" w:tentative="1">
      <w:start w:val="1"/>
      <w:numFmt w:val="decimal"/>
      <w:lvlText w:val="%4."/>
      <w:lvlJc w:val="left"/>
      <w:pPr>
        <w:ind w:left="4320" w:hanging="360"/>
      </w:pPr>
    </w:lvl>
    <w:lvl w:ilvl="4" w:tplc="480A0019" w:tentative="1">
      <w:start w:val="1"/>
      <w:numFmt w:val="lowerLetter"/>
      <w:lvlText w:val="%5."/>
      <w:lvlJc w:val="left"/>
      <w:pPr>
        <w:ind w:left="5040" w:hanging="360"/>
      </w:pPr>
    </w:lvl>
    <w:lvl w:ilvl="5" w:tplc="480A001B" w:tentative="1">
      <w:start w:val="1"/>
      <w:numFmt w:val="lowerRoman"/>
      <w:lvlText w:val="%6."/>
      <w:lvlJc w:val="right"/>
      <w:pPr>
        <w:ind w:left="5760" w:hanging="180"/>
      </w:pPr>
    </w:lvl>
    <w:lvl w:ilvl="6" w:tplc="480A000F" w:tentative="1">
      <w:start w:val="1"/>
      <w:numFmt w:val="decimal"/>
      <w:lvlText w:val="%7."/>
      <w:lvlJc w:val="left"/>
      <w:pPr>
        <w:ind w:left="6480" w:hanging="360"/>
      </w:pPr>
    </w:lvl>
    <w:lvl w:ilvl="7" w:tplc="480A0019" w:tentative="1">
      <w:start w:val="1"/>
      <w:numFmt w:val="lowerLetter"/>
      <w:lvlText w:val="%8."/>
      <w:lvlJc w:val="left"/>
      <w:pPr>
        <w:ind w:left="7200" w:hanging="360"/>
      </w:pPr>
    </w:lvl>
    <w:lvl w:ilvl="8" w:tplc="480A001B" w:tentative="1">
      <w:start w:val="1"/>
      <w:numFmt w:val="lowerRoman"/>
      <w:lvlText w:val="%9."/>
      <w:lvlJc w:val="right"/>
      <w:pPr>
        <w:ind w:left="7920" w:hanging="180"/>
      </w:pPr>
    </w:lvl>
  </w:abstractNum>
  <w:abstractNum w:abstractNumId="31" w15:restartNumberingAfterBreak="0">
    <w:nsid w:val="453F4C71"/>
    <w:multiLevelType w:val="hybridMultilevel"/>
    <w:tmpl w:val="A53C6A66"/>
    <w:lvl w:ilvl="0" w:tplc="480A0017">
      <w:start w:val="1"/>
      <w:numFmt w:val="lowerLetter"/>
      <w:lvlText w:val="%1)"/>
      <w:lvlJc w:val="left"/>
      <w:pPr>
        <w:ind w:left="2160" w:hanging="360"/>
      </w:pPr>
    </w:lvl>
    <w:lvl w:ilvl="1" w:tplc="480A0019" w:tentative="1">
      <w:start w:val="1"/>
      <w:numFmt w:val="lowerLetter"/>
      <w:lvlText w:val="%2."/>
      <w:lvlJc w:val="left"/>
      <w:pPr>
        <w:ind w:left="2880" w:hanging="360"/>
      </w:pPr>
    </w:lvl>
    <w:lvl w:ilvl="2" w:tplc="480A001B" w:tentative="1">
      <w:start w:val="1"/>
      <w:numFmt w:val="lowerRoman"/>
      <w:lvlText w:val="%3."/>
      <w:lvlJc w:val="right"/>
      <w:pPr>
        <w:ind w:left="3600" w:hanging="180"/>
      </w:pPr>
    </w:lvl>
    <w:lvl w:ilvl="3" w:tplc="480A000F" w:tentative="1">
      <w:start w:val="1"/>
      <w:numFmt w:val="decimal"/>
      <w:lvlText w:val="%4."/>
      <w:lvlJc w:val="left"/>
      <w:pPr>
        <w:ind w:left="4320" w:hanging="360"/>
      </w:pPr>
    </w:lvl>
    <w:lvl w:ilvl="4" w:tplc="480A0019" w:tentative="1">
      <w:start w:val="1"/>
      <w:numFmt w:val="lowerLetter"/>
      <w:lvlText w:val="%5."/>
      <w:lvlJc w:val="left"/>
      <w:pPr>
        <w:ind w:left="5040" w:hanging="360"/>
      </w:pPr>
    </w:lvl>
    <w:lvl w:ilvl="5" w:tplc="480A001B" w:tentative="1">
      <w:start w:val="1"/>
      <w:numFmt w:val="lowerRoman"/>
      <w:lvlText w:val="%6."/>
      <w:lvlJc w:val="right"/>
      <w:pPr>
        <w:ind w:left="5760" w:hanging="180"/>
      </w:pPr>
    </w:lvl>
    <w:lvl w:ilvl="6" w:tplc="480A000F" w:tentative="1">
      <w:start w:val="1"/>
      <w:numFmt w:val="decimal"/>
      <w:lvlText w:val="%7."/>
      <w:lvlJc w:val="left"/>
      <w:pPr>
        <w:ind w:left="6480" w:hanging="360"/>
      </w:pPr>
    </w:lvl>
    <w:lvl w:ilvl="7" w:tplc="480A0019" w:tentative="1">
      <w:start w:val="1"/>
      <w:numFmt w:val="lowerLetter"/>
      <w:lvlText w:val="%8."/>
      <w:lvlJc w:val="left"/>
      <w:pPr>
        <w:ind w:left="7200" w:hanging="360"/>
      </w:pPr>
    </w:lvl>
    <w:lvl w:ilvl="8" w:tplc="480A001B" w:tentative="1">
      <w:start w:val="1"/>
      <w:numFmt w:val="lowerRoman"/>
      <w:lvlText w:val="%9."/>
      <w:lvlJc w:val="right"/>
      <w:pPr>
        <w:ind w:left="7920" w:hanging="180"/>
      </w:pPr>
    </w:lvl>
  </w:abstractNum>
  <w:abstractNum w:abstractNumId="32" w15:restartNumberingAfterBreak="0">
    <w:nsid w:val="4897093E"/>
    <w:multiLevelType w:val="hybridMultilevel"/>
    <w:tmpl w:val="9248512C"/>
    <w:lvl w:ilvl="0" w:tplc="480A0017">
      <w:start w:val="1"/>
      <w:numFmt w:val="lowerLetter"/>
      <w:lvlText w:val="%1)"/>
      <w:lvlJc w:val="left"/>
      <w:pPr>
        <w:ind w:left="2160" w:hanging="360"/>
      </w:pPr>
    </w:lvl>
    <w:lvl w:ilvl="1" w:tplc="480A0019" w:tentative="1">
      <w:start w:val="1"/>
      <w:numFmt w:val="lowerLetter"/>
      <w:lvlText w:val="%2."/>
      <w:lvlJc w:val="left"/>
      <w:pPr>
        <w:ind w:left="2880" w:hanging="360"/>
      </w:pPr>
    </w:lvl>
    <w:lvl w:ilvl="2" w:tplc="480A001B" w:tentative="1">
      <w:start w:val="1"/>
      <w:numFmt w:val="lowerRoman"/>
      <w:lvlText w:val="%3."/>
      <w:lvlJc w:val="right"/>
      <w:pPr>
        <w:ind w:left="3600" w:hanging="180"/>
      </w:pPr>
    </w:lvl>
    <w:lvl w:ilvl="3" w:tplc="480A000F" w:tentative="1">
      <w:start w:val="1"/>
      <w:numFmt w:val="decimal"/>
      <w:lvlText w:val="%4."/>
      <w:lvlJc w:val="left"/>
      <w:pPr>
        <w:ind w:left="4320" w:hanging="360"/>
      </w:pPr>
    </w:lvl>
    <w:lvl w:ilvl="4" w:tplc="480A0019" w:tentative="1">
      <w:start w:val="1"/>
      <w:numFmt w:val="lowerLetter"/>
      <w:lvlText w:val="%5."/>
      <w:lvlJc w:val="left"/>
      <w:pPr>
        <w:ind w:left="5040" w:hanging="360"/>
      </w:pPr>
    </w:lvl>
    <w:lvl w:ilvl="5" w:tplc="480A001B" w:tentative="1">
      <w:start w:val="1"/>
      <w:numFmt w:val="lowerRoman"/>
      <w:lvlText w:val="%6."/>
      <w:lvlJc w:val="right"/>
      <w:pPr>
        <w:ind w:left="5760" w:hanging="180"/>
      </w:pPr>
    </w:lvl>
    <w:lvl w:ilvl="6" w:tplc="480A000F" w:tentative="1">
      <w:start w:val="1"/>
      <w:numFmt w:val="decimal"/>
      <w:lvlText w:val="%7."/>
      <w:lvlJc w:val="left"/>
      <w:pPr>
        <w:ind w:left="6480" w:hanging="360"/>
      </w:pPr>
    </w:lvl>
    <w:lvl w:ilvl="7" w:tplc="480A0019" w:tentative="1">
      <w:start w:val="1"/>
      <w:numFmt w:val="lowerLetter"/>
      <w:lvlText w:val="%8."/>
      <w:lvlJc w:val="left"/>
      <w:pPr>
        <w:ind w:left="7200" w:hanging="360"/>
      </w:pPr>
    </w:lvl>
    <w:lvl w:ilvl="8" w:tplc="480A001B" w:tentative="1">
      <w:start w:val="1"/>
      <w:numFmt w:val="lowerRoman"/>
      <w:lvlText w:val="%9."/>
      <w:lvlJc w:val="right"/>
      <w:pPr>
        <w:ind w:left="7920" w:hanging="180"/>
      </w:pPr>
    </w:lvl>
  </w:abstractNum>
  <w:abstractNum w:abstractNumId="33" w15:restartNumberingAfterBreak="0">
    <w:nsid w:val="59107AB2"/>
    <w:multiLevelType w:val="hybridMultilevel"/>
    <w:tmpl w:val="BF54809E"/>
    <w:lvl w:ilvl="0" w:tplc="480A0017">
      <w:start w:val="1"/>
      <w:numFmt w:val="lowerLetter"/>
      <w:lvlText w:val="%1)"/>
      <w:lvlJc w:val="left"/>
      <w:pPr>
        <w:ind w:left="1800" w:hanging="360"/>
      </w:pPr>
    </w:lvl>
    <w:lvl w:ilvl="1" w:tplc="480A0019" w:tentative="1">
      <w:start w:val="1"/>
      <w:numFmt w:val="lowerLetter"/>
      <w:lvlText w:val="%2."/>
      <w:lvlJc w:val="left"/>
      <w:pPr>
        <w:ind w:left="2520" w:hanging="360"/>
      </w:pPr>
    </w:lvl>
    <w:lvl w:ilvl="2" w:tplc="480A001B" w:tentative="1">
      <w:start w:val="1"/>
      <w:numFmt w:val="lowerRoman"/>
      <w:lvlText w:val="%3."/>
      <w:lvlJc w:val="right"/>
      <w:pPr>
        <w:ind w:left="3240" w:hanging="180"/>
      </w:pPr>
    </w:lvl>
    <w:lvl w:ilvl="3" w:tplc="480A000F" w:tentative="1">
      <w:start w:val="1"/>
      <w:numFmt w:val="decimal"/>
      <w:lvlText w:val="%4."/>
      <w:lvlJc w:val="left"/>
      <w:pPr>
        <w:ind w:left="3960" w:hanging="360"/>
      </w:pPr>
    </w:lvl>
    <w:lvl w:ilvl="4" w:tplc="480A0019" w:tentative="1">
      <w:start w:val="1"/>
      <w:numFmt w:val="lowerLetter"/>
      <w:lvlText w:val="%5."/>
      <w:lvlJc w:val="left"/>
      <w:pPr>
        <w:ind w:left="4680" w:hanging="360"/>
      </w:pPr>
    </w:lvl>
    <w:lvl w:ilvl="5" w:tplc="480A001B" w:tentative="1">
      <w:start w:val="1"/>
      <w:numFmt w:val="lowerRoman"/>
      <w:lvlText w:val="%6."/>
      <w:lvlJc w:val="right"/>
      <w:pPr>
        <w:ind w:left="5400" w:hanging="180"/>
      </w:pPr>
    </w:lvl>
    <w:lvl w:ilvl="6" w:tplc="480A000F" w:tentative="1">
      <w:start w:val="1"/>
      <w:numFmt w:val="decimal"/>
      <w:lvlText w:val="%7."/>
      <w:lvlJc w:val="left"/>
      <w:pPr>
        <w:ind w:left="6120" w:hanging="360"/>
      </w:pPr>
    </w:lvl>
    <w:lvl w:ilvl="7" w:tplc="480A0019" w:tentative="1">
      <w:start w:val="1"/>
      <w:numFmt w:val="lowerLetter"/>
      <w:lvlText w:val="%8."/>
      <w:lvlJc w:val="left"/>
      <w:pPr>
        <w:ind w:left="6840" w:hanging="360"/>
      </w:pPr>
    </w:lvl>
    <w:lvl w:ilvl="8" w:tplc="480A001B" w:tentative="1">
      <w:start w:val="1"/>
      <w:numFmt w:val="lowerRoman"/>
      <w:lvlText w:val="%9."/>
      <w:lvlJc w:val="right"/>
      <w:pPr>
        <w:ind w:left="7560" w:hanging="180"/>
      </w:pPr>
    </w:lvl>
  </w:abstractNum>
  <w:abstractNum w:abstractNumId="34"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15:restartNumberingAfterBreak="0">
    <w:nsid w:val="5E941B10"/>
    <w:multiLevelType w:val="hybridMultilevel"/>
    <w:tmpl w:val="D35CF17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60821436"/>
    <w:multiLevelType w:val="hybridMultilevel"/>
    <w:tmpl w:val="1C5688BA"/>
    <w:lvl w:ilvl="0" w:tplc="08090017">
      <w:start w:val="1"/>
      <w:numFmt w:val="lowerLetter"/>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7" w15:restartNumberingAfterBreak="0">
    <w:nsid w:val="689D2525"/>
    <w:multiLevelType w:val="hybridMultilevel"/>
    <w:tmpl w:val="39DE4A30"/>
    <w:lvl w:ilvl="0" w:tplc="480A0019">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38" w15:restartNumberingAfterBreak="0">
    <w:nsid w:val="6AFD3DE4"/>
    <w:multiLevelType w:val="hybridMultilevel"/>
    <w:tmpl w:val="569E52D4"/>
    <w:lvl w:ilvl="0" w:tplc="31EC84DE">
      <w:start w:val="1"/>
      <w:numFmt w:val="bullet"/>
      <w:pStyle w:val="Bullet1G"/>
      <w:lvlText w:val="•"/>
      <w:lvlJc w:val="left"/>
      <w:pPr>
        <w:tabs>
          <w:tab w:val="num" w:pos="1701"/>
        </w:tabs>
        <w:ind w:left="1701" w:hanging="170"/>
      </w:pPr>
      <w:rPr>
        <w:rFonts w:ascii="Times New Roman" w:hAnsi="Times New Roman" w:cs="Times New Roman" w:hint="default"/>
      </w:rPr>
    </w:lvl>
    <w:lvl w:ilvl="1" w:tplc="E2D6E518" w:tentative="1">
      <w:start w:val="1"/>
      <w:numFmt w:val="bullet"/>
      <w:lvlText w:val="o"/>
      <w:lvlJc w:val="left"/>
      <w:pPr>
        <w:tabs>
          <w:tab w:val="num" w:pos="1440"/>
        </w:tabs>
        <w:ind w:left="1440" w:hanging="360"/>
      </w:pPr>
      <w:rPr>
        <w:rFonts w:ascii="Courier New" w:hAnsi="Courier New" w:hint="default"/>
      </w:rPr>
    </w:lvl>
    <w:lvl w:ilvl="2" w:tplc="83D61266" w:tentative="1">
      <w:start w:val="1"/>
      <w:numFmt w:val="bullet"/>
      <w:lvlText w:val=""/>
      <w:lvlJc w:val="left"/>
      <w:pPr>
        <w:tabs>
          <w:tab w:val="num" w:pos="2160"/>
        </w:tabs>
        <w:ind w:left="2160" w:hanging="360"/>
      </w:pPr>
      <w:rPr>
        <w:rFonts w:ascii="Wingdings" w:hAnsi="Wingdings" w:hint="default"/>
      </w:rPr>
    </w:lvl>
    <w:lvl w:ilvl="3" w:tplc="492CA5E8" w:tentative="1">
      <w:start w:val="1"/>
      <w:numFmt w:val="bullet"/>
      <w:lvlText w:val=""/>
      <w:lvlJc w:val="left"/>
      <w:pPr>
        <w:tabs>
          <w:tab w:val="num" w:pos="2880"/>
        </w:tabs>
        <w:ind w:left="2880" w:hanging="360"/>
      </w:pPr>
      <w:rPr>
        <w:rFonts w:ascii="Symbol" w:hAnsi="Symbol" w:hint="default"/>
      </w:rPr>
    </w:lvl>
    <w:lvl w:ilvl="4" w:tplc="50949ED4" w:tentative="1">
      <w:start w:val="1"/>
      <w:numFmt w:val="bullet"/>
      <w:lvlText w:val="o"/>
      <w:lvlJc w:val="left"/>
      <w:pPr>
        <w:tabs>
          <w:tab w:val="num" w:pos="3600"/>
        </w:tabs>
        <w:ind w:left="3600" w:hanging="360"/>
      </w:pPr>
      <w:rPr>
        <w:rFonts w:ascii="Courier New" w:hAnsi="Courier New" w:hint="default"/>
      </w:rPr>
    </w:lvl>
    <w:lvl w:ilvl="5" w:tplc="AA4EF2B4" w:tentative="1">
      <w:start w:val="1"/>
      <w:numFmt w:val="bullet"/>
      <w:lvlText w:val=""/>
      <w:lvlJc w:val="left"/>
      <w:pPr>
        <w:tabs>
          <w:tab w:val="num" w:pos="4320"/>
        </w:tabs>
        <w:ind w:left="4320" w:hanging="360"/>
      </w:pPr>
      <w:rPr>
        <w:rFonts w:ascii="Wingdings" w:hAnsi="Wingdings" w:hint="default"/>
      </w:rPr>
    </w:lvl>
    <w:lvl w:ilvl="6" w:tplc="9B5E0518" w:tentative="1">
      <w:start w:val="1"/>
      <w:numFmt w:val="bullet"/>
      <w:lvlText w:val=""/>
      <w:lvlJc w:val="left"/>
      <w:pPr>
        <w:tabs>
          <w:tab w:val="num" w:pos="5040"/>
        </w:tabs>
        <w:ind w:left="5040" w:hanging="360"/>
      </w:pPr>
      <w:rPr>
        <w:rFonts w:ascii="Symbol" w:hAnsi="Symbol" w:hint="default"/>
      </w:rPr>
    </w:lvl>
    <w:lvl w:ilvl="7" w:tplc="E5B880A4" w:tentative="1">
      <w:start w:val="1"/>
      <w:numFmt w:val="bullet"/>
      <w:lvlText w:val="o"/>
      <w:lvlJc w:val="left"/>
      <w:pPr>
        <w:tabs>
          <w:tab w:val="num" w:pos="5760"/>
        </w:tabs>
        <w:ind w:left="5760" w:hanging="360"/>
      </w:pPr>
      <w:rPr>
        <w:rFonts w:ascii="Courier New" w:hAnsi="Courier New" w:hint="default"/>
      </w:rPr>
    </w:lvl>
    <w:lvl w:ilvl="8" w:tplc="A7DC21D0"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C473087"/>
    <w:multiLevelType w:val="hybridMultilevel"/>
    <w:tmpl w:val="04A21606"/>
    <w:lvl w:ilvl="0" w:tplc="480A0019">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4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2" w15:restartNumberingAfterBreak="0">
    <w:nsid w:val="7CC67BDF"/>
    <w:multiLevelType w:val="hybridMultilevel"/>
    <w:tmpl w:val="C254C5F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1407218845">
    <w:abstractNumId w:val="41"/>
  </w:num>
  <w:num w:numId="2" w16cid:durableId="421798779">
    <w:abstractNumId w:val="40"/>
  </w:num>
  <w:num w:numId="3" w16cid:durableId="746879033">
    <w:abstractNumId w:val="34"/>
  </w:num>
  <w:num w:numId="4" w16cid:durableId="1284381359">
    <w:abstractNumId w:val="38"/>
  </w:num>
  <w:num w:numId="5" w16cid:durableId="467475996">
    <w:abstractNumId w:val="25"/>
  </w:num>
  <w:num w:numId="6" w16cid:durableId="133527973">
    <w:abstractNumId w:val="9"/>
  </w:num>
  <w:num w:numId="7" w16cid:durableId="926958541">
    <w:abstractNumId w:val="7"/>
  </w:num>
  <w:num w:numId="8" w16cid:durableId="301353243">
    <w:abstractNumId w:val="6"/>
  </w:num>
  <w:num w:numId="9" w16cid:durableId="259947680">
    <w:abstractNumId w:val="5"/>
  </w:num>
  <w:num w:numId="10" w16cid:durableId="217667090">
    <w:abstractNumId w:val="4"/>
  </w:num>
  <w:num w:numId="11" w16cid:durableId="1995450608">
    <w:abstractNumId w:val="8"/>
  </w:num>
  <w:num w:numId="12" w16cid:durableId="1582106716">
    <w:abstractNumId w:val="3"/>
  </w:num>
  <w:num w:numId="13" w16cid:durableId="2060208149">
    <w:abstractNumId w:val="2"/>
  </w:num>
  <w:num w:numId="14" w16cid:durableId="181288159">
    <w:abstractNumId w:val="1"/>
  </w:num>
  <w:num w:numId="15" w16cid:durableId="284388766">
    <w:abstractNumId w:val="0"/>
  </w:num>
  <w:num w:numId="16" w16cid:durableId="263539019">
    <w:abstractNumId w:val="15"/>
  </w:num>
  <w:num w:numId="17" w16cid:durableId="175005911">
    <w:abstractNumId w:val="23"/>
  </w:num>
  <w:num w:numId="18" w16cid:durableId="1388990090">
    <w:abstractNumId w:val="13"/>
  </w:num>
  <w:num w:numId="19" w16cid:durableId="1122269185">
    <w:abstractNumId w:val="39"/>
  </w:num>
  <w:num w:numId="20" w16cid:durableId="64687191">
    <w:abstractNumId w:val="11"/>
  </w:num>
  <w:num w:numId="21" w16cid:durableId="674647352">
    <w:abstractNumId w:val="16"/>
  </w:num>
  <w:num w:numId="22" w16cid:durableId="660502752">
    <w:abstractNumId w:val="37"/>
  </w:num>
  <w:num w:numId="23" w16cid:durableId="193618026">
    <w:abstractNumId w:val="28"/>
  </w:num>
  <w:num w:numId="24" w16cid:durableId="756438211">
    <w:abstractNumId w:val="29"/>
  </w:num>
  <w:num w:numId="25" w16cid:durableId="448473993">
    <w:abstractNumId w:val="13"/>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45739476">
    <w:abstractNumId w:val="10"/>
  </w:num>
  <w:num w:numId="27" w16cid:durableId="971906443">
    <w:abstractNumId w:val="17"/>
  </w:num>
  <w:num w:numId="28" w16cid:durableId="360518319">
    <w:abstractNumId w:val="30"/>
  </w:num>
  <w:num w:numId="29" w16cid:durableId="2062903103">
    <w:abstractNumId w:val="14"/>
  </w:num>
  <w:num w:numId="30" w16cid:durableId="456607030">
    <w:abstractNumId w:val="33"/>
  </w:num>
  <w:num w:numId="31" w16cid:durableId="2088644361">
    <w:abstractNumId w:val="31"/>
  </w:num>
  <w:num w:numId="32" w16cid:durableId="824127651">
    <w:abstractNumId w:val="18"/>
  </w:num>
  <w:num w:numId="33" w16cid:durableId="179396673">
    <w:abstractNumId w:val="26"/>
    <w:lvlOverride w:ilvl="0">
      <w:startOverride w:val="3"/>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62349469">
    <w:abstractNumId w:val="32"/>
  </w:num>
  <w:num w:numId="35" w16cid:durableId="514930312">
    <w:abstractNumId w:val="20"/>
  </w:num>
  <w:num w:numId="36" w16cid:durableId="1182430532">
    <w:abstractNumId w:val="22"/>
  </w:num>
  <w:num w:numId="37" w16cid:durableId="270674718">
    <w:abstractNumId w:val="24"/>
  </w:num>
  <w:num w:numId="38" w16cid:durableId="1523740989">
    <w:abstractNumId w:val="21"/>
  </w:num>
  <w:num w:numId="39" w16cid:durableId="81830365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51023769">
    <w:abstractNumId w:val="42"/>
  </w:num>
  <w:num w:numId="41" w16cid:durableId="1613324189">
    <w:abstractNumId w:val="35"/>
  </w:num>
  <w:num w:numId="42" w16cid:durableId="1661159122">
    <w:abstractNumId w:val="27"/>
  </w:num>
  <w:num w:numId="43" w16cid:durableId="1729189046">
    <w:abstractNumId w:val="12"/>
  </w:num>
  <w:num w:numId="44" w16cid:durableId="785001637">
    <w:abstractNumId w:val="36"/>
  </w:num>
  <w:num w:numId="45" w16cid:durableId="82336867">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33EE1"/>
    <w:rsid w:val="00042B72"/>
    <w:rsid w:val="00053EA6"/>
    <w:rsid w:val="000558BD"/>
    <w:rsid w:val="000B57E7"/>
    <w:rsid w:val="000B6373"/>
    <w:rsid w:val="000D3664"/>
    <w:rsid w:val="000F09DF"/>
    <w:rsid w:val="000F61B2"/>
    <w:rsid w:val="001012F4"/>
    <w:rsid w:val="001075E9"/>
    <w:rsid w:val="00180183"/>
    <w:rsid w:val="0018024D"/>
    <w:rsid w:val="00180416"/>
    <w:rsid w:val="0018649F"/>
    <w:rsid w:val="0019429F"/>
    <w:rsid w:val="00196389"/>
    <w:rsid w:val="001A4396"/>
    <w:rsid w:val="001B3EF6"/>
    <w:rsid w:val="001C7A89"/>
    <w:rsid w:val="001E1E75"/>
    <w:rsid w:val="00217D6C"/>
    <w:rsid w:val="002A02C6"/>
    <w:rsid w:val="002A2EFC"/>
    <w:rsid w:val="002C0E18"/>
    <w:rsid w:val="002C3864"/>
    <w:rsid w:val="002D4172"/>
    <w:rsid w:val="002D5AAC"/>
    <w:rsid w:val="002D7768"/>
    <w:rsid w:val="002F405F"/>
    <w:rsid w:val="002F7E86"/>
    <w:rsid w:val="00301299"/>
    <w:rsid w:val="00307FB6"/>
    <w:rsid w:val="00317339"/>
    <w:rsid w:val="00322004"/>
    <w:rsid w:val="003402C2"/>
    <w:rsid w:val="003415E3"/>
    <w:rsid w:val="00376E4E"/>
    <w:rsid w:val="00381C24"/>
    <w:rsid w:val="003958D0"/>
    <w:rsid w:val="003A3CE4"/>
    <w:rsid w:val="003B00E5"/>
    <w:rsid w:val="003B4D5D"/>
    <w:rsid w:val="003C43C2"/>
    <w:rsid w:val="003D3526"/>
    <w:rsid w:val="003E0332"/>
    <w:rsid w:val="003F43D1"/>
    <w:rsid w:val="003F6FF0"/>
    <w:rsid w:val="00407B78"/>
    <w:rsid w:val="00424203"/>
    <w:rsid w:val="0043216B"/>
    <w:rsid w:val="004452DE"/>
    <w:rsid w:val="00454E07"/>
    <w:rsid w:val="00471414"/>
    <w:rsid w:val="004B6CC2"/>
    <w:rsid w:val="004D1828"/>
    <w:rsid w:val="0050108D"/>
    <w:rsid w:val="00513081"/>
    <w:rsid w:val="005172CB"/>
    <w:rsid w:val="00517901"/>
    <w:rsid w:val="00521DC1"/>
    <w:rsid w:val="00526683"/>
    <w:rsid w:val="005709E0"/>
    <w:rsid w:val="00572E19"/>
    <w:rsid w:val="0057653A"/>
    <w:rsid w:val="005961C8"/>
    <w:rsid w:val="005D7914"/>
    <w:rsid w:val="005F0B42"/>
    <w:rsid w:val="00615628"/>
    <w:rsid w:val="00621949"/>
    <w:rsid w:val="006551F6"/>
    <w:rsid w:val="00660281"/>
    <w:rsid w:val="00681A10"/>
    <w:rsid w:val="006C2031"/>
    <w:rsid w:val="006D317E"/>
    <w:rsid w:val="006D461A"/>
    <w:rsid w:val="006F35EE"/>
    <w:rsid w:val="007021FF"/>
    <w:rsid w:val="00712895"/>
    <w:rsid w:val="007315E9"/>
    <w:rsid w:val="00754B77"/>
    <w:rsid w:val="00757357"/>
    <w:rsid w:val="007631F0"/>
    <w:rsid w:val="0077667E"/>
    <w:rsid w:val="007C333F"/>
    <w:rsid w:val="007E072F"/>
    <w:rsid w:val="007E2C6D"/>
    <w:rsid w:val="00805D1C"/>
    <w:rsid w:val="008115CB"/>
    <w:rsid w:val="00822D45"/>
    <w:rsid w:val="00825F8D"/>
    <w:rsid w:val="008346E4"/>
    <w:rsid w:val="00834B71"/>
    <w:rsid w:val="00841CBA"/>
    <w:rsid w:val="0084495E"/>
    <w:rsid w:val="0086445C"/>
    <w:rsid w:val="00894693"/>
    <w:rsid w:val="008A08D7"/>
    <w:rsid w:val="008A3C0A"/>
    <w:rsid w:val="008B6909"/>
    <w:rsid w:val="00902039"/>
    <w:rsid w:val="009063C3"/>
    <w:rsid w:val="00906890"/>
    <w:rsid w:val="00911BE4"/>
    <w:rsid w:val="00935A0B"/>
    <w:rsid w:val="00951972"/>
    <w:rsid w:val="00953B31"/>
    <w:rsid w:val="009608F3"/>
    <w:rsid w:val="00973BE9"/>
    <w:rsid w:val="009770A9"/>
    <w:rsid w:val="009874BF"/>
    <w:rsid w:val="0099696A"/>
    <w:rsid w:val="009D6FD8"/>
    <w:rsid w:val="00A32382"/>
    <w:rsid w:val="00A3384B"/>
    <w:rsid w:val="00A44B2D"/>
    <w:rsid w:val="00A516A5"/>
    <w:rsid w:val="00A56A9C"/>
    <w:rsid w:val="00A711FB"/>
    <w:rsid w:val="00A84021"/>
    <w:rsid w:val="00A86F80"/>
    <w:rsid w:val="00A90C2B"/>
    <w:rsid w:val="00A91137"/>
    <w:rsid w:val="00A917B3"/>
    <w:rsid w:val="00AB4B51"/>
    <w:rsid w:val="00AE5F3B"/>
    <w:rsid w:val="00B10CC7"/>
    <w:rsid w:val="00B539E7"/>
    <w:rsid w:val="00B563EB"/>
    <w:rsid w:val="00B62458"/>
    <w:rsid w:val="00B80A93"/>
    <w:rsid w:val="00BA03BB"/>
    <w:rsid w:val="00BD0011"/>
    <w:rsid w:val="00BD33EE"/>
    <w:rsid w:val="00BF2E5C"/>
    <w:rsid w:val="00C006DE"/>
    <w:rsid w:val="00C106D6"/>
    <w:rsid w:val="00C60F0C"/>
    <w:rsid w:val="00C805C9"/>
    <w:rsid w:val="00C856EC"/>
    <w:rsid w:val="00C92939"/>
    <w:rsid w:val="00CA1679"/>
    <w:rsid w:val="00CB151C"/>
    <w:rsid w:val="00CB242B"/>
    <w:rsid w:val="00CC3501"/>
    <w:rsid w:val="00CE5A1A"/>
    <w:rsid w:val="00CF55F6"/>
    <w:rsid w:val="00D04407"/>
    <w:rsid w:val="00D16773"/>
    <w:rsid w:val="00D23BA4"/>
    <w:rsid w:val="00D33D63"/>
    <w:rsid w:val="00D46FF5"/>
    <w:rsid w:val="00D4778E"/>
    <w:rsid w:val="00D507B2"/>
    <w:rsid w:val="00D65EF3"/>
    <w:rsid w:val="00D7481B"/>
    <w:rsid w:val="00D82740"/>
    <w:rsid w:val="00D90138"/>
    <w:rsid w:val="00E31CF9"/>
    <w:rsid w:val="00E56EE3"/>
    <w:rsid w:val="00E73F76"/>
    <w:rsid w:val="00E86371"/>
    <w:rsid w:val="00EA2C9F"/>
    <w:rsid w:val="00EB3380"/>
    <w:rsid w:val="00ED0BDA"/>
    <w:rsid w:val="00ED3749"/>
    <w:rsid w:val="00EE7654"/>
    <w:rsid w:val="00EF1360"/>
    <w:rsid w:val="00EF145F"/>
    <w:rsid w:val="00EF3220"/>
    <w:rsid w:val="00EF5425"/>
    <w:rsid w:val="00F37BF0"/>
    <w:rsid w:val="00F43810"/>
    <w:rsid w:val="00F63772"/>
    <w:rsid w:val="00F76A49"/>
    <w:rsid w:val="00F9377E"/>
    <w:rsid w:val="00F94155"/>
    <w:rsid w:val="00FA7E8E"/>
    <w:rsid w:val="00FC7DEC"/>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899E8B"/>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Heading1">
    <w:name w:val="heading 1"/>
    <w:aliases w:val="Cuadro_G"/>
    <w:basedOn w:val="SingleTxtG"/>
    <w:next w:val="SingleTxtG"/>
    <w:link w:val="Heading1Char"/>
    <w:uiPriority w:val="9"/>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uiPriority w:val="9"/>
    <w:qFormat/>
    <w:rsid w:val="00D7481B"/>
    <w:pPr>
      <w:keepNext/>
      <w:outlineLvl w:val="1"/>
    </w:pPr>
    <w:rPr>
      <w:rFonts w:cs="Arial"/>
      <w:bCs/>
      <w:iCs/>
      <w:szCs w:val="28"/>
    </w:rPr>
  </w:style>
  <w:style w:type="paragraph" w:styleId="Heading3">
    <w:name w:val="heading 3"/>
    <w:basedOn w:val="Normal"/>
    <w:next w:val="Normal"/>
    <w:uiPriority w:val="9"/>
    <w:semiHidden/>
    <w:qFormat/>
    <w:rsid w:val="00D7481B"/>
    <w:pPr>
      <w:keepNext/>
      <w:spacing w:before="240" w:after="60"/>
      <w:outlineLvl w:val="2"/>
    </w:pPr>
    <w:rPr>
      <w:rFonts w:ascii="Arial" w:hAnsi="Arial" w:cs="Arial"/>
      <w:b/>
      <w:bCs/>
      <w:sz w:val="26"/>
      <w:szCs w:val="26"/>
    </w:rPr>
  </w:style>
  <w:style w:type="paragraph" w:styleId="Heading4">
    <w:name w:val="heading 4"/>
    <w:basedOn w:val="Normal"/>
    <w:next w:val="Normal"/>
    <w:uiPriority w:val="9"/>
    <w:semiHidden/>
    <w:qFormat/>
    <w:rsid w:val="00D7481B"/>
    <w:pPr>
      <w:keepNext/>
      <w:spacing w:before="240" w:after="60"/>
      <w:outlineLvl w:val="3"/>
    </w:pPr>
    <w:rPr>
      <w:b/>
      <w:bCs/>
      <w:sz w:val="28"/>
      <w:szCs w:val="28"/>
    </w:rPr>
  </w:style>
  <w:style w:type="paragraph" w:styleId="Heading5">
    <w:name w:val="heading 5"/>
    <w:basedOn w:val="Normal"/>
    <w:next w:val="Normal"/>
    <w:uiPriority w:val="9"/>
    <w:semiHidden/>
    <w:qFormat/>
    <w:rsid w:val="00D7481B"/>
    <w:pPr>
      <w:spacing w:before="240" w:after="60"/>
      <w:outlineLvl w:val="4"/>
    </w:pPr>
    <w:rPr>
      <w:b/>
      <w:bCs/>
      <w:i/>
      <w:iCs/>
      <w:sz w:val="26"/>
      <w:szCs w:val="26"/>
    </w:rPr>
  </w:style>
  <w:style w:type="paragraph" w:styleId="Heading6">
    <w:name w:val="heading 6"/>
    <w:basedOn w:val="Normal"/>
    <w:next w:val="Normal"/>
    <w:uiPriority w:val="9"/>
    <w:semiHidden/>
    <w:qFormat/>
    <w:rsid w:val="00D7481B"/>
    <w:pPr>
      <w:spacing w:before="240" w:after="60"/>
      <w:outlineLvl w:val="5"/>
    </w:pPr>
    <w:rPr>
      <w:b/>
      <w:bCs/>
      <w:sz w:val="22"/>
      <w:szCs w:val="22"/>
    </w:rPr>
  </w:style>
  <w:style w:type="paragraph" w:styleId="Heading7">
    <w:name w:val="heading 7"/>
    <w:basedOn w:val="Normal"/>
    <w:next w:val="Normal"/>
    <w:semiHidden/>
    <w:rsid w:val="00D7481B"/>
    <w:pPr>
      <w:spacing w:before="240" w:after="60"/>
      <w:outlineLvl w:val="6"/>
    </w:pPr>
    <w:rPr>
      <w:sz w:val="24"/>
      <w:szCs w:val="24"/>
    </w:rPr>
  </w:style>
  <w:style w:type="paragraph" w:styleId="Heading8">
    <w:name w:val="heading 8"/>
    <w:basedOn w:val="Normal"/>
    <w:next w:val="Normal"/>
    <w:semiHidden/>
    <w:rsid w:val="00D7481B"/>
    <w:pPr>
      <w:spacing w:before="240" w:after="60"/>
      <w:outlineLvl w:val="7"/>
    </w:pPr>
    <w:rPr>
      <w:i/>
      <w:iCs/>
      <w:sz w:val="24"/>
      <w:szCs w:val="24"/>
    </w:rPr>
  </w:style>
  <w:style w:type="paragraph" w:styleId="Heading9">
    <w:name w:val="heading 9"/>
    <w:basedOn w:val="Normal"/>
    <w:next w:val="Normal"/>
    <w:semiHidden/>
    <w:rsid w:val="00D7481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16 Point,4_G,BVI fnr,Footnote,Footnote Refernece,Footnote symbol,Fußnotenzeichen_Raxen,Superscript 6 Point,Texto de nota al pie,ftref"/>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FootnoteText">
    <w:name w:val="footnote text"/>
    <w:aliases w:val="5_G,Footnote Text Char Char1,Footnote Text Char Char1 Char Char,Footnote Text Char1,Footnote Text Char1 Char Char1,Footnote Text Char1 Char Char1 Char Char,Geneva 9 Char Char Char Char Char,fn,ft,ft Char Char Char Char Char,single space"/>
    <w:basedOn w:val="Normal"/>
    <w:link w:val="FootnoteTextChar"/>
    <w:uiPriority w:val="99"/>
    <w:qFormat/>
    <w:rsid w:val="00D7481B"/>
    <w:pPr>
      <w:tabs>
        <w:tab w:val="right" w:pos="1021"/>
      </w:tabs>
      <w:spacing w:line="220" w:lineRule="exact"/>
      <w:ind w:left="1134" w:right="1134" w:hanging="1134"/>
    </w:pPr>
    <w:rPr>
      <w:sz w:val="18"/>
    </w:rPr>
  </w:style>
  <w:style w:type="table" w:styleId="TableGrid">
    <w:name w:val="Table Grid"/>
    <w:basedOn w:val="Table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D7481B"/>
    <w:pPr>
      <w:numPr>
        <w:numId w:val="1"/>
      </w:numPr>
    </w:pPr>
  </w:style>
  <w:style w:type="numbering" w:styleId="1ai">
    <w:name w:val="Outline List 1"/>
    <w:basedOn w:val="NoList"/>
    <w:semiHidden/>
    <w:rsid w:val="00D7481B"/>
    <w:pPr>
      <w:numPr>
        <w:numId w:val="2"/>
      </w:numPr>
    </w:pPr>
  </w:style>
  <w:style w:type="character" w:styleId="HTMLAcronym">
    <w:name w:val="HTML Acronym"/>
    <w:basedOn w:val="DefaultParagraphFont"/>
    <w:semiHidden/>
    <w:rsid w:val="00D7481B"/>
  </w:style>
  <w:style w:type="numbering" w:styleId="ArticleSection">
    <w:name w:val="Outline List 3"/>
    <w:basedOn w:val="NoList"/>
    <w:semiHidden/>
    <w:rsid w:val="00D7481B"/>
    <w:pPr>
      <w:numPr>
        <w:numId w:val="3"/>
      </w:numPr>
    </w:pPr>
  </w:style>
  <w:style w:type="paragraph" w:styleId="Closing">
    <w:name w:val="Closing"/>
    <w:basedOn w:val="Normal"/>
    <w:semiHidden/>
    <w:rsid w:val="00D7481B"/>
    <w:pPr>
      <w:ind w:left="4252"/>
    </w:pPr>
  </w:style>
  <w:style w:type="character" w:styleId="HTMLCite">
    <w:name w:val="HTML Cite"/>
    <w:semiHidden/>
    <w:rsid w:val="00D7481B"/>
    <w:rPr>
      <w:i/>
      <w:iCs/>
    </w:rPr>
  </w:style>
  <w:style w:type="character" w:styleId="HTMLCode">
    <w:name w:val="HTML Code"/>
    <w:semiHidden/>
    <w:rsid w:val="00D7481B"/>
    <w:rPr>
      <w:rFonts w:ascii="Courier New" w:hAnsi="Courier New" w:cs="Courier New"/>
      <w:sz w:val="20"/>
      <w:szCs w:val="20"/>
    </w:rPr>
  </w:style>
  <w:style w:type="paragraph" w:styleId="ListContinue">
    <w:name w:val="List Continue"/>
    <w:basedOn w:val="Normal"/>
    <w:semiHidden/>
    <w:rsid w:val="00D7481B"/>
    <w:pPr>
      <w:spacing w:after="120"/>
      <w:ind w:left="283"/>
    </w:pPr>
  </w:style>
  <w:style w:type="paragraph" w:styleId="ListContinue2">
    <w:name w:val="List Continue 2"/>
    <w:basedOn w:val="Normal"/>
    <w:semiHidden/>
    <w:rsid w:val="00D7481B"/>
    <w:pPr>
      <w:spacing w:after="120"/>
      <w:ind w:left="566"/>
    </w:pPr>
  </w:style>
  <w:style w:type="paragraph" w:styleId="ListContinue3">
    <w:name w:val="List Continue 3"/>
    <w:basedOn w:val="Normal"/>
    <w:semiHidden/>
    <w:rsid w:val="00D7481B"/>
    <w:pPr>
      <w:spacing w:after="120"/>
      <w:ind w:left="849"/>
    </w:pPr>
  </w:style>
  <w:style w:type="paragraph" w:styleId="ListContinue4">
    <w:name w:val="List Continue 4"/>
    <w:basedOn w:val="Normal"/>
    <w:semiHidden/>
    <w:rsid w:val="00D7481B"/>
    <w:pPr>
      <w:spacing w:after="120"/>
      <w:ind w:left="1132"/>
    </w:pPr>
  </w:style>
  <w:style w:type="paragraph" w:styleId="ListContinue5">
    <w:name w:val="List Continue 5"/>
    <w:basedOn w:val="Normal"/>
    <w:semiHidden/>
    <w:rsid w:val="00D7481B"/>
    <w:pPr>
      <w:spacing w:after="120"/>
      <w:ind w:left="1415"/>
    </w:pPr>
  </w:style>
  <w:style w:type="character" w:styleId="HTMLDefinition">
    <w:name w:val="HTML Definition"/>
    <w:semiHidden/>
    <w:rsid w:val="00D7481B"/>
    <w:rPr>
      <w:i/>
      <w:iCs/>
    </w:rPr>
  </w:style>
  <w:style w:type="paragraph" w:styleId="HTMLAddress">
    <w:name w:val="HTML Address"/>
    <w:basedOn w:val="Normal"/>
    <w:semiHidden/>
    <w:rsid w:val="00D7481B"/>
    <w:rPr>
      <w:i/>
      <w:iCs/>
    </w:rPr>
  </w:style>
  <w:style w:type="paragraph" w:styleId="EnvelopeAddress">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D7481B"/>
    <w:rPr>
      <w:rFonts w:ascii="Courier New" w:hAnsi="Courier New" w:cs="Courier New"/>
    </w:rPr>
  </w:style>
  <w:style w:type="paragraph" w:styleId="MessageHeader">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D7481B"/>
  </w:style>
  <w:style w:type="character" w:styleId="Emphasis">
    <w:name w:val="Emphasis"/>
    <w:semiHidden/>
    <w:rsid w:val="00D7481B"/>
    <w:rPr>
      <w:i/>
      <w:iCs/>
    </w:rPr>
  </w:style>
  <w:style w:type="paragraph" w:styleId="Date">
    <w:name w:val="Date"/>
    <w:basedOn w:val="Normal"/>
    <w:next w:val="Normal"/>
    <w:semiHidden/>
    <w:rsid w:val="00D7481B"/>
  </w:style>
  <w:style w:type="paragraph" w:styleId="Signature">
    <w:name w:val="Signature"/>
    <w:basedOn w:val="Normal"/>
    <w:semiHidden/>
    <w:rsid w:val="00D7481B"/>
    <w:pPr>
      <w:ind w:left="4252"/>
    </w:pPr>
  </w:style>
  <w:style w:type="paragraph" w:styleId="E-mailSignature">
    <w:name w:val="E-mail Signature"/>
    <w:basedOn w:val="Normal"/>
    <w:semiHidden/>
    <w:rsid w:val="00D7481B"/>
  </w:style>
  <w:style w:type="character" w:styleId="Hyperlink">
    <w:name w:val="Hyperlink"/>
    <w:uiPriority w:val="99"/>
    <w:rsid w:val="00D7481B"/>
    <w:rPr>
      <w:color w:val="0000FF"/>
      <w:u w:val="none"/>
    </w:rPr>
  </w:style>
  <w:style w:type="character" w:styleId="FollowedHyperlink">
    <w:name w:val="FollowedHyperlink"/>
    <w:uiPriority w:val="99"/>
    <w:rsid w:val="00D7481B"/>
    <w:rPr>
      <w:color w:val="0000FF"/>
      <w:u w:val="none"/>
    </w:rPr>
  </w:style>
  <w:style w:type="paragraph" w:styleId="HTMLPreformatted">
    <w:name w:val="HTML Preformatted"/>
    <w:basedOn w:val="Normal"/>
    <w:semiHidden/>
    <w:rsid w:val="00D7481B"/>
    <w:rPr>
      <w:rFonts w:ascii="Courier New" w:hAnsi="Courier New" w:cs="Courier New"/>
    </w:rPr>
  </w:style>
  <w:style w:type="paragraph" w:styleId="List">
    <w:name w:val="List"/>
    <w:basedOn w:val="Normal"/>
    <w:semiHidden/>
    <w:rsid w:val="00D7481B"/>
    <w:pPr>
      <w:ind w:left="283" w:hanging="283"/>
    </w:pPr>
  </w:style>
  <w:style w:type="paragraph" w:styleId="List2">
    <w:name w:val="List 2"/>
    <w:basedOn w:val="Normal"/>
    <w:semiHidden/>
    <w:rsid w:val="00D7481B"/>
    <w:pPr>
      <w:ind w:left="566" w:hanging="283"/>
    </w:pPr>
  </w:style>
  <w:style w:type="paragraph" w:styleId="List3">
    <w:name w:val="List 3"/>
    <w:basedOn w:val="Normal"/>
    <w:semiHidden/>
    <w:rsid w:val="00D7481B"/>
    <w:pPr>
      <w:ind w:left="849" w:hanging="283"/>
    </w:pPr>
  </w:style>
  <w:style w:type="paragraph" w:styleId="List4">
    <w:name w:val="List 4"/>
    <w:basedOn w:val="Normal"/>
    <w:semiHidden/>
    <w:rsid w:val="00D7481B"/>
    <w:pPr>
      <w:ind w:left="1132" w:hanging="283"/>
    </w:pPr>
  </w:style>
  <w:style w:type="paragraph" w:styleId="List5">
    <w:name w:val="List 5"/>
    <w:basedOn w:val="Normal"/>
    <w:semiHidden/>
    <w:rsid w:val="00D7481B"/>
    <w:pPr>
      <w:ind w:left="1415" w:hanging="283"/>
    </w:pPr>
  </w:style>
  <w:style w:type="paragraph" w:styleId="ListNumber">
    <w:name w:val="List Number"/>
    <w:basedOn w:val="Normal"/>
    <w:semiHidden/>
    <w:rsid w:val="00D7481B"/>
    <w:pPr>
      <w:numPr>
        <w:numId w:val="11"/>
      </w:numPr>
    </w:pPr>
  </w:style>
  <w:style w:type="paragraph" w:styleId="ListNumber2">
    <w:name w:val="List Number 2"/>
    <w:basedOn w:val="Normal"/>
    <w:semiHidden/>
    <w:rsid w:val="00D7481B"/>
    <w:pPr>
      <w:numPr>
        <w:numId w:val="12"/>
      </w:numPr>
    </w:pPr>
  </w:style>
  <w:style w:type="paragraph" w:styleId="ListNumber3">
    <w:name w:val="List Number 3"/>
    <w:basedOn w:val="Normal"/>
    <w:semiHidden/>
    <w:rsid w:val="00D7481B"/>
    <w:pPr>
      <w:numPr>
        <w:numId w:val="13"/>
      </w:numPr>
    </w:pPr>
  </w:style>
  <w:style w:type="paragraph" w:styleId="ListNumber4">
    <w:name w:val="List Number 4"/>
    <w:basedOn w:val="Normal"/>
    <w:semiHidden/>
    <w:rsid w:val="00D7481B"/>
    <w:pPr>
      <w:numPr>
        <w:numId w:val="14"/>
      </w:numPr>
    </w:pPr>
  </w:style>
  <w:style w:type="paragraph" w:styleId="ListNumber5">
    <w:name w:val="List Number 5"/>
    <w:basedOn w:val="Normal"/>
    <w:semiHidden/>
    <w:rsid w:val="00D7481B"/>
    <w:pPr>
      <w:numPr>
        <w:numId w:val="15"/>
      </w:numPr>
    </w:pPr>
  </w:style>
  <w:style w:type="paragraph" w:styleId="ListBullet">
    <w:name w:val="List Bullet"/>
    <w:basedOn w:val="Normal"/>
    <w:semiHidden/>
    <w:rsid w:val="00D7481B"/>
    <w:pPr>
      <w:numPr>
        <w:numId w:val="6"/>
      </w:numPr>
    </w:pPr>
  </w:style>
  <w:style w:type="paragraph" w:styleId="ListBullet2">
    <w:name w:val="List Bullet 2"/>
    <w:basedOn w:val="Normal"/>
    <w:semiHidden/>
    <w:rsid w:val="00D7481B"/>
    <w:pPr>
      <w:numPr>
        <w:numId w:val="7"/>
      </w:numPr>
    </w:pPr>
  </w:style>
  <w:style w:type="paragraph" w:styleId="ListBullet3">
    <w:name w:val="List Bullet 3"/>
    <w:basedOn w:val="Normal"/>
    <w:semiHidden/>
    <w:rsid w:val="00D7481B"/>
    <w:pPr>
      <w:numPr>
        <w:numId w:val="8"/>
      </w:numPr>
    </w:pPr>
  </w:style>
  <w:style w:type="paragraph" w:styleId="ListBullet4">
    <w:name w:val="List Bullet 4"/>
    <w:basedOn w:val="Normal"/>
    <w:semiHidden/>
    <w:rsid w:val="00D7481B"/>
    <w:pPr>
      <w:numPr>
        <w:numId w:val="9"/>
      </w:numPr>
    </w:pPr>
  </w:style>
  <w:style w:type="paragraph" w:styleId="ListBullet5">
    <w:name w:val="List Bullet 5"/>
    <w:basedOn w:val="Normal"/>
    <w:semiHidden/>
    <w:rsid w:val="00D7481B"/>
    <w:pPr>
      <w:numPr>
        <w:numId w:val="10"/>
      </w:numPr>
    </w:pPr>
  </w:style>
  <w:style w:type="character" w:styleId="HTMLTypewriter">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LineNumber">
    <w:name w:val="line number"/>
    <w:basedOn w:val="DefaultParagraphFont"/>
    <w:semiHidden/>
    <w:rsid w:val="00D7481B"/>
  </w:style>
  <w:style w:type="character" w:styleId="PageNumber">
    <w:name w:val="page number"/>
    <w:aliases w:val="7_G"/>
    <w:qFormat/>
    <w:rsid w:val="00D7481B"/>
    <w:rPr>
      <w:b/>
      <w:sz w:val="18"/>
    </w:rPr>
  </w:style>
  <w:style w:type="character" w:styleId="EndnoteReference">
    <w:name w:val="endnote reference"/>
    <w:aliases w:val="1_G"/>
    <w:qFormat/>
    <w:rsid w:val="00D7481B"/>
    <w:rPr>
      <w:rFonts w:ascii="Times New Roman" w:hAnsi="Times New Roman"/>
      <w:sz w:val="18"/>
      <w:vertAlign w:val="superscript"/>
    </w:rPr>
  </w:style>
  <w:style w:type="paragraph" w:styleId="EnvelopeReturn">
    <w:name w:val="envelope return"/>
    <w:basedOn w:val="Normal"/>
    <w:semiHidden/>
    <w:rsid w:val="00D7481B"/>
    <w:rPr>
      <w:rFonts w:ascii="Arial" w:hAnsi="Arial" w:cs="Arial"/>
    </w:rPr>
  </w:style>
  <w:style w:type="paragraph" w:styleId="Salutation">
    <w:name w:val="Salutation"/>
    <w:basedOn w:val="Normal"/>
    <w:next w:val="Normal"/>
    <w:semiHidden/>
    <w:rsid w:val="00D7481B"/>
  </w:style>
  <w:style w:type="paragraph" w:styleId="BodyTextIndent2">
    <w:name w:val="Body Text Indent 2"/>
    <w:basedOn w:val="Normal"/>
    <w:semiHidden/>
    <w:rsid w:val="00D7481B"/>
    <w:pPr>
      <w:spacing w:after="120" w:line="480" w:lineRule="auto"/>
      <w:ind w:left="283"/>
    </w:pPr>
  </w:style>
  <w:style w:type="paragraph" w:styleId="BodyTextIndent3">
    <w:name w:val="Body Text Indent 3"/>
    <w:basedOn w:val="Normal"/>
    <w:semiHidden/>
    <w:rsid w:val="00D7481B"/>
    <w:pPr>
      <w:spacing w:after="120"/>
      <w:ind w:left="283"/>
    </w:pPr>
    <w:rPr>
      <w:sz w:val="16"/>
      <w:szCs w:val="16"/>
    </w:rPr>
  </w:style>
  <w:style w:type="paragraph" w:styleId="BodyTextIndent">
    <w:name w:val="Body Text Indent"/>
    <w:basedOn w:val="Normal"/>
    <w:semiHidden/>
    <w:rsid w:val="00D7481B"/>
    <w:pPr>
      <w:spacing w:after="120"/>
      <w:ind w:left="283"/>
    </w:pPr>
  </w:style>
  <w:style w:type="paragraph" w:styleId="NormalIndent">
    <w:name w:val="Normal Indent"/>
    <w:basedOn w:val="Normal"/>
    <w:semiHidden/>
    <w:rsid w:val="00D7481B"/>
    <w:pPr>
      <w:ind w:left="567"/>
    </w:pPr>
  </w:style>
  <w:style w:type="paragraph" w:styleId="Subtitle">
    <w:name w:val="Subtitle"/>
    <w:basedOn w:val="Normal"/>
    <w:link w:val="SubtitleChar"/>
    <w:uiPriority w:val="11"/>
    <w:qFormat/>
    <w:rsid w:val="00D7481B"/>
    <w:pPr>
      <w:spacing w:after="60"/>
      <w:jc w:val="center"/>
      <w:outlineLvl w:val="1"/>
    </w:pPr>
    <w:rPr>
      <w:rFonts w:ascii="Arial" w:hAnsi="Arial" w:cs="Arial"/>
      <w:sz w:val="24"/>
      <w:szCs w:val="24"/>
    </w:rPr>
  </w:style>
  <w:style w:type="table" w:styleId="TableSimple1">
    <w:name w:val="Table Simple 1"/>
    <w:basedOn w:val="Table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7481B"/>
    <w:rPr>
      <w:rFonts w:ascii="Courier New" w:hAnsi="Courier New" w:cs="Courier New"/>
      <w:sz w:val="20"/>
      <w:szCs w:val="20"/>
    </w:rPr>
  </w:style>
  <w:style w:type="paragraph" w:styleId="BlockText">
    <w:name w:val="Block Text"/>
    <w:basedOn w:val="Normal"/>
    <w:semiHidden/>
    <w:rsid w:val="00D7481B"/>
    <w:pPr>
      <w:spacing w:after="120"/>
      <w:ind w:left="1440" w:right="1440"/>
    </w:pPr>
  </w:style>
  <w:style w:type="character" w:styleId="Strong">
    <w:name w:val="Strong"/>
    <w:semiHidden/>
    <w:rsid w:val="00D7481B"/>
    <w:rPr>
      <w:b/>
      <w:bCs/>
    </w:rPr>
  </w:style>
  <w:style w:type="paragraph" w:styleId="BodyText">
    <w:name w:val="Body Text"/>
    <w:basedOn w:val="Normal"/>
    <w:semiHidden/>
    <w:rsid w:val="00D7481B"/>
    <w:pPr>
      <w:spacing w:after="120"/>
    </w:pPr>
  </w:style>
  <w:style w:type="paragraph" w:styleId="BodyText2">
    <w:name w:val="Body Text 2"/>
    <w:basedOn w:val="Normal"/>
    <w:semiHidden/>
    <w:rsid w:val="00D7481B"/>
    <w:pPr>
      <w:spacing w:after="120" w:line="480" w:lineRule="auto"/>
    </w:pPr>
  </w:style>
  <w:style w:type="paragraph" w:styleId="BodyText3">
    <w:name w:val="Body Text 3"/>
    <w:basedOn w:val="Normal"/>
    <w:semiHidden/>
    <w:rsid w:val="00D7481B"/>
    <w:pPr>
      <w:spacing w:after="120"/>
    </w:pPr>
    <w:rPr>
      <w:sz w:val="16"/>
      <w:szCs w:val="16"/>
    </w:rPr>
  </w:style>
  <w:style w:type="paragraph" w:styleId="BodyTextFirstIndent">
    <w:name w:val="Body Text First Indent"/>
    <w:basedOn w:val="BodyText"/>
    <w:semiHidden/>
    <w:rsid w:val="00D7481B"/>
    <w:pPr>
      <w:ind w:firstLine="210"/>
    </w:pPr>
  </w:style>
  <w:style w:type="paragraph" w:styleId="BodyTextFirstIndent2">
    <w:name w:val="Body Text First Indent 2"/>
    <w:basedOn w:val="BodyTextIndent"/>
    <w:semiHidden/>
    <w:rsid w:val="00D7481B"/>
    <w:pPr>
      <w:ind w:firstLine="210"/>
    </w:pPr>
  </w:style>
  <w:style w:type="paragraph" w:styleId="EndnoteText">
    <w:name w:val="endnote text"/>
    <w:aliases w:val="2_G"/>
    <w:basedOn w:val="FootnoteText"/>
    <w:qFormat/>
    <w:rsid w:val="00D7481B"/>
  </w:style>
  <w:style w:type="paragraph" w:styleId="PlainText">
    <w:name w:val="Plain Text"/>
    <w:basedOn w:val="Normal"/>
    <w:semiHidden/>
    <w:rsid w:val="00D7481B"/>
    <w:rPr>
      <w:rFonts w:ascii="Courier New" w:hAnsi="Courier New" w:cs="Courier New"/>
    </w:rPr>
  </w:style>
  <w:style w:type="paragraph" w:styleId="Title">
    <w:name w:val="Title"/>
    <w:basedOn w:val="Normal"/>
    <w:link w:val="TitleChar"/>
    <w:uiPriority w:val="10"/>
    <w:qFormat/>
    <w:rsid w:val="00D7481B"/>
    <w:pPr>
      <w:spacing w:before="240" w:after="60"/>
      <w:jc w:val="center"/>
      <w:outlineLvl w:val="0"/>
    </w:pPr>
    <w:rPr>
      <w:rFonts w:ascii="Arial" w:hAnsi="Arial" w:cs="Arial"/>
      <w:b/>
      <w:bCs/>
      <w:kern w:val="28"/>
      <w:sz w:val="32"/>
      <w:szCs w:val="32"/>
    </w:rPr>
  </w:style>
  <w:style w:type="character" w:styleId="HTMLVariable">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BalloonText">
    <w:name w:val="Balloon Text"/>
    <w:basedOn w:val="Normal"/>
    <w:link w:val="BalloonTextChar"/>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D7481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D7481B"/>
    <w:rPr>
      <w:rFonts w:eastAsiaTheme="minorEastAsia"/>
      <w:b/>
      <w:bCs/>
      <w:i/>
      <w:iCs/>
      <w:color w:val="4F81BD"/>
      <w:lang w:val="es-ES" w:eastAsia="es-ES"/>
    </w:rPr>
  </w:style>
  <w:style w:type="character" w:styleId="IntenseEmphasis">
    <w:name w:val="Intense Emphasis"/>
    <w:uiPriority w:val="21"/>
    <w:semiHidden/>
    <w:rsid w:val="00D7481B"/>
    <w:rPr>
      <w:b/>
      <w:bCs/>
      <w:i/>
      <w:iCs/>
      <w:color w:val="4F81BD"/>
    </w:rPr>
  </w:style>
  <w:style w:type="character" w:customStyle="1" w:styleId="Heading1Char">
    <w:name w:val="Heading 1 Char"/>
    <w:aliases w:val="Cuadro_G Char"/>
    <w:basedOn w:val="DefaultParagraphFont"/>
    <w:link w:val="Heading1"/>
    <w:rsid w:val="00D7481B"/>
    <w:rPr>
      <w:rFonts w:eastAsiaTheme="minorEastAsia"/>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BA03BB"/>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9696A"/>
    <w:rPr>
      <w:rFonts w:eastAsiaTheme="minorEastAsia"/>
      <w:lang w:val="es-ES" w:eastAsia="es-ES"/>
    </w:rPr>
  </w:style>
  <w:style w:type="character" w:customStyle="1" w:styleId="FootnoteTextChar">
    <w:name w:val="Footnote Text Char"/>
    <w:aliases w:val="5_G Char,Footnote Text Char Char1 Char,Footnote Text Char Char1 Char Char Char,Footnote Text Char1 Char,Footnote Text Char1 Char Char1 Char,Footnote Text Char1 Char Char1 Char Char Char,Geneva 9 Char Char Char Char Char Char,fn Char"/>
    <w:link w:val="FootnoteText"/>
    <w:uiPriority w:val="99"/>
    <w:locked/>
    <w:rsid w:val="0019429F"/>
    <w:rPr>
      <w:rFonts w:eastAsiaTheme="minorEastAsia"/>
      <w:sz w:val="18"/>
      <w:lang w:val="es-ES" w:eastAsia="es-ES"/>
    </w:rPr>
  </w:style>
  <w:style w:type="paragraph" w:styleId="TOCHeading">
    <w:name w:val="TOC Heading"/>
    <w:basedOn w:val="Heading1"/>
    <w:next w:val="Normal"/>
    <w:uiPriority w:val="39"/>
    <w:unhideWhenUsed/>
    <w:qFormat/>
    <w:rsid w:val="009770A9"/>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9770A9"/>
    <w:pPr>
      <w:spacing w:after="100"/>
    </w:pPr>
  </w:style>
  <w:style w:type="numbering" w:customStyle="1" w:styleId="NoList1">
    <w:name w:val="No List1"/>
    <w:next w:val="NoList"/>
    <w:uiPriority w:val="99"/>
    <w:semiHidden/>
    <w:unhideWhenUsed/>
    <w:rsid w:val="009770A9"/>
  </w:style>
  <w:style w:type="table" w:customStyle="1" w:styleId="TableNormal1">
    <w:name w:val="Table Normal1"/>
    <w:rsid w:val="009770A9"/>
    <w:pPr>
      <w:spacing w:after="160" w:line="259" w:lineRule="auto"/>
    </w:pPr>
    <w:rPr>
      <w:rFonts w:ascii="Calibri" w:eastAsia="Calibri" w:hAnsi="Calibri" w:cs="Calibri"/>
      <w:sz w:val="22"/>
      <w:szCs w:val="22"/>
      <w:lang w:val="es-ES" w:eastAsia="es-HN"/>
    </w:rPr>
    <w:tblPr>
      <w:tblCellMar>
        <w:top w:w="0" w:type="dxa"/>
        <w:left w:w="0" w:type="dxa"/>
        <w:bottom w:w="0" w:type="dxa"/>
        <w:right w:w="0" w:type="dxa"/>
      </w:tblCellMar>
    </w:tblPr>
  </w:style>
  <w:style w:type="paragraph" w:styleId="CommentText">
    <w:name w:val="annotation text"/>
    <w:basedOn w:val="Normal"/>
    <w:link w:val="CommentTextChar"/>
    <w:uiPriority w:val="99"/>
    <w:unhideWhenUsed/>
    <w:rsid w:val="009770A9"/>
    <w:pPr>
      <w:spacing w:after="160" w:line="240" w:lineRule="auto"/>
    </w:pPr>
    <w:rPr>
      <w:rFonts w:ascii="Calibri" w:eastAsia="Calibri" w:hAnsi="Calibri" w:cs="Calibri"/>
      <w:lang w:eastAsia="es-HN"/>
    </w:rPr>
  </w:style>
  <w:style w:type="character" w:customStyle="1" w:styleId="CommentTextChar">
    <w:name w:val="Comment Text Char"/>
    <w:basedOn w:val="DefaultParagraphFont"/>
    <w:link w:val="CommentText"/>
    <w:uiPriority w:val="99"/>
    <w:rsid w:val="009770A9"/>
    <w:rPr>
      <w:rFonts w:ascii="Calibri" w:eastAsia="Calibri" w:hAnsi="Calibri" w:cs="Calibri"/>
      <w:lang w:val="es-ES" w:eastAsia="es-HN"/>
    </w:rPr>
  </w:style>
  <w:style w:type="character" w:styleId="CommentReference">
    <w:name w:val="annotation reference"/>
    <w:basedOn w:val="DefaultParagraphFont"/>
    <w:uiPriority w:val="99"/>
    <w:semiHidden/>
    <w:unhideWhenUsed/>
    <w:rsid w:val="009770A9"/>
    <w:rPr>
      <w:sz w:val="16"/>
      <w:szCs w:val="16"/>
    </w:rPr>
  </w:style>
  <w:style w:type="character" w:customStyle="1" w:styleId="HeaderChar">
    <w:name w:val="Header Char"/>
    <w:aliases w:val="6_G Char"/>
    <w:basedOn w:val="DefaultParagraphFont"/>
    <w:link w:val="Header"/>
    <w:uiPriority w:val="99"/>
    <w:rsid w:val="009770A9"/>
    <w:rPr>
      <w:rFonts w:eastAsiaTheme="minorEastAsia"/>
      <w:b/>
      <w:sz w:val="18"/>
      <w:lang w:val="es-ES" w:eastAsia="es-ES"/>
    </w:rPr>
  </w:style>
  <w:style w:type="character" w:customStyle="1" w:styleId="FooterChar">
    <w:name w:val="Footer Char"/>
    <w:aliases w:val="3_G Char"/>
    <w:basedOn w:val="DefaultParagraphFont"/>
    <w:link w:val="Footer"/>
    <w:uiPriority w:val="99"/>
    <w:rsid w:val="009770A9"/>
    <w:rPr>
      <w:rFonts w:eastAsiaTheme="minorEastAsia"/>
      <w:sz w:val="16"/>
      <w:lang w:val="es-ES" w:eastAsia="es-ES"/>
    </w:rPr>
  </w:style>
  <w:style w:type="paragraph" w:styleId="ListParagraph">
    <w:name w:val="List Paragraph"/>
    <w:basedOn w:val="Normal"/>
    <w:uiPriority w:val="34"/>
    <w:qFormat/>
    <w:rsid w:val="009770A9"/>
    <w:pPr>
      <w:spacing w:after="160" w:line="259" w:lineRule="auto"/>
      <w:ind w:left="720"/>
      <w:contextualSpacing/>
    </w:pPr>
    <w:rPr>
      <w:rFonts w:ascii="Calibri" w:eastAsia="Calibri" w:hAnsi="Calibri" w:cs="Calibri"/>
      <w:sz w:val="22"/>
      <w:szCs w:val="22"/>
      <w:lang w:eastAsia="es-HN"/>
    </w:rPr>
  </w:style>
  <w:style w:type="character" w:customStyle="1" w:styleId="Mencinsinresolver1">
    <w:name w:val="Mención sin resolver1"/>
    <w:basedOn w:val="DefaultParagraphFont"/>
    <w:uiPriority w:val="99"/>
    <w:semiHidden/>
    <w:unhideWhenUsed/>
    <w:rsid w:val="009770A9"/>
    <w:rPr>
      <w:color w:val="605E5C"/>
      <w:shd w:val="clear" w:color="auto" w:fill="E1DFDD"/>
    </w:rPr>
  </w:style>
  <w:style w:type="paragraph" w:customStyle="1" w:styleId="Informes">
    <w:name w:val="Informes"/>
    <w:basedOn w:val="Title"/>
    <w:link w:val="InformesCar"/>
    <w:qFormat/>
    <w:rsid w:val="009770A9"/>
    <w:pPr>
      <w:keepNext/>
      <w:keepLines/>
      <w:numPr>
        <w:numId w:val="18"/>
      </w:numPr>
      <w:spacing w:before="0" w:after="0" w:line="276" w:lineRule="auto"/>
      <w:jc w:val="left"/>
      <w:outlineLvl w:val="9"/>
    </w:pPr>
    <w:rPr>
      <w:sz w:val="24"/>
      <w:szCs w:val="24"/>
      <w:lang w:eastAsia="es-HN"/>
    </w:rPr>
  </w:style>
  <w:style w:type="character" w:customStyle="1" w:styleId="TitleChar">
    <w:name w:val="Title Char"/>
    <w:basedOn w:val="DefaultParagraphFont"/>
    <w:link w:val="Title"/>
    <w:uiPriority w:val="10"/>
    <w:rsid w:val="009770A9"/>
    <w:rPr>
      <w:rFonts w:ascii="Arial" w:eastAsiaTheme="minorEastAsia" w:hAnsi="Arial" w:cs="Arial"/>
      <w:b/>
      <w:bCs/>
      <w:kern w:val="28"/>
      <w:sz w:val="32"/>
      <w:szCs w:val="32"/>
      <w:lang w:val="es-ES" w:eastAsia="es-ES"/>
    </w:rPr>
  </w:style>
  <w:style w:type="character" w:customStyle="1" w:styleId="InformesCar">
    <w:name w:val="Informes Car"/>
    <w:basedOn w:val="TitleChar"/>
    <w:link w:val="Informes"/>
    <w:rsid w:val="009770A9"/>
    <w:rPr>
      <w:rFonts w:ascii="Arial" w:eastAsiaTheme="minorEastAsia" w:hAnsi="Arial" w:cs="Arial"/>
      <w:b/>
      <w:bCs/>
      <w:kern w:val="28"/>
      <w:sz w:val="24"/>
      <w:szCs w:val="24"/>
      <w:lang w:val="es-ES" w:eastAsia="es-HN"/>
    </w:rPr>
  </w:style>
  <w:style w:type="paragraph" w:customStyle="1" w:styleId="SubtitulosInformes">
    <w:name w:val="Subtitulos Informes"/>
    <w:basedOn w:val="Normal"/>
    <w:next w:val="Normal"/>
    <w:link w:val="SubtitulosInformesCar"/>
    <w:autoRedefine/>
    <w:qFormat/>
    <w:rsid w:val="009770A9"/>
    <w:pPr>
      <w:numPr>
        <w:numId w:val="17"/>
      </w:numPr>
      <w:spacing w:line="276" w:lineRule="auto"/>
      <w:jc w:val="both"/>
    </w:pPr>
    <w:rPr>
      <w:rFonts w:ascii="Arial" w:hAnsi="Arial" w:cs="Arial"/>
      <w:b/>
      <w:color w:val="000000"/>
      <w:sz w:val="24"/>
      <w:szCs w:val="24"/>
      <w:lang w:eastAsia="es-HN"/>
    </w:rPr>
  </w:style>
  <w:style w:type="paragraph" w:customStyle="1" w:styleId="TOC21">
    <w:name w:val="TOC 21"/>
    <w:basedOn w:val="Normal"/>
    <w:next w:val="Normal"/>
    <w:autoRedefine/>
    <w:uiPriority w:val="39"/>
    <w:unhideWhenUsed/>
    <w:rsid w:val="009770A9"/>
    <w:pPr>
      <w:spacing w:before="240" w:line="259" w:lineRule="auto"/>
    </w:pPr>
    <w:rPr>
      <w:rFonts w:ascii="Cambria" w:eastAsia="Calibri" w:hAnsi="Cambria" w:cs="Calibri"/>
      <w:b/>
      <w:bCs/>
      <w:lang w:eastAsia="es-HN"/>
    </w:rPr>
  </w:style>
  <w:style w:type="character" w:customStyle="1" w:styleId="SubtitleChar">
    <w:name w:val="Subtitle Char"/>
    <w:basedOn w:val="DefaultParagraphFont"/>
    <w:link w:val="Subtitle"/>
    <w:uiPriority w:val="11"/>
    <w:rsid w:val="009770A9"/>
    <w:rPr>
      <w:rFonts w:ascii="Arial" w:eastAsiaTheme="minorEastAsia" w:hAnsi="Arial" w:cs="Arial"/>
      <w:sz w:val="24"/>
      <w:szCs w:val="24"/>
      <w:lang w:val="es-ES" w:eastAsia="es-ES"/>
    </w:rPr>
  </w:style>
  <w:style w:type="character" w:customStyle="1" w:styleId="SubtitulosInformesCar">
    <w:name w:val="Subtitulos Informes Car"/>
    <w:basedOn w:val="SubtitleChar"/>
    <w:link w:val="SubtitulosInformes"/>
    <w:rsid w:val="009770A9"/>
    <w:rPr>
      <w:rFonts w:ascii="Arial" w:eastAsiaTheme="minorEastAsia" w:hAnsi="Arial" w:cs="Arial"/>
      <w:b/>
      <w:color w:val="000000"/>
      <w:sz w:val="24"/>
      <w:szCs w:val="24"/>
      <w:lang w:val="es-ES" w:eastAsia="es-HN"/>
    </w:rPr>
  </w:style>
  <w:style w:type="paragraph" w:customStyle="1" w:styleId="TOC31">
    <w:name w:val="TOC 31"/>
    <w:basedOn w:val="Normal"/>
    <w:next w:val="Normal"/>
    <w:autoRedefine/>
    <w:uiPriority w:val="39"/>
    <w:unhideWhenUsed/>
    <w:rsid w:val="009770A9"/>
    <w:pPr>
      <w:spacing w:line="259" w:lineRule="auto"/>
      <w:ind w:left="220"/>
    </w:pPr>
    <w:rPr>
      <w:rFonts w:ascii="Cambria" w:eastAsia="Calibri" w:hAnsi="Cambria" w:cs="Calibri"/>
      <w:lang w:eastAsia="es-HN"/>
    </w:rPr>
  </w:style>
  <w:style w:type="paragraph" w:customStyle="1" w:styleId="TOC41">
    <w:name w:val="TOC 41"/>
    <w:basedOn w:val="Normal"/>
    <w:next w:val="Normal"/>
    <w:autoRedefine/>
    <w:uiPriority w:val="39"/>
    <w:unhideWhenUsed/>
    <w:rsid w:val="009770A9"/>
    <w:pPr>
      <w:spacing w:line="259" w:lineRule="auto"/>
      <w:ind w:left="440"/>
    </w:pPr>
    <w:rPr>
      <w:rFonts w:ascii="Cambria" w:eastAsia="Calibri" w:hAnsi="Cambria" w:cs="Calibri"/>
      <w:lang w:eastAsia="es-HN"/>
    </w:rPr>
  </w:style>
  <w:style w:type="paragraph" w:customStyle="1" w:styleId="TOC51">
    <w:name w:val="TOC 51"/>
    <w:basedOn w:val="Normal"/>
    <w:next w:val="Normal"/>
    <w:autoRedefine/>
    <w:uiPriority w:val="39"/>
    <w:unhideWhenUsed/>
    <w:rsid w:val="009770A9"/>
    <w:pPr>
      <w:spacing w:line="259" w:lineRule="auto"/>
      <w:ind w:left="660"/>
    </w:pPr>
    <w:rPr>
      <w:rFonts w:ascii="Cambria" w:eastAsia="Calibri" w:hAnsi="Cambria" w:cs="Calibri"/>
      <w:lang w:eastAsia="es-HN"/>
    </w:rPr>
  </w:style>
  <w:style w:type="paragraph" w:customStyle="1" w:styleId="TOC61">
    <w:name w:val="TOC 61"/>
    <w:basedOn w:val="Normal"/>
    <w:next w:val="Normal"/>
    <w:autoRedefine/>
    <w:uiPriority w:val="39"/>
    <w:unhideWhenUsed/>
    <w:rsid w:val="009770A9"/>
    <w:pPr>
      <w:spacing w:line="259" w:lineRule="auto"/>
      <w:ind w:left="880"/>
    </w:pPr>
    <w:rPr>
      <w:rFonts w:ascii="Cambria" w:eastAsia="Calibri" w:hAnsi="Cambria" w:cs="Calibri"/>
      <w:lang w:eastAsia="es-HN"/>
    </w:rPr>
  </w:style>
  <w:style w:type="paragraph" w:customStyle="1" w:styleId="TOC71">
    <w:name w:val="TOC 71"/>
    <w:basedOn w:val="Normal"/>
    <w:next w:val="Normal"/>
    <w:autoRedefine/>
    <w:uiPriority w:val="39"/>
    <w:unhideWhenUsed/>
    <w:rsid w:val="009770A9"/>
    <w:pPr>
      <w:spacing w:line="259" w:lineRule="auto"/>
      <w:ind w:left="1100"/>
    </w:pPr>
    <w:rPr>
      <w:rFonts w:ascii="Cambria" w:eastAsia="Calibri" w:hAnsi="Cambria" w:cs="Calibri"/>
      <w:lang w:eastAsia="es-HN"/>
    </w:rPr>
  </w:style>
  <w:style w:type="paragraph" w:customStyle="1" w:styleId="TOC81">
    <w:name w:val="TOC 81"/>
    <w:basedOn w:val="Normal"/>
    <w:next w:val="Normal"/>
    <w:autoRedefine/>
    <w:uiPriority w:val="39"/>
    <w:unhideWhenUsed/>
    <w:rsid w:val="009770A9"/>
    <w:pPr>
      <w:spacing w:line="259" w:lineRule="auto"/>
      <w:ind w:left="1320"/>
    </w:pPr>
    <w:rPr>
      <w:rFonts w:ascii="Cambria" w:eastAsia="Calibri" w:hAnsi="Cambria" w:cs="Calibri"/>
      <w:lang w:eastAsia="es-HN"/>
    </w:rPr>
  </w:style>
  <w:style w:type="paragraph" w:customStyle="1" w:styleId="TOC91">
    <w:name w:val="TOC 91"/>
    <w:basedOn w:val="Normal"/>
    <w:next w:val="Normal"/>
    <w:autoRedefine/>
    <w:uiPriority w:val="39"/>
    <w:unhideWhenUsed/>
    <w:rsid w:val="009770A9"/>
    <w:pPr>
      <w:spacing w:line="259" w:lineRule="auto"/>
      <w:ind w:left="1540"/>
    </w:pPr>
    <w:rPr>
      <w:rFonts w:ascii="Cambria" w:eastAsia="Calibri" w:hAnsi="Cambria" w:cs="Calibri"/>
      <w:lang w:eastAsia="es-HN"/>
    </w:rPr>
  </w:style>
  <w:style w:type="paragraph" w:customStyle="1" w:styleId="NoSpacing1">
    <w:name w:val="No Spacing1"/>
    <w:next w:val="NoSpacing"/>
    <w:link w:val="NoSpacingChar"/>
    <w:uiPriority w:val="1"/>
    <w:qFormat/>
    <w:rsid w:val="009770A9"/>
    <w:rPr>
      <w:rFonts w:ascii="Cambria" w:hAnsi="Cambria"/>
      <w:sz w:val="22"/>
      <w:szCs w:val="22"/>
      <w:lang w:val="es-HN" w:eastAsia="es-HN"/>
    </w:rPr>
  </w:style>
  <w:style w:type="character" w:customStyle="1" w:styleId="NoSpacingChar">
    <w:name w:val="No Spacing Char"/>
    <w:basedOn w:val="DefaultParagraphFont"/>
    <w:link w:val="NoSpacing1"/>
    <w:uiPriority w:val="1"/>
    <w:rsid w:val="009770A9"/>
    <w:rPr>
      <w:rFonts w:ascii="Cambria" w:eastAsia="Times New Roman" w:hAnsi="Cambria" w:cs="Times New Roman"/>
      <w:lang w:val="es-HN"/>
    </w:rPr>
  </w:style>
  <w:style w:type="paragraph" w:styleId="CommentSubject">
    <w:name w:val="annotation subject"/>
    <w:basedOn w:val="CommentText"/>
    <w:next w:val="CommentText"/>
    <w:link w:val="CommentSubjectChar"/>
    <w:uiPriority w:val="99"/>
    <w:semiHidden/>
    <w:unhideWhenUsed/>
    <w:rsid w:val="009770A9"/>
    <w:rPr>
      <w:b/>
      <w:bCs/>
    </w:rPr>
  </w:style>
  <w:style w:type="character" w:customStyle="1" w:styleId="CommentSubjectChar">
    <w:name w:val="Comment Subject Char"/>
    <w:basedOn w:val="CommentTextChar"/>
    <w:link w:val="CommentSubject"/>
    <w:uiPriority w:val="99"/>
    <w:semiHidden/>
    <w:rsid w:val="009770A9"/>
    <w:rPr>
      <w:rFonts w:ascii="Calibri" w:eastAsia="Calibri" w:hAnsi="Calibri" w:cs="Calibri"/>
      <w:b/>
      <w:bCs/>
      <w:lang w:val="es-ES" w:eastAsia="es-HN"/>
    </w:rPr>
  </w:style>
  <w:style w:type="character" w:styleId="UnresolvedMention">
    <w:name w:val="Unresolved Mention"/>
    <w:basedOn w:val="DefaultParagraphFont"/>
    <w:uiPriority w:val="99"/>
    <w:semiHidden/>
    <w:unhideWhenUsed/>
    <w:rsid w:val="009770A9"/>
    <w:rPr>
      <w:color w:val="605E5C"/>
      <w:shd w:val="clear" w:color="auto" w:fill="E1DFDD"/>
    </w:rPr>
  </w:style>
  <w:style w:type="table" w:customStyle="1" w:styleId="TableGrid10">
    <w:name w:val="Table Grid1"/>
    <w:basedOn w:val="TableNormal"/>
    <w:next w:val="TableGrid"/>
    <w:uiPriority w:val="39"/>
    <w:rsid w:val="009770A9"/>
    <w:rPr>
      <w:rFonts w:ascii="Calibri" w:eastAsia="Calibri" w:hAnsi="Calibri" w:cs="Calibri"/>
      <w:sz w:val="22"/>
      <w:szCs w:val="22"/>
      <w:lang w:val="es-ES" w:eastAsia="es-H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770A9"/>
    <w:rPr>
      <w:rFonts w:ascii="Calibri" w:eastAsia="Calibri" w:hAnsi="Calibri" w:cs="Calibri"/>
      <w:sz w:val="22"/>
      <w:szCs w:val="22"/>
      <w:lang w:val="es-ES" w:eastAsia="es-HN"/>
    </w:rPr>
  </w:style>
  <w:style w:type="paragraph" w:styleId="NoSpacing">
    <w:name w:val="No Spacing"/>
    <w:uiPriority w:val="1"/>
    <w:qFormat/>
    <w:rsid w:val="009770A9"/>
    <w:rPr>
      <w:rFonts w:eastAsiaTheme="minorEastAsia"/>
      <w:lang w:val="es-ES" w:eastAsia="es-ES"/>
    </w:rPr>
  </w:style>
  <w:style w:type="numbering" w:customStyle="1" w:styleId="NoList2">
    <w:name w:val="No List2"/>
    <w:next w:val="NoList"/>
    <w:uiPriority w:val="99"/>
    <w:semiHidden/>
    <w:unhideWhenUsed/>
    <w:rsid w:val="00BD0011"/>
  </w:style>
  <w:style w:type="paragraph" w:customStyle="1" w:styleId="TOC22">
    <w:name w:val="TOC 22"/>
    <w:basedOn w:val="Normal"/>
    <w:next w:val="Normal"/>
    <w:autoRedefine/>
    <w:uiPriority w:val="39"/>
    <w:unhideWhenUsed/>
    <w:rsid w:val="00BD0011"/>
    <w:pPr>
      <w:spacing w:before="240" w:line="259" w:lineRule="auto"/>
    </w:pPr>
    <w:rPr>
      <w:rFonts w:ascii="Cambria" w:eastAsia="Calibri" w:hAnsi="Cambria" w:cs="Calibri"/>
      <w:b/>
      <w:bCs/>
      <w:lang w:eastAsia="es-HN"/>
    </w:rPr>
  </w:style>
  <w:style w:type="paragraph" w:customStyle="1" w:styleId="TOC32">
    <w:name w:val="TOC 32"/>
    <w:basedOn w:val="Normal"/>
    <w:next w:val="Normal"/>
    <w:autoRedefine/>
    <w:uiPriority w:val="39"/>
    <w:unhideWhenUsed/>
    <w:rsid w:val="00BD0011"/>
    <w:pPr>
      <w:spacing w:line="259" w:lineRule="auto"/>
      <w:ind w:left="220"/>
    </w:pPr>
    <w:rPr>
      <w:rFonts w:ascii="Cambria" w:eastAsia="Calibri" w:hAnsi="Cambria" w:cs="Calibri"/>
      <w:lang w:eastAsia="es-HN"/>
    </w:rPr>
  </w:style>
  <w:style w:type="paragraph" w:customStyle="1" w:styleId="TOC42">
    <w:name w:val="TOC 42"/>
    <w:basedOn w:val="Normal"/>
    <w:next w:val="Normal"/>
    <w:autoRedefine/>
    <w:uiPriority w:val="39"/>
    <w:unhideWhenUsed/>
    <w:rsid w:val="00BD0011"/>
    <w:pPr>
      <w:spacing w:line="259" w:lineRule="auto"/>
      <w:ind w:left="440"/>
    </w:pPr>
    <w:rPr>
      <w:rFonts w:ascii="Cambria" w:eastAsia="Calibri" w:hAnsi="Cambria" w:cs="Calibri"/>
      <w:lang w:eastAsia="es-HN"/>
    </w:rPr>
  </w:style>
  <w:style w:type="paragraph" w:customStyle="1" w:styleId="TOC52">
    <w:name w:val="TOC 52"/>
    <w:basedOn w:val="Normal"/>
    <w:next w:val="Normal"/>
    <w:autoRedefine/>
    <w:uiPriority w:val="39"/>
    <w:unhideWhenUsed/>
    <w:rsid w:val="00BD0011"/>
    <w:pPr>
      <w:spacing w:line="259" w:lineRule="auto"/>
      <w:ind w:left="660"/>
    </w:pPr>
    <w:rPr>
      <w:rFonts w:ascii="Cambria" w:eastAsia="Calibri" w:hAnsi="Cambria" w:cs="Calibri"/>
      <w:lang w:eastAsia="es-HN"/>
    </w:rPr>
  </w:style>
  <w:style w:type="paragraph" w:customStyle="1" w:styleId="TOC62">
    <w:name w:val="TOC 62"/>
    <w:basedOn w:val="Normal"/>
    <w:next w:val="Normal"/>
    <w:autoRedefine/>
    <w:uiPriority w:val="39"/>
    <w:unhideWhenUsed/>
    <w:rsid w:val="00BD0011"/>
    <w:pPr>
      <w:spacing w:line="259" w:lineRule="auto"/>
      <w:ind w:left="880"/>
    </w:pPr>
    <w:rPr>
      <w:rFonts w:ascii="Cambria" w:eastAsia="Calibri" w:hAnsi="Cambria" w:cs="Calibri"/>
      <w:lang w:eastAsia="es-HN"/>
    </w:rPr>
  </w:style>
  <w:style w:type="paragraph" w:customStyle="1" w:styleId="TOC72">
    <w:name w:val="TOC 72"/>
    <w:basedOn w:val="Normal"/>
    <w:next w:val="Normal"/>
    <w:autoRedefine/>
    <w:uiPriority w:val="39"/>
    <w:unhideWhenUsed/>
    <w:rsid w:val="00BD0011"/>
    <w:pPr>
      <w:spacing w:line="259" w:lineRule="auto"/>
      <w:ind w:left="1100"/>
    </w:pPr>
    <w:rPr>
      <w:rFonts w:ascii="Cambria" w:eastAsia="Calibri" w:hAnsi="Cambria" w:cs="Calibri"/>
      <w:lang w:eastAsia="es-HN"/>
    </w:rPr>
  </w:style>
  <w:style w:type="paragraph" w:customStyle="1" w:styleId="TOC82">
    <w:name w:val="TOC 82"/>
    <w:basedOn w:val="Normal"/>
    <w:next w:val="Normal"/>
    <w:autoRedefine/>
    <w:uiPriority w:val="39"/>
    <w:unhideWhenUsed/>
    <w:rsid w:val="00BD0011"/>
    <w:pPr>
      <w:spacing w:line="259" w:lineRule="auto"/>
      <w:ind w:left="1320"/>
    </w:pPr>
    <w:rPr>
      <w:rFonts w:ascii="Cambria" w:eastAsia="Calibri" w:hAnsi="Cambria" w:cs="Calibri"/>
      <w:lang w:eastAsia="es-HN"/>
    </w:rPr>
  </w:style>
  <w:style w:type="paragraph" w:customStyle="1" w:styleId="TOC92">
    <w:name w:val="TOC 92"/>
    <w:basedOn w:val="Normal"/>
    <w:next w:val="Normal"/>
    <w:autoRedefine/>
    <w:uiPriority w:val="39"/>
    <w:unhideWhenUsed/>
    <w:rsid w:val="00BD0011"/>
    <w:pPr>
      <w:spacing w:line="259" w:lineRule="auto"/>
      <w:ind w:left="1540"/>
    </w:pPr>
    <w:rPr>
      <w:rFonts w:ascii="Cambria" w:eastAsia="Calibri" w:hAnsi="Cambria" w:cs="Calibri"/>
      <w:lang w:eastAsia="es-HN"/>
    </w:rPr>
  </w:style>
  <w:style w:type="table" w:customStyle="1" w:styleId="TableGrid20">
    <w:name w:val="Table Grid2"/>
    <w:basedOn w:val="TableNormal"/>
    <w:next w:val="TableGrid"/>
    <w:uiPriority w:val="39"/>
    <w:rsid w:val="00BD0011"/>
    <w:rPr>
      <w:rFonts w:ascii="Calibri" w:eastAsia="Calibri" w:hAnsi="Calibri" w:cs="Calibri"/>
      <w:sz w:val="22"/>
      <w:szCs w:val="22"/>
      <w:lang w:val="es-ES" w:eastAsia="es-H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831293">
      <w:bodyDiv w:val="1"/>
      <w:marLeft w:val="0"/>
      <w:marRight w:val="0"/>
      <w:marTop w:val="0"/>
      <w:marBottom w:val="0"/>
      <w:divBdr>
        <w:top w:val="none" w:sz="0" w:space="0" w:color="auto"/>
        <w:left w:val="none" w:sz="0" w:space="0" w:color="auto"/>
        <w:bottom w:val="none" w:sz="0" w:space="0" w:color="auto"/>
        <w:right w:val="none" w:sz="0" w:space="0" w:color="auto"/>
      </w:divBdr>
    </w:div>
    <w:div w:id="9995763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ne.gob.hn/v4/2023/04/28/"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n9.cl/pri4t" TargetMode="External"/><Relationship Id="rId13" Type="http://schemas.openxmlformats.org/officeDocument/2006/relationships/hyperlink" Target="https://n9.cl/rywuq" TargetMode="External"/><Relationship Id="rId18" Type="http://schemas.openxmlformats.org/officeDocument/2006/relationships/hyperlink" Target="https://n9.cl/ree1q" TargetMode="External"/><Relationship Id="rId3" Type="http://schemas.openxmlformats.org/officeDocument/2006/relationships/hyperlink" Target="https://n9.cl/0m6y8" TargetMode="External"/><Relationship Id="rId7" Type="http://schemas.openxmlformats.org/officeDocument/2006/relationships/hyperlink" Target="https://n9.cl/7dnxc" TargetMode="External"/><Relationship Id="rId12" Type="http://schemas.openxmlformats.org/officeDocument/2006/relationships/hyperlink" Target="https://n9.cl/ox1uh" TargetMode="External"/><Relationship Id="rId17" Type="http://schemas.openxmlformats.org/officeDocument/2006/relationships/hyperlink" Target="https://dinaf.gob.hn/2023/07/25/firma-memorandum-de-entendimiento-con-la-direccion-de-ninez-adolescencia-y-familia-dinaf-secretaria-de-estado-en-el-despacho-presidencial-secretaria-de-gobernacion-justicia-y-descentralizacion/" TargetMode="External"/><Relationship Id="rId2" Type="http://schemas.openxmlformats.org/officeDocument/2006/relationships/hyperlink" Target="https://n9.cl/md7uo" TargetMode="External"/><Relationship Id="rId16" Type="http://schemas.openxmlformats.org/officeDocument/2006/relationships/hyperlink" Target="file:///C:\Users\cecilia.zeledon.SEDH\AppData\Local\Microsoft\Windows\INetCache\Content.Outlook\XDF0QTCO\" TargetMode="External"/><Relationship Id="rId1" Type="http://schemas.openxmlformats.org/officeDocument/2006/relationships/hyperlink" Target="https://n9.cl/md7uo" TargetMode="External"/><Relationship Id="rId6" Type="http://schemas.openxmlformats.org/officeDocument/2006/relationships/hyperlink" Target="https://n9.cl/8toux" TargetMode="External"/><Relationship Id="rId11" Type="http://schemas.openxmlformats.org/officeDocument/2006/relationships/hyperlink" Target="https://n9.cl/hgojlx" TargetMode="External"/><Relationship Id="rId5" Type="http://schemas.openxmlformats.org/officeDocument/2006/relationships/hyperlink" Target="https://n9.cl/de160hn" TargetMode="External"/><Relationship Id="rId15" Type="http://schemas.openxmlformats.org/officeDocument/2006/relationships/hyperlink" Target="https://n9.cl/vy7hz" TargetMode="External"/><Relationship Id="rId10" Type="http://schemas.openxmlformats.org/officeDocument/2006/relationships/hyperlink" Target="https://n9.cl/qthnl" TargetMode="External"/><Relationship Id="rId4" Type="http://schemas.openxmlformats.org/officeDocument/2006/relationships/hyperlink" Target="https://n9.cl/sd1jc" TargetMode="External"/><Relationship Id="rId9" Type="http://schemas.openxmlformats.org/officeDocument/2006/relationships/hyperlink" Target="https://n9.cl/b3b2j" TargetMode="External"/><Relationship Id="rId14" Type="http://schemas.openxmlformats.org/officeDocument/2006/relationships/hyperlink" Target="https://n9.cl/sh398"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HN" b="1"/>
              <a:t>Comportamiento de la tendencia de las vacantes captadas a través del Servicio Nacional de Empleo, por sexo y año</a:t>
            </a:r>
          </a:p>
        </c:rich>
      </c:tx>
      <c:layout>
        <c:manualLayout>
          <c:xMode val="edge"/>
          <c:yMode val="edge"/>
          <c:x val="0.11146398366870808"/>
          <c:y val="4.365079365079364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Hoja1!$B$1</c:f>
              <c:strCache>
                <c:ptCount val="1"/>
                <c:pt idx="0">
                  <c:v>Mujeres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Hoja1!$A$2:$A$5</c:f>
              <c:numCache>
                <c:formatCode>General</c:formatCode>
                <c:ptCount val="4"/>
                <c:pt idx="0">
                  <c:v>2019</c:v>
                </c:pt>
                <c:pt idx="1">
                  <c:v>2020</c:v>
                </c:pt>
                <c:pt idx="2">
                  <c:v>2021</c:v>
                </c:pt>
                <c:pt idx="3">
                  <c:v>2022</c:v>
                </c:pt>
              </c:numCache>
            </c:numRef>
          </c:cat>
          <c:val>
            <c:numRef>
              <c:f>Hoja1!$B$2:$B$5</c:f>
              <c:numCache>
                <c:formatCode>General</c:formatCode>
                <c:ptCount val="4"/>
                <c:pt idx="0">
                  <c:v>213</c:v>
                </c:pt>
                <c:pt idx="1">
                  <c:v>83</c:v>
                </c:pt>
                <c:pt idx="2">
                  <c:v>91</c:v>
                </c:pt>
                <c:pt idx="3">
                  <c:v>238</c:v>
                </c:pt>
              </c:numCache>
            </c:numRef>
          </c:val>
          <c:extLst>
            <c:ext xmlns:c16="http://schemas.microsoft.com/office/drawing/2014/chart" uri="{C3380CC4-5D6E-409C-BE32-E72D297353CC}">
              <c16:uniqueId val="{00000000-8D14-4612-A495-3F899B136EEE}"/>
            </c:ext>
          </c:extLst>
        </c:ser>
        <c:ser>
          <c:idx val="1"/>
          <c:order val="1"/>
          <c:tx>
            <c:strRef>
              <c:f>Hoja1!$C$1</c:f>
              <c:strCache>
                <c:ptCount val="1"/>
                <c:pt idx="0">
                  <c:v>Hombres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Hoja1!$A$2:$A$5</c:f>
              <c:numCache>
                <c:formatCode>General</c:formatCode>
                <c:ptCount val="4"/>
                <c:pt idx="0">
                  <c:v>2019</c:v>
                </c:pt>
                <c:pt idx="1">
                  <c:v>2020</c:v>
                </c:pt>
                <c:pt idx="2">
                  <c:v>2021</c:v>
                </c:pt>
                <c:pt idx="3">
                  <c:v>2022</c:v>
                </c:pt>
              </c:numCache>
            </c:numRef>
          </c:cat>
          <c:val>
            <c:numRef>
              <c:f>Hoja1!$C$2:$C$5</c:f>
              <c:numCache>
                <c:formatCode>General</c:formatCode>
                <c:ptCount val="4"/>
                <c:pt idx="0">
                  <c:v>751</c:v>
                </c:pt>
                <c:pt idx="1">
                  <c:v>331</c:v>
                </c:pt>
                <c:pt idx="2">
                  <c:v>430</c:v>
                </c:pt>
                <c:pt idx="3">
                  <c:v>941</c:v>
                </c:pt>
              </c:numCache>
            </c:numRef>
          </c:val>
          <c:extLst>
            <c:ext xmlns:c16="http://schemas.microsoft.com/office/drawing/2014/chart" uri="{C3380CC4-5D6E-409C-BE32-E72D297353CC}">
              <c16:uniqueId val="{00000001-8D14-4612-A495-3F899B136EEE}"/>
            </c:ext>
          </c:extLst>
        </c:ser>
        <c:ser>
          <c:idx val="2"/>
          <c:order val="2"/>
          <c:tx>
            <c:strRef>
              <c:f>Hoja1!$D$1</c:f>
              <c:strCache>
                <c:ptCount val="1"/>
                <c:pt idx="0">
                  <c:v>Indistinto</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Hoja1!$A$2:$A$5</c:f>
              <c:numCache>
                <c:formatCode>General</c:formatCode>
                <c:ptCount val="4"/>
                <c:pt idx="0">
                  <c:v>2019</c:v>
                </c:pt>
                <c:pt idx="1">
                  <c:v>2020</c:v>
                </c:pt>
                <c:pt idx="2">
                  <c:v>2021</c:v>
                </c:pt>
                <c:pt idx="3">
                  <c:v>2022</c:v>
                </c:pt>
              </c:numCache>
            </c:numRef>
          </c:cat>
          <c:val>
            <c:numRef>
              <c:f>Hoja1!$D$2:$D$5</c:f>
              <c:numCache>
                <c:formatCode>General</c:formatCode>
                <c:ptCount val="4"/>
                <c:pt idx="0">
                  <c:v>768</c:v>
                </c:pt>
                <c:pt idx="1">
                  <c:v>104</c:v>
                </c:pt>
                <c:pt idx="2">
                  <c:v>400</c:v>
                </c:pt>
                <c:pt idx="3">
                  <c:v>1477</c:v>
                </c:pt>
              </c:numCache>
            </c:numRef>
          </c:val>
          <c:extLst>
            <c:ext xmlns:c16="http://schemas.microsoft.com/office/drawing/2014/chart" uri="{C3380CC4-5D6E-409C-BE32-E72D297353CC}">
              <c16:uniqueId val="{00000002-8D14-4612-A495-3F899B136EEE}"/>
            </c:ext>
          </c:extLst>
        </c:ser>
        <c:dLbls>
          <c:dLblPos val="outEnd"/>
          <c:showLegendKey val="0"/>
          <c:showVal val="1"/>
          <c:showCatName val="0"/>
          <c:showSerName val="0"/>
          <c:showPercent val="0"/>
          <c:showBubbleSize val="0"/>
        </c:dLbls>
        <c:gapWidth val="219"/>
        <c:overlap val="-27"/>
        <c:axId val="411734800"/>
        <c:axId val="411736440"/>
      </c:barChart>
      <c:catAx>
        <c:axId val="411734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411736440"/>
        <c:crosses val="autoZero"/>
        <c:auto val="1"/>
        <c:lblAlgn val="ctr"/>
        <c:lblOffset val="100"/>
        <c:noMultiLvlLbl val="0"/>
      </c:catAx>
      <c:valAx>
        <c:axId val="4117364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17348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2024-04-09T19:54:10+00:00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8E40AC-B004-47DB-996F-A141CB5119E4}"/>
</file>

<file path=customXml/itemProps2.xml><?xml version="1.0" encoding="utf-8"?>
<ds:datastoreItem xmlns:ds="http://schemas.openxmlformats.org/officeDocument/2006/customXml" ds:itemID="{D0B8281C-E9C9-43BB-ADD2-721A53A6C5AD}">
  <ds:schemaRefs>
    <ds:schemaRef ds:uri="http://schemas.openxmlformats.org/officeDocument/2006/bibliography"/>
  </ds:schemaRefs>
</ds:datastoreItem>
</file>

<file path=customXml/itemProps3.xml><?xml version="1.0" encoding="utf-8"?>
<ds:datastoreItem xmlns:ds="http://schemas.openxmlformats.org/officeDocument/2006/customXml" ds:itemID="{47D25A6A-2BD1-485A-8598-80E041F3F333}">
  <ds:schemaRefs>
    <ds:schemaRef ds:uri="http://schemas.microsoft.com/office/2006/metadata/properties"/>
    <ds:schemaRef ds:uri="http://schemas.microsoft.com/office/infopath/2007/PartnerControls"/>
    <ds:schemaRef ds:uri="985ec44e-1bab-4c0b-9df0-6ba128686fc9"/>
    <ds:schemaRef ds:uri="11a6fe0c-d8de-4390-afb3-d9c7c54181f0"/>
    <ds:schemaRef ds:uri="c43d6523-f909-4250-bbe1-6bcdc0c7194c"/>
  </ds:schemaRefs>
</ds:datastoreItem>
</file>

<file path=customXml/itemProps4.xml><?xml version="1.0" encoding="utf-8"?>
<ds:datastoreItem xmlns:ds="http://schemas.openxmlformats.org/officeDocument/2006/customXml" ds:itemID="{DB045746-BE08-476C-9874-2BCD81C066FC}">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20</Pages>
  <Words>9558</Words>
  <Characters>54481</Characters>
  <Application>Microsoft Office Word</Application>
  <DocSecurity>0</DocSecurity>
  <Lines>454</Lines>
  <Paragraphs>127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CRPD/C/HND/RQ/2-4</vt:lpstr>
      <vt:lpstr/>
      <vt:lpstr>CAT/C/XXX/Y</vt:lpstr>
    </vt:vector>
  </TitlesOfParts>
  <Company>DCM</Company>
  <LinksUpToDate>false</LinksUpToDate>
  <CharactersWithSpaces>63912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CRPD/C/HND/RQ/2-4</dc:title>
  <dc:creator>Robert OUKO</dc:creator>
  <cp:lastModifiedBy>Robert OUKO</cp:lastModifiedBy>
  <cp:revision>3</cp:revision>
  <cp:lastPrinted>2013-10-24T10:25:00Z</cp:lastPrinted>
  <dcterms:created xsi:type="dcterms:W3CDTF">2025-04-02T10:40:00Z</dcterms:created>
  <dcterms:modified xsi:type="dcterms:W3CDTF">2025-04-02T10:40:00Z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ntentTypeId">
    <vt:lpwstr>0x0101001A3F5FACD05E93499D4EAF05403D4F75</vt:lpwstr>
  </property>
  <property fmtid="{D5CDD505-2E9C-101B-9397-08002B2CF9AE}" pid="8" name="count">
    <vt:lpwstr>de Honduras</vt:lpwstr>
  </property>
  <property fmtid="{D5CDD505-2E9C-101B-9397-08002B2CF9AE}" pid="9" name="countw">
    <vt:lpwstr>Honduras</vt:lpwstr>
  </property>
  <property fmtid="{D5CDD505-2E9C-101B-9397-08002B2CF9AE}" pid="10" name="countwd">
    <vt:lpwstr>Honduras</vt:lpwstr>
  </property>
  <property fmtid="{D5CDD505-2E9C-101B-9397-08002B2CF9AE}" pid="11" name="date">
    <vt:lpwstr>20 de noviembre de 2023</vt:lpwstr>
  </property>
  <property fmtid="{D5CDD505-2E9C-101B-9397-08002B2CF9AE}" pid="12" name="Date-Generated">
    <vt:filetime>2023-11-20T11:19:46Z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hrc">
    <vt:lpwstr>XX/XX</vt:lpwstr>
  </property>
  <property fmtid="{D5CDD505-2E9C-101B-9397-08002B2CF9AE}" pid="20" name="Nmeet">
    <vt:lpwstr>Number</vt:lpwstr>
  </property>
  <property fmtid="{D5CDD505-2E9C-101B-9397-08002B2CF9AE}" pid="21" name="olang">
    <vt:lpwstr>español</vt:lpwstr>
  </property>
  <property fmtid="{D5CDD505-2E9C-101B-9397-08002B2CF9AE}" pid="22" name="Order">
    <vt:r8>272600</vt:r8>
  </property>
  <property fmtid="{D5CDD505-2E9C-101B-9397-08002B2CF9AE}" pid="23" name="Org">
    <vt:lpwstr>OHCHR</vt:lpwstr>
  </property>
  <property fmtid="{D5CDD505-2E9C-101B-9397-08002B2CF9AE}" pid="24" name="prep">
    <vt:lpwstr>a los informes periódicos segundo a cuarto combinados de Honduras</vt:lpwstr>
  </property>
  <property fmtid="{D5CDD505-2E9C-101B-9397-08002B2CF9AE}" pid="25" name="preps">
    <vt:lpwstr>informes periódicos segundo a cuarto combinados de Honduras</vt:lpwstr>
  </property>
  <property fmtid="{D5CDD505-2E9C-101B-9397-08002B2CF9AE}" pid="26" name="prepw">
    <vt:lpwstr>a los informes periódicos segundo a cuarto combinados</vt:lpwstr>
  </property>
  <property fmtid="{D5CDD505-2E9C-101B-9397-08002B2CF9AE}" pid="27" name="prepwc">
    <vt:lpwstr>Informes periódicos segundo a cuarto combinados </vt:lpwstr>
  </property>
  <property fmtid="{D5CDD505-2E9C-101B-9397-08002B2CF9AE}" pid="28" name="prepws">
    <vt:lpwstr>informes periódicos segundo a cuarto combinados</vt:lpwstr>
  </property>
  <property fmtid="{D5CDD505-2E9C-101B-9397-08002B2CF9AE}" pid="29" name="sdate">
    <vt:lpwstr>[Start-End Dates]</vt:lpwstr>
  </property>
  <property fmtid="{D5CDD505-2E9C-101B-9397-08002B2CF9AE}" pid="30" name="snum">
    <vt:lpwstr>[NUMBER]</vt:lpwstr>
  </property>
  <property fmtid="{D5CDD505-2E9C-101B-9397-08002B2CF9AE}" pid="31" name="stitle">
    <vt:lpwstr>[Title]</vt:lpwstr>
  </property>
  <property fmtid="{D5CDD505-2E9C-101B-9397-08002B2CF9AE}" pid="32" name="sym1">
    <vt:lpwstr>C/HND/RQ/2-4</vt:lpwstr>
  </property>
  <property fmtid="{D5CDD505-2E9C-101B-9397-08002B2CF9AE}" pid="33" name="symh">
    <vt:lpwstr>CRPD/C/HND/RQ/2-4</vt:lpwstr>
  </property>
  <property fmtid="{D5CDD505-2E9C-101B-9397-08002B2CF9AE}" pid="34" name="Title">
    <vt:lpwstr>CRPD/C/HND/RQ/2-4</vt:lpwstr>
  </property>
  <property fmtid="{D5CDD505-2E9C-101B-9397-08002B2CF9AE}" pid="35" name="tlang">
    <vt:lpwstr/>
  </property>
  <property fmtid="{D5CDD505-2E9C-101B-9397-08002B2CF9AE}" pid="36" name="virs">
    <vt:lpwstr>Árabe, español, francés y inglés únicamente</vt:lpwstr>
  </property>
  <property fmtid="{D5CDD505-2E9C-101B-9397-08002B2CF9AE}" pid="37" name="MediaServiceImageTags">
    <vt:lpwstr/>
  </property>
</Properties>
</file>