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F60FB1" w14:textId="48ECA62C" w:rsidR="004017CB" w:rsidRDefault="007F60C6">
      <w:pPr>
        <w:widowControl/>
        <w:spacing w:after="0" w:line="240" w:lineRule="auto"/>
        <w:jc w:val="right"/>
        <w:rPr>
          <w:rFonts w:ascii="Times New Roman" w:eastAsia="Times New Roman" w:hAnsi="Times New Roman" w:cs="Times New Roman"/>
          <w:sz w:val="24"/>
          <w:szCs w:val="24"/>
        </w:rPr>
      </w:pPr>
      <w:r w:rsidRPr="00270803">
        <w:rPr>
          <w:rFonts w:ascii="Times New Roman" w:eastAsia="Times New Roman" w:hAnsi="Times New Roman" w:cs="Times New Roman"/>
          <w:sz w:val="24"/>
          <w:szCs w:val="24"/>
        </w:rPr>
        <w:t xml:space="preserve">Ecuador, </w:t>
      </w:r>
      <w:r w:rsidR="00270803" w:rsidRPr="00270803">
        <w:rPr>
          <w:rFonts w:ascii="Times New Roman" w:eastAsia="Times New Roman" w:hAnsi="Times New Roman" w:cs="Times New Roman"/>
          <w:sz w:val="24"/>
          <w:szCs w:val="24"/>
        </w:rPr>
        <w:t>September 6</w:t>
      </w:r>
      <w:r w:rsidR="00270803" w:rsidRPr="00270803">
        <w:rPr>
          <w:rFonts w:ascii="Times New Roman" w:eastAsia="Times New Roman" w:hAnsi="Times New Roman" w:cs="Times New Roman"/>
          <w:sz w:val="24"/>
          <w:szCs w:val="24"/>
          <w:vertAlign w:val="superscript"/>
        </w:rPr>
        <w:t>th</w:t>
      </w:r>
      <w:r w:rsidR="00270803" w:rsidRPr="00270803">
        <w:rPr>
          <w:rFonts w:ascii="Times New Roman" w:eastAsia="Times New Roman" w:hAnsi="Times New Roman" w:cs="Times New Roman"/>
          <w:sz w:val="24"/>
          <w:szCs w:val="24"/>
        </w:rPr>
        <w:t>,</w:t>
      </w:r>
      <w:r w:rsidRPr="00270803">
        <w:rPr>
          <w:rFonts w:ascii="Times New Roman" w:eastAsia="Times New Roman" w:hAnsi="Times New Roman" w:cs="Times New Roman"/>
          <w:sz w:val="24"/>
          <w:szCs w:val="24"/>
        </w:rPr>
        <w:t xml:space="preserve"> 2019</w:t>
      </w:r>
    </w:p>
    <w:p w14:paraId="66C4D948" w14:textId="77777777" w:rsidR="004017CB" w:rsidRDefault="007F60C6">
      <w:pPr>
        <w:widowControl/>
        <w:spacing w:before="240"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Secretariat of the Committee on Economic, Social, and Cultural Rights</w:t>
      </w:r>
    </w:p>
    <w:p w14:paraId="28D09326" w14:textId="77777777" w:rsidR="004017CB" w:rsidRDefault="007F60C6">
      <w:pPr>
        <w:widowControl/>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Office of the United Nations High Commissioner for Human Rights</w:t>
      </w:r>
    </w:p>
    <w:p w14:paraId="64A9D32C" w14:textId="77777777" w:rsidR="004017CB" w:rsidRDefault="007F60C6">
      <w:pPr>
        <w:widowControl/>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Palais Wilson</w:t>
      </w:r>
    </w:p>
    <w:p w14:paraId="62172BEE" w14:textId="77777777" w:rsidR="004017CB" w:rsidRDefault="007F60C6">
      <w:pPr>
        <w:widowControl/>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52, rue des Pâquis</w:t>
      </w:r>
    </w:p>
    <w:p w14:paraId="2DFD2759" w14:textId="77777777" w:rsidR="004017CB" w:rsidRDefault="007F60C6">
      <w:pPr>
        <w:widowControl/>
        <w:spacing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CH-1211 Geneva 10, Switzerland</w:t>
      </w:r>
    </w:p>
    <w:p w14:paraId="63DB4BA9" w14:textId="77777777" w:rsidR="004017CB" w:rsidRDefault="007F60C6">
      <w:pPr>
        <w:widowControl/>
        <w:spacing w:after="240" w:line="240" w:lineRule="auto"/>
        <w:ind w:left="720" w:hanging="720"/>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ab/>
        <w:t>Re: Information on Ecuador, scheduled for review by the Committee on Economic, Social, and Cultural Rights during its 66</w:t>
      </w:r>
      <w:r>
        <w:rPr>
          <w:rFonts w:ascii="Times New Roman" w:eastAsia="Times New Roman" w:hAnsi="Times New Roman" w:cs="Times New Roman"/>
          <w:b/>
          <w:sz w:val="24"/>
          <w:szCs w:val="24"/>
          <w:vertAlign w:val="superscript"/>
        </w:rPr>
        <w:t>th</w:t>
      </w:r>
      <w:r>
        <w:rPr>
          <w:rFonts w:ascii="Times New Roman" w:eastAsia="Times New Roman" w:hAnsi="Times New Roman" w:cs="Times New Roman"/>
          <w:b/>
          <w:sz w:val="24"/>
          <w:szCs w:val="24"/>
        </w:rPr>
        <w:t xml:space="preserve"> Session.</w:t>
      </w:r>
    </w:p>
    <w:p w14:paraId="6EF2736D" w14:textId="77777777" w:rsidR="004017CB" w:rsidRDefault="007F60C6">
      <w:pPr>
        <w:widowControl/>
        <w:spacing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Distinguished Members of the Committee on Economic, Social, and Cultural Rights (the “Committee”):</w:t>
      </w:r>
    </w:p>
    <w:p w14:paraId="6642FF0D" w14:textId="0E8C23A2" w:rsidR="004017CB" w:rsidRDefault="007F60C6">
      <w:pPr>
        <w:widowControl/>
        <w:spacing w:after="240" w:line="240" w:lineRule="auto"/>
        <w:ind w:firstLine="720"/>
        <w:jc w:val="both"/>
        <w:rPr>
          <w:rFonts w:ascii="Times New Roman" w:eastAsia="Times New Roman" w:hAnsi="Times New Roman" w:cs="Times New Roman"/>
          <w:sz w:val="24"/>
          <w:szCs w:val="24"/>
        </w:rPr>
      </w:pPr>
      <w:bookmarkStart w:id="0" w:name="_gjdgxs" w:colFirst="0" w:colLast="0"/>
      <w:bookmarkEnd w:id="0"/>
      <w:r>
        <w:rPr>
          <w:rFonts w:ascii="Times New Roman" w:eastAsia="Times New Roman" w:hAnsi="Times New Roman" w:cs="Times New Roman"/>
          <w:sz w:val="24"/>
          <w:szCs w:val="24"/>
        </w:rPr>
        <w:t xml:space="preserve">The Center for Reproductive Rights (the “Center”) is an independent non-governmental organization that works to promote women’s equality by guaranteeing reproductive rights as human rights. </w:t>
      </w:r>
      <w:r>
        <w:rPr>
          <w:rFonts w:ascii="Times New Roman" w:eastAsia="Times New Roman" w:hAnsi="Times New Roman" w:cs="Times New Roman"/>
          <w:sz w:val="24"/>
          <w:szCs w:val="24"/>
          <w:highlight w:val="white"/>
        </w:rPr>
        <w:t>Planned Parenthood Global (“PP Global”)</w:t>
      </w:r>
      <w:r>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highlight w:val="white"/>
        </w:rPr>
        <w:t xml:space="preserve">is a non-governmental organization working to increase access to sexual and reproductive health services and promote </w:t>
      </w:r>
      <w:r w:rsidR="00181D0B">
        <w:rPr>
          <w:rFonts w:ascii="Times New Roman" w:eastAsia="Times New Roman" w:hAnsi="Times New Roman" w:cs="Times New Roman"/>
          <w:sz w:val="24"/>
          <w:szCs w:val="24"/>
          <w:highlight w:val="white"/>
        </w:rPr>
        <w:t>progressive</w:t>
      </w:r>
      <w:r>
        <w:rPr>
          <w:rFonts w:ascii="Times New Roman" w:eastAsia="Times New Roman" w:hAnsi="Times New Roman" w:cs="Times New Roman"/>
          <w:sz w:val="24"/>
          <w:szCs w:val="24"/>
          <w:highlight w:val="white"/>
        </w:rPr>
        <w:t xml:space="preserve"> changes in laws and policies that recognize sexual and reproductive rights as human rights.   And Desafio Foundation, a non-</w:t>
      </w:r>
      <w:r>
        <w:rPr>
          <w:rFonts w:ascii="Times New Roman" w:eastAsia="Times New Roman" w:hAnsi="Times New Roman" w:cs="Times New Roman"/>
          <w:sz w:val="24"/>
          <w:szCs w:val="24"/>
        </w:rPr>
        <w:t>profit women's rights organization located in Quito, Ecuado</w:t>
      </w:r>
      <w:r>
        <w:rPr>
          <w:rFonts w:ascii="Times New Roman" w:eastAsia="Times New Roman" w:hAnsi="Times New Roman" w:cs="Times New Roman"/>
          <w:sz w:val="24"/>
          <w:szCs w:val="24"/>
          <w:highlight w:val="white"/>
        </w:rPr>
        <w:t xml:space="preserve">r. The above organizations </w:t>
      </w:r>
      <w:r w:rsidR="008734E7">
        <w:rPr>
          <w:rFonts w:ascii="Times New Roman" w:eastAsia="Times New Roman" w:hAnsi="Times New Roman" w:cs="Times New Roman"/>
          <w:sz w:val="24"/>
          <w:szCs w:val="24"/>
          <w:highlight w:val="white"/>
        </w:rPr>
        <w:t>seek</w:t>
      </w:r>
      <w:r>
        <w:rPr>
          <w:rFonts w:ascii="Times New Roman" w:eastAsia="Times New Roman" w:hAnsi="Times New Roman" w:cs="Times New Roman"/>
          <w:sz w:val="24"/>
          <w:szCs w:val="24"/>
        </w:rPr>
        <w:t xml:space="preserve"> to contribute to the Committee’s work by providing independent information concerning Ecuador’s obligations to guarantee the rights protected under the International Covenant on Economic, Social, and Cultural Rights (“ICESCR”).</w:t>
      </w:r>
      <w:r>
        <w:rPr>
          <w:rFonts w:ascii="Times New Roman" w:eastAsia="Times New Roman" w:hAnsi="Times New Roman" w:cs="Times New Roman"/>
          <w:sz w:val="24"/>
          <w:szCs w:val="24"/>
          <w:vertAlign w:val="superscript"/>
        </w:rPr>
        <w:footnoteReference w:id="1"/>
      </w:r>
      <w:r>
        <w:rPr>
          <w:rFonts w:ascii="Times New Roman" w:eastAsia="Times New Roman" w:hAnsi="Times New Roman" w:cs="Times New Roman"/>
          <w:sz w:val="24"/>
          <w:szCs w:val="24"/>
        </w:rPr>
        <w:t xml:space="preserve">  </w:t>
      </w:r>
    </w:p>
    <w:p w14:paraId="72680A76" w14:textId="49CA6EB3" w:rsidR="00181D0B" w:rsidRDefault="007F60C6" w:rsidP="00181D0B">
      <w:pPr>
        <w:widowControl/>
        <w:spacing w:after="24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This letter is divided in three parts. First, </w:t>
      </w:r>
      <w:r w:rsidR="00181D0B">
        <w:rPr>
          <w:rFonts w:ascii="Times New Roman" w:eastAsia="Times New Roman" w:hAnsi="Times New Roman" w:cs="Times New Roman"/>
          <w:sz w:val="24"/>
          <w:szCs w:val="24"/>
        </w:rPr>
        <w:t>it considers Ecuador’s criminalization of abortion and its consequences on women and girls. Second, it argues that these restrictions violate numerous rights protected by the ICESCR</w:t>
      </w:r>
      <w:r w:rsidR="007E4FFE">
        <w:rPr>
          <w:rFonts w:ascii="Times New Roman" w:eastAsia="Times New Roman" w:hAnsi="Times New Roman" w:cs="Times New Roman"/>
          <w:sz w:val="24"/>
          <w:szCs w:val="24"/>
        </w:rPr>
        <w:t>.</w:t>
      </w:r>
      <w:r w:rsidR="00181D0B">
        <w:rPr>
          <w:rFonts w:ascii="Times New Roman" w:eastAsia="Times New Roman" w:hAnsi="Times New Roman" w:cs="Times New Roman"/>
          <w:sz w:val="24"/>
          <w:szCs w:val="24"/>
        </w:rPr>
        <w:t xml:space="preserve"> Third it examines the sexual violence and harassment in educational context in Ecuador. </w:t>
      </w:r>
    </w:p>
    <w:p w14:paraId="27900BFB" w14:textId="77777777" w:rsidR="004017CB" w:rsidRDefault="007F60C6">
      <w:pPr>
        <w:keepNext/>
        <w:widowControl/>
        <w:spacing w:after="24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I.</w:t>
      </w:r>
      <w:r>
        <w:rPr>
          <w:rFonts w:ascii="Times New Roman" w:eastAsia="Times New Roman" w:hAnsi="Times New Roman" w:cs="Times New Roman"/>
          <w:b/>
          <w:sz w:val="24"/>
          <w:szCs w:val="24"/>
        </w:rPr>
        <w:tab/>
        <w:t xml:space="preserve">The Right to Safe and Legal Abortion Services </w:t>
      </w:r>
    </w:p>
    <w:p w14:paraId="5C2866E3" w14:textId="18B69952" w:rsidR="004017CB" w:rsidRDefault="007F60C6">
      <w:pPr>
        <w:keepNext/>
        <w:widowControl/>
        <w:spacing w:after="24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right to sexual and reproductive health is an integral part of Ecuador’s responsibilities under the ICESCR.  The barriers to access safe and legal abortion are a flagrant violation of these </w:t>
      </w:r>
      <w:r>
        <w:rPr>
          <w:rFonts w:ascii="Times New Roman" w:eastAsia="Times New Roman" w:hAnsi="Times New Roman" w:cs="Times New Roman"/>
          <w:sz w:val="24"/>
          <w:szCs w:val="24"/>
        </w:rPr>
        <w:lastRenderedPageBreak/>
        <w:t xml:space="preserve">responsibilities.  Criminalizing abortion does not reduce the demand for the procedure, it simply forces women to obtain unsafe abortions, risking her life, her health and her freedom.  </w:t>
      </w:r>
    </w:p>
    <w:p w14:paraId="14FFEFFA" w14:textId="77777777" w:rsidR="004017CB" w:rsidRDefault="007F60C6">
      <w:pPr>
        <w:keepNext/>
        <w:widowControl/>
        <w:spacing w:after="240" w:line="240" w:lineRule="auto"/>
        <w:ind w:left="144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r>
        <w:rPr>
          <w:rFonts w:ascii="Times New Roman" w:eastAsia="Times New Roman" w:hAnsi="Times New Roman" w:cs="Times New Roman"/>
          <w:sz w:val="24"/>
          <w:szCs w:val="24"/>
        </w:rPr>
        <w:tab/>
      </w:r>
      <w:r>
        <w:rPr>
          <w:rFonts w:ascii="Times New Roman" w:eastAsia="Times New Roman" w:hAnsi="Times New Roman" w:cs="Times New Roman"/>
          <w:sz w:val="24"/>
          <w:szCs w:val="24"/>
          <w:u w:val="single"/>
        </w:rPr>
        <w:t>The lack of access to legal and safe abortion in Ecuador</w:t>
      </w:r>
    </w:p>
    <w:p w14:paraId="39A617AC" w14:textId="77777777" w:rsidR="004017CB" w:rsidRDefault="007F60C6">
      <w:pPr>
        <w:widowControl/>
        <w:spacing w:after="24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Under the Ecuadorian criminal code, abortion is legal only when a pregnant woman’s life or health is in danger, or when a woman with a mental disability is pregnant from rape.</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 xml:space="preserve"> There is a protocol for therapeutic abortion, but it does not provide for a course of action to guarantee access to abortion and, on the contrary, women and girls face multiple barriers and challenges in actually accessing abortion services. In practice, the health exception is interpreted in the narrowest way possible, to include only physical health. </w:t>
      </w:r>
    </w:p>
    <w:p w14:paraId="33E6F0C2" w14:textId="656AE338" w:rsidR="004017CB" w:rsidRDefault="007F60C6">
      <w:pPr>
        <w:widowControl/>
        <w:spacing w:after="24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Currently, there is a bill to decriminalize abortion in cases of rape, </w:t>
      </w:r>
      <w:r w:rsidR="00286E7D">
        <w:rPr>
          <w:rFonts w:ascii="Times New Roman" w:eastAsia="Times New Roman" w:hAnsi="Times New Roman" w:cs="Times New Roman"/>
          <w:sz w:val="24"/>
          <w:szCs w:val="24"/>
        </w:rPr>
        <w:t>fetal conditions</w:t>
      </w:r>
      <w:r>
        <w:rPr>
          <w:rFonts w:ascii="Times New Roman" w:eastAsia="Times New Roman" w:hAnsi="Times New Roman" w:cs="Times New Roman"/>
          <w:sz w:val="24"/>
          <w:szCs w:val="24"/>
        </w:rPr>
        <w:t xml:space="preserve"> incompatible with</w:t>
      </w:r>
      <w:r w:rsidR="00286E7D">
        <w:rPr>
          <w:rFonts w:ascii="Times New Roman" w:eastAsia="Times New Roman" w:hAnsi="Times New Roman" w:cs="Times New Roman"/>
          <w:sz w:val="24"/>
          <w:szCs w:val="24"/>
        </w:rPr>
        <w:t xml:space="preserve"> extrauterine</w:t>
      </w:r>
      <w:r>
        <w:rPr>
          <w:rFonts w:ascii="Times New Roman" w:eastAsia="Times New Roman" w:hAnsi="Times New Roman" w:cs="Times New Roman"/>
          <w:sz w:val="24"/>
          <w:szCs w:val="24"/>
        </w:rPr>
        <w:t xml:space="preserve"> life and forced artificial insemination at the Ecuadorian National Assembly. The last time the country debated to legalize abortion in cases of rape was in 2013, but the debate was tabled never voted upon. </w:t>
      </w:r>
    </w:p>
    <w:p w14:paraId="3DAF230F" w14:textId="054F7680" w:rsidR="004017CB" w:rsidRDefault="007F60C6">
      <w:pPr>
        <w:widowControl/>
        <w:spacing w:after="240" w:line="240" w:lineRule="auto"/>
        <w:ind w:firstLine="720"/>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International human rights bodies have upheld that forcing a woman to carry to term a pregnancy resulting from rape has severe mental health consequences and constitutes a violation of the right to health-including both physical and mental.</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 xml:space="preserve"> This right is protected in several human rights treaties, such as CEDAW that says, </w:t>
      </w:r>
      <w:r>
        <w:rPr>
          <w:rFonts w:ascii="Times New Roman" w:eastAsia="Times New Roman" w:hAnsi="Times New Roman" w:cs="Times New Roman"/>
          <w:i/>
          <w:sz w:val="24"/>
          <w:szCs w:val="24"/>
        </w:rPr>
        <w:t>“[S]tates Parties shall take all appropriate measures to eliminate discrimination against women in the field of health care in order to ensure, on a basis of equality of men and women, access to health care services, including those related to family planning”</w:t>
      </w:r>
      <w:r w:rsidR="00286E7D" w:rsidRPr="00286E7D">
        <w:rPr>
          <w:rFonts w:ascii="Times New Roman" w:eastAsia="Times New Roman" w:hAnsi="Times New Roman" w:cs="Times New Roman"/>
          <w:sz w:val="24"/>
          <w:szCs w:val="24"/>
        </w:rPr>
        <w:t>.</w:t>
      </w:r>
      <w:r w:rsidRPr="00286E7D">
        <w:rPr>
          <w:rFonts w:ascii="Times New Roman" w:eastAsia="Times New Roman" w:hAnsi="Times New Roman" w:cs="Times New Roman"/>
          <w:sz w:val="24"/>
          <w:szCs w:val="24"/>
          <w:vertAlign w:val="superscript"/>
        </w:rPr>
        <w:footnoteReference w:id="4"/>
      </w:r>
    </w:p>
    <w:p w14:paraId="02E0D576" w14:textId="6D290BF8" w:rsidR="004017CB" w:rsidRDefault="007F60C6">
      <w:pPr>
        <w:widowControl/>
        <w:spacing w:after="240" w:line="240" w:lineRule="auto"/>
        <w:ind w:firstLine="720"/>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The CEDAW has also affirm that the states have the obligation to “take appropriate legislative, judicial, administrative, budgetary, economic and other measures to the maximum extent of their available resources to ensure that women realize their rights to health care”</w:t>
      </w:r>
      <w:r w:rsidR="00286E7D">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 xml:space="preserve"> The </w:t>
      </w:r>
      <w:r w:rsidR="00286E7D">
        <w:rPr>
          <w:rFonts w:ascii="Times New Roman" w:eastAsia="Times New Roman" w:hAnsi="Times New Roman" w:cs="Times New Roman"/>
          <w:sz w:val="24"/>
          <w:szCs w:val="24"/>
        </w:rPr>
        <w:t>C</w:t>
      </w:r>
      <w:r>
        <w:rPr>
          <w:rFonts w:ascii="Times New Roman" w:eastAsia="Times New Roman" w:hAnsi="Times New Roman" w:cs="Times New Roman"/>
          <w:sz w:val="24"/>
          <w:szCs w:val="24"/>
        </w:rPr>
        <w:t>ommittee had issue recommendations to several countries to amend their laws to decriminalize abortion in all cases, and legalize abortion at least in cases of rape, incest, risk to the life or health of the women, and severe fetal impairment.</w:t>
      </w:r>
      <w:r>
        <w:rPr>
          <w:rFonts w:ascii="Times New Roman" w:eastAsia="Times New Roman" w:hAnsi="Times New Roman" w:cs="Times New Roman"/>
          <w:sz w:val="24"/>
          <w:szCs w:val="24"/>
          <w:vertAlign w:val="superscript"/>
        </w:rPr>
        <w:footnoteReference w:id="6"/>
      </w:r>
      <w:r>
        <w:rPr>
          <w:rFonts w:ascii="Times New Roman" w:eastAsia="Times New Roman" w:hAnsi="Times New Roman" w:cs="Times New Roman"/>
          <w:sz w:val="24"/>
          <w:szCs w:val="24"/>
        </w:rPr>
        <w:t xml:space="preserve"> Th</w:t>
      </w:r>
      <w:r w:rsidR="00E547D4">
        <w:rPr>
          <w:rFonts w:ascii="Times New Roman" w:eastAsia="Times New Roman" w:hAnsi="Times New Roman" w:cs="Times New Roman"/>
          <w:sz w:val="24"/>
          <w:szCs w:val="24"/>
        </w:rPr>
        <w:t xml:space="preserve">e Special </w:t>
      </w:r>
      <w:r>
        <w:rPr>
          <w:rFonts w:ascii="Times New Roman" w:eastAsia="Times New Roman" w:hAnsi="Times New Roman" w:cs="Times New Roman"/>
          <w:sz w:val="24"/>
          <w:szCs w:val="24"/>
        </w:rPr>
        <w:t>Rapporteur</w:t>
      </w:r>
      <w:r w:rsidR="008F35CA">
        <w:rPr>
          <w:rFonts w:ascii="Times New Roman" w:eastAsia="Times New Roman" w:hAnsi="Times New Roman" w:cs="Times New Roman"/>
          <w:sz w:val="24"/>
          <w:szCs w:val="24"/>
        </w:rPr>
        <w:t xml:space="preserve"> on the Right to Health</w:t>
      </w:r>
      <w:r>
        <w:rPr>
          <w:rFonts w:ascii="Times New Roman" w:eastAsia="Times New Roman" w:hAnsi="Times New Roman" w:cs="Times New Roman"/>
          <w:sz w:val="24"/>
          <w:szCs w:val="24"/>
        </w:rPr>
        <w:t xml:space="preserve"> has also recommended that states decriminalize abortion</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 xml:space="preserve"> stating that “criminal laws penalizing and restricting induced abortion are the paradigmatic examples of impermissible barriers to the </w:t>
      </w:r>
      <w:r>
        <w:rPr>
          <w:rFonts w:ascii="Times New Roman" w:eastAsia="Times New Roman" w:hAnsi="Times New Roman" w:cs="Times New Roman"/>
          <w:sz w:val="24"/>
          <w:szCs w:val="24"/>
        </w:rPr>
        <w:lastRenderedPageBreak/>
        <w:t>realization of women’s right to health and must be eliminated,” and that the criminalization of abortion has a “severe impact on mental health”</w:t>
      </w:r>
      <w:r w:rsidR="008C636A">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8"/>
      </w:r>
    </w:p>
    <w:p w14:paraId="0669CFA3" w14:textId="77777777" w:rsidR="004017CB" w:rsidRDefault="007F60C6">
      <w:pPr>
        <w:keepNext/>
        <w:widowControl/>
        <w:spacing w:after="240" w:line="240" w:lineRule="auto"/>
        <w:ind w:left="144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Pr>
          <w:rFonts w:ascii="Times New Roman" w:eastAsia="Times New Roman" w:hAnsi="Times New Roman" w:cs="Times New Roman"/>
          <w:sz w:val="24"/>
          <w:szCs w:val="24"/>
        </w:rPr>
        <w:tab/>
      </w:r>
      <w:r>
        <w:rPr>
          <w:rFonts w:ascii="Times New Roman" w:eastAsia="Times New Roman" w:hAnsi="Times New Roman" w:cs="Times New Roman"/>
          <w:sz w:val="24"/>
          <w:szCs w:val="24"/>
          <w:u w:val="single"/>
        </w:rPr>
        <w:t>Criminalizing abortion creates significant health risks for women and girls</w:t>
      </w:r>
      <w:r>
        <w:rPr>
          <w:rFonts w:ascii="Times New Roman" w:eastAsia="Times New Roman" w:hAnsi="Times New Roman" w:cs="Times New Roman"/>
          <w:sz w:val="24"/>
          <w:szCs w:val="24"/>
        </w:rPr>
        <w:t>.</w:t>
      </w:r>
    </w:p>
    <w:p w14:paraId="244F436F" w14:textId="514EE8A9" w:rsidR="004017CB" w:rsidRDefault="007F60C6">
      <w:pPr>
        <w:widowControl/>
        <w:spacing w:after="240" w:line="240" w:lineRule="auto"/>
        <w:ind w:firstLine="720"/>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Unwanted pregnancies pose health risks such as anemia, malaria, HIV and other sexually </w:t>
      </w:r>
      <w:r w:rsidR="006E794F">
        <w:rPr>
          <w:rFonts w:ascii="Times New Roman" w:eastAsia="Times New Roman" w:hAnsi="Times New Roman" w:cs="Times New Roman"/>
          <w:sz w:val="24"/>
          <w:szCs w:val="24"/>
        </w:rPr>
        <w:t>t</w:t>
      </w:r>
      <w:r>
        <w:rPr>
          <w:rFonts w:ascii="Times New Roman" w:eastAsia="Times New Roman" w:hAnsi="Times New Roman" w:cs="Times New Roman"/>
          <w:sz w:val="24"/>
          <w:szCs w:val="24"/>
        </w:rPr>
        <w:t>ransmitted infections, postpartum hemorrhage, and mental illness.</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 xml:space="preserve">  Additionally, the World Health Organization (the “WHO”) reports that adolescent pregnancies pose significant physical health risks, including death.</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 xml:space="preserve">  Complications from pregnancy and childbirth are the second-most prevalent cause of death for 15 to 19-year-old girls globally,</w:t>
      </w:r>
      <w:r>
        <w:rPr>
          <w:rFonts w:ascii="Times New Roman" w:eastAsia="Times New Roman" w:hAnsi="Times New Roman" w:cs="Times New Roman"/>
          <w:sz w:val="24"/>
          <w:szCs w:val="24"/>
          <w:vertAlign w:val="superscript"/>
        </w:rPr>
        <w:footnoteReference w:id="11"/>
      </w:r>
      <w:r>
        <w:rPr>
          <w:rFonts w:ascii="Times New Roman" w:eastAsia="Times New Roman" w:hAnsi="Times New Roman" w:cs="Times New Roman"/>
          <w:sz w:val="24"/>
          <w:szCs w:val="24"/>
        </w:rPr>
        <w:t xml:space="preserve"> and the risk of death from pregnancy-related complications is even greater for girls below age 15.</w:t>
      </w:r>
      <w:r>
        <w:rPr>
          <w:rFonts w:ascii="Times New Roman" w:eastAsia="Times New Roman" w:hAnsi="Times New Roman" w:cs="Times New Roman"/>
          <w:sz w:val="24"/>
          <w:szCs w:val="24"/>
          <w:vertAlign w:val="superscript"/>
        </w:rPr>
        <w:footnoteReference w:id="12"/>
      </w:r>
      <w:r>
        <w:rPr>
          <w:rFonts w:ascii="Times New Roman" w:eastAsia="Times New Roman" w:hAnsi="Times New Roman" w:cs="Times New Roman"/>
          <w:sz w:val="24"/>
          <w:szCs w:val="24"/>
        </w:rPr>
        <w:t xml:space="preserve">  However, the Penal Code’s lack of exemption for rape,</w:t>
      </w:r>
      <w:r w:rsidR="006E1B00">
        <w:rPr>
          <w:rFonts w:ascii="Times New Roman" w:eastAsia="Times New Roman" w:hAnsi="Times New Roman" w:cs="Times New Roman"/>
          <w:sz w:val="24"/>
          <w:szCs w:val="24"/>
        </w:rPr>
        <w:t xml:space="preserve"> </w:t>
      </w:r>
      <w:r w:rsidR="006E1B00" w:rsidRPr="006E1B00">
        <w:rPr>
          <w:rFonts w:ascii="Times New Roman" w:eastAsia="Times New Roman" w:hAnsi="Times New Roman" w:cs="Times New Roman"/>
          <w:sz w:val="24"/>
          <w:szCs w:val="24"/>
        </w:rPr>
        <w:t xml:space="preserve">fetal </w:t>
      </w:r>
      <w:r w:rsidR="00711676">
        <w:rPr>
          <w:rFonts w:ascii="Times New Roman" w:eastAsia="Times New Roman" w:hAnsi="Times New Roman" w:cs="Times New Roman"/>
          <w:sz w:val="24"/>
          <w:szCs w:val="24"/>
        </w:rPr>
        <w:t xml:space="preserve">conditions </w:t>
      </w:r>
      <w:r w:rsidR="006E1B00" w:rsidRPr="006E1B00">
        <w:rPr>
          <w:rFonts w:ascii="Times New Roman" w:eastAsia="Times New Roman" w:hAnsi="Times New Roman" w:cs="Times New Roman"/>
          <w:sz w:val="24"/>
          <w:szCs w:val="24"/>
        </w:rPr>
        <w:t xml:space="preserve">incompatible with </w:t>
      </w:r>
      <w:r w:rsidR="00E058B7">
        <w:rPr>
          <w:rFonts w:ascii="Times New Roman" w:eastAsia="Times New Roman" w:hAnsi="Times New Roman" w:cs="Times New Roman"/>
          <w:sz w:val="24"/>
          <w:szCs w:val="24"/>
        </w:rPr>
        <w:t xml:space="preserve">extrauterine </w:t>
      </w:r>
      <w:r w:rsidR="006E1B00" w:rsidRPr="006E1B00">
        <w:rPr>
          <w:rFonts w:ascii="Times New Roman" w:eastAsia="Times New Roman" w:hAnsi="Times New Roman" w:cs="Times New Roman"/>
          <w:sz w:val="24"/>
          <w:szCs w:val="24"/>
        </w:rPr>
        <w:t xml:space="preserve">life </w:t>
      </w:r>
      <w:r>
        <w:rPr>
          <w:rFonts w:ascii="Times New Roman" w:eastAsia="Times New Roman" w:hAnsi="Times New Roman" w:cs="Times New Roman"/>
          <w:sz w:val="24"/>
          <w:szCs w:val="24"/>
        </w:rPr>
        <w:t>and forced artificial insemination and the narrow interpretation of the health exception to include only physical health may require that these women and girls wait until potentially life-threatening complications develop in order to access a therapeutic abortion.</w:t>
      </w:r>
    </w:p>
    <w:p w14:paraId="0FDAD209" w14:textId="77777777" w:rsidR="004017CB" w:rsidRDefault="007F60C6">
      <w:pPr>
        <w:widowControl/>
        <w:spacing w:after="240" w:line="240" w:lineRule="auto"/>
        <w:ind w:firstLine="720"/>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As repeatedly recognized by the WHO, criminalizing abortion does not reduce the demand for the procedure but instead creates legal obstacles which force women and girls to resort to unsafe procedures.</w:t>
      </w:r>
      <w:r>
        <w:rPr>
          <w:rFonts w:ascii="Times New Roman" w:eastAsia="Times New Roman" w:hAnsi="Times New Roman" w:cs="Times New Roman"/>
          <w:sz w:val="24"/>
          <w:szCs w:val="24"/>
          <w:vertAlign w:val="superscript"/>
        </w:rPr>
        <w:footnoteReference w:id="13"/>
      </w:r>
      <w:r>
        <w:rPr>
          <w:rFonts w:ascii="Times New Roman" w:eastAsia="Times New Roman" w:hAnsi="Times New Roman" w:cs="Times New Roman"/>
          <w:sz w:val="24"/>
          <w:szCs w:val="24"/>
        </w:rPr>
        <w:t xml:space="preserve">  In 2008, there were approximately 2.99 million unsafe abortions performed in South America.</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 xml:space="preserve"> The WHO maintains a link between illegal abortions and maternal mortality.</w:t>
      </w:r>
      <w:r>
        <w:rPr>
          <w:rFonts w:ascii="Times New Roman" w:eastAsia="Times New Roman" w:hAnsi="Times New Roman" w:cs="Times New Roman"/>
          <w:sz w:val="24"/>
          <w:szCs w:val="24"/>
          <w:vertAlign w:val="superscript"/>
        </w:rPr>
        <w:footnoteReference w:id="15"/>
      </w:r>
      <w:r>
        <w:rPr>
          <w:rFonts w:ascii="Times New Roman" w:eastAsia="Times New Roman" w:hAnsi="Times New Roman" w:cs="Times New Roman"/>
          <w:sz w:val="24"/>
          <w:szCs w:val="24"/>
        </w:rPr>
        <w:t xml:space="preserve">  With an estimated 10 deaths per 100,000 unsafe abortions in 2008, it is approximately 14 times more </w:t>
      </w:r>
      <w:r>
        <w:rPr>
          <w:rFonts w:ascii="Times New Roman" w:eastAsia="Times New Roman" w:hAnsi="Times New Roman" w:cs="Times New Roman"/>
          <w:sz w:val="24"/>
          <w:szCs w:val="24"/>
        </w:rPr>
        <w:lastRenderedPageBreak/>
        <w:t xml:space="preserve">likely that a woman will die from an unsafe abortion in South America than when the abortion is performed in a safe and legal environment. </w:t>
      </w:r>
    </w:p>
    <w:p w14:paraId="58B849E5" w14:textId="6D5824B3" w:rsidR="004017CB" w:rsidRDefault="007F60C6">
      <w:pPr>
        <w:widowControl/>
        <w:spacing w:after="24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Additionally, the high rate of sexual violence</w:t>
      </w:r>
      <w:r w:rsidR="0088461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in Ecuador, coupled with barriers on abortion disproportionately affects young women. Latin America and the Caribbean is the only region in the world in which the pregnancy rate for girls under 15 years of age is rising.</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Most pregnancies among girls are the result of rape, frequently by family members or other men close to them.</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 xml:space="preserve"> Also, is the region with the most restrictive policies against abortion in the world, and due to these restrictions, the region has the highest rates of unsafe abortions in the world except for Oriental Africa.</w:t>
      </w:r>
      <w:r>
        <w:rPr>
          <w:rFonts w:ascii="Times New Roman" w:eastAsia="Times New Roman" w:hAnsi="Times New Roman" w:cs="Times New Roman"/>
          <w:sz w:val="24"/>
          <w:szCs w:val="24"/>
          <w:vertAlign w:val="superscript"/>
        </w:rPr>
        <w:footnoteReference w:id="18"/>
      </w:r>
    </w:p>
    <w:p w14:paraId="30F7B53D" w14:textId="0027B7E3" w:rsidR="004017CB" w:rsidRDefault="007F60C6">
      <w:pPr>
        <w:widowControl/>
        <w:spacing w:after="24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Ecuador, the birth rate among girls between 10 and 14 years old increased from 2.5 per 1,000 births in 2013</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to 8 per 1,000 in 2016.</w:t>
      </w:r>
      <w:r>
        <w:rPr>
          <w:rFonts w:ascii="Times New Roman" w:eastAsia="Times New Roman" w:hAnsi="Times New Roman" w:cs="Times New Roman"/>
          <w:sz w:val="24"/>
          <w:szCs w:val="24"/>
          <w:vertAlign w:val="superscript"/>
        </w:rPr>
        <w:footnoteReference w:id="20"/>
      </w:r>
      <w:r>
        <w:rPr>
          <w:rFonts w:ascii="Times New Roman" w:eastAsia="Times New Roman" w:hAnsi="Times New Roman" w:cs="Times New Roman"/>
          <w:sz w:val="24"/>
          <w:szCs w:val="24"/>
        </w:rPr>
        <w:t xml:space="preserve"> This means that approximately 2,700 girls under 15 gave birth each year. Systemic sexual violence paired with minimal access to sexual and reproductive health services means that women and girls in Latin America and the Caribbean are frequently forced to carry unwanted pregnancies to term. This has a negative impact on girls’ mental, physical, and social health and leaves them vulnerable to higher risks of maternal mortality, anxiety, depression, post-traumatic stress disorder, and suicide.</w:t>
      </w:r>
      <w:r>
        <w:rPr>
          <w:rFonts w:ascii="Times New Roman" w:eastAsia="Times New Roman" w:hAnsi="Times New Roman" w:cs="Times New Roman"/>
          <w:sz w:val="24"/>
          <w:szCs w:val="24"/>
          <w:vertAlign w:val="superscript"/>
        </w:rPr>
        <w:footnoteReference w:id="21"/>
      </w:r>
    </w:p>
    <w:p w14:paraId="29F0BBA1" w14:textId="086B021D" w:rsidR="004017CB" w:rsidRDefault="007F60C6">
      <w:pPr>
        <w:widowControl/>
        <w:spacing w:after="240" w:line="240" w:lineRule="auto"/>
        <w:ind w:firstLine="720"/>
        <w:jc w:val="both"/>
        <w:rPr>
          <w:rFonts w:ascii="Times New Roman" w:eastAsia="Times New Roman" w:hAnsi="Times New Roman" w:cs="Times New Roman"/>
          <w:sz w:val="24"/>
          <w:szCs w:val="24"/>
          <w:highlight w:val="yellow"/>
        </w:rPr>
      </w:pPr>
      <w:r>
        <w:rPr>
          <w:rFonts w:ascii="Times New Roman" w:eastAsia="Times New Roman" w:hAnsi="Times New Roman" w:cs="Times New Roman"/>
          <w:sz w:val="24"/>
          <w:szCs w:val="24"/>
        </w:rPr>
        <w:t xml:space="preserve"> Further, young women and minors are less likely to have access to the funding or health information necessary to find safe abortion services, making them a particularly </w:t>
      </w:r>
      <w:r w:rsidR="006F2055">
        <w:rPr>
          <w:rFonts w:ascii="Times New Roman" w:eastAsia="Times New Roman" w:hAnsi="Times New Roman" w:cs="Times New Roman"/>
          <w:sz w:val="24"/>
          <w:szCs w:val="24"/>
        </w:rPr>
        <w:t>high-risk</w:t>
      </w:r>
      <w:r>
        <w:rPr>
          <w:rFonts w:ascii="Times New Roman" w:eastAsia="Times New Roman" w:hAnsi="Times New Roman" w:cs="Times New Roman"/>
          <w:sz w:val="24"/>
          <w:szCs w:val="24"/>
        </w:rPr>
        <w:t xml:space="preserve"> population. If a woman or girl seeks treatment for any complications arising from her unsafe abortion, she could risk spending up to two years in jail for obtaining an abortion. This may further deter women and girls from seeking any assistance if they experience complications from a</w:t>
      </w:r>
      <w:r w:rsidR="00270803">
        <w:rPr>
          <w:rFonts w:ascii="Times New Roman" w:eastAsia="Times New Roman" w:hAnsi="Times New Roman" w:cs="Times New Roman"/>
          <w:sz w:val="24"/>
          <w:szCs w:val="24"/>
        </w:rPr>
        <w:t xml:space="preserve">n unsafe </w:t>
      </w:r>
      <w:r>
        <w:rPr>
          <w:rFonts w:ascii="Times New Roman" w:eastAsia="Times New Roman" w:hAnsi="Times New Roman" w:cs="Times New Roman"/>
          <w:sz w:val="24"/>
          <w:szCs w:val="24"/>
        </w:rPr>
        <w:t xml:space="preserve">abortion, increasing their health risks. These barriers to access to abortion and proper post-abortion care seriously endanger the lives of women and girls. In addition to other complications, rape victims may have severe psychological consequences in being forced to carry a pregnancy to term.  </w:t>
      </w:r>
    </w:p>
    <w:p w14:paraId="135ADA7F" w14:textId="77777777" w:rsidR="004017CB" w:rsidRDefault="007F60C6">
      <w:pPr>
        <w:keepNext/>
        <w:widowControl/>
        <w:tabs>
          <w:tab w:val="left" w:pos="820"/>
        </w:tabs>
        <w:spacing w:after="240" w:line="240" w:lineRule="auto"/>
        <w:ind w:left="820" w:hanging="820"/>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II. Ecuador’s Failure to Guarantee Reproductive Rights Violates the Rights to Health (Article 12) and Right to Non-Discrimination (Article 2)</w:t>
      </w:r>
      <w:r>
        <w:rPr>
          <w:rFonts w:ascii="Times New Roman" w:eastAsia="Times New Roman" w:hAnsi="Times New Roman" w:cs="Times New Roman"/>
          <w:b/>
          <w:sz w:val="24"/>
          <w:szCs w:val="24"/>
        </w:rPr>
        <w:tab/>
      </w:r>
    </w:p>
    <w:p w14:paraId="1F7CE6CC" w14:textId="77777777" w:rsidR="004017CB" w:rsidRDefault="007F60C6">
      <w:pPr>
        <w:keepNext/>
        <w:widowControl/>
        <w:spacing w:after="24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Pr>
          <w:rFonts w:ascii="Times New Roman" w:eastAsia="Times New Roman" w:hAnsi="Times New Roman" w:cs="Times New Roman"/>
          <w:sz w:val="24"/>
          <w:szCs w:val="24"/>
        </w:rPr>
        <w:tab/>
      </w:r>
      <w:r>
        <w:rPr>
          <w:rFonts w:ascii="Times New Roman" w:eastAsia="Times New Roman" w:hAnsi="Times New Roman" w:cs="Times New Roman"/>
          <w:sz w:val="24"/>
          <w:szCs w:val="24"/>
          <w:u w:val="single"/>
        </w:rPr>
        <w:t>Ecuador Women’s Right to Health (Article 12)</w:t>
      </w:r>
      <w:r>
        <w:rPr>
          <w:rFonts w:ascii="Times New Roman" w:eastAsia="Times New Roman" w:hAnsi="Times New Roman" w:cs="Times New Roman"/>
          <w:sz w:val="24"/>
          <w:szCs w:val="24"/>
        </w:rPr>
        <w:t>.</w:t>
      </w:r>
    </w:p>
    <w:p w14:paraId="15AEDD7B" w14:textId="0C1CA8BB" w:rsidR="004017CB" w:rsidRDefault="007F60C6">
      <w:pPr>
        <w:widowControl/>
        <w:spacing w:after="24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a signatory and party to the ICESCR, Ecuador has recognized “the right of everyone to the enjoyment of the highest attainable standard of physical and mental health”</w:t>
      </w:r>
      <w:r w:rsidR="00F22190">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 xml:space="preserve">  This right contains both “the right to control one’s health and body, including sexual reproductive freedom” and “the right to a system of health protection”</w:t>
      </w:r>
      <w:r w:rsidR="00F22190">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 xml:space="preserve"> However, </w:t>
      </w:r>
      <w:r w:rsidR="00FC3203">
        <w:rPr>
          <w:rFonts w:ascii="Times New Roman" w:eastAsia="Times New Roman" w:hAnsi="Times New Roman" w:cs="Times New Roman"/>
          <w:sz w:val="24"/>
          <w:szCs w:val="24"/>
        </w:rPr>
        <w:t xml:space="preserve">through this letter </w:t>
      </w:r>
      <w:r>
        <w:rPr>
          <w:rFonts w:ascii="Times New Roman" w:eastAsia="Times New Roman" w:hAnsi="Times New Roman" w:cs="Times New Roman"/>
          <w:sz w:val="24"/>
          <w:szCs w:val="24"/>
        </w:rPr>
        <w:t>we will show how</w:t>
      </w:r>
      <w:r w:rsidR="00E27943">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Ecuador does not protect these rights.  </w:t>
      </w:r>
    </w:p>
    <w:p w14:paraId="70736217" w14:textId="091F622D" w:rsidR="004017CB" w:rsidRDefault="007F60C6">
      <w:pPr>
        <w:widowControl/>
        <w:spacing w:after="24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Ecuador’s fails to provide access to medical and psychological services to victims of sexual violence. Sexual violence, specifically</w:t>
      </w:r>
      <w:r w:rsidR="008175F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in the educational context, because it has become so pervasive, is a constant threat to the female population of Ecuador, and involves the violation of a woman in such an intimate and egregious way, can similarly devastate a woman’s psychological, not to mention physical, health. Failure to provide access to these basic reproductive health care services violates the ICESCR’s right to health. </w:t>
      </w:r>
    </w:p>
    <w:p w14:paraId="15870538" w14:textId="7382FFC8" w:rsidR="004017CB" w:rsidRDefault="007F60C6">
      <w:pPr>
        <w:widowControl/>
        <w:spacing w:after="24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Additionally, not guaranteeing access to legal and safe abortion is a </w:t>
      </w:r>
      <w:r>
        <w:rPr>
          <w:rFonts w:ascii="Times New Roman" w:eastAsia="Times New Roman" w:hAnsi="Times New Roman" w:cs="Times New Roman"/>
          <w:i/>
          <w:sz w:val="24"/>
          <w:szCs w:val="24"/>
        </w:rPr>
        <w:t>per se</w:t>
      </w:r>
      <w:r>
        <w:rPr>
          <w:rFonts w:ascii="Times New Roman" w:eastAsia="Times New Roman" w:hAnsi="Times New Roman" w:cs="Times New Roman"/>
          <w:sz w:val="24"/>
          <w:szCs w:val="24"/>
        </w:rPr>
        <w:t xml:space="preserve"> violation of the right to health. The inability of a woman to choose if and when she wants to have a child violates her right to control her health and body, denying her sexual reproductive freedom.  Since women have no choice but to pursue unsafe abortions, women do not “have access to safe, effective </w:t>
      </w:r>
      <w:r w:rsidR="00270803">
        <w:rPr>
          <w:rFonts w:ascii="Times New Roman" w:eastAsia="Times New Roman" w:hAnsi="Times New Roman" w:cs="Times New Roman"/>
          <w:sz w:val="24"/>
          <w:szCs w:val="24"/>
        </w:rPr>
        <w:t>(</w:t>
      </w:r>
      <w:r>
        <w:rPr>
          <w:rFonts w:ascii="Times New Roman" w:eastAsia="Times New Roman" w:hAnsi="Times New Roman" w:cs="Times New Roman"/>
          <w:sz w:val="24"/>
          <w:szCs w:val="24"/>
        </w:rPr>
        <w:t>...</w:t>
      </w:r>
      <w:r w:rsidR="00270803">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and acceptable methods of family planning of their choice” as required by the ICESCR.</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xml:space="preserve">  Further, the lack of access to sexual and reproductive health information and services (e.g., emergency contraception) violates her right to a system of health protection. </w:t>
      </w:r>
    </w:p>
    <w:p w14:paraId="77DFE85E" w14:textId="01A3A1BF" w:rsidR="004017CB" w:rsidRDefault="007F60C6">
      <w:pPr>
        <w:widowControl/>
        <w:spacing w:after="24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right to health guaranteed by Article 12 includes the right to make free and responsible decision and choices, free of violence, coercion and discrimination, over matters concerning one’s body and sexual reproductive health</w:t>
      </w:r>
      <w:r w:rsidR="00A074A9">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xml:space="preserve"> Women and girls in Ecuador do not enjoy these rights.  They cannot make free choices concerning their bodies when they lack access to safe and legal abortion.  They have no way be free of the pervasive violence that accompanies being a woman in Ecuador without adequate protections from the government. In all these ways, Ecuador is failing its obligations under the ICESCR.</w:t>
      </w:r>
    </w:p>
    <w:p w14:paraId="63E252BC" w14:textId="77777777" w:rsidR="004017CB" w:rsidRDefault="007F60C6">
      <w:pPr>
        <w:keepNext/>
        <w:widowControl/>
        <w:spacing w:after="240" w:line="240" w:lineRule="auto"/>
        <w:ind w:left="1440" w:hanging="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w:t>
      </w:r>
      <w:r>
        <w:rPr>
          <w:rFonts w:ascii="Times New Roman" w:eastAsia="Times New Roman" w:hAnsi="Times New Roman" w:cs="Times New Roman"/>
          <w:sz w:val="24"/>
          <w:szCs w:val="24"/>
        </w:rPr>
        <w:tab/>
      </w:r>
      <w:r>
        <w:rPr>
          <w:rFonts w:ascii="Times New Roman" w:eastAsia="Times New Roman" w:hAnsi="Times New Roman" w:cs="Times New Roman"/>
          <w:sz w:val="24"/>
          <w:szCs w:val="24"/>
          <w:u w:val="single"/>
        </w:rPr>
        <w:t>Ecuador Women’s Right to Non-Discrimination (Article 2)</w:t>
      </w:r>
      <w:r>
        <w:rPr>
          <w:rFonts w:ascii="Times New Roman" w:eastAsia="Times New Roman" w:hAnsi="Times New Roman" w:cs="Times New Roman"/>
          <w:sz w:val="24"/>
          <w:szCs w:val="24"/>
        </w:rPr>
        <w:t>.</w:t>
      </w:r>
    </w:p>
    <w:p w14:paraId="7C8CE869" w14:textId="3F7CAA95" w:rsidR="004017CB" w:rsidRDefault="007F60C6">
      <w:pPr>
        <w:widowControl/>
        <w:spacing w:after="24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Article 2 of the ICESCR “guarantee[s] that the rights enunciated in the present Covenant will be exercised without discrimination of any kind as to race, color, sex, language, religion, political or other opinion, national or social origin, property, birth or other status”</w:t>
      </w:r>
      <w:r w:rsidR="002A2265">
        <w:rPr>
          <w:rFonts w:ascii="Times New Roman" w:eastAsia="Times New Roman" w:hAnsi="Times New Roman" w:cs="Times New Roman"/>
          <w:sz w:val="24"/>
          <w:szCs w:val="24"/>
        </w:rPr>
        <w:t>.</w:t>
      </w:r>
      <w:r>
        <w:rPr>
          <w:rFonts w:ascii="Times New Roman" w:eastAsia="Times New Roman" w:hAnsi="Times New Roman" w:cs="Times New Roman"/>
          <w:sz w:val="24"/>
          <w:szCs w:val="24"/>
          <w:vertAlign w:val="superscript"/>
        </w:rPr>
        <w:footnoteReference w:id="26"/>
      </w:r>
      <w:r>
        <w:rPr>
          <w:rFonts w:ascii="Times New Roman" w:eastAsia="Times New Roman" w:hAnsi="Times New Roman" w:cs="Times New Roman"/>
          <w:sz w:val="24"/>
          <w:szCs w:val="24"/>
        </w:rPr>
        <w:t xml:space="preserve">  Women are a protected class within the bounds of the ICESCR and cannot be denied the same rights that men enjoy.  In Ecuador, the mistreatment and discrimination against women, and particularly </w:t>
      </w:r>
      <w:r w:rsidR="00ED3653">
        <w:rPr>
          <w:rFonts w:ascii="Times New Roman" w:eastAsia="Times New Roman" w:hAnsi="Times New Roman" w:cs="Times New Roman"/>
          <w:sz w:val="24"/>
          <w:szCs w:val="24"/>
        </w:rPr>
        <w:t>adolescents</w:t>
      </w:r>
      <w:r>
        <w:rPr>
          <w:rFonts w:ascii="Times New Roman" w:eastAsia="Times New Roman" w:hAnsi="Times New Roman" w:cs="Times New Roman"/>
          <w:sz w:val="24"/>
          <w:szCs w:val="24"/>
        </w:rPr>
        <w:t xml:space="preserve"> and girls, is the result of gender stereotypes that dictate that the only role for a woman is being a mother, but only at an acceptable age.</w:t>
      </w:r>
    </w:p>
    <w:p w14:paraId="44BCF67C" w14:textId="77777777" w:rsidR="004017CB" w:rsidRDefault="007F60C6">
      <w:pPr>
        <w:widowControl/>
        <w:spacing w:after="24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Women should access the justice system with non-discrimination, particularly when they are victims of gender-based violence.  The fact that they do not is </w:t>
      </w:r>
      <w:r>
        <w:rPr>
          <w:rFonts w:ascii="Times New Roman" w:eastAsia="Times New Roman" w:hAnsi="Times New Roman" w:cs="Times New Roman"/>
          <w:i/>
          <w:sz w:val="24"/>
          <w:szCs w:val="24"/>
        </w:rPr>
        <w:t>de facto</w:t>
      </w:r>
      <w:r>
        <w:rPr>
          <w:rFonts w:ascii="Times New Roman" w:eastAsia="Times New Roman" w:hAnsi="Times New Roman" w:cs="Times New Roman"/>
          <w:sz w:val="24"/>
          <w:szCs w:val="24"/>
        </w:rPr>
        <w:t xml:space="preserve"> discriminatory against women. That the vast majority of women are unable to report crimes of sexual violence to the authorities, due to physical or administrative barriers—let alone social barriers such as shame, stigma, or fear of retribution—disadvantages and endangers women.  Even where women manage to safely lodge a complaint, the dismal conviction rate of only just over two percent all but guarantees that sexual aggressors and domestic abusers persist in the community and likely recidivate against their victims.  </w:t>
      </w:r>
    </w:p>
    <w:p w14:paraId="2048D415" w14:textId="77777777" w:rsidR="004017CB" w:rsidRDefault="007F60C6">
      <w:pPr>
        <w:widowControl/>
        <w:spacing w:after="24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 the Committee recognizes, in order for women to achieve gender equality, governments must repeal or reform discriminatory laws, policies, and practices in the areas of sexual and reproductive health by guaranteeing all individuals access to emergency contraception and guaranteeing women and girls access to safe abortion and post-abortion services.</w:t>
      </w:r>
      <w:r>
        <w:rPr>
          <w:rFonts w:ascii="Times New Roman" w:eastAsia="Times New Roman" w:hAnsi="Times New Roman" w:cs="Times New Roman"/>
          <w:sz w:val="24"/>
          <w:szCs w:val="24"/>
          <w:vertAlign w:val="superscript"/>
        </w:rPr>
        <w:footnoteReference w:id="27"/>
      </w:r>
      <w:r>
        <w:rPr>
          <w:rFonts w:ascii="Times New Roman" w:eastAsia="Times New Roman" w:hAnsi="Times New Roman" w:cs="Times New Roman"/>
          <w:sz w:val="24"/>
          <w:szCs w:val="24"/>
        </w:rPr>
        <w:t xml:space="preserve">         </w:t>
      </w:r>
    </w:p>
    <w:p w14:paraId="24FCE5B9" w14:textId="4DEC3768" w:rsidR="004017CB" w:rsidRDefault="007F60C6">
      <w:pPr>
        <w:widowControl/>
        <w:spacing w:after="24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 the context of sexual violence and lack of access to safe and legal abortion, Ecuador does not guarantee women’s life and health without gender discrimination. </w:t>
      </w:r>
      <w:r w:rsidR="009C4A30">
        <w:rPr>
          <w:rFonts w:ascii="Times New Roman" w:eastAsia="Times New Roman" w:hAnsi="Times New Roman" w:cs="Times New Roman"/>
          <w:sz w:val="24"/>
          <w:szCs w:val="24"/>
        </w:rPr>
        <w:t xml:space="preserve">As an example, </w:t>
      </w:r>
      <w:r w:rsidR="009C4A30" w:rsidRPr="009C4A30">
        <w:rPr>
          <w:rFonts w:ascii="Times New Roman" w:eastAsia="Times New Roman" w:hAnsi="Times New Roman" w:cs="Times New Roman"/>
          <w:sz w:val="24"/>
          <w:szCs w:val="24"/>
        </w:rPr>
        <w:t>Ecuador has not complied with five recommendations of the United Nations regarding decriminalizing abortion in case of rape</w:t>
      </w:r>
      <w:r w:rsidR="009C4A3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This results in restricted access to the justice system and essential sexual and reproductive health care services.  Until Ecuador reforms these discriminatory laws and eradicates harmful practices against women, Ecuador will not fulfill its responsibilities under Article 2 of the ICESCR.</w:t>
      </w:r>
    </w:p>
    <w:p w14:paraId="1505B79C" w14:textId="77777777" w:rsidR="004017CB" w:rsidRDefault="007F60C6">
      <w:pPr>
        <w:keepNext/>
        <w:widowControl/>
        <w:spacing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III. Sexual violence and harassment in educational context</w:t>
      </w:r>
    </w:p>
    <w:p w14:paraId="1761A781" w14:textId="416D7B6B" w:rsidR="004017CB" w:rsidRDefault="007F60C6">
      <w:pPr>
        <w:widowControl/>
        <w:spacing w:after="24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Sexual violence against girls in the educational setting is an issue of great concern, when 6 out of every 10 students has been a victim of sexual violence and particularly when violence is perpetuated by teachers or administrators who abuse their position of authority to intimidate and </w:t>
      </w:r>
      <w:r>
        <w:rPr>
          <w:rFonts w:ascii="Times New Roman" w:eastAsia="Times New Roman" w:hAnsi="Times New Roman" w:cs="Times New Roman"/>
          <w:sz w:val="24"/>
          <w:szCs w:val="24"/>
        </w:rPr>
        <w:lastRenderedPageBreak/>
        <w:t>instill fear</w:t>
      </w:r>
      <w:r w:rsidR="00162F0B">
        <w:rPr>
          <w:rFonts w:ascii="Times New Roman" w:eastAsia="Times New Roman" w:hAnsi="Times New Roman" w:cs="Times New Roman"/>
          <w:sz w:val="24"/>
          <w:szCs w:val="24"/>
        </w:rPr>
        <w:t>.</w:t>
      </w:r>
      <w:r w:rsidR="002C4425">
        <w:rPr>
          <w:rStyle w:val="Refdenotaalpie"/>
          <w:rFonts w:ascii="Times New Roman" w:eastAsia="Times New Roman" w:hAnsi="Times New Roman" w:cs="Times New Roman"/>
          <w:sz w:val="24"/>
          <w:szCs w:val="24"/>
        </w:rPr>
        <w:footnoteReference w:id="28"/>
      </w:r>
      <w:r>
        <w:rPr>
          <w:rFonts w:ascii="Times New Roman" w:eastAsia="Times New Roman" w:hAnsi="Times New Roman" w:cs="Times New Roman"/>
          <w:sz w:val="24"/>
          <w:szCs w:val="24"/>
        </w:rPr>
        <w:t xml:space="preserve"> </w:t>
      </w:r>
      <w:r w:rsidR="00162F0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Protection for sexual violence in schools and the guarantee of reproductive rights are fundamental to girls’ and women’s right to life, health, and equality. </w:t>
      </w:r>
    </w:p>
    <w:p w14:paraId="1863AC73" w14:textId="20247CBC" w:rsidR="004017CB" w:rsidRDefault="007F60C6">
      <w:pPr>
        <w:widowControl/>
        <w:spacing w:after="24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Furthermore, the right to access to justice for victims of sexual violence and harassment is essential to their ability to participate meaningfully in society. The low rate of conviction, coupled with physical and psychological barriers to reporting the incidents themselves, creates a culture of impunity with regard to sexual violence and harassment. </w:t>
      </w:r>
      <w:r w:rsidR="00162F0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As a result, women and girls live in a perpetual state of fear that members of their educational community are free to physically and sexually abuse them without repercussion. </w:t>
      </w:r>
      <w:r w:rsidR="00162F0B">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The situation disproportionately affects women and girls</w:t>
      </w:r>
      <w:r w:rsidR="00560952">
        <w:rPr>
          <w:rFonts w:ascii="Times New Roman" w:eastAsia="Times New Roman" w:hAnsi="Times New Roman" w:cs="Times New Roman"/>
          <w:sz w:val="24"/>
          <w:szCs w:val="24"/>
        </w:rPr>
        <w:t>, especially those who lives in rural or poor areas</w:t>
      </w:r>
      <w:r>
        <w:rPr>
          <w:rFonts w:ascii="Times New Roman" w:eastAsia="Times New Roman" w:hAnsi="Times New Roman" w:cs="Times New Roman"/>
          <w:sz w:val="24"/>
          <w:szCs w:val="24"/>
        </w:rPr>
        <w:t xml:space="preserve">; men do not face the same threat of sexual violence, nor is their access to the justice system similarly restricted.  Such a system is a </w:t>
      </w:r>
      <w:r>
        <w:rPr>
          <w:rFonts w:ascii="Times New Roman" w:eastAsia="Times New Roman" w:hAnsi="Times New Roman" w:cs="Times New Roman"/>
          <w:i/>
          <w:sz w:val="24"/>
          <w:szCs w:val="24"/>
        </w:rPr>
        <w:t>per se</w:t>
      </w:r>
      <w:r>
        <w:rPr>
          <w:rFonts w:ascii="Times New Roman" w:eastAsia="Times New Roman" w:hAnsi="Times New Roman" w:cs="Times New Roman"/>
          <w:sz w:val="24"/>
          <w:szCs w:val="24"/>
        </w:rPr>
        <w:t xml:space="preserve"> violation of thei</w:t>
      </w:r>
      <w:r w:rsidR="00394C6E">
        <w:rPr>
          <w:rFonts w:ascii="Times New Roman" w:eastAsia="Times New Roman" w:hAnsi="Times New Roman" w:cs="Times New Roman"/>
          <w:sz w:val="24"/>
          <w:szCs w:val="24"/>
        </w:rPr>
        <w:t xml:space="preserve">r </w:t>
      </w:r>
      <w:r>
        <w:rPr>
          <w:rFonts w:ascii="Times New Roman" w:eastAsia="Times New Roman" w:hAnsi="Times New Roman" w:cs="Times New Roman"/>
          <w:sz w:val="24"/>
          <w:szCs w:val="24"/>
        </w:rPr>
        <w:t xml:space="preserve">right to access to justice with non-discrimination. </w:t>
      </w:r>
    </w:p>
    <w:p w14:paraId="42DB6E2D" w14:textId="2896D49E" w:rsidR="004017CB" w:rsidRDefault="007F60C6">
      <w:pPr>
        <w:widowControl/>
        <w:spacing w:after="24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The case of </w:t>
      </w:r>
      <w:r w:rsidRPr="00162F0B">
        <w:rPr>
          <w:rFonts w:ascii="Times New Roman" w:eastAsia="Times New Roman" w:hAnsi="Times New Roman" w:cs="Times New Roman"/>
          <w:i/>
          <w:sz w:val="24"/>
          <w:szCs w:val="24"/>
        </w:rPr>
        <w:t>Paola Guzmán v. Ecuador</w:t>
      </w:r>
      <w:r w:rsidR="00ED7D8C">
        <w:rPr>
          <w:rStyle w:val="Refdenotaalpie"/>
          <w:rFonts w:ascii="Times New Roman" w:eastAsia="Times New Roman" w:hAnsi="Times New Roman" w:cs="Times New Roman"/>
          <w:i/>
          <w:sz w:val="24"/>
          <w:szCs w:val="24"/>
        </w:rPr>
        <w:footnoteReference w:id="29"/>
      </w:r>
      <w:r>
        <w:rPr>
          <w:rFonts w:ascii="Times New Roman" w:eastAsia="Times New Roman" w:hAnsi="Times New Roman" w:cs="Times New Roman"/>
          <w:sz w:val="24"/>
          <w:szCs w:val="24"/>
        </w:rPr>
        <w:t xml:space="preserve"> pending before the Interamerican Court of Human Rights, exemplifies how sexual violence in educational contexts encompasses a broad range of human rights violations including women and girls’ right to live free from violence, their right to access to reproductive healthcare and to freely make reproductive choices and also the right to access to justice. </w:t>
      </w:r>
    </w:p>
    <w:p w14:paraId="771E893D" w14:textId="77777777" w:rsidR="004017CB" w:rsidRDefault="007F60C6">
      <w:pPr>
        <w:widowControl/>
        <w:spacing w:after="24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Paola Guzmán, a student in Ecuador, that was sexually harassed and abused for two years by the vice-principal of her high school, who offered to provide her with academic assistance on the condition that she have sexual intercourse with him. At age sixteen she became pregnant. The vice-principle solicited a school doctor to perform and abortion, but the doctor made this conditional on Paola agreeing to have sexual relations with him too.  Ultimately, Paola committed suicide by ingesting white phosphorus, and died in December 2002. Although Paola's family filed the corresponding complaints, the case has not led to any legal consequences in the country.</w:t>
      </w:r>
    </w:p>
    <w:p w14:paraId="6983E1A5" w14:textId="77777777" w:rsidR="004017CB" w:rsidRDefault="007F60C6">
      <w:pPr>
        <w:widowControl/>
        <w:spacing w:after="24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This is only one of the many cases showing the violence, especially sexual violence, that girls and adolescents confront in educational institutions in Ecuador, where the state is not guaranteeing their security.</w:t>
      </w:r>
    </w:p>
    <w:p w14:paraId="037453C8" w14:textId="77777777" w:rsidR="004017CB" w:rsidRDefault="007F60C6">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t>IV.</w:t>
      </w:r>
      <w:r>
        <w:rPr>
          <w:rFonts w:ascii="Times New Roman" w:eastAsia="Times New Roman" w:hAnsi="Times New Roman" w:cs="Times New Roman"/>
          <w:b/>
          <w:sz w:val="24"/>
          <w:szCs w:val="24"/>
        </w:rPr>
        <w:tab/>
        <w:t>Conclusion</w:t>
      </w:r>
    </w:p>
    <w:p w14:paraId="20BED528" w14:textId="77777777" w:rsidR="004017CB" w:rsidRDefault="007F60C6">
      <w:pPr>
        <w:keepNext/>
        <w:widowControl/>
        <w:spacing w:after="24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applaud the Committee on Economic, Social, and Cultural Rights for its commitment to women’s sexual and reproductive health and rights and the strong recommendations the Committee has issued in the past, which stress the need to enact, implement, and monitor effective policies geared towards increasing these rights. In light of the information provided above, we </w:t>
      </w:r>
      <w:r>
        <w:rPr>
          <w:rFonts w:ascii="Times New Roman" w:eastAsia="Times New Roman" w:hAnsi="Times New Roman" w:cs="Times New Roman"/>
          <w:sz w:val="24"/>
          <w:szCs w:val="24"/>
        </w:rPr>
        <w:lastRenderedPageBreak/>
        <w:t>hope that this Committee will consider addressing the following questions to the government of Ecuador:</w:t>
      </w:r>
    </w:p>
    <w:p w14:paraId="54042D88" w14:textId="77777777" w:rsidR="004017CB" w:rsidRDefault="007F60C6">
      <w:pPr>
        <w:widowControl/>
        <w:spacing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regard to sexual and domestic violence:</w:t>
      </w:r>
    </w:p>
    <w:p w14:paraId="3F53979E" w14:textId="77777777" w:rsidR="004017CB" w:rsidRDefault="007F60C6" w:rsidP="00FD52F7">
      <w:pPr>
        <w:widowControl/>
        <w:numPr>
          <w:ilvl w:val="0"/>
          <w:numId w:val="2"/>
        </w:numPr>
        <w:pBdr>
          <w:top w:val="nil"/>
          <w:left w:val="nil"/>
          <w:bottom w:val="nil"/>
          <w:right w:val="nil"/>
          <w:between w:val="nil"/>
        </w:pBdr>
        <w:tabs>
          <w:tab w:val="left" w:pos="1080"/>
        </w:tabs>
        <w:spacing w:before="120" w:after="120" w:line="240" w:lineRule="auto"/>
        <w:ind w:left="1080" w:hanging="634"/>
        <w:jc w:val="both"/>
        <w:rPr>
          <w:color w:val="000000"/>
          <w:sz w:val="24"/>
          <w:szCs w:val="24"/>
        </w:rPr>
      </w:pPr>
      <w:r>
        <w:rPr>
          <w:rFonts w:ascii="Times New Roman" w:eastAsia="Times New Roman" w:hAnsi="Times New Roman" w:cs="Times New Roman"/>
          <w:color w:val="000000"/>
          <w:sz w:val="24"/>
          <w:szCs w:val="24"/>
        </w:rPr>
        <w:t>What measures has the Ecuadorian government taken or plan to take to protect women and girls from sexual violence in general and particularly in educational contexts?</w:t>
      </w:r>
    </w:p>
    <w:p w14:paraId="04EC60BE" w14:textId="77777777" w:rsidR="004017CB" w:rsidRDefault="007F60C6" w:rsidP="00FD52F7">
      <w:pPr>
        <w:widowControl/>
        <w:numPr>
          <w:ilvl w:val="0"/>
          <w:numId w:val="2"/>
        </w:numPr>
        <w:pBdr>
          <w:top w:val="nil"/>
          <w:left w:val="nil"/>
          <w:bottom w:val="nil"/>
          <w:right w:val="nil"/>
          <w:between w:val="nil"/>
        </w:pBdr>
        <w:tabs>
          <w:tab w:val="left" w:pos="1080"/>
        </w:tabs>
        <w:spacing w:before="120" w:after="120" w:line="240" w:lineRule="auto"/>
        <w:ind w:left="1080" w:hanging="634"/>
        <w:jc w:val="both"/>
        <w:rPr>
          <w:color w:val="000000"/>
          <w:sz w:val="24"/>
          <w:szCs w:val="24"/>
        </w:rPr>
      </w:pPr>
      <w:r>
        <w:rPr>
          <w:rFonts w:ascii="Times New Roman" w:eastAsia="Times New Roman" w:hAnsi="Times New Roman" w:cs="Times New Roman"/>
          <w:color w:val="000000"/>
          <w:sz w:val="24"/>
          <w:szCs w:val="24"/>
        </w:rPr>
        <w:t>What measures has the Ecuadorian government taken or plan to take to enhance women’s and girls’ access to the justice system in pursuing their attackers?</w:t>
      </w:r>
    </w:p>
    <w:p w14:paraId="7B48126A" w14:textId="77777777" w:rsidR="004017CB" w:rsidRDefault="007F60C6">
      <w:pPr>
        <w:widowControl/>
        <w:spacing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regard to abortion and emergency contraception:</w:t>
      </w:r>
    </w:p>
    <w:p w14:paraId="16F771F5" w14:textId="77777777" w:rsidR="004017CB" w:rsidRDefault="007F60C6" w:rsidP="00FD52F7">
      <w:pPr>
        <w:widowControl/>
        <w:numPr>
          <w:ilvl w:val="0"/>
          <w:numId w:val="2"/>
        </w:numPr>
        <w:pBdr>
          <w:top w:val="nil"/>
          <w:left w:val="nil"/>
          <w:bottom w:val="nil"/>
          <w:right w:val="nil"/>
          <w:between w:val="nil"/>
        </w:pBdr>
        <w:tabs>
          <w:tab w:val="left" w:pos="1080"/>
        </w:tabs>
        <w:spacing w:before="120" w:after="120" w:line="240" w:lineRule="auto"/>
        <w:ind w:left="1080" w:hanging="634"/>
        <w:jc w:val="both"/>
        <w:rPr>
          <w:color w:val="000000"/>
          <w:sz w:val="24"/>
          <w:szCs w:val="24"/>
        </w:rPr>
      </w:pPr>
      <w:r>
        <w:rPr>
          <w:rFonts w:ascii="Times New Roman" w:eastAsia="Times New Roman" w:hAnsi="Times New Roman" w:cs="Times New Roman"/>
          <w:color w:val="000000"/>
          <w:sz w:val="24"/>
          <w:szCs w:val="24"/>
        </w:rPr>
        <w:t xml:space="preserve">What measures has the Ecuadorian government taken or plan to take to assure women’s and girl’s right to abortion in cases of sexual violence? </w:t>
      </w:r>
    </w:p>
    <w:p w14:paraId="2DDB8AD0" w14:textId="77777777" w:rsidR="004017CB" w:rsidRPr="00F57BD3" w:rsidRDefault="007F60C6" w:rsidP="00FD52F7">
      <w:pPr>
        <w:widowControl/>
        <w:numPr>
          <w:ilvl w:val="0"/>
          <w:numId w:val="2"/>
        </w:numPr>
        <w:pBdr>
          <w:top w:val="nil"/>
          <w:left w:val="nil"/>
          <w:bottom w:val="nil"/>
          <w:right w:val="nil"/>
          <w:between w:val="nil"/>
        </w:pBdr>
        <w:tabs>
          <w:tab w:val="left" w:pos="1080"/>
        </w:tabs>
        <w:spacing w:before="120" w:after="120" w:line="240" w:lineRule="auto"/>
        <w:ind w:left="1080" w:hanging="634"/>
        <w:jc w:val="both"/>
        <w:rPr>
          <w:rFonts w:ascii="Times New Roman" w:eastAsia="Times New Roman" w:hAnsi="Times New Roman" w:cs="Times New Roman"/>
          <w:sz w:val="24"/>
          <w:szCs w:val="24"/>
        </w:rPr>
      </w:pPr>
      <w:r>
        <w:rPr>
          <w:rFonts w:ascii="Times New Roman" w:eastAsia="Times New Roman" w:hAnsi="Times New Roman" w:cs="Times New Roman"/>
          <w:color w:val="000000"/>
          <w:sz w:val="24"/>
          <w:szCs w:val="24"/>
        </w:rPr>
        <w:t xml:space="preserve">What measures has the Ecuadorian government taken or plan to take to implement and train professionals to provide high quality abortion services that protect women and girls physical, mental and social health? </w:t>
      </w:r>
    </w:p>
    <w:p w14:paraId="5A6919FD" w14:textId="77777777" w:rsidR="004017CB" w:rsidRDefault="007F60C6" w:rsidP="00FD52F7">
      <w:pPr>
        <w:widowControl/>
        <w:numPr>
          <w:ilvl w:val="0"/>
          <w:numId w:val="2"/>
        </w:numPr>
        <w:pBdr>
          <w:top w:val="nil"/>
          <w:left w:val="nil"/>
          <w:bottom w:val="nil"/>
          <w:right w:val="nil"/>
          <w:between w:val="nil"/>
        </w:pBdr>
        <w:tabs>
          <w:tab w:val="left" w:pos="1080"/>
        </w:tabs>
        <w:spacing w:before="120" w:after="120" w:line="240" w:lineRule="auto"/>
        <w:ind w:left="1080" w:hanging="634"/>
        <w:jc w:val="both"/>
        <w:rPr>
          <w:color w:val="000000"/>
          <w:sz w:val="24"/>
          <w:szCs w:val="24"/>
        </w:rPr>
      </w:pPr>
      <w:r>
        <w:rPr>
          <w:rFonts w:ascii="Times New Roman" w:eastAsia="Times New Roman" w:hAnsi="Times New Roman" w:cs="Times New Roman"/>
          <w:color w:val="000000"/>
          <w:sz w:val="24"/>
          <w:szCs w:val="24"/>
        </w:rPr>
        <w:t xml:space="preserve">What measures has the </w:t>
      </w:r>
      <w:r>
        <w:rPr>
          <w:rFonts w:ascii="Times New Roman" w:eastAsia="Times New Roman" w:hAnsi="Times New Roman" w:cs="Times New Roman"/>
          <w:sz w:val="24"/>
          <w:szCs w:val="24"/>
        </w:rPr>
        <w:t>Ecuadorian</w:t>
      </w:r>
      <w:r>
        <w:rPr>
          <w:rFonts w:ascii="Times New Roman" w:eastAsia="Times New Roman" w:hAnsi="Times New Roman" w:cs="Times New Roman"/>
          <w:color w:val="000000"/>
          <w:sz w:val="24"/>
          <w:szCs w:val="24"/>
        </w:rPr>
        <w:t xml:space="preserve"> government taken or plan to take to provide women and girls access to abortion services?</w:t>
      </w:r>
    </w:p>
    <w:p w14:paraId="0D16E33E" w14:textId="77777777" w:rsidR="004017CB" w:rsidRDefault="007F60C6">
      <w:pPr>
        <w:keepNext/>
        <w:widowControl/>
        <w:spacing w:after="24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With regard to girls and adolescents:</w:t>
      </w:r>
    </w:p>
    <w:p w14:paraId="42187D51" w14:textId="0EC62622" w:rsidR="004017CB" w:rsidRDefault="007F60C6" w:rsidP="00FD52F7">
      <w:pPr>
        <w:keepNext/>
        <w:widowControl/>
        <w:numPr>
          <w:ilvl w:val="0"/>
          <w:numId w:val="2"/>
        </w:numPr>
        <w:pBdr>
          <w:top w:val="nil"/>
          <w:left w:val="nil"/>
          <w:bottom w:val="nil"/>
          <w:right w:val="nil"/>
          <w:between w:val="nil"/>
        </w:pBdr>
        <w:tabs>
          <w:tab w:val="left" w:pos="1080"/>
        </w:tabs>
        <w:spacing w:before="120" w:after="120" w:line="240" w:lineRule="auto"/>
        <w:ind w:left="1080" w:hanging="634"/>
        <w:jc w:val="both"/>
        <w:rPr>
          <w:color w:val="000000"/>
          <w:sz w:val="24"/>
          <w:szCs w:val="24"/>
        </w:rPr>
      </w:pPr>
      <w:r>
        <w:rPr>
          <w:rFonts w:ascii="Times New Roman" w:eastAsia="Times New Roman" w:hAnsi="Times New Roman" w:cs="Times New Roman"/>
          <w:color w:val="000000"/>
          <w:sz w:val="24"/>
          <w:szCs w:val="24"/>
        </w:rPr>
        <w:t>What measures has the Ecuador government taken or plan to take to assure that girls and adolescents, and specifically those who have been victims of sexual violence, are heard in decision-making about their reproductive health?</w:t>
      </w:r>
    </w:p>
    <w:p w14:paraId="408C6451" w14:textId="77777777" w:rsidR="004017CB" w:rsidRDefault="007F60C6" w:rsidP="00FD52F7">
      <w:pPr>
        <w:keepNext/>
        <w:widowControl/>
        <w:numPr>
          <w:ilvl w:val="0"/>
          <w:numId w:val="2"/>
        </w:numPr>
        <w:pBdr>
          <w:top w:val="nil"/>
          <w:left w:val="nil"/>
          <w:bottom w:val="nil"/>
          <w:right w:val="nil"/>
          <w:between w:val="nil"/>
        </w:pBdr>
        <w:tabs>
          <w:tab w:val="left" w:pos="1080"/>
        </w:tabs>
        <w:spacing w:before="120" w:after="120" w:line="240" w:lineRule="auto"/>
        <w:ind w:left="1080" w:hanging="634"/>
        <w:jc w:val="both"/>
        <w:rPr>
          <w:color w:val="000000"/>
          <w:sz w:val="24"/>
          <w:szCs w:val="24"/>
        </w:rPr>
      </w:pPr>
      <w:r>
        <w:rPr>
          <w:rFonts w:ascii="Times New Roman" w:eastAsia="Times New Roman" w:hAnsi="Times New Roman" w:cs="Times New Roman"/>
          <w:color w:val="000000"/>
          <w:sz w:val="24"/>
          <w:szCs w:val="24"/>
        </w:rPr>
        <w:t>What measures has the Ecuador government taken or plan to take to ensure that comprehensive care is provided by specialized professionals who are sensitive to gender and youth?</w:t>
      </w:r>
    </w:p>
    <w:p w14:paraId="64F153BC" w14:textId="77777777" w:rsidR="004017CB" w:rsidRDefault="004017CB">
      <w:pPr>
        <w:widowControl/>
        <w:spacing w:after="240" w:line="240" w:lineRule="auto"/>
        <w:ind w:firstLine="720"/>
        <w:jc w:val="both"/>
        <w:rPr>
          <w:rFonts w:ascii="Times New Roman" w:eastAsia="Times New Roman" w:hAnsi="Times New Roman" w:cs="Times New Roman"/>
          <w:sz w:val="24"/>
          <w:szCs w:val="24"/>
        </w:rPr>
      </w:pPr>
    </w:p>
    <w:p w14:paraId="19264B1C" w14:textId="111AD2B6" w:rsidR="004017CB" w:rsidRDefault="007F60C6">
      <w:pPr>
        <w:widowControl/>
        <w:spacing w:after="24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We believe that an explicit and urgent recommendation that ensures access to emergency contraception, which is a critical tool in preventing unwanted pregnancies, is necessary for the recognition of the right to health.  </w:t>
      </w:r>
      <w:r>
        <w:rPr>
          <w:rFonts w:ascii="Times New Roman" w:eastAsia="Times New Roman" w:hAnsi="Times New Roman" w:cs="Times New Roman"/>
          <w:b/>
          <w:sz w:val="24"/>
          <w:szCs w:val="24"/>
        </w:rPr>
        <w:t>We respectfully request the Committee on Economic, Social, and Cultural Rights to consider addressing the following recommendations to the Ecuadorian government during the 66</w:t>
      </w:r>
      <w:r>
        <w:rPr>
          <w:rFonts w:ascii="Times New Roman" w:eastAsia="Times New Roman" w:hAnsi="Times New Roman" w:cs="Times New Roman"/>
          <w:b/>
          <w:sz w:val="24"/>
          <w:szCs w:val="24"/>
          <w:vertAlign w:val="superscript"/>
        </w:rPr>
        <w:t>th</w:t>
      </w:r>
      <w:r>
        <w:rPr>
          <w:rFonts w:ascii="Times New Roman" w:eastAsia="Times New Roman" w:hAnsi="Times New Roman" w:cs="Times New Roman"/>
          <w:b/>
          <w:sz w:val="24"/>
          <w:szCs w:val="24"/>
        </w:rPr>
        <w:t xml:space="preserve"> Session:</w:t>
      </w:r>
    </w:p>
    <w:p w14:paraId="6E43489E" w14:textId="56E60C6A" w:rsidR="004017CB" w:rsidRDefault="007F60C6" w:rsidP="00FD52F7">
      <w:pPr>
        <w:widowControl/>
        <w:numPr>
          <w:ilvl w:val="0"/>
          <w:numId w:val="1"/>
        </w:numPr>
        <w:pBdr>
          <w:top w:val="nil"/>
          <w:left w:val="nil"/>
          <w:bottom w:val="nil"/>
          <w:right w:val="nil"/>
          <w:between w:val="nil"/>
        </w:pBdr>
        <w:tabs>
          <w:tab w:val="left" w:pos="720"/>
        </w:tabs>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 rapidly approve</w:t>
      </w:r>
      <w:r w:rsidR="007B65B3">
        <w:rPr>
          <w:rFonts w:ascii="Times New Roman" w:eastAsia="Times New Roman" w:hAnsi="Times New Roman" w:cs="Times New Roman"/>
          <w:color w:val="000000"/>
          <w:sz w:val="24"/>
          <w:szCs w:val="24"/>
        </w:rPr>
        <w:t xml:space="preserve"> </w:t>
      </w:r>
      <w:r w:rsidR="005A3C6C">
        <w:rPr>
          <w:rFonts w:ascii="Times New Roman" w:eastAsia="Times New Roman" w:hAnsi="Times New Roman" w:cs="Times New Roman"/>
          <w:color w:val="000000"/>
          <w:sz w:val="24"/>
          <w:szCs w:val="24"/>
        </w:rPr>
        <w:t>the</w:t>
      </w:r>
      <w:r>
        <w:rPr>
          <w:rFonts w:ascii="Times New Roman" w:eastAsia="Times New Roman" w:hAnsi="Times New Roman" w:cs="Times New Roman"/>
          <w:color w:val="000000"/>
          <w:sz w:val="24"/>
          <w:szCs w:val="24"/>
        </w:rPr>
        <w:t xml:space="preserve"> legislation</w:t>
      </w:r>
      <w:r w:rsidR="007E35F3">
        <w:rPr>
          <w:rFonts w:ascii="Times New Roman" w:eastAsia="Times New Roman" w:hAnsi="Times New Roman" w:cs="Times New Roman"/>
          <w:color w:val="000000"/>
          <w:sz w:val="24"/>
          <w:szCs w:val="24"/>
        </w:rPr>
        <w:t xml:space="preserve">, </w:t>
      </w:r>
      <w:r w:rsidR="005A3C6C">
        <w:rPr>
          <w:rFonts w:ascii="Times New Roman" w:eastAsia="Times New Roman" w:hAnsi="Times New Roman" w:cs="Times New Roman"/>
          <w:color w:val="000000"/>
          <w:sz w:val="24"/>
          <w:szCs w:val="24"/>
        </w:rPr>
        <w:t>regulation</w:t>
      </w:r>
      <w:r w:rsidR="007E35F3">
        <w:rPr>
          <w:rFonts w:ascii="Times New Roman" w:eastAsia="Times New Roman" w:hAnsi="Times New Roman" w:cs="Times New Roman"/>
          <w:color w:val="000000"/>
          <w:sz w:val="24"/>
          <w:szCs w:val="24"/>
        </w:rPr>
        <w:t xml:space="preserve"> or protocols</w:t>
      </w:r>
      <w:r w:rsidR="005A3C6C">
        <w:rPr>
          <w:rFonts w:ascii="Times New Roman" w:eastAsia="Times New Roman" w:hAnsi="Times New Roman" w:cs="Times New Roman"/>
          <w:color w:val="000000"/>
          <w:sz w:val="24"/>
          <w:szCs w:val="24"/>
        </w:rPr>
        <w:t xml:space="preserve"> that </w:t>
      </w:r>
      <w:r w:rsidR="007E35F3">
        <w:rPr>
          <w:rFonts w:ascii="Times New Roman" w:eastAsia="Times New Roman" w:hAnsi="Times New Roman" w:cs="Times New Roman"/>
          <w:color w:val="000000"/>
          <w:sz w:val="24"/>
          <w:szCs w:val="24"/>
        </w:rPr>
        <w:t>are</w:t>
      </w:r>
      <w:r w:rsidR="005A3C6C">
        <w:rPr>
          <w:rFonts w:ascii="Times New Roman" w:eastAsia="Times New Roman" w:hAnsi="Times New Roman" w:cs="Times New Roman"/>
          <w:color w:val="000000"/>
          <w:sz w:val="24"/>
          <w:szCs w:val="24"/>
        </w:rPr>
        <w:t xml:space="preserve"> need </w:t>
      </w:r>
      <w:r w:rsidR="00FC487C">
        <w:rPr>
          <w:rFonts w:ascii="Times New Roman" w:eastAsia="Times New Roman" w:hAnsi="Times New Roman" w:cs="Times New Roman"/>
          <w:color w:val="000000"/>
          <w:sz w:val="24"/>
          <w:szCs w:val="24"/>
        </w:rPr>
        <w:t xml:space="preserve">(and ensure its dissemination) </w:t>
      </w:r>
      <w:r w:rsidR="005A3C6C">
        <w:rPr>
          <w:rFonts w:ascii="Times New Roman" w:eastAsia="Times New Roman" w:hAnsi="Times New Roman" w:cs="Times New Roman"/>
          <w:color w:val="000000"/>
          <w:sz w:val="24"/>
          <w:szCs w:val="24"/>
        </w:rPr>
        <w:t xml:space="preserve">to </w:t>
      </w:r>
      <w:r w:rsidR="00344EB0" w:rsidRPr="00C568B9">
        <w:rPr>
          <w:rFonts w:ascii="Times New Roman" w:eastAsia="Times New Roman" w:hAnsi="Times New Roman" w:cs="Times New Roman"/>
          <w:b/>
          <w:color w:val="000000"/>
          <w:sz w:val="24"/>
          <w:szCs w:val="24"/>
        </w:rPr>
        <w:t>guarantee</w:t>
      </w:r>
      <w:r w:rsidR="00344EB0">
        <w:rPr>
          <w:rFonts w:ascii="Times New Roman" w:eastAsia="Times New Roman" w:hAnsi="Times New Roman" w:cs="Times New Roman"/>
          <w:color w:val="000000"/>
          <w:sz w:val="24"/>
          <w:szCs w:val="24"/>
        </w:rPr>
        <w:t xml:space="preserve"> </w:t>
      </w:r>
      <w:r w:rsidR="00344EB0" w:rsidRPr="00344EB0">
        <w:rPr>
          <w:rFonts w:ascii="Times New Roman" w:eastAsia="Times New Roman" w:hAnsi="Times New Roman" w:cs="Times New Roman"/>
          <w:b/>
          <w:color w:val="000000"/>
          <w:sz w:val="24"/>
          <w:szCs w:val="24"/>
        </w:rPr>
        <w:t>real</w:t>
      </w:r>
      <w:r w:rsidR="00344EB0">
        <w:rPr>
          <w:rFonts w:ascii="Times New Roman" w:eastAsia="Times New Roman" w:hAnsi="Times New Roman" w:cs="Times New Roman"/>
          <w:color w:val="000000"/>
          <w:sz w:val="24"/>
          <w:szCs w:val="24"/>
        </w:rPr>
        <w:t xml:space="preserve"> access </w:t>
      </w:r>
      <w:r>
        <w:rPr>
          <w:rFonts w:ascii="Times New Roman" w:eastAsia="Times New Roman" w:hAnsi="Times New Roman" w:cs="Times New Roman"/>
          <w:color w:val="000000"/>
          <w:sz w:val="24"/>
          <w:szCs w:val="24"/>
        </w:rPr>
        <w:t xml:space="preserve">to abortion at least in the following exceptions: when (i) pregnancy endangers a woman’s life or health, including mental, physical, and social health; (ii) pregnancy is the result of rape or artificial </w:t>
      </w:r>
      <w:r>
        <w:rPr>
          <w:rFonts w:ascii="Times New Roman" w:eastAsia="Times New Roman" w:hAnsi="Times New Roman" w:cs="Times New Roman"/>
          <w:color w:val="000000"/>
          <w:sz w:val="24"/>
          <w:szCs w:val="24"/>
        </w:rPr>
        <w:lastRenderedPageBreak/>
        <w:t>insemination without the woman’s consent; and (iii) there is a congenital fetal anomaly incompatible with extra uterine life.</w:t>
      </w:r>
      <w:r w:rsidR="004C0B0A">
        <w:rPr>
          <w:rFonts w:ascii="Times New Roman" w:eastAsia="Times New Roman" w:hAnsi="Times New Roman" w:cs="Times New Roman"/>
          <w:color w:val="000000"/>
          <w:sz w:val="24"/>
          <w:szCs w:val="24"/>
        </w:rPr>
        <w:t xml:space="preserve"> </w:t>
      </w:r>
    </w:p>
    <w:p w14:paraId="2645C678" w14:textId="5A748E96" w:rsidR="004017CB" w:rsidRDefault="007F60C6" w:rsidP="00FD52F7">
      <w:pPr>
        <w:widowControl/>
        <w:numPr>
          <w:ilvl w:val="0"/>
          <w:numId w:val="1"/>
        </w:numPr>
        <w:pBdr>
          <w:top w:val="nil"/>
          <w:left w:val="nil"/>
          <w:bottom w:val="nil"/>
          <w:right w:val="nil"/>
          <w:between w:val="nil"/>
        </w:pBdr>
        <w:tabs>
          <w:tab w:val="left" w:pos="720"/>
        </w:tabs>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To approve legislation </w:t>
      </w:r>
      <w:r w:rsidR="002220CA">
        <w:rPr>
          <w:rFonts w:ascii="Times New Roman" w:eastAsia="Times New Roman" w:hAnsi="Times New Roman" w:cs="Times New Roman"/>
          <w:color w:val="000000"/>
          <w:sz w:val="24"/>
          <w:szCs w:val="24"/>
        </w:rPr>
        <w:t xml:space="preserve">that guarantees </w:t>
      </w:r>
      <w:r>
        <w:rPr>
          <w:rFonts w:ascii="Times New Roman" w:eastAsia="Times New Roman" w:hAnsi="Times New Roman" w:cs="Times New Roman"/>
          <w:color w:val="000000"/>
          <w:sz w:val="24"/>
          <w:szCs w:val="24"/>
        </w:rPr>
        <w:t>access to comprehensive reproductive health care services, especially for girls and adolescents.</w:t>
      </w:r>
    </w:p>
    <w:p w14:paraId="5DDBA0D0" w14:textId="2366584C" w:rsidR="004017CB" w:rsidRDefault="007F60C6" w:rsidP="00FD52F7">
      <w:pPr>
        <w:widowControl/>
        <w:numPr>
          <w:ilvl w:val="0"/>
          <w:numId w:val="1"/>
        </w:numPr>
        <w:pBdr>
          <w:top w:val="nil"/>
          <w:left w:val="nil"/>
          <w:bottom w:val="nil"/>
          <w:right w:val="nil"/>
          <w:between w:val="nil"/>
        </w:pBdr>
        <w:tabs>
          <w:tab w:val="left" w:pos="720"/>
        </w:tabs>
        <w:spacing w:before="120" w:after="120" w:line="24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To approve and to implement legislation enhancing effective protection for women and girls who have been victims of sexual violence and harassment particularly</w:t>
      </w:r>
      <w:r w:rsidR="00394C6E">
        <w:rPr>
          <w:rFonts w:ascii="Times New Roman" w:eastAsia="Times New Roman" w:hAnsi="Times New Roman" w:cs="Times New Roman"/>
          <w:color w:val="000000"/>
          <w:sz w:val="24"/>
          <w:szCs w:val="24"/>
        </w:rPr>
        <w:t xml:space="preserve"> </w:t>
      </w:r>
      <w:r>
        <w:rPr>
          <w:rFonts w:ascii="Times New Roman" w:eastAsia="Times New Roman" w:hAnsi="Times New Roman" w:cs="Times New Roman"/>
          <w:color w:val="000000"/>
          <w:sz w:val="24"/>
          <w:szCs w:val="24"/>
        </w:rPr>
        <w:t>in the educational context seeking access to the justice system.</w:t>
      </w:r>
    </w:p>
    <w:p w14:paraId="2856239E" w14:textId="77777777" w:rsidR="00FD52F7" w:rsidRDefault="00FD52F7" w:rsidP="00FD52F7">
      <w:pPr>
        <w:widowControl/>
        <w:pBdr>
          <w:top w:val="nil"/>
          <w:left w:val="nil"/>
          <w:bottom w:val="nil"/>
          <w:right w:val="nil"/>
          <w:between w:val="nil"/>
        </w:pBdr>
        <w:tabs>
          <w:tab w:val="left" w:pos="720"/>
        </w:tabs>
        <w:spacing w:after="0" w:line="240" w:lineRule="auto"/>
        <w:ind w:left="1440"/>
        <w:jc w:val="both"/>
        <w:rPr>
          <w:rFonts w:ascii="Times New Roman" w:eastAsia="Times New Roman" w:hAnsi="Times New Roman" w:cs="Times New Roman"/>
          <w:color w:val="000000"/>
          <w:sz w:val="24"/>
          <w:szCs w:val="24"/>
        </w:rPr>
      </w:pPr>
    </w:p>
    <w:p w14:paraId="4DB546BE" w14:textId="77777777" w:rsidR="004017CB" w:rsidRDefault="007F60C6">
      <w:pPr>
        <w:widowControl/>
        <w:spacing w:after="240" w:line="240" w:lineRule="auto"/>
        <w:ind w:firstLine="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We appreciate this Committee’s longstanding commitment to reproductive rights and to the eradication of discrimination in the access to reproductive health care. If you have any questions, or would like further information, please do not hesitate to contact the undersigned.</w:t>
      </w:r>
    </w:p>
    <w:p w14:paraId="3E67D88A" w14:textId="77777777" w:rsidR="004017CB" w:rsidRDefault="007F60C6">
      <w:pPr>
        <w:widowControl/>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Respectfully,</w:t>
      </w:r>
    </w:p>
    <w:tbl>
      <w:tblPr>
        <w:tblStyle w:val="a"/>
        <w:tblW w:w="4972" w:type="dxa"/>
        <w:tblInd w:w="-90" w:type="dxa"/>
        <w:tblBorders>
          <w:top w:val="nil"/>
          <w:left w:val="nil"/>
          <w:bottom w:val="nil"/>
          <w:right w:val="nil"/>
          <w:insideH w:val="nil"/>
          <w:insideV w:val="nil"/>
        </w:tblBorders>
        <w:tblLayout w:type="fixed"/>
        <w:tblLook w:val="0400" w:firstRow="0" w:lastRow="0" w:firstColumn="0" w:lastColumn="0" w:noHBand="0" w:noVBand="1"/>
      </w:tblPr>
      <w:tblGrid>
        <w:gridCol w:w="4972"/>
      </w:tblGrid>
      <w:tr w:rsidR="004017CB" w14:paraId="79887272" w14:textId="77777777" w:rsidTr="00270803">
        <w:trPr>
          <w:trHeight w:val="740"/>
        </w:trPr>
        <w:tc>
          <w:tcPr>
            <w:tcW w:w="4972" w:type="dxa"/>
          </w:tcPr>
          <w:p w14:paraId="30EB0717" w14:textId="77777777" w:rsidR="004017CB" w:rsidRDefault="004017CB">
            <w:pPr>
              <w:keepNext/>
              <w:keepLines/>
              <w:widowControl/>
              <w:pBdr>
                <w:top w:val="nil"/>
                <w:left w:val="nil"/>
                <w:bottom w:val="nil"/>
                <w:right w:val="nil"/>
                <w:between w:val="nil"/>
              </w:pBdr>
              <w:jc w:val="both"/>
              <w:rPr>
                <w:rFonts w:ascii="Times New Roman" w:eastAsia="Times New Roman" w:hAnsi="Times New Roman" w:cs="Times New Roman"/>
                <w:b/>
                <w:color w:val="000000"/>
              </w:rPr>
            </w:pPr>
          </w:p>
          <w:p w14:paraId="437BD8D8" w14:textId="77777777" w:rsidR="004017CB" w:rsidRDefault="004017CB">
            <w:pPr>
              <w:keepNext/>
              <w:keepLines/>
              <w:widowControl/>
              <w:pBdr>
                <w:top w:val="nil"/>
                <w:left w:val="nil"/>
                <w:bottom w:val="nil"/>
                <w:right w:val="nil"/>
                <w:between w:val="nil"/>
              </w:pBdr>
              <w:jc w:val="both"/>
              <w:rPr>
                <w:rFonts w:ascii="Times New Roman" w:eastAsia="Times New Roman" w:hAnsi="Times New Roman" w:cs="Times New Roman"/>
                <w:b/>
                <w:color w:val="000000"/>
              </w:rPr>
            </w:pPr>
          </w:p>
          <w:p w14:paraId="013AA7FF" w14:textId="77777777" w:rsidR="004017CB" w:rsidRDefault="004017CB">
            <w:pPr>
              <w:keepNext/>
              <w:keepLines/>
              <w:widowControl/>
              <w:pBdr>
                <w:top w:val="nil"/>
                <w:left w:val="nil"/>
                <w:bottom w:val="nil"/>
                <w:right w:val="nil"/>
                <w:between w:val="nil"/>
              </w:pBdr>
              <w:jc w:val="both"/>
              <w:rPr>
                <w:rFonts w:ascii="Times New Roman" w:eastAsia="Times New Roman" w:hAnsi="Times New Roman" w:cs="Times New Roman"/>
                <w:b/>
                <w:color w:val="000000"/>
              </w:rPr>
            </w:pPr>
          </w:p>
          <w:p w14:paraId="424B86BA" w14:textId="77777777" w:rsidR="004017CB" w:rsidRDefault="004017CB">
            <w:pPr>
              <w:keepNext/>
              <w:keepLines/>
              <w:widowControl/>
              <w:pBdr>
                <w:top w:val="nil"/>
                <w:left w:val="nil"/>
                <w:bottom w:val="nil"/>
                <w:right w:val="nil"/>
                <w:between w:val="nil"/>
              </w:pBdr>
              <w:jc w:val="both"/>
              <w:rPr>
                <w:rFonts w:ascii="Times New Roman" w:eastAsia="Times New Roman" w:hAnsi="Times New Roman" w:cs="Times New Roman"/>
                <w:b/>
                <w:color w:val="000000"/>
              </w:rPr>
            </w:pPr>
          </w:p>
          <w:p w14:paraId="667C6409" w14:textId="6C435F20" w:rsidR="004017CB" w:rsidRDefault="00270803">
            <w:pPr>
              <w:keepNext/>
              <w:keepLines/>
              <w:widowControl/>
              <w:pBdr>
                <w:top w:val="nil"/>
                <w:left w:val="nil"/>
                <w:bottom w:val="nil"/>
                <w:right w:val="nil"/>
                <w:between w:val="nil"/>
              </w:pBdr>
              <w:jc w:val="both"/>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Carmen Cecilia Martínez </w:t>
            </w:r>
          </w:p>
          <w:p w14:paraId="0DAD6D73" w14:textId="2DC08164" w:rsidR="004017CB" w:rsidRDefault="007F60C6">
            <w:pPr>
              <w:keepNext/>
              <w:keepLines/>
              <w:widowControl/>
              <w:pBdr>
                <w:top w:val="nil"/>
                <w:left w:val="nil"/>
                <w:bottom w:val="nil"/>
                <w:right w:val="nil"/>
                <w:between w:val="nil"/>
              </w:pBdr>
              <w:jc w:val="both"/>
              <w:rPr>
                <w:rFonts w:ascii="Times New Roman" w:eastAsia="Times New Roman" w:hAnsi="Times New Roman" w:cs="Times New Roman"/>
                <w:color w:val="000000"/>
              </w:rPr>
            </w:pPr>
            <w:bookmarkStart w:id="2" w:name="_30j0zll" w:colFirst="0" w:colLast="0"/>
            <w:bookmarkEnd w:id="2"/>
            <w:r>
              <w:rPr>
                <w:rFonts w:ascii="Times New Roman" w:eastAsia="Times New Roman" w:hAnsi="Times New Roman" w:cs="Times New Roman"/>
                <w:color w:val="000000"/>
              </w:rPr>
              <w:t xml:space="preserve">Regional </w:t>
            </w:r>
            <w:r w:rsidR="00270803">
              <w:rPr>
                <w:rFonts w:ascii="Times New Roman" w:eastAsia="Times New Roman" w:hAnsi="Times New Roman" w:cs="Times New Roman"/>
                <w:color w:val="000000"/>
              </w:rPr>
              <w:t>Manager</w:t>
            </w:r>
            <w:r>
              <w:rPr>
                <w:rFonts w:ascii="Times New Roman" w:eastAsia="Times New Roman" w:hAnsi="Times New Roman" w:cs="Times New Roman"/>
                <w:color w:val="000000"/>
              </w:rPr>
              <w:t xml:space="preserve"> for Latin America and the Caribbean, </w:t>
            </w:r>
          </w:p>
          <w:p w14:paraId="4D16AA19" w14:textId="5D66F591" w:rsidR="008E3B14" w:rsidRDefault="008E3B14">
            <w:pPr>
              <w:keepNext/>
              <w:keepLines/>
              <w:widowControl/>
              <w:pBdr>
                <w:top w:val="nil"/>
                <w:left w:val="nil"/>
                <w:bottom w:val="nil"/>
                <w:right w:val="nil"/>
                <w:between w:val="nil"/>
              </w:pBdr>
              <w:jc w:val="both"/>
              <w:rPr>
                <w:rFonts w:ascii="Times New Roman" w:eastAsia="Times New Roman" w:hAnsi="Times New Roman" w:cs="Times New Roman"/>
                <w:color w:val="000000"/>
                <w:sz w:val="24"/>
                <w:szCs w:val="24"/>
              </w:rPr>
            </w:pPr>
          </w:p>
        </w:tc>
      </w:tr>
    </w:tbl>
    <w:p w14:paraId="48FDC1E1" w14:textId="4067B8F0" w:rsidR="004017CB" w:rsidRDefault="007F60C6">
      <w:pPr>
        <w:widowControl/>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br/>
      </w:r>
    </w:p>
    <w:p w14:paraId="4A03BE3D" w14:textId="77777777" w:rsidR="004017CB" w:rsidRPr="00394C6E" w:rsidRDefault="007F60C6">
      <w:pPr>
        <w:widowControl/>
        <w:spacing w:after="0" w:line="240" w:lineRule="auto"/>
        <w:jc w:val="both"/>
        <w:rPr>
          <w:rFonts w:ascii="Times New Roman" w:eastAsia="Times New Roman" w:hAnsi="Times New Roman" w:cs="Times New Roman"/>
          <w:b/>
          <w:sz w:val="24"/>
          <w:szCs w:val="24"/>
        </w:rPr>
      </w:pPr>
      <w:r w:rsidRPr="00394C6E">
        <w:rPr>
          <w:rFonts w:ascii="Times New Roman" w:eastAsia="Times New Roman" w:hAnsi="Times New Roman" w:cs="Times New Roman"/>
          <w:b/>
          <w:sz w:val="24"/>
          <w:szCs w:val="24"/>
        </w:rPr>
        <w:t>Virginia Gomez de la Torre</w:t>
      </w:r>
    </w:p>
    <w:p w14:paraId="0CA5FA69" w14:textId="0C3A59E4" w:rsidR="004017CB" w:rsidRDefault="007F60C6">
      <w:pPr>
        <w:widowControl/>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President, </w:t>
      </w:r>
      <w:r w:rsidR="00394C6E">
        <w:rPr>
          <w:rFonts w:ascii="Times New Roman" w:eastAsia="Times New Roman" w:hAnsi="Times New Roman" w:cs="Times New Roman"/>
          <w:sz w:val="24"/>
          <w:szCs w:val="24"/>
        </w:rPr>
        <w:t xml:space="preserve">Fundación Desafío – Ecuador </w:t>
      </w:r>
    </w:p>
    <w:p w14:paraId="56845639" w14:textId="77777777" w:rsidR="004017CB" w:rsidRDefault="004017CB">
      <w:pPr>
        <w:widowControl/>
        <w:spacing w:after="0" w:line="240" w:lineRule="auto"/>
        <w:jc w:val="both"/>
        <w:rPr>
          <w:rFonts w:ascii="Times New Roman" w:eastAsia="Times New Roman" w:hAnsi="Times New Roman" w:cs="Times New Roman"/>
          <w:sz w:val="24"/>
          <w:szCs w:val="24"/>
        </w:rPr>
      </w:pPr>
    </w:p>
    <w:p w14:paraId="2DECBEDF" w14:textId="77777777" w:rsidR="004017CB" w:rsidRDefault="004017CB">
      <w:pPr>
        <w:widowControl/>
        <w:spacing w:after="0" w:line="240" w:lineRule="auto"/>
        <w:jc w:val="both"/>
        <w:rPr>
          <w:rFonts w:ascii="Times New Roman" w:eastAsia="Times New Roman" w:hAnsi="Times New Roman" w:cs="Times New Roman"/>
          <w:sz w:val="24"/>
          <w:szCs w:val="24"/>
        </w:rPr>
      </w:pPr>
    </w:p>
    <w:p w14:paraId="6E6335A5" w14:textId="77777777" w:rsidR="004017CB" w:rsidRPr="00394C6E" w:rsidRDefault="007F60C6">
      <w:pPr>
        <w:widowControl/>
        <w:spacing w:after="0" w:line="240" w:lineRule="auto"/>
        <w:jc w:val="both"/>
        <w:rPr>
          <w:rFonts w:ascii="Times New Roman" w:eastAsia="Times New Roman" w:hAnsi="Times New Roman" w:cs="Times New Roman"/>
          <w:b/>
          <w:sz w:val="24"/>
          <w:szCs w:val="24"/>
        </w:rPr>
      </w:pPr>
      <w:r w:rsidRPr="00394C6E">
        <w:rPr>
          <w:rFonts w:ascii="Times New Roman" w:eastAsia="Times New Roman" w:hAnsi="Times New Roman" w:cs="Times New Roman"/>
          <w:b/>
          <w:sz w:val="24"/>
          <w:szCs w:val="24"/>
        </w:rPr>
        <w:t xml:space="preserve">Heather Sayette </w:t>
      </w:r>
    </w:p>
    <w:p w14:paraId="6F0DE377" w14:textId="77777777" w:rsidR="004017CB" w:rsidRDefault="007F60C6">
      <w:pPr>
        <w:widowControl/>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Regional Program Director </w:t>
      </w:r>
    </w:p>
    <w:p w14:paraId="02DC350F" w14:textId="77777777" w:rsidR="004017CB" w:rsidRDefault="007F60C6">
      <w:pPr>
        <w:widowControl/>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Planned Parenthood Global </w:t>
      </w:r>
    </w:p>
    <w:p w14:paraId="54EC386B" w14:textId="77777777" w:rsidR="004017CB" w:rsidRDefault="004017CB">
      <w:pPr>
        <w:widowControl/>
        <w:spacing w:after="0" w:line="240" w:lineRule="auto"/>
        <w:jc w:val="both"/>
        <w:rPr>
          <w:rFonts w:ascii="Times New Roman" w:eastAsia="Times New Roman" w:hAnsi="Times New Roman" w:cs="Times New Roman"/>
          <w:sz w:val="24"/>
          <w:szCs w:val="24"/>
        </w:rPr>
      </w:pPr>
    </w:p>
    <w:p w14:paraId="053D5504" w14:textId="77777777" w:rsidR="004017CB" w:rsidRDefault="004017CB">
      <w:pPr>
        <w:widowControl/>
        <w:spacing w:after="0" w:line="240" w:lineRule="auto"/>
        <w:jc w:val="both"/>
        <w:rPr>
          <w:rFonts w:ascii="Times New Roman" w:eastAsia="Times New Roman" w:hAnsi="Times New Roman" w:cs="Times New Roman"/>
          <w:sz w:val="24"/>
          <w:szCs w:val="24"/>
        </w:rPr>
      </w:pPr>
    </w:p>
    <w:p w14:paraId="1CF33367" w14:textId="77777777" w:rsidR="004017CB" w:rsidRDefault="004017CB">
      <w:pPr>
        <w:widowControl/>
        <w:spacing w:after="0" w:line="240" w:lineRule="auto"/>
        <w:jc w:val="both"/>
        <w:rPr>
          <w:rFonts w:ascii="Times New Roman" w:eastAsia="Times New Roman" w:hAnsi="Times New Roman" w:cs="Times New Roman"/>
          <w:sz w:val="24"/>
          <w:szCs w:val="24"/>
        </w:rPr>
      </w:pPr>
    </w:p>
    <w:sectPr w:rsidR="004017CB" w:rsidSect="000E0784">
      <w:headerReference w:type="default" r:id="rId8"/>
      <w:footerReference w:type="default" r:id="rId9"/>
      <w:pgSz w:w="12240" w:h="15840"/>
      <w:pgMar w:top="2070" w:right="1440" w:bottom="1440" w:left="1440" w:header="720" w:footer="99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2881DB3" w14:textId="77777777" w:rsidR="007F60C6" w:rsidRDefault="007F60C6">
      <w:pPr>
        <w:spacing w:after="0" w:line="240" w:lineRule="auto"/>
      </w:pPr>
      <w:r>
        <w:separator/>
      </w:r>
    </w:p>
  </w:endnote>
  <w:endnote w:type="continuationSeparator" w:id="0">
    <w:p w14:paraId="6D0AAD7E" w14:textId="77777777" w:rsidR="007F60C6" w:rsidRDefault="007F60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88ED6E" w14:textId="77777777" w:rsidR="004017CB" w:rsidRDefault="007F60C6">
    <w:pPr>
      <w:pBdr>
        <w:top w:val="nil"/>
        <w:left w:val="nil"/>
        <w:bottom w:val="nil"/>
        <w:right w:val="nil"/>
        <w:between w:val="nil"/>
      </w:pBdr>
      <w:tabs>
        <w:tab w:val="center" w:pos="4680"/>
        <w:tab w:val="right" w:pos="9360"/>
      </w:tabs>
      <w:spacing w:after="0" w:line="240" w:lineRule="auto"/>
      <w:jc w:val="right"/>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fldChar w:fldCharType="begin"/>
    </w:r>
    <w:r>
      <w:rPr>
        <w:rFonts w:ascii="Times New Roman" w:eastAsia="Times New Roman" w:hAnsi="Times New Roman" w:cs="Times New Roman"/>
        <w:color w:val="000000"/>
        <w:sz w:val="18"/>
        <w:szCs w:val="18"/>
      </w:rPr>
      <w:instrText>PAGE</w:instrText>
    </w:r>
    <w:r>
      <w:rPr>
        <w:rFonts w:ascii="Times New Roman" w:eastAsia="Times New Roman" w:hAnsi="Times New Roman" w:cs="Times New Roman"/>
        <w:color w:val="000000"/>
        <w:sz w:val="18"/>
        <w:szCs w:val="18"/>
      </w:rPr>
      <w:fldChar w:fldCharType="separate"/>
    </w:r>
    <w:r w:rsidR="00D32692">
      <w:rPr>
        <w:rFonts w:ascii="Times New Roman" w:eastAsia="Times New Roman" w:hAnsi="Times New Roman" w:cs="Times New Roman"/>
        <w:noProof/>
        <w:color w:val="000000"/>
        <w:sz w:val="18"/>
        <w:szCs w:val="18"/>
      </w:rPr>
      <w:t>1</w:t>
    </w:r>
    <w:r>
      <w:rPr>
        <w:rFonts w:ascii="Times New Roman" w:eastAsia="Times New Roman" w:hAnsi="Times New Roman" w:cs="Times New Roman"/>
        <w:color w:val="000000"/>
        <w:sz w:val="18"/>
        <w:szCs w:val="18"/>
      </w:rPr>
      <w:fldChar w:fldCharType="end"/>
    </w:r>
  </w:p>
  <w:p w14:paraId="33095746" w14:textId="77777777" w:rsidR="004017CB" w:rsidRDefault="004017CB">
    <w:pPr>
      <w:pBdr>
        <w:top w:val="nil"/>
        <w:left w:val="nil"/>
        <w:bottom w:val="nil"/>
        <w:right w:val="nil"/>
        <w:between w:val="nil"/>
      </w:pBdr>
      <w:tabs>
        <w:tab w:val="center" w:pos="4680"/>
        <w:tab w:val="right" w:pos="9360"/>
      </w:tabs>
      <w:spacing w:after="0" w:line="240" w:lineRule="auto"/>
      <w:rPr>
        <w:rFonts w:ascii="Times New Roman" w:eastAsia="Times New Roman" w:hAnsi="Times New Roman" w:cs="Times New Roman"/>
        <w:color w:val="00000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C6AE98E" w14:textId="77777777" w:rsidR="007F60C6" w:rsidRDefault="007F60C6">
      <w:pPr>
        <w:spacing w:after="0" w:line="240" w:lineRule="auto"/>
      </w:pPr>
      <w:r>
        <w:separator/>
      </w:r>
    </w:p>
  </w:footnote>
  <w:footnote w:type="continuationSeparator" w:id="0">
    <w:p w14:paraId="5EB21A7F" w14:textId="77777777" w:rsidR="007F60C6" w:rsidRDefault="007F60C6">
      <w:pPr>
        <w:spacing w:after="0" w:line="240" w:lineRule="auto"/>
      </w:pPr>
      <w:r>
        <w:continuationSeparator/>
      </w:r>
    </w:p>
  </w:footnote>
  <w:footnote w:id="1">
    <w:p w14:paraId="1D2D6D5F" w14:textId="77777777" w:rsidR="004017CB" w:rsidRDefault="007F60C6">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G.A. Res. 2200A (XXI), International Covenant on Economic, Social and Cultural Rights (Dec. 16, 1966), which was ratified by Ecuador in 1969. </w:t>
      </w:r>
    </w:p>
  </w:footnote>
  <w:footnote w:id="2">
    <w:p w14:paraId="72C98ED4" w14:textId="77777777" w:rsidR="004017CB" w:rsidRPr="00D32692" w:rsidRDefault="007F60C6">
      <w:pPr>
        <w:pBdr>
          <w:top w:val="nil"/>
          <w:left w:val="nil"/>
          <w:bottom w:val="nil"/>
          <w:right w:val="nil"/>
          <w:between w:val="nil"/>
        </w:pBdr>
        <w:spacing w:after="0" w:line="240" w:lineRule="auto"/>
        <w:rPr>
          <w:rFonts w:ascii="Times New Roman" w:eastAsia="Times New Roman" w:hAnsi="Times New Roman" w:cs="Times New Roman"/>
          <w:color w:val="000000"/>
          <w:sz w:val="18"/>
          <w:szCs w:val="18"/>
          <w:lang w:val="es-EC"/>
        </w:rPr>
      </w:pPr>
      <w:r>
        <w:rPr>
          <w:vertAlign w:val="superscript"/>
        </w:rPr>
        <w:footnoteRef/>
      </w:r>
      <w:r w:rsidRPr="00D32692">
        <w:rPr>
          <w:rFonts w:ascii="Times New Roman" w:eastAsia="Times New Roman" w:hAnsi="Times New Roman" w:cs="Times New Roman"/>
          <w:color w:val="000000"/>
          <w:sz w:val="18"/>
          <w:szCs w:val="18"/>
          <w:lang w:val="es-EC"/>
        </w:rPr>
        <w:t xml:space="preserve"> Código Orgánico Integral Penal (2014), art. 150.</w:t>
      </w:r>
    </w:p>
  </w:footnote>
  <w:footnote w:id="3">
    <w:p w14:paraId="3979597F" w14:textId="77777777" w:rsidR="004017CB" w:rsidRDefault="007F60C6">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Paulina del Carmen Ramírez Jacinto v. Mexico, Friendly settlement, Petition 161-02, Inter-Am. Comm’n H.R., Report No. 21/07, OEA/Ser.L/V/II.130, doc.22 rev.1 (2007).</w:t>
      </w:r>
    </w:p>
  </w:footnote>
  <w:footnote w:id="4">
    <w:p w14:paraId="7F6B27FD" w14:textId="77777777" w:rsidR="004017CB" w:rsidRDefault="007F60C6">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CEDAW, art. 12</w:t>
      </w:r>
    </w:p>
  </w:footnote>
  <w:footnote w:id="5">
    <w:p w14:paraId="4CEA005B" w14:textId="77777777" w:rsidR="004017CB" w:rsidRDefault="007F60C6">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CEDAW Committee, General Recommendation No. 24 on women and health, UN Doc. A/54/38/Rev.1 (1999), para. 17.</w:t>
      </w:r>
    </w:p>
  </w:footnote>
  <w:footnote w:id="6">
    <w:p w14:paraId="481C8F2E" w14:textId="77777777" w:rsidR="004017CB" w:rsidRDefault="007F60C6">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CEDAW Committee concluding observations on Honduras, UN Doc. CEDAW/C/HND/CO/7-8 (2016); Chile, UN Doc. CEDAW/C/CHL/CO/7 (2018); Argentina, UN Doc. CEDAW/C/ARG/CO/7 (2016).</w:t>
      </w:r>
    </w:p>
  </w:footnote>
  <w:footnote w:id="7">
    <w:p w14:paraId="0AADB5AD" w14:textId="77777777" w:rsidR="004017CB" w:rsidRDefault="007F60C6">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Report of the UN Special Rapporteur on the Right to Health, UN Doc. A/66/254, para. 65(h).</w:t>
      </w:r>
    </w:p>
  </w:footnote>
  <w:footnote w:id="8">
    <w:p w14:paraId="451F58C8" w14:textId="77777777" w:rsidR="004017CB" w:rsidRDefault="007F60C6">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Ibid., para. 36.</w:t>
      </w:r>
    </w:p>
  </w:footnote>
  <w:footnote w:id="9">
    <w:p w14:paraId="5E9DCD91" w14:textId="77777777" w:rsidR="004017CB" w:rsidRDefault="007F60C6">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World Health Organization (WHO), </w:t>
      </w:r>
      <w:r>
        <w:rPr>
          <w:rFonts w:ascii="Times New Roman" w:eastAsia="Times New Roman" w:hAnsi="Times New Roman" w:cs="Times New Roman"/>
          <w:i/>
          <w:color w:val="000000"/>
          <w:sz w:val="18"/>
          <w:szCs w:val="18"/>
        </w:rPr>
        <w:t xml:space="preserve"> </w:t>
      </w:r>
      <w:r>
        <w:rPr>
          <w:rFonts w:ascii="Times New Roman" w:eastAsia="Times New Roman" w:hAnsi="Times New Roman" w:cs="Times New Roman"/>
          <w:color w:val="000000"/>
          <w:sz w:val="18"/>
          <w:szCs w:val="18"/>
          <w:u w:val="single"/>
        </w:rPr>
        <w:t>Adolescent Pregnancy, Fact Sheet No. 364</w:t>
      </w:r>
      <w:r>
        <w:rPr>
          <w:rFonts w:ascii="Times New Roman" w:eastAsia="Times New Roman" w:hAnsi="Times New Roman" w:cs="Times New Roman"/>
          <w:color w:val="000000"/>
          <w:sz w:val="18"/>
          <w:szCs w:val="18"/>
        </w:rPr>
        <w:t xml:space="preserve"> (Sept. 2014), http://www.who.int/mediacentre/factsheets/fs364/en/; World Health Organization (WHO), </w:t>
      </w:r>
      <w:r>
        <w:rPr>
          <w:rFonts w:ascii="Times New Roman" w:eastAsia="Times New Roman" w:hAnsi="Times New Roman" w:cs="Times New Roman"/>
          <w:color w:val="000000"/>
          <w:sz w:val="18"/>
          <w:szCs w:val="18"/>
          <w:u w:val="single"/>
        </w:rPr>
        <w:t>Pregnant Adolescents: Delivering on Global Promises of Hope</w:t>
      </w:r>
      <w:r>
        <w:rPr>
          <w:rFonts w:ascii="Times New Roman" w:eastAsia="Times New Roman" w:hAnsi="Times New Roman" w:cs="Times New Roman"/>
          <w:color w:val="000000"/>
          <w:sz w:val="18"/>
          <w:szCs w:val="18"/>
        </w:rPr>
        <w:t xml:space="preserve">, 10 (2006), http://apps.who.int/iris/bitstream/10665/43368/1/9241593784_eng.pdf. </w:t>
      </w:r>
    </w:p>
  </w:footnote>
  <w:footnote w:id="10">
    <w:p w14:paraId="66E41681" w14:textId="77777777" w:rsidR="004017CB" w:rsidRDefault="007F60C6">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18"/>
          <w:szCs w:val="18"/>
          <w:u w:val="single"/>
        </w:rPr>
        <w:t>Adolescent Pregnancy, Fact Sheet No. 364</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18"/>
          <w:szCs w:val="18"/>
          <w:u w:val="single"/>
        </w:rPr>
        <w:t>supra</w:t>
      </w:r>
      <w:r>
        <w:rPr>
          <w:rFonts w:ascii="Times New Roman" w:eastAsia="Times New Roman" w:hAnsi="Times New Roman" w:cs="Times New Roman"/>
          <w:color w:val="000000"/>
          <w:sz w:val="18"/>
          <w:szCs w:val="18"/>
        </w:rPr>
        <w:t xml:space="preserve">.  </w:t>
      </w:r>
    </w:p>
  </w:footnote>
  <w:footnote w:id="11">
    <w:p w14:paraId="5740431B" w14:textId="77777777" w:rsidR="004017CB" w:rsidRDefault="007F60C6">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18"/>
          <w:szCs w:val="18"/>
          <w:u w:val="single"/>
        </w:rPr>
        <w:t>Id.</w:t>
      </w:r>
    </w:p>
  </w:footnote>
  <w:footnote w:id="12">
    <w:p w14:paraId="575B4065" w14:textId="155F51EA" w:rsidR="004017CB" w:rsidRDefault="007F60C6">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w:t>
      </w:r>
      <w:r w:rsidR="006F2055">
        <w:rPr>
          <w:rFonts w:ascii="Times New Roman" w:eastAsia="Times New Roman" w:hAnsi="Times New Roman" w:cs="Times New Roman"/>
          <w:color w:val="000000"/>
          <w:sz w:val="18"/>
          <w:szCs w:val="18"/>
          <w:u w:val="single"/>
        </w:rPr>
        <w:t>Pregnant Adolescents</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18"/>
          <w:szCs w:val="18"/>
          <w:u w:val="single"/>
        </w:rPr>
        <w:t>supra</w:t>
      </w:r>
      <w:r>
        <w:rPr>
          <w:rFonts w:ascii="Times New Roman" w:eastAsia="Times New Roman" w:hAnsi="Times New Roman" w:cs="Times New Roman"/>
          <w:color w:val="000000"/>
          <w:sz w:val="18"/>
          <w:szCs w:val="18"/>
        </w:rPr>
        <w:t xml:space="preserve"> note 54.</w:t>
      </w:r>
    </w:p>
  </w:footnote>
  <w:footnote w:id="13">
    <w:p w14:paraId="62C23782" w14:textId="77777777" w:rsidR="004017CB" w:rsidRDefault="007F60C6">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World Health Organization (WHO), </w:t>
      </w:r>
      <w:r>
        <w:rPr>
          <w:rFonts w:ascii="Times New Roman" w:eastAsia="Times New Roman" w:hAnsi="Times New Roman" w:cs="Times New Roman"/>
          <w:color w:val="000000"/>
          <w:sz w:val="18"/>
          <w:szCs w:val="18"/>
          <w:u w:val="single"/>
        </w:rPr>
        <w:t>Unsafe Abortion: Global and Regional Estimates of the Incidence of Unsafe Abortion and Associated Mortality in 2008</w:t>
      </w:r>
      <w:r>
        <w:rPr>
          <w:rFonts w:ascii="Times New Roman" w:eastAsia="Times New Roman" w:hAnsi="Times New Roman" w:cs="Times New Roman"/>
          <w:smallCaps/>
          <w:color w:val="000000"/>
          <w:sz w:val="18"/>
          <w:szCs w:val="18"/>
        </w:rPr>
        <w:t xml:space="preserve">, </w:t>
      </w:r>
      <w:r>
        <w:rPr>
          <w:rFonts w:ascii="Times New Roman" w:eastAsia="Times New Roman" w:hAnsi="Times New Roman" w:cs="Times New Roman"/>
          <w:color w:val="000000"/>
          <w:sz w:val="18"/>
          <w:szCs w:val="18"/>
        </w:rPr>
        <w:t xml:space="preserve">6-7 (2011), http://apps.who.int/iris/bitstream/10665/44529/1/9789241501118_eng.pdf; World Health Organization (WHO),  </w:t>
      </w:r>
      <w:r>
        <w:rPr>
          <w:rFonts w:ascii="Times New Roman" w:eastAsia="Times New Roman" w:hAnsi="Times New Roman" w:cs="Times New Roman"/>
          <w:color w:val="000000"/>
          <w:sz w:val="18"/>
          <w:szCs w:val="18"/>
          <w:u w:val="single"/>
        </w:rPr>
        <w:t>Unsafe Abortion: The Preventable Pandemic</w:t>
      </w:r>
      <w:r>
        <w:rPr>
          <w:rFonts w:ascii="Times New Roman" w:eastAsia="Times New Roman" w:hAnsi="Times New Roman" w:cs="Times New Roman"/>
          <w:color w:val="000000"/>
          <w:sz w:val="18"/>
          <w:szCs w:val="18"/>
        </w:rPr>
        <w:t>, 4 (2006), http://www.who.int/reproductivehealth/topics/unsafe_abortion/article_unsafe_abortion.pdf.</w:t>
      </w:r>
    </w:p>
  </w:footnote>
  <w:footnote w:id="14">
    <w:p w14:paraId="4FD867BE" w14:textId="77777777" w:rsidR="004017CB" w:rsidRDefault="007F60C6">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18"/>
          <w:szCs w:val="18"/>
          <w:u w:val="single"/>
        </w:rPr>
        <w:t>Unsafe Abortion</w:t>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18"/>
          <w:szCs w:val="18"/>
          <w:u w:val="single"/>
        </w:rPr>
        <w:t>supra</w:t>
      </w:r>
      <w:r>
        <w:rPr>
          <w:rFonts w:ascii="Times New Roman" w:eastAsia="Times New Roman" w:hAnsi="Times New Roman" w:cs="Times New Roman"/>
          <w:color w:val="000000"/>
          <w:sz w:val="18"/>
          <w:szCs w:val="18"/>
        </w:rPr>
        <w:t xml:space="preserve">. </w:t>
      </w:r>
    </w:p>
  </w:footnote>
  <w:footnote w:id="15">
    <w:p w14:paraId="3C10C4FB" w14:textId="77777777" w:rsidR="004017CB" w:rsidRDefault="007F60C6">
      <w:pPr>
        <w:widowControl/>
        <w:spacing w:after="0" w:line="240" w:lineRule="auto"/>
        <w:jc w:val="both"/>
        <w:rPr>
          <w:rFonts w:ascii="Times New Roman" w:eastAsia="Times New Roman" w:hAnsi="Times New Roman" w:cs="Times New Roman"/>
          <w:i/>
          <w:sz w:val="18"/>
          <w:szCs w:val="18"/>
        </w:rPr>
      </w:pPr>
      <w:r>
        <w:rPr>
          <w:vertAlign w:val="superscript"/>
        </w:rPr>
        <w:footnoteRef/>
      </w:r>
      <w:r>
        <w:rPr>
          <w:rFonts w:ascii="Times New Roman" w:eastAsia="Times New Roman" w:hAnsi="Times New Roman" w:cs="Times New Roman"/>
          <w:sz w:val="18"/>
          <w:szCs w:val="18"/>
        </w:rPr>
        <w:t xml:space="preserve"> </w:t>
      </w:r>
      <w:r>
        <w:rPr>
          <w:rFonts w:ascii="Times New Roman" w:eastAsia="Times New Roman" w:hAnsi="Times New Roman" w:cs="Times New Roman"/>
          <w:sz w:val="18"/>
          <w:szCs w:val="18"/>
          <w:u w:val="single"/>
        </w:rPr>
        <w:t>See, e.g.</w:t>
      </w:r>
      <w:r>
        <w:rPr>
          <w:rFonts w:ascii="Times New Roman" w:eastAsia="Times New Roman" w:hAnsi="Times New Roman" w:cs="Times New Roman"/>
          <w:sz w:val="18"/>
          <w:szCs w:val="18"/>
        </w:rPr>
        <w:t>, CESCR, Concluding Observations: Benin,</w:t>
      </w:r>
      <w:r>
        <w:rPr>
          <w:rFonts w:ascii="Times New Roman" w:eastAsia="Times New Roman" w:hAnsi="Times New Roman" w:cs="Times New Roman"/>
          <w:i/>
          <w:sz w:val="18"/>
          <w:szCs w:val="18"/>
        </w:rPr>
        <w:t xml:space="preserve"> </w:t>
      </w:r>
      <w:r>
        <w:rPr>
          <w:rFonts w:ascii="Times New Roman" w:eastAsia="Times New Roman" w:hAnsi="Times New Roman" w:cs="Times New Roman"/>
          <w:sz w:val="18"/>
          <w:szCs w:val="18"/>
        </w:rPr>
        <w:t>U.N. Doc. E/C.12/1/Add.78 (June 5, 2002); CESCR, Concluding Observations: Brazil,</w:t>
      </w:r>
      <w:r>
        <w:rPr>
          <w:rFonts w:ascii="Times New Roman" w:eastAsia="Times New Roman" w:hAnsi="Times New Roman" w:cs="Times New Roman"/>
          <w:i/>
          <w:sz w:val="18"/>
          <w:szCs w:val="18"/>
        </w:rPr>
        <w:t xml:space="preserve"> </w:t>
      </w:r>
      <w:r>
        <w:rPr>
          <w:rFonts w:ascii="Times New Roman" w:eastAsia="Times New Roman" w:hAnsi="Times New Roman" w:cs="Times New Roman"/>
          <w:sz w:val="18"/>
          <w:szCs w:val="18"/>
        </w:rPr>
        <w:t>U.N. Doc. E/C.12/1/Add.87 (June 26, 2003); CESCR, Concluding Observations: Cameroon,</w:t>
      </w:r>
      <w:r>
        <w:rPr>
          <w:rFonts w:ascii="Times New Roman" w:eastAsia="Times New Roman" w:hAnsi="Times New Roman" w:cs="Times New Roman"/>
          <w:i/>
          <w:sz w:val="18"/>
          <w:szCs w:val="18"/>
        </w:rPr>
        <w:t xml:space="preserve"> </w:t>
      </w:r>
      <w:r>
        <w:rPr>
          <w:rFonts w:ascii="Times New Roman" w:eastAsia="Times New Roman" w:hAnsi="Times New Roman" w:cs="Times New Roman"/>
          <w:sz w:val="18"/>
          <w:szCs w:val="18"/>
        </w:rPr>
        <w:t>U.N. Doc. E/C.12/1/Add.40 (Dec. 8, 1999);</w:t>
      </w:r>
      <w:r>
        <w:rPr>
          <w:rFonts w:ascii="Times New Roman" w:eastAsia="Times New Roman" w:hAnsi="Times New Roman" w:cs="Times New Roman"/>
          <w:i/>
          <w:sz w:val="18"/>
          <w:szCs w:val="18"/>
        </w:rPr>
        <w:t xml:space="preserve"> </w:t>
      </w:r>
      <w:r>
        <w:rPr>
          <w:rFonts w:ascii="Times New Roman" w:eastAsia="Times New Roman" w:hAnsi="Times New Roman" w:cs="Times New Roman"/>
          <w:sz w:val="18"/>
          <w:szCs w:val="18"/>
        </w:rPr>
        <w:t>CESCR, Concluding Observations: Mauritius,</w:t>
      </w:r>
      <w:r>
        <w:rPr>
          <w:rFonts w:ascii="Times New Roman" w:eastAsia="Times New Roman" w:hAnsi="Times New Roman" w:cs="Times New Roman"/>
          <w:i/>
          <w:sz w:val="18"/>
          <w:szCs w:val="18"/>
        </w:rPr>
        <w:t xml:space="preserve"> </w:t>
      </w:r>
      <w:r>
        <w:rPr>
          <w:rFonts w:ascii="Times New Roman" w:eastAsia="Times New Roman" w:hAnsi="Times New Roman" w:cs="Times New Roman"/>
          <w:sz w:val="18"/>
          <w:szCs w:val="18"/>
        </w:rPr>
        <w:t>U.N. Doc. E/C.12/1994/8 (May 31, 1994); CESCR, Concluding Observations: Mexico,</w:t>
      </w:r>
      <w:r>
        <w:rPr>
          <w:rFonts w:ascii="Times New Roman" w:eastAsia="Times New Roman" w:hAnsi="Times New Roman" w:cs="Times New Roman"/>
          <w:i/>
          <w:sz w:val="18"/>
          <w:szCs w:val="18"/>
        </w:rPr>
        <w:t xml:space="preserve"> </w:t>
      </w:r>
      <w:r>
        <w:rPr>
          <w:rFonts w:ascii="Times New Roman" w:eastAsia="Times New Roman" w:hAnsi="Times New Roman" w:cs="Times New Roman"/>
          <w:sz w:val="18"/>
          <w:szCs w:val="18"/>
        </w:rPr>
        <w:t>U.N. Doc. E/C.12/1/Add.41 (Dec. 8, 1999); U.N. Doc.</w:t>
      </w:r>
      <w:r>
        <w:rPr>
          <w:rFonts w:ascii="Times New Roman" w:eastAsia="Times New Roman" w:hAnsi="Times New Roman" w:cs="Times New Roman"/>
          <w:i/>
          <w:sz w:val="18"/>
          <w:szCs w:val="18"/>
        </w:rPr>
        <w:t xml:space="preserve"> </w:t>
      </w:r>
      <w:r>
        <w:rPr>
          <w:rFonts w:ascii="Times New Roman" w:eastAsia="Times New Roman" w:hAnsi="Times New Roman" w:cs="Times New Roman"/>
          <w:sz w:val="18"/>
          <w:szCs w:val="18"/>
        </w:rPr>
        <w:t>E/C.12/MEX/CO/4 (2006); CESCR, Concluding Observations: Nepal,</w:t>
      </w:r>
      <w:r>
        <w:rPr>
          <w:rFonts w:ascii="Times New Roman" w:eastAsia="Times New Roman" w:hAnsi="Times New Roman" w:cs="Times New Roman"/>
          <w:i/>
          <w:sz w:val="18"/>
          <w:szCs w:val="18"/>
        </w:rPr>
        <w:t xml:space="preserve"> </w:t>
      </w:r>
      <w:r>
        <w:rPr>
          <w:rFonts w:ascii="Times New Roman" w:eastAsia="Times New Roman" w:hAnsi="Times New Roman" w:cs="Times New Roman"/>
          <w:sz w:val="18"/>
          <w:szCs w:val="18"/>
        </w:rPr>
        <w:t>U.N. Doc. E/C.12/1/Add.66 (Sept. 24, 2001); CESCR, Concluding Observations: Panama,</w:t>
      </w:r>
      <w:r>
        <w:rPr>
          <w:rFonts w:ascii="Times New Roman" w:eastAsia="Times New Roman" w:hAnsi="Times New Roman" w:cs="Times New Roman"/>
          <w:i/>
          <w:sz w:val="18"/>
          <w:szCs w:val="18"/>
        </w:rPr>
        <w:t xml:space="preserve"> </w:t>
      </w:r>
      <w:r>
        <w:rPr>
          <w:rFonts w:ascii="Times New Roman" w:eastAsia="Times New Roman" w:hAnsi="Times New Roman" w:cs="Times New Roman"/>
          <w:sz w:val="18"/>
          <w:szCs w:val="18"/>
        </w:rPr>
        <w:t>U.N. Doc.</w:t>
      </w:r>
      <w:r>
        <w:rPr>
          <w:rFonts w:ascii="Times New Roman" w:eastAsia="Times New Roman" w:hAnsi="Times New Roman" w:cs="Times New Roman"/>
          <w:i/>
          <w:sz w:val="18"/>
          <w:szCs w:val="18"/>
        </w:rPr>
        <w:t xml:space="preserve"> </w:t>
      </w:r>
      <w:r>
        <w:rPr>
          <w:rFonts w:ascii="Times New Roman" w:eastAsia="Times New Roman" w:hAnsi="Times New Roman" w:cs="Times New Roman"/>
          <w:sz w:val="18"/>
          <w:szCs w:val="18"/>
        </w:rPr>
        <w:t>E/C.12/1/Add.64 (Sept. 24, 2001); CESCR, Concluding Observations: Paraguay,</w:t>
      </w:r>
      <w:r>
        <w:rPr>
          <w:rFonts w:ascii="Times New Roman" w:eastAsia="Times New Roman" w:hAnsi="Times New Roman" w:cs="Times New Roman"/>
          <w:i/>
          <w:sz w:val="18"/>
          <w:szCs w:val="18"/>
        </w:rPr>
        <w:t xml:space="preserve"> </w:t>
      </w:r>
      <w:r>
        <w:rPr>
          <w:rFonts w:ascii="Times New Roman" w:eastAsia="Times New Roman" w:hAnsi="Times New Roman" w:cs="Times New Roman"/>
          <w:sz w:val="18"/>
          <w:szCs w:val="18"/>
        </w:rPr>
        <w:t>U.N. Doc. E/C.12/PRY/CO/3 (Jan. 4, 2008); CESCR, Concluding Observations: Poland</w:t>
      </w:r>
      <w:r>
        <w:rPr>
          <w:rFonts w:ascii="Times New Roman" w:eastAsia="Times New Roman" w:hAnsi="Times New Roman" w:cs="Times New Roman"/>
          <w:i/>
          <w:sz w:val="18"/>
          <w:szCs w:val="18"/>
        </w:rPr>
        <w:t xml:space="preserve">, </w:t>
      </w:r>
      <w:r>
        <w:rPr>
          <w:rFonts w:ascii="Times New Roman" w:eastAsia="Times New Roman" w:hAnsi="Times New Roman" w:cs="Times New Roman"/>
          <w:sz w:val="18"/>
          <w:szCs w:val="18"/>
        </w:rPr>
        <w:t>U.N. Doc.</w:t>
      </w:r>
      <w:r>
        <w:rPr>
          <w:rFonts w:ascii="Times New Roman" w:eastAsia="Times New Roman" w:hAnsi="Times New Roman" w:cs="Times New Roman"/>
          <w:i/>
          <w:sz w:val="18"/>
          <w:szCs w:val="18"/>
        </w:rPr>
        <w:t xml:space="preserve"> </w:t>
      </w:r>
      <w:r>
        <w:rPr>
          <w:rFonts w:ascii="Times New Roman" w:eastAsia="Times New Roman" w:hAnsi="Times New Roman" w:cs="Times New Roman"/>
          <w:sz w:val="18"/>
          <w:szCs w:val="18"/>
        </w:rPr>
        <w:t>E/C.12/1/Add.26 (June 16, 1998); CESCR, Concluding Observations: Russian Federation,</w:t>
      </w:r>
      <w:r>
        <w:rPr>
          <w:rFonts w:ascii="Times New Roman" w:eastAsia="Times New Roman" w:hAnsi="Times New Roman" w:cs="Times New Roman"/>
          <w:i/>
          <w:sz w:val="18"/>
          <w:szCs w:val="18"/>
        </w:rPr>
        <w:t xml:space="preserve"> </w:t>
      </w:r>
      <w:r>
        <w:rPr>
          <w:rFonts w:ascii="Times New Roman" w:eastAsia="Times New Roman" w:hAnsi="Times New Roman" w:cs="Times New Roman"/>
          <w:sz w:val="18"/>
          <w:szCs w:val="18"/>
        </w:rPr>
        <w:t>U.N. Doc. E/C.12/1/Add.94 (Dec. 12, 2003); CESCR, Concluding Observations: Senegal,</w:t>
      </w:r>
      <w:r>
        <w:rPr>
          <w:rFonts w:ascii="Times New Roman" w:eastAsia="Times New Roman" w:hAnsi="Times New Roman" w:cs="Times New Roman"/>
          <w:i/>
          <w:sz w:val="18"/>
          <w:szCs w:val="18"/>
        </w:rPr>
        <w:t xml:space="preserve"> </w:t>
      </w:r>
      <w:r>
        <w:rPr>
          <w:rFonts w:ascii="Times New Roman" w:eastAsia="Times New Roman" w:hAnsi="Times New Roman" w:cs="Times New Roman"/>
          <w:sz w:val="18"/>
          <w:szCs w:val="18"/>
        </w:rPr>
        <w:t>U.N. Doc. E/C.12/1/Add.62 (Sept. 24, 2001).</w:t>
      </w:r>
    </w:p>
  </w:footnote>
  <w:footnote w:id="16">
    <w:p w14:paraId="6A61ACAB" w14:textId="77777777" w:rsidR="004017CB" w:rsidRDefault="007F60C6">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Pan American Health Organizations (PAHO) et al., accelerating Progress toward the reduction of Adolescent Pregnancy in Latin America and the Caribbean, 15 (2017), available at http://iris.paho.org/xmlui/bitstream/hand le/123456789/34493/9789275119761-eng.pdf?sequence=1&amp;isAllowed=y&amp;ua=1</w:t>
      </w:r>
    </w:p>
  </w:footnote>
  <w:footnote w:id="17">
    <w:p w14:paraId="402A1402" w14:textId="77777777" w:rsidR="004017CB" w:rsidRDefault="007F60C6">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Ibidem, pg. 26</w:t>
      </w:r>
    </w:p>
  </w:footnote>
  <w:footnote w:id="18">
    <w:p w14:paraId="294E5C2E" w14:textId="77777777" w:rsidR="004017CB" w:rsidRDefault="007F60C6">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WHO, Unsafe Abortion: Global and Regional Estimates of the Incidence of Unsafe Abortion and Associated Mortality in 2008 20 (2011), available at: </w:t>
      </w:r>
      <w:hyperlink r:id="rId1">
        <w:r>
          <w:rPr>
            <w:rFonts w:ascii="Times New Roman" w:eastAsia="Times New Roman" w:hAnsi="Times New Roman" w:cs="Times New Roman"/>
            <w:color w:val="0000FF"/>
            <w:sz w:val="18"/>
            <w:szCs w:val="18"/>
            <w:u w:val="single"/>
          </w:rPr>
          <w:t>http://whqlibdoc.who.int/publications/2011/9789241501118_eng.pdf</w:t>
        </w:r>
      </w:hyperlink>
    </w:p>
  </w:footnote>
  <w:footnote w:id="19">
    <w:p w14:paraId="3E33272E" w14:textId="77777777" w:rsidR="004017CB" w:rsidRDefault="007F60C6">
      <w:pPr>
        <w:pBdr>
          <w:top w:val="nil"/>
          <w:left w:val="nil"/>
          <w:bottom w:val="nil"/>
          <w:right w:val="nil"/>
          <w:between w:val="nil"/>
        </w:pBdr>
        <w:spacing w:after="0" w:line="240" w:lineRule="auto"/>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Informe MSECVI, available at: </w:t>
      </w:r>
      <w:hyperlink r:id="rId2">
        <w:r>
          <w:rPr>
            <w:rFonts w:ascii="Times New Roman" w:eastAsia="Times New Roman" w:hAnsi="Times New Roman" w:cs="Times New Roman"/>
            <w:color w:val="0000FF"/>
            <w:sz w:val="18"/>
            <w:szCs w:val="18"/>
            <w:u w:val="single"/>
          </w:rPr>
          <w:t>http://www.oas.org/es/mesecvi/docs/mesecviembarazoinfantil-es.pdf</w:t>
        </w:r>
      </w:hyperlink>
    </w:p>
  </w:footnote>
  <w:footnote w:id="20">
    <w:p w14:paraId="4B72DAB7" w14:textId="77777777" w:rsidR="004017CB" w:rsidRPr="00D32692" w:rsidRDefault="007F60C6">
      <w:pPr>
        <w:pBdr>
          <w:top w:val="nil"/>
          <w:left w:val="nil"/>
          <w:bottom w:val="nil"/>
          <w:right w:val="nil"/>
          <w:between w:val="nil"/>
        </w:pBdr>
        <w:spacing w:after="0" w:line="240" w:lineRule="auto"/>
        <w:rPr>
          <w:rFonts w:ascii="Times New Roman" w:eastAsia="Times New Roman" w:hAnsi="Times New Roman" w:cs="Times New Roman"/>
          <w:color w:val="000000"/>
          <w:sz w:val="18"/>
          <w:szCs w:val="18"/>
          <w:lang w:val="es-EC"/>
        </w:rPr>
      </w:pPr>
      <w:r>
        <w:rPr>
          <w:vertAlign w:val="superscript"/>
        </w:rPr>
        <w:footnoteRef/>
      </w:r>
      <w:r w:rsidRPr="00D32692">
        <w:rPr>
          <w:rFonts w:ascii="Times New Roman" w:eastAsia="Times New Roman" w:hAnsi="Times New Roman" w:cs="Times New Roman"/>
          <w:color w:val="000000"/>
          <w:sz w:val="18"/>
          <w:szCs w:val="18"/>
          <w:lang w:val="es-EC"/>
        </w:rPr>
        <w:t xml:space="preserve"> Estadísticas vitales, INEC, 2017</w:t>
      </w:r>
    </w:p>
  </w:footnote>
  <w:footnote w:id="21">
    <w:p w14:paraId="103D7181" w14:textId="77777777" w:rsidR="004017CB" w:rsidRPr="00D32692" w:rsidRDefault="007F60C6">
      <w:pPr>
        <w:pBdr>
          <w:top w:val="nil"/>
          <w:left w:val="nil"/>
          <w:bottom w:val="nil"/>
          <w:right w:val="nil"/>
          <w:between w:val="nil"/>
        </w:pBdr>
        <w:spacing w:after="0" w:line="240" w:lineRule="auto"/>
        <w:rPr>
          <w:rFonts w:ascii="Times New Roman" w:eastAsia="Times New Roman" w:hAnsi="Times New Roman" w:cs="Times New Roman"/>
          <w:color w:val="000000"/>
          <w:sz w:val="18"/>
          <w:szCs w:val="18"/>
          <w:lang w:val="es-EC"/>
        </w:rPr>
      </w:pPr>
      <w:r>
        <w:rPr>
          <w:vertAlign w:val="superscript"/>
        </w:rPr>
        <w:footnoteRef/>
      </w:r>
      <w:r w:rsidRPr="00D32692">
        <w:rPr>
          <w:rFonts w:ascii="Times New Roman" w:eastAsia="Times New Roman" w:hAnsi="Times New Roman" w:cs="Times New Roman"/>
          <w:color w:val="000000"/>
          <w:sz w:val="18"/>
          <w:szCs w:val="18"/>
          <w:lang w:val="es-EC"/>
        </w:rPr>
        <w:t xml:space="preserve"> PAHO et. al, accelerating Progress, supra 1, pg. 2.</w:t>
      </w:r>
    </w:p>
  </w:footnote>
  <w:footnote w:id="22">
    <w:p w14:paraId="20381F3B" w14:textId="77777777" w:rsidR="004017CB" w:rsidRPr="00181D0B" w:rsidRDefault="007F60C6">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lang w:val="es-EC"/>
        </w:rPr>
      </w:pPr>
      <w:r>
        <w:rPr>
          <w:vertAlign w:val="superscript"/>
        </w:rPr>
        <w:footnoteRef/>
      </w:r>
      <w:r w:rsidRPr="00181D0B">
        <w:rPr>
          <w:rFonts w:ascii="Times New Roman" w:eastAsia="Times New Roman" w:hAnsi="Times New Roman" w:cs="Times New Roman"/>
          <w:color w:val="000000"/>
          <w:sz w:val="18"/>
          <w:szCs w:val="18"/>
          <w:lang w:val="es-EC"/>
        </w:rPr>
        <w:t xml:space="preserve"> G.A. Res. 2200A (XXI), </w:t>
      </w:r>
      <w:r w:rsidRPr="00181D0B">
        <w:rPr>
          <w:rFonts w:ascii="Times New Roman" w:eastAsia="Times New Roman" w:hAnsi="Times New Roman" w:cs="Times New Roman"/>
          <w:color w:val="000000"/>
          <w:sz w:val="18"/>
          <w:szCs w:val="18"/>
          <w:u w:val="single"/>
          <w:lang w:val="es-EC"/>
        </w:rPr>
        <w:t>supra</w:t>
      </w:r>
      <w:r w:rsidRPr="00181D0B">
        <w:rPr>
          <w:rFonts w:ascii="Times New Roman" w:eastAsia="Times New Roman" w:hAnsi="Times New Roman" w:cs="Times New Roman"/>
          <w:color w:val="000000"/>
          <w:sz w:val="18"/>
          <w:szCs w:val="18"/>
          <w:lang w:val="es-EC"/>
        </w:rPr>
        <w:t xml:space="preserve"> note 1, art. 12.1.</w:t>
      </w:r>
    </w:p>
  </w:footnote>
  <w:footnote w:id="23">
    <w:p w14:paraId="2412EB35" w14:textId="77777777" w:rsidR="004017CB" w:rsidRPr="00181D0B" w:rsidRDefault="007F60C6">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lang w:val="es-EC"/>
        </w:rPr>
      </w:pPr>
      <w:r>
        <w:rPr>
          <w:vertAlign w:val="superscript"/>
        </w:rPr>
        <w:footnoteRef/>
      </w:r>
      <w:r w:rsidRPr="00181D0B">
        <w:rPr>
          <w:rFonts w:ascii="Times New Roman" w:eastAsia="Times New Roman" w:hAnsi="Times New Roman" w:cs="Times New Roman"/>
          <w:color w:val="000000"/>
          <w:sz w:val="18"/>
          <w:szCs w:val="18"/>
          <w:lang w:val="es-EC"/>
        </w:rPr>
        <w:t xml:space="preserve"> U.N. CESCR, General Com</w:t>
      </w:r>
      <w:bookmarkStart w:id="1" w:name="_GoBack"/>
      <w:bookmarkEnd w:id="1"/>
      <w:r w:rsidRPr="00181D0B">
        <w:rPr>
          <w:rFonts w:ascii="Times New Roman" w:eastAsia="Times New Roman" w:hAnsi="Times New Roman" w:cs="Times New Roman"/>
          <w:color w:val="000000"/>
          <w:sz w:val="18"/>
          <w:szCs w:val="18"/>
          <w:lang w:val="es-EC"/>
        </w:rPr>
        <w:t xml:space="preserve">ment No. 14, ¶ 8, U.N. Doc. E/C.12/2000/4 (Aug. 11, 2000). </w:t>
      </w:r>
    </w:p>
  </w:footnote>
  <w:footnote w:id="24">
    <w:p w14:paraId="04D622C1" w14:textId="77777777" w:rsidR="004017CB" w:rsidRDefault="007F60C6">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rPr>
      </w:pPr>
      <w:r>
        <w:rPr>
          <w:vertAlign w:val="superscript"/>
        </w:rPr>
        <w:footnoteRef/>
      </w:r>
      <w:r>
        <w:rPr>
          <w:rFonts w:ascii="Times New Roman" w:eastAsia="Times New Roman" w:hAnsi="Times New Roman" w:cs="Times New Roman"/>
          <w:color w:val="000000"/>
          <w:sz w:val="18"/>
          <w:szCs w:val="18"/>
        </w:rPr>
        <w:t xml:space="preserve"> </w:t>
      </w:r>
      <w:r>
        <w:rPr>
          <w:rFonts w:ascii="Times New Roman" w:eastAsia="Times New Roman" w:hAnsi="Times New Roman" w:cs="Times New Roman"/>
          <w:color w:val="000000"/>
          <w:sz w:val="18"/>
          <w:szCs w:val="18"/>
          <w:u w:val="single"/>
        </w:rPr>
        <w:t>Id.</w:t>
      </w:r>
      <w:r>
        <w:rPr>
          <w:rFonts w:ascii="Times New Roman" w:eastAsia="Times New Roman" w:hAnsi="Times New Roman" w:cs="Times New Roman"/>
          <w:color w:val="000000"/>
          <w:sz w:val="18"/>
          <w:szCs w:val="18"/>
        </w:rPr>
        <w:t xml:space="preserve"> ¶ 14 n.12, 11.</w:t>
      </w:r>
    </w:p>
  </w:footnote>
  <w:footnote w:id="25">
    <w:p w14:paraId="25FFF911" w14:textId="77777777" w:rsidR="004017CB" w:rsidRPr="008C2987" w:rsidRDefault="007F60C6">
      <w:pPr>
        <w:pBdr>
          <w:top w:val="nil"/>
          <w:left w:val="nil"/>
          <w:bottom w:val="nil"/>
          <w:right w:val="nil"/>
          <w:between w:val="nil"/>
        </w:pBdr>
        <w:spacing w:after="0" w:line="240" w:lineRule="auto"/>
        <w:jc w:val="both"/>
        <w:rPr>
          <w:rFonts w:ascii="Times New Roman" w:eastAsia="Times New Roman" w:hAnsi="Times New Roman" w:cs="Times New Roman"/>
          <w:i/>
          <w:color w:val="000000"/>
          <w:sz w:val="18"/>
          <w:szCs w:val="18"/>
          <w:lang w:val="es-419"/>
        </w:rPr>
      </w:pPr>
      <w:r>
        <w:rPr>
          <w:vertAlign w:val="superscript"/>
        </w:rPr>
        <w:footnoteRef/>
      </w:r>
      <w:r>
        <w:rPr>
          <w:rFonts w:ascii="Times New Roman" w:eastAsia="Times New Roman" w:hAnsi="Times New Roman" w:cs="Times New Roman"/>
          <w:color w:val="000000"/>
          <w:sz w:val="18"/>
          <w:szCs w:val="18"/>
        </w:rPr>
        <w:t xml:space="preserve"> U.N. CESCR, Advanced Unedited Version: General Comment No. 22, U.N. Doc. </w:t>
      </w:r>
      <w:r w:rsidRPr="008C2987">
        <w:rPr>
          <w:rFonts w:ascii="Times New Roman" w:eastAsia="Times New Roman" w:hAnsi="Times New Roman" w:cs="Times New Roman"/>
          <w:color w:val="000000"/>
          <w:sz w:val="18"/>
          <w:szCs w:val="18"/>
          <w:lang w:val="es-419"/>
        </w:rPr>
        <w:t>E/C.12/GC/22 (Mar. 4, 2016).</w:t>
      </w:r>
    </w:p>
  </w:footnote>
  <w:footnote w:id="26">
    <w:p w14:paraId="6802C86E" w14:textId="77777777" w:rsidR="004017CB" w:rsidRPr="008C2987" w:rsidRDefault="007F60C6">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lang w:val="es-419"/>
        </w:rPr>
      </w:pPr>
      <w:r>
        <w:rPr>
          <w:vertAlign w:val="superscript"/>
        </w:rPr>
        <w:footnoteRef/>
      </w:r>
      <w:r w:rsidRPr="008C2987">
        <w:rPr>
          <w:rFonts w:ascii="Times New Roman" w:eastAsia="Times New Roman" w:hAnsi="Times New Roman" w:cs="Times New Roman"/>
          <w:color w:val="000000"/>
          <w:sz w:val="18"/>
          <w:szCs w:val="18"/>
          <w:lang w:val="es-419"/>
        </w:rPr>
        <w:t xml:space="preserve"> </w:t>
      </w:r>
      <w:r w:rsidRPr="008C2987">
        <w:rPr>
          <w:rFonts w:ascii="Times New Roman" w:eastAsia="Times New Roman" w:hAnsi="Times New Roman" w:cs="Times New Roman"/>
          <w:color w:val="000000"/>
          <w:sz w:val="18"/>
          <w:szCs w:val="18"/>
          <w:u w:val="single"/>
          <w:lang w:val="es-419"/>
        </w:rPr>
        <w:t>Id.</w:t>
      </w:r>
      <w:r w:rsidRPr="008C2987">
        <w:rPr>
          <w:rFonts w:ascii="Times New Roman" w:eastAsia="Times New Roman" w:hAnsi="Times New Roman" w:cs="Times New Roman"/>
          <w:color w:val="000000"/>
          <w:sz w:val="18"/>
          <w:szCs w:val="18"/>
          <w:lang w:val="es-419"/>
        </w:rPr>
        <w:t xml:space="preserve"> art. 2.2.</w:t>
      </w:r>
    </w:p>
  </w:footnote>
  <w:footnote w:id="27">
    <w:p w14:paraId="4DD01A32" w14:textId="77777777" w:rsidR="004017CB" w:rsidRPr="00181D0B" w:rsidRDefault="007F60C6">
      <w:pPr>
        <w:pBdr>
          <w:top w:val="nil"/>
          <w:left w:val="nil"/>
          <w:bottom w:val="nil"/>
          <w:right w:val="nil"/>
          <w:between w:val="nil"/>
        </w:pBdr>
        <w:spacing w:after="0" w:line="240" w:lineRule="auto"/>
        <w:jc w:val="both"/>
        <w:rPr>
          <w:rFonts w:ascii="Times New Roman" w:eastAsia="Times New Roman" w:hAnsi="Times New Roman" w:cs="Times New Roman"/>
          <w:color w:val="000000"/>
          <w:sz w:val="18"/>
          <w:szCs w:val="18"/>
          <w:lang w:val="es-419"/>
        </w:rPr>
      </w:pPr>
      <w:r>
        <w:rPr>
          <w:vertAlign w:val="superscript"/>
        </w:rPr>
        <w:footnoteRef/>
      </w:r>
      <w:r w:rsidRPr="00181D0B">
        <w:rPr>
          <w:rFonts w:ascii="Times New Roman" w:eastAsia="Times New Roman" w:hAnsi="Times New Roman" w:cs="Times New Roman"/>
          <w:color w:val="000000"/>
          <w:sz w:val="18"/>
          <w:szCs w:val="18"/>
          <w:lang w:val="es-419"/>
        </w:rPr>
        <w:t xml:space="preserve"> U.N. CESCR, </w:t>
      </w:r>
      <w:r w:rsidRPr="00181D0B">
        <w:rPr>
          <w:rFonts w:ascii="Times New Roman" w:eastAsia="Times New Roman" w:hAnsi="Times New Roman" w:cs="Times New Roman"/>
          <w:color w:val="000000"/>
          <w:sz w:val="18"/>
          <w:szCs w:val="18"/>
          <w:u w:val="single"/>
          <w:lang w:val="es-419"/>
        </w:rPr>
        <w:t>supra</w:t>
      </w:r>
      <w:r w:rsidRPr="00181D0B">
        <w:rPr>
          <w:rFonts w:ascii="Times New Roman" w:eastAsia="Times New Roman" w:hAnsi="Times New Roman" w:cs="Times New Roman"/>
          <w:color w:val="000000"/>
          <w:sz w:val="18"/>
          <w:szCs w:val="18"/>
          <w:lang w:val="es-419"/>
        </w:rPr>
        <w:t xml:space="preserve"> note 94.</w:t>
      </w:r>
    </w:p>
  </w:footnote>
  <w:footnote w:id="28">
    <w:p w14:paraId="78B7920E" w14:textId="47AC8B36" w:rsidR="002C4425" w:rsidRPr="002C4425" w:rsidRDefault="002C4425">
      <w:pPr>
        <w:pStyle w:val="Textonotapie"/>
      </w:pPr>
      <w:r>
        <w:rPr>
          <w:rStyle w:val="Refdenotaalpie"/>
        </w:rPr>
        <w:footnoteRef/>
      </w:r>
      <w:r>
        <w:t xml:space="preserve"> </w:t>
      </w:r>
      <w:r w:rsidRPr="002C4425">
        <w:rPr>
          <w:rFonts w:ascii="Times New Roman" w:hAnsi="Times New Roman" w:cs="Times New Roman"/>
          <w:sz w:val="18"/>
          <w:szCs w:val="18"/>
        </w:rPr>
        <w:t>26% of those who suffer this kind of violence said they have attempted suicide.</w:t>
      </w:r>
      <w:r w:rsidRPr="002C4425">
        <w:rPr>
          <w:rFonts w:ascii="Times New Roman" w:hAnsi="Times New Roman" w:cs="Times New Roman"/>
          <w:sz w:val="18"/>
          <w:szCs w:val="18"/>
        </w:rPr>
        <w:t xml:space="preserve"> </w:t>
      </w:r>
      <w:r w:rsidRPr="002C4425">
        <w:rPr>
          <w:rFonts w:ascii="Times New Roman" w:hAnsi="Times New Roman" w:cs="Times New Roman"/>
          <w:sz w:val="18"/>
          <w:szCs w:val="18"/>
        </w:rPr>
        <w:t>(OP, World Vision and UNICEF, 2016)</w:t>
      </w:r>
    </w:p>
  </w:footnote>
  <w:footnote w:id="29">
    <w:p w14:paraId="3D678924" w14:textId="4FE132F6" w:rsidR="00ED7D8C" w:rsidRPr="00622535" w:rsidRDefault="00ED7D8C">
      <w:pPr>
        <w:pStyle w:val="Textonotapie"/>
      </w:pPr>
      <w:r>
        <w:rPr>
          <w:rStyle w:val="Refdenotaalpie"/>
        </w:rPr>
        <w:footnoteRef/>
      </w:r>
      <w:r>
        <w:t xml:space="preserve"> </w:t>
      </w:r>
      <w:r w:rsidRPr="00A466B6">
        <w:rPr>
          <w:rFonts w:ascii="Times New Roman" w:hAnsi="Times New Roman" w:cs="Times New Roman"/>
          <w:sz w:val="18"/>
          <w:szCs w:val="18"/>
        </w:rPr>
        <w:t xml:space="preserve">Inter American Commission on Human Rights. </w:t>
      </w:r>
      <w:r w:rsidR="00622535" w:rsidRPr="00A466B6">
        <w:rPr>
          <w:rFonts w:ascii="Times New Roman" w:hAnsi="Times New Roman" w:cs="Times New Roman"/>
          <w:sz w:val="18"/>
          <w:szCs w:val="18"/>
        </w:rPr>
        <w:t xml:space="preserve">Paola Guzmán Abarracín c. Ecuador Merits Report. Available at: </w:t>
      </w:r>
      <w:hyperlink r:id="rId3" w:history="1">
        <w:r w:rsidR="00622535" w:rsidRPr="00A466B6">
          <w:rPr>
            <w:rFonts w:ascii="Times New Roman" w:hAnsi="Times New Roman" w:cs="Times New Roman"/>
            <w:sz w:val="18"/>
            <w:szCs w:val="18"/>
          </w:rPr>
          <w:t>https://www.oas.org/es/cidh/decisiones/corte/2019/12678FondoEs.pdf</w:t>
        </w:r>
      </w:hyperlink>
      <w:r w:rsidR="00A466B6">
        <w:rPr>
          <w:rFonts w:ascii="Times New Roman" w:hAnsi="Times New Roman" w:cs="Times New Roman"/>
          <w:sz w:val="18"/>
          <w:szCs w:val="18"/>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099666" w14:textId="5327D6D3" w:rsidR="004017CB" w:rsidRDefault="000E0784">
    <w:pPr>
      <w:widowControl/>
      <w:tabs>
        <w:tab w:val="right" w:pos="7429"/>
      </w:tabs>
      <w:spacing w:after="0" w:line="240" w:lineRule="auto"/>
      <w:rPr>
        <w:sz w:val="20"/>
        <w:szCs w:val="20"/>
      </w:rPr>
    </w:pPr>
    <w:r>
      <w:rPr>
        <w:noProof/>
      </w:rPr>
      <w:drawing>
        <wp:anchor distT="0" distB="0" distL="0" distR="0" simplePos="0" relativeHeight="251658240" behindDoc="0" locked="0" layoutInCell="1" hidden="0" allowOverlap="1" wp14:anchorId="195E042C" wp14:editId="68FB25EB">
          <wp:simplePos x="0" y="0"/>
          <wp:positionH relativeFrom="column">
            <wp:posOffset>4191000</wp:posOffset>
          </wp:positionH>
          <wp:positionV relativeFrom="paragraph">
            <wp:posOffset>-3810</wp:posOffset>
          </wp:positionV>
          <wp:extent cx="1804988" cy="1050017"/>
          <wp:effectExtent l="0" t="0" r="0" b="0"/>
          <wp:wrapSquare wrapText="bothSides" distT="0" distB="0" distL="0" distR="0"/>
          <wp:docPr id="2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1804988" cy="1050017"/>
                  </a:xfrm>
                  <a:prstGeom prst="rect">
                    <a:avLst/>
                  </a:prstGeom>
                  <a:ln/>
                </pic:spPr>
              </pic:pic>
            </a:graphicData>
          </a:graphic>
        </wp:anchor>
      </w:drawing>
    </w:r>
    <w:r>
      <w:rPr>
        <w:noProof/>
      </w:rPr>
      <w:drawing>
        <wp:anchor distT="0" distB="0" distL="114300" distR="114300" simplePos="0" relativeHeight="251659264" behindDoc="1" locked="0" layoutInCell="1" allowOverlap="1" wp14:anchorId="3B14D7A1" wp14:editId="08749FAA">
          <wp:simplePos x="0" y="0"/>
          <wp:positionH relativeFrom="column">
            <wp:posOffset>2266315</wp:posOffset>
          </wp:positionH>
          <wp:positionV relativeFrom="page">
            <wp:posOffset>171450</wp:posOffset>
          </wp:positionV>
          <wp:extent cx="1698625" cy="1718038"/>
          <wp:effectExtent l="0" t="0" r="0" b="0"/>
          <wp:wrapNone/>
          <wp:docPr id="2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98625" cy="1718038"/>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1" locked="0" layoutInCell="1" allowOverlap="1" wp14:anchorId="78DA7EE7" wp14:editId="497CC116">
          <wp:simplePos x="0" y="0"/>
          <wp:positionH relativeFrom="column">
            <wp:posOffset>276225</wp:posOffset>
          </wp:positionH>
          <wp:positionV relativeFrom="page">
            <wp:posOffset>457200</wp:posOffset>
          </wp:positionV>
          <wp:extent cx="1600200" cy="1133475"/>
          <wp:effectExtent l="0" t="0" r="0" b="9525"/>
          <wp:wrapTopAndBottom/>
          <wp:docPr id="26"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3">
                    <a:extLst>
                      <a:ext uri="{28A0092B-C50C-407E-A947-70E740481C1C}">
                        <a14:useLocalDpi xmlns:a14="http://schemas.microsoft.com/office/drawing/2010/main" val="0"/>
                      </a:ext>
                    </a:extLst>
                  </a:blip>
                  <a:srcRect/>
                  <a:stretch>
                    <a:fillRect/>
                  </a:stretch>
                </pic:blipFill>
                <pic:spPr>
                  <a:xfrm>
                    <a:off x="0" y="0"/>
                    <a:ext cx="1600200" cy="1133475"/>
                  </a:xfrm>
                  <a:prstGeom prst="rect">
                    <a:avLst/>
                  </a:prstGeom>
                  <a:ln/>
                </pic:spPr>
              </pic:pic>
            </a:graphicData>
          </a:graphic>
          <wp14:sizeRelH relativeFrom="margin">
            <wp14:pctWidth>0</wp14:pctWidth>
          </wp14:sizeRelH>
          <wp14:sizeRelV relativeFrom="margin">
            <wp14:pctHeight>0</wp14:pctHeight>
          </wp14:sizeRelV>
        </wp:anchor>
      </w:drawing>
    </w:r>
    <w:r w:rsidR="007F60C6">
      <w:tab/>
    </w:r>
  </w:p>
  <w:p w14:paraId="39DBAEAE" w14:textId="77777777" w:rsidR="004017CB" w:rsidRDefault="004017CB">
    <w:pPr>
      <w:spacing w:after="0" w:line="240" w:lineRule="auto"/>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B4F7BCE"/>
    <w:multiLevelType w:val="multilevel"/>
    <w:tmpl w:val="E0FCCA80"/>
    <w:lvl w:ilvl="0">
      <w:start w:val="1"/>
      <w:numFmt w:val="bullet"/>
      <w:lvlText w:val="●"/>
      <w:lvlJc w:val="left"/>
      <w:pPr>
        <w:ind w:left="0" w:hanging="360"/>
      </w:pPr>
      <w:rPr>
        <w:rFonts w:ascii="Noto Sans Symbols" w:eastAsia="Noto Sans Symbols" w:hAnsi="Noto Sans Symbols" w:cs="Noto Sans Symbols"/>
      </w:rPr>
    </w:lvl>
    <w:lvl w:ilvl="1">
      <w:start w:val="1"/>
      <w:numFmt w:val="bullet"/>
      <w:lvlText w:val="o"/>
      <w:lvlJc w:val="left"/>
      <w:pPr>
        <w:ind w:left="720" w:hanging="360"/>
      </w:pPr>
      <w:rPr>
        <w:rFonts w:ascii="Courier New" w:eastAsia="Courier New" w:hAnsi="Courier New" w:cs="Courier New"/>
      </w:rPr>
    </w:lvl>
    <w:lvl w:ilvl="2">
      <w:start w:val="1"/>
      <w:numFmt w:val="bullet"/>
      <w:lvlText w:val="▪"/>
      <w:lvlJc w:val="left"/>
      <w:pPr>
        <w:ind w:left="1440" w:hanging="360"/>
      </w:pPr>
      <w:rPr>
        <w:rFonts w:ascii="Noto Sans Symbols" w:eastAsia="Noto Sans Symbols" w:hAnsi="Noto Sans Symbols" w:cs="Noto Sans Symbols"/>
      </w:rPr>
    </w:lvl>
    <w:lvl w:ilvl="3">
      <w:start w:val="1"/>
      <w:numFmt w:val="bullet"/>
      <w:lvlText w:val="●"/>
      <w:lvlJc w:val="left"/>
      <w:pPr>
        <w:ind w:left="2160" w:hanging="360"/>
      </w:pPr>
      <w:rPr>
        <w:rFonts w:ascii="Noto Sans Symbols" w:eastAsia="Noto Sans Symbols" w:hAnsi="Noto Sans Symbols" w:cs="Noto Sans Symbols"/>
      </w:rPr>
    </w:lvl>
    <w:lvl w:ilvl="4">
      <w:start w:val="1"/>
      <w:numFmt w:val="bullet"/>
      <w:lvlText w:val="o"/>
      <w:lvlJc w:val="left"/>
      <w:pPr>
        <w:ind w:left="2880" w:hanging="360"/>
      </w:pPr>
      <w:rPr>
        <w:rFonts w:ascii="Courier New" w:eastAsia="Courier New" w:hAnsi="Courier New" w:cs="Courier New"/>
      </w:rPr>
    </w:lvl>
    <w:lvl w:ilvl="5">
      <w:start w:val="1"/>
      <w:numFmt w:val="bullet"/>
      <w:lvlText w:val="▪"/>
      <w:lvlJc w:val="left"/>
      <w:pPr>
        <w:ind w:left="3600" w:hanging="360"/>
      </w:pPr>
      <w:rPr>
        <w:rFonts w:ascii="Noto Sans Symbols" w:eastAsia="Noto Sans Symbols" w:hAnsi="Noto Sans Symbols" w:cs="Noto Sans Symbols"/>
      </w:rPr>
    </w:lvl>
    <w:lvl w:ilvl="6">
      <w:start w:val="1"/>
      <w:numFmt w:val="bullet"/>
      <w:lvlText w:val="●"/>
      <w:lvlJc w:val="left"/>
      <w:pPr>
        <w:ind w:left="4320" w:hanging="360"/>
      </w:pPr>
      <w:rPr>
        <w:rFonts w:ascii="Noto Sans Symbols" w:eastAsia="Noto Sans Symbols" w:hAnsi="Noto Sans Symbols" w:cs="Noto Sans Symbols"/>
      </w:rPr>
    </w:lvl>
    <w:lvl w:ilvl="7">
      <w:start w:val="1"/>
      <w:numFmt w:val="bullet"/>
      <w:lvlText w:val="o"/>
      <w:lvlJc w:val="left"/>
      <w:pPr>
        <w:ind w:left="5040" w:hanging="360"/>
      </w:pPr>
      <w:rPr>
        <w:rFonts w:ascii="Courier New" w:eastAsia="Courier New" w:hAnsi="Courier New" w:cs="Courier New"/>
      </w:rPr>
    </w:lvl>
    <w:lvl w:ilvl="8">
      <w:start w:val="1"/>
      <w:numFmt w:val="bullet"/>
      <w:lvlText w:val="▪"/>
      <w:lvlJc w:val="left"/>
      <w:pPr>
        <w:ind w:left="5760" w:hanging="360"/>
      </w:pPr>
      <w:rPr>
        <w:rFonts w:ascii="Noto Sans Symbols" w:eastAsia="Noto Sans Symbols" w:hAnsi="Noto Sans Symbols" w:cs="Noto Sans Symbols"/>
      </w:rPr>
    </w:lvl>
  </w:abstractNum>
  <w:abstractNum w:abstractNumId="1" w15:restartNumberingAfterBreak="0">
    <w:nsid w:val="7E48733D"/>
    <w:multiLevelType w:val="multilevel"/>
    <w:tmpl w:val="7DF6D8EE"/>
    <w:lvl w:ilvl="0">
      <w:start w:val="1"/>
      <w:numFmt w:val="decimal"/>
      <w:lvlText w:val="%1."/>
      <w:lvlJc w:val="left"/>
      <w:pPr>
        <w:ind w:left="1440" w:hanging="72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17CB"/>
    <w:rsid w:val="000E0784"/>
    <w:rsid w:val="00162F0B"/>
    <w:rsid w:val="001647A1"/>
    <w:rsid w:val="00172715"/>
    <w:rsid w:val="00181D0B"/>
    <w:rsid w:val="00207647"/>
    <w:rsid w:val="002220CA"/>
    <w:rsid w:val="00270803"/>
    <w:rsid w:val="00280948"/>
    <w:rsid w:val="00286E7D"/>
    <w:rsid w:val="002A2265"/>
    <w:rsid w:val="002C4425"/>
    <w:rsid w:val="00316BAB"/>
    <w:rsid w:val="00344EB0"/>
    <w:rsid w:val="00386C3C"/>
    <w:rsid w:val="00394C6E"/>
    <w:rsid w:val="003A1E28"/>
    <w:rsid w:val="004017CB"/>
    <w:rsid w:val="00416171"/>
    <w:rsid w:val="00493A75"/>
    <w:rsid w:val="004A5AA7"/>
    <w:rsid w:val="004C0B0A"/>
    <w:rsid w:val="00560952"/>
    <w:rsid w:val="005A3C6C"/>
    <w:rsid w:val="005D5A3F"/>
    <w:rsid w:val="00622535"/>
    <w:rsid w:val="006A07BA"/>
    <w:rsid w:val="006E1B00"/>
    <w:rsid w:val="006E794F"/>
    <w:rsid w:val="006F2055"/>
    <w:rsid w:val="00711676"/>
    <w:rsid w:val="007B65B3"/>
    <w:rsid w:val="007E35F3"/>
    <w:rsid w:val="007E4FFE"/>
    <w:rsid w:val="007F60C6"/>
    <w:rsid w:val="008106C2"/>
    <w:rsid w:val="008175FF"/>
    <w:rsid w:val="008734E7"/>
    <w:rsid w:val="00884619"/>
    <w:rsid w:val="008A0A69"/>
    <w:rsid w:val="008C2987"/>
    <w:rsid w:val="008C636A"/>
    <w:rsid w:val="008E3B14"/>
    <w:rsid w:val="008F35CA"/>
    <w:rsid w:val="00906144"/>
    <w:rsid w:val="00941D2D"/>
    <w:rsid w:val="009C4A30"/>
    <w:rsid w:val="00A05305"/>
    <w:rsid w:val="00A074A9"/>
    <w:rsid w:val="00A466B6"/>
    <w:rsid w:val="00A73E07"/>
    <w:rsid w:val="00AC5454"/>
    <w:rsid w:val="00C568B9"/>
    <w:rsid w:val="00C9213F"/>
    <w:rsid w:val="00CB4573"/>
    <w:rsid w:val="00D32692"/>
    <w:rsid w:val="00DC38BE"/>
    <w:rsid w:val="00DF0A08"/>
    <w:rsid w:val="00E058B7"/>
    <w:rsid w:val="00E27943"/>
    <w:rsid w:val="00E547D4"/>
    <w:rsid w:val="00E55ECD"/>
    <w:rsid w:val="00E61DDE"/>
    <w:rsid w:val="00ED3653"/>
    <w:rsid w:val="00ED7D8C"/>
    <w:rsid w:val="00F22190"/>
    <w:rsid w:val="00F53273"/>
    <w:rsid w:val="00F57BD3"/>
    <w:rsid w:val="00F659EA"/>
    <w:rsid w:val="00FC3203"/>
    <w:rsid w:val="00FC487C"/>
    <w:rsid w:val="00FD52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292DBE1"/>
  <w15:docId w15:val="{3D6F7C6F-7ACC-430A-9217-E87DD7B373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widowControl w:val="0"/>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tulo">
    <w:name w:val="Title"/>
    <w:basedOn w:val="Normal"/>
    <w:next w:val="Normal"/>
    <w:uiPriority w:val="10"/>
    <w:qFormat/>
    <w:pPr>
      <w:keepNext/>
      <w:keepLines/>
      <w:spacing w:before="480" w:after="120"/>
    </w:pPr>
    <w:rPr>
      <w:b/>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anormal"/>
    <w:pPr>
      <w:spacing w:after="0" w:line="240" w:lineRule="auto"/>
    </w:pPr>
    <w:tblPr>
      <w:tblStyleRowBandSize w:val="1"/>
      <w:tblStyleColBandSize w:val="1"/>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 w:type="paragraph" w:styleId="Textodeglobo">
    <w:name w:val="Balloon Text"/>
    <w:basedOn w:val="Normal"/>
    <w:link w:val="TextodegloboCar"/>
    <w:uiPriority w:val="99"/>
    <w:semiHidden/>
    <w:unhideWhenUsed/>
    <w:rsid w:val="00D3269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32692"/>
    <w:rPr>
      <w:rFonts w:ascii="Segoe UI" w:hAnsi="Segoe UI" w:cs="Segoe UI"/>
      <w:sz w:val="18"/>
      <w:szCs w:val="18"/>
    </w:rPr>
  </w:style>
  <w:style w:type="paragraph" w:styleId="Asuntodelcomentario">
    <w:name w:val="annotation subject"/>
    <w:basedOn w:val="Textocomentario"/>
    <w:next w:val="Textocomentario"/>
    <w:link w:val="AsuntodelcomentarioCar"/>
    <w:uiPriority w:val="99"/>
    <w:semiHidden/>
    <w:unhideWhenUsed/>
    <w:rsid w:val="00560952"/>
    <w:rPr>
      <w:b/>
      <w:bCs/>
    </w:rPr>
  </w:style>
  <w:style w:type="character" w:customStyle="1" w:styleId="AsuntodelcomentarioCar">
    <w:name w:val="Asunto del comentario Car"/>
    <w:basedOn w:val="TextocomentarioCar"/>
    <w:link w:val="Asuntodelcomentario"/>
    <w:uiPriority w:val="99"/>
    <w:semiHidden/>
    <w:rsid w:val="00560952"/>
    <w:rPr>
      <w:b/>
      <w:bCs/>
      <w:sz w:val="20"/>
      <w:szCs w:val="20"/>
    </w:rPr>
  </w:style>
  <w:style w:type="paragraph" w:styleId="Textonotapie">
    <w:name w:val="footnote text"/>
    <w:basedOn w:val="Normal"/>
    <w:link w:val="TextonotapieCar"/>
    <w:uiPriority w:val="99"/>
    <w:semiHidden/>
    <w:unhideWhenUsed/>
    <w:rsid w:val="00E55EC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E55ECD"/>
    <w:rPr>
      <w:sz w:val="20"/>
      <w:szCs w:val="20"/>
    </w:rPr>
  </w:style>
  <w:style w:type="character" w:styleId="Refdenotaalpie">
    <w:name w:val="footnote reference"/>
    <w:basedOn w:val="Fuentedeprrafopredeter"/>
    <w:uiPriority w:val="99"/>
    <w:semiHidden/>
    <w:unhideWhenUsed/>
    <w:rsid w:val="00E55ECD"/>
    <w:rPr>
      <w:vertAlign w:val="superscript"/>
    </w:rPr>
  </w:style>
  <w:style w:type="character" w:styleId="Hipervnculo">
    <w:name w:val="Hyperlink"/>
    <w:basedOn w:val="Fuentedeprrafopredeter"/>
    <w:uiPriority w:val="99"/>
    <w:unhideWhenUsed/>
    <w:rsid w:val="008E3B14"/>
    <w:rPr>
      <w:color w:val="0000FF" w:themeColor="hyperlink"/>
      <w:u w:val="single"/>
    </w:rPr>
  </w:style>
  <w:style w:type="character" w:styleId="Mencinsinresolver">
    <w:name w:val="Unresolved Mention"/>
    <w:basedOn w:val="Fuentedeprrafopredeter"/>
    <w:uiPriority w:val="99"/>
    <w:semiHidden/>
    <w:unhideWhenUsed/>
    <w:rsid w:val="008E3B14"/>
    <w:rPr>
      <w:color w:val="605E5C"/>
      <w:shd w:val="clear" w:color="auto" w:fill="E1DFDD"/>
    </w:rPr>
  </w:style>
  <w:style w:type="paragraph" w:styleId="Prrafodelista">
    <w:name w:val="List Paragraph"/>
    <w:basedOn w:val="Normal"/>
    <w:uiPriority w:val="34"/>
    <w:qFormat/>
    <w:rsid w:val="00FD52F7"/>
    <w:pPr>
      <w:ind w:left="720"/>
      <w:contextualSpacing/>
    </w:pPr>
  </w:style>
  <w:style w:type="paragraph" w:styleId="Encabezado">
    <w:name w:val="header"/>
    <w:basedOn w:val="Normal"/>
    <w:link w:val="EncabezadoCar"/>
    <w:uiPriority w:val="99"/>
    <w:unhideWhenUsed/>
    <w:rsid w:val="000E0784"/>
    <w:pPr>
      <w:tabs>
        <w:tab w:val="center" w:pos="4513"/>
        <w:tab w:val="right" w:pos="9026"/>
      </w:tabs>
      <w:spacing w:after="0" w:line="240" w:lineRule="auto"/>
    </w:pPr>
  </w:style>
  <w:style w:type="character" w:customStyle="1" w:styleId="EncabezadoCar">
    <w:name w:val="Encabezado Car"/>
    <w:basedOn w:val="Fuentedeprrafopredeter"/>
    <w:link w:val="Encabezado"/>
    <w:uiPriority w:val="99"/>
    <w:rsid w:val="000E0784"/>
  </w:style>
  <w:style w:type="paragraph" w:styleId="Piedepgina">
    <w:name w:val="footer"/>
    <w:basedOn w:val="Normal"/>
    <w:link w:val="PiedepginaCar"/>
    <w:uiPriority w:val="99"/>
    <w:unhideWhenUsed/>
    <w:rsid w:val="000E0784"/>
    <w:pPr>
      <w:tabs>
        <w:tab w:val="center" w:pos="4513"/>
        <w:tab w:val="right" w:pos="9026"/>
      </w:tabs>
      <w:spacing w:after="0" w:line="240" w:lineRule="auto"/>
    </w:pPr>
  </w:style>
  <w:style w:type="character" w:customStyle="1" w:styleId="PiedepginaCar">
    <w:name w:val="Pie de página Car"/>
    <w:basedOn w:val="Fuentedeprrafopredeter"/>
    <w:link w:val="Piedepgina"/>
    <w:uiPriority w:val="99"/>
    <w:rsid w:val="000E07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www.oas.org/es/cidh/decisiones/corte/2019/12678FondoEs.pdf" TargetMode="External"/><Relationship Id="rId2" Type="http://schemas.openxmlformats.org/officeDocument/2006/relationships/hyperlink" Target="http://www.oas.org/es/mesecvi/docs/mesecviembarazoinfantil-es.pdf" TargetMode="External"/><Relationship Id="rId1" Type="http://schemas.openxmlformats.org/officeDocument/2006/relationships/hyperlink" Target="http://whqlibdoc.who.int/publications/2011/9789241501118_eng.pdf"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3E9158F-B5F3-45CD-A260-D58EC34E51C2}">
  <ds:schemaRefs>
    <ds:schemaRef ds:uri="http://schemas.openxmlformats.org/officeDocument/2006/bibliography"/>
  </ds:schemaRefs>
</ds:datastoreItem>
</file>

<file path=customXml/itemProps2.xml><?xml version="1.0" encoding="utf-8"?>
<ds:datastoreItem xmlns:ds="http://schemas.openxmlformats.org/officeDocument/2006/customXml" ds:itemID="{4FC66DD0-A899-48CD-A132-AA64054384E0}"/>
</file>

<file path=customXml/itemProps3.xml><?xml version="1.0" encoding="utf-8"?>
<ds:datastoreItem xmlns:ds="http://schemas.openxmlformats.org/officeDocument/2006/customXml" ds:itemID="{7775F645-99CC-46B4-BDC2-3111446A576C}"/>
</file>

<file path=customXml/itemProps4.xml><?xml version="1.0" encoding="utf-8"?>
<ds:datastoreItem xmlns:ds="http://schemas.openxmlformats.org/officeDocument/2006/customXml" ds:itemID="{6BCF175F-8B01-4356-8946-FE0B55F60C17}"/>
</file>

<file path=docProps/app.xml><?xml version="1.0" encoding="utf-8"?>
<Properties xmlns="http://schemas.openxmlformats.org/officeDocument/2006/extended-properties" xmlns:vt="http://schemas.openxmlformats.org/officeDocument/2006/docPropsVTypes">
  <Template>Normal</Template>
  <TotalTime>1024</TotalTime>
  <Pages>9</Pages>
  <Words>2917</Words>
  <Characters>16049</Characters>
  <Application>Microsoft Office Word</Application>
  <DocSecurity>0</DocSecurity>
  <Lines>133</Lines>
  <Paragraphs>37</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18929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Sayette, Heather</dc:creator>
  <cp:lastModifiedBy>Carmen Cecilia Martinez</cp:lastModifiedBy>
  <cp:revision>69</cp:revision>
  <dcterms:created xsi:type="dcterms:W3CDTF">2019-09-06T00:41:00Z</dcterms:created>
  <dcterms:modified xsi:type="dcterms:W3CDTF">2019-09-06T23:23:00Z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