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D27E9" w14:textId="6BEF2092" w:rsidR="004F0179" w:rsidRDefault="00BD14B2" w:rsidP="00F1736F">
      <w:pPr>
        <w:pStyle w:val="NoSpacing"/>
        <w:spacing w:before="1540" w:after="240"/>
        <w:rPr>
          <w:color w:val="156082" w:themeColor="accent1"/>
        </w:rPr>
      </w:pPr>
      <w:r>
        <w:rPr>
          <w:noProof/>
          <w:color w:val="156082" w:themeColor="accent1"/>
        </w:rPr>
        <w:drawing>
          <wp:anchor distT="0" distB="0" distL="114300" distR="114300" simplePos="0" relativeHeight="251658245" behindDoc="1" locked="0" layoutInCell="1" allowOverlap="1" wp14:anchorId="3C9009DD" wp14:editId="4C441AEA">
            <wp:simplePos x="0" y="0"/>
            <wp:positionH relativeFrom="page">
              <wp:posOffset>10048</wp:posOffset>
            </wp:positionH>
            <wp:positionV relativeFrom="paragraph">
              <wp:posOffset>-914400</wp:posOffset>
            </wp:positionV>
            <wp:extent cx="7768991" cy="10051918"/>
            <wp:effectExtent l="0" t="0" r="3810" b="6985"/>
            <wp:wrapNone/>
            <wp:docPr id="14973402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40201" name="Picture 10"/>
                    <pic:cNvPicPr/>
                  </pic:nvPicPr>
                  <pic:blipFill>
                    <a:blip r:embed="rId11">
                      <a:extLst>
                        <a:ext uri="{28A0092B-C50C-407E-A947-70E740481C1C}">
                          <a14:useLocalDpi xmlns:a14="http://schemas.microsoft.com/office/drawing/2010/main" val="0"/>
                        </a:ext>
                      </a:extLst>
                    </a:blip>
                    <a:stretch>
                      <a:fillRect/>
                    </a:stretch>
                  </pic:blipFill>
                  <pic:spPr>
                    <a:xfrm>
                      <a:off x="0" y="0"/>
                      <a:ext cx="7768991" cy="10051918"/>
                    </a:xfrm>
                    <a:prstGeom prst="rect">
                      <a:avLst/>
                    </a:prstGeom>
                  </pic:spPr>
                </pic:pic>
              </a:graphicData>
            </a:graphic>
            <wp14:sizeRelH relativeFrom="margin">
              <wp14:pctWidth>0</wp14:pctWidth>
            </wp14:sizeRelH>
            <wp14:sizeRelV relativeFrom="margin">
              <wp14:pctHeight>0</wp14:pctHeight>
            </wp14:sizeRelV>
          </wp:anchor>
        </w:drawing>
      </w:r>
    </w:p>
    <w:p w14:paraId="696071CA" w14:textId="489DE1E0" w:rsidR="009667B8" w:rsidRDefault="004F0179">
      <w:pPr>
        <w:rPr>
          <w:color w:val="156082" w:themeColor="accent1"/>
        </w:rPr>
        <w:sectPr w:rsidR="009667B8" w:rsidSect="00246219">
          <w:headerReference w:type="default" r:id="rId12"/>
          <w:footerReference w:type="default" r:id="rId13"/>
          <w:footerReference w:type="first" r:id="rId14"/>
          <w:pgSz w:w="12240" w:h="15840"/>
          <w:pgMar w:top="1440" w:right="1440" w:bottom="1440" w:left="1440" w:header="708" w:footer="708" w:gutter="0"/>
          <w:cols w:space="708"/>
          <w:titlePg/>
          <w:docGrid w:linePitch="360"/>
        </w:sectPr>
      </w:pPr>
      <w:r>
        <w:rPr>
          <w:color w:val="156082" w:themeColor="accent1"/>
        </w:rPr>
        <w:br w:type="page"/>
      </w:r>
    </w:p>
    <w:p w14:paraId="23E9ECA9" w14:textId="77777777" w:rsidR="00C475B5" w:rsidRDefault="00C475B5">
      <w:pPr>
        <w:rPr>
          <w:color w:val="156082" w:themeColor="accent1"/>
        </w:rPr>
      </w:pPr>
    </w:p>
    <w:sdt>
      <w:sdtPr>
        <w:rPr>
          <w:rFonts w:asciiTheme="minorHAnsi" w:eastAsiaTheme="minorEastAsia" w:hAnsiTheme="minorHAnsi" w:cstheme="minorBidi"/>
          <w:color w:val="auto"/>
          <w:kern w:val="2"/>
          <w:sz w:val="24"/>
          <w:szCs w:val="24"/>
          <w:lang w:val="en-CA"/>
          <w14:ligatures w14:val="standardContextual"/>
        </w:rPr>
        <w:id w:val="-195007217"/>
        <w:docPartObj>
          <w:docPartGallery w:val="Table of Contents"/>
          <w:docPartUnique/>
        </w:docPartObj>
      </w:sdtPr>
      <w:sdtEndPr>
        <w:rPr>
          <w:b/>
        </w:rPr>
      </w:sdtEndPr>
      <w:sdtContent>
        <w:p w14:paraId="167387F1" w14:textId="55D426A1" w:rsidR="00C475B5" w:rsidRDefault="00C475B5" w:rsidP="00421BC2">
          <w:pPr>
            <w:pStyle w:val="TOCHeading"/>
            <w:jc w:val="center"/>
            <w:rPr>
              <w:rFonts w:cs="Arial"/>
              <w:b/>
              <w:color w:val="404040" w:themeColor="text1" w:themeTint="BF"/>
              <w:sz w:val="48"/>
              <w:szCs w:val="48"/>
            </w:rPr>
          </w:pPr>
          <w:r w:rsidRPr="00F172A4">
            <w:rPr>
              <w:rFonts w:cs="Arial"/>
              <w:b/>
              <w:color w:val="404040" w:themeColor="text1" w:themeTint="BF"/>
              <w:sz w:val="48"/>
              <w:szCs w:val="48"/>
            </w:rPr>
            <w:t>T</w:t>
          </w:r>
          <w:r w:rsidR="00421BC2" w:rsidRPr="00F172A4">
            <w:rPr>
              <w:rFonts w:cs="Arial"/>
              <w:b/>
              <w:color w:val="404040" w:themeColor="text1" w:themeTint="BF"/>
              <w:sz w:val="48"/>
              <w:szCs w:val="48"/>
            </w:rPr>
            <w:t>ABLE OF CONTENTS</w:t>
          </w:r>
        </w:p>
        <w:p w14:paraId="342E8FC3" w14:textId="77777777" w:rsidR="00421BC2" w:rsidRPr="00C53050" w:rsidRDefault="00421BC2" w:rsidP="00421BC2">
          <w:pPr>
            <w:rPr>
              <w:color w:val="262626" w:themeColor="text1" w:themeTint="D9"/>
              <w:lang w:val="en-US"/>
            </w:rPr>
          </w:pPr>
        </w:p>
        <w:p w14:paraId="7DC82D94" w14:textId="727679FA" w:rsidR="00A2307B" w:rsidRPr="00A2307B" w:rsidRDefault="00C475B5" w:rsidP="00A2307B">
          <w:pPr>
            <w:pStyle w:val="TOC1"/>
            <w:spacing w:line="360" w:lineRule="auto"/>
            <w:rPr>
              <w:rFonts w:eastAsiaTheme="minorEastAsia" w:cstheme="minorBidi"/>
              <w:color w:val="404040" w:themeColor="text1" w:themeTint="BF"/>
              <w:lang w:eastAsia="en-CA"/>
            </w:rPr>
          </w:pPr>
          <w:r w:rsidRPr="00C53050">
            <w:rPr>
              <w:rFonts w:ascii="Arial" w:hAnsi="Arial"/>
              <w:b/>
              <w:bCs/>
              <w:color w:val="auto"/>
            </w:rPr>
            <w:fldChar w:fldCharType="begin"/>
          </w:r>
          <w:r w:rsidRPr="00C53050">
            <w:instrText xml:space="preserve"> TOC \o "1-3" \h \z \u </w:instrText>
          </w:r>
          <w:r w:rsidRPr="00C53050">
            <w:rPr>
              <w:rFonts w:ascii="Arial" w:hAnsi="Arial"/>
              <w:b/>
              <w:bCs/>
              <w:color w:val="auto"/>
            </w:rPr>
            <w:fldChar w:fldCharType="separate"/>
          </w:r>
          <w:hyperlink w:anchor="_Toc220665467" w:history="1">
            <w:r w:rsidR="00A2307B" w:rsidRPr="00A2307B">
              <w:rPr>
                <w:rStyle w:val="Hyperlink"/>
                <w:b/>
                <w:color w:val="404040" w:themeColor="text1" w:themeTint="BF"/>
              </w:rPr>
              <w:t>Overview: Why Address Homelessness under the ICCPR?</w:t>
            </w:r>
            <w:r w:rsidR="00A2307B" w:rsidRPr="00A2307B">
              <w:rPr>
                <w:webHidden/>
                <w:color w:val="404040" w:themeColor="text1" w:themeTint="BF"/>
              </w:rPr>
              <w:tab/>
            </w:r>
            <w:r w:rsidR="00A2307B" w:rsidRPr="00A2307B">
              <w:rPr>
                <w:webHidden/>
                <w:color w:val="404040" w:themeColor="text1" w:themeTint="BF"/>
              </w:rPr>
              <w:fldChar w:fldCharType="begin"/>
            </w:r>
            <w:r w:rsidR="00A2307B" w:rsidRPr="00A2307B">
              <w:rPr>
                <w:webHidden/>
                <w:color w:val="404040" w:themeColor="text1" w:themeTint="BF"/>
              </w:rPr>
              <w:instrText xml:space="preserve"> PAGEREF _Toc220665467 \h </w:instrText>
            </w:r>
            <w:r w:rsidR="00A2307B" w:rsidRPr="00A2307B">
              <w:rPr>
                <w:webHidden/>
                <w:color w:val="404040" w:themeColor="text1" w:themeTint="BF"/>
              </w:rPr>
            </w:r>
            <w:r w:rsidR="00A2307B" w:rsidRPr="00A2307B">
              <w:rPr>
                <w:webHidden/>
                <w:color w:val="404040" w:themeColor="text1" w:themeTint="BF"/>
              </w:rPr>
              <w:fldChar w:fldCharType="separate"/>
            </w:r>
            <w:r w:rsidR="00A2307B" w:rsidRPr="00A2307B">
              <w:rPr>
                <w:webHidden/>
                <w:color w:val="404040" w:themeColor="text1" w:themeTint="BF"/>
              </w:rPr>
              <w:t>1</w:t>
            </w:r>
            <w:r w:rsidR="00A2307B" w:rsidRPr="00A2307B">
              <w:rPr>
                <w:webHidden/>
                <w:color w:val="404040" w:themeColor="text1" w:themeTint="BF"/>
              </w:rPr>
              <w:fldChar w:fldCharType="end"/>
            </w:r>
          </w:hyperlink>
        </w:p>
        <w:p w14:paraId="03897BCF" w14:textId="16E599D3" w:rsidR="00A2307B" w:rsidRPr="00A2307B" w:rsidRDefault="00A2307B" w:rsidP="00A2307B">
          <w:pPr>
            <w:pStyle w:val="TOC1"/>
            <w:spacing w:line="360" w:lineRule="auto"/>
            <w:rPr>
              <w:rFonts w:eastAsiaTheme="minorEastAsia" w:cstheme="minorBidi"/>
              <w:color w:val="404040" w:themeColor="text1" w:themeTint="BF"/>
              <w:lang w:eastAsia="en-CA"/>
            </w:rPr>
          </w:pPr>
          <w:hyperlink w:anchor="_Toc220665468" w:history="1">
            <w:r w:rsidRPr="00A2307B">
              <w:rPr>
                <w:rStyle w:val="Hyperlink"/>
                <w:b/>
                <w:color w:val="404040" w:themeColor="text1" w:themeTint="BF"/>
              </w:rPr>
              <w:t>Who We Are</w:t>
            </w:r>
            <w:r w:rsidRPr="00A2307B">
              <w:rPr>
                <w:webHidden/>
                <w:color w:val="404040" w:themeColor="text1" w:themeTint="BF"/>
              </w:rPr>
              <w:tab/>
            </w:r>
            <w:r w:rsidRPr="00A2307B">
              <w:rPr>
                <w:webHidden/>
                <w:color w:val="404040" w:themeColor="text1" w:themeTint="BF"/>
              </w:rPr>
              <w:fldChar w:fldCharType="begin"/>
            </w:r>
            <w:r w:rsidRPr="00A2307B">
              <w:rPr>
                <w:webHidden/>
                <w:color w:val="404040" w:themeColor="text1" w:themeTint="BF"/>
              </w:rPr>
              <w:instrText xml:space="preserve"> PAGEREF _Toc220665468 \h </w:instrText>
            </w:r>
            <w:r w:rsidRPr="00A2307B">
              <w:rPr>
                <w:webHidden/>
                <w:color w:val="404040" w:themeColor="text1" w:themeTint="BF"/>
              </w:rPr>
            </w:r>
            <w:r w:rsidRPr="00A2307B">
              <w:rPr>
                <w:webHidden/>
                <w:color w:val="404040" w:themeColor="text1" w:themeTint="BF"/>
              </w:rPr>
              <w:fldChar w:fldCharType="separate"/>
            </w:r>
            <w:r w:rsidRPr="00A2307B">
              <w:rPr>
                <w:webHidden/>
                <w:color w:val="404040" w:themeColor="text1" w:themeTint="BF"/>
              </w:rPr>
              <w:t>2</w:t>
            </w:r>
            <w:r w:rsidRPr="00A2307B">
              <w:rPr>
                <w:webHidden/>
                <w:color w:val="404040" w:themeColor="text1" w:themeTint="BF"/>
              </w:rPr>
              <w:fldChar w:fldCharType="end"/>
            </w:r>
          </w:hyperlink>
        </w:p>
        <w:p w14:paraId="4C5F5D2F" w14:textId="32A2C260" w:rsidR="00A2307B" w:rsidRPr="00A2307B" w:rsidRDefault="00A2307B" w:rsidP="00A2307B">
          <w:pPr>
            <w:pStyle w:val="TOC1"/>
            <w:spacing w:line="360" w:lineRule="auto"/>
            <w:rPr>
              <w:rFonts w:eastAsiaTheme="minorEastAsia" w:cstheme="minorBidi"/>
              <w:color w:val="404040" w:themeColor="text1" w:themeTint="BF"/>
              <w:lang w:eastAsia="en-CA"/>
            </w:rPr>
          </w:pPr>
          <w:hyperlink w:anchor="_Toc220665469" w:history="1">
            <w:r w:rsidRPr="00A2307B">
              <w:rPr>
                <w:rStyle w:val="Hyperlink"/>
                <w:b/>
                <w:color w:val="404040" w:themeColor="text1" w:themeTint="BF"/>
              </w:rPr>
              <w:t>Part 1: Positive Measures</w:t>
            </w:r>
            <w:r w:rsidRPr="00A2307B">
              <w:rPr>
                <w:webHidden/>
                <w:color w:val="404040" w:themeColor="text1" w:themeTint="BF"/>
              </w:rPr>
              <w:tab/>
            </w:r>
            <w:r w:rsidRPr="00A2307B">
              <w:rPr>
                <w:webHidden/>
                <w:color w:val="404040" w:themeColor="text1" w:themeTint="BF"/>
              </w:rPr>
              <w:fldChar w:fldCharType="begin"/>
            </w:r>
            <w:r w:rsidRPr="00A2307B">
              <w:rPr>
                <w:webHidden/>
                <w:color w:val="404040" w:themeColor="text1" w:themeTint="BF"/>
              </w:rPr>
              <w:instrText xml:space="preserve"> PAGEREF _Toc220665469 \h </w:instrText>
            </w:r>
            <w:r w:rsidRPr="00A2307B">
              <w:rPr>
                <w:webHidden/>
                <w:color w:val="404040" w:themeColor="text1" w:themeTint="BF"/>
              </w:rPr>
            </w:r>
            <w:r w:rsidRPr="00A2307B">
              <w:rPr>
                <w:webHidden/>
                <w:color w:val="404040" w:themeColor="text1" w:themeTint="BF"/>
              </w:rPr>
              <w:fldChar w:fldCharType="separate"/>
            </w:r>
            <w:r w:rsidRPr="00A2307B">
              <w:rPr>
                <w:webHidden/>
                <w:color w:val="404040" w:themeColor="text1" w:themeTint="BF"/>
              </w:rPr>
              <w:t>3</w:t>
            </w:r>
            <w:r w:rsidRPr="00A2307B">
              <w:rPr>
                <w:webHidden/>
                <w:color w:val="404040" w:themeColor="text1" w:themeTint="BF"/>
              </w:rPr>
              <w:fldChar w:fldCharType="end"/>
            </w:r>
          </w:hyperlink>
        </w:p>
        <w:p w14:paraId="0186BBA1" w14:textId="26BA5603" w:rsidR="00A2307B" w:rsidRPr="00A2307B" w:rsidRDefault="00A2307B" w:rsidP="00A2307B">
          <w:pPr>
            <w:pStyle w:val="TOC2"/>
            <w:tabs>
              <w:tab w:val="right" w:leader="dot" w:pos="9350"/>
            </w:tabs>
            <w:spacing w:line="360" w:lineRule="auto"/>
            <w:rPr>
              <w:rFonts w:eastAsiaTheme="minorEastAsia"/>
              <w:noProof/>
              <w:color w:val="404040" w:themeColor="text1" w:themeTint="BF"/>
              <w:lang w:eastAsia="en-CA"/>
            </w:rPr>
          </w:pPr>
          <w:hyperlink w:anchor="_Toc220665470" w:history="1">
            <w:r w:rsidRPr="00A2307B">
              <w:rPr>
                <w:rStyle w:val="Hyperlink"/>
                <w:noProof/>
                <w:color w:val="404040" w:themeColor="text1" w:themeTint="BF"/>
              </w:rPr>
              <w:t>The Adoption of the National Housing Strategy Act (2019)</w:t>
            </w:r>
            <w:r w:rsidRPr="00A2307B">
              <w:rPr>
                <w:noProof/>
                <w:webHidden/>
                <w:color w:val="404040" w:themeColor="text1" w:themeTint="BF"/>
              </w:rPr>
              <w:tab/>
            </w:r>
            <w:r w:rsidRPr="00A2307B">
              <w:rPr>
                <w:noProof/>
                <w:webHidden/>
                <w:color w:val="404040" w:themeColor="text1" w:themeTint="BF"/>
              </w:rPr>
              <w:fldChar w:fldCharType="begin"/>
            </w:r>
            <w:r w:rsidRPr="00A2307B">
              <w:rPr>
                <w:noProof/>
                <w:webHidden/>
                <w:color w:val="404040" w:themeColor="text1" w:themeTint="BF"/>
              </w:rPr>
              <w:instrText xml:space="preserve"> PAGEREF _Toc220665470 \h </w:instrText>
            </w:r>
            <w:r w:rsidRPr="00A2307B">
              <w:rPr>
                <w:noProof/>
                <w:webHidden/>
                <w:color w:val="404040" w:themeColor="text1" w:themeTint="BF"/>
              </w:rPr>
            </w:r>
            <w:r w:rsidRPr="00A2307B">
              <w:rPr>
                <w:noProof/>
                <w:webHidden/>
                <w:color w:val="404040" w:themeColor="text1" w:themeTint="BF"/>
              </w:rPr>
              <w:fldChar w:fldCharType="separate"/>
            </w:r>
            <w:r w:rsidRPr="00A2307B">
              <w:rPr>
                <w:noProof/>
                <w:webHidden/>
                <w:color w:val="404040" w:themeColor="text1" w:themeTint="BF"/>
              </w:rPr>
              <w:t>3</w:t>
            </w:r>
            <w:r w:rsidRPr="00A2307B">
              <w:rPr>
                <w:noProof/>
                <w:webHidden/>
                <w:color w:val="404040" w:themeColor="text1" w:themeTint="BF"/>
              </w:rPr>
              <w:fldChar w:fldCharType="end"/>
            </w:r>
          </w:hyperlink>
        </w:p>
        <w:p w14:paraId="28D8C404" w14:textId="08097CE3" w:rsidR="00A2307B" w:rsidRPr="00A2307B" w:rsidRDefault="00A2307B" w:rsidP="00A2307B">
          <w:pPr>
            <w:pStyle w:val="TOC1"/>
            <w:spacing w:line="360" w:lineRule="auto"/>
            <w:rPr>
              <w:rFonts w:eastAsiaTheme="minorEastAsia" w:cstheme="minorBidi"/>
              <w:color w:val="404040" w:themeColor="text1" w:themeTint="BF"/>
              <w:lang w:eastAsia="en-CA"/>
            </w:rPr>
          </w:pPr>
          <w:hyperlink w:anchor="_Toc220665471" w:history="1">
            <w:r w:rsidRPr="00A2307B">
              <w:rPr>
                <w:rStyle w:val="Hyperlink"/>
                <w:b/>
                <w:color w:val="404040" w:themeColor="text1" w:themeTint="BF"/>
              </w:rPr>
              <w:t>Part 2: Key Concerns &amp; Recommendations</w:t>
            </w:r>
            <w:r w:rsidRPr="00A2307B">
              <w:rPr>
                <w:webHidden/>
                <w:color w:val="404040" w:themeColor="text1" w:themeTint="BF"/>
              </w:rPr>
              <w:tab/>
            </w:r>
            <w:r w:rsidRPr="00A2307B">
              <w:rPr>
                <w:webHidden/>
                <w:color w:val="404040" w:themeColor="text1" w:themeTint="BF"/>
              </w:rPr>
              <w:fldChar w:fldCharType="begin"/>
            </w:r>
            <w:r w:rsidRPr="00A2307B">
              <w:rPr>
                <w:webHidden/>
                <w:color w:val="404040" w:themeColor="text1" w:themeTint="BF"/>
              </w:rPr>
              <w:instrText xml:space="preserve"> PAGEREF _Toc220665471 \h </w:instrText>
            </w:r>
            <w:r w:rsidRPr="00A2307B">
              <w:rPr>
                <w:webHidden/>
                <w:color w:val="404040" w:themeColor="text1" w:themeTint="BF"/>
              </w:rPr>
            </w:r>
            <w:r w:rsidRPr="00A2307B">
              <w:rPr>
                <w:webHidden/>
                <w:color w:val="404040" w:themeColor="text1" w:themeTint="BF"/>
              </w:rPr>
              <w:fldChar w:fldCharType="separate"/>
            </w:r>
            <w:r w:rsidRPr="00A2307B">
              <w:rPr>
                <w:webHidden/>
                <w:color w:val="404040" w:themeColor="text1" w:themeTint="BF"/>
              </w:rPr>
              <w:t>4</w:t>
            </w:r>
            <w:r w:rsidRPr="00A2307B">
              <w:rPr>
                <w:webHidden/>
                <w:color w:val="404040" w:themeColor="text1" w:themeTint="BF"/>
              </w:rPr>
              <w:fldChar w:fldCharType="end"/>
            </w:r>
          </w:hyperlink>
        </w:p>
        <w:p w14:paraId="1EE48D98" w14:textId="402C10E2" w:rsidR="00A2307B" w:rsidRPr="00A2307B" w:rsidRDefault="00A2307B" w:rsidP="00A2307B">
          <w:pPr>
            <w:pStyle w:val="TOC2"/>
            <w:tabs>
              <w:tab w:val="right" w:leader="dot" w:pos="9350"/>
            </w:tabs>
            <w:spacing w:line="360" w:lineRule="auto"/>
            <w:rPr>
              <w:rFonts w:eastAsiaTheme="minorEastAsia"/>
              <w:noProof/>
              <w:color w:val="404040" w:themeColor="text1" w:themeTint="BF"/>
              <w:lang w:eastAsia="en-CA"/>
            </w:rPr>
          </w:pPr>
          <w:hyperlink w:anchor="_Toc220665472" w:history="1">
            <w:r w:rsidRPr="00A2307B">
              <w:rPr>
                <w:rStyle w:val="Hyperlink"/>
                <w:noProof/>
                <w:color w:val="404040" w:themeColor="text1" w:themeTint="BF"/>
              </w:rPr>
              <w:t xml:space="preserve">Right to Life and Homelessness </w:t>
            </w:r>
            <w:r w:rsidRPr="00A2307B">
              <w:rPr>
                <w:rStyle w:val="Hyperlink"/>
                <w:bCs/>
                <w:noProof/>
                <w:color w:val="404040" w:themeColor="text1" w:themeTint="BF"/>
              </w:rPr>
              <w:t>(Article 6)</w:t>
            </w:r>
            <w:r w:rsidRPr="00A2307B">
              <w:rPr>
                <w:noProof/>
                <w:webHidden/>
                <w:color w:val="404040" w:themeColor="text1" w:themeTint="BF"/>
              </w:rPr>
              <w:tab/>
            </w:r>
            <w:r w:rsidRPr="00A2307B">
              <w:rPr>
                <w:noProof/>
                <w:webHidden/>
                <w:color w:val="404040" w:themeColor="text1" w:themeTint="BF"/>
              </w:rPr>
              <w:fldChar w:fldCharType="begin"/>
            </w:r>
            <w:r w:rsidRPr="00A2307B">
              <w:rPr>
                <w:noProof/>
                <w:webHidden/>
                <w:color w:val="404040" w:themeColor="text1" w:themeTint="BF"/>
              </w:rPr>
              <w:instrText xml:space="preserve"> PAGEREF _Toc220665472 \h </w:instrText>
            </w:r>
            <w:r w:rsidRPr="00A2307B">
              <w:rPr>
                <w:noProof/>
                <w:webHidden/>
                <w:color w:val="404040" w:themeColor="text1" w:themeTint="BF"/>
              </w:rPr>
            </w:r>
            <w:r w:rsidRPr="00A2307B">
              <w:rPr>
                <w:noProof/>
                <w:webHidden/>
                <w:color w:val="404040" w:themeColor="text1" w:themeTint="BF"/>
              </w:rPr>
              <w:fldChar w:fldCharType="separate"/>
            </w:r>
            <w:r w:rsidRPr="00A2307B">
              <w:rPr>
                <w:noProof/>
                <w:webHidden/>
                <w:color w:val="404040" w:themeColor="text1" w:themeTint="BF"/>
              </w:rPr>
              <w:t>4</w:t>
            </w:r>
            <w:r w:rsidRPr="00A2307B">
              <w:rPr>
                <w:noProof/>
                <w:webHidden/>
                <w:color w:val="404040" w:themeColor="text1" w:themeTint="BF"/>
              </w:rPr>
              <w:fldChar w:fldCharType="end"/>
            </w:r>
          </w:hyperlink>
        </w:p>
        <w:p w14:paraId="4118D1C7" w14:textId="4642E8A2" w:rsidR="00A2307B" w:rsidRPr="00A2307B" w:rsidRDefault="00A2307B" w:rsidP="00A2307B">
          <w:pPr>
            <w:pStyle w:val="TOC2"/>
            <w:tabs>
              <w:tab w:val="right" w:leader="dot" w:pos="9350"/>
            </w:tabs>
            <w:spacing w:line="360" w:lineRule="auto"/>
            <w:rPr>
              <w:rFonts w:eastAsiaTheme="minorEastAsia"/>
              <w:noProof/>
              <w:color w:val="404040" w:themeColor="text1" w:themeTint="BF"/>
              <w:lang w:eastAsia="en-CA"/>
            </w:rPr>
          </w:pPr>
          <w:hyperlink w:anchor="_Toc220665473" w:history="1">
            <w:r w:rsidRPr="00A2307B">
              <w:rPr>
                <w:rStyle w:val="Hyperlink"/>
                <w:noProof/>
                <w:color w:val="404040" w:themeColor="text1" w:themeTint="BF"/>
              </w:rPr>
              <w:t xml:space="preserve">Right to Effective Remedies &amp; Tenants Evicted into Homelessness </w:t>
            </w:r>
            <w:r w:rsidRPr="00A2307B">
              <w:rPr>
                <w:rStyle w:val="Hyperlink"/>
                <w:bCs/>
                <w:noProof/>
                <w:color w:val="404040" w:themeColor="text1" w:themeTint="BF"/>
              </w:rPr>
              <w:t>(Article 2, 6, 17)</w:t>
            </w:r>
            <w:r w:rsidRPr="00A2307B">
              <w:rPr>
                <w:noProof/>
                <w:webHidden/>
                <w:color w:val="404040" w:themeColor="text1" w:themeTint="BF"/>
              </w:rPr>
              <w:tab/>
            </w:r>
            <w:r w:rsidRPr="00A2307B">
              <w:rPr>
                <w:noProof/>
                <w:webHidden/>
                <w:color w:val="404040" w:themeColor="text1" w:themeTint="BF"/>
              </w:rPr>
              <w:fldChar w:fldCharType="begin"/>
            </w:r>
            <w:r w:rsidRPr="00A2307B">
              <w:rPr>
                <w:noProof/>
                <w:webHidden/>
                <w:color w:val="404040" w:themeColor="text1" w:themeTint="BF"/>
              </w:rPr>
              <w:instrText xml:space="preserve"> PAGEREF _Toc220665473 \h </w:instrText>
            </w:r>
            <w:r w:rsidRPr="00A2307B">
              <w:rPr>
                <w:noProof/>
                <w:webHidden/>
                <w:color w:val="404040" w:themeColor="text1" w:themeTint="BF"/>
              </w:rPr>
            </w:r>
            <w:r w:rsidRPr="00A2307B">
              <w:rPr>
                <w:noProof/>
                <w:webHidden/>
                <w:color w:val="404040" w:themeColor="text1" w:themeTint="BF"/>
              </w:rPr>
              <w:fldChar w:fldCharType="separate"/>
            </w:r>
            <w:r w:rsidRPr="00A2307B">
              <w:rPr>
                <w:noProof/>
                <w:webHidden/>
                <w:color w:val="404040" w:themeColor="text1" w:themeTint="BF"/>
              </w:rPr>
              <w:t>7</w:t>
            </w:r>
            <w:r w:rsidRPr="00A2307B">
              <w:rPr>
                <w:noProof/>
                <w:webHidden/>
                <w:color w:val="404040" w:themeColor="text1" w:themeTint="BF"/>
              </w:rPr>
              <w:fldChar w:fldCharType="end"/>
            </w:r>
          </w:hyperlink>
        </w:p>
        <w:p w14:paraId="7034A169" w14:textId="246786A0" w:rsidR="00A2307B" w:rsidRPr="00A2307B" w:rsidRDefault="00A2307B" w:rsidP="00A2307B">
          <w:pPr>
            <w:pStyle w:val="TOC2"/>
            <w:tabs>
              <w:tab w:val="right" w:leader="dot" w:pos="9350"/>
            </w:tabs>
            <w:spacing w:line="360" w:lineRule="auto"/>
            <w:rPr>
              <w:rFonts w:eastAsiaTheme="minorEastAsia"/>
              <w:noProof/>
              <w:color w:val="404040" w:themeColor="text1" w:themeTint="BF"/>
              <w:lang w:eastAsia="en-CA"/>
            </w:rPr>
          </w:pPr>
          <w:hyperlink w:anchor="_Toc220665474" w:history="1">
            <w:r w:rsidRPr="00A2307B">
              <w:rPr>
                <w:rStyle w:val="Hyperlink"/>
                <w:noProof/>
                <w:color w:val="404040" w:themeColor="text1" w:themeTint="BF"/>
              </w:rPr>
              <w:t xml:space="preserve">Right to Equality, Non-Discrimination in Housing </w:t>
            </w:r>
            <w:r w:rsidRPr="00A2307B">
              <w:rPr>
                <w:rStyle w:val="Hyperlink"/>
                <w:bCs/>
                <w:noProof/>
                <w:color w:val="404040" w:themeColor="text1" w:themeTint="BF"/>
              </w:rPr>
              <w:t>(Article 2 &amp; 26)</w:t>
            </w:r>
            <w:r w:rsidRPr="00A2307B">
              <w:rPr>
                <w:noProof/>
                <w:webHidden/>
                <w:color w:val="404040" w:themeColor="text1" w:themeTint="BF"/>
              </w:rPr>
              <w:tab/>
            </w:r>
            <w:r w:rsidRPr="00A2307B">
              <w:rPr>
                <w:noProof/>
                <w:webHidden/>
                <w:color w:val="404040" w:themeColor="text1" w:themeTint="BF"/>
              </w:rPr>
              <w:fldChar w:fldCharType="begin"/>
            </w:r>
            <w:r w:rsidRPr="00A2307B">
              <w:rPr>
                <w:noProof/>
                <w:webHidden/>
                <w:color w:val="404040" w:themeColor="text1" w:themeTint="BF"/>
              </w:rPr>
              <w:instrText xml:space="preserve"> PAGEREF _Toc220665474 \h </w:instrText>
            </w:r>
            <w:r w:rsidRPr="00A2307B">
              <w:rPr>
                <w:noProof/>
                <w:webHidden/>
                <w:color w:val="404040" w:themeColor="text1" w:themeTint="BF"/>
              </w:rPr>
            </w:r>
            <w:r w:rsidRPr="00A2307B">
              <w:rPr>
                <w:noProof/>
                <w:webHidden/>
                <w:color w:val="404040" w:themeColor="text1" w:themeTint="BF"/>
              </w:rPr>
              <w:fldChar w:fldCharType="separate"/>
            </w:r>
            <w:r w:rsidRPr="00A2307B">
              <w:rPr>
                <w:noProof/>
                <w:webHidden/>
                <w:color w:val="404040" w:themeColor="text1" w:themeTint="BF"/>
              </w:rPr>
              <w:t>10</w:t>
            </w:r>
            <w:r w:rsidRPr="00A2307B">
              <w:rPr>
                <w:noProof/>
                <w:webHidden/>
                <w:color w:val="404040" w:themeColor="text1" w:themeTint="BF"/>
              </w:rPr>
              <w:fldChar w:fldCharType="end"/>
            </w:r>
          </w:hyperlink>
        </w:p>
        <w:p w14:paraId="2E2120B2" w14:textId="6BB8F6CC" w:rsidR="00A2307B" w:rsidRPr="00A2307B" w:rsidRDefault="00A2307B" w:rsidP="00A2307B">
          <w:pPr>
            <w:pStyle w:val="TOC3"/>
            <w:spacing w:line="360" w:lineRule="auto"/>
            <w:rPr>
              <w:rFonts w:asciiTheme="minorHAnsi" w:hAnsiTheme="minorHAnsi"/>
              <w:b w:val="0"/>
              <w:bCs w:val="0"/>
            </w:rPr>
          </w:pPr>
          <w:hyperlink w:anchor="_Toc220665475" w:history="1">
            <w:r w:rsidRPr="00A2307B">
              <w:rPr>
                <w:rStyle w:val="Hyperlink"/>
                <w:rFonts w:asciiTheme="minorHAnsi" w:hAnsiTheme="minorHAnsi"/>
                <w:b w:val="0"/>
                <w:bCs w:val="0"/>
                <w:color w:val="404040" w:themeColor="text1" w:themeTint="BF"/>
              </w:rPr>
              <w:t>Financialization of Housing and Discrimination of Marginalized Communities</w:t>
            </w:r>
            <w:r w:rsidRPr="00A2307B">
              <w:rPr>
                <w:rFonts w:asciiTheme="minorHAnsi" w:hAnsiTheme="minorHAnsi"/>
                <w:b w:val="0"/>
                <w:bCs w:val="0"/>
                <w:webHidden/>
              </w:rPr>
              <w:tab/>
            </w:r>
            <w:r w:rsidRPr="00A2307B">
              <w:rPr>
                <w:rFonts w:asciiTheme="minorHAnsi" w:hAnsiTheme="minorHAnsi"/>
                <w:b w:val="0"/>
                <w:bCs w:val="0"/>
                <w:webHidden/>
              </w:rPr>
              <w:fldChar w:fldCharType="begin"/>
            </w:r>
            <w:r w:rsidRPr="00A2307B">
              <w:rPr>
                <w:rFonts w:asciiTheme="minorHAnsi" w:hAnsiTheme="minorHAnsi"/>
                <w:b w:val="0"/>
                <w:bCs w:val="0"/>
                <w:webHidden/>
              </w:rPr>
              <w:instrText xml:space="preserve"> PAGEREF _Toc220665475 \h </w:instrText>
            </w:r>
            <w:r w:rsidRPr="00A2307B">
              <w:rPr>
                <w:rFonts w:asciiTheme="minorHAnsi" w:hAnsiTheme="minorHAnsi"/>
                <w:b w:val="0"/>
                <w:bCs w:val="0"/>
                <w:webHidden/>
              </w:rPr>
            </w:r>
            <w:r w:rsidRPr="00A2307B">
              <w:rPr>
                <w:rFonts w:asciiTheme="minorHAnsi" w:hAnsiTheme="minorHAnsi"/>
                <w:b w:val="0"/>
                <w:bCs w:val="0"/>
                <w:webHidden/>
              </w:rPr>
              <w:fldChar w:fldCharType="separate"/>
            </w:r>
            <w:r w:rsidRPr="00A2307B">
              <w:rPr>
                <w:rFonts w:asciiTheme="minorHAnsi" w:hAnsiTheme="minorHAnsi"/>
                <w:b w:val="0"/>
                <w:bCs w:val="0"/>
                <w:webHidden/>
              </w:rPr>
              <w:t>10</w:t>
            </w:r>
            <w:r w:rsidRPr="00A2307B">
              <w:rPr>
                <w:rFonts w:asciiTheme="minorHAnsi" w:hAnsiTheme="minorHAnsi"/>
                <w:b w:val="0"/>
                <w:bCs w:val="0"/>
                <w:webHidden/>
              </w:rPr>
              <w:fldChar w:fldCharType="end"/>
            </w:r>
          </w:hyperlink>
        </w:p>
        <w:p w14:paraId="47F027B4" w14:textId="1B5F169C" w:rsidR="00A2307B" w:rsidRPr="00A2307B" w:rsidRDefault="00A2307B" w:rsidP="00A2307B">
          <w:pPr>
            <w:pStyle w:val="TOC3"/>
            <w:spacing w:line="360" w:lineRule="auto"/>
            <w:rPr>
              <w:rFonts w:asciiTheme="minorHAnsi" w:hAnsiTheme="minorHAnsi"/>
              <w:b w:val="0"/>
              <w:bCs w:val="0"/>
            </w:rPr>
          </w:pPr>
          <w:hyperlink w:anchor="_Toc220665476" w:history="1">
            <w:r w:rsidRPr="00A2307B">
              <w:rPr>
                <w:rStyle w:val="Hyperlink"/>
                <w:rFonts w:asciiTheme="minorHAnsi" w:hAnsiTheme="minorHAnsi"/>
                <w:b w:val="0"/>
                <w:bCs w:val="0"/>
                <w:color w:val="404040" w:themeColor="text1" w:themeTint="BF"/>
              </w:rPr>
              <w:t>Discrimination of Women &amp; Gender-Diverse People in Accessing Housing</w:t>
            </w:r>
            <w:r w:rsidRPr="00A2307B">
              <w:rPr>
                <w:rFonts w:asciiTheme="minorHAnsi" w:hAnsiTheme="minorHAnsi"/>
                <w:b w:val="0"/>
                <w:bCs w:val="0"/>
                <w:webHidden/>
              </w:rPr>
              <w:tab/>
            </w:r>
            <w:r w:rsidRPr="00A2307B">
              <w:rPr>
                <w:rFonts w:asciiTheme="minorHAnsi" w:hAnsiTheme="minorHAnsi"/>
                <w:b w:val="0"/>
                <w:bCs w:val="0"/>
                <w:webHidden/>
              </w:rPr>
              <w:fldChar w:fldCharType="begin"/>
            </w:r>
            <w:r w:rsidRPr="00A2307B">
              <w:rPr>
                <w:rFonts w:asciiTheme="minorHAnsi" w:hAnsiTheme="minorHAnsi"/>
                <w:b w:val="0"/>
                <w:bCs w:val="0"/>
                <w:webHidden/>
              </w:rPr>
              <w:instrText xml:space="preserve"> PAGEREF _Toc220665476 \h </w:instrText>
            </w:r>
            <w:r w:rsidRPr="00A2307B">
              <w:rPr>
                <w:rFonts w:asciiTheme="minorHAnsi" w:hAnsiTheme="minorHAnsi"/>
                <w:b w:val="0"/>
                <w:bCs w:val="0"/>
                <w:webHidden/>
              </w:rPr>
            </w:r>
            <w:r w:rsidRPr="00A2307B">
              <w:rPr>
                <w:rFonts w:asciiTheme="minorHAnsi" w:hAnsiTheme="minorHAnsi"/>
                <w:b w:val="0"/>
                <w:bCs w:val="0"/>
                <w:webHidden/>
              </w:rPr>
              <w:fldChar w:fldCharType="separate"/>
            </w:r>
            <w:r w:rsidRPr="00A2307B">
              <w:rPr>
                <w:rFonts w:asciiTheme="minorHAnsi" w:hAnsiTheme="minorHAnsi"/>
                <w:b w:val="0"/>
                <w:bCs w:val="0"/>
                <w:webHidden/>
              </w:rPr>
              <w:t>12</w:t>
            </w:r>
            <w:r w:rsidRPr="00A2307B">
              <w:rPr>
                <w:rFonts w:asciiTheme="minorHAnsi" w:hAnsiTheme="minorHAnsi"/>
                <w:b w:val="0"/>
                <w:bCs w:val="0"/>
                <w:webHidden/>
              </w:rPr>
              <w:fldChar w:fldCharType="end"/>
            </w:r>
          </w:hyperlink>
        </w:p>
        <w:p w14:paraId="632FF277" w14:textId="6CAD31BE" w:rsidR="00A2307B" w:rsidRPr="00A2307B" w:rsidRDefault="00A2307B" w:rsidP="00A2307B">
          <w:pPr>
            <w:pStyle w:val="TOC1"/>
            <w:spacing w:line="360" w:lineRule="auto"/>
            <w:rPr>
              <w:rFonts w:eastAsiaTheme="minorEastAsia" w:cstheme="minorBidi"/>
              <w:color w:val="404040" w:themeColor="text1" w:themeTint="BF"/>
              <w:lang w:eastAsia="en-CA"/>
            </w:rPr>
          </w:pPr>
          <w:hyperlink w:anchor="_Toc220665477" w:history="1">
            <w:r w:rsidRPr="00A2307B">
              <w:rPr>
                <w:rStyle w:val="Hyperlink"/>
                <w:b/>
                <w:color w:val="404040" w:themeColor="text1" w:themeTint="BF"/>
              </w:rPr>
              <w:t>Endorsements</w:t>
            </w:r>
            <w:r w:rsidRPr="00A2307B">
              <w:rPr>
                <w:webHidden/>
                <w:color w:val="404040" w:themeColor="text1" w:themeTint="BF"/>
              </w:rPr>
              <w:tab/>
            </w:r>
            <w:r w:rsidRPr="00A2307B">
              <w:rPr>
                <w:webHidden/>
                <w:color w:val="404040" w:themeColor="text1" w:themeTint="BF"/>
              </w:rPr>
              <w:fldChar w:fldCharType="begin"/>
            </w:r>
            <w:r w:rsidRPr="00A2307B">
              <w:rPr>
                <w:webHidden/>
                <w:color w:val="404040" w:themeColor="text1" w:themeTint="BF"/>
              </w:rPr>
              <w:instrText xml:space="preserve"> PAGEREF _Toc220665477 \h </w:instrText>
            </w:r>
            <w:r w:rsidRPr="00A2307B">
              <w:rPr>
                <w:webHidden/>
                <w:color w:val="404040" w:themeColor="text1" w:themeTint="BF"/>
              </w:rPr>
            </w:r>
            <w:r w:rsidRPr="00A2307B">
              <w:rPr>
                <w:webHidden/>
                <w:color w:val="404040" w:themeColor="text1" w:themeTint="BF"/>
              </w:rPr>
              <w:fldChar w:fldCharType="separate"/>
            </w:r>
            <w:r w:rsidRPr="00A2307B">
              <w:rPr>
                <w:webHidden/>
                <w:color w:val="404040" w:themeColor="text1" w:themeTint="BF"/>
              </w:rPr>
              <w:t>16</w:t>
            </w:r>
            <w:r w:rsidRPr="00A2307B">
              <w:rPr>
                <w:webHidden/>
                <w:color w:val="404040" w:themeColor="text1" w:themeTint="BF"/>
              </w:rPr>
              <w:fldChar w:fldCharType="end"/>
            </w:r>
          </w:hyperlink>
        </w:p>
        <w:p w14:paraId="1894A1FF" w14:textId="4175A369" w:rsidR="00C475B5" w:rsidRPr="00C475B5" w:rsidRDefault="00C475B5">
          <w:r w:rsidRPr="00C53050">
            <w:rPr>
              <w:noProof/>
              <w:color w:val="262626" w:themeColor="text1" w:themeTint="D9"/>
            </w:rPr>
            <w:fldChar w:fldCharType="end"/>
          </w:r>
        </w:p>
      </w:sdtContent>
    </w:sdt>
    <w:p w14:paraId="2B844DD1" w14:textId="46158582" w:rsidR="00C475B5" w:rsidRDefault="00246219">
      <w:pPr>
        <w:rPr>
          <w:color w:val="156082" w:themeColor="accent1"/>
        </w:rPr>
      </w:pPr>
      <w:r>
        <w:rPr>
          <w:noProof/>
        </w:rPr>
        <mc:AlternateContent>
          <mc:Choice Requires="wps">
            <w:drawing>
              <wp:anchor distT="0" distB="0" distL="114300" distR="114300" simplePos="0" relativeHeight="251658242" behindDoc="0" locked="0" layoutInCell="1" allowOverlap="1" wp14:anchorId="27897710" wp14:editId="78C87EBC">
                <wp:simplePos x="0" y="0"/>
                <wp:positionH relativeFrom="margin">
                  <wp:posOffset>4914900</wp:posOffset>
                </wp:positionH>
                <wp:positionV relativeFrom="paragraph">
                  <wp:posOffset>2817495</wp:posOffset>
                </wp:positionV>
                <wp:extent cx="1168400" cy="1627672"/>
                <wp:effectExtent l="0" t="0" r="0" b="0"/>
                <wp:wrapNone/>
                <wp:docPr id="1752195766" name="Rectangle 2"/>
                <wp:cNvGraphicFramePr/>
                <a:graphic xmlns:a="http://schemas.openxmlformats.org/drawingml/2006/main">
                  <a:graphicData uri="http://schemas.microsoft.com/office/word/2010/wordprocessingShape">
                    <wps:wsp>
                      <wps:cNvSpPr/>
                      <wps:spPr>
                        <a:xfrm>
                          <a:off x="0" y="0"/>
                          <a:ext cx="1168400" cy="1627672"/>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CD901" id="Rectangle 2" o:spid="_x0000_s1026" style="position:absolute;margin-left:387pt;margin-top:221.85pt;width:92pt;height:128.1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" fillcolor="#ffc000" stroked="f" strokeweight="1.5pt">
                <w10:wrap anchorx="margin"/>
              </v:rect>
            </w:pict>
          </mc:Fallback>
        </mc:AlternateContent>
      </w:r>
      <w:r w:rsidR="00C475B5">
        <w:rPr>
          <w:color w:val="156082" w:themeColor="accent1"/>
        </w:rPr>
        <w:br w:type="page"/>
      </w:r>
    </w:p>
    <w:p w14:paraId="6CBEFF05" w14:textId="37C1604E" w:rsidR="0061630E" w:rsidRPr="008B4955" w:rsidRDefault="004F0179" w:rsidP="00C475B5">
      <w:pPr>
        <w:pStyle w:val="Heading1"/>
        <w:rPr>
          <w:rFonts w:cs="Arial"/>
          <w:b/>
          <w:color w:val="404040" w:themeColor="text1" w:themeTint="BF"/>
          <w:sz w:val="36"/>
          <w:szCs w:val="36"/>
        </w:rPr>
      </w:pPr>
      <w:bookmarkStart w:id="0" w:name="_Toc220665467"/>
      <w:r w:rsidRPr="008B4955">
        <w:rPr>
          <w:rFonts w:cs="Arial"/>
          <w:b/>
          <w:color w:val="404040" w:themeColor="text1" w:themeTint="BF"/>
          <w:sz w:val="36"/>
          <w:szCs w:val="36"/>
        </w:rPr>
        <w:lastRenderedPageBreak/>
        <w:t>O</w:t>
      </w:r>
      <w:r w:rsidR="00516763" w:rsidRPr="008B4955">
        <w:rPr>
          <w:rFonts w:cs="Arial"/>
          <w:b/>
          <w:color w:val="404040" w:themeColor="text1" w:themeTint="BF"/>
          <w:sz w:val="36"/>
          <w:szCs w:val="36"/>
        </w:rPr>
        <w:t>verview</w:t>
      </w:r>
      <w:r w:rsidR="0061630E" w:rsidRPr="008B4955">
        <w:rPr>
          <w:rFonts w:cs="Arial"/>
          <w:b/>
          <w:color w:val="404040" w:themeColor="text1" w:themeTint="BF"/>
          <w:sz w:val="36"/>
          <w:szCs w:val="36"/>
        </w:rPr>
        <w:t>: Why Address Homelessness under the ICCPR?</w:t>
      </w:r>
      <w:bookmarkEnd w:id="0"/>
    </w:p>
    <w:p w14:paraId="7E407988" w14:textId="0A835BC8" w:rsidR="005C6AC5" w:rsidRPr="005C6AC5" w:rsidRDefault="005C6AC5" w:rsidP="005C6AC5">
      <w:r w:rsidRPr="005D079E">
        <w:rPr>
          <w:noProof/>
          <w:color w:val="FFC000"/>
        </w:rPr>
        <mc:AlternateContent>
          <mc:Choice Requires="wps">
            <w:drawing>
              <wp:anchor distT="0" distB="0" distL="114300" distR="114300" simplePos="0" relativeHeight="251662342" behindDoc="0" locked="0" layoutInCell="1" allowOverlap="1" wp14:anchorId="6C64C76B" wp14:editId="714343D0">
                <wp:simplePos x="0" y="0"/>
                <wp:positionH relativeFrom="column">
                  <wp:posOffset>0</wp:posOffset>
                </wp:positionH>
                <wp:positionV relativeFrom="paragraph">
                  <wp:posOffset>0</wp:posOffset>
                </wp:positionV>
                <wp:extent cx="5695950" cy="0"/>
                <wp:effectExtent l="0" t="0" r="0" b="0"/>
                <wp:wrapNone/>
                <wp:docPr id="1296494123" name="Straight Connector 10"/>
                <wp:cNvGraphicFramePr/>
                <a:graphic xmlns:a="http://schemas.openxmlformats.org/drawingml/2006/main">
                  <a:graphicData uri="http://schemas.microsoft.com/office/word/2010/wordprocessingShape">
                    <wps:wsp>
                      <wps:cNvCnPr/>
                      <wps:spPr>
                        <a:xfrm>
                          <a:off x="0" y="0"/>
                          <a:ext cx="5695950" cy="0"/>
                        </a:xfrm>
                        <a:prstGeom prst="line">
                          <a:avLst/>
                        </a:prstGeom>
                        <a:ln>
                          <a:solidFill>
                            <a:srgbClr val="FFC000"/>
                          </a:solidFill>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6035F000" id="Straight Connector 10" o:spid="_x0000_s1026" style="position:absolute;z-index:251662342;visibility:visible;mso-wrap-style:square;mso-wrap-distance-left:9pt;mso-wrap-distance-top:0;mso-wrap-distance-right:9pt;mso-wrap-distance-bottom:0;mso-position-horizontal:absolute;mso-position-horizontal-relative:text;mso-position-vertical:absolute;mso-position-vertical-relative:text"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" strokecolor="#ffc000" strokeweight="1.5pt">
                <v:stroke joinstyle="miter"/>
              </v:line>
            </w:pict>
          </mc:Fallback>
        </mc:AlternateContent>
      </w:r>
    </w:p>
    <w:p w14:paraId="5572798A" w14:textId="45A42FD6" w:rsidR="0061630E" w:rsidRPr="005D079E" w:rsidRDefault="0061630E" w:rsidP="0061630E">
      <w:r w:rsidRPr="00ED4D4B">
        <w:rPr>
          <w:rFonts w:asciiTheme="majorHAnsi" w:hAnsiTheme="majorHAnsi" w:cs="Arial"/>
          <w:sz w:val="22"/>
          <w:szCs w:val="22"/>
        </w:rPr>
        <w:t xml:space="preserve">It is widely agreed that one of the most </w:t>
      </w:r>
      <w:r w:rsidR="0CF48854" w:rsidRPr="00ED4D4B">
        <w:rPr>
          <w:rFonts w:asciiTheme="majorHAnsi" w:hAnsiTheme="majorHAnsi" w:cs="Arial"/>
          <w:sz w:val="22"/>
          <w:szCs w:val="22"/>
        </w:rPr>
        <w:t>egregious</w:t>
      </w:r>
      <w:r w:rsidRPr="00ED4D4B">
        <w:rPr>
          <w:rFonts w:asciiTheme="majorHAnsi" w:hAnsiTheme="majorHAnsi" w:cs="Arial"/>
          <w:sz w:val="22"/>
          <w:szCs w:val="22"/>
        </w:rPr>
        <w:t xml:space="preserve"> systemic violations of human rights in Canada is widespread homelessness and housing precarity among the most disadvantaged groups. It was in the context of the review of Canada in 1999 that this Committee</w:t>
      </w:r>
      <w:r w:rsidR="0003185F" w:rsidRPr="00ED4D4B">
        <w:rPr>
          <w:rFonts w:asciiTheme="majorHAnsi" w:hAnsiTheme="majorHAnsi" w:cs="Arial"/>
          <w:sz w:val="22"/>
          <w:szCs w:val="22"/>
        </w:rPr>
        <w:t xml:space="preserve"> first recognized that</w:t>
      </w:r>
      <w:r w:rsidRPr="00ED4D4B">
        <w:rPr>
          <w:rFonts w:asciiTheme="majorHAnsi" w:hAnsiTheme="majorHAnsi" w:cs="Arial"/>
          <w:sz w:val="22"/>
          <w:szCs w:val="22"/>
        </w:rPr>
        <w:t xml:space="preserve"> homelessness has severe consequences</w:t>
      </w:r>
      <w:r w:rsidR="0003185F" w:rsidRPr="00ED4D4B">
        <w:rPr>
          <w:rFonts w:asciiTheme="majorHAnsi" w:hAnsiTheme="majorHAnsi" w:cs="Arial"/>
          <w:sz w:val="22"/>
          <w:szCs w:val="22"/>
        </w:rPr>
        <w:t>,</w:t>
      </w:r>
      <w:r w:rsidRPr="00ED4D4B">
        <w:rPr>
          <w:rFonts w:asciiTheme="majorHAnsi" w:hAnsiTheme="majorHAnsi" w:cs="Arial"/>
          <w:sz w:val="22"/>
          <w:szCs w:val="22"/>
        </w:rPr>
        <w:t xml:space="preserve"> </w:t>
      </w:r>
      <w:r w:rsidR="0003185F" w:rsidRPr="00ED4D4B">
        <w:rPr>
          <w:rFonts w:asciiTheme="majorHAnsi" w:hAnsiTheme="majorHAnsi" w:cs="Arial"/>
          <w:sz w:val="22"/>
          <w:szCs w:val="22"/>
        </w:rPr>
        <w:t>in</w:t>
      </w:r>
      <w:r w:rsidRPr="00ED4D4B">
        <w:rPr>
          <w:rFonts w:asciiTheme="majorHAnsi" w:hAnsiTheme="majorHAnsi" w:cs="Arial"/>
          <w:sz w:val="22"/>
          <w:szCs w:val="22"/>
        </w:rPr>
        <w:t xml:space="preserve">cluding death, </w:t>
      </w:r>
      <w:r w:rsidR="0003185F" w:rsidRPr="00ED4D4B">
        <w:rPr>
          <w:rFonts w:asciiTheme="majorHAnsi" w:hAnsiTheme="majorHAnsi" w:cs="Arial"/>
          <w:sz w:val="22"/>
          <w:szCs w:val="22"/>
        </w:rPr>
        <w:t xml:space="preserve">and </w:t>
      </w:r>
      <w:r w:rsidRPr="00ED4D4B">
        <w:rPr>
          <w:rFonts w:asciiTheme="majorHAnsi" w:hAnsiTheme="majorHAnsi" w:cs="Arial"/>
          <w:sz w:val="22"/>
          <w:szCs w:val="22"/>
        </w:rPr>
        <w:t>affirmed that the right to life in article 6 requires positive measures to address this systemic violation – a position that was subsequently reaffirmed in General Comment 36.</w:t>
      </w:r>
      <w:r w:rsidR="59233220" w:rsidRPr="00ED4D4B">
        <w:rPr>
          <w:rFonts w:asciiTheme="majorHAnsi" w:hAnsiTheme="majorHAnsi" w:cs="Arial"/>
          <w:sz w:val="22"/>
          <w:szCs w:val="22"/>
        </w:rPr>
        <w:t xml:space="preserve"> </w:t>
      </w:r>
    </w:p>
    <w:p w14:paraId="4CD4D1E7" w14:textId="19630B34" w:rsidR="0061630E" w:rsidRPr="00ED4D4B" w:rsidRDefault="0061630E" w:rsidP="0061630E">
      <w:pPr>
        <w:rPr>
          <w:rFonts w:asciiTheme="majorHAnsi" w:hAnsiTheme="majorHAnsi" w:cs="Arial"/>
          <w:sz w:val="22"/>
          <w:szCs w:val="22"/>
        </w:rPr>
      </w:pPr>
      <w:r w:rsidRPr="00ED4D4B">
        <w:rPr>
          <w:rFonts w:asciiTheme="majorHAnsi" w:hAnsiTheme="majorHAnsi" w:cs="Arial"/>
          <w:sz w:val="22"/>
          <w:szCs w:val="22"/>
        </w:rPr>
        <w:t>Canada has</w:t>
      </w:r>
      <w:r w:rsidR="00DB4353" w:rsidRPr="00ED4D4B">
        <w:rPr>
          <w:rFonts w:asciiTheme="majorHAnsi" w:hAnsiTheme="majorHAnsi" w:cs="Arial"/>
          <w:sz w:val="22"/>
          <w:szCs w:val="22"/>
        </w:rPr>
        <w:t xml:space="preserve"> </w:t>
      </w:r>
      <w:r w:rsidRPr="00ED4D4B">
        <w:rPr>
          <w:rFonts w:asciiTheme="majorHAnsi" w:hAnsiTheme="majorHAnsi" w:cs="Arial"/>
          <w:sz w:val="22"/>
          <w:szCs w:val="22"/>
        </w:rPr>
        <w:t>taken the position, however, that homelessness</w:t>
      </w:r>
      <w:r w:rsidR="00DB4353" w:rsidRPr="00ED4D4B">
        <w:rPr>
          <w:rFonts w:asciiTheme="majorHAnsi" w:hAnsiTheme="majorHAnsi" w:cs="Arial"/>
          <w:sz w:val="22"/>
          <w:szCs w:val="22"/>
        </w:rPr>
        <w:t xml:space="preserve"> and housing fall </w:t>
      </w:r>
      <w:r w:rsidRPr="00ED4D4B">
        <w:rPr>
          <w:rFonts w:asciiTheme="majorHAnsi" w:hAnsiTheme="majorHAnsi" w:cs="Arial"/>
          <w:sz w:val="22"/>
          <w:szCs w:val="22"/>
        </w:rPr>
        <w:t>within the realm of economic, social, and cultural rights under the ICESCR</w:t>
      </w:r>
      <w:r w:rsidR="0003185F" w:rsidRPr="00ED4D4B">
        <w:rPr>
          <w:rFonts w:asciiTheme="majorHAnsi" w:hAnsiTheme="majorHAnsi" w:cs="Arial"/>
          <w:sz w:val="22"/>
          <w:szCs w:val="22"/>
        </w:rPr>
        <w:t xml:space="preserve"> and on this basis denied access to effective remedies for violations of the right to life and non-discrimination linked to homelessness or forced eviction - </w:t>
      </w:r>
      <w:r w:rsidRPr="00ED4D4B">
        <w:rPr>
          <w:rFonts w:asciiTheme="majorHAnsi" w:hAnsiTheme="majorHAnsi" w:cs="Arial"/>
          <w:sz w:val="22"/>
          <w:szCs w:val="22"/>
        </w:rPr>
        <w:t>notwithstanding this Committee’s jurisprudence affirming the interdependence and indivisibility of human rights.</w:t>
      </w:r>
      <w:r w:rsidR="00F07693" w:rsidRPr="00ED4D4B">
        <w:rPr>
          <w:rStyle w:val="FootnoteReference"/>
          <w:rFonts w:asciiTheme="majorHAnsi" w:hAnsiTheme="majorHAnsi" w:cs="Arial"/>
          <w:sz w:val="22"/>
          <w:szCs w:val="22"/>
        </w:rPr>
        <w:footnoteReference w:id="1"/>
      </w:r>
    </w:p>
    <w:p w14:paraId="2B9622D2" w14:textId="6FFB350C" w:rsidR="0003185F" w:rsidRPr="00ED4D4B" w:rsidRDefault="0003185F" w:rsidP="0003185F">
      <w:pPr>
        <w:rPr>
          <w:rFonts w:asciiTheme="majorHAnsi" w:hAnsiTheme="majorHAnsi" w:cs="Arial"/>
          <w:sz w:val="22"/>
          <w:szCs w:val="22"/>
        </w:rPr>
      </w:pPr>
      <w:r w:rsidRPr="00ED4D4B">
        <w:rPr>
          <w:rFonts w:asciiTheme="majorHAnsi" w:eastAsiaTheme="minorEastAsia" w:hAnsiTheme="majorHAnsi" w:cs="Arial"/>
          <w:noProof/>
          <w:color w:val="156082" w:themeColor="accent1"/>
          <w:kern w:val="0"/>
          <w:sz w:val="22"/>
          <w:szCs w:val="22"/>
          <w:lang w:val="en-US"/>
          <w14:ligatures w14:val="none"/>
        </w:rPr>
        <mc:AlternateContent>
          <mc:Choice Requires="wps">
            <w:drawing>
              <wp:anchor distT="0" distB="0" distL="114300" distR="114300" simplePos="0" relativeHeight="251658241" behindDoc="0" locked="0" layoutInCell="1" allowOverlap="1" wp14:anchorId="306849DC" wp14:editId="31D6D1D0">
                <wp:simplePos x="0" y="0"/>
                <wp:positionH relativeFrom="margin">
                  <wp:posOffset>0</wp:posOffset>
                </wp:positionH>
                <wp:positionV relativeFrom="paragraph">
                  <wp:posOffset>827406</wp:posOffset>
                </wp:positionV>
                <wp:extent cx="4832350" cy="88900"/>
                <wp:effectExtent l="0" t="0" r="6350" b="6350"/>
                <wp:wrapNone/>
                <wp:docPr id="142" name="Text Box 146"/>
                <wp:cNvGraphicFramePr/>
                <a:graphic xmlns:a="http://schemas.openxmlformats.org/drawingml/2006/main">
                  <a:graphicData uri="http://schemas.microsoft.com/office/word/2010/wordprocessingShape">
                    <wps:wsp>
                      <wps:cNvSpPr txBox="1"/>
                      <wps:spPr>
                        <a:xfrm flipV="1">
                          <a:off x="0" y="0"/>
                          <a:ext cx="4832350" cy="88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CB1D5" w14:textId="3FCE5BB4" w:rsidR="000F6C7D" w:rsidRDefault="000F6C7D">
                            <w:pPr>
                              <w:pStyle w:val="NoSpacing"/>
                              <w:jc w:val="center"/>
                              <w:rPr>
                                <w:color w:val="156082" w:themeColor="accent1"/>
                              </w:rPr>
                            </w:pPr>
                          </w:p>
                          <w:p w14:paraId="4E0FA82C" w14:textId="77777777" w:rsidR="0003185F" w:rsidRDefault="0003185F">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6849DC" id="_x0000_t202" coordsize="21600,21600" o:spt="202" path="m,l,21600r21600,l21600,xe">
                <v:stroke joinstyle="miter"/>
                <v:path gradientshapeok="t" o:connecttype="rect"/>
              </v:shapetype>
              <v:shape id="Text Box 146" o:spid="_x0000_s1026" type="#_x0000_t202" style="position:absolute;margin-left:0;margin-top:65.15pt;width:380.5pt;height:7pt;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" filled="f" stroked="f" strokeweight=".5pt">
                <v:textbox inset="0,0,0,0">
                  <w:txbxContent>
                    <w:p w14:paraId="6CDCB1D5" w14:textId="3FCE5BB4" w:rsidR="000F6C7D" w:rsidRDefault="000F6C7D">
                      <w:pPr>
                        <w:pStyle w:val="NoSpacing"/>
                        <w:jc w:val="center"/>
                        <w:rPr>
                          <w:color w:val="156082" w:themeColor="accent1"/>
                        </w:rPr>
                      </w:pPr>
                    </w:p>
                    <w:p w14:paraId="4E0FA82C" w14:textId="77777777" w:rsidR="0003185F" w:rsidRDefault="0003185F">
                      <w:pPr>
                        <w:pStyle w:val="NoSpacing"/>
                        <w:jc w:val="center"/>
                        <w:rPr>
                          <w:color w:val="156082" w:themeColor="accent1"/>
                        </w:rPr>
                      </w:pPr>
                    </w:p>
                  </w:txbxContent>
                </v:textbox>
                <w10:wrap anchorx="margin"/>
              </v:shape>
            </w:pict>
          </mc:Fallback>
        </mc:AlternateContent>
      </w:r>
      <w:r w:rsidR="0061630E" w:rsidRPr="00ED4D4B">
        <w:rPr>
          <w:rFonts w:asciiTheme="majorHAnsi" w:hAnsiTheme="majorHAnsi" w:cs="Arial"/>
          <w:sz w:val="22"/>
          <w:szCs w:val="22"/>
        </w:rPr>
        <w:t>As a result</w:t>
      </w:r>
      <w:r w:rsidRPr="00ED4D4B">
        <w:rPr>
          <w:rFonts w:asciiTheme="majorHAnsi" w:hAnsiTheme="majorHAnsi" w:cs="Arial"/>
          <w:sz w:val="22"/>
          <w:szCs w:val="22"/>
        </w:rPr>
        <w:t xml:space="preserve">, violations of the rights to life, protection of the home and discrimination in housing </w:t>
      </w:r>
      <w:r w:rsidR="0061630E" w:rsidRPr="00ED4D4B">
        <w:rPr>
          <w:rFonts w:asciiTheme="majorHAnsi" w:hAnsiTheme="majorHAnsi" w:cs="Arial"/>
          <w:sz w:val="22"/>
          <w:szCs w:val="22"/>
        </w:rPr>
        <w:t>persist in Canada without meaningful accountability</w:t>
      </w:r>
      <w:r w:rsidRPr="00ED4D4B">
        <w:rPr>
          <w:rFonts w:asciiTheme="majorHAnsi" w:hAnsiTheme="majorHAnsi" w:cs="Arial"/>
          <w:sz w:val="22"/>
          <w:szCs w:val="22"/>
        </w:rPr>
        <w:t xml:space="preserve"> or access to effective remedies </w:t>
      </w:r>
      <w:r w:rsidR="0061630E" w:rsidRPr="00ED4D4B">
        <w:rPr>
          <w:rFonts w:asciiTheme="majorHAnsi" w:hAnsiTheme="majorHAnsi" w:cs="Arial"/>
          <w:sz w:val="22"/>
          <w:szCs w:val="22"/>
        </w:rPr>
        <w:t xml:space="preserve">—particularly Indigenous </w:t>
      </w:r>
      <w:r w:rsidR="2BA19DD4" w:rsidRPr="00ED4D4B">
        <w:rPr>
          <w:rFonts w:asciiTheme="majorHAnsi" w:hAnsiTheme="majorHAnsi" w:cs="Arial"/>
          <w:sz w:val="22"/>
          <w:szCs w:val="22"/>
        </w:rPr>
        <w:t>Peoples</w:t>
      </w:r>
      <w:r w:rsidR="0061630E" w:rsidRPr="00ED4D4B">
        <w:rPr>
          <w:rFonts w:asciiTheme="majorHAnsi" w:hAnsiTheme="majorHAnsi" w:cs="Arial"/>
          <w:sz w:val="22"/>
          <w:szCs w:val="22"/>
        </w:rPr>
        <w:t xml:space="preserve">, persons with disabilities, </w:t>
      </w:r>
      <w:r w:rsidR="6675476F" w:rsidRPr="00ED4D4B">
        <w:rPr>
          <w:rFonts w:asciiTheme="majorHAnsi" w:hAnsiTheme="majorHAnsi" w:cs="Arial"/>
          <w:sz w:val="22"/>
          <w:szCs w:val="22"/>
        </w:rPr>
        <w:t xml:space="preserve">Black and </w:t>
      </w:r>
      <w:r w:rsidR="0061630E" w:rsidRPr="00ED4D4B">
        <w:rPr>
          <w:rFonts w:asciiTheme="majorHAnsi" w:hAnsiTheme="majorHAnsi" w:cs="Arial"/>
          <w:sz w:val="22"/>
          <w:szCs w:val="22"/>
        </w:rPr>
        <w:t xml:space="preserve">racialized </w:t>
      </w:r>
      <w:r w:rsidRPr="00ED4D4B">
        <w:rPr>
          <w:rFonts w:asciiTheme="majorHAnsi" w:hAnsiTheme="majorHAnsi" w:cs="Arial"/>
          <w:sz w:val="22"/>
          <w:szCs w:val="22"/>
        </w:rPr>
        <w:t>communities, women, migrants, and gender-diverse people. It is therefore critical that in the current review of Canada, the Committee clarify for Canada the nature of its obligations to address violations of Covenant rights in the context of housing and homelessness.  We focus on the following three critical recommendatio</w:t>
      </w:r>
      <w:r w:rsidR="68719BD6" w:rsidRPr="00ED4D4B">
        <w:rPr>
          <w:rFonts w:asciiTheme="majorHAnsi" w:hAnsiTheme="majorHAnsi" w:cs="Arial"/>
          <w:sz w:val="22"/>
          <w:szCs w:val="22"/>
        </w:rPr>
        <w:t>n</w:t>
      </w:r>
      <w:r w:rsidRPr="00ED4D4B">
        <w:rPr>
          <w:rFonts w:asciiTheme="majorHAnsi" w:hAnsiTheme="majorHAnsi" w:cs="Arial"/>
          <w:sz w:val="22"/>
          <w:szCs w:val="22"/>
        </w:rPr>
        <w:t>s:</w:t>
      </w:r>
    </w:p>
    <w:p w14:paraId="3C900BF5" w14:textId="08516BC0" w:rsidR="0061630E" w:rsidRPr="00ED4D4B" w:rsidRDefault="0061630E" w:rsidP="24A7EEC6">
      <w:pPr>
        <w:pStyle w:val="ListParagraph"/>
        <w:numPr>
          <w:ilvl w:val="0"/>
          <w:numId w:val="10"/>
        </w:numPr>
        <w:rPr>
          <w:rFonts w:asciiTheme="majorHAnsi" w:hAnsiTheme="majorHAnsi" w:cs="Arial"/>
          <w:sz w:val="22"/>
          <w:szCs w:val="22"/>
        </w:rPr>
      </w:pPr>
      <w:r w:rsidRPr="00F172A4">
        <w:rPr>
          <w:rFonts w:asciiTheme="majorHAnsi" w:hAnsiTheme="majorHAnsi" w:cs="Arial"/>
          <w:b/>
          <w:color w:val="404040" w:themeColor="text1" w:themeTint="BF"/>
          <w:sz w:val="22"/>
          <w:szCs w:val="22"/>
        </w:rPr>
        <w:t xml:space="preserve">Homelessness and the </w:t>
      </w:r>
      <w:r w:rsidR="004F0179" w:rsidRPr="00F172A4">
        <w:rPr>
          <w:rFonts w:asciiTheme="majorHAnsi" w:hAnsiTheme="majorHAnsi" w:cs="Arial"/>
          <w:b/>
          <w:color w:val="404040" w:themeColor="text1" w:themeTint="BF"/>
          <w:sz w:val="22"/>
          <w:szCs w:val="22"/>
        </w:rPr>
        <w:t>R</w:t>
      </w:r>
      <w:r w:rsidRPr="00F172A4">
        <w:rPr>
          <w:rFonts w:asciiTheme="majorHAnsi" w:hAnsiTheme="majorHAnsi" w:cs="Arial"/>
          <w:b/>
          <w:color w:val="404040" w:themeColor="text1" w:themeTint="BF"/>
          <w:sz w:val="22"/>
          <w:szCs w:val="22"/>
        </w:rPr>
        <w:t xml:space="preserve">ight to </w:t>
      </w:r>
      <w:r w:rsidR="004F0179" w:rsidRPr="00F172A4">
        <w:rPr>
          <w:rFonts w:asciiTheme="majorHAnsi" w:hAnsiTheme="majorHAnsi" w:cs="Arial"/>
          <w:b/>
          <w:color w:val="404040" w:themeColor="text1" w:themeTint="BF"/>
          <w:sz w:val="22"/>
          <w:szCs w:val="22"/>
        </w:rPr>
        <w:t>L</w:t>
      </w:r>
      <w:r w:rsidRPr="00F172A4">
        <w:rPr>
          <w:rFonts w:asciiTheme="majorHAnsi" w:hAnsiTheme="majorHAnsi" w:cs="Arial"/>
          <w:b/>
          <w:color w:val="404040" w:themeColor="text1" w:themeTint="BF"/>
          <w:sz w:val="22"/>
          <w:szCs w:val="22"/>
        </w:rPr>
        <w:t>ife (Articles 2 and 6):</w:t>
      </w:r>
      <w:r w:rsidRPr="00F172A4">
        <w:rPr>
          <w:rFonts w:asciiTheme="majorHAnsi" w:hAnsiTheme="majorHAnsi" w:cs="Arial"/>
          <w:color w:val="404040" w:themeColor="text1" w:themeTint="BF"/>
          <w:sz w:val="22"/>
          <w:szCs w:val="22"/>
        </w:rPr>
        <w:t xml:space="preserve"> </w:t>
      </w:r>
      <w:r w:rsidRPr="00ED4D4B">
        <w:rPr>
          <w:rFonts w:asciiTheme="majorHAnsi" w:hAnsiTheme="majorHAnsi" w:cs="Arial"/>
          <w:sz w:val="22"/>
          <w:szCs w:val="22"/>
        </w:rPr>
        <w:t xml:space="preserve">Canada’s </w:t>
      </w:r>
      <w:r w:rsidR="00C8463F" w:rsidRPr="00ED4D4B">
        <w:rPr>
          <w:rFonts w:asciiTheme="majorHAnsi" w:hAnsiTheme="majorHAnsi" w:cs="Arial"/>
          <w:sz w:val="22"/>
          <w:szCs w:val="22"/>
        </w:rPr>
        <w:t xml:space="preserve">must </w:t>
      </w:r>
      <w:r w:rsidRPr="00ED4D4B">
        <w:rPr>
          <w:rFonts w:asciiTheme="majorHAnsi" w:hAnsiTheme="majorHAnsi" w:cs="Arial"/>
          <w:sz w:val="22"/>
          <w:szCs w:val="22"/>
        </w:rPr>
        <w:t xml:space="preserve">implement positive </w:t>
      </w:r>
      <w:r w:rsidR="00C8463F" w:rsidRPr="00ED4D4B">
        <w:rPr>
          <w:rFonts w:asciiTheme="majorHAnsi" w:hAnsiTheme="majorHAnsi" w:cs="Arial"/>
          <w:sz w:val="22"/>
          <w:szCs w:val="22"/>
        </w:rPr>
        <w:t xml:space="preserve">measures and strategies with clear goals and timelines </w:t>
      </w:r>
      <w:r w:rsidRPr="00ED4D4B">
        <w:rPr>
          <w:rFonts w:asciiTheme="majorHAnsi" w:hAnsiTheme="majorHAnsi" w:cs="Arial"/>
          <w:sz w:val="22"/>
          <w:szCs w:val="22"/>
        </w:rPr>
        <w:t xml:space="preserve">to </w:t>
      </w:r>
      <w:r w:rsidR="00C8463F" w:rsidRPr="00ED4D4B">
        <w:rPr>
          <w:rFonts w:asciiTheme="majorHAnsi" w:hAnsiTheme="majorHAnsi" w:cs="Arial"/>
          <w:sz w:val="22"/>
          <w:szCs w:val="22"/>
        </w:rPr>
        <w:t xml:space="preserve">reduce and eliminate </w:t>
      </w:r>
      <w:r w:rsidRPr="00ED4D4B">
        <w:rPr>
          <w:rFonts w:asciiTheme="majorHAnsi" w:hAnsiTheme="majorHAnsi" w:cs="Arial"/>
          <w:sz w:val="22"/>
          <w:szCs w:val="22"/>
        </w:rPr>
        <w:t>homelessness</w:t>
      </w:r>
      <w:r w:rsidR="00C8463F" w:rsidRPr="00ED4D4B">
        <w:rPr>
          <w:rFonts w:asciiTheme="majorHAnsi" w:hAnsiTheme="majorHAnsi" w:cs="Arial"/>
          <w:sz w:val="22"/>
          <w:szCs w:val="22"/>
        </w:rPr>
        <w:t xml:space="preserve">, including </w:t>
      </w:r>
      <w:r w:rsidRPr="00ED4D4B">
        <w:rPr>
          <w:rFonts w:asciiTheme="majorHAnsi" w:hAnsiTheme="majorHAnsi" w:cs="Arial"/>
          <w:sz w:val="22"/>
          <w:szCs w:val="22"/>
        </w:rPr>
        <w:t xml:space="preserve">rights-based responses to encampments </w:t>
      </w:r>
      <w:r w:rsidR="00C8463F" w:rsidRPr="00ED4D4B">
        <w:rPr>
          <w:rFonts w:asciiTheme="majorHAnsi" w:hAnsiTheme="majorHAnsi" w:cs="Arial"/>
          <w:sz w:val="22"/>
          <w:szCs w:val="22"/>
        </w:rPr>
        <w:t xml:space="preserve">that ensure </w:t>
      </w:r>
      <w:r w:rsidRPr="00ED4D4B">
        <w:rPr>
          <w:rFonts w:asciiTheme="majorHAnsi" w:hAnsiTheme="majorHAnsi" w:cs="Arial"/>
          <w:sz w:val="22"/>
          <w:szCs w:val="22"/>
        </w:rPr>
        <w:t>access to basic necessities essential to life and dignity</w:t>
      </w:r>
      <w:r w:rsidR="00C8463F" w:rsidRPr="00ED4D4B">
        <w:rPr>
          <w:rFonts w:asciiTheme="majorHAnsi" w:hAnsiTheme="majorHAnsi" w:cs="Arial"/>
          <w:sz w:val="22"/>
          <w:szCs w:val="22"/>
        </w:rPr>
        <w:t xml:space="preserve"> and access to adequate housing</w:t>
      </w:r>
      <w:r w:rsidRPr="00ED4D4B">
        <w:rPr>
          <w:rFonts w:asciiTheme="majorHAnsi" w:hAnsiTheme="majorHAnsi" w:cs="Arial"/>
          <w:sz w:val="22"/>
          <w:szCs w:val="22"/>
        </w:rPr>
        <w:t>.</w:t>
      </w:r>
    </w:p>
    <w:p w14:paraId="7D277803" w14:textId="547C84A0" w:rsidR="0061630E" w:rsidRPr="00ED4D4B" w:rsidRDefault="0061630E" w:rsidP="0061630E">
      <w:pPr>
        <w:numPr>
          <w:ilvl w:val="0"/>
          <w:numId w:val="10"/>
        </w:numPr>
        <w:rPr>
          <w:rFonts w:asciiTheme="majorHAnsi" w:hAnsiTheme="majorHAnsi" w:cs="Arial"/>
          <w:sz w:val="22"/>
          <w:szCs w:val="22"/>
        </w:rPr>
      </w:pPr>
      <w:r w:rsidRPr="00F172A4">
        <w:rPr>
          <w:rFonts w:asciiTheme="majorHAnsi" w:hAnsiTheme="majorHAnsi" w:cs="Arial"/>
          <w:b/>
          <w:color w:val="404040" w:themeColor="text1" w:themeTint="BF"/>
          <w:sz w:val="22"/>
          <w:szCs w:val="22"/>
        </w:rPr>
        <w:t xml:space="preserve">Evictions and </w:t>
      </w:r>
      <w:r w:rsidR="004F0179" w:rsidRPr="00F172A4">
        <w:rPr>
          <w:rFonts w:asciiTheme="majorHAnsi" w:hAnsiTheme="majorHAnsi" w:cs="Arial"/>
          <w:b/>
          <w:color w:val="404040" w:themeColor="text1" w:themeTint="BF"/>
          <w:sz w:val="22"/>
          <w:szCs w:val="22"/>
        </w:rPr>
        <w:t>E</w:t>
      </w:r>
      <w:r w:rsidRPr="00F172A4">
        <w:rPr>
          <w:rFonts w:asciiTheme="majorHAnsi" w:hAnsiTheme="majorHAnsi" w:cs="Arial"/>
          <w:b/>
          <w:color w:val="404040" w:themeColor="text1" w:themeTint="BF"/>
          <w:sz w:val="22"/>
          <w:szCs w:val="22"/>
        </w:rPr>
        <w:t xml:space="preserve">ffective </w:t>
      </w:r>
      <w:r w:rsidR="004F0179" w:rsidRPr="00F172A4">
        <w:rPr>
          <w:rFonts w:asciiTheme="majorHAnsi" w:hAnsiTheme="majorHAnsi" w:cs="Arial"/>
          <w:b/>
          <w:color w:val="404040" w:themeColor="text1" w:themeTint="BF"/>
          <w:sz w:val="22"/>
          <w:szCs w:val="22"/>
        </w:rPr>
        <w:t>R</w:t>
      </w:r>
      <w:r w:rsidRPr="00F172A4">
        <w:rPr>
          <w:rFonts w:asciiTheme="majorHAnsi" w:hAnsiTheme="majorHAnsi" w:cs="Arial"/>
          <w:b/>
          <w:color w:val="404040" w:themeColor="text1" w:themeTint="BF"/>
          <w:sz w:val="22"/>
          <w:szCs w:val="22"/>
        </w:rPr>
        <w:t>emedies (Article 2 in conjunction with Article 6</w:t>
      </w:r>
      <w:r w:rsidR="00C8463F" w:rsidRPr="00F172A4">
        <w:rPr>
          <w:rFonts w:asciiTheme="majorHAnsi" w:hAnsiTheme="majorHAnsi" w:cs="Arial"/>
          <w:b/>
          <w:color w:val="404040" w:themeColor="text1" w:themeTint="BF"/>
          <w:sz w:val="22"/>
          <w:szCs w:val="22"/>
        </w:rPr>
        <w:t xml:space="preserve"> and 17</w:t>
      </w:r>
      <w:r w:rsidRPr="00F172A4">
        <w:rPr>
          <w:rFonts w:asciiTheme="majorHAnsi" w:hAnsiTheme="majorHAnsi" w:cs="Arial"/>
          <w:b/>
          <w:color w:val="404040" w:themeColor="text1" w:themeTint="BF"/>
          <w:sz w:val="22"/>
          <w:szCs w:val="22"/>
        </w:rPr>
        <w:t>):</w:t>
      </w:r>
      <w:r w:rsidRPr="00F172A4">
        <w:rPr>
          <w:rFonts w:asciiTheme="majorHAnsi" w:hAnsiTheme="majorHAnsi" w:cs="Arial"/>
          <w:color w:val="404040" w:themeColor="text1" w:themeTint="BF"/>
          <w:sz w:val="22"/>
          <w:szCs w:val="22"/>
        </w:rPr>
        <w:t xml:space="preserve"> </w:t>
      </w:r>
      <w:r w:rsidR="00C8463F" w:rsidRPr="00ED4D4B">
        <w:rPr>
          <w:rFonts w:asciiTheme="majorHAnsi" w:hAnsiTheme="majorHAnsi" w:cs="Arial"/>
          <w:sz w:val="22"/>
          <w:szCs w:val="22"/>
        </w:rPr>
        <w:t xml:space="preserve">Canada must ensure </w:t>
      </w:r>
      <w:r w:rsidRPr="00ED4D4B">
        <w:rPr>
          <w:rFonts w:asciiTheme="majorHAnsi" w:hAnsiTheme="majorHAnsi" w:cs="Arial"/>
          <w:sz w:val="22"/>
          <w:szCs w:val="22"/>
        </w:rPr>
        <w:t>effective legal safeguards to prevent evictions into homelessness</w:t>
      </w:r>
      <w:r w:rsidR="00C8463F" w:rsidRPr="00ED4D4B">
        <w:rPr>
          <w:rFonts w:asciiTheme="majorHAnsi" w:hAnsiTheme="majorHAnsi" w:cs="Arial"/>
          <w:sz w:val="22"/>
          <w:szCs w:val="22"/>
        </w:rPr>
        <w:t xml:space="preserve"> and </w:t>
      </w:r>
      <w:r w:rsidR="004F0179" w:rsidRPr="00ED4D4B">
        <w:rPr>
          <w:rFonts w:asciiTheme="majorHAnsi" w:hAnsiTheme="majorHAnsi" w:cs="Arial"/>
          <w:sz w:val="22"/>
          <w:szCs w:val="22"/>
        </w:rPr>
        <w:t>displacement of</w:t>
      </w:r>
      <w:r w:rsidR="00C8463F" w:rsidRPr="00ED4D4B">
        <w:rPr>
          <w:rFonts w:asciiTheme="majorHAnsi" w:hAnsiTheme="majorHAnsi" w:cs="Arial"/>
          <w:sz w:val="22"/>
          <w:szCs w:val="22"/>
        </w:rPr>
        <w:t xml:space="preserve"> vulnerable groups from affordable housing, </w:t>
      </w:r>
      <w:r w:rsidRPr="00ED4D4B">
        <w:rPr>
          <w:rFonts w:asciiTheme="majorHAnsi" w:hAnsiTheme="majorHAnsi" w:cs="Arial"/>
          <w:sz w:val="22"/>
          <w:szCs w:val="22"/>
        </w:rPr>
        <w:t xml:space="preserve">including </w:t>
      </w:r>
      <w:r w:rsidR="00C8463F" w:rsidRPr="00ED4D4B">
        <w:rPr>
          <w:rFonts w:asciiTheme="majorHAnsi" w:hAnsiTheme="majorHAnsi" w:cs="Arial"/>
          <w:sz w:val="22"/>
          <w:szCs w:val="22"/>
        </w:rPr>
        <w:t xml:space="preserve">providing </w:t>
      </w:r>
      <w:r w:rsidRPr="00ED4D4B">
        <w:rPr>
          <w:rFonts w:asciiTheme="majorHAnsi" w:hAnsiTheme="majorHAnsi" w:cs="Arial"/>
          <w:sz w:val="22"/>
          <w:szCs w:val="22"/>
        </w:rPr>
        <w:t>legal representation</w:t>
      </w:r>
      <w:r w:rsidR="00C8463F" w:rsidRPr="00ED4D4B">
        <w:rPr>
          <w:rFonts w:asciiTheme="majorHAnsi" w:hAnsiTheme="majorHAnsi" w:cs="Arial"/>
          <w:sz w:val="22"/>
          <w:szCs w:val="22"/>
        </w:rPr>
        <w:t xml:space="preserve"> and amending legislation to </w:t>
      </w:r>
      <w:r w:rsidRPr="00ED4D4B">
        <w:rPr>
          <w:rFonts w:asciiTheme="majorHAnsi" w:hAnsiTheme="majorHAnsi" w:cs="Arial"/>
          <w:sz w:val="22"/>
          <w:szCs w:val="22"/>
        </w:rPr>
        <w:t>apply proportionality</w:t>
      </w:r>
      <w:r w:rsidR="00C8463F" w:rsidRPr="00ED4D4B">
        <w:rPr>
          <w:rFonts w:asciiTheme="majorHAnsi" w:hAnsiTheme="majorHAnsi" w:cs="Arial"/>
          <w:sz w:val="22"/>
          <w:szCs w:val="22"/>
        </w:rPr>
        <w:t xml:space="preserve"> and ensure access to effective </w:t>
      </w:r>
      <w:r w:rsidRPr="00ED4D4B">
        <w:rPr>
          <w:rFonts w:asciiTheme="majorHAnsi" w:hAnsiTheme="majorHAnsi" w:cs="Arial"/>
          <w:sz w:val="22"/>
          <w:szCs w:val="22"/>
        </w:rPr>
        <w:t>remedies where eviction foreseeably places life and security at risk.</w:t>
      </w:r>
    </w:p>
    <w:p w14:paraId="5537BBE7" w14:textId="465E43F7" w:rsidR="00421BC2" w:rsidRPr="00ED4D4B" w:rsidRDefault="0061630E" w:rsidP="00421BC2">
      <w:pPr>
        <w:numPr>
          <w:ilvl w:val="0"/>
          <w:numId w:val="10"/>
        </w:numPr>
        <w:rPr>
          <w:rFonts w:asciiTheme="majorHAnsi" w:hAnsiTheme="majorHAnsi" w:cs="Arial"/>
          <w:sz w:val="22"/>
          <w:szCs w:val="22"/>
        </w:rPr>
      </w:pPr>
      <w:r w:rsidRPr="00573409">
        <w:rPr>
          <w:rFonts w:asciiTheme="majorHAnsi" w:hAnsiTheme="majorHAnsi" w:cs="Arial"/>
          <w:b/>
          <w:color w:val="404040" w:themeColor="text1" w:themeTint="BF"/>
          <w:sz w:val="22"/>
          <w:szCs w:val="22"/>
        </w:rPr>
        <w:t xml:space="preserve">Discrimination in </w:t>
      </w:r>
      <w:r w:rsidR="004F0179" w:rsidRPr="00573409">
        <w:rPr>
          <w:rFonts w:asciiTheme="majorHAnsi" w:hAnsiTheme="majorHAnsi" w:cs="Arial"/>
          <w:b/>
          <w:color w:val="404040" w:themeColor="text1" w:themeTint="BF"/>
          <w:sz w:val="22"/>
          <w:szCs w:val="22"/>
        </w:rPr>
        <w:t>H</w:t>
      </w:r>
      <w:r w:rsidRPr="00573409">
        <w:rPr>
          <w:rFonts w:asciiTheme="majorHAnsi" w:hAnsiTheme="majorHAnsi" w:cs="Arial"/>
          <w:b/>
          <w:color w:val="404040" w:themeColor="text1" w:themeTint="BF"/>
          <w:sz w:val="22"/>
          <w:szCs w:val="22"/>
        </w:rPr>
        <w:t>ousing (Article</w:t>
      </w:r>
      <w:r w:rsidR="00C8463F" w:rsidRPr="00573409">
        <w:rPr>
          <w:rFonts w:asciiTheme="majorHAnsi" w:hAnsiTheme="majorHAnsi" w:cs="Arial"/>
          <w:b/>
          <w:color w:val="404040" w:themeColor="text1" w:themeTint="BF"/>
          <w:sz w:val="22"/>
          <w:szCs w:val="22"/>
        </w:rPr>
        <w:t>s 2 and</w:t>
      </w:r>
      <w:r w:rsidRPr="00573409">
        <w:rPr>
          <w:rFonts w:asciiTheme="majorHAnsi" w:hAnsiTheme="majorHAnsi" w:cs="Arial"/>
          <w:b/>
          <w:color w:val="404040" w:themeColor="text1" w:themeTint="BF"/>
          <w:sz w:val="22"/>
          <w:szCs w:val="22"/>
        </w:rPr>
        <w:t xml:space="preserve"> 26):</w:t>
      </w:r>
      <w:r w:rsidRPr="00573409">
        <w:rPr>
          <w:rFonts w:asciiTheme="majorHAnsi" w:hAnsiTheme="majorHAnsi" w:cs="Arial"/>
          <w:color w:val="404040" w:themeColor="text1" w:themeTint="BF"/>
          <w:sz w:val="22"/>
          <w:szCs w:val="22"/>
        </w:rPr>
        <w:t xml:space="preserve"> </w:t>
      </w:r>
      <w:r w:rsidR="00C8463F" w:rsidRPr="00ED4D4B">
        <w:rPr>
          <w:rFonts w:asciiTheme="majorHAnsi" w:hAnsiTheme="majorHAnsi" w:cs="Arial"/>
          <w:sz w:val="22"/>
          <w:szCs w:val="22"/>
        </w:rPr>
        <w:t>Discrimination on the ground of homelessness and housing status must be recognized as a prohibited ground of discrimination and s</w:t>
      </w:r>
      <w:r w:rsidRPr="00ED4D4B">
        <w:rPr>
          <w:rFonts w:asciiTheme="majorHAnsi" w:hAnsiTheme="majorHAnsi" w:cs="Arial"/>
          <w:sz w:val="22"/>
          <w:szCs w:val="22"/>
        </w:rPr>
        <w:t>ystemic discrimination in housing policy and practic</w:t>
      </w:r>
      <w:r w:rsidR="00C8463F" w:rsidRPr="00ED4D4B">
        <w:rPr>
          <w:rFonts w:asciiTheme="majorHAnsi" w:hAnsiTheme="majorHAnsi" w:cs="Arial"/>
          <w:sz w:val="22"/>
          <w:szCs w:val="22"/>
        </w:rPr>
        <w:t xml:space="preserve">e must be addressed.  </w:t>
      </w:r>
      <w:r w:rsidR="0003185F" w:rsidRPr="00ED4D4B">
        <w:rPr>
          <w:rFonts w:asciiTheme="majorHAnsi" w:hAnsiTheme="majorHAnsi" w:cs="Arial"/>
          <w:sz w:val="22"/>
          <w:szCs w:val="22"/>
        </w:rPr>
        <w:t>This must</w:t>
      </w:r>
      <w:r w:rsidR="00C8463F" w:rsidRPr="00ED4D4B">
        <w:rPr>
          <w:rFonts w:asciiTheme="majorHAnsi" w:hAnsiTheme="majorHAnsi" w:cs="Arial"/>
          <w:sz w:val="22"/>
          <w:szCs w:val="22"/>
        </w:rPr>
        <w:t xml:space="preserve"> includ</w:t>
      </w:r>
      <w:r w:rsidR="0003185F" w:rsidRPr="00ED4D4B">
        <w:rPr>
          <w:rFonts w:asciiTheme="majorHAnsi" w:hAnsiTheme="majorHAnsi" w:cs="Arial"/>
          <w:sz w:val="22"/>
          <w:szCs w:val="22"/>
        </w:rPr>
        <w:t>e</w:t>
      </w:r>
      <w:r w:rsidR="00C8463F" w:rsidRPr="00ED4D4B">
        <w:rPr>
          <w:rFonts w:asciiTheme="majorHAnsi" w:hAnsiTheme="majorHAnsi" w:cs="Arial"/>
          <w:sz w:val="22"/>
          <w:szCs w:val="22"/>
        </w:rPr>
        <w:t xml:space="preserve"> the displacement of disadvantaged groups</w:t>
      </w:r>
      <w:r w:rsidR="0003185F" w:rsidRPr="00ED4D4B">
        <w:rPr>
          <w:rFonts w:asciiTheme="majorHAnsi" w:hAnsiTheme="majorHAnsi" w:cs="Arial"/>
          <w:sz w:val="22"/>
          <w:szCs w:val="22"/>
        </w:rPr>
        <w:t xml:space="preserve"> from their communities and neighbourhoods</w:t>
      </w:r>
      <w:r w:rsidR="00C8463F" w:rsidRPr="00ED4D4B">
        <w:rPr>
          <w:rFonts w:asciiTheme="majorHAnsi" w:hAnsiTheme="majorHAnsi" w:cs="Arial"/>
          <w:sz w:val="22"/>
          <w:szCs w:val="22"/>
        </w:rPr>
        <w:t xml:space="preserve"> through the financialization of housing</w:t>
      </w:r>
      <w:r w:rsidR="3B4779E1" w:rsidRPr="3B4779E1">
        <w:rPr>
          <w:rFonts w:asciiTheme="majorHAnsi" w:hAnsiTheme="majorHAnsi" w:cs="Arial"/>
          <w:sz w:val="22"/>
          <w:szCs w:val="22"/>
        </w:rPr>
        <w:t>.</w:t>
      </w:r>
      <w:r w:rsidR="00C8463F" w:rsidRPr="00ED4D4B">
        <w:rPr>
          <w:rFonts w:asciiTheme="majorHAnsi" w:hAnsiTheme="majorHAnsi" w:cs="Arial"/>
          <w:sz w:val="22"/>
          <w:szCs w:val="22"/>
        </w:rPr>
        <w:t xml:space="preserve"> </w:t>
      </w:r>
    </w:p>
    <w:p w14:paraId="1E5A8C64" w14:textId="5AA8F54C" w:rsidR="002C7923" w:rsidRDefault="004F0179" w:rsidP="00C475B5">
      <w:pPr>
        <w:pStyle w:val="Heading1"/>
        <w:rPr>
          <w:rFonts w:cs="Arial"/>
          <w:b/>
          <w:color w:val="404040" w:themeColor="text1" w:themeTint="BF"/>
          <w:sz w:val="36"/>
          <w:szCs w:val="36"/>
        </w:rPr>
      </w:pPr>
      <w:bookmarkStart w:id="1" w:name="_Toc220665468"/>
      <w:r w:rsidRPr="009649D9">
        <w:rPr>
          <w:rFonts w:cs="Arial"/>
          <w:b/>
          <w:color w:val="404040" w:themeColor="text1" w:themeTint="BF"/>
          <w:sz w:val="36"/>
          <w:szCs w:val="36"/>
        </w:rPr>
        <w:lastRenderedPageBreak/>
        <w:t>Who We Are</w:t>
      </w:r>
      <w:bookmarkEnd w:id="1"/>
    </w:p>
    <w:p w14:paraId="6D9FFB90" w14:textId="2D82B7C1" w:rsidR="005C6AC5" w:rsidRPr="005C6AC5" w:rsidRDefault="005C6AC5" w:rsidP="005C6AC5">
      <w:r w:rsidRPr="005D079E">
        <w:rPr>
          <w:noProof/>
          <w:color w:val="FFC000"/>
        </w:rPr>
        <mc:AlternateContent>
          <mc:Choice Requires="wps">
            <w:drawing>
              <wp:anchor distT="0" distB="0" distL="114300" distR="114300" simplePos="0" relativeHeight="251660294" behindDoc="0" locked="0" layoutInCell="1" allowOverlap="1" wp14:anchorId="0AD02515" wp14:editId="6E2B526B">
                <wp:simplePos x="0" y="0"/>
                <wp:positionH relativeFrom="column">
                  <wp:posOffset>0</wp:posOffset>
                </wp:positionH>
                <wp:positionV relativeFrom="paragraph">
                  <wp:posOffset>0</wp:posOffset>
                </wp:positionV>
                <wp:extent cx="5695950" cy="0"/>
                <wp:effectExtent l="0" t="0" r="0" b="0"/>
                <wp:wrapNone/>
                <wp:docPr id="960205900" name="Straight Connector 10"/>
                <wp:cNvGraphicFramePr/>
                <a:graphic xmlns:a="http://schemas.openxmlformats.org/drawingml/2006/main">
                  <a:graphicData uri="http://schemas.microsoft.com/office/word/2010/wordprocessingShape">
                    <wps:wsp>
                      <wps:cNvCnPr/>
                      <wps:spPr>
                        <a:xfrm>
                          <a:off x="0" y="0"/>
                          <a:ext cx="5695950" cy="0"/>
                        </a:xfrm>
                        <a:prstGeom prst="line">
                          <a:avLst/>
                        </a:prstGeom>
                        <a:ln>
                          <a:solidFill>
                            <a:srgbClr val="FFC000"/>
                          </a:solidFill>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5450A644" id="Straight Connector 10" o:spid="_x0000_s1026" style="position:absolute;z-index:251660294;visibility:visible;mso-wrap-style:square;mso-wrap-distance-left:9pt;mso-wrap-distance-top:0;mso-wrap-distance-right:9pt;mso-wrap-distance-bottom:0;mso-position-horizontal:absolute;mso-position-horizontal-relative:text;mso-position-vertical:absolute;mso-position-vertical-relative:text"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" strokecolor="#ffc000" strokeweight="1.5pt">
                <v:stroke joinstyle="miter"/>
              </v:line>
            </w:pict>
          </mc:Fallback>
        </mc:AlternateContent>
      </w:r>
    </w:p>
    <w:p w14:paraId="32FA913A" w14:textId="5155CD6B" w:rsidR="002C7923" w:rsidRPr="00ED4D4B" w:rsidRDefault="0061473D">
      <w:pPr>
        <w:rPr>
          <w:rFonts w:asciiTheme="majorHAnsi" w:hAnsiTheme="majorHAnsi" w:cs="Arial"/>
          <w:sz w:val="22"/>
          <w:szCs w:val="22"/>
        </w:rPr>
      </w:pPr>
      <w:r w:rsidRPr="4B45B238">
        <w:rPr>
          <w:rFonts w:asciiTheme="majorHAnsi" w:hAnsiTheme="majorHAnsi" w:cs="Arial"/>
          <w:b/>
          <w:sz w:val="22"/>
          <w:szCs w:val="22"/>
          <w:lang w:val="en-US"/>
        </w:rPr>
        <w:t>The National Right to Housing Network (NRHN)</w:t>
      </w:r>
      <w:r w:rsidRPr="00ED4D4B">
        <w:rPr>
          <w:rFonts w:asciiTheme="majorHAnsi" w:hAnsiTheme="majorHAnsi" w:cs="Arial"/>
          <w:sz w:val="22"/>
          <w:szCs w:val="22"/>
          <w:lang w:val="en-US"/>
        </w:rPr>
        <w:t xml:space="preserve"> is a broad-based, grassroots civil society network, led by a Steering Committee of economic and social rights experts, established to fully realize the human right to housing for all in Canada. Launched in February 2020, NRHN has become a key resource in guiding Canada’s new human rights-based oversight mechanisms—introduced under the National Housing Strategy Act (NHSA)—to address systemic housing inequities. Our network of over 2,300 organizations and individuals work to hold the federal government accountable and ensure that their human rights commitments made under the NHSA are meaningfully realized.</w:t>
      </w:r>
      <w:r w:rsidRPr="00ED4D4B">
        <w:rPr>
          <w:rFonts w:asciiTheme="majorHAnsi" w:hAnsiTheme="majorHAnsi" w:cs="Arial"/>
          <w:sz w:val="22"/>
          <w:szCs w:val="22"/>
        </w:rPr>
        <w:t> </w:t>
      </w:r>
    </w:p>
    <w:p w14:paraId="0DF62EEB" w14:textId="4775B408" w:rsidR="002C7923" w:rsidRPr="00ED4D4B" w:rsidRDefault="14FCD005">
      <w:pPr>
        <w:rPr>
          <w:rFonts w:asciiTheme="majorHAnsi" w:hAnsiTheme="majorHAnsi" w:cs="Arial"/>
          <w:sz w:val="22"/>
          <w:szCs w:val="22"/>
        </w:rPr>
      </w:pPr>
      <w:r w:rsidRPr="4B45B238">
        <w:rPr>
          <w:rFonts w:asciiTheme="majorHAnsi" w:hAnsiTheme="majorHAnsi" w:cs="Arial"/>
          <w:b/>
          <w:sz w:val="22"/>
          <w:szCs w:val="22"/>
        </w:rPr>
        <w:t>The Canadian Centre for Housing Rights (CCHR)</w:t>
      </w:r>
      <w:r w:rsidRPr="00ED4D4B">
        <w:rPr>
          <w:rFonts w:asciiTheme="majorHAnsi" w:hAnsiTheme="majorHAnsi" w:cs="Arial"/>
          <w:sz w:val="22"/>
          <w:szCs w:val="22"/>
        </w:rPr>
        <w:t xml:space="preserve"> is Canada’s leading registered charitable organization working to advance the right to adequate housing. For over 35 years, we have worked tirelessly at the intersection of human rights and housing, providing free services to renters facing evictions and human rights violations to remain housed, providing education and training about housing rights across Canada, and advancing rights-based housing policy through research, policy development, advocacy, and law reform.</w:t>
      </w:r>
    </w:p>
    <w:p w14:paraId="3F469AD1" w14:textId="114DA004" w:rsidR="008339D5" w:rsidRPr="00ED4D4B" w:rsidRDefault="14FCD005">
      <w:pPr>
        <w:rPr>
          <w:rFonts w:asciiTheme="majorHAnsi" w:hAnsiTheme="majorHAnsi" w:cs="Arial"/>
          <w:sz w:val="22"/>
          <w:szCs w:val="22"/>
        </w:rPr>
      </w:pPr>
      <w:r w:rsidRPr="4B45B238">
        <w:rPr>
          <w:rFonts w:asciiTheme="majorHAnsi" w:hAnsiTheme="majorHAnsi" w:cs="Arial"/>
          <w:b/>
          <w:sz w:val="22"/>
          <w:szCs w:val="22"/>
        </w:rPr>
        <w:t>Women’s National Housing and Homelessness Network (WNHHN)</w:t>
      </w:r>
      <w:r w:rsidRPr="00ED4D4B">
        <w:rPr>
          <w:rFonts w:asciiTheme="majorHAnsi" w:hAnsiTheme="majorHAnsi" w:cs="Arial"/>
          <w:sz w:val="22"/>
          <w:szCs w:val="22"/>
        </w:rPr>
        <w:t xml:space="preserve"> is a leading national organization working to address homelessness and housing insecurity among women, Two-Spirit, trans, and gender-diverse people in Canada. WNHHN conducts research on the root causes of housing precarity and advances evidence-based solutions, with a particular focus on equity-seeking communities. This research is deeply integrated with the organization’s advocacy and policy mobilization efforts. By centring and amplifying the voices of women, girls, and gender-diverse people with lived experience, WNHHN works to advance housing as a fundamental human rights. WNHHN is led by a collective of lived experts, advocates, organizers, researchers, frontline service and housing providers, united by a shared commitment to gender housing justice.</w:t>
      </w:r>
    </w:p>
    <w:p w14:paraId="1618AC01" w14:textId="07974D1B" w:rsidR="00864634" w:rsidRDefault="008339D5">
      <w:pPr>
        <w:rPr>
          <w:rFonts w:asciiTheme="majorHAnsi" w:hAnsiTheme="majorHAnsi" w:cs="Arial"/>
          <w:sz w:val="22"/>
          <w:szCs w:val="22"/>
        </w:rPr>
      </w:pPr>
      <w:r w:rsidRPr="00ED4D4B">
        <w:rPr>
          <w:rFonts w:asciiTheme="majorHAnsi" w:hAnsiTheme="majorHAnsi" w:cs="Arial"/>
          <w:sz w:val="22"/>
          <w:szCs w:val="22"/>
        </w:rPr>
        <w:t>The NRHN</w:t>
      </w:r>
      <w:r w:rsidR="0007649B" w:rsidRPr="00ED4D4B">
        <w:rPr>
          <w:rFonts w:asciiTheme="majorHAnsi" w:hAnsiTheme="majorHAnsi" w:cs="Arial"/>
          <w:sz w:val="22"/>
          <w:szCs w:val="22"/>
        </w:rPr>
        <w:t>, CCHR and W</w:t>
      </w:r>
      <w:r w:rsidR="0002200F" w:rsidRPr="00ED4D4B">
        <w:rPr>
          <w:rFonts w:asciiTheme="majorHAnsi" w:hAnsiTheme="majorHAnsi" w:cs="Arial"/>
          <w:sz w:val="22"/>
          <w:szCs w:val="22"/>
        </w:rPr>
        <w:t xml:space="preserve">NHHN </w:t>
      </w:r>
      <w:r w:rsidRPr="00ED4D4B">
        <w:rPr>
          <w:rFonts w:asciiTheme="majorHAnsi" w:hAnsiTheme="majorHAnsi" w:cs="Arial"/>
          <w:sz w:val="22"/>
          <w:szCs w:val="22"/>
        </w:rPr>
        <w:t xml:space="preserve">submit this report to Human Rights Committee in advance of Canada’s 7th review under the International Covenant on </w:t>
      </w:r>
      <w:r w:rsidR="0057667A" w:rsidRPr="00ED4D4B">
        <w:rPr>
          <w:rFonts w:asciiTheme="majorHAnsi" w:hAnsiTheme="majorHAnsi" w:cs="Arial"/>
          <w:sz w:val="22"/>
          <w:szCs w:val="22"/>
        </w:rPr>
        <w:t>Civil and Political Rights</w:t>
      </w:r>
      <w:r w:rsidR="00212055" w:rsidRPr="00ED4D4B">
        <w:rPr>
          <w:rFonts w:asciiTheme="majorHAnsi" w:hAnsiTheme="majorHAnsi" w:cs="Arial"/>
          <w:sz w:val="22"/>
          <w:szCs w:val="22"/>
        </w:rPr>
        <w:t xml:space="preserve"> </w:t>
      </w:r>
      <w:r w:rsidR="0057667A" w:rsidRPr="00ED4D4B">
        <w:rPr>
          <w:rFonts w:asciiTheme="majorHAnsi" w:hAnsiTheme="majorHAnsi" w:cs="Arial"/>
          <w:sz w:val="22"/>
          <w:szCs w:val="22"/>
        </w:rPr>
        <w:t>(ICCPR)</w:t>
      </w:r>
    </w:p>
    <w:p w14:paraId="5A97723E" w14:textId="77777777" w:rsidR="007B305C" w:rsidRDefault="007B305C">
      <w:pPr>
        <w:rPr>
          <w:rFonts w:asciiTheme="majorHAnsi" w:hAnsiTheme="majorHAnsi" w:cs="Arial"/>
          <w:sz w:val="22"/>
          <w:szCs w:val="22"/>
        </w:rPr>
      </w:pPr>
    </w:p>
    <w:p w14:paraId="3D112F1C" w14:textId="77777777" w:rsidR="007B305C" w:rsidRDefault="007B305C">
      <w:pPr>
        <w:rPr>
          <w:rFonts w:asciiTheme="majorHAnsi" w:hAnsiTheme="majorHAnsi" w:cs="Arial"/>
          <w:sz w:val="22"/>
          <w:szCs w:val="22"/>
        </w:rPr>
      </w:pPr>
    </w:p>
    <w:p w14:paraId="7B989E55" w14:textId="77777777" w:rsidR="007B305C" w:rsidRDefault="007B305C">
      <w:pPr>
        <w:rPr>
          <w:rFonts w:asciiTheme="majorHAnsi" w:hAnsiTheme="majorHAnsi" w:cs="Arial"/>
          <w:sz w:val="22"/>
          <w:szCs w:val="22"/>
        </w:rPr>
      </w:pPr>
    </w:p>
    <w:p w14:paraId="26E5D5EC" w14:textId="77777777" w:rsidR="00555780" w:rsidRDefault="00555780" w:rsidP="00C475B5">
      <w:pPr>
        <w:pStyle w:val="Heading1"/>
        <w:rPr>
          <w:rFonts w:cs="Arial"/>
          <w:b/>
          <w:color w:val="404040" w:themeColor="text1" w:themeTint="BF"/>
          <w:sz w:val="36"/>
          <w:szCs w:val="36"/>
        </w:rPr>
      </w:pPr>
    </w:p>
    <w:p w14:paraId="5B6B48B5" w14:textId="77777777" w:rsidR="00555780" w:rsidRPr="00555780" w:rsidRDefault="00555780" w:rsidP="00555780"/>
    <w:p w14:paraId="35707530" w14:textId="56298EAE" w:rsidR="002F2B89" w:rsidRDefault="008B4955" w:rsidP="00C475B5">
      <w:pPr>
        <w:pStyle w:val="Heading1"/>
        <w:rPr>
          <w:rFonts w:cs="Arial"/>
          <w:b/>
          <w:color w:val="404040" w:themeColor="text1" w:themeTint="BF"/>
          <w:sz w:val="36"/>
          <w:szCs w:val="36"/>
        </w:rPr>
      </w:pPr>
      <w:bookmarkStart w:id="2" w:name="_Toc220665469"/>
      <w:r w:rsidRPr="00516763">
        <w:rPr>
          <w:rFonts w:cs="Arial"/>
          <w:b/>
          <w:color w:val="404040" w:themeColor="text1" w:themeTint="BF"/>
          <w:sz w:val="36"/>
          <w:szCs w:val="36"/>
        </w:rPr>
        <w:lastRenderedPageBreak/>
        <w:t>P</w:t>
      </w:r>
      <w:r>
        <w:rPr>
          <w:rFonts w:cs="Arial"/>
          <w:b/>
          <w:color w:val="404040" w:themeColor="text1" w:themeTint="BF"/>
          <w:sz w:val="36"/>
          <w:szCs w:val="36"/>
        </w:rPr>
        <w:t>art</w:t>
      </w:r>
      <w:r w:rsidRPr="00516763">
        <w:rPr>
          <w:rFonts w:cs="Arial"/>
          <w:b/>
          <w:color w:val="404040" w:themeColor="text1" w:themeTint="BF"/>
          <w:sz w:val="36"/>
          <w:szCs w:val="36"/>
        </w:rPr>
        <w:t xml:space="preserve"> 1:</w:t>
      </w:r>
      <w:r w:rsidRPr="00573409">
        <w:rPr>
          <w:rFonts w:cs="Arial"/>
          <w:b/>
          <w:color w:val="404040" w:themeColor="text1" w:themeTint="BF"/>
          <w:sz w:val="36"/>
          <w:szCs w:val="36"/>
        </w:rPr>
        <w:t xml:space="preserve"> </w:t>
      </w:r>
      <w:r w:rsidR="00D8146B" w:rsidRPr="00573409">
        <w:rPr>
          <w:rFonts w:cs="Arial"/>
          <w:b/>
          <w:color w:val="404040" w:themeColor="text1" w:themeTint="BF"/>
          <w:sz w:val="36"/>
          <w:szCs w:val="36"/>
        </w:rPr>
        <w:t>Positive Measures</w:t>
      </w:r>
      <w:bookmarkEnd w:id="2"/>
      <w:r w:rsidR="004F0179" w:rsidRPr="00573409">
        <w:rPr>
          <w:rFonts w:cs="Arial"/>
          <w:b/>
          <w:color w:val="404040" w:themeColor="text1" w:themeTint="BF"/>
          <w:sz w:val="36"/>
          <w:szCs w:val="36"/>
        </w:rPr>
        <w:t xml:space="preserve"> </w:t>
      </w:r>
    </w:p>
    <w:p w14:paraId="42A3ECB8" w14:textId="25BD18BA" w:rsidR="005C6AC5" w:rsidRPr="005C6AC5" w:rsidRDefault="005C6AC5" w:rsidP="005C6AC5">
      <w:r w:rsidRPr="005D079E">
        <w:rPr>
          <w:noProof/>
          <w:color w:val="FFC000"/>
        </w:rPr>
        <mc:AlternateContent>
          <mc:Choice Requires="wps">
            <w:drawing>
              <wp:anchor distT="0" distB="0" distL="114300" distR="114300" simplePos="0" relativeHeight="251664390" behindDoc="0" locked="0" layoutInCell="1" allowOverlap="1" wp14:anchorId="626A4ECA" wp14:editId="235D9691">
                <wp:simplePos x="0" y="0"/>
                <wp:positionH relativeFrom="column">
                  <wp:posOffset>0</wp:posOffset>
                </wp:positionH>
                <wp:positionV relativeFrom="paragraph">
                  <wp:posOffset>0</wp:posOffset>
                </wp:positionV>
                <wp:extent cx="5695950" cy="0"/>
                <wp:effectExtent l="0" t="0" r="0" b="0"/>
                <wp:wrapNone/>
                <wp:docPr id="116927034" name="Straight Connector 10"/>
                <wp:cNvGraphicFramePr/>
                <a:graphic xmlns:a="http://schemas.openxmlformats.org/drawingml/2006/main">
                  <a:graphicData uri="http://schemas.microsoft.com/office/word/2010/wordprocessingShape">
                    <wps:wsp>
                      <wps:cNvCnPr/>
                      <wps:spPr>
                        <a:xfrm>
                          <a:off x="0" y="0"/>
                          <a:ext cx="5695950" cy="0"/>
                        </a:xfrm>
                        <a:prstGeom prst="line">
                          <a:avLst/>
                        </a:prstGeom>
                        <a:ln>
                          <a:solidFill>
                            <a:srgbClr val="FFC000"/>
                          </a:solidFill>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3363365A" id="Straight Connector 10" o:spid="_x0000_s1026" style="position:absolute;z-index:251664390;visibility:visible;mso-wrap-style:square;mso-wrap-distance-left:9pt;mso-wrap-distance-top:0;mso-wrap-distance-right:9pt;mso-wrap-distance-bottom:0;mso-position-horizontal:absolute;mso-position-horizontal-relative:text;mso-position-vertical:absolute;mso-position-vertical-relative:text"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" strokecolor="#ffc000" strokeweight="1.5pt">
                <v:stroke joinstyle="miter"/>
              </v:line>
            </w:pict>
          </mc:Fallback>
        </mc:AlternateContent>
      </w:r>
    </w:p>
    <w:p w14:paraId="26D4BF58" w14:textId="4B3A6869" w:rsidR="008B4955" w:rsidRPr="00564B41" w:rsidRDefault="004820F7" w:rsidP="00564B41">
      <w:pPr>
        <w:pStyle w:val="Heading2"/>
        <w:spacing w:line="360" w:lineRule="auto"/>
        <w:rPr>
          <w:sz w:val="22"/>
          <w:szCs w:val="22"/>
        </w:rPr>
      </w:pPr>
      <w:bookmarkStart w:id="3" w:name="_Toc220665470"/>
      <w:r w:rsidRPr="00564B41">
        <w:rPr>
          <w:sz w:val="36"/>
          <w:szCs w:val="36"/>
        </w:rPr>
        <w:t>The Adoption of the National Housing Strategy Act (2019)</w:t>
      </w:r>
      <w:bookmarkEnd w:id="3"/>
    </w:p>
    <w:p w14:paraId="57589C73" w14:textId="2E5FA8A0" w:rsidR="008C6B64" w:rsidRPr="008B4955" w:rsidRDefault="00F07693" w:rsidP="008C6B64">
      <w:pPr>
        <w:rPr>
          <w:rFonts w:asciiTheme="majorHAnsi" w:hAnsiTheme="majorHAnsi" w:cs="Arial"/>
          <w:b/>
          <w:sz w:val="20"/>
          <w:szCs w:val="20"/>
        </w:rPr>
      </w:pPr>
      <w:r w:rsidRPr="00ED4D4B">
        <w:rPr>
          <w:rFonts w:asciiTheme="majorHAnsi" w:hAnsiTheme="majorHAnsi" w:cs="Arial"/>
          <w:sz w:val="22"/>
          <w:szCs w:val="22"/>
        </w:rPr>
        <w:t>An important positive measure for the Committee to recognize in this periodic review is an important, though long overdue follow-up to the Committee’s 1999 recommendation to adopt positive measures to address homelessness. In 2019 the federal government</w:t>
      </w:r>
      <w:r w:rsidR="3B4779E1" w:rsidRPr="3B4779E1">
        <w:rPr>
          <w:rFonts w:asciiTheme="majorHAnsi" w:hAnsiTheme="majorHAnsi" w:cs="Arial"/>
          <w:sz w:val="22"/>
          <w:szCs w:val="22"/>
        </w:rPr>
        <w:t xml:space="preserve"> legislated</w:t>
      </w:r>
      <w:r w:rsidRPr="00ED4D4B">
        <w:rPr>
          <w:rFonts w:asciiTheme="majorHAnsi" w:hAnsiTheme="majorHAnsi" w:cs="Arial"/>
          <w:sz w:val="22"/>
          <w:szCs w:val="22"/>
        </w:rPr>
        <w:t xml:space="preserve"> </w:t>
      </w:r>
      <w:r w:rsidR="14FCD005" w:rsidRPr="00ED4D4B">
        <w:rPr>
          <w:rFonts w:asciiTheme="majorHAnsi" w:hAnsiTheme="majorHAnsi" w:cs="Arial"/>
          <w:sz w:val="22"/>
          <w:szCs w:val="22"/>
        </w:rPr>
        <w:t xml:space="preserve">the </w:t>
      </w:r>
      <w:r w:rsidR="14FCD005" w:rsidRPr="00ED4D4B">
        <w:rPr>
          <w:rFonts w:asciiTheme="majorHAnsi" w:hAnsiTheme="majorHAnsi" w:cs="Arial"/>
          <w:i/>
          <w:iCs/>
          <w:sz w:val="22"/>
          <w:szCs w:val="22"/>
        </w:rPr>
        <w:t>National Housing Strategy Act</w:t>
      </w:r>
      <w:r w:rsidR="14FCD005" w:rsidRPr="00ED4D4B">
        <w:rPr>
          <w:rFonts w:asciiTheme="majorHAnsi" w:hAnsiTheme="majorHAnsi" w:cs="Arial"/>
          <w:sz w:val="22"/>
          <w:szCs w:val="22"/>
        </w:rPr>
        <w:t xml:space="preserve"> (NHSA). The Act </w:t>
      </w:r>
      <w:r w:rsidR="00D8146B" w:rsidRPr="00ED4D4B">
        <w:rPr>
          <w:rFonts w:asciiTheme="majorHAnsi" w:hAnsiTheme="majorHAnsi" w:cs="Arial"/>
          <w:sz w:val="22"/>
          <w:szCs w:val="22"/>
        </w:rPr>
        <w:t xml:space="preserve">recognizes the right to adequate housing as “a fundamental human right </w:t>
      </w:r>
      <w:r w:rsidR="00E10ABC" w:rsidRPr="00ED4D4B">
        <w:rPr>
          <w:rFonts w:asciiTheme="majorHAnsi" w:hAnsiTheme="majorHAnsi" w:cs="Arial"/>
          <w:sz w:val="22"/>
          <w:szCs w:val="22"/>
        </w:rPr>
        <w:t xml:space="preserve">and that “housing is essential to the inherent dignity and well-being of the person and to building sustainable and inclusive communities” and establishes a statutory obligation to develop and maintain a rights-based housing strategy to realize the right to housing. The NHSA </w:t>
      </w:r>
      <w:r w:rsidR="14FCD005" w:rsidRPr="00ED4D4B">
        <w:rPr>
          <w:rFonts w:asciiTheme="majorHAnsi" w:hAnsiTheme="majorHAnsi" w:cs="Arial"/>
          <w:sz w:val="22"/>
          <w:szCs w:val="22"/>
        </w:rPr>
        <w:t>establishes a parallel accountability framework</w:t>
      </w:r>
      <w:r w:rsidR="00E10ABC" w:rsidRPr="00ED4D4B">
        <w:rPr>
          <w:rFonts w:asciiTheme="majorHAnsi" w:hAnsiTheme="majorHAnsi" w:cs="Arial"/>
          <w:sz w:val="22"/>
          <w:szCs w:val="22"/>
        </w:rPr>
        <w:t xml:space="preserve"> including the Federal Housing Advocate, review panels, and the National Housing Council</w:t>
      </w:r>
      <w:r w:rsidR="14FCD005" w:rsidRPr="00ED4D4B">
        <w:rPr>
          <w:rFonts w:asciiTheme="majorHAnsi" w:hAnsiTheme="majorHAnsi" w:cs="Arial"/>
          <w:sz w:val="22"/>
          <w:szCs w:val="22"/>
        </w:rPr>
        <w:t xml:space="preserve"> intended to</w:t>
      </w:r>
      <w:r w:rsidR="00E10ABC" w:rsidRPr="00ED4D4B">
        <w:rPr>
          <w:rFonts w:asciiTheme="majorHAnsi" w:hAnsiTheme="majorHAnsi" w:cs="Arial"/>
          <w:sz w:val="22"/>
          <w:szCs w:val="22"/>
        </w:rPr>
        <w:t xml:space="preserve"> </w:t>
      </w:r>
      <w:r w:rsidR="14FCD005" w:rsidRPr="00ED4D4B">
        <w:rPr>
          <w:rFonts w:asciiTheme="majorHAnsi" w:hAnsiTheme="majorHAnsi" w:cs="Arial"/>
          <w:sz w:val="22"/>
          <w:szCs w:val="22"/>
        </w:rPr>
        <w:t xml:space="preserve">progressively realize the right to housing and to provide affected communities and individuals with opportunities to raise systemic housing concerns. If implemented in a manner consistent with Canada’s obligations under Articles 2, 6, 17, and 26 of the </w:t>
      </w:r>
      <w:r w:rsidR="14FCD005" w:rsidRPr="00ED4D4B">
        <w:rPr>
          <w:rFonts w:asciiTheme="majorHAnsi" w:hAnsiTheme="majorHAnsi" w:cs="Arial"/>
          <w:i/>
          <w:iCs/>
          <w:sz w:val="22"/>
          <w:szCs w:val="22"/>
        </w:rPr>
        <w:t>International Covenant on Civil and Political Rights</w:t>
      </w:r>
      <w:r w:rsidR="14FCD005" w:rsidRPr="00ED4D4B">
        <w:rPr>
          <w:rFonts w:asciiTheme="majorHAnsi" w:hAnsiTheme="majorHAnsi" w:cs="Arial"/>
          <w:sz w:val="22"/>
          <w:szCs w:val="22"/>
        </w:rPr>
        <w:t xml:space="preserve"> (ICCPR), the NHSA has the potential to ensure access to effective remedies, particularly for individuals and communities experiencing systemic housing violations.</w:t>
      </w:r>
    </w:p>
    <w:p w14:paraId="4762F323" w14:textId="565A6FAD" w:rsidR="00910A28" w:rsidRPr="00ED4D4B" w:rsidRDefault="6BFBD840" w:rsidP="24A7EEC6">
      <w:pPr>
        <w:rPr>
          <w:rFonts w:asciiTheme="majorHAnsi" w:hAnsiTheme="majorHAnsi" w:cs="Arial"/>
          <w:sz w:val="22"/>
          <w:szCs w:val="22"/>
        </w:rPr>
      </w:pPr>
      <w:r w:rsidRPr="00ED4D4B">
        <w:rPr>
          <w:rFonts w:asciiTheme="majorHAnsi" w:hAnsiTheme="majorHAnsi" w:cs="Arial"/>
          <w:sz w:val="22"/>
          <w:szCs w:val="22"/>
        </w:rPr>
        <w:t>To date, review panels have examined systemic violations related to the financialization of purpose-built rental housing and Canada’s failure to adequately address homelessness experienced by women and gender-diverse people. These panels provided meaningful opportunities for people with lived experience, tenants, civil society organizations, and housing experts to present testimony regarding violations of their human rights. The panels subsequently published reports and submitted detailed human rights findings and</w:t>
      </w:r>
      <w:r w:rsidR="008D2A27" w:rsidRPr="00ED4D4B">
        <w:rPr>
          <w:rFonts w:asciiTheme="majorHAnsi" w:hAnsiTheme="majorHAnsi" w:cs="Arial"/>
          <w:sz w:val="22"/>
          <w:szCs w:val="22"/>
        </w:rPr>
        <w:t xml:space="preserve"> </w:t>
      </w:r>
      <w:r w:rsidRPr="00ED4D4B">
        <w:rPr>
          <w:rFonts w:asciiTheme="majorHAnsi" w:hAnsiTheme="majorHAnsi" w:cs="Arial"/>
          <w:sz w:val="22"/>
          <w:szCs w:val="22"/>
        </w:rPr>
        <w:t>recommendations to the Minister of Housing and Infrastructure, in accordance with the requirements of the NHSA.</w:t>
      </w:r>
    </w:p>
    <w:p w14:paraId="2E509D0E" w14:textId="31230ECD" w:rsidR="007322AC" w:rsidRDefault="00AA6E47" w:rsidP="00883108">
      <w:pPr>
        <w:rPr>
          <w:rFonts w:asciiTheme="majorHAnsi" w:hAnsiTheme="majorHAnsi" w:cs="Arial"/>
          <w:sz w:val="22"/>
          <w:szCs w:val="22"/>
        </w:rPr>
      </w:pPr>
      <w:r w:rsidRPr="00ED4D4B">
        <w:rPr>
          <w:rFonts w:asciiTheme="majorHAnsi" w:hAnsiTheme="majorHAnsi" w:cs="Arial"/>
          <w:sz w:val="22"/>
          <w:szCs w:val="22"/>
        </w:rPr>
        <w:t>Unfortunately, as noted below, the Canadian government has</w:t>
      </w:r>
      <w:r w:rsidR="00AF6170" w:rsidRPr="00ED4D4B">
        <w:rPr>
          <w:rFonts w:asciiTheme="majorHAnsi" w:hAnsiTheme="majorHAnsi" w:cs="Arial"/>
          <w:sz w:val="22"/>
          <w:szCs w:val="22"/>
        </w:rPr>
        <w:t>, to date, failed to comply with the requirement of the NHSA to ensure that the National Housing Strategy includes clear goals and timelines and necessary measures to address and eliminate homelessness</w:t>
      </w:r>
      <w:r w:rsidR="00F07693" w:rsidRPr="00ED4D4B">
        <w:rPr>
          <w:rFonts w:asciiTheme="majorHAnsi" w:hAnsiTheme="majorHAnsi" w:cs="Arial"/>
          <w:sz w:val="22"/>
          <w:szCs w:val="22"/>
        </w:rPr>
        <w:t xml:space="preserve"> and has not adopted a transparent and effective process for the response to</w:t>
      </w:r>
      <w:r w:rsidR="3B4779E1" w:rsidRPr="3B4779E1">
        <w:rPr>
          <w:rFonts w:asciiTheme="majorHAnsi" w:hAnsiTheme="majorHAnsi" w:cs="Arial"/>
          <w:sz w:val="22"/>
          <w:szCs w:val="22"/>
        </w:rPr>
        <w:t>,</w:t>
      </w:r>
      <w:r w:rsidR="00F07693" w:rsidRPr="00ED4D4B">
        <w:rPr>
          <w:rFonts w:asciiTheme="majorHAnsi" w:hAnsiTheme="majorHAnsi" w:cs="Arial"/>
          <w:sz w:val="22"/>
          <w:szCs w:val="22"/>
        </w:rPr>
        <w:t xml:space="preserve"> and implementation of</w:t>
      </w:r>
      <w:r w:rsidR="3B4779E1" w:rsidRPr="3B4779E1">
        <w:rPr>
          <w:rFonts w:asciiTheme="majorHAnsi" w:hAnsiTheme="majorHAnsi" w:cs="Arial"/>
          <w:sz w:val="22"/>
          <w:szCs w:val="22"/>
        </w:rPr>
        <w:t>,</w:t>
      </w:r>
      <w:r w:rsidR="00F07693" w:rsidRPr="00ED4D4B">
        <w:rPr>
          <w:rFonts w:asciiTheme="majorHAnsi" w:hAnsiTheme="majorHAnsi" w:cs="Arial"/>
          <w:sz w:val="22"/>
          <w:szCs w:val="22"/>
        </w:rPr>
        <w:t xml:space="preserve"> remedies recommended in reviews for compliance with the NHSA by the Federal Housing Advocate and Review Panels</w:t>
      </w:r>
      <w:r w:rsidR="00AF6170" w:rsidRPr="00ED4D4B">
        <w:rPr>
          <w:rFonts w:asciiTheme="majorHAnsi" w:hAnsiTheme="majorHAnsi" w:cs="Arial"/>
          <w:sz w:val="22"/>
          <w:szCs w:val="22"/>
        </w:rPr>
        <w:t xml:space="preserve">.    </w:t>
      </w:r>
    </w:p>
    <w:p w14:paraId="751BCE68" w14:textId="77777777" w:rsidR="005C6AC5" w:rsidRDefault="005C6AC5" w:rsidP="00883108">
      <w:pPr>
        <w:rPr>
          <w:rFonts w:asciiTheme="majorHAnsi" w:hAnsiTheme="majorHAnsi" w:cs="Arial"/>
          <w:sz w:val="22"/>
          <w:szCs w:val="22"/>
        </w:rPr>
      </w:pPr>
    </w:p>
    <w:p w14:paraId="5ED131F7" w14:textId="77777777" w:rsidR="005C6AC5" w:rsidRDefault="005C6AC5" w:rsidP="00883108">
      <w:pPr>
        <w:rPr>
          <w:rFonts w:asciiTheme="majorHAnsi" w:hAnsiTheme="majorHAnsi" w:cs="Arial"/>
          <w:sz w:val="22"/>
          <w:szCs w:val="22"/>
        </w:rPr>
      </w:pPr>
    </w:p>
    <w:p w14:paraId="19F4B3BB" w14:textId="77777777" w:rsidR="003329C2" w:rsidRDefault="003329C2" w:rsidP="00883108">
      <w:pPr>
        <w:rPr>
          <w:rFonts w:asciiTheme="majorHAnsi" w:hAnsiTheme="majorHAnsi" w:cs="Arial"/>
          <w:sz w:val="22"/>
          <w:szCs w:val="22"/>
        </w:rPr>
      </w:pPr>
    </w:p>
    <w:p w14:paraId="22BAF31E" w14:textId="77777777" w:rsidR="00D517D6" w:rsidRDefault="00D517D6" w:rsidP="00883108">
      <w:pPr>
        <w:rPr>
          <w:rFonts w:asciiTheme="majorHAnsi" w:hAnsiTheme="majorHAnsi" w:cs="Arial"/>
          <w:sz w:val="22"/>
          <w:szCs w:val="22"/>
        </w:rPr>
      </w:pPr>
    </w:p>
    <w:p w14:paraId="00F6DEE4" w14:textId="77777777" w:rsidR="008B4955" w:rsidRDefault="008B4955" w:rsidP="00883108">
      <w:pPr>
        <w:rPr>
          <w:rFonts w:asciiTheme="majorHAnsi" w:hAnsiTheme="majorHAnsi" w:cs="Arial"/>
          <w:sz w:val="22"/>
          <w:szCs w:val="22"/>
        </w:rPr>
      </w:pPr>
    </w:p>
    <w:p w14:paraId="567428B7" w14:textId="77777777" w:rsidR="003E2E25" w:rsidRDefault="003B4F19" w:rsidP="003E2E25">
      <w:pPr>
        <w:pStyle w:val="Heading1"/>
        <w:spacing w:line="240" w:lineRule="auto"/>
        <w:rPr>
          <w:rFonts w:cs="Arial"/>
          <w:b/>
          <w:color w:val="404040" w:themeColor="text1" w:themeTint="BF"/>
          <w:sz w:val="36"/>
          <w:szCs w:val="36"/>
        </w:rPr>
      </w:pPr>
      <w:bookmarkStart w:id="4" w:name="_Toc220665471"/>
      <w:r w:rsidRPr="00516763">
        <w:rPr>
          <w:rFonts w:cs="Arial"/>
          <w:b/>
          <w:color w:val="404040" w:themeColor="text1" w:themeTint="BF"/>
          <w:sz w:val="36"/>
          <w:szCs w:val="36"/>
        </w:rPr>
        <w:lastRenderedPageBreak/>
        <w:t>P</w:t>
      </w:r>
      <w:r w:rsidR="00516763">
        <w:rPr>
          <w:rFonts w:cs="Arial"/>
          <w:b/>
          <w:color w:val="404040" w:themeColor="text1" w:themeTint="BF"/>
          <w:sz w:val="36"/>
          <w:szCs w:val="36"/>
        </w:rPr>
        <w:t>art</w:t>
      </w:r>
      <w:r w:rsidR="004F0179" w:rsidRPr="00516763">
        <w:rPr>
          <w:rFonts w:cs="Arial"/>
          <w:b/>
          <w:color w:val="404040" w:themeColor="text1" w:themeTint="BF"/>
          <w:sz w:val="36"/>
          <w:szCs w:val="36"/>
        </w:rPr>
        <w:t xml:space="preserve"> </w:t>
      </w:r>
      <w:r w:rsidRPr="00516763">
        <w:rPr>
          <w:rFonts w:cs="Arial"/>
          <w:b/>
          <w:color w:val="404040" w:themeColor="text1" w:themeTint="BF"/>
          <w:sz w:val="36"/>
          <w:szCs w:val="36"/>
        </w:rPr>
        <w:t>2</w:t>
      </w:r>
      <w:r w:rsidR="000E6612" w:rsidRPr="00516763">
        <w:rPr>
          <w:rFonts w:cs="Arial"/>
          <w:b/>
          <w:color w:val="404040" w:themeColor="text1" w:themeTint="BF"/>
          <w:sz w:val="36"/>
          <w:szCs w:val="36"/>
        </w:rPr>
        <w:t>:</w:t>
      </w:r>
      <w:r w:rsidR="000E6612" w:rsidRPr="00573409">
        <w:rPr>
          <w:rFonts w:cs="Arial"/>
          <w:b/>
          <w:color w:val="404040" w:themeColor="text1" w:themeTint="BF"/>
          <w:sz w:val="36"/>
          <w:szCs w:val="36"/>
        </w:rPr>
        <w:t xml:space="preserve"> </w:t>
      </w:r>
      <w:r w:rsidR="008B4955">
        <w:rPr>
          <w:rFonts w:cs="Arial"/>
          <w:b/>
          <w:color w:val="404040" w:themeColor="text1" w:themeTint="BF"/>
          <w:sz w:val="36"/>
          <w:szCs w:val="36"/>
        </w:rPr>
        <w:t>Key Concerns &amp; Recommendations</w:t>
      </w:r>
      <w:bookmarkEnd w:id="4"/>
    </w:p>
    <w:p w14:paraId="3AF29280" w14:textId="11608B0F" w:rsidR="003E2E25" w:rsidRDefault="003E2E25" w:rsidP="003E2E25">
      <w:r w:rsidRPr="004820F7">
        <w:rPr>
          <w:noProof/>
          <w:color w:val="FFC000"/>
          <w:sz w:val="28"/>
          <w:szCs w:val="28"/>
        </w:rPr>
        <mc:AlternateContent>
          <mc:Choice Requires="wps">
            <w:drawing>
              <wp:anchor distT="0" distB="0" distL="114300" distR="114300" simplePos="0" relativeHeight="251674630" behindDoc="0" locked="0" layoutInCell="1" allowOverlap="1" wp14:anchorId="47A69E22" wp14:editId="5E0D5ABD">
                <wp:simplePos x="0" y="0"/>
                <wp:positionH relativeFrom="column">
                  <wp:posOffset>0</wp:posOffset>
                </wp:positionH>
                <wp:positionV relativeFrom="paragraph">
                  <wp:posOffset>0</wp:posOffset>
                </wp:positionV>
                <wp:extent cx="5695950" cy="0"/>
                <wp:effectExtent l="0" t="0" r="0" b="0"/>
                <wp:wrapNone/>
                <wp:docPr id="1518627315" name="Straight Connector 10"/>
                <wp:cNvGraphicFramePr/>
                <a:graphic xmlns:a="http://schemas.openxmlformats.org/drawingml/2006/main">
                  <a:graphicData uri="http://schemas.microsoft.com/office/word/2010/wordprocessingShape">
                    <wps:wsp>
                      <wps:cNvCnPr/>
                      <wps:spPr>
                        <a:xfrm>
                          <a:off x="0" y="0"/>
                          <a:ext cx="5695950" cy="0"/>
                        </a:xfrm>
                        <a:prstGeom prst="line">
                          <a:avLst/>
                        </a:prstGeom>
                        <a:ln>
                          <a:solidFill>
                            <a:srgbClr val="FFC000"/>
                          </a:solidFill>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05819A6B" id="Straight Connector 10" o:spid="_x0000_s1026" style="position:absolute;z-index:251674630;visibility:visible;mso-wrap-style:square;mso-wrap-distance-left:9pt;mso-wrap-distance-top:0;mso-wrap-distance-right:9pt;mso-wrap-distance-bottom:0;mso-position-horizontal:absolute;mso-position-horizontal-relative:text;mso-position-vertical:absolute;mso-position-vertical-relative:text"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" strokecolor="#ffc000" strokeweight="1.5pt">
                <v:stroke joinstyle="miter"/>
              </v:line>
            </w:pict>
          </mc:Fallback>
        </mc:AlternateContent>
      </w:r>
    </w:p>
    <w:p w14:paraId="4F7623A2" w14:textId="4597DD5D" w:rsidR="008B4955" w:rsidRPr="00564B41" w:rsidRDefault="004820F7" w:rsidP="00564B41">
      <w:pPr>
        <w:pStyle w:val="Heading2"/>
        <w:spacing w:line="360" w:lineRule="auto"/>
        <w:rPr>
          <w:sz w:val="44"/>
          <w:szCs w:val="44"/>
        </w:rPr>
      </w:pPr>
      <w:bookmarkStart w:id="5" w:name="_Toc220665472"/>
      <w:r w:rsidRPr="00564B41">
        <w:rPr>
          <w:sz w:val="36"/>
          <w:szCs w:val="36"/>
        </w:rPr>
        <w:t xml:space="preserve">Right to Life and Homelessness </w:t>
      </w:r>
      <w:r w:rsidRPr="00564B41">
        <w:rPr>
          <w:bCs/>
          <w:sz w:val="36"/>
          <w:szCs w:val="36"/>
        </w:rPr>
        <w:t>(Article 6)</w:t>
      </w:r>
      <w:bookmarkEnd w:id="5"/>
      <w:r w:rsidRPr="00564B41">
        <w:rPr>
          <w:bCs/>
          <w:sz w:val="36"/>
          <w:szCs w:val="36"/>
        </w:rPr>
        <w:t xml:space="preserve"> </w:t>
      </w:r>
    </w:p>
    <w:p w14:paraId="525436ED" w14:textId="751FF17F" w:rsidR="00EA1426" w:rsidRPr="00ED4D4B" w:rsidRDefault="00973567" w:rsidP="00975DF8">
      <w:pPr>
        <w:rPr>
          <w:rFonts w:asciiTheme="majorHAnsi" w:hAnsiTheme="majorHAnsi" w:cs="Arial"/>
          <w:sz w:val="22"/>
          <w:szCs w:val="22"/>
        </w:rPr>
      </w:pPr>
      <w:r w:rsidRPr="00ED4D4B">
        <w:rPr>
          <w:rFonts w:asciiTheme="majorHAnsi" w:hAnsiTheme="majorHAnsi" w:cs="Arial"/>
          <w:sz w:val="22"/>
          <w:szCs w:val="22"/>
        </w:rPr>
        <w:t>In its 1999 Concluding Observations, the Committee</w:t>
      </w:r>
      <w:r w:rsidR="00F07693" w:rsidRPr="00ED4D4B">
        <w:rPr>
          <w:rFonts w:asciiTheme="majorHAnsi" w:hAnsiTheme="majorHAnsi" w:cs="Arial"/>
          <w:sz w:val="22"/>
          <w:szCs w:val="22"/>
        </w:rPr>
        <w:t xml:space="preserve"> stated that:</w:t>
      </w:r>
      <w:r w:rsidR="6BFBD840" w:rsidRPr="00ED4D4B" w:rsidDel="6BFBD840">
        <w:rPr>
          <w:rFonts w:asciiTheme="majorHAnsi" w:hAnsiTheme="majorHAnsi" w:cs="Arial"/>
          <w:sz w:val="22"/>
          <w:szCs w:val="22"/>
        </w:rPr>
        <w:t xml:space="preserve"> “The Committee is concerned that homelessness has led to serious health problems and even to death. The Committee recommends that the State party take positive measures required by article 6 to address this </w:t>
      </w:r>
      <w:r w:rsidR="6BFBD840" w:rsidRPr="00ED4D4B">
        <w:rPr>
          <w:rFonts w:asciiTheme="majorHAnsi" w:hAnsiTheme="majorHAnsi" w:cs="Arial"/>
          <w:sz w:val="22"/>
          <w:szCs w:val="22"/>
        </w:rPr>
        <w:t>serious problem.”</w:t>
      </w:r>
      <w:r w:rsidRPr="00ED4D4B">
        <w:rPr>
          <w:rStyle w:val="FootnoteReference"/>
          <w:rFonts w:asciiTheme="majorHAnsi" w:hAnsiTheme="majorHAnsi" w:cs="Arial"/>
          <w:sz w:val="22"/>
          <w:szCs w:val="22"/>
        </w:rPr>
        <w:footnoteReference w:id="2"/>
      </w:r>
      <w:r w:rsidRPr="00ED4D4B">
        <w:rPr>
          <w:rFonts w:asciiTheme="majorHAnsi" w:hAnsiTheme="majorHAnsi" w:cs="Arial"/>
          <w:sz w:val="22"/>
          <w:szCs w:val="22"/>
        </w:rPr>
        <w:t xml:space="preserve"> </w:t>
      </w:r>
    </w:p>
    <w:p w14:paraId="5FBAD2BC" w14:textId="31DC736C" w:rsidR="003A7C78" w:rsidRPr="00ED4D4B" w:rsidRDefault="003A7C78" w:rsidP="00975DF8">
      <w:pPr>
        <w:rPr>
          <w:rFonts w:asciiTheme="majorHAnsi" w:hAnsiTheme="majorHAnsi" w:cs="Arial"/>
          <w:sz w:val="22"/>
          <w:szCs w:val="22"/>
        </w:rPr>
      </w:pPr>
      <w:r w:rsidRPr="00ED4D4B">
        <w:rPr>
          <w:rFonts w:asciiTheme="majorHAnsi" w:hAnsiTheme="majorHAnsi" w:cs="Arial"/>
          <w:sz w:val="22"/>
          <w:szCs w:val="22"/>
        </w:rPr>
        <w:t>General Comment No. 36 affirms that States have an obligation to adopt measures to address general societal conditions that pose direct threats to the right to life, including homelessness, requiring positive measures including the provision of social housing.</w:t>
      </w:r>
      <w:r w:rsidRPr="00ED4D4B">
        <w:rPr>
          <w:rStyle w:val="FootnoteReference"/>
          <w:rFonts w:asciiTheme="majorHAnsi" w:hAnsiTheme="majorHAnsi" w:cs="Arial"/>
          <w:sz w:val="22"/>
          <w:szCs w:val="22"/>
        </w:rPr>
        <w:footnoteReference w:id="3"/>
      </w:r>
    </w:p>
    <w:p w14:paraId="4FF7F460" w14:textId="6FED404C" w:rsidR="00AF6170" w:rsidRPr="00ED4D4B" w:rsidRDefault="00973567" w:rsidP="00973567">
      <w:pPr>
        <w:rPr>
          <w:rFonts w:asciiTheme="majorHAnsi" w:hAnsiTheme="majorHAnsi" w:cs="Arial"/>
          <w:sz w:val="22"/>
          <w:szCs w:val="22"/>
        </w:rPr>
      </w:pPr>
      <w:r w:rsidRPr="00ED4D4B">
        <w:rPr>
          <w:rFonts w:asciiTheme="majorHAnsi" w:hAnsiTheme="majorHAnsi" w:cs="Arial"/>
          <w:sz w:val="22"/>
          <w:szCs w:val="22"/>
        </w:rPr>
        <w:t xml:space="preserve">Despite these clear recommendations, Canada has failed to take adequate </w:t>
      </w:r>
      <w:r w:rsidR="2D7C6C54" w:rsidRPr="00ED4D4B">
        <w:rPr>
          <w:rFonts w:asciiTheme="majorHAnsi" w:hAnsiTheme="majorHAnsi" w:cs="Arial"/>
          <w:sz w:val="22"/>
          <w:szCs w:val="22"/>
        </w:rPr>
        <w:t>action,</w:t>
      </w:r>
      <w:r w:rsidRPr="00ED4D4B">
        <w:rPr>
          <w:rFonts w:asciiTheme="majorHAnsi" w:hAnsiTheme="majorHAnsi" w:cs="Arial"/>
          <w:sz w:val="22"/>
          <w:szCs w:val="22"/>
        </w:rPr>
        <w:t xml:space="preserve"> and</w:t>
      </w:r>
      <w:r w:rsidR="3FD3D5F3" w:rsidRPr="00ED4D4B">
        <w:rPr>
          <w:rFonts w:asciiTheme="majorHAnsi" w:hAnsiTheme="majorHAnsi" w:cs="Arial"/>
          <w:sz w:val="22"/>
          <w:szCs w:val="22"/>
        </w:rPr>
        <w:t xml:space="preserve"> </w:t>
      </w:r>
      <w:r w:rsidRPr="00ED4D4B">
        <w:rPr>
          <w:rFonts w:asciiTheme="majorHAnsi" w:hAnsiTheme="majorHAnsi" w:cs="Arial"/>
          <w:sz w:val="22"/>
          <w:szCs w:val="22"/>
        </w:rPr>
        <w:t>in recent years, the impacts of homelessness have intensified.</w:t>
      </w:r>
      <w:r w:rsidR="00AF6170" w:rsidRPr="00ED4D4B">
        <w:rPr>
          <w:rFonts w:asciiTheme="majorHAnsi" w:hAnsiTheme="majorHAnsi" w:cs="Arial"/>
          <w:sz w:val="22"/>
          <w:szCs w:val="22"/>
        </w:rPr>
        <w:t xml:space="preserve"> Hundreds of homeless people in Canada</w:t>
      </w:r>
      <w:r w:rsidR="004F0179" w:rsidRPr="00ED4D4B">
        <w:rPr>
          <w:rFonts w:asciiTheme="majorHAnsi" w:hAnsiTheme="majorHAnsi" w:cs="Arial"/>
          <w:sz w:val="22"/>
          <w:szCs w:val="22"/>
        </w:rPr>
        <w:t xml:space="preserve"> </w:t>
      </w:r>
      <w:r w:rsidR="00AF6170" w:rsidRPr="00ED4D4B">
        <w:rPr>
          <w:rFonts w:asciiTheme="majorHAnsi" w:hAnsiTheme="majorHAnsi" w:cs="Arial"/>
          <w:sz w:val="22"/>
          <w:szCs w:val="22"/>
        </w:rPr>
        <w:t xml:space="preserve">die each year and the health consequences, including frost bite, hypothermia and chronic disease are </w:t>
      </w:r>
      <w:r w:rsidR="003A7C78" w:rsidRPr="00ED4D4B">
        <w:rPr>
          <w:rFonts w:asciiTheme="majorHAnsi" w:hAnsiTheme="majorHAnsi" w:cs="Arial"/>
          <w:sz w:val="22"/>
          <w:szCs w:val="22"/>
        </w:rPr>
        <w:t>severe</w:t>
      </w:r>
      <w:r w:rsidR="5698E7A3" w:rsidRPr="00ED4D4B">
        <w:rPr>
          <w:rFonts w:asciiTheme="majorHAnsi" w:hAnsiTheme="majorHAnsi" w:cs="Arial"/>
          <w:sz w:val="22"/>
          <w:szCs w:val="22"/>
        </w:rPr>
        <w:t>.</w:t>
      </w:r>
      <w:r w:rsidRPr="00ED4D4B">
        <w:rPr>
          <w:rStyle w:val="FootnoteReference"/>
          <w:rFonts w:asciiTheme="majorHAnsi" w:hAnsiTheme="majorHAnsi" w:cs="Arial"/>
          <w:sz w:val="22"/>
          <w:szCs w:val="22"/>
        </w:rPr>
        <w:footnoteReference w:id="4"/>
      </w:r>
      <w:r w:rsidR="00AF6170" w:rsidRPr="00ED4D4B">
        <w:rPr>
          <w:rFonts w:asciiTheme="majorHAnsi" w:hAnsiTheme="majorHAnsi" w:cs="Arial"/>
          <w:sz w:val="22"/>
          <w:szCs w:val="22"/>
        </w:rPr>
        <w:t xml:space="preserve">  </w:t>
      </w:r>
    </w:p>
    <w:p w14:paraId="0D4B3C77" w14:textId="373CE5E7" w:rsidR="003A7C78" w:rsidRPr="00ED4D4B" w:rsidRDefault="003A7C78" w:rsidP="00973567">
      <w:pPr>
        <w:rPr>
          <w:rFonts w:asciiTheme="majorHAnsi" w:hAnsiTheme="majorHAnsi" w:cs="Arial"/>
          <w:sz w:val="22"/>
          <w:szCs w:val="22"/>
        </w:rPr>
      </w:pPr>
      <w:r w:rsidRPr="00ED4D4B">
        <w:rPr>
          <w:rFonts w:asciiTheme="majorHAnsi" w:hAnsiTheme="majorHAnsi" w:cs="Arial"/>
          <w:sz w:val="22"/>
          <w:szCs w:val="22"/>
        </w:rPr>
        <w:t xml:space="preserve">A growing body of research demonstrates the </w:t>
      </w:r>
      <w:r w:rsidRPr="00ED4D4B" w:rsidDel="003A7C78">
        <w:rPr>
          <w:rFonts w:asciiTheme="majorHAnsi" w:hAnsiTheme="majorHAnsi" w:cs="Arial"/>
          <w:sz w:val="22"/>
          <w:szCs w:val="22"/>
        </w:rPr>
        <w:t>life-shortening impacts of homelessness. In 2024, Toronto Public Health reported that people experiencing homelessness died at significantly younger ages, with a median age of death of 50 for men and 36 for women—</w:t>
      </w:r>
      <w:r w:rsidRPr="00ED4D4B">
        <w:rPr>
          <w:rFonts w:asciiTheme="majorHAnsi" w:hAnsiTheme="majorHAnsi" w:cs="Arial"/>
          <w:sz w:val="22"/>
          <w:szCs w:val="22"/>
        </w:rPr>
        <w:t>representing a further decline compared to previous years.</w:t>
      </w:r>
      <w:r w:rsidRPr="00ED4D4B">
        <w:rPr>
          <w:rStyle w:val="FootnoteReference"/>
          <w:rFonts w:asciiTheme="majorHAnsi" w:hAnsiTheme="majorHAnsi" w:cs="Arial"/>
          <w:sz w:val="22"/>
          <w:szCs w:val="22"/>
        </w:rPr>
        <w:footnoteReference w:id="5"/>
      </w:r>
      <w:r w:rsidRPr="00ED4D4B">
        <w:rPr>
          <w:rFonts w:asciiTheme="majorHAnsi" w:hAnsiTheme="majorHAnsi" w:cs="Arial"/>
          <w:sz w:val="22"/>
          <w:szCs w:val="22"/>
        </w:rPr>
        <w:t xml:space="preserve"> These findings underscore the direct and ongoing threat to the right to life posed by Canada’s failure to address homelessness in a comprehensive and rights-based manner.</w:t>
      </w:r>
    </w:p>
    <w:p w14:paraId="63FEA6C7" w14:textId="1758FBD0" w:rsidR="00585986" w:rsidRPr="00ED4D4B" w:rsidRDefault="004F0179" w:rsidP="00973567">
      <w:pPr>
        <w:rPr>
          <w:rFonts w:asciiTheme="majorHAnsi" w:hAnsiTheme="majorHAnsi" w:cs="Arial"/>
          <w:sz w:val="22"/>
          <w:szCs w:val="22"/>
        </w:rPr>
      </w:pPr>
      <w:r w:rsidRPr="00ED4D4B">
        <w:rPr>
          <w:rFonts w:asciiTheme="majorHAnsi" w:hAnsiTheme="majorHAnsi" w:cs="Arial"/>
          <w:sz w:val="22"/>
          <w:szCs w:val="22"/>
        </w:rPr>
        <w:t>Despite</w:t>
      </w:r>
      <w:r w:rsidR="00AF6170" w:rsidRPr="00ED4D4B">
        <w:rPr>
          <w:rFonts w:asciiTheme="majorHAnsi" w:hAnsiTheme="majorHAnsi" w:cs="Arial"/>
          <w:sz w:val="22"/>
          <w:szCs w:val="22"/>
        </w:rPr>
        <w:t xml:space="preserve"> this evidence, Canadian governments have refused to recognize </w:t>
      </w:r>
      <w:r w:rsidR="003A7C78" w:rsidRPr="00ED4D4B">
        <w:rPr>
          <w:rFonts w:asciiTheme="majorHAnsi" w:hAnsiTheme="majorHAnsi" w:cs="Arial"/>
          <w:sz w:val="22"/>
          <w:szCs w:val="22"/>
        </w:rPr>
        <w:t xml:space="preserve">their shared </w:t>
      </w:r>
      <w:r w:rsidR="00AF6170" w:rsidRPr="00ED4D4B">
        <w:rPr>
          <w:rFonts w:asciiTheme="majorHAnsi" w:hAnsiTheme="majorHAnsi" w:cs="Arial"/>
          <w:sz w:val="22"/>
          <w:szCs w:val="22"/>
        </w:rPr>
        <w:t>oblig</w:t>
      </w:r>
      <w:r w:rsidR="003A7C78" w:rsidRPr="00ED4D4B">
        <w:rPr>
          <w:rFonts w:asciiTheme="majorHAnsi" w:hAnsiTheme="majorHAnsi" w:cs="Arial"/>
          <w:sz w:val="22"/>
          <w:szCs w:val="22"/>
        </w:rPr>
        <w:t>a</w:t>
      </w:r>
      <w:r w:rsidR="00AF6170" w:rsidRPr="00ED4D4B">
        <w:rPr>
          <w:rFonts w:asciiTheme="majorHAnsi" w:hAnsiTheme="majorHAnsi" w:cs="Arial"/>
          <w:sz w:val="22"/>
          <w:szCs w:val="22"/>
        </w:rPr>
        <w:t xml:space="preserve">tions to protect the right to life of those experiencing homelessness. The question of whether the right to life in section 7 of the Canadian Charter </w:t>
      </w:r>
      <w:r w:rsidR="00585986" w:rsidRPr="00ED4D4B">
        <w:rPr>
          <w:rFonts w:asciiTheme="majorHAnsi" w:hAnsiTheme="majorHAnsi" w:cs="Arial"/>
          <w:sz w:val="22"/>
          <w:szCs w:val="22"/>
        </w:rPr>
        <w:t>imposes positive obligations to address homeless remains unsettled by appellate courts in Canada, but lower courts have largely agreed with governments that the right to life does not apply to those whose life is at risk because of homelessness.</w:t>
      </w:r>
      <w:r w:rsidR="00AF6170" w:rsidRPr="00ED4D4B">
        <w:rPr>
          <w:rStyle w:val="FootnoteReference"/>
          <w:rFonts w:asciiTheme="majorHAnsi" w:hAnsiTheme="majorHAnsi" w:cs="Arial"/>
          <w:sz w:val="22"/>
          <w:szCs w:val="22"/>
        </w:rPr>
        <w:footnoteReference w:id="6"/>
      </w:r>
    </w:p>
    <w:p w14:paraId="78EF622D" w14:textId="5C87A137" w:rsidR="00973567" w:rsidRPr="00ED4D4B" w:rsidRDefault="008377FC" w:rsidP="00973567">
      <w:pPr>
        <w:rPr>
          <w:rFonts w:asciiTheme="majorHAnsi" w:hAnsiTheme="majorHAnsi" w:cs="Arial"/>
          <w:sz w:val="22"/>
          <w:szCs w:val="22"/>
        </w:rPr>
      </w:pPr>
      <w:r>
        <w:rPr>
          <w:rFonts w:asciiTheme="majorHAnsi" w:hAnsiTheme="majorHAnsi" w:cs="Arial"/>
          <w:sz w:val="22"/>
          <w:szCs w:val="22"/>
        </w:rPr>
        <w:t>In a recent court case</w:t>
      </w:r>
      <w:r w:rsidRPr="3B4779E1">
        <w:rPr>
          <w:rFonts w:asciiTheme="majorHAnsi" w:hAnsiTheme="majorHAnsi" w:cs="Arial"/>
          <w:sz w:val="22"/>
          <w:szCs w:val="22"/>
        </w:rPr>
        <w:t xml:space="preserve"> </w:t>
      </w:r>
      <w:r w:rsidR="3B4779E1" w:rsidRPr="3B4779E1">
        <w:rPr>
          <w:rFonts w:asciiTheme="majorHAnsi" w:hAnsiTheme="majorHAnsi" w:cs="Arial"/>
          <w:sz w:val="22"/>
          <w:szCs w:val="22"/>
        </w:rPr>
        <w:t>pending before the Ontario Court of Appeal</w:t>
      </w:r>
      <w:r>
        <w:rPr>
          <w:rFonts w:asciiTheme="majorHAnsi" w:hAnsiTheme="majorHAnsi" w:cs="Arial"/>
          <w:sz w:val="22"/>
          <w:szCs w:val="22"/>
        </w:rPr>
        <w:t>, the City of Hamilton outlined evidence of the effects of homelessness</w:t>
      </w:r>
      <w:r w:rsidRPr="3B4779E1">
        <w:rPr>
          <w:rFonts w:asciiTheme="majorHAnsi" w:hAnsiTheme="majorHAnsi" w:cs="Arial"/>
          <w:sz w:val="22"/>
          <w:szCs w:val="22"/>
        </w:rPr>
        <w:t>.</w:t>
      </w:r>
      <w:r w:rsidR="00585986" w:rsidRPr="00ED4D4B">
        <w:rPr>
          <w:rFonts w:asciiTheme="majorHAnsi" w:hAnsiTheme="majorHAnsi" w:cs="Arial"/>
          <w:sz w:val="22"/>
          <w:szCs w:val="22"/>
        </w:rPr>
        <w:t xml:space="preserve"> Surprisingly, in spite of this evidence, the City of Hamilton and other </w:t>
      </w:r>
      <w:r w:rsidR="00585986" w:rsidRPr="00ED4D4B">
        <w:rPr>
          <w:rFonts w:asciiTheme="majorHAnsi" w:hAnsiTheme="majorHAnsi" w:cs="Arial"/>
          <w:sz w:val="22"/>
          <w:szCs w:val="22"/>
        </w:rPr>
        <w:lastRenderedPageBreak/>
        <w:t>municipalities argue that the right to life does not require any positive measures to address these clear violations.</w:t>
      </w:r>
      <w:r w:rsidR="003A7C78" w:rsidRPr="00ED4D4B">
        <w:rPr>
          <w:rStyle w:val="FootnoteReference"/>
          <w:rFonts w:asciiTheme="majorHAnsi" w:hAnsiTheme="majorHAnsi" w:cs="Arial"/>
          <w:sz w:val="22"/>
          <w:szCs w:val="22"/>
        </w:rPr>
        <w:footnoteReference w:id="7"/>
      </w:r>
      <w:r w:rsidR="624A6F1C" w:rsidRPr="00ED4D4B">
        <w:rPr>
          <w:rFonts w:asciiTheme="majorHAnsi" w:hAnsiTheme="majorHAnsi" w:cs="Arial"/>
          <w:sz w:val="22"/>
          <w:szCs w:val="22"/>
        </w:rPr>
        <w:t xml:space="preserve"> </w:t>
      </w:r>
      <w:r w:rsidR="003A7C78" w:rsidRPr="00ED4D4B">
        <w:rPr>
          <w:rFonts w:asciiTheme="majorHAnsi" w:hAnsiTheme="majorHAnsi" w:cs="Arial"/>
          <w:sz w:val="22"/>
          <w:szCs w:val="22"/>
        </w:rPr>
        <w:t>Homeless e</w:t>
      </w:r>
      <w:r w:rsidR="00973567" w:rsidRPr="00ED4D4B">
        <w:rPr>
          <w:rFonts w:asciiTheme="majorHAnsi" w:hAnsiTheme="majorHAnsi" w:cs="Arial"/>
          <w:sz w:val="22"/>
          <w:szCs w:val="22"/>
        </w:rPr>
        <w:t>ncampments represent one of the most visible and urgent manifestations of the housing crisis. Rather than adopting rights-based responses consistent with its human rights obligations, government authorities have largely responded to encampment residents through forced evictions, the denial of adequate services, and degrading and inhumane treatment, in contravention of Article 6</w:t>
      </w:r>
      <w:r w:rsidR="00585986" w:rsidRPr="00ED4D4B">
        <w:rPr>
          <w:rFonts w:asciiTheme="majorHAnsi" w:hAnsiTheme="majorHAnsi" w:cs="Arial"/>
          <w:sz w:val="22"/>
          <w:szCs w:val="22"/>
        </w:rPr>
        <w:t>, 17 and 26</w:t>
      </w:r>
      <w:r w:rsidR="00973567" w:rsidRPr="00ED4D4B">
        <w:rPr>
          <w:rFonts w:asciiTheme="majorHAnsi" w:hAnsiTheme="majorHAnsi" w:cs="Arial"/>
          <w:sz w:val="22"/>
          <w:szCs w:val="22"/>
        </w:rPr>
        <w:t>. In 2024, more than 67,000 people experienced homelessness on a single night across 87 communities in Canada, representing a 107 per cent increase in the number of people remaining unsheltered</w:t>
      </w:r>
      <w:r w:rsidR="000C4F99" w:rsidRPr="00ED4D4B">
        <w:rPr>
          <w:rFonts w:asciiTheme="majorHAnsi" w:hAnsiTheme="majorHAnsi" w:cs="Arial"/>
          <w:sz w:val="22"/>
          <w:szCs w:val="22"/>
        </w:rPr>
        <w:t>,</w:t>
      </w:r>
      <w:r w:rsidR="00973567" w:rsidRPr="00ED4D4B">
        <w:rPr>
          <w:rFonts w:asciiTheme="majorHAnsi" w:hAnsiTheme="majorHAnsi" w:cs="Arial"/>
          <w:sz w:val="22"/>
          <w:szCs w:val="22"/>
        </w:rPr>
        <w:t xml:space="preserve"> compared to 2022</w:t>
      </w:r>
      <w:r w:rsidR="00C96A78" w:rsidRPr="00ED4D4B">
        <w:rPr>
          <w:rFonts w:asciiTheme="majorHAnsi" w:hAnsiTheme="majorHAnsi" w:cs="Arial"/>
          <w:sz w:val="22"/>
          <w:szCs w:val="22"/>
        </w:rPr>
        <w:t>.</w:t>
      </w:r>
      <w:r w:rsidR="003A7C78" w:rsidRPr="00ED4D4B">
        <w:rPr>
          <w:rStyle w:val="FootnoteReference"/>
          <w:rFonts w:asciiTheme="majorHAnsi" w:hAnsiTheme="majorHAnsi" w:cs="Arial"/>
          <w:sz w:val="22"/>
          <w:szCs w:val="22"/>
        </w:rPr>
        <w:footnoteReference w:id="8"/>
      </w:r>
    </w:p>
    <w:p w14:paraId="1C60675E" w14:textId="708608BA" w:rsidR="00C0092B" w:rsidRPr="00ED4D4B" w:rsidRDefault="14FCD005" w:rsidP="00973567">
      <w:pPr>
        <w:rPr>
          <w:rFonts w:asciiTheme="majorHAnsi" w:hAnsiTheme="majorHAnsi" w:cs="Arial"/>
          <w:sz w:val="22"/>
          <w:szCs w:val="22"/>
        </w:rPr>
      </w:pPr>
      <w:r w:rsidRPr="00ED4D4B">
        <w:rPr>
          <w:rFonts w:asciiTheme="majorHAnsi" w:hAnsiTheme="majorHAnsi" w:cs="Arial"/>
          <w:sz w:val="22"/>
          <w:szCs w:val="22"/>
        </w:rPr>
        <w:t xml:space="preserve">It is notable that, following a human rights report by the Federal Housing Advocate on government responses to encampments, the </w:t>
      </w:r>
      <w:r w:rsidR="6B17B6F1" w:rsidRPr="00ED4D4B">
        <w:rPr>
          <w:rFonts w:asciiTheme="majorHAnsi" w:hAnsiTheme="majorHAnsi" w:cs="Arial"/>
          <w:sz w:val="22"/>
          <w:szCs w:val="22"/>
        </w:rPr>
        <w:t>f</w:t>
      </w:r>
      <w:r w:rsidRPr="00ED4D4B">
        <w:rPr>
          <w:rFonts w:asciiTheme="majorHAnsi" w:hAnsiTheme="majorHAnsi" w:cs="Arial"/>
          <w:sz w:val="22"/>
          <w:szCs w:val="22"/>
        </w:rPr>
        <w:t xml:space="preserve">ederal government introduced the </w:t>
      </w:r>
      <w:r w:rsidRPr="3B4779E1">
        <w:rPr>
          <w:rFonts w:asciiTheme="majorHAnsi" w:hAnsiTheme="majorHAnsi" w:cs="Arial"/>
          <w:i/>
          <w:sz w:val="22"/>
          <w:szCs w:val="22"/>
        </w:rPr>
        <w:t>Unsheltered Homelessness and Encampments Initiative</w:t>
      </w:r>
      <w:r w:rsidRPr="00ED4D4B">
        <w:rPr>
          <w:rFonts w:asciiTheme="majorHAnsi" w:hAnsiTheme="majorHAnsi" w:cs="Arial"/>
          <w:sz w:val="22"/>
          <w:szCs w:val="22"/>
        </w:rPr>
        <w:t>, which was originally presented in 2024 as a fund that would support community action plans at the local level that were human rights and housing first based.</w:t>
      </w:r>
      <w:r w:rsidRPr="00ED4D4B">
        <w:rPr>
          <w:rStyle w:val="FootnoteReference"/>
          <w:rFonts w:asciiTheme="majorHAnsi" w:hAnsiTheme="majorHAnsi" w:cs="Arial"/>
          <w:sz w:val="22"/>
          <w:szCs w:val="22"/>
        </w:rPr>
        <w:footnoteReference w:id="9"/>
      </w:r>
      <w:r w:rsidRPr="00ED4D4B">
        <w:rPr>
          <w:rFonts w:asciiTheme="majorHAnsi" w:hAnsiTheme="majorHAnsi" w:cs="Arial"/>
          <w:sz w:val="22"/>
          <w:szCs w:val="22"/>
        </w:rPr>
        <w:t xml:space="preserve"> However, the federal government has made no report on how community action plans are being assessed, and whether human rights principles remain at the centre of selected projects. </w:t>
      </w:r>
    </w:p>
    <w:p w14:paraId="208A2BEB" w14:textId="142423E3" w:rsidR="00FF660E" w:rsidRPr="00ED4D4B" w:rsidRDefault="14FCD005" w:rsidP="24A7EEC6">
      <w:pPr>
        <w:rPr>
          <w:rFonts w:asciiTheme="majorHAnsi" w:hAnsiTheme="majorHAnsi" w:cs="Arial"/>
          <w:sz w:val="22"/>
          <w:szCs w:val="22"/>
        </w:rPr>
      </w:pPr>
      <w:r w:rsidRPr="00ED4D4B">
        <w:rPr>
          <w:rFonts w:asciiTheme="majorHAnsi" w:hAnsiTheme="majorHAnsi" w:cs="Arial"/>
          <w:sz w:val="22"/>
          <w:szCs w:val="22"/>
        </w:rPr>
        <w:t xml:space="preserve">The State Party’s continued failure to implement the Committee’s earlier recommendations has had a disproportionate impact on protected and marginalized groups, including Indigenous </w:t>
      </w:r>
      <w:r w:rsidR="511E3CBA" w:rsidRPr="00ED4D4B">
        <w:rPr>
          <w:rFonts w:asciiTheme="majorHAnsi" w:hAnsiTheme="majorHAnsi" w:cs="Arial"/>
          <w:sz w:val="22"/>
          <w:szCs w:val="22"/>
        </w:rPr>
        <w:t>P</w:t>
      </w:r>
      <w:r w:rsidRPr="00ED4D4B">
        <w:rPr>
          <w:rFonts w:asciiTheme="majorHAnsi" w:hAnsiTheme="majorHAnsi" w:cs="Arial"/>
          <w:sz w:val="22"/>
          <w:szCs w:val="22"/>
        </w:rPr>
        <w:t xml:space="preserve">eoples, persons with disabilities, </w:t>
      </w:r>
      <w:r w:rsidR="4CBE7BE8" w:rsidRPr="00ED4D4B">
        <w:rPr>
          <w:rFonts w:asciiTheme="majorHAnsi" w:hAnsiTheme="majorHAnsi" w:cs="Arial"/>
          <w:sz w:val="22"/>
          <w:szCs w:val="22"/>
        </w:rPr>
        <w:t xml:space="preserve">Black and </w:t>
      </w:r>
      <w:r w:rsidRPr="00ED4D4B">
        <w:rPr>
          <w:rFonts w:asciiTheme="majorHAnsi" w:hAnsiTheme="majorHAnsi" w:cs="Arial"/>
          <w:sz w:val="22"/>
          <w:szCs w:val="22"/>
        </w:rPr>
        <w:t xml:space="preserve">racialized communities, young people, migrants, children, and women and gender diverse people. Available data </w:t>
      </w:r>
      <w:r w:rsidRPr="3B4779E1">
        <w:rPr>
          <w:rFonts w:asciiTheme="majorHAnsi" w:hAnsiTheme="majorHAnsi" w:cs="Arial"/>
          <w:sz w:val="22"/>
          <w:szCs w:val="22"/>
        </w:rPr>
        <w:t>indicates</w:t>
      </w:r>
      <w:r w:rsidRPr="00ED4D4B">
        <w:rPr>
          <w:rFonts w:asciiTheme="majorHAnsi" w:hAnsiTheme="majorHAnsi" w:cs="Arial"/>
          <w:sz w:val="22"/>
          <w:szCs w:val="22"/>
        </w:rPr>
        <w:t xml:space="preserve"> </w:t>
      </w:r>
      <w:r w:rsidR="68D83530" w:rsidRPr="00ED4D4B">
        <w:rPr>
          <w:rFonts w:asciiTheme="majorHAnsi" w:hAnsiTheme="majorHAnsi" w:cs="Arial"/>
          <w:sz w:val="22"/>
          <w:szCs w:val="22"/>
        </w:rPr>
        <w:t>that while making up only 5% of the Canadian population according to the 2021 census</w:t>
      </w:r>
      <w:r w:rsidRPr="00ED4D4B">
        <w:rPr>
          <w:rStyle w:val="FootnoteReference"/>
          <w:rFonts w:asciiTheme="majorHAnsi" w:hAnsiTheme="majorHAnsi" w:cs="Arial"/>
          <w:sz w:val="22"/>
          <w:szCs w:val="22"/>
        </w:rPr>
        <w:footnoteReference w:id="10"/>
      </w:r>
      <w:r w:rsidR="68D83530" w:rsidRPr="00ED4D4B">
        <w:rPr>
          <w:rFonts w:asciiTheme="majorHAnsi" w:hAnsiTheme="majorHAnsi" w:cs="Arial"/>
          <w:sz w:val="22"/>
          <w:szCs w:val="22"/>
        </w:rPr>
        <w:t>, 35% of homeless individuals identified as Indigenous during the 2020-2022 national Point-in-Time count.</w:t>
      </w:r>
      <w:r w:rsidRPr="00ED4D4B">
        <w:rPr>
          <w:rStyle w:val="FootnoteReference"/>
          <w:rFonts w:asciiTheme="majorHAnsi" w:hAnsiTheme="majorHAnsi" w:cs="Arial"/>
          <w:sz w:val="22"/>
          <w:szCs w:val="22"/>
        </w:rPr>
        <w:footnoteReference w:id="11"/>
      </w:r>
    </w:p>
    <w:p w14:paraId="41E8F19F" w14:textId="5F38F199" w:rsidR="00FF660E" w:rsidRPr="00ED4D4B" w:rsidRDefault="002404DB" w:rsidP="00FF660E">
      <w:pPr>
        <w:rPr>
          <w:rFonts w:asciiTheme="majorHAnsi" w:hAnsiTheme="majorHAnsi" w:cs="Arial"/>
          <w:sz w:val="22"/>
          <w:szCs w:val="22"/>
        </w:rPr>
      </w:pPr>
      <w:r w:rsidRPr="00ED4D4B">
        <w:rPr>
          <w:rFonts w:asciiTheme="majorHAnsi" w:hAnsiTheme="majorHAnsi" w:cs="Arial"/>
          <w:sz w:val="22"/>
          <w:szCs w:val="22"/>
        </w:rPr>
        <w:t xml:space="preserve">In </w:t>
      </w:r>
      <w:r w:rsidR="00FF660E" w:rsidRPr="00ED4D4B">
        <w:rPr>
          <w:rFonts w:asciiTheme="majorHAnsi" w:hAnsiTheme="majorHAnsi" w:cs="Arial"/>
          <w:i/>
          <w:iCs/>
          <w:sz w:val="22"/>
          <w:szCs w:val="22"/>
        </w:rPr>
        <w:t>Nell Toussaint v. Canada</w:t>
      </w:r>
      <w:r w:rsidR="00FF660E" w:rsidRPr="00ED4D4B">
        <w:rPr>
          <w:rFonts w:asciiTheme="majorHAnsi" w:hAnsiTheme="majorHAnsi" w:cs="Arial"/>
          <w:sz w:val="22"/>
          <w:szCs w:val="22"/>
        </w:rPr>
        <w:t xml:space="preserve"> (2018)</w:t>
      </w:r>
      <w:r w:rsidRPr="00ED4D4B">
        <w:rPr>
          <w:rStyle w:val="FootnoteReference"/>
          <w:rFonts w:asciiTheme="majorHAnsi" w:hAnsiTheme="majorHAnsi" w:cs="Arial"/>
          <w:sz w:val="22"/>
          <w:szCs w:val="22"/>
        </w:rPr>
        <w:footnoteReference w:id="12"/>
      </w:r>
      <w:r w:rsidR="00FF660E" w:rsidRPr="00ED4D4B">
        <w:rPr>
          <w:rFonts w:asciiTheme="majorHAnsi" w:hAnsiTheme="majorHAnsi" w:cs="Arial"/>
          <w:sz w:val="22"/>
          <w:szCs w:val="22"/>
        </w:rPr>
        <w:t>, this Committee affirmed that the right to life requires States to take positive measures to ensure access to essential services where life is at risk</w:t>
      </w:r>
      <w:r w:rsidRPr="00ED4D4B">
        <w:rPr>
          <w:rFonts w:asciiTheme="majorHAnsi" w:hAnsiTheme="majorHAnsi" w:cs="Arial"/>
          <w:sz w:val="22"/>
          <w:szCs w:val="22"/>
        </w:rPr>
        <w:t xml:space="preserve">, requiring in that case that Canada adopt necessary measures to ensure access to essential health care for irregular migrants. Canada refused to implement the Committee’s recommended remedy in that case because it did not agree with the Committee’s interpretation of the right to life.  </w:t>
      </w:r>
    </w:p>
    <w:p w14:paraId="1EF717C1" w14:textId="2EF80A57" w:rsidR="00926351" w:rsidRPr="00ED4D4B" w:rsidRDefault="14FCD005" w:rsidP="00241EB8">
      <w:pPr>
        <w:rPr>
          <w:rFonts w:asciiTheme="majorHAnsi" w:hAnsiTheme="majorHAnsi" w:cs="Arial"/>
          <w:sz w:val="22"/>
          <w:szCs w:val="22"/>
        </w:rPr>
      </w:pPr>
      <w:r w:rsidRPr="00ED4D4B">
        <w:rPr>
          <w:rFonts w:asciiTheme="majorHAnsi" w:hAnsiTheme="majorHAnsi" w:cs="Arial"/>
          <w:sz w:val="22"/>
          <w:szCs w:val="22"/>
        </w:rPr>
        <w:lastRenderedPageBreak/>
        <w:t>Despite this clear guidance, governments in Canada have continued to resist interpreting the right to life as encompassing access to basic necessities such as health care, an approach that undermines the fundamental principles of interdependence and indivisibility of human rights under international law.</w:t>
      </w:r>
    </w:p>
    <w:p w14:paraId="6BF14C5C" w14:textId="42B35E11" w:rsidR="00D517D6" w:rsidRDefault="14FCD005" w:rsidP="24A7EEC6">
      <w:pPr>
        <w:rPr>
          <w:rFonts w:asciiTheme="majorHAnsi" w:hAnsiTheme="majorHAnsi" w:cs="Arial"/>
          <w:sz w:val="22"/>
          <w:szCs w:val="22"/>
        </w:rPr>
      </w:pPr>
      <w:r w:rsidRPr="00ED4D4B">
        <w:rPr>
          <w:rFonts w:asciiTheme="majorHAnsi" w:hAnsiTheme="majorHAnsi" w:cs="Arial"/>
          <w:sz w:val="22"/>
          <w:szCs w:val="22"/>
        </w:rPr>
        <w:t xml:space="preserve">Canada’s National Housing Strategy, which launched in 2017, two years before the </w:t>
      </w:r>
      <w:r w:rsidRPr="00ED4D4B">
        <w:rPr>
          <w:rFonts w:asciiTheme="majorHAnsi" w:hAnsiTheme="majorHAnsi" w:cs="Arial"/>
          <w:i/>
          <w:iCs/>
          <w:sz w:val="22"/>
          <w:szCs w:val="22"/>
        </w:rPr>
        <w:t>National Housing Strategy Act</w:t>
      </w:r>
      <w:r w:rsidRPr="00ED4D4B">
        <w:rPr>
          <w:rFonts w:asciiTheme="majorHAnsi" w:hAnsiTheme="majorHAnsi" w:cs="Arial"/>
          <w:sz w:val="22"/>
          <w:szCs w:val="22"/>
        </w:rPr>
        <w:t xml:space="preserve">, is </w:t>
      </w:r>
      <w:r w:rsidRPr="00ED4D4B">
        <w:rPr>
          <w:rFonts w:asciiTheme="majorHAnsi" w:hAnsiTheme="majorHAnsi" w:cs="Arial"/>
          <w:b/>
          <w:bCs/>
          <w:sz w:val="22"/>
          <w:szCs w:val="22"/>
        </w:rPr>
        <w:t>set to expire in March 2028</w:t>
      </w:r>
      <w:r w:rsidRPr="00ED4D4B">
        <w:rPr>
          <w:rFonts w:asciiTheme="majorHAnsi" w:hAnsiTheme="majorHAnsi" w:cs="Arial"/>
          <w:sz w:val="22"/>
          <w:szCs w:val="22"/>
        </w:rPr>
        <w:t xml:space="preserve">. Under s. 5(1) of the NHSA, “[t]he Minister must develop and maintain a national housing strategy to further the housing policy, taking into account key principles of a human rights-based approach to housing.” There is a key opportunity for the government of Canada to integrate policies which genuinely address violations of Article 6 for persons experiencing homelessness in the renewed National Housing Strategy. </w:t>
      </w:r>
    </w:p>
    <w:p w14:paraId="25942C2C" w14:textId="2C403B56" w:rsidR="00516763" w:rsidRDefault="005C6AC5" w:rsidP="24A7EEC6">
      <w:pPr>
        <w:rPr>
          <w:rFonts w:asciiTheme="majorHAnsi" w:hAnsiTheme="majorHAnsi" w:cs="Arial"/>
          <w:sz w:val="22"/>
          <w:szCs w:val="22"/>
        </w:rPr>
      </w:pPr>
      <w:r w:rsidRPr="00C84836">
        <w:rPr>
          <w:rFonts w:asciiTheme="majorHAnsi" w:hAnsiTheme="majorHAnsi" w:cs="Arial"/>
          <w:b/>
          <w:noProof/>
          <w:color w:val="404040" w:themeColor="text1" w:themeTint="BF"/>
          <w:sz w:val="22"/>
          <w:szCs w:val="22"/>
        </w:rPr>
        <mc:AlternateContent>
          <mc:Choice Requires="wps">
            <w:drawing>
              <wp:anchor distT="0" distB="0" distL="114300" distR="114300" simplePos="0" relativeHeight="251658244" behindDoc="1" locked="0" layoutInCell="1" allowOverlap="1" wp14:anchorId="5A4E812A" wp14:editId="6F5EF49E">
                <wp:simplePos x="0" y="0"/>
                <wp:positionH relativeFrom="column">
                  <wp:posOffset>-209550</wp:posOffset>
                </wp:positionH>
                <wp:positionV relativeFrom="paragraph">
                  <wp:posOffset>323850</wp:posOffset>
                </wp:positionV>
                <wp:extent cx="6436360" cy="5200650"/>
                <wp:effectExtent l="19050" t="19050" r="40640" b="38100"/>
                <wp:wrapNone/>
                <wp:docPr id="733389925" name="Rectangle 6"/>
                <wp:cNvGraphicFramePr/>
                <a:graphic xmlns:a="http://schemas.openxmlformats.org/drawingml/2006/main">
                  <a:graphicData uri="http://schemas.microsoft.com/office/word/2010/wordprocessingShape">
                    <wps:wsp>
                      <wps:cNvSpPr/>
                      <wps:spPr>
                        <a:xfrm>
                          <a:off x="0" y="0"/>
                          <a:ext cx="6436360" cy="5200650"/>
                        </a:xfrm>
                        <a:prstGeom prst="rect">
                          <a:avLst/>
                        </a:prstGeom>
                        <a:noFill/>
                        <a:ln w="57150">
                          <a:solidFill>
                            <a:srgbClr val="F5C4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D5546" id="Rectangle 6" o:spid="_x0000_s1026" style="position:absolute;margin-left:-16.5pt;margin-top:25.5pt;width:506.8pt;height:409.5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" filled="f" strokecolor="#f5c400" strokeweight="4.5pt"/>
            </w:pict>
          </mc:Fallback>
        </mc:AlternateContent>
      </w:r>
    </w:p>
    <w:p w14:paraId="54F8F54C" w14:textId="158F0F07" w:rsidR="0095156F" w:rsidRPr="00ED4D4B" w:rsidRDefault="00AB0C48" w:rsidP="00AB0C48">
      <w:pPr>
        <w:tabs>
          <w:tab w:val="center" w:pos="4680"/>
        </w:tabs>
        <w:rPr>
          <w:rFonts w:asciiTheme="majorHAnsi" w:hAnsiTheme="majorHAnsi" w:cs="Arial"/>
          <w:sz w:val="22"/>
          <w:szCs w:val="22"/>
        </w:rPr>
      </w:pPr>
      <w:r>
        <w:rPr>
          <w:rFonts w:asciiTheme="majorHAnsi" w:hAnsiTheme="majorHAnsi" w:cs="Arial"/>
          <w:sz w:val="22"/>
          <w:szCs w:val="22"/>
        </w:rPr>
        <w:tab/>
      </w:r>
    </w:p>
    <w:p w14:paraId="5DC26231" w14:textId="6F3CA1B6" w:rsidR="008F49B2" w:rsidRPr="00C84836" w:rsidRDefault="005C6AC5" w:rsidP="00C84836">
      <w:pPr>
        <w:tabs>
          <w:tab w:val="left" w:pos="5304"/>
          <w:tab w:val="left" w:pos="7872"/>
        </w:tabs>
        <w:rPr>
          <w:rFonts w:asciiTheme="majorHAnsi" w:hAnsiTheme="majorHAnsi" w:cs="Arial"/>
          <w:b/>
          <w:color w:val="404040" w:themeColor="text1" w:themeTint="BF"/>
          <w:sz w:val="22"/>
          <w:szCs w:val="22"/>
        </w:rPr>
      </w:pPr>
      <w:r w:rsidRPr="00C84836">
        <w:rPr>
          <w:rFonts w:asciiTheme="majorHAnsi" w:hAnsiTheme="majorHAnsi" w:cs="Arial"/>
          <w:b/>
          <w:color w:val="404040" w:themeColor="text1" w:themeTint="BF"/>
          <w:sz w:val="22"/>
          <w:szCs w:val="22"/>
        </w:rPr>
        <w:t>RECOMMENDED QUESTIONS:</w:t>
      </w:r>
      <w:r w:rsidRPr="00C84836">
        <w:rPr>
          <w:rFonts w:asciiTheme="majorHAnsi" w:hAnsiTheme="majorHAnsi" w:cs="Arial"/>
          <w:b/>
          <w:color w:val="404040" w:themeColor="text1" w:themeTint="BF"/>
          <w:sz w:val="22"/>
          <w:szCs w:val="22"/>
        </w:rPr>
        <w:tab/>
      </w:r>
      <w:r w:rsidRPr="00C84836">
        <w:rPr>
          <w:rFonts w:asciiTheme="majorHAnsi" w:hAnsiTheme="majorHAnsi" w:cs="Arial"/>
          <w:b/>
          <w:color w:val="404040" w:themeColor="text1" w:themeTint="BF"/>
          <w:sz w:val="22"/>
          <w:szCs w:val="22"/>
        </w:rPr>
        <w:tab/>
      </w:r>
    </w:p>
    <w:p w14:paraId="1613C1B6" w14:textId="514E7212" w:rsidR="00F96225" w:rsidRPr="001F7F29" w:rsidRDefault="003A7C78" w:rsidP="001F7F29">
      <w:pPr>
        <w:pStyle w:val="ListParagraph"/>
        <w:numPr>
          <w:ilvl w:val="0"/>
          <w:numId w:val="7"/>
        </w:numPr>
        <w:spacing w:line="240" w:lineRule="auto"/>
        <w:ind w:left="714" w:hanging="357"/>
        <w:contextualSpacing w:val="0"/>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Does Canada accept that the right to life under article 6 imposes positive obligations to reduce and eliminate homelessness</w:t>
      </w:r>
      <w:r w:rsidR="3B4779E1" w:rsidRPr="3B4779E1">
        <w:rPr>
          <w:rFonts w:asciiTheme="majorHAnsi" w:hAnsiTheme="majorHAnsi" w:cs="Arial"/>
          <w:color w:val="404040" w:themeColor="text1" w:themeTint="BF"/>
          <w:sz w:val="22"/>
          <w:szCs w:val="22"/>
        </w:rPr>
        <w:t>,</w:t>
      </w:r>
      <w:r w:rsidRPr="00C84836">
        <w:rPr>
          <w:rFonts w:asciiTheme="majorHAnsi" w:hAnsiTheme="majorHAnsi" w:cs="Arial"/>
          <w:color w:val="404040" w:themeColor="text1" w:themeTint="BF"/>
          <w:sz w:val="22"/>
          <w:szCs w:val="22"/>
        </w:rPr>
        <w:t xml:space="preserve"> and </w:t>
      </w:r>
      <w:r w:rsidR="00B434A8" w:rsidRPr="00C84836">
        <w:rPr>
          <w:rFonts w:asciiTheme="majorHAnsi" w:hAnsiTheme="majorHAnsi" w:cs="Arial"/>
          <w:color w:val="404040" w:themeColor="text1" w:themeTint="BF"/>
          <w:sz w:val="22"/>
          <w:szCs w:val="22"/>
        </w:rPr>
        <w:t>is the protection accorded by the right to life in section 7 of the Charter presumed to conform with these obligations under the ICCPR?</w:t>
      </w:r>
      <w:r w:rsidRPr="00C84836">
        <w:rPr>
          <w:rFonts w:asciiTheme="majorHAnsi" w:hAnsiTheme="majorHAnsi" w:cs="Arial"/>
          <w:color w:val="404040" w:themeColor="text1" w:themeTint="BF"/>
          <w:sz w:val="22"/>
          <w:szCs w:val="22"/>
        </w:rPr>
        <w:t xml:space="preserve"> </w:t>
      </w:r>
    </w:p>
    <w:p w14:paraId="07A63A77" w14:textId="2BCB6D63" w:rsidR="00400895" w:rsidRPr="0096675E" w:rsidRDefault="14FCD005" w:rsidP="001F7F29">
      <w:pPr>
        <w:pStyle w:val="ListParagraph"/>
        <w:numPr>
          <w:ilvl w:val="0"/>
          <w:numId w:val="7"/>
        </w:numPr>
        <w:spacing w:line="240" w:lineRule="auto"/>
        <w:ind w:left="714" w:hanging="357"/>
        <w:contextualSpacing w:val="0"/>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 xml:space="preserve">Please provide details of </w:t>
      </w:r>
      <w:r w:rsidR="00B434A8" w:rsidRPr="00C84836">
        <w:rPr>
          <w:rFonts w:asciiTheme="majorHAnsi" w:hAnsiTheme="majorHAnsi" w:cs="Arial"/>
          <w:color w:val="404040" w:themeColor="text1" w:themeTint="BF"/>
          <w:sz w:val="22"/>
          <w:szCs w:val="22"/>
        </w:rPr>
        <w:t xml:space="preserve">the </w:t>
      </w:r>
      <w:r w:rsidR="00B434A8" w:rsidRPr="0096675E">
        <w:rPr>
          <w:rFonts w:asciiTheme="majorHAnsi" w:hAnsiTheme="majorHAnsi" w:cs="Arial"/>
          <w:color w:val="404040" w:themeColor="text1" w:themeTint="BF"/>
          <w:sz w:val="22"/>
          <w:szCs w:val="22"/>
        </w:rPr>
        <w:t xml:space="preserve">goals and timelines established pursuant to the National Housing Strategy Act for the reduction and elimination of homelessness and report on </w:t>
      </w:r>
      <w:r w:rsidRPr="0096675E">
        <w:rPr>
          <w:rFonts w:asciiTheme="majorHAnsi" w:hAnsiTheme="majorHAnsi" w:cs="Arial"/>
          <w:color w:val="404040" w:themeColor="text1" w:themeTint="BF"/>
          <w:sz w:val="22"/>
          <w:szCs w:val="22"/>
        </w:rPr>
        <w:t>progress made</w:t>
      </w:r>
      <w:r w:rsidR="1411B578" w:rsidRPr="0096675E">
        <w:rPr>
          <w:rFonts w:asciiTheme="majorHAnsi" w:hAnsiTheme="majorHAnsi" w:cs="Arial"/>
          <w:color w:val="404040" w:themeColor="text1" w:themeTint="BF"/>
          <w:sz w:val="22"/>
          <w:szCs w:val="22"/>
        </w:rPr>
        <w:t xml:space="preserve"> </w:t>
      </w:r>
      <w:r w:rsidR="00B434A8" w:rsidRPr="0096675E">
        <w:rPr>
          <w:rFonts w:asciiTheme="majorHAnsi" w:hAnsiTheme="majorHAnsi" w:cs="Arial"/>
          <w:color w:val="404040" w:themeColor="text1" w:themeTint="BF"/>
          <w:sz w:val="22"/>
          <w:szCs w:val="22"/>
        </w:rPr>
        <w:t>since the Act was adopted.</w:t>
      </w:r>
    </w:p>
    <w:p w14:paraId="3D64B545" w14:textId="7CDF0C2C" w:rsidR="008F49B2" w:rsidRPr="00C84836" w:rsidRDefault="008F49B2" w:rsidP="24A7EEC6">
      <w:pPr>
        <w:numPr>
          <w:ilvl w:val="0"/>
          <w:numId w:val="7"/>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What efforts are being made to ensure coordination between the various jurisdictions in Canad</w:t>
      </w:r>
      <w:r w:rsidR="00B434A8" w:rsidRPr="00C84836">
        <w:rPr>
          <w:rFonts w:asciiTheme="majorHAnsi" w:hAnsiTheme="majorHAnsi" w:cs="Arial"/>
          <w:color w:val="404040" w:themeColor="text1" w:themeTint="BF"/>
          <w:sz w:val="22"/>
          <w:szCs w:val="22"/>
        </w:rPr>
        <w:t xml:space="preserve">a for the reduction and elimination of homelessness as required under article 6? </w:t>
      </w:r>
    </w:p>
    <w:p w14:paraId="742A36A9" w14:textId="77777777" w:rsidR="005C6AC5" w:rsidRDefault="005C6AC5" w:rsidP="24A7EEC6">
      <w:pPr>
        <w:rPr>
          <w:rFonts w:asciiTheme="majorHAnsi" w:hAnsiTheme="majorHAnsi" w:cs="Arial"/>
          <w:b/>
          <w:color w:val="404040" w:themeColor="text1" w:themeTint="BF"/>
          <w:sz w:val="22"/>
          <w:szCs w:val="22"/>
        </w:rPr>
      </w:pPr>
    </w:p>
    <w:p w14:paraId="6FDD813F" w14:textId="37312A22" w:rsidR="2B86CBE5" w:rsidRPr="00C84836" w:rsidRDefault="005C6AC5" w:rsidP="24A7EEC6">
      <w:pPr>
        <w:rPr>
          <w:rFonts w:asciiTheme="majorHAnsi" w:hAnsiTheme="majorHAnsi" w:cs="Arial"/>
          <w:b/>
          <w:color w:val="404040" w:themeColor="text1" w:themeTint="BF"/>
          <w:sz w:val="22"/>
          <w:szCs w:val="22"/>
        </w:rPr>
      </w:pPr>
      <w:r w:rsidRPr="00C84836">
        <w:rPr>
          <w:rFonts w:asciiTheme="majorHAnsi" w:hAnsiTheme="majorHAnsi" w:cs="Arial"/>
          <w:b/>
          <w:color w:val="404040" w:themeColor="text1" w:themeTint="BF"/>
          <w:sz w:val="22"/>
          <w:szCs w:val="22"/>
        </w:rPr>
        <w:t>RECOMMENDATIONS:</w:t>
      </w:r>
    </w:p>
    <w:p w14:paraId="4861B38F" w14:textId="77777777" w:rsidR="005C6AC5" w:rsidRDefault="2B86CBE5" w:rsidP="00701B89">
      <w:pPr>
        <w:pStyle w:val="ListParagraph"/>
        <w:numPr>
          <w:ilvl w:val="0"/>
          <w:numId w:val="1"/>
        </w:numPr>
        <w:spacing w:line="240" w:lineRule="auto"/>
        <w:ind w:left="714" w:hanging="357"/>
        <w:contextualSpacing w:val="0"/>
        <w:rPr>
          <w:rFonts w:asciiTheme="majorHAnsi" w:hAnsiTheme="majorHAnsi" w:cs="Arial"/>
          <w:color w:val="404040" w:themeColor="text1" w:themeTint="BF"/>
          <w:sz w:val="22"/>
          <w:szCs w:val="22"/>
        </w:rPr>
      </w:pPr>
      <w:r w:rsidRPr="005C6AC5">
        <w:rPr>
          <w:rFonts w:asciiTheme="majorHAnsi" w:hAnsiTheme="majorHAnsi" w:cs="Arial"/>
          <w:color w:val="404040" w:themeColor="text1" w:themeTint="BF"/>
          <w:sz w:val="22"/>
          <w:szCs w:val="22"/>
        </w:rPr>
        <w:t>Canada</w:t>
      </w:r>
      <w:r w:rsidR="00B66A12" w:rsidRPr="005C6AC5">
        <w:rPr>
          <w:rFonts w:asciiTheme="majorHAnsi" w:hAnsiTheme="majorHAnsi" w:cs="Arial"/>
          <w:color w:val="404040" w:themeColor="text1" w:themeTint="BF"/>
          <w:sz w:val="22"/>
          <w:szCs w:val="22"/>
        </w:rPr>
        <w:t xml:space="preserve"> should</w:t>
      </w:r>
      <w:r w:rsidRPr="005C6AC5">
        <w:rPr>
          <w:rFonts w:asciiTheme="majorHAnsi" w:hAnsiTheme="majorHAnsi" w:cs="Arial"/>
          <w:color w:val="404040" w:themeColor="text1" w:themeTint="BF"/>
          <w:sz w:val="22"/>
          <w:szCs w:val="22"/>
        </w:rPr>
        <w:t xml:space="preserve"> </w:t>
      </w:r>
      <w:r w:rsidR="00B66A12" w:rsidRPr="005C6AC5">
        <w:rPr>
          <w:rFonts w:asciiTheme="majorHAnsi" w:hAnsiTheme="majorHAnsi" w:cs="Arial"/>
          <w:color w:val="404040" w:themeColor="text1" w:themeTint="BF"/>
          <w:sz w:val="22"/>
          <w:szCs w:val="22"/>
        </w:rPr>
        <w:t xml:space="preserve">accept that the right to life under article 6 </w:t>
      </w:r>
      <w:r w:rsidR="5AA5A288" w:rsidRPr="005C6AC5">
        <w:rPr>
          <w:rFonts w:asciiTheme="majorHAnsi" w:hAnsiTheme="majorHAnsi" w:cs="Arial"/>
          <w:color w:val="404040" w:themeColor="text1" w:themeTint="BF"/>
          <w:sz w:val="22"/>
          <w:szCs w:val="22"/>
        </w:rPr>
        <w:t>r</w:t>
      </w:r>
      <w:r w:rsidR="00B66A12" w:rsidRPr="005C6AC5">
        <w:rPr>
          <w:rFonts w:asciiTheme="majorHAnsi" w:hAnsiTheme="majorHAnsi" w:cs="Arial"/>
          <w:color w:val="404040" w:themeColor="text1" w:themeTint="BF"/>
          <w:sz w:val="22"/>
          <w:szCs w:val="22"/>
        </w:rPr>
        <w:t>equires</w:t>
      </w:r>
      <w:r w:rsidRPr="005C6AC5">
        <w:rPr>
          <w:rFonts w:asciiTheme="majorHAnsi" w:hAnsiTheme="majorHAnsi" w:cs="Arial"/>
          <w:color w:val="404040" w:themeColor="text1" w:themeTint="BF"/>
          <w:sz w:val="22"/>
          <w:szCs w:val="22"/>
        </w:rPr>
        <w:t xml:space="preserve"> positive legislative, policy, and administrative measures to prevent and remedy </w:t>
      </w:r>
      <w:r w:rsidR="5963D728" w:rsidRPr="005C6AC5">
        <w:rPr>
          <w:rFonts w:asciiTheme="majorHAnsi" w:hAnsiTheme="majorHAnsi" w:cs="Arial"/>
          <w:color w:val="404040" w:themeColor="text1" w:themeTint="BF"/>
          <w:sz w:val="22"/>
          <w:szCs w:val="22"/>
        </w:rPr>
        <w:t>such violations</w:t>
      </w:r>
      <w:r w:rsidRPr="005C6AC5">
        <w:rPr>
          <w:rFonts w:asciiTheme="majorHAnsi" w:hAnsiTheme="majorHAnsi" w:cs="Arial"/>
          <w:color w:val="404040" w:themeColor="text1" w:themeTint="BF"/>
          <w:sz w:val="22"/>
          <w:szCs w:val="22"/>
        </w:rPr>
        <w:t xml:space="preserve"> linked to homelessness</w:t>
      </w:r>
      <w:r w:rsidR="00B66A12" w:rsidRPr="005C6AC5">
        <w:rPr>
          <w:rFonts w:asciiTheme="majorHAnsi" w:hAnsiTheme="majorHAnsi" w:cs="Arial"/>
          <w:color w:val="404040" w:themeColor="text1" w:themeTint="BF"/>
          <w:sz w:val="22"/>
          <w:szCs w:val="22"/>
        </w:rPr>
        <w:t xml:space="preserve"> and </w:t>
      </w:r>
      <w:r w:rsidR="002404DB" w:rsidRPr="005C6AC5">
        <w:rPr>
          <w:rFonts w:asciiTheme="majorHAnsi" w:hAnsiTheme="majorHAnsi" w:cs="Arial"/>
          <w:color w:val="404040" w:themeColor="text1" w:themeTint="BF"/>
          <w:sz w:val="22"/>
          <w:szCs w:val="22"/>
        </w:rPr>
        <w:t>interpret and apply domestic law so as to ensure effective remedies where governments have failed to adopt necessary measures</w:t>
      </w:r>
      <w:r w:rsidR="6E99EAA0" w:rsidRPr="005C6AC5">
        <w:rPr>
          <w:rFonts w:asciiTheme="majorHAnsi" w:hAnsiTheme="majorHAnsi" w:cs="Arial"/>
          <w:color w:val="404040" w:themeColor="text1" w:themeTint="BF"/>
          <w:sz w:val="22"/>
          <w:szCs w:val="22"/>
        </w:rPr>
        <w:t>.</w:t>
      </w:r>
    </w:p>
    <w:p w14:paraId="54B4A8A1" w14:textId="2E8BE876" w:rsidR="10AD0F20" w:rsidRPr="005C6AC5" w:rsidRDefault="10AD0F20" w:rsidP="00701B89">
      <w:pPr>
        <w:pStyle w:val="ListParagraph"/>
        <w:numPr>
          <w:ilvl w:val="0"/>
          <w:numId w:val="1"/>
        </w:numPr>
        <w:spacing w:line="240" w:lineRule="auto"/>
        <w:ind w:left="714" w:hanging="357"/>
        <w:contextualSpacing w:val="0"/>
        <w:rPr>
          <w:rFonts w:asciiTheme="majorHAnsi" w:hAnsiTheme="majorHAnsi" w:cs="Arial"/>
          <w:color w:val="404040" w:themeColor="text1" w:themeTint="BF"/>
          <w:sz w:val="22"/>
          <w:szCs w:val="22"/>
        </w:rPr>
      </w:pPr>
      <w:r w:rsidRPr="005C6AC5">
        <w:rPr>
          <w:rFonts w:asciiTheme="majorHAnsi" w:hAnsiTheme="majorHAnsi" w:cs="Arial"/>
          <w:color w:val="404040" w:themeColor="text1" w:themeTint="BF"/>
          <w:sz w:val="22"/>
          <w:szCs w:val="22"/>
        </w:rPr>
        <w:t>Canada must integrate the protection of the right to life into homelessness and housing policy by adopting measures that prioritize access to permanent</w:t>
      </w:r>
      <w:r w:rsidR="58B4BC14" w:rsidRPr="005C6AC5">
        <w:rPr>
          <w:rFonts w:asciiTheme="majorHAnsi" w:hAnsiTheme="majorHAnsi" w:cs="Arial"/>
          <w:color w:val="404040" w:themeColor="text1" w:themeTint="BF"/>
          <w:sz w:val="22"/>
          <w:szCs w:val="22"/>
        </w:rPr>
        <w:t>, adequate housing for people facing life-threatening housing deprivation, in accordance with Article 6</w:t>
      </w:r>
      <w:r w:rsidR="002404DB" w:rsidRPr="005C6AC5">
        <w:rPr>
          <w:rFonts w:asciiTheme="majorHAnsi" w:hAnsiTheme="majorHAnsi" w:cs="Arial"/>
          <w:color w:val="404040" w:themeColor="text1" w:themeTint="BF"/>
          <w:sz w:val="22"/>
          <w:szCs w:val="22"/>
        </w:rPr>
        <w:t xml:space="preserve"> of the ICCPR and commitments under the National Housing Strategy Act.</w:t>
      </w:r>
    </w:p>
    <w:p w14:paraId="2B716931" w14:textId="73F057D0" w:rsidR="009649D9" w:rsidRPr="00C84836" w:rsidRDefault="18532FDD" w:rsidP="00701B89">
      <w:pPr>
        <w:pStyle w:val="ListParagraph"/>
        <w:numPr>
          <w:ilvl w:val="0"/>
          <w:numId w:val="1"/>
        </w:numPr>
        <w:spacing w:line="240" w:lineRule="auto"/>
        <w:ind w:left="714" w:hanging="357"/>
        <w:contextualSpacing w:val="0"/>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Canada must ensure that all levels of government act in a coordinated and coherent manner to prevent, reduce, and ultimately eliminate homelessness</w:t>
      </w:r>
      <w:r w:rsidR="484A4367" w:rsidRPr="00C84836">
        <w:rPr>
          <w:rFonts w:asciiTheme="majorHAnsi" w:hAnsiTheme="majorHAnsi" w:cs="Arial"/>
          <w:color w:val="404040" w:themeColor="text1" w:themeTint="BF"/>
          <w:sz w:val="22"/>
          <w:szCs w:val="22"/>
        </w:rPr>
        <w:t xml:space="preserve"> in accordance to the NHSA</w:t>
      </w:r>
      <w:r w:rsidR="614148DC" w:rsidRPr="00C84836">
        <w:rPr>
          <w:rFonts w:asciiTheme="majorHAnsi" w:hAnsiTheme="majorHAnsi" w:cs="Arial"/>
          <w:color w:val="404040" w:themeColor="text1" w:themeTint="BF"/>
          <w:sz w:val="22"/>
          <w:szCs w:val="22"/>
        </w:rPr>
        <w:t>.</w:t>
      </w:r>
    </w:p>
    <w:p w14:paraId="66D25E31" w14:textId="77777777" w:rsidR="00F2268F" w:rsidRPr="00C84836" w:rsidRDefault="00F2268F" w:rsidP="00F2268F">
      <w:pPr>
        <w:pStyle w:val="ListParagraph"/>
        <w:rPr>
          <w:rFonts w:asciiTheme="majorHAnsi" w:hAnsiTheme="majorHAnsi" w:cs="Arial"/>
          <w:color w:val="404040" w:themeColor="text1" w:themeTint="BF"/>
          <w:sz w:val="22"/>
          <w:szCs w:val="22"/>
        </w:rPr>
      </w:pPr>
    </w:p>
    <w:p w14:paraId="0C338B1A" w14:textId="77777777" w:rsidR="008B4955" w:rsidRDefault="008B4955" w:rsidP="005C6AC5">
      <w:pPr>
        <w:rPr>
          <w:rFonts w:asciiTheme="majorHAnsi" w:hAnsiTheme="majorHAnsi" w:cs="Arial"/>
          <w:b/>
          <w:color w:val="153D63" w:themeColor="text2" w:themeTint="E6"/>
          <w:sz w:val="32"/>
          <w:szCs w:val="32"/>
        </w:rPr>
      </w:pPr>
    </w:p>
    <w:p w14:paraId="56D64510" w14:textId="22EADCB7" w:rsidR="005C6AC5" w:rsidRPr="00564B41" w:rsidRDefault="004820F7" w:rsidP="00564B41">
      <w:pPr>
        <w:pStyle w:val="Heading2"/>
        <w:spacing w:after="240" w:line="276" w:lineRule="auto"/>
        <w:rPr>
          <w:sz w:val="36"/>
          <w:szCs w:val="36"/>
        </w:rPr>
      </w:pPr>
      <w:bookmarkStart w:id="6" w:name="_Toc220665473"/>
      <w:r w:rsidRPr="00564B41">
        <w:rPr>
          <w:sz w:val="36"/>
          <w:szCs w:val="36"/>
        </w:rPr>
        <w:lastRenderedPageBreak/>
        <w:t xml:space="preserve">Right to Effective Remedies &amp; Tenants Evicted into </w:t>
      </w:r>
      <w:r w:rsidR="00564B41">
        <w:rPr>
          <w:sz w:val="36"/>
          <w:szCs w:val="36"/>
        </w:rPr>
        <w:t>H</w:t>
      </w:r>
      <w:r w:rsidRPr="00564B41">
        <w:rPr>
          <w:sz w:val="36"/>
          <w:szCs w:val="36"/>
        </w:rPr>
        <w:t>omelessness</w:t>
      </w:r>
      <w:r w:rsidR="00564B41">
        <w:rPr>
          <w:sz w:val="36"/>
          <w:szCs w:val="36"/>
        </w:rPr>
        <w:t xml:space="preserve"> </w:t>
      </w:r>
      <w:r w:rsidRPr="00564B41">
        <w:rPr>
          <w:bCs/>
          <w:sz w:val="36"/>
          <w:szCs w:val="36"/>
        </w:rPr>
        <w:t>(Article 2, 6, 17)</w:t>
      </w:r>
      <w:bookmarkEnd w:id="6"/>
    </w:p>
    <w:p w14:paraId="4FD77A8E" w14:textId="3FC3790B" w:rsidR="00FC19F7" w:rsidRPr="00ED4D4B" w:rsidRDefault="00CB2CDD" w:rsidP="00CB2CDD">
      <w:pPr>
        <w:rPr>
          <w:rFonts w:asciiTheme="majorHAnsi" w:hAnsiTheme="majorHAnsi" w:cs="Arial"/>
          <w:sz w:val="22"/>
          <w:szCs w:val="22"/>
        </w:rPr>
      </w:pPr>
      <w:r w:rsidRPr="00ED4D4B">
        <w:rPr>
          <w:rFonts w:asciiTheme="majorHAnsi" w:hAnsiTheme="majorHAnsi" w:cs="Arial"/>
          <w:sz w:val="22"/>
          <w:szCs w:val="22"/>
        </w:rPr>
        <w:t>It was highlighted</w:t>
      </w:r>
      <w:r w:rsidR="14FCD005" w:rsidRPr="00ED4D4B">
        <w:rPr>
          <w:rFonts w:asciiTheme="majorHAnsi" w:hAnsiTheme="majorHAnsi" w:cs="Arial"/>
          <w:sz w:val="22"/>
          <w:szCs w:val="22"/>
        </w:rPr>
        <w:t xml:space="preserve"> in </w:t>
      </w:r>
      <w:r w:rsidR="14FCD005" w:rsidRPr="00ED4D4B">
        <w:rPr>
          <w:rFonts w:asciiTheme="majorHAnsi" w:hAnsiTheme="majorHAnsi" w:cs="Arial"/>
          <w:b/>
          <w:bCs/>
          <w:sz w:val="22"/>
          <w:szCs w:val="22"/>
        </w:rPr>
        <w:t>General Comment No. 7 (1997)</w:t>
      </w:r>
      <w:r w:rsidRPr="00ED4D4B">
        <w:rPr>
          <w:rStyle w:val="FootnoteReference"/>
          <w:rFonts w:asciiTheme="majorHAnsi" w:hAnsiTheme="majorHAnsi" w:cs="Arial"/>
          <w:b/>
          <w:bCs/>
          <w:sz w:val="22"/>
          <w:szCs w:val="22"/>
        </w:rPr>
        <w:footnoteReference w:id="13"/>
      </w:r>
      <w:r w:rsidR="14FCD005" w:rsidRPr="00ED4D4B">
        <w:rPr>
          <w:rFonts w:asciiTheme="majorHAnsi" w:hAnsiTheme="majorHAnsi" w:cs="Arial"/>
          <w:sz w:val="22"/>
          <w:szCs w:val="22"/>
        </w:rPr>
        <w:t xml:space="preserve"> that: “Evictions should not result in individuals being rendered homeless or vulnerable to the violation of other human rights. Where those affected are unable to provide for themselves, the State P</w:t>
      </w:r>
      <w:r w:rsidR="14FCD005" w:rsidRPr="00ED4D4B" w:rsidDel="14FCD005">
        <w:rPr>
          <w:rFonts w:asciiTheme="majorHAnsi" w:hAnsiTheme="majorHAnsi" w:cs="Arial"/>
          <w:sz w:val="22"/>
          <w:szCs w:val="22"/>
        </w:rPr>
        <w:t xml:space="preserve">arty must take all </w:t>
      </w:r>
      <w:r w:rsidR="14FCD005" w:rsidRPr="00ED4D4B">
        <w:rPr>
          <w:rFonts w:asciiTheme="majorHAnsi" w:hAnsiTheme="majorHAnsi" w:cs="Arial"/>
          <w:sz w:val="22"/>
          <w:szCs w:val="22"/>
        </w:rPr>
        <w:t>appropriate measures, to the maximum of its available resources, to ensure that adequate alternative housing, resettlement or access to productive land, as the case may be, is available.”</w:t>
      </w:r>
    </w:p>
    <w:p w14:paraId="3D208EB1" w14:textId="4364AB7C" w:rsidR="00F07F8C" w:rsidRPr="00ED4D4B" w:rsidRDefault="00B17E4E" w:rsidP="00CB2CDD">
      <w:pPr>
        <w:rPr>
          <w:rFonts w:asciiTheme="majorHAnsi" w:hAnsiTheme="majorHAnsi" w:cs="Arial"/>
          <w:sz w:val="22"/>
          <w:szCs w:val="22"/>
        </w:rPr>
      </w:pPr>
      <w:r w:rsidRPr="00ED4D4B">
        <w:rPr>
          <w:rFonts w:asciiTheme="majorHAnsi" w:hAnsiTheme="majorHAnsi" w:cs="Arial"/>
          <w:sz w:val="22"/>
          <w:szCs w:val="22"/>
        </w:rPr>
        <w:t>Tenants across Canada are frequently evicted without a complete or equitable legal process, and eviction decision-makers often fail to adequately consider human rights and other legal obligations.</w:t>
      </w:r>
      <w:r w:rsidR="002C073B" w:rsidRPr="00ED4D4B">
        <w:rPr>
          <w:rFonts w:asciiTheme="majorHAnsi" w:hAnsiTheme="majorHAnsi" w:cs="Arial"/>
          <w:sz w:val="22"/>
          <w:szCs w:val="22"/>
        </w:rPr>
        <w:t xml:space="preserve"> </w:t>
      </w:r>
      <w:r w:rsidR="00F07F8C" w:rsidRPr="00ED4D4B">
        <w:rPr>
          <w:rFonts w:asciiTheme="majorHAnsi" w:hAnsiTheme="majorHAnsi" w:cs="Arial"/>
          <w:sz w:val="22"/>
          <w:szCs w:val="22"/>
        </w:rPr>
        <w:t>Changes to</w:t>
      </w:r>
      <w:r w:rsidR="006209F6" w:rsidRPr="00ED4D4B">
        <w:rPr>
          <w:rFonts w:asciiTheme="majorHAnsi" w:hAnsiTheme="majorHAnsi" w:cs="Arial"/>
          <w:sz w:val="22"/>
          <w:szCs w:val="22"/>
        </w:rPr>
        <w:t xml:space="preserve"> eviction hearing processes made in response to the COVID-19 pandemic</w:t>
      </w:r>
      <w:r w:rsidR="14FCD005" w:rsidRPr="00ED4D4B" w:rsidDel="14FCD005">
        <w:rPr>
          <w:rFonts w:asciiTheme="majorHAnsi" w:hAnsiTheme="majorHAnsi" w:cs="Arial"/>
          <w:sz w:val="22"/>
          <w:szCs w:val="22"/>
        </w:rPr>
        <w:t xml:space="preserve"> </w:t>
      </w:r>
      <w:r w:rsidR="006209F6" w:rsidRPr="00ED4D4B">
        <w:rPr>
          <w:rFonts w:asciiTheme="majorHAnsi" w:hAnsiTheme="majorHAnsi" w:cs="Arial"/>
          <w:sz w:val="22"/>
          <w:szCs w:val="22"/>
        </w:rPr>
        <w:t xml:space="preserve">have further exacerbated </w:t>
      </w:r>
      <w:r w:rsidR="14FCD005" w:rsidRPr="00ED4D4B">
        <w:rPr>
          <w:rFonts w:asciiTheme="majorHAnsi" w:hAnsiTheme="majorHAnsi" w:cs="Arial"/>
          <w:sz w:val="22"/>
          <w:szCs w:val="22"/>
        </w:rPr>
        <w:t>these challenges, resulting in poor access to justice.</w:t>
      </w:r>
      <w:r w:rsidRPr="00ED4D4B">
        <w:rPr>
          <w:rStyle w:val="FootnoteReference"/>
          <w:rFonts w:asciiTheme="majorHAnsi" w:hAnsiTheme="majorHAnsi" w:cs="Arial"/>
          <w:sz w:val="22"/>
          <w:szCs w:val="22"/>
        </w:rPr>
        <w:footnoteReference w:id="14"/>
      </w:r>
    </w:p>
    <w:p w14:paraId="664EDE28" w14:textId="3FF6A9E5" w:rsidR="00600646" w:rsidRPr="00ED4D4B" w:rsidRDefault="00600646" w:rsidP="00CB2CDD">
      <w:pPr>
        <w:rPr>
          <w:rFonts w:asciiTheme="majorHAnsi" w:hAnsiTheme="majorHAnsi" w:cs="Arial"/>
          <w:sz w:val="22"/>
          <w:szCs w:val="22"/>
        </w:rPr>
      </w:pPr>
      <w:r w:rsidRPr="00ED4D4B">
        <w:rPr>
          <w:rFonts w:asciiTheme="majorHAnsi" w:hAnsiTheme="majorHAnsi" w:cs="Arial"/>
          <w:sz w:val="22"/>
          <w:szCs w:val="22"/>
        </w:rPr>
        <w:t xml:space="preserve">Even though there is </w:t>
      </w:r>
      <w:r w:rsidR="14FCD005" w:rsidRPr="00ED4D4B">
        <w:rPr>
          <w:rFonts w:asciiTheme="majorHAnsi" w:hAnsiTheme="majorHAnsi" w:cs="Arial"/>
          <w:sz w:val="22"/>
          <w:szCs w:val="22"/>
        </w:rPr>
        <w:t>a huge power imbalance between landlords and tenants that often leads to a looming threat of eviction, in Canada, groups experiencing higher rates of poverty like Indigenous women, girls, and Two-Spirit people; Black women, trans and gender diverse peoples; persons with disabilities; poor women; 2SLGBTQ+ persons; newcomer women; and older and younger women and gender diverse people, are facing unprecedented levels of eviction.</w:t>
      </w:r>
      <w:r w:rsidRPr="00ED4D4B">
        <w:rPr>
          <w:rStyle w:val="FootnoteReference"/>
          <w:rFonts w:asciiTheme="majorHAnsi" w:hAnsiTheme="majorHAnsi" w:cs="Arial"/>
          <w:sz w:val="22"/>
          <w:szCs w:val="22"/>
        </w:rPr>
        <w:footnoteReference w:id="15"/>
      </w:r>
      <w:r w:rsidR="14FCD005" w:rsidRPr="00ED4D4B">
        <w:rPr>
          <w:rFonts w:asciiTheme="majorHAnsi" w:hAnsiTheme="majorHAnsi" w:cs="Arial"/>
          <w:sz w:val="22"/>
          <w:szCs w:val="22"/>
        </w:rPr>
        <w:t xml:space="preserve"> Studies have suggested that most tenants facing eviction were individuals living in deep poverty, people with disabilities, and those with past experiences of homelessness.</w:t>
      </w:r>
      <w:r w:rsidRPr="00ED4D4B">
        <w:rPr>
          <w:rStyle w:val="FootnoteReference"/>
          <w:rFonts w:asciiTheme="majorHAnsi" w:hAnsiTheme="majorHAnsi" w:cs="Arial"/>
          <w:sz w:val="22"/>
          <w:szCs w:val="22"/>
        </w:rPr>
        <w:footnoteReference w:id="16"/>
      </w:r>
    </w:p>
    <w:p w14:paraId="48163619" w14:textId="66AA277B" w:rsidR="004660E1" w:rsidRPr="00ED4D4B" w:rsidRDefault="14FCD005" w:rsidP="00CB2CDD">
      <w:pPr>
        <w:rPr>
          <w:rFonts w:asciiTheme="majorHAnsi" w:hAnsiTheme="majorHAnsi" w:cs="Arial"/>
          <w:sz w:val="22"/>
          <w:szCs w:val="22"/>
        </w:rPr>
      </w:pPr>
      <w:r w:rsidRPr="00ED4D4B">
        <w:rPr>
          <w:rFonts w:asciiTheme="majorHAnsi" w:hAnsiTheme="majorHAnsi" w:cs="Arial"/>
          <w:sz w:val="22"/>
          <w:szCs w:val="22"/>
        </w:rPr>
        <w:t xml:space="preserve">In most provinces and territories in Canada, tenants have limited or no access to legal representation in cases related to eviction, in violation of article 2. </w:t>
      </w:r>
      <w:r w:rsidR="558BE3E1" w:rsidRPr="00ED4D4B">
        <w:rPr>
          <w:rFonts w:asciiTheme="majorHAnsi" w:hAnsiTheme="majorHAnsi" w:cs="Arial"/>
          <w:sz w:val="22"/>
          <w:szCs w:val="22"/>
        </w:rPr>
        <w:t>I</w:t>
      </w:r>
      <w:r w:rsidRPr="00ED4D4B">
        <w:rPr>
          <w:rFonts w:asciiTheme="majorHAnsi" w:hAnsiTheme="majorHAnsi" w:cs="Arial"/>
          <w:sz w:val="22"/>
          <w:szCs w:val="22"/>
        </w:rPr>
        <w:t>t is imperative for Canada to provide legal representation to tenants facing eviction, upholding the right to security of tenure. However, often tenants are facing eviction into homelessness in gross violation of the international human rights commitment that Canada has under the International Covenant on Social, Economic and Cultural Rights.</w:t>
      </w:r>
    </w:p>
    <w:p w14:paraId="3B9DE1C0" w14:textId="77718AD9" w:rsidR="00B57BB4" w:rsidRPr="00ED4D4B" w:rsidRDefault="004660E1" w:rsidP="00CB2CDD">
      <w:pPr>
        <w:rPr>
          <w:rFonts w:asciiTheme="majorHAnsi" w:hAnsiTheme="majorHAnsi" w:cs="Arial"/>
          <w:sz w:val="22"/>
          <w:szCs w:val="22"/>
        </w:rPr>
      </w:pPr>
      <w:r w:rsidRPr="00ED4D4B">
        <w:rPr>
          <w:rFonts w:asciiTheme="majorHAnsi" w:hAnsiTheme="majorHAnsi" w:cs="Arial"/>
          <w:sz w:val="22"/>
          <w:szCs w:val="22"/>
        </w:rPr>
        <w:t xml:space="preserve">This Committee </w:t>
      </w:r>
      <w:r w:rsidR="14FCD005" w:rsidRPr="00ED4D4B">
        <w:rPr>
          <w:rFonts w:asciiTheme="majorHAnsi" w:hAnsiTheme="majorHAnsi" w:cs="Arial"/>
          <w:sz w:val="22"/>
          <w:szCs w:val="22"/>
        </w:rPr>
        <w:t>stated</w:t>
      </w:r>
      <w:r w:rsidR="00A036D2" w:rsidRPr="00ED4D4B">
        <w:rPr>
          <w:rFonts w:asciiTheme="majorHAnsi" w:hAnsiTheme="majorHAnsi" w:cs="Arial"/>
          <w:sz w:val="22"/>
          <w:szCs w:val="22"/>
        </w:rPr>
        <w:t xml:space="preserve"> </w:t>
      </w:r>
      <w:r w:rsidR="00E878EC" w:rsidRPr="00ED4D4B">
        <w:rPr>
          <w:rFonts w:asciiTheme="majorHAnsi" w:hAnsiTheme="majorHAnsi" w:cs="Arial"/>
          <w:sz w:val="22"/>
          <w:szCs w:val="22"/>
        </w:rPr>
        <w:t xml:space="preserve">in </w:t>
      </w:r>
      <w:r w:rsidR="00A036D2" w:rsidRPr="00ED4D4B">
        <w:rPr>
          <w:rFonts w:asciiTheme="majorHAnsi" w:hAnsiTheme="majorHAnsi" w:cs="Arial"/>
          <w:sz w:val="22"/>
          <w:szCs w:val="22"/>
        </w:rPr>
        <w:t>Gen</w:t>
      </w:r>
      <w:r w:rsidR="00E878EC" w:rsidRPr="00ED4D4B">
        <w:rPr>
          <w:rFonts w:asciiTheme="majorHAnsi" w:hAnsiTheme="majorHAnsi" w:cs="Arial"/>
          <w:sz w:val="22"/>
          <w:szCs w:val="22"/>
        </w:rPr>
        <w:t>era</w:t>
      </w:r>
      <w:r w:rsidR="001857A4" w:rsidRPr="00ED4D4B">
        <w:rPr>
          <w:rFonts w:asciiTheme="majorHAnsi" w:hAnsiTheme="majorHAnsi" w:cs="Arial"/>
          <w:sz w:val="22"/>
          <w:szCs w:val="22"/>
        </w:rPr>
        <w:t>l</w:t>
      </w:r>
      <w:r w:rsidR="00E878EC" w:rsidRPr="00ED4D4B">
        <w:rPr>
          <w:rFonts w:asciiTheme="majorHAnsi" w:hAnsiTheme="majorHAnsi" w:cs="Arial"/>
          <w:sz w:val="22"/>
          <w:szCs w:val="22"/>
        </w:rPr>
        <w:t xml:space="preserve"> comment 32 to article 14 in 2007</w:t>
      </w:r>
      <w:r w:rsidRPr="00ED4D4B">
        <w:rPr>
          <w:rFonts w:asciiTheme="majorHAnsi" w:hAnsiTheme="majorHAnsi" w:cs="Arial"/>
          <w:sz w:val="22"/>
          <w:szCs w:val="22"/>
        </w:rPr>
        <w:t xml:space="preserve"> that, “States are encouraged to provide free legal aid in [non-criminal cases], for individuals who do not have sufficient means to pay for it. </w:t>
      </w:r>
      <w:r w:rsidR="001823AC" w:rsidRPr="00ED4D4B">
        <w:rPr>
          <w:rFonts w:asciiTheme="majorHAnsi" w:hAnsiTheme="majorHAnsi" w:cs="Arial"/>
          <w:sz w:val="22"/>
          <w:szCs w:val="22"/>
        </w:rPr>
        <w:t>I</w:t>
      </w:r>
      <w:r w:rsidRPr="00ED4D4B">
        <w:rPr>
          <w:rFonts w:asciiTheme="majorHAnsi" w:hAnsiTheme="majorHAnsi" w:cs="Arial"/>
          <w:sz w:val="22"/>
          <w:szCs w:val="22"/>
        </w:rPr>
        <w:t xml:space="preserve">n some cases, they may even be obliged to do </w:t>
      </w:r>
      <w:r w:rsidR="14FCD005" w:rsidRPr="00ED4D4B">
        <w:rPr>
          <w:rFonts w:asciiTheme="majorHAnsi" w:hAnsiTheme="majorHAnsi" w:cs="Arial"/>
          <w:sz w:val="22"/>
          <w:szCs w:val="22"/>
        </w:rPr>
        <w:t>so."</w:t>
      </w:r>
      <w:r w:rsidRPr="00ED4D4B">
        <w:rPr>
          <w:rStyle w:val="FootnoteReference"/>
          <w:rFonts w:asciiTheme="majorHAnsi" w:hAnsiTheme="majorHAnsi" w:cs="Arial"/>
          <w:sz w:val="22"/>
          <w:szCs w:val="22"/>
        </w:rPr>
        <w:footnoteReference w:id="17"/>
      </w:r>
    </w:p>
    <w:p w14:paraId="7519A576" w14:textId="57A269C8" w:rsidR="005E2764" w:rsidRPr="00ED4D4B" w:rsidRDefault="005E2764">
      <w:pPr>
        <w:rPr>
          <w:rFonts w:asciiTheme="majorHAnsi" w:hAnsiTheme="majorHAnsi" w:cs="Arial"/>
          <w:sz w:val="22"/>
          <w:szCs w:val="22"/>
        </w:rPr>
      </w:pPr>
      <w:r w:rsidRPr="00ED4D4B">
        <w:rPr>
          <w:rFonts w:asciiTheme="majorHAnsi" w:hAnsiTheme="majorHAnsi" w:cs="Arial"/>
          <w:sz w:val="22"/>
          <w:szCs w:val="22"/>
        </w:rPr>
        <w:lastRenderedPageBreak/>
        <w:t>T</w:t>
      </w:r>
      <w:r w:rsidR="14FCD005" w:rsidRPr="00ED4D4B">
        <w:rPr>
          <w:rFonts w:asciiTheme="majorHAnsi" w:hAnsiTheme="majorHAnsi" w:cs="Arial"/>
          <w:sz w:val="22"/>
          <w:szCs w:val="22"/>
        </w:rPr>
        <w:t>he Committee on Elimination of Discrimination Against Women noted in a human rights complaint brought by Cecilia Kell, an Indigenous woman who lived in the Northwest Territories in Canada, that legal aid in relation to housing matters was inadequate and was discriminatory in its application.</w:t>
      </w:r>
      <w:r w:rsidRPr="00ED4D4B">
        <w:rPr>
          <w:rStyle w:val="FootnoteReference"/>
          <w:rFonts w:asciiTheme="majorHAnsi" w:hAnsiTheme="majorHAnsi" w:cs="Arial"/>
          <w:sz w:val="22"/>
          <w:szCs w:val="22"/>
        </w:rPr>
        <w:footnoteReference w:id="18"/>
      </w:r>
      <w:r w:rsidR="14FCD005" w:rsidRPr="00ED4D4B">
        <w:rPr>
          <w:rFonts w:asciiTheme="majorHAnsi" w:hAnsiTheme="majorHAnsi" w:cs="Arial"/>
          <w:sz w:val="22"/>
          <w:szCs w:val="22"/>
        </w:rPr>
        <w:t xml:space="preserve"> However, the status of civil legal aid remains dismal in Canada and the Canadian Bar Association (CBA) called it a “crisis” in 2015, noting that civil legal aid services are almost non-existent in some provinces</w:t>
      </w:r>
      <w:r w:rsidRPr="00ED4D4B">
        <w:rPr>
          <w:rStyle w:val="FootnoteReference"/>
          <w:rFonts w:asciiTheme="majorHAnsi" w:hAnsiTheme="majorHAnsi" w:cs="Arial"/>
          <w:sz w:val="22"/>
          <w:szCs w:val="22"/>
        </w:rPr>
        <w:footnoteReference w:id="19"/>
      </w:r>
      <w:r w:rsidR="14FCD005" w:rsidRPr="00ED4D4B">
        <w:rPr>
          <w:rFonts w:asciiTheme="majorHAnsi" w:hAnsiTheme="majorHAnsi" w:cs="Arial"/>
          <w:sz w:val="22"/>
          <w:szCs w:val="22"/>
        </w:rPr>
        <w:t xml:space="preserve"> and this lack of access to civil legal aid disproportionately affects women, people with disabilities, recent immigrants, members of racialized communities and Indigenous </w:t>
      </w:r>
      <w:r w:rsidR="083467C3" w:rsidRPr="00ED4D4B">
        <w:rPr>
          <w:rFonts w:asciiTheme="majorHAnsi" w:hAnsiTheme="majorHAnsi" w:cs="Arial"/>
          <w:sz w:val="22"/>
          <w:szCs w:val="22"/>
        </w:rPr>
        <w:t>P</w:t>
      </w:r>
      <w:r w:rsidR="14FCD005" w:rsidRPr="00ED4D4B">
        <w:rPr>
          <w:rFonts w:asciiTheme="majorHAnsi" w:hAnsiTheme="majorHAnsi" w:cs="Arial"/>
          <w:sz w:val="22"/>
          <w:szCs w:val="22"/>
        </w:rPr>
        <w:t>eople</w:t>
      </w:r>
      <w:r w:rsidR="551A16F8" w:rsidRPr="00ED4D4B">
        <w:rPr>
          <w:rFonts w:asciiTheme="majorHAnsi" w:hAnsiTheme="majorHAnsi" w:cs="Arial"/>
          <w:sz w:val="22"/>
          <w:szCs w:val="22"/>
        </w:rPr>
        <w:t>s</w:t>
      </w:r>
      <w:r w:rsidR="14FCD005" w:rsidRPr="00ED4D4B">
        <w:rPr>
          <w:rFonts w:asciiTheme="majorHAnsi" w:hAnsiTheme="majorHAnsi" w:cs="Arial"/>
          <w:sz w:val="22"/>
          <w:szCs w:val="22"/>
        </w:rPr>
        <w:t>.</w:t>
      </w:r>
      <w:r w:rsidRPr="00ED4D4B">
        <w:rPr>
          <w:rStyle w:val="FootnoteReference"/>
          <w:rFonts w:asciiTheme="majorHAnsi" w:hAnsiTheme="majorHAnsi" w:cs="Arial"/>
          <w:sz w:val="22"/>
          <w:szCs w:val="22"/>
        </w:rPr>
        <w:footnoteReference w:id="20"/>
      </w:r>
    </w:p>
    <w:p w14:paraId="0B2734BC" w14:textId="1E604C15" w:rsidR="00092EF3" w:rsidRPr="00ED4D4B" w:rsidRDefault="14FCD005" w:rsidP="002F4802">
      <w:pPr>
        <w:rPr>
          <w:rFonts w:asciiTheme="majorHAnsi" w:hAnsiTheme="majorHAnsi" w:cs="Arial"/>
          <w:sz w:val="22"/>
          <w:szCs w:val="22"/>
        </w:rPr>
      </w:pPr>
      <w:r w:rsidRPr="00ED4D4B">
        <w:rPr>
          <w:rFonts w:asciiTheme="majorHAnsi" w:hAnsiTheme="majorHAnsi" w:cs="Arial"/>
          <w:sz w:val="22"/>
          <w:szCs w:val="22"/>
        </w:rPr>
        <w:t xml:space="preserve">This is significantly worse for encampment residents. People experiencing homelessness and staying in encampments continue to exercise their right to effective remedies through Canadian courts claiming their right to life, liberty and security as guaranteed under section 7 and right to equality and non-discrimination under section 15 of the Canadian Charter of Rights and Freedom. </w:t>
      </w:r>
    </w:p>
    <w:p w14:paraId="70A8A4D6" w14:textId="257F0E67" w:rsidR="001D306D" w:rsidRDefault="00FE6C02" w:rsidP="002F4802">
      <w:pPr>
        <w:rPr>
          <w:rFonts w:asciiTheme="majorHAnsi" w:hAnsiTheme="majorHAnsi" w:cs="Arial"/>
          <w:sz w:val="22"/>
          <w:szCs w:val="22"/>
        </w:rPr>
      </w:pPr>
      <w:r w:rsidRPr="00ED4D4B">
        <w:rPr>
          <w:rFonts w:asciiTheme="majorHAnsi" w:hAnsiTheme="majorHAnsi" w:cs="Arial"/>
          <w:sz w:val="22"/>
          <w:szCs w:val="22"/>
        </w:rPr>
        <w:t>Courts</w:t>
      </w:r>
      <w:r w:rsidR="002404DB" w:rsidRPr="00ED4D4B">
        <w:rPr>
          <w:rFonts w:asciiTheme="majorHAnsi" w:hAnsiTheme="majorHAnsi" w:cs="Arial"/>
          <w:sz w:val="22"/>
          <w:szCs w:val="22"/>
        </w:rPr>
        <w:t xml:space="preserve">, however, </w:t>
      </w:r>
      <w:r w:rsidRPr="00ED4D4B">
        <w:rPr>
          <w:rFonts w:asciiTheme="majorHAnsi" w:hAnsiTheme="majorHAnsi" w:cs="Arial"/>
          <w:sz w:val="22"/>
          <w:szCs w:val="22"/>
        </w:rPr>
        <w:t>have taken the position that government</w:t>
      </w:r>
      <w:r w:rsidR="002404DB" w:rsidRPr="00ED4D4B">
        <w:rPr>
          <w:rFonts w:asciiTheme="majorHAnsi" w:hAnsiTheme="majorHAnsi" w:cs="Arial"/>
          <w:sz w:val="22"/>
          <w:szCs w:val="22"/>
        </w:rPr>
        <w:t xml:space="preserve"> obligations with respect to the right to life and security of the person extend only to protection from evictions from encampments where insufficient shelter options are available. They have not, to date, recognized that governments have </w:t>
      </w:r>
      <w:r w:rsidRPr="00ED4D4B">
        <w:rPr>
          <w:rFonts w:asciiTheme="majorHAnsi" w:hAnsiTheme="majorHAnsi" w:cs="Arial"/>
          <w:sz w:val="22"/>
          <w:szCs w:val="22"/>
        </w:rPr>
        <w:t>positive obligations to address</w:t>
      </w:r>
      <w:r w:rsidR="002404DB" w:rsidRPr="00ED4D4B">
        <w:rPr>
          <w:rFonts w:asciiTheme="majorHAnsi" w:hAnsiTheme="majorHAnsi" w:cs="Arial"/>
          <w:sz w:val="22"/>
          <w:szCs w:val="22"/>
        </w:rPr>
        <w:t xml:space="preserve"> systemic </w:t>
      </w:r>
      <w:r w:rsidRPr="00ED4D4B">
        <w:rPr>
          <w:rFonts w:asciiTheme="majorHAnsi" w:hAnsiTheme="majorHAnsi" w:cs="Arial"/>
          <w:sz w:val="22"/>
          <w:szCs w:val="22"/>
        </w:rPr>
        <w:t>homelessness</w:t>
      </w:r>
      <w:r w:rsidR="002404DB" w:rsidRPr="00ED4D4B">
        <w:rPr>
          <w:rFonts w:asciiTheme="majorHAnsi" w:hAnsiTheme="majorHAnsi" w:cs="Arial"/>
          <w:sz w:val="22"/>
          <w:szCs w:val="22"/>
        </w:rPr>
        <w:t xml:space="preserve"> in Canada, despite the overwhelming evidence of its impact on life and health. </w:t>
      </w:r>
      <w:r w:rsidR="005C73BA" w:rsidRPr="00ED4D4B">
        <w:rPr>
          <w:rFonts w:asciiTheme="majorHAnsi" w:hAnsiTheme="majorHAnsi" w:cs="Arial"/>
          <w:sz w:val="22"/>
          <w:szCs w:val="22"/>
        </w:rPr>
        <w:t xml:space="preserve">By characterizing the right to housing solely as an economic and social right under the ICESCR and therefore as non-justiciable, Canadian courts have excluded it from the scope of sections 7 and 15 of the Charter. </w:t>
      </w:r>
      <w:r w:rsidR="002404DB" w:rsidRPr="00ED4D4B">
        <w:rPr>
          <w:rFonts w:asciiTheme="majorHAnsi" w:hAnsiTheme="majorHAnsi" w:cs="Arial"/>
          <w:sz w:val="22"/>
          <w:szCs w:val="22"/>
        </w:rPr>
        <w:t>Clear guidance on Canada’s obligations under</w:t>
      </w:r>
      <w:r w:rsidR="005C73BA" w:rsidRPr="00ED4D4B">
        <w:rPr>
          <w:rFonts w:asciiTheme="majorHAnsi" w:hAnsiTheme="majorHAnsi" w:cs="Arial"/>
          <w:sz w:val="22"/>
          <w:szCs w:val="22"/>
        </w:rPr>
        <w:t xml:space="preserve"> </w:t>
      </w:r>
      <w:r w:rsidR="002404DB" w:rsidRPr="00ED4D4B">
        <w:rPr>
          <w:rFonts w:asciiTheme="majorHAnsi" w:hAnsiTheme="majorHAnsi" w:cs="Arial"/>
          <w:sz w:val="22"/>
          <w:szCs w:val="22"/>
        </w:rPr>
        <w:t xml:space="preserve">the ICCPR </w:t>
      </w:r>
      <w:r w:rsidR="005C73BA" w:rsidRPr="00ED4D4B">
        <w:rPr>
          <w:rFonts w:asciiTheme="majorHAnsi" w:hAnsiTheme="majorHAnsi" w:cs="Arial"/>
          <w:sz w:val="22"/>
          <w:szCs w:val="22"/>
        </w:rPr>
        <w:t xml:space="preserve">to ensure access to effective remedies under the Canadian Charter and other domestic law </w:t>
      </w:r>
      <w:r w:rsidR="002404DB" w:rsidRPr="00ED4D4B">
        <w:rPr>
          <w:rFonts w:asciiTheme="majorHAnsi" w:hAnsiTheme="majorHAnsi" w:cs="Arial"/>
          <w:sz w:val="22"/>
          <w:szCs w:val="22"/>
        </w:rPr>
        <w:t xml:space="preserve">is needed </w:t>
      </w:r>
      <w:r w:rsidR="005C73BA" w:rsidRPr="00ED4D4B">
        <w:rPr>
          <w:rFonts w:asciiTheme="majorHAnsi" w:hAnsiTheme="majorHAnsi" w:cs="Arial"/>
          <w:sz w:val="22"/>
          <w:szCs w:val="22"/>
        </w:rPr>
        <w:t xml:space="preserve">by courts and governments. </w:t>
      </w:r>
    </w:p>
    <w:p w14:paraId="0BA48FEA" w14:textId="77777777" w:rsidR="00F038B1" w:rsidRDefault="00F038B1" w:rsidP="002F4802">
      <w:pPr>
        <w:rPr>
          <w:rFonts w:asciiTheme="majorHAnsi" w:hAnsiTheme="majorHAnsi" w:cs="Arial"/>
          <w:sz w:val="22"/>
          <w:szCs w:val="22"/>
        </w:rPr>
      </w:pPr>
    </w:p>
    <w:p w14:paraId="662AB847" w14:textId="77777777" w:rsidR="00F038B1" w:rsidRDefault="00F038B1" w:rsidP="002F4802">
      <w:pPr>
        <w:rPr>
          <w:rFonts w:asciiTheme="majorHAnsi" w:hAnsiTheme="majorHAnsi" w:cs="Arial"/>
          <w:sz w:val="22"/>
          <w:szCs w:val="22"/>
        </w:rPr>
      </w:pPr>
    </w:p>
    <w:p w14:paraId="79758FD2" w14:textId="77777777" w:rsidR="00F038B1" w:rsidRDefault="00F038B1" w:rsidP="002F4802">
      <w:pPr>
        <w:rPr>
          <w:rFonts w:asciiTheme="majorHAnsi" w:hAnsiTheme="majorHAnsi" w:cs="Arial"/>
          <w:sz w:val="22"/>
          <w:szCs w:val="22"/>
        </w:rPr>
      </w:pPr>
    </w:p>
    <w:p w14:paraId="40796C67" w14:textId="77777777" w:rsidR="008B4955" w:rsidRDefault="008B4955" w:rsidP="002F4802">
      <w:pPr>
        <w:rPr>
          <w:rFonts w:asciiTheme="majorHAnsi" w:hAnsiTheme="majorHAnsi" w:cs="Arial"/>
          <w:sz w:val="22"/>
          <w:szCs w:val="22"/>
        </w:rPr>
      </w:pPr>
    </w:p>
    <w:p w14:paraId="7FA6C23F" w14:textId="77777777" w:rsidR="008B4955" w:rsidRDefault="008B4955" w:rsidP="002F4802">
      <w:pPr>
        <w:rPr>
          <w:rFonts w:asciiTheme="majorHAnsi" w:hAnsiTheme="majorHAnsi" w:cs="Arial"/>
          <w:sz w:val="22"/>
          <w:szCs w:val="22"/>
        </w:rPr>
      </w:pPr>
    </w:p>
    <w:p w14:paraId="5E140CDB" w14:textId="77777777" w:rsidR="008B4955" w:rsidRDefault="008B4955" w:rsidP="002F4802">
      <w:pPr>
        <w:rPr>
          <w:rFonts w:asciiTheme="majorHAnsi" w:hAnsiTheme="majorHAnsi" w:cs="Arial"/>
          <w:sz w:val="22"/>
          <w:szCs w:val="22"/>
        </w:rPr>
      </w:pPr>
    </w:p>
    <w:p w14:paraId="64AB17D0" w14:textId="77777777" w:rsidR="008B4955" w:rsidRDefault="008B4955" w:rsidP="002F4802">
      <w:pPr>
        <w:rPr>
          <w:rFonts w:asciiTheme="majorHAnsi" w:hAnsiTheme="majorHAnsi" w:cs="Arial"/>
          <w:sz w:val="22"/>
          <w:szCs w:val="22"/>
        </w:rPr>
      </w:pPr>
    </w:p>
    <w:p w14:paraId="6C92F6F8" w14:textId="77777777" w:rsidR="00F038B1" w:rsidRDefault="00F038B1" w:rsidP="002F4802">
      <w:pPr>
        <w:rPr>
          <w:rFonts w:asciiTheme="majorHAnsi" w:hAnsiTheme="majorHAnsi" w:cs="Arial"/>
          <w:sz w:val="22"/>
          <w:szCs w:val="22"/>
        </w:rPr>
      </w:pPr>
    </w:p>
    <w:p w14:paraId="361BCE1D" w14:textId="77777777" w:rsidR="00F038B1" w:rsidRDefault="00F038B1" w:rsidP="002F4802">
      <w:pPr>
        <w:rPr>
          <w:rFonts w:asciiTheme="majorHAnsi" w:hAnsiTheme="majorHAnsi" w:cs="Arial"/>
          <w:sz w:val="22"/>
          <w:szCs w:val="22"/>
        </w:rPr>
      </w:pPr>
    </w:p>
    <w:p w14:paraId="7029AF7A" w14:textId="134042FA" w:rsidR="001D306D" w:rsidRPr="001D306D" w:rsidRDefault="001D306D" w:rsidP="002F4802">
      <w:pPr>
        <w:rPr>
          <w:rFonts w:asciiTheme="majorHAnsi" w:hAnsiTheme="majorHAnsi" w:cs="Arial"/>
          <w:color w:val="FFFFFF" w:themeColor="background1"/>
          <w:sz w:val="22"/>
          <w:szCs w:val="22"/>
        </w:rPr>
      </w:pPr>
      <w:r>
        <w:rPr>
          <w:rFonts w:asciiTheme="majorHAnsi" w:hAnsiTheme="majorHAnsi" w:cs="Arial"/>
          <w:noProof/>
          <w:sz w:val="22"/>
          <w:szCs w:val="22"/>
        </w:rPr>
        <w:lastRenderedPageBreak/>
        <mc:AlternateContent>
          <mc:Choice Requires="wps">
            <w:drawing>
              <wp:anchor distT="0" distB="0" distL="114300" distR="114300" simplePos="0" relativeHeight="251658243" behindDoc="1" locked="0" layoutInCell="1" allowOverlap="1" wp14:anchorId="7193379C" wp14:editId="68CFAD56">
                <wp:simplePos x="0" y="0"/>
                <wp:positionH relativeFrom="column">
                  <wp:posOffset>-266700</wp:posOffset>
                </wp:positionH>
                <wp:positionV relativeFrom="paragraph">
                  <wp:posOffset>19050</wp:posOffset>
                </wp:positionV>
                <wp:extent cx="6448927" cy="5781675"/>
                <wp:effectExtent l="19050" t="19050" r="47625" b="47625"/>
                <wp:wrapNone/>
                <wp:docPr id="1069221652" name="Rectangle 5"/>
                <wp:cNvGraphicFramePr/>
                <a:graphic xmlns:a="http://schemas.openxmlformats.org/drawingml/2006/main">
                  <a:graphicData uri="http://schemas.microsoft.com/office/word/2010/wordprocessingShape">
                    <wps:wsp>
                      <wps:cNvSpPr/>
                      <wps:spPr>
                        <a:xfrm>
                          <a:off x="0" y="0"/>
                          <a:ext cx="6448927" cy="5781675"/>
                        </a:xfrm>
                        <a:prstGeom prst="rect">
                          <a:avLst/>
                        </a:prstGeom>
                        <a:noFill/>
                        <a:ln w="57150">
                          <a:solidFill>
                            <a:srgbClr val="F5C4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67A58" id="Rectangle 5" o:spid="_x0000_s1026" style="position:absolute;margin-left:-21pt;margin-top:1.5pt;width:507.8pt;height:455.2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" filled="f" strokecolor="#f5c400" strokeweight="4.5pt"/>
            </w:pict>
          </mc:Fallback>
        </mc:AlternateContent>
      </w:r>
    </w:p>
    <w:p w14:paraId="5C406ADD" w14:textId="3B967F04" w:rsidR="00E2597A" w:rsidRPr="00C84836" w:rsidRDefault="005C6AC5" w:rsidP="00E2597A">
      <w:pPr>
        <w:rPr>
          <w:rFonts w:asciiTheme="majorHAnsi" w:hAnsiTheme="majorHAnsi" w:cs="Arial"/>
          <w:b/>
          <w:color w:val="404040" w:themeColor="text1" w:themeTint="BF"/>
          <w:sz w:val="22"/>
          <w:szCs w:val="22"/>
        </w:rPr>
      </w:pPr>
      <w:r w:rsidRPr="00C84836">
        <w:rPr>
          <w:rFonts w:asciiTheme="majorHAnsi" w:hAnsiTheme="majorHAnsi" w:cs="Arial"/>
          <w:b/>
          <w:color w:val="404040" w:themeColor="text1" w:themeTint="BF"/>
          <w:sz w:val="22"/>
          <w:szCs w:val="22"/>
        </w:rPr>
        <w:t>RECOMMENDED QUESTIONS:</w:t>
      </w:r>
    </w:p>
    <w:p w14:paraId="34BC83DF" w14:textId="6277D5BD" w:rsidR="00E2597A" w:rsidRPr="00C84836" w:rsidRDefault="24195AAC" w:rsidP="24A7EEC6">
      <w:pPr>
        <w:numPr>
          <w:ilvl w:val="0"/>
          <w:numId w:val="8"/>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Does Canada agree to establish a national public legal assistance system that can ensure comprehensive legal services, for people who disproportionately face eviction including Black and racialized newcomers, persons with disabilities, Indigenous Peoples, and people with low income?</w:t>
      </w:r>
    </w:p>
    <w:p w14:paraId="5D37F2B7" w14:textId="01798E02" w:rsidR="00E2597A" w:rsidRPr="00C84836" w:rsidRDefault="24195AAC" w:rsidP="24A7EEC6">
      <w:pPr>
        <w:numPr>
          <w:ilvl w:val="0"/>
          <w:numId w:val="8"/>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What efforts have been taken to ensure adjudicators understand and apply the legal principle of proportionality in eviction decisions to ensure that they order evictions only as a last resort</w:t>
      </w:r>
      <w:r w:rsidR="29172FFA" w:rsidRPr="29172FFA">
        <w:rPr>
          <w:rFonts w:asciiTheme="majorHAnsi" w:hAnsiTheme="majorHAnsi" w:cs="Arial"/>
          <w:color w:val="404040" w:themeColor="text1" w:themeTint="BF"/>
          <w:sz w:val="22"/>
          <w:szCs w:val="22"/>
        </w:rPr>
        <w:t>?</w:t>
      </w:r>
      <w:r w:rsidRPr="00C84836">
        <w:rPr>
          <w:rFonts w:asciiTheme="majorHAnsi" w:hAnsiTheme="majorHAnsi" w:cs="Arial"/>
          <w:color w:val="404040" w:themeColor="text1" w:themeTint="BF"/>
          <w:sz w:val="22"/>
          <w:szCs w:val="22"/>
        </w:rPr>
        <w:t xml:space="preserve"> </w:t>
      </w:r>
    </w:p>
    <w:p w14:paraId="14434BC5" w14:textId="1F4CB145" w:rsidR="00E2597A" w:rsidRPr="00C84836" w:rsidRDefault="24195AAC" w:rsidP="00E2597A">
      <w:pPr>
        <w:pStyle w:val="ListParagraph"/>
        <w:numPr>
          <w:ilvl w:val="0"/>
          <w:numId w:val="8"/>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Does Canada plan to revise the “Principles guiding the Attorney General of Canada in Charter Litigation”, in order to ensure that positions in charter litigation taken fully reflect Canada’s obligations to fulfill the rights set out in Article 2, 6, 17 and 26 of the ICCPR</w:t>
      </w:r>
      <w:r w:rsidR="29172FFA" w:rsidRPr="29172FFA">
        <w:rPr>
          <w:rFonts w:asciiTheme="majorHAnsi" w:hAnsiTheme="majorHAnsi" w:cs="Arial"/>
          <w:color w:val="404040" w:themeColor="text1" w:themeTint="BF"/>
          <w:sz w:val="22"/>
          <w:szCs w:val="22"/>
        </w:rPr>
        <w:t>?</w:t>
      </w:r>
    </w:p>
    <w:p w14:paraId="44C47060" w14:textId="77777777" w:rsidR="005C6AC5" w:rsidRDefault="005C6AC5" w:rsidP="00E2597A">
      <w:pPr>
        <w:rPr>
          <w:rFonts w:asciiTheme="majorHAnsi" w:hAnsiTheme="majorHAnsi" w:cs="Arial"/>
          <w:b/>
          <w:color w:val="404040" w:themeColor="text1" w:themeTint="BF"/>
          <w:sz w:val="22"/>
          <w:szCs w:val="22"/>
        </w:rPr>
      </w:pPr>
    </w:p>
    <w:p w14:paraId="6954CD55" w14:textId="36DC8418" w:rsidR="00E2597A" w:rsidRPr="00C84836" w:rsidRDefault="005C6AC5" w:rsidP="00E2597A">
      <w:pPr>
        <w:rPr>
          <w:rFonts w:asciiTheme="majorHAnsi" w:hAnsiTheme="majorHAnsi" w:cs="Arial"/>
          <w:b/>
          <w:color w:val="404040" w:themeColor="text1" w:themeTint="BF"/>
          <w:sz w:val="22"/>
          <w:szCs w:val="22"/>
        </w:rPr>
      </w:pPr>
      <w:r w:rsidRPr="00C84836">
        <w:rPr>
          <w:rFonts w:asciiTheme="majorHAnsi" w:hAnsiTheme="majorHAnsi" w:cs="Arial"/>
          <w:b/>
          <w:color w:val="404040" w:themeColor="text1" w:themeTint="BF"/>
          <w:sz w:val="22"/>
          <w:szCs w:val="22"/>
        </w:rPr>
        <w:t>RECOMMENDATIONS:</w:t>
      </w:r>
    </w:p>
    <w:p w14:paraId="21E71328" w14:textId="77777777" w:rsidR="005C6AC5" w:rsidRDefault="6A2E9B8C" w:rsidP="00421BC2">
      <w:pPr>
        <w:pStyle w:val="ListParagraph"/>
        <w:numPr>
          <w:ilvl w:val="0"/>
          <w:numId w:val="1"/>
        </w:numPr>
        <w:rPr>
          <w:rFonts w:asciiTheme="majorHAnsi" w:hAnsiTheme="majorHAnsi" w:cs="Arial"/>
          <w:color w:val="404040" w:themeColor="text1" w:themeTint="BF"/>
          <w:sz w:val="22"/>
          <w:szCs w:val="22"/>
        </w:rPr>
      </w:pPr>
      <w:r w:rsidRPr="005C6AC5">
        <w:rPr>
          <w:rFonts w:asciiTheme="majorHAnsi" w:hAnsiTheme="majorHAnsi" w:cs="Arial"/>
          <w:color w:val="404040" w:themeColor="text1" w:themeTint="BF"/>
          <w:sz w:val="22"/>
          <w:szCs w:val="22"/>
        </w:rPr>
        <w:t xml:space="preserve">Canada </w:t>
      </w:r>
      <w:r w:rsidR="0422596F" w:rsidRPr="005C6AC5">
        <w:rPr>
          <w:rFonts w:asciiTheme="majorHAnsi" w:hAnsiTheme="majorHAnsi" w:cs="Arial"/>
          <w:color w:val="404040" w:themeColor="text1" w:themeTint="BF"/>
          <w:sz w:val="22"/>
          <w:szCs w:val="22"/>
        </w:rPr>
        <w:t xml:space="preserve">must </w:t>
      </w:r>
      <w:r w:rsidRPr="005C6AC5">
        <w:rPr>
          <w:rFonts w:asciiTheme="majorHAnsi" w:hAnsiTheme="majorHAnsi" w:cs="Arial"/>
          <w:color w:val="404040" w:themeColor="text1" w:themeTint="BF"/>
          <w:sz w:val="22"/>
          <w:szCs w:val="22"/>
        </w:rPr>
        <w:t xml:space="preserve">ensure timely, accessible, and adequately funded legal representation and legal assistance for individuals and groups who disproportionately face eviction and homelessness, including Black and racialized newcomers, Indigenous Peoples, persons with disabilities, and people living in poverty, in order to guarantee effective access to justice and protection against forced eviction. </w:t>
      </w:r>
    </w:p>
    <w:p w14:paraId="1F8447B0" w14:textId="77777777" w:rsidR="005C6AC5" w:rsidRDefault="005C6AC5" w:rsidP="005C6AC5">
      <w:pPr>
        <w:pStyle w:val="ListParagraph"/>
        <w:rPr>
          <w:rFonts w:asciiTheme="majorHAnsi" w:hAnsiTheme="majorHAnsi" w:cs="Arial"/>
          <w:color w:val="404040" w:themeColor="text1" w:themeTint="BF"/>
          <w:sz w:val="22"/>
          <w:szCs w:val="22"/>
        </w:rPr>
      </w:pPr>
    </w:p>
    <w:p w14:paraId="4BB3425F" w14:textId="27DE9AD8" w:rsidR="00E2597A" w:rsidRPr="005C6AC5" w:rsidRDefault="6A2E9B8C" w:rsidP="00421BC2">
      <w:pPr>
        <w:pStyle w:val="ListParagraph"/>
        <w:numPr>
          <w:ilvl w:val="0"/>
          <w:numId w:val="1"/>
        </w:numPr>
        <w:rPr>
          <w:rFonts w:asciiTheme="majorHAnsi" w:hAnsiTheme="majorHAnsi" w:cs="Arial"/>
          <w:color w:val="404040" w:themeColor="text1" w:themeTint="BF"/>
          <w:sz w:val="22"/>
          <w:szCs w:val="22"/>
        </w:rPr>
      </w:pPr>
      <w:r w:rsidRPr="005C6AC5">
        <w:rPr>
          <w:rFonts w:asciiTheme="majorHAnsi" w:hAnsiTheme="majorHAnsi" w:cs="Arial"/>
          <w:color w:val="404040" w:themeColor="text1" w:themeTint="BF"/>
          <w:sz w:val="22"/>
          <w:szCs w:val="22"/>
        </w:rPr>
        <w:t xml:space="preserve">Canada </w:t>
      </w:r>
      <w:r w:rsidR="5A4DFA63" w:rsidRPr="005C6AC5">
        <w:rPr>
          <w:rFonts w:asciiTheme="majorHAnsi" w:hAnsiTheme="majorHAnsi" w:cs="Arial"/>
          <w:color w:val="404040" w:themeColor="text1" w:themeTint="BF"/>
          <w:sz w:val="22"/>
          <w:szCs w:val="22"/>
        </w:rPr>
        <w:t xml:space="preserve">must </w:t>
      </w:r>
      <w:r w:rsidRPr="005C6AC5">
        <w:rPr>
          <w:rFonts w:asciiTheme="majorHAnsi" w:hAnsiTheme="majorHAnsi" w:cs="Arial"/>
          <w:color w:val="404040" w:themeColor="text1" w:themeTint="BF"/>
          <w:sz w:val="22"/>
          <w:szCs w:val="22"/>
        </w:rPr>
        <w:t>ensure that adjudicators and decision-makers within housing and eviction systems are fully aligned with Canada’s international human rights obligations, including under the Covenant, and are required to apply the principle of proportionality in eviction proceedings, ensuring that eviction is ordered only as a measure of last resort after all feasible alternatives have been duly considered.</w:t>
      </w:r>
    </w:p>
    <w:p w14:paraId="2B06A674" w14:textId="77777777" w:rsidR="0096675E" w:rsidRDefault="0096675E" w:rsidP="0096675E"/>
    <w:p w14:paraId="6643712B" w14:textId="77777777" w:rsidR="0096675E" w:rsidRDefault="0096675E" w:rsidP="0096675E"/>
    <w:p w14:paraId="35E7F2E8" w14:textId="091DBFA5" w:rsidR="0096675E" w:rsidRDefault="0096675E" w:rsidP="0096675E"/>
    <w:p w14:paraId="763123D4" w14:textId="77777777" w:rsidR="005C6AC5" w:rsidRDefault="005C6AC5" w:rsidP="0096675E"/>
    <w:p w14:paraId="307EF2DE" w14:textId="77777777" w:rsidR="008B4955" w:rsidRDefault="008B4955" w:rsidP="0096675E"/>
    <w:p w14:paraId="502B3F3A" w14:textId="77777777" w:rsidR="005C6AC5" w:rsidRDefault="005C6AC5" w:rsidP="0096675E"/>
    <w:p w14:paraId="2D11D1B2" w14:textId="77777777" w:rsidR="005C6AC5" w:rsidRDefault="005C6AC5" w:rsidP="0096675E"/>
    <w:p w14:paraId="2FAF9E30" w14:textId="77777777" w:rsidR="005C6AC5" w:rsidRPr="0096675E" w:rsidRDefault="005C6AC5" w:rsidP="0096675E"/>
    <w:p w14:paraId="6DA7C6A5" w14:textId="50FEE8AD" w:rsidR="004820F7" w:rsidRPr="00564B41" w:rsidRDefault="004820F7" w:rsidP="00564B41">
      <w:pPr>
        <w:pStyle w:val="Heading2"/>
        <w:spacing w:line="360" w:lineRule="auto"/>
        <w:rPr>
          <w:bCs/>
          <w:sz w:val="36"/>
          <w:szCs w:val="36"/>
        </w:rPr>
      </w:pPr>
      <w:bookmarkStart w:id="7" w:name="_Toc220665474"/>
      <w:r w:rsidRPr="00564B41">
        <w:rPr>
          <w:sz w:val="36"/>
          <w:szCs w:val="36"/>
        </w:rPr>
        <w:lastRenderedPageBreak/>
        <w:t xml:space="preserve">Right to Equality, Non-Discrimination in Housing </w:t>
      </w:r>
      <w:r w:rsidRPr="00564B41">
        <w:rPr>
          <w:bCs/>
          <w:sz w:val="36"/>
          <w:szCs w:val="36"/>
        </w:rPr>
        <w:t>(Article 2</w:t>
      </w:r>
      <w:r w:rsidR="00E97333">
        <w:rPr>
          <w:bCs/>
          <w:sz w:val="36"/>
          <w:szCs w:val="36"/>
        </w:rPr>
        <w:t>,</w:t>
      </w:r>
      <w:r w:rsidRPr="00564B41">
        <w:rPr>
          <w:bCs/>
          <w:sz w:val="36"/>
          <w:szCs w:val="36"/>
        </w:rPr>
        <w:t xml:space="preserve"> 26)</w:t>
      </w:r>
      <w:bookmarkEnd w:id="7"/>
    </w:p>
    <w:p w14:paraId="5A814B8E" w14:textId="786B0694" w:rsidR="00A32EBC" w:rsidRPr="00564B41" w:rsidRDefault="14FCD005" w:rsidP="003E2E25">
      <w:pPr>
        <w:pStyle w:val="Heading3"/>
        <w:rPr>
          <w:rFonts w:asciiTheme="majorHAnsi" w:hAnsiTheme="majorHAnsi"/>
          <w:b/>
          <w:bCs/>
          <w:color w:val="404040" w:themeColor="text1" w:themeTint="BF"/>
        </w:rPr>
      </w:pPr>
      <w:bookmarkStart w:id="8" w:name="_Toc220665475"/>
      <w:r w:rsidRPr="00564B41">
        <w:rPr>
          <w:rFonts w:asciiTheme="majorHAnsi" w:hAnsiTheme="majorHAnsi"/>
          <w:b/>
          <w:bCs/>
          <w:color w:val="404040" w:themeColor="text1" w:themeTint="BF"/>
        </w:rPr>
        <w:t xml:space="preserve">Financialization </w:t>
      </w:r>
      <w:r w:rsidR="004820F7" w:rsidRPr="00564B41">
        <w:rPr>
          <w:rFonts w:asciiTheme="majorHAnsi" w:hAnsiTheme="majorHAnsi"/>
          <w:b/>
          <w:bCs/>
          <w:color w:val="404040" w:themeColor="text1" w:themeTint="BF"/>
        </w:rPr>
        <w:t>of</w:t>
      </w:r>
      <w:r w:rsidRPr="00564B41">
        <w:rPr>
          <w:rFonts w:asciiTheme="majorHAnsi" w:hAnsiTheme="majorHAnsi"/>
          <w:b/>
          <w:bCs/>
          <w:color w:val="404040" w:themeColor="text1" w:themeTint="BF"/>
        </w:rPr>
        <w:t xml:space="preserve"> </w:t>
      </w:r>
      <w:r w:rsidR="004820F7" w:rsidRPr="00564B41">
        <w:rPr>
          <w:rFonts w:asciiTheme="majorHAnsi" w:hAnsiTheme="majorHAnsi"/>
          <w:b/>
          <w:bCs/>
          <w:color w:val="404040" w:themeColor="text1" w:themeTint="BF"/>
        </w:rPr>
        <w:t>H</w:t>
      </w:r>
      <w:r w:rsidRPr="00564B41">
        <w:rPr>
          <w:rFonts w:asciiTheme="majorHAnsi" w:hAnsiTheme="majorHAnsi"/>
          <w:b/>
          <w:bCs/>
          <w:color w:val="404040" w:themeColor="text1" w:themeTint="BF"/>
        </w:rPr>
        <w:t xml:space="preserve">ousing and </w:t>
      </w:r>
      <w:r w:rsidR="004820F7" w:rsidRPr="00564B41">
        <w:rPr>
          <w:rFonts w:asciiTheme="majorHAnsi" w:hAnsiTheme="majorHAnsi"/>
          <w:b/>
          <w:bCs/>
          <w:color w:val="404040" w:themeColor="text1" w:themeTint="BF"/>
        </w:rPr>
        <w:t>D</w:t>
      </w:r>
      <w:r w:rsidRPr="00564B41">
        <w:rPr>
          <w:rFonts w:asciiTheme="majorHAnsi" w:hAnsiTheme="majorHAnsi"/>
          <w:b/>
          <w:bCs/>
          <w:color w:val="404040" w:themeColor="text1" w:themeTint="BF"/>
        </w:rPr>
        <w:t xml:space="preserve">iscrimination </w:t>
      </w:r>
      <w:r w:rsidR="004820F7" w:rsidRPr="00564B41">
        <w:rPr>
          <w:rFonts w:asciiTheme="majorHAnsi" w:hAnsiTheme="majorHAnsi"/>
          <w:b/>
          <w:bCs/>
          <w:color w:val="404040" w:themeColor="text1" w:themeTint="BF"/>
        </w:rPr>
        <w:t>of Marginalized Communities</w:t>
      </w:r>
      <w:bookmarkEnd w:id="8"/>
    </w:p>
    <w:p w14:paraId="475F2414" w14:textId="4129EAA8" w:rsidR="006576B3" w:rsidRPr="00ED4D4B" w:rsidRDefault="14FCD005" w:rsidP="00A32EBC">
      <w:pPr>
        <w:rPr>
          <w:rFonts w:asciiTheme="majorHAnsi" w:hAnsiTheme="majorHAnsi" w:cs="Arial"/>
          <w:sz w:val="22"/>
          <w:szCs w:val="22"/>
        </w:rPr>
      </w:pPr>
      <w:r w:rsidRPr="00ED4D4B">
        <w:rPr>
          <w:rFonts w:asciiTheme="majorHAnsi" w:hAnsiTheme="majorHAnsi" w:cs="Arial"/>
          <w:sz w:val="22"/>
          <w:szCs w:val="22"/>
        </w:rPr>
        <w:t>The NHSA requires the federal government to progressively realize the right to adequate housing and also provides an opportunity to address the systemic housing issues that impact vulnerable communities. Protection from forced eviction and non-discrimination are crucial principles under the right to housing framework.</w:t>
      </w:r>
    </w:p>
    <w:p w14:paraId="39B5660D" w14:textId="762E90F9" w:rsidR="00631A51" w:rsidRPr="00ED4D4B" w:rsidRDefault="14FCD005" w:rsidP="00A32EBC">
      <w:pPr>
        <w:rPr>
          <w:rFonts w:asciiTheme="majorHAnsi" w:hAnsiTheme="majorHAnsi" w:cs="Arial"/>
          <w:sz w:val="22"/>
          <w:szCs w:val="22"/>
        </w:rPr>
      </w:pPr>
      <w:r w:rsidRPr="00ED4D4B">
        <w:rPr>
          <w:rFonts w:asciiTheme="majorHAnsi" w:hAnsiTheme="majorHAnsi" w:cs="Arial"/>
          <w:sz w:val="22"/>
          <w:szCs w:val="22"/>
        </w:rPr>
        <w:t xml:space="preserve">However, the financialization of housing exacerbates inequality experienced by renters with low income, Indigenous </w:t>
      </w:r>
      <w:r w:rsidR="17A145C0" w:rsidRPr="00ED4D4B">
        <w:rPr>
          <w:rFonts w:asciiTheme="majorHAnsi" w:hAnsiTheme="majorHAnsi" w:cs="Arial"/>
          <w:sz w:val="22"/>
          <w:szCs w:val="22"/>
        </w:rPr>
        <w:t>P</w:t>
      </w:r>
      <w:r w:rsidRPr="00ED4D4B">
        <w:rPr>
          <w:rFonts w:asciiTheme="majorHAnsi" w:hAnsiTheme="majorHAnsi" w:cs="Arial"/>
          <w:sz w:val="22"/>
          <w:szCs w:val="22"/>
        </w:rPr>
        <w:t>eople</w:t>
      </w:r>
      <w:r w:rsidR="331F5942" w:rsidRPr="00ED4D4B">
        <w:rPr>
          <w:rFonts w:asciiTheme="majorHAnsi" w:hAnsiTheme="majorHAnsi" w:cs="Arial"/>
          <w:sz w:val="22"/>
          <w:szCs w:val="22"/>
        </w:rPr>
        <w:t>s</w:t>
      </w:r>
      <w:r w:rsidRPr="00ED4D4B">
        <w:rPr>
          <w:rFonts w:asciiTheme="majorHAnsi" w:hAnsiTheme="majorHAnsi" w:cs="Arial"/>
          <w:sz w:val="22"/>
          <w:szCs w:val="22"/>
        </w:rPr>
        <w:t xml:space="preserve">, </w:t>
      </w:r>
      <w:r w:rsidR="1D5DEED2" w:rsidRPr="00ED4D4B">
        <w:rPr>
          <w:rFonts w:asciiTheme="majorHAnsi" w:hAnsiTheme="majorHAnsi" w:cs="Arial"/>
          <w:sz w:val="22"/>
          <w:szCs w:val="22"/>
        </w:rPr>
        <w:t xml:space="preserve">Black and </w:t>
      </w:r>
      <w:r w:rsidRPr="00ED4D4B">
        <w:rPr>
          <w:rFonts w:asciiTheme="majorHAnsi" w:hAnsiTheme="majorHAnsi" w:cs="Arial"/>
          <w:sz w:val="22"/>
          <w:szCs w:val="22"/>
        </w:rPr>
        <w:t xml:space="preserve">racialized people, people with disabilities, and other marginalized groups, and worsens rental affordability in Canada. </w:t>
      </w:r>
      <w:r w:rsidRPr="00ED4D4B">
        <w:rPr>
          <w:rFonts w:asciiTheme="majorHAnsi" w:hAnsiTheme="majorHAnsi" w:cs="Arial"/>
          <w:b/>
          <w:bCs/>
          <w:sz w:val="22"/>
          <w:szCs w:val="22"/>
        </w:rPr>
        <w:t>The financialization of housing refers to the treatment of housing as a financial asset and tool for maximizing profit at the expense of human rights among tenants and tenancy-seeking individuals like people experiencing homelessness</w:t>
      </w:r>
      <w:r w:rsidRPr="00ED4D4B">
        <w:rPr>
          <w:rFonts w:asciiTheme="majorHAnsi" w:hAnsiTheme="majorHAnsi" w:cs="Arial"/>
          <w:sz w:val="22"/>
          <w:szCs w:val="22"/>
        </w:rPr>
        <w:t xml:space="preserve">. </w:t>
      </w:r>
    </w:p>
    <w:p w14:paraId="713C2C12" w14:textId="532501D6" w:rsidR="00631A51" w:rsidRPr="00ED4D4B" w:rsidRDefault="14FCD005" w:rsidP="00A32EBC">
      <w:pPr>
        <w:rPr>
          <w:rFonts w:asciiTheme="majorHAnsi" w:hAnsiTheme="majorHAnsi" w:cs="Arial"/>
          <w:sz w:val="22"/>
          <w:szCs w:val="22"/>
        </w:rPr>
      </w:pPr>
      <w:r w:rsidRPr="00ED4D4B">
        <w:rPr>
          <w:rFonts w:asciiTheme="majorHAnsi" w:hAnsiTheme="majorHAnsi" w:cs="Arial"/>
          <w:sz w:val="22"/>
          <w:szCs w:val="22"/>
        </w:rPr>
        <w:t>For decades, governments across Canada have divested from and deregulated the housing sector, while over-relying on private actors to build and maintain housing stock. This has led to the private sector owning and operating the vast majority of rental housing in the country, with the non-profit, community housing sector making up only 3.5% of Canada’s housing stock, half of the Organisation for Economic Co-operation and Development (OECD) average.</w:t>
      </w:r>
      <w:r w:rsidR="00E645F4" w:rsidRPr="00ED4D4B">
        <w:rPr>
          <w:rStyle w:val="FootnoteReference"/>
          <w:rFonts w:asciiTheme="majorHAnsi" w:hAnsiTheme="majorHAnsi" w:cs="Arial"/>
          <w:sz w:val="22"/>
          <w:szCs w:val="22"/>
        </w:rPr>
        <w:footnoteReference w:id="21"/>
      </w:r>
      <w:r w:rsidRPr="00ED4D4B">
        <w:rPr>
          <w:rFonts w:asciiTheme="majorHAnsi" w:hAnsiTheme="majorHAnsi" w:cs="Arial"/>
          <w:sz w:val="22"/>
          <w:szCs w:val="22"/>
        </w:rPr>
        <w:t xml:space="preserve"> This has been coupled with weak and ad hoc tenant protections across the country, including poor rent regulation and inadequate eviction prevention measures.</w:t>
      </w:r>
    </w:p>
    <w:p w14:paraId="32E065A7" w14:textId="47D3A037" w:rsidR="00631A51" w:rsidRPr="00ED4D4B" w:rsidRDefault="14FCD005" w:rsidP="14FCD005">
      <w:pPr>
        <w:rPr>
          <w:rFonts w:asciiTheme="majorHAnsi" w:hAnsiTheme="majorHAnsi" w:cs="Arial"/>
          <w:sz w:val="22"/>
          <w:szCs w:val="22"/>
        </w:rPr>
      </w:pPr>
      <w:r w:rsidRPr="00ED4D4B">
        <w:rPr>
          <w:rFonts w:asciiTheme="majorHAnsi" w:hAnsiTheme="majorHAnsi" w:cs="Arial"/>
          <w:sz w:val="22"/>
          <w:szCs w:val="22"/>
        </w:rPr>
        <w:t xml:space="preserve">In addition, </w:t>
      </w:r>
      <w:r w:rsidRPr="00ED4D4B" w:rsidDel="14FCD005">
        <w:rPr>
          <w:rFonts w:asciiTheme="majorHAnsi" w:hAnsiTheme="majorHAnsi" w:cs="Arial"/>
          <w:sz w:val="22"/>
          <w:szCs w:val="22"/>
        </w:rPr>
        <w:t>government</w:t>
      </w:r>
      <w:r w:rsidRPr="00ED4D4B">
        <w:rPr>
          <w:rFonts w:asciiTheme="majorHAnsi" w:hAnsiTheme="majorHAnsi" w:cs="Arial"/>
          <w:sz w:val="22"/>
          <w:szCs w:val="22"/>
        </w:rPr>
        <w:t>s across Canada continue to create programs and policies that support financialized actors, such as real estate investment trusts and private equity firms, who are accountable to shareholders, rather than to the tenants that they house. As a result, financialization is fueling the loss of Canada’s limited affordable housing stock, the only option that most people with low income and other disadvantaged groups can afford and access. For context, between 2016 to 2021, Canada lost 230,000 affordable rental units as a result of demolitions, conversions, or excessive rent increases.</w:t>
      </w:r>
      <w:r w:rsidRPr="00ED4D4B">
        <w:rPr>
          <w:rStyle w:val="FootnoteReference"/>
          <w:rFonts w:asciiTheme="majorHAnsi" w:hAnsiTheme="majorHAnsi" w:cs="Arial"/>
          <w:sz w:val="22"/>
          <w:szCs w:val="22"/>
        </w:rPr>
        <w:footnoteReference w:id="22"/>
      </w:r>
    </w:p>
    <w:p w14:paraId="33112B77" w14:textId="17C18A5C" w:rsidR="000B3AAF" w:rsidRPr="00ED4D4B" w:rsidRDefault="00383625" w:rsidP="00A32EBC">
      <w:pPr>
        <w:rPr>
          <w:rFonts w:asciiTheme="majorHAnsi" w:hAnsiTheme="majorHAnsi" w:cs="Arial"/>
          <w:sz w:val="22"/>
          <w:szCs w:val="22"/>
        </w:rPr>
      </w:pPr>
      <w:r w:rsidRPr="00ED4D4B">
        <w:rPr>
          <w:rFonts w:asciiTheme="majorHAnsi" w:hAnsiTheme="majorHAnsi" w:cs="Arial"/>
          <w:sz w:val="22"/>
          <w:szCs w:val="22"/>
        </w:rPr>
        <w:t>Financialization in rental housing accelerates tenant displacement through</w:t>
      </w:r>
      <w:r w:rsidR="50287C93" w:rsidRPr="00ED4D4B">
        <w:rPr>
          <w:rFonts w:asciiTheme="majorHAnsi" w:hAnsiTheme="majorHAnsi" w:cs="Arial"/>
          <w:sz w:val="22"/>
          <w:szCs w:val="22"/>
        </w:rPr>
        <w:t xml:space="preserve"> </w:t>
      </w:r>
      <w:r w:rsidR="14FCD005" w:rsidRPr="00ED4D4B">
        <w:rPr>
          <w:rFonts w:asciiTheme="majorHAnsi" w:hAnsiTheme="majorHAnsi" w:cs="Arial"/>
          <w:sz w:val="22"/>
          <w:szCs w:val="22"/>
        </w:rPr>
        <w:t>steep rent increases, reduced building services and maintenance, and increased eviction activity. A recent report found that between 2016 and 2021, Toronto neighbourhoods with Black-majority populations and a strong presence of corporate landlords experienced the highest eviction filing rates, reaching approximately 36 filings per 100 rental units in some</w:t>
      </w:r>
      <w:r w:rsidR="0E87A935" w:rsidRPr="00ED4D4B">
        <w:rPr>
          <w:rFonts w:asciiTheme="majorHAnsi" w:hAnsiTheme="majorHAnsi" w:cs="Arial"/>
          <w:sz w:val="22"/>
          <w:szCs w:val="22"/>
        </w:rPr>
        <w:t xml:space="preserve"> </w:t>
      </w:r>
      <w:r w:rsidR="14FCD005" w:rsidRPr="00ED4D4B">
        <w:rPr>
          <w:rFonts w:asciiTheme="majorHAnsi" w:hAnsiTheme="majorHAnsi" w:cs="Arial"/>
          <w:sz w:val="22"/>
          <w:szCs w:val="22"/>
        </w:rPr>
        <w:t>communities.</w:t>
      </w:r>
      <w:r w:rsidRPr="00ED4D4B">
        <w:rPr>
          <w:rStyle w:val="FootnoteReference"/>
          <w:rFonts w:asciiTheme="majorHAnsi" w:hAnsiTheme="majorHAnsi" w:cs="Arial"/>
          <w:sz w:val="22"/>
          <w:szCs w:val="22"/>
        </w:rPr>
        <w:footnoteReference w:id="23"/>
      </w:r>
      <w:r w:rsidR="14FCD005" w:rsidRPr="00ED4D4B">
        <w:rPr>
          <w:rFonts w:asciiTheme="majorHAnsi" w:hAnsiTheme="majorHAnsi" w:cs="Arial"/>
          <w:sz w:val="22"/>
          <w:szCs w:val="22"/>
        </w:rPr>
        <w:t xml:space="preserve"> </w:t>
      </w:r>
    </w:p>
    <w:p w14:paraId="5783FBEB" w14:textId="439B7206" w:rsidR="005C73BA" w:rsidRPr="00ED4D4B" w:rsidRDefault="14FCD005" w:rsidP="14FCD005">
      <w:pPr>
        <w:rPr>
          <w:rFonts w:asciiTheme="majorHAnsi" w:hAnsiTheme="majorHAnsi" w:cs="Arial"/>
          <w:sz w:val="22"/>
          <w:szCs w:val="22"/>
        </w:rPr>
      </w:pPr>
      <w:r w:rsidRPr="00ED4D4B">
        <w:rPr>
          <w:rFonts w:asciiTheme="majorHAnsi" w:hAnsiTheme="majorHAnsi" w:cs="Arial"/>
          <w:sz w:val="22"/>
          <w:szCs w:val="22"/>
        </w:rPr>
        <w:lastRenderedPageBreak/>
        <w:t>Although</w:t>
      </w:r>
      <w:r w:rsidR="005C73BA" w:rsidRPr="00ED4D4B">
        <w:rPr>
          <w:rFonts w:asciiTheme="majorHAnsi" w:hAnsiTheme="majorHAnsi" w:cs="Arial"/>
          <w:sz w:val="22"/>
          <w:szCs w:val="22"/>
        </w:rPr>
        <w:t xml:space="preserve"> </w:t>
      </w:r>
      <w:r w:rsidRPr="00ED4D4B">
        <w:rPr>
          <w:rFonts w:asciiTheme="majorHAnsi" w:hAnsiTheme="majorHAnsi" w:cs="Arial"/>
          <w:sz w:val="22"/>
          <w:szCs w:val="22"/>
        </w:rPr>
        <w:t>provincial and territorial human rights codes prohibit gender- and disability-based discrimination</w:t>
      </w:r>
      <w:r w:rsidR="005C73BA" w:rsidRPr="00ED4D4B">
        <w:rPr>
          <w:rFonts w:asciiTheme="majorHAnsi" w:hAnsiTheme="majorHAnsi" w:cs="Arial"/>
          <w:sz w:val="22"/>
          <w:szCs w:val="22"/>
        </w:rPr>
        <w:t xml:space="preserve"> and most prohibit discrimination based on homelessness, “social condition” or receipt of public assistance, these provisions are rarely enforced.  Human rights tribunals are grossly underfunded, with delays of years before a hearing is possible and legal representation is often impossible to obtain. Tribunals have often failed to recognize and remedy systemic discrimination in housing and have not ordered positive measures required to address discrimination and exclusion from affordable housing. </w:t>
      </w:r>
      <w:r w:rsidR="7281828F" w:rsidRPr="00ED4D4B">
        <w:rPr>
          <w:rFonts w:asciiTheme="majorHAnsi" w:hAnsiTheme="majorHAnsi" w:cs="Arial"/>
          <w:sz w:val="22"/>
          <w:szCs w:val="22"/>
        </w:rPr>
        <w:t>As a result, disability advocates have also noted a rise in the institutionalization of people with disabilities, particularly those living in congregate settings and long-term care homes for individuals with intellectual disabilities.</w:t>
      </w:r>
    </w:p>
    <w:p w14:paraId="48C78701" w14:textId="23B6AA74" w:rsidR="005C73BA" w:rsidRPr="00ED4D4B" w:rsidRDefault="005C73BA" w:rsidP="14FCD005">
      <w:pPr>
        <w:rPr>
          <w:rFonts w:asciiTheme="majorHAnsi" w:hAnsiTheme="majorHAnsi" w:cs="Arial"/>
          <w:sz w:val="22"/>
          <w:szCs w:val="22"/>
        </w:rPr>
      </w:pPr>
      <w:r w:rsidRPr="00ED4D4B">
        <w:rPr>
          <w:rFonts w:asciiTheme="majorHAnsi" w:hAnsiTheme="majorHAnsi" w:cs="Arial"/>
          <w:sz w:val="22"/>
          <w:szCs w:val="22"/>
        </w:rPr>
        <w:t>A case before the Ontario Human Rights Tribunal challenging mass evictions of racialized households by a financialized landlord in Ottawa in order to create housing for more affluent households was challenged in 2019 and has still not been heard. The tribunal recently granted a motion by the landlords for a summary hearing to dismiss the claim without a full hearing on the evidence.</w:t>
      </w:r>
      <w:r w:rsidRPr="00ED4D4B">
        <w:rPr>
          <w:rStyle w:val="FootnoteReference"/>
          <w:rFonts w:asciiTheme="majorHAnsi" w:hAnsiTheme="majorHAnsi" w:cs="Arial"/>
          <w:sz w:val="22"/>
          <w:szCs w:val="22"/>
        </w:rPr>
        <w:footnoteReference w:id="24"/>
      </w:r>
    </w:p>
    <w:p w14:paraId="2D0B7091" w14:textId="26040E8D" w:rsidR="00BD12FC" w:rsidRPr="00ED4D4B" w:rsidRDefault="2EAD0BAD" w:rsidP="00A32EBC">
      <w:pPr>
        <w:rPr>
          <w:rFonts w:asciiTheme="majorHAnsi" w:hAnsiTheme="majorHAnsi" w:cs="Arial"/>
          <w:sz w:val="22"/>
          <w:szCs w:val="22"/>
        </w:rPr>
      </w:pPr>
      <w:r w:rsidRPr="00ED4D4B">
        <w:rPr>
          <w:rFonts w:asciiTheme="majorHAnsi" w:hAnsiTheme="majorHAnsi" w:cs="Arial"/>
          <w:sz w:val="22"/>
          <w:szCs w:val="22"/>
        </w:rPr>
        <w:t>T</w:t>
      </w:r>
      <w:r w:rsidR="14FCD005" w:rsidRPr="00ED4D4B">
        <w:rPr>
          <w:rFonts w:asciiTheme="majorHAnsi" w:hAnsiTheme="majorHAnsi" w:cs="Arial"/>
          <w:sz w:val="22"/>
          <w:szCs w:val="22"/>
        </w:rPr>
        <w:t xml:space="preserve">he limited supply of affordable and accessible housing allows landlords—particularly financialized landlords—to select tenants based on ability to pay, thereby disproportionately excluding low-income renters. </w:t>
      </w:r>
    </w:p>
    <w:p w14:paraId="09FC1336" w14:textId="39FF00C5" w:rsidR="00BD12FC" w:rsidRPr="00ED4D4B" w:rsidRDefault="14FCD005" w:rsidP="00A32EBC">
      <w:pPr>
        <w:rPr>
          <w:rFonts w:asciiTheme="majorHAnsi" w:hAnsiTheme="majorHAnsi" w:cs="Arial"/>
          <w:sz w:val="22"/>
          <w:szCs w:val="22"/>
        </w:rPr>
      </w:pPr>
      <w:r w:rsidRPr="00ED4D4B">
        <w:rPr>
          <w:rFonts w:asciiTheme="majorHAnsi" w:hAnsiTheme="majorHAnsi" w:cs="Arial"/>
          <w:sz w:val="22"/>
          <w:szCs w:val="22"/>
        </w:rPr>
        <w:t>In 2023, the first-ever review panel under the mandate of the NHSA was established to address the financialization of purpose-built rental housing.</w:t>
      </w:r>
      <w:r w:rsidRPr="3B4779E1">
        <w:rPr>
          <w:rStyle w:val="FootnoteReference"/>
          <w:rFonts w:asciiTheme="majorHAnsi" w:hAnsiTheme="majorHAnsi" w:cs="Arial"/>
          <w:sz w:val="22"/>
          <w:szCs w:val="22"/>
        </w:rPr>
        <w:footnoteReference w:id="25"/>
      </w:r>
      <w:r w:rsidRPr="00ED4D4B">
        <w:rPr>
          <w:rFonts w:asciiTheme="majorHAnsi" w:hAnsiTheme="majorHAnsi" w:cs="Arial"/>
          <w:sz w:val="22"/>
          <w:szCs w:val="22"/>
        </w:rPr>
        <w:t xml:space="preserve"> The panel </w:t>
      </w:r>
      <w:r w:rsidR="219F7858" w:rsidRPr="00ED4D4B">
        <w:rPr>
          <w:rFonts w:asciiTheme="majorHAnsi" w:hAnsiTheme="majorHAnsi" w:cs="Arial"/>
          <w:sz w:val="22"/>
          <w:szCs w:val="22"/>
        </w:rPr>
        <w:t xml:space="preserve">was tasked with </w:t>
      </w:r>
      <w:r w:rsidR="02DFFA90" w:rsidRPr="00ED4D4B">
        <w:rPr>
          <w:rFonts w:asciiTheme="majorHAnsi" w:hAnsiTheme="majorHAnsi" w:cs="Arial"/>
          <w:sz w:val="22"/>
          <w:szCs w:val="22"/>
        </w:rPr>
        <w:t>assessing</w:t>
      </w:r>
      <w:r w:rsidRPr="00ED4D4B">
        <w:rPr>
          <w:rFonts w:asciiTheme="majorHAnsi" w:hAnsiTheme="majorHAnsi" w:cs="Arial"/>
          <w:sz w:val="22"/>
          <w:szCs w:val="22"/>
        </w:rPr>
        <w:t xml:space="preserve"> the impact</w:t>
      </w:r>
      <w:r w:rsidR="001F8024" w:rsidRPr="00ED4D4B">
        <w:rPr>
          <w:rFonts w:asciiTheme="majorHAnsi" w:hAnsiTheme="majorHAnsi" w:cs="Arial"/>
          <w:sz w:val="22"/>
          <w:szCs w:val="22"/>
        </w:rPr>
        <w:t>s</w:t>
      </w:r>
      <w:r w:rsidRPr="00ED4D4B">
        <w:rPr>
          <w:rFonts w:asciiTheme="majorHAnsi" w:hAnsiTheme="majorHAnsi" w:cs="Arial"/>
          <w:sz w:val="22"/>
          <w:szCs w:val="22"/>
        </w:rPr>
        <w:t xml:space="preserve"> of financialization on the progressive realization of the right to adequate housing in Canada, including </w:t>
      </w:r>
      <w:r w:rsidR="6FC72BD2" w:rsidRPr="00ED4D4B">
        <w:rPr>
          <w:rFonts w:asciiTheme="majorHAnsi" w:hAnsiTheme="majorHAnsi" w:cs="Arial"/>
          <w:sz w:val="22"/>
          <w:szCs w:val="22"/>
        </w:rPr>
        <w:t xml:space="preserve">its </w:t>
      </w:r>
      <w:r w:rsidRPr="00ED4D4B">
        <w:rPr>
          <w:rFonts w:asciiTheme="majorHAnsi" w:hAnsiTheme="majorHAnsi" w:cs="Arial"/>
          <w:sz w:val="22"/>
          <w:szCs w:val="22"/>
        </w:rPr>
        <w:t xml:space="preserve">impact on marginalized communities, as well as the federal government’s role in spurring financialization and solutions to address it. </w:t>
      </w:r>
    </w:p>
    <w:p w14:paraId="3F88142B" w14:textId="19F33BD3" w:rsidR="14FCD005" w:rsidRPr="00ED4D4B" w:rsidRDefault="14FCD005" w:rsidP="14FCD005">
      <w:pPr>
        <w:rPr>
          <w:rFonts w:asciiTheme="majorHAnsi" w:hAnsiTheme="majorHAnsi" w:cs="Arial"/>
          <w:sz w:val="22"/>
          <w:szCs w:val="22"/>
        </w:rPr>
      </w:pPr>
      <w:r w:rsidRPr="00ED4D4B">
        <w:rPr>
          <w:rFonts w:asciiTheme="majorHAnsi" w:hAnsiTheme="majorHAnsi" w:cs="Arial"/>
          <w:sz w:val="22"/>
          <w:szCs w:val="22"/>
        </w:rPr>
        <w:t>The panel received nearly 200 written submissions and heard</w:t>
      </w:r>
      <w:r w:rsidR="4C227D9C" w:rsidRPr="00ED4D4B">
        <w:rPr>
          <w:rFonts w:asciiTheme="majorHAnsi" w:hAnsiTheme="majorHAnsi" w:cs="Arial"/>
          <w:sz w:val="22"/>
          <w:szCs w:val="22"/>
        </w:rPr>
        <w:t xml:space="preserve"> testimony</w:t>
      </w:r>
      <w:r w:rsidRPr="00ED4D4B">
        <w:rPr>
          <w:rFonts w:asciiTheme="majorHAnsi" w:hAnsiTheme="majorHAnsi" w:cs="Arial"/>
          <w:sz w:val="22"/>
          <w:szCs w:val="22"/>
        </w:rPr>
        <w:t xml:space="preserve"> from policy experts, human rights advocates, and rights holders during eight oral hearings</w:t>
      </w:r>
      <w:r w:rsidR="775BD914" w:rsidRPr="00ED4D4B">
        <w:rPr>
          <w:rFonts w:asciiTheme="majorHAnsi" w:hAnsiTheme="majorHAnsi" w:cs="Arial"/>
          <w:sz w:val="22"/>
          <w:szCs w:val="22"/>
        </w:rPr>
        <w:t>.</w:t>
      </w:r>
      <w:r w:rsidR="4421E4E2" w:rsidRPr="00ED4D4B">
        <w:rPr>
          <w:rFonts w:asciiTheme="majorHAnsi" w:hAnsiTheme="majorHAnsi" w:cs="Arial"/>
          <w:sz w:val="22"/>
          <w:szCs w:val="22"/>
        </w:rPr>
        <w:t xml:space="preserve"> </w:t>
      </w:r>
      <w:r w:rsidR="34EBC599" w:rsidRPr="00ED4D4B">
        <w:rPr>
          <w:rFonts w:asciiTheme="majorHAnsi" w:hAnsiTheme="majorHAnsi" w:cs="Arial"/>
          <w:sz w:val="22"/>
          <w:szCs w:val="22"/>
        </w:rPr>
        <w:t>I</w:t>
      </w:r>
      <w:r w:rsidR="79207122" w:rsidRPr="00ED4D4B">
        <w:rPr>
          <w:rFonts w:asciiTheme="majorHAnsi" w:hAnsiTheme="majorHAnsi" w:cs="Arial"/>
          <w:sz w:val="22"/>
          <w:szCs w:val="22"/>
        </w:rPr>
        <w:t xml:space="preserve">n May 2024, </w:t>
      </w:r>
      <w:r w:rsidR="15FBBC0F" w:rsidRPr="00ED4D4B">
        <w:rPr>
          <w:rFonts w:asciiTheme="majorHAnsi" w:hAnsiTheme="majorHAnsi" w:cs="Arial"/>
          <w:sz w:val="22"/>
          <w:szCs w:val="22"/>
        </w:rPr>
        <w:t xml:space="preserve">the panel </w:t>
      </w:r>
      <w:r w:rsidRPr="00ED4D4B">
        <w:rPr>
          <w:rFonts w:asciiTheme="majorHAnsi" w:hAnsiTheme="majorHAnsi" w:cs="Arial"/>
          <w:sz w:val="22"/>
          <w:szCs w:val="22"/>
        </w:rPr>
        <w:t>published several recommendations to address the financialization of rental housing and advance the progressive realization of the right to adequate housing</w:t>
      </w:r>
      <w:r w:rsidR="5B982B1F" w:rsidRPr="00ED4D4B">
        <w:rPr>
          <w:rFonts w:asciiTheme="majorHAnsi" w:hAnsiTheme="majorHAnsi" w:cs="Arial"/>
          <w:sz w:val="22"/>
          <w:szCs w:val="22"/>
        </w:rPr>
        <w:t>.</w:t>
      </w:r>
      <w:r w:rsidRPr="00ED4D4B">
        <w:rPr>
          <w:rFonts w:asciiTheme="majorHAnsi" w:hAnsiTheme="majorHAnsi" w:cs="Arial"/>
          <w:sz w:val="22"/>
          <w:szCs w:val="22"/>
        </w:rPr>
        <w:t xml:space="preserve"> </w:t>
      </w:r>
      <w:r w:rsidR="763D74D5" w:rsidRPr="00ED4D4B">
        <w:rPr>
          <w:rFonts w:asciiTheme="majorHAnsi" w:hAnsiTheme="majorHAnsi" w:cs="Arial"/>
          <w:sz w:val="22"/>
          <w:szCs w:val="22"/>
        </w:rPr>
        <w:t>However</w:t>
      </w:r>
      <w:r w:rsidRPr="00ED4D4B">
        <w:rPr>
          <w:rFonts w:asciiTheme="majorHAnsi" w:hAnsiTheme="majorHAnsi" w:cs="Arial"/>
          <w:sz w:val="22"/>
          <w:szCs w:val="22"/>
        </w:rPr>
        <w:t xml:space="preserve">, the panel did not make any recommendations related to upholding various standards of the right to adequate housing (e.g., accessibility, cultural adequacy, location), regulating investment and taxation policies that spur financialization, or funding local services. Despite receiving significant feedback on these </w:t>
      </w:r>
      <w:r w:rsidR="25708F4B" w:rsidRPr="00ED4D4B">
        <w:rPr>
          <w:rFonts w:asciiTheme="majorHAnsi" w:hAnsiTheme="majorHAnsi" w:cs="Arial"/>
          <w:sz w:val="22"/>
          <w:szCs w:val="22"/>
        </w:rPr>
        <w:t>issues</w:t>
      </w:r>
      <w:r w:rsidRPr="00ED4D4B">
        <w:rPr>
          <w:rFonts w:asciiTheme="majorHAnsi" w:hAnsiTheme="majorHAnsi" w:cs="Arial"/>
          <w:sz w:val="22"/>
          <w:szCs w:val="22"/>
        </w:rPr>
        <w:t>, the panel identified these as areas requiring further research.</w:t>
      </w:r>
    </w:p>
    <w:p w14:paraId="42CCD1CE" w14:textId="34A79F3C" w:rsidR="00F35F20" w:rsidRPr="00ED4D4B" w:rsidRDefault="14FCD005" w:rsidP="00A32EBC">
      <w:pPr>
        <w:rPr>
          <w:rFonts w:asciiTheme="majorHAnsi" w:hAnsiTheme="majorHAnsi" w:cs="Arial"/>
          <w:sz w:val="22"/>
          <w:szCs w:val="22"/>
        </w:rPr>
      </w:pPr>
      <w:r w:rsidRPr="00ED4D4B">
        <w:rPr>
          <w:rFonts w:asciiTheme="majorHAnsi" w:hAnsiTheme="majorHAnsi" w:cs="Arial"/>
          <w:sz w:val="22"/>
          <w:szCs w:val="22"/>
        </w:rPr>
        <w:t>Since the release of the panel’s recommendations, the federal government has taken some initial steps to address the financialization of rental housing, including by releasing a Blueprint for a Renters’ Bill of Rights in September 2024</w:t>
      </w:r>
      <w:r w:rsidRPr="6B0AF829">
        <w:rPr>
          <w:rFonts w:asciiTheme="majorHAnsi" w:hAnsiTheme="majorHAnsi" w:cs="Arial"/>
          <w:sz w:val="22"/>
          <w:szCs w:val="22"/>
        </w:rPr>
        <w:t>.</w:t>
      </w:r>
      <w:r w:rsidRPr="00ED4D4B">
        <w:rPr>
          <w:rStyle w:val="FootnoteReference"/>
          <w:rFonts w:asciiTheme="majorHAnsi" w:hAnsiTheme="majorHAnsi" w:cs="Arial"/>
          <w:sz w:val="22"/>
          <w:szCs w:val="22"/>
        </w:rPr>
        <w:footnoteReference w:id="26"/>
      </w:r>
      <w:r w:rsidRPr="00ED4D4B">
        <w:rPr>
          <w:rFonts w:asciiTheme="majorHAnsi" w:hAnsiTheme="majorHAnsi" w:cs="Arial"/>
          <w:sz w:val="22"/>
          <w:szCs w:val="22"/>
        </w:rPr>
        <w:t xml:space="preserve"> The blueprint recognizes the current patchwork of renter protections across the </w:t>
      </w:r>
      <w:r w:rsidRPr="00ED4D4B">
        <w:rPr>
          <w:rFonts w:asciiTheme="majorHAnsi" w:hAnsiTheme="majorHAnsi" w:cs="Arial"/>
          <w:sz w:val="22"/>
          <w:szCs w:val="22"/>
        </w:rPr>
        <w:lastRenderedPageBreak/>
        <w:t>country (which are regulated at the provincial/territorial level) and outlines minimum national standards for such protections, including against excessive rent increases, forced evictions, poor maintenance, discrimination, and many other issues. Nevertheless, it omits some key provisions, including clear guidelines around rent regulation and eviction prevention, and lacks adequate enforcement and accountability mechanisms. To encourage uptake of the blueprint, provinces and territories would have to adopt elements of the Renters’ Bill of Rights to access federal infrastructure funding. While the majority of provinces and territories have now signed those funding agreements, very few details have been released about their commitments related to renter protections.</w:t>
      </w:r>
    </w:p>
    <w:p w14:paraId="54302AC7" w14:textId="7A0776C6" w:rsidR="00657167" w:rsidRPr="00ED4D4B" w:rsidRDefault="14FCD005" w:rsidP="00A32EBC">
      <w:pPr>
        <w:rPr>
          <w:rFonts w:asciiTheme="majorHAnsi" w:hAnsiTheme="majorHAnsi" w:cs="Arial"/>
          <w:sz w:val="22"/>
          <w:szCs w:val="22"/>
        </w:rPr>
      </w:pPr>
      <w:r w:rsidRPr="00ED4D4B">
        <w:rPr>
          <w:rFonts w:asciiTheme="majorHAnsi" w:hAnsiTheme="majorHAnsi" w:cs="Arial"/>
          <w:sz w:val="22"/>
          <w:szCs w:val="22"/>
        </w:rPr>
        <w:t>In September 2025, the federal government launched Build Canada Homes, a new agency responsible for affordable housing development across the country, with a focus on supporting the non-market housing sector. While Build Canada Homes has set some priorities around affordability, sustainability, and accessibility, it lacks clear targets, timelines, monitoring, and reporting mechanisms to ensure its investments meet the needs of communities most impacted by the financialization of rental housing, and the housing and homelessness crisis more broadly.</w:t>
      </w:r>
      <w:r w:rsidR="47A87E3A" w:rsidRPr="00ED4D4B">
        <w:rPr>
          <w:rFonts w:asciiTheme="majorHAnsi" w:hAnsiTheme="majorHAnsi" w:cs="Arial"/>
          <w:sz w:val="22"/>
          <w:szCs w:val="22"/>
        </w:rPr>
        <w:t xml:space="preserve"> </w:t>
      </w:r>
    </w:p>
    <w:p w14:paraId="1C197E5E" w14:textId="5AD3E1D4" w:rsidR="00516763" w:rsidRDefault="14FCD005" w:rsidP="00516763">
      <w:pPr>
        <w:rPr>
          <w:rFonts w:asciiTheme="majorHAnsi" w:hAnsiTheme="majorHAnsi" w:cs="Arial"/>
          <w:sz w:val="22"/>
          <w:szCs w:val="22"/>
        </w:rPr>
      </w:pPr>
      <w:r w:rsidRPr="00ED4D4B">
        <w:rPr>
          <w:rFonts w:asciiTheme="majorHAnsi" w:hAnsiTheme="majorHAnsi" w:cs="Arial"/>
          <w:sz w:val="22"/>
          <w:szCs w:val="22"/>
        </w:rPr>
        <w:t>Despite these initial steps, Canada has failed to protect disadvantaged and vulnerable groups from experiencing discrimination in housing, displacement, and forced evictions and thereby continues to violate article 26 of ICCPR.</w:t>
      </w:r>
    </w:p>
    <w:p w14:paraId="36C5A3EF" w14:textId="77777777" w:rsidR="00FF0250" w:rsidRPr="00516763" w:rsidRDefault="00FF0250" w:rsidP="00516763">
      <w:pPr>
        <w:rPr>
          <w:rFonts w:asciiTheme="majorHAnsi" w:hAnsiTheme="majorHAnsi" w:cs="Arial"/>
          <w:sz w:val="22"/>
          <w:szCs w:val="22"/>
        </w:rPr>
      </w:pPr>
    </w:p>
    <w:p w14:paraId="34208E04" w14:textId="4CCE27AF" w:rsidR="00455576" w:rsidRPr="003E2E25" w:rsidRDefault="14FCD005" w:rsidP="003E2E25">
      <w:pPr>
        <w:pStyle w:val="Heading3"/>
        <w:rPr>
          <w:rFonts w:asciiTheme="majorHAnsi" w:hAnsiTheme="majorHAnsi"/>
          <w:b/>
          <w:bCs/>
          <w:color w:val="404040" w:themeColor="text1" w:themeTint="BF"/>
        </w:rPr>
      </w:pPr>
      <w:bookmarkStart w:id="9" w:name="_Toc220665476"/>
      <w:r w:rsidRPr="003E2E25">
        <w:rPr>
          <w:rFonts w:asciiTheme="majorHAnsi" w:hAnsiTheme="majorHAnsi"/>
          <w:b/>
          <w:bCs/>
          <w:color w:val="404040" w:themeColor="text1" w:themeTint="BF"/>
        </w:rPr>
        <w:t xml:space="preserve">Discrimination </w:t>
      </w:r>
      <w:r w:rsidR="004820F7" w:rsidRPr="003E2E25">
        <w:rPr>
          <w:rFonts w:asciiTheme="majorHAnsi" w:hAnsiTheme="majorHAnsi"/>
          <w:b/>
          <w:bCs/>
          <w:color w:val="404040" w:themeColor="text1" w:themeTint="BF"/>
        </w:rPr>
        <w:t xml:space="preserve">of </w:t>
      </w:r>
      <w:r w:rsidR="00C475B5" w:rsidRPr="003E2E25">
        <w:rPr>
          <w:rFonts w:asciiTheme="majorHAnsi" w:hAnsiTheme="majorHAnsi"/>
          <w:b/>
          <w:bCs/>
          <w:color w:val="404040" w:themeColor="text1" w:themeTint="BF"/>
        </w:rPr>
        <w:t>W</w:t>
      </w:r>
      <w:r w:rsidRPr="003E2E25">
        <w:rPr>
          <w:rFonts w:asciiTheme="majorHAnsi" w:hAnsiTheme="majorHAnsi"/>
          <w:b/>
          <w:bCs/>
          <w:color w:val="404040" w:themeColor="text1" w:themeTint="BF"/>
        </w:rPr>
        <w:t xml:space="preserve">omen </w:t>
      </w:r>
      <w:r w:rsidR="00C475B5" w:rsidRPr="003E2E25">
        <w:rPr>
          <w:rFonts w:asciiTheme="majorHAnsi" w:hAnsiTheme="majorHAnsi"/>
          <w:b/>
          <w:bCs/>
          <w:color w:val="404040" w:themeColor="text1" w:themeTint="BF"/>
        </w:rPr>
        <w:t>&amp;</w:t>
      </w:r>
      <w:r w:rsidRPr="003E2E25">
        <w:rPr>
          <w:rFonts w:asciiTheme="majorHAnsi" w:hAnsiTheme="majorHAnsi"/>
          <w:b/>
          <w:bCs/>
          <w:color w:val="404040" w:themeColor="text1" w:themeTint="BF"/>
        </w:rPr>
        <w:t xml:space="preserve"> </w:t>
      </w:r>
      <w:r w:rsidR="00C475B5" w:rsidRPr="003E2E25">
        <w:rPr>
          <w:rFonts w:asciiTheme="majorHAnsi" w:hAnsiTheme="majorHAnsi"/>
          <w:b/>
          <w:bCs/>
          <w:color w:val="404040" w:themeColor="text1" w:themeTint="BF"/>
        </w:rPr>
        <w:t>G</w:t>
      </w:r>
      <w:r w:rsidRPr="003E2E25">
        <w:rPr>
          <w:rFonts w:asciiTheme="majorHAnsi" w:hAnsiTheme="majorHAnsi"/>
          <w:b/>
          <w:bCs/>
          <w:color w:val="404040" w:themeColor="text1" w:themeTint="BF"/>
        </w:rPr>
        <w:t>ender-</w:t>
      </w:r>
      <w:r w:rsidR="00C475B5" w:rsidRPr="003E2E25">
        <w:rPr>
          <w:rFonts w:asciiTheme="majorHAnsi" w:hAnsiTheme="majorHAnsi"/>
          <w:b/>
          <w:bCs/>
          <w:color w:val="404040" w:themeColor="text1" w:themeTint="BF"/>
        </w:rPr>
        <w:t>D</w:t>
      </w:r>
      <w:r w:rsidRPr="003E2E25">
        <w:rPr>
          <w:rFonts w:asciiTheme="majorHAnsi" w:hAnsiTheme="majorHAnsi"/>
          <w:b/>
          <w:bCs/>
          <w:color w:val="404040" w:themeColor="text1" w:themeTint="BF"/>
        </w:rPr>
        <w:t xml:space="preserve">iverse </w:t>
      </w:r>
      <w:r w:rsidR="00C475B5" w:rsidRPr="003E2E25">
        <w:rPr>
          <w:rFonts w:asciiTheme="majorHAnsi" w:hAnsiTheme="majorHAnsi"/>
          <w:b/>
          <w:bCs/>
          <w:color w:val="404040" w:themeColor="text1" w:themeTint="BF"/>
        </w:rPr>
        <w:t>P</w:t>
      </w:r>
      <w:r w:rsidRPr="003E2E25">
        <w:rPr>
          <w:rFonts w:asciiTheme="majorHAnsi" w:hAnsiTheme="majorHAnsi"/>
          <w:b/>
          <w:bCs/>
          <w:color w:val="404040" w:themeColor="text1" w:themeTint="BF"/>
        </w:rPr>
        <w:t xml:space="preserve">eople in </w:t>
      </w:r>
      <w:r w:rsidR="00C475B5" w:rsidRPr="003E2E25">
        <w:rPr>
          <w:rFonts w:asciiTheme="majorHAnsi" w:hAnsiTheme="majorHAnsi"/>
          <w:b/>
          <w:bCs/>
          <w:color w:val="404040" w:themeColor="text1" w:themeTint="BF"/>
        </w:rPr>
        <w:t>A</w:t>
      </w:r>
      <w:r w:rsidRPr="003E2E25">
        <w:rPr>
          <w:rFonts w:asciiTheme="majorHAnsi" w:hAnsiTheme="majorHAnsi"/>
          <w:b/>
          <w:bCs/>
          <w:color w:val="404040" w:themeColor="text1" w:themeTint="BF"/>
        </w:rPr>
        <w:t xml:space="preserve">ccessing </w:t>
      </w:r>
      <w:r w:rsidR="00C475B5" w:rsidRPr="003E2E25">
        <w:rPr>
          <w:rFonts w:asciiTheme="majorHAnsi" w:hAnsiTheme="majorHAnsi"/>
          <w:b/>
          <w:bCs/>
          <w:color w:val="404040" w:themeColor="text1" w:themeTint="BF"/>
        </w:rPr>
        <w:t>H</w:t>
      </w:r>
      <w:r w:rsidRPr="003E2E25">
        <w:rPr>
          <w:rFonts w:asciiTheme="majorHAnsi" w:hAnsiTheme="majorHAnsi"/>
          <w:b/>
          <w:bCs/>
          <w:color w:val="404040" w:themeColor="text1" w:themeTint="BF"/>
        </w:rPr>
        <w:t>ousing</w:t>
      </w:r>
      <w:bookmarkEnd w:id="9"/>
    </w:p>
    <w:p w14:paraId="458FACA2" w14:textId="5320601E" w:rsidR="14FCD005" w:rsidRPr="00ED4D4B" w:rsidRDefault="14FCD005">
      <w:pPr>
        <w:rPr>
          <w:rFonts w:asciiTheme="majorHAnsi" w:hAnsiTheme="majorHAnsi" w:cs="Arial"/>
          <w:sz w:val="22"/>
          <w:szCs w:val="22"/>
        </w:rPr>
      </w:pPr>
      <w:r w:rsidRPr="00ED4D4B">
        <w:rPr>
          <w:rFonts w:asciiTheme="majorHAnsi" w:hAnsiTheme="majorHAnsi" w:cs="Arial"/>
          <w:sz w:val="22"/>
          <w:szCs w:val="22"/>
        </w:rPr>
        <w:t>Canada ratified the Convention on the Elimination of All Forms of Discrimination Against Women, which guarantees women the right to “enjoy adequate living conditions, particularly in relation to housing” (UN General Assembly, 1979). However, women continue to experience disproportionate levels of housing need and housing instability, with untold numbers of women experiencing homelessness across Canada. Despite Canada’s international obligations, gender-based inequity and discrimination remains one of the three top causes and trajectories into homelessness for women, girls, and gender-diverse people (the others being gender-based and intimate partner violence, and hidden homelessness).</w:t>
      </w:r>
      <w:r w:rsidRPr="00ED4D4B">
        <w:rPr>
          <w:rStyle w:val="FootnoteReference"/>
          <w:rFonts w:asciiTheme="majorHAnsi" w:hAnsiTheme="majorHAnsi" w:cs="Arial"/>
          <w:sz w:val="22"/>
          <w:szCs w:val="22"/>
        </w:rPr>
        <w:footnoteReference w:id="27"/>
      </w:r>
      <w:r w:rsidRPr="00ED4D4B">
        <w:rPr>
          <w:rStyle w:val="FootnoteReference"/>
          <w:rFonts w:asciiTheme="majorHAnsi" w:hAnsiTheme="majorHAnsi" w:cs="Arial"/>
          <w:sz w:val="22"/>
          <w:szCs w:val="22"/>
        </w:rPr>
        <w:t xml:space="preserve"> </w:t>
      </w:r>
      <w:r w:rsidRPr="00ED4D4B">
        <w:rPr>
          <w:rFonts w:asciiTheme="majorHAnsi" w:hAnsiTheme="majorHAnsi" w:cs="Arial"/>
          <w:sz w:val="22"/>
          <w:szCs w:val="22"/>
        </w:rPr>
        <w:t>Indigenous women, newcomer women, racialized women, women with disabilities, and 2SLGBTQQIA</w:t>
      </w:r>
      <w:r w:rsidR="5045048A" w:rsidRPr="00ED4D4B">
        <w:rPr>
          <w:rFonts w:asciiTheme="majorHAnsi" w:hAnsiTheme="majorHAnsi" w:cs="Arial"/>
          <w:sz w:val="22"/>
          <w:szCs w:val="22"/>
        </w:rPr>
        <w:t>+</w:t>
      </w:r>
      <w:r w:rsidRPr="00ED4D4B">
        <w:rPr>
          <w:rFonts w:asciiTheme="majorHAnsi" w:hAnsiTheme="majorHAnsi" w:cs="Arial"/>
          <w:sz w:val="22"/>
          <w:szCs w:val="22"/>
        </w:rPr>
        <w:t xml:space="preserve"> people disproportionately and starkly experience inequity and discrimination. For instance, Indigenous women face discrimination and violence when seeking housing and shelter,</w:t>
      </w:r>
      <w:r w:rsidRPr="00ED4D4B">
        <w:rPr>
          <w:rStyle w:val="FootnoteReference"/>
          <w:rFonts w:asciiTheme="majorHAnsi" w:hAnsiTheme="majorHAnsi" w:cs="Arial"/>
          <w:sz w:val="22"/>
          <w:szCs w:val="22"/>
        </w:rPr>
        <w:footnoteReference w:id="28"/>
      </w:r>
      <w:r w:rsidRPr="00ED4D4B">
        <w:rPr>
          <w:rFonts w:asciiTheme="majorHAnsi" w:hAnsiTheme="majorHAnsi" w:cs="Arial"/>
          <w:sz w:val="22"/>
          <w:szCs w:val="22"/>
        </w:rPr>
        <w:t xml:space="preserve"> which is acutely felt by Indigenous </w:t>
      </w:r>
      <w:r w:rsidRPr="00ED4D4B">
        <w:rPr>
          <w:rFonts w:asciiTheme="majorHAnsi" w:hAnsiTheme="majorHAnsi" w:cs="Arial"/>
          <w:sz w:val="22"/>
          <w:szCs w:val="22"/>
        </w:rPr>
        <w:lastRenderedPageBreak/>
        <w:t>Two-Spirit and trans people who face “obvious discrimination” when seeking access to housing services and shelters that are separated by gender.</w:t>
      </w:r>
      <w:r w:rsidRPr="00ED4D4B">
        <w:rPr>
          <w:rStyle w:val="FootnoteReference"/>
          <w:rFonts w:asciiTheme="majorHAnsi" w:hAnsiTheme="majorHAnsi" w:cs="Arial"/>
          <w:sz w:val="22"/>
          <w:szCs w:val="22"/>
        </w:rPr>
        <w:footnoteReference w:id="29"/>
      </w:r>
      <w:r w:rsidRPr="00ED4D4B">
        <w:rPr>
          <w:rFonts w:asciiTheme="majorHAnsi" w:hAnsiTheme="majorHAnsi" w:cs="Arial"/>
          <w:sz w:val="22"/>
          <w:szCs w:val="22"/>
        </w:rPr>
        <w:t xml:space="preserve"> </w:t>
      </w:r>
    </w:p>
    <w:p w14:paraId="6862C973" w14:textId="46B20C43" w:rsidR="14FCD005" w:rsidRPr="00ED4D4B" w:rsidRDefault="14FCD005" w:rsidP="14FCD005">
      <w:pPr>
        <w:rPr>
          <w:rFonts w:asciiTheme="majorHAnsi" w:hAnsiTheme="majorHAnsi" w:cs="Arial"/>
          <w:sz w:val="22"/>
          <w:szCs w:val="22"/>
        </w:rPr>
      </w:pPr>
      <w:r w:rsidRPr="00ED4D4B">
        <w:rPr>
          <w:rFonts w:asciiTheme="majorHAnsi" w:hAnsiTheme="majorHAnsi" w:cs="Arial"/>
          <w:sz w:val="22"/>
          <w:szCs w:val="22"/>
        </w:rPr>
        <w:t>Research consistently shows that gender-diverse, Two-Spirit, and 2SLGBTQQIA people “encounter discrimination, stigmatization, and traumatic experiences of violence at disproportionately higher rates than their heterosexual and cisgender counterparts”, all of which undermines housing stability and increases the likelihood of homelessness.</w:t>
      </w:r>
      <w:r w:rsidRPr="00ED4D4B">
        <w:rPr>
          <w:rStyle w:val="FootnoteReference"/>
          <w:rFonts w:asciiTheme="majorHAnsi" w:hAnsiTheme="majorHAnsi" w:cs="Arial"/>
          <w:sz w:val="22"/>
          <w:szCs w:val="22"/>
        </w:rPr>
        <w:footnoteReference w:id="30"/>
      </w:r>
      <w:r w:rsidRPr="00ED4D4B">
        <w:rPr>
          <w:rStyle w:val="FootnoteReference"/>
          <w:rFonts w:asciiTheme="majorHAnsi" w:hAnsiTheme="majorHAnsi" w:cs="Arial"/>
          <w:sz w:val="22"/>
          <w:szCs w:val="22"/>
        </w:rPr>
        <w:t xml:space="preserve"> </w:t>
      </w:r>
      <w:r w:rsidR="545F734C" w:rsidRPr="00ED4D4B">
        <w:rPr>
          <w:rStyle w:val="FootnoteReference"/>
          <w:rFonts w:asciiTheme="majorHAnsi" w:hAnsiTheme="majorHAnsi" w:cs="Arial"/>
          <w:sz w:val="22"/>
          <w:szCs w:val="22"/>
        </w:rPr>
        <w:t xml:space="preserve"> </w:t>
      </w:r>
      <w:r w:rsidRPr="00ED4D4B">
        <w:rPr>
          <w:rFonts w:asciiTheme="majorHAnsi" w:hAnsiTheme="majorHAnsi" w:cs="Arial"/>
          <w:sz w:val="22"/>
          <w:szCs w:val="22"/>
        </w:rPr>
        <w:t>These experiences contribute to both socio-economic marginalization and housing precarity for trans women and gender-diverse peoples, as well. Trans women in particular experience marginalization in social services and employment, as well as harassment and violence when they are on the streets. Across Canada, this population will avoid using emergency shelters due to a heightened risk of violence and discrimination or may be barred from shelter use altogether based on their gender identities.  For transgender people of colour, studies have shown that they are among the most discriminated against in the shelter system, often dealing with transphobia, homophobia, and racism simultaneously.</w:t>
      </w:r>
      <w:r w:rsidRPr="00ED4D4B">
        <w:rPr>
          <w:rStyle w:val="FootnoteReference"/>
          <w:rFonts w:asciiTheme="majorHAnsi" w:hAnsiTheme="majorHAnsi" w:cs="Arial"/>
          <w:sz w:val="22"/>
          <w:szCs w:val="22"/>
        </w:rPr>
        <w:footnoteReference w:id="31"/>
      </w:r>
      <w:r w:rsidRPr="00ED4D4B">
        <w:rPr>
          <w:rFonts w:asciiTheme="majorHAnsi" w:hAnsiTheme="majorHAnsi" w:cs="Arial"/>
          <w:sz w:val="22"/>
          <w:szCs w:val="22"/>
        </w:rPr>
        <w:t xml:space="preserve"> </w:t>
      </w:r>
    </w:p>
    <w:p w14:paraId="0D5E43E5" w14:textId="3DE97015" w:rsidR="14FCD005" w:rsidRPr="00ED4D4B" w:rsidRDefault="14FCD005" w:rsidP="14FCD005">
      <w:pPr>
        <w:rPr>
          <w:rFonts w:asciiTheme="majorHAnsi" w:hAnsiTheme="majorHAnsi" w:cs="Arial"/>
          <w:sz w:val="22"/>
          <w:szCs w:val="22"/>
        </w:rPr>
      </w:pPr>
      <w:r w:rsidRPr="00ED4D4B">
        <w:rPr>
          <w:rFonts w:asciiTheme="majorHAnsi" w:hAnsiTheme="majorHAnsi" w:cs="Arial"/>
          <w:sz w:val="22"/>
          <w:szCs w:val="22"/>
        </w:rPr>
        <w:t>To address these realities, Canada’s definition of homelessness must include how inequities and discrimination in public systems contribute to housing need for women, girls, and gender-diverse</w:t>
      </w:r>
      <w:r w:rsidR="767B39A9" w:rsidRPr="00ED4D4B">
        <w:rPr>
          <w:rFonts w:asciiTheme="majorHAnsi" w:hAnsiTheme="majorHAnsi" w:cs="Arial"/>
          <w:sz w:val="22"/>
          <w:szCs w:val="22"/>
        </w:rPr>
        <w:t xml:space="preserve"> people</w:t>
      </w:r>
      <w:r w:rsidRPr="00ED4D4B">
        <w:rPr>
          <w:rStyle w:val="FootnoteReference"/>
          <w:rFonts w:asciiTheme="majorHAnsi" w:hAnsiTheme="majorHAnsi" w:cs="Arial"/>
          <w:sz w:val="22"/>
          <w:szCs w:val="22"/>
        </w:rPr>
        <w:footnoteReference w:id="32"/>
      </w:r>
      <w:r w:rsidR="751B71CF" w:rsidRPr="00ED4D4B">
        <w:rPr>
          <w:rFonts w:asciiTheme="majorHAnsi" w:hAnsiTheme="majorHAnsi" w:cs="Arial"/>
          <w:sz w:val="22"/>
          <w:szCs w:val="22"/>
        </w:rPr>
        <w:t>.</w:t>
      </w:r>
      <w:r w:rsidRPr="00ED4D4B">
        <w:rPr>
          <w:rFonts w:asciiTheme="majorHAnsi" w:hAnsiTheme="majorHAnsi" w:cs="Arial"/>
          <w:sz w:val="22"/>
          <w:szCs w:val="22"/>
        </w:rPr>
        <w:t xml:space="preserve"> Yet most definitions fall short on covering the genocidal violence, intergenerational trauma, institutional betrayal, racism and discrimination, staggering levels of sexual violence and homicide, and criminalization that shape the experiences of homelessness of Indigenous women, girls, and gender-diverse peoples.</w:t>
      </w:r>
      <w:r w:rsidRPr="00ED4D4B">
        <w:rPr>
          <w:rStyle w:val="FootnoteReference"/>
          <w:rFonts w:asciiTheme="majorHAnsi" w:hAnsiTheme="majorHAnsi" w:cs="Arial"/>
          <w:sz w:val="22"/>
          <w:szCs w:val="22"/>
        </w:rPr>
        <w:footnoteReference w:id="33"/>
      </w:r>
    </w:p>
    <w:p w14:paraId="3A78ED5F" w14:textId="3829F775" w:rsidR="14FCD005" w:rsidRPr="00ED4D4B" w:rsidRDefault="14FCD005" w:rsidP="24A7EEC6">
      <w:pPr>
        <w:rPr>
          <w:rFonts w:asciiTheme="majorHAnsi" w:hAnsiTheme="majorHAnsi" w:cs="Arial"/>
          <w:sz w:val="22"/>
          <w:szCs w:val="22"/>
        </w:rPr>
      </w:pPr>
      <w:r w:rsidRPr="00ED4D4B">
        <w:rPr>
          <w:rFonts w:asciiTheme="majorHAnsi" w:hAnsiTheme="majorHAnsi" w:cs="Arial"/>
          <w:sz w:val="22"/>
          <w:szCs w:val="22"/>
        </w:rPr>
        <w:t>In 2022, the Women’s National Housing &amp; Homelessness Network</w:t>
      </w:r>
      <w:r w:rsidRPr="00ED4D4B">
        <w:rPr>
          <w:rStyle w:val="FootnoteReference"/>
          <w:rFonts w:asciiTheme="majorHAnsi" w:hAnsiTheme="majorHAnsi" w:cs="Arial"/>
          <w:sz w:val="22"/>
          <w:szCs w:val="22"/>
        </w:rPr>
        <w:footnoteReference w:id="34"/>
      </w:r>
      <w:r w:rsidRPr="00ED4D4B">
        <w:rPr>
          <w:rFonts w:asciiTheme="majorHAnsi" w:hAnsiTheme="majorHAnsi" w:cs="Arial"/>
          <w:sz w:val="22"/>
          <w:szCs w:val="22"/>
        </w:rPr>
        <w:t xml:space="preserve"> with its sister organization, the National Indigenous Women’s Housing Network</w:t>
      </w:r>
      <w:r w:rsidRPr="00ED4D4B">
        <w:rPr>
          <w:rStyle w:val="FootnoteReference"/>
          <w:rFonts w:asciiTheme="majorHAnsi" w:hAnsiTheme="majorHAnsi" w:cs="Arial"/>
          <w:sz w:val="22"/>
          <w:szCs w:val="22"/>
        </w:rPr>
        <w:footnoteReference w:id="35"/>
      </w:r>
      <w:r w:rsidRPr="00ED4D4B">
        <w:rPr>
          <w:rFonts w:asciiTheme="majorHAnsi" w:hAnsiTheme="majorHAnsi" w:cs="Arial"/>
          <w:sz w:val="22"/>
          <w:szCs w:val="22"/>
        </w:rPr>
        <w:t xml:space="preserve"> utilized the right to housing mechanisms mandated in </w:t>
      </w:r>
      <w:r w:rsidRPr="00ED4D4B">
        <w:rPr>
          <w:rFonts w:asciiTheme="majorHAnsi" w:hAnsiTheme="majorHAnsi" w:cs="Arial"/>
          <w:sz w:val="22"/>
          <w:szCs w:val="22"/>
        </w:rPr>
        <w:lastRenderedPageBreak/>
        <w:t>the NHSA by filing two Human Rights Claims with the Federal Housing Advocate</w:t>
      </w:r>
      <w:r w:rsidR="2E5309FD" w:rsidRPr="00ED4D4B">
        <w:rPr>
          <w:rFonts w:asciiTheme="majorHAnsi" w:hAnsiTheme="majorHAnsi" w:cs="Arial"/>
          <w:sz w:val="22"/>
          <w:szCs w:val="22"/>
        </w:rPr>
        <w:t xml:space="preserve">, </w:t>
      </w:r>
      <w:r w:rsidRPr="00ED4D4B">
        <w:rPr>
          <w:rFonts w:asciiTheme="majorHAnsi" w:hAnsiTheme="majorHAnsi" w:cs="Arial"/>
          <w:sz w:val="22"/>
          <w:szCs w:val="22"/>
        </w:rPr>
        <w:t>spotlight</w:t>
      </w:r>
      <w:r w:rsidR="40CE73E8" w:rsidRPr="00ED4D4B">
        <w:rPr>
          <w:rFonts w:asciiTheme="majorHAnsi" w:hAnsiTheme="majorHAnsi" w:cs="Arial"/>
          <w:sz w:val="22"/>
          <w:szCs w:val="22"/>
        </w:rPr>
        <w:t>ing</w:t>
      </w:r>
      <w:r w:rsidRPr="00ED4D4B">
        <w:rPr>
          <w:rFonts w:asciiTheme="majorHAnsi" w:hAnsiTheme="majorHAnsi" w:cs="Arial"/>
          <w:sz w:val="22"/>
          <w:szCs w:val="22"/>
        </w:rPr>
        <w:t xml:space="preserve"> violations of the right to housing experienced by marginalized women and gender-diverse people. </w:t>
      </w:r>
    </w:p>
    <w:p w14:paraId="54D90220" w14:textId="6ACFE82E" w:rsidR="14FCD005" w:rsidRPr="00ED4D4B" w:rsidRDefault="14FCD005">
      <w:pPr>
        <w:rPr>
          <w:rFonts w:asciiTheme="majorHAnsi" w:hAnsiTheme="majorHAnsi" w:cs="Arial"/>
          <w:sz w:val="22"/>
          <w:szCs w:val="22"/>
        </w:rPr>
      </w:pPr>
      <w:r w:rsidRPr="00ED4D4B">
        <w:rPr>
          <w:rFonts w:asciiTheme="majorHAnsi" w:hAnsiTheme="majorHAnsi" w:cs="Arial"/>
          <w:sz w:val="22"/>
          <w:szCs w:val="22"/>
        </w:rPr>
        <w:t xml:space="preserve">Over late 2024 and 2025, Neha received written and oral testimony from over 500 lived experts, advocates, researchers, grassroots groups, government bodies, and organizations from across Canada. </w:t>
      </w:r>
    </w:p>
    <w:p w14:paraId="095676DD" w14:textId="6916CE5B" w:rsidR="14FCD005" w:rsidRPr="00ED4D4B" w:rsidRDefault="14FCD005" w:rsidP="14FCD005">
      <w:pPr>
        <w:rPr>
          <w:rFonts w:asciiTheme="majorHAnsi" w:hAnsiTheme="majorHAnsi" w:cs="Arial"/>
          <w:sz w:val="22"/>
          <w:szCs w:val="22"/>
        </w:rPr>
      </w:pPr>
      <w:r w:rsidRPr="00ED4D4B">
        <w:rPr>
          <w:rFonts w:asciiTheme="majorHAnsi" w:hAnsiTheme="majorHAnsi" w:cs="Arial"/>
          <w:sz w:val="22"/>
          <w:szCs w:val="22"/>
        </w:rPr>
        <w:t>On November 25, 2025, the Neha Review Panel published their findings and recommendations. Neha found that federal housing strategies are not meeting the “specific and diverse” needs of women, Two-Spirit, Trans, and gender-diverse people. With no clear targets, timelines, or evaluation frameworks embedded in federal strategies, the housing system is perpetuating systemic discrimination, deepening income inequality, and is contributing to unsafe living conditions, barriers to escaping violence, family separation, and institutionalization.</w:t>
      </w:r>
      <w:r w:rsidRPr="00ED4D4B">
        <w:rPr>
          <w:rStyle w:val="FootnoteReference"/>
          <w:rFonts w:asciiTheme="majorHAnsi" w:hAnsiTheme="majorHAnsi" w:cs="Arial"/>
          <w:sz w:val="22"/>
          <w:szCs w:val="22"/>
        </w:rPr>
        <w:footnoteReference w:id="36"/>
      </w:r>
      <w:r w:rsidRPr="00ED4D4B">
        <w:rPr>
          <w:rStyle w:val="FootnoteReference"/>
          <w:rFonts w:asciiTheme="majorHAnsi" w:hAnsiTheme="majorHAnsi" w:cs="Arial"/>
          <w:sz w:val="22"/>
          <w:szCs w:val="22"/>
        </w:rPr>
        <w:t xml:space="preserve"> </w:t>
      </w:r>
      <w:r w:rsidRPr="00ED4D4B">
        <w:rPr>
          <w:rFonts w:asciiTheme="majorHAnsi" w:hAnsiTheme="majorHAnsi" w:cs="Arial"/>
          <w:sz w:val="22"/>
          <w:szCs w:val="22"/>
        </w:rPr>
        <w:t xml:space="preserve">In order to address it, the recommendations call for transformation within housing policies—from design, funding, and implementation—including eliminating discrimination in law, policy, and practice. Neha underscored in their findings that the right to housing must be grounded in the foundational principles of human rights, including, “Inalienability,” which reinforces that the right is protected against discrimination, poverty, or systemic exclusion. </w:t>
      </w:r>
    </w:p>
    <w:p w14:paraId="106C48DB" w14:textId="094B276B" w:rsidR="009649D9" w:rsidRDefault="14FCD005" w:rsidP="24A7EEC6">
      <w:pPr>
        <w:rPr>
          <w:rFonts w:asciiTheme="majorHAnsi" w:hAnsiTheme="majorHAnsi" w:cs="Arial"/>
          <w:sz w:val="22"/>
          <w:szCs w:val="22"/>
        </w:rPr>
      </w:pPr>
      <w:r w:rsidRPr="00ED4D4B">
        <w:rPr>
          <w:rFonts w:asciiTheme="majorHAnsi" w:hAnsiTheme="majorHAnsi" w:cs="Arial"/>
          <w:sz w:val="22"/>
          <w:szCs w:val="22"/>
        </w:rPr>
        <w:t>Despite clear international obligations and domestic human rights mechanisms, women, Two Spirit, trans, and gender-diverse people continue to be denied equal access to safe, adequate, and affordable housing, both within public systems and the private market. The Neha Review Panel’s findings make clear that incremental or piecemeal reforms are insufficient: what is required is a fundamental transformation of Canada’s housing system, grounded in human rights and Indigenous teachings, with clear targets, accountability, and enforceable protections against discrimination. Without decisive action to implement these recommendations, Canada will continue to perpetuate housing insecurity, violence, and exclusion for those whose right to housing has long been denied.</w:t>
      </w:r>
    </w:p>
    <w:p w14:paraId="5EE30183" w14:textId="77777777" w:rsidR="0096675E" w:rsidRDefault="0096675E" w:rsidP="24A7EEC6">
      <w:pPr>
        <w:rPr>
          <w:rFonts w:asciiTheme="majorHAnsi" w:hAnsiTheme="majorHAnsi" w:cs="Arial"/>
          <w:sz w:val="22"/>
          <w:szCs w:val="22"/>
        </w:rPr>
      </w:pPr>
    </w:p>
    <w:p w14:paraId="20D9F4E4" w14:textId="77777777" w:rsidR="0096675E" w:rsidRDefault="0096675E" w:rsidP="24A7EEC6">
      <w:pPr>
        <w:rPr>
          <w:rFonts w:asciiTheme="majorHAnsi" w:hAnsiTheme="majorHAnsi" w:cs="Arial"/>
          <w:sz w:val="22"/>
          <w:szCs w:val="22"/>
        </w:rPr>
      </w:pPr>
    </w:p>
    <w:p w14:paraId="5F6932F0" w14:textId="77777777" w:rsidR="004820F7" w:rsidRDefault="004820F7" w:rsidP="24A7EEC6">
      <w:pPr>
        <w:rPr>
          <w:rFonts w:asciiTheme="majorHAnsi" w:hAnsiTheme="majorHAnsi" w:cs="Arial"/>
          <w:sz w:val="22"/>
          <w:szCs w:val="22"/>
        </w:rPr>
      </w:pPr>
    </w:p>
    <w:p w14:paraId="1C29CF07" w14:textId="77777777" w:rsidR="004820F7" w:rsidRDefault="004820F7" w:rsidP="24A7EEC6">
      <w:pPr>
        <w:rPr>
          <w:rFonts w:asciiTheme="majorHAnsi" w:hAnsiTheme="majorHAnsi" w:cs="Arial"/>
          <w:sz w:val="22"/>
          <w:szCs w:val="22"/>
        </w:rPr>
      </w:pPr>
    </w:p>
    <w:p w14:paraId="680737E5" w14:textId="77777777" w:rsidR="004820F7" w:rsidRDefault="004820F7" w:rsidP="24A7EEC6">
      <w:pPr>
        <w:rPr>
          <w:rFonts w:asciiTheme="majorHAnsi" w:hAnsiTheme="majorHAnsi" w:cs="Arial"/>
          <w:sz w:val="22"/>
          <w:szCs w:val="22"/>
        </w:rPr>
      </w:pPr>
    </w:p>
    <w:p w14:paraId="0B1ED5CC" w14:textId="77777777" w:rsidR="004820F7" w:rsidRDefault="004820F7" w:rsidP="24A7EEC6">
      <w:pPr>
        <w:rPr>
          <w:rFonts w:asciiTheme="majorHAnsi" w:hAnsiTheme="majorHAnsi" w:cs="Arial"/>
          <w:sz w:val="22"/>
          <w:szCs w:val="22"/>
        </w:rPr>
      </w:pPr>
    </w:p>
    <w:p w14:paraId="30D35673" w14:textId="77777777" w:rsidR="0096675E" w:rsidRDefault="0096675E" w:rsidP="24A7EEC6">
      <w:pPr>
        <w:rPr>
          <w:rFonts w:asciiTheme="majorHAnsi" w:hAnsiTheme="majorHAnsi" w:cs="Arial"/>
          <w:sz w:val="22"/>
          <w:szCs w:val="22"/>
        </w:rPr>
      </w:pPr>
    </w:p>
    <w:p w14:paraId="6EFC2FD7" w14:textId="77777777" w:rsidR="0096675E" w:rsidRDefault="0096675E" w:rsidP="24A7EEC6">
      <w:pPr>
        <w:rPr>
          <w:rFonts w:asciiTheme="majorHAnsi" w:hAnsiTheme="majorHAnsi" w:cs="Arial"/>
          <w:sz w:val="22"/>
          <w:szCs w:val="22"/>
        </w:rPr>
      </w:pPr>
    </w:p>
    <w:p w14:paraId="12BB1C58" w14:textId="77777777" w:rsidR="0096675E" w:rsidRPr="00ED4D4B" w:rsidRDefault="0096675E" w:rsidP="24A7EEC6">
      <w:pPr>
        <w:rPr>
          <w:rFonts w:asciiTheme="majorHAnsi" w:hAnsiTheme="majorHAnsi" w:cs="Arial"/>
          <w:sz w:val="22"/>
          <w:szCs w:val="22"/>
        </w:rPr>
      </w:pPr>
    </w:p>
    <w:p w14:paraId="443196A3" w14:textId="6B587709" w:rsidR="00C475B5" w:rsidRPr="00ED4D4B" w:rsidRDefault="001D306D" w:rsidP="24A7EEC6">
      <w:pPr>
        <w:rPr>
          <w:rFonts w:asciiTheme="majorHAnsi" w:hAnsiTheme="majorHAnsi" w:cs="Arial"/>
          <w:sz w:val="22"/>
          <w:szCs w:val="22"/>
        </w:rPr>
      </w:pPr>
      <w:r>
        <w:rPr>
          <w:rFonts w:asciiTheme="majorHAnsi" w:hAnsiTheme="majorHAnsi" w:cs="Arial"/>
          <w:noProof/>
          <w:sz w:val="22"/>
          <w:szCs w:val="22"/>
        </w:rPr>
        <w:lastRenderedPageBreak/>
        <mc:AlternateContent>
          <mc:Choice Requires="wps">
            <w:drawing>
              <wp:anchor distT="0" distB="0" distL="114300" distR="114300" simplePos="0" relativeHeight="251658240" behindDoc="1" locked="0" layoutInCell="1" allowOverlap="1" wp14:anchorId="3BDB92AD" wp14:editId="65BCF54E">
                <wp:simplePos x="0" y="0"/>
                <wp:positionH relativeFrom="column">
                  <wp:posOffset>-228600</wp:posOffset>
                </wp:positionH>
                <wp:positionV relativeFrom="paragraph">
                  <wp:posOffset>28575</wp:posOffset>
                </wp:positionV>
                <wp:extent cx="6424863" cy="5962650"/>
                <wp:effectExtent l="19050" t="19050" r="33655" b="38100"/>
                <wp:wrapNone/>
                <wp:docPr id="324551990" name="Rectangle 3"/>
                <wp:cNvGraphicFramePr/>
                <a:graphic xmlns:a="http://schemas.openxmlformats.org/drawingml/2006/main">
                  <a:graphicData uri="http://schemas.microsoft.com/office/word/2010/wordprocessingShape">
                    <wps:wsp>
                      <wps:cNvSpPr/>
                      <wps:spPr>
                        <a:xfrm>
                          <a:off x="0" y="0"/>
                          <a:ext cx="6424863" cy="5962650"/>
                        </a:xfrm>
                        <a:prstGeom prst="rect">
                          <a:avLst/>
                        </a:prstGeom>
                        <a:noFill/>
                        <a:ln w="57150">
                          <a:solidFill>
                            <a:srgbClr val="F5C4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C4D1C" id="Rectangle 3" o:spid="_x0000_s1026" style="position:absolute;margin-left:-18pt;margin-top:2.25pt;width:505.9pt;height:46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" filled="f" strokecolor="#f5c400" strokeweight="4.5pt"/>
            </w:pict>
          </mc:Fallback>
        </mc:AlternateContent>
      </w:r>
    </w:p>
    <w:p w14:paraId="55679B61" w14:textId="4F72670E" w:rsidR="14FCD005" w:rsidRPr="00C84836" w:rsidRDefault="005C6AC5" w:rsidP="24A7EEC6">
      <w:pPr>
        <w:rPr>
          <w:rFonts w:asciiTheme="majorHAnsi" w:hAnsiTheme="majorHAnsi" w:cs="Arial"/>
          <w:b/>
          <w:color w:val="404040" w:themeColor="text1" w:themeTint="BF"/>
          <w:sz w:val="22"/>
          <w:szCs w:val="22"/>
        </w:rPr>
      </w:pPr>
      <w:r w:rsidRPr="00C84836">
        <w:rPr>
          <w:rFonts w:asciiTheme="majorHAnsi" w:hAnsiTheme="majorHAnsi" w:cs="Arial"/>
          <w:b/>
          <w:color w:val="404040" w:themeColor="text1" w:themeTint="BF"/>
          <w:sz w:val="22"/>
          <w:szCs w:val="22"/>
        </w:rPr>
        <w:t>RECOMMENDED QUESTIONS:</w:t>
      </w:r>
    </w:p>
    <w:p w14:paraId="5C766F97" w14:textId="0B378C27" w:rsidR="650FA9E4" w:rsidRPr="00C84836" w:rsidRDefault="650FA9E4" w:rsidP="423A1873">
      <w:pPr>
        <w:pStyle w:val="ListParagraph"/>
        <w:numPr>
          <w:ilvl w:val="0"/>
          <w:numId w:val="9"/>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 xml:space="preserve">Does Canada accept that Articles 2 and 26 require it to take </w:t>
      </w:r>
      <w:r w:rsidR="6FA46B48" w:rsidRPr="00C84836">
        <w:rPr>
          <w:rFonts w:asciiTheme="majorHAnsi" w:hAnsiTheme="majorHAnsi" w:cs="Arial"/>
          <w:color w:val="404040" w:themeColor="text1" w:themeTint="BF"/>
          <w:sz w:val="22"/>
          <w:szCs w:val="22"/>
        </w:rPr>
        <w:t xml:space="preserve">positive </w:t>
      </w:r>
      <w:r w:rsidRPr="00C84836">
        <w:rPr>
          <w:rFonts w:asciiTheme="majorHAnsi" w:hAnsiTheme="majorHAnsi" w:cs="Arial"/>
          <w:color w:val="404040" w:themeColor="text1" w:themeTint="BF"/>
          <w:sz w:val="22"/>
          <w:szCs w:val="22"/>
        </w:rPr>
        <w:t>measures to regulate housing markets and prevent discriminatory outcomes, including those arising from the financialization of rental housing?</w:t>
      </w:r>
      <w:r w:rsidR="00516763">
        <w:rPr>
          <w:rFonts w:asciiTheme="majorHAnsi" w:hAnsiTheme="majorHAnsi" w:cs="Arial"/>
          <w:color w:val="404040" w:themeColor="text1" w:themeTint="BF"/>
          <w:sz w:val="22"/>
          <w:szCs w:val="22"/>
        </w:rPr>
        <w:br/>
      </w:r>
    </w:p>
    <w:p w14:paraId="5084ACAC" w14:textId="6D086398" w:rsidR="650FA9E4" w:rsidRPr="00C84836" w:rsidRDefault="650FA9E4" w:rsidP="423A1873">
      <w:pPr>
        <w:pStyle w:val="ListParagraph"/>
        <w:numPr>
          <w:ilvl w:val="0"/>
          <w:numId w:val="9"/>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 xml:space="preserve">Please provide details of the formal implementation framework adopted to carry out the recommendations of the </w:t>
      </w:r>
      <w:r w:rsidR="1754FC3B" w:rsidRPr="00C84836">
        <w:rPr>
          <w:rFonts w:asciiTheme="majorHAnsi" w:hAnsiTheme="majorHAnsi" w:cs="Arial"/>
          <w:color w:val="404040" w:themeColor="text1" w:themeTint="BF"/>
          <w:sz w:val="22"/>
          <w:szCs w:val="22"/>
        </w:rPr>
        <w:t>f</w:t>
      </w:r>
      <w:r w:rsidRPr="00C84836">
        <w:rPr>
          <w:rFonts w:asciiTheme="majorHAnsi" w:hAnsiTheme="majorHAnsi" w:cs="Arial"/>
          <w:color w:val="404040" w:themeColor="text1" w:themeTint="BF"/>
          <w:sz w:val="22"/>
          <w:szCs w:val="22"/>
        </w:rPr>
        <w:t xml:space="preserve">inancialization review </w:t>
      </w:r>
      <w:r w:rsidR="41FD8A3A" w:rsidRPr="00C84836">
        <w:rPr>
          <w:rFonts w:asciiTheme="majorHAnsi" w:hAnsiTheme="majorHAnsi" w:cs="Arial"/>
          <w:color w:val="404040" w:themeColor="text1" w:themeTint="BF"/>
          <w:sz w:val="22"/>
          <w:szCs w:val="22"/>
        </w:rPr>
        <w:t>p</w:t>
      </w:r>
      <w:r w:rsidRPr="00C84836">
        <w:rPr>
          <w:rFonts w:asciiTheme="majorHAnsi" w:hAnsiTheme="majorHAnsi" w:cs="Arial"/>
          <w:color w:val="404040" w:themeColor="text1" w:themeTint="BF"/>
          <w:sz w:val="22"/>
          <w:szCs w:val="22"/>
        </w:rPr>
        <w:t xml:space="preserve">anel and the Neha </w:t>
      </w:r>
      <w:r w:rsidR="118F3657" w:rsidRPr="00C84836">
        <w:rPr>
          <w:rFonts w:asciiTheme="majorHAnsi" w:hAnsiTheme="majorHAnsi" w:cs="Arial"/>
          <w:color w:val="404040" w:themeColor="text1" w:themeTint="BF"/>
          <w:sz w:val="22"/>
          <w:szCs w:val="22"/>
        </w:rPr>
        <w:t>r</w:t>
      </w:r>
      <w:r w:rsidRPr="00C84836">
        <w:rPr>
          <w:rFonts w:asciiTheme="majorHAnsi" w:hAnsiTheme="majorHAnsi" w:cs="Arial"/>
          <w:color w:val="404040" w:themeColor="text1" w:themeTint="BF"/>
          <w:sz w:val="22"/>
          <w:szCs w:val="22"/>
        </w:rPr>
        <w:t xml:space="preserve">eview </w:t>
      </w:r>
      <w:r w:rsidR="4256A113" w:rsidRPr="00C84836">
        <w:rPr>
          <w:rFonts w:asciiTheme="majorHAnsi" w:hAnsiTheme="majorHAnsi" w:cs="Arial"/>
          <w:color w:val="404040" w:themeColor="text1" w:themeTint="BF"/>
          <w:sz w:val="22"/>
          <w:szCs w:val="22"/>
        </w:rPr>
        <w:t>p</w:t>
      </w:r>
      <w:r w:rsidRPr="00C84836">
        <w:rPr>
          <w:rFonts w:asciiTheme="majorHAnsi" w:hAnsiTheme="majorHAnsi" w:cs="Arial"/>
          <w:color w:val="404040" w:themeColor="text1" w:themeTint="BF"/>
          <w:sz w:val="22"/>
          <w:szCs w:val="22"/>
        </w:rPr>
        <w:t xml:space="preserve">anel, including </w:t>
      </w:r>
      <w:r w:rsidR="12868709" w:rsidRPr="00C84836">
        <w:rPr>
          <w:rFonts w:asciiTheme="majorHAnsi" w:hAnsiTheme="majorHAnsi" w:cs="Arial"/>
          <w:color w:val="404040" w:themeColor="text1" w:themeTint="BF"/>
          <w:sz w:val="22"/>
          <w:szCs w:val="22"/>
        </w:rPr>
        <w:t xml:space="preserve">concrete goals, </w:t>
      </w:r>
      <w:r w:rsidRPr="00C84836">
        <w:rPr>
          <w:rFonts w:asciiTheme="majorHAnsi" w:hAnsiTheme="majorHAnsi" w:cs="Arial"/>
          <w:color w:val="404040" w:themeColor="text1" w:themeTint="BF"/>
          <w:sz w:val="22"/>
          <w:szCs w:val="22"/>
        </w:rPr>
        <w:t>timelines, reporting obligations, and accountability mechanisms.</w:t>
      </w:r>
      <w:r w:rsidR="00516763">
        <w:rPr>
          <w:rFonts w:asciiTheme="majorHAnsi" w:hAnsiTheme="majorHAnsi" w:cs="Arial"/>
          <w:color w:val="404040" w:themeColor="text1" w:themeTint="BF"/>
          <w:sz w:val="22"/>
          <w:szCs w:val="22"/>
        </w:rPr>
        <w:br/>
      </w:r>
    </w:p>
    <w:p w14:paraId="50586724" w14:textId="067D4366" w:rsidR="24A7EEC6" w:rsidRPr="00C84836" w:rsidRDefault="7500F486" w:rsidP="423A1873">
      <w:pPr>
        <w:pStyle w:val="ListParagraph"/>
        <w:numPr>
          <w:ilvl w:val="0"/>
          <w:numId w:val="9"/>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Does Canada accept</w:t>
      </w:r>
      <w:r w:rsidR="54522E13" w:rsidRPr="00C84836">
        <w:rPr>
          <w:rFonts w:asciiTheme="majorHAnsi" w:hAnsiTheme="majorHAnsi" w:cs="Arial"/>
          <w:color w:val="404040" w:themeColor="text1" w:themeTint="BF"/>
          <w:sz w:val="22"/>
          <w:szCs w:val="22"/>
        </w:rPr>
        <w:t xml:space="preserve"> discrimination on the basis of homelessness or housing status as a prohibited ground of discrimination, and as a form of systemic discrimination in housing policy?</w:t>
      </w:r>
    </w:p>
    <w:p w14:paraId="35B83AD1" w14:textId="77777777" w:rsidR="005C6AC5" w:rsidRDefault="005C6AC5" w:rsidP="24A7EEC6">
      <w:pPr>
        <w:rPr>
          <w:rFonts w:asciiTheme="majorHAnsi" w:hAnsiTheme="majorHAnsi" w:cs="Arial"/>
          <w:b/>
          <w:color w:val="404040" w:themeColor="text1" w:themeTint="BF"/>
          <w:sz w:val="22"/>
          <w:szCs w:val="22"/>
        </w:rPr>
      </w:pPr>
    </w:p>
    <w:p w14:paraId="1DFA67CA" w14:textId="332F395C" w:rsidR="00F1736F" w:rsidRPr="00C84836" w:rsidRDefault="005C6AC5" w:rsidP="24A7EEC6">
      <w:pPr>
        <w:rPr>
          <w:rFonts w:asciiTheme="majorHAnsi" w:hAnsiTheme="majorHAnsi" w:cs="Arial"/>
          <w:b/>
          <w:color w:val="404040" w:themeColor="text1" w:themeTint="BF"/>
          <w:sz w:val="22"/>
          <w:szCs w:val="22"/>
        </w:rPr>
      </w:pPr>
      <w:r w:rsidRPr="00C84836">
        <w:rPr>
          <w:rFonts w:asciiTheme="majorHAnsi" w:hAnsiTheme="majorHAnsi" w:cs="Arial"/>
          <w:b/>
          <w:color w:val="404040" w:themeColor="text1" w:themeTint="BF"/>
          <w:sz w:val="22"/>
          <w:szCs w:val="22"/>
        </w:rPr>
        <w:t>RECOMMENDATIONS:</w:t>
      </w:r>
    </w:p>
    <w:p w14:paraId="2F054683" w14:textId="49A098CD" w:rsidR="00F1736F" w:rsidRPr="00C84836" w:rsidRDefault="6738F740" w:rsidP="00F1736F">
      <w:pPr>
        <w:pStyle w:val="ListParagraph"/>
        <w:numPr>
          <w:ilvl w:val="0"/>
          <w:numId w:val="1"/>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 xml:space="preserve">Canada </w:t>
      </w:r>
      <w:r w:rsidR="00C475B5" w:rsidRPr="00C84836">
        <w:rPr>
          <w:rFonts w:asciiTheme="majorHAnsi" w:hAnsiTheme="majorHAnsi" w:cs="Arial"/>
          <w:color w:val="404040" w:themeColor="text1" w:themeTint="BF"/>
          <w:sz w:val="22"/>
          <w:szCs w:val="22"/>
        </w:rPr>
        <w:t>adopts</w:t>
      </w:r>
      <w:r w:rsidRPr="00C84836">
        <w:rPr>
          <w:rFonts w:asciiTheme="majorHAnsi" w:hAnsiTheme="majorHAnsi" w:cs="Arial"/>
          <w:color w:val="404040" w:themeColor="text1" w:themeTint="BF"/>
          <w:sz w:val="22"/>
          <w:szCs w:val="22"/>
        </w:rPr>
        <w:t xml:space="preserve"> binding measures to regulate financialized housing actors and prevent discriminatory housing outcomes, including through rent and vacancy control, strengthened tenant protections, and safeguards against displacement, as </w:t>
      </w:r>
      <w:r w:rsidR="2A69C3FD" w:rsidRPr="00C84836">
        <w:rPr>
          <w:rFonts w:asciiTheme="majorHAnsi" w:hAnsiTheme="majorHAnsi" w:cs="Arial"/>
          <w:color w:val="404040" w:themeColor="text1" w:themeTint="BF"/>
          <w:sz w:val="22"/>
          <w:szCs w:val="22"/>
        </w:rPr>
        <w:t>required under Article 26.</w:t>
      </w:r>
      <w:r w:rsidR="00516763">
        <w:rPr>
          <w:rFonts w:asciiTheme="majorHAnsi" w:hAnsiTheme="majorHAnsi" w:cs="Arial"/>
          <w:color w:val="404040" w:themeColor="text1" w:themeTint="BF"/>
          <w:sz w:val="22"/>
          <w:szCs w:val="22"/>
        </w:rPr>
        <w:br/>
      </w:r>
    </w:p>
    <w:p w14:paraId="5451A24C" w14:textId="3112C298" w:rsidR="00F1736F" w:rsidRPr="00C84836" w:rsidRDefault="73D008A8" w:rsidP="00F1736F">
      <w:pPr>
        <w:pStyle w:val="ListParagraph"/>
        <w:numPr>
          <w:ilvl w:val="0"/>
          <w:numId w:val="1"/>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Canada</w:t>
      </w:r>
      <w:r w:rsidR="110C3526" w:rsidRPr="00C84836">
        <w:rPr>
          <w:rFonts w:asciiTheme="majorHAnsi" w:hAnsiTheme="majorHAnsi" w:cs="Arial"/>
          <w:color w:val="404040" w:themeColor="text1" w:themeTint="BF"/>
          <w:sz w:val="22"/>
          <w:szCs w:val="22"/>
        </w:rPr>
        <w:t xml:space="preserve"> must</w:t>
      </w:r>
      <w:r w:rsidRPr="00C84836">
        <w:rPr>
          <w:rFonts w:asciiTheme="majorHAnsi" w:hAnsiTheme="majorHAnsi" w:cs="Arial"/>
          <w:color w:val="404040" w:themeColor="text1" w:themeTint="BF"/>
          <w:sz w:val="22"/>
          <w:szCs w:val="22"/>
        </w:rPr>
        <w:t xml:space="preserve"> establish measurable goals, targets, and timelines to implement </w:t>
      </w:r>
      <w:r w:rsidR="75D6B0AF" w:rsidRPr="00C84836">
        <w:rPr>
          <w:rFonts w:asciiTheme="majorHAnsi" w:hAnsiTheme="majorHAnsi" w:cs="Arial"/>
          <w:color w:val="404040" w:themeColor="text1" w:themeTint="BF"/>
          <w:sz w:val="22"/>
          <w:szCs w:val="22"/>
        </w:rPr>
        <w:t xml:space="preserve">the recommendations from the review panel on financialization and the Neha review panel, in order to monitor and remedy discriminatory housing outcomes, in accordance with Articles 2 and 26. </w:t>
      </w:r>
      <w:r w:rsidR="00516763">
        <w:rPr>
          <w:rFonts w:asciiTheme="majorHAnsi" w:hAnsiTheme="majorHAnsi" w:cs="Arial"/>
          <w:color w:val="404040" w:themeColor="text1" w:themeTint="BF"/>
          <w:sz w:val="22"/>
          <w:szCs w:val="22"/>
        </w:rPr>
        <w:br/>
      </w:r>
    </w:p>
    <w:p w14:paraId="6A2A4EAF" w14:textId="7D2F36CB" w:rsidR="00646134" w:rsidRDefault="2D2040B3" w:rsidP="00C75B55">
      <w:pPr>
        <w:pStyle w:val="ListParagraph"/>
        <w:numPr>
          <w:ilvl w:val="0"/>
          <w:numId w:val="1"/>
        </w:numPr>
        <w:rPr>
          <w:rFonts w:asciiTheme="majorHAnsi" w:hAnsiTheme="majorHAnsi" w:cs="Arial"/>
          <w:color w:val="404040" w:themeColor="text1" w:themeTint="BF"/>
          <w:sz w:val="22"/>
          <w:szCs w:val="22"/>
        </w:rPr>
      </w:pPr>
      <w:r w:rsidRPr="00C84836">
        <w:rPr>
          <w:rFonts w:asciiTheme="majorHAnsi" w:hAnsiTheme="majorHAnsi" w:cs="Arial"/>
          <w:color w:val="404040" w:themeColor="text1" w:themeTint="BF"/>
          <w:sz w:val="22"/>
          <w:szCs w:val="22"/>
        </w:rPr>
        <w:t>Canada must recognize d</w:t>
      </w:r>
      <w:r w:rsidR="669D7D59" w:rsidRPr="00C84836">
        <w:rPr>
          <w:rFonts w:asciiTheme="majorHAnsi" w:hAnsiTheme="majorHAnsi" w:cs="Arial"/>
          <w:color w:val="404040" w:themeColor="text1" w:themeTint="BF"/>
          <w:sz w:val="22"/>
          <w:szCs w:val="22"/>
        </w:rPr>
        <w:t>iscrimination on the ground of homelessness and housing status as a prohibited ground of discrimination and systemic discrimination in housing policy and practice</w:t>
      </w:r>
      <w:r w:rsidR="39B159A1" w:rsidRPr="00C84836">
        <w:rPr>
          <w:rFonts w:asciiTheme="majorHAnsi" w:hAnsiTheme="majorHAnsi" w:cs="Arial"/>
          <w:color w:val="404040" w:themeColor="text1" w:themeTint="BF"/>
          <w:sz w:val="22"/>
          <w:szCs w:val="22"/>
        </w:rPr>
        <w:t>,</w:t>
      </w:r>
      <w:r w:rsidR="669D7D59" w:rsidRPr="00C84836">
        <w:rPr>
          <w:rFonts w:asciiTheme="majorHAnsi" w:hAnsiTheme="majorHAnsi" w:cs="Arial"/>
          <w:color w:val="404040" w:themeColor="text1" w:themeTint="BF"/>
          <w:sz w:val="22"/>
          <w:szCs w:val="22"/>
        </w:rPr>
        <w:t xml:space="preserve"> includ</w:t>
      </w:r>
      <w:r w:rsidR="120DC627" w:rsidRPr="00C84836">
        <w:rPr>
          <w:rFonts w:asciiTheme="majorHAnsi" w:hAnsiTheme="majorHAnsi" w:cs="Arial"/>
          <w:color w:val="404040" w:themeColor="text1" w:themeTint="BF"/>
          <w:sz w:val="22"/>
          <w:szCs w:val="22"/>
        </w:rPr>
        <w:t>ing</w:t>
      </w:r>
      <w:r w:rsidR="669D7D59" w:rsidRPr="00C84836">
        <w:rPr>
          <w:rFonts w:asciiTheme="majorHAnsi" w:hAnsiTheme="majorHAnsi" w:cs="Arial"/>
          <w:color w:val="404040" w:themeColor="text1" w:themeTint="BF"/>
          <w:sz w:val="22"/>
          <w:szCs w:val="22"/>
        </w:rPr>
        <w:t xml:space="preserve"> the displacement of disadvantaged groups from their communities and neighbourhoods through the financialization of housing</w:t>
      </w:r>
      <w:r w:rsidR="06640024" w:rsidRPr="00C84836">
        <w:rPr>
          <w:rFonts w:asciiTheme="majorHAnsi" w:hAnsiTheme="majorHAnsi" w:cs="Arial"/>
          <w:color w:val="404040" w:themeColor="text1" w:themeTint="BF"/>
          <w:sz w:val="22"/>
          <w:szCs w:val="22"/>
        </w:rPr>
        <w:t>.</w:t>
      </w:r>
    </w:p>
    <w:p w14:paraId="4025211B" w14:textId="77777777" w:rsidR="00FE24C1" w:rsidRDefault="00FE24C1" w:rsidP="00FE24C1">
      <w:pPr>
        <w:rPr>
          <w:rFonts w:asciiTheme="majorHAnsi" w:hAnsiTheme="majorHAnsi" w:cs="Arial"/>
          <w:color w:val="404040" w:themeColor="text1" w:themeTint="BF"/>
          <w:sz w:val="22"/>
          <w:szCs w:val="22"/>
        </w:rPr>
      </w:pPr>
    </w:p>
    <w:p w14:paraId="0D51BB51" w14:textId="77777777" w:rsidR="00FE24C1" w:rsidRDefault="00FE24C1" w:rsidP="00FE24C1">
      <w:pPr>
        <w:rPr>
          <w:rFonts w:asciiTheme="majorHAnsi" w:hAnsiTheme="majorHAnsi" w:cs="Arial"/>
          <w:color w:val="404040" w:themeColor="text1" w:themeTint="BF"/>
          <w:sz w:val="22"/>
          <w:szCs w:val="22"/>
        </w:rPr>
      </w:pPr>
    </w:p>
    <w:p w14:paraId="7575F21A" w14:textId="77777777" w:rsidR="00FE24C1" w:rsidRDefault="00FE24C1" w:rsidP="00FE24C1">
      <w:pPr>
        <w:rPr>
          <w:rFonts w:asciiTheme="majorHAnsi" w:hAnsiTheme="majorHAnsi" w:cs="Arial"/>
          <w:color w:val="404040" w:themeColor="text1" w:themeTint="BF"/>
          <w:sz w:val="22"/>
          <w:szCs w:val="22"/>
        </w:rPr>
      </w:pPr>
    </w:p>
    <w:p w14:paraId="4D4CA7E5" w14:textId="77777777" w:rsidR="00FE24C1" w:rsidRDefault="00FE24C1" w:rsidP="00FE24C1">
      <w:pPr>
        <w:rPr>
          <w:rFonts w:asciiTheme="majorHAnsi" w:hAnsiTheme="majorHAnsi" w:cs="Arial"/>
          <w:color w:val="404040" w:themeColor="text1" w:themeTint="BF"/>
          <w:sz w:val="22"/>
          <w:szCs w:val="22"/>
        </w:rPr>
      </w:pPr>
    </w:p>
    <w:p w14:paraId="601D7F45" w14:textId="77777777" w:rsidR="00FE24C1" w:rsidRDefault="00FE24C1" w:rsidP="00FE24C1">
      <w:pPr>
        <w:rPr>
          <w:rFonts w:asciiTheme="majorHAnsi" w:hAnsiTheme="majorHAnsi" w:cs="Arial"/>
          <w:color w:val="404040" w:themeColor="text1" w:themeTint="BF"/>
          <w:sz w:val="22"/>
          <w:szCs w:val="22"/>
        </w:rPr>
      </w:pPr>
    </w:p>
    <w:p w14:paraId="6676311C" w14:textId="77777777" w:rsidR="00FE24C1" w:rsidRDefault="00FE24C1" w:rsidP="00FE24C1">
      <w:pPr>
        <w:rPr>
          <w:rFonts w:asciiTheme="majorHAnsi" w:hAnsiTheme="majorHAnsi" w:cs="Arial"/>
          <w:color w:val="404040" w:themeColor="text1" w:themeTint="BF"/>
          <w:sz w:val="22"/>
          <w:szCs w:val="22"/>
        </w:rPr>
      </w:pPr>
    </w:p>
    <w:p w14:paraId="3F4A53DF" w14:textId="77777777" w:rsidR="00FE24C1" w:rsidRDefault="00FE24C1" w:rsidP="00FE24C1">
      <w:pPr>
        <w:rPr>
          <w:rFonts w:asciiTheme="majorHAnsi" w:hAnsiTheme="majorHAnsi" w:cs="Arial"/>
          <w:color w:val="404040" w:themeColor="text1" w:themeTint="BF"/>
          <w:sz w:val="22"/>
          <w:szCs w:val="22"/>
        </w:rPr>
      </w:pPr>
    </w:p>
    <w:p w14:paraId="53EA9C12" w14:textId="77777777" w:rsidR="00FE24C1" w:rsidRDefault="00FE24C1" w:rsidP="00FE24C1">
      <w:pPr>
        <w:rPr>
          <w:rFonts w:asciiTheme="majorHAnsi" w:hAnsiTheme="majorHAnsi" w:cs="Arial"/>
          <w:color w:val="404040" w:themeColor="text1" w:themeTint="BF"/>
          <w:sz w:val="22"/>
          <w:szCs w:val="22"/>
        </w:rPr>
      </w:pPr>
    </w:p>
    <w:p w14:paraId="19407A8B" w14:textId="0674C554" w:rsidR="00FE24C1" w:rsidRDefault="00FE24C1" w:rsidP="005C6AC5">
      <w:pPr>
        <w:pStyle w:val="Heading1"/>
        <w:rPr>
          <w:b/>
          <w:color w:val="262626" w:themeColor="text1" w:themeTint="D9"/>
        </w:rPr>
      </w:pPr>
      <w:bookmarkStart w:id="10" w:name="_Toc220665477"/>
      <w:r w:rsidRPr="00FE24C1">
        <w:rPr>
          <w:b/>
          <w:color w:val="262626" w:themeColor="text1" w:themeTint="D9"/>
        </w:rPr>
        <w:lastRenderedPageBreak/>
        <w:t>Endorsements</w:t>
      </w:r>
      <w:bookmarkEnd w:id="10"/>
    </w:p>
    <w:p w14:paraId="53580493" w14:textId="72B46DF7" w:rsidR="005C6AC5" w:rsidRPr="005C6AC5" w:rsidRDefault="005C6AC5" w:rsidP="005C6AC5">
      <w:r w:rsidRPr="005D079E">
        <w:rPr>
          <w:noProof/>
          <w:color w:val="FFC000"/>
        </w:rPr>
        <mc:AlternateContent>
          <mc:Choice Requires="wps">
            <w:drawing>
              <wp:anchor distT="0" distB="0" distL="114300" distR="114300" simplePos="0" relativeHeight="251672582" behindDoc="0" locked="0" layoutInCell="1" allowOverlap="1" wp14:anchorId="0EEB9285" wp14:editId="7E60C078">
                <wp:simplePos x="0" y="0"/>
                <wp:positionH relativeFrom="column">
                  <wp:posOffset>0</wp:posOffset>
                </wp:positionH>
                <wp:positionV relativeFrom="paragraph">
                  <wp:posOffset>-635</wp:posOffset>
                </wp:positionV>
                <wp:extent cx="5695950" cy="0"/>
                <wp:effectExtent l="0" t="0" r="0" b="0"/>
                <wp:wrapNone/>
                <wp:docPr id="866903791" name="Straight Connector 10"/>
                <wp:cNvGraphicFramePr/>
                <a:graphic xmlns:a="http://schemas.openxmlformats.org/drawingml/2006/main">
                  <a:graphicData uri="http://schemas.microsoft.com/office/word/2010/wordprocessingShape">
                    <wps:wsp>
                      <wps:cNvCnPr/>
                      <wps:spPr>
                        <a:xfrm>
                          <a:off x="0" y="0"/>
                          <a:ext cx="5695950" cy="0"/>
                        </a:xfrm>
                        <a:prstGeom prst="line">
                          <a:avLst/>
                        </a:prstGeom>
                        <a:ln>
                          <a:solidFill>
                            <a:srgbClr val="FFC000"/>
                          </a:solidFill>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2F00BB5D" id="Straight Connector 10" o:spid="_x0000_s1026" style="position:absolute;z-index:251672582;visibility:visible;mso-wrap-style:square;mso-wrap-distance-left:9pt;mso-wrap-distance-top:0;mso-wrap-distance-right:9pt;mso-wrap-distance-bottom:0;mso-position-horizontal:absolute;mso-position-horizontal-relative:text;mso-position-vertical:absolute;mso-position-vertical-relative:text" from="0,-.05pt" to="44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" strokecolor="#ffc000" strokeweight="1.5pt">
                <v:stroke joinstyle="miter"/>
              </v:line>
            </w:pict>
          </mc:Fallback>
        </mc:AlternateContent>
      </w:r>
    </w:p>
    <w:tbl>
      <w:tblPr>
        <w:tblStyle w:val="TableGrid"/>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3681"/>
      </w:tblGrid>
      <w:tr w:rsidR="00CC5362" w14:paraId="7F8E2804" w14:textId="77777777" w:rsidTr="00CC5362">
        <w:tc>
          <w:tcPr>
            <w:tcW w:w="6379" w:type="dxa"/>
          </w:tcPr>
          <w:p w14:paraId="4D4002A3" w14:textId="18B7271B" w:rsidR="00CC5362" w:rsidRDefault="00CC5362" w:rsidP="00CC5362">
            <w:pPr>
              <w:spacing w:line="276" w:lineRule="auto"/>
              <w:rPr>
                <w:b/>
                <w:bCs/>
              </w:rPr>
            </w:pPr>
            <w:r w:rsidRPr="004D1452">
              <w:rPr>
                <w:b/>
                <w:bCs/>
              </w:rPr>
              <w:t>Organizations</w:t>
            </w:r>
          </w:p>
          <w:p w14:paraId="2408F0BD" w14:textId="77777777" w:rsidR="00CC5362" w:rsidRPr="004D1452" w:rsidRDefault="00CC5362" w:rsidP="00CC5362">
            <w:pPr>
              <w:spacing w:line="276" w:lineRule="auto"/>
              <w:rPr>
                <w:b/>
                <w:bCs/>
              </w:rPr>
            </w:pPr>
          </w:p>
          <w:p w14:paraId="2BB20D6B" w14:textId="77777777" w:rsidR="00CC5362" w:rsidRPr="00CC5362" w:rsidRDefault="00CC5362" w:rsidP="00CC5362">
            <w:pPr>
              <w:spacing w:line="360" w:lineRule="auto"/>
              <w:rPr>
                <w:rFonts w:asciiTheme="majorHAnsi" w:hAnsiTheme="majorHAnsi"/>
              </w:rPr>
            </w:pPr>
            <w:r w:rsidRPr="00CC5362">
              <w:rPr>
                <w:rFonts w:asciiTheme="majorHAnsi" w:hAnsiTheme="majorHAnsi"/>
              </w:rPr>
              <w:t>Abortion Rights Coalition of Canada</w:t>
            </w:r>
          </w:p>
          <w:p w14:paraId="68B9926B" w14:textId="77777777" w:rsidR="00CC5362" w:rsidRPr="00CC5362" w:rsidRDefault="00CC5362" w:rsidP="00CC5362">
            <w:pPr>
              <w:spacing w:line="360" w:lineRule="auto"/>
              <w:rPr>
                <w:rFonts w:asciiTheme="majorHAnsi" w:hAnsiTheme="majorHAnsi"/>
              </w:rPr>
            </w:pPr>
            <w:r w:rsidRPr="00CC5362">
              <w:rPr>
                <w:rFonts w:asciiTheme="majorHAnsi" w:hAnsiTheme="majorHAnsi"/>
              </w:rPr>
              <w:t>Advocacy Centre for Tenants Ontario (ACTO)</w:t>
            </w:r>
          </w:p>
          <w:p w14:paraId="3232F6D4" w14:textId="77777777" w:rsidR="00CC5362" w:rsidRPr="00CC5362" w:rsidRDefault="00CC5362" w:rsidP="00CC5362">
            <w:pPr>
              <w:spacing w:line="360" w:lineRule="auto"/>
              <w:rPr>
                <w:rFonts w:asciiTheme="majorHAnsi" w:hAnsiTheme="majorHAnsi"/>
              </w:rPr>
            </w:pPr>
            <w:r w:rsidRPr="00CC5362">
              <w:rPr>
                <w:rFonts w:asciiTheme="majorHAnsi" w:hAnsiTheme="majorHAnsi"/>
              </w:rPr>
              <w:t>BC Poverty Reduction Coalition</w:t>
            </w:r>
          </w:p>
          <w:p w14:paraId="74954F7A" w14:textId="6B3D4679" w:rsidR="00064BDA" w:rsidRDefault="00064BDA" w:rsidP="00CC5362">
            <w:pPr>
              <w:spacing w:line="360" w:lineRule="auto"/>
              <w:rPr>
                <w:rFonts w:asciiTheme="majorHAnsi" w:hAnsiTheme="majorHAnsi"/>
              </w:rPr>
            </w:pPr>
            <w:r>
              <w:rPr>
                <w:rFonts w:asciiTheme="majorHAnsi" w:hAnsiTheme="majorHAnsi"/>
              </w:rPr>
              <w:t>Canadian Alliance to End Homelessness (CAEH)</w:t>
            </w:r>
          </w:p>
          <w:p w14:paraId="6833E254" w14:textId="5FEBCFF2" w:rsidR="00CC5362" w:rsidRPr="00CC5362" w:rsidRDefault="00CC5362" w:rsidP="00CC5362">
            <w:pPr>
              <w:spacing w:line="360" w:lineRule="auto"/>
              <w:rPr>
                <w:rFonts w:asciiTheme="majorHAnsi" w:hAnsiTheme="majorHAnsi"/>
              </w:rPr>
            </w:pPr>
            <w:r w:rsidRPr="00CC5362">
              <w:rPr>
                <w:rFonts w:asciiTheme="majorHAnsi" w:hAnsiTheme="majorHAnsi"/>
              </w:rPr>
              <w:t>Canadian Center for Women Empowerment (CCFWE)</w:t>
            </w:r>
          </w:p>
          <w:p w14:paraId="297E9D03" w14:textId="77777777" w:rsidR="00CC5362" w:rsidRPr="00CC5362" w:rsidRDefault="00CC5362" w:rsidP="00CC5362">
            <w:pPr>
              <w:spacing w:line="360" w:lineRule="auto"/>
              <w:rPr>
                <w:rFonts w:asciiTheme="majorHAnsi" w:hAnsiTheme="majorHAnsi"/>
              </w:rPr>
            </w:pPr>
            <w:r w:rsidRPr="00CC5362">
              <w:rPr>
                <w:rFonts w:asciiTheme="majorHAnsi" w:hAnsiTheme="majorHAnsi"/>
              </w:rPr>
              <w:t>Canadian Lived Experience Leadership Network</w:t>
            </w:r>
          </w:p>
          <w:p w14:paraId="795A5686" w14:textId="77777777" w:rsidR="00CC5362" w:rsidRPr="00CC5362" w:rsidRDefault="00CC5362" w:rsidP="00CC5362">
            <w:pPr>
              <w:spacing w:line="360" w:lineRule="auto"/>
              <w:rPr>
                <w:rFonts w:asciiTheme="majorHAnsi" w:hAnsiTheme="majorHAnsi"/>
              </w:rPr>
            </w:pPr>
            <w:r w:rsidRPr="00CC5362">
              <w:rPr>
                <w:rFonts w:asciiTheme="majorHAnsi" w:hAnsiTheme="majorHAnsi"/>
              </w:rPr>
              <w:t>Canadian Union of Public Employees (CUPE)</w:t>
            </w:r>
          </w:p>
          <w:p w14:paraId="19B65C1A" w14:textId="77777777" w:rsidR="00CC5362" w:rsidRPr="00CC5362" w:rsidRDefault="00CC5362" w:rsidP="00CC5362">
            <w:pPr>
              <w:spacing w:line="360" w:lineRule="auto"/>
              <w:rPr>
                <w:rFonts w:asciiTheme="majorHAnsi" w:hAnsiTheme="majorHAnsi"/>
              </w:rPr>
            </w:pPr>
            <w:r w:rsidRPr="00CC5362">
              <w:rPr>
                <w:rFonts w:asciiTheme="majorHAnsi" w:hAnsiTheme="majorHAnsi"/>
              </w:rPr>
              <w:t>Disability Without Poverty</w:t>
            </w:r>
          </w:p>
          <w:p w14:paraId="03F80A05" w14:textId="77777777" w:rsidR="00CC5362" w:rsidRPr="00CC5362" w:rsidRDefault="00CC5362" w:rsidP="00CC5362">
            <w:pPr>
              <w:spacing w:line="360" w:lineRule="auto"/>
              <w:rPr>
                <w:rFonts w:asciiTheme="majorHAnsi" w:hAnsiTheme="majorHAnsi"/>
              </w:rPr>
            </w:pPr>
            <w:proofErr w:type="spellStart"/>
            <w:r w:rsidRPr="00CC5362">
              <w:rPr>
                <w:rFonts w:asciiTheme="majorHAnsi" w:hAnsiTheme="majorHAnsi"/>
              </w:rPr>
              <w:t>EFry</w:t>
            </w:r>
            <w:proofErr w:type="spellEnd"/>
            <w:r w:rsidRPr="00CC5362">
              <w:rPr>
                <w:rFonts w:asciiTheme="majorHAnsi" w:hAnsiTheme="majorHAnsi"/>
              </w:rPr>
              <w:t xml:space="preserve"> Hope and Help for Women</w:t>
            </w:r>
          </w:p>
          <w:p w14:paraId="5DA51A9C" w14:textId="77777777" w:rsidR="00CC5362" w:rsidRPr="00CC5362" w:rsidRDefault="00CC5362" w:rsidP="00CC5362">
            <w:pPr>
              <w:spacing w:line="360" w:lineRule="auto"/>
              <w:rPr>
                <w:rFonts w:asciiTheme="majorHAnsi" w:hAnsiTheme="majorHAnsi"/>
              </w:rPr>
            </w:pPr>
            <w:r w:rsidRPr="00CC5362">
              <w:rPr>
                <w:rFonts w:asciiTheme="majorHAnsi" w:hAnsiTheme="majorHAnsi"/>
              </w:rPr>
              <w:t>HIV Legal Network</w:t>
            </w:r>
          </w:p>
          <w:p w14:paraId="21FAC6BD" w14:textId="77777777" w:rsidR="00CC5362" w:rsidRPr="00CC5362" w:rsidRDefault="00CC5362" w:rsidP="00CC5362">
            <w:pPr>
              <w:spacing w:line="360" w:lineRule="auto"/>
              <w:rPr>
                <w:rFonts w:asciiTheme="majorHAnsi" w:hAnsiTheme="majorHAnsi"/>
              </w:rPr>
            </w:pPr>
            <w:r w:rsidRPr="00CC5362">
              <w:rPr>
                <w:rFonts w:asciiTheme="majorHAnsi" w:hAnsiTheme="majorHAnsi"/>
              </w:rPr>
              <w:t>Huronia Transition Homes</w:t>
            </w:r>
          </w:p>
          <w:p w14:paraId="2CA70200" w14:textId="77777777" w:rsidR="00CC5362" w:rsidRPr="00CC5362" w:rsidRDefault="00CC5362" w:rsidP="00CC5362">
            <w:pPr>
              <w:spacing w:line="360" w:lineRule="auto"/>
              <w:rPr>
                <w:rFonts w:asciiTheme="majorHAnsi" w:hAnsiTheme="majorHAnsi"/>
              </w:rPr>
            </w:pPr>
            <w:r w:rsidRPr="00CC5362">
              <w:rPr>
                <w:rFonts w:asciiTheme="majorHAnsi" w:hAnsiTheme="majorHAnsi"/>
              </w:rPr>
              <w:t>Intentional Success Corp</w:t>
            </w:r>
          </w:p>
          <w:p w14:paraId="1E047C77" w14:textId="77777777" w:rsidR="00CC5362" w:rsidRPr="00CC5362" w:rsidRDefault="00CC5362" w:rsidP="00CC5362">
            <w:pPr>
              <w:spacing w:line="360" w:lineRule="auto"/>
              <w:rPr>
                <w:rFonts w:asciiTheme="majorHAnsi" w:hAnsiTheme="majorHAnsi"/>
              </w:rPr>
            </w:pPr>
            <w:r w:rsidRPr="00CC5362">
              <w:rPr>
                <w:rFonts w:asciiTheme="majorHAnsi" w:hAnsiTheme="majorHAnsi"/>
              </w:rPr>
              <w:t>International Human Rights Clinic, University of Manitoba</w:t>
            </w:r>
          </w:p>
          <w:p w14:paraId="2D279921" w14:textId="77777777" w:rsidR="00CC5362" w:rsidRPr="00CC5362" w:rsidRDefault="00CC5362" w:rsidP="00CC5362">
            <w:pPr>
              <w:spacing w:line="360" w:lineRule="auto"/>
              <w:rPr>
                <w:rFonts w:asciiTheme="majorHAnsi" w:hAnsiTheme="majorHAnsi"/>
              </w:rPr>
            </w:pPr>
            <w:r w:rsidRPr="00CC5362">
              <w:rPr>
                <w:rFonts w:asciiTheme="majorHAnsi" w:hAnsiTheme="majorHAnsi"/>
              </w:rPr>
              <w:t xml:space="preserve">John Humphrey Centre for Peace and Human Rights </w:t>
            </w:r>
          </w:p>
          <w:p w14:paraId="632A4DCB" w14:textId="77777777" w:rsidR="00CC5362" w:rsidRPr="00CC5362" w:rsidRDefault="00CC5362" w:rsidP="00CC5362">
            <w:pPr>
              <w:spacing w:line="360" w:lineRule="auto"/>
              <w:rPr>
                <w:rFonts w:asciiTheme="majorHAnsi" w:hAnsiTheme="majorHAnsi"/>
              </w:rPr>
            </w:pPr>
            <w:r w:rsidRPr="00CC5362">
              <w:rPr>
                <w:rFonts w:asciiTheme="majorHAnsi" w:hAnsiTheme="majorHAnsi"/>
              </w:rPr>
              <w:t>Maytree</w:t>
            </w:r>
          </w:p>
          <w:p w14:paraId="68F75789" w14:textId="77777777" w:rsidR="00CC5362" w:rsidRPr="00CC5362" w:rsidRDefault="00CC5362" w:rsidP="00CC5362">
            <w:pPr>
              <w:spacing w:line="360" w:lineRule="auto"/>
              <w:rPr>
                <w:rFonts w:asciiTheme="majorHAnsi" w:hAnsiTheme="majorHAnsi"/>
              </w:rPr>
            </w:pPr>
            <w:r w:rsidRPr="00CC5362">
              <w:rPr>
                <w:rFonts w:asciiTheme="majorHAnsi" w:hAnsiTheme="majorHAnsi"/>
              </w:rPr>
              <w:t>Peel Poverty Action Group</w:t>
            </w:r>
          </w:p>
          <w:p w14:paraId="73E60718" w14:textId="77777777" w:rsidR="00CC5362" w:rsidRPr="00CC5362" w:rsidRDefault="00CC5362" w:rsidP="00CC5362">
            <w:pPr>
              <w:spacing w:line="360" w:lineRule="auto"/>
              <w:rPr>
                <w:rFonts w:asciiTheme="majorHAnsi" w:hAnsiTheme="majorHAnsi"/>
                <w:lang w:val="fr-CA"/>
              </w:rPr>
            </w:pPr>
            <w:proofErr w:type="spellStart"/>
            <w:r w:rsidRPr="00CC5362">
              <w:rPr>
                <w:rFonts w:asciiTheme="majorHAnsi" w:hAnsiTheme="majorHAnsi"/>
                <w:lang w:val="fr-CA"/>
              </w:rPr>
              <w:t>Quebec</w:t>
            </w:r>
            <w:proofErr w:type="spellEnd"/>
            <w:r w:rsidRPr="00CC5362">
              <w:rPr>
                <w:rFonts w:asciiTheme="majorHAnsi" w:hAnsiTheme="majorHAnsi"/>
                <w:lang w:val="fr-CA"/>
              </w:rPr>
              <w:t xml:space="preserve"> </w:t>
            </w:r>
            <w:proofErr w:type="spellStart"/>
            <w:r w:rsidRPr="00CC5362">
              <w:rPr>
                <w:rFonts w:asciiTheme="majorHAnsi" w:hAnsiTheme="majorHAnsi"/>
                <w:lang w:val="fr-CA"/>
              </w:rPr>
              <w:t>Homelessness</w:t>
            </w:r>
            <w:proofErr w:type="spellEnd"/>
            <w:r w:rsidRPr="00CC5362">
              <w:rPr>
                <w:rFonts w:asciiTheme="majorHAnsi" w:hAnsiTheme="majorHAnsi"/>
                <w:lang w:val="fr-CA"/>
              </w:rPr>
              <w:t xml:space="preserve"> Prevention Collaborative (Le Collectif québécois pour la prévention de l'itinérance)</w:t>
            </w:r>
          </w:p>
          <w:p w14:paraId="5AAB2C3D" w14:textId="77777777" w:rsidR="00CC5362" w:rsidRPr="00CC5362" w:rsidRDefault="00CC5362" w:rsidP="00CC5362">
            <w:pPr>
              <w:spacing w:line="360" w:lineRule="auto"/>
              <w:rPr>
                <w:rFonts w:asciiTheme="majorHAnsi" w:hAnsiTheme="majorHAnsi"/>
                <w:lang w:val="fr-CA"/>
              </w:rPr>
            </w:pPr>
            <w:r w:rsidRPr="00CC5362">
              <w:rPr>
                <w:rFonts w:asciiTheme="majorHAnsi" w:hAnsiTheme="majorHAnsi"/>
                <w:lang w:val="fr-CA"/>
              </w:rPr>
              <w:t xml:space="preserve">Social </w:t>
            </w:r>
            <w:proofErr w:type="spellStart"/>
            <w:r w:rsidRPr="00CC5362">
              <w:rPr>
                <w:rFonts w:asciiTheme="majorHAnsi" w:hAnsiTheme="majorHAnsi"/>
                <w:lang w:val="fr-CA"/>
              </w:rPr>
              <w:t>Housing</w:t>
            </w:r>
            <w:proofErr w:type="spellEnd"/>
            <w:r w:rsidRPr="00CC5362">
              <w:rPr>
                <w:rFonts w:asciiTheme="majorHAnsi" w:hAnsiTheme="majorHAnsi"/>
                <w:lang w:val="fr-CA"/>
              </w:rPr>
              <w:t xml:space="preserve"> &amp; Human </w:t>
            </w:r>
            <w:proofErr w:type="spellStart"/>
            <w:r w:rsidRPr="00CC5362">
              <w:rPr>
                <w:rFonts w:asciiTheme="majorHAnsi" w:hAnsiTheme="majorHAnsi"/>
                <w:lang w:val="fr-CA"/>
              </w:rPr>
              <w:t>Rights</w:t>
            </w:r>
            <w:proofErr w:type="spellEnd"/>
          </w:p>
          <w:p w14:paraId="73CCF833" w14:textId="77777777" w:rsidR="00CC5362" w:rsidRPr="00CC5362" w:rsidRDefault="00CC5362" w:rsidP="00CC5362">
            <w:pPr>
              <w:spacing w:line="360" w:lineRule="auto"/>
              <w:rPr>
                <w:rFonts w:asciiTheme="majorHAnsi" w:hAnsiTheme="majorHAnsi"/>
              </w:rPr>
            </w:pPr>
            <w:r w:rsidRPr="00CC5362">
              <w:rPr>
                <w:rFonts w:asciiTheme="majorHAnsi" w:hAnsiTheme="majorHAnsi"/>
              </w:rPr>
              <w:t>South Asian Legal Clinic of Ontario (SALCO)</w:t>
            </w:r>
          </w:p>
          <w:p w14:paraId="195AA6C7" w14:textId="77777777" w:rsidR="00CC5362" w:rsidRPr="00CC5362" w:rsidRDefault="00CC5362" w:rsidP="00CC5362">
            <w:pPr>
              <w:spacing w:line="360" w:lineRule="auto"/>
              <w:rPr>
                <w:rFonts w:asciiTheme="majorHAnsi" w:hAnsiTheme="majorHAnsi"/>
              </w:rPr>
            </w:pPr>
            <w:r w:rsidRPr="00CC5362">
              <w:rPr>
                <w:rFonts w:asciiTheme="majorHAnsi" w:hAnsiTheme="majorHAnsi"/>
              </w:rPr>
              <w:t>The NB Coalition of Persons with Disabilities (NBCPD)</w:t>
            </w:r>
          </w:p>
          <w:p w14:paraId="45BCE9A6" w14:textId="77777777" w:rsidR="00CC5362" w:rsidRPr="00CC5362" w:rsidRDefault="00CC5362" w:rsidP="00CC5362">
            <w:pPr>
              <w:spacing w:line="360" w:lineRule="auto"/>
              <w:rPr>
                <w:rFonts w:asciiTheme="majorHAnsi" w:hAnsiTheme="majorHAnsi"/>
              </w:rPr>
            </w:pPr>
            <w:r w:rsidRPr="00CC5362">
              <w:rPr>
                <w:rFonts w:asciiTheme="majorHAnsi" w:hAnsiTheme="majorHAnsi"/>
              </w:rPr>
              <w:t>The Yellowknife Women's Society</w:t>
            </w:r>
          </w:p>
          <w:p w14:paraId="7B5C5879" w14:textId="77777777" w:rsidR="00CC5362" w:rsidRPr="00CC5362" w:rsidRDefault="00CC5362" w:rsidP="00CC5362">
            <w:pPr>
              <w:spacing w:line="360" w:lineRule="auto"/>
              <w:rPr>
                <w:rFonts w:asciiTheme="majorHAnsi" w:hAnsiTheme="majorHAnsi"/>
              </w:rPr>
            </w:pPr>
            <w:r w:rsidRPr="00CC5362">
              <w:rPr>
                <w:rFonts w:asciiTheme="majorHAnsi" w:hAnsiTheme="majorHAnsi"/>
              </w:rPr>
              <w:t>YWCA Niagara Region</w:t>
            </w:r>
          </w:p>
          <w:p w14:paraId="20BB0BA0" w14:textId="77777777" w:rsidR="00CC5362" w:rsidRPr="00CC5362" w:rsidRDefault="00CC5362" w:rsidP="00CC5362">
            <w:pPr>
              <w:spacing w:line="360" w:lineRule="auto"/>
              <w:rPr>
                <w:rFonts w:asciiTheme="majorHAnsi" w:hAnsiTheme="majorHAnsi"/>
              </w:rPr>
            </w:pPr>
            <w:r w:rsidRPr="00CC5362">
              <w:rPr>
                <w:rFonts w:asciiTheme="majorHAnsi" w:hAnsiTheme="majorHAnsi"/>
              </w:rPr>
              <w:t>YWCA Toronto</w:t>
            </w:r>
          </w:p>
          <w:p w14:paraId="1665A4FD" w14:textId="77777777" w:rsidR="00CC5362" w:rsidRDefault="00CC5362" w:rsidP="004D1452">
            <w:pPr>
              <w:rPr>
                <w:b/>
                <w:bCs/>
              </w:rPr>
            </w:pPr>
          </w:p>
        </w:tc>
        <w:tc>
          <w:tcPr>
            <w:tcW w:w="3681" w:type="dxa"/>
          </w:tcPr>
          <w:p w14:paraId="046C80D8" w14:textId="5E504D82" w:rsidR="00CC5362" w:rsidRDefault="00CC5362" w:rsidP="00CC5362">
            <w:pPr>
              <w:ind w:left="720"/>
              <w:rPr>
                <w:b/>
                <w:bCs/>
              </w:rPr>
            </w:pPr>
            <w:r w:rsidRPr="004D1452">
              <w:rPr>
                <w:b/>
                <w:bCs/>
              </w:rPr>
              <w:t>Individuals</w:t>
            </w:r>
          </w:p>
          <w:p w14:paraId="0F891354" w14:textId="77777777" w:rsidR="00CC5362" w:rsidRPr="004D1452" w:rsidRDefault="00CC5362" w:rsidP="00CC5362">
            <w:pPr>
              <w:rPr>
                <w:b/>
                <w:bCs/>
              </w:rPr>
            </w:pPr>
          </w:p>
          <w:p w14:paraId="51979983"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Abe Oudshoorn</w:t>
            </w:r>
          </w:p>
          <w:p w14:paraId="3FE91586"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Arthur Perry</w:t>
            </w:r>
          </w:p>
          <w:p w14:paraId="6BEB94D6"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 xml:space="preserve">Carolyn Whitzman </w:t>
            </w:r>
          </w:p>
          <w:p w14:paraId="47B9C9CE"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Chantal Perry</w:t>
            </w:r>
          </w:p>
          <w:p w14:paraId="3D7FCB9D"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Dawn Wheadon</w:t>
            </w:r>
          </w:p>
          <w:p w14:paraId="6AB30F76"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Debbie McGraw</w:t>
            </w:r>
          </w:p>
          <w:p w14:paraId="7265225E"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Dr. Mary Vaccaro</w:t>
            </w:r>
          </w:p>
          <w:p w14:paraId="2CE45DB2"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Floriane Ethier</w:t>
            </w:r>
          </w:p>
          <w:p w14:paraId="4FEB3EB8"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Francisco Urrutia</w:t>
            </w:r>
          </w:p>
          <w:p w14:paraId="0ED1F682"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Haily MacDonald</w:t>
            </w:r>
          </w:p>
          <w:p w14:paraId="27EA8EA7"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 xml:space="preserve">Jesse Jenkinson </w:t>
            </w:r>
          </w:p>
          <w:p w14:paraId="6C6F63B3"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 xml:space="preserve">Meseret </w:t>
            </w:r>
            <w:proofErr w:type="spellStart"/>
            <w:r w:rsidRPr="00CC5362">
              <w:rPr>
                <w:rFonts w:asciiTheme="majorHAnsi" w:hAnsiTheme="majorHAnsi"/>
              </w:rPr>
              <w:t>Haileyesus</w:t>
            </w:r>
            <w:proofErr w:type="spellEnd"/>
          </w:p>
          <w:p w14:paraId="7913A15F" w14:textId="77777777" w:rsidR="00CC5362" w:rsidRPr="00CC5362" w:rsidRDefault="00CC5362" w:rsidP="00CC5362">
            <w:pPr>
              <w:spacing w:line="360" w:lineRule="auto"/>
              <w:ind w:left="720"/>
              <w:rPr>
                <w:rFonts w:asciiTheme="majorHAnsi" w:hAnsiTheme="majorHAnsi"/>
              </w:rPr>
            </w:pPr>
            <w:r w:rsidRPr="00CC5362">
              <w:rPr>
                <w:rFonts w:asciiTheme="majorHAnsi" w:hAnsiTheme="majorHAnsi"/>
              </w:rPr>
              <w:t xml:space="preserve">Sarah Buhler </w:t>
            </w:r>
          </w:p>
          <w:p w14:paraId="54774B3C" w14:textId="649667A9" w:rsidR="00CC5362" w:rsidRPr="00CC5362" w:rsidRDefault="00CC5362" w:rsidP="00CC5362">
            <w:pPr>
              <w:spacing w:line="360" w:lineRule="auto"/>
              <w:ind w:left="720"/>
            </w:pPr>
            <w:r w:rsidRPr="00CC5362">
              <w:rPr>
                <w:rFonts w:asciiTheme="majorHAnsi" w:hAnsiTheme="majorHAnsi"/>
              </w:rPr>
              <w:t>Victoria Boyle</w:t>
            </w:r>
          </w:p>
        </w:tc>
      </w:tr>
    </w:tbl>
    <w:p w14:paraId="104BDD1E" w14:textId="35F3544A" w:rsidR="004D1452" w:rsidRPr="00DC5D6A" w:rsidRDefault="004D1452" w:rsidP="00CC5362">
      <w:r w:rsidRPr="004D5CFF">
        <w:rPr>
          <w:noProof/>
        </w:rPr>
        <mc:AlternateContent>
          <mc:Choice Requires="wps">
            <w:drawing>
              <wp:anchor distT="0" distB="0" distL="114300" distR="114300" simplePos="0" relativeHeight="251658246" behindDoc="0" locked="0" layoutInCell="1" allowOverlap="1" wp14:anchorId="092B381E" wp14:editId="70046AC8">
                <wp:simplePos x="0" y="0"/>
                <wp:positionH relativeFrom="margin">
                  <wp:posOffset>4954361</wp:posOffset>
                </wp:positionH>
                <wp:positionV relativeFrom="paragraph">
                  <wp:posOffset>535940</wp:posOffset>
                </wp:positionV>
                <wp:extent cx="1168400" cy="1627672"/>
                <wp:effectExtent l="0" t="0" r="0" b="0"/>
                <wp:wrapNone/>
                <wp:docPr id="578035207" name="Rectangle 2"/>
                <wp:cNvGraphicFramePr/>
                <a:graphic xmlns:a="http://schemas.openxmlformats.org/drawingml/2006/main">
                  <a:graphicData uri="http://schemas.microsoft.com/office/word/2010/wordprocessingShape">
                    <wps:wsp>
                      <wps:cNvSpPr/>
                      <wps:spPr>
                        <a:xfrm>
                          <a:off x="0" y="0"/>
                          <a:ext cx="1168400" cy="1627672"/>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B34AE" id="Rectangle 2" o:spid="_x0000_s1026" style="position:absolute;margin-left:390.1pt;margin-top:42.2pt;width:92pt;height:128.1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" fillcolor="#ffc000" stroked="f" strokeweight="1.5pt">
                <w10:wrap anchorx="margin"/>
              </v:rect>
            </w:pict>
          </mc:Fallback>
        </mc:AlternateContent>
      </w:r>
    </w:p>
    <w:sectPr w:rsidR="004D1452" w:rsidRPr="00DC5D6A" w:rsidSect="009667B8">
      <w:footerReference w:type="default" r:id="rId1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9FB0E" w14:textId="77777777" w:rsidR="0051337D" w:rsidRDefault="0051337D" w:rsidP="002662FA">
      <w:pPr>
        <w:spacing w:after="0" w:line="240" w:lineRule="auto"/>
      </w:pPr>
      <w:r>
        <w:separator/>
      </w:r>
    </w:p>
  </w:endnote>
  <w:endnote w:type="continuationSeparator" w:id="0">
    <w:p w14:paraId="3FD89E99" w14:textId="77777777" w:rsidR="0051337D" w:rsidRDefault="0051337D" w:rsidP="0026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2CA6A" w14:textId="242A2836" w:rsidR="00554B7B" w:rsidRDefault="00D0224B" w:rsidP="00D0224B">
    <w:pPr>
      <w:pStyle w:val="Footer"/>
      <w:jc w:val="right"/>
    </w:pPr>
    <w:r>
      <w:t>2</w:t>
    </w:r>
  </w:p>
  <w:p w14:paraId="16269CDD" w14:textId="77777777" w:rsidR="00F1736F" w:rsidRDefault="00F173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0BA4" w14:textId="314B4458" w:rsidR="00FA4184" w:rsidRDefault="00FA4184" w:rsidP="00D0224B">
    <w:pPr>
      <w:pStyle w:val="Footer"/>
    </w:pPr>
  </w:p>
  <w:p w14:paraId="0DB2B440" w14:textId="77777777" w:rsidR="009667B8" w:rsidRDefault="009667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093515"/>
      <w:docPartObj>
        <w:docPartGallery w:val="Page Numbers (Bottom of Page)"/>
        <w:docPartUnique/>
      </w:docPartObj>
    </w:sdtPr>
    <w:sdtEndPr>
      <w:rPr>
        <w:noProof/>
      </w:rPr>
    </w:sdtEndPr>
    <w:sdtContent>
      <w:p w14:paraId="6A203D40" w14:textId="062C3C0F" w:rsidR="00FE063A" w:rsidRDefault="00FE06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243435" w14:textId="77777777" w:rsidR="00667E7C" w:rsidRDefault="00667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68BDB" w14:textId="77777777" w:rsidR="0051337D" w:rsidRDefault="0051337D" w:rsidP="002662FA">
      <w:pPr>
        <w:spacing w:after="0" w:line="240" w:lineRule="auto"/>
      </w:pPr>
      <w:r>
        <w:separator/>
      </w:r>
    </w:p>
  </w:footnote>
  <w:footnote w:type="continuationSeparator" w:id="0">
    <w:p w14:paraId="0F8160ED" w14:textId="77777777" w:rsidR="0051337D" w:rsidRDefault="0051337D" w:rsidP="002662FA">
      <w:pPr>
        <w:spacing w:after="0" w:line="240" w:lineRule="auto"/>
      </w:pPr>
      <w:r>
        <w:continuationSeparator/>
      </w:r>
    </w:p>
  </w:footnote>
  <w:footnote w:id="1">
    <w:p w14:paraId="07B1877C" w14:textId="2FE373FA" w:rsidR="00F07693" w:rsidRPr="00F07693" w:rsidRDefault="00F07693">
      <w:pPr>
        <w:pStyle w:val="FootnoteText"/>
        <w:rPr>
          <w:lang w:val="en-US"/>
        </w:rPr>
      </w:pPr>
      <w:r>
        <w:rPr>
          <w:rStyle w:val="FootnoteReference"/>
        </w:rPr>
        <w:footnoteRef/>
      </w:r>
      <w:r w:rsidR="423A1873">
        <w:t xml:space="preserve"> </w:t>
      </w:r>
      <w:r w:rsidR="423A1873">
        <w:rPr>
          <w:lang w:val="en-US"/>
        </w:rPr>
        <w:t xml:space="preserve">See for example, Canada’s position in </w:t>
      </w:r>
      <w:proofErr w:type="spellStart"/>
      <w:r w:rsidR="423A1873" w:rsidRPr="423A1873">
        <w:rPr>
          <w:lang w:val="en-US"/>
        </w:rPr>
        <w:t>Tanudjaja</w:t>
      </w:r>
      <w:proofErr w:type="spellEnd"/>
      <w:r w:rsidR="423A1873" w:rsidRPr="423A1873">
        <w:rPr>
          <w:lang w:val="en-US"/>
        </w:rPr>
        <w:t xml:space="preserve"> v. Canada (Attorney General), 2014 ONCA 852 (</w:t>
      </w:r>
      <w:proofErr w:type="spellStart"/>
      <w:r w:rsidR="423A1873" w:rsidRPr="423A1873">
        <w:rPr>
          <w:lang w:val="en-US"/>
        </w:rPr>
        <w:t>CanLII</w:t>
      </w:r>
      <w:proofErr w:type="spellEnd"/>
      <w:r w:rsidR="423A1873" w:rsidRPr="423A1873">
        <w:rPr>
          <w:lang w:val="en-US"/>
        </w:rPr>
        <w:t xml:space="preserve">) online </w:t>
      </w:r>
      <w:hyperlink r:id="rId1">
        <w:r w:rsidR="423A1873" w:rsidRPr="423A1873">
          <w:rPr>
            <w:rStyle w:val="Hyperlink"/>
            <w:lang w:val="en-US"/>
          </w:rPr>
          <w:t>2014 ONCA 852 (CanLII) | Tanudjaja v. Canada (Attorney General) | CanLII</w:t>
        </w:r>
      </w:hyperlink>
      <w:r>
        <w:br/>
      </w:r>
    </w:p>
  </w:footnote>
  <w:footnote w:id="2">
    <w:p w14:paraId="119C2FD5" w14:textId="0CE0AB17" w:rsidR="007A1EE2" w:rsidRPr="0086367B" w:rsidRDefault="007A1EE2">
      <w:pPr>
        <w:pStyle w:val="FootnoteText"/>
      </w:pPr>
      <w:r w:rsidRPr="0086367B">
        <w:rPr>
          <w:rStyle w:val="FootnoteReference"/>
        </w:rPr>
        <w:footnoteRef/>
      </w:r>
      <w:r w:rsidR="423A1873" w:rsidRPr="0086367B">
        <w:t xml:space="preserve"> United Nations Human Rights Committee. (1999, April 7). </w:t>
      </w:r>
      <w:r w:rsidR="423A1873" w:rsidRPr="0086367B">
        <w:rPr>
          <w:i/>
          <w:iCs/>
        </w:rPr>
        <w:t>Concluding observations of the Human Rights Committee</w:t>
      </w:r>
      <w:r w:rsidR="423A1873" w:rsidRPr="0086367B">
        <w:t xml:space="preserve"> (CCPR/C/79/Add.105). </w:t>
      </w:r>
      <w:hyperlink r:id="rId2" w:tgtFrame="_new" w:history="1">
        <w:r w:rsidR="423A1873" w:rsidRPr="0086367B">
          <w:rPr>
            <w:rStyle w:val="Hyperlink"/>
          </w:rPr>
          <w:t>https://www.refworld.org/policy/polrec/hrc/1999/en/12308</w:t>
        </w:r>
      </w:hyperlink>
    </w:p>
  </w:footnote>
  <w:footnote w:id="3">
    <w:p w14:paraId="73D5F167" w14:textId="79D95F27" w:rsidR="423A1873" w:rsidRPr="0086367B" w:rsidRDefault="003A7C78" w:rsidP="423A1873">
      <w:pPr>
        <w:pStyle w:val="FootnoteText"/>
      </w:pPr>
      <w:r w:rsidRPr="0086367B">
        <w:rPr>
          <w:rStyle w:val="FootnoteReference"/>
        </w:rPr>
        <w:footnoteRef/>
      </w:r>
      <w:r w:rsidR="423A1873" w:rsidRPr="0086367B">
        <w:t xml:space="preserve"> </w:t>
      </w:r>
      <w:r w:rsidR="423A1873" w:rsidRPr="0086367B">
        <w:rPr>
          <w:rFonts w:eastAsia="Helvetica" w:cs="Helvetica"/>
          <w:color w:val="333333"/>
        </w:rPr>
        <w:t xml:space="preserve">OHCHR. General comment No. 36 on article 6: right to life. </w:t>
      </w:r>
      <w:hyperlink r:id="rId3">
        <w:r w:rsidR="423A1873" w:rsidRPr="0086367B">
          <w:rPr>
            <w:rStyle w:val="Hyperlink"/>
            <w:rFonts w:eastAsia="Helvetica" w:cs="Helvetica"/>
          </w:rPr>
          <w:t>https://www.ohchr.org/en/calls-for-input/general-comment-no-36-article-6-right-life</w:t>
        </w:r>
      </w:hyperlink>
    </w:p>
  </w:footnote>
  <w:footnote w:id="4">
    <w:p w14:paraId="4524515E" w14:textId="5ED5385B" w:rsidR="423A1873" w:rsidRPr="0086367B" w:rsidRDefault="004F0179" w:rsidP="423A1873">
      <w:pPr>
        <w:pStyle w:val="FootnoteText"/>
        <w:shd w:val="clear" w:color="auto" w:fill="FFFFFF" w:themeFill="background1"/>
        <w:spacing w:after="150"/>
      </w:pPr>
      <w:r w:rsidRPr="0086367B">
        <w:rPr>
          <w:rStyle w:val="FootnoteReference"/>
          <w:color w:val="262626" w:themeColor="text1" w:themeTint="D9"/>
        </w:rPr>
        <w:footnoteRef/>
      </w:r>
      <w:r w:rsidRPr="0086367B">
        <w:rPr>
          <w:color w:val="262626" w:themeColor="text1" w:themeTint="D9"/>
        </w:rPr>
        <w:t xml:space="preserve"> </w:t>
      </w:r>
      <w:r w:rsidR="423A1873" w:rsidRPr="0086367B">
        <w:rPr>
          <w:color w:val="262626" w:themeColor="text1" w:themeTint="D9"/>
        </w:rPr>
        <w:t>BC Coroners Service. (2025, February 25). Deaths of individuals experiencing homelessness in British Columbia, 2016–2023 (Report). Government of British Columbia</w:t>
      </w:r>
      <w:r w:rsidR="423A1873" w:rsidRPr="0086367B">
        <w:rPr>
          <w:color w:val="0D0E82"/>
        </w:rPr>
        <w:t>.</w:t>
      </w:r>
      <w:r w:rsidR="423A1873" w:rsidRPr="0086367B">
        <w:rPr>
          <w:rFonts w:eastAsiaTheme="minorEastAsia"/>
          <w:lang w:val="en-US"/>
        </w:rPr>
        <w:t xml:space="preserve"> </w:t>
      </w:r>
      <w:hyperlink r:id="rId4">
        <w:r w:rsidR="423A1873" w:rsidRPr="0086367B">
          <w:rPr>
            <w:rStyle w:val="Hyperlink"/>
            <w:lang w:val="en-US"/>
          </w:rPr>
          <w:t>https://www.toronto.ca/community-people/health-wellness-care/health-inspections-monitoring/monitoring-deaths-of-homeless-people/</w:t>
        </w:r>
      </w:hyperlink>
    </w:p>
  </w:footnote>
  <w:footnote w:id="5">
    <w:p w14:paraId="04A9286A" w14:textId="5D3BEBE3" w:rsidR="003A7C78" w:rsidRPr="0086367B" w:rsidRDefault="003A7C78" w:rsidP="423A1873">
      <w:pPr>
        <w:pStyle w:val="FootnoteText"/>
        <w:rPr>
          <w:rFonts w:eastAsiaTheme="minorEastAsia"/>
          <w:color w:val="262626" w:themeColor="text1" w:themeTint="D9"/>
        </w:rPr>
      </w:pPr>
      <w:r w:rsidRPr="0086367B">
        <w:rPr>
          <w:rStyle w:val="FootnoteReference"/>
        </w:rPr>
        <w:footnoteRef/>
      </w:r>
      <w:r w:rsidR="004F0179" w:rsidRPr="0086367B">
        <w:t xml:space="preserve"> </w:t>
      </w:r>
      <w:r w:rsidR="423A1873" w:rsidRPr="0086367B">
        <w:rPr>
          <w:color w:val="262626" w:themeColor="text1" w:themeTint="D9"/>
        </w:rPr>
        <w:t xml:space="preserve">City of Toronto. (2025, February 3). Toronto Public Health releases updated data for deaths of people experiencing homelessness in Toronto. </w:t>
      </w:r>
    </w:p>
    <w:p w14:paraId="43CE5F81" w14:textId="7074BD31" w:rsidR="423A1873" w:rsidRPr="0086367B" w:rsidRDefault="423A1873" w:rsidP="423A1873">
      <w:pPr>
        <w:pStyle w:val="FootnoteText"/>
        <w:rPr>
          <w:rFonts w:eastAsiaTheme="minorEastAsia"/>
          <w:color w:val="000000" w:themeColor="text1"/>
        </w:rPr>
      </w:pPr>
      <w:hyperlink r:id="rId5">
        <w:r w:rsidRPr="0086367B">
          <w:rPr>
            <w:rStyle w:val="Hyperlink"/>
            <w:rFonts w:eastAsiaTheme="minorEastAsia"/>
          </w:rPr>
          <w:t>https://www.toronto.ca/news/toronto-public-health-releases-updated-data-for-deaths-of-people-experiencing-homelessness-in-toronto/</w:t>
        </w:r>
      </w:hyperlink>
      <w:r w:rsidRPr="0086367B">
        <w:rPr>
          <w:rFonts w:eastAsiaTheme="minorEastAsia"/>
          <w:color w:val="000000" w:themeColor="text1"/>
        </w:rPr>
        <w:t xml:space="preserve"> </w:t>
      </w:r>
    </w:p>
  </w:footnote>
  <w:footnote w:id="6">
    <w:p w14:paraId="69D77E9C" w14:textId="10B64571" w:rsidR="00585986" w:rsidRPr="00585986" w:rsidRDefault="00585986">
      <w:pPr>
        <w:pStyle w:val="FootnoteText"/>
      </w:pPr>
      <w:r w:rsidRPr="0086367B">
        <w:rPr>
          <w:rStyle w:val="FootnoteReference"/>
        </w:rPr>
        <w:footnoteRef/>
      </w:r>
      <w:r w:rsidR="423A1873" w:rsidRPr="00516763">
        <w:rPr>
          <w:color w:val="0D0E82"/>
        </w:rPr>
        <w:t xml:space="preserve"> Ta</w:t>
      </w:r>
      <w:r w:rsidR="423A1873" w:rsidRPr="00516763">
        <w:rPr>
          <w:color w:val="262626" w:themeColor="text1" w:themeTint="D9"/>
        </w:rPr>
        <w:t>nudjaja et al. v. Canad</w:t>
      </w:r>
      <w:r w:rsidR="423A1873" w:rsidRPr="00516763">
        <w:rPr>
          <w:rFonts w:eastAsiaTheme="minorEastAsia"/>
          <w:color w:val="262626" w:themeColor="text1" w:themeTint="D9"/>
        </w:rPr>
        <w:t xml:space="preserve">a (Attorney General), 2014 ONCA 852 (Ont. C.A.). </w:t>
      </w:r>
      <w:hyperlink r:id="rId6">
        <w:r w:rsidR="423A1873" w:rsidRPr="00516763">
          <w:rPr>
            <w:rStyle w:val="Hyperlink"/>
            <w:rFonts w:eastAsiaTheme="minorEastAsia"/>
          </w:rPr>
          <w:t>https://www.canlii.org/en/on/onca/doc/2014/2014onca852/2014onca852.html?autocompleteStr=tanud&amp;autocompletePos=1</w:t>
        </w:r>
      </w:hyperlink>
      <w:r w:rsidR="423A1873" w:rsidRPr="00516763">
        <w:rPr>
          <w:rFonts w:eastAsiaTheme="minorEastAsia"/>
          <w:color w:val="000000" w:themeColor="text1"/>
        </w:rPr>
        <w:t xml:space="preserve"> </w:t>
      </w:r>
    </w:p>
  </w:footnote>
  <w:footnote w:id="7">
    <w:p w14:paraId="71255EF6" w14:textId="25C8BCF1" w:rsidR="423A1873" w:rsidRDefault="00585986" w:rsidP="423A1873">
      <w:pPr>
        <w:pStyle w:val="FootnoteText"/>
      </w:pPr>
      <w:r w:rsidRPr="000134E1">
        <w:rPr>
          <w:rStyle w:val="FootnoteReference"/>
          <w:color w:val="262626" w:themeColor="text1" w:themeTint="D9"/>
        </w:rPr>
        <w:footnoteRef/>
      </w:r>
      <w:r w:rsidR="423A1873" w:rsidRPr="000134E1">
        <w:rPr>
          <w:color w:val="262626" w:themeColor="text1" w:themeTint="D9"/>
        </w:rPr>
        <w:t xml:space="preserve"> Social Rights Advocacy Centre. (2021). Compendium, tab 4: Heegesma et al. and City of Hamilton. </w:t>
      </w:r>
      <w:hyperlink r:id="rId7">
        <w:r w:rsidR="423A1873" w:rsidRPr="423A1873">
          <w:rPr>
            <w:rStyle w:val="Hyperlink"/>
          </w:rPr>
          <w:t>https://socialrights.ca/Heegsma/CCPINRHN%20Compendium%20Dec%2011.pdf</w:t>
        </w:r>
      </w:hyperlink>
    </w:p>
  </w:footnote>
  <w:footnote w:id="8">
    <w:p w14:paraId="0BB3803B" w14:textId="18E36536" w:rsidR="004E5B58" w:rsidRPr="00516763" w:rsidRDefault="004E5B58">
      <w:pPr>
        <w:pStyle w:val="FootnoteText"/>
      </w:pPr>
      <w:r w:rsidRPr="000134E1">
        <w:rPr>
          <w:rStyle w:val="FootnoteReference"/>
          <w:color w:val="262626" w:themeColor="text1" w:themeTint="D9"/>
        </w:rPr>
        <w:footnoteRef/>
      </w:r>
      <w:r w:rsidR="423A1873" w:rsidRPr="000134E1">
        <w:rPr>
          <w:color w:val="262626" w:themeColor="text1" w:themeTint="D9"/>
        </w:rPr>
        <w:t xml:space="preserve"> Housing, Infrastructure and Communities Canada. (2025). Everyone Counts 2024: Highlights report, part 1 – Enumeration of homelessness (Cat. No. T94-54/2025-1E-PDF). Government of Canada. </w:t>
      </w:r>
      <w:hyperlink r:id="rId8">
        <w:r w:rsidR="423A1873" w:rsidRPr="00516763">
          <w:rPr>
            <w:rStyle w:val="Hyperlink"/>
          </w:rPr>
          <w:t>T94-54-2025-1-eng.pdf</w:t>
        </w:r>
      </w:hyperlink>
    </w:p>
  </w:footnote>
  <w:footnote w:id="9">
    <w:p w14:paraId="544975AB" w14:textId="4C0374D2" w:rsidR="423A1873" w:rsidRPr="00CF3A5C" w:rsidRDefault="003A7C78" w:rsidP="423A1873">
      <w:pPr>
        <w:pStyle w:val="FootnoteText"/>
      </w:pPr>
      <w:r w:rsidRPr="000134E1">
        <w:rPr>
          <w:rStyle w:val="FootnoteReference"/>
          <w:color w:val="262626" w:themeColor="text1" w:themeTint="D9"/>
        </w:rPr>
        <w:footnoteRef/>
      </w:r>
      <w:r w:rsidR="423A1873" w:rsidRPr="00516763">
        <w:rPr>
          <w:color w:val="262626" w:themeColor="text1" w:themeTint="D9"/>
        </w:rPr>
        <w:t xml:space="preserve"> Housing, Infrastructure and Communities Canada. (2025, October 31). </w:t>
      </w:r>
      <w:r w:rsidR="423A1873" w:rsidRPr="00516763">
        <w:rPr>
          <w:i/>
          <w:iCs/>
          <w:color w:val="262626" w:themeColor="text1" w:themeTint="D9"/>
        </w:rPr>
        <w:t>Unsheltered Homelessness and Encampments Initiative</w:t>
      </w:r>
      <w:r w:rsidR="423A1873" w:rsidRPr="00516763">
        <w:rPr>
          <w:color w:val="262626" w:themeColor="text1" w:themeTint="D9"/>
        </w:rPr>
        <w:t>. Government of Canada.</w:t>
      </w:r>
      <w:r w:rsidR="423A1873" w:rsidRPr="00516763">
        <w:rPr>
          <w:rFonts w:ascii="Helvetica" w:eastAsia="Helvetica" w:hAnsi="Helvetica" w:cs="Helvetica"/>
          <w:color w:val="262626" w:themeColor="text1" w:themeTint="D9"/>
          <w:sz w:val="18"/>
          <w:szCs w:val="18"/>
        </w:rPr>
        <w:t xml:space="preserve"> </w:t>
      </w:r>
      <w:hyperlink r:id="rId9">
        <w:r w:rsidR="423A1873" w:rsidRPr="00516763">
          <w:rPr>
            <w:rStyle w:val="Hyperlink"/>
            <w:rFonts w:ascii="Helvetica" w:eastAsia="Helvetica" w:hAnsi="Helvetica" w:cs="Helvetica"/>
            <w:sz w:val="18"/>
            <w:szCs w:val="18"/>
          </w:rPr>
          <w:t>https://housing-infrastructure.canada.ca/pd-dp/seea-eees/uhei-ilihrc-eng.html</w:t>
        </w:r>
      </w:hyperlink>
    </w:p>
  </w:footnote>
  <w:footnote w:id="10">
    <w:p w14:paraId="28ED8EC1" w14:textId="129AC236" w:rsidR="423A1873" w:rsidRPr="00CF3A5C" w:rsidRDefault="24A7EEC6" w:rsidP="423A1873">
      <w:pPr>
        <w:pStyle w:val="FootnoteText"/>
      </w:pPr>
      <w:r w:rsidRPr="000134E1">
        <w:rPr>
          <w:rStyle w:val="FootnoteReference"/>
          <w:color w:val="262626" w:themeColor="text1" w:themeTint="D9"/>
        </w:rPr>
        <w:footnoteRef/>
      </w:r>
      <w:r w:rsidR="423A1873" w:rsidRPr="00516763">
        <w:rPr>
          <w:color w:val="262626" w:themeColor="text1" w:themeTint="D9"/>
        </w:rPr>
        <w:t xml:space="preserve"> </w:t>
      </w:r>
      <w:r w:rsidR="423A1873" w:rsidRPr="00516763">
        <w:rPr>
          <w:rFonts w:eastAsiaTheme="minorEastAsia"/>
          <w:color w:val="262626" w:themeColor="text1" w:themeTint="D9"/>
        </w:rPr>
        <w:t xml:space="preserve">Government of Canada, Statistics Canada. (2023, February 1). </w:t>
      </w:r>
      <w:r w:rsidR="423A1873" w:rsidRPr="00516763">
        <w:rPr>
          <w:rFonts w:eastAsiaTheme="minorEastAsia"/>
          <w:i/>
          <w:color w:val="262626" w:themeColor="text1" w:themeTint="D9"/>
        </w:rPr>
        <w:t>Indigenous peoples – 2021 Census promotional material</w:t>
      </w:r>
      <w:r w:rsidR="423A1873" w:rsidRPr="00516763">
        <w:rPr>
          <w:rFonts w:eastAsiaTheme="minorEastAsia"/>
          <w:color w:val="262626" w:themeColor="text1" w:themeTint="D9"/>
        </w:rPr>
        <w:t xml:space="preserve">. </w:t>
      </w:r>
      <w:hyperlink r:id="rId10">
        <w:r w:rsidR="423A1873" w:rsidRPr="00516763">
          <w:rPr>
            <w:rStyle w:val="Hyperlink"/>
            <w:rFonts w:eastAsiaTheme="minorEastAsia"/>
          </w:rPr>
          <w:t>https://www.statcan.gc.ca/en/census/census-engagement/community-supporter/indigenous-peoples</w:t>
        </w:r>
      </w:hyperlink>
    </w:p>
  </w:footnote>
  <w:footnote w:id="11">
    <w:p w14:paraId="59D4BB65" w14:textId="3017E1C9" w:rsidR="423A1873" w:rsidRPr="00CF3A5C" w:rsidRDefault="24A7EEC6" w:rsidP="423A1873">
      <w:pPr>
        <w:pStyle w:val="FootnoteText"/>
      </w:pPr>
      <w:r w:rsidRPr="000134E1">
        <w:rPr>
          <w:rStyle w:val="FootnoteReference"/>
          <w:color w:val="262626" w:themeColor="text1" w:themeTint="D9"/>
        </w:rPr>
        <w:footnoteRef/>
      </w:r>
      <w:r w:rsidR="423A1873" w:rsidRPr="000134E1">
        <w:rPr>
          <w:color w:val="262626" w:themeColor="text1" w:themeTint="D9"/>
        </w:rPr>
        <w:t xml:space="preserve"> </w:t>
      </w:r>
      <w:r w:rsidR="423A1873" w:rsidRPr="000134E1">
        <w:rPr>
          <w:rFonts w:eastAsiaTheme="minorEastAsia"/>
          <w:color w:val="262626" w:themeColor="text1" w:themeTint="D9"/>
        </w:rPr>
        <w:t xml:space="preserve">Housing, I. a. C. C. (2023, April 28). </w:t>
      </w:r>
      <w:r w:rsidR="423A1873" w:rsidRPr="000134E1">
        <w:rPr>
          <w:rFonts w:eastAsiaTheme="minorEastAsia"/>
          <w:i/>
          <w:color w:val="262626" w:themeColor="text1" w:themeTint="D9"/>
        </w:rPr>
        <w:t>Housing, Infrastructure and Communities Canada - Everyone Counts 2020-2022: Preliminary Highlights report</w:t>
      </w:r>
      <w:r w:rsidR="423A1873" w:rsidRPr="000134E1">
        <w:rPr>
          <w:rFonts w:eastAsiaTheme="minorEastAsia"/>
          <w:color w:val="262626" w:themeColor="text1" w:themeTint="D9"/>
        </w:rPr>
        <w:t xml:space="preserve">. </w:t>
      </w:r>
      <w:hyperlink r:id="rId11">
        <w:r w:rsidR="423A1873" w:rsidRPr="423A1873">
          <w:rPr>
            <w:rStyle w:val="Hyperlink"/>
            <w:rFonts w:eastAsiaTheme="minorEastAsia"/>
          </w:rPr>
          <w:t>https://housing-infrastructure.canada.ca/homelessness-sans-abri/reports-rapports/pit-counts-dp-2020-2022-highlights-eng.html</w:t>
        </w:r>
      </w:hyperlink>
    </w:p>
  </w:footnote>
  <w:footnote w:id="12">
    <w:p w14:paraId="26A6C791" w14:textId="677B4956" w:rsidR="423A1873" w:rsidRDefault="423A1873" w:rsidP="423A1873">
      <w:pPr>
        <w:pStyle w:val="FootnoteText"/>
      </w:pPr>
      <w:r w:rsidRPr="000134E1">
        <w:rPr>
          <w:rStyle w:val="FootnoteReference"/>
          <w:color w:val="262626" w:themeColor="text1" w:themeTint="D9"/>
        </w:rPr>
        <w:footnoteRef/>
      </w:r>
      <w:r w:rsidRPr="000134E1">
        <w:rPr>
          <w:color w:val="262626" w:themeColor="text1" w:themeTint="D9"/>
        </w:rPr>
        <w:t xml:space="preserve"> Human Rights Committee. (2018). Nell Toussaint v. Canada (CCPR/C/123/D/2348/2014). United Nations.</w:t>
      </w:r>
      <w:r w:rsidRPr="000134E1">
        <w:rPr>
          <w:rFonts w:eastAsiaTheme="minorEastAsia"/>
          <w:color w:val="262626" w:themeColor="text1" w:themeTint="D9"/>
        </w:rPr>
        <w:t xml:space="preserve"> </w:t>
      </w:r>
      <w:hyperlink r:id="rId12">
        <w:r w:rsidRPr="423A1873">
          <w:rPr>
            <w:rStyle w:val="Hyperlink"/>
            <w:rFonts w:eastAsiaTheme="minorEastAsia"/>
          </w:rPr>
          <w:t>https://juris.ohchr.org/casedetails/2541/en-US</w:t>
        </w:r>
      </w:hyperlink>
    </w:p>
    <w:p w14:paraId="63B92CBF" w14:textId="12E0DB3B" w:rsidR="423A1873" w:rsidRDefault="423A1873" w:rsidP="423A1873">
      <w:pPr>
        <w:pStyle w:val="FootnoteText"/>
        <w:rPr>
          <w:rFonts w:eastAsiaTheme="minorEastAsia"/>
          <w:color w:val="05103E"/>
        </w:rPr>
      </w:pPr>
    </w:p>
  </w:footnote>
  <w:footnote w:id="13">
    <w:p w14:paraId="555D3465" w14:textId="6648F42B" w:rsidR="00A84F8E" w:rsidRDefault="00A84F8E">
      <w:pPr>
        <w:pStyle w:val="FootnoteText"/>
      </w:pPr>
      <w:r w:rsidRPr="000134E1">
        <w:rPr>
          <w:rStyle w:val="FootnoteReference"/>
          <w:color w:val="262626" w:themeColor="text1" w:themeTint="D9"/>
        </w:rPr>
        <w:footnoteRef/>
      </w:r>
      <w:r w:rsidR="423A1873" w:rsidRPr="000134E1">
        <w:rPr>
          <w:color w:val="262626" w:themeColor="text1" w:themeTint="D9"/>
        </w:rPr>
        <w:t xml:space="preserve"> Committee on Economic, Social and Cultural </w:t>
      </w:r>
      <w:r w:rsidR="423A1873" w:rsidRPr="000134E1">
        <w:rPr>
          <w:rFonts w:eastAsiaTheme="minorEastAsia"/>
          <w:color w:val="262626" w:themeColor="text1" w:themeTint="D9"/>
        </w:rPr>
        <w:t xml:space="preserve">Rights. (1997, May 20). General Comment No. 7: The right to adequate housing (Article 11.1): Forced evictions (E/1998/22). United Nations. </w:t>
      </w:r>
      <w:hyperlink r:id="rId13">
        <w:r w:rsidR="423A1873" w:rsidRPr="423A1873">
          <w:rPr>
            <w:rStyle w:val="Hyperlink"/>
            <w:rFonts w:eastAsiaTheme="minorEastAsia"/>
          </w:rPr>
          <w:t>https://www.refworld.org/legal/general/cescr/1997/en/53063</w:t>
        </w:r>
      </w:hyperlink>
      <w:r w:rsidR="423A1873" w:rsidRPr="423A1873">
        <w:rPr>
          <w:rFonts w:eastAsiaTheme="minorEastAsia"/>
          <w:color w:val="000000" w:themeColor="text1"/>
        </w:rPr>
        <w:t xml:space="preserve"> </w:t>
      </w:r>
    </w:p>
  </w:footnote>
  <w:footnote w:id="14">
    <w:p w14:paraId="612BD01F" w14:textId="49CD2B6F" w:rsidR="00962894" w:rsidRDefault="00962894">
      <w:pPr>
        <w:pStyle w:val="FootnoteText"/>
      </w:pPr>
      <w:r w:rsidRPr="000134E1">
        <w:rPr>
          <w:rStyle w:val="FootnoteReference"/>
          <w:color w:val="262626" w:themeColor="text1" w:themeTint="D9"/>
        </w:rPr>
        <w:footnoteRef/>
      </w:r>
      <w:r w:rsidR="423A1873" w:rsidRPr="000134E1">
        <w:rPr>
          <w:color w:val="262626" w:themeColor="text1" w:themeTint="D9"/>
        </w:rPr>
        <w:t xml:space="preserve"> Advocacy Centre for Tenants Ontario. (2021). Digital evictions: The Landlord and Tenant Board’s experiment in online hearings.</w:t>
      </w:r>
      <w:r w:rsidR="423A1873">
        <w:t xml:space="preserve"> </w:t>
      </w:r>
      <w:hyperlink r:id="rId14">
        <w:r w:rsidR="423A1873" w:rsidRPr="423A1873">
          <w:rPr>
            <w:rStyle w:val="Hyperlink"/>
          </w:rPr>
          <w:t>https://www.acto.ca/production/wp-content/uploads/2021/06/Digital-Evictions-ACTO.pdf</w:t>
        </w:r>
      </w:hyperlink>
      <w:r w:rsidR="423A1873">
        <w:t xml:space="preserve"> </w:t>
      </w:r>
    </w:p>
  </w:footnote>
  <w:footnote w:id="15">
    <w:p w14:paraId="07140E37" w14:textId="150F19E7" w:rsidR="005B30E3" w:rsidRDefault="005B30E3">
      <w:pPr>
        <w:pStyle w:val="FootnoteText"/>
      </w:pPr>
      <w:r w:rsidRPr="000134E1">
        <w:rPr>
          <w:rStyle w:val="FootnoteReference"/>
          <w:color w:val="262626" w:themeColor="text1" w:themeTint="D9"/>
        </w:rPr>
        <w:footnoteRef/>
      </w:r>
      <w:r w:rsidR="423A1873" w:rsidRPr="000134E1">
        <w:rPr>
          <w:color w:val="262626" w:themeColor="text1" w:themeTint="D9"/>
        </w:rPr>
        <w:t xml:space="preserve"> Schwan, K., Vaccaro, M.-E., Reid, L., &amp; Ali, N. (2021, May). Implementation of the right to housing for women, girls, and gender diverse people in Canada. Women’s National Housing &amp; Homelessness Network. </w:t>
      </w:r>
      <w:hyperlink r:id="rId15">
        <w:r w:rsidR="423A1873" w:rsidRPr="423A1873">
          <w:rPr>
            <w:rStyle w:val="Hyperlink"/>
          </w:rPr>
          <w:t>https://housingrights.ca/wp-content/uploads/CHRC-WNHHN-Schwan-4-May-2021.pdf</w:t>
        </w:r>
      </w:hyperlink>
      <w:r w:rsidR="423A1873">
        <w:t xml:space="preserve"> </w:t>
      </w:r>
    </w:p>
  </w:footnote>
  <w:footnote w:id="16">
    <w:p w14:paraId="018E8044" w14:textId="1991AF11" w:rsidR="423A1873" w:rsidRPr="00854D9A" w:rsidRDefault="00B57C2E" w:rsidP="423A1873">
      <w:pPr>
        <w:pStyle w:val="FootnoteText"/>
      </w:pPr>
      <w:r w:rsidRPr="000134E1">
        <w:rPr>
          <w:rStyle w:val="FootnoteReference"/>
          <w:color w:val="262626" w:themeColor="text1" w:themeTint="D9"/>
        </w:rPr>
        <w:footnoteRef/>
      </w:r>
      <w:r w:rsidR="423A1873" w:rsidRPr="000134E1">
        <w:rPr>
          <w:color w:val="262626" w:themeColor="text1" w:themeTint="D9"/>
        </w:rPr>
        <w:t xml:space="preserve"> Paradis, E. (2016, October). Access to justice: The case for Ontario tenants: Final report of the Tenant Duty Counsel Review. A</w:t>
      </w:r>
      <w:r w:rsidR="423A1873" w:rsidRPr="423A1873">
        <w:rPr>
          <w:rFonts w:ascii="Times New Roman" w:eastAsia="Times New Roman" w:hAnsi="Times New Roman" w:cs="Times New Roman"/>
          <w:color w:val="05103E"/>
        </w:rPr>
        <w:t xml:space="preserve">. </w:t>
      </w:r>
      <w:hyperlink r:id="rId16">
        <w:r w:rsidR="423A1873" w:rsidRPr="423A1873">
          <w:rPr>
            <w:rStyle w:val="Hyperlink"/>
            <w:rFonts w:ascii="Times New Roman" w:eastAsia="Times New Roman" w:hAnsi="Times New Roman" w:cs="Times New Roman"/>
          </w:rPr>
          <w:t>https://www.acto.ca/production/wp-content/uploads/2017/07/TDCP_Report_2016.pdf</w:t>
        </w:r>
      </w:hyperlink>
    </w:p>
  </w:footnote>
  <w:footnote w:id="17">
    <w:p w14:paraId="2B5588B5" w14:textId="09F9CDD5" w:rsidR="001823AC" w:rsidRPr="000134E1" w:rsidRDefault="001823AC">
      <w:pPr>
        <w:pStyle w:val="FootnoteText"/>
        <w:rPr>
          <w:color w:val="262626" w:themeColor="text1" w:themeTint="D9"/>
        </w:rPr>
      </w:pPr>
      <w:r w:rsidRPr="000134E1">
        <w:rPr>
          <w:rStyle w:val="FootnoteReference"/>
          <w:color w:val="262626" w:themeColor="text1" w:themeTint="D9"/>
        </w:rPr>
        <w:footnoteRef/>
      </w:r>
      <w:r w:rsidR="423A1873" w:rsidRPr="000134E1">
        <w:rPr>
          <w:color w:val="262626" w:themeColor="text1" w:themeTint="D9"/>
        </w:rPr>
        <w:t xml:space="preserve"> Human Rights Committee. (2007, August 23). General Comment No. 32: Article 14 - Right to equality before courts and tribunals and to a fair trial (UN Doc. CCPR/C/GC/32). United Nations.</w:t>
      </w:r>
    </w:p>
  </w:footnote>
  <w:footnote w:id="18">
    <w:p w14:paraId="73ED9D5F" w14:textId="77777777" w:rsidR="005E2764" w:rsidRPr="000134E1" w:rsidRDefault="005E2764" w:rsidP="005E2764">
      <w:pPr>
        <w:pStyle w:val="FootnoteText"/>
        <w:rPr>
          <w:color w:val="262626" w:themeColor="text1" w:themeTint="D9"/>
        </w:rPr>
      </w:pPr>
      <w:r w:rsidRPr="000134E1">
        <w:rPr>
          <w:rStyle w:val="FootnoteReference"/>
          <w:color w:val="262626" w:themeColor="text1" w:themeTint="D9"/>
        </w:rPr>
        <w:footnoteRef/>
      </w:r>
      <w:r w:rsidRPr="000134E1">
        <w:rPr>
          <w:color w:val="262626" w:themeColor="text1" w:themeTint="D9"/>
        </w:rPr>
        <w:t xml:space="preserve"> Committee on the Elimination of Discrimination Against Women, “Views of the Committee on the Elimination of Discrimination against Women under Article 7, Paragraph 3, of the Optional Protocol to the Convention on the Elimination of All Forms of Discrimination against Women</w:t>
      </w:r>
    </w:p>
  </w:footnote>
  <w:footnote w:id="19">
    <w:p w14:paraId="506FE9C3" w14:textId="0E8CDFF9" w:rsidR="00705BC7" w:rsidRPr="00891455" w:rsidRDefault="00705BC7">
      <w:pPr>
        <w:pStyle w:val="FootnoteText"/>
      </w:pPr>
      <w:r w:rsidRPr="00891455">
        <w:rPr>
          <w:rStyle w:val="FootnoteReference"/>
          <w:color w:val="262626" w:themeColor="text1" w:themeTint="D9"/>
        </w:rPr>
        <w:footnoteRef/>
      </w:r>
      <w:r w:rsidR="423A1873" w:rsidRPr="00516763">
        <w:rPr>
          <w:color w:val="262626" w:themeColor="text1" w:themeTint="D9"/>
          <w:lang w:val="fr-CA"/>
        </w:rPr>
        <w:t xml:space="preserve"> </w:t>
      </w:r>
      <w:r w:rsidR="423A1873" w:rsidRPr="00516763">
        <w:rPr>
          <w:rFonts w:eastAsia="Times New Roman" w:cs="Times New Roman"/>
          <w:color w:val="262626" w:themeColor="text1" w:themeTint="D9"/>
          <w:lang w:val="fr-CA"/>
        </w:rPr>
        <w:t xml:space="preserve">Buckley, M., Schellenberg, G., &amp; Lorraine Prezeau. </w:t>
      </w:r>
      <w:r w:rsidR="423A1873" w:rsidRPr="00891455">
        <w:rPr>
          <w:rFonts w:eastAsia="Times New Roman" w:cs="Times New Roman"/>
          <w:color w:val="262626" w:themeColor="text1" w:themeTint="D9"/>
        </w:rPr>
        <w:t xml:space="preserve">(2010). Moving forward on legal aid. In Vicki Schmolka (Ed.), </w:t>
      </w:r>
      <w:r w:rsidR="423A1873" w:rsidRPr="00891455">
        <w:rPr>
          <w:rFonts w:eastAsia="Times New Roman" w:cs="Times New Roman"/>
          <w:i/>
          <w:color w:val="262626" w:themeColor="text1" w:themeTint="D9"/>
        </w:rPr>
        <w:t>Canadian Bar Association</w:t>
      </w:r>
      <w:r w:rsidR="423A1873" w:rsidRPr="00891455">
        <w:rPr>
          <w:rFonts w:eastAsia="Times New Roman" w:cs="Times New Roman"/>
          <w:color w:val="262626" w:themeColor="text1" w:themeTint="D9"/>
        </w:rPr>
        <w:t>.</w:t>
      </w:r>
      <w:r w:rsidR="423A1873" w:rsidRPr="00891455">
        <w:rPr>
          <w:rFonts w:eastAsia="Times New Roman" w:cs="Times New Roman"/>
          <w:color w:val="05103E"/>
        </w:rPr>
        <w:t xml:space="preserve"> </w:t>
      </w:r>
      <w:hyperlink r:id="rId17">
        <w:r w:rsidR="423A1873" w:rsidRPr="00891455">
          <w:rPr>
            <w:rStyle w:val="Hyperlink"/>
            <w:rFonts w:eastAsia="Times New Roman" w:cs="Times New Roman"/>
          </w:rPr>
          <w:t>https://www.cba.org/CBAMediaLibrary/cba_na/images/Equal%20Justice%20-%20Microsite/PDFs/Moving-Forward-on-Legal-Aid.pdf</w:t>
        </w:r>
      </w:hyperlink>
    </w:p>
  </w:footnote>
  <w:footnote w:id="20">
    <w:p w14:paraId="40CE4972" w14:textId="45A7BC63" w:rsidR="00BD78ED" w:rsidRDefault="00BD78ED">
      <w:pPr>
        <w:pStyle w:val="FootnoteText"/>
      </w:pPr>
      <w:r>
        <w:rPr>
          <w:rStyle w:val="FootnoteReference"/>
        </w:rPr>
        <w:footnoteRef/>
      </w:r>
      <w:r w:rsidR="423A1873">
        <w:t xml:space="preserve"> </w:t>
      </w:r>
      <w:r w:rsidR="423A1873" w:rsidRPr="000134E1">
        <w:rPr>
          <w:color w:val="262626" w:themeColor="text1" w:themeTint="D9"/>
        </w:rPr>
        <w:t>Buckley, M. (2000). The legal aid crisis: Time for action. Canadian Bar Association</w:t>
      </w:r>
      <w:r w:rsidR="423A1873">
        <w:t>.</w:t>
      </w:r>
    </w:p>
  </w:footnote>
  <w:footnote w:id="21">
    <w:p w14:paraId="64001015" w14:textId="31DF7CD3" w:rsidR="14FCD005" w:rsidRDefault="14FCD005" w:rsidP="24A7EEC6">
      <w:pPr>
        <w:pStyle w:val="FootnoteText"/>
      </w:pPr>
      <w:r w:rsidRPr="000134E1">
        <w:rPr>
          <w:rStyle w:val="FootnoteReference"/>
          <w:color w:val="262626" w:themeColor="text1" w:themeTint="D9"/>
        </w:rPr>
        <w:footnoteRef/>
      </w:r>
      <w:r w:rsidR="423A1873" w:rsidRPr="000134E1">
        <w:rPr>
          <w:color w:val="262626" w:themeColor="text1" w:themeTint="D9"/>
        </w:rPr>
        <w:t xml:space="preserve"> National Housing Council. (2025). Scaling-up the non-market housing sector in Canada. </w:t>
      </w:r>
      <w:hyperlink r:id="rId18">
        <w:r w:rsidR="423A1873" w:rsidRPr="423A1873">
          <w:rPr>
            <w:rStyle w:val="Hyperlink"/>
          </w:rPr>
          <w:t>https://nhc-cnl.ca/publications/post/scaling-up-the-non-market-housing-sector-</w:t>
        </w:r>
      </w:hyperlink>
    </w:p>
  </w:footnote>
  <w:footnote w:id="22">
    <w:p w14:paraId="16F24B74" w14:textId="192211B7" w:rsidR="005E6F72" w:rsidRDefault="005E6F72">
      <w:pPr>
        <w:pStyle w:val="FootnoteText"/>
      </w:pPr>
      <w:r w:rsidRPr="000134E1">
        <w:rPr>
          <w:rStyle w:val="FootnoteReference"/>
          <w:color w:val="262626" w:themeColor="text1" w:themeTint="D9"/>
        </w:rPr>
        <w:footnoteRef/>
      </w:r>
      <w:r w:rsidR="423A1873" w:rsidRPr="000134E1">
        <w:rPr>
          <w:color w:val="262626" w:themeColor="text1" w:themeTint="D9"/>
        </w:rPr>
        <w:t xml:space="preserve"> Pomeroy, S. (2022). Updating analysis on erosion of lower rent stock from 2021 Census [Report]. Canadian Housing Evidence Collaborative</w:t>
      </w:r>
      <w:r w:rsidR="423A1873" w:rsidRPr="00C475B5">
        <w:rPr>
          <w:color w:val="0D0E82"/>
        </w:rPr>
        <w:t>.</w:t>
      </w:r>
      <w:r w:rsidR="423A1873">
        <w:t xml:space="preserve"> </w:t>
      </w:r>
      <w:hyperlink r:id="rId19">
        <w:r w:rsidR="423A1873" w:rsidRPr="423A1873">
          <w:rPr>
            <w:rStyle w:val="Hyperlink"/>
            <w:rFonts w:ascii="Segoe UI" w:eastAsia="Segoe UI" w:hAnsi="Segoe UI" w:cs="Segoe UI"/>
            <w:sz w:val="18"/>
            <w:szCs w:val="18"/>
          </w:rPr>
          <w:t>https://chec-ccrl.ca/wp-content/uploads/2022/10/Updated-Analysis-on-Housing-Erosion-from-2021-Census-Steve-Pomeroy.pdf</w:t>
        </w:r>
      </w:hyperlink>
      <w:r w:rsidR="423A1873" w:rsidRPr="423A1873">
        <w:rPr>
          <w:rFonts w:ascii="Segoe UI" w:eastAsia="Segoe UI" w:hAnsi="Segoe UI" w:cs="Segoe UI"/>
          <w:color w:val="000000" w:themeColor="text1"/>
          <w:sz w:val="18"/>
          <w:szCs w:val="18"/>
        </w:rPr>
        <w:t xml:space="preserve"> </w:t>
      </w:r>
    </w:p>
  </w:footnote>
  <w:footnote w:id="23">
    <w:p w14:paraId="16FC5DA1" w14:textId="308FCD64" w:rsidR="00D944CF" w:rsidRDefault="00D944CF">
      <w:pPr>
        <w:pStyle w:val="FootnoteText"/>
      </w:pPr>
      <w:r w:rsidRPr="000134E1">
        <w:rPr>
          <w:rStyle w:val="FootnoteReference"/>
          <w:color w:val="262626" w:themeColor="text1" w:themeTint="D9"/>
        </w:rPr>
        <w:footnoteRef/>
      </w:r>
      <w:r w:rsidR="423A1873" w:rsidRPr="00516763">
        <w:rPr>
          <w:color w:val="262626" w:themeColor="text1" w:themeTint="D9"/>
          <w:lang w:val="fr-CA"/>
        </w:rPr>
        <w:t xml:space="preserve"> Lewis, N., Panou, D., &amp; Maaranen, R. (2026). </w:t>
      </w:r>
      <w:r w:rsidR="005E440F">
        <w:rPr>
          <w:color w:val="262626" w:themeColor="text1" w:themeTint="D9"/>
        </w:rPr>
        <w:t>Financialized Violence in Toronto’s Rental Market</w:t>
      </w:r>
      <w:r w:rsidR="008D5626">
        <w:rPr>
          <w:color w:val="262626" w:themeColor="text1" w:themeTint="D9"/>
        </w:rPr>
        <w:t>:</w:t>
      </w:r>
      <w:r w:rsidR="423A1873" w:rsidRPr="000134E1">
        <w:rPr>
          <w:color w:val="262626" w:themeColor="text1" w:themeTint="D9"/>
        </w:rPr>
        <w:t xml:space="preserve"> Eviction Rates in Majority Black Renter Communities. International Journal of Urban and Regional Research. </w:t>
      </w:r>
      <w:hyperlink r:id="rId20">
        <w:r w:rsidR="423A1873" w:rsidRPr="423A1873">
          <w:rPr>
            <w:rStyle w:val="Hyperlink"/>
          </w:rPr>
          <w:t>https://doi.org/10.1111/1468-2427.70033</w:t>
        </w:r>
      </w:hyperlink>
      <w:r w:rsidR="423A1873">
        <w:t xml:space="preserve"> </w:t>
      </w:r>
    </w:p>
  </w:footnote>
  <w:footnote w:id="24">
    <w:p w14:paraId="11A19380" w14:textId="0786C9AB" w:rsidR="005C73BA" w:rsidRPr="00516763" w:rsidRDefault="005C73BA">
      <w:pPr>
        <w:pStyle w:val="FootnoteText"/>
      </w:pPr>
      <w:r w:rsidRPr="000134E1">
        <w:rPr>
          <w:rStyle w:val="FootnoteReference"/>
          <w:color w:val="262626" w:themeColor="text1" w:themeTint="D9"/>
        </w:rPr>
        <w:footnoteRef/>
      </w:r>
      <w:r w:rsidR="423A1873" w:rsidRPr="00516763">
        <w:rPr>
          <w:color w:val="262626" w:themeColor="text1" w:themeTint="D9"/>
        </w:rPr>
        <w:t xml:space="preserve"> A Ali et al. v. Hazelview et al. (n.d.). Social Rights Advocacy Centre</w:t>
      </w:r>
      <w:r w:rsidR="423A1873" w:rsidRPr="00516763">
        <w:rPr>
          <w:color w:val="0D0E82"/>
        </w:rPr>
        <w:t xml:space="preserve">. </w:t>
      </w:r>
      <w:hyperlink r:id="rId21">
        <w:r w:rsidR="423A1873" w:rsidRPr="00516763">
          <w:rPr>
            <w:rStyle w:val="Hyperlink"/>
          </w:rPr>
          <w:t>https://www.socialrights.ca/Herongate.html</w:t>
        </w:r>
      </w:hyperlink>
      <w:r w:rsidR="423A1873" w:rsidRPr="00516763">
        <w:t xml:space="preserve"> </w:t>
      </w:r>
    </w:p>
  </w:footnote>
  <w:footnote w:id="25">
    <w:p w14:paraId="7850D60C" w14:textId="2D2D044B" w:rsidR="3B4779E1" w:rsidRDefault="3B4779E1" w:rsidP="3B4779E1">
      <w:pPr>
        <w:pStyle w:val="FootnoteText"/>
        <w:rPr>
          <w:rFonts w:eastAsiaTheme="minorEastAsia"/>
        </w:rPr>
      </w:pPr>
      <w:r w:rsidRPr="3B4779E1">
        <w:rPr>
          <w:rStyle w:val="FootnoteReference"/>
        </w:rPr>
        <w:footnoteRef/>
      </w:r>
      <w:r w:rsidRPr="3B4779E1">
        <w:rPr>
          <w:rFonts w:eastAsiaTheme="minorEastAsia"/>
        </w:rPr>
        <w:t xml:space="preserve"> </w:t>
      </w:r>
      <w:r w:rsidRPr="3B4779E1">
        <w:rPr>
          <w:rFonts w:eastAsiaTheme="minorEastAsia"/>
          <w:i/>
          <w:iCs/>
          <w:color w:val="05103E"/>
        </w:rPr>
        <w:t>The National Right to Housing Network</w:t>
      </w:r>
      <w:r w:rsidRPr="3B4779E1">
        <w:rPr>
          <w:rFonts w:eastAsiaTheme="minorEastAsia"/>
          <w:color w:val="05103E"/>
        </w:rPr>
        <w:t xml:space="preserve">. (n.d.). The National Right to Housing Network. </w:t>
      </w:r>
      <w:hyperlink r:id="rId22">
        <w:r w:rsidRPr="3B4779E1">
          <w:rPr>
            <w:rStyle w:val="Hyperlink"/>
            <w:rFonts w:eastAsiaTheme="minorEastAsia"/>
          </w:rPr>
          <w:t>https://housingrights.ca/review-panel-financialization/</w:t>
        </w:r>
      </w:hyperlink>
    </w:p>
    <w:p w14:paraId="000D9D57" w14:textId="019D41AC" w:rsidR="3B4779E1" w:rsidRDefault="3B4779E1" w:rsidP="3B4779E1">
      <w:pPr>
        <w:pStyle w:val="FootnoteText"/>
        <w:rPr>
          <w:rFonts w:ascii="Times New Roman" w:eastAsia="Times New Roman" w:hAnsi="Times New Roman" w:cs="Times New Roman"/>
          <w:color w:val="05103E"/>
        </w:rPr>
      </w:pPr>
    </w:p>
  </w:footnote>
  <w:footnote w:id="26">
    <w:p w14:paraId="56AF2D75" w14:textId="65A68C27" w:rsidR="423A1873" w:rsidRDefault="423A1873" w:rsidP="423A1873">
      <w:pPr>
        <w:pStyle w:val="FootnoteText"/>
      </w:pPr>
      <w:r w:rsidRPr="000134E1">
        <w:rPr>
          <w:rStyle w:val="FootnoteReference"/>
          <w:color w:val="262626" w:themeColor="text1" w:themeTint="D9"/>
        </w:rPr>
        <w:footnoteRef/>
      </w:r>
      <w:r w:rsidRPr="000134E1">
        <w:rPr>
          <w:color w:val="262626" w:themeColor="text1" w:themeTint="D9"/>
        </w:rPr>
        <w:t xml:space="preserve"> Housing, Infrastructure and Communities Canada. (2024). National housing strategy: Renters’ bill of rights. Government of Canada. </w:t>
      </w:r>
      <w:hyperlink r:id="rId23">
        <w:r w:rsidRPr="423A1873">
          <w:rPr>
            <w:rStyle w:val="Hyperlink"/>
          </w:rPr>
          <w:t>https://housing-infrastructure.canada.ca/housing-logement/bill-rights-charte-droits/index-eng.html</w:t>
        </w:r>
      </w:hyperlink>
      <w:r>
        <w:t xml:space="preserve"> </w:t>
      </w:r>
    </w:p>
  </w:footnote>
  <w:footnote w:id="27">
    <w:p w14:paraId="20F93FED" w14:textId="25A1B52E" w:rsidR="14FCD005" w:rsidRPr="00516763" w:rsidRDefault="14FCD005" w:rsidP="24A7EEC6">
      <w:pPr>
        <w:pStyle w:val="FootnoteText"/>
        <w:rPr>
          <w:lang w:val="fr-CA"/>
        </w:rPr>
      </w:pPr>
      <w:r w:rsidRPr="000134E1">
        <w:rPr>
          <w:rStyle w:val="FootnoteReference"/>
          <w:color w:val="262626" w:themeColor="text1" w:themeTint="D9"/>
        </w:rPr>
        <w:footnoteRef/>
      </w:r>
      <w:r w:rsidR="423A1873" w:rsidRPr="000134E1">
        <w:rPr>
          <w:color w:val="262626" w:themeColor="text1" w:themeTint="D9"/>
        </w:rPr>
        <w:t xml:space="preserve"> Schwan, K., Versteegh, A., Perri, M., Caplan, R., Baig, K., Dej, E., Jenkinson, J., Brais, H., Eiboff, F., &amp; Pahlevan Chaleshtari, T. (2020). The State of Women’s Housing Need &amp; Homelessness in Canada: A Literature Review. </w:t>
      </w:r>
      <w:r w:rsidR="423A1873" w:rsidRPr="00516763">
        <w:rPr>
          <w:color w:val="262626" w:themeColor="text1" w:themeTint="D9"/>
          <w:lang w:val="fr-CA"/>
        </w:rPr>
        <w:t xml:space="preserve">Hache, A., Nelson, A., Kratochvil, E., &amp; Malenfant, J. (Eds), </w:t>
      </w:r>
      <w:hyperlink r:id="rId24">
        <w:r w:rsidR="423A1873" w:rsidRPr="00516763">
          <w:rPr>
            <w:rStyle w:val="Hyperlink"/>
            <w:lang w:val="fr-CA"/>
          </w:rPr>
          <w:t>https://womenshomelessness.ca/wpcontent/uploads/State-of-Womens-Homelessness-Literature-Review.pdf</w:t>
        </w:r>
      </w:hyperlink>
    </w:p>
  </w:footnote>
  <w:footnote w:id="28">
    <w:p w14:paraId="567E0C2E" w14:textId="3DB32E91" w:rsidR="14FCD005" w:rsidRPr="000134E1" w:rsidRDefault="14FCD005" w:rsidP="423A1873">
      <w:pPr>
        <w:pStyle w:val="FootnoteText"/>
        <w:rPr>
          <w:color w:val="262626" w:themeColor="text1" w:themeTint="D9"/>
        </w:rPr>
      </w:pPr>
      <w:r w:rsidRPr="000134E1">
        <w:rPr>
          <w:rStyle w:val="FootnoteReference"/>
          <w:color w:val="262626" w:themeColor="text1" w:themeTint="D9"/>
        </w:rPr>
        <w:footnoteRef/>
      </w:r>
      <w:r w:rsidR="423A1873" w:rsidRPr="000134E1">
        <w:rPr>
          <w:color w:val="262626" w:themeColor="text1" w:themeTint="D9"/>
        </w:rPr>
        <w:t xml:space="preserve"> </w:t>
      </w:r>
      <w:r w:rsidR="423A1873" w:rsidRPr="000134E1">
        <w:rPr>
          <w:rFonts w:ascii="Aptos" w:eastAsia="Aptos" w:hAnsi="Aptos" w:cs="Aptos"/>
          <w:color w:val="262626" w:themeColor="text1" w:themeTint="D9"/>
        </w:rPr>
        <w:t xml:space="preserve">Curry, K. (2018). Housing for First Nations, Inuit, and Métis Women. Native Women’s Association of Canada. Retrieved from https://www.nwac.ca/wp content/uploads/2018/07/ NWACFactSheet-Housing-20180220-FINAL.pdf   </w:t>
      </w:r>
    </w:p>
  </w:footnote>
  <w:footnote w:id="29">
    <w:p w14:paraId="6074B2C7" w14:textId="279EE0A3" w:rsidR="14FCD005" w:rsidRPr="000134E1" w:rsidRDefault="14FCD005" w:rsidP="24A7EEC6">
      <w:pPr>
        <w:pStyle w:val="FootnoteText"/>
        <w:rPr>
          <w:color w:val="262626" w:themeColor="text1" w:themeTint="D9"/>
        </w:rPr>
      </w:pPr>
      <w:r w:rsidRPr="000134E1">
        <w:rPr>
          <w:rStyle w:val="FootnoteReference"/>
          <w:color w:val="262626" w:themeColor="text1" w:themeTint="D9"/>
        </w:rPr>
        <w:footnoteRef/>
      </w:r>
      <w:r w:rsidR="423A1873" w:rsidRPr="000134E1">
        <w:rPr>
          <w:color w:val="262626" w:themeColor="text1" w:themeTint="D9"/>
          <w:lang w:val="fr-CA"/>
        </w:rPr>
        <w:t xml:space="preserve"> </w:t>
      </w:r>
      <w:r w:rsidR="423A1873" w:rsidRPr="000134E1">
        <w:rPr>
          <w:rFonts w:ascii="Aptos" w:eastAsia="Aptos" w:hAnsi="Aptos" w:cs="Aptos"/>
          <w:color w:val="262626" w:themeColor="text1" w:themeTint="D9"/>
          <w:lang w:val="fr-CA"/>
        </w:rPr>
        <w:t xml:space="preserve">Ristock, J., Zoccole, A., Passante, L., &amp; Potskin, J. (2019). </w:t>
      </w:r>
      <w:r w:rsidR="423A1873" w:rsidRPr="000134E1">
        <w:rPr>
          <w:rFonts w:ascii="Aptos" w:eastAsia="Aptos" w:hAnsi="Aptos" w:cs="Aptos"/>
          <w:color w:val="262626" w:themeColor="text1" w:themeTint="D9"/>
        </w:rPr>
        <w:t>Impacts of Colonization on Indigenous TwoSpirit/LGBTQ Canadians’ Experiences of Migration, Mobility and Relationship Violence. Sexualities 22, no. 5-6 (September 2019): 767–784.</w:t>
      </w:r>
    </w:p>
  </w:footnote>
  <w:footnote w:id="30">
    <w:p w14:paraId="10B14767" w14:textId="15C4DB0A" w:rsidR="14FCD005" w:rsidRPr="00C475B5" w:rsidRDefault="14FCD005" w:rsidP="24A7EEC6">
      <w:pPr>
        <w:pStyle w:val="FootnoteText"/>
        <w:rPr>
          <w:color w:val="0D0E82"/>
        </w:rPr>
      </w:pPr>
      <w:r w:rsidRPr="000134E1">
        <w:rPr>
          <w:rStyle w:val="FootnoteReference"/>
          <w:color w:val="262626" w:themeColor="text1" w:themeTint="D9"/>
        </w:rPr>
        <w:footnoteRef/>
      </w:r>
      <w:r w:rsidR="423A1873" w:rsidRPr="000134E1">
        <w:rPr>
          <w:color w:val="262626" w:themeColor="text1" w:themeTint="D9"/>
        </w:rPr>
        <w:t xml:space="preserve"> Bucik, A. (2016). Canada: Discrimination and violence against lesbian, bisexual, and transgender women and gender diverse and two spirit people on the basis of sexual orientation, gender identity and gender </w:t>
      </w:r>
      <w:r w:rsidR="423A1873" w:rsidRPr="00A01DF8">
        <w:rPr>
          <w:color w:val="262626" w:themeColor="text1" w:themeTint="D9"/>
        </w:rPr>
        <w:t>expression. Egale Canada.</w:t>
      </w:r>
      <w:r w:rsidR="008F2E57" w:rsidRPr="00A01DF8">
        <w:rPr>
          <w:color w:val="262626" w:themeColor="text1" w:themeTint="D9"/>
        </w:rPr>
        <w:t xml:space="preserve"> </w:t>
      </w:r>
      <w:r w:rsidR="423A1873" w:rsidRPr="00A01DF8">
        <w:rPr>
          <w:color w:val="262626" w:themeColor="text1" w:themeTint="D9"/>
        </w:rPr>
        <w:t xml:space="preserve">https://tbinternet.ohchr.org/Treaties/CEDAW/Shared%20Documents/CAN/INT_CEDAW_NGO_CAN_25380_ E.pdf </w:t>
      </w:r>
      <w:r w:rsidR="008F2E57" w:rsidRPr="00A01DF8">
        <w:rPr>
          <w:color w:val="262626" w:themeColor="text1" w:themeTint="D9"/>
        </w:rPr>
        <w:t xml:space="preserve"> </w:t>
      </w:r>
    </w:p>
  </w:footnote>
  <w:footnote w:id="31">
    <w:p w14:paraId="3A783348" w14:textId="094E7A8F" w:rsidR="14FCD005" w:rsidRDefault="14FCD005" w:rsidP="24A7EEC6">
      <w:pPr>
        <w:pStyle w:val="FootnoteText"/>
      </w:pPr>
      <w:r w:rsidRPr="00C475B5">
        <w:rPr>
          <w:rStyle w:val="FootnoteReference"/>
          <w:color w:val="0D0E82"/>
        </w:rPr>
        <w:footnoteRef/>
      </w:r>
      <w:r w:rsidR="423A1873" w:rsidRPr="00C475B5">
        <w:rPr>
          <w:color w:val="0D0E82"/>
        </w:rPr>
        <w:t xml:space="preserve"> </w:t>
      </w:r>
      <w:r w:rsidR="423A1873" w:rsidRPr="008F2E57">
        <w:rPr>
          <w:color w:val="262626" w:themeColor="text1" w:themeTint="D9"/>
        </w:rPr>
        <w:t xml:space="preserve">Abramovich A. (2017). Understanding How Policy and Culture Create Oppressive Conditions for LGBTQ2S Youth in the Shelter System. </w:t>
      </w:r>
      <w:r w:rsidR="423A1873" w:rsidRPr="008F2E57">
        <w:rPr>
          <w:i/>
          <w:color w:val="262626" w:themeColor="text1" w:themeTint="D9"/>
        </w:rPr>
        <w:t>Journal of homosexuality</w:t>
      </w:r>
      <w:r w:rsidR="423A1873" w:rsidRPr="008F2E57">
        <w:rPr>
          <w:color w:val="262626" w:themeColor="text1" w:themeTint="D9"/>
        </w:rPr>
        <w:t xml:space="preserve">, 64(11), 1484–1501. </w:t>
      </w:r>
      <w:hyperlink r:id="rId25">
        <w:r w:rsidR="423A1873" w:rsidRPr="423A1873">
          <w:rPr>
            <w:rStyle w:val="Hyperlink"/>
          </w:rPr>
          <w:t>https://doi.org/10.1080/00918369.2016.1244449</w:t>
        </w:r>
      </w:hyperlink>
      <w:r w:rsidR="423A1873">
        <w:t xml:space="preserve"> </w:t>
      </w:r>
    </w:p>
  </w:footnote>
  <w:footnote w:id="32">
    <w:p w14:paraId="70E50FBC" w14:textId="3377BB0B" w:rsidR="24A7EEC6" w:rsidRPr="00516763" w:rsidRDefault="24A7EEC6" w:rsidP="24A7EEC6">
      <w:pPr>
        <w:pStyle w:val="FootnoteText"/>
        <w:rPr>
          <w:lang w:val="fr-CA"/>
        </w:rPr>
      </w:pPr>
      <w:r w:rsidRPr="24A7EEC6">
        <w:rPr>
          <w:rStyle w:val="FootnoteReference"/>
        </w:rPr>
        <w:footnoteRef/>
      </w:r>
      <w:r w:rsidR="423A1873">
        <w:t xml:space="preserve"> </w:t>
      </w:r>
      <w:r w:rsidR="423A1873" w:rsidRPr="00A01DF8">
        <w:rPr>
          <w:color w:val="262626" w:themeColor="text1" w:themeTint="D9"/>
        </w:rPr>
        <w:t xml:space="preserve">Schwan, K., Versteegh, A., Perri, M., Caplan, R., Baig, K., Dej, E., Jenkinson, J., Brais, H., Eiboff, F., &amp; Pahlevan Chaleshtari, T. (2020). The State of Women’s Housing Need &amp; Homelessness in Canada: A Literature Review. </w:t>
      </w:r>
      <w:r w:rsidR="423A1873" w:rsidRPr="00516763">
        <w:rPr>
          <w:color w:val="262626" w:themeColor="text1" w:themeTint="D9"/>
          <w:lang w:val="fr-CA"/>
        </w:rPr>
        <w:t xml:space="preserve">Hache, A., Nelson, A., Kratochvil, E., &amp; Malenfant, J. (Eds), </w:t>
      </w:r>
      <w:hyperlink r:id="rId26">
        <w:r w:rsidR="423A1873" w:rsidRPr="00516763">
          <w:rPr>
            <w:rStyle w:val="Hyperlink"/>
            <w:lang w:val="fr-CA"/>
          </w:rPr>
          <w:t>https://womenshomelessness.ca/wpcontent/uploads/State-of-Womens-Homelessness-Literature-Review.pdf</w:t>
        </w:r>
      </w:hyperlink>
      <w:r w:rsidR="423A1873" w:rsidRPr="00516763">
        <w:rPr>
          <w:lang w:val="fr-CA"/>
        </w:rPr>
        <w:t xml:space="preserve"> </w:t>
      </w:r>
    </w:p>
  </w:footnote>
  <w:footnote w:id="33">
    <w:p w14:paraId="6F41540F" w14:textId="6BC09DCF" w:rsidR="14FCD005" w:rsidRPr="00A01DF8" w:rsidRDefault="14FCD005" w:rsidP="14FCD005">
      <w:pPr>
        <w:pStyle w:val="FootnoteText"/>
        <w:rPr>
          <w:color w:val="262626" w:themeColor="text1" w:themeTint="D9"/>
        </w:rPr>
      </w:pPr>
      <w:r w:rsidRPr="00A01DF8">
        <w:rPr>
          <w:rStyle w:val="FootnoteReference"/>
          <w:color w:val="262626" w:themeColor="text1" w:themeTint="D9"/>
        </w:rPr>
        <w:footnoteRef/>
      </w:r>
      <w:r w:rsidRPr="00A01DF8">
        <w:rPr>
          <w:color w:val="262626" w:themeColor="text1" w:themeTint="D9"/>
        </w:rPr>
        <w:t xml:space="preserve"> Ibid.</w:t>
      </w:r>
    </w:p>
  </w:footnote>
  <w:footnote w:id="34">
    <w:p w14:paraId="74BAD04C" w14:textId="591C751C" w:rsidR="423A1873" w:rsidRDefault="423A1873" w:rsidP="423A1873">
      <w:pPr>
        <w:pStyle w:val="FootnoteText"/>
        <w:rPr>
          <w:rFonts w:ascii="Segoe UI" w:eastAsia="Segoe UI" w:hAnsi="Segoe UI" w:cs="Segoe UI"/>
          <w:color w:val="000000" w:themeColor="text1"/>
          <w:sz w:val="18"/>
          <w:szCs w:val="18"/>
        </w:rPr>
      </w:pPr>
      <w:r w:rsidRPr="00A01DF8">
        <w:rPr>
          <w:rStyle w:val="FootnoteReference"/>
          <w:color w:val="262626" w:themeColor="text1" w:themeTint="D9"/>
        </w:rPr>
        <w:footnoteRef/>
      </w:r>
      <w:r w:rsidRPr="00A01DF8">
        <w:rPr>
          <w:color w:val="262626" w:themeColor="text1" w:themeTint="D9"/>
        </w:rPr>
        <w:t xml:space="preserve"> Women’s </w:t>
      </w:r>
      <w:r>
        <w:t xml:space="preserve">National Housing &amp; Homelessness Network. (2022). </w:t>
      </w:r>
      <w:r w:rsidRPr="423A1873">
        <w:t>The crisis ends with us: Request for review into the systemic denial of the equal right to housing of women and gender-diverse people in</w:t>
      </w:r>
      <w:r w:rsidRPr="423A1873">
        <w:rPr>
          <w:i/>
          <w:iCs/>
        </w:rPr>
        <w:t xml:space="preserve"> Canada</w:t>
      </w:r>
      <w:r>
        <w:t xml:space="preserve">. </w:t>
      </w:r>
      <w:hyperlink r:id="rId27">
        <w:r w:rsidRPr="423A1873">
          <w:rPr>
            <w:rStyle w:val="Hyperlink"/>
            <w:rFonts w:ascii="Segoe UI" w:eastAsia="Segoe UI" w:hAnsi="Segoe UI" w:cs="Segoe UI"/>
            <w:sz w:val="18"/>
            <w:szCs w:val="18"/>
          </w:rPr>
          <w:t>https://womenshomelessness.ca/wp-content/uploads/WNHHN-Claim-15-June-2022.pdf</w:t>
        </w:r>
      </w:hyperlink>
    </w:p>
  </w:footnote>
  <w:footnote w:id="35">
    <w:p w14:paraId="2E35E425" w14:textId="4FB4CB66" w:rsidR="423A1873" w:rsidRDefault="423A1873" w:rsidP="423A1873">
      <w:pPr>
        <w:pStyle w:val="FootnoteText"/>
        <w:rPr>
          <w:rFonts w:ascii="Segoe UI" w:eastAsia="Segoe UI" w:hAnsi="Segoe UI" w:cs="Segoe UI"/>
          <w:color w:val="000000" w:themeColor="text1"/>
          <w:sz w:val="18"/>
          <w:szCs w:val="18"/>
        </w:rPr>
      </w:pPr>
      <w:r w:rsidRPr="423A1873">
        <w:rPr>
          <w:rStyle w:val="FootnoteReference"/>
        </w:rPr>
        <w:footnoteRef/>
      </w:r>
      <w:r>
        <w:t xml:space="preserve"> National Indigenous Women’s Housing Network. (2022). </w:t>
      </w:r>
      <w:r w:rsidRPr="423A1873">
        <w:t>Homeless on homelands: Upholding housing as a human right for Indigenous women, girls, Two-Spirit and gender-diverse</w:t>
      </w:r>
      <w:r w:rsidRPr="423A1873">
        <w:rPr>
          <w:i/>
          <w:iCs/>
        </w:rPr>
        <w:t xml:space="preserve"> people</w:t>
      </w:r>
      <w:r>
        <w:t xml:space="preserve">. </w:t>
      </w:r>
      <w:hyperlink r:id="rId28">
        <w:r w:rsidRPr="423A1873">
          <w:rPr>
            <w:rStyle w:val="Hyperlink"/>
            <w:rFonts w:ascii="Segoe UI" w:eastAsia="Segoe UI" w:hAnsi="Segoe UI" w:cs="Segoe UI"/>
            <w:sz w:val="18"/>
            <w:szCs w:val="18"/>
          </w:rPr>
          <w:t>https://womenshomelessness.ca/wp-content/uploads/Indigenous-Housing-Claim-June-15-2022.pdf</w:t>
        </w:r>
      </w:hyperlink>
    </w:p>
  </w:footnote>
  <w:footnote w:id="36">
    <w:p w14:paraId="24797EEF" w14:textId="234539DC" w:rsidR="14FCD005" w:rsidRDefault="14FCD005" w:rsidP="24A7EEC6">
      <w:pPr>
        <w:pStyle w:val="FootnoteText"/>
      </w:pPr>
      <w:r w:rsidRPr="14FCD005">
        <w:rPr>
          <w:rStyle w:val="FootnoteReference"/>
        </w:rPr>
        <w:footnoteRef/>
      </w:r>
      <w:r w:rsidR="423A1873">
        <w:t xml:space="preserve"> Neha Review Panel. (2025). </w:t>
      </w:r>
      <w:r w:rsidR="423A1873" w:rsidRPr="423A1873">
        <w:t>We are human. We deserve a place to live. It’s that simple: Final report and recommendations of the Neha review panel. National Housing Coun</w:t>
      </w:r>
      <w:r w:rsidR="423A1873">
        <w:t xml:space="preserve">cil. </w:t>
      </w:r>
      <w:hyperlink r:id="rId29">
        <w:r w:rsidR="423A1873" w:rsidRPr="423A1873">
          <w:rPr>
            <w:rStyle w:val="Hyperlink"/>
          </w:rPr>
          <w:t>https://nhc-cnl.ca/media/Neha/Reports/final-report-and-recommendations-ENGLISH%20(web).pdf</w:t>
        </w:r>
      </w:hyperlink>
      <w:r w:rsidR="423A18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C4AAE" w14:textId="77777777" w:rsidR="004820F7" w:rsidRDefault="004820F7">
    <w:pPr>
      <w:pStyle w:val="Header"/>
    </w:pPr>
  </w:p>
</w:hdr>
</file>

<file path=word/intelligence2.xml><?xml version="1.0" encoding="utf-8"?>
<int2:intelligence xmlns:int2="http://schemas.microsoft.com/office/intelligence/2020/intelligence" xmlns:oel="http://schemas.microsoft.com/office/2019/extlst">
  <int2:observations>
    <int2:textHash int2:hashCode="NBZypjB5eVlrKD" int2:id="31wwstu7">
      <int2:state int2:value="Rejected" int2:type="spell"/>
    </int2:textHash>
    <int2:textHash int2:hashCode="F4WpPlqWjzcnj2" int2:id="P74Yv0c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4B37"/>
    <w:multiLevelType w:val="hybridMultilevel"/>
    <w:tmpl w:val="65C822C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BD348C"/>
    <w:multiLevelType w:val="hybridMultilevel"/>
    <w:tmpl w:val="1A72EA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4CA34E2"/>
    <w:multiLevelType w:val="hybridMultilevel"/>
    <w:tmpl w:val="3DC659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C2C0D0D"/>
    <w:multiLevelType w:val="hybridMultilevel"/>
    <w:tmpl w:val="A3243668"/>
    <w:lvl w:ilvl="0" w:tplc="AE5CB45E">
      <w:start w:val="1"/>
      <w:numFmt w:val="bullet"/>
      <w:lvlText w:val=""/>
      <w:lvlJc w:val="left"/>
      <w:pPr>
        <w:ind w:left="720" w:hanging="360"/>
      </w:pPr>
      <w:rPr>
        <w:rFonts w:ascii="Symbol" w:hAnsi="Symbol" w:hint="default"/>
      </w:rPr>
    </w:lvl>
    <w:lvl w:ilvl="1" w:tplc="F6167260">
      <w:start w:val="1"/>
      <w:numFmt w:val="bullet"/>
      <w:lvlText w:val="o"/>
      <w:lvlJc w:val="left"/>
      <w:pPr>
        <w:ind w:left="1440" w:hanging="360"/>
      </w:pPr>
      <w:rPr>
        <w:rFonts w:ascii="Courier New" w:hAnsi="Courier New" w:hint="default"/>
      </w:rPr>
    </w:lvl>
    <w:lvl w:ilvl="2" w:tplc="480662D6">
      <w:start w:val="1"/>
      <w:numFmt w:val="bullet"/>
      <w:lvlText w:val=""/>
      <w:lvlJc w:val="left"/>
      <w:pPr>
        <w:ind w:left="2160" w:hanging="360"/>
      </w:pPr>
      <w:rPr>
        <w:rFonts w:ascii="Wingdings" w:hAnsi="Wingdings" w:hint="default"/>
      </w:rPr>
    </w:lvl>
    <w:lvl w:ilvl="3" w:tplc="0E402630">
      <w:start w:val="1"/>
      <w:numFmt w:val="bullet"/>
      <w:lvlText w:val=""/>
      <w:lvlJc w:val="left"/>
      <w:pPr>
        <w:ind w:left="2880" w:hanging="360"/>
      </w:pPr>
      <w:rPr>
        <w:rFonts w:ascii="Symbol" w:hAnsi="Symbol" w:hint="default"/>
      </w:rPr>
    </w:lvl>
    <w:lvl w:ilvl="4" w:tplc="4CB4F7BC">
      <w:start w:val="1"/>
      <w:numFmt w:val="bullet"/>
      <w:lvlText w:val="o"/>
      <w:lvlJc w:val="left"/>
      <w:pPr>
        <w:ind w:left="3600" w:hanging="360"/>
      </w:pPr>
      <w:rPr>
        <w:rFonts w:ascii="Courier New" w:hAnsi="Courier New" w:hint="default"/>
      </w:rPr>
    </w:lvl>
    <w:lvl w:ilvl="5" w:tplc="93A6B830">
      <w:start w:val="1"/>
      <w:numFmt w:val="bullet"/>
      <w:lvlText w:val=""/>
      <w:lvlJc w:val="left"/>
      <w:pPr>
        <w:ind w:left="4320" w:hanging="360"/>
      </w:pPr>
      <w:rPr>
        <w:rFonts w:ascii="Wingdings" w:hAnsi="Wingdings" w:hint="default"/>
      </w:rPr>
    </w:lvl>
    <w:lvl w:ilvl="6" w:tplc="82B62674">
      <w:start w:val="1"/>
      <w:numFmt w:val="bullet"/>
      <w:lvlText w:val=""/>
      <w:lvlJc w:val="left"/>
      <w:pPr>
        <w:ind w:left="5040" w:hanging="360"/>
      </w:pPr>
      <w:rPr>
        <w:rFonts w:ascii="Symbol" w:hAnsi="Symbol" w:hint="default"/>
      </w:rPr>
    </w:lvl>
    <w:lvl w:ilvl="7" w:tplc="818082E0">
      <w:start w:val="1"/>
      <w:numFmt w:val="bullet"/>
      <w:lvlText w:val="o"/>
      <w:lvlJc w:val="left"/>
      <w:pPr>
        <w:ind w:left="5760" w:hanging="360"/>
      </w:pPr>
      <w:rPr>
        <w:rFonts w:ascii="Courier New" w:hAnsi="Courier New" w:hint="default"/>
      </w:rPr>
    </w:lvl>
    <w:lvl w:ilvl="8" w:tplc="630AF7B2">
      <w:start w:val="1"/>
      <w:numFmt w:val="bullet"/>
      <w:lvlText w:val=""/>
      <w:lvlJc w:val="left"/>
      <w:pPr>
        <w:ind w:left="6480" w:hanging="360"/>
      </w:pPr>
      <w:rPr>
        <w:rFonts w:ascii="Wingdings" w:hAnsi="Wingdings" w:hint="default"/>
      </w:rPr>
    </w:lvl>
  </w:abstractNum>
  <w:abstractNum w:abstractNumId="4" w15:restartNumberingAfterBreak="0">
    <w:nsid w:val="1F3451D9"/>
    <w:multiLevelType w:val="hybridMultilevel"/>
    <w:tmpl w:val="5D201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35256A"/>
    <w:multiLevelType w:val="hybridMultilevel"/>
    <w:tmpl w:val="5A40E40C"/>
    <w:lvl w:ilvl="0" w:tplc="10090005">
      <w:start w:val="1"/>
      <w:numFmt w:val="bullet"/>
      <w:lvlText w:val=""/>
      <w:lvlJc w:val="left"/>
      <w:pPr>
        <w:ind w:left="720" w:hanging="360"/>
      </w:pPr>
      <w:rPr>
        <w:rFonts w:ascii="Wingdings" w:hAnsi="Wingdings" w:hint="default"/>
        <w:color w:val="262626" w:themeColor="text1" w:themeTint="D9"/>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33547CD"/>
    <w:multiLevelType w:val="multilevel"/>
    <w:tmpl w:val="84227DA8"/>
    <w:lvl w:ilvl="0">
      <w:start w:val="1"/>
      <w:numFmt w:val="bullet"/>
      <w:lvlText w:val=""/>
      <w:lvlJc w:val="left"/>
      <w:pPr>
        <w:tabs>
          <w:tab w:val="num" w:pos="720"/>
        </w:tabs>
        <w:ind w:left="720" w:hanging="360"/>
      </w:pPr>
      <w:rPr>
        <w:rFonts w:ascii="Wingdings" w:hAnsi="Wingdings" w:hint="default"/>
        <w:color w:val="404040" w:themeColor="text1" w:themeTint="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E41314"/>
    <w:multiLevelType w:val="hybridMultilevel"/>
    <w:tmpl w:val="9D16DAEC"/>
    <w:lvl w:ilvl="0" w:tplc="22E644F8">
      <w:start w:val="1"/>
      <w:numFmt w:val="bullet"/>
      <w:lvlText w:val=""/>
      <w:lvlJc w:val="left"/>
      <w:pPr>
        <w:ind w:left="720" w:hanging="360"/>
      </w:pPr>
      <w:rPr>
        <w:rFonts w:ascii="Symbol" w:hAnsi="Symbol" w:hint="default"/>
      </w:rPr>
    </w:lvl>
    <w:lvl w:ilvl="1" w:tplc="2B70C282">
      <w:start w:val="1"/>
      <w:numFmt w:val="bullet"/>
      <w:lvlText w:val="o"/>
      <w:lvlJc w:val="left"/>
      <w:pPr>
        <w:ind w:left="1440" w:hanging="360"/>
      </w:pPr>
      <w:rPr>
        <w:rFonts w:ascii="Courier New" w:hAnsi="Courier New" w:hint="default"/>
      </w:rPr>
    </w:lvl>
    <w:lvl w:ilvl="2" w:tplc="A434056E">
      <w:start w:val="1"/>
      <w:numFmt w:val="bullet"/>
      <w:lvlText w:val=""/>
      <w:lvlJc w:val="left"/>
      <w:pPr>
        <w:ind w:left="2160" w:hanging="360"/>
      </w:pPr>
      <w:rPr>
        <w:rFonts w:ascii="Wingdings" w:hAnsi="Wingdings" w:hint="default"/>
      </w:rPr>
    </w:lvl>
    <w:lvl w:ilvl="3" w:tplc="C4F44F96">
      <w:start w:val="1"/>
      <w:numFmt w:val="bullet"/>
      <w:lvlText w:val=""/>
      <w:lvlJc w:val="left"/>
      <w:pPr>
        <w:ind w:left="2880" w:hanging="360"/>
      </w:pPr>
      <w:rPr>
        <w:rFonts w:ascii="Symbol" w:hAnsi="Symbol" w:hint="default"/>
      </w:rPr>
    </w:lvl>
    <w:lvl w:ilvl="4" w:tplc="9FCAA166">
      <w:start w:val="1"/>
      <w:numFmt w:val="bullet"/>
      <w:lvlText w:val="o"/>
      <w:lvlJc w:val="left"/>
      <w:pPr>
        <w:ind w:left="3600" w:hanging="360"/>
      </w:pPr>
      <w:rPr>
        <w:rFonts w:ascii="Courier New" w:hAnsi="Courier New" w:hint="default"/>
      </w:rPr>
    </w:lvl>
    <w:lvl w:ilvl="5" w:tplc="5010FA6E">
      <w:start w:val="1"/>
      <w:numFmt w:val="bullet"/>
      <w:lvlText w:val=""/>
      <w:lvlJc w:val="left"/>
      <w:pPr>
        <w:ind w:left="4320" w:hanging="360"/>
      </w:pPr>
      <w:rPr>
        <w:rFonts w:ascii="Wingdings" w:hAnsi="Wingdings" w:hint="default"/>
      </w:rPr>
    </w:lvl>
    <w:lvl w:ilvl="6" w:tplc="1658AC80">
      <w:start w:val="1"/>
      <w:numFmt w:val="bullet"/>
      <w:lvlText w:val=""/>
      <w:lvlJc w:val="left"/>
      <w:pPr>
        <w:ind w:left="5040" w:hanging="360"/>
      </w:pPr>
      <w:rPr>
        <w:rFonts w:ascii="Symbol" w:hAnsi="Symbol" w:hint="default"/>
      </w:rPr>
    </w:lvl>
    <w:lvl w:ilvl="7" w:tplc="4FA4C2AA">
      <w:start w:val="1"/>
      <w:numFmt w:val="bullet"/>
      <w:lvlText w:val="o"/>
      <w:lvlJc w:val="left"/>
      <w:pPr>
        <w:ind w:left="5760" w:hanging="360"/>
      </w:pPr>
      <w:rPr>
        <w:rFonts w:ascii="Courier New" w:hAnsi="Courier New" w:hint="default"/>
      </w:rPr>
    </w:lvl>
    <w:lvl w:ilvl="8" w:tplc="A3FEAF30">
      <w:start w:val="1"/>
      <w:numFmt w:val="bullet"/>
      <w:lvlText w:val=""/>
      <w:lvlJc w:val="left"/>
      <w:pPr>
        <w:ind w:left="6480" w:hanging="360"/>
      </w:pPr>
      <w:rPr>
        <w:rFonts w:ascii="Wingdings" w:hAnsi="Wingdings" w:hint="default"/>
      </w:rPr>
    </w:lvl>
  </w:abstractNum>
  <w:abstractNum w:abstractNumId="8" w15:restartNumberingAfterBreak="0">
    <w:nsid w:val="39DCA418"/>
    <w:multiLevelType w:val="hybridMultilevel"/>
    <w:tmpl w:val="DE18E8B0"/>
    <w:lvl w:ilvl="0" w:tplc="50F2B392">
      <w:start w:val="1"/>
      <w:numFmt w:val="bullet"/>
      <w:lvlText w:val=""/>
      <w:lvlJc w:val="left"/>
      <w:pPr>
        <w:ind w:left="720" w:hanging="360"/>
      </w:pPr>
      <w:rPr>
        <w:rFonts w:ascii="Symbol" w:hAnsi="Symbol" w:hint="default"/>
      </w:rPr>
    </w:lvl>
    <w:lvl w:ilvl="1" w:tplc="6A06F1A4">
      <w:start w:val="1"/>
      <w:numFmt w:val="bullet"/>
      <w:lvlText w:val="o"/>
      <w:lvlJc w:val="left"/>
      <w:pPr>
        <w:ind w:left="1440" w:hanging="360"/>
      </w:pPr>
      <w:rPr>
        <w:rFonts w:ascii="Courier New" w:hAnsi="Courier New" w:hint="default"/>
      </w:rPr>
    </w:lvl>
    <w:lvl w:ilvl="2" w:tplc="CB4A61E0">
      <w:start w:val="1"/>
      <w:numFmt w:val="bullet"/>
      <w:lvlText w:val=""/>
      <w:lvlJc w:val="left"/>
      <w:pPr>
        <w:ind w:left="2160" w:hanging="360"/>
      </w:pPr>
      <w:rPr>
        <w:rFonts w:ascii="Wingdings" w:hAnsi="Wingdings" w:hint="default"/>
      </w:rPr>
    </w:lvl>
    <w:lvl w:ilvl="3" w:tplc="32847396">
      <w:start w:val="1"/>
      <w:numFmt w:val="bullet"/>
      <w:lvlText w:val=""/>
      <w:lvlJc w:val="left"/>
      <w:pPr>
        <w:ind w:left="2880" w:hanging="360"/>
      </w:pPr>
      <w:rPr>
        <w:rFonts w:ascii="Symbol" w:hAnsi="Symbol" w:hint="default"/>
      </w:rPr>
    </w:lvl>
    <w:lvl w:ilvl="4" w:tplc="D75A3074">
      <w:start w:val="1"/>
      <w:numFmt w:val="bullet"/>
      <w:lvlText w:val="o"/>
      <w:lvlJc w:val="left"/>
      <w:pPr>
        <w:ind w:left="3600" w:hanging="360"/>
      </w:pPr>
      <w:rPr>
        <w:rFonts w:ascii="Courier New" w:hAnsi="Courier New" w:hint="default"/>
      </w:rPr>
    </w:lvl>
    <w:lvl w:ilvl="5" w:tplc="1AF477E6">
      <w:start w:val="1"/>
      <w:numFmt w:val="bullet"/>
      <w:lvlText w:val=""/>
      <w:lvlJc w:val="left"/>
      <w:pPr>
        <w:ind w:left="4320" w:hanging="360"/>
      </w:pPr>
      <w:rPr>
        <w:rFonts w:ascii="Wingdings" w:hAnsi="Wingdings" w:hint="default"/>
      </w:rPr>
    </w:lvl>
    <w:lvl w:ilvl="6" w:tplc="569C138C">
      <w:start w:val="1"/>
      <w:numFmt w:val="bullet"/>
      <w:lvlText w:val=""/>
      <w:lvlJc w:val="left"/>
      <w:pPr>
        <w:ind w:left="5040" w:hanging="360"/>
      </w:pPr>
      <w:rPr>
        <w:rFonts w:ascii="Symbol" w:hAnsi="Symbol" w:hint="default"/>
      </w:rPr>
    </w:lvl>
    <w:lvl w:ilvl="7" w:tplc="2E68D712">
      <w:start w:val="1"/>
      <w:numFmt w:val="bullet"/>
      <w:lvlText w:val="o"/>
      <w:lvlJc w:val="left"/>
      <w:pPr>
        <w:ind w:left="5760" w:hanging="360"/>
      </w:pPr>
      <w:rPr>
        <w:rFonts w:ascii="Courier New" w:hAnsi="Courier New" w:hint="default"/>
      </w:rPr>
    </w:lvl>
    <w:lvl w:ilvl="8" w:tplc="6FF46A2A">
      <w:start w:val="1"/>
      <w:numFmt w:val="bullet"/>
      <w:lvlText w:val=""/>
      <w:lvlJc w:val="left"/>
      <w:pPr>
        <w:ind w:left="6480" w:hanging="360"/>
      </w:pPr>
      <w:rPr>
        <w:rFonts w:ascii="Wingdings" w:hAnsi="Wingdings" w:hint="default"/>
      </w:rPr>
    </w:lvl>
  </w:abstractNum>
  <w:abstractNum w:abstractNumId="9" w15:restartNumberingAfterBreak="0">
    <w:nsid w:val="3D5EB56F"/>
    <w:multiLevelType w:val="hybridMultilevel"/>
    <w:tmpl w:val="C7E8C5AC"/>
    <w:lvl w:ilvl="0" w:tplc="020E1684">
      <w:start w:val="1"/>
      <w:numFmt w:val="bullet"/>
      <w:lvlText w:val=""/>
      <w:lvlJc w:val="left"/>
      <w:pPr>
        <w:ind w:left="720" w:hanging="360"/>
      </w:pPr>
      <w:rPr>
        <w:rFonts w:ascii="Symbol" w:hAnsi="Symbol" w:hint="default"/>
      </w:rPr>
    </w:lvl>
    <w:lvl w:ilvl="1" w:tplc="263C3126">
      <w:start w:val="1"/>
      <w:numFmt w:val="bullet"/>
      <w:lvlText w:val="o"/>
      <w:lvlJc w:val="left"/>
      <w:pPr>
        <w:ind w:left="1440" w:hanging="360"/>
      </w:pPr>
      <w:rPr>
        <w:rFonts w:ascii="Courier New" w:hAnsi="Courier New" w:hint="default"/>
      </w:rPr>
    </w:lvl>
    <w:lvl w:ilvl="2" w:tplc="0714E744">
      <w:start w:val="1"/>
      <w:numFmt w:val="bullet"/>
      <w:lvlText w:val=""/>
      <w:lvlJc w:val="left"/>
      <w:pPr>
        <w:ind w:left="2160" w:hanging="360"/>
      </w:pPr>
      <w:rPr>
        <w:rFonts w:ascii="Wingdings" w:hAnsi="Wingdings" w:hint="default"/>
      </w:rPr>
    </w:lvl>
    <w:lvl w:ilvl="3" w:tplc="D0E2E454">
      <w:start w:val="1"/>
      <w:numFmt w:val="bullet"/>
      <w:lvlText w:val=""/>
      <w:lvlJc w:val="left"/>
      <w:pPr>
        <w:ind w:left="2880" w:hanging="360"/>
      </w:pPr>
      <w:rPr>
        <w:rFonts w:ascii="Symbol" w:hAnsi="Symbol" w:hint="default"/>
      </w:rPr>
    </w:lvl>
    <w:lvl w:ilvl="4" w:tplc="05BC7608">
      <w:start w:val="1"/>
      <w:numFmt w:val="bullet"/>
      <w:lvlText w:val="o"/>
      <w:lvlJc w:val="left"/>
      <w:pPr>
        <w:ind w:left="3600" w:hanging="360"/>
      </w:pPr>
      <w:rPr>
        <w:rFonts w:ascii="Courier New" w:hAnsi="Courier New" w:hint="default"/>
      </w:rPr>
    </w:lvl>
    <w:lvl w:ilvl="5" w:tplc="7B54E8AE">
      <w:start w:val="1"/>
      <w:numFmt w:val="bullet"/>
      <w:lvlText w:val=""/>
      <w:lvlJc w:val="left"/>
      <w:pPr>
        <w:ind w:left="4320" w:hanging="360"/>
      </w:pPr>
      <w:rPr>
        <w:rFonts w:ascii="Wingdings" w:hAnsi="Wingdings" w:hint="default"/>
      </w:rPr>
    </w:lvl>
    <w:lvl w:ilvl="6" w:tplc="21D09F4E">
      <w:start w:val="1"/>
      <w:numFmt w:val="bullet"/>
      <w:lvlText w:val=""/>
      <w:lvlJc w:val="left"/>
      <w:pPr>
        <w:ind w:left="5040" w:hanging="360"/>
      </w:pPr>
      <w:rPr>
        <w:rFonts w:ascii="Symbol" w:hAnsi="Symbol" w:hint="default"/>
      </w:rPr>
    </w:lvl>
    <w:lvl w:ilvl="7" w:tplc="DB44710E">
      <w:start w:val="1"/>
      <w:numFmt w:val="bullet"/>
      <w:lvlText w:val="o"/>
      <w:lvlJc w:val="left"/>
      <w:pPr>
        <w:ind w:left="5760" w:hanging="360"/>
      </w:pPr>
      <w:rPr>
        <w:rFonts w:ascii="Courier New" w:hAnsi="Courier New" w:hint="default"/>
      </w:rPr>
    </w:lvl>
    <w:lvl w:ilvl="8" w:tplc="AE0C9604">
      <w:start w:val="1"/>
      <w:numFmt w:val="bullet"/>
      <w:lvlText w:val=""/>
      <w:lvlJc w:val="left"/>
      <w:pPr>
        <w:ind w:left="6480" w:hanging="360"/>
      </w:pPr>
      <w:rPr>
        <w:rFonts w:ascii="Wingdings" w:hAnsi="Wingdings" w:hint="default"/>
      </w:rPr>
    </w:lvl>
  </w:abstractNum>
  <w:abstractNum w:abstractNumId="10" w15:restartNumberingAfterBreak="0">
    <w:nsid w:val="4E0D1C77"/>
    <w:multiLevelType w:val="hybridMultilevel"/>
    <w:tmpl w:val="C2606DDC"/>
    <w:lvl w:ilvl="0" w:tplc="24983804">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9D4198"/>
    <w:multiLevelType w:val="hybridMultilevel"/>
    <w:tmpl w:val="29ECA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B159C2"/>
    <w:multiLevelType w:val="hybridMultilevel"/>
    <w:tmpl w:val="567401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6F9318C"/>
    <w:multiLevelType w:val="hybridMultilevel"/>
    <w:tmpl w:val="7578F688"/>
    <w:lvl w:ilvl="0" w:tplc="567E9D20">
      <w:numFmt w:val="bullet"/>
      <w:lvlText w:val="-"/>
      <w:lvlJc w:val="left"/>
      <w:pPr>
        <w:ind w:left="720" w:hanging="360"/>
      </w:pPr>
      <w:rPr>
        <w:rFonts w:ascii="Aptos" w:eastAsiaTheme="minorHAnsi" w:hAnsi="Apto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751D14F"/>
    <w:multiLevelType w:val="hybridMultilevel"/>
    <w:tmpl w:val="AEF45E88"/>
    <w:lvl w:ilvl="0" w:tplc="1C80B28C">
      <w:start w:val="1"/>
      <w:numFmt w:val="bullet"/>
      <w:lvlText w:val=""/>
      <w:lvlJc w:val="left"/>
      <w:pPr>
        <w:ind w:left="720" w:hanging="360"/>
      </w:pPr>
      <w:rPr>
        <w:rFonts w:ascii="Symbol" w:hAnsi="Symbol" w:hint="default"/>
      </w:rPr>
    </w:lvl>
    <w:lvl w:ilvl="1" w:tplc="424E20C2">
      <w:start w:val="1"/>
      <w:numFmt w:val="bullet"/>
      <w:lvlText w:val="o"/>
      <w:lvlJc w:val="left"/>
      <w:pPr>
        <w:ind w:left="1440" w:hanging="360"/>
      </w:pPr>
      <w:rPr>
        <w:rFonts w:ascii="Courier New" w:hAnsi="Courier New" w:hint="default"/>
      </w:rPr>
    </w:lvl>
    <w:lvl w:ilvl="2" w:tplc="0180F5F8">
      <w:start w:val="1"/>
      <w:numFmt w:val="bullet"/>
      <w:lvlText w:val=""/>
      <w:lvlJc w:val="left"/>
      <w:pPr>
        <w:ind w:left="2160" w:hanging="360"/>
      </w:pPr>
      <w:rPr>
        <w:rFonts w:ascii="Wingdings" w:hAnsi="Wingdings" w:hint="default"/>
      </w:rPr>
    </w:lvl>
    <w:lvl w:ilvl="3" w:tplc="F1C6E32A">
      <w:start w:val="1"/>
      <w:numFmt w:val="bullet"/>
      <w:lvlText w:val=""/>
      <w:lvlJc w:val="left"/>
      <w:pPr>
        <w:ind w:left="2880" w:hanging="360"/>
      </w:pPr>
      <w:rPr>
        <w:rFonts w:ascii="Symbol" w:hAnsi="Symbol" w:hint="default"/>
      </w:rPr>
    </w:lvl>
    <w:lvl w:ilvl="4" w:tplc="3D7C4B6E">
      <w:start w:val="1"/>
      <w:numFmt w:val="bullet"/>
      <w:lvlText w:val="o"/>
      <w:lvlJc w:val="left"/>
      <w:pPr>
        <w:ind w:left="3600" w:hanging="360"/>
      </w:pPr>
      <w:rPr>
        <w:rFonts w:ascii="Courier New" w:hAnsi="Courier New" w:hint="default"/>
      </w:rPr>
    </w:lvl>
    <w:lvl w:ilvl="5" w:tplc="1ABAC954">
      <w:start w:val="1"/>
      <w:numFmt w:val="bullet"/>
      <w:lvlText w:val=""/>
      <w:lvlJc w:val="left"/>
      <w:pPr>
        <w:ind w:left="4320" w:hanging="360"/>
      </w:pPr>
      <w:rPr>
        <w:rFonts w:ascii="Wingdings" w:hAnsi="Wingdings" w:hint="default"/>
      </w:rPr>
    </w:lvl>
    <w:lvl w:ilvl="6" w:tplc="2078EA94">
      <w:start w:val="1"/>
      <w:numFmt w:val="bullet"/>
      <w:lvlText w:val=""/>
      <w:lvlJc w:val="left"/>
      <w:pPr>
        <w:ind w:left="5040" w:hanging="360"/>
      </w:pPr>
      <w:rPr>
        <w:rFonts w:ascii="Symbol" w:hAnsi="Symbol" w:hint="default"/>
      </w:rPr>
    </w:lvl>
    <w:lvl w:ilvl="7" w:tplc="AF4ED2DC">
      <w:start w:val="1"/>
      <w:numFmt w:val="bullet"/>
      <w:lvlText w:val="o"/>
      <w:lvlJc w:val="left"/>
      <w:pPr>
        <w:ind w:left="5760" w:hanging="360"/>
      </w:pPr>
      <w:rPr>
        <w:rFonts w:ascii="Courier New" w:hAnsi="Courier New" w:hint="default"/>
      </w:rPr>
    </w:lvl>
    <w:lvl w:ilvl="8" w:tplc="E12E4B42">
      <w:start w:val="1"/>
      <w:numFmt w:val="bullet"/>
      <w:lvlText w:val=""/>
      <w:lvlJc w:val="left"/>
      <w:pPr>
        <w:ind w:left="6480" w:hanging="360"/>
      </w:pPr>
      <w:rPr>
        <w:rFonts w:ascii="Wingdings" w:hAnsi="Wingdings" w:hint="default"/>
      </w:rPr>
    </w:lvl>
  </w:abstractNum>
  <w:num w:numId="1" w16cid:durableId="867840764">
    <w:abstractNumId w:val="8"/>
  </w:num>
  <w:num w:numId="2" w16cid:durableId="1235630843">
    <w:abstractNumId w:val="9"/>
  </w:num>
  <w:num w:numId="3" w16cid:durableId="1209219606">
    <w:abstractNumId w:val="3"/>
  </w:num>
  <w:num w:numId="4" w16cid:durableId="490799785">
    <w:abstractNumId w:val="14"/>
  </w:num>
  <w:num w:numId="5" w16cid:durableId="816071227">
    <w:abstractNumId w:val="7"/>
  </w:num>
  <w:num w:numId="6" w16cid:durableId="1117530595">
    <w:abstractNumId w:val="13"/>
  </w:num>
  <w:num w:numId="7" w16cid:durableId="1883007850">
    <w:abstractNumId w:val="1"/>
  </w:num>
  <w:num w:numId="8" w16cid:durableId="374623714">
    <w:abstractNumId w:val="2"/>
  </w:num>
  <w:num w:numId="9" w16cid:durableId="1340615349">
    <w:abstractNumId w:val="12"/>
  </w:num>
  <w:num w:numId="10" w16cid:durableId="1858732230">
    <w:abstractNumId w:val="6"/>
  </w:num>
  <w:num w:numId="11" w16cid:durableId="1382361541">
    <w:abstractNumId w:val="4"/>
  </w:num>
  <w:num w:numId="12" w16cid:durableId="1821264704">
    <w:abstractNumId w:val="11"/>
  </w:num>
  <w:num w:numId="13" w16cid:durableId="759103538">
    <w:abstractNumId w:val="10"/>
  </w:num>
  <w:num w:numId="14" w16cid:durableId="2086956086">
    <w:abstractNumId w:val="5"/>
  </w:num>
  <w:num w:numId="15" w16cid:durableId="17388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7D2"/>
    <w:rsid w:val="000029A5"/>
    <w:rsid w:val="000037B3"/>
    <w:rsid w:val="0000383E"/>
    <w:rsid w:val="00005DB5"/>
    <w:rsid w:val="00007D37"/>
    <w:rsid w:val="000133D9"/>
    <w:rsid w:val="000134E1"/>
    <w:rsid w:val="00013B2A"/>
    <w:rsid w:val="00015B5E"/>
    <w:rsid w:val="0002200F"/>
    <w:rsid w:val="00022ACB"/>
    <w:rsid w:val="0002529E"/>
    <w:rsid w:val="000260F2"/>
    <w:rsid w:val="0003185F"/>
    <w:rsid w:val="00032ED9"/>
    <w:rsid w:val="00033131"/>
    <w:rsid w:val="00035093"/>
    <w:rsid w:val="00035E1F"/>
    <w:rsid w:val="0004087A"/>
    <w:rsid w:val="00047268"/>
    <w:rsid w:val="00053F4C"/>
    <w:rsid w:val="000638BD"/>
    <w:rsid w:val="00064BDA"/>
    <w:rsid w:val="00067DA4"/>
    <w:rsid w:val="000705C3"/>
    <w:rsid w:val="000715DB"/>
    <w:rsid w:val="00071E01"/>
    <w:rsid w:val="0007649B"/>
    <w:rsid w:val="00076B8F"/>
    <w:rsid w:val="000806E9"/>
    <w:rsid w:val="000853C8"/>
    <w:rsid w:val="00092DE6"/>
    <w:rsid w:val="00092EF3"/>
    <w:rsid w:val="000946ED"/>
    <w:rsid w:val="00096266"/>
    <w:rsid w:val="000A15AB"/>
    <w:rsid w:val="000A4F0F"/>
    <w:rsid w:val="000A68A3"/>
    <w:rsid w:val="000A753D"/>
    <w:rsid w:val="000B2FA2"/>
    <w:rsid w:val="000B3AAF"/>
    <w:rsid w:val="000C4F99"/>
    <w:rsid w:val="000D2FF6"/>
    <w:rsid w:val="000D6E34"/>
    <w:rsid w:val="000E20C9"/>
    <w:rsid w:val="000E4800"/>
    <w:rsid w:val="000E4CC7"/>
    <w:rsid w:val="000E6612"/>
    <w:rsid w:val="000E69EC"/>
    <w:rsid w:val="000F0DA3"/>
    <w:rsid w:val="000F332E"/>
    <w:rsid w:val="000F5C20"/>
    <w:rsid w:val="000F61A9"/>
    <w:rsid w:val="000F6C7D"/>
    <w:rsid w:val="000F7CB7"/>
    <w:rsid w:val="00100132"/>
    <w:rsid w:val="00103302"/>
    <w:rsid w:val="00111DD3"/>
    <w:rsid w:val="00111DDD"/>
    <w:rsid w:val="0011471B"/>
    <w:rsid w:val="001167D0"/>
    <w:rsid w:val="00117B17"/>
    <w:rsid w:val="00120BAE"/>
    <w:rsid w:val="00124431"/>
    <w:rsid w:val="00127A25"/>
    <w:rsid w:val="0013331D"/>
    <w:rsid w:val="00134AF8"/>
    <w:rsid w:val="00136884"/>
    <w:rsid w:val="001414AD"/>
    <w:rsid w:val="00151823"/>
    <w:rsid w:val="001623B6"/>
    <w:rsid w:val="00164C0F"/>
    <w:rsid w:val="00173FA6"/>
    <w:rsid w:val="00177360"/>
    <w:rsid w:val="00177D18"/>
    <w:rsid w:val="001823AC"/>
    <w:rsid w:val="001857A4"/>
    <w:rsid w:val="00186039"/>
    <w:rsid w:val="00192E8A"/>
    <w:rsid w:val="001936E0"/>
    <w:rsid w:val="001963F3"/>
    <w:rsid w:val="00197CA1"/>
    <w:rsid w:val="001A33F9"/>
    <w:rsid w:val="001A45D6"/>
    <w:rsid w:val="001B0FFE"/>
    <w:rsid w:val="001B5E2E"/>
    <w:rsid w:val="001D306D"/>
    <w:rsid w:val="001D55C3"/>
    <w:rsid w:val="001E3AE8"/>
    <w:rsid w:val="001E56ED"/>
    <w:rsid w:val="001E7864"/>
    <w:rsid w:val="001E78E1"/>
    <w:rsid w:val="001F64D8"/>
    <w:rsid w:val="001F791E"/>
    <w:rsid w:val="001F7F29"/>
    <w:rsid w:val="001F8024"/>
    <w:rsid w:val="002006FA"/>
    <w:rsid w:val="00200B98"/>
    <w:rsid w:val="0021089A"/>
    <w:rsid w:val="00211FE2"/>
    <w:rsid w:val="00212055"/>
    <w:rsid w:val="0021665E"/>
    <w:rsid w:val="002208F7"/>
    <w:rsid w:val="00221513"/>
    <w:rsid w:val="00222E0C"/>
    <w:rsid w:val="00223C66"/>
    <w:rsid w:val="00227AC7"/>
    <w:rsid w:val="00233EBC"/>
    <w:rsid w:val="00234B9E"/>
    <w:rsid w:val="002404DB"/>
    <w:rsid w:val="00241EB8"/>
    <w:rsid w:val="0024307B"/>
    <w:rsid w:val="00243BF2"/>
    <w:rsid w:val="00246219"/>
    <w:rsid w:val="00246C23"/>
    <w:rsid w:val="002524DB"/>
    <w:rsid w:val="00254359"/>
    <w:rsid w:val="00257A1B"/>
    <w:rsid w:val="00262C5C"/>
    <w:rsid w:val="0026595F"/>
    <w:rsid w:val="002662FA"/>
    <w:rsid w:val="00266A3B"/>
    <w:rsid w:val="00266E3A"/>
    <w:rsid w:val="00267161"/>
    <w:rsid w:val="00273E6E"/>
    <w:rsid w:val="00274A7D"/>
    <w:rsid w:val="002763FB"/>
    <w:rsid w:val="00276594"/>
    <w:rsid w:val="00277514"/>
    <w:rsid w:val="00283F5F"/>
    <w:rsid w:val="00284502"/>
    <w:rsid w:val="002875AE"/>
    <w:rsid w:val="00292C91"/>
    <w:rsid w:val="00293A25"/>
    <w:rsid w:val="00294CE7"/>
    <w:rsid w:val="0029553C"/>
    <w:rsid w:val="002A1F0A"/>
    <w:rsid w:val="002A2C06"/>
    <w:rsid w:val="002B0B7E"/>
    <w:rsid w:val="002B11D1"/>
    <w:rsid w:val="002B1F68"/>
    <w:rsid w:val="002C073B"/>
    <w:rsid w:val="002C11CC"/>
    <w:rsid w:val="002C24FF"/>
    <w:rsid w:val="002C289E"/>
    <w:rsid w:val="002C2F7D"/>
    <w:rsid w:val="002C4A0E"/>
    <w:rsid w:val="002C5B88"/>
    <w:rsid w:val="002C7923"/>
    <w:rsid w:val="002D433E"/>
    <w:rsid w:val="002E1F59"/>
    <w:rsid w:val="002E31C4"/>
    <w:rsid w:val="002E5141"/>
    <w:rsid w:val="002E519B"/>
    <w:rsid w:val="002E74B5"/>
    <w:rsid w:val="002E7664"/>
    <w:rsid w:val="002E7F8B"/>
    <w:rsid w:val="002F158D"/>
    <w:rsid w:val="002F2647"/>
    <w:rsid w:val="002F2B89"/>
    <w:rsid w:val="002F4357"/>
    <w:rsid w:val="002F4802"/>
    <w:rsid w:val="00302C70"/>
    <w:rsid w:val="00303745"/>
    <w:rsid w:val="00304436"/>
    <w:rsid w:val="00305FB4"/>
    <w:rsid w:val="00307146"/>
    <w:rsid w:val="00307D9C"/>
    <w:rsid w:val="003137C8"/>
    <w:rsid w:val="00314E2E"/>
    <w:rsid w:val="0032060D"/>
    <w:rsid w:val="003212C7"/>
    <w:rsid w:val="00321BAE"/>
    <w:rsid w:val="003275FC"/>
    <w:rsid w:val="00327882"/>
    <w:rsid w:val="003329C2"/>
    <w:rsid w:val="00333DC7"/>
    <w:rsid w:val="003342AC"/>
    <w:rsid w:val="0033545B"/>
    <w:rsid w:val="00340500"/>
    <w:rsid w:val="003432EB"/>
    <w:rsid w:val="0034618F"/>
    <w:rsid w:val="00351482"/>
    <w:rsid w:val="003533A3"/>
    <w:rsid w:val="003559B6"/>
    <w:rsid w:val="0036249C"/>
    <w:rsid w:val="0036297A"/>
    <w:rsid w:val="00363371"/>
    <w:rsid w:val="00364C15"/>
    <w:rsid w:val="003711F7"/>
    <w:rsid w:val="00377810"/>
    <w:rsid w:val="003800A4"/>
    <w:rsid w:val="00383625"/>
    <w:rsid w:val="00393E8F"/>
    <w:rsid w:val="003947E9"/>
    <w:rsid w:val="003A195B"/>
    <w:rsid w:val="003A1BF7"/>
    <w:rsid w:val="003A7308"/>
    <w:rsid w:val="003A7C78"/>
    <w:rsid w:val="003B2D73"/>
    <w:rsid w:val="003B4F19"/>
    <w:rsid w:val="003B5DE6"/>
    <w:rsid w:val="003C09EF"/>
    <w:rsid w:val="003C1607"/>
    <w:rsid w:val="003C18FD"/>
    <w:rsid w:val="003C6D18"/>
    <w:rsid w:val="003D2B7D"/>
    <w:rsid w:val="003D2F59"/>
    <w:rsid w:val="003E2E25"/>
    <w:rsid w:val="003F114A"/>
    <w:rsid w:val="003F3777"/>
    <w:rsid w:val="003F4E3E"/>
    <w:rsid w:val="003F5501"/>
    <w:rsid w:val="003F57EF"/>
    <w:rsid w:val="003F6ECD"/>
    <w:rsid w:val="003F7CC6"/>
    <w:rsid w:val="00400895"/>
    <w:rsid w:val="00400FD5"/>
    <w:rsid w:val="004043C2"/>
    <w:rsid w:val="004059B7"/>
    <w:rsid w:val="00411A8F"/>
    <w:rsid w:val="00421BC2"/>
    <w:rsid w:val="004223A2"/>
    <w:rsid w:val="00430B8E"/>
    <w:rsid w:val="00431898"/>
    <w:rsid w:val="00435DD6"/>
    <w:rsid w:val="00440000"/>
    <w:rsid w:val="00444FC9"/>
    <w:rsid w:val="00445796"/>
    <w:rsid w:val="00452A17"/>
    <w:rsid w:val="00452F63"/>
    <w:rsid w:val="00455576"/>
    <w:rsid w:val="00455E16"/>
    <w:rsid w:val="004571C6"/>
    <w:rsid w:val="004576A9"/>
    <w:rsid w:val="00460CEA"/>
    <w:rsid w:val="0046357B"/>
    <w:rsid w:val="004660E1"/>
    <w:rsid w:val="00467582"/>
    <w:rsid w:val="00467F56"/>
    <w:rsid w:val="00474C6E"/>
    <w:rsid w:val="004759D3"/>
    <w:rsid w:val="00476706"/>
    <w:rsid w:val="004820F7"/>
    <w:rsid w:val="00486C98"/>
    <w:rsid w:val="0049217F"/>
    <w:rsid w:val="00496015"/>
    <w:rsid w:val="00497EAF"/>
    <w:rsid w:val="004A1A7E"/>
    <w:rsid w:val="004A1EE9"/>
    <w:rsid w:val="004A49F5"/>
    <w:rsid w:val="004A58F7"/>
    <w:rsid w:val="004A6D52"/>
    <w:rsid w:val="004B1A6A"/>
    <w:rsid w:val="004B3447"/>
    <w:rsid w:val="004B68D4"/>
    <w:rsid w:val="004B7EA3"/>
    <w:rsid w:val="004C4B30"/>
    <w:rsid w:val="004C5CDD"/>
    <w:rsid w:val="004C7BF9"/>
    <w:rsid w:val="004D1452"/>
    <w:rsid w:val="004D5CFF"/>
    <w:rsid w:val="004E2D71"/>
    <w:rsid w:val="004E411C"/>
    <w:rsid w:val="004E5B58"/>
    <w:rsid w:val="004E78C9"/>
    <w:rsid w:val="004F0179"/>
    <w:rsid w:val="004F0FFE"/>
    <w:rsid w:val="004F4D69"/>
    <w:rsid w:val="004F5BF6"/>
    <w:rsid w:val="004F7F80"/>
    <w:rsid w:val="00502E46"/>
    <w:rsid w:val="00504FFA"/>
    <w:rsid w:val="00505CA1"/>
    <w:rsid w:val="00506876"/>
    <w:rsid w:val="005073C4"/>
    <w:rsid w:val="0050761D"/>
    <w:rsid w:val="00512098"/>
    <w:rsid w:val="0051337D"/>
    <w:rsid w:val="00514F1E"/>
    <w:rsid w:val="00516763"/>
    <w:rsid w:val="00516E98"/>
    <w:rsid w:val="0052134B"/>
    <w:rsid w:val="0052330F"/>
    <w:rsid w:val="005248A5"/>
    <w:rsid w:val="00525FD8"/>
    <w:rsid w:val="005261C4"/>
    <w:rsid w:val="0052635D"/>
    <w:rsid w:val="0052648D"/>
    <w:rsid w:val="00526CE9"/>
    <w:rsid w:val="00527848"/>
    <w:rsid w:val="005308E3"/>
    <w:rsid w:val="00533A7E"/>
    <w:rsid w:val="00541593"/>
    <w:rsid w:val="005432F9"/>
    <w:rsid w:val="005437D2"/>
    <w:rsid w:val="00551B32"/>
    <w:rsid w:val="0055297F"/>
    <w:rsid w:val="00554B7B"/>
    <w:rsid w:val="00555780"/>
    <w:rsid w:val="0056028C"/>
    <w:rsid w:val="005616AC"/>
    <w:rsid w:val="00564A67"/>
    <w:rsid w:val="00564B41"/>
    <w:rsid w:val="00565584"/>
    <w:rsid w:val="0057279C"/>
    <w:rsid w:val="00573409"/>
    <w:rsid w:val="00573829"/>
    <w:rsid w:val="0057518D"/>
    <w:rsid w:val="005760F5"/>
    <w:rsid w:val="0057667A"/>
    <w:rsid w:val="00576FD6"/>
    <w:rsid w:val="00582D61"/>
    <w:rsid w:val="00584D50"/>
    <w:rsid w:val="00585986"/>
    <w:rsid w:val="00586ACC"/>
    <w:rsid w:val="005901CD"/>
    <w:rsid w:val="00590A07"/>
    <w:rsid w:val="005942CF"/>
    <w:rsid w:val="00597912"/>
    <w:rsid w:val="005A08A1"/>
    <w:rsid w:val="005A17F9"/>
    <w:rsid w:val="005A24C0"/>
    <w:rsid w:val="005A5FEF"/>
    <w:rsid w:val="005A6AE7"/>
    <w:rsid w:val="005B0C5E"/>
    <w:rsid w:val="005B30E3"/>
    <w:rsid w:val="005B4FDD"/>
    <w:rsid w:val="005B5F96"/>
    <w:rsid w:val="005B674D"/>
    <w:rsid w:val="005B6A67"/>
    <w:rsid w:val="005B7125"/>
    <w:rsid w:val="005B73B9"/>
    <w:rsid w:val="005C2254"/>
    <w:rsid w:val="005C47C6"/>
    <w:rsid w:val="005C52E3"/>
    <w:rsid w:val="005C6AC5"/>
    <w:rsid w:val="005C73BA"/>
    <w:rsid w:val="005D079E"/>
    <w:rsid w:val="005D10B3"/>
    <w:rsid w:val="005D2F6A"/>
    <w:rsid w:val="005E0782"/>
    <w:rsid w:val="005E18A7"/>
    <w:rsid w:val="005E2764"/>
    <w:rsid w:val="005E440F"/>
    <w:rsid w:val="005E454D"/>
    <w:rsid w:val="005E5322"/>
    <w:rsid w:val="005E6F72"/>
    <w:rsid w:val="005F101F"/>
    <w:rsid w:val="005F2D71"/>
    <w:rsid w:val="005F3CB3"/>
    <w:rsid w:val="005F5898"/>
    <w:rsid w:val="0060048B"/>
    <w:rsid w:val="00600646"/>
    <w:rsid w:val="0060512D"/>
    <w:rsid w:val="00607964"/>
    <w:rsid w:val="00610550"/>
    <w:rsid w:val="00610672"/>
    <w:rsid w:val="0061342E"/>
    <w:rsid w:val="0061473D"/>
    <w:rsid w:val="0061630E"/>
    <w:rsid w:val="006209F6"/>
    <w:rsid w:val="00620CD4"/>
    <w:rsid w:val="00625B66"/>
    <w:rsid w:val="00626083"/>
    <w:rsid w:val="00627F3B"/>
    <w:rsid w:val="00631A51"/>
    <w:rsid w:val="00632840"/>
    <w:rsid w:val="006349A4"/>
    <w:rsid w:val="00635005"/>
    <w:rsid w:val="00635C21"/>
    <w:rsid w:val="00640F8B"/>
    <w:rsid w:val="00646134"/>
    <w:rsid w:val="00646219"/>
    <w:rsid w:val="00652E5E"/>
    <w:rsid w:val="00652F81"/>
    <w:rsid w:val="00653A04"/>
    <w:rsid w:val="00657167"/>
    <w:rsid w:val="006576B3"/>
    <w:rsid w:val="00666D06"/>
    <w:rsid w:val="00667E7C"/>
    <w:rsid w:val="00673B49"/>
    <w:rsid w:val="00677563"/>
    <w:rsid w:val="006808E4"/>
    <w:rsid w:val="00682ECE"/>
    <w:rsid w:val="00686812"/>
    <w:rsid w:val="0068724E"/>
    <w:rsid w:val="00690BE0"/>
    <w:rsid w:val="00690F49"/>
    <w:rsid w:val="006965AA"/>
    <w:rsid w:val="00696C03"/>
    <w:rsid w:val="006970CC"/>
    <w:rsid w:val="006A6AB7"/>
    <w:rsid w:val="006B180E"/>
    <w:rsid w:val="006B1AC9"/>
    <w:rsid w:val="006B4531"/>
    <w:rsid w:val="006B55AC"/>
    <w:rsid w:val="006B67D2"/>
    <w:rsid w:val="006C2CD8"/>
    <w:rsid w:val="006C4034"/>
    <w:rsid w:val="006D6274"/>
    <w:rsid w:val="006D6286"/>
    <w:rsid w:val="006E0312"/>
    <w:rsid w:val="006E3943"/>
    <w:rsid w:val="006E5A90"/>
    <w:rsid w:val="006E5DD9"/>
    <w:rsid w:val="006E60F3"/>
    <w:rsid w:val="006F30F2"/>
    <w:rsid w:val="006F5899"/>
    <w:rsid w:val="006F58ED"/>
    <w:rsid w:val="00700CB7"/>
    <w:rsid w:val="00701B89"/>
    <w:rsid w:val="007041CA"/>
    <w:rsid w:val="00705BC7"/>
    <w:rsid w:val="00707DC2"/>
    <w:rsid w:val="00710AB0"/>
    <w:rsid w:val="00712309"/>
    <w:rsid w:val="00720622"/>
    <w:rsid w:val="007224CA"/>
    <w:rsid w:val="0072739E"/>
    <w:rsid w:val="0072FF29"/>
    <w:rsid w:val="007322AC"/>
    <w:rsid w:val="007322AD"/>
    <w:rsid w:val="0073505C"/>
    <w:rsid w:val="00735514"/>
    <w:rsid w:val="00736AA6"/>
    <w:rsid w:val="00741D2C"/>
    <w:rsid w:val="00750179"/>
    <w:rsid w:val="0075273A"/>
    <w:rsid w:val="0076412D"/>
    <w:rsid w:val="007649E7"/>
    <w:rsid w:val="00764A65"/>
    <w:rsid w:val="00765432"/>
    <w:rsid w:val="007666F6"/>
    <w:rsid w:val="00766825"/>
    <w:rsid w:val="007672FB"/>
    <w:rsid w:val="00767606"/>
    <w:rsid w:val="0077055F"/>
    <w:rsid w:val="007720EC"/>
    <w:rsid w:val="00773C25"/>
    <w:rsid w:val="007745A7"/>
    <w:rsid w:val="00781523"/>
    <w:rsid w:val="00781ABA"/>
    <w:rsid w:val="00786319"/>
    <w:rsid w:val="007A0C36"/>
    <w:rsid w:val="007A190B"/>
    <w:rsid w:val="007A1EE2"/>
    <w:rsid w:val="007A44F2"/>
    <w:rsid w:val="007A6C80"/>
    <w:rsid w:val="007A6F2B"/>
    <w:rsid w:val="007B27E1"/>
    <w:rsid w:val="007B305C"/>
    <w:rsid w:val="007C54FC"/>
    <w:rsid w:val="007C585F"/>
    <w:rsid w:val="007D1270"/>
    <w:rsid w:val="007D7FB3"/>
    <w:rsid w:val="007E2B18"/>
    <w:rsid w:val="007E432A"/>
    <w:rsid w:val="007F2D24"/>
    <w:rsid w:val="007F5288"/>
    <w:rsid w:val="007F6851"/>
    <w:rsid w:val="0080484F"/>
    <w:rsid w:val="00805556"/>
    <w:rsid w:val="00806F19"/>
    <w:rsid w:val="008076B4"/>
    <w:rsid w:val="0081496B"/>
    <w:rsid w:val="00821706"/>
    <w:rsid w:val="00822F28"/>
    <w:rsid w:val="008234C8"/>
    <w:rsid w:val="00823B25"/>
    <w:rsid w:val="00827626"/>
    <w:rsid w:val="00832938"/>
    <w:rsid w:val="008339D5"/>
    <w:rsid w:val="008377FC"/>
    <w:rsid w:val="00854D9A"/>
    <w:rsid w:val="00856EBE"/>
    <w:rsid w:val="008619EC"/>
    <w:rsid w:val="00862575"/>
    <w:rsid w:val="0086367B"/>
    <w:rsid w:val="008636AB"/>
    <w:rsid w:val="00864634"/>
    <w:rsid w:val="008660D9"/>
    <w:rsid w:val="00867ECB"/>
    <w:rsid w:val="0087667C"/>
    <w:rsid w:val="00880F18"/>
    <w:rsid w:val="00881F8A"/>
    <w:rsid w:val="00883108"/>
    <w:rsid w:val="00886206"/>
    <w:rsid w:val="0089031E"/>
    <w:rsid w:val="00891455"/>
    <w:rsid w:val="008957CE"/>
    <w:rsid w:val="00897665"/>
    <w:rsid w:val="008A4204"/>
    <w:rsid w:val="008A4F7D"/>
    <w:rsid w:val="008A6CBF"/>
    <w:rsid w:val="008B44B8"/>
    <w:rsid w:val="008B4955"/>
    <w:rsid w:val="008B4EB5"/>
    <w:rsid w:val="008B66F8"/>
    <w:rsid w:val="008B796C"/>
    <w:rsid w:val="008C1421"/>
    <w:rsid w:val="008C246D"/>
    <w:rsid w:val="008C5930"/>
    <w:rsid w:val="008C612F"/>
    <w:rsid w:val="008C6B64"/>
    <w:rsid w:val="008D068F"/>
    <w:rsid w:val="008D1964"/>
    <w:rsid w:val="008D2A27"/>
    <w:rsid w:val="008D5626"/>
    <w:rsid w:val="008D6097"/>
    <w:rsid w:val="008E1479"/>
    <w:rsid w:val="008E4102"/>
    <w:rsid w:val="008E4163"/>
    <w:rsid w:val="008E7BAE"/>
    <w:rsid w:val="008F0790"/>
    <w:rsid w:val="008F0F39"/>
    <w:rsid w:val="008F18D1"/>
    <w:rsid w:val="008F2E57"/>
    <w:rsid w:val="008F49B2"/>
    <w:rsid w:val="008F5EEC"/>
    <w:rsid w:val="00900B31"/>
    <w:rsid w:val="0090128D"/>
    <w:rsid w:val="00910736"/>
    <w:rsid w:val="00910A28"/>
    <w:rsid w:val="00911EBC"/>
    <w:rsid w:val="0091469D"/>
    <w:rsid w:val="00914E06"/>
    <w:rsid w:val="00920671"/>
    <w:rsid w:val="00922956"/>
    <w:rsid w:val="00925F60"/>
    <w:rsid w:val="00926351"/>
    <w:rsid w:val="00940D51"/>
    <w:rsid w:val="009425BE"/>
    <w:rsid w:val="00943403"/>
    <w:rsid w:val="0095156F"/>
    <w:rsid w:val="00951585"/>
    <w:rsid w:val="00953B8E"/>
    <w:rsid w:val="00962894"/>
    <w:rsid w:val="009630FD"/>
    <w:rsid w:val="009649D9"/>
    <w:rsid w:val="00964ECA"/>
    <w:rsid w:val="0096598C"/>
    <w:rsid w:val="0096675E"/>
    <w:rsid w:val="009667B8"/>
    <w:rsid w:val="0097032E"/>
    <w:rsid w:val="00973567"/>
    <w:rsid w:val="00975DF8"/>
    <w:rsid w:val="009762D4"/>
    <w:rsid w:val="0098133F"/>
    <w:rsid w:val="009815D4"/>
    <w:rsid w:val="009871D4"/>
    <w:rsid w:val="00987BA9"/>
    <w:rsid w:val="009907F9"/>
    <w:rsid w:val="00992D9B"/>
    <w:rsid w:val="009A59D7"/>
    <w:rsid w:val="009A5FC9"/>
    <w:rsid w:val="009A6E06"/>
    <w:rsid w:val="009A7FEA"/>
    <w:rsid w:val="009B22F2"/>
    <w:rsid w:val="009B3671"/>
    <w:rsid w:val="009B6F9C"/>
    <w:rsid w:val="009C0B47"/>
    <w:rsid w:val="009C3236"/>
    <w:rsid w:val="009C4330"/>
    <w:rsid w:val="009C4550"/>
    <w:rsid w:val="009D0726"/>
    <w:rsid w:val="009D11CC"/>
    <w:rsid w:val="009D25B2"/>
    <w:rsid w:val="009D2905"/>
    <w:rsid w:val="009D3C4D"/>
    <w:rsid w:val="009E4759"/>
    <w:rsid w:val="009F0A60"/>
    <w:rsid w:val="009F10DC"/>
    <w:rsid w:val="00A01840"/>
    <w:rsid w:val="00A01DF8"/>
    <w:rsid w:val="00A032D0"/>
    <w:rsid w:val="00A036D2"/>
    <w:rsid w:val="00A11658"/>
    <w:rsid w:val="00A1197B"/>
    <w:rsid w:val="00A1515B"/>
    <w:rsid w:val="00A168A3"/>
    <w:rsid w:val="00A202CA"/>
    <w:rsid w:val="00A21B02"/>
    <w:rsid w:val="00A2307B"/>
    <w:rsid w:val="00A30EC3"/>
    <w:rsid w:val="00A31701"/>
    <w:rsid w:val="00A32EBC"/>
    <w:rsid w:val="00A34D82"/>
    <w:rsid w:val="00A34E71"/>
    <w:rsid w:val="00A3595D"/>
    <w:rsid w:val="00A36E9A"/>
    <w:rsid w:val="00A37FA1"/>
    <w:rsid w:val="00A44044"/>
    <w:rsid w:val="00A5247E"/>
    <w:rsid w:val="00A52788"/>
    <w:rsid w:val="00A54455"/>
    <w:rsid w:val="00A54919"/>
    <w:rsid w:val="00A63381"/>
    <w:rsid w:val="00A64167"/>
    <w:rsid w:val="00A71F04"/>
    <w:rsid w:val="00A7236B"/>
    <w:rsid w:val="00A72FED"/>
    <w:rsid w:val="00A83535"/>
    <w:rsid w:val="00A84F8E"/>
    <w:rsid w:val="00A85E23"/>
    <w:rsid w:val="00A92036"/>
    <w:rsid w:val="00AA090B"/>
    <w:rsid w:val="00AA2D51"/>
    <w:rsid w:val="00AA5679"/>
    <w:rsid w:val="00AA6E47"/>
    <w:rsid w:val="00AB0C48"/>
    <w:rsid w:val="00AB1589"/>
    <w:rsid w:val="00AB535C"/>
    <w:rsid w:val="00AB63BD"/>
    <w:rsid w:val="00AB7E8D"/>
    <w:rsid w:val="00AC26D5"/>
    <w:rsid w:val="00AC352A"/>
    <w:rsid w:val="00AC37CB"/>
    <w:rsid w:val="00AC40FA"/>
    <w:rsid w:val="00AD2562"/>
    <w:rsid w:val="00AD3884"/>
    <w:rsid w:val="00AD77D3"/>
    <w:rsid w:val="00AE1564"/>
    <w:rsid w:val="00AF256D"/>
    <w:rsid w:val="00AF2E44"/>
    <w:rsid w:val="00AF4CBB"/>
    <w:rsid w:val="00AF5BDB"/>
    <w:rsid w:val="00AF6170"/>
    <w:rsid w:val="00AF6922"/>
    <w:rsid w:val="00B11046"/>
    <w:rsid w:val="00B13858"/>
    <w:rsid w:val="00B17E4E"/>
    <w:rsid w:val="00B21577"/>
    <w:rsid w:val="00B2660C"/>
    <w:rsid w:val="00B3109D"/>
    <w:rsid w:val="00B33B40"/>
    <w:rsid w:val="00B407E4"/>
    <w:rsid w:val="00B434A8"/>
    <w:rsid w:val="00B52AEE"/>
    <w:rsid w:val="00B560AA"/>
    <w:rsid w:val="00B56AC5"/>
    <w:rsid w:val="00B57BB4"/>
    <w:rsid w:val="00B57C2E"/>
    <w:rsid w:val="00B63C01"/>
    <w:rsid w:val="00B650F6"/>
    <w:rsid w:val="00B66A12"/>
    <w:rsid w:val="00B74991"/>
    <w:rsid w:val="00B769F5"/>
    <w:rsid w:val="00B77EB1"/>
    <w:rsid w:val="00B843F4"/>
    <w:rsid w:val="00B86095"/>
    <w:rsid w:val="00B863BA"/>
    <w:rsid w:val="00B91F99"/>
    <w:rsid w:val="00B922FC"/>
    <w:rsid w:val="00B97215"/>
    <w:rsid w:val="00BA06A6"/>
    <w:rsid w:val="00BA5EAD"/>
    <w:rsid w:val="00BA5FE1"/>
    <w:rsid w:val="00BB0E38"/>
    <w:rsid w:val="00BB3B5A"/>
    <w:rsid w:val="00BB3C09"/>
    <w:rsid w:val="00BB3D77"/>
    <w:rsid w:val="00BB61F5"/>
    <w:rsid w:val="00BB6F0F"/>
    <w:rsid w:val="00BB7A04"/>
    <w:rsid w:val="00BC54C0"/>
    <w:rsid w:val="00BC5C04"/>
    <w:rsid w:val="00BC67C2"/>
    <w:rsid w:val="00BC6FC0"/>
    <w:rsid w:val="00BD12FC"/>
    <w:rsid w:val="00BD14B2"/>
    <w:rsid w:val="00BD43C4"/>
    <w:rsid w:val="00BD47D2"/>
    <w:rsid w:val="00BD5A7D"/>
    <w:rsid w:val="00BD5F86"/>
    <w:rsid w:val="00BD78ED"/>
    <w:rsid w:val="00BF063C"/>
    <w:rsid w:val="00BF37D1"/>
    <w:rsid w:val="00C0092B"/>
    <w:rsid w:val="00C01551"/>
    <w:rsid w:val="00C051DD"/>
    <w:rsid w:val="00C07F3C"/>
    <w:rsid w:val="00C12D8E"/>
    <w:rsid w:val="00C164CE"/>
    <w:rsid w:val="00C17B76"/>
    <w:rsid w:val="00C24815"/>
    <w:rsid w:val="00C27E98"/>
    <w:rsid w:val="00C348AA"/>
    <w:rsid w:val="00C35302"/>
    <w:rsid w:val="00C35CE1"/>
    <w:rsid w:val="00C35E32"/>
    <w:rsid w:val="00C371D2"/>
    <w:rsid w:val="00C37626"/>
    <w:rsid w:val="00C400E9"/>
    <w:rsid w:val="00C42D46"/>
    <w:rsid w:val="00C45286"/>
    <w:rsid w:val="00C45C91"/>
    <w:rsid w:val="00C475B5"/>
    <w:rsid w:val="00C47ADD"/>
    <w:rsid w:val="00C517CF"/>
    <w:rsid w:val="00C53050"/>
    <w:rsid w:val="00C543B4"/>
    <w:rsid w:val="00C54EB1"/>
    <w:rsid w:val="00C63ADC"/>
    <w:rsid w:val="00C64BCE"/>
    <w:rsid w:val="00C66E4D"/>
    <w:rsid w:val="00C75218"/>
    <w:rsid w:val="00C75B55"/>
    <w:rsid w:val="00C83DB2"/>
    <w:rsid w:val="00C8463F"/>
    <w:rsid w:val="00C84836"/>
    <w:rsid w:val="00C94FAF"/>
    <w:rsid w:val="00C95006"/>
    <w:rsid w:val="00C9629A"/>
    <w:rsid w:val="00C96A78"/>
    <w:rsid w:val="00CA059F"/>
    <w:rsid w:val="00CA6AF5"/>
    <w:rsid w:val="00CA6D96"/>
    <w:rsid w:val="00CB2CDD"/>
    <w:rsid w:val="00CB3408"/>
    <w:rsid w:val="00CB549B"/>
    <w:rsid w:val="00CB76C9"/>
    <w:rsid w:val="00CC2DA0"/>
    <w:rsid w:val="00CC5362"/>
    <w:rsid w:val="00CD0F19"/>
    <w:rsid w:val="00CD6943"/>
    <w:rsid w:val="00CE2AA2"/>
    <w:rsid w:val="00CE5260"/>
    <w:rsid w:val="00CF0FB3"/>
    <w:rsid w:val="00CF1F64"/>
    <w:rsid w:val="00CF2A8A"/>
    <w:rsid w:val="00CF3A5C"/>
    <w:rsid w:val="00CF4284"/>
    <w:rsid w:val="00CF7D51"/>
    <w:rsid w:val="00D0224B"/>
    <w:rsid w:val="00D03459"/>
    <w:rsid w:val="00D05A3D"/>
    <w:rsid w:val="00D05AE6"/>
    <w:rsid w:val="00D07939"/>
    <w:rsid w:val="00D10C69"/>
    <w:rsid w:val="00D14E59"/>
    <w:rsid w:val="00D23397"/>
    <w:rsid w:val="00D23E77"/>
    <w:rsid w:val="00D328E7"/>
    <w:rsid w:val="00D33983"/>
    <w:rsid w:val="00D34ACB"/>
    <w:rsid w:val="00D34C03"/>
    <w:rsid w:val="00D3778F"/>
    <w:rsid w:val="00D4174A"/>
    <w:rsid w:val="00D44F6F"/>
    <w:rsid w:val="00D45C50"/>
    <w:rsid w:val="00D465ED"/>
    <w:rsid w:val="00D50C02"/>
    <w:rsid w:val="00D517D6"/>
    <w:rsid w:val="00D518E3"/>
    <w:rsid w:val="00D6012F"/>
    <w:rsid w:val="00D61166"/>
    <w:rsid w:val="00D7054E"/>
    <w:rsid w:val="00D72835"/>
    <w:rsid w:val="00D73CD8"/>
    <w:rsid w:val="00D8146B"/>
    <w:rsid w:val="00D836EF"/>
    <w:rsid w:val="00D85143"/>
    <w:rsid w:val="00D9153A"/>
    <w:rsid w:val="00D93066"/>
    <w:rsid w:val="00D94182"/>
    <w:rsid w:val="00D944CF"/>
    <w:rsid w:val="00DA15A1"/>
    <w:rsid w:val="00DA1A89"/>
    <w:rsid w:val="00DA3C77"/>
    <w:rsid w:val="00DA4836"/>
    <w:rsid w:val="00DA62D6"/>
    <w:rsid w:val="00DA645B"/>
    <w:rsid w:val="00DA77DC"/>
    <w:rsid w:val="00DB03CB"/>
    <w:rsid w:val="00DB280A"/>
    <w:rsid w:val="00DB4353"/>
    <w:rsid w:val="00DC0861"/>
    <w:rsid w:val="00DC5D6A"/>
    <w:rsid w:val="00DC6959"/>
    <w:rsid w:val="00DD2BD6"/>
    <w:rsid w:val="00DE1D8D"/>
    <w:rsid w:val="00DE2806"/>
    <w:rsid w:val="00DE669A"/>
    <w:rsid w:val="00DE6995"/>
    <w:rsid w:val="00DF2402"/>
    <w:rsid w:val="00DF26E0"/>
    <w:rsid w:val="00E03AC6"/>
    <w:rsid w:val="00E07B6E"/>
    <w:rsid w:val="00E10ABC"/>
    <w:rsid w:val="00E11FF3"/>
    <w:rsid w:val="00E12964"/>
    <w:rsid w:val="00E14B12"/>
    <w:rsid w:val="00E14CC1"/>
    <w:rsid w:val="00E22BBF"/>
    <w:rsid w:val="00E2597A"/>
    <w:rsid w:val="00E25CF3"/>
    <w:rsid w:val="00E27789"/>
    <w:rsid w:val="00E302D4"/>
    <w:rsid w:val="00E3324D"/>
    <w:rsid w:val="00E34F64"/>
    <w:rsid w:val="00E355F4"/>
    <w:rsid w:val="00E37646"/>
    <w:rsid w:val="00E414D7"/>
    <w:rsid w:val="00E41750"/>
    <w:rsid w:val="00E455BA"/>
    <w:rsid w:val="00E45E4D"/>
    <w:rsid w:val="00E57BF1"/>
    <w:rsid w:val="00E620F6"/>
    <w:rsid w:val="00E62CEE"/>
    <w:rsid w:val="00E644A8"/>
    <w:rsid w:val="00E645F4"/>
    <w:rsid w:val="00E66D11"/>
    <w:rsid w:val="00E80328"/>
    <w:rsid w:val="00E810A6"/>
    <w:rsid w:val="00E878EC"/>
    <w:rsid w:val="00E944C4"/>
    <w:rsid w:val="00E9463F"/>
    <w:rsid w:val="00E94F1B"/>
    <w:rsid w:val="00E9599B"/>
    <w:rsid w:val="00E96349"/>
    <w:rsid w:val="00E97333"/>
    <w:rsid w:val="00EA1426"/>
    <w:rsid w:val="00EB0B6A"/>
    <w:rsid w:val="00EC0066"/>
    <w:rsid w:val="00EC32CA"/>
    <w:rsid w:val="00EC3C25"/>
    <w:rsid w:val="00EC4BF2"/>
    <w:rsid w:val="00EC64B7"/>
    <w:rsid w:val="00ED147C"/>
    <w:rsid w:val="00ED4D4B"/>
    <w:rsid w:val="00ED59C5"/>
    <w:rsid w:val="00ED6173"/>
    <w:rsid w:val="00ED6CE6"/>
    <w:rsid w:val="00EE0138"/>
    <w:rsid w:val="00EE3A0A"/>
    <w:rsid w:val="00EF6115"/>
    <w:rsid w:val="00EF63DD"/>
    <w:rsid w:val="00EF6EA7"/>
    <w:rsid w:val="00F038B1"/>
    <w:rsid w:val="00F044C5"/>
    <w:rsid w:val="00F07693"/>
    <w:rsid w:val="00F079B3"/>
    <w:rsid w:val="00F07F8C"/>
    <w:rsid w:val="00F12EEB"/>
    <w:rsid w:val="00F172A4"/>
    <w:rsid w:val="00F1736F"/>
    <w:rsid w:val="00F2268F"/>
    <w:rsid w:val="00F226F5"/>
    <w:rsid w:val="00F27B8F"/>
    <w:rsid w:val="00F307B1"/>
    <w:rsid w:val="00F35F20"/>
    <w:rsid w:val="00F37A51"/>
    <w:rsid w:val="00F37C4A"/>
    <w:rsid w:val="00F41E33"/>
    <w:rsid w:val="00F42A03"/>
    <w:rsid w:val="00F47FEB"/>
    <w:rsid w:val="00F53EBC"/>
    <w:rsid w:val="00F540E7"/>
    <w:rsid w:val="00F645F2"/>
    <w:rsid w:val="00F76068"/>
    <w:rsid w:val="00F84665"/>
    <w:rsid w:val="00F856F2"/>
    <w:rsid w:val="00F86304"/>
    <w:rsid w:val="00F87B0D"/>
    <w:rsid w:val="00F907FB"/>
    <w:rsid w:val="00F92FFD"/>
    <w:rsid w:val="00F94C1C"/>
    <w:rsid w:val="00F96225"/>
    <w:rsid w:val="00FA0319"/>
    <w:rsid w:val="00FA1850"/>
    <w:rsid w:val="00FA2BB6"/>
    <w:rsid w:val="00FA4184"/>
    <w:rsid w:val="00FB2C7D"/>
    <w:rsid w:val="00FB4453"/>
    <w:rsid w:val="00FB52AB"/>
    <w:rsid w:val="00FB798B"/>
    <w:rsid w:val="00FC19F7"/>
    <w:rsid w:val="00FC40B8"/>
    <w:rsid w:val="00FC47A3"/>
    <w:rsid w:val="00FD0A74"/>
    <w:rsid w:val="00FE063A"/>
    <w:rsid w:val="00FE0B4C"/>
    <w:rsid w:val="00FE0D2F"/>
    <w:rsid w:val="00FE24C1"/>
    <w:rsid w:val="00FE6C02"/>
    <w:rsid w:val="00FF0250"/>
    <w:rsid w:val="00FF660E"/>
    <w:rsid w:val="00FF7782"/>
    <w:rsid w:val="0163B127"/>
    <w:rsid w:val="021B81EA"/>
    <w:rsid w:val="02DFFA90"/>
    <w:rsid w:val="02E536CB"/>
    <w:rsid w:val="032B8A64"/>
    <w:rsid w:val="035568B9"/>
    <w:rsid w:val="0359F6E7"/>
    <w:rsid w:val="0422596F"/>
    <w:rsid w:val="04512145"/>
    <w:rsid w:val="04F55406"/>
    <w:rsid w:val="04FF9C58"/>
    <w:rsid w:val="052618A3"/>
    <w:rsid w:val="05311AC8"/>
    <w:rsid w:val="06377043"/>
    <w:rsid w:val="06640024"/>
    <w:rsid w:val="06C4F181"/>
    <w:rsid w:val="06D0721C"/>
    <w:rsid w:val="06FB0F8F"/>
    <w:rsid w:val="07B46317"/>
    <w:rsid w:val="083467C3"/>
    <w:rsid w:val="0885025A"/>
    <w:rsid w:val="0897AF53"/>
    <w:rsid w:val="08D96626"/>
    <w:rsid w:val="09463555"/>
    <w:rsid w:val="098FD9E4"/>
    <w:rsid w:val="09AA4130"/>
    <w:rsid w:val="0A5C8FC7"/>
    <w:rsid w:val="0BABA75A"/>
    <w:rsid w:val="0BC6ABCB"/>
    <w:rsid w:val="0BE6674F"/>
    <w:rsid w:val="0C015E3B"/>
    <w:rsid w:val="0CC851FA"/>
    <w:rsid w:val="0CF48854"/>
    <w:rsid w:val="0D23C289"/>
    <w:rsid w:val="0DA56DC6"/>
    <w:rsid w:val="0DF2FA15"/>
    <w:rsid w:val="0E87A935"/>
    <w:rsid w:val="0EF3E70A"/>
    <w:rsid w:val="0F1C8244"/>
    <w:rsid w:val="0F6A1E83"/>
    <w:rsid w:val="107B1F93"/>
    <w:rsid w:val="10AD0F20"/>
    <w:rsid w:val="110C3526"/>
    <w:rsid w:val="118F3657"/>
    <w:rsid w:val="120DC627"/>
    <w:rsid w:val="123610B4"/>
    <w:rsid w:val="126F1A79"/>
    <w:rsid w:val="12730E41"/>
    <w:rsid w:val="12839D0A"/>
    <w:rsid w:val="12868709"/>
    <w:rsid w:val="12F8D14B"/>
    <w:rsid w:val="13465274"/>
    <w:rsid w:val="13DFA0EA"/>
    <w:rsid w:val="1411B578"/>
    <w:rsid w:val="14269261"/>
    <w:rsid w:val="149097B0"/>
    <w:rsid w:val="14D38119"/>
    <w:rsid w:val="14FCD005"/>
    <w:rsid w:val="15FBBC0F"/>
    <w:rsid w:val="160B69BD"/>
    <w:rsid w:val="1653E5C4"/>
    <w:rsid w:val="1722EDA1"/>
    <w:rsid w:val="1754FC3B"/>
    <w:rsid w:val="17A145C0"/>
    <w:rsid w:val="18532FDD"/>
    <w:rsid w:val="18945DD4"/>
    <w:rsid w:val="192DC695"/>
    <w:rsid w:val="197057AC"/>
    <w:rsid w:val="19A2DAF7"/>
    <w:rsid w:val="19EC5202"/>
    <w:rsid w:val="1A379FCE"/>
    <w:rsid w:val="1CA300CD"/>
    <w:rsid w:val="1CAA77A4"/>
    <w:rsid w:val="1D5DEED2"/>
    <w:rsid w:val="1EBF1C12"/>
    <w:rsid w:val="1EC77C9E"/>
    <w:rsid w:val="1EEB2676"/>
    <w:rsid w:val="1EFD4682"/>
    <w:rsid w:val="1F103315"/>
    <w:rsid w:val="1F2D9EF3"/>
    <w:rsid w:val="206EBECE"/>
    <w:rsid w:val="20E2565F"/>
    <w:rsid w:val="215C8922"/>
    <w:rsid w:val="21971237"/>
    <w:rsid w:val="219F7858"/>
    <w:rsid w:val="21C89FA3"/>
    <w:rsid w:val="220669EC"/>
    <w:rsid w:val="22C2B6EC"/>
    <w:rsid w:val="230FF455"/>
    <w:rsid w:val="2363BD49"/>
    <w:rsid w:val="23AF58CF"/>
    <w:rsid w:val="23B726DF"/>
    <w:rsid w:val="2405CE26"/>
    <w:rsid w:val="24195AAC"/>
    <w:rsid w:val="24244432"/>
    <w:rsid w:val="242D7282"/>
    <w:rsid w:val="24A7EEC6"/>
    <w:rsid w:val="256E5AF5"/>
    <w:rsid w:val="25708F4B"/>
    <w:rsid w:val="25775333"/>
    <w:rsid w:val="268DFB1B"/>
    <w:rsid w:val="2710C761"/>
    <w:rsid w:val="28EB4100"/>
    <w:rsid w:val="29172FFA"/>
    <w:rsid w:val="293B0577"/>
    <w:rsid w:val="29895018"/>
    <w:rsid w:val="29C5B7FA"/>
    <w:rsid w:val="2A18548A"/>
    <w:rsid w:val="2A3387F1"/>
    <w:rsid w:val="2A69C3FD"/>
    <w:rsid w:val="2A702262"/>
    <w:rsid w:val="2B7B92C1"/>
    <w:rsid w:val="2B86CBE5"/>
    <w:rsid w:val="2BA19DD4"/>
    <w:rsid w:val="2BDE61D0"/>
    <w:rsid w:val="2BE1C4C3"/>
    <w:rsid w:val="2D0920DD"/>
    <w:rsid w:val="2D1F0E90"/>
    <w:rsid w:val="2D2040B3"/>
    <w:rsid w:val="2D7C6C54"/>
    <w:rsid w:val="2D812A5C"/>
    <w:rsid w:val="2DA2E9EA"/>
    <w:rsid w:val="2DC72CD1"/>
    <w:rsid w:val="2E0519A2"/>
    <w:rsid w:val="2E5309FD"/>
    <w:rsid w:val="2E542278"/>
    <w:rsid w:val="2EAD0BAD"/>
    <w:rsid w:val="2F1F39F7"/>
    <w:rsid w:val="2FE5BF27"/>
    <w:rsid w:val="2FF06A06"/>
    <w:rsid w:val="305F7971"/>
    <w:rsid w:val="30A0A2BE"/>
    <w:rsid w:val="30A96D78"/>
    <w:rsid w:val="30BEFFC4"/>
    <w:rsid w:val="32C88B44"/>
    <w:rsid w:val="331F5942"/>
    <w:rsid w:val="340D0068"/>
    <w:rsid w:val="34E88E2C"/>
    <w:rsid w:val="34EBC599"/>
    <w:rsid w:val="3533DAA7"/>
    <w:rsid w:val="35AD68A3"/>
    <w:rsid w:val="35BB426F"/>
    <w:rsid w:val="3622725F"/>
    <w:rsid w:val="363008D5"/>
    <w:rsid w:val="365F975C"/>
    <w:rsid w:val="370047C5"/>
    <w:rsid w:val="374F4DBA"/>
    <w:rsid w:val="37E553F7"/>
    <w:rsid w:val="381D4182"/>
    <w:rsid w:val="381FE5A8"/>
    <w:rsid w:val="3866B192"/>
    <w:rsid w:val="387A5C9D"/>
    <w:rsid w:val="38A45560"/>
    <w:rsid w:val="39B159A1"/>
    <w:rsid w:val="39D53A26"/>
    <w:rsid w:val="3A1DA1F2"/>
    <w:rsid w:val="3A5B5AAB"/>
    <w:rsid w:val="3B3979A7"/>
    <w:rsid w:val="3B4779E1"/>
    <w:rsid w:val="3B69F48D"/>
    <w:rsid w:val="3C13D874"/>
    <w:rsid w:val="3C603807"/>
    <w:rsid w:val="3C7F0F58"/>
    <w:rsid w:val="3CDE6161"/>
    <w:rsid w:val="3D0AE46F"/>
    <w:rsid w:val="3D473AE9"/>
    <w:rsid w:val="3DC7ADFB"/>
    <w:rsid w:val="3DCDACDC"/>
    <w:rsid w:val="3DEAB275"/>
    <w:rsid w:val="3E03C6A2"/>
    <w:rsid w:val="3E252895"/>
    <w:rsid w:val="3E333757"/>
    <w:rsid w:val="3E4A6518"/>
    <w:rsid w:val="3F2EFA0E"/>
    <w:rsid w:val="3F631B07"/>
    <w:rsid w:val="3FD3D5F3"/>
    <w:rsid w:val="40749CDF"/>
    <w:rsid w:val="40CE73E8"/>
    <w:rsid w:val="40D45EB0"/>
    <w:rsid w:val="41A3C61C"/>
    <w:rsid w:val="41FD8A3A"/>
    <w:rsid w:val="423A1873"/>
    <w:rsid w:val="4256A113"/>
    <w:rsid w:val="4296C7C0"/>
    <w:rsid w:val="43126718"/>
    <w:rsid w:val="43DAC033"/>
    <w:rsid w:val="43E0C14D"/>
    <w:rsid w:val="4421E4E2"/>
    <w:rsid w:val="46BB5FA6"/>
    <w:rsid w:val="47A87E3A"/>
    <w:rsid w:val="480D8387"/>
    <w:rsid w:val="484A4367"/>
    <w:rsid w:val="49363D83"/>
    <w:rsid w:val="493B9432"/>
    <w:rsid w:val="497C9720"/>
    <w:rsid w:val="4A726114"/>
    <w:rsid w:val="4AF6D071"/>
    <w:rsid w:val="4B45B238"/>
    <w:rsid w:val="4B7DC20E"/>
    <w:rsid w:val="4BAC8FD0"/>
    <w:rsid w:val="4C227D9C"/>
    <w:rsid w:val="4C53FE9F"/>
    <w:rsid w:val="4C88973B"/>
    <w:rsid w:val="4C91B094"/>
    <w:rsid w:val="4CBE7BE8"/>
    <w:rsid w:val="4CE7CC48"/>
    <w:rsid w:val="4D5814CA"/>
    <w:rsid w:val="4D737C68"/>
    <w:rsid w:val="4DF83832"/>
    <w:rsid w:val="4E754180"/>
    <w:rsid w:val="4E8AC7EC"/>
    <w:rsid w:val="4F8B6962"/>
    <w:rsid w:val="50287C93"/>
    <w:rsid w:val="5045048A"/>
    <w:rsid w:val="511E3CBA"/>
    <w:rsid w:val="5158CF80"/>
    <w:rsid w:val="5187435B"/>
    <w:rsid w:val="51D3D667"/>
    <w:rsid w:val="52223545"/>
    <w:rsid w:val="52BFB9BD"/>
    <w:rsid w:val="52D31A4D"/>
    <w:rsid w:val="52FA4B28"/>
    <w:rsid w:val="53D3F9E1"/>
    <w:rsid w:val="53E2D3E6"/>
    <w:rsid w:val="542EA940"/>
    <w:rsid w:val="5432949F"/>
    <w:rsid w:val="54522E13"/>
    <w:rsid w:val="54586265"/>
    <w:rsid w:val="545F734C"/>
    <w:rsid w:val="54AB86AC"/>
    <w:rsid w:val="54F4F16B"/>
    <w:rsid w:val="551A16F8"/>
    <w:rsid w:val="556F9601"/>
    <w:rsid w:val="558BE3E1"/>
    <w:rsid w:val="5619856A"/>
    <w:rsid w:val="5698E7A3"/>
    <w:rsid w:val="56A1C7A0"/>
    <w:rsid w:val="574D7994"/>
    <w:rsid w:val="578A567F"/>
    <w:rsid w:val="5877D229"/>
    <w:rsid w:val="58B4BC14"/>
    <w:rsid w:val="58C839CF"/>
    <w:rsid w:val="5921E4B0"/>
    <w:rsid w:val="59233220"/>
    <w:rsid w:val="593B5BB0"/>
    <w:rsid w:val="59429775"/>
    <w:rsid w:val="59619E59"/>
    <w:rsid w:val="5963D728"/>
    <w:rsid w:val="5988D32F"/>
    <w:rsid w:val="59A5E811"/>
    <w:rsid w:val="59D21AE5"/>
    <w:rsid w:val="5A05D9FB"/>
    <w:rsid w:val="5A405955"/>
    <w:rsid w:val="5A4DFA63"/>
    <w:rsid w:val="5A79CC10"/>
    <w:rsid w:val="5AA5A288"/>
    <w:rsid w:val="5AEA7800"/>
    <w:rsid w:val="5B2A6658"/>
    <w:rsid w:val="5B2F24CD"/>
    <w:rsid w:val="5B433A8E"/>
    <w:rsid w:val="5B92E716"/>
    <w:rsid w:val="5B982B1F"/>
    <w:rsid w:val="5BA9C6D6"/>
    <w:rsid w:val="5C7B2515"/>
    <w:rsid w:val="5C972F87"/>
    <w:rsid w:val="5C9CD574"/>
    <w:rsid w:val="5CB3B761"/>
    <w:rsid w:val="5D753DCE"/>
    <w:rsid w:val="5D8ED016"/>
    <w:rsid w:val="5E25C613"/>
    <w:rsid w:val="5E56C526"/>
    <w:rsid w:val="5EE458D1"/>
    <w:rsid w:val="5F2794F0"/>
    <w:rsid w:val="5F48B45E"/>
    <w:rsid w:val="5F4E8707"/>
    <w:rsid w:val="5FB2D78F"/>
    <w:rsid w:val="614148DC"/>
    <w:rsid w:val="624A6F1C"/>
    <w:rsid w:val="62AE2407"/>
    <w:rsid w:val="62B8AD3C"/>
    <w:rsid w:val="62C6C1EC"/>
    <w:rsid w:val="63204D54"/>
    <w:rsid w:val="63AD0BC3"/>
    <w:rsid w:val="650FA9E4"/>
    <w:rsid w:val="66260871"/>
    <w:rsid w:val="6675476F"/>
    <w:rsid w:val="66986BFF"/>
    <w:rsid w:val="669D7D59"/>
    <w:rsid w:val="66D9A4AF"/>
    <w:rsid w:val="66DADF46"/>
    <w:rsid w:val="66E66D46"/>
    <w:rsid w:val="6738F740"/>
    <w:rsid w:val="674F712C"/>
    <w:rsid w:val="678560A8"/>
    <w:rsid w:val="686C2C32"/>
    <w:rsid w:val="6870C4EE"/>
    <w:rsid w:val="68719BD6"/>
    <w:rsid w:val="6884CF9C"/>
    <w:rsid w:val="688DE527"/>
    <w:rsid w:val="68BC4A47"/>
    <w:rsid w:val="68D83530"/>
    <w:rsid w:val="694BCDF4"/>
    <w:rsid w:val="69EE8AA6"/>
    <w:rsid w:val="6A241381"/>
    <w:rsid w:val="6A2E9B8C"/>
    <w:rsid w:val="6A637908"/>
    <w:rsid w:val="6AA332E1"/>
    <w:rsid w:val="6B0AF829"/>
    <w:rsid w:val="6B17B6F1"/>
    <w:rsid w:val="6B5619FB"/>
    <w:rsid w:val="6B7ADFA4"/>
    <w:rsid w:val="6BFBD840"/>
    <w:rsid w:val="6CA41564"/>
    <w:rsid w:val="6DAB9088"/>
    <w:rsid w:val="6DF6FE7E"/>
    <w:rsid w:val="6E21C3BE"/>
    <w:rsid w:val="6E3AD64A"/>
    <w:rsid w:val="6E99EAA0"/>
    <w:rsid w:val="6EB183E6"/>
    <w:rsid w:val="6F045A83"/>
    <w:rsid w:val="6F1B9C13"/>
    <w:rsid w:val="6F3F43EF"/>
    <w:rsid w:val="6FA46B48"/>
    <w:rsid w:val="6FAA9EC7"/>
    <w:rsid w:val="6FC72BD2"/>
    <w:rsid w:val="70022C58"/>
    <w:rsid w:val="7066BDEA"/>
    <w:rsid w:val="7071A9B7"/>
    <w:rsid w:val="7159E8ED"/>
    <w:rsid w:val="718E12A3"/>
    <w:rsid w:val="720E29FB"/>
    <w:rsid w:val="7281828F"/>
    <w:rsid w:val="72C36639"/>
    <w:rsid w:val="73A868C3"/>
    <w:rsid w:val="73D008A8"/>
    <w:rsid w:val="7437AC05"/>
    <w:rsid w:val="743B38B3"/>
    <w:rsid w:val="74995067"/>
    <w:rsid w:val="74B39166"/>
    <w:rsid w:val="7500F486"/>
    <w:rsid w:val="750AA6F0"/>
    <w:rsid w:val="751B71CF"/>
    <w:rsid w:val="75D6B0AF"/>
    <w:rsid w:val="763D74D5"/>
    <w:rsid w:val="767B39A9"/>
    <w:rsid w:val="7721D5EA"/>
    <w:rsid w:val="775BD914"/>
    <w:rsid w:val="7798BC34"/>
    <w:rsid w:val="77C50C95"/>
    <w:rsid w:val="77DEEBE3"/>
    <w:rsid w:val="780E1E5E"/>
    <w:rsid w:val="78146C3A"/>
    <w:rsid w:val="78807702"/>
    <w:rsid w:val="78AD5CC5"/>
    <w:rsid w:val="78ECB50A"/>
    <w:rsid w:val="79207122"/>
    <w:rsid w:val="7925DB85"/>
    <w:rsid w:val="798E1130"/>
    <w:rsid w:val="799FBC6F"/>
    <w:rsid w:val="7A1EE3A5"/>
    <w:rsid w:val="7A2AA0F7"/>
    <w:rsid w:val="7A6B48CF"/>
    <w:rsid w:val="7A7D1647"/>
    <w:rsid w:val="7B779B11"/>
    <w:rsid w:val="7B787BD3"/>
    <w:rsid w:val="7C4CBBD2"/>
    <w:rsid w:val="7C65A78A"/>
    <w:rsid w:val="7CC38157"/>
    <w:rsid w:val="7D01FCD1"/>
    <w:rsid w:val="7DD1E7A5"/>
    <w:rsid w:val="7DE69755"/>
    <w:rsid w:val="7DFC29B1"/>
    <w:rsid w:val="7E563B6A"/>
    <w:rsid w:val="7ECDD6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43250"/>
  <w15:chartTrackingRefBased/>
  <w15:docId w15:val="{5A5B1D2D-D2AC-4C02-BE9C-2D98382E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7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47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47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7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7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7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47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47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7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7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7D2"/>
    <w:rPr>
      <w:rFonts w:eastAsiaTheme="majorEastAsia" w:cstheme="majorBidi"/>
      <w:color w:val="272727" w:themeColor="text1" w:themeTint="D8"/>
    </w:rPr>
  </w:style>
  <w:style w:type="paragraph" w:styleId="Title">
    <w:name w:val="Title"/>
    <w:basedOn w:val="Normal"/>
    <w:next w:val="Normal"/>
    <w:link w:val="TitleChar"/>
    <w:uiPriority w:val="10"/>
    <w:qFormat/>
    <w:rsid w:val="00BD4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7D2"/>
    <w:pPr>
      <w:spacing w:before="160"/>
      <w:jc w:val="center"/>
    </w:pPr>
    <w:rPr>
      <w:i/>
      <w:iCs/>
      <w:color w:val="404040" w:themeColor="text1" w:themeTint="BF"/>
    </w:rPr>
  </w:style>
  <w:style w:type="character" w:customStyle="1" w:styleId="QuoteChar">
    <w:name w:val="Quote Char"/>
    <w:basedOn w:val="DefaultParagraphFont"/>
    <w:link w:val="Quote"/>
    <w:uiPriority w:val="29"/>
    <w:rsid w:val="00BD47D2"/>
    <w:rPr>
      <w:i/>
      <w:iCs/>
      <w:color w:val="404040" w:themeColor="text1" w:themeTint="BF"/>
    </w:rPr>
  </w:style>
  <w:style w:type="paragraph" w:styleId="ListParagraph">
    <w:name w:val="List Paragraph"/>
    <w:basedOn w:val="Normal"/>
    <w:uiPriority w:val="34"/>
    <w:qFormat/>
    <w:rsid w:val="00BD47D2"/>
    <w:pPr>
      <w:ind w:left="720"/>
      <w:contextualSpacing/>
    </w:pPr>
  </w:style>
  <w:style w:type="character" w:styleId="IntenseEmphasis">
    <w:name w:val="Intense Emphasis"/>
    <w:basedOn w:val="DefaultParagraphFont"/>
    <w:uiPriority w:val="21"/>
    <w:qFormat/>
    <w:rsid w:val="00BD47D2"/>
    <w:rPr>
      <w:i/>
      <w:iCs/>
      <w:color w:val="0F4761" w:themeColor="accent1" w:themeShade="BF"/>
    </w:rPr>
  </w:style>
  <w:style w:type="paragraph" w:styleId="IntenseQuote">
    <w:name w:val="Intense Quote"/>
    <w:basedOn w:val="Normal"/>
    <w:next w:val="Normal"/>
    <w:link w:val="IntenseQuoteChar"/>
    <w:uiPriority w:val="30"/>
    <w:qFormat/>
    <w:rsid w:val="00BD47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7D2"/>
    <w:rPr>
      <w:i/>
      <w:iCs/>
      <w:color w:val="0F4761" w:themeColor="accent1" w:themeShade="BF"/>
    </w:rPr>
  </w:style>
  <w:style w:type="character" w:styleId="IntenseReference">
    <w:name w:val="Intense Reference"/>
    <w:basedOn w:val="DefaultParagraphFont"/>
    <w:uiPriority w:val="32"/>
    <w:qFormat/>
    <w:rsid w:val="00BD47D2"/>
    <w:rPr>
      <w:b/>
      <w:bCs/>
      <w:smallCaps/>
      <w:color w:val="0F4761" w:themeColor="accent1" w:themeShade="BF"/>
      <w:spacing w:val="5"/>
    </w:rPr>
  </w:style>
  <w:style w:type="paragraph" w:styleId="NoSpacing">
    <w:name w:val="No Spacing"/>
    <w:link w:val="NoSpacingChar"/>
    <w:uiPriority w:val="1"/>
    <w:qFormat/>
    <w:rsid w:val="000F6C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F6C7D"/>
    <w:rPr>
      <w:rFonts w:eastAsiaTheme="minorEastAsia"/>
      <w:kern w:val="0"/>
      <w:sz w:val="22"/>
      <w:szCs w:val="22"/>
      <w:lang w:val="en-US"/>
      <w14:ligatures w14:val="none"/>
    </w:rPr>
  </w:style>
  <w:style w:type="character" w:styleId="CommentReference">
    <w:name w:val="annotation reference"/>
    <w:basedOn w:val="DefaultParagraphFont"/>
    <w:uiPriority w:val="99"/>
    <w:semiHidden/>
    <w:unhideWhenUsed/>
    <w:rsid w:val="00864634"/>
    <w:rPr>
      <w:sz w:val="16"/>
      <w:szCs w:val="16"/>
    </w:rPr>
  </w:style>
  <w:style w:type="paragraph" w:styleId="CommentText">
    <w:name w:val="annotation text"/>
    <w:basedOn w:val="Normal"/>
    <w:link w:val="CommentTextChar"/>
    <w:uiPriority w:val="99"/>
    <w:unhideWhenUsed/>
    <w:rsid w:val="00864634"/>
    <w:pPr>
      <w:spacing w:line="240" w:lineRule="auto"/>
    </w:pPr>
    <w:rPr>
      <w:sz w:val="20"/>
      <w:szCs w:val="20"/>
    </w:rPr>
  </w:style>
  <w:style w:type="character" w:customStyle="1" w:styleId="CommentTextChar">
    <w:name w:val="Comment Text Char"/>
    <w:basedOn w:val="DefaultParagraphFont"/>
    <w:link w:val="CommentText"/>
    <w:uiPriority w:val="99"/>
    <w:rsid w:val="00864634"/>
    <w:rPr>
      <w:sz w:val="20"/>
      <w:szCs w:val="20"/>
    </w:rPr>
  </w:style>
  <w:style w:type="paragraph" w:styleId="CommentSubject">
    <w:name w:val="annotation subject"/>
    <w:basedOn w:val="CommentText"/>
    <w:next w:val="CommentText"/>
    <w:link w:val="CommentSubjectChar"/>
    <w:uiPriority w:val="99"/>
    <w:semiHidden/>
    <w:unhideWhenUsed/>
    <w:rsid w:val="00864634"/>
    <w:rPr>
      <w:b/>
      <w:bCs/>
    </w:rPr>
  </w:style>
  <w:style w:type="character" w:customStyle="1" w:styleId="CommentSubjectChar">
    <w:name w:val="Comment Subject Char"/>
    <w:basedOn w:val="CommentTextChar"/>
    <w:link w:val="CommentSubject"/>
    <w:uiPriority w:val="99"/>
    <w:semiHidden/>
    <w:rsid w:val="00864634"/>
    <w:rPr>
      <w:b/>
      <w:bCs/>
      <w:sz w:val="20"/>
      <w:szCs w:val="20"/>
    </w:rPr>
  </w:style>
  <w:style w:type="character" w:styleId="Hyperlink">
    <w:name w:val="Hyperlink"/>
    <w:basedOn w:val="DefaultParagraphFont"/>
    <w:uiPriority w:val="99"/>
    <w:unhideWhenUsed/>
    <w:rsid w:val="00FC19F7"/>
    <w:rPr>
      <w:color w:val="467886" w:themeColor="hyperlink"/>
      <w:u w:val="single"/>
    </w:rPr>
  </w:style>
  <w:style w:type="character" w:styleId="UnresolvedMention">
    <w:name w:val="Unresolved Mention"/>
    <w:basedOn w:val="DefaultParagraphFont"/>
    <w:uiPriority w:val="99"/>
    <w:semiHidden/>
    <w:unhideWhenUsed/>
    <w:rsid w:val="00FC19F7"/>
    <w:rPr>
      <w:color w:val="605E5C"/>
      <w:shd w:val="clear" w:color="auto" w:fill="E1DFDD"/>
    </w:rPr>
  </w:style>
  <w:style w:type="paragraph" w:styleId="EndnoteText">
    <w:name w:val="endnote text"/>
    <w:basedOn w:val="Normal"/>
    <w:link w:val="EndnoteTextChar"/>
    <w:uiPriority w:val="99"/>
    <w:semiHidden/>
    <w:unhideWhenUsed/>
    <w:rsid w:val="002662F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62FA"/>
    <w:rPr>
      <w:sz w:val="20"/>
      <w:szCs w:val="20"/>
    </w:rPr>
  </w:style>
  <w:style w:type="character" w:styleId="EndnoteReference">
    <w:name w:val="endnote reference"/>
    <w:basedOn w:val="DefaultParagraphFont"/>
    <w:uiPriority w:val="99"/>
    <w:semiHidden/>
    <w:unhideWhenUsed/>
    <w:rsid w:val="002662FA"/>
    <w:rPr>
      <w:vertAlign w:val="superscript"/>
    </w:rPr>
  </w:style>
  <w:style w:type="paragraph" w:styleId="FootnoteText">
    <w:name w:val="footnote text"/>
    <w:basedOn w:val="Normal"/>
    <w:link w:val="FootnoteTextChar"/>
    <w:uiPriority w:val="99"/>
    <w:semiHidden/>
    <w:unhideWhenUsed/>
    <w:rsid w:val="00AE15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564"/>
    <w:rPr>
      <w:sz w:val="20"/>
      <w:szCs w:val="20"/>
    </w:rPr>
  </w:style>
  <w:style w:type="character" w:styleId="FootnoteReference">
    <w:name w:val="footnote reference"/>
    <w:basedOn w:val="DefaultParagraphFont"/>
    <w:uiPriority w:val="99"/>
    <w:semiHidden/>
    <w:unhideWhenUsed/>
    <w:rsid w:val="00AE1564"/>
    <w:rPr>
      <w:vertAlign w:val="superscript"/>
    </w:rPr>
  </w:style>
  <w:style w:type="paragraph" w:styleId="NormalWeb">
    <w:name w:val="Normal (Web)"/>
    <w:basedOn w:val="Normal"/>
    <w:uiPriority w:val="99"/>
    <w:semiHidden/>
    <w:unhideWhenUsed/>
    <w:rsid w:val="00FF660E"/>
    <w:rPr>
      <w:rFonts w:ascii="Times New Roman" w:hAnsi="Times New Roman" w:cs="Times New Roman"/>
    </w:rPr>
  </w:style>
  <w:style w:type="character" w:styleId="FollowedHyperlink">
    <w:name w:val="FollowedHyperlink"/>
    <w:basedOn w:val="DefaultParagraphFont"/>
    <w:uiPriority w:val="99"/>
    <w:semiHidden/>
    <w:unhideWhenUsed/>
    <w:rsid w:val="00A84F8E"/>
    <w:rPr>
      <w:color w:val="96607D" w:themeColor="followedHyperlink"/>
      <w:u w:val="single"/>
    </w:rPr>
  </w:style>
  <w:style w:type="paragraph" w:styleId="Revision">
    <w:name w:val="Revision"/>
    <w:hidden/>
    <w:uiPriority w:val="99"/>
    <w:semiHidden/>
    <w:rsid w:val="00516E98"/>
    <w:pPr>
      <w:spacing w:after="0" w:line="240" w:lineRule="auto"/>
    </w:pPr>
  </w:style>
  <w:style w:type="character" w:styleId="Mention">
    <w:name w:val="Mention"/>
    <w:basedOn w:val="DefaultParagraphFont"/>
    <w:uiPriority w:val="99"/>
    <w:unhideWhenUsed/>
    <w:rsid w:val="00516E98"/>
    <w:rPr>
      <w:color w:val="2B579A"/>
      <w:shd w:val="clear" w:color="auto" w:fill="E1DFDD"/>
    </w:rPr>
  </w:style>
  <w:style w:type="paragraph" w:styleId="Header">
    <w:name w:val="header"/>
    <w:basedOn w:val="Normal"/>
    <w:link w:val="HeaderChar"/>
    <w:uiPriority w:val="99"/>
    <w:unhideWhenUsed/>
    <w:rsid w:val="00CB76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6C9"/>
  </w:style>
  <w:style w:type="paragraph" w:styleId="Footer">
    <w:name w:val="footer"/>
    <w:basedOn w:val="Normal"/>
    <w:link w:val="FooterChar"/>
    <w:uiPriority w:val="99"/>
    <w:unhideWhenUsed/>
    <w:rsid w:val="00CB76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6C9"/>
  </w:style>
  <w:style w:type="paragraph" w:styleId="TOCHeading">
    <w:name w:val="TOC Heading"/>
    <w:basedOn w:val="Heading1"/>
    <w:next w:val="Normal"/>
    <w:uiPriority w:val="39"/>
    <w:unhideWhenUsed/>
    <w:qFormat/>
    <w:rsid w:val="00C475B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16763"/>
    <w:pPr>
      <w:tabs>
        <w:tab w:val="right" w:leader="dot" w:pos="9350"/>
      </w:tabs>
      <w:spacing w:after="100"/>
    </w:pPr>
    <w:rPr>
      <w:rFonts w:cs="Arial"/>
      <w:noProof/>
      <w:color w:val="262626" w:themeColor="text1" w:themeTint="D9"/>
    </w:rPr>
  </w:style>
  <w:style w:type="paragraph" w:styleId="TOC2">
    <w:name w:val="toc 2"/>
    <w:basedOn w:val="Normal"/>
    <w:next w:val="Normal"/>
    <w:autoRedefine/>
    <w:uiPriority w:val="39"/>
    <w:unhideWhenUsed/>
    <w:rsid w:val="004A1EE9"/>
    <w:pPr>
      <w:spacing w:after="100"/>
      <w:ind w:left="240"/>
    </w:pPr>
  </w:style>
  <w:style w:type="table" w:styleId="TableGrid">
    <w:name w:val="Table Grid"/>
    <w:basedOn w:val="TableNormal"/>
    <w:uiPriority w:val="39"/>
    <w:rsid w:val="00CC5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2307B"/>
    <w:pPr>
      <w:tabs>
        <w:tab w:val="right" w:leader="dot" w:pos="9350"/>
      </w:tabs>
      <w:spacing w:after="100"/>
      <w:ind w:left="480"/>
    </w:pPr>
    <w:rPr>
      <w:rFonts w:asciiTheme="majorHAnsi" w:hAnsiTheme="majorHAnsi"/>
      <w:b/>
      <w:bCs/>
      <w:noProof/>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publications.gc.ca/collections/collection_2025/infc/T94-54-2025-1-eng.pdf" TargetMode="External"/><Relationship Id="rId13" Type="http://schemas.openxmlformats.org/officeDocument/2006/relationships/hyperlink" Target="https://www.refworld.org/legal/general/cescr/1997/en/53063" TargetMode="External"/><Relationship Id="rId18" Type="http://schemas.openxmlformats.org/officeDocument/2006/relationships/hyperlink" Target="https://nhc-cnl.ca/publications/post/scaling-up-the-non-market-housing-sector-" TargetMode="External"/><Relationship Id="rId26" Type="http://schemas.openxmlformats.org/officeDocument/2006/relationships/hyperlink" Target="https://womenshomelessness.ca/wpcontent/uploads/State-of-Womens-Homelessness-Literature-Review.pdf" TargetMode="External"/><Relationship Id="rId3" Type="http://schemas.openxmlformats.org/officeDocument/2006/relationships/hyperlink" Target="https://www.ohchr.org/en/calls-for-input/general-comment-no-36-article-6-right-life" TargetMode="External"/><Relationship Id="rId21" Type="http://schemas.openxmlformats.org/officeDocument/2006/relationships/hyperlink" Target="https://www.socialrights.ca/Herongate.html" TargetMode="External"/><Relationship Id="rId7" Type="http://schemas.openxmlformats.org/officeDocument/2006/relationships/hyperlink" Target="https://socialrights.ca/Heegsma/CCPINRHN%20Compendium%20Dec%2011.pdf" TargetMode="External"/><Relationship Id="rId12" Type="http://schemas.openxmlformats.org/officeDocument/2006/relationships/hyperlink" Target="https://juris.ohchr.org/casedetails/2541/en-US" TargetMode="External"/><Relationship Id="rId17" Type="http://schemas.openxmlformats.org/officeDocument/2006/relationships/hyperlink" Target="https://www.cba.org/CBAMediaLibrary/cba_na/images/Equal%20Justice%20-%20Microsite/PDFs/Moving-Forward-on-Legal-Aid.pdf" TargetMode="External"/><Relationship Id="rId25" Type="http://schemas.openxmlformats.org/officeDocument/2006/relationships/hyperlink" Target="https://doi.org/10.1080/00918369.2016.1244449" TargetMode="External"/><Relationship Id="rId2" Type="http://schemas.openxmlformats.org/officeDocument/2006/relationships/hyperlink" Target="https://www.refworld.org/policy/polrec/hrc/1999/en/12308" TargetMode="External"/><Relationship Id="rId16" Type="http://schemas.openxmlformats.org/officeDocument/2006/relationships/hyperlink" Target="https://www.acto.ca/production/wp-content/uploads/2017/07/TDCP_Report_2016.pdf" TargetMode="External"/><Relationship Id="rId20" Type="http://schemas.openxmlformats.org/officeDocument/2006/relationships/hyperlink" Target="https://doi.org/10.1111/1468-2427.70033" TargetMode="External"/><Relationship Id="rId29" Type="http://schemas.openxmlformats.org/officeDocument/2006/relationships/hyperlink" Target="https://nhc-cnl.ca/media/Neha/Reports/final-report-and-recommendations-ENGLISH%20(web).pdf" TargetMode="External"/><Relationship Id="rId1" Type="http://schemas.openxmlformats.org/officeDocument/2006/relationships/hyperlink" Target="https://www.canlii.org/en/on/onca/doc/2014/2014onca852/2014onca852.html?resultId=e0baf9d712b54085896254183d4953b3&amp;searchId=2026-01-26T12:58:55:879/f9d96c686bf54d5784e1d40606c802b0" TargetMode="External"/><Relationship Id="rId6" Type="http://schemas.openxmlformats.org/officeDocument/2006/relationships/hyperlink" Target="https://www.canlii.org/en/on/onca/doc/2014/2014onca852/2014onca852.html?autocompleteStr=tanud&amp;autocompletePos=1" TargetMode="External"/><Relationship Id="rId11" Type="http://schemas.openxmlformats.org/officeDocument/2006/relationships/hyperlink" Target="https://housing-infrastructure.canada.ca/homelessness-sans-abri/reports-rapports/pit-counts-dp-2020-2022-highlights-eng.html" TargetMode="External"/><Relationship Id="rId24" Type="http://schemas.openxmlformats.org/officeDocument/2006/relationships/hyperlink" Target="https://womenshomelessness.ca/wpcontent/uploads/State-of-Womens-Homelessness-Literature-Review.pdf" TargetMode="External"/><Relationship Id="rId5" Type="http://schemas.openxmlformats.org/officeDocument/2006/relationships/hyperlink" Target="https://www.toronto.ca/news/toronto-public-health-releases-updated-data-for-deaths-of-people-experiencing-homelessness-in-toronto/" TargetMode="External"/><Relationship Id="rId15" Type="http://schemas.openxmlformats.org/officeDocument/2006/relationships/hyperlink" Target="https://housingrights.ca/wp-content/uploads/CHRC-WNHHN-Schwan-4-May-2021.pdf" TargetMode="External"/><Relationship Id="rId23" Type="http://schemas.openxmlformats.org/officeDocument/2006/relationships/hyperlink" Target="https://housing-infrastructure.canada.ca/housing-logement/bill-rights-charte-droits/index-eng.html" TargetMode="External"/><Relationship Id="rId28" Type="http://schemas.openxmlformats.org/officeDocument/2006/relationships/hyperlink" Target="https://womenshomelessness.ca/wp-content/uploads/Indigenous-Housing-Claim-June-15-2022.pdf" TargetMode="External"/><Relationship Id="rId10" Type="http://schemas.openxmlformats.org/officeDocument/2006/relationships/hyperlink" Target="https://www.statcan.gc.ca/en/census/census-engagement/community-supporter/indigenous-peoples" TargetMode="External"/><Relationship Id="rId19" Type="http://schemas.openxmlformats.org/officeDocument/2006/relationships/hyperlink" Target="https://chec-ccrl.ca/wp-content/uploads/2022/10/Updated-Analysis-on-Housing-Erosion-from-2021-Census-Steve-Pomeroy.pdf" TargetMode="External"/><Relationship Id="rId4" Type="http://schemas.openxmlformats.org/officeDocument/2006/relationships/hyperlink" Target="https://www.toronto.ca/community-people/health-wellness-care/health-inspections-monitoring/monitoring-deaths-of-homeless-people/" TargetMode="External"/><Relationship Id="rId9" Type="http://schemas.openxmlformats.org/officeDocument/2006/relationships/hyperlink" Target="https://housing-infrastructure.canada.ca/pd-dp/seea-eees/uhei-ilihrc-eng.html" TargetMode="External"/><Relationship Id="rId14" Type="http://schemas.openxmlformats.org/officeDocument/2006/relationships/hyperlink" Target="https://www.acto.ca/production/wp-content/uploads/2021/06/Digital-Evictions-ACTO.pdf" TargetMode="External"/><Relationship Id="rId22" Type="http://schemas.openxmlformats.org/officeDocument/2006/relationships/hyperlink" Target="https://housingrights.ca/review-panel-financialization/" TargetMode="External"/><Relationship Id="rId27" Type="http://schemas.openxmlformats.org/officeDocument/2006/relationships/hyperlink" Target="https://womenshomelessness.ca/wp-content/uploads/WNHHN-Claim-15-June-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9DB37D27389348844CB027E8124558" ma:contentTypeVersion="22" ma:contentTypeDescription="Create a new document." ma:contentTypeScope="" ma:versionID="e211a9c58e52df12550ed2b244967d6f">
  <xsd:schema xmlns:xsd="http://www.w3.org/2001/XMLSchema" xmlns:xs="http://www.w3.org/2001/XMLSchema" xmlns:p="http://schemas.microsoft.com/office/2006/metadata/properties" xmlns:ns2="dafbecd6-5b90-4e30-a018-27bbbca06165" xmlns:ns3="4ebe5f28-4db5-4aba-81dd-ff20caa6c2c5" targetNamespace="http://schemas.microsoft.com/office/2006/metadata/properties" ma:root="true" ma:fieldsID="d2e74bc577578c4b881741fb4f37ac9f" ns2:_="" ns3:_="">
    <xsd:import namespace="dafbecd6-5b90-4e30-a018-27bbbca06165"/>
    <xsd:import namespace="4ebe5f28-4db5-4aba-81dd-ff20caa6c2c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Links"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element ref="ns3:Hyper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fbecd6-5b90-4e30-a018-27bbbca0616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c396c65c-1e0d-4ae8-b416-1edf93eee3db}" ma:internalName="TaxCatchAll" ma:showField="CatchAllData" ma:web="dafbecd6-5b90-4e30-a018-27bbbca061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ebe5f28-4db5-4aba-81dd-ff20caa6c2c5"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inks" ma:index="18" nillable="true" ma:displayName="Links" ma:format="Hyperlink" ma:internalName="Links">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d36f773-e80c-489c-8cc8-e88ebf1a8f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Hyperlink" ma:index="28"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ebe5f28-4db5-4aba-81dd-ff20caa6c2c5">
      <Terms xmlns="http://schemas.microsoft.com/office/infopath/2007/PartnerControls"/>
    </lcf76f155ced4ddcb4097134ff3c332f>
    <Links xmlns="4ebe5f28-4db5-4aba-81dd-ff20caa6c2c5">
      <Url xsi:nil="true"/>
      <Description xsi:nil="true"/>
    </Links>
    <TaxCatchAll xmlns="dafbecd6-5b90-4e30-a018-27bbbca06165" xsi:nil="true"/>
    <Hyperlink xmlns="4ebe5f28-4db5-4aba-81dd-ff20caa6c2c5">
      <Url xsi:nil="true"/>
      <Description xsi:nil="true"/>
    </Hyperlink>
  </documentManagement>
</p:properties>
</file>

<file path=customXml/itemProps1.xml><?xml version="1.0" encoding="utf-8"?>
<ds:datastoreItem xmlns:ds="http://schemas.openxmlformats.org/officeDocument/2006/customXml" ds:itemID="{EDA0F639-782B-4229-BF1D-02C0F23D5438}">
  <ds:schemaRefs>
    <ds:schemaRef ds:uri="http://schemas.openxmlformats.org/officeDocument/2006/bibliography"/>
  </ds:schemaRefs>
</ds:datastoreItem>
</file>

<file path=customXml/itemProps2.xml><?xml version="1.0" encoding="utf-8"?>
<ds:datastoreItem xmlns:ds="http://schemas.openxmlformats.org/officeDocument/2006/customXml" ds:itemID="{9E1198B0-924E-4EB4-9399-5517708B81B6}">
  <ds:schemaRefs>
    <ds:schemaRef ds:uri="http://schemas.microsoft.com/sharepoint/v3/contenttype/forms"/>
  </ds:schemaRefs>
</ds:datastoreItem>
</file>

<file path=customXml/itemProps3.xml><?xml version="1.0" encoding="utf-8"?>
<ds:datastoreItem xmlns:ds="http://schemas.openxmlformats.org/officeDocument/2006/customXml" ds:itemID="{D671C186-24F6-4304-B4F4-3CE813D33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fbecd6-5b90-4e30-a018-27bbbca06165"/>
    <ds:schemaRef ds:uri="4ebe5f28-4db5-4aba-81dd-ff20caa6c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2C725C-B996-480C-B476-B83F50358AD5}">
  <ds:schemaRefs>
    <ds:schemaRef ds:uri="http://schemas.microsoft.com/office/2006/metadata/properties"/>
    <ds:schemaRef ds:uri="http://schemas.microsoft.com/office/infopath/2007/PartnerControls"/>
    <ds:schemaRef ds:uri="4ebe5f28-4db5-4aba-81dd-ff20caa6c2c5"/>
    <ds:schemaRef ds:uri="dafbecd6-5b90-4e30-a018-27bbbca06165"/>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5184</Words>
  <Characters>31055</Characters>
  <Application>Microsoft Office Word</Application>
  <DocSecurity>0</DocSecurity>
  <Lines>517</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36076</CharactersWithSpaces>
  <SharedDoc>false</SharedDoc>
  <HLinks>
    <vt:vector size="228" baseType="variant">
      <vt:variant>
        <vt:i4>1048627</vt:i4>
      </vt:variant>
      <vt:variant>
        <vt:i4>50</vt:i4>
      </vt:variant>
      <vt:variant>
        <vt:i4>0</vt:i4>
      </vt:variant>
      <vt:variant>
        <vt:i4>5</vt:i4>
      </vt:variant>
      <vt:variant>
        <vt:lpwstr/>
      </vt:variant>
      <vt:variant>
        <vt:lpwstr>_Toc220505150</vt:lpwstr>
      </vt:variant>
      <vt:variant>
        <vt:i4>1114163</vt:i4>
      </vt:variant>
      <vt:variant>
        <vt:i4>44</vt:i4>
      </vt:variant>
      <vt:variant>
        <vt:i4>0</vt:i4>
      </vt:variant>
      <vt:variant>
        <vt:i4>5</vt:i4>
      </vt:variant>
      <vt:variant>
        <vt:lpwstr/>
      </vt:variant>
      <vt:variant>
        <vt:lpwstr>_Toc220505149</vt:lpwstr>
      </vt:variant>
      <vt:variant>
        <vt:i4>1114163</vt:i4>
      </vt:variant>
      <vt:variant>
        <vt:i4>38</vt:i4>
      </vt:variant>
      <vt:variant>
        <vt:i4>0</vt:i4>
      </vt:variant>
      <vt:variant>
        <vt:i4>5</vt:i4>
      </vt:variant>
      <vt:variant>
        <vt:lpwstr/>
      </vt:variant>
      <vt:variant>
        <vt:lpwstr>_Toc220505148</vt:lpwstr>
      </vt:variant>
      <vt:variant>
        <vt:i4>1114163</vt:i4>
      </vt:variant>
      <vt:variant>
        <vt:i4>32</vt:i4>
      </vt:variant>
      <vt:variant>
        <vt:i4>0</vt:i4>
      </vt:variant>
      <vt:variant>
        <vt:i4>5</vt:i4>
      </vt:variant>
      <vt:variant>
        <vt:lpwstr/>
      </vt:variant>
      <vt:variant>
        <vt:lpwstr>_Toc220505147</vt:lpwstr>
      </vt:variant>
      <vt:variant>
        <vt:i4>1114163</vt:i4>
      </vt:variant>
      <vt:variant>
        <vt:i4>26</vt:i4>
      </vt:variant>
      <vt:variant>
        <vt:i4>0</vt:i4>
      </vt:variant>
      <vt:variant>
        <vt:i4>5</vt:i4>
      </vt:variant>
      <vt:variant>
        <vt:lpwstr/>
      </vt:variant>
      <vt:variant>
        <vt:lpwstr>_Toc220505146</vt:lpwstr>
      </vt:variant>
      <vt:variant>
        <vt:i4>1114163</vt:i4>
      </vt:variant>
      <vt:variant>
        <vt:i4>20</vt:i4>
      </vt:variant>
      <vt:variant>
        <vt:i4>0</vt:i4>
      </vt:variant>
      <vt:variant>
        <vt:i4>5</vt:i4>
      </vt:variant>
      <vt:variant>
        <vt:lpwstr/>
      </vt:variant>
      <vt:variant>
        <vt:lpwstr>_Toc220505145</vt:lpwstr>
      </vt:variant>
      <vt:variant>
        <vt:i4>1114163</vt:i4>
      </vt:variant>
      <vt:variant>
        <vt:i4>14</vt:i4>
      </vt:variant>
      <vt:variant>
        <vt:i4>0</vt:i4>
      </vt:variant>
      <vt:variant>
        <vt:i4>5</vt:i4>
      </vt:variant>
      <vt:variant>
        <vt:lpwstr/>
      </vt:variant>
      <vt:variant>
        <vt:lpwstr>_Toc220505144</vt:lpwstr>
      </vt:variant>
      <vt:variant>
        <vt:i4>1114163</vt:i4>
      </vt:variant>
      <vt:variant>
        <vt:i4>8</vt:i4>
      </vt:variant>
      <vt:variant>
        <vt:i4>0</vt:i4>
      </vt:variant>
      <vt:variant>
        <vt:i4>5</vt:i4>
      </vt:variant>
      <vt:variant>
        <vt:lpwstr/>
      </vt:variant>
      <vt:variant>
        <vt:lpwstr>_Toc220505143</vt:lpwstr>
      </vt:variant>
      <vt:variant>
        <vt:i4>1114163</vt:i4>
      </vt:variant>
      <vt:variant>
        <vt:i4>2</vt:i4>
      </vt:variant>
      <vt:variant>
        <vt:i4>0</vt:i4>
      </vt:variant>
      <vt:variant>
        <vt:i4>5</vt:i4>
      </vt:variant>
      <vt:variant>
        <vt:lpwstr/>
      </vt:variant>
      <vt:variant>
        <vt:lpwstr>_Toc220505142</vt:lpwstr>
      </vt:variant>
      <vt:variant>
        <vt:i4>6225948</vt:i4>
      </vt:variant>
      <vt:variant>
        <vt:i4>84</vt:i4>
      </vt:variant>
      <vt:variant>
        <vt:i4>0</vt:i4>
      </vt:variant>
      <vt:variant>
        <vt:i4>5</vt:i4>
      </vt:variant>
      <vt:variant>
        <vt:lpwstr>https://nhc-cnl.ca/media/Neha/Reports/final-report-and-recommendations-ENGLISH (web).pdf</vt:lpwstr>
      </vt:variant>
      <vt:variant>
        <vt:lpwstr/>
      </vt:variant>
      <vt:variant>
        <vt:i4>7995516</vt:i4>
      </vt:variant>
      <vt:variant>
        <vt:i4>81</vt:i4>
      </vt:variant>
      <vt:variant>
        <vt:i4>0</vt:i4>
      </vt:variant>
      <vt:variant>
        <vt:i4>5</vt:i4>
      </vt:variant>
      <vt:variant>
        <vt:lpwstr>https://womenshomelessness.ca/wp-content/uploads/Indigenous-Housing-Claim-June-15-2022.pdf</vt:lpwstr>
      </vt:variant>
      <vt:variant>
        <vt:lpwstr/>
      </vt:variant>
      <vt:variant>
        <vt:i4>1114181</vt:i4>
      </vt:variant>
      <vt:variant>
        <vt:i4>78</vt:i4>
      </vt:variant>
      <vt:variant>
        <vt:i4>0</vt:i4>
      </vt:variant>
      <vt:variant>
        <vt:i4>5</vt:i4>
      </vt:variant>
      <vt:variant>
        <vt:lpwstr>https://womenshomelessness.ca/wp-content/uploads/WNHHN-Claim-15-June-2022.pdf</vt:lpwstr>
      </vt:variant>
      <vt:variant>
        <vt:lpwstr/>
      </vt:variant>
      <vt:variant>
        <vt:i4>6553644</vt:i4>
      </vt:variant>
      <vt:variant>
        <vt:i4>75</vt:i4>
      </vt:variant>
      <vt:variant>
        <vt:i4>0</vt:i4>
      </vt:variant>
      <vt:variant>
        <vt:i4>5</vt:i4>
      </vt:variant>
      <vt:variant>
        <vt:lpwstr>https://womenshomelessness.ca/wpcontent/uploads/State-of-Womens-Homelessness-Literature-Review.pdf</vt:lpwstr>
      </vt:variant>
      <vt:variant>
        <vt:lpwstr/>
      </vt:variant>
      <vt:variant>
        <vt:i4>983108</vt:i4>
      </vt:variant>
      <vt:variant>
        <vt:i4>72</vt:i4>
      </vt:variant>
      <vt:variant>
        <vt:i4>0</vt:i4>
      </vt:variant>
      <vt:variant>
        <vt:i4>5</vt:i4>
      </vt:variant>
      <vt:variant>
        <vt:lpwstr>https://doi.org/10.1080/00918369.2016.1244449</vt:lpwstr>
      </vt:variant>
      <vt:variant>
        <vt:lpwstr/>
      </vt:variant>
      <vt:variant>
        <vt:i4>6553644</vt:i4>
      </vt:variant>
      <vt:variant>
        <vt:i4>69</vt:i4>
      </vt:variant>
      <vt:variant>
        <vt:i4>0</vt:i4>
      </vt:variant>
      <vt:variant>
        <vt:i4>5</vt:i4>
      </vt:variant>
      <vt:variant>
        <vt:lpwstr>https://womenshomelessness.ca/wpcontent/uploads/State-of-Womens-Homelessness-Literature-Review.pdf</vt:lpwstr>
      </vt:variant>
      <vt:variant>
        <vt:lpwstr/>
      </vt:variant>
      <vt:variant>
        <vt:i4>2752621</vt:i4>
      </vt:variant>
      <vt:variant>
        <vt:i4>66</vt:i4>
      </vt:variant>
      <vt:variant>
        <vt:i4>0</vt:i4>
      </vt:variant>
      <vt:variant>
        <vt:i4>5</vt:i4>
      </vt:variant>
      <vt:variant>
        <vt:lpwstr>https://housing-infrastructure.canada.ca/housing-logement/bill-rights-charte-droits/index-eng.html</vt:lpwstr>
      </vt:variant>
      <vt:variant>
        <vt:lpwstr/>
      </vt:variant>
      <vt:variant>
        <vt:i4>2949222</vt:i4>
      </vt:variant>
      <vt:variant>
        <vt:i4>63</vt:i4>
      </vt:variant>
      <vt:variant>
        <vt:i4>0</vt:i4>
      </vt:variant>
      <vt:variant>
        <vt:i4>5</vt:i4>
      </vt:variant>
      <vt:variant>
        <vt:lpwstr>https://housingrights.ca/review-panel-financialization/</vt:lpwstr>
      </vt:variant>
      <vt:variant>
        <vt:lpwstr/>
      </vt:variant>
      <vt:variant>
        <vt:i4>3342442</vt:i4>
      </vt:variant>
      <vt:variant>
        <vt:i4>60</vt:i4>
      </vt:variant>
      <vt:variant>
        <vt:i4>0</vt:i4>
      </vt:variant>
      <vt:variant>
        <vt:i4>5</vt:i4>
      </vt:variant>
      <vt:variant>
        <vt:lpwstr>https://www.socialrights.ca/Herongate.html</vt:lpwstr>
      </vt:variant>
      <vt:variant>
        <vt:lpwstr/>
      </vt:variant>
      <vt:variant>
        <vt:i4>3342452</vt:i4>
      </vt:variant>
      <vt:variant>
        <vt:i4>57</vt:i4>
      </vt:variant>
      <vt:variant>
        <vt:i4>0</vt:i4>
      </vt:variant>
      <vt:variant>
        <vt:i4>5</vt:i4>
      </vt:variant>
      <vt:variant>
        <vt:lpwstr>https://doi.org/10.1111/1468-2427.70033</vt:lpwstr>
      </vt:variant>
      <vt:variant>
        <vt:lpwstr/>
      </vt:variant>
      <vt:variant>
        <vt:i4>2949228</vt:i4>
      </vt:variant>
      <vt:variant>
        <vt:i4>54</vt:i4>
      </vt:variant>
      <vt:variant>
        <vt:i4>0</vt:i4>
      </vt:variant>
      <vt:variant>
        <vt:i4>5</vt:i4>
      </vt:variant>
      <vt:variant>
        <vt:lpwstr>https://chec-ccrl.ca/wp-content/uploads/2022/10/Updated-Analysis-on-Housing-Erosion-from-2021-Census-Steve-Pomeroy.pdf</vt:lpwstr>
      </vt:variant>
      <vt:variant>
        <vt:lpwstr/>
      </vt:variant>
      <vt:variant>
        <vt:i4>2097270</vt:i4>
      </vt:variant>
      <vt:variant>
        <vt:i4>51</vt:i4>
      </vt:variant>
      <vt:variant>
        <vt:i4>0</vt:i4>
      </vt:variant>
      <vt:variant>
        <vt:i4>5</vt:i4>
      </vt:variant>
      <vt:variant>
        <vt:lpwstr>https://nhc-cnl.ca/publications/post/scaling-up-the-non-market-housing-sector-</vt:lpwstr>
      </vt:variant>
      <vt:variant>
        <vt:lpwstr/>
      </vt:variant>
      <vt:variant>
        <vt:i4>7864384</vt:i4>
      </vt:variant>
      <vt:variant>
        <vt:i4>48</vt:i4>
      </vt:variant>
      <vt:variant>
        <vt:i4>0</vt:i4>
      </vt:variant>
      <vt:variant>
        <vt:i4>5</vt:i4>
      </vt:variant>
      <vt:variant>
        <vt:lpwstr>https://www.cba.org/CBAMediaLibrary/cba_na/images/Equal Justice - Microsite/PDFs/Moving-Forward-on-Legal-Aid.pdf</vt:lpwstr>
      </vt:variant>
      <vt:variant>
        <vt:lpwstr/>
      </vt:variant>
      <vt:variant>
        <vt:i4>1900615</vt:i4>
      </vt:variant>
      <vt:variant>
        <vt:i4>45</vt:i4>
      </vt:variant>
      <vt:variant>
        <vt:i4>0</vt:i4>
      </vt:variant>
      <vt:variant>
        <vt:i4>5</vt:i4>
      </vt:variant>
      <vt:variant>
        <vt:lpwstr>https://www.acto.ca/production/wp-content/uploads/2017/07/TDCP_Report_2016.pdf</vt:lpwstr>
      </vt:variant>
      <vt:variant>
        <vt:lpwstr/>
      </vt:variant>
      <vt:variant>
        <vt:i4>4325389</vt:i4>
      </vt:variant>
      <vt:variant>
        <vt:i4>42</vt:i4>
      </vt:variant>
      <vt:variant>
        <vt:i4>0</vt:i4>
      </vt:variant>
      <vt:variant>
        <vt:i4>5</vt:i4>
      </vt:variant>
      <vt:variant>
        <vt:lpwstr>https://housingrights.ca/wp-content/uploads/CHRC-WNHHN-Schwan-4-May-2021.pdf</vt:lpwstr>
      </vt:variant>
      <vt:variant>
        <vt:lpwstr/>
      </vt:variant>
      <vt:variant>
        <vt:i4>5832730</vt:i4>
      </vt:variant>
      <vt:variant>
        <vt:i4>39</vt:i4>
      </vt:variant>
      <vt:variant>
        <vt:i4>0</vt:i4>
      </vt:variant>
      <vt:variant>
        <vt:i4>5</vt:i4>
      </vt:variant>
      <vt:variant>
        <vt:lpwstr>https://www.acto.ca/production/wp-content/uploads/2021/06/Digital-Evictions-ACTO.pdf</vt:lpwstr>
      </vt:variant>
      <vt:variant>
        <vt:lpwstr/>
      </vt:variant>
      <vt:variant>
        <vt:i4>2687017</vt:i4>
      </vt:variant>
      <vt:variant>
        <vt:i4>36</vt:i4>
      </vt:variant>
      <vt:variant>
        <vt:i4>0</vt:i4>
      </vt:variant>
      <vt:variant>
        <vt:i4>5</vt:i4>
      </vt:variant>
      <vt:variant>
        <vt:lpwstr>https://www.refworld.org/legal/general/cescr/1997/en/53063</vt:lpwstr>
      </vt:variant>
      <vt:variant>
        <vt:lpwstr/>
      </vt:variant>
      <vt:variant>
        <vt:i4>2883701</vt:i4>
      </vt:variant>
      <vt:variant>
        <vt:i4>33</vt:i4>
      </vt:variant>
      <vt:variant>
        <vt:i4>0</vt:i4>
      </vt:variant>
      <vt:variant>
        <vt:i4>5</vt:i4>
      </vt:variant>
      <vt:variant>
        <vt:lpwstr>https://juris.ohchr.org/casedetails/2541/en-US</vt:lpwstr>
      </vt:variant>
      <vt:variant>
        <vt:lpwstr/>
      </vt:variant>
      <vt:variant>
        <vt:i4>5242907</vt:i4>
      </vt:variant>
      <vt:variant>
        <vt:i4>30</vt:i4>
      </vt:variant>
      <vt:variant>
        <vt:i4>0</vt:i4>
      </vt:variant>
      <vt:variant>
        <vt:i4>5</vt:i4>
      </vt:variant>
      <vt:variant>
        <vt:lpwstr>https://housing-infrastructure.canada.ca/homelessness-sans-abri/reports-rapports/pit-counts-dp-2020-2022-highlights-eng.html</vt:lpwstr>
      </vt:variant>
      <vt:variant>
        <vt:lpwstr/>
      </vt:variant>
      <vt:variant>
        <vt:i4>4915291</vt:i4>
      </vt:variant>
      <vt:variant>
        <vt:i4>27</vt:i4>
      </vt:variant>
      <vt:variant>
        <vt:i4>0</vt:i4>
      </vt:variant>
      <vt:variant>
        <vt:i4>5</vt:i4>
      </vt:variant>
      <vt:variant>
        <vt:lpwstr>https://www.statcan.gc.ca/en/census/census-engagement/community-supporter/indigenous-peoples</vt:lpwstr>
      </vt:variant>
      <vt:variant>
        <vt:lpwstr/>
      </vt:variant>
      <vt:variant>
        <vt:i4>5963863</vt:i4>
      </vt:variant>
      <vt:variant>
        <vt:i4>24</vt:i4>
      </vt:variant>
      <vt:variant>
        <vt:i4>0</vt:i4>
      </vt:variant>
      <vt:variant>
        <vt:i4>5</vt:i4>
      </vt:variant>
      <vt:variant>
        <vt:lpwstr>https://housing-infrastructure.canada.ca/pd-dp/seea-eees/uhei-ilihrc-eng.html</vt:lpwstr>
      </vt:variant>
      <vt:variant>
        <vt:lpwstr/>
      </vt:variant>
      <vt:variant>
        <vt:i4>2490447</vt:i4>
      </vt:variant>
      <vt:variant>
        <vt:i4>21</vt:i4>
      </vt:variant>
      <vt:variant>
        <vt:i4>0</vt:i4>
      </vt:variant>
      <vt:variant>
        <vt:i4>5</vt:i4>
      </vt:variant>
      <vt:variant>
        <vt:lpwstr>https://publications.gc.ca/collections/collection_2025/infc/T94-54-2025-1-eng.pdf</vt:lpwstr>
      </vt:variant>
      <vt:variant>
        <vt:lpwstr/>
      </vt:variant>
      <vt:variant>
        <vt:i4>2818108</vt:i4>
      </vt:variant>
      <vt:variant>
        <vt:i4>18</vt:i4>
      </vt:variant>
      <vt:variant>
        <vt:i4>0</vt:i4>
      </vt:variant>
      <vt:variant>
        <vt:i4>5</vt:i4>
      </vt:variant>
      <vt:variant>
        <vt:lpwstr>https://socialrights.ca/Heegsma/CCPINRHN Compendium Dec 11.pdf</vt:lpwstr>
      </vt:variant>
      <vt:variant>
        <vt:lpwstr/>
      </vt:variant>
      <vt:variant>
        <vt:i4>7602232</vt:i4>
      </vt:variant>
      <vt:variant>
        <vt:i4>15</vt:i4>
      </vt:variant>
      <vt:variant>
        <vt:i4>0</vt:i4>
      </vt:variant>
      <vt:variant>
        <vt:i4>5</vt:i4>
      </vt:variant>
      <vt:variant>
        <vt:lpwstr>https://www.canlii.org/en/on/onca/doc/2014/2014onca852/2014onca852.html?autocompleteStr=tanud&amp;autocompletePos=1</vt:lpwstr>
      </vt:variant>
      <vt:variant>
        <vt:lpwstr/>
      </vt:variant>
      <vt:variant>
        <vt:i4>3080312</vt:i4>
      </vt:variant>
      <vt:variant>
        <vt:i4>12</vt:i4>
      </vt:variant>
      <vt:variant>
        <vt:i4>0</vt:i4>
      </vt:variant>
      <vt:variant>
        <vt:i4>5</vt:i4>
      </vt:variant>
      <vt:variant>
        <vt:lpwstr>https://www.toronto.ca/news/toronto-public-health-releases-updated-data-for-deaths-of-people-experiencing-homelessness-in-toronto/</vt:lpwstr>
      </vt:variant>
      <vt:variant>
        <vt:lpwstr/>
      </vt:variant>
      <vt:variant>
        <vt:i4>4980747</vt:i4>
      </vt:variant>
      <vt:variant>
        <vt:i4>9</vt:i4>
      </vt:variant>
      <vt:variant>
        <vt:i4>0</vt:i4>
      </vt:variant>
      <vt:variant>
        <vt:i4>5</vt:i4>
      </vt:variant>
      <vt:variant>
        <vt:lpwstr>https://www.toronto.ca/community-people/health-wellness-care/health-inspections-monitoring/monitoring-deaths-of-homeless-people/</vt:lpwstr>
      </vt:variant>
      <vt:variant>
        <vt:lpwstr/>
      </vt:variant>
      <vt:variant>
        <vt:i4>6488164</vt:i4>
      </vt:variant>
      <vt:variant>
        <vt:i4>6</vt:i4>
      </vt:variant>
      <vt:variant>
        <vt:i4>0</vt:i4>
      </vt:variant>
      <vt:variant>
        <vt:i4>5</vt:i4>
      </vt:variant>
      <vt:variant>
        <vt:lpwstr>https://www.ohchr.org/en/calls-for-input/general-comment-no-36-article-6-right-life</vt:lpwstr>
      </vt:variant>
      <vt:variant>
        <vt:lpwstr/>
      </vt:variant>
      <vt:variant>
        <vt:i4>1179672</vt:i4>
      </vt:variant>
      <vt:variant>
        <vt:i4>3</vt:i4>
      </vt:variant>
      <vt:variant>
        <vt:i4>0</vt:i4>
      </vt:variant>
      <vt:variant>
        <vt:i4>5</vt:i4>
      </vt:variant>
      <vt:variant>
        <vt:lpwstr>https://www.refworld.org/policy/polrec/hrc/1999/en/12308</vt:lpwstr>
      </vt:variant>
      <vt:variant>
        <vt:lpwstr/>
      </vt:variant>
      <vt:variant>
        <vt:i4>6815794</vt:i4>
      </vt:variant>
      <vt:variant>
        <vt:i4>0</vt:i4>
      </vt:variant>
      <vt:variant>
        <vt:i4>0</vt:i4>
      </vt:variant>
      <vt:variant>
        <vt:i4>5</vt:i4>
      </vt:variant>
      <vt:variant>
        <vt:lpwstr>https://www.canlii.org/en/on/onca/doc/2014/2014onca852/2014onca852.html?resultId=e0baf9d712b54085896254183d4953b3&amp;searchId=2026-01-26T12:58:55:879/f9d96c686bf54d5784e1d40606c802b0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Assessing homelessness &amp; effective remedies in accordance to article 2, 6, 17, and 26 of the ICCPR</dc:subject>
  <dc:creator>Ambalika Roy</dc:creator>
  <cp:keywords/>
  <dc:description/>
  <cp:lastModifiedBy>Misha Khan</cp:lastModifiedBy>
  <cp:revision>6</cp:revision>
  <cp:lastPrinted>2026-01-27T22:00:00Z</cp:lastPrinted>
  <dcterms:created xsi:type="dcterms:W3CDTF">2026-01-30T16:47:00Z</dcterms:created>
  <dcterms:modified xsi:type="dcterms:W3CDTF">2026-01-30T20:13:00Z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0x010100629DB37D27389348844CB027E8124558</vt:lpwstr>
  </property>
  <property fmtid="{D5CDD505-2E9C-101B-9397-08002B2CF9AE}" pid="3" name="MediaServiceImageTags">
    <vt:lpwstr/>
  </property>
</Properties>
</file>