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DC0E0" w14:textId="77777777" w:rsidR="00C442CE" w:rsidRDefault="00C442CE"/>
    <w:p w14:paraId="557CF3F4" w14:textId="77777777" w:rsidR="00C442CE" w:rsidRDefault="00C442CE"/>
    <w:p w14:paraId="35A7BE08" w14:textId="77777777" w:rsidR="00C442CE" w:rsidRDefault="00C442CE"/>
    <w:p w14:paraId="7F3207BA" w14:textId="77777777" w:rsidR="00C442CE" w:rsidRDefault="003C7CFD">
      <w:pPr>
        <w:spacing w:after="300"/>
        <w:jc w:val="center"/>
      </w:pPr>
      <w:r>
        <w:rPr>
          <w:b/>
          <w:bCs/>
          <w:color w:val="1F4E79"/>
          <w:sz w:val="52"/>
          <w:szCs w:val="52"/>
        </w:rPr>
        <w:t>INFORME ALTERNATIVO</w:t>
      </w:r>
    </w:p>
    <w:p w14:paraId="3D5F6E12" w14:textId="77777777" w:rsidR="00C442CE" w:rsidRDefault="003C7CFD">
      <w:pPr>
        <w:spacing w:after="200"/>
        <w:jc w:val="center"/>
      </w:pPr>
      <w:r>
        <w:rPr>
          <w:color w:val="595959"/>
          <w:sz w:val="28"/>
          <w:szCs w:val="28"/>
        </w:rPr>
        <w:t>al Comité de Protección de los Derechos de Todos los</w:t>
      </w:r>
    </w:p>
    <w:p w14:paraId="110E79FD" w14:textId="77777777" w:rsidR="00C442CE" w:rsidRDefault="003C7CFD">
      <w:pPr>
        <w:spacing w:after="200"/>
        <w:jc w:val="center"/>
      </w:pPr>
      <w:r>
        <w:rPr>
          <w:b/>
          <w:bCs/>
          <w:color w:val="595959"/>
          <w:sz w:val="28"/>
          <w:szCs w:val="28"/>
        </w:rPr>
        <w:t>Trabajadores Migratorios y de Sus Familiares (CMW)</w:t>
      </w:r>
    </w:p>
    <w:p w14:paraId="736AA364" w14:textId="77777777" w:rsidR="00C442CE" w:rsidRDefault="003C7CFD">
      <w:pPr>
        <w:spacing w:after="400"/>
        <w:jc w:val="center"/>
      </w:pPr>
      <w:r>
        <w:rPr>
          <w:i/>
          <w:iCs/>
          <w:color w:val="2E75B6"/>
          <w:sz w:val="26"/>
          <w:szCs w:val="26"/>
        </w:rPr>
        <w:t>IV Revisión Periódica — Ecuador</w:t>
      </w:r>
    </w:p>
    <w:p w14:paraId="11E178DD" w14:textId="77777777" w:rsidR="00C442CE" w:rsidRDefault="003C7CFD">
      <w:pPr>
        <w:spacing w:before="200" w:after="100"/>
        <w:jc w:val="center"/>
        <w:rPr>
          <w:b/>
          <w:bCs/>
          <w:color w:val="1F4E79"/>
          <w:sz w:val="26"/>
          <w:szCs w:val="26"/>
        </w:rPr>
      </w:pPr>
      <w:r>
        <w:rPr>
          <w:b/>
          <w:bCs/>
          <w:color w:val="1F4E79"/>
          <w:sz w:val="26"/>
          <w:szCs w:val="26"/>
        </w:rPr>
        <w:t>Coalición de Organizaciones Sociales del Ecuador</w:t>
      </w:r>
    </w:p>
    <w:p w14:paraId="25F78CDE" w14:textId="0A5FD6F7" w:rsidR="00B3475A" w:rsidRDefault="00B3475A" w:rsidP="00B3475A">
      <w:pPr>
        <w:spacing w:after="100"/>
        <w:jc w:val="center"/>
        <w:rPr>
          <w:color w:val="595959"/>
          <w:sz w:val="24"/>
          <w:szCs w:val="24"/>
        </w:rPr>
      </w:pPr>
      <w:r>
        <w:rPr>
          <w:color w:val="595959"/>
          <w:sz w:val="24"/>
          <w:szCs w:val="24"/>
        </w:rPr>
        <w:t xml:space="preserve">Quito, Ecuador, </w:t>
      </w:r>
      <w:proofErr w:type="gramStart"/>
      <w:r>
        <w:rPr>
          <w:color w:val="595959"/>
          <w:sz w:val="24"/>
          <w:szCs w:val="24"/>
        </w:rPr>
        <w:t>Abril</w:t>
      </w:r>
      <w:proofErr w:type="gramEnd"/>
      <w:r>
        <w:rPr>
          <w:color w:val="595959"/>
          <w:sz w:val="24"/>
          <w:szCs w:val="24"/>
        </w:rPr>
        <w:t xml:space="preserve"> 2026</w:t>
      </w:r>
    </w:p>
    <w:p w14:paraId="3433DDEE" w14:textId="77777777" w:rsidR="00111623" w:rsidRDefault="00111623" w:rsidP="00B3475A">
      <w:pPr>
        <w:spacing w:after="100"/>
        <w:jc w:val="center"/>
        <w:rPr>
          <w:color w:val="595959"/>
          <w:sz w:val="24"/>
          <w:szCs w:val="24"/>
        </w:rPr>
      </w:pPr>
    </w:p>
    <w:tbl>
      <w:tblPr>
        <w:tblStyle w:val="Tablaconcuadrcula"/>
        <w:tblW w:w="0" w:type="auto"/>
        <w:tblLook w:val="04A0" w:firstRow="1" w:lastRow="0" w:firstColumn="1" w:lastColumn="0" w:noHBand="0" w:noVBand="1"/>
      </w:tblPr>
      <w:tblGrid>
        <w:gridCol w:w="9016"/>
      </w:tblGrid>
      <w:tr w:rsidR="00111623" w14:paraId="4B71D1E1" w14:textId="77777777" w:rsidTr="00111623">
        <w:tc>
          <w:tcPr>
            <w:tcW w:w="9016" w:type="dxa"/>
          </w:tcPr>
          <w:p w14:paraId="5E7D0906" w14:textId="77777777" w:rsidR="00111623" w:rsidRDefault="00111623" w:rsidP="00111623">
            <w:pPr>
              <w:spacing w:before="200" w:after="100"/>
              <w:jc w:val="center"/>
              <w:rPr>
                <w:b/>
                <w:bCs/>
                <w:color w:val="1F4E79"/>
                <w:sz w:val="26"/>
                <w:szCs w:val="26"/>
              </w:rPr>
            </w:pPr>
            <w:r>
              <w:rPr>
                <w:b/>
                <w:bCs/>
                <w:color w:val="1F4E79"/>
                <w:sz w:val="26"/>
                <w:szCs w:val="26"/>
              </w:rPr>
              <w:t>Presentado por:</w:t>
            </w:r>
          </w:p>
          <w:p w14:paraId="7DD01F3D" w14:textId="77777777" w:rsidR="00111623" w:rsidRPr="00B3475A" w:rsidRDefault="00111623" w:rsidP="00111623">
            <w:pPr>
              <w:spacing w:before="200" w:after="100" w:line="276" w:lineRule="auto"/>
              <w:jc w:val="both"/>
              <w:rPr>
                <w:color w:val="000000"/>
              </w:rPr>
            </w:pPr>
            <w:r>
              <w:rPr>
                <w:color w:val="000000"/>
              </w:rPr>
              <w:t xml:space="preserve">La </w:t>
            </w:r>
            <w:r>
              <w:rPr>
                <w:b/>
                <w:bCs/>
                <w:color w:val="000000"/>
              </w:rPr>
              <w:t>Pastoral Social Cáritas Ecuador</w:t>
            </w:r>
            <w:r>
              <w:rPr>
                <w:color w:val="000000"/>
              </w:rPr>
              <w:t>, organismo de la Iglesia Católica y parte de la Conferencia Episcopal Ecuatoriana, es una organización sin fines de lucro que, desde el enfoque del Desarrollo Humano Integral y Solidario, acompaña a personas y comunidades en contextos de vulnerabilidad y exclusión.</w:t>
            </w:r>
          </w:p>
          <w:p w14:paraId="344B753A" w14:textId="77777777" w:rsidR="00111623" w:rsidRPr="00B3475A" w:rsidRDefault="00111623" w:rsidP="00111623">
            <w:pPr>
              <w:spacing w:before="200" w:after="100" w:line="276" w:lineRule="auto"/>
              <w:jc w:val="both"/>
            </w:pPr>
            <w:r>
              <w:t xml:space="preserve">La </w:t>
            </w:r>
            <w:r>
              <w:rPr>
                <w:b/>
                <w:bCs/>
              </w:rPr>
              <w:t>Corporación Alianza Migrante (AM)</w:t>
            </w:r>
            <w:r>
              <w:t xml:space="preserve"> es una plataforma de organizaciones conformadas y lideradas por personas migrantes, refugiadas, retornadas, deportadas y solicitantes de asilo, que impulsa la defensa de derechos, el diálogo con el Estado y organismos internacionales, y la coordinación con redes sociales bajo los principios de dignidad, justicia e interculturalidad, haciendo realidad el lema «Nada sobre migrantes sin migrantes».</w:t>
            </w:r>
          </w:p>
          <w:p w14:paraId="5DF99910" w14:textId="44D5BFE3" w:rsidR="00111623" w:rsidRDefault="00111623" w:rsidP="00111623">
            <w:pPr>
              <w:spacing w:before="200" w:after="100" w:line="276" w:lineRule="auto"/>
              <w:jc w:val="both"/>
            </w:pPr>
            <w:r>
              <w:t xml:space="preserve">El </w:t>
            </w:r>
            <w:r>
              <w:rPr>
                <w:b/>
                <w:bCs/>
              </w:rPr>
              <w:t>Comité Permanente por la Defensa de los Derechos Humanos (CDH)</w:t>
            </w:r>
            <w:r>
              <w:t xml:space="preserve"> es una organización no gubernamental con sede en Guayaquil, fundada en 1982, dedicada al análisis, documentación y defensa de los derechos humanos mediante litigio estratégico, formación comunitaria e incidencia ante mecanismos nacionales e internacionales, con especial atención a poblaciones en situación de vulnerabilidad.</w:t>
            </w:r>
          </w:p>
        </w:tc>
      </w:tr>
    </w:tbl>
    <w:p w14:paraId="23A1FE59" w14:textId="77777777" w:rsidR="00C442CE" w:rsidRDefault="003C7CFD">
      <w:pPr>
        <w:pStyle w:val="Ttulo1"/>
      </w:pPr>
      <w:r>
        <w:t>Introducción</w:t>
      </w:r>
    </w:p>
    <w:p w14:paraId="18A754FB" w14:textId="7DAE20A2" w:rsidR="00C442CE" w:rsidRDefault="003C7CFD" w:rsidP="00C57147">
      <w:pPr>
        <w:tabs>
          <w:tab w:val="left" w:pos="480"/>
        </w:tabs>
        <w:spacing w:before="80" w:after="80" w:line="276" w:lineRule="auto"/>
        <w:ind w:left="480" w:hanging="480"/>
        <w:jc w:val="both"/>
      </w:pPr>
      <w:r>
        <w:rPr>
          <w:b/>
          <w:bCs/>
          <w:color w:val="2E75B6"/>
        </w:rPr>
        <w:t>1.</w:t>
      </w:r>
      <w:r>
        <w:rPr>
          <w:b/>
          <w:bCs/>
          <w:color w:val="2E75B6"/>
        </w:rPr>
        <w:tab/>
      </w:r>
      <w:r>
        <w:t xml:space="preserve">Este informe es presentado por la Coalición de Organizaciones Sociales del Ecuador —integrada por Cáritas Ecuador, el CDH y Alianza Migrante, entre otras— con ocasión del IV ciclo de revisión periódica del Ecuador ante el CMW, cuyo diálogo constructivo está previsto entre el 28 de mayo y el 12 de junio de 2026. Complementa y contrasta la respuesta del Estado a la </w:t>
      </w:r>
      <w:proofErr w:type="spellStart"/>
      <w:r>
        <w:t>LoIPR</w:t>
      </w:r>
      <w:proofErr w:type="spellEnd"/>
      <w:r>
        <w:t xml:space="preserve"> (CMW/C/ECU/QPR/4), aprobada en el 40° período de sesiones del Comité en abril de 2025. El período analizado abarca de 2017 al primer trimestre de 2026, con énfasis en los cambios normativos desde 2021. El informe se concentra en los temas que el Estado no reporta adecuadamente, que presentan brechas estructurales documentadas o que han sido explícitamente preguntados en la </w:t>
      </w:r>
      <w:proofErr w:type="spellStart"/>
      <w:r>
        <w:t>LoIPR</w:t>
      </w:r>
      <w:proofErr w:type="spellEnd"/>
      <w:r>
        <w:t>.</w:t>
      </w:r>
    </w:p>
    <w:p w14:paraId="64BFF174" w14:textId="082ABEF8" w:rsidR="00C57147" w:rsidRPr="00D5204E" w:rsidRDefault="00C57147" w:rsidP="00E416A2">
      <w:pPr>
        <w:tabs>
          <w:tab w:val="left" w:pos="480"/>
        </w:tabs>
        <w:spacing w:before="80" w:after="80" w:line="276" w:lineRule="auto"/>
        <w:ind w:left="480" w:hanging="480"/>
        <w:jc w:val="both"/>
      </w:pPr>
      <w:r>
        <w:rPr>
          <w:b/>
          <w:bCs/>
          <w:color w:val="2E75B6"/>
        </w:rPr>
        <w:lastRenderedPageBreak/>
        <w:t>2.</w:t>
      </w:r>
      <w:r>
        <w:rPr>
          <w:b/>
          <w:bCs/>
          <w:color w:val="2E75B6"/>
        </w:rPr>
        <w:tab/>
      </w:r>
      <w:r>
        <w:t xml:space="preserve">El informe documenta un patrón estructural de debilitamiento de las garantías de derechos de las personas migrantes en Ecuador, en un contexto marcado por reformas normativas regresivas, creciente </w:t>
      </w:r>
      <w:proofErr w:type="spellStart"/>
      <w:r>
        <w:t>securitización</w:t>
      </w:r>
      <w:proofErr w:type="spellEnd"/>
      <w:r>
        <w:t xml:space="preserve"> de la política migratoria y el impacto del conflicto armado interno declarado en 2024. A partir de evidencia empírica, casos documentados y análisis normativo, se identifican brechas sistemáticas entre las obligaciones del Estado bajo la Convención y su implementación efectiva. Los casos incluidos no son hechos aislados, sino expresiones de prácticas recurrentes que afectan de manera diferenciada a personas migrantes, refugiadas, retornadas y sus familias, con impactos agravados en niñez, mujeres y poblaciones en situación de vulnerabilidad.</w:t>
      </w:r>
    </w:p>
    <w:p w14:paraId="068993DC" w14:textId="77777777" w:rsidR="00C442CE" w:rsidRDefault="003C7CFD">
      <w:pPr>
        <w:pStyle w:val="Ttulo1"/>
      </w:pPr>
      <w:r>
        <w:t>1. Medidas generales de aplicación y coordinación institucional</w:t>
      </w:r>
    </w:p>
    <w:p w14:paraId="66FA20A2" w14:textId="77777777" w:rsidR="00C442CE" w:rsidRDefault="003C7CFD">
      <w:pPr>
        <w:spacing w:before="80" w:after="80" w:line="276" w:lineRule="auto"/>
        <w:jc w:val="both"/>
      </w:pPr>
      <w:r>
        <w:rPr>
          <w:i/>
          <w:iCs/>
          <w:color w:val="595959"/>
        </w:rPr>
        <w:t xml:space="preserve">Responde a preguntas 1, 3 y 5 de la </w:t>
      </w:r>
      <w:proofErr w:type="spellStart"/>
      <w:r>
        <w:rPr>
          <w:i/>
          <w:iCs/>
          <w:color w:val="595959"/>
        </w:rPr>
        <w:t>LoIPR</w:t>
      </w:r>
      <w:proofErr w:type="spellEnd"/>
    </w:p>
    <w:p w14:paraId="24C2CC28" w14:textId="77777777" w:rsidR="00C442CE" w:rsidRDefault="00C442CE"/>
    <w:p w14:paraId="601EE42F" w14:textId="3E244E83" w:rsidR="00C442CE" w:rsidRDefault="00DB375A">
      <w:pPr>
        <w:tabs>
          <w:tab w:val="left" w:pos="480"/>
        </w:tabs>
        <w:spacing w:before="80" w:after="80" w:line="276" w:lineRule="auto"/>
        <w:ind w:left="480" w:hanging="480"/>
        <w:jc w:val="both"/>
      </w:pPr>
      <w:r>
        <w:rPr>
          <w:b/>
          <w:bCs/>
          <w:color w:val="2E75B6"/>
        </w:rPr>
        <w:t>3.</w:t>
      </w:r>
      <w:r>
        <w:rPr>
          <w:b/>
          <w:bCs/>
          <w:color w:val="2E75B6"/>
        </w:rPr>
        <w:tab/>
      </w:r>
      <w:r>
        <w:t xml:space="preserve">La participación de la sociedad civil en las políticas migratorias es </w:t>
      </w:r>
      <w:r w:rsidR="00111623">
        <w:t xml:space="preserve">más </w:t>
      </w:r>
      <w:r>
        <w:t xml:space="preserve">formal, no sustantiva. El Consejo Consultivo del CNIMH tiene representación de la sociedad civil, pero sus integrantes fueron seleccionados en 2016–2017 (Resolución CPCCS-615-16-05-2017) y no han sido renovados desde entonces. Tras casi una década sin actualización, han perdido vínculos orgánicos con las organizaciones activas en movilidad humana, vaciando de contenido la participación contemplada en la ley. La respuesta estatal a la </w:t>
      </w:r>
      <w:proofErr w:type="spellStart"/>
      <w:r>
        <w:t>LoIPR</w:t>
      </w:r>
      <w:proofErr w:type="spellEnd"/>
      <w:r>
        <w:t xml:space="preserve"> tampoco incluyó un proceso participativo documentado con la sociedad civil, contradiciendo lo dispuesto en la pregunta 1 de la propia </w:t>
      </w:r>
      <w:proofErr w:type="spellStart"/>
      <w:r>
        <w:t>LoIPR</w:t>
      </w:r>
      <w:proofErr w:type="spellEnd"/>
      <w:r>
        <w:t>.</w:t>
      </w:r>
    </w:p>
    <w:p w14:paraId="1C24CE1F" w14:textId="77777777" w:rsidR="00C442CE" w:rsidRDefault="003C7CFD">
      <w:pPr>
        <w:tabs>
          <w:tab w:val="left" w:pos="480"/>
        </w:tabs>
        <w:spacing w:before="80" w:after="80" w:line="276" w:lineRule="auto"/>
        <w:ind w:left="480" w:hanging="480"/>
        <w:jc w:val="both"/>
      </w:pPr>
      <w:r>
        <w:rPr>
          <w:b/>
          <w:bCs/>
          <w:color w:val="2E75B6"/>
        </w:rPr>
        <w:t>4.</w:t>
      </w:r>
      <w:r>
        <w:rPr>
          <w:b/>
          <w:bCs/>
          <w:color w:val="2E75B6"/>
        </w:rPr>
        <w:tab/>
      </w:r>
      <w:r>
        <w:t>Persiste la ausencia de un sistema estadístico centralizado y desagregado sobre migración: los registros dispersos entre Cancillería, Ministerio del Interior y Ministerio de Relaciones Exteriores no permiten conocer el número de trabajadores migratorios irregulares, perfiles de deportados ni NNA en movilidad. Esta brecha fue señalada en las Observaciones Finales de 2017 y no ha sido corregida. El conflicto armado interno declarado en 2024 ha agravado la coordinación: las fuerzas militares asumieron funciones de control migratorio sin protocolos ni supervisión independiente.</w:t>
      </w:r>
    </w:p>
    <w:p w14:paraId="4B043615" w14:textId="77777777" w:rsidR="00C442CE" w:rsidRDefault="003C7CFD">
      <w:pPr>
        <w:shd w:val="clear" w:color="auto" w:fill="D6E4F0"/>
        <w:spacing w:before="200" w:after="100"/>
      </w:pPr>
      <w:r>
        <w:rPr>
          <w:b/>
          <w:bCs/>
          <w:color w:val="1F4E79"/>
        </w:rPr>
        <w:t>Recomendaciones al Estado ecuatoriano</w:t>
      </w:r>
    </w:p>
    <w:p w14:paraId="7B9B8DA8" w14:textId="77777777" w:rsidR="00C442CE" w:rsidRDefault="003C7CFD">
      <w:pPr>
        <w:pStyle w:val="Prrafodelista"/>
        <w:numPr>
          <w:ilvl w:val="0"/>
          <w:numId w:val="2"/>
        </w:numPr>
        <w:shd w:val="clear" w:color="auto" w:fill="EBF3FB"/>
        <w:spacing w:before="60" w:after="60"/>
      </w:pPr>
      <w:r>
        <w:t>Establecer un sistema estadístico centralizado, desagregado por sexo, edad, nacionalidad, situación migratoria y ocupación, que informe regularmente sobre todos los artículos de la Convención.</w:t>
      </w:r>
    </w:p>
    <w:p w14:paraId="1996518E" w14:textId="468934CC" w:rsidR="00C442CE" w:rsidRDefault="003C7CFD">
      <w:pPr>
        <w:pStyle w:val="Prrafodelista"/>
        <w:numPr>
          <w:ilvl w:val="0"/>
          <w:numId w:val="2"/>
        </w:numPr>
        <w:shd w:val="clear" w:color="auto" w:fill="EBF3FB"/>
        <w:spacing w:before="60" w:after="60"/>
      </w:pPr>
      <w:r>
        <w:t>Convocar de forma inmediata un nuevo proceso de selección de representantes de la sociedad civil ante el CNIMH —cuya designación data de 2017 y no ha sido renovada—, garantizando vínculos con organizaciones activas en movilidad humana y mecanismos periódicos de rendición de cuentas ante la sociedad civil.</w:t>
      </w:r>
    </w:p>
    <w:p w14:paraId="36C3813D" w14:textId="77777777" w:rsidR="00C442CE" w:rsidRDefault="003C7CFD">
      <w:pPr>
        <w:pStyle w:val="Prrafodelista"/>
        <w:numPr>
          <w:ilvl w:val="0"/>
          <w:numId w:val="2"/>
        </w:numPr>
        <w:shd w:val="clear" w:color="auto" w:fill="EBF3FB"/>
        <w:spacing w:before="60" w:after="60"/>
      </w:pPr>
      <w:r>
        <w:t>Garantizar que el Consejo Consultivo del CNIMH opere con regularidad, sesiones públicas y mecanismos de retroalimentación efectiva con las organizaciones de la sociedad civil.</w:t>
      </w:r>
    </w:p>
    <w:p w14:paraId="0541D409" w14:textId="77777777" w:rsidR="00C442CE" w:rsidRDefault="003C7CFD">
      <w:pPr>
        <w:pStyle w:val="Prrafodelista"/>
        <w:numPr>
          <w:ilvl w:val="0"/>
          <w:numId w:val="2"/>
        </w:numPr>
        <w:shd w:val="clear" w:color="auto" w:fill="EBF3FB"/>
        <w:spacing w:before="60" w:after="60"/>
      </w:pPr>
      <w:r>
        <w:t>Definir por ley los límites de la competencia de las fuerzas militares en materia de control migratorio y establecer mecanismos de supervisión independiente.</w:t>
      </w:r>
    </w:p>
    <w:p w14:paraId="49700CB3" w14:textId="77777777" w:rsidR="00C442CE" w:rsidRDefault="00C442CE">
      <w:pPr>
        <w:spacing w:before="100" w:after="200"/>
      </w:pPr>
    </w:p>
    <w:p w14:paraId="31D55FBE" w14:textId="77777777" w:rsidR="00C442CE" w:rsidRDefault="003C7CFD">
      <w:pPr>
        <w:pStyle w:val="Ttulo1"/>
      </w:pPr>
      <w:r>
        <w:t>2. No discriminación, xenofobia y criminalización de la migración</w:t>
      </w:r>
    </w:p>
    <w:p w14:paraId="61C6DC61" w14:textId="77777777" w:rsidR="00C442CE" w:rsidRDefault="003C7CFD">
      <w:pPr>
        <w:spacing w:before="80" w:after="80" w:line="276" w:lineRule="auto"/>
        <w:jc w:val="both"/>
      </w:pPr>
      <w:r>
        <w:rPr>
          <w:i/>
          <w:iCs/>
          <w:color w:val="595959"/>
        </w:rPr>
        <w:lastRenderedPageBreak/>
        <w:t xml:space="preserve">Responde a pregunta 7 de la </w:t>
      </w:r>
      <w:proofErr w:type="spellStart"/>
      <w:r>
        <w:rPr>
          <w:i/>
          <w:iCs/>
          <w:color w:val="595959"/>
        </w:rPr>
        <w:t>LoIPR</w:t>
      </w:r>
      <w:proofErr w:type="spellEnd"/>
      <w:r>
        <w:rPr>
          <w:i/>
          <w:iCs/>
          <w:color w:val="595959"/>
        </w:rPr>
        <w:t xml:space="preserve"> — Art. 7 de la Convención</w:t>
      </w:r>
    </w:p>
    <w:p w14:paraId="250165B5" w14:textId="77777777" w:rsidR="00C442CE" w:rsidRDefault="00C442CE"/>
    <w:p w14:paraId="41A79CE2" w14:textId="77777777" w:rsidR="00C442CE" w:rsidRDefault="003C7CFD">
      <w:pPr>
        <w:tabs>
          <w:tab w:val="left" w:pos="480"/>
        </w:tabs>
        <w:spacing w:before="80" w:after="80" w:line="276" w:lineRule="auto"/>
        <w:ind w:left="480" w:hanging="480"/>
        <w:jc w:val="both"/>
      </w:pPr>
      <w:r>
        <w:rPr>
          <w:b/>
          <w:bCs/>
          <w:color w:val="2E75B6"/>
        </w:rPr>
        <w:t>5.</w:t>
      </w:r>
      <w:r>
        <w:rPr>
          <w:b/>
          <w:bCs/>
          <w:color w:val="2E75B6"/>
        </w:rPr>
        <w:tab/>
      </w:r>
      <w:r>
        <w:t>El contexto de inseguridad y crisis económica ha intensificado discursos criminalizadores de la migración: durante las campañas electorales de 2025–2026 se documentaron declaraciones de candidatos y funcionarios que asociaron sistemáticamente la migración venezolana y colombiana con el crimen organizado, sin corrección ni sanción estatal. La reforma a la LOMH vigente desde octubre de 2025 introduce criterios de 'seguridad pública' discrecionales como causales de deportación y revocatoria de visas sin sentencia condenatoria previa, contradiciendo el principio de presunción de inocencia. En provincias con alta concentración migrante —Imbabura, Sucumbíos, Esmeraldas— persiste discriminación en servicios básicos, educación y empleo, sin programas territorializados de integración intercultural.</w:t>
      </w:r>
    </w:p>
    <w:p w14:paraId="563A528E" w14:textId="77777777" w:rsidR="00C442CE" w:rsidRDefault="003C7CFD">
      <w:pPr>
        <w:shd w:val="clear" w:color="auto" w:fill="D6E4F0"/>
        <w:spacing w:before="200" w:after="100"/>
      </w:pPr>
      <w:r>
        <w:rPr>
          <w:b/>
          <w:bCs/>
          <w:color w:val="1F4E79"/>
        </w:rPr>
        <w:t>Recomendaciones al Estado ecuatoriano</w:t>
      </w:r>
    </w:p>
    <w:p w14:paraId="167E043B" w14:textId="77777777" w:rsidR="00C442CE" w:rsidRDefault="003C7CFD">
      <w:pPr>
        <w:pStyle w:val="Prrafodelista"/>
        <w:numPr>
          <w:ilvl w:val="0"/>
          <w:numId w:val="2"/>
        </w:numPr>
        <w:shd w:val="clear" w:color="auto" w:fill="EBF3FB"/>
        <w:spacing w:before="60" w:after="60"/>
      </w:pPr>
      <w:r>
        <w:t>Sancionar efectivamente los discursos de odio y narrativas criminalizadoras de la migración provenientes de funcionarios públicos y candidatos, en cumplimiento del Art. 7 de la Convención.</w:t>
      </w:r>
    </w:p>
    <w:p w14:paraId="7B74FB76" w14:textId="77777777" w:rsidR="00C442CE" w:rsidRDefault="003C7CFD">
      <w:pPr>
        <w:pStyle w:val="Prrafodelista"/>
        <w:numPr>
          <w:ilvl w:val="0"/>
          <w:numId w:val="2"/>
        </w:numPr>
        <w:shd w:val="clear" w:color="auto" w:fill="EBF3FB"/>
        <w:spacing w:before="60" w:after="60"/>
      </w:pPr>
      <w:r>
        <w:t>Revisar los criterios de 'seguridad pública' introducidos en la reforma de octubre de 2025 para garantizar que no sean aplicados de manera discriminatoria ni sin control judicial previo.</w:t>
      </w:r>
    </w:p>
    <w:p w14:paraId="51DFC844" w14:textId="77777777" w:rsidR="00C442CE" w:rsidRDefault="003C7CFD">
      <w:pPr>
        <w:pStyle w:val="Prrafodelista"/>
        <w:numPr>
          <w:ilvl w:val="0"/>
          <w:numId w:val="2"/>
        </w:numPr>
        <w:shd w:val="clear" w:color="auto" w:fill="EBF3FB"/>
        <w:spacing w:before="60" w:after="60"/>
      </w:pPr>
      <w:r>
        <w:t>Implementar programas territorializados de integración intercultural y lucha contra la xenofobia en provincias con alta concentración de población migrante.</w:t>
      </w:r>
    </w:p>
    <w:p w14:paraId="1112AFD9" w14:textId="77777777" w:rsidR="00C442CE" w:rsidRDefault="00C442CE">
      <w:pPr>
        <w:spacing w:before="100" w:after="200"/>
      </w:pPr>
    </w:p>
    <w:p w14:paraId="762176F2" w14:textId="77777777" w:rsidR="00C442CE" w:rsidRDefault="003C7CFD">
      <w:pPr>
        <w:pStyle w:val="Ttulo1"/>
      </w:pPr>
      <w:r>
        <w:t>3. Deportación exprés, inadmisiones y garantías procesales</w:t>
      </w:r>
    </w:p>
    <w:p w14:paraId="7CDD0903" w14:textId="77777777" w:rsidR="00C442CE" w:rsidRDefault="003C7CFD">
      <w:pPr>
        <w:spacing w:before="80" w:after="80" w:line="276" w:lineRule="auto"/>
        <w:jc w:val="both"/>
      </w:pPr>
      <w:r>
        <w:rPr>
          <w:i/>
          <w:iCs/>
          <w:color w:val="595959"/>
        </w:rPr>
        <w:t xml:space="preserve">Responde a preguntas 8, 9 y 10 de la </w:t>
      </w:r>
      <w:proofErr w:type="spellStart"/>
      <w:r>
        <w:rPr>
          <w:i/>
          <w:iCs/>
          <w:color w:val="595959"/>
        </w:rPr>
        <w:t>LoIPR</w:t>
      </w:r>
      <w:proofErr w:type="spellEnd"/>
      <w:r>
        <w:rPr>
          <w:i/>
          <w:iCs/>
          <w:color w:val="595959"/>
        </w:rPr>
        <w:t xml:space="preserve"> — Arts. 16–18 y 22 de la Convención</w:t>
      </w:r>
    </w:p>
    <w:p w14:paraId="46AFB5E5" w14:textId="77777777" w:rsidR="00C442CE" w:rsidRDefault="00C442CE"/>
    <w:p w14:paraId="6ABD9182" w14:textId="77777777" w:rsidR="00C7644D" w:rsidRPr="00C7644D" w:rsidRDefault="003C7CFD" w:rsidP="00111623">
      <w:pPr>
        <w:pStyle w:val="NormalWeb"/>
        <w:spacing w:before="0" w:beforeAutospacing="0" w:after="120" w:afterAutospacing="0" w:line="276" w:lineRule="auto"/>
        <w:ind w:left="426" w:hanging="426"/>
        <w:jc w:val="both"/>
        <w:rPr>
          <w:rFonts w:ascii="Arial" w:hAnsi="Arial" w:cs="Arial"/>
          <w:i/>
          <w:iCs/>
          <w:sz w:val="22"/>
          <w:szCs w:val="22"/>
        </w:rPr>
      </w:pPr>
      <w:r>
        <w:rPr>
          <w:b/>
          <w:bCs/>
          <w:color w:val="2E75B6"/>
        </w:rPr>
        <w:t>6.</w:t>
      </w:r>
      <w:r>
        <w:rPr>
          <w:b/>
          <w:bCs/>
          <w:color w:val="2E75B6"/>
        </w:rPr>
        <w:tab/>
      </w:r>
      <w:r>
        <w:rPr>
          <w:rStyle w:val="nfasis"/>
          <w:rFonts w:ascii="Arial" w:hAnsi="Arial" w:cs="Arial"/>
          <w:i w:val="0"/>
          <w:iCs w:val="0"/>
          <w:sz w:val="22"/>
          <w:szCs w:val="22"/>
        </w:rPr>
        <w:t>Las reformas a la Ley Orgánica de Movilidad Humana y su aplicación desde 2021 han configurado un patrón consistente de debilitamiento de garantías procesales en materia migratoria. Este patrón se caracteriza por el uso de causales amplias de “seguridad pública”, la utilización de información reservada sin acceso a la defensa y la aceleración de procedimientos administrativos que limitan el derecho al debido proceso.</w:t>
      </w:r>
    </w:p>
    <w:p w14:paraId="5DE1EB21" w14:textId="7618F753" w:rsidR="00C442CE" w:rsidRDefault="003C7CFD">
      <w:pPr>
        <w:tabs>
          <w:tab w:val="left" w:pos="480"/>
        </w:tabs>
        <w:spacing w:before="80" w:after="80" w:line="276" w:lineRule="auto"/>
        <w:ind w:left="480" w:hanging="480"/>
        <w:jc w:val="both"/>
      </w:pPr>
      <w:r>
        <w:rPr>
          <w:b/>
          <w:bCs/>
          <w:color w:val="2E75B6"/>
        </w:rPr>
        <w:t>7.</w:t>
      </w:r>
      <w:r>
        <w:rPr>
          <w:b/>
          <w:bCs/>
          <w:color w:val="2E75B6"/>
        </w:rPr>
        <w:tab/>
      </w:r>
      <w:r>
        <w:t>Pese a que la Corte Constitucional ha proscrito la privación de libertad por irregularidad migratoria, los controles discriminatorios y ha ratificado la deportación como última ratio, las reformas a la LOMH desde 2021 han introducido 'deportaciones exprés' que combinan: (a) causales de 'seguridad' para revocar visas inmediatamente; (b) informes 'reservados' que no se entregan a la defensa; y (c) audiencias aceleradas que vulneran el debido proceso.</w:t>
      </w:r>
    </w:p>
    <w:p w14:paraId="3F064221" w14:textId="77777777" w:rsidR="00C442CE" w:rsidRDefault="003C7CFD">
      <w:pPr>
        <w:tabs>
          <w:tab w:val="left" w:pos="480"/>
        </w:tabs>
        <w:spacing w:before="80" w:after="80" w:line="276" w:lineRule="auto"/>
        <w:ind w:left="480" w:hanging="480"/>
        <w:jc w:val="both"/>
      </w:pPr>
      <w:r>
        <w:rPr>
          <w:b/>
          <w:bCs/>
          <w:color w:val="2E75B6"/>
        </w:rPr>
        <w:t>8.</w:t>
      </w:r>
      <w:r>
        <w:rPr>
          <w:b/>
          <w:bCs/>
          <w:color w:val="2E75B6"/>
        </w:rPr>
        <w:tab/>
      </w:r>
      <w:r>
        <w:t>Los siguientes casos documentados ilustran este patrón sistemático:</w:t>
      </w:r>
    </w:p>
    <w:p w14:paraId="6E23D077" w14:textId="77777777" w:rsidR="00C442CE" w:rsidRDefault="003C7CFD">
      <w:pPr>
        <w:pStyle w:val="Prrafodelista"/>
        <w:numPr>
          <w:ilvl w:val="0"/>
          <w:numId w:val="3"/>
        </w:numPr>
        <w:spacing w:before="60" w:after="60"/>
      </w:pPr>
      <w:r>
        <w:t>Caso Alondra Santiago (2024–2025): revocatoria de visa de periodista cubana con sustento en informe reservado del Ministerio del Interior, sin acceso pleno al expediente ni posibilidad de defensa efectiva. El caso fue ampliamente cuestionado por organizaciones de derechos humanos como instrumentalización de la normativa migratoria contra la libertad de expresión.</w:t>
      </w:r>
    </w:p>
    <w:p w14:paraId="6F015552" w14:textId="77777777" w:rsidR="00C442CE" w:rsidRDefault="003C7CFD">
      <w:pPr>
        <w:pStyle w:val="Prrafodelista"/>
        <w:numPr>
          <w:ilvl w:val="0"/>
          <w:numId w:val="3"/>
        </w:numPr>
        <w:spacing w:before="60" w:after="60"/>
      </w:pPr>
      <w:r>
        <w:t xml:space="preserve">Caso Lautaro Bernat (2025): periodista español detenido y deportado en horas durante protestas sociales, invocando causal de 'amenaza' y con base en informe </w:t>
      </w:r>
      <w:r>
        <w:lastRenderedPageBreak/>
        <w:t>reservado. Las organizaciones denunciaron denegación del derecho a defensa y de contacto consular.</w:t>
      </w:r>
    </w:p>
    <w:p w14:paraId="213320CE" w14:textId="77777777" w:rsidR="00C442CE" w:rsidRDefault="003C7CFD">
      <w:pPr>
        <w:pStyle w:val="Prrafodelista"/>
        <w:numPr>
          <w:ilvl w:val="0"/>
          <w:numId w:val="3"/>
        </w:numPr>
        <w:spacing w:before="60" w:after="60"/>
      </w:pPr>
      <w:r>
        <w:t>Deportaciones colectivas de colombianos (2025): traslado masivo y acelerado de personas privadas de libertad colombianas desde cárceles ecuatorianas hacia Rumichaca, sin individualización de casos y sin concertación con Colombia, lo que derivó en un conflicto diplomático y cuestionamientos por posibles expulsiones colectivas prohibidas por el Art. 22 de la Convención.</w:t>
      </w:r>
    </w:p>
    <w:p w14:paraId="417E359C" w14:textId="77777777" w:rsidR="00C442CE" w:rsidRDefault="003C7CFD">
      <w:pPr>
        <w:pStyle w:val="Prrafodelista"/>
        <w:numPr>
          <w:ilvl w:val="0"/>
          <w:numId w:val="3"/>
        </w:numPr>
        <w:spacing w:before="60" w:after="60"/>
      </w:pPr>
      <w:r>
        <w:t>Caso ciudadano iraní (marzo 2026): deportación casi inmediata tras operativo de la Subsecretaría de Migración, con sustento en información reservada, restricción de acceso al expediente e incomunicación durante la retención.</w:t>
      </w:r>
    </w:p>
    <w:p w14:paraId="21DB730C" w14:textId="77777777" w:rsidR="00C442CE" w:rsidRDefault="003C7CFD">
      <w:pPr>
        <w:pStyle w:val="Prrafodelista"/>
        <w:numPr>
          <w:ilvl w:val="0"/>
          <w:numId w:val="3"/>
        </w:numPr>
        <w:spacing w:before="60" w:after="60"/>
      </w:pPr>
      <w:r>
        <w:t>Operativo 'Pandora' (Imbabura, marzo 2026): 144 personas migrantes sometidas a procedimientos administrativos migratorios con altos márgenes de discrecionalidad, posibles prácticas de perfilamiento étnico-nacional y riesgos de expulsión colectiva encubierta, según denuncia de INREDH.</w:t>
      </w:r>
    </w:p>
    <w:p w14:paraId="7AD950DF" w14:textId="77777777" w:rsidR="00C442CE" w:rsidRDefault="003C7CFD">
      <w:pPr>
        <w:tabs>
          <w:tab w:val="left" w:pos="480"/>
        </w:tabs>
        <w:spacing w:before="80" w:after="80" w:line="276" w:lineRule="auto"/>
        <w:ind w:left="480" w:hanging="480"/>
        <w:jc w:val="both"/>
      </w:pPr>
      <w:r>
        <w:rPr>
          <w:b/>
          <w:bCs/>
          <w:color w:val="2E75B6"/>
        </w:rPr>
        <w:t>9.</w:t>
      </w:r>
      <w:r>
        <w:rPr>
          <w:b/>
          <w:bCs/>
          <w:color w:val="2E75B6"/>
        </w:rPr>
        <w:tab/>
      </w:r>
      <w:r>
        <w:t>El estado de emergencia desde 2024 otorgó a fuerzas militares funciones de control migratorio sin protocolos específicos ni supervisión independiente, generando privaciones de libertad de personas migrantes en contextos militarizados.</w:t>
      </w:r>
    </w:p>
    <w:p w14:paraId="7E008015" w14:textId="77777777" w:rsidR="00C442CE" w:rsidRDefault="003C7CFD">
      <w:pPr>
        <w:shd w:val="clear" w:color="auto" w:fill="D6E4F0"/>
        <w:spacing w:before="200" w:after="100"/>
      </w:pPr>
      <w:r>
        <w:rPr>
          <w:b/>
          <w:bCs/>
          <w:color w:val="1F4E79"/>
        </w:rPr>
        <w:t>Recomendaciones al Estado ecuatoriano</w:t>
      </w:r>
    </w:p>
    <w:p w14:paraId="743E963E" w14:textId="77777777" w:rsidR="00C442CE" w:rsidRDefault="003C7CFD">
      <w:pPr>
        <w:pStyle w:val="Prrafodelista"/>
        <w:numPr>
          <w:ilvl w:val="0"/>
          <w:numId w:val="2"/>
        </w:numPr>
        <w:shd w:val="clear" w:color="auto" w:fill="EBF3FB"/>
        <w:spacing w:before="60" w:after="60"/>
      </w:pPr>
      <w:r>
        <w:t>Garantizar que todo procedimiento de deportación cumpla con las garantías del Art. 22 de la Convención: autoridad competente, procedimiento establecido por ley, recurso con efecto suspensivo e individualización de cada caso.</w:t>
      </w:r>
    </w:p>
    <w:p w14:paraId="2016C907" w14:textId="77777777" w:rsidR="00C442CE" w:rsidRDefault="003C7CFD">
      <w:pPr>
        <w:pStyle w:val="Prrafodelista"/>
        <w:numPr>
          <w:ilvl w:val="0"/>
          <w:numId w:val="2"/>
        </w:numPr>
        <w:shd w:val="clear" w:color="auto" w:fill="EBF3FB"/>
        <w:spacing w:before="60" w:after="60"/>
      </w:pPr>
      <w:r>
        <w:t>Prohibir el uso de informes 'reservados' o 'secretos' como sustento exclusivo de decisiones de deportación o revocatoria de visas, garantizando el derecho a la defensa.</w:t>
      </w:r>
    </w:p>
    <w:p w14:paraId="252AD8CD" w14:textId="77777777" w:rsidR="00C442CE" w:rsidRDefault="003C7CFD">
      <w:pPr>
        <w:pStyle w:val="Prrafodelista"/>
        <w:numPr>
          <w:ilvl w:val="0"/>
          <w:numId w:val="2"/>
        </w:numPr>
        <w:shd w:val="clear" w:color="auto" w:fill="EBF3FB"/>
        <w:spacing w:before="60" w:after="60"/>
      </w:pPr>
      <w:r>
        <w:t>Establecer supervisión judicial independiente de los operativos de control migratorio, especialmente cuando involucran fuerzas militares.</w:t>
      </w:r>
    </w:p>
    <w:p w14:paraId="77CC0058" w14:textId="77777777" w:rsidR="00C442CE" w:rsidRDefault="003C7CFD">
      <w:pPr>
        <w:pStyle w:val="Prrafodelista"/>
        <w:numPr>
          <w:ilvl w:val="0"/>
          <w:numId w:val="2"/>
        </w:numPr>
        <w:shd w:val="clear" w:color="auto" w:fill="EBF3FB"/>
        <w:spacing w:before="60" w:after="60"/>
      </w:pPr>
      <w:r>
        <w:t>Investigar los casos documentados de deportación exprés y colectiva para determinar responsabilidades y establecer medidas de reparación.</w:t>
      </w:r>
    </w:p>
    <w:p w14:paraId="683621EF" w14:textId="77777777" w:rsidR="00C442CE" w:rsidRDefault="00C442CE">
      <w:pPr>
        <w:spacing w:before="100" w:after="200"/>
      </w:pPr>
    </w:p>
    <w:p w14:paraId="1E852411" w14:textId="77777777" w:rsidR="00C442CE" w:rsidRDefault="003C7CFD">
      <w:pPr>
        <w:pStyle w:val="Ttulo1"/>
      </w:pPr>
      <w:r>
        <w:t>4. Regularización migratoria y sanciones</w:t>
      </w:r>
    </w:p>
    <w:p w14:paraId="74C56FD2" w14:textId="77777777" w:rsidR="00C442CE" w:rsidRDefault="003C7CFD">
      <w:pPr>
        <w:spacing w:before="80" w:after="80" w:line="276" w:lineRule="auto"/>
        <w:jc w:val="both"/>
      </w:pPr>
      <w:r>
        <w:rPr>
          <w:i/>
          <w:iCs/>
          <w:color w:val="595959"/>
        </w:rPr>
        <w:t xml:space="preserve">Responde a preguntas 22, 23, 24, 25, 26 y 27 de la </w:t>
      </w:r>
      <w:proofErr w:type="spellStart"/>
      <w:r>
        <w:rPr>
          <w:i/>
          <w:iCs/>
          <w:color w:val="595959"/>
        </w:rPr>
        <w:t>LoIPR</w:t>
      </w:r>
      <w:proofErr w:type="spellEnd"/>
      <w:r>
        <w:rPr>
          <w:i/>
          <w:iCs/>
          <w:color w:val="595959"/>
        </w:rPr>
        <w:t xml:space="preserve"> — Arts. 69–71 de la Convención</w:t>
      </w:r>
    </w:p>
    <w:p w14:paraId="555FCEB6" w14:textId="77777777" w:rsidR="00C442CE" w:rsidRDefault="00C442CE"/>
    <w:p w14:paraId="578A0D08" w14:textId="58BB5A84" w:rsidR="00C442CE" w:rsidRDefault="003C7CFD">
      <w:pPr>
        <w:tabs>
          <w:tab w:val="left" w:pos="480"/>
        </w:tabs>
        <w:spacing w:before="80" w:after="80" w:line="276" w:lineRule="auto"/>
        <w:ind w:left="480" w:hanging="480"/>
        <w:jc w:val="both"/>
      </w:pPr>
      <w:r>
        <w:rPr>
          <w:b/>
          <w:bCs/>
          <w:color w:val="2E75B6"/>
        </w:rPr>
        <w:t>10.</w:t>
      </w:r>
      <w:r>
        <w:rPr>
          <w:b/>
          <w:bCs/>
          <w:color w:val="2E75B6"/>
        </w:rPr>
        <w:tab/>
      </w:r>
      <w:r>
        <w:t>Al primer trimestre de 2026, la regularización migratoria atraviesa una crisis estructural por tres factores: (a) El Decreto 560 (marzo 2025) suspendió el proceso extraordinario del Decreto 370 (agosto 2024), dejando a decenas de miles en irregularidad sobrevenida sin alternativa. (b) El cierre de los consulados venezolanos impide a miles de ciudadanos venezolanos obtener antecedentes apostillados o renovar pasaportes, bloqueando su acceso al sistema ordinario de visados sin responsabilidad propia. (c) La Ley Reformatoria a la LOMH (octubre 2025) incrementó la discrecionalidad para denegar visados bajo la figura de 'amenaza a la seguridad pública' sin sentencia previa, limitó la regularización por vínculos familiares condicionándola a ingresos iguales a la canasta básica, y permite usar una indagación previa en Fiscalía como causal de revocatoria de visa, contraviniendo la presunción de inocencia. A esto se suman las sanciones pecuniarias del Acuerdo Ministerial 907 de 2018, que crean un círculo perverso: la irregularidad genera multas, las multas impiden regularizar.</w:t>
      </w:r>
    </w:p>
    <w:p w14:paraId="6622E1D7" w14:textId="77777777" w:rsidR="00C442CE" w:rsidRDefault="003C7CFD">
      <w:pPr>
        <w:shd w:val="clear" w:color="auto" w:fill="D6E4F0"/>
        <w:spacing w:before="200" w:after="100"/>
      </w:pPr>
      <w:r>
        <w:rPr>
          <w:b/>
          <w:bCs/>
          <w:color w:val="1F4E79"/>
        </w:rPr>
        <w:lastRenderedPageBreak/>
        <w:t>Recomendaciones al Estado ecuatoriano</w:t>
      </w:r>
    </w:p>
    <w:p w14:paraId="633EF18F" w14:textId="77777777" w:rsidR="00C442CE" w:rsidRDefault="003C7CFD">
      <w:pPr>
        <w:pStyle w:val="Prrafodelista"/>
        <w:numPr>
          <w:ilvl w:val="0"/>
          <w:numId w:val="2"/>
        </w:numPr>
        <w:shd w:val="clear" w:color="auto" w:fill="EBF3FB"/>
        <w:spacing w:before="60" w:after="60"/>
      </w:pPr>
      <w:r>
        <w:t>Restablecer y ampliar un proceso de regularización extraordinaria accesible, sin costo o con costo reducido, que contemple las situaciones de irregularidad sobrevenida derivadas de la suspensión del Decreto 370 y del cierre consular venezolano.</w:t>
      </w:r>
    </w:p>
    <w:p w14:paraId="00C5EFD7" w14:textId="77777777" w:rsidR="00C442CE" w:rsidRDefault="003C7CFD">
      <w:pPr>
        <w:pStyle w:val="Prrafodelista"/>
        <w:numPr>
          <w:ilvl w:val="0"/>
          <w:numId w:val="2"/>
        </w:numPr>
        <w:shd w:val="clear" w:color="auto" w:fill="EBF3FB"/>
        <w:spacing w:before="60" w:after="60"/>
      </w:pPr>
      <w:r>
        <w:t>Adoptar medidas específicas para la población venezolana que no puede obtener documentación por causas ajenas a su voluntad, estableciendo procedimientos alternativos de acreditación.</w:t>
      </w:r>
    </w:p>
    <w:p w14:paraId="448ECC5E" w14:textId="77777777" w:rsidR="00C442CE" w:rsidRDefault="003C7CFD">
      <w:pPr>
        <w:pStyle w:val="Prrafodelista"/>
        <w:numPr>
          <w:ilvl w:val="0"/>
          <w:numId w:val="2"/>
        </w:numPr>
        <w:shd w:val="clear" w:color="auto" w:fill="EBF3FB"/>
        <w:spacing w:before="60" w:after="60"/>
      </w:pPr>
      <w:r>
        <w:t>Revisar la reforma de octubre de 2025 para eliminar criterios discrecionales de 'seguridad' como causal de denegación de visados sin control judicial previo.</w:t>
      </w:r>
    </w:p>
    <w:p w14:paraId="35431402" w14:textId="77777777" w:rsidR="00C442CE" w:rsidRDefault="003C7CFD">
      <w:pPr>
        <w:pStyle w:val="Prrafodelista"/>
        <w:numPr>
          <w:ilvl w:val="0"/>
          <w:numId w:val="2"/>
        </w:numPr>
        <w:shd w:val="clear" w:color="auto" w:fill="EBF3FB"/>
        <w:spacing w:before="60" w:after="60"/>
      </w:pPr>
      <w:r>
        <w:t>Eliminar las sanciones pecuniarias que obstaculizan el acceso a la regularización migratoria, en cumplimiento de la sentencia 14-19-IN/23 de la Corte Constitucional.</w:t>
      </w:r>
    </w:p>
    <w:p w14:paraId="69635835" w14:textId="77777777" w:rsidR="00C442CE" w:rsidRDefault="00C442CE">
      <w:pPr>
        <w:spacing w:before="100" w:after="200"/>
      </w:pPr>
    </w:p>
    <w:p w14:paraId="485BEE82" w14:textId="77777777" w:rsidR="00C442CE" w:rsidRDefault="003C7CFD">
      <w:pPr>
        <w:pStyle w:val="Ttulo1"/>
      </w:pPr>
      <w:r>
        <w:t>5. Derechos laborales, seguridad social y explotación</w:t>
      </w:r>
    </w:p>
    <w:p w14:paraId="09D9D6C2" w14:textId="77777777" w:rsidR="00C442CE" w:rsidRDefault="003C7CFD">
      <w:pPr>
        <w:spacing w:before="80" w:after="80" w:line="276" w:lineRule="auto"/>
        <w:jc w:val="both"/>
      </w:pPr>
      <w:r>
        <w:rPr>
          <w:i/>
          <w:iCs/>
          <w:color w:val="595959"/>
        </w:rPr>
        <w:t xml:space="preserve">Responde a preguntas 12 y 13 de la </w:t>
      </w:r>
      <w:proofErr w:type="spellStart"/>
      <w:r>
        <w:rPr>
          <w:i/>
          <w:iCs/>
          <w:color w:val="595959"/>
        </w:rPr>
        <w:t>LoIPR</w:t>
      </w:r>
      <w:proofErr w:type="spellEnd"/>
      <w:r>
        <w:rPr>
          <w:i/>
          <w:iCs/>
          <w:color w:val="595959"/>
        </w:rPr>
        <w:t xml:space="preserve"> — Arts. 25–28 de la Convención</w:t>
      </w:r>
    </w:p>
    <w:p w14:paraId="051088AD" w14:textId="77777777" w:rsidR="00C442CE" w:rsidRDefault="00C442CE"/>
    <w:p w14:paraId="6658112A" w14:textId="769E4B7F" w:rsidR="00C442CE" w:rsidRDefault="003C7CFD">
      <w:pPr>
        <w:tabs>
          <w:tab w:val="left" w:pos="480"/>
        </w:tabs>
        <w:spacing w:before="80" w:after="80" w:line="276" w:lineRule="auto"/>
        <w:ind w:left="480" w:hanging="480"/>
        <w:jc w:val="both"/>
      </w:pPr>
      <w:r>
        <w:rPr>
          <w:b/>
          <w:bCs/>
          <w:color w:val="2E75B6"/>
        </w:rPr>
        <w:t>11.</w:t>
      </w:r>
      <w:r>
        <w:rPr>
          <w:b/>
          <w:bCs/>
          <w:color w:val="2E75B6"/>
        </w:rPr>
        <w:tab/>
      </w:r>
      <w:r>
        <w:t>La situación laboral de las personas migrantes en Ecuador evidencia precarización estructural: el 47% percibe ingresos inferiores al SBU; profesionales con títulos universitarios aceptan remuneraciones hasta un 40% menores por no poder registrarlos ante la SENESCYT en situación irregular; el 85% trabaja sin contrato, facilitando la omisión de horas extras, décimos y afiliación al IESS. El acceso a la justicia laboral está bloqueado por el temor a que las denuncias conlleven notificación a autoridades migratorias; los procesos duran entre 18 y 24 meses. La discriminación es interseccional: afecta con mayor intensidad a mujeres, adultos mayores, personas con discapacidad y población LGBTIQ+. Con ingresos promedio de $250–$300 frente a gastos mínimos de $550 mensuales por hogar con un hijo, la brecha impulsa el trabajo infantil y el abandono escolar. En la Penitenciaría del Litoral, el CDH registró más de 1.000 muertes por tuberculosis y desnutrición en 2025; las personas migrantes privadas de libertad carecen de redes familiares en el país, lo que les impide acceder a defensa legal y dificulta que sus familias sean notificadas incluso en caso de fallecimiento.</w:t>
      </w:r>
    </w:p>
    <w:p w14:paraId="5B975A90" w14:textId="77777777" w:rsidR="00C442CE" w:rsidRDefault="003C7CFD">
      <w:pPr>
        <w:shd w:val="clear" w:color="auto" w:fill="D6E4F0"/>
        <w:spacing w:before="200" w:after="100"/>
      </w:pPr>
      <w:r>
        <w:rPr>
          <w:b/>
          <w:bCs/>
          <w:color w:val="1F4E79"/>
        </w:rPr>
        <w:t>Recomendaciones al Estado ecuatoriano</w:t>
      </w:r>
    </w:p>
    <w:p w14:paraId="587A2C24" w14:textId="77777777" w:rsidR="00C442CE" w:rsidRDefault="003C7CFD">
      <w:pPr>
        <w:pStyle w:val="Prrafodelista"/>
        <w:numPr>
          <w:ilvl w:val="0"/>
          <w:numId w:val="2"/>
        </w:numPr>
        <w:shd w:val="clear" w:color="auto" w:fill="EBF3FB"/>
        <w:spacing w:before="60" w:after="60"/>
      </w:pPr>
      <w:r>
        <w:t>Garantizar que las inspecciones laborales protejan efectivamente a los trabajadores migrantes independientemente de su situación migratoria, sin notificación automática a autoridades de control migratorio.</w:t>
      </w:r>
    </w:p>
    <w:p w14:paraId="61FC3525" w14:textId="77777777" w:rsidR="00C442CE" w:rsidRDefault="003C7CFD">
      <w:pPr>
        <w:pStyle w:val="Prrafodelista"/>
        <w:numPr>
          <w:ilvl w:val="0"/>
          <w:numId w:val="2"/>
        </w:numPr>
        <w:shd w:val="clear" w:color="auto" w:fill="EBF3FB"/>
        <w:spacing w:before="60" w:after="60"/>
      </w:pPr>
      <w:r>
        <w:t>Adoptar medidas específicas para facilitar el registro de títulos profesionales de personas migrantes ante la SENESCYT, eliminando el requisito de regularidad migratoria para este trámite.</w:t>
      </w:r>
    </w:p>
    <w:p w14:paraId="238FC501" w14:textId="77777777" w:rsidR="00C442CE" w:rsidRDefault="003C7CFD">
      <w:pPr>
        <w:pStyle w:val="Prrafodelista"/>
        <w:numPr>
          <w:ilvl w:val="0"/>
          <w:numId w:val="2"/>
        </w:numPr>
        <w:shd w:val="clear" w:color="auto" w:fill="EBF3FB"/>
        <w:spacing w:before="60" w:after="60"/>
      </w:pPr>
      <w:r>
        <w:t>Garantizar atención médica, representación jurídica y comunicación consular efectivas a las personas migrantes privadas de libertad, con datos desagregados sobre su situación.</w:t>
      </w:r>
    </w:p>
    <w:p w14:paraId="5D8574CE" w14:textId="77777777" w:rsidR="00C442CE" w:rsidRDefault="003C7CFD">
      <w:pPr>
        <w:pStyle w:val="Prrafodelista"/>
        <w:numPr>
          <w:ilvl w:val="0"/>
          <w:numId w:val="2"/>
        </w:numPr>
        <w:shd w:val="clear" w:color="auto" w:fill="EBF3FB"/>
        <w:spacing w:before="60" w:after="60"/>
      </w:pPr>
      <w:r>
        <w:t>Publicar estadísticas desagregadas sobre trabajadores migrantes en el sistema penitenciario y adoptar protocolos de notificación a familiares y consulados.</w:t>
      </w:r>
    </w:p>
    <w:p w14:paraId="63DEDA93" w14:textId="77777777" w:rsidR="00C442CE" w:rsidRDefault="00C442CE">
      <w:pPr>
        <w:spacing w:before="100" w:after="200"/>
      </w:pPr>
    </w:p>
    <w:p w14:paraId="3F1AF4C5" w14:textId="77777777" w:rsidR="00C442CE" w:rsidRDefault="003C7CFD">
      <w:pPr>
        <w:pStyle w:val="Ttulo1"/>
      </w:pPr>
      <w:r>
        <w:lastRenderedPageBreak/>
        <w:t>6. Desplazamiento interno forzado y su impacto en trabajadores migratorios</w:t>
      </w:r>
    </w:p>
    <w:p w14:paraId="082CED61" w14:textId="77777777" w:rsidR="00C442CE" w:rsidRDefault="003C7CFD">
      <w:pPr>
        <w:spacing w:before="80" w:after="80" w:line="276" w:lineRule="auto"/>
        <w:jc w:val="both"/>
      </w:pPr>
      <w:r>
        <w:rPr>
          <w:i/>
          <w:iCs/>
          <w:color w:val="595959"/>
        </w:rPr>
        <w:t xml:space="preserve">Responde a pregunta 4 de la </w:t>
      </w:r>
      <w:proofErr w:type="spellStart"/>
      <w:r>
        <w:rPr>
          <w:i/>
          <w:iCs/>
          <w:color w:val="595959"/>
        </w:rPr>
        <w:t>LoIPR</w:t>
      </w:r>
      <w:proofErr w:type="spellEnd"/>
      <w:r>
        <w:rPr>
          <w:i/>
          <w:iCs/>
          <w:color w:val="595959"/>
        </w:rPr>
        <w:t xml:space="preserve"> — Arts. 8–10 de la Convención</w:t>
      </w:r>
    </w:p>
    <w:p w14:paraId="3E9B647A" w14:textId="77777777" w:rsidR="00C442CE" w:rsidRDefault="00C442CE"/>
    <w:p w14:paraId="6A6A65AC" w14:textId="77777777" w:rsidR="00C442CE" w:rsidRDefault="003C7CFD">
      <w:pPr>
        <w:tabs>
          <w:tab w:val="left" w:pos="480"/>
        </w:tabs>
        <w:spacing w:before="80" w:after="80" w:line="276" w:lineRule="auto"/>
        <w:ind w:left="480" w:hanging="480"/>
        <w:jc w:val="both"/>
      </w:pPr>
      <w:r>
        <w:rPr>
          <w:b/>
          <w:bCs/>
          <w:color w:val="2E75B6"/>
        </w:rPr>
        <w:t>12.</w:t>
      </w:r>
      <w:r>
        <w:rPr>
          <w:b/>
          <w:bCs/>
          <w:color w:val="2E75B6"/>
        </w:rPr>
        <w:tab/>
      </w:r>
      <w:r>
        <w:t xml:space="preserve">La violencia de grupos armados ha generado desplazamiento interno forzado en Ecuador con impacto directo en los derechos de trabajadores migratorios en dos dimensiones. Primero, la población migrante y refugiada —especialmente colombiana y venezolana— sufre doble desplazamiento: habiendo huido de sus países de origen, es nuevamente desplazada por la violencia en Ecuador. El CDH ha identificado casos de personas que tras desplazarse internamente se ven forzadas a salir del país. Esta población no accede a mecanismos de protección para desplazados internos por no ser nacional, ni puede retornar a su país de origen, configurando un limbo que vulnera simultáneamente la Convención TMF y los estándares de protección de refugiados. Segundo, la violencia genera emigración forzada de ciudadanos ecuatorianos: periodistas, defensores y líderes comunitarios han debido salir del país por amenazas de grupos del crimen organizado. </w:t>
      </w:r>
      <w:proofErr w:type="spellStart"/>
      <w:r>
        <w:t>Fundamedios</w:t>
      </w:r>
      <w:proofErr w:type="spellEnd"/>
      <w:r>
        <w:t xml:space="preserve"> ha registrado casos de comunicadores forzados a abandonar Ecuador; este fenómeno está ausente de la respuesta estatal a la </w:t>
      </w:r>
      <w:proofErr w:type="spellStart"/>
      <w:r>
        <w:t>LoIPR</w:t>
      </w:r>
      <w:proofErr w:type="spellEnd"/>
      <w:r>
        <w:t>. La masacre del 7 de marzo de 2025 en Socio Vivienda (Guayaquil) obligó a más de 300 familias a desplazarse. Según datos de Cáritas/</w:t>
      </w:r>
      <w:proofErr w:type="spellStart"/>
      <w:r>
        <w:t>ProLAC</w:t>
      </w:r>
      <w:proofErr w:type="spellEnd"/>
      <w:r>
        <w:t xml:space="preserve"> en 256 hogares desplazados, el 46% requiere apoyo en empleo y los ingresos provienen principalmente de trabajo ocasional (28%), emprendimientos de subsistencia (27%) y venta ambulante (20%); la falta de documentación impulsa la migración irregular y la exposición a redes de trata.</w:t>
      </w:r>
    </w:p>
    <w:p w14:paraId="0ECB7105" w14:textId="77777777" w:rsidR="00C442CE" w:rsidRDefault="003C7CFD">
      <w:pPr>
        <w:spacing w:before="200" w:after="120"/>
      </w:pPr>
      <w:r>
        <w:rPr>
          <w:b/>
          <w:bCs/>
          <w:i/>
          <w:iCs/>
          <w:color w:val="595959"/>
        </w:rPr>
        <w:t>Caso Yojalber Ramírez: desaparición forzada</w:t>
      </w:r>
    </w:p>
    <w:p w14:paraId="2DBB981F" w14:textId="77777777" w:rsidR="00C442CE" w:rsidRDefault="003C7CFD">
      <w:pPr>
        <w:tabs>
          <w:tab w:val="left" w:pos="480"/>
        </w:tabs>
        <w:spacing w:before="80" w:after="80" w:line="276" w:lineRule="auto"/>
        <w:ind w:left="480" w:hanging="480"/>
        <w:jc w:val="both"/>
      </w:pPr>
      <w:r>
        <w:rPr>
          <w:b/>
          <w:bCs/>
          <w:color w:val="2E75B6"/>
        </w:rPr>
        <w:t>13.</w:t>
      </w:r>
      <w:r>
        <w:rPr>
          <w:b/>
          <w:bCs/>
          <w:color w:val="2E75B6"/>
        </w:rPr>
        <w:tab/>
      </w:r>
      <w:r>
        <w:t xml:space="preserve">El caso </w:t>
      </w:r>
      <w:proofErr w:type="spellStart"/>
      <w:r>
        <w:t>Yojalber</w:t>
      </w:r>
      <w:proofErr w:type="spellEnd"/>
      <w:r>
        <w:t xml:space="preserve"> Ramírez ilustra la vulnerabilidad extrema de migrantes en zonas de emergencia: el 7 de diciembre de 2024, este ciudadano venezolano fue detenido y torturado por efectivos militares en la provincia de Bolívar. Bajado del vehículo antes de llegar al destino, se escucharon tres disparos; desde entonces permanece desaparecido. Cinco militares han sido procesados. La falta de reconocimiento formal del desplazamiento interno forzado en Ecuador impide la respuesta estatal: no existen sistemas de identificación ni políticas específicas para esta población.</w:t>
      </w:r>
    </w:p>
    <w:p w14:paraId="10C7A5CC" w14:textId="77777777" w:rsidR="00C442CE" w:rsidRDefault="003C7CFD">
      <w:pPr>
        <w:shd w:val="clear" w:color="auto" w:fill="D6E4F0"/>
        <w:spacing w:before="200" w:after="100"/>
      </w:pPr>
      <w:r>
        <w:rPr>
          <w:b/>
          <w:bCs/>
          <w:color w:val="1F4E79"/>
        </w:rPr>
        <w:t>Recomendaciones al Estado ecuatoriano</w:t>
      </w:r>
    </w:p>
    <w:p w14:paraId="56302FFE" w14:textId="77777777" w:rsidR="00C442CE" w:rsidRDefault="003C7CFD">
      <w:pPr>
        <w:pStyle w:val="Prrafodelista"/>
        <w:numPr>
          <w:ilvl w:val="0"/>
          <w:numId w:val="2"/>
        </w:numPr>
        <w:shd w:val="clear" w:color="auto" w:fill="EBF3FB"/>
        <w:spacing w:before="60" w:after="60"/>
      </w:pPr>
      <w:r>
        <w:t>Reconocer formalmente el desplazamiento interno forzado como una problemática diferenciada e implementar mecanismos de identificación, registro y protección con enfoque de derechos, incluyendo a la población migrante y refugiada que sufre doble desplazamiento en el territorio ecuatoriano.</w:t>
      </w:r>
    </w:p>
    <w:p w14:paraId="11ADF58C" w14:textId="77777777" w:rsidR="00C442CE" w:rsidRDefault="003C7CFD">
      <w:pPr>
        <w:pStyle w:val="Prrafodelista"/>
        <w:numPr>
          <w:ilvl w:val="0"/>
          <w:numId w:val="2"/>
        </w:numPr>
        <w:shd w:val="clear" w:color="auto" w:fill="EBF3FB"/>
        <w:spacing w:before="60" w:after="60"/>
      </w:pPr>
      <w:r>
        <w:t>Adoptar medidas de protección específicas para personas migrantes y refugiadas víctimas de desplazamiento interno forzado, reconociendo su condición particular de doble vulnerabilidad y garantizando el acceso a mecanismos de protección equivalentes a los disponibles para personas nacionales.</w:t>
      </w:r>
    </w:p>
    <w:p w14:paraId="59B1C045" w14:textId="77777777" w:rsidR="00C442CE" w:rsidRDefault="003C7CFD">
      <w:pPr>
        <w:pStyle w:val="Prrafodelista"/>
        <w:numPr>
          <w:ilvl w:val="0"/>
          <w:numId w:val="2"/>
        </w:numPr>
        <w:shd w:val="clear" w:color="auto" w:fill="EBF3FB"/>
        <w:spacing w:before="60" w:after="60"/>
      </w:pPr>
      <w:r>
        <w:t xml:space="preserve">Documentar y atender el desplazamiento internacional forzado de ciudadanos ecuatorianos motivado por amenazas de grupos armados no estatales, incluyendo el caso de periodistas y defensores de derechos humanos, coordinando con organizaciones como </w:t>
      </w:r>
      <w:proofErr w:type="spellStart"/>
      <w:r>
        <w:t>Fundamedios</w:t>
      </w:r>
      <w:proofErr w:type="spellEnd"/>
      <w:r>
        <w:t xml:space="preserve"> para la identificación de casos.</w:t>
      </w:r>
    </w:p>
    <w:p w14:paraId="1329EAB0" w14:textId="77777777" w:rsidR="00C442CE" w:rsidRDefault="003C7CFD">
      <w:pPr>
        <w:pStyle w:val="Prrafodelista"/>
        <w:numPr>
          <w:ilvl w:val="0"/>
          <w:numId w:val="2"/>
        </w:numPr>
        <w:shd w:val="clear" w:color="auto" w:fill="EBF3FB"/>
        <w:spacing w:before="60" w:after="60"/>
      </w:pPr>
      <w:r>
        <w:lastRenderedPageBreak/>
        <w:t>Garantizar el acceso a empleo digno de personas desplazadas internamente mediante programas específicos de inserción laboral.</w:t>
      </w:r>
    </w:p>
    <w:p w14:paraId="4A1D30B0" w14:textId="77777777" w:rsidR="00C442CE" w:rsidRDefault="003C7CFD">
      <w:pPr>
        <w:pStyle w:val="Prrafodelista"/>
        <w:numPr>
          <w:ilvl w:val="0"/>
          <w:numId w:val="2"/>
        </w:numPr>
        <w:shd w:val="clear" w:color="auto" w:fill="EBF3FB"/>
        <w:spacing w:before="60" w:after="60"/>
      </w:pPr>
      <w:r>
        <w:t xml:space="preserve">Investigar de manera exhaustiva, imparcial y oportuna la desaparición forzada de </w:t>
      </w:r>
      <w:proofErr w:type="spellStart"/>
      <w:r>
        <w:t>Yojalber</w:t>
      </w:r>
      <w:proofErr w:type="spellEnd"/>
      <w:r>
        <w:t xml:space="preserve"> Ramírez y garantizar verdad, justicia y reparación a su familia.</w:t>
      </w:r>
    </w:p>
    <w:p w14:paraId="5CE1A61B" w14:textId="77777777" w:rsidR="00C442CE" w:rsidRDefault="003C7CFD">
      <w:pPr>
        <w:pStyle w:val="Prrafodelista"/>
        <w:numPr>
          <w:ilvl w:val="0"/>
          <w:numId w:val="2"/>
        </w:numPr>
        <w:shd w:val="clear" w:color="auto" w:fill="EBF3FB"/>
        <w:spacing w:before="60" w:after="60"/>
      </w:pPr>
      <w:r>
        <w:t>Adoptar protocolos específicos para la protección de personas migrantes en zonas declaradas en estado de emergencia.</w:t>
      </w:r>
    </w:p>
    <w:p w14:paraId="57AE2F4D" w14:textId="77777777" w:rsidR="00C442CE" w:rsidRDefault="00C442CE">
      <w:pPr>
        <w:spacing w:before="100" w:after="200"/>
      </w:pPr>
    </w:p>
    <w:p w14:paraId="14A2AA8E" w14:textId="77777777" w:rsidR="00C442CE" w:rsidRDefault="003C7CFD">
      <w:pPr>
        <w:pStyle w:val="Ttulo1"/>
      </w:pPr>
      <w:r>
        <w:t>7. Niñez migrante, reunificación familiar y mujeres migrantes</w:t>
      </w:r>
    </w:p>
    <w:p w14:paraId="3F75C215" w14:textId="77777777" w:rsidR="00C442CE" w:rsidRDefault="003C7CFD">
      <w:pPr>
        <w:spacing w:before="80" w:after="80" w:line="276" w:lineRule="auto"/>
        <w:jc w:val="both"/>
      </w:pPr>
      <w:r>
        <w:rPr>
          <w:i/>
          <w:iCs/>
          <w:color w:val="595959"/>
        </w:rPr>
        <w:t xml:space="preserve">Responde a preguntas 14, 15, 16, 17 y 19 de la </w:t>
      </w:r>
      <w:proofErr w:type="spellStart"/>
      <w:r>
        <w:rPr>
          <w:i/>
          <w:iCs/>
          <w:color w:val="595959"/>
        </w:rPr>
        <w:t>LoIPR</w:t>
      </w:r>
      <w:proofErr w:type="spellEnd"/>
      <w:r>
        <w:rPr>
          <w:i/>
          <w:iCs/>
          <w:color w:val="595959"/>
        </w:rPr>
        <w:t xml:space="preserve"> — Arts. 30 y 44 de la Convención</w:t>
      </w:r>
    </w:p>
    <w:p w14:paraId="23A377D2" w14:textId="77777777" w:rsidR="00C442CE" w:rsidRDefault="00C442CE"/>
    <w:p w14:paraId="5138851C" w14:textId="77777777" w:rsidR="00C442CE" w:rsidRDefault="003C7CFD">
      <w:pPr>
        <w:spacing w:before="200" w:after="120"/>
      </w:pPr>
      <w:r>
        <w:rPr>
          <w:b/>
          <w:bCs/>
          <w:i/>
          <w:iCs/>
          <w:color w:val="595959"/>
        </w:rPr>
        <w:t>a) Niñas, niños y adolescentes en movilidad</w:t>
      </w:r>
    </w:p>
    <w:p w14:paraId="00576A81" w14:textId="77777777" w:rsidR="00C442CE" w:rsidRDefault="003C7CFD">
      <w:pPr>
        <w:tabs>
          <w:tab w:val="left" w:pos="480"/>
        </w:tabs>
        <w:spacing w:before="80" w:after="80" w:line="276" w:lineRule="auto"/>
        <w:ind w:left="480" w:hanging="480"/>
        <w:jc w:val="both"/>
      </w:pPr>
      <w:r>
        <w:rPr>
          <w:b/>
          <w:bCs/>
          <w:color w:val="2E75B6"/>
        </w:rPr>
        <w:t>14.</w:t>
      </w:r>
      <w:r>
        <w:rPr>
          <w:b/>
          <w:bCs/>
          <w:color w:val="2E75B6"/>
        </w:rPr>
        <w:tab/>
      </w:r>
      <w:r>
        <w:t>Entre 2023 y 2024, Ecuador recibió más de 400.000 personas venezolanas, el 33% de las cuales son NNA (≈48.554), según UNICEF; más de 2.000 llegaron solos o separados de sus familias (GTRM). El 85% de encuestados conoce casos de NNA en tránsito expuestos a riesgos: intemperie (31,2%), cruces peligrosos (16,1%) y trabajo infantil (7,1%). La Corte Constitucional (sentencias 2120-19-JP/21 y 212-20-EP/24) prohibió el rechazo en frontera y dispuso un protocolo de atención; sin embargo, no existen datos sobre su implementación y no cubre a NNA que caen en irregularidad después del ingreso.</w:t>
      </w:r>
    </w:p>
    <w:p w14:paraId="349D767C" w14:textId="77777777" w:rsidR="00C442CE" w:rsidRDefault="003C7CFD">
      <w:pPr>
        <w:spacing w:before="200" w:after="120"/>
      </w:pPr>
      <w:r>
        <w:rPr>
          <w:b/>
          <w:bCs/>
          <w:i/>
          <w:iCs/>
          <w:color w:val="595959"/>
        </w:rPr>
        <w:t>b) Caso Liam Conejo Ramos: inacción consular ante detención de menor ecuatoriano por ICE</w:t>
      </w:r>
    </w:p>
    <w:p w14:paraId="41FA5292" w14:textId="6F3EE927" w:rsidR="00111623" w:rsidRDefault="003C7CFD">
      <w:pPr>
        <w:tabs>
          <w:tab w:val="left" w:pos="480"/>
        </w:tabs>
        <w:spacing w:before="80" w:after="80" w:line="276" w:lineRule="auto"/>
        <w:ind w:left="480" w:hanging="480"/>
        <w:jc w:val="both"/>
        <w:rPr>
          <w:b/>
          <w:bCs/>
          <w:color w:val="2E75B6"/>
        </w:rPr>
      </w:pPr>
      <w:r>
        <w:rPr>
          <w:b/>
          <w:bCs/>
          <w:color w:val="2E75B6"/>
        </w:rPr>
        <w:t>15.</w:t>
      </w:r>
      <w:r>
        <w:rPr>
          <w:b/>
          <w:bCs/>
          <w:color w:val="2E75B6"/>
        </w:rPr>
        <w:tab/>
      </w:r>
      <w:r w:rsidR="00111623">
        <w:t>El 20 de enero de 2026, Liam Conejo Ramos, niño ecuatoriano de cinco años, fue detenido con su padre por agentes de ICE en Minneapolis cuando regresaban del preescolar, pese a tener un caso de asilo activo. Autoridades educativas denunciaron que ICE habría usado al menor 'como cebo' para verificar la presencia de adultos en su vivienda. La Cancillería ecuatoriana justificó su limitada intervención en que 'la familia ha pedido que no intervengamos', contradiciendo la obligación de asistencia consular de oficio del Art. 23 de la Convención. Padre e hijo fueron liberados el 1 de febrero por orden judicial.</w:t>
      </w:r>
    </w:p>
    <w:p w14:paraId="37ADD78B" w14:textId="77777777" w:rsidR="00C442CE" w:rsidRDefault="003C7CFD">
      <w:pPr>
        <w:spacing w:before="200" w:after="120"/>
      </w:pPr>
      <w:r>
        <w:rPr>
          <w:b/>
          <w:bCs/>
          <w:i/>
          <w:iCs/>
          <w:color w:val="595959"/>
        </w:rPr>
        <w:t>c) Reunificación familiar</w:t>
      </w:r>
    </w:p>
    <w:p w14:paraId="2332C8BD" w14:textId="77777777" w:rsidR="00C442CE" w:rsidRDefault="003C7CFD">
      <w:pPr>
        <w:tabs>
          <w:tab w:val="left" w:pos="480"/>
        </w:tabs>
        <w:spacing w:before="80" w:after="80" w:line="276" w:lineRule="auto"/>
        <w:ind w:left="480" w:hanging="480"/>
        <w:jc w:val="both"/>
      </w:pPr>
      <w:r>
        <w:rPr>
          <w:b/>
          <w:bCs/>
          <w:color w:val="2E75B6"/>
        </w:rPr>
        <w:t>16.</w:t>
      </w:r>
      <w:r>
        <w:rPr>
          <w:b/>
          <w:bCs/>
          <w:color w:val="2E75B6"/>
        </w:rPr>
        <w:tab/>
      </w:r>
      <w:r>
        <w:t>El requisito de ingresos equivalentes a la canasta básica para visas por vínculos familiares —introducido en 2025— obstaculiza la reunificación familiar, especialmente para familias con irregularidad sobrevenida. El seguimiento de la sentencia 2120-19-JP/21 sobre reunificación no ha sido informado con transparencia.</w:t>
      </w:r>
    </w:p>
    <w:p w14:paraId="2332C8BE" w14:textId="77777777" w:rsidR="00C442CE" w:rsidRDefault="003C7CFD">
      <w:pPr>
        <w:spacing w:before="200" w:after="120"/>
      </w:pPr>
      <w:r>
        <w:rPr>
          <w:b/>
          <w:bCs/>
          <w:i/>
          <w:iCs/>
          <w:color w:val="595959"/>
        </w:rPr>
        <w:t>d) Mujeres migrantes</w:t>
      </w:r>
    </w:p>
    <w:p w14:paraId="2332C8BF" w14:textId="77777777" w:rsidR="00C442CE" w:rsidRDefault="003C7CFD">
      <w:pPr>
        <w:tabs>
          <w:tab w:val="left" w:pos="480"/>
        </w:tabs>
        <w:spacing w:before="80" w:after="80" w:line="276" w:lineRule="auto"/>
        <w:ind w:left="480" w:hanging="480"/>
        <w:jc w:val="both"/>
      </w:pPr>
      <w:r>
        <w:rPr>
          <w:b/>
          <w:bCs/>
          <w:color w:val="2E75B6"/>
        </w:rPr>
        <w:t>17.</w:t>
      </w:r>
      <w:r>
        <w:rPr>
          <w:b/>
          <w:bCs/>
          <w:color w:val="2E75B6"/>
        </w:rPr>
        <w:tab/>
      </w:r>
      <w:r>
        <w:t>Las mujeres migrantes enfrentan doble vulnerabilidad: discriminación migratoria y desigualdad de género. Las jefas de hogar desplazadas asumen el cuidado familiar mientras se insertan laboralmente en informalidad; escasean las casas de acogida para víctimas de violencia de género y las trabajadoras sexuales migrantes carecen de mecanismos accesibles de denuncia. Los datos desagregados por género sobre todas las dimensiones de la Convención son insuficientes.</w:t>
      </w:r>
    </w:p>
    <w:p w14:paraId="6E4BBAF2" w14:textId="77777777" w:rsidR="00C442CE" w:rsidRDefault="003C7CFD">
      <w:pPr>
        <w:shd w:val="clear" w:color="auto" w:fill="D6E4F0"/>
        <w:spacing w:before="200" w:after="100"/>
      </w:pPr>
      <w:r>
        <w:rPr>
          <w:b/>
          <w:bCs/>
          <w:color w:val="1F4E79"/>
        </w:rPr>
        <w:lastRenderedPageBreak/>
        <w:t>Recomendaciones al Estado ecuatoriano</w:t>
      </w:r>
    </w:p>
    <w:p w14:paraId="6A4FD045" w14:textId="77777777" w:rsidR="00C442CE" w:rsidRDefault="003C7CFD">
      <w:pPr>
        <w:pStyle w:val="Prrafodelista"/>
        <w:numPr>
          <w:ilvl w:val="0"/>
          <w:numId w:val="2"/>
        </w:numPr>
        <w:shd w:val="clear" w:color="auto" w:fill="EBF3FB"/>
        <w:spacing w:before="60" w:after="60"/>
      </w:pPr>
      <w:r>
        <w:t>Garantizar la implementación efectiva del Protocolo de protección de NNA en movilidad, incluyendo a quienes caen en irregularidad después del ingreso, con datos estadísticos públicos y periódicos.</w:t>
      </w:r>
    </w:p>
    <w:p w14:paraId="12F5D8BC" w14:textId="77777777" w:rsidR="00C442CE" w:rsidRDefault="003C7CFD">
      <w:pPr>
        <w:pStyle w:val="Prrafodelista"/>
        <w:numPr>
          <w:ilvl w:val="0"/>
          <w:numId w:val="2"/>
        </w:numPr>
        <w:shd w:val="clear" w:color="auto" w:fill="EBF3FB"/>
        <w:spacing w:before="60" w:after="60"/>
      </w:pPr>
      <w:r>
        <w:t>Establecer protocolos consulares que garanticen la asistencia activa y de oficio a ciudadanos ecuatorianos menores de edad en situación de vulnerabilidad en el exterior, con independencia de si la familia o su representante legal solicita dicha intervención, en cumplimiento del Art. 23 de la Convención.</w:t>
      </w:r>
    </w:p>
    <w:p w14:paraId="7C886CD3" w14:textId="77777777" w:rsidR="00C442CE" w:rsidRDefault="003C7CFD">
      <w:pPr>
        <w:pStyle w:val="Prrafodelista"/>
        <w:numPr>
          <w:ilvl w:val="0"/>
          <w:numId w:val="2"/>
        </w:numPr>
        <w:shd w:val="clear" w:color="auto" w:fill="EBF3FB"/>
        <w:spacing w:before="60" w:after="60"/>
      </w:pPr>
      <w:r>
        <w:t>Adoptar una posición diplomática clara frente al uso de niños en operativos migratorios de terceros países que afecten a ciudadanos ecuatorianos, denunciando ante los foros internacionales pertinentes las prácticas que vulneren el principio del interés superior del niño.</w:t>
      </w:r>
    </w:p>
    <w:p w14:paraId="18C3D444" w14:textId="77777777" w:rsidR="00C442CE" w:rsidRDefault="003C7CFD">
      <w:pPr>
        <w:pStyle w:val="Prrafodelista"/>
        <w:numPr>
          <w:ilvl w:val="0"/>
          <w:numId w:val="2"/>
        </w:numPr>
        <w:shd w:val="clear" w:color="auto" w:fill="EBF3FB"/>
        <w:spacing w:before="60" w:after="60"/>
      </w:pPr>
      <w:r>
        <w:t>Eliminar los requisitos económicos para acceder a visas por vínculos familiares que constituyen un obstáculo desproporcionado para la reunificación familiar.</w:t>
      </w:r>
    </w:p>
    <w:p w14:paraId="2BB2E0B0" w14:textId="77777777" w:rsidR="00C442CE" w:rsidRDefault="003C7CFD">
      <w:pPr>
        <w:pStyle w:val="Prrafodelista"/>
        <w:numPr>
          <w:ilvl w:val="0"/>
          <w:numId w:val="2"/>
        </w:numPr>
        <w:shd w:val="clear" w:color="auto" w:fill="EBF3FB"/>
        <w:spacing w:before="60" w:after="60"/>
      </w:pPr>
      <w:r>
        <w:t>Ampliar la red de casas de acogida para mujeres migrantes víctimas de violencia de género en todo el territorio nacional.</w:t>
      </w:r>
    </w:p>
    <w:p w14:paraId="08628B52" w14:textId="77777777" w:rsidR="00C442CE" w:rsidRDefault="003C7CFD">
      <w:pPr>
        <w:pStyle w:val="Prrafodelista"/>
        <w:numPr>
          <w:ilvl w:val="0"/>
          <w:numId w:val="2"/>
        </w:numPr>
        <w:shd w:val="clear" w:color="auto" w:fill="EBF3FB"/>
        <w:spacing w:before="60" w:after="60"/>
      </w:pPr>
      <w:r>
        <w:t>Producir y publicar datos desagregados por género sobre todas las dimensiones de la movilidad humana cubiertas por la Convención.</w:t>
      </w:r>
    </w:p>
    <w:p w14:paraId="478771ED" w14:textId="77777777" w:rsidR="00C442CE" w:rsidRDefault="00C442CE">
      <w:pPr>
        <w:spacing w:before="100" w:after="200"/>
      </w:pPr>
    </w:p>
    <w:p w14:paraId="1EBA3D5B" w14:textId="77777777" w:rsidR="00C442CE" w:rsidRDefault="003C7CFD">
      <w:pPr>
        <w:pStyle w:val="Ttulo1"/>
      </w:pPr>
      <w:r>
        <w:t>8. Personas ecuatorianas retornadas y trata de personas</w:t>
      </w:r>
    </w:p>
    <w:p w14:paraId="69D08CF2" w14:textId="77777777" w:rsidR="00C442CE" w:rsidRDefault="003C7CFD">
      <w:pPr>
        <w:spacing w:before="80" w:after="80" w:line="276" w:lineRule="auto"/>
        <w:jc w:val="both"/>
      </w:pPr>
      <w:r>
        <w:rPr>
          <w:i/>
          <w:iCs/>
          <w:color w:val="595959"/>
        </w:rPr>
        <w:t xml:space="preserve">Responde a preguntas 18, 20 y 21 de la </w:t>
      </w:r>
      <w:proofErr w:type="spellStart"/>
      <w:r>
        <w:rPr>
          <w:i/>
          <w:iCs/>
          <w:color w:val="595959"/>
        </w:rPr>
        <w:t>LoIPR</w:t>
      </w:r>
      <w:proofErr w:type="spellEnd"/>
      <w:r>
        <w:rPr>
          <w:i/>
          <w:iCs/>
          <w:color w:val="595959"/>
        </w:rPr>
        <w:t xml:space="preserve"> — Arts. 67 y 68 de la Convención</w:t>
      </w:r>
    </w:p>
    <w:p w14:paraId="00BC054C" w14:textId="77777777" w:rsidR="00C442CE" w:rsidRDefault="00C442CE"/>
    <w:p w14:paraId="4823DEDE" w14:textId="77777777" w:rsidR="00C442CE" w:rsidRDefault="003C7CFD">
      <w:pPr>
        <w:spacing w:before="200" w:after="120"/>
      </w:pPr>
      <w:r>
        <w:rPr>
          <w:b/>
          <w:bCs/>
          <w:i/>
          <w:iCs/>
          <w:color w:val="595959"/>
        </w:rPr>
        <w:t>a) Personas retornadas y deportadas desde Estados Unidos</w:t>
      </w:r>
    </w:p>
    <w:p w14:paraId="2329D593" w14:textId="65AC8967" w:rsidR="00C442CE" w:rsidRDefault="003C7CFD">
      <w:pPr>
        <w:tabs>
          <w:tab w:val="left" w:pos="480"/>
        </w:tabs>
        <w:spacing w:before="80" w:after="80" w:line="276" w:lineRule="auto"/>
        <w:ind w:left="480" w:hanging="480"/>
        <w:jc w:val="both"/>
      </w:pPr>
      <w:r>
        <w:rPr>
          <w:b/>
          <w:bCs/>
          <w:color w:val="2E75B6"/>
        </w:rPr>
        <w:t>18.</w:t>
      </w:r>
      <w:r>
        <w:rPr>
          <w:b/>
          <w:bCs/>
          <w:color w:val="2E75B6"/>
        </w:rPr>
        <w:tab/>
      </w:r>
      <w:r>
        <w:t xml:space="preserve">Según la OIM, unos 160.000 ecuatorianos retornaron en los últimos cinco años, pero solo se han emitido 18.984 certificados de migrante retornado, evidenciando subregistro grave e inaccesibilidad del mecanismo. Entre 2023 y 2025 fueron deportados desde EE.UU. 41.664 ecuatorianos; solo en 2025 se registraron 9.351 deportaciones desde el área de Nueva York. En abril de 2026, al menos tres ciudadanos ecuatorianos fueron deportados por EE.UU. a la República Democrática del Congo (RDC), en el marco de un acuerdo entre Washington y Kinshasa; llegaron sin vínculo cultural ni lingüístico con ese país, bajo custodia policial congoleña. El exvicecanciller Fernando Yépez calificó esto como 'una muestra de la indolencia del gobierno y la ineficiencia de la Cancillería para proteger a los ecuatorianos en el exterior.' Ecuador no negoció cláusulas de protección de sus nacionales en dicho acuerdo ni adoptó una posición diplomática preventiva. La </w:t>
      </w:r>
      <w:proofErr w:type="spellStart"/>
      <w:r>
        <w:t>reemigración</w:t>
      </w:r>
      <w:proofErr w:type="spellEnd"/>
      <w:r>
        <w:t xml:space="preserve"> forzada es otra señal del fracaso: 9 de cada 10 retornados de España y la mitad de los retornados de EE.UU. desean volver a emigrar. Los predios </w:t>
      </w:r>
      <w:proofErr w:type="spellStart"/>
      <w:r>
        <w:t>Ayalán</w:t>
      </w:r>
      <w:proofErr w:type="spellEnd"/>
      <w:r>
        <w:t xml:space="preserve"> y Santa Rosa (más de 400 familias) llevan 10 años sin adjudicarse. El asesinato del líder migrante Jorge Humberto Jijón (octubre 2025) sigue sin investigación judicial efectiva. Las remesas alcanzaron en 2025 USD 7.729,5 millones (5,9% del PIB), récord histórico, mientras el Estado incumple sus obligaciones de protección.</w:t>
      </w:r>
    </w:p>
    <w:p w14:paraId="16F32F10" w14:textId="77777777" w:rsidR="00C442CE" w:rsidRDefault="003C7CFD">
      <w:pPr>
        <w:spacing w:before="200" w:after="120"/>
      </w:pPr>
      <w:r>
        <w:rPr>
          <w:b/>
          <w:bCs/>
          <w:i/>
          <w:iCs/>
          <w:color w:val="595959"/>
        </w:rPr>
        <w:t>b) Trata de personas y tráfico ilícito de migrantes</w:t>
      </w:r>
    </w:p>
    <w:p w14:paraId="0A61374E" w14:textId="77777777" w:rsidR="00C442CE" w:rsidRDefault="003C7CFD">
      <w:pPr>
        <w:tabs>
          <w:tab w:val="left" w:pos="480"/>
        </w:tabs>
        <w:spacing w:before="80" w:after="80" w:line="276" w:lineRule="auto"/>
        <w:ind w:left="480" w:hanging="480"/>
        <w:jc w:val="both"/>
      </w:pPr>
      <w:r>
        <w:rPr>
          <w:b/>
          <w:bCs/>
          <w:color w:val="2E75B6"/>
        </w:rPr>
        <w:t>19.</w:t>
      </w:r>
      <w:r>
        <w:rPr>
          <w:b/>
          <w:bCs/>
          <w:color w:val="2E75B6"/>
        </w:rPr>
        <w:tab/>
      </w:r>
      <w:r>
        <w:t xml:space="preserve">Ecuador sigue siendo país de origen, tránsito y destino de trata. El reclutamiento forzado de NNA por grupos armados no estatales —intensificado por el conflicto interno— constituye una forma de trata conforme al Protocolo de Palermo y los estándares del </w:t>
      </w:r>
      <w:r>
        <w:lastRenderedPageBreak/>
        <w:t>CMW, y afecta tanto a NNA ecuatorianos como a hijos de migrantes. Pese a recomendaciones previas del Comité, no hay implementación sustantiva. No existe protección especial para víctimas de trata independiente del Sistema de Víctimas y Testigos; la política pública no se ha actualizado desde 2019; y el cierre consular venezolano junto a la irregularidad sobrevenida aumentan la exposición a redes de trata y tráfico.</w:t>
      </w:r>
    </w:p>
    <w:p w14:paraId="4E93718B" w14:textId="77777777" w:rsidR="00C442CE" w:rsidRDefault="003C7CFD">
      <w:pPr>
        <w:shd w:val="clear" w:color="auto" w:fill="D6E4F0"/>
        <w:spacing w:before="200" w:after="100"/>
      </w:pPr>
      <w:r>
        <w:rPr>
          <w:b/>
          <w:bCs/>
          <w:color w:val="1F4E79"/>
        </w:rPr>
        <w:t>Recomendaciones al Estado ecuatoriano</w:t>
      </w:r>
    </w:p>
    <w:p w14:paraId="0977C2E8" w14:textId="1C81ED26" w:rsidR="00C442CE" w:rsidRDefault="003C7CFD">
      <w:pPr>
        <w:pStyle w:val="Prrafodelista"/>
        <w:numPr>
          <w:ilvl w:val="0"/>
          <w:numId w:val="2"/>
        </w:numPr>
        <w:shd w:val="clear" w:color="auto" w:fill="EBF3FB"/>
        <w:spacing w:before="60" w:after="60"/>
      </w:pPr>
      <w:r>
        <w:t>Adoptar una posición diplomática firme e inmediata frente a la práctica de EEUU de deportar migrantes ecuatorianos a terceros países, exigiendo la devolución de los ciudadanos enviados a la RDC y negociando cláusulas específicas de protección de nacionales ecuatorianos en cualquier acuerdo migratorio que involucre a Estados Unidos.</w:t>
      </w:r>
    </w:p>
    <w:p w14:paraId="527CF6DA" w14:textId="4D6F6DB5" w:rsidR="00C442CE" w:rsidRDefault="003C7CFD">
      <w:pPr>
        <w:pStyle w:val="Prrafodelista"/>
        <w:numPr>
          <w:ilvl w:val="0"/>
          <w:numId w:val="2"/>
        </w:numPr>
        <w:shd w:val="clear" w:color="auto" w:fill="EBF3FB"/>
        <w:spacing w:before="60" w:after="60"/>
      </w:pPr>
      <w:r>
        <w:t>Fortalecer la red consular en EEUU para garantizar asistencia jurídica, acompañamiento en procesos de detención y deportación, y comunicación oportuna con familias en Ecuador, en cumplimiento del Art. 23 de la Convención.</w:t>
      </w:r>
    </w:p>
    <w:p w14:paraId="1F16E85B" w14:textId="0DED92BD" w:rsidR="00C442CE" w:rsidRDefault="003C7CFD">
      <w:pPr>
        <w:pStyle w:val="Prrafodelista"/>
        <w:numPr>
          <w:ilvl w:val="0"/>
          <w:numId w:val="2"/>
        </w:numPr>
        <w:shd w:val="clear" w:color="auto" w:fill="EBF3FB"/>
        <w:spacing w:before="60" w:after="60"/>
      </w:pPr>
      <w:r>
        <w:t>Formular un Plan Sostenible de Asistencia y Reintegración para personas retornadas y deportadas, con recursos específicos y metas medibles, más allá de planes de emergencia.</w:t>
      </w:r>
    </w:p>
    <w:p w14:paraId="4CDCB8C2" w14:textId="77777777" w:rsidR="00C442CE" w:rsidRDefault="003C7CFD">
      <w:pPr>
        <w:pStyle w:val="Prrafodelista"/>
        <w:numPr>
          <w:ilvl w:val="0"/>
          <w:numId w:val="2"/>
        </w:numPr>
        <w:shd w:val="clear" w:color="auto" w:fill="EBF3FB"/>
        <w:spacing w:before="60" w:after="60"/>
      </w:pPr>
      <w:r>
        <w:t>Reformar el sistema de certificación de migrante retornado para garantizar su accesibilidad y eliminar plazos de caducidad para el acceso a beneficios.</w:t>
      </w:r>
    </w:p>
    <w:p w14:paraId="4AA8D22D" w14:textId="77777777" w:rsidR="00C442CE" w:rsidRDefault="003C7CFD">
      <w:pPr>
        <w:pStyle w:val="Prrafodelista"/>
        <w:numPr>
          <w:ilvl w:val="0"/>
          <w:numId w:val="2"/>
        </w:numPr>
        <w:shd w:val="clear" w:color="auto" w:fill="EBF3FB"/>
        <w:spacing w:before="60" w:after="60"/>
      </w:pPr>
      <w:r>
        <w:t xml:space="preserve">Concluir sin más dilaciones la adjudicación de los predios </w:t>
      </w:r>
      <w:proofErr w:type="spellStart"/>
      <w:r>
        <w:t>Ayalán</w:t>
      </w:r>
      <w:proofErr w:type="spellEnd"/>
      <w:r>
        <w:t xml:space="preserve"> y Santa Rosa, ofrecer disculpas públicas a las familias afectadas y resarcir los daños causados.</w:t>
      </w:r>
    </w:p>
    <w:p w14:paraId="4993F12C" w14:textId="77777777" w:rsidR="00C442CE" w:rsidRDefault="003C7CFD">
      <w:pPr>
        <w:pStyle w:val="Prrafodelista"/>
        <w:numPr>
          <w:ilvl w:val="0"/>
          <w:numId w:val="2"/>
        </w:numPr>
        <w:shd w:val="clear" w:color="auto" w:fill="EBF3FB"/>
        <w:spacing w:before="60" w:after="60"/>
      </w:pPr>
      <w:r>
        <w:t>Crear un sistema de protección especial para víctimas de trata de personas, independiente del Sistema de Protección a Víctimas y Testigos, y actualizar la política pública en la materia.</w:t>
      </w:r>
    </w:p>
    <w:p w14:paraId="4B98033E" w14:textId="77777777" w:rsidR="00C442CE" w:rsidRDefault="003C7CFD">
      <w:pPr>
        <w:pStyle w:val="Prrafodelista"/>
        <w:numPr>
          <w:ilvl w:val="0"/>
          <w:numId w:val="2"/>
        </w:numPr>
        <w:shd w:val="clear" w:color="auto" w:fill="EBF3FB"/>
        <w:spacing w:before="60" w:after="60"/>
      </w:pPr>
      <w:r>
        <w:t>Adoptar medidas urgentes para proteger a la población en situación de irregularidad sobrevenida frente al riesgo de captación por redes de trata y tráfico ilícito.</w:t>
      </w:r>
    </w:p>
    <w:p w14:paraId="70A39B4E" w14:textId="77777777" w:rsidR="00111623" w:rsidRDefault="00111623" w:rsidP="00111623">
      <w:pPr>
        <w:spacing w:before="100" w:after="200" w:line="276" w:lineRule="auto"/>
        <w:jc w:val="both"/>
      </w:pPr>
    </w:p>
    <w:p w14:paraId="21C14EB2" w14:textId="2C55BF96" w:rsidR="00C442CE" w:rsidRDefault="00111623" w:rsidP="00111623">
      <w:pPr>
        <w:spacing w:before="100" w:after="200" w:line="276" w:lineRule="auto"/>
        <w:jc w:val="both"/>
      </w:pPr>
      <w:r>
        <w:t>La Coalición de Organizaciones Sociales del Ecuador confía en que las preocupaciones y recomendaciones documentadas en este informe contribuirán al diálogo constructivo con el Comité y fortalecerán las observaciones finales dirigidas al Estado ecuatoriano. Los hechos aquí descritos no son expresiones aisladas de fallas institucionales, sino manifestaciones de un patrón estructural que requiere respuestas normativas, políticas y diplomáticas concretas y urgentes. La sociedad civil ecuatoriana reitera su disposición a colaborar con el Comité en el seguimiento de las recomendaciones y en la construcción de una política migratoria que honre los compromisos del Estado bajo la Convención y garantice la dignidad de todas las personas en movilidad humana.</w:t>
      </w:r>
    </w:p>
    <w:p w14:paraId="3DB989AF" w14:textId="77777777" w:rsidR="00C442CE" w:rsidRDefault="003C7CFD">
      <w:pPr>
        <w:pStyle w:val="Ttulo1"/>
      </w:pPr>
      <w:r>
        <w:t>Referencias</w:t>
      </w:r>
    </w:p>
    <w:p w14:paraId="78DC2F69" w14:textId="77777777" w:rsidR="00AE6E8D" w:rsidRDefault="00AE6E8D" w:rsidP="00AE6E8D">
      <w:pPr>
        <w:tabs>
          <w:tab w:val="left" w:pos="480"/>
        </w:tabs>
        <w:spacing w:before="80" w:after="80" w:line="276" w:lineRule="auto"/>
        <w:ind w:left="480" w:hanging="480"/>
        <w:jc w:val="both"/>
      </w:pPr>
      <w:r>
        <w:rPr>
          <w:b/>
          <w:bCs/>
          <w:color w:val="2E75B6"/>
        </w:rPr>
        <w:t>20.</w:t>
      </w:r>
      <w:r>
        <w:rPr>
          <w:b/>
          <w:bCs/>
          <w:color w:val="2E75B6"/>
        </w:rPr>
        <w:tab/>
      </w:r>
      <w:r>
        <w:rPr>
          <w:b/>
          <w:bCs/>
        </w:rPr>
        <w:t>Instrumentos normativos</w:t>
      </w:r>
    </w:p>
    <w:p w14:paraId="3213B9B2" w14:textId="77777777" w:rsidR="00AE6E8D" w:rsidRDefault="00AE6E8D" w:rsidP="00AE6E8D">
      <w:pPr>
        <w:pStyle w:val="Prrafodelista"/>
        <w:numPr>
          <w:ilvl w:val="0"/>
          <w:numId w:val="4"/>
        </w:numPr>
        <w:spacing w:before="60" w:after="60"/>
      </w:pPr>
      <w:r>
        <w:t>Convención Internacional sobre la Protección de los Derechos de Todos los Trabajadores Migratorios y de sus Familiares. Resolución 45/158, 18 de diciembre de 1990.</w:t>
      </w:r>
    </w:p>
    <w:p w14:paraId="39C7A088" w14:textId="77777777" w:rsidR="00AE6E8D" w:rsidRDefault="00AE6E8D" w:rsidP="00AE6E8D">
      <w:pPr>
        <w:pStyle w:val="Prrafodelista"/>
        <w:numPr>
          <w:ilvl w:val="0"/>
          <w:numId w:val="4"/>
        </w:numPr>
        <w:spacing w:before="60" w:after="60"/>
      </w:pPr>
      <w:r>
        <w:t xml:space="preserve">Constitución de la República del Ecuador. Registro Oficial </w:t>
      </w:r>
      <w:proofErr w:type="spellStart"/>
      <w:r>
        <w:t>N.°</w:t>
      </w:r>
      <w:proofErr w:type="spellEnd"/>
      <w:r>
        <w:t xml:space="preserve"> 449, 20 de octubre de 2008.</w:t>
      </w:r>
    </w:p>
    <w:p w14:paraId="3A664418" w14:textId="77777777" w:rsidR="00AE6E8D" w:rsidRDefault="00AE6E8D" w:rsidP="00AE6E8D">
      <w:pPr>
        <w:pStyle w:val="Prrafodelista"/>
        <w:numPr>
          <w:ilvl w:val="0"/>
          <w:numId w:val="4"/>
        </w:numPr>
        <w:spacing w:before="60" w:after="60"/>
      </w:pPr>
      <w:r>
        <w:lastRenderedPageBreak/>
        <w:t xml:space="preserve">Ley Orgánica de Movilidad Humana (LOMH). Registro Oficial Suplemento </w:t>
      </w:r>
      <w:proofErr w:type="spellStart"/>
      <w:r>
        <w:t>N.°</w:t>
      </w:r>
      <w:proofErr w:type="spellEnd"/>
      <w:r>
        <w:t xml:space="preserve"> 938, 6 de febrero de 2017.</w:t>
      </w:r>
    </w:p>
    <w:p w14:paraId="004F1986" w14:textId="77777777" w:rsidR="00AE6E8D" w:rsidRDefault="00AE6E8D" w:rsidP="00AE6E8D">
      <w:pPr>
        <w:pStyle w:val="Prrafodelista"/>
        <w:numPr>
          <w:ilvl w:val="0"/>
          <w:numId w:val="4"/>
        </w:numPr>
        <w:spacing w:before="60" w:after="60"/>
      </w:pPr>
      <w:r>
        <w:t>Ley Reformatoria a la Ley Orgánica de Movilidad Humana. Registro Oficial, 22 de octubre de 2025.</w:t>
      </w:r>
    </w:p>
    <w:p w14:paraId="7592E41F" w14:textId="77777777" w:rsidR="00AE6E8D" w:rsidRDefault="00AE6E8D" w:rsidP="00AE6E8D">
      <w:pPr>
        <w:pStyle w:val="Prrafodelista"/>
        <w:numPr>
          <w:ilvl w:val="0"/>
          <w:numId w:val="4"/>
        </w:numPr>
        <w:spacing w:before="60" w:after="60"/>
      </w:pPr>
      <w:r>
        <w:t>CMW/C/ECU/QPR/4 — Lista de Cuestiones Previa al Cuarto Informe Periódico del Ecuador, abril 2025.</w:t>
      </w:r>
    </w:p>
    <w:p w14:paraId="1F466D2E" w14:textId="77777777" w:rsidR="00AE6E8D" w:rsidRDefault="00AE6E8D" w:rsidP="00AE6E8D"/>
    <w:p w14:paraId="6BD73F92" w14:textId="77777777" w:rsidR="00AE6E8D" w:rsidRDefault="00AE6E8D" w:rsidP="00AE6E8D">
      <w:pPr>
        <w:tabs>
          <w:tab w:val="left" w:pos="480"/>
        </w:tabs>
        <w:spacing w:before="80" w:after="80" w:line="276" w:lineRule="auto"/>
        <w:ind w:left="480" w:hanging="480"/>
        <w:jc w:val="both"/>
      </w:pPr>
      <w:r>
        <w:rPr>
          <w:b/>
          <w:bCs/>
          <w:color w:val="2E75B6"/>
        </w:rPr>
        <w:t>21.</w:t>
      </w:r>
      <w:r>
        <w:rPr>
          <w:b/>
          <w:bCs/>
          <w:color w:val="2E75B6"/>
        </w:rPr>
        <w:tab/>
      </w:r>
      <w:r>
        <w:rPr>
          <w:b/>
          <w:bCs/>
        </w:rPr>
        <w:t>Informes y pronunciamientos institucionales</w:t>
      </w:r>
    </w:p>
    <w:p w14:paraId="3BAEB748" w14:textId="77777777" w:rsidR="00AE6E8D" w:rsidRDefault="00AE6E8D" w:rsidP="00AE6E8D">
      <w:pPr>
        <w:pStyle w:val="Prrafodelista"/>
        <w:numPr>
          <w:ilvl w:val="0"/>
          <w:numId w:val="4"/>
        </w:numPr>
        <w:spacing w:before="60" w:after="60"/>
      </w:pPr>
      <w:r>
        <w:t xml:space="preserve">Cáritas Ecuador / </w:t>
      </w:r>
      <w:proofErr w:type="spellStart"/>
      <w:r>
        <w:t>ProLAC</w:t>
      </w:r>
      <w:proofErr w:type="spellEnd"/>
      <w:r>
        <w:t>. Tablero interactivo regional, 2026. https://prolac.live/tablero-interactivo-regional/</w:t>
      </w:r>
    </w:p>
    <w:p w14:paraId="38BA06B8" w14:textId="77777777" w:rsidR="00AE6E8D" w:rsidRDefault="00AE6E8D" w:rsidP="00AE6E8D">
      <w:pPr>
        <w:pStyle w:val="Prrafodelista"/>
        <w:numPr>
          <w:ilvl w:val="0"/>
          <w:numId w:val="4"/>
        </w:numPr>
        <w:spacing w:before="60" w:after="60"/>
      </w:pPr>
      <w:r>
        <w:t>CDH. Reporte sobre desplazamiento forzado en Socio Vivienda, 22 de marzo de 2025.</w:t>
      </w:r>
    </w:p>
    <w:p w14:paraId="53A09836" w14:textId="77777777" w:rsidR="00AE6E8D" w:rsidRDefault="00AE6E8D" w:rsidP="00AE6E8D">
      <w:pPr>
        <w:pStyle w:val="Prrafodelista"/>
        <w:numPr>
          <w:ilvl w:val="0"/>
          <w:numId w:val="4"/>
        </w:numPr>
        <w:spacing w:before="60" w:after="60"/>
      </w:pPr>
      <w:r>
        <w:t>CDH. Arbitrario proceso de deportación de periodista, 30 de junio de 2024.</w:t>
      </w:r>
    </w:p>
    <w:p w14:paraId="52FC2183" w14:textId="77777777" w:rsidR="00AE6E8D" w:rsidRDefault="00AE6E8D" w:rsidP="00AE6E8D">
      <w:pPr>
        <w:pStyle w:val="Prrafodelista"/>
        <w:numPr>
          <w:ilvl w:val="0"/>
          <w:numId w:val="4"/>
        </w:numPr>
        <w:spacing w:before="60" w:after="60"/>
      </w:pPr>
      <w:r>
        <w:t xml:space="preserve">CIDH. Resolución 99/2025. Medidas cautelares </w:t>
      </w:r>
      <w:proofErr w:type="spellStart"/>
      <w:r>
        <w:t>N.°</w:t>
      </w:r>
      <w:proofErr w:type="spellEnd"/>
      <w:r>
        <w:t xml:space="preserve"> 197-25. Centro de Privación de Libertad Guayas </w:t>
      </w:r>
      <w:proofErr w:type="spellStart"/>
      <w:r>
        <w:t>N.°</w:t>
      </w:r>
      <w:proofErr w:type="spellEnd"/>
      <w:r>
        <w:t xml:space="preserve"> 1, Ecuador.</w:t>
      </w:r>
    </w:p>
    <w:p w14:paraId="2D9E8CE3" w14:textId="77777777" w:rsidR="00AE6E8D" w:rsidRDefault="00AE6E8D" w:rsidP="00AE6E8D">
      <w:pPr>
        <w:pStyle w:val="Prrafodelista"/>
        <w:numPr>
          <w:ilvl w:val="0"/>
          <w:numId w:val="4"/>
        </w:numPr>
        <w:spacing w:before="60" w:after="60"/>
      </w:pPr>
      <w:r>
        <w:t>Corte Constitucional del Ecuador. Sentencias 388-16-EP/21; 159-11-JH/19; 335-13-JP/20; 639-19-JP/20; 2120-19-JP/21; 212-20-EP/24; 14-19-IN/23.</w:t>
      </w:r>
    </w:p>
    <w:p w14:paraId="368FA254" w14:textId="77777777" w:rsidR="00AE6E8D" w:rsidRDefault="00AE6E8D" w:rsidP="00AE6E8D">
      <w:pPr>
        <w:pStyle w:val="Prrafodelista"/>
        <w:numPr>
          <w:ilvl w:val="0"/>
          <w:numId w:val="4"/>
        </w:numPr>
        <w:spacing w:before="60" w:after="60"/>
      </w:pPr>
      <w:r>
        <w:t>INREDH. Declaración sobre controles migratorios en Imbabura, 30 de marzo de 2026.</w:t>
      </w:r>
    </w:p>
    <w:p w14:paraId="3F533D64" w14:textId="77777777" w:rsidR="00AE6E8D" w:rsidRDefault="00AE6E8D" w:rsidP="00AE6E8D">
      <w:pPr>
        <w:pStyle w:val="Prrafodelista"/>
        <w:numPr>
          <w:ilvl w:val="0"/>
          <w:numId w:val="4"/>
        </w:numPr>
        <w:spacing w:before="60" w:after="60"/>
      </w:pPr>
      <w:r>
        <w:t>OIM Ecuador. Encuesta de Intenciones y Dinámicas Migratorias (ENIDIM), Ronda 3, enero 2026.</w:t>
      </w:r>
    </w:p>
    <w:p w14:paraId="77670D1A" w14:textId="77777777" w:rsidR="00AE6E8D" w:rsidRDefault="00AE6E8D" w:rsidP="00AE6E8D">
      <w:pPr>
        <w:pStyle w:val="Prrafodelista"/>
        <w:numPr>
          <w:ilvl w:val="0"/>
          <w:numId w:val="4"/>
        </w:numPr>
        <w:spacing w:before="60" w:after="60"/>
      </w:pPr>
      <w:r>
        <w:t>UNICEF Ecuador. Una de cada tres personas en situación de movilidad humana es niño, niña o adolescente. https://www.unicef.org/ecuador</w:t>
      </w:r>
    </w:p>
    <w:p w14:paraId="476E8E3D" w14:textId="77777777" w:rsidR="00AE6E8D" w:rsidRDefault="00AE6E8D" w:rsidP="00AE6E8D"/>
    <w:p w14:paraId="7753944C" w14:textId="77777777" w:rsidR="00AE6E8D" w:rsidRDefault="00AE6E8D" w:rsidP="00AE6E8D">
      <w:pPr>
        <w:tabs>
          <w:tab w:val="left" w:pos="480"/>
        </w:tabs>
        <w:spacing w:before="80" w:after="80" w:line="276" w:lineRule="auto"/>
        <w:ind w:left="480" w:hanging="480"/>
        <w:jc w:val="both"/>
      </w:pPr>
      <w:r>
        <w:rPr>
          <w:b/>
          <w:bCs/>
          <w:color w:val="2E75B6"/>
        </w:rPr>
        <w:t>22.</w:t>
      </w:r>
      <w:r>
        <w:rPr>
          <w:b/>
          <w:bCs/>
          <w:color w:val="2E75B6"/>
        </w:rPr>
        <w:tab/>
      </w:r>
      <w:r>
        <w:rPr>
          <w:b/>
          <w:bCs/>
        </w:rPr>
        <w:t>Fuentes periodísticas</w:t>
      </w:r>
    </w:p>
    <w:p w14:paraId="5C6D1527" w14:textId="77777777" w:rsidR="00AE6E8D" w:rsidRDefault="00AE6E8D" w:rsidP="00AE6E8D">
      <w:pPr>
        <w:pStyle w:val="Prrafodelista"/>
        <w:numPr>
          <w:ilvl w:val="0"/>
          <w:numId w:val="4"/>
        </w:numPr>
        <w:spacing w:before="60" w:after="60"/>
      </w:pPr>
      <w:r>
        <w:t>Deutsche Welle, 'Gobierno de Ecuador revoca la visa de Alondra Santiago,' 26 de junio de 2024.</w:t>
      </w:r>
    </w:p>
    <w:p w14:paraId="5FD16896" w14:textId="77777777" w:rsidR="00AE6E8D" w:rsidRDefault="00AE6E8D" w:rsidP="00AE6E8D">
      <w:pPr>
        <w:pStyle w:val="Prrafodelista"/>
        <w:numPr>
          <w:ilvl w:val="0"/>
          <w:numId w:val="4"/>
        </w:numPr>
        <w:spacing w:before="60" w:after="60"/>
      </w:pPr>
      <w:r>
        <w:t>Deutsche Welle, 'Ecuador deporta a más de 800 presos colombianos,' 26 de julio de 2025.</w:t>
      </w:r>
    </w:p>
    <w:p w14:paraId="7FA62026" w14:textId="77777777" w:rsidR="00AE6E8D" w:rsidRDefault="00AE6E8D" w:rsidP="00AE6E8D">
      <w:pPr>
        <w:pStyle w:val="Prrafodelista"/>
        <w:numPr>
          <w:ilvl w:val="0"/>
          <w:numId w:val="4"/>
        </w:numPr>
        <w:spacing w:before="60" w:after="60"/>
      </w:pPr>
      <w:r>
        <w:t>El Comercio, 'Ecuador deporta al director del Centro Cultural Iraní,' 25 de marzo de 2026.</w:t>
      </w:r>
    </w:p>
    <w:p w14:paraId="232C53F5" w14:textId="77777777" w:rsidR="00AE6E8D" w:rsidRDefault="00AE6E8D" w:rsidP="00AE6E8D">
      <w:pPr>
        <w:pStyle w:val="Prrafodelista"/>
        <w:numPr>
          <w:ilvl w:val="0"/>
          <w:numId w:val="4"/>
        </w:numPr>
        <w:spacing w:before="60" w:after="60"/>
      </w:pPr>
      <w:r>
        <w:t>El Comercio, 'El Operativo Pandora en Ibarra pone bajo la lupa a 144 extranjeros,' 26 de marzo de 2026.</w:t>
      </w:r>
    </w:p>
    <w:p w14:paraId="769DA51C" w14:textId="77777777" w:rsidR="00AE6E8D" w:rsidRDefault="00AE6E8D" w:rsidP="00AE6E8D">
      <w:pPr>
        <w:pStyle w:val="Prrafodelista"/>
        <w:numPr>
          <w:ilvl w:val="0"/>
          <w:numId w:val="4"/>
        </w:numPr>
        <w:spacing w:before="60" w:after="60"/>
      </w:pPr>
      <w:r>
        <w:t xml:space="preserve">CNN en </w:t>
      </w:r>
      <w:proofErr w:type="gramStart"/>
      <w:r>
        <w:t>Español</w:t>
      </w:r>
      <w:proofErr w:type="gramEnd"/>
      <w:r>
        <w:t>, 'Dos ecuatorianos deportados por EE.UU. fueron enviados al Congo,' 18 de abril de 2026. https://cnnespanol.cnn.com/2026/04/18/eeuu/ecuatoriano-deportado-congo-cancilleria-ecuador-orix</w:t>
      </w:r>
    </w:p>
    <w:p w14:paraId="18D40B7A" w14:textId="77777777" w:rsidR="00AE6E8D" w:rsidRDefault="00AE6E8D" w:rsidP="00AE6E8D">
      <w:pPr>
        <w:pStyle w:val="Prrafodelista"/>
        <w:numPr>
          <w:ilvl w:val="0"/>
          <w:numId w:val="4"/>
        </w:numPr>
        <w:spacing w:before="60" w:after="60"/>
      </w:pPr>
      <w:r>
        <w:t xml:space="preserve">CNN en </w:t>
      </w:r>
      <w:proofErr w:type="gramStart"/>
      <w:r>
        <w:t>Español</w:t>
      </w:r>
      <w:proofErr w:type="gramEnd"/>
      <w:r>
        <w:t>, 'Al menos 15 migrantes latinoamericanos han sido deportados por EE.UU. al Congo,' 20 de abril de 2026.</w:t>
      </w:r>
    </w:p>
    <w:p w14:paraId="19C8F4CE" w14:textId="272C56B1" w:rsidR="00AE6E8D" w:rsidRDefault="00AE6E8D" w:rsidP="00AE6E8D">
      <w:pPr>
        <w:pStyle w:val="Prrafodelista"/>
        <w:numPr>
          <w:ilvl w:val="0"/>
          <w:numId w:val="4"/>
        </w:numPr>
        <w:spacing w:before="60" w:after="60"/>
      </w:pPr>
      <w:r>
        <w:t xml:space="preserve">Primicias, '¿Cuánto tiempo podrían estar en RD Congo los migrantes ecuatorianos enviados por los Estados Unidos?' abril 2026. </w:t>
      </w:r>
    </w:p>
    <w:p w14:paraId="4D644020" w14:textId="77777777" w:rsidR="00AE6E8D" w:rsidRDefault="00AE6E8D" w:rsidP="00AE6E8D">
      <w:pPr>
        <w:pStyle w:val="Prrafodelista"/>
        <w:numPr>
          <w:ilvl w:val="0"/>
          <w:numId w:val="4"/>
        </w:numPr>
        <w:spacing w:before="60" w:after="60"/>
      </w:pPr>
      <w:r>
        <w:t>Primicias, 'En 2025 hubo más de 9.000 ecuatorianos deportados desde Estados Unidos, según consulado en Queens,' enero 2026.</w:t>
      </w:r>
    </w:p>
    <w:p w14:paraId="19FCFBCC" w14:textId="77777777" w:rsidR="00AE6E8D" w:rsidRDefault="00AE6E8D" w:rsidP="00AE6E8D">
      <w:pPr>
        <w:pStyle w:val="Prrafodelista"/>
        <w:numPr>
          <w:ilvl w:val="0"/>
          <w:numId w:val="4"/>
        </w:numPr>
        <w:spacing w:before="60" w:after="60"/>
      </w:pPr>
      <w:r>
        <w:t>Tercera Información, 'Confirman deportación de tres ecuatorianos al Congo desde EEUU,' 18 de abril de 2026.</w:t>
      </w:r>
    </w:p>
    <w:p w14:paraId="1954715E" w14:textId="77777777" w:rsidR="00AE6E8D" w:rsidRDefault="00AE6E8D" w:rsidP="00AE6E8D">
      <w:pPr>
        <w:pStyle w:val="Prrafodelista"/>
        <w:numPr>
          <w:ilvl w:val="0"/>
          <w:numId w:val="4"/>
        </w:numPr>
        <w:spacing w:before="60" w:after="60"/>
      </w:pPr>
      <w:r>
        <w:t>El País, 'La detención de un niño de cinco años a manos del ICE echa más leña al fuego de las calles de Minneapolis,' 23 de enero de 2026.</w:t>
      </w:r>
    </w:p>
    <w:p w14:paraId="578DD5B9" w14:textId="6B06912D" w:rsidR="00AE6E8D" w:rsidRDefault="00AE6E8D" w:rsidP="00AE6E8D">
      <w:pPr>
        <w:pStyle w:val="Prrafodelista"/>
        <w:numPr>
          <w:ilvl w:val="0"/>
          <w:numId w:val="4"/>
        </w:numPr>
        <w:spacing w:before="60" w:after="60"/>
      </w:pPr>
      <w:r>
        <w:lastRenderedPageBreak/>
        <w:t xml:space="preserve">Primicias, 'ICE argumenta abandono sobre detención de niño ecuatoriano,' 23 de enero de 2026. </w:t>
      </w:r>
    </w:p>
    <w:p w14:paraId="774D0B58" w14:textId="77777777" w:rsidR="00AE6E8D" w:rsidRDefault="00AE6E8D" w:rsidP="00AE6E8D">
      <w:pPr>
        <w:pStyle w:val="Prrafodelista"/>
        <w:numPr>
          <w:ilvl w:val="0"/>
          <w:numId w:val="4"/>
        </w:numPr>
        <w:spacing w:before="60" w:after="60"/>
      </w:pPr>
      <w:r>
        <w:t>Bloomberg Línea, 'Liam Conejo Ramos, el niño ecuatoriano de 5 años arrestado por el ICE, está en libertad,' 1 de febrero de 2026.</w:t>
      </w:r>
    </w:p>
    <w:p w14:paraId="61B939CF" w14:textId="77777777" w:rsidR="00AE6E8D" w:rsidRDefault="00AE6E8D" w:rsidP="00AE6E8D">
      <w:pPr>
        <w:pStyle w:val="Prrafodelista"/>
        <w:numPr>
          <w:ilvl w:val="0"/>
          <w:numId w:val="4"/>
        </w:numPr>
        <w:spacing w:before="60" w:after="60"/>
      </w:pPr>
      <w:r>
        <w:t>Cancillería del Ecuador. Comunicados sobre caso Liam Conejo Ramos, enero 2026. @CancilleriaEc.</w:t>
      </w:r>
    </w:p>
    <w:sectPr w:rsidR="00AE6E8D">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85E77" w14:textId="77777777" w:rsidR="00573D45" w:rsidRDefault="00573D45">
      <w:r>
        <w:separator/>
      </w:r>
    </w:p>
  </w:endnote>
  <w:endnote w:type="continuationSeparator" w:id="0">
    <w:p w14:paraId="3E07AE35" w14:textId="77777777" w:rsidR="00573D45" w:rsidRDefault="00573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5CE3B" w14:textId="3A7D4EC8" w:rsidR="00C442CE" w:rsidRDefault="003C7CFD">
    <w:pPr>
      <w:pBdr>
        <w:top w:val="single" w:sz="4" w:space="4" w:color="2E75B6"/>
      </w:pBdr>
      <w:tabs>
        <w:tab w:val="right" w:pos="9026"/>
      </w:tabs>
    </w:pPr>
    <w:r>
      <w:rPr>
        <w:color w:val="595959"/>
        <w:sz w:val="18"/>
        <w:szCs w:val="18"/>
      </w:rPr>
      <w:fldChar w:fldCharType="begin"/>
    </w:r>
    <w:r>
      <w:rPr>
        <w:color w:val="595959"/>
        <w:sz w:val="18"/>
        <w:szCs w:val="18"/>
      </w:rPr>
      <w:instrText>PAGE</w:instrText>
    </w:r>
    <w:r>
      <w:rPr>
        <w:color w:val="595959"/>
        <w:sz w:val="18"/>
        <w:szCs w:val="18"/>
      </w:rPr>
      <w:fldChar w:fldCharType="separate"/>
    </w:r>
    <w:r w:rsidR="00B3475A">
      <w:rPr>
        <w:noProof/>
        <w:color w:val="595959"/>
        <w:sz w:val="18"/>
        <w:szCs w:val="18"/>
      </w:rPr>
      <w:t>1</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D2D95" w14:textId="77777777" w:rsidR="00573D45" w:rsidRDefault="00573D45">
      <w:r>
        <w:separator/>
      </w:r>
    </w:p>
  </w:footnote>
  <w:footnote w:type="continuationSeparator" w:id="0">
    <w:p w14:paraId="607BBF8C" w14:textId="77777777" w:rsidR="00573D45" w:rsidRDefault="00573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3D4CD" w14:textId="11F47858" w:rsidR="00C442CE" w:rsidRDefault="003C7CFD" w:rsidP="00AE6E8D">
    <w:pPr>
      <w:pBdr>
        <w:bottom w:val="single" w:sz="4" w:space="4" w:color="2E75B6"/>
      </w:pBdr>
      <w:jc w:val="center"/>
    </w:pPr>
    <w:r>
      <w:rPr>
        <w:color w:val="595959"/>
        <w:sz w:val="18"/>
        <w:szCs w:val="18"/>
      </w:rPr>
      <w:t>Informe Alternativo al CMW — Coalición de Organizaciones Sociales del Ecuador —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4682"/>
    <w:multiLevelType w:val="hybridMultilevel"/>
    <w:tmpl w:val="6D528248"/>
    <w:lvl w:ilvl="0" w:tplc="A9D610A6">
      <w:start w:val="1"/>
      <w:numFmt w:val="bullet"/>
      <w:lvlText w:val="●"/>
      <w:lvlJc w:val="left"/>
      <w:pPr>
        <w:ind w:left="720" w:hanging="360"/>
      </w:pPr>
    </w:lvl>
    <w:lvl w:ilvl="1" w:tplc="1C4E33D2">
      <w:start w:val="1"/>
      <w:numFmt w:val="bullet"/>
      <w:lvlText w:val="○"/>
      <w:lvlJc w:val="left"/>
      <w:pPr>
        <w:ind w:left="1440" w:hanging="360"/>
      </w:pPr>
    </w:lvl>
    <w:lvl w:ilvl="2" w:tplc="7FD0DBC8">
      <w:start w:val="1"/>
      <w:numFmt w:val="bullet"/>
      <w:lvlText w:val="■"/>
      <w:lvlJc w:val="left"/>
      <w:pPr>
        <w:ind w:left="2160" w:hanging="360"/>
      </w:pPr>
    </w:lvl>
    <w:lvl w:ilvl="3" w:tplc="2326E2A8">
      <w:start w:val="1"/>
      <w:numFmt w:val="bullet"/>
      <w:lvlText w:val="●"/>
      <w:lvlJc w:val="left"/>
      <w:pPr>
        <w:ind w:left="2880" w:hanging="360"/>
      </w:pPr>
    </w:lvl>
    <w:lvl w:ilvl="4" w:tplc="E65E338E">
      <w:start w:val="1"/>
      <w:numFmt w:val="bullet"/>
      <w:lvlText w:val="○"/>
      <w:lvlJc w:val="left"/>
      <w:pPr>
        <w:ind w:left="3600" w:hanging="360"/>
      </w:pPr>
    </w:lvl>
    <w:lvl w:ilvl="5" w:tplc="43BE46BC">
      <w:start w:val="1"/>
      <w:numFmt w:val="bullet"/>
      <w:lvlText w:val="■"/>
      <w:lvlJc w:val="left"/>
      <w:pPr>
        <w:ind w:left="4320" w:hanging="360"/>
      </w:pPr>
    </w:lvl>
    <w:lvl w:ilvl="6" w:tplc="025CC3B2">
      <w:start w:val="1"/>
      <w:numFmt w:val="bullet"/>
      <w:lvlText w:val="●"/>
      <w:lvlJc w:val="left"/>
      <w:pPr>
        <w:ind w:left="5040" w:hanging="360"/>
      </w:pPr>
    </w:lvl>
    <w:lvl w:ilvl="7" w:tplc="24B45D4A">
      <w:start w:val="1"/>
      <w:numFmt w:val="bullet"/>
      <w:lvlText w:val="●"/>
      <w:lvlJc w:val="left"/>
      <w:pPr>
        <w:ind w:left="5760" w:hanging="360"/>
      </w:pPr>
    </w:lvl>
    <w:lvl w:ilvl="8" w:tplc="6E76454A">
      <w:start w:val="1"/>
      <w:numFmt w:val="bullet"/>
      <w:lvlText w:val="●"/>
      <w:lvlJc w:val="left"/>
      <w:pPr>
        <w:ind w:left="6480" w:hanging="360"/>
      </w:pPr>
    </w:lvl>
  </w:abstractNum>
  <w:abstractNum w:abstractNumId="1" w15:restartNumberingAfterBreak="0">
    <w:nsid w:val="03591825"/>
    <w:multiLevelType w:val="hybridMultilevel"/>
    <w:tmpl w:val="DD000578"/>
    <w:lvl w:ilvl="0" w:tplc="1C80C1A2">
      <w:start w:val="1"/>
      <w:numFmt w:val="bullet"/>
      <w:lvlText w:val="•"/>
      <w:lvlJc w:val="left"/>
      <w:pPr>
        <w:ind w:left="720" w:hanging="360"/>
      </w:pPr>
    </w:lvl>
    <w:lvl w:ilvl="1" w:tplc="EA4ACF64">
      <w:numFmt w:val="decimal"/>
      <w:lvlText w:val=""/>
      <w:lvlJc w:val="left"/>
    </w:lvl>
    <w:lvl w:ilvl="2" w:tplc="C0AC1118">
      <w:numFmt w:val="decimal"/>
      <w:lvlText w:val=""/>
      <w:lvlJc w:val="left"/>
    </w:lvl>
    <w:lvl w:ilvl="3" w:tplc="13CCB76C">
      <w:numFmt w:val="decimal"/>
      <w:lvlText w:val=""/>
      <w:lvlJc w:val="left"/>
    </w:lvl>
    <w:lvl w:ilvl="4" w:tplc="5AF6FBCC">
      <w:numFmt w:val="decimal"/>
      <w:lvlText w:val=""/>
      <w:lvlJc w:val="left"/>
    </w:lvl>
    <w:lvl w:ilvl="5" w:tplc="50D43D04">
      <w:numFmt w:val="decimal"/>
      <w:lvlText w:val=""/>
      <w:lvlJc w:val="left"/>
    </w:lvl>
    <w:lvl w:ilvl="6" w:tplc="1348008A">
      <w:numFmt w:val="decimal"/>
      <w:lvlText w:val=""/>
      <w:lvlJc w:val="left"/>
    </w:lvl>
    <w:lvl w:ilvl="7" w:tplc="FA682772">
      <w:numFmt w:val="decimal"/>
      <w:lvlText w:val=""/>
      <w:lvlJc w:val="left"/>
    </w:lvl>
    <w:lvl w:ilvl="8" w:tplc="B17A064C">
      <w:numFmt w:val="decimal"/>
      <w:lvlText w:val=""/>
      <w:lvlJc w:val="left"/>
    </w:lvl>
  </w:abstractNum>
  <w:abstractNum w:abstractNumId="2" w15:restartNumberingAfterBreak="0">
    <w:nsid w:val="1EE576E1"/>
    <w:multiLevelType w:val="hybridMultilevel"/>
    <w:tmpl w:val="C422DB7E"/>
    <w:lvl w:ilvl="0" w:tplc="0156BC18">
      <w:start w:val="1"/>
      <w:numFmt w:val="decimal"/>
      <w:lvlText w:val="%1."/>
      <w:lvlJc w:val="left"/>
      <w:pPr>
        <w:ind w:left="720" w:hanging="360"/>
      </w:pPr>
    </w:lvl>
    <w:lvl w:ilvl="1" w:tplc="5D88812E">
      <w:numFmt w:val="decimal"/>
      <w:lvlText w:val=""/>
      <w:lvlJc w:val="left"/>
    </w:lvl>
    <w:lvl w:ilvl="2" w:tplc="59849A34">
      <w:numFmt w:val="decimal"/>
      <w:lvlText w:val=""/>
      <w:lvlJc w:val="left"/>
    </w:lvl>
    <w:lvl w:ilvl="3" w:tplc="635E8232">
      <w:numFmt w:val="decimal"/>
      <w:lvlText w:val=""/>
      <w:lvlJc w:val="left"/>
    </w:lvl>
    <w:lvl w:ilvl="4" w:tplc="3976CFD2">
      <w:numFmt w:val="decimal"/>
      <w:lvlText w:val=""/>
      <w:lvlJc w:val="left"/>
    </w:lvl>
    <w:lvl w:ilvl="5" w:tplc="2A00A3BA">
      <w:numFmt w:val="decimal"/>
      <w:lvlText w:val=""/>
      <w:lvlJc w:val="left"/>
    </w:lvl>
    <w:lvl w:ilvl="6" w:tplc="AB1A9334">
      <w:numFmt w:val="decimal"/>
      <w:lvlText w:val=""/>
      <w:lvlJc w:val="left"/>
    </w:lvl>
    <w:lvl w:ilvl="7" w:tplc="C8E2194A">
      <w:numFmt w:val="decimal"/>
      <w:lvlText w:val=""/>
      <w:lvlJc w:val="left"/>
    </w:lvl>
    <w:lvl w:ilvl="8" w:tplc="733C507A">
      <w:numFmt w:val="decimal"/>
      <w:lvlText w:val=""/>
      <w:lvlJc w:val="left"/>
    </w:lvl>
  </w:abstractNum>
  <w:abstractNum w:abstractNumId="3" w15:restartNumberingAfterBreak="0">
    <w:nsid w:val="216307DA"/>
    <w:multiLevelType w:val="hybridMultilevel"/>
    <w:tmpl w:val="E8A24F30"/>
    <w:lvl w:ilvl="0" w:tplc="4BCEA02A">
      <w:start w:val="1"/>
      <w:numFmt w:val="bullet"/>
      <w:lvlText w:val="•"/>
      <w:lvlJc w:val="left"/>
      <w:pPr>
        <w:ind w:left="720" w:hanging="360"/>
      </w:pPr>
    </w:lvl>
    <w:lvl w:ilvl="1" w:tplc="1616BF6E">
      <w:numFmt w:val="decimal"/>
      <w:lvlText w:val=""/>
      <w:lvlJc w:val="left"/>
    </w:lvl>
    <w:lvl w:ilvl="2" w:tplc="8F30C1D6">
      <w:numFmt w:val="decimal"/>
      <w:lvlText w:val=""/>
      <w:lvlJc w:val="left"/>
    </w:lvl>
    <w:lvl w:ilvl="3" w:tplc="A0B49E98">
      <w:numFmt w:val="decimal"/>
      <w:lvlText w:val=""/>
      <w:lvlJc w:val="left"/>
    </w:lvl>
    <w:lvl w:ilvl="4" w:tplc="C3C4D510">
      <w:numFmt w:val="decimal"/>
      <w:lvlText w:val=""/>
      <w:lvlJc w:val="left"/>
    </w:lvl>
    <w:lvl w:ilvl="5" w:tplc="7732580C">
      <w:numFmt w:val="decimal"/>
      <w:lvlText w:val=""/>
      <w:lvlJc w:val="left"/>
    </w:lvl>
    <w:lvl w:ilvl="6" w:tplc="1F0ED492">
      <w:numFmt w:val="decimal"/>
      <w:lvlText w:val=""/>
      <w:lvlJc w:val="left"/>
    </w:lvl>
    <w:lvl w:ilvl="7" w:tplc="A5CAE632">
      <w:numFmt w:val="decimal"/>
      <w:lvlText w:val=""/>
      <w:lvlJc w:val="left"/>
    </w:lvl>
    <w:lvl w:ilvl="8" w:tplc="BFC44F44">
      <w:numFmt w:val="decimal"/>
      <w:lvlText w:val=""/>
      <w:lvlJc w:val="left"/>
    </w:lvl>
  </w:abstractNum>
  <w:abstractNum w:abstractNumId="4" w15:restartNumberingAfterBreak="0">
    <w:nsid w:val="4BB34656"/>
    <w:multiLevelType w:val="hybridMultilevel"/>
    <w:tmpl w:val="B470D712"/>
    <w:lvl w:ilvl="0" w:tplc="ACFCC6B6">
      <w:start w:val="1"/>
      <w:numFmt w:val="decimal"/>
      <w:lvlText w:val="%1."/>
      <w:lvlJc w:val="left"/>
      <w:pPr>
        <w:ind w:left="480" w:hanging="480"/>
      </w:pPr>
      <w:rPr>
        <w:rFonts w:hint="default"/>
        <w:b/>
        <w:color w:val="2E75B6"/>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5" w15:restartNumberingAfterBreak="0">
    <w:nsid w:val="72AE4917"/>
    <w:multiLevelType w:val="hybridMultilevel"/>
    <w:tmpl w:val="8B0E4106"/>
    <w:lvl w:ilvl="0" w:tplc="008AF5DA">
      <w:start w:val="1"/>
      <w:numFmt w:val="bullet"/>
      <w:lvlText w:val="→"/>
      <w:lvlJc w:val="left"/>
      <w:pPr>
        <w:ind w:left="720" w:hanging="360"/>
      </w:pPr>
    </w:lvl>
    <w:lvl w:ilvl="1" w:tplc="3B884890">
      <w:numFmt w:val="decimal"/>
      <w:lvlText w:val=""/>
      <w:lvlJc w:val="left"/>
    </w:lvl>
    <w:lvl w:ilvl="2" w:tplc="0E681706">
      <w:numFmt w:val="decimal"/>
      <w:lvlText w:val=""/>
      <w:lvlJc w:val="left"/>
    </w:lvl>
    <w:lvl w:ilvl="3" w:tplc="B4BE4D6E">
      <w:numFmt w:val="decimal"/>
      <w:lvlText w:val=""/>
      <w:lvlJc w:val="left"/>
    </w:lvl>
    <w:lvl w:ilvl="4" w:tplc="0C92B1C2">
      <w:numFmt w:val="decimal"/>
      <w:lvlText w:val=""/>
      <w:lvlJc w:val="left"/>
    </w:lvl>
    <w:lvl w:ilvl="5" w:tplc="F03A61AC">
      <w:numFmt w:val="decimal"/>
      <w:lvlText w:val=""/>
      <w:lvlJc w:val="left"/>
    </w:lvl>
    <w:lvl w:ilvl="6" w:tplc="8D125306">
      <w:numFmt w:val="decimal"/>
      <w:lvlText w:val=""/>
      <w:lvlJc w:val="left"/>
    </w:lvl>
    <w:lvl w:ilvl="7" w:tplc="913891B8">
      <w:numFmt w:val="decimal"/>
      <w:lvlText w:val=""/>
      <w:lvlJc w:val="left"/>
    </w:lvl>
    <w:lvl w:ilvl="8" w:tplc="A8C89B00">
      <w:numFmt w:val="decimal"/>
      <w:lvlText w:val=""/>
      <w:lvlJc w:val="left"/>
    </w:lvl>
  </w:abstractNum>
  <w:num w:numId="1" w16cid:durableId="43912820">
    <w:abstractNumId w:val="0"/>
    <w:lvlOverride w:ilvl="0">
      <w:startOverride w:val="1"/>
    </w:lvlOverride>
  </w:num>
  <w:num w:numId="2" w16cid:durableId="1267737189">
    <w:abstractNumId w:val="5"/>
    <w:lvlOverride w:ilvl="0">
      <w:startOverride w:val="1"/>
    </w:lvlOverride>
  </w:num>
  <w:num w:numId="3" w16cid:durableId="135150361">
    <w:abstractNumId w:val="1"/>
    <w:lvlOverride w:ilvl="0">
      <w:startOverride w:val="1"/>
    </w:lvlOverride>
  </w:num>
  <w:num w:numId="4" w16cid:durableId="671764996">
    <w:abstractNumId w:val="3"/>
    <w:lvlOverride w:ilvl="0">
      <w:startOverride w:val="1"/>
    </w:lvlOverride>
  </w:num>
  <w:num w:numId="5" w16cid:durableId="6366923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2CE"/>
    <w:rsid w:val="00111623"/>
    <w:rsid w:val="0012273B"/>
    <w:rsid w:val="001F0929"/>
    <w:rsid w:val="0026472E"/>
    <w:rsid w:val="003C7CFD"/>
    <w:rsid w:val="004B2714"/>
    <w:rsid w:val="00573D45"/>
    <w:rsid w:val="006717CA"/>
    <w:rsid w:val="00760CF1"/>
    <w:rsid w:val="00781ED3"/>
    <w:rsid w:val="007C0724"/>
    <w:rsid w:val="008C361D"/>
    <w:rsid w:val="00A43F56"/>
    <w:rsid w:val="00AE6E8D"/>
    <w:rsid w:val="00B3475A"/>
    <w:rsid w:val="00B572EC"/>
    <w:rsid w:val="00BC6E77"/>
    <w:rsid w:val="00C442CE"/>
    <w:rsid w:val="00C57147"/>
    <w:rsid w:val="00C7644D"/>
    <w:rsid w:val="00CA27B8"/>
    <w:rsid w:val="00D5204E"/>
    <w:rsid w:val="00DB375A"/>
    <w:rsid w:val="00E416A2"/>
    <w:rsid w:val="00FA459F"/>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F2C4D"/>
  <w15:docId w15:val="{B2B32469-6E09-4B98-8644-D1F8AF14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C" w:eastAsia="es-EC"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400" w:after="200"/>
      <w:outlineLvl w:val="0"/>
    </w:pPr>
    <w:rPr>
      <w:b/>
      <w:bCs/>
      <w:color w:val="1F4E79"/>
      <w:sz w:val="28"/>
      <w:szCs w:val="28"/>
    </w:rPr>
  </w:style>
  <w:style w:type="paragraph" w:styleId="Ttulo2">
    <w:name w:val="heading 2"/>
    <w:uiPriority w:val="9"/>
    <w:semiHidden/>
    <w:unhideWhenUsed/>
    <w:qFormat/>
    <w:pPr>
      <w:spacing w:before="300" w:after="160"/>
      <w:outlineLvl w:val="1"/>
    </w:pPr>
    <w:rPr>
      <w:b/>
      <w:bCs/>
      <w:color w:val="2E75B6"/>
      <w:sz w:val="24"/>
      <w:szCs w:val="24"/>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B3475A"/>
    <w:pPr>
      <w:tabs>
        <w:tab w:val="center" w:pos="4252"/>
        <w:tab w:val="right" w:pos="8504"/>
      </w:tabs>
    </w:pPr>
  </w:style>
  <w:style w:type="character" w:customStyle="1" w:styleId="EncabezadoCar">
    <w:name w:val="Encabezado Car"/>
    <w:basedOn w:val="Fuentedeprrafopredeter"/>
    <w:link w:val="Encabezado"/>
    <w:uiPriority w:val="99"/>
    <w:rsid w:val="00B3475A"/>
  </w:style>
  <w:style w:type="paragraph" w:styleId="Piedepgina">
    <w:name w:val="footer"/>
    <w:basedOn w:val="Normal"/>
    <w:link w:val="PiedepginaCar"/>
    <w:uiPriority w:val="99"/>
    <w:unhideWhenUsed/>
    <w:rsid w:val="00B3475A"/>
    <w:pPr>
      <w:tabs>
        <w:tab w:val="center" w:pos="4252"/>
        <w:tab w:val="right" w:pos="8504"/>
      </w:tabs>
    </w:pPr>
  </w:style>
  <w:style w:type="character" w:customStyle="1" w:styleId="PiedepginaCar">
    <w:name w:val="Pie de página Car"/>
    <w:basedOn w:val="Fuentedeprrafopredeter"/>
    <w:link w:val="Piedepgina"/>
    <w:uiPriority w:val="99"/>
    <w:rsid w:val="00B3475A"/>
  </w:style>
  <w:style w:type="paragraph" w:styleId="NormalWeb">
    <w:name w:val="Normal (Web)"/>
    <w:basedOn w:val="Normal"/>
    <w:uiPriority w:val="99"/>
    <w:semiHidden/>
    <w:unhideWhenUsed/>
    <w:rsid w:val="00C57147"/>
    <w:pPr>
      <w:spacing w:before="100" w:beforeAutospacing="1" w:after="100" w:afterAutospacing="1"/>
    </w:pPr>
    <w:rPr>
      <w:rFonts w:ascii="Times New Roman" w:eastAsia="Times New Roman" w:hAnsi="Times New Roman" w:cs="Times New Roman"/>
      <w:sz w:val="24"/>
      <w:szCs w:val="24"/>
    </w:rPr>
  </w:style>
  <w:style w:type="character" w:styleId="nfasis">
    <w:name w:val="Emphasis"/>
    <w:basedOn w:val="Fuentedeprrafopredeter"/>
    <w:uiPriority w:val="20"/>
    <w:qFormat/>
    <w:rsid w:val="00C57147"/>
    <w:rPr>
      <w:i/>
      <w:iCs/>
    </w:rPr>
  </w:style>
  <w:style w:type="table" w:styleId="Tablaconcuadrcula">
    <w:name w:val="Table Grid"/>
    <w:basedOn w:val="Tablanormal"/>
    <w:uiPriority w:val="39"/>
    <w:rsid w:val="00111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4454</Words>
  <Characters>24498</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Ralf Oetzel</cp:lastModifiedBy>
  <cp:revision>2</cp:revision>
  <dcterms:created xsi:type="dcterms:W3CDTF">2026-04-26T18:26:00Z</dcterms:created>
  <dcterms:modified xsi:type="dcterms:W3CDTF">2026-04-26T18:26:00Z</dcterms:modified>
</cp:coreProperties>
</file>