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33F973" w14:textId="300581CF" w:rsidR="008120D1" w:rsidRDefault="008120D1" w:rsidP="007F7529">
      <w:pPr>
        <w:spacing w:after="120"/>
        <w:rPr>
          <w:rFonts w:asciiTheme="majorHAnsi" w:hAnsiTheme="majorHAnsi" w:cstheme="majorHAnsi"/>
          <w:b/>
          <w:sz w:val="34"/>
          <w:szCs w:val="34"/>
        </w:rPr>
      </w:pPr>
      <w:bookmarkStart w:id="0" w:name="_GoBack"/>
      <w:bookmarkEnd w:id="0"/>
      <w:r>
        <w:rPr>
          <w:noProof/>
        </w:rPr>
        <w:drawing>
          <wp:anchor distT="0" distB="0" distL="114300" distR="114300" simplePos="0" relativeHeight="251659264" behindDoc="0" locked="0" layoutInCell="1" allowOverlap="1" wp14:anchorId="3C46B38C" wp14:editId="12F2C256">
            <wp:simplePos x="0" y="0"/>
            <wp:positionH relativeFrom="column">
              <wp:posOffset>3632200</wp:posOffset>
            </wp:positionH>
            <wp:positionV relativeFrom="paragraph">
              <wp:posOffset>-3810</wp:posOffset>
            </wp:positionV>
            <wp:extent cx="2743200" cy="805180"/>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2743200" cy="805180"/>
                    </a:xfrm>
                    <a:prstGeom prst="rect">
                      <a:avLst/>
                    </a:prstGeom>
                  </pic:spPr>
                </pic:pic>
              </a:graphicData>
            </a:graphic>
            <wp14:sizeRelH relativeFrom="margin">
              <wp14:pctWidth>0</wp14:pctWidth>
            </wp14:sizeRelH>
            <wp14:sizeRelV relativeFrom="margin">
              <wp14:pctHeight>0</wp14:pctHeight>
            </wp14:sizeRelV>
          </wp:anchor>
        </w:drawing>
      </w:r>
      <w:r w:rsidR="00767639" w:rsidRPr="001119F0">
        <w:rPr>
          <w:rFonts w:asciiTheme="majorHAnsi" w:hAnsiTheme="majorHAnsi" w:cstheme="majorHAnsi"/>
          <w:b/>
          <w:sz w:val="34"/>
          <w:szCs w:val="34"/>
        </w:rPr>
        <w:t>B</w:t>
      </w:r>
      <w:r w:rsidR="00BE37BF" w:rsidRPr="001119F0">
        <w:rPr>
          <w:rFonts w:asciiTheme="majorHAnsi" w:hAnsiTheme="majorHAnsi" w:cstheme="majorHAnsi"/>
          <w:b/>
          <w:sz w:val="34"/>
          <w:szCs w:val="34"/>
        </w:rPr>
        <w:t>riefing on</w:t>
      </w:r>
      <w:r w:rsidR="00E4774B" w:rsidRPr="001119F0">
        <w:rPr>
          <w:rFonts w:asciiTheme="majorHAnsi" w:hAnsiTheme="majorHAnsi" w:cstheme="majorHAnsi"/>
          <w:b/>
          <w:sz w:val="34"/>
          <w:szCs w:val="34"/>
        </w:rPr>
        <w:t xml:space="preserve"> </w:t>
      </w:r>
      <w:r w:rsidR="00505457">
        <w:rPr>
          <w:rFonts w:asciiTheme="majorHAnsi" w:hAnsiTheme="majorHAnsi" w:cstheme="majorHAnsi"/>
          <w:b/>
          <w:sz w:val="34"/>
          <w:szCs w:val="34"/>
          <w:u w:val="single"/>
        </w:rPr>
        <w:t>Senegal</w:t>
      </w:r>
      <w:r w:rsidR="00BE37BF" w:rsidRPr="001119F0">
        <w:rPr>
          <w:rFonts w:asciiTheme="majorHAnsi" w:hAnsiTheme="majorHAnsi" w:cstheme="majorHAnsi"/>
          <w:b/>
          <w:sz w:val="34"/>
          <w:szCs w:val="34"/>
        </w:rPr>
        <w:t xml:space="preserve"> for the Committee on the Rights of Persons with Disabilities,</w:t>
      </w:r>
      <w:r w:rsidR="00C84FBA" w:rsidRPr="001119F0">
        <w:rPr>
          <w:rFonts w:asciiTheme="majorHAnsi" w:hAnsiTheme="majorHAnsi" w:cstheme="majorHAnsi"/>
          <w:b/>
          <w:sz w:val="34"/>
          <w:szCs w:val="34"/>
        </w:rPr>
        <w:t xml:space="preserve"> </w:t>
      </w:r>
      <w:r w:rsidR="00545574">
        <w:rPr>
          <w:rFonts w:asciiTheme="majorHAnsi" w:hAnsiTheme="majorHAnsi" w:cstheme="majorHAnsi"/>
          <w:b/>
          <w:sz w:val="34"/>
          <w:szCs w:val="34"/>
        </w:rPr>
        <w:t>21</w:t>
      </w:r>
      <w:r w:rsidR="00545574" w:rsidRPr="00545574">
        <w:rPr>
          <w:rFonts w:asciiTheme="majorHAnsi" w:hAnsiTheme="majorHAnsi" w:cstheme="majorHAnsi"/>
          <w:b/>
          <w:sz w:val="34"/>
          <w:szCs w:val="34"/>
          <w:vertAlign w:val="superscript"/>
        </w:rPr>
        <w:t>st</w:t>
      </w:r>
      <w:r w:rsidR="00545574">
        <w:rPr>
          <w:rFonts w:asciiTheme="majorHAnsi" w:hAnsiTheme="majorHAnsi" w:cstheme="majorHAnsi"/>
          <w:b/>
          <w:sz w:val="34"/>
          <w:szCs w:val="34"/>
        </w:rPr>
        <w:t xml:space="preserve"> session</w:t>
      </w:r>
      <w:r w:rsidR="00C84FBA" w:rsidRPr="001119F0">
        <w:rPr>
          <w:rFonts w:asciiTheme="majorHAnsi" w:hAnsiTheme="majorHAnsi" w:cstheme="majorHAnsi"/>
          <w:b/>
          <w:sz w:val="34"/>
          <w:szCs w:val="34"/>
        </w:rPr>
        <w:t>,</w:t>
      </w:r>
      <w:r w:rsidR="00BE37BF" w:rsidRPr="001119F0">
        <w:rPr>
          <w:rFonts w:asciiTheme="majorHAnsi" w:hAnsiTheme="majorHAnsi" w:cstheme="majorHAnsi"/>
          <w:b/>
          <w:sz w:val="34"/>
          <w:szCs w:val="34"/>
        </w:rPr>
        <w:t xml:space="preserve"> </w:t>
      </w:r>
      <w:r w:rsidR="00545574">
        <w:rPr>
          <w:rFonts w:asciiTheme="majorHAnsi" w:hAnsiTheme="majorHAnsi" w:cstheme="majorHAnsi"/>
          <w:b/>
          <w:sz w:val="34"/>
          <w:szCs w:val="34"/>
        </w:rPr>
        <w:t>March-</w:t>
      </w:r>
      <w:r w:rsidR="00E64999">
        <w:rPr>
          <w:rFonts w:asciiTheme="majorHAnsi" w:hAnsiTheme="majorHAnsi" w:cstheme="majorHAnsi"/>
          <w:b/>
          <w:sz w:val="34"/>
          <w:szCs w:val="34"/>
        </w:rPr>
        <w:t>April</w:t>
      </w:r>
      <w:r w:rsidR="00A53A7A" w:rsidRPr="001119F0">
        <w:rPr>
          <w:rFonts w:asciiTheme="majorHAnsi" w:hAnsiTheme="majorHAnsi" w:cstheme="majorHAnsi"/>
          <w:b/>
          <w:sz w:val="34"/>
          <w:szCs w:val="34"/>
        </w:rPr>
        <w:t xml:space="preserve"> 201</w:t>
      </w:r>
      <w:r w:rsidR="00E64999">
        <w:rPr>
          <w:rFonts w:asciiTheme="majorHAnsi" w:hAnsiTheme="majorHAnsi" w:cstheme="majorHAnsi"/>
          <w:b/>
          <w:sz w:val="34"/>
          <w:szCs w:val="34"/>
        </w:rPr>
        <w:t>9</w:t>
      </w:r>
    </w:p>
    <w:p w14:paraId="4508A740" w14:textId="3EB2E1E9" w:rsidR="00767639" w:rsidRPr="001119F0" w:rsidRDefault="00767639" w:rsidP="007F7529">
      <w:pPr>
        <w:spacing w:after="120"/>
        <w:rPr>
          <w:rFonts w:asciiTheme="majorHAnsi" w:hAnsiTheme="majorHAnsi" w:cstheme="majorHAnsi"/>
        </w:rPr>
      </w:pPr>
      <w:r w:rsidRPr="001119F0">
        <w:rPr>
          <w:rFonts w:asciiTheme="majorHAnsi" w:hAnsiTheme="majorHAnsi" w:cstheme="majorHAnsi"/>
        </w:rPr>
        <w:t xml:space="preserve">From </w:t>
      </w:r>
      <w:r w:rsidR="00A53A7A" w:rsidRPr="001119F0">
        <w:rPr>
          <w:rFonts w:asciiTheme="majorHAnsi" w:hAnsiTheme="majorHAnsi" w:cstheme="majorHAnsi"/>
        </w:rPr>
        <w:t>the</w:t>
      </w:r>
      <w:r w:rsidR="005B5315" w:rsidRPr="001119F0">
        <w:rPr>
          <w:rFonts w:asciiTheme="majorHAnsi" w:hAnsiTheme="majorHAnsi" w:cstheme="majorHAnsi"/>
        </w:rPr>
        <w:t xml:space="preserve"> </w:t>
      </w:r>
      <w:r w:rsidRPr="001119F0">
        <w:rPr>
          <w:rFonts w:asciiTheme="majorHAnsi" w:hAnsiTheme="majorHAnsi" w:cstheme="majorHAnsi"/>
        </w:rPr>
        <w:t>Global Initiative</w:t>
      </w:r>
      <w:r w:rsidR="00633745" w:rsidRPr="001119F0">
        <w:rPr>
          <w:rFonts w:asciiTheme="majorHAnsi" w:hAnsiTheme="majorHAnsi" w:cstheme="majorHAnsi"/>
        </w:rPr>
        <w:t xml:space="preserve"> to End All Corporal Punishment </w:t>
      </w:r>
      <w:r w:rsidR="008120D1">
        <w:rPr>
          <w:rFonts w:asciiTheme="majorHAnsi" w:hAnsiTheme="majorHAnsi" w:cstheme="majorHAnsi"/>
        </w:rPr>
        <w:t>o</w:t>
      </w:r>
      <w:r w:rsidR="00633745" w:rsidRPr="001119F0">
        <w:rPr>
          <w:rFonts w:asciiTheme="majorHAnsi" w:hAnsiTheme="majorHAnsi" w:cstheme="majorHAnsi"/>
        </w:rPr>
        <w:t>f Children,</w:t>
      </w:r>
      <w:r w:rsidR="00E9361C" w:rsidRPr="001119F0">
        <w:rPr>
          <w:rFonts w:asciiTheme="majorHAnsi" w:hAnsiTheme="majorHAnsi" w:cstheme="majorHAnsi"/>
        </w:rPr>
        <w:t xml:space="preserve"> </w:t>
      </w:r>
      <w:r w:rsidR="00545574">
        <w:rPr>
          <w:rFonts w:asciiTheme="majorHAnsi" w:hAnsiTheme="majorHAnsi" w:cstheme="majorHAnsi"/>
        </w:rPr>
        <w:t>February</w:t>
      </w:r>
      <w:r w:rsidR="009B471D" w:rsidRPr="001119F0">
        <w:rPr>
          <w:rFonts w:asciiTheme="majorHAnsi" w:hAnsiTheme="majorHAnsi" w:cstheme="majorHAnsi"/>
        </w:rPr>
        <w:t xml:space="preserve"> 201</w:t>
      </w:r>
      <w:r w:rsidR="00E64999">
        <w:rPr>
          <w:rFonts w:asciiTheme="majorHAnsi" w:hAnsiTheme="majorHAnsi" w:cstheme="majorHAnsi"/>
        </w:rPr>
        <w:t>9</w:t>
      </w:r>
      <w:r w:rsidR="00A53A7A" w:rsidRPr="001119F0">
        <w:rPr>
          <w:rFonts w:asciiTheme="majorHAnsi" w:hAnsiTheme="majorHAnsi" w:cstheme="majorHAnsi"/>
        </w:rPr>
        <w:t xml:space="preserve"> </w:t>
      </w:r>
      <w:r w:rsidR="00BE37BF" w:rsidRPr="001119F0">
        <w:rPr>
          <w:rFonts w:asciiTheme="majorHAnsi" w:hAnsiTheme="majorHAnsi" w:cstheme="majorHAnsi"/>
        </w:rPr>
        <w:br/>
      </w:r>
    </w:p>
    <w:p w14:paraId="4855D333" w14:textId="77777777" w:rsidR="00142366" w:rsidRPr="001119F0" w:rsidRDefault="00142366" w:rsidP="00716B5D">
      <w:pPr>
        <w:spacing w:after="120"/>
        <w:rPr>
          <w:rFonts w:asciiTheme="majorHAnsi" w:hAnsiTheme="majorHAnsi" w:cstheme="majorHAnsi"/>
        </w:rPr>
      </w:pPr>
    </w:p>
    <w:p w14:paraId="78052E85" w14:textId="33415951" w:rsidR="004D7A67" w:rsidRPr="001119F0" w:rsidRDefault="00142366" w:rsidP="00716B5D">
      <w:pPr>
        <w:spacing w:after="120"/>
        <w:rPr>
          <w:rFonts w:asciiTheme="majorHAnsi" w:hAnsiTheme="majorHAnsi" w:cstheme="majorHAnsi"/>
          <w:b/>
          <w:sz w:val="26"/>
          <w:szCs w:val="26"/>
        </w:rPr>
      </w:pPr>
      <w:r w:rsidRPr="001119F0">
        <w:rPr>
          <w:rFonts w:asciiTheme="majorHAnsi" w:hAnsiTheme="majorHAnsi" w:cstheme="majorHAnsi"/>
          <w:b/>
          <w:sz w:val="26"/>
          <w:szCs w:val="26"/>
        </w:rPr>
        <w:t xml:space="preserve">(a) </w:t>
      </w:r>
      <w:r w:rsidR="00716B5D" w:rsidRPr="001119F0">
        <w:rPr>
          <w:rFonts w:asciiTheme="majorHAnsi" w:hAnsiTheme="majorHAnsi" w:cstheme="majorHAnsi"/>
          <w:b/>
          <w:sz w:val="26"/>
          <w:szCs w:val="26"/>
        </w:rPr>
        <w:t>About the Global Initiative</w:t>
      </w:r>
      <w:r w:rsidR="00106569" w:rsidRPr="001119F0">
        <w:rPr>
          <w:rFonts w:asciiTheme="majorHAnsi" w:hAnsiTheme="majorHAnsi" w:cstheme="majorHAnsi"/>
          <w:b/>
          <w:sz w:val="26"/>
          <w:szCs w:val="26"/>
        </w:rPr>
        <w:t xml:space="preserve"> to End All Corporal Punishment of Children</w:t>
      </w:r>
    </w:p>
    <w:p w14:paraId="3190CD76" w14:textId="78DB8F29" w:rsidR="00716B5D" w:rsidRPr="001119F0" w:rsidRDefault="00833827" w:rsidP="00716B5D">
      <w:pPr>
        <w:spacing w:after="120"/>
        <w:rPr>
          <w:rFonts w:asciiTheme="majorHAnsi" w:hAnsiTheme="majorHAnsi" w:cstheme="majorHAnsi"/>
        </w:rPr>
      </w:pPr>
      <w:r w:rsidRPr="001119F0">
        <w:rPr>
          <w:rFonts w:asciiTheme="majorHAnsi" w:hAnsiTheme="majorHAnsi" w:cstheme="majorHAnsi"/>
        </w:rPr>
        <w:t xml:space="preserve">1. </w:t>
      </w:r>
      <w:r w:rsidR="00716B5D" w:rsidRPr="001119F0">
        <w:rPr>
          <w:rFonts w:asciiTheme="majorHAnsi" w:hAnsiTheme="majorHAnsi" w:cstheme="majorHAnsi"/>
        </w:rPr>
        <w:t>The Global Initiative (</w:t>
      </w:r>
      <w:hyperlink r:id="rId13" w:history="1">
        <w:r w:rsidR="00716B5D" w:rsidRPr="002810F1">
          <w:rPr>
            <w:rStyle w:val="Hyperlink"/>
            <w:rFonts w:asciiTheme="majorHAnsi" w:hAnsiTheme="majorHAnsi" w:cstheme="majorHAnsi"/>
            <w:color w:val="0096A3"/>
          </w:rPr>
          <w:t>www.endcorporalpunishment.org</w:t>
        </w:r>
        <w:r w:rsidR="00716B5D" w:rsidRPr="002810F1">
          <w:rPr>
            <w:rStyle w:val="Hyperlink"/>
            <w:rFonts w:asciiTheme="majorHAnsi" w:hAnsiTheme="majorHAnsi" w:cstheme="majorHAnsi"/>
            <w:color w:val="auto"/>
            <w:u w:val="none"/>
          </w:rPr>
          <w:t>)</w:t>
        </w:r>
      </w:hyperlink>
      <w:r w:rsidR="00716B5D" w:rsidRPr="001119F0">
        <w:rPr>
          <w:rFonts w:asciiTheme="majorHAnsi" w:hAnsiTheme="majorHAnsi" w:cstheme="majorHAnsi"/>
        </w:rPr>
        <w:t xml:space="preserve"> promotes universal prohibition and elimination of corporal punishment in fulfilment of states’ obligations under the UN Convention on the Rights of the Child and other international</w:t>
      </w:r>
      <w:r w:rsidR="00142366" w:rsidRPr="001119F0">
        <w:rPr>
          <w:rFonts w:asciiTheme="majorHAnsi" w:hAnsiTheme="majorHAnsi" w:cstheme="majorHAnsi"/>
        </w:rPr>
        <w:t xml:space="preserve"> treaties. Our aims are supported by UNICEF, UNESCO, human rights institutions and international and national NGOs. Since 2002, the Global Initiative has regularly briefed the Committee on the Rights of the Child on this issue, and since 2004 has similarly briefed the Committee Against Torture, the Committee on the Elimination of Discrimination Against Women, the Committee on Economic, Social and Cultural Rights, the Human Rights Committee and the Human Rights Council; we have briefed the Committee on the Rights of Persons with Disabilities since the beginning of its work.</w:t>
      </w:r>
    </w:p>
    <w:p w14:paraId="08616AC9" w14:textId="5B04203E" w:rsidR="00716B5D" w:rsidRPr="001119F0" w:rsidRDefault="00716B5D" w:rsidP="00716B5D">
      <w:pPr>
        <w:spacing w:after="120"/>
        <w:rPr>
          <w:rFonts w:asciiTheme="majorHAnsi" w:hAnsiTheme="majorHAnsi" w:cstheme="majorHAnsi"/>
        </w:rPr>
      </w:pPr>
    </w:p>
    <w:p w14:paraId="02EFC191" w14:textId="49D05158" w:rsidR="00142366" w:rsidRPr="001119F0" w:rsidRDefault="00142366" w:rsidP="00716B5D">
      <w:pPr>
        <w:spacing w:after="120"/>
        <w:rPr>
          <w:rFonts w:asciiTheme="majorHAnsi" w:hAnsiTheme="majorHAnsi" w:cstheme="majorHAnsi"/>
          <w:b/>
          <w:sz w:val="26"/>
          <w:szCs w:val="26"/>
        </w:rPr>
      </w:pPr>
      <w:r w:rsidRPr="001119F0">
        <w:rPr>
          <w:rFonts w:asciiTheme="majorHAnsi" w:hAnsiTheme="majorHAnsi" w:cstheme="majorHAnsi"/>
          <w:b/>
          <w:sz w:val="26"/>
          <w:szCs w:val="26"/>
        </w:rPr>
        <w:t xml:space="preserve">(b) </w:t>
      </w:r>
      <w:r w:rsidR="00106569" w:rsidRPr="002F528D">
        <w:rPr>
          <w:rFonts w:asciiTheme="majorHAnsi" w:hAnsiTheme="majorHAnsi" w:cstheme="majorHAnsi"/>
          <w:b/>
          <w:sz w:val="26"/>
          <w:szCs w:val="26"/>
        </w:rPr>
        <w:t>S</w:t>
      </w:r>
      <w:r w:rsidRPr="002F528D">
        <w:rPr>
          <w:rFonts w:asciiTheme="majorHAnsi" w:hAnsiTheme="majorHAnsi" w:cstheme="majorHAnsi"/>
          <w:b/>
          <w:sz w:val="26"/>
          <w:szCs w:val="26"/>
        </w:rPr>
        <w:t>ummary</w:t>
      </w:r>
    </w:p>
    <w:p w14:paraId="57CD7F46" w14:textId="38A7AE49" w:rsidR="00106569" w:rsidRPr="001119F0" w:rsidRDefault="00833827" w:rsidP="007A21C3">
      <w:pPr>
        <w:spacing w:after="120"/>
        <w:rPr>
          <w:rFonts w:asciiTheme="majorHAnsi" w:hAnsiTheme="majorHAnsi" w:cstheme="majorHAnsi"/>
        </w:rPr>
      </w:pPr>
      <w:r w:rsidRPr="001119F0">
        <w:rPr>
          <w:rFonts w:asciiTheme="majorHAnsi" w:hAnsiTheme="majorHAnsi" w:cstheme="majorHAnsi"/>
        </w:rPr>
        <w:t xml:space="preserve">2. </w:t>
      </w:r>
      <w:r w:rsidR="00106569" w:rsidRPr="001119F0">
        <w:rPr>
          <w:rFonts w:asciiTheme="majorHAnsi" w:hAnsiTheme="majorHAnsi" w:cstheme="majorHAnsi"/>
        </w:rPr>
        <w:t>C</w:t>
      </w:r>
      <w:r w:rsidR="004D7A67" w:rsidRPr="001119F0">
        <w:rPr>
          <w:rFonts w:asciiTheme="majorHAnsi" w:hAnsiTheme="majorHAnsi" w:cstheme="majorHAnsi"/>
        </w:rPr>
        <w:t xml:space="preserve">orporal punishment of children in </w:t>
      </w:r>
      <w:r w:rsidR="004672CE">
        <w:rPr>
          <w:rFonts w:asciiTheme="majorHAnsi" w:hAnsiTheme="majorHAnsi" w:cstheme="majorHAnsi"/>
        </w:rPr>
        <w:t>Senegal</w:t>
      </w:r>
      <w:r w:rsidR="005D45A4" w:rsidRPr="001119F0">
        <w:rPr>
          <w:rFonts w:asciiTheme="majorHAnsi" w:hAnsiTheme="majorHAnsi" w:cstheme="majorHAnsi"/>
        </w:rPr>
        <w:t xml:space="preserve"> </w:t>
      </w:r>
      <w:r w:rsidR="00106569" w:rsidRPr="001119F0">
        <w:rPr>
          <w:rFonts w:asciiTheme="majorHAnsi" w:hAnsiTheme="majorHAnsi" w:cstheme="majorHAnsi"/>
        </w:rPr>
        <w:t xml:space="preserve">is unlawful </w:t>
      </w:r>
      <w:r w:rsidR="004672CE">
        <w:rPr>
          <w:rFonts w:asciiTheme="majorHAnsi" w:hAnsiTheme="majorHAnsi" w:cstheme="majorHAnsi"/>
        </w:rPr>
        <w:t xml:space="preserve">in schools for children aged 6-14, in penal institutions and </w:t>
      </w:r>
      <w:r w:rsidR="002B4503">
        <w:rPr>
          <w:rFonts w:asciiTheme="majorHAnsi" w:hAnsiTheme="majorHAnsi" w:cstheme="majorHAnsi"/>
        </w:rPr>
        <w:t>as a sentence for a crime</w:t>
      </w:r>
      <w:r w:rsidR="00BB1960">
        <w:rPr>
          <w:rFonts w:asciiTheme="majorHAnsi" w:hAnsiTheme="majorHAnsi" w:cstheme="majorHAnsi"/>
        </w:rPr>
        <w:t xml:space="preserve"> </w:t>
      </w:r>
      <w:r w:rsidR="00106569" w:rsidRPr="001119F0">
        <w:rPr>
          <w:rFonts w:asciiTheme="majorHAnsi" w:hAnsiTheme="majorHAnsi" w:cstheme="majorHAnsi"/>
        </w:rPr>
        <w:t xml:space="preserve">but it is not yet </w:t>
      </w:r>
      <w:r w:rsidR="001B7D95" w:rsidRPr="001119F0">
        <w:rPr>
          <w:rFonts w:asciiTheme="majorHAnsi" w:hAnsiTheme="majorHAnsi" w:cstheme="majorHAnsi"/>
        </w:rPr>
        <w:t xml:space="preserve">fully </w:t>
      </w:r>
      <w:r w:rsidR="00106569" w:rsidRPr="001119F0">
        <w:rPr>
          <w:rFonts w:asciiTheme="majorHAnsi" w:hAnsiTheme="majorHAnsi" w:cstheme="majorHAnsi"/>
        </w:rPr>
        <w:t xml:space="preserve">prohibited </w:t>
      </w:r>
      <w:r w:rsidR="00B05968" w:rsidRPr="001119F0">
        <w:rPr>
          <w:rFonts w:asciiTheme="majorHAnsi" w:hAnsiTheme="majorHAnsi" w:cstheme="majorHAnsi"/>
        </w:rPr>
        <w:t xml:space="preserve">in </w:t>
      </w:r>
      <w:r w:rsidR="002F528D">
        <w:rPr>
          <w:rFonts w:asciiTheme="majorHAnsi" w:hAnsiTheme="majorHAnsi" w:cstheme="majorHAnsi"/>
        </w:rPr>
        <w:t xml:space="preserve">the home, </w:t>
      </w:r>
      <w:r w:rsidR="002B4503">
        <w:rPr>
          <w:rFonts w:asciiTheme="majorHAnsi" w:hAnsiTheme="majorHAnsi" w:cstheme="majorHAnsi"/>
        </w:rPr>
        <w:t>in alternativ</w:t>
      </w:r>
      <w:r w:rsidR="004672CE">
        <w:rPr>
          <w:rFonts w:asciiTheme="majorHAnsi" w:hAnsiTheme="majorHAnsi" w:cstheme="majorHAnsi"/>
        </w:rPr>
        <w:t>e care and day care settings and some schools</w:t>
      </w:r>
      <w:r w:rsidR="001947F2" w:rsidRPr="001119F0">
        <w:rPr>
          <w:rFonts w:asciiTheme="majorHAnsi" w:hAnsiTheme="majorHAnsi" w:cstheme="majorHAnsi"/>
        </w:rPr>
        <w:t>,</w:t>
      </w:r>
      <w:r w:rsidR="00E511FD" w:rsidRPr="001119F0">
        <w:rPr>
          <w:rFonts w:asciiTheme="majorHAnsi" w:hAnsiTheme="majorHAnsi" w:cstheme="majorHAnsi"/>
        </w:rPr>
        <w:t xml:space="preserve"> </w:t>
      </w:r>
      <w:r w:rsidR="004D7A67" w:rsidRPr="001119F0">
        <w:rPr>
          <w:rFonts w:asciiTheme="majorHAnsi" w:hAnsiTheme="majorHAnsi" w:cstheme="majorHAnsi"/>
        </w:rPr>
        <w:t xml:space="preserve">in violation of </w:t>
      </w:r>
      <w:r w:rsidR="00181FAC" w:rsidRPr="001119F0">
        <w:rPr>
          <w:rFonts w:asciiTheme="majorHAnsi" w:hAnsiTheme="majorHAnsi" w:cstheme="majorHAnsi"/>
        </w:rPr>
        <w:t xml:space="preserve">the </w:t>
      </w:r>
      <w:r w:rsidR="00E511FD" w:rsidRPr="001119F0">
        <w:rPr>
          <w:rFonts w:asciiTheme="majorHAnsi" w:hAnsiTheme="majorHAnsi" w:cstheme="majorHAnsi"/>
        </w:rPr>
        <w:t xml:space="preserve">fundamental </w:t>
      </w:r>
      <w:r w:rsidR="00181FAC" w:rsidRPr="001119F0">
        <w:rPr>
          <w:rFonts w:asciiTheme="majorHAnsi" w:hAnsiTheme="majorHAnsi" w:cstheme="majorHAnsi"/>
        </w:rPr>
        <w:t>right of all children</w:t>
      </w:r>
      <w:r w:rsidR="004D7A67" w:rsidRPr="001119F0">
        <w:rPr>
          <w:rFonts w:asciiTheme="majorHAnsi" w:hAnsiTheme="majorHAnsi" w:cstheme="majorHAnsi"/>
        </w:rPr>
        <w:t xml:space="preserve"> to protection from corporal punishment and other cruel or degrading forms of punishment.</w:t>
      </w:r>
    </w:p>
    <w:p w14:paraId="4FA79421" w14:textId="451BD41E" w:rsidR="00E4774B" w:rsidRPr="002B4503" w:rsidRDefault="00833827" w:rsidP="002B4503">
      <w:pPr>
        <w:spacing w:after="120"/>
        <w:rPr>
          <w:rFonts w:asciiTheme="majorHAnsi" w:hAnsiTheme="majorHAnsi" w:cstheme="majorHAnsi"/>
        </w:rPr>
      </w:pPr>
      <w:r w:rsidRPr="001119F0">
        <w:rPr>
          <w:rFonts w:asciiTheme="majorHAnsi" w:hAnsiTheme="majorHAnsi" w:cstheme="majorHAnsi"/>
        </w:rPr>
        <w:lastRenderedPageBreak/>
        <w:t xml:space="preserve">3. </w:t>
      </w:r>
      <w:r w:rsidR="00181FAC" w:rsidRPr="001119F0">
        <w:rPr>
          <w:rFonts w:asciiTheme="majorHAnsi" w:hAnsiTheme="majorHAnsi" w:cstheme="majorHAnsi"/>
        </w:rPr>
        <w:t xml:space="preserve">With reference to </w:t>
      </w:r>
      <w:r w:rsidR="00181FAC" w:rsidRPr="001119F0">
        <w:rPr>
          <w:rFonts w:asciiTheme="majorHAnsi" w:hAnsiTheme="majorHAnsi" w:cstheme="majorHAnsi"/>
          <w:b/>
        </w:rPr>
        <w:t>articles 7, 15, 16 and 17</w:t>
      </w:r>
      <w:r w:rsidR="00181FAC" w:rsidRPr="001119F0">
        <w:rPr>
          <w:rFonts w:asciiTheme="majorHAnsi" w:hAnsiTheme="majorHAnsi" w:cstheme="majorHAnsi"/>
        </w:rPr>
        <w:t xml:space="preserve"> of the Convention on the Rights of Persons with Disabilities, and i</w:t>
      </w:r>
      <w:r w:rsidR="004D7A67" w:rsidRPr="001119F0">
        <w:rPr>
          <w:rFonts w:asciiTheme="majorHAnsi" w:hAnsiTheme="majorHAnsi" w:cstheme="majorHAnsi"/>
        </w:rPr>
        <w:t>n light of the particular vulnerability of children with disabilities to</w:t>
      </w:r>
      <w:r w:rsidR="00181FAC" w:rsidRPr="001119F0">
        <w:rPr>
          <w:rFonts w:asciiTheme="majorHAnsi" w:hAnsiTheme="majorHAnsi" w:cstheme="majorHAnsi"/>
        </w:rPr>
        <w:t xml:space="preserve"> corporal punishment by adults, </w:t>
      </w:r>
      <w:r w:rsidR="004D7A67" w:rsidRPr="001119F0">
        <w:rPr>
          <w:rFonts w:asciiTheme="majorHAnsi" w:hAnsiTheme="majorHAnsi" w:cstheme="majorHAnsi"/>
        </w:rPr>
        <w:t>the jurisp</w:t>
      </w:r>
      <w:r w:rsidR="00181FAC" w:rsidRPr="001119F0">
        <w:rPr>
          <w:rFonts w:asciiTheme="majorHAnsi" w:hAnsiTheme="majorHAnsi" w:cstheme="majorHAnsi"/>
        </w:rPr>
        <w:t>rudence of the UN treaty bodies</w:t>
      </w:r>
      <w:r w:rsidR="00E4774B" w:rsidRPr="001119F0">
        <w:rPr>
          <w:rFonts w:asciiTheme="majorHAnsi" w:hAnsiTheme="majorHAnsi" w:cstheme="majorHAnsi"/>
        </w:rPr>
        <w:t>,</w:t>
      </w:r>
      <w:r w:rsidR="004D7A67" w:rsidRPr="001119F0">
        <w:rPr>
          <w:rFonts w:asciiTheme="majorHAnsi" w:hAnsiTheme="majorHAnsi" w:cstheme="majorHAnsi"/>
        </w:rPr>
        <w:t xml:space="preserve"> the </w:t>
      </w:r>
      <w:r w:rsidR="00106569" w:rsidRPr="001119F0">
        <w:rPr>
          <w:rFonts w:asciiTheme="majorHAnsi" w:hAnsiTheme="majorHAnsi" w:cstheme="majorHAnsi"/>
        </w:rPr>
        <w:t>emphasis on</w:t>
      </w:r>
      <w:r w:rsidR="004D7A67" w:rsidRPr="001119F0">
        <w:rPr>
          <w:rFonts w:asciiTheme="majorHAnsi" w:hAnsiTheme="majorHAnsi" w:cstheme="majorHAnsi"/>
        </w:rPr>
        <w:t xml:space="preserve"> eradicating this form of violence given by the UN Secretary General’s Study on Violence against Children</w:t>
      </w:r>
      <w:r w:rsidR="00E4774B" w:rsidRPr="001119F0">
        <w:rPr>
          <w:rFonts w:asciiTheme="majorHAnsi" w:hAnsiTheme="majorHAnsi" w:cstheme="majorHAnsi"/>
        </w:rPr>
        <w:t xml:space="preserve"> and </w:t>
      </w:r>
      <w:r w:rsidR="00106569" w:rsidRPr="001119F0">
        <w:rPr>
          <w:rFonts w:asciiTheme="majorHAnsi" w:hAnsiTheme="majorHAnsi" w:cstheme="majorHAnsi"/>
        </w:rPr>
        <w:t xml:space="preserve">the importance of the issue to achieving target 16.2 on ending violence against children in the 2030 Sustainable Development Goals, </w:t>
      </w:r>
      <w:r w:rsidR="004D7A67" w:rsidRPr="001119F0">
        <w:rPr>
          <w:rFonts w:asciiTheme="majorHAnsi" w:hAnsiTheme="majorHAnsi" w:cstheme="majorHAnsi"/>
        </w:rPr>
        <w:t>w</w:t>
      </w:r>
      <w:r w:rsidR="004D7A67" w:rsidRPr="001119F0">
        <w:rPr>
          <w:rFonts w:asciiTheme="majorHAnsi" w:hAnsiTheme="majorHAnsi" w:cstheme="majorHAnsi"/>
          <w:iCs/>
        </w:rPr>
        <w:t>e hope the Committee on the Rights of</w:t>
      </w:r>
      <w:r w:rsidR="002B4503">
        <w:rPr>
          <w:rFonts w:asciiTheme="majorHAnsi" w:hAnsiTheme="majorHAnsi" w:cstheme="majorHAnsi"/>
          <w:iCs/>
        </w:rPr>
        <w:t xml:space="preserve"> Persons with Disabilities will </w:t>
      </w:r>
      <w:r w:rsidR="00E4774B" w:rsidRPr="001119F0">
        <w:rPr>
          <w:rFonts w:asciiTheme="majorHAnsi" w:hAnsiTheme="majorHAnsi" w:cstheme="majorHAnsi"/>
          <w:iCs/>
        </w:rPr>
        <w:t>recommend t</w:t>
      </w:r>
      <w:r w:rsidR="00B05968" w:rsidRPr="001119F0">
        <w:rPr>
          <w:rFonts w:asciiTheme="majorHAnsi" w:hAnsiTheme="majorHAnsi" w:cstheme="majorHAnsi"/>
          <w:iCs/>
        </w:rPr>
        <w:t xml:space="preserve">o the Government of </w:t>
      </w:r>
      <w:r w:rsidR="004672CE">
        <w:rPr>
          <w:rFonts w:asciiTheme="majorHAnsi" w:hAnsiTheme="majorHAnsi" w:cstheme="majorHAnsi"/>
          <w:iCs/>
        </w:rPr>
        <w:t>Senegal</w:t>
      </w:r>
      <w:r w:rsidR="007F7529" w:rsidRPr="001119F0">
        <w:rPr>
          <w:rFonts w:asciiTheme="majorHAnsi" w:hAnsiTheme="majorHAnsi" w:cstheme="majorHAnsi"/>
          <w:iCs/>
        </w:rPr>
        <w:t xml:space="preserve">, in the Committee’s concluding observations on the </w:t>
      </w:r>
      <w:r w:rsidR="00BC6C90" w:rsidRPr="001119F0">
        <w:rPr>
          <w:rFonts w:asciiTheme="majorHAnsi" w:hAnsiTheme="majorHAnsi" w:cstheme="majorHAnsi"/>
          <w:iCs/>
        </w:rPr>
        <w:t>initial</w:t>
      </w:r>
      <w:r w:rsidRPr="001119F0">
        <w:rPr>
          <w:rFonts w:asciiTheme="majorHAnsi" w:hAnsiTheme="majorHAnsi" w:cstheme="majorHAnsi"/>
          <w:iCs/>
        </w:rPr>
        <w:t xml:space="preserve"> report, that </w:t>
      </w:r>
      <w:r w:rsidR="00DC20AE" w:rsidRPr="001119F0">
        <w:rPr>
          <w:rFonts w:asciiTheme="majorHAnsi" w:hAnsiTheme="majorHAnsi" w:cstheme="majorHAnsi"/>
          <w:iCs/>
        </w:rPr>
        <w:t>“</w:t>
      </w:r>
      <w:r w:rsidR="004672CE">
        <w:rPr>
          <w:rFonts w:asciiTheme="majorHAnsi" w:hAnsiTheme="majorHAnsi" w:cstheme="majorHAnsi"/>
          <w:b/>
          <w:iCs/>
        </w:rPr>
        <w:t>legislation</w:t>
      </w:r>
      <w:r w:rsidR="002B4503">
        <w:rPr>
          <w:rFonts w:asciiTheme="majorHAnsi" w:hAnsiTheme="majorHAnsi" w:cstheme="majorHAnsi"/>
          <w:b/>
          <w:iCs/>
        </w:rPr>
        <w:t xml:space="preserve"> is</w:t>
      </w:r>
      <w:r w:rsidR="004672CE">
        <w:rPr>
          <w:rFonts w:asciiTheme="majorHAnsi" w:hAnsiTheme="majorHAnsi" w:cstheme="majorHAnsi"/>
          <w:b/>
          <w:iCs/>
        </w:rPr>
        <w:t xml:space="preserve"> drafted and</w:t>
      </w:r>
      <w:r w:rsidR="002B4503">
        <w:rPr>
          <w:rFonts w:asciiTheme="majorHAnsi" w:hAnsiTheme="majorHAnsi" w:cstheme="majorHAnsi"/>
          <w:b/>
          <w:iCs/>
        </w:rPr>
        <w:t xml:space="preserve"> enacted as a matter of priority to prohibit</w:t>
      </w:r>
      <w:r w:rsidR="00521973" w:rsidRPr="001119F0">
        <w:rPr>
          <w:rFonts w:asciiTheme="majorHAnsi" w:hAnsiTheme="majorHAnsi" w:cstheme="majorHAnsi"/>
          <w:b/>
          <w:iCs/>
        </w:rPr>
        <w:t xml:space="preserve"> all</w:t>
      </w:r>
      <w:r w:rsidR="00DF42D1" w:rsidRPr="001119F0">
        <w:rPr>
          <w:rFonts w:asciiTheme="majorHAnsi" w:hAnsiTheme="majorHAnsi" w:cstheme="majorHAnsi"/>
          <w:b/>
          <w:iCs/>
        </w:rPr>
        <w:t xml:space="preserve"> corporal punishment of children</w:t>
      </w:r>
      <w:r w:rsidR="00521973" w:rsidRPr="001119F0">
        <w:rPr>
          <w:rFonts w:asciiTheme="majorHAnsi" w:hAnsiTheme="majorHAnsi" w:cstheme="majorHAnsi"/>
          <w:b/>
          <w:iCs/>
        </w:rPr>
        <w:t>, however light</w:t>
      </w:r>
      <w:r w:rsidR="002810F1">
        <w:rPr>
          <w:rFonts w:asciiTheme="majorHAnsi" w:hAnsiTheme="majorHAnsi" w:cstheme="majorHAnsi"/>
          <w:b/>
          <w:iCs/>
        </w:rPr>
        <w:t xml:space="preserve"> and</w:t>
      </w:r>
      <w:r w:rsidR="00DF42D1" w:rsidRPr="001119F0">
        <w:rPr>
          <w:rFonts w:asciiTheme="majorHAnsi" w:hAnsiTheme="majorHAnsi" w:cstheme="majorHAnsi"/>
          <w:b/>
          <w:iCs/>
        </w:rPr>
        <w:t xml:space="preserve"> in all settings</w:t>
      </w:r>
      <w:r w:rsidR="00D27EAE">
        <w:rPr>
          <w:rFonts w:asciiTheme="majorHAnsi" w:hAnsiTheme="majorHAnsi" w:cstheme="majorHAnsi"/>
          <w:b/>
          <w:iCs/>
        </w:rPr>
        <w:t xml:space="preserve"> </w:t>
      </w:r>
      <w:r w:rsidR="002F528D">
        <w:rPr>
          <w:rFonts w:asciiTheme="majorHAnsi" w:hAnsiTheme="majorHAnsi" w:cstheme="majorHAnsi"/>
          <w:b/>
          <w:iCs/>
        </w:rPr>
        <w:t>including the home</w:t>
      </w:r>
      <w:r w:rsidR="00521973" w:rsidRPr="001119F0">
        <w:rPr>
          <w:rFonts w:asciiTheme="majorHAnsi" w:hAnsiTheme="majorHAnsi" w:cstheme="majorHAnsi"/>
          <w:b/>
          <w:iCs/>
        </w:rPr>
        <w:t xml:space="preserve">, </w:t>
      </w:r>
      <w:r w:rsidR="00963238" w:rsidRPr="001119F0">
        <w:rPr>
          <w:rFonts w:asciiTheme="majorHAnsi" w:hAnsiTheme="majorHAnsi" w:cstheme="majorHAnsi"/>
          <w:b/>
        </w:rPr>
        <w:t xml:space="preserve">and that measures are put in place to ensure the </w:t>
      </w:r>
      <w:r w:rsidR="002E2D70" w:rsidRPr="001119F0">
        <w:rPr>
          <w:rFonts w:asciiTheme="majorHAnsi" w:hAnsiTheme="majorHAnsi" w:cstheme="majorHAnsi"/>
          <w:b/>
        </w:rPr>
        <w:t>law</w:t>
      </w:r>
      <w:r w:rsidR="00963238" w:rsidRPr="001119F0">
        <w:rPr>
          <w:rFonts w:asciiTheme="majorHAnsi" w:hAnsiTheme="majorHAnsi" w:cstheme="majorHAnsi"/>
          <w:b/>
        </w:rPr>
        <w:t xml:space="preserve"> is properly implemented</w:t>
      </w:r>
      <w:r w:rsidR="00DC20AE" w:rsidRPr="001119F0">
        <w:rPr>
          <w:rFonts w:asciiTheme="majorHAnsi" w:hAnsiTheme="majorHAnsi" w:cstheme="majorHAnsi"/>
        </w:rPr>
        <w:t>”</w:t>
      </w:r>
      <w:r w:rsidRPr="001119F0">
        <w:rPr>
          <w:rFonts w:asciiTheme="majorHAnsi" w:hAnsiTheme="majorHAnsi" w:cstheme="majorHAnsi"/>
        </w:rPr>
        <w:t>.</w:t>
      </w:r>
    </w:p>
    <w:p w14:paraId="3FBF531E" w14:textId="77777777" w:rsidR="009D6E71" w:rsidRPr="001119F0" w:rsidRDefault="009D6E71" w:rsidP="007F7529">
      <w:pPr>
        <w:spacing w:after="120"/>
        <w:rPr>
          <w:rFonts w:asciiTheme="majorHAnsi" w:hAnsiTheme="majorHAnsi" w:cstheme="majorHAnsi"/>
        </w:rPr>
      </w:pPr>
    </w:p>
    <w:p w14:paraId="2E512E2A" w14:textId="77777777" w:rsidR="00106569" w:rsidRPr="001119F0" w:rsidRDefault="00106569">
      <w:pPr>
        <w:rPr>
          <w:rFonts w:asciiTheme="majorHAnsi" w:hAnsiTheme="majorHAnsi" w:cstheme="majorHAnsi"/>
          <w:b/>
          <w:sz w:val="26"/>
          <w:szCs w:val="26"/>
        </w:rPr>
      </w:pPr>
      <w:r w:rsidRPr="001119F0">
        <w:rPr>
          <w:rFonts w:asciiTheme="majorHAnsi" w:hAnsiTheme="majorHAnsi" w:cstheme="majorHAnsi"/>
          <w:b/>
          <w:sz w:val="26"/>
          <w:szCs w:val="26"/>
        </w:rPr>
        <w:br w:type="page"/>
      </w:r>
    </w:p>
    <w:p w14:paraId="1983D09B" w14:textId="28BE79BE" w:rsidR="007F7529" w:rsidRPr="001119F0" w:rsidRDefault="007F7529" w:rsidP="007F7529">
      <w:pPr>
        <w:spacing w:after="120"/>
        <w:rPr>
          <w:rFonts w:asciiTheme="majorHAnsi" w:hAnsiTheme="majorHAnsi" w:cstheme="majorHAnsi"/>
          <w:b/>
          <w:sz w:val="26"/>
          <w:szCs w:val="26"/>
        </w:rPr>
      </w:pPr>
      <w:r w:rsidRPr="001119F0">
        <w:rPr>
          <w:rFonts w:asciiTheme="majorHAnsi" w:hAnsiTheme="majorHAnsi" w:cstheme="majorHAnsi"/>
          <w:b/>
          <w:sz w:val="26"/>
          <w:szCs w:val="26"/>
        </w:rPr>
        <w:lastRenderedPageBreak/>
        <w:t>(c) Detailed briefing</w:t>
      </w:r>
    </w:p>
    <w:p w14:paraId="69A1F232" w14:textId="5815296A" w:rsidR="007F7529" w:rsidRPr="001119F0" w:rsidRDefault="007F7529" w:rsidP="007F7529">
      <w:pPr>
        <w:spacing w:after="120"/>
        <w:rPr>
          <w:rFonts w:asciiTheme="majorHAnsi" w:hAnsiTheme="majorHAnsi" w:cstheme="majorHAnsi"/>
          <w:b/>
          <w:sz w:val="26"/>
          <w:szCs w:val="26"/>
        </w:rPr>
      </w:pPr>
      <w:r w:rsidRPr="001119F0">
        <w:rPr>
          <w:rFonts w:asciiTheme="majorHAnsi" w:hAnsiTheme="majorHAnsi" w:cstheme="majorHAnsi"/>
          <w:b/>
          <w:sz w:val="26"/>
          <w:szCs w:val="26"/>
        </w:rPr>
        <w:t>The right of children with disabilities not to be subjected to corporal punishment</w:t>
      </w:r>
    </w:p>
    <w:p w14:paraId="4E1BFC9B" w14:textId="0210B05B" w:rsidR="006C166A" w:rsidRPr="001119F0" w:rsidRDefault="00833827" w:rsidP="00E511FD">
      <w:pPr>
        <w:spacing w:after="120"/>
        <w:rPr>
          <w:rFonts w:asciiTheme="majorHAnsi" w:hAnsiTheme="majorHAnsi" w:cstheme="majorHAnsi"/>
        </w:rPr>
      </w:pPr>
      <w:r w:rsidRPr="001119F0">
        <w:rPr>
          <w:rFonts w:asciiTheme="majorHAnsi" w:hAnsiTheme="majorHAnsi" w:cstheme="majorHAnsi"/>
        </w:rPr>
        <w:t>4</w:t>
      </w:r>
      <w:r w:rsidR="00E511FD" w:rsidRPr="001119F0">
        <w:rPr>
          <w:rFonts w:asciiTheme="majorHAnsi" w:hAnsiTheme="majorHAnsi" w:cstheme="majorHAnsi"/>
        </w:rPr>
        <w:t xml:space="preserve">. </w:t>
      </w:r>
      <w:r w:rsidR="007F7529" w:rsidRPr="001119F0">
        <w:rPr>
          <w:rFonts w:asciiTheme="majorHAnsi" w:hAnsiTheme="majorHAnsi" w:cstheme="majorHAnsi"/>
        </w:rPr>
        <w:t xml:space="preserve">The Convention on the Rights of Persons with Disabilities confirms that children with disabilities should enjoy all human rights and fundamental freedoms on an equal basis with other children (art. 7). The Convention also states that all persons have the rights to freedom from torture or cruel, inhuman or degrading treatment or punishment (art. 15), to freedom from exploitation, violence and abuse within and outside the home (art. 16) and to respect for their physical and mental integrity (art. 17). The jurisprudence of treaty monitoring bodies, led by the Committee on the Rights of the Child monitoring the Convention on the Rights of the Child, is clear that these rights put an obligation on states parties to prohibit and eliminate all corporal punishment of children, including within the family. </w:t>
      </w:r>
      <w:r w:rsidR="001B2F6E">
        <w:rPr>
          <w:rFonts w:asciiTheme="majorHAnsi" w:hAnsiTheme="majorHAnsi" w:cstheme="majorHAnsi"/>
        </w:rPr>
        <w:t>Despite this obligation</w:t>
      </w:r>
      <w:r w:rsidR="001B2F6E" w:rsidRPr="00D27EAE">
        <w:rPr>
          <w:rFonts w:asciiTheme="majorHAnsi" w:hAnsiTheme="majorHAnsi" w:cstheme="majorHAnsi"/>
        </w:rPr>
        <w:t xml:space="preserve">, </w:t>
      </w:r>
      <w:r w:rsidR="00505457">
        <w:rPr>
          <w:rFonts w:asciiTheme="majorHAnsi" w:hAnsiTheme="majorHAnsi" w:cstheme="majorHAnsi"/>
        </w:rPr>
        <w:t>Senegal’s</w:t>
      </w:r>
      <w:r w:rsidR="001B2F6E" w:rsidRPr="00D27EAE">
        <w:rPr>
          <w:rFonts w:asciiTheme="majorHAnsi" w:hAnsiTheme="majorHAnsi" w:cstheme="majorHAnsi"/>
        </w:rPr>
        <w:t xml:space="preserve"> initial state report does not address corporal punishment of children.</w:t>
      </w:r>
    </w:p>
    <w:p w14:paraId="7D5B40EB" w14:textId="39FEEE47" w:rsidR="007F7529" w:rsidRPr="001119F0" w:rsidRDefault="00833827" w:rsidP="00E511FD">
      <w:pPr>
        <w:spacing w:after="120"/>
        <w:rPr>
          <w:rFonts w:asciiTheme="majorHAnsi" w:hAnsiTheme="majorHAnsi" w:cstheme="majorHAnsi"/>
        </w:rPr>
      </w:pPr>
      <w:r w:rsidRPr="001119F0">
        <w:rPr>
          <w:rFonts w:asciiTheme="majorHAnsi" w:hAnsiTheme="majorHAnsi" w:cstheme="majorHAnsi"/>
        </w:rPr>
        <w:t>5</w:t>
      </w:r>
      <w:r w:rsidR="00E511FD" w:rsidRPr="001119F0">
        <w:rPr>
          <w:rFonts w:asciiTheme="majorHAnsi" w:hAnsiTheme="majorHAnsi" w:cstheme="majorHAnsi"/>
        </w:rPr>
        <w:t xml:space="preserve">. </w:t>
      </w:r>
      <w:r w:rsidR="007F7529" w:rsidRPr="001119F0">
        <w:rPr>
          <w:rFonts w:asciiTheme="majorHAnsi" w:hAnsiTheme="majorHAnsi" w:cstheme="majorHAnsi"/>
        </w:rPr>
        <w:t>As confirmed in the UN Secretary General’s Study on Violence against Children, children with disabilities are particularly vulnerable to violence, including corporal punishment, and corporal punishment is a significant cause of impairment among children.</w:t>
      </w:r>
      <w:r w:rsidR="007F7529" w:rsidRPr="001119F0">
        <w:rPr>
          <w:rStyle w:val="FootnoteReference"/>
          <w:rFonts w:asciiTheme="majorHAnsi" w:hAnsiTheme="majorHAnsi" w:cstheme="majorHAnsi"/>
        </w:rPr>
        <w:footnoteReference w:id="1"/>
      </w:r>
      <w:r w:rsidR="007F7529" w:rsidRPr="001119F0">
        <w:rPr>
          <w:rFonts w:asciiTheme="majorHAnsi" w:hAnsiTheme="majorHAnsi" w:cstheme="majorHAnsi"/>
        </w:rPr>
        <w:t xml:space="preserve"> Yet the obligation to prohibit corporal punishment is frequently ignored or evaded by governments. The near universal acceptance of violence in childrearing together with deeply held views that parents and other adults have a “right” to physically punish children can challenge efforts to achieve prohibition. It also means that corporal punishment – at least to some degree – is not readily perceived as </w:t>
      </w:r>
      <w:r w:rsidR="00BC6C90" w:rsidRPr="001119F0">
        <w:rPr>
          <w:rFonts w:asciiTheme="majorHAnsi" w:hAnsiTheme="majorHAnsi" w:cstheme="majorHAnsi"/>
        </w:rPr>
        <w:t>violence</w:t>
      </w:r>
      <w:r w:rsidR="007F7529" w:rsidRPr="001119F0">
        <w:rPr>
          <w:rFonts w:asciiTheme="majorHAnsi" w:hAnsiTheme="majorHAnsi" w:cstheme="majorHAnsi"/>
        </w:rPr>
        <w:t xml:space="preserve"> in the same way as, for example, sexual and other socially unacceptable forms of </w:t>
      </w:r>
      <w:r w:rsidR="00E511FD" w:rsidRPr="001119F0">
        <w:rPr>
          <w:rFonts w:asciiTheme="majorHAnsi" w:hAnsiTheme="majorHAnsi" w:cstheme="majorHAnsi"/>
        </w:rPr>
        <w:t>violence.</w:t>
      </w:r>
    </w:p>
    <w:p w14:paraId="111ED3CA" w14:textId="75FB3DDE" w:rsidR="005B31F1" w:rsidRPr="001119F0" w:rsidRDefault="00833827" w:rsidP="00E511FD">
      <w:pPr>
        <w:spacing w:after="120"/>
        <w:rPr>
          <w:rFonts w:asciiTheme="majorHAnsi" w:hAnsiTheme="majorHAnsi" w:cstheme="majorHAnsi"/>
        </w:rPr>
      </w:pPr>
      <w:r w:rsidRPr="001119F0">
        <w:rPr>
          <w:rFonts w:asciiTheme="majorHAnsi" w:hAnsiTheme="majorHAnsi" w:cstheme="majorHAnsi"/>
        </w:rPr>
        <w:lastRenderedPageBreak/>
        <w:t>6</w:t>
      </w:r>
      <w:r w:rsidR="00E511FD" w:rsidRPr="001119F0">
        <w:rPr>
          <w:rFonts w:asciiTheme="majorHAnsi" w:hAnsiTheme="majorHAnsi" w:cstheme="majorHAnsi"/>
        </w:rPr>
        <w:t xml:space="preserve">. The </w:t>
      </w:r>
      <w:r w:rsidR="004866EF">
        <w:rPr>
          <w:rFonts w:asciiTheme="majorHAnsi" w:hAnsiTheme="majorHAnsi" w:cstheme="majorHAnsi"/>
        </w:rPr>
        <w:t>2030</w:t>
      </w:r>
      <w:r w:rsidR="00E511FD" w:rsidRPr="001119F0">
        <w:rPr>
          <w:rFonts w:asciiTheme="majorHAnsi" w:hAnsiTheme="majorHAnsi" w:cstheme="majorHAnsi"/>
        </w:rPr>
        <w:t xml:space="preserve"> Sustainable Development Goals include target 16.2 on ending all forms of violence against children. Violent punishment is the most common form of violence against children: ending it through the adoption and implementation of </w:t>
      </w:r>
      <w:r w:rsidRPr="001119F0">
        <w:rPr>
          <w:rFonts w:asciiTheme="majorHAnsi" w:hAnsiTheme="majorHAnsi" w:cstheme="majorHAnsi"/>
        </w:rPr>
        <w:t>legislation</w:t>
      </w:r>
      <w:r w:rsidR="00E511FD" w:rsidRPr="001119F0">
        <w:rPr>
          <w:rFonts w:asciiTheme="majorHAnsi" w:hAnsiTheme="majorHAnsi" w:cstheme="majorHAnsi"/>
        </w:rPr>
        <w:t xml:space="preserve"> prohibiting it in all settings including the home is critical. </w:t>
      </w:r>
    </w:p>
    <w:p w14:paraId="7CCE9FC2" w14:textId="77777777" w:rsidR="007F7529" w:rsidRPr="001119F0" w:rsidRDefault="007F7529" w:rsidP="007F7529">
      <w:pPr>
        <w:autoSpaceDE w:val="0"/>
        <w:autoSpaceDN w:val="0"/>
        <w:adjustRightInd w:val="0"/>
        <w:spacing w:after="120"/>
        <w:rPr>
          <w:rFonts w:asciiTheme="majorHAnsi" w:hAnsiTheme="majorHAnsi" w:cstheme="majorHAnsi"/>
          <w:b/>
          <w:sz w:val="26"/>
          <w:szCs w:val="26"/>
        </w:rPr>
      </w:pPr>
    </w:p>
    <w:p w14:paraId="1DD3CA84" w14:textId="5ADFAFA0" w:rsidR="007F7529" w:rsidRPr="001119F0" w:rsidRDefault="00683188" w:rsidP="007F7529">
      <w:pPr>
        <w:pStyle w:val="Heading2"/>
        <w:spacing w:after="120"/>
        <w:rPr>
          <w:rFonts w:asciiTheme="majorHAnsi" w:hAnsiTheme="majorHAnsi" w:cstheme="majorHAnsi"/>
          <w:sz w:val="26"/>
          <w:szCs w:val="26"/>
          <w:lang w:val="en-GB"/>
        </w:rPr>
      </w:pPr>
      <w:r w:rsidRPr="001119F0">
        <w:rPr>
          <w:rFonts w:asciiTheme="majorHAnsi" w:hAnsiTheme="majorHAnsi" w:cstheme="majorHAnsi"/>
          <w:sz w:val="26"/>
          <w:szCs w:val="26"/>
        </w:rPr>
        <w:t>The l</w:t>
      </w:r>
      <w:r w:rsidR="007F7529" w:rsidRPr="001119F0">
        <w:rPr>
          <w:rFonts w:asciiTheme="majorHAnsi" w:hAnsiTheme="majorHAnsi" w:cstheme="majorHAnsi"/>
          <w:sz w:val="26"/>
          <w:szCs w:val="26"/>
        </w:rPr>
        <w:t xml:space="preserve">egality of corporal punishment of children with disabilities in </w:t>
      </w:r>
      <w:r w:rsidR="00505457">
        <w:rPr>
          <w:rFonts w:asciiTheme="majorHAnsi" w:hAnsiTheme="majorHAnsi" w:cstheme="majorHAnsi"/>
          <w:sz w:val="26"/>
          <w:szCs w:val="26"/>
          <w:lang w:val="en-GB"/>
        </w:rPr>
        <w:t>Senegal</w:t>
      </w:r>
    </w:p>
    <w:p w14:paraId="610CF94D" w14:textId="5AC725CF" w:rsidR="007F7529" w:rsidRPr="001119F0" w:rsidRDefault="00833827" w:rsidP="00BC6C90">
      <w:pPr>
        <w:autoSpaceDE w:val="0"/>
        <w:autoSpaceDN w:val="0"/>
        <w:adjustRightInd w:val="0"/>
        <w:spacing w:after="120"/>
        <w:rPr>
          <w:rFonts w:asciiTheme="majorHAnsi" w:hAnsiTheme="majorHAnsi" w:cstheme="majorHAnsi"/>
        </w:rPr>
      </w:pPr>
      <w:r w:rsidRPr="001119F0">
        <w:rPr>
          <w:rFonts w:asciiTheme="majorHAnsi" w:hAnsiTheme="majorHAnsi" w:cstheme="majorHAnsi"/>
        </w:rPr>
        <w:t>7</w:t>
      </w:r>
      <w:r w:rsidR="00BC6C90" w:rsidRPr="001119F0">
        <w:rPr>
          <w:rFonts w:asciiTheme="majorHAnsi" w:hAnsiTheme="majorHAnsi" w:cstheme="majorHAnsi"/>
        </w:rPr>
        <w:t xml:space="preserve">. </w:t>
      </w:r>
      <w:r w:rsidR="00126D81" w:rsidRPr="001119F0">
        <w:rPr>
          <w:rFonts w:asciiTheme="majorHAnsi" w:hAnsiTheme="majorHAnsi" w:cstheme="majorHAnsi"/>
        </w:rPr>
        <w:t xml:space="preserve">In </w:t>
      </w:r>
      <w:r w:rsidR="004672CE">
        <w:rPr>
          <w:rFonts w:asciiTheme="majorHAnsi" w:hAnsiTheme="majorHAnsi" w:cstheme="majorHAnsi"/>
        </w:rPr>
        <w:t>Senegal</w:t>
      </w:r>
      <w:r w:rsidR="004866EF" w:rsidRPr="004866EF">
        <w:rPr>
          <w:rFonts w:asciiTheme="majorHAnsi" w:hAnsiTheme="majorHAnsi" w:cstheme="majorHAnsi"/>
        </w:rPr>
        <w:t xml:space="preserve">, corporal punishment of children is </w:t>
      </w:r>
      <w:r w:rsidR="004672CE">
        <w:rPr>
          <w:rFonts w:asciiTheme="majorHAnsi" w:hAnsiTheme="majorHAnsi" w:cstheme="majorHAnsi"/>
        </w:rPr>
        <w:t xml:space="preserve">prohibited in schools for children aged 6-14, in penal institutions and </w:t>
      </w:r>
      <w:r w:rsidR="002B4503">
        <w:rPr>
          <w:rFonts w:asciiTheme="majorHAnsi" w:hAnsiTheme="majorHAnsi" w:cstheme="majorHAnsi"/>
        </w:rPr>
        <w:t>as a sentence for a crime</w:t>
      </w:r>
      <w:r w:rsidR="00284C98">
        <w:rPr>
          <w:rFonts w:asciiTheme="majorHAnsi" w:hAnsiTheme="majorHAnsi" w:cstheme="majorHAnsi"/>
        </w:rPr>
        <w:t xml:space="preserve"> but it </w:t>
      </w:r>
      <w:r w:rsidR="004866EF" w:rsidRPr="004866EF">
        <w:rPr>
          <w:rFonts w:asciiTheme="majorHAnsi" w:hAnsiTheme="majorHAnsi" w:cstheme="majorHAnsi"/>
        </w:rPr>
        <w:t xml:space="preserve">is still lawful in </w:t>
      </w:r>
      <w:r w:rsidR="004672CE">
        <w:rPr>
          <w:rFonts w:asciiTheme="majorHAnsi" w:hAnsiTheme="majorHAnsi" w:cstheme="majorHAnsi"/>
        </w:rPr>
        <w:t xml:space="preserve">the home, </w:t>
      </w:r>
      <w:r w:rsidR="002B4503">
        <w:rPr>
          <w:rFonts w:asciiTheme="majorHAnsi" w:hAnsiTheme="majorHAnsi" w:cstheme="majorHAnsi"/>
        </w:rPr>
        <w:t xml:space="preserve">in alternative care </w:t>
      </w:r>
      <w:r w:rsidR="004672CE">
        <w:rPr>
          <w:rFonts w:asciiTheme="majorHAnsi" w:hAnsiTheme="majorHAnsi" w:cstheme="majorHAnsi"/>
        </w:rPr>
        <w:t>and day care settings and in all other schools</w:t>
      </w:r>
      <w:r w:rsidR="002B4503">
        <w:rPr>
          <w:rFonts w:asciiTheme="majorHAnsi" w:hAnsiTheme="majorHAnsi" w:cstheme="majorHAnsi"/>
        </w:rPr>
        <w:t>.</w:t>
      </w:r>
    </w:p>
    <w:p w14:paraId="697DD4E6" w14:textId="7F8F8BD2" w:rsidR="008222FD" w:rsidRPr="008222FD" w:rsidRDefault="00620321" w:rsidP="008222FD">
      <w:pPr>
        <w:autoSpaceDE w:val="0"/>
        <w:autoSpaceDN w:val="0"/>
        <w:adjustRightInd w:val="0"/>
        <w:spacing w:after="120"/>
        <w:rPr>
          <w:rFonts w:asciiTheme="majorHAnsi" w:hAnsiTheme="majorHAnsi" w:cstheme="majorHAnsi"/>
          <w:iCs/>
        </w:rPr>
      </w:pPr>
      <w:r w:rsidRPr="001119F0">
        <w:rPr>
          <w:rFonts w:asciiTheme="majorHAnsi" w:hAnsiTheme="majorHAnsi" w:cstheme="majorHAnsi"/>
        </w:rPr>
        <w:t xml:space="preserve">8. </w:t>
      </w:r>
      <w:r w:rsidRPr="001119F0">
        <w:rPr>
          <w:rFonts w:asciiTheme="majorHAnsi" w:hAnsiTheme="majorHAnsi" w:cstheme="majorHAnsi"/>
          <w:i/>
        </w:rPr>
        <w:t>Corporal punishment is lawful in the home</w:t>
      </w:r>
      <w:r w:rsidR="00492E23" w:rsidRPr="00492E23">
        <w:rPr>
          <w:rFonts w:asciiTheme="majorHAnsi" w:hAnsiTheme="majorHAnsi" w:cstheme="majorHAnsi"/>
          <w:iCs/>
        </w:rPr>
        <w:t>.</w:t>
      </w:r>
      <w:r w:rsidR="004672CE">
        <w:rPr>
          <w:rFonts w:asciiTheme="majorHAnsi" w:hAnsiTheme="majorHAnsi" w:cstheme="majorHAnsi"/>
          <w:iCs/>
        </w:rPr>
        <w:t xml:space="preserve"> </w:t>
      </w:r>
      <w:r w:rsidR="008222FD" w:rsidRPr="008222FD">
        <w:rPr>
          <w:rFonts w:asciiTheme="majorHAnsi" w:hAnsiTheme="majorHAnsi" w:cstheme="majorHAnsi"/>
          <w:iCs/>
        </w:rPr>
        <w:t>Article 285 of the Family Code provides for persons with paternal authority to have a “right of correction” over children: “He that exercises paternal power can inflict on children reprimands and corrections to the extent that they are consistent with the child’s age and the improvement of his conduct” (unofficial translation). According to articles 277 and 281, paternal power is exercised by the father only or alternatively by the mother.</w:t>
      </w:r>
      <w:r w:rsidR="004672CE">
        <w:rPr>
          <w:rFonts w:asciiTheme="majorHAnsi" w:hAnsiTheme="majorHAnsi" w:cstheme="majorHAnsi"/>
          <w:iCs/>
        </w:rPr>
        <w:t xml:space="preserve"> </w:t>
      </w:r>
      <w:r w:rsidR="008222FD" w:rsidRPr="008222FD">
        <w:rPr>
          <w:rFonts w:asciiTheme="majorHAnsi" w:hAnsiTheme="majorHAnsi" w:cstheme="majorHAnsi"/>
          <w:iCs/>
        </w:rPr>
        <w:t>Articles 298 and 299 of the Criminal Code 1977 (amended 2016) punish the causing of injury to a child under 15 and the use of violence and assault, the punishments being more severe if the perpetrator is a parent or other person with authority over or custody of the child. However, this protects children only from punishment of some severity – i.e. that which is perceived to cause injury. Corporal punishment that does not appear to cause physical injury is lawful under the above-mentioned “right of correction in the Family Code”.</w:t>
      </w:r>
    </w:p>
    <w:p w14:paraId="1B5D6C06" w14:textId="6DCEF0C0" w:rsidR="008222FD" w:rsidRPr="008222FD" w:rsidRDefault="004672CE" w:rsidP="008222FD">
      <w:pPr>
        <w:autoSpaceDE w:val="0"/>
        <w:autoSpaceDN w:val="0"/>
        <w:adjustRightInd w:val="0"/>
        <w:spacing w:after="120"/>
        <w:rPr>
          <w:rFonts w:asciiTheme="majorHAnsi" w:hAnsiTheme="majorHAnsi" w:cstheme="majorHAnsi"/>
          <w:iCs/>
        </w:rPr>
      </w:pPr>
      <w:r>
        <w:rPr>
          <w:rFonts w:asciiTheme="majorHAnsi" w:hAnsiTheme="majorHAnsi" w:cstheme="majorHAnsi"/>
          <w:iCs/>
        </w:rPr>
        <w:lastRenderedPageBreak/>
        <w:t xml:space="preserve">9. </w:t>
      </w:r>
      <w:r w:rsidR="008222FD" w:rsidRPr="008222FD">
        <w:rPr>
          <w:rFonts w:asciiTheme="majorHAnsi" w:hAnsiTheme="majorHAnsi" w:cstheme="majorHAnsi"/>
          <w:iCs/>
        </w:rPr>
        <w:t>In its report to the Committee on the Rights of the Child, dated 2012, the Government referred to a National Plan of Action on Law Reform to Criminal Corporal Punishment and All Forms of Violence Against Children.</w:t>
      </w:r>
      <w:r w:rsidR="008222FD" w:rsidRPr="008222FD">
        <w:rPr>
          <w:rFonts w:asciiTheme="majorHAnsi" w:hAnsiTheme="majorHAnsi" w:cstheme="majorHAnsi"/>
          <w:iCs/>
          <w:vertAlign w:val="superscript"/>
        </w:rPr>
        <w:footnoteReference w:id="2"/>
      </w:r>
      <w:r w:rsidR="008222FD" w:rsidRPr="008222FD">
        <w:rPr>
          <w:rFonts w:asciiTheme="majorHAnsi" w:hAnsiTheme="majorHAnsi" w:cstheme="majorHAnsi"/>
          <w:iCs/>
        </w:rPr>
        <w:t xml:space="preserve"> In reporting on the protection of children from corporal punishment to the Universal Periodic Review (UPR) in 2013, the Government again stated that it had devised “a national action plan on legal reform to criminalize corporal punishment and all forms of violence against children”.</w:t>
      </w:r>
      <w:r w:rsidR="008222FD" w:rsidRPr="008222FD">
        <w:rPr>
          <w:rFonts w:asciiTheme="majorHAnsi" w:hAnsiTheme="majorHAnsi" w:cstheme="majorHAnsi"/>
          <w:iCs/>
          <w:vertAlign w:val="superscript"/>
        </w:rPr>
        <w:footnoteReference w:id="3"/>
      </w:r>
      <w:r w:rsidR="008222FD" w:rsidRPr="008222FD">
        <w:rPr>
          <w:rFonts w:asciiTheme="majorHAnsi" w:hAnsiTheme="majorHAnsi" w:cstheme="majorHAnsi"/>
          <w:iCs/>
        </w:rPr>
        <w:t xml:space="preserve"> However, following the review itself, a recommendation to explicitly prohibit corporal punishment by revising the Family Code was recorded – and accepted by the Government – only as a recommendation to fight against corporal punishment.</w:t>
      </w:r>
      <w:r w:rsidR="008222FD" w:rsidRPr="008222FD">
        <w:rPr>
          <w:rFonts w:asciiTheme="majorHAnsi" w:hAnsiTheme="majorHAnsi" w:cstheme="majorHAnsi"/>
          <w:iCs/>
          <w:vertAlign w:val="superscript"/>
        </w:rPr>
        <w:footnoteReference w:id="4"/>
      </w:r>
      <w:r w:rsidR="008222FD" w:rsidRPr="008222FD">
        <w:rPr>
          <w:rFonts w:asciiTheme="majorHAnsi" w:hAnsiTheme="majorHAnsi" w:cstheme="majorHAnsi"/>
          <w:iCs/>
        </w:rPr>
        <w:t xml:space="preserve"> In the context of examination by the Committee on the Elimination of Discrimination Against Women in 2015, the Government was asked if it envisaged amending article 285 of the Family Code in order to prohibit corporal punishment in the home.</w:t>
      </w:r>
      <w:r w:rsidR="008222FD" w:rsidRPr="008222FD">
        <w:rPr>
          <w:rFonts w:asciiTheme="majorHAnsi" w:hAnsiTheme="majorHAnsi" w:cstheme="majorHAnsi"/>
          <w:iCs/>
          <w:vertAlign w:val="superscript"/>
        </w:rPr>
        <w:footnoteReference w:id="5"/>
      </w:r>
      <w:r w:rsidR="008222FD" w:rsidRPr="008222FD">
        <w:rPr>
          <w:rFonts w:asciiTheme="majorHAnsi" w:hAnsiTheme="majorHAnsi" w:cstheme="majorHAnsi"/>
          <w:iCs/>
        </w:rPr>
        <w:t xml:space="preserve"> In reply, the Government stated that there are severe penalties for acts of corporal punishment and that the social departments of the Ministry of Justice have powers to propose measures aimed at protecting child victims of corporal punishment.</w:t>
      </w:r>
      <w:r w:rsidR="008222FD" w:rsidRPr="008222FD">
        <w:rPr>
          <w:rFonts w:asciiTheme="majorHAnsi" w:hAnsiTheme="majorHAnsi" w:cstheme="majorHAnsi"/>
          <w:iCs/>
          <w:vertAlign w:val="superscript"/>
        </w:rPr>
        <w:footnoteReference w:id="6"/>
      </w:r>
      <w:r w:rsidR="008222FD" w:rsidRPr="008222FD">
        <w:rPr>
          <w:rFonts w:asciiTheme="majorHAnsi" w:hAnsiTheme="majorHAnsi" w:cstheme="majorHAnsi"/>
          <w:iCs/>
        </w:rPr>
        <w:t xml:space="preserve"> In 2018 in responding to Universal Periodic Review recommendations to repeal article 285 of the Family Code, the Government took an unclear stance, supporting one and noting the other.</w:t>
      </w:r>
      <w:r w:rsidR="008222FD" w:rsidRPr="008222FD">
        <w:rPr>
          <w:rFonts w:asciiTheme="majorHAnsi" w:hAnsiTheme="majorHAnsi" w:cstheme="majorHAnsi"/>
          <w:iCs/>
          <w:vertAlign w:val="superscript"/>
        </w:rPr>
        <w:footnoteReference w:id="7"/>
      </w:r>
    </w:p>
    <w:p w14:paraId="6A05EE4E" w14:textId="7EAA118D" w:rsidR="008222FD" w:rsidRPr="008222FD" w:rsidRDefault="004672CE" w:rsidP="008222FD">
      <w:pPr>
        <w:autoSpaceDE w:val="0"/>
        <w:autoSpaceDN w:val="0"/>
        <w:adjustRightInd w:val="0"/>
        <w:spacing w:after="120"/>
        <w:rPr>
          <w:rFonts w:asciiTheme="majorHAnsi" w:hAnsiTheme="majorHAnsi" w:cstheme="majorHAnsi"/>
          <w:iCs/>
        </w:rPr>
      </w:pPr>
      <w:r>
        <w:rPr>
          <w:rFonts w:asciiTheme="majorHAnsi" w:hAnsiTheme="majorHAnsi" w:cstheme="majorHAnsi"/>
          <w:iCs/>
        </w:rPr>
        <w:t xml:space="preserve">10. </w:t>
      </w:r>
      <w:r w:rsidR="008222FD" w:rsidRPr="008222FD">
        <w:rPr>
          <w:rFonts w:asciiTheme="majorHAnsi" w:hAnsiTheme="majorHAnsi" w:cstheme="majorHAnsi"/>
          <w:iCs/>
        </w:rPr>
        <w:t xml:space="preserve">In reporting for examination by the Committee on the Rights of the Child in January 2016, the Government stated that “provisions have been made in the Children’s Code </w:t>
      </w:r>
      <w:r w:rsidR="008222FD" w:rsidRPr="008222FD">
        <w:rPr>
          <w:rFonts w:asciiTheme="majorHAnsi" w:hAnsiTheme="majorHAnsi" w:cstheme="majorHAnsi"/>
          <w:iCs/>
        </w:rPr>
        <w:lastRenderedPageBreak/>
        <w:t>project to make effective the prohibition of corporal punishment, even within the family”.</w:t>
      </w:r>
      <w:r w:rsidR="008222FD" w:rsidRPr="008222FD">
        <w:rPr>
          <w:rFonts w:asciiTheme="majorHAnsi" w:hAnsiTheme="majorHAnsi" w:cstheme="majorHAnsi"/>
          <w:iCs/>
          <w:vertAlign w:val="superscript"/>
        </w:rPr>
        <w:footnoteReference w:id="8"/>
      </w:r>
      <w:r w:rsidR="008222FD" w:rsidRPr="008222FD">
        <w:rPr>
          <w:rFonts w:asciiTheme="majorHAnsi" w:hAnsiTheme="majorHAnsi" w:cstheme="majorHAnsi"/>
          <w:iCs/>
        </w:rPr>
        <w:t xml:space="preserve"> The draft Code does include provisions intended to prohibit corporal punishment (articles 14 and 45), but as at March 2016 the draft does not explicitly repeal the “right of correction” in the Family Code. In February 2017, the Government reported that it planned “to expressly delete article 285 of the Family Code on forms of corporal punishment tolerated within the family”.</w:t>
      </w:r>
      <w:r w:rsidR="008222FD" w:rsidRPr="008222FD">
        <w:rPr>
          <w:rFonts w:asciiTheme="majorHAnsi" w:hAnsiTheme="majorHAnsi" w:cstheme="majorHAnsi"/>
          <w:iCs/>
          <w:vertAlign w:val="superscript"/>
        </w:rPr>
        <w:footnoteReference w:id="9"/>
      </w:r>
      <w:r w:rsidR="008222FD" w:rsidRPr="008222FD">
        <w:rPr>
          <w:rFonts w:asciiTheme="majorHAnsi" w:hAnsiTheme="majorHAnsi" w:cstheme="majorHAnsi"/>
          <w:iCs/>
        </w:rPr>
        <w:t xml:space="preserve"> But as at May 2017, there seemed to be no formal plans to repeal the “right of correction”, and the legislative process had stalled due to the inclusion of controversial inheritance provisions.</w:t>
      </w:r>
      <w:r w:rsidR="008222FD" w:rsidRPr="008222FD">
        <w:rPr>
          <w:rFonts w:asciiTheme="majorHAnsi" w:hAnsiTheme="majorHAnsi" w:cstheme="majorHAnsi"/>
          <w:iCs/>
          <w:vertAlign w:val="superscript"/>
        </w:rPr>
        <w:footnoteReference w:id="10"/>
      </w:r>
      <w:r w:rsidR="008222FD" w:rsidRPr="008222FD">
        <w:rPr>
          <w:rFonts w:asciiTheme="majorHAnsi" w:hAnsiTheme="majorHAnsi" w:cstheme="majorHAnsi"/>
          <w:iCs/>
        </w:rPr>
        <w:t xml:space="preserve"> Work has resumed on drafting the final version of the Children’s Code, with the aim to introduce it to Parliament by the end of 2018.</w:t>
      </w:r>
      <w:r w:rsidR="008222FD" w:rsidRPr="008222FD">
        <w:rPr>
          <w:rFonts w:asciiTheme="majorHAnsi" w:hAnsiTheme="majorHAnsi" w:cstheme="majorHAnsi"/>
          <w:iCs/>
          <w:vertAlign w:val="superscript"/>
        </w:rPr>
        <w:footnoteReference w:id="11"/>
      </w:r>
    </w:p>
    <w:p w14:paraId="136DE011" w14:textId="77777777" w:rsidR="008222FD" w:rsidRPr="008222FD" w:rsidRDefault="00B8457E" w:rsidP="008222FD">
      <w:pPr>
        <w:autoSpaceDE w:val="0"/>
        <w:autoSpaceDN w:val="0"/>
        <w:adjustRightInd w:val="0"/>
        <w:spacing w:after="120"/>
        <w:rPr>
          <w:rFonts w:asciiTheme="majorHAnsi" w:hAnsiTheme="majorHAnsi" w:cstheme="majorHAnsi"/>
        </w:rPr>
      </w:pPr>
      <w:r>
        <w:rPr>
          <w:rFonts w:asciiTheme="majorHAnsi" w:hAnsiTheme="majorHAnsi" w:cstheme="majorHAnsi"/>
        </w:rPr>
        <w:t>11</w:t>
      </w:r>
      <w:r w:rsidR="00620321" w:rsidRPr="001119F0">
        <w:rPr>
          <w:rFonts w:asciiTheme="majorHAnsi" w:hAnsiTheme="majorHAnsi" w:cstheme="majorHAnsi"/>
        </w:rPr>
        <w:t xml:space="preserve">. </w:t>
      </w:r>
      <w:r w:rsidR="00620321" w:rsidRPr="001119F0">
        <w:rPr>
          <w:rFonts w:asciiTheme="majorHAnsi" w:hAnsiTheme="majorHAnsi" w:cstheme="majorHAnsi"/>
          <w:i/>
        </w:rPr>
        <w:t xml:space="preserve">Corporal punishment is </w:t>
      </w:r>
      <w:r w:rsidR="00312D2C" w:rsidRPr="005832BA">
        <w:rPr>
          <w:rFonts w:asciiTheme="majorHAnsi" w:hAnsiTheme="majorHAnsi" w:cstheme="majorHAnsi"/>
          <w:i/>
        </w:rPr>
        <w:t>lawful in alternative care settings</w:t>
      </w:r>
      <w:r w:rsidR="00312D2C" w:rsidRPr="00312D2C">
        <w:rPr>
          <w:rFonts w:asciiTheme="majorHAnsi" w:hAnsiTheme="majorHAnsi" w:cstheme="majorHAnsi"/>
        </w:rPr>
        <w:t xml:space="preserve">. </w:t>
      </w:r>
      <w:r w:rsidR="008222FD" w:rsidRPr="008222FD">
        <w:rPr>
          <w:rFonts w:asciiTheme="majorHAnsi" w:hAnsiTheme="majorHAnsi" w:cstheme="majorHAnsi"/>
        </w:rPr>
        <w:t>There is no explicit prohibition of corporal punishment in alternative care settings. It is unclear whether the “right of correction” under article 285 of the Family Code 1989 can be transferred to persons caring for a child in alternative care settings.</w:t>
      </w:r>
    </w:p>
    <w:p w14:paraId="5187E0B8" w14:textId="77777777" w:rsidR="008222FD" w:rsidRPr="008222FD" w:rsidRDefault="00D63AA6" w:rsidP="008222FD">
      <w:pPr>
        <w:autoSpaceDE w:val="0"/>
        <w:autoSpaceDN w:val="0"/>
        <w:adjustRightInd w:val="0"/>
        <w:spacing w:after="120"/>
        <w:rPr>
          <w:rFonts w:asciiTheme="majorHAnsi" w:hAnsiTheme="majorHAnsi" w:cstheme="majorHAnsi"/>
        </w:rPr>
      </w:pPr>
      <w:r w:rsidRPr="001119F0">
        <w:rPr>
          <w:rFonts w:asciiTheme="majorHAnsi" w:hAnsiTheme="majorHAnsi" w:cstheme="majorHAnsi"/>
        </w:rPr>
        <w:t>1</w:t>
      </w:r>
      <w:r w:rsidR="00B8457E">
        <w:rPr>
          <w:rFonts w:asciiTheme="majorHAnsi" w:hAnsiTheme="majorHAnsi" w:cstheme="majorHAnsi"/>
        </w:rPr>
        <w:t>2</w:t>
      </w:r>
      <w:r w:rsidRPr="001119F0">
        <w:rPr>
          <w:rFonts w:asciiTheme="majorHAnsi" w:hAnsiTheme="majorHAnsi" w:cstheme="majorHAnsi"/>
        </w:rPr>
        <w:t xml:space="preserve">. </w:t>
      </w:r>
      <w:r w:rsidRPr="001119F0">
        <w:rPr>
          <w:rFonts w:asciiTheme="majorHAnsi" w:hAnsiTheme="majorHAnsi" w:cstheme="majorHAnsi"/>
          <w:i/>
        </w:rPr>
        <w:t xml:space="preserve">Corporal punishment </w:t>
      </w:r>
      <w:r w:rsidR="00492E23">
        <w:rPr>
          <w:rFonts w:asciiTheme="majorHAnsi" w:hAnsiTheme="majorHAnsi" w:cstheme="majorHAnsi"/>
          <w:i/>
        </w:rPr>
        <w:t xml:space="preserve">is lawful in </w:t>
      </w:r>
      <w:r w:rsidR="005832BA">
        <w:rPr>
          <w:rFonts w:asciiTheme="majorHAnsi" w:hAnsiTheme="majorHAnsi" w:cstheme="majorHAnsi"/>
          <w:i/>
        </w:rPr>
        <w:t>day care settings</w:t>
      </w:r>
      <w:r w:rsidR="00492E23">
        <w:rPr>
          <w:rFonts w:asciiTheme="majorHAnsi" w:hAnsiTheme="majorHAnsi" w:cstheme="majorHAnsi"/>
        </w:rPr>
        <w:t xml:space="preserve">. </w:t>
      </w:r>
      <w:r w:rsidR="008222FD" w:rsidRPr="008222FD">
        <w:rPr>
          <w:rFonts w:asciiTheme="majorHAnsi" w:hAnsiTheme="majorHAnsi" w:cstheme="majorHAnsi"/>
        </w:rPr>
        <w:t>There is no explicit prohibition of corporal punishment in early childhood care and in day care for older children. It is unclear whether the “right of correction” under article 285 of the Family Code 1989 can be transferred to persons caring for a child in day care settings.</w:t>
      </w:r>
    </w:p>
    <w:p w14:paraId="43215603" w14:textId="2BBD7BA1" w:rsidR="004672CE" w:rsidRPr="008222FD" w:rsidRDefault="00D63AA6" w:rsidP="004672CE">
      <w:pPr>
        <w:autoSpaceDE w:val="0"/>
        <w:autoSpaceDN w:val="0"/>
        <w:adjustRightInd w:val="0"/>
        <w:spacing w:after="120"/>
        <w:rPr>
          <w:rFonts w:asciiTheme="majorHAnsi" w:hAnsiTheme="majorHAnsi" w:cstheme="majorHAnsi"/>
        </w:rPr>
      </w:pPr>
      <w:r w:rsidRPr="001119F0">
        <w:rPr>
          <w:rFonts w:asciiTheme="majorHAnsi" w:hAnsiTheme="majorHAnsi" w:cstheme="majorHAnsi"/>
        </w:rPr>
        <w:t>1</w:t>
      </w:r>
      <w:r w:rsidR="00B8457E">
        <w:rPr>
          <w:rFonts w:asciiTheme="majorHAnsi" w:hAnsiTheme="majorHAnsi" w:cstheme="majorHAnsi"/>
        </w:rPr>
        <w:t>3</w:t>
      </w:r>
      <w:r w:rsidRPr="001119F0">
        <w:rPr>
          <w:rFonts w:asciiTheme="majorHAnsi" w:hAnsiTheme="majorHAnsi" w:cstheme="majorHAnsi"/>
        </w:rPr>
        <w:t xml:space="preserve">. </w:t>
      </w:r>
      <w:bookmarkStart w:id="1" w:name="OLE_LINK44"/>
      <w:bookmarkStart w:id="2" w:name="OLE_LINK45"/>
      <w:r w:rsidRPr="001119F0">
        <w:rPr>
          <w:rFonts w:asciiTheme="majorHAnsi" w:hAnsiTheme="majorHAnsi" w:cstheme="majorHAnsi"/>
          <w:i/>
        </w:rPr>
        <w:t xml:space="preserve">Corporal punishment is </w:t>
      </w:r>
      <w:r w:rsidR="00DA5C89">
        <w:rPr>
          <w:rFonts w:asciiTheme="majorHAnsi" w:hAnsiTheme="majorHAnsi" w:cstheme="majorHAnsi"/>
          <w:i/>
        </w:rPr>
        <w:t>lawful</w:t>
      </w:r>
      <w:r w:rsidRPr="001119F0">
        <w:rPr>
          <w:rFonts w:asciiTheme="majorHAnsi" w:hAnsiTheme="majorHAnsi" w:cstheme="majorHAnsi"/>
          <w:i/>
        </w:rPr>
        <w:t xml:space="preserve"> in </w:t>
      </w:r>
      <w:r w:rsidR="004672CE">
        <w:rPr>
          <w:rFonts w:asciiTheme="majorHAnsi" w:hAnsiTheme="majorHAnsi" w:cstheme="majorHAnsi"/>
          <w:i/>
        </w:rPr>
        <w:t xml:space="preserve">some </w:t>
      </w:r>
      <w:r w:rsidRPr="001119F0">
        <w:rPr>
          <w:rFonts w:asciiTheme="majorHAnsi" w:hAnsiTheme="majorHAnsi" w:cstheme="majorHAnsi"/>
          <w:i/>
        </w:rPr>
        <w:t>school</w:t>
      </w:r>
      <w:bookmarkEnd w:id="1"/>
      <w:bookmarkEnd w:id="2"/>
      <w:r w:rsidR="005832BA">
        <w:rPr>
          <w:rFonts w:asciiTheme="majorHAnsi" w:hAnsiTheme="majorHAnsi" w:cstheme="majorHAnsi"/>
          <w:i/>
        </w:rPr>
        <w:t>s</w:t>
      </w:r>
      <w:r w:rsidR="00492E23" w:rsidRPr="00492E23">
        <w:rPr>
          <w:rFonts w:asciiTheme="majorHAnsi" w:hAnsiTheme="majorHAnsi" w:cstheme="majorHAnsi"/>
        </w:rPr>
        <w:t xml:space="preserve">. </w:t>
      </w:r>
      <w:r w:rsidR="004672CE">
        <w:rPr>
          <w:rFonts w:asciiTheme="majorHAnsi" w:hAnsiTheme="majorHAnsi" w:cstheme="majorHAnsi"/>
        </w:rPr>
        <w:t>It</w:t>
      </w:r>
      <w:r w:rsidR="008222FD" w:rsidRPr="008222FD">
        <w:rPr>
          <w:rFonts w:asciiTheme="majorHAnsi" w:hAnsiTheme="majorHAnsi" w:cstheme="majorHAnsi"/>
        </w:rPr>
        <w:t xml:space="preserve"> is prohibited in schools for children aged 6-14 in Decree No. 79-11.65 1979 but there is no explicit prohibition in other schools and the authority to “correct” a child article 285 of the Family Code 1989 po</w:t>
      </w:r>
      <w:r w:rsidR="008222FD" w:rsidRPr="008222FD">
        <w:rPr>
          <w:rFonts w:asciiTheme="majorHAnsi" w:hAnsiTheme="majorHAnsi" w:cstheme="majorHAnsi"/>
        </w:rPr>
        <w:lastRenderedPageBreak/>
        <w:t xml:space="preserve">tentially applies. </w:t>
      </w:r>
      <w:r w:rsidR="004672CE" w:rsidRPr="008222FD">
        <w:rPr>
          <w:rFonts w:asciiTheme="majorHAnsi" w:hAnsiTheme="majorHAnsi" w:cstheme="majorHAnsi"/>
        </w:rPr>
        <w:t>The Government reported to the Committee on the Elimination of Discrimination Against Women in 2015 that violence by teachers is subject to severe criminal penalties, drawing particular attention to Law No. 99-05 of 29 January 1999 amending articles 299bis, 300, 319, 320, 323, 324 and 327 of the Criminal Code, and to administrative penalties.</w:t>
      </w:r>
      <w:r w:rsidR="004672CE" w:rsidRPr="008222FD">
        <w:rPr>
          <w:rFonts w:asciiTheme="majorHAnsi" w:hAnsiTheme="majorHAnsi" w:cstheme="majorHAnsi"/>
          <w:vertAlign w:val="superscript"/>
        </w:rPr>
        <w:footnoteReference w:id="12"/>
      </w:r>
    </w:p>
    <w:p w14:paraId="6563148A" w14:textId="610FFDDD" w:rsidR="008222FD" w:rsidRPr="008222FD" w:rsidRDefault="004672CE" w:rsidP="008222FD">
      <w:pPr>
        <w:autoSpaceDE w:val="0"/>
        <w:autoSpaceDN w:val="0"/>
        <w:adjustRightInd w:val="0"/>
        <w:spacing w:after="120"/>
        <w:rPr>
          <w:rFonts w:asciiTheme="majorHAnsi" w:hAnsiTheme="majorHAnsi" w:cstheme="majorHAnsi"/>
        </w:rPr>
      </w:pPr>
      <w:r>
        <w:rPr>
          <w:rFonts w:asciiTheme="majorHAnsi" w:hAnsiTheme="majorHAnsi" w:cstheme="majorHAnsi"/>
        </w:rPr>
        <w:t xml:space="preserve">14. </w:t>
      </w:r>
      <w:r w:rsidR="008222FD" w:rsidRPr="008222FD">
        <w:rPr>
          <w:rFonts w:asciiTheme="majorHAnsi" w:hAnsiTheme="majorHAnsi" w:cstheme="majorHAnsi"/>
        </w:rPr>
        <w:t>During the UPR of Senegal in 2009, the Government stated that corporal punishment is prohibited in Koranic schools,</w:t>
      </w:r>
      <w:r w:rsidR="008222FD" w:rsidRPr="008222FD">
        <w:rPr>
          <w:rFonts w:asciiTheme="majorHAnsi" w:hAnsiTheme="majorHAnsi" w:cstheme="majorHAnsi"/>
          <w:vertAlign w:val="superscript"/>
        </w:rPr>
        <w:footnoteReference w:id="13"/>
      </w:r>
      <w:r w:rsidR="008222FD" w:rsidRPr="008222FD">
        <w:rPr>
          <w:rFonts w:asciiTheme="majorHAnsi" w:hAnsiTheme="majorHAnsi" w:cstheme="majorHAnsi"/>
        </w:rPr>
        <w:t xml:space="preserve"> but gave no details of the relevant law. In 2017, the Government reported to the African Committee of Experts on the Rights and Welfare of the Child that reforms were being considered to regulate the Koranic schools. It seems however that the process is being stalled by religious pressure.</w:t>
      </w:r>
      <w:r w:rsidR="008222FD" w:rsidRPr="008222FD">
        <w:rPr>
          <w:rFonts w:asciiTheme="majorHAnsi" w:hAnsiTheme="majorHAnsi" w:cstheme="majorHAnsi"/>
          <w:vertAlign w:val="superscript"/>
        </w:rPr>
        <w:footnoteReference w:id="14"/>
      </w:r>
      <w:r w:rsidR="008222FD" w:rsidRPr="008222FD">
        <w:rPr>
          <w:rFonts w:asciiTheme="majorHAnsi" w:hAnsiTheme="majorHAnsi" w:cstheme="majorHAnsi"/>
        </w:rPr>
        <w:t xml:space="preserve"> During the May 2018 examination of Senegal, the Committee Against Torture expressed concern at the lack of regulation around Koranic schools.</w:t>
      </w:r>
      <w:r w:rsidR="008222FD" w:rsidRPr="008222FD">
        <w:rPr>
          <w:rFonts w:asciiTheme="majorHAnsi" w:hAnsiTheme="majorHAnsi" w:cstheme="majorHAnsi"/>
          <w:vertAlign w:val="superscript"/>
        </w:rPr>
        <w:footnoteReference w:id="15"/>
      </w:r>
      <w:r w:rsidR="008222FD" w:rsidRPr="008222FD">
        <w:rPr>
          <w:rFonts w:asciiTheme="majorHAnsi" w:hAnsiTheme="majorHAnsi" w:cstheme="majorHAnsi"/>
        </w:rPr>
        <w:t xml:space="preserve"> The draft Bill was validated by the Government in June 2018, to soon be introduced in the National Assembly.</w:t>
      </w:r>
      <w:r w:rsidR="008222FD" w:rsidRPr="008222FD">
        <w:rPr>
          <w:rFonts w:asciiTheme="majorHAnsi" w:hAnsiTheme="majorHAnsi" w:cstheme="majorHAnsi"/>
          <w:vertAlign w:val="superscript"/>
        </w:rPr>
        <w:footnoteReference w:id="16"/>
      </w:r>
    </w:p>
    <w:p w14:paraId="1B652351" w14:textId="55B2F056" w:rsidR="008222FD" w:rsidRPr="008222FD" w:rsidRDefault="00D63AA6" w:rsidP="008222FD">
      <w:pPr>
        <w:autoSpaceDE w:val="0"/>
        <w:autoSpaceDN w:val="0"/>
        <w:adjustRightInd w:val="0"/>
        <w:spacing w:after="120"/>
        <w:rPr>
          <w:rFonts w:asciiTheme="majorHAnsi" w:hAnsiTheme="majorHAnsi" w:cstheme="majorHAnsi"/>
        </w:rPr>
      </w:pPr>
      <w:r w:rsidRPr="001119F0">
        <w:rPr>
          <w:rFonts w:asciiTheme="majorHAnsi" w:hAnsiTheme="majorHAnsi" w:cstheme="majorHAnsi"/>
        </w:rPr>
        <w:t>1</w:t>
      </w:r>
      <w:r w:rsidR="004672CE">
        <w:rPr>
          <w:rFonts w:asciiTheme="majorHAnsi" w:hAnsiTheme="majorHAnsi" w:cstheme="majorHAnsi"/>
        </w:rPr>
        <w:t>5</w:t>
      </w:r>
      <w:r w:rsidRPr="001119F0">
        <w:rPr>
          <w:rFonts w:asciiTheme="majorHAnsi" w:hAnsiTheme="majorHAnsi" w:cstheme="majorHAnsi"/>
        </w:rPr>
        <w:t xml:space="preserve">. </w:t>
      </w:r>
      <w:r w:rsidR="00591A1C" w:rsidRPr="001119F0">
        <w:rPr>
          <w:rFonts w:asciiTheme="majorHAnsi" w:hAnsiTheme="majorHAnsi" w:cstheme="majorHAnsi"/>
          <w:i/>
        </w:rPr>
        <w:t>Corporal punishment is</w:t>
      </w:r>
      <w:r w:rsidR="004F7EF9" w:rsidRPr="001119F0">
        <w:rPr>
          <w:rFonts w:asciiTheme="majorHAnsi" w:hAnsiTheme="majorHAnsi" w:cstheme="majorHAnsi"/>
          <w:i/>
        </w:rPr>
        <w:t xml:space="preserve"> </w:t>
      </w:r>
      <w:r w:rsidR="008222FD" w:rsidRPr="004672CE">
        <w:rPr>
          <w:rFonts w:asciiTheme="majorHAnsi" w:hAnsiTheme="majorHAnsi" w:cstheme="majorHAnsi"/>
          <w:i/>
        </w:rPr>
        <w:t>considered unlawful as a disciplinary measure in penal institutions,</w:t>
      </w:r>
      <w:r w:rsidR="008222FD" w:rsidRPr="008222FD">
        <w:rPr>
          <w:rFonts w:asciiTheme="majorHAnsi" w:hAnsiTheme="majorHAnsi" w:cstheme="majorHAnsi"/>
        </w:rPr>
        <w:t xml:space="preserve"> but there is no explicit prohibition. Article 100 of Decree No. 2001 (relative to the procedure of implementation and adjustment of the sanctions), applicable to prisons, states that “the personnel of the penal institutions can only employ force towards a prisoner in the case of violent resistance (by the inmate) or in the case of inertia to the orders given”. Juvenile justice penal law is being revised.</w:t>
      </w:r>
      <w:r w:rsidR="008222FD" w:rsidRPr="008222FD">
        <w:rPr>
          <w:rFonts w:asciiTheme="majorHAnsi" w:hAnsiTheme="majorHAnsi" w:cstheme="majorHAnsi"/>
          <w:vertAlign w:val="superscript"/>
        </w:rPr>
        <w:footnoteReference w:id="17"/>
      </w:r>
    </w:p>
    <w:p w14:paraId="6A7E2BD9" w14:textId="6FAF9E7C" w:rsidR="008222FD" w:rsidRPr="008222FD" w:rsidRDefault="00D63AA6" w:rsidP="008222FD">
      <w:pPr>
        <w:autoSpaceDE w:val="0"/>
        <w:autoSpaceDN w:val="0"/>
        <w:adjustRightInd w:val="0"/>
        <w:spacing w:after="120"/>
        <w:rPr>
          <w:rFonts w:asciiTheme="majorHAnsi" w:hAnsiTheme="majorHAnsi" w:cstheme="majorHAnsi"/>
        </w:rPr>
      </w:pPr>
      <w:r w:rsidRPr="001119F0">
        <w:rPr>
          <w:rFonts w:asciiTheme="majorHAnsi" w:hAnsiTheme="majorHAnsi" w:cstheme="majorHAnsi"/>
        </w:rPr>
        <w:lastRenderedPageBreak/>
        <w:t>1</w:t>
      </w:r>
      <w:r w:rsidR="004672CE">
        <w:rPr>
          <w:rFonts w:asciiTheme="majorHAnsi" w:hAnsiTheme="majorHAnsi" w:cstheme="majorHAnsi"/>
        </w:rPr>
        <w:t>6</w:t>
      </w:r>
      <w:r w:rsidRPr="001119F0">
        <w:rPr>
          <w:rFonts w:asciiTheme="majorHAnsi" w:hAnsiTheme="majorHAnsi" w:cstheme="majorHAnsi"/>
        </w:rPr>
        <w:t>.</w:t>
      </w:r>
      <w:r w:rsidR="002B3F16" w:rsidRPr="002B3F16">
        <w:rPr>
          <w:rFonts w:asciiTheme="majorHAnsi" w:hAnsiTheme="majorHAnsi" w:cstheme="majorHAnsi"/>
        </w:rPr>
        <w:t xml:space="preserve"> </w:t>
      </w:r>
      <w:r w:rsidR="0003240E" w:rsidRPr="00D66B58">
        <w:rPr>
          <w:rFonts w:asciiTheme="majorHAnsi" w:hAnsiTheme="majorHAnsi" w:cstheme="majorHAnsi"/>
          <w:i/>
        </w:rPr>
        <w:t xml:space="preserve">Corporal punishment is </w:t>
      </w:r>
      <w:r w:rsidR="00312D2C" w:rsidRPr="005832BA">
        <w:rPr>
          <w:rFonts w:asciiTheme="majorHAnsi" w:hAnsiTheme="majorHAnsi" w:cstheme="majorHAnsi"/>
          <w:i/>
        </w:rPr>
        <w:t>unlawful as a sentence for crime</w:t>
      </w:r>
      <w:r w:rsidR="00312D2C" w:rsidRPr="00312D2C">
        <w:rPr>
          <w:rFonts w:asciiTheme="majorHAnsi" w:hAnsiTheme="majorHAnsi" w:cstheme="majorHAnsi"/>
        </w:rPr>
        <w:t xml:space="preserve">. </w:t>
      </w:r>
      <w:r w:rsidR="008222FD" w:rsidRPr="008222FD">
        <w:rPr>
          <w:rFonts w:asciiTheme="majorHAnsi" w:hAnsiTheme="majorHAnsi" w:cstheme="majorHAnsi"/>
        </w:rPr>
        <w:t>There is no provision for it in the Criminal Code or the Criminal Procedure Code.</w:t>
      </w:r>
    </w:p>
    <w:p w14:paraId="09A091E1" w14:textId="37E515B2" w:rsidR="00312D2C" w:rsidRPr="001119F0" w:rsidRDefault="00312D2C" w:rsidP="00312D2C">
      <w:pPr>
        <w:autoSpaceDE w:val="0"/>
        <w:autoSpaceDN w:val="0"/>
        <w:adjustRightInd w:val="0"/>
        <w:spacing w:after="120"/>
        <w:rPr>
          <w:rFonts w:asciiTheme="majorHAnsi" w:hAnsiTheme="majorHAnsi" w:cstheme="majorHAnsi"/>
        </w:rPr>
      </w:pPr>
    </w:p>
    <w:p w14:paraId="0632C366" w14:textId="49E72199" w:rsidR="007F7529" w:rsidRPr="001117DC" w:rsidRDefault="007F7529" w:rsidP="007F7529">
      <w:pPr>
        <w:pStyle w:val="Heading2"/>
        <w:spacing w:after="120"/>
        <w:rPr>
          <w:rFonts w:asciiTheme="majorHAnsi" w:hAnsiTheme="majorHAnsi" w:cstheme="majorHAnsi"/>
          <w:b w:val="0"/>
          <w:sz w:val="26"/>
          <w:szCs w:val="26"/>
          <w:lang w:val="en-GB"/>
        </w:rPr>
      </w:pPr>
      <w:r w:rsidRPr="001119F0">
        <w:rPr>
          <w:rFonts w:asciiTheme="majorHAnsi" w:hAnsiTheme="majorHAnsi" w:cstheme="majorHAnsi"/>
          <w:sz w:val="26"/>
          <w:szCs w:val="26"/>
        </w:rPr>
        <w:t>Recommendations by human rights treaty monitoring bodies</w:t>
      </w:r>
      <w:r w:rsidR="008730E0" w:rsidRPr="001119F0">
        <w:rPr>
          <w:rFonts w:asciiTheme="majorHAnsi" w:hAnsiTheme="majorHAnsi" w:cstheme="majorHAnsi"/>
          <w:sz w:val="26"/>
          <w:szCs w:val="26"/>
        </w:rPr>
        <w:t xml:space="preserve"> </w:t>
      </w:r>
      <w:r w:rsidR="001117DC">
        <w:rPr>
          <w:rFonts w:asciiTheme="majorHAnsi" w:hAnsiTheme="majorHAnsi" w:cstheme="majorHAnsi"/>
          <w:sz w:val="26"/>
          <w:szCs w:val="26"/>
          <w:lang w:val="en-GB"/>
        </w:rPr>
        <w:t>and during the UPR</w:t>
      </w:r>
    </w:p>
    <w:p w14:paraId="6D751BFB" w14:textId="048216C3" w:rsidR="00505457" w:rsidRPr="00505457" w:rsidRDefault="00B8457E" w:rsidP="00505457">
      <w:pPr>
        <w:spacing w:after="240"/>
        <w:rPr>
          <w:rFonts w:asciiTheme="majorHAnsi" w:hAnsiTheme="majorHAnsi" w:cstheme="majorHAnsi"/>
          <w:bCs/>
        </w:rPr>
      </w:pPr>
      <w:r>
        <w:rPr>
          <w:rFonts w:asciiTheme="majorHAnsi" w:hAnsiTheme="majorHAnsi" w:cstheme="majorHAnsi"/>
        </w:rPr>
        <w:t>1</w:t>
      </w:r>
      <w:r w:rsidR="004672CE">
        <w:rPr>
          <w:rFonts w:asciiTheme="majorHAnsi" w:hAnsiTheme="majorHAnsi" w:cstheme="majorHAnsi"/>
        </w:rPr>
        <w:t>7</w:t>
      </w:r>
      <w:r w:rsidR="00F67CC5" w:rsidRPr="001119F0">
        <w:rPr>
          <w:rFonts w:asciiTheme="majorHAnsi" w:hAnsiTheme="majorHAnsi" w:cstheme="majorHAnsi"/>
        </w:rPr>
        <w:t xml:space="preserve">. </w:t>
      </w:r>
      <w:r w:rsidR="00505457" w:rsidRPr="00505457">
        <w:rPr>
          <w:rFonts w:asciiTheme="majorHAnsi" w:hAnsiTheme="majorHAnsi" w:cstheme="majorHAnsi"/>
          <w:bCs/>
        </w:rPr>
        <w:t xml:space="preserve">The </w:t>
      </w:r>
      <w:r w:rsidR="00505457" w:rsidRPr="00505457">
        <w:rPr>
          <w:rFonts w:asciiTheme="majorHAnsi" w:hAnsiTheme="majorHAnsi" w:cstheme="majorHAnsi"/>
          <w:bCs/>
          <w:i/>
        </w:rPr>
        <w:t>Committee on the Rights of the Child</w:t>
      </w:r>
      <w:r w:rsidR="00505457" w:rsidRPr="00505457">
        <w:rPr>
          <w:rFonts w:asciiTheme="majorHAnsi" w:hAnsiTheme="majorHAnsi" w:cstheme="majorHAnsi"/>
          <w:bCs/>
        </w:rPr>
        <w:t xml:space="preserve"> first recommended that corporal punishment of children be prohibited in the family in Senegal in 1995, following examination of the state party’s initial report.</w:t>
      </w:r>
      <w:r w:rsidR="00505457" w:rsidRPr="00505457">
        <w:rPr>
          <w:rFonts w:asciiTheme="majorHAnsi" w:hAnsiTheme="majorHAnsi" w:cstheme="majorHAnsi"/>
          <w:bCs/>
          <w:vertAlign w:val="superscript"/>
        </w:rPr>
        <w:footnoteReference w:id="18"/>
      </w:r>
      <w:r w:rsidR="00505457" w:rsidRPr="00505457">
        <w:rPr>
          <w:rFonts w:asciiTheme="majorHAnsi" w:hAnsiTheme="majorHAnsi" w:cstheme="majorHAnsi"/>
          <w:bCs/>
        </w:rPr>
        <w:t xml:space="preserve"> In its concluding observations on the second report in 2006, the Committee recommended prohibition in all settings, including the home.</w:t>
      </w:r>
      <w:r w:rsidR="00505457" w:rsidRPr="00505457">
        <w:rPr>
          <w:rFonts w:asciiTheme="majorHAnsi" w:hAnsiTheme="majorHAnsi" w:cstheme="majorHAnsi"/>
          <w:bCs/>
          <w:vertAlign w:val="superscript"/>
        </w:rPr>
        <w:footnoteReference w:id="19"/>
      </w:r>
      <w:r w:rsidR="00505457" w:rsidRPr="00505457">
        <w:rPr>
          <w:rFonts w:asciiTheme="majorHAnsi" w:hAnsiTheme="majorHAnsi" w:cstheme="majorHAnsi"/>
          <w:bCs/>
        </w:rPr>
        <w:t xml:space="preserve"> Finally in 2016, the Committee again recommended the prohibition of corporal punishment in all settings as well as the repeal of all provisions authorising corporal punishment, including article 285 of the Family Code.</w:t>
      </w:r>
      <w:r w:rsidR="00505457" w:rsidRPr="00505457">
        <w:rPr>
          <w:rFonts w:asciiTheme="majorHAnsi" w:hAnsiTheme="majorHAnsi" w:cstheme="majorHAnsi"/>
          <w:bCs/>
          <w:vertAlign w:val="superscript"/>
        </w:rPr>
        <w:footnoteReference w:id="20"/>
      </w:r>
      <w:r w:rsidR="00505457" w:rsidRPr="00505457">
        <w:rPr>
          <w:rFonts w:asciiTheme="majorHAnsi" w:hAnsiTheme="majorHAnsi" w:cstheme="majorHAnsi"/>
          <w:bCs/>
        </w:rPr>
        <w:t xml:space="preserve"> </w:t>
      </w:r>
    </w:p>
    <w:p w14:paraId="40BF69FD" w14:textId="2056D641" w:rsidR="00505457" w:rsidRPr="00505457" w:rsidRDefault="00505457" w:rsidP="00505457">
      <w:pPr>
        <w:spacing w:after="240"/>
        <w:rPr>
          <w:rFonts w:asciiTheme="majorHAnsi" w:hAnsiTheme="majorHAnsi" w:cstheme="majorHAnsi"/>
          <w:bCs/>
        </w:rPr>
      </w:pPr>
      <w:r>
        <w:rPr>
          <w:rFonts w:asciiTheme="majorHAnsi" w:hAnsiTheme="majorHAnsi" w:cstheme="majorHAnsi"/>
          <w:bCs/>
        </w:rPr>
        <w:t>1</w:t>
      </w:r>
      <w:r w:rsidR="004672CE">
        <w:rPr>
          <w:rFonts w:asciiTheme="majorHAnsi" w:hAnsiTheme="majorHAnsi" w:cstheme="majorHAnsi"/>
          <w:bCs/>
        </w:rPr>
        <w:t>8</w:t>
      </w:r>
      <w:r>
        <w:rPr>
          <w:rFonts w:asciiTheme="majorHAnsi" w:hAnsiTheme="majorHAnsi" w:cstheme="majorHAnsi"/>
          <w:bCs/>
        </w:rPr>
        <w:t xml:space="preserve">. </w:t>
      </w:r>
      <w:r w:rsidRPr="00505457">
        <w:rPr>
          <w:rFonts w:asciiTheme="majorHAnsi" w:hAnsiTheme="majorHAnsi" w:cstheme="majorHAnsi"/>
          <w:bCs/>
        </w:rPr>
        <w:t xml:space="preserve">In 2013, the </w:t>
      </w:r>
      <w:r w:rsidRPr="00505457">
        <w:rPr>
          <w:rFonts w:asciiTheme="majorHAnsi" w:hAnsiTheme="majorHAnsi" w:cstheme="majorHAnsi"/>
          <w:bCs/>
          <w:i/>
        </w:rPr>
        <w:t>Committee Against Torture</w:t>
      </w:r>
      <w:r w:rsidRPr="00505457">
        <w:rPr>
          <w:rFonts w:asciiTheme="majorHAnsi" w:hAnsiTheme="majorHAnsi" w:cstheme="majorHAnsi"/>
          <w:bCs/>
        </w:rPr>
        <w:t xml:space="preserve"> recommended to Senegal that article 285 of the Family Code be amended to explicitly prohibit corporal punishment of children, including in the home.</w:t>
      </w:r>
      <w:r w:rsidRPr="00505457">
        <w:rPr>
          <w:rFonts w:asciiTheme="majorHAnsi" w:hAnsiTheme="majorHAnsi" w:cstheme="majorHAnsi"/>
          <w:bCs/>
          <w:vertAlign w:val="superscript"/>
        </w:rPr>
        <w:footnoteReference w:id="21"/>
      </w:r>
      <w:r w:rsidRPr="00505457">
        <w:rPr>
          <w:rFonts w:asciiTheme="majorHAnsi" w:hAnsiTheme="majorHAnsi" w:cstheme="majorHAnsi"/>
          <w:bCs/>
        </w:rPr>
        <w:t xml:space="preserve"> </w:t>
      </w:r>
    </w:p>
    <w:p w14:paraId="5D43C988" w14:textId="497FD2C2" w:rsidR="00505457" w:rsidRPr="00505457" w:rsidRDefault="00505457" w:rsidP="00505457">
      <w:pPr>
        <w:rPr>
          <w:rFonts w:asciiTheme="majorHAnsi" w:hAnsiTheme="majorHAnsi" w:cstheme="majorHAnsi"/>
          <w:bCs/>
        </w:rPr>
      </w:pPr>
      <w:r>
        <w:rPr>
          <w:rFonts w:asciiTheme="majorHAnsi" w:hAnsiTheme="majorHAnsi" w:cstheme="majorHAnsi"/>
          <w:bCs/>
        </w:rPr>
        <w:t>1</w:t>
      </w:r>
      <w:r w:rsidR="004672CE">
        <w:rPr>
          <w:rFonts w:asciiTheme="majorHAnsi" w:hAnsiTheme="majorHAnsi" w:cstheme="majorHAnsi"/>
          <w:bCs/>
        </w:rPr>
        <w:t>9</w:t>
      </w:r>
      <w:r>
        <w:rPr>
          <w:rFonts w:asciiTheme="majorHAnsi" w:hAnsiTheme="majorHAnsi" w:cstheme="majorHAnsi"/>
          <w:bCs/>
        </w:rPr>
        <w:t>.</w:t>
      </w:r>
      <w:r w:rsidRPr="00505457">
        <w:rPr>
          <w:rFonts w:asciiTheme="majorHAnsi" w:hAnsiTheme="majorHAnsi" w:cstheme="majorHAnsi"/>
          <w:bCs/>
        </w:rPr>
        <w:t xml:space="preserve"> Senegal was examined in the first cycle of the </w:t>
      </w:r>
      <w:r w:rsidRPr="00505457">
        <w:rPr>
          <w:rFonts w:asciiTheme="majorHAnsi" w:hAnsiTheme="majorHAnsi" w:cstheme="majorHAnsi"/>
          <w:bCs/>
          <w:i/>
        </w:rPr>
        <w:t>Universal Periodic Review</w:t>
      </w:r>
      <w:r w:rsidRPr="00505457">
        <w:rPr>
          <w:rFonts w:asciiTheme="majorHAnsi" w:hAnsiTheme="majorHAnsi" w:cstheme="majorHAnsi"/>
          <w:bCs/>
        </w:rPr>
        <w:t xml:space="preserve"> in 2009. The Government accepted a recommendation to take measures to ensure that children are protected from corporal punishment.</w:t>
      </w:r>
      <w:r w:rsidRPr="00505457">
        <w:rPr>
          <w:rFonts w:asciiTheme="majorHAnsi" w:hAnsiTheme="majorHAnsi" w:cstheme="majorHAnsi"/>
          <w:bCs/>
          <w:vertAlign w:val="superscript"/>
        </w:rPr>
        <w:footnoteReference w:id="22"/>
      </w:r>
      <w:r w:rsidRPr="00505457">
        <w:rPr>
          <w:rFonts w:asciiTheme="majorHAnsi" w:hAnsiTheme="majorHAnsi" w:cstheme="majorHAnsi"/>
          <w:bCs/>
        </w:rPr>
        <w:t xml:space="preserve"> The second cycle UPR took place in 2013. The Government reported to the review that it had devised “a national action plan on </w:t>
      </w:r>
      <w:r w:rsidRPr="00505457">
        <w:rPr>
          <w:rFonts w:asciiTheme="majorHAnsi" w:hAnsiTheme="majorHAnsi" w:cstheme="majorHAnsi"/>
          <w:bCs/>
        </w:rPr>
        <w:lastRenderedPageBreak/>
        <w:t>legal reform to criminalize corporal punishment and all forms of violence against children”.</w:t>
      </w:r>
      <w:r w:rsidRPr="00505457">
        <w:rPr>
          <w:rFonts w:asciiTheme="majorHAnsi" w:hAnsiTheme="majorHAnsi" w:cstheme="majorHAnsi"/>
          <w:bCs/>
          <w:vertAlign w:val="superscript"/>
        </w:rPr>
        <w:footnoteReference w:id="23"/>
      </w:r>
      <w:r w:rsidRPr="00505457">
        <w:rPr>
          <w:rFonts w:asciiTheme="majorHAnsi" w:hAnsiTheme="majorHAnsi" w:cstheme="majorHAnsi"/>
          <w:bCs/>
        </w:rPr>
        <w:t xml:space="preserve"> During the review, Tunisia made the following recommendation: “Revise the Code of the Family to explicitly prohibit corporal punishment in all places.” However, the recommendation as recorded in the report of the working group – and which the Government accepted – was to “continue its efforts to fight against corporal punishment in all places (Tunisia)”.</w:t>
      </w:r>
      <w:r w:rsidRPr="00505457">
        <w:rPr>
          <w:rFonts w:asciiTheme="majorHAnsi" w:hAnsiTheme="majorHAnsi" w:cstheme="majorHAnsi"/>
          <w:bCs/>
          <w:vertAlign w:val="superscript"/>
        </w:rPr>
        <w:footnoteReference w:id="24"/>
      </w:r>
      <w:r w:rsidRPr="00505457">
        <w:rPr>
          <w:rFonts w:asciiTheme="majorHAnsi" w:hAnsiTheme="majorHAnsi" w:cstheme="majorHAnsi"/>
          <w:bCs/>
        </w:rPr>
        <w:t xml:space="preserve"> </w:t>
      </w:r>
      <w:r w:rsidR="004672CE">
        <w:rPr>
          <w:rFonts w:asciiTheme="majorHAnsi" w:hAnsiTheme="majorHAnsi" w:cstheme="majorHAnsi"/>
          <w:bCs/>
        </w:rPr>
        <w:t>The Government gave a mixed response to recommendations on corporal punishment extended during the 2018 Review, supporting one to repeal article 285 of the Family Code (which allows for a ‘right’ of correction) but noting another to repeal all provisions authorising corporal punishment.</w:t>
      </w:r>
      <w:r w:rsidRPr="00505457">
        <w:rPr>
          <w:rFonts w:asciiTheme="majorHAnsi" w:hAnsiTheme="majorHAnsi" w:cstheme="majorHAnsi"/>
          <w:bCs/>
          <w:vertAlign w:val="superscript"/>
        </w:rPr>
        <w:footnoteReference w:id="25"/>
      </w:r>
    </w:p>
    <w:p w14:paraId="51DF1303" w14:textId="77777777" w:rsidR="00505457" w:rsidRPr="00505457" w:rsidRDefault="00505457" w:rsidP="00505457">
      <w:pPr>
        <w:rPr>
          <w:rFonts w:asciiTheme="majorHAnsi" w:hAnsiTheme="majorHAnsi" w:cstheme="majorHAnsi"/>
          <w:bCs/>
        </w:rPr>
      </w:pPr>
    </w:p>
    <w:p w14:paraId="54D77F4D" w14:textId="058A351E" w:rsidR="00D27EAE" w:rsidRDefault="00D27EAE" w:rsidP="007A21C3">
      <w:pPr>
        <w:rPr>
          <w:rFonts w:asciiTheme="majorHAnsi" w:hAnsiTheme="majorHAnsi" w:cstheme="majorHAnsi"/>
          <w:i/>
          <w:iCs/>
        </w:rPr>
      </w:pPr>
    </w:p>
    <w:p w14:paraId="22246058" w14:textId="77777777" w:rsidR="009C18B7" w:rsidRDefault="009C18B7" w:rsidP="007A21C3">
      <w:pPr>
        <w:rPr>
          <w:rFonts w:asciiTheme="majorHAnsi" w:hAnsiTheme="majorHAnsi" w:cstheme="majorHAnsi"/>
          <w:i/>
          <w:iCs/>
        </w:rPr>
      </w:pPr>
    </w:p>
    <w:p w14:paraId="7F764872" w14:textId="77777777" w:rsidR="00127339" w:rsidRDefault="00127339" w:rsidP="007A21C3">
      <w:pPr>
        <w:rPr>
          <w:rFonts w:asciiTheme="majorHAnsi" w:hAnsiTheme="majorHAnsi" w:cstheme="majorHAnsi"/>
          <w:i/>
          <w:iCs/>
        </w:rPr>
      </w:pPr>
    </w:p>
    <w:p w14:paraId="73A734C1" w14:textId="0D757AF4" w:rsidR="009C24BF" w:rsidRPr="001119F0" w:rsidRDefault="00482BF9" w:rsidP="007A21C3">
      <w:pPr>
        <w:rPr>
          <w:rFonts w:asciiTheme="majorHAnsi" w:hAnsiTheme="majorHAnsi" w:cstheme="majorHAnsi"/>
          <w:i/>
          <w:iCs/>
        </w:rPr>
      </w:pPr>
      <w:r w:rsidRPr="001119F0">
        <w:rPr>
          <w:rFonts w:asciiTheme="majorHAnsi" w:hAnsiTheme="majorHAnsi" w:cstheme="majorHAnsi"/>
          <w:i/>
          <w:iCs/>
        </w:rPr>
        <w:t>B</w:t>
      </w:r>
      <w:r w:rsidR="009C24BF" w:rsidRPr="001119F0">
        <w:rPr>
          <w:rFonts w:asciiTheme="majorHAnsi" w:hAnsiTheme="majorHAnsi" w:cstheme="majorHAnsi"/>
          <w:i/>
          <w:iCs/>
        </w:rPr>
        <w:t>riefing prepared by the Global Initiative to End All Corporal Punishment of Children</w:t>
      </w:r>
    </w:p>
    <w:p w14:paraId="3B3EA53F" w14:textId="4DBF834A" w:rsidR="008D6D66" w:rsidRPr="001119F0" w:rsidRDefault="005A435F" w:rsidP="007A21C3">
      <w:pPr>
        <w:rPr>
          <w:rFonts w:asciiTheme="majorHAnsi" w:hAnsiTheme="majorHAnsi" w:cstheme="majorHAnsi"/>
          <w:i/>
          <w:iCs/>
        </w:rPr>
      </w:pPr>
      <w:hyperlink r:id="rId14" w:history="1">
        <w:r w:rsidR="009C24BF" w:rsidRPr="003E35BE">
          <w:rPr>
            <w:rStyle w:val="Hyperlink"/>
            <w:rFonts w:asciiTheme="majorHAnsi" w:eastAsia="Calibri" w:hAnsiTheme="majorHAnsi" w:cstheme="majorHAnsi"/>
            <w:bCs/>
            <w:i/>
            <w:color w:val="0096A3"/>
          </w:rPr>
          <w:t>www.endcorporalpunishment.org</w:t>
        </w:r>
      </w:hyperlink>
      <w:r w:rsidR="009C24BF" w:rsidRPr="001119F0">
        <w:rPr>
          <w:rFonts w:asciiTheme="majorHAnsi" w:hAnsiTheme="majorHAnsi" w:cstheme="majorHAnsi"/>
          <w:i/>
          <w:iCs/>
        </w:rPr>
        <w:t xml:space="preserve">; </w:t>
      </w:r>
      <w:hyperlink r:id="rId15" w:history="1">
        <w:r w:rsidR="009C24BF" w:rsidRPr="003E35BE">
          <w:rPr>
            <w:rStyle w:val="Hyperlink"/>
            <w:rFonts w:asciiTheme="majorHAnsi" w:eastAsia="Calibri" w:hAnsiTheme="majorHAnsi" w:cstheme="majorHAnsi"/>
            <w:bCs/>
            <w:i/>
            <w:color w:val="0096A3"/>
          </w:rPr>
          <w:t>info@endcorporalpunishment.org</w:t>
        </w:r>
      </w:hyperlink>
    </w:p>
    <w:sectPr w:rsidR="008D6D66" w:rsidRPr="001119F0" w:rsidSect="00BE37BF">
      <w:footerReference w:type="even" r:id="rId16"/>
      <w:footerReference w:type="default" r:id="rId17"/>
      <w:footnotePr>
        <w:numRestart w:val="eachSect"/>
      </w:footnotePr>
      <w:endnotePr>
        <w:numFmt w:val="decimal"/>
      </w:endnotePr>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2516DB" w14:textId="77777777" w:rsidR="000330C9" w:rsidRDefault="000330C9">
      <w:r>
        <w:separator/>
      </w:r>
    </w:p>
  </w:endnote>
  <w:endnote w:type="continuationSeparator" w:id="0">
    <w:p w14:paraId="78F330EC" w14:textId="77777777" w:rsidR="000330C9" w:rsidRDefault="000330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9BD17F" w14:textId="77777777" w:rsidR="00986253" w:rsidRDefault="0098625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9C0ECF2" w14:textId="77777777" w:rsidR="00986253" w:rsidRDefault="009862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3F54C" w14:textId="421BAFEE" w:rsidR="00986253" w:rsidRPr="00BE0FA6" w:rsidRDefault="00986253">
    <w:pPr>
      <w:pStyle w:val="Footer"/>
      <w:jc w:val="center"/>
      <w:rPr>
        <w:rFonts w:ascii="Calibri" w:hAnsi="Calibri"/>
      </w:rPr>
    </w:pPr>
    <w:r w:rsidRPr="00BE0FA6">
      <w:rPr>
        <w:rFonts w:ascii="Calibri" w:hAnsi="Calibri"/>
      </w:rPr>
      <w:fldChar w:fldCharType="begin"/>
    </w:r>
    <w:r w:rsidRPr="00BE0FA6">
      <w:rPr>
        <w:rFonts w:ascii="Calibri" w:hAnsi="Calibri"/>
      </w:rPr>
      <w:instrText xml:space="preserve"> PAGE   \* MERGEFORMAT </w:instrText>
    </w:r>
    <w:r w:rsidRPr="00BE0FA6">
      <w:rPr>
        <w:rFonts w:ascii="Calibri" w:hAnsi="Calibri"/>
      </w:rPr>
      <w:fldChar w:fldCharType="separate"/>
    </w:r>
    <w:r w:rsidR="005A435F">
      <w:rPr>
        <w:rFonts w:ascii="Calibri" w:hAnsi="Calibri"/>
        <w:noProof/>
      </w:rPr>
      <w:t>1</w:t>
    </w:r>
    <w:r w:rsidRPr="00BE0FA6">
      <w:rPr>
        <w:rFonts w:ascii="Calibri" w:hAnsi="Calibri"/>
        <w:noProof/>
      </w:rPr>
      <w:fldChar w:fldCharType="end"/>
    </w:r>
  </w:p>
  <w:p w14:paraId="6E36517A" w14:textId="77777777" w:rsidR="00986253" w:rsidRDefault="009862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DD4DE7" w14:textId="77777777" w:rsidR="000330C9" w:rsidRDefault="000330C9">
      <w:r>
        <w:separator/>
      </w:r>
    </w:p>
  </w:footnote>
  <w:footnote w:type="continuationSeparator" w:id="0">
    <w:p w14:paraId="4850C3CC" w14:textId="77777777" w:rsidR="000330C9" w:rsidRDefault="000330C9">
      <w:r>
        <w:continuationSeparator/>
      </w:r>
    </w:p>
  </w:footnote>
  <w:footnote w:id="1">
    <w:p w14:paraId="7306DD3C" w14:textId="3EA8A1D4" w:rsidR="007F7529" w:rsidRPr="00195FE7" w:rsidRDefault="007F7529" w:rsidP="007F7529">
      <w:pPr>
        <w:pStyle w:val="FootnoteText"/>
        <w:rPr>
          <w:rFonts w:asciiTheme="majorHAnsi" w:hAnsiTheme="majorHAnsi" w:cstheme="majorHAnsi"/>
        </w:rPr>
      </w:pPr>
      <w:r w:rsidRPr="00195FE7">
        <w:rPr>
          <w:rStyle w:val="FootnoteReference"/>
          <w:rFonts w:asciiTheme="majorHAnsi" w:hAnsiTheme="majorHAnsi" w:cstheme="majorHAnsi"/>
        </w:rPr>
        <w:footnoteRef/>
      </w:r>
      <w:r w:rsidRPr="00195FE7">
        <w:rPr>
          <w:rFonts w:asciiTheme="majorHAnsi" w:hAnsiTheme="majorHAnsi" w:cstheme="majorHAnsi"/>
        </w:rPr>
        <w:t xml:space="preserve"> Pinheiro, P. S. (2006), </w:t>
      </w:r>
      <w:r w:rsidRPr="00195FE7">
        <w:rPr>
          <w:rFonts w:asciiTheme="majorHAnsi" w:hAnsiTheme="majorHAnsi" w:cstheme="majorHAnsi"/>
          <w:i/>
        </w:rPr>
        <w:t>World Report on Violence against Children</w:t>
      </w:r>
      <w:r w:rsidRPr="00195FE7">
        <w:rPr>
          <w:rFonts w:asciiTheme="majorHAnsi" w:hAnsiTheme="majorHAnsi" w:cstheme="majorHAnsi"/>
        </w:rPr>
        <w:t>, Geneva: United Nations. See also Krug E. G. et al (eds) (2002),</w:t>
      </w:r>
      <w:r w:rsidRPr="00195FE7">
        <w:rPr>
          <w:rFonts w:asciiTheme="majorHAnsi" w:hAnsiTheme="majorHAnsi" w:cstheme="majorHAnsi"/>
          <w:i/>
          <w:iCs/>
        </w:rPr>
        <w:t xml:space="preserve"> World Report on Violence and Health, </w:t>
      </w:r>
      <w:r w:rsidRPr="00195FE7">
        <w:rPr>
          <w:rFonts w:asciiTheme="majorHAnsi" w:hAnsiTheme="majorHAnsi" w:cstheme="majorHAnsi"/>
        </w:rPr>
        <w:t>Geneva: World Health Organisation</w:t>
      </w:r>
    </w:p>
  </w:footnote>
  <w:footnote w:id="2">
    <w:p w14:paraId="00941529" w14:textId="77777777" w:rsidR="008222FD" w:rsidRPr="00195FE7" w:rsidRDefault="008222FD" w:rsidP="008222FD">
      <w:pPr>
        <w:pStyle w:val="FootnoteText"/>
        <w:rPr>
          <w:rFonts w:asciiTheme="majorHAnsi" w:hAnsiTheme="majorHAnsi" w:cstheme="majorHAnsi"/>
        </w:rPr>
      </w:pPr>
      <w:r w:rsidRPr="00195FE7">
        <w:rPr>
          <w:rStyle w:val="FootnoteReference"/>
          <w:rFonts w:asciiTheme="majorHAnsi" w:hAnsiTheme="majorHAnsi" w:cstheme="majorHAnsi"/>
        </w:rPr>
        <w:footnoteRef/>
      </w:r>
      <w:r w:rsidRPr="00195FE7">
        <w:rPr>
          <w:rFonts w:asciiTheme="majorHAnsi" w:hAnsiTheme="majorHAnsi" w:cstheme="majorHAnsi"/>
        </w:rPr>
        <w:t xml:space="preserve"> </w:t>
      </w:r>
      <w:r w:rsidRPr="00195FE7">
        <w:rPr>
          <w:rFonts w:asciiTheme="majorHAnsi" w:eastAsia="Calibri" w:hAnsiTheme="majorHAnsi" w:cstheme="majorHAnsi"/>
        </w:rPr>
        <w:t>CRC/C/SEN/3-5 Unedited Version, Third-fifth state party report, para. 36</w:t>
      </w:r>
    </w:p>
  </w:footnote>
  <w:footnote w:id="3">
    <w:p w14:paraId="4BFC6BCF" w14:textId="77777777" w:rsidR="008222FD" w:rsidRPr="00195FE7" w:rsidRDefault="008222FD" w:rsidP="008222FD">
      <w:pPr>
        <w:pStyle w:val="FootnoteText"/>
        <w:rPr>
          <w:rFonts w:asciiTheme="majorHAnsi" w:hAnsiTheme="majorHAnsi" w:cstheme="majorHAnsi"/>
        </w:rPr>
      </w:pPr>
      <w:r w:rsidRPr="00195FE7">
        <w:rPr>
          <w:rStyle w:val="FootnoteReference"/>
          <w:rFonts w:asciiTheme="majorHAnsi" w:hAnsiTheme="majorHAnsi" w:cstheme="majorHAnsi"/>
        </w:rPr>
        <w:footnoteRef/>
      </w:r>
      <w:r w:rsidRPr="00195FE7">
        <w:rPr>
          <w:rFonts w:asciiTheme="majorHAnsi" w:hAnsiTheme="majorHAnsi" w:cstheme="majorHAnsi"/>
        </w:rPr>
        <w:t xml:space="preserve"> 23 July 2013, A/HRC/WG.6/17/SEN/1, National report to the UPR, para. 102</w:t>
      </w:r>
    </w:p>
  </w:footnote>
  <w:footnote w:id="4">
    <w:p w14:paraId="2DC0BA98" w14:textId="77777777" w:rsidR="008222FD" w:rsidRPr="00195FE7" w:rsidRDefault="008222FD" w:rsidP="008222FD">
      <w:pPr>
        <w:rPr>
          <w:rFonts w:asciiTheme="majorHAnsi" w:hAnsiTheme="majorHAnsi" w:cstheme="majorHAnsi"/>
          <w:sz w:val="20"/>
          <w:szCs w:val="20"/>
        </w:rPr>
      </w:pPr>
      <w:r w:rsidRPr="00195FE7">
        <w:rPr>
          <w:rStyle w:val="FootnoteReference"/>
          <w:rFonts w:asciiTheme="majorHAnsi" w:hAnsiTheme="majorHAnsi" w:cstheme="majorHAnsi"/>
          <w:sz w:val="20"/>
          <w:szCs w:val="20"/>
        </w:rPr>
        <w:footnoteRef/>
      </w:r>
      <w:r w:rsidRPr="00195FE7">
        <w:rPr>
          <w:rFonts w:asciiTheme="majorHAnsi" w:hAnsiTheme="majorHAnsi" w:cstheme="majorHAnsi"/>
          <w:sz w:val="20"/>
          <w:szCs w:val="20"/>
        </w:rPr>
        <w:t xml:space="preserve"> 11 December 2013, A/HRC/25/4, Report of the working group, para. 123.64</w:t>
      </w:r>
    </w:p>
  </w:footnote>
  <w:footnote w:id="5">
    <w:p w14:paraId="55C328B7" w14:textId="77777777" w:rsidR="008222FD" w:rsidRPr="00195FE7" w:rsidRDefault="008222FD" w:rsidP="008222FD">
      <w:pPr>
        <w:pStyle w:val="FootnoteText"/>
        <w:rPr>
          <w:rFonts w:asciiTheme="majorHAnsi" w:hAnsiTheme="majorHAnsi" w:cstheme="majorHAnsi"/>
        </w:rPr>
      </w:pPr>
      <w:r w:rsidRPr="00195FE7">
        <w:rPr>
          <w:rStyle w:val="FootnoteReference"/>
          <w:rFonts w:asciiTheme="majorHAnsi" w:hAnsiTheme="majorHAnsi" w:cstheme="majorHAnsi"/>
        </w:rPr>
        <w:footnoteRef/>
      </w:r>
      <w:r w:rsidRPr="00195FE7">
        <w:rPr>
          <w:rFonts w:asciiTheme="majorHAnsi" w:hAnsiTheme="majorHAnsi" w:cstheme="majorHAnsi"/>
        </w:rPr>
        <w:t xml:space="preserve"> </w:t>
      </w:r>
      <w:r w:rsidRPr="00195FE7">
        <w:rPr>
          <w:rFonts w:asciiTheme="majorHAnsi" w:eastAsia="Calibri" w:hAnsiTheme="majorHAnsi" w:cstheme="majorHAnsi"/>
        </w:rPr>
        <w:t>17 November 2014, CEDAW/C/SEN/Q/3-7, List of issues, para. 6</w:t>
      </w:r>
    </w:p>
  </w:footnote>
  <w:footnote w:id="6">
    <w:p w14:paraId="3AFDE9F8" w14:textId="77777777" w:rsidR="008222FD" w:rsidRPr="00195FE7" w:rsidRDefault="008222FD" w:rsidP="008222FD">
      <w:pPr>
        <w:pStyle w:val="FootnoteText"/>
        <w:rPr>
          <w:rFonts w:asciiTheme="majorHAnsi" w:hAnsiTheme="majorHAnsi" w:cstheme="majorHAnsi"/>
        </w:rPr>
      </w:pPr>
      <w:r w:rsidRPr="00195FE7">
        <w:rPr>
          <w:rStyle w:val="FootnoteReference"/>
          <w:rFonts w:asciiTheme="majorHAnsi" w:hAnsiTheme="majorHAnsi" w:cstheme="majorHAnsi"/>
        </w:rPr>
        <w:footnoteRef/>
      </w:r>
      <w:r w:rsidRPr="00195FE7">
        <w:rPr>
          <w:rFonts w:asciiTheme="majorHAnsi" w:hAnsiTheme="majorHAnsi" w:cstheme="majorHAnsi"/>
        </w:rPr>
        <w:t xml:space="preserve"> </w:t>
      </w:r>
      <w:r w:rsidRPr="00195FE7">
        <w:rPr>
          <w:rFonts w:asciiTheme="majorHAnsi" w:eastAsia="Calibri" w:hAnsiTheme="majorHAnsi" w:cstheme="majorHAnsi"/>
        </w:rPr>
        <w:t>17 June 2015, CEDAW/C/SEN/Q3-7/Add.1, Reply to list of issues, paras. 74 and 75</w:t>
      </w:r>
    </w:p>
  </w:footnote>
  <w:footnote w:id="7">
    <w:p w14:paraId="3A05A1BE" w14:textId="77777777" w:rsidR="008222FD" w:rsidRPr="00195FE7" w:rsidRDefault="008222FD" w:rsidP="008222FD">
      <w:pPr>
        <w:pStyle w:val="FootnoteText"/>
        <w:rPr>
          <w:rFonts w:asciiTheme="majorHAnsi" w:hAnsiTheme="majorHAnsi" w:cstheme="majorHAnsi"/>
        </w:rPr>
      </w:pPr>
      <w:r w:rsidRPr="00195FE7">
        <w:rPr>
          <w:rStyle w:val="FootnoteReference"/>
          <w:rFonts w:asciiTheme="majorHAnsi" w:hAnsiTheme="majorHAnsi" w:cstheme="majorHAnsi"/>
        </w:rPr>
        <w:footnoteRef/>
      </w:r>
      <w:r w:rsidRPr="00195FE7">
        <w:rPr>
          <w:rFonts w:asciiTheme="majorHAnsi" w:hAnsiTheme="majorHAnsi" w:cstheme="majorHAnsi"/>
        </w:rPr>
        <w:t xml:space="preserve"> 12 November 2018, A/HRC/WG.6/31/L.2 Unedited version, Draft report of the Working group, paras. 6(180) and 7(23)</w:t>
      </w:r>
    </w:p>
  </w:footnote>
  <w:footnote w:id="8">
    <w:p w14:paraId="051AB6EA" w14:textId="77777777" w:rsidR="008222FD" w:rsidRPr="00195FE7" w:rsidRDefault="008222FD" w:rsidP="008222FD">
      <w:pPr>
        <w:pStyle w:val="FootnoteText"/>
        <w:rPr>
          <w:rFonts w:asciiTheme="majorHAnsi" w:hAnsiTheme="majorHAnsi" w:cstheme="majorHAnsi"/>
        </w:rPr>
      </w:pPr>
      <w:r w:rsidRPr="00195FE7">
        <w:rPr>
          <w:rStyle w:val="FootnoteReference"/>
          <w:rFonts w:asciiTheme="majorHAnsi" w:hAnsiTheme="majorHAnsi" w:cstheme="majorHAnsi"/>
        </w:rPr>
        <w:footnoteRef/>
      </w:r>
      <w:r w:rsidRPr="00195FE7">
        <w:rPr>
          <w:rFonts w:asciiTheme="majorHAnsi" w:hAnsiTheme="majorHAnsi" w:cstheme="majorHAnsi"/>
        </w:rPr>
        <w:t xml:space="preserve"> </w:t>
      </w:r>
      <w:r w:rsidRPr="00195FE7">
        <w:rPr>
          <w:rFonts w:asciiTheme="majorHAnsi" w:eastAsia="Calibri" w:hAnsiTheme="majorHAnsi" w:cstheme="majorHAnsi"/>
        </w:rPr>
        <w:t>29 December 2015, CRC/C/SEN/Q/3-5/Add.1, Reply to list of issues, para. 25</w:t>
      </w:r>
    </w:p>
  </w:footnote>
  <w:footnote w:id="9">
    <w:p w14:paraId="6CE7EE05" w14:textId="77777777" w:rsidR="008222FD" w:rsidRPr="00195FE7" w:rsidRDefault="008222FD" w:rsidP="008222FD">
      <w:pPr>
        <w:pStyle w:val="FootnoteText"/>
        <w:rPr>
          <w:rFonts w:asciiTheme="majorHAnsi" w:hAnsiTheme="majorHAnsi" w:cstheme="majorHAnsi"/>
        </w:rPr>
      </w:pPr>
      <w:r w:rsidRPr="00195FE7">
        <w:rPr>
          <w:rStyle w:val="FootnoteReference"/>
          <w:rFonts w:asciiTheme="majorHAnsi" w:hAnsiTheme="majorHAnsi" w:cstheme="majorHAnsi"/>
        </w:rPr>
        <w:footnoteRef/>
      </w:r>
      <w:r w:rsidRPr="00195FE7">
        <w:rPr>
          <w:rFonts w:asciiTheme="majorHAnsi" w:hAnsiTheme="majorHAnsi" w:cstheme="majorHAnsi"/>
        </w:rPr>
        <w:t xml:space="preserve"> 16 March 2017, CAT/C/SEN/4, Fourth report, para. 237</w:t>
      </w:r>
    </w:p>
  </w:footnote>
  <w:footnote w:id="10">
    <w:p w14:paraId="18A32CCE" w14:textId="77777777" w:rsidR="008222FD" w:rsidRPr="00195FE7" w:rsidRDefault="008222FD" w:rsidP="008222FD">
      <w:pPr>
        <w:pStyle w:val="FootnoteText"/>
        <w:rPr>
          <w:rFonts w:asciiTheme="majorHAnsi" w:hAnsiTheme="majorHAnsi" w:cstheme="majorHAnsi"/>
        </w:rPr>
      </w:pPr>
      <w:r w:rsidRPr="00195FE7">
        <w:rPr>
          <w:rStyle w:val="FootnoteReference"/>
          <w:rFonts w:asciiTheme="majorHAnsi" w:hAnsiTheme="majorHAnsi" w:cstheme="majorHAnsi"/>
        </w:rPr>
        <w:footnoteRef/>
      </w:r>
      <w:r w:rsidRPr="00195FE7">
        <w:rPr>
          <w:rFonts w:asciiTheme="majorHAnsi" w:hAnsiTheme="majorHAnsi" w:cstheme="majorHAnsi"/>
        </w:rPr>
        <w:t xml:space="preserve"> Information provided to the Global Initiative, May 2017</w:t>
      </w:r>
    </w:p>
  </w:footnote>
  <w:footnote w:id="11">
    <w:p w14:paraId="46FA9F65" w14:textId="77777777" w:rsidR="008222FD" w:rsidRPr="00195FE7" w:rsidRDefault="008222FD" w:rsidP="008222FD">
      <w:pPr>
        <w:pStyle w:val="FootnoteText"/>
        <w:rPr>
          <w:rFonts w:asciiTheme="majorHAnsi" w:hAnsiTheme="majorHAnsi" w:cstheme="majorHAnsi"/>
        </w:rPr>
      </w:pPr>
      <w:r w:rsidRPr="00195FE7">
        <w:rPr>
          <w:rStyle w:val="FootnoteReference"/>
          <w:rFonts w:asciiTheme="majorHAnsi" w:hAnsiTheme="majorHAnsi" w:cstheme="majorHAnsi"/>
        </w:rPr>
        <w:footnoteRef/>
      </w:r>
      <w:r w:rsidRPr="00195FE7">
        <w:rPr>
          <w:rFonts w:asciiTheme="majorHAnsi" w:hAnsiTheme="majorHAnsi" w:cstheme="majorHAnsi"/>
        </w:rPr>
        <w:t xml:space="preserve"> 31 August 2018, A/HRC/WG.6/31/SEN/1, National report to the UPR, para. 26; and communication with the Senegalese Committee for Human Rights, July 2018</w:t>
      </w:r>
    </w:p>
  </w:footnote>
  <w:footnote w:id="12">
    <w:p w14:paraId="70ED8156" w14:textId="77777777" w:rsidR="004672CE" w:rsidRPr="00195FE7" w:rsidRDefault="004672CE" w:rsidP="004672CE">
      <w:pPr>
        <w:pStyle w:val="FootnoteText"/>
        <w:rPr>
          <w:rFonts w:asciiTheme="majorHAnsi" w:hAnsiTheme="majorHAnsi" w:cstheme="majorHAnsi"/>
        </w:rPr>
      </w:pPr>
      <w:r w:rsidRPr="00195FE7">
        <w:rPr>
          <w:rStyle w:val="FootnoteReference"/>
          <w:rFonts w:asciiTheme="majorHAnsi" w:hAnsiTheme="majorHAnsi" w:cstheme="majorHAnsi"/>
        </w:rPr>
        <w:footnoteRef/>
      </w:r>
      <w:r w:rsidRPr="00195FE7">
        <w:rPr>
          <w:rFonts w:asciiTheme="majorHAnsi" w:hAnsiTheme="majorHAnsi" w:cstheme="majorHAnsi"/>
        </w:rPr>
        <w:t xml:space="preserve"> </w:t>
      </w:r>
      <w:r w:rsidRPr="00195FE7">
        <w:rPr>
          <w:rFonts w:asciiTheme="majorHAnsi" w:eastAsia="Calibri" w:hAnsiTheme="majorHAnsi" w:cstheme="majorHAnsi"/>
        </w:rPr>
        <w:t>17 June 2015, CEDAW/C/SEN/Q3-7/Add.1, Reply to list of issues, para. 114</w:t>
      </w:r>
    </w:p>
  </w:footnote>
  <w:footnote w:id="13">
    <w:p w14:paraId="22AD1F6F" w14:textId="77777777" w:rsidR="008222FD" w:rsidRPr="00195FE7" w:rsidRDefault="008222FD" w:rsidP="008222FD">
      <w:pPr>
        <w:pStyle w:val="FootnoteText"/>
        <w:rPr>
          <w:rFonts w:asciiTheme="majorHAnsi" w:hAnsiTheme="majorHAnsi" w:cstheme="majorHAnsi"/>
        </w:rPr>
      </w:pPr>
      <w:r w:rsidRPr="00195FE7">
        <w:rPr>
          <w:rStyle w:val="FootnoteReference"/>
          <w:rFonts w:asciiTheme="majorHAnsi" w:hAnsiTheme="majorHAnsi" w:cstheme="majorHAnsi"/>
        </w:rPr>
        <w:footnoteRef/>
      </w:r>
      <w:r w:rsidRPr="00195FE7">
        <w:rPr>
          <w:rFonts w:asciiTheme="majorHAnsi" w:hAnsiTheme="majorHAnsi" w:cstheme="majorHAnsi"/>
        </w:rPr>
        <w:t xml:space="preserve"> 5 October 2009, A/HRC/11/24, Report of the working group, para. 60</w:t>
      </w:r>
    </w:p>
  </w:footnote>
  <w:footnote w:id="14">
    <w:p w14:paraId="669BA8D5" w14:textId="77777777" w:rsidR="008222FD" w:rsidRPr="00195FE7" w:rsidRDefault="008222FD" w:rsidP="008222FD">
      <w:pPr>
        <w:pStyle w:val="FootnoteText"/>
        <w:rPr>
          <w:rFonts w:asciiTheme="majorHAnsi" w:hAnsiTheme="majorHAnsi" w:cstheme="majorHAnsi"/>
        </w:rPr>
      </w:pPr>
      <w:r w:rsidRPr="00195FE7">
        <w:rPr>
          <w:rStyle w:val="FootnoteReference"/>
          <w:rFonts w:asciiTheme="majorHAnsi" w:hAnsiTheme="majorHAnsi" w:cstheme="majorHAnsi"/>
        </w:rPr>
        <w:footnoteRef/>
      </w:r>
      <w:r w:rsidRPr="00195FE7">
        <w:rPr>
          <w:rFonts w:asciiTheme="majorHAnsi" w:hAnsiTheme="majorHAnsi" w:cstheme="majorHAnsi"/>
        </w:rPr>
        <w:t xml:space="preserve"> Information provided to the Global Initiative, May 2017</w:t>
      </w:r>
    </w:p>
  </w:footnote>
  <w:footnote w:id="15">
    <w:p w14:paraId="7CA8E677" w14:textId="77777777" w:rsidR="008222FD" w:rsidRPr="00195FE7" w:rsidRDefault="008222FD" w:rsidP="008222FD">
      <w:pPr>
        <w:pStyle w:val="FootnoteText"/>
        <w:rPr>
          <w:rFonts w:asciiTheme="majorHAnsi" w:hAnsiTheme="majorHAnsi" w:cstheme="majorHAnsi"/>
        </w:rPr>
      </w:pPr>
      <w:r w:rsidRPr="00195FE7">
        <w:rPr>
          <w:rStyle w:val="FootnoteReference"/>
          <w:rFonts w:asciiTheme="majorHAnsi" w:hAnsiTheme="majorHAnsi" w:cstheme="majorHAnsi"/>
        </w:rPr>
        <w:footnoteRef/>
      </w:r>
      <w:r w:rsidRPr="00195FE7">
        <w:rPr>
          <w:rFonts w:asciiTheme="majorHAnsi" w:hAnsiTheme="majorHAnsi" w:cstheme="majorHAnsi"/>
        </w:rPr>
        <w:t xml:space="preserve"> [May 2018], CAT/C/SEN/CO/4 Advance unedited version, Concluding observations on fourth report, para. 31</w:t>
      </w:r>
    </w:p>
  </w:footnote>
  <w:footnote w:id="16">
    <w:p w14:paraId="769E636E" w14:textId="77777777" w:rsidR="008222FD" w:rsidRPr="00195FE7" w:rsidRDefault="008222FD" w:rsidP="008222FD">
      <w:pPr>
        <w:pStyle w:val="FootnoteText"/>
        <w:rPr>
          <w:rFonts w:asciiTheme="majorHAnsi" w:hAnsiTheme="majorHAnsi" w:cstheme="majorHAnsi"/>
        </w:rPr>
      </w:pPr>
      <w:r w:rsidRPr="00195FE7">
        <w:rPr>
          <w:rStyle w:val="FootnoteReference"/>
          <w:rFonts w:asciiTheme="majorHAnsi" w:hAnsiTheme="majorHAnsi" w:cstheme="majorHAnsi"/>
        </w:rPr>
        <w:footnoteRef/>
      </w:r>
      <w:r w:rsidRPr="00195FE7">
        <w:rPr>
          <w:rFonts w:asciiTheme="majorHAnsi" w:hAnsiTheme="majorHAnsi" w:cstheme="majorHAnsi"/>
        </w:rPr>
        <w:t xml:space="preserve"> See </w:t>
      </w:r>
      <w:hyperlink r:id="rId1" w:history="1">
        <w:r w:rsidRPr="00195FE7">
          <w:rPr>
            <w:rStyle w:val="Hyperlink"/>
            <w:rFonts w:asciiTheme="majorHAnsi" w:hAnsiTheme="majorHAnsi" w:cstheme="majorHAnsi"/>
          </w:rPr>
          <w:t>http://www.jeuneafrique.com/575577/societe/pourquoi-le-senegal-veut-encadrer-les-ecoles-coraniques/</w:t>
        </w:r>
      </w:hyperlink>
      <w:r w:rsidRPr="00195FE7">
        <w:rPr>
          <w:rFonts w:asciiTheme="majorHAnsi" w:hAnsiTheme="majorHAnsi" w:cstheme="majorHAnsi"/>
        </w:rPr>
        <w:t>, accessed 14 June 2018</w:t>
      </w:r>
    </w:p>
  </w:footnote>
  <w:footnote w:id="17">
    <w:p w14:paraId="12089CD1" w14:textId="77777777" w:rsidR="008222FD" w:rsidRPr="00195FE7" w:rsidRDefault="008222FD" w:rsidP="008222FD">
      <w:pPr>
        <w:pStyle w:val="FootnoteText"/>
        <w:rPr>
          <w:rFonts w:asciiTheme="majorHAnsi" w:hAnsiTheme="majorHAnsi" w:cstheme="majorHAnsi"/>
          <w:i/>
        </w:rPr>
      </w:pPr>
      <w:r w:rsidRPr="00195FE7">
        <w:rPr>
          <w:rStyle w:val="FootnoteReference"/>
          <w:rFonts w:asciiTheme="majorHAnsi" w:hAnsiTheme="majorHAnsi" w:cstheme="majorHAnsi"/>
        </w:rPr>
        <w:footnoteRef/>
      </w:r>
      <w:r w:rsidRPr="00195FE7">
        <w:rPr>
          <w:rFonts w:asciiTheme="majorHAnsi" w:hAnsiTheme="majorHAnsi" w:cstheme="majorHAnsi"/>
        </w:rPr>
        <w:t xml:space="preserve"> UNICEF (2013), </w:t>
      </w:r>
      <w:r w:rsidRPr="00195FE7">
        <w:rPr>
          <w:rFonts w:asciiTheme="majorHAnsi" w:hAnsiTheme="majorHAnsi" w:cstheme="majorHAnsi"/>
          <w:i/>
        </w:rPr>
        <w:t xml:space="preserve">Annual report – Senegal </w:t>
      </w:r>
    </w:p>
  </w:footnote>
  <w:footnote w:id="18">
    <w:p w14:paraId="033860FA" w14:textId="77777777" w:rsidR="00505457" w:rsidRPr="00195FE7" w:rsidRDefault="00505457" w:rsidP="00505457">
      <w:pPr>
        <w:pStyle w:val="FootnoteText"/>
        <w:rPr>
          <w:rFonts w:asciiTheme="majorHAnsi" w:hAnsiTheme="majorHAnsi" w:cstheme="majorHAnsi"/>
          <w:lang w:eastAsia="en-US"/>
        </w:rPr>
      </w:pPr>
      <w:r w:rsidRPr="00195FE7">
        <w:rPr>
          <w:rStyle w:val="FootnoteReference"/>
          <w:rFonts w:asciiTheme="majorHAnsi" w:hAnsiTheme="majorHAnsi" w:cstheme="majorHAnsi"/>
        </w:rPr>
        <w:footnoteRef/>
      </w:r>
      <w:r w:rsidRPr="00195FE7">
        <w:rPr>
          <w:rFonts w:asciiTheme="majorHAnsi" w:hAnsiTheme="majorHAnsi" w:cstheme="majorHAnsi"/>
        </w:rPr>
        <w:t xml:space="preserve"> 27 November 1995, CRC/C/15/Add.44, Concluding observations on initial report, para. 24</w:t>
      </w:r>
    </w:p>
  </w:footnote>
  <w:footnote w:id="19">
    <w:p w14:paraId="24ED14F0" w14:textId="77777777" w:rsidR="00505457" w:rsidRPr="00195FE7" w:rsidRDefault="00505457" w:rsidP="00505457">
      <w:pPr>
        <w:pStyle w:val="FootnoteText"/>
        <w:rPr>
          <w:rFonts w:asciiTheme="majorHAnsi" w:hAnsiTheme="majorHAnsi" w:cstheme="majorHAnsi"/>
          <w:lang w:eastAsia="fr-FR"/>
        </w:rPr>
      </w:pPr>
      <w:r w:rsidRPr="00195FE7">
        <w:rPr>
          <w:rStyle w:val="FootnoteReference"/>
          <w:rFonts w:asciiTheme="majorHAnsi" w:hAnsiTheme="majorHAnsi" w:cstheme="majorHAnsi"/>
        </w:rPr>
        <w:footnoteRef/>
      </w:r>
      <w:r w:rsidRPr="00195FE7">
        <w:rPr>
          <w:rFonts w:asciiTheme="majorHAnsi" w:hAnsiTheme="majorHAnsi" w:cstheme="majorHAnsi"/>
        </w:rPr>
        <w:t xml:space="preserve"> </w:t>
      </w:r>
      <w:r w:rsidRPr="00195FE7">
        <w:rPr>
          <w:rFonts w:asciiTheme="majorHAnsi" w:hAnsiTheme="majorHAnsi" w:cstheme="majorHAnsi"/>
          <w:bCs/>
        </w:rPr>
        <w:t>20 October 2006, CRC/C/SEN/CO/2, Concluding observations on second report, paras. 36 and 37</w:t>
      </w:r>
    </w:p>
  </w:footnote>
  <w:footnote w:id="20">
    <w:p w14:paraId="364904EC" w14:textId="77777777" w:rsidR="00505457" w:rsidRPr="00195FE7" w:rsidRDefault="00505457" w:rsidP="00505457">
      <w:pPr>
        <w:pStyle w:val="FootnoteText"/>
        <w:rPr>
          <w:rFonts w:asciiTheme="majorHAnsi" w:hAnsiTheme="majorHAnsi" w:cstheme="majorHAnsi"/>
        </w:rPr>
      </w:pPr>
      <w:r w:rsidRPr="00195FE7">
        <w:rPr>
          <w:rStyle w:val="FootnoteReference"/>
          <w:rFonts w:asciiTheme="majorHAnsi" w:hAnsiTheme="majorHAnsi" w:cstheme="majorHAnsi"/>
        </w:rPr>
        <w:footnoteRef/>
      </w:r>
      <w:r w:rsidRPr="00195FE7">
        <w:rPr>
          <w:rFonts w:asciiTheme="majorHAnsi" w:hAnsiTheme="majorHAnsi" w:cstheme="majorHAnsi"/>
        </w:rPr>
        <w:t xml:space="preserve"> 29 January 2016, CRC/C/SEN/CO/3-5 Advance Unedited Version, Concluding observations on third-fifth report, paras. 35 and 36</w:t>
      </w:r>
    </w:p>
  </w:footnote>
  <w:footnote w:id="21">
    <w:p w14:paraId="2A4E9206" w14:textId="77777777" w:rsidR="00505457" w:rsidRPr="00195FE7" w:rsidRDefault="00505457" w:rsidP="00505457">
      <w:pPr>
        <w:pStyle w:val="FootnoteText"/>
        <w:rPr>
          <w:rFonts w:asciiTheme="majorHAnsi" w:hAnsiTheme="majorHAnsi" w:cstheme="majorHAnsi"/>
          <w:lang w:eastAsia="en-US"/>
        </w:rPr>
      </w:pPr>
      <w:r w:rsidRPr="00195FE7">
        <w:rPr>
          <w:rStyle w:val="FootnoteReference"/>
          <w:rFonts w:asciiTheme="majorHAnsi" w:hAnsiTheme="majorHAnsi" w:cstheme="majorHAnsi"/>
        </w:rPr>
        <w:footnoteRef/>
      </w:r>
      <w:r w:rsidRPr="00195FE7">
        <w:rPr>
          <w:rFonts w:asciiTheme="majorHAnsi" w:hAnsiTheme="majorHAnsi" w:cstheme="majorHAnsi"/>
        </w:rPr>
        <w:t xml:space="preserve"> 17 January 2013, CAT/C/SEN/CO/3 Concluding observations on third report, para. 15</w:t>
      </w:r>
    </w:p>
  </w:footnote>
  <w:footnote w:id="22">
    <w:p w14:paraId="2344C42D" w14:textId="77777777" w:rsidR="00505457" w:rsidRPr="00195FE7" w:rsidRDefault="00505457" w:rsidP="00505457">
      <w:pPr>
        <w:pStyle w:val="FootnoteText"/>
        <w:rPr>
          <w:rFonts w:asciiTheme="majorHAnsi" w:hAnsiTheme="majorHAnsi" w:cstheme="majorHAnsi"/>
          <w:lang w:eastAsia="fr-FR"/>
        </w:rPr>
      </w:pPr>
      <w:r w:rsidRPr="00195FE7">
        <w:rPr>
          <w:rStyle w:val="FootnoteReference"/>
          <w:rFonts w:asciiTheme="majorHAnsi" w:hAnsiTheme="majorHAnsi" w:cstheme="majorHAnsi"/>
        </w:rPr>
        <w:footnoteRef/>
      </w:r>
      <w:r w:rsidRPr="00195FE7">
        <w:rPr>
          <w:rFonts w:asciiTheme="majorHAnsi" w:hAnsiTheme="majorHAnsi" w:cstheme="majorHAnsi"/>
        </w:rPr>
        <w:t xml:space="preserve"> 5 October 2009, A/HRC/11/24, Report of the working group, para. 97(26)</w:t>
      </w:r>
    </w:p>
  </w:footnote>
  <w:footnote w:id="23">
    <w:p w14:paraId="2026BD94" w14:textId="77777777" w:rsidR="00505457" w:rsidRPr="00195FE7" w:rsidRDefault="00505457" w:rsidP="00505457">
      <w:pPr>
        <w:pStyle w:val="FootnoteText"/>
        <w:rPr>
          <w:rFonts w:asciiTheme="majorHAnsi" w:hAnsiTheme="majorHAnsi" w:cstheme="majorHAnsi"/>
          <w:lang w:val="en-US"/>
        </w:rPr>
      </w:pPr>
      <w:r w:rsidRPr="00195FE7">
        <w:rPr>
          <w:rStyle w:val="FootnoteReference"/>
          <w:rFonts w:asciiTheme="majorHAnsi" w:hAnsiTheme="majorHAnsi" w:cstheme="majorHAnsi"/>
        </w:rPr>
        <w:footnoteRef/>
      </w:r>
      <w:r w:rsidRPr="00195FE7">
        <w:rPr>
          <w:rFonts w:asciiTheme="majorHAnsi" w:hAnsiTheme="majorHAnsi" w:cstheme="majorHAnsi"/>
        </w:rPr>
        <w:t xml:space="preserve"> 23 July 2013, A/HRC/WG.6/17/SEN/1, National report to the UPR, para. 102</w:t>
      </w:r>
    </w:p>
  </w:footnote>
  <w:footnote w:id="24">
    <w:p w14:paraId="09439855" w14:textId="77777777" w:rsidR="00505457" w:rsidRPr="00195FE7" w:rsidRDefault="00505457" w:rsidP="00505457">
      <w:pPr>
        <w:rPr>
          <w:rFonts w:asciiTheme="majorHAnsi" w:hAnsiTheme="majorHAnsi" w:cstheme="majorHAnsi"/>
          <w:sz w:val="20"/>
          <w:szCs w:val="20"/>
        </w:rPr>
      </w:pPr>
      <w:r w:rsidRPr="00195FE7">
        <w:rPr>
          <w:rStyle w:val="FootnoteReference"/>
          <w:rFonts w:asciiTheme="majorHAnsi" w:hAnsiTheme="majorHAnsi" w:cstheme="majorHAnsi"/>
          <w:sz w:val="20"/>
          <w:szCs w:val="20"/>
        </w:rPr>
        <w:footnoteRef/>
      </w:r>
      <w:r w:rsidRPr="00195FE7">
        <w:rPr>
          <w:rFonts w:asciiTheme="majorHAnsi" w:hAnsiTheme="majorHAnsi" w:cstheme="majorHAnsi"/>
          <w:sz w:val="20"/>
          <w:szCs w:val="20"/>
        </w:rPr>
        <w:t xml:space="preserve"> 11 December 2013, A/HRC/25/4, Report of the working group, para. 123.64</w:t>
      </w:r>
    </w:p>
  </w:footnote>
  <w:footnote w:id="25">
    <w:p w14:paraId="0C974C16" w14:textId="77777777" w:rsidR="00505457" w:rsidRPr="00195FE7" w:rsidRDefault="00505457" w:rsidP="00505457">
      <w:pPr>
        <w:pStyle w:val="FootnoteText"/>
        <w:rPr>
          <w:rFonts w:asciiTheme="majorHAnsi" w:hAnsiTheme="majorHAnsi" w:cstheme="majorHAnsi"/>
        </w:rPr>
      </w:pPr>
      <w:r w:rsidRPr="00195FE7">
        <w:rPr>
          <w:rStyle w:val="FootnoteReference"/>
          <w:rFonts w:asciiTheme="majorHAnsi" w:hAnsiTheme="majorHAnsi" w:cstheme="majorHAnsi"/>
        </w:rPr>
        <w:footnoteRef/>
      </w:r>
      <w:r w:rsidRPr="00195FE7">
        <w:rPr>
          <w:rFonts w:asciiTheme="majorHAnsi" w:hAnsiTheme="majorHAnsi" w:cstheme="majorHAnsi"/>
        </w:rPr>
        <w:t xml:space="preserve"> 12 November 2018, A/HRC/WG.6/31/L.2 Unedited version, Draft report of the Working group, paras. 6(180) and 7(23)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0E6241D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7495B7C"/>
    <w:multiLevelType w:val="multilevel"/>
    <w:tmpl w:val="4CF85FA2"/>
    <w:lvl w:ilvl="0">
      <w:start w:val="1"/>
      <w:numFmt w:val="decimal"/>
      <w:lvlText w:val="%1"/>
      <w:lvlJc w:val="left"/>
      <w:pPr>
        <w:ind w:left="390" w:hanging="390"/>
      </w:pPr>
      <w:rPr>
        <w:rFonts w:ascii="Times New Roman" w:eastAsia="Times New Roman" w:hAnsi="Times New Roman" w:cs="Times New Roman"/>
      </w:rPr>
    </w:lvl>
    <w:lvl w:ilvl="1">
      <w:start w:val="1"/>
      <w:numFmt w:val="decimal"/>
      <w:lvlText w:val="%1.%2"/>
      <w:lvlJc w:val="left"/>
      <w:pPr>
        <w:ind w:left="390" w:hanging="39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5"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6AB91649"/>
    <w:multiLevelType w:val="hybridMultilevel"/>
    <w:tmpl w:val="131A45A4"/>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7" w15:restartNumberingAfterBreak="0">
    <w:nsid w:val="7B820225"/>
    <w:multiLevelType w:val="hybridMultilevel"/>
    <w:tmpl w:val="09068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5"/>
  </w:num>
  <w:num w:numId="4">
    <w:abstractNumId w:val="2"/>
  </w:num>
  <w:num w:numId="5">
    <w:abstractNumId w:val="8"/>
  </w:num>
  <w:num w:numId="6">
    <w:abstractNumId w:val="6"/>
  </w:num>
  <w:num w:numId="7">
    <w:abstractNumId w:val="4"/>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noPunctuationKerning/>
  <w:characterSpacingControl w:val="doNotCompress"/>
  <w:hdrShapeDefaults>
    <o:shapedefaults v:ext="edit" spidmax="4097"/>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25EE"/>
    <w:rsid w:val="000002B3"/>
    <w:rsid w:val="000176F0"/>
    <w:rsid w:val="00020DE2"/>
    <w:rsid w:val="000214C5"/>
    <w:rsid w:val="000217BF"/>
    <w:rsid w:val="000217FB"/>
    <w:rsid w:val="0002547D"/>
    <w:rsid w:val="000265D6"/>
    <w:rsid w:val="00030FED"/>
    <w:rsid w:val="0003240E"/>
    <w:rsid w:val="000330C9"/>
    <w:rsid w:val="000338A8"/>
    <w:rsid w:val="000533A7"/>
    <w:rsid w:val="00075396"/>
    <w:rsid w:val="00077E55"/>
    <w:rsid w:val="000827FD"/>
    <w:rsid w:val="000859C9"/>
    <w:rsid w:val="0008612D"/>
    <w:rsid w:val="000932B3"/>
    <w:rsid w:val="000A3923"/>
    <w:rsid w:val="000D7F80"/>
    <w:rsid w:val="000E558E"/>
    <w:rsid w:val="00106569"/>
    <w:rsid w:val="001117DC"/>
    <w:rsid w:val="001119F0"/>
    <w:rsid w:val="00126D81"/>
    <w:rsid w:val="00127339"/>
    <w:rsid w:val="0014131F"/>
    <w:rsid w:val="00142366"/>
    <w:rsid w:val="00143759"/>
    <w:rsid w:val="00147F85"/>
    <w:rsid w:val="00150855"/>
    <w:rsid w:val="00162F5A"/>
    <w:rsid w:val="001768A1"/>
    <w:rsid w:val="00181FAC"/>
    <w:rsid w:val="001847FF"/>
    <w:rsid w:val="00186788"/>
    <w:rsid w:val="00187327"/>
    <w:rsid w:val="001919DD"/>
    <w:rsid w:val="001947F2"/>
    <w:rsid w:val="00195FE7"/>
    <w:rsid w:val="001A0102"/>
    <w:rsid w:val="001B2F6E"/>
    <w:rsid w:val="001B43AF"/>
    <w:rsid w:val="001B7D95"/>
    <w:rsid w:val="001C55D9"/>
    <w:rsid w:val="001D1655"/>
    <w:rsid w:val="001D56D4"/>
    <w:rsid w:val="001E140B"/>
    <w:rsid w:val="001E2769"/>
    <w:rsid w:val="001F05A0"/>
    <w:rsid w:val="001F68F0"/>
    <w:rsid w:val="00205A1A"/>
    <w:rsid w:val="00215035"/>
    <w:rsid w:val="002230EE"/>
    <w:rsid w:val="00224BD1"/>
    <w:rsid w:val="00237875"/>
    <w:rsid w:val="00242520"/>
    <w:rsid w:val="002467F9"/>
    <w:rsid w:val="00250C7D"/>
    <w:rsid w:val="00251489"/>
    <w:rsid w:val="00254DF5"/>
    <w:rsid w:val="002638C7"/>
    <w:rsid w:val="00264AF9"/>
    <w:rsid w:val="00272F68"/>
    <w:rsid w:val="002748BD"/>
    <w:rsid w:val="002810F1"/>
    <w:rsid w:val="00284C98"/>
    <w:rsid w:val="00285A47"/>
    <w:rsid w:val="002A01E3"/>
    <w:rsid w:val="002A06FC"/>
    <w:rsid w:val="002A3229"/>
    <w:rsid w:val="002A7206"/>
    <w:rsid w:val="002B20D3"/>
    <w:rsid w:val="002B3F16"/>
    <w:rsid w:val="002B4503"/>
    <w:rsid w:val="002C5DAB"/>
    <w:rsid w:val="002D6FD4"/>
    <w:rsid w:val="002E09C9"/>
    <w:rsid w:val="002E15FB"/>
    <w:rsid w:val="002E2D70"/>
    <w:rsid w:val="002E4E5B"/>
    <w:rsid w:val="002E61CE"/>
    <w:rsid w:val="002F528D"/>
    <w:rsid w:val="00301753"/>
    <w:rsid w:val="00306C1D"/>
    <w:rsid w:val="00307A90"/>
    <w:rsid w:val="00312228"/>
    <w:rsid w:val="00312D2C"/>
    <w:rsid w:val="00315F04"/>
    <w:rsid w:val="00316151"/>
    <w:rsid w:val="00322E14"/>
    <w:rsid w:val="00327C1C"/>
    <w:rsid w:val="00347EAC"/>
    <w:rsid w:val="00353CF1"/>
    <w:rsid w:val="00353EF8"/>
    <w:rsid w:val="00361051"/>
    <w:rsid w:val="003617F3"/>
    <w:rsid w:val="0036194C"/>
    <w:rsid w:val="003653BB"/>
    <w:rsid w:val="00373271"/>
    <w:rsid w:val="003757DE"/>
    <w:rsid w:val="003764A5"/>
    <w:rsid w:val="00382A8F"/>
    <w:rsid w:val="003942F0"/>
    <w:rsid w:val="003A1FDA"/>
    <w:rsid w:val="003A2D7A"/>
    <w:rsid w:val="003B1533"/>
    <w:rsid w:val="003C2A68"/>
    <w:rsid w:val="003D4B76"/>
    <w:rsid w:val="003D6A85"/>
    <w:rsid w:val="003E1F72"/>
    <w:rsid w:val="003E35BE"/>
    <w:rsid w:val="003F1015"/>
    <w:rsid w:val="00414428"/>
    <w:rsid w:val="0041473A"/>
    <w:rsid w:val="0041659A"/>
    <w:rsid w:val="00424AF4"/>
    <w:rsid w:val="00425F3B"/>
    <w:rsid w:val="00435577"/>
    <w:rsid w:val="00437B2C"/>
    <w:rsid w:val="00457AD2"/>
    <w:rsid w:val="00460F41"/>
    <w:rsid w:val="00463C10"/>
    <w:rsid w:val="004672CE"/>
    <w:rsid w:val="004737EE"/>
    <w:rsid w:val="00482BF9"/>
    <w:rsid w:val="00485994"/>
    <w:rsid w:val="004866EF"/>
    <w:rsid w:val="00490379"/>
    <w:rsid w:val="00492E23"/>
    <w:rsid w:val="004B3464"/>
    <w:rsid w:val="004B5EB3"/>
    <w:rsid w:val="004C28F8"/>
    <w:rsid w:val="004C3E11"/>
    <w:rsid w:val="004D0FF8"/>
    <w:rsid w:val="004D4BCC"/>
    <w:rsid w:val="004D68EA"/>
    <w:rsid w:val="004D7A67"/>
    <w:rsid w:val="004E431B"/>
    <w:rsid w:val="004E691B"/>
    <w:rsid w:val="004F1D03"/>
    <w:rsid w:val="004F1D22"/>
    <w:rsid w:val="004F2D26"/>
    <w:rsid w:val="004F5801"/>
    <w:rsid w:val="004F70CD"/>
    <w:rsid w:val="004F7D9E"/>
    <w:rsid w:val="004F7EF9"/>
    <w:rsid w:val="005006B7"/>
    <w:rsid w:val="00505457"/>
    <w:rsid w:val="00514929"/>
    <w:rsid w:val="00520D79"/>
    <w:rsid w:val="00521973"/>
    <w:rsid w:val="005223A5"/>
    <w:rsid w:val="00526077"/>
    <w:rsid w:val="00533416"/>
    <w:rsid w:val="00543B9A"/>
    <w:rsid w:val="00545574"/>
    <w:rsid w:val="0055414A"/>
    <w:rsid w:val="0057626F"/>
    <w:rsid w:val="00581B3E"/>
    <w:rsid w:val="00581D48"/>
    <w:rsid w:val="005832BA"/>
    <w:rsid w:val="005869E5"/>
    <w:rsid w:val="00591A1C"/>
    <w:rsid w:val="00591DBA"/>
    <w:rsid w:val="0059593D"/>
    <w:rsid w:val="00597780"/>
    <w:rsid w:val="005A212D"/>
    <w:rsid w:val="005A435F"/>
    <w:rsid w:val="005A66D2"/>
    <w:rsid w:val="005A7272"/>
    <w:rsid w:val="005B31F1"/>
    <w:rsid w:val="005B5315"/>
    <w:rsid w:val="005B7111"/>
    <w:rsid w:val="005C28E4"/>
    <w:rsid w:val="005C2BF1"/>
    <w:rsid w:val="005C34D5"/>
    <w:rsid w:val="005C4DDD"/>
    <w:rsid w:val="005D1998"/>
    <w:rsid w:val="005D45A4"/>
    <w:rsid w:val="005E0F62"/>
    <w:rsid w:val="005E224B"/>
    <w:rsid w:val="005E2DC2"/>
    <w:rsid w:val="005F292A"/>
    <w:rsid w:val="005F2E16"/>
    <w:rsid w:val="0060486A"/>
    <w:rsid w:val="00605D18"/>
    <w:rsid w:val="006101B1"/>
    <w:rsid w:val="0061376B"/>
    <w:rsid w:val="00620321"/>
    <w:rsid w:val="00620FAB"/>
    <w:rsid w:val="00623A0A"/>
    <w:rsid w:val="0062663B"/>
    <w:rsid w:val="00633745"/>
    <w:rsid w:val="006460B8"/>
    <w:rsid w:val="00655927"/>
    <w:rsid w:val="00655F1A"/>
    <w:rsid w:val="00667DAE"/>
    <w:rsid w:val="00681915"/>
    <w:rsid w:val="00683188"/>
    <w:rsid w:val="00683622"/>
    <w:rsid w:val="006969BA"/>
    <w:rsid w:val="00697EC0"/>
    <w:rsid w:val="006B237E"/>
    <w:rsid w:val="006B7454"/>
    <w:rsid w:val="006B76CE"/>
    <w:rsid w:val="006C166A"/>
    <w:rsid w:val="006C6EBB"/>
    <w:rsid w:val="006E3A2C"/>
    <w:rsid w:val="007048C5"/>
    <w:rsid w:val="0070646C"/>
    <w:rsid w:val="00712118"/>
    <w:rsid w:val="00716B5D"/>
    <w:rsid w:val="0072294E"/>
    <w:rsid w:val="00725D25"/>
    <w:rsid w:val="00741FF7"/>
    <w:rsid w:val="00751244"/>
    <w:rsid w:val="00752380"/>
    <w:rsid w:val="00756CA5"/>
    <w:rsid w:val="007604D4"/>
    <w:rsid w:val="00766D98"/>
    <w:rsid w:val="00767639"/>
    <w:rsid w:val="007731FE"/>
    <w:rsid w:val="00785749"/>
    <w:rsid w:val="007915BB"/>
    <w:rsid w:val="00797BE0"/>
    <w:rsid w:val="00797CC8"/>
    <w:rsid w:val="007A21C3"/>
    <w:rsid w:val="007B15F5"/>
    <w:rsid w:val="007B398A"/>
    <w:rsid w:val="007B4603"/>
    <w:rsid w:val="007B540F"/>
    <w:rsid w:val="007C22B7"/>
    <w:rsid w:val="007C397C"/>
    <w:rsid w:val="007D2F31"/>
    <w:rsid w:val="007D5227"/>
    <w:rsid w:val="007F25EE"/>
    <w:rsid w:val="007F5F26"/>
    <w:rsid w:val="007F709A"/>
    <w:rsid w:val="007F7529"/>
    <w:rsid w:val="007F791E"/>
    <w:rsid w:val="00804DE0"/>
    <w:rsid w:val="008120D1"/>
    <w:rsid w:val="0081318D"/>
    <w:rsid w:val="008222FD"/>
    <w:rsid w:val="00825FA5"/>
    <w:rsid w:val="008331E5"/>
    <w:rsid w:val="00833827"/>
    <w:rsid w:val="0084473A"/>
    <w:rsid w:val="00847A77"/>
    <w:rsid w:val="00861D14"/>
    <w:rsid w:val="008644FA"/>
    <w:rsid w:val="008730E0"/>
    <w:rsid w:val="00886BA1"/>
    <w:rsid w:val="0089100E"/>
    <w:rsid w:val="008925A3"/>
    <w:rsid w:val="008A26A7"/>
    <w:rsid w:val="008B74E3"/>
    <w:rsid w:val="008D4A87"/>
    <w:rsid w:val="008D5519"/>
    <w:rsid w:val="008D5C6F"/>
    <w:rsid w:val="008D6D66"/>
    <w:rsid w:val="008E2F21"/>
    <w:rsid w:val="008E4894"/>
    <w:rsid w:val="008F0922"/>
    <w:rsid w:val="008F3F7F"/>
    <w:rsid w:val="008F4926"/>
    <w:rsid w:val="00902C77"/>
    <w:rsid w:val="00911447"/>
    <w:rsid w:val="00913972"/>
    <w:rsid w:val="00917147"/>
    <w:rsid w:val="00921E92"/>
    <w:rsid w:val="00923377"/>
    <w:rsid w:val="009242B2"/>
    <w:rsid w:val="00925C21"/>
    <w:rsid w:val="00937F66"/>
    <w:rsid w:val="0094061F"/>
    <w:rsid w:val="00955525"/>
    <w:rsid w:val="00963238"/>
    <w:rsid w:val="00963DD6"/>
    <w:rsid w:val="0098296F"/>
    <w:rsid w:val="00986253"/>
    <w:rsid w:val="00990A46"/>
    <w:rsid w:val="00994D13"/>
    <w:rsid w:val="009A2D05"/>
    <w:rsid w:val="009A464A"/>
    <w:rsid w:val="009B471D"/>
    <w:rsid w:val="009C18B7"/>
    <w:rsid w:val="009C24BF"/>
    <w:rsid w:val="009C25E9"/>
    <w:rsid w:val="009C390B"/>
    <w:rsid w:val="009C687E"/>
    <w:rsid w:val="009C7037"/>
    <w:rsid w:val="009D4F36"/>
    <w:rsid w:val="009D6E71"/>
    <w:rsid w:val="009E0C08"/>
    <w:rsid w:val="009E2C0A"/>
    <w:rsid w:val="009F5901"/>
    <w:rsid w:val="009F5C73"/>
    <w:rsid w:val="00A1392E"/>
    <w:rsid w:val="00A141B8"/>
    <w:rsid w:val="00A20DE1"/>
    <w:rsid w:val="00A26D5D"/>
    <w:rsid w:val="00A34229"/>
    <w:rsid w:val="00A400C3"/>
    <w:rsid w:val="00A52185"/>
    <w:rsid w:val="00A52BB4"/>
    <w:rsid w:val="00A53A7A"/>
    <w:rsid w:val="00A57679"/>
    <w:rsid w:val="00A61F7B"/>
    <w:rsid w:val="00A647F9"/>
    <w:rsid w:val="00A64F13"/>
    <w:rsid w:val="00A72C9A"/>
    <w:rsid w:val="00A76356"/>
    <w:rsid w:val="00AA6CB9"/>
    <w:rsid w:val="00AA6FA5"/>
    <w:rsid w:val="00AB131E"/>
    <w:rsid w:val="00AB1753"/>
    <w:rsid w:val="00AC46B1"/>
    <w:rsid w:val="00AD2590"/>
    <w:rsid w:val="00AF314F"/>
    <w:rsid w:val="00B05968"/>
    <w:rsid w:val="00B14123"/>
    <w:rsid w:val="00B14859"/>
    <w:rsid w:val="00B2447D"/>
    <w:rsid w:val="00B25AB8"/>
    <w:rsid w:val="00B31925"/>
    <w:rsid w:val="00B34E50"/>
    <w:rsid w:val="00B36E76"/>
    <w:rsid w:val="00B438B7"/>
    <w:rsid w:val="00B468C3"/>
    <w:rsid w:val="00B55728"/>
    <w:rsid w:val="00B57CFD"/>
    <w:rsid w:val="00B61ACB"/>
    <w:rsid w:val="00B65878"/>
    <w:rsid w:val="00B73008"/>
    <w:rsid w:val="00B7483C"/>
    <w:rsid w:val="00B75C6A"/>
    <w:rsid w:val="00B81094"/>
    <w:rsid w:val="00B84358"/>
    <w:rsid w:val="00B8457E"/>
    <w:rsid w:val="00B84812"/>
    <w:rsid w:val="00B86C92"/>
    <w:rsid w:val="00B87C69"/>
    <w:rsid w:val="00B92BC6"/>
    <w:rsid w:val="00B95040"/>
    <w:rsid w:val="00B9545D"/>
    <w:rsid w:val="00B97015"/>
    <w:rsid w:val="00BA2A8D"/>
    <w:rsid w:val="00BA754F"/>
    <w:rsid w:val="00BB1960"/>
    <w:rsid w:val="00BB5726"/>
    <w:rsid w:val="00BB7182"/>
    <w:rsid w:val="00BB7F9F"/>
    <w:rsid w:val="00BC68F4"/>
    <w:rsid w:val="00BC6C90"/>
    <w:rsid w:val="00BD259A"/>
    <w:rsid w:val="00BE0FA6"/>
    <w:rsid w:val="00BE37BF"/>
    <w:rsid w:val="00BF1402"/>
    <w:rsid w:val="00C004A4"/>
    <w:rsid w:val="00C17385"/>
    <w:rsid w:val="00C237B1"/>
    <w:rsid w:val="00C245E4"/>
    <w:rsid w:val="00C252DE"/>
    <w:rsid w:val="00C278E1"/>
    <w:rsid w:val="00C36B63"/>
    <w:rsid w:val="00C37622"/>
    <w:rsid w:val="00C518E3"/>
    <w:rsid w:val="00C51CB0"/>
    <w:rsid w:val="00C53B1C"/>
    <w:rsid w:val="00C63547"/>
    <w:rsid w:val="00C64EA1"/>
    <w:rsid w:val="00C82792"/>
    <w:rsid w:val="00C84FBA"/>
    <w:rsid w:val="00C91BB2"/>
    <w:rsid w:val="00C96E68"/>
    <w:rsid w:val="00C973D3"/>
    <w:rsid w:val="00C97A90"/>
    <w:rsid w:val="00C97C42"/>
    <w:rsid w:val="00CB457A"/>
    <w:rsid w:val="00CB7DD5"/>
    <w:rsid w:val="00CC09E1"/>
    <w:rsid w:val="00CC6D48"/>
    <w:rsid w:val="00CD349E"/>
    <w:rsid w:val="00CE015B"/>
    <w:rsid w:val="00CF1491"/>
    <w:rsid w:val="00CF1D97"/>
    <w:rsid w:val="00CF3C9D"/>
    <w:rsid w:val="00CF6F86"/>
    <w:rsid w:val="00D04D81"/>
    <w:rsid w:val="00D14AE4"/>
    <w:rsid w:val="00D25FCE"/>
    <w:rsid w:val="00D27EAE"/>
    <w:rsid w:val="00D36C44"/>
    <w:rsid w:val="00D465CC"/>
    <w:rsid w:val="00D46AF1"/>
    <w:rsid w:val="00D5594E"/>
    <w:rsid w:val="00D63AA6"/>
    <w:rsid w:val="00D64999"/>
    <w:rsid w:val="00D66B58"/>
    <w:rsid w:val="00D67B66"/>
    <w:rsid w:val="00D90209"/>
    <w:rsid w:val="00D91C58"/>
    <w:rsid w:val="00DA14D6"/>
    <w:rsid w:val="00DA17C8"/>
    <w:rsid w:val="00DA5C89"/>
    <w:rsid w:val="00DB0F27"/>
    <w:rsid w:val="00DC20AE"/>
    <w:rsid w:val="00DE4FD8"/>
    <w:rsid w:val="00DF1172"/>
    <w:rsid w:val="00DF2A6A"/>
    <w:rsid w:val="00DF42D1"/>
    <w:rsid w:val="00DF56D0"/>
    <w:rsid w:val="00DF6FBF"/>
    <w:rsid w:val="00DF749A"/>
    <w:rsid w:val="00DF7F1C"/>
    <w:rsid w:val="00E066AC"/>
    <w:rsid w:val="00E120C8"/>
    <w:rsid w:val="00E1292E"/>
    <w:rsid w:val="00E218F1"/>
    <w:rsid w:val="00E236B6"/>
    <w:rsid w:val="00E2521E"/>
    <w:rsid w:val="00E262BB"/>
    <w:rsid w:val="00E33299"/>
    <w:rsid w:val="00E34297"/>
    <w:rsid w:val="00E348D1"/>
    <w:rsid w:val="00E37399"/>
    <w:rsid w:val="00E42BCC"/>
    <w:rsid w:val="00E439B3"/>
    <w:rsid w:val="00E4774B"/>
    <w:rsid w:val="00E511FD"/>
    <w:rsid w:val="00E5715B"/>
    <w:rsid w:val="00E64999"/>
    <w:rsid w:val="00E745E0"/>
    <w:rsid w:val="00E74E94"/>
    <w:rsid w:val="00E82131"/>
    <w:rsid w:val="00E90F1D"/>
    <w:rsid w:val="00E91687"/>
    <w:rsid w:val="00E9361C"/>
    <w:rsid w:val="00E97452"/>
    <w:rsid w:val="00EA05DA"/>
    <w:rsid w:val="00EA123E"/>
    <w:rsid w:val="00EA3676"/>
    <w:rsid w:val="00EB16D4"/>
    <w:rsid w:val="00EC3476"/>
    <w:rsid w:val="00ED3374"/>
    <w:rsid w:val="00EE5770"/>
    <w:rsid w:val="00EF577B"/>
    <w:rsid w:val="00EF6C4C"/>
    <w:rsid w:val="00EF6D99"/>
    <w:rsid w:val="00F03CDA"/>
    <w:rsid w:val="00F238AE"/>
    <w:rsid w:val="00F27919"/>
    <w:rsid w:val="00F325F7"/>
    <w:rsid w:val="00F401E2"/>
    <w:rsid w:val="00F51705"/>
    <w:rsid w:val="00F63112"/>
    <w:rsid w:val="00F67CC5"/>
    <w:rsid w:val="00F7085F"/>
    <w:rsid w:val="00F70EFA"/>
    <w:rsid w:val="00F72865"/>
    <w:rsid w:val="00F80858"/>
    <w:rsid w:val="00F8476D"/>
    <w:rsid w:val="00F85174"/>
    <w:rsid w:val="00FB3818"/>
    <w:rsid w:val="00FC190E"/>
    <w:rsid w:val="00FD148E"/>
    <w:rsid w:val="00FE17B4"/>
    <w:rsid w:val="00FF0747"/>
    <w:rsid w:val="00FF139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1AFC9D29"/>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unhideWhenUsed="1"/>
    <w:lsdException w:name="No Spacing" w:semiHidden="1" w:uiPriority="68" w:unhideWhenUsed="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lang w:eastAsia="en-GB"/>
    </w:rPr>
  </w:style>
  <w:style w:type="paragraph" w:styleId="Heading1">
    <w:name w:val="heading 1"/>
    <w:aliases w:val="Heading 1 Char"/>
    <w:basedOn w:val="Normal"/>
    <w:next w:val="Normal"/>
    <w:link w:val="Heading1Char1"/>
    <w:uiPriority w:val="99"/>
    <w:qFormat/>
    <w:rsid w:val="00E90F1D"/>
    <w:pPr>
      <w:keepNext/>
      <w:outlineLvl w:val="0"/>
    </w:pPr>
    <w:rPr>
      <w:b/>
      <w:bCs/>
      <w:lang w:val="x-none" w:eastAsia="en-US"/>
    </w:rPr>
  </w:style>
  <w:style w:type="paragraph" w:styleId="Heading2">
    <w:name w:val="heading 2"/>
    <w:basedOn w:val="Normal"/>
    <w:next w:val="Normal"/>
    <w:link w:val="Heading2Char"/>
    <w:uiPriority w:val="9"/>
    <w:qFormat/>
    <w:rsid w:val="00E90F1D"/>
    <w:pPr>
      <w:keepNext/>
      <w:outlineLvl w:val="1"/>
    </w:pPr>
    <w:rPr>
      <w:b/>
      <w:bCs/>
      <w:lang w:val="x-none" w:eastAsia="en-US"/>
    </w:rPr>
  </w:style>
  <w:style w:type="paragraph" w:styleId="Heading3">
    <w:name w:val="heading 3"/>
    <w:basedOn w:val="Normal"/>
    <w:next w:val="Normal"/>
    <w:link w:val="Heading3Char"/>
    <w:uiPriority w:val="99"/>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rPr>
      <w:lang w:val="x-none" w:eastAsia="x-none"/>
    </w:rPr>
  </w:style>
  <w:style w:type="character" w:styleId="PageNumber">
    <w:name w:val="page number"/>
    <w:basedOn w:val="DefaultParagraphFont"/>
    <w:semiHidden/>
    <w:rsid w:val="00E90F1D"/>
  </w:style>
  <w:style w:type="paragraph" w:styleId="Header">
    <w:name w:val="header"/>
    <w:basedOn w:val="Normal"/>
    <w:semiHidden/>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styleId="BodyText3">
    <w:name w:val="Body Text 3"/>
    <w:basedOn w:val="Normal"/>
    <w:link w:val="BodyText3Char"/>
    <w:uiPriority w:val="99"/>
    <w:semiHidden/>
    <w:unhideWhenUsed/>
    <w:rsid w:val="00A52BB4"/>
    <w:pPr>
      <w:spacing w:after="120"/>
    </w:pPr>
    <w:rPr>
      <w:sz w:val="16"/>
      <w:szCs w:val="16"/>
      <w:lang w:val="x-none" w:eastAsia="x-none"/>
    </w:rPr>
  </w:style>
  <w:style w:type="character" w:customStyle="1" w:styleId="BodyText3Char">
    <w:name w:val="Body Text 3 Char"/>
    <w:link w:val="BodyText3"/>
    <w:uiPriority w:val="99"/>
    <w:semiHidden/>
    <w:rsid w:val="00A52BB4"/>
    <w:rPr>
      <w:sz w:val="16"/>
      <w:szCs w:val="16"/>
    </w:rPr>
  </w:style>
  <w:style w:type="paragraph" w:styleId="NoSpacing">
    <w:name w:val="No Spacing"/>
    <w:aliases w:val="Reference"/>
    <w:basedOn w:val="Normal"/>
    <w:link w:val="NoSpacingChar"/>
    <w:uiPriority w:val="99"/>
    <w:qFormat/>
    <w:rsid w:val="0094061F"/>
    <w:pPr>
      <w:spacing w:after="120" w:line="276" w:lineRule="auto"/>
      <w:jc w:val="right"/>
    </w:pPr>
    <w:rPr>
      <w:rFonts w:eastAsia="Calibri"/>
      <w:bCs/>
      <w:iCs/>
      <w:sz w:val="20"/>
      <w:szCs w:val="20"/>
      <w:lang w:val="x-none" w:eastAsia="en-US"/>
    </w:rPr>
  </w:style>
  <w:style w:type="character" w:customStyle="1" w:styleId="NoSpacingChar">
    <w:name w:val="No Spacing Char"/>
    <w:aliases w:val="Reference Char"/>
    <w:link w:val="NoSpacing"/>
    <w:uiPriority w:val="99"/>
    <w:rsid w:val="0094061F"/>
    <w:rPr>
      <w:rFonts w:eastAsia="Calibri"/>
      <w:bCs/>
      <w:iCs/>
      <w:lang w:eastAsia="en-US"/>
    </w:rPr>
  </w:style>
  <w:style w:type="paragraph" w:customStyle="1" w:styleId="Caption2">
    <w:name w:val="Caption2"/>
    <w:basedOn w:val="Normal"/>
    <w:rsid w:val="003B1533"/>
    <w:pPr>
      <w:spacing w:before="300" w:after="300" w:line="360" w:lineRule="auto"/>
      <w:ind w:left="300" w:right="300"/>
      <w:jc w:val="right"/>
    </w:pPr>
    <w:rPr>
      <w:rFonts w:ascii="Verdana" w:hAnsi="Verdana"/>
      <w:i/>
      <w:iCs/>
      <w:color w:val="000000"/>
      <w:sz w:val="15"/>
      <w:szCs w:val="15"/>
    </w:rPr>
  </w:style>
  <w:style w:type="paragraph" w:styleId="EndnoteText">
    <w:name w:val="endnote text"/>
    <w:basedOn w:val="Normal"/>
    <w:link w:val="EndnoteTextChar"/>
    <w:uiPriority w:val="99"/>
    <w:semiHidden/>
    <w:unhideWhenUsed/>
    <w:rsid w:val="00B34E50"/>
    <w:rPr>
      <w:sz w:val="20"/>
      <w:szCs w:val="20"/>
    </w:rPr>
  </w:style>
  <w:style w:type="character" w:customStyle="1" w:styleId="EndnoteTextChar">
    <w:name w:val="Endnote Text Char"/>
    <w:basedOn w:val="DefaultParagraphFont"/>
    <w:link w:val="EndnoteText"/>
    <w:uiPriority w:val="99"/>
    <w:semiHidden/>
    <w:rsid w:val="00B34E50"/>
  </w:style>
  <w:style w:type="character" w:styleId="EndnoteReference">
    <w:name w:val="endnote reference"/>
    <w:uiPriority w:val="99"/>
    <w:semiHidden/>
    <w:unhideWhenUsed/>
    <w:rsid w:val="00B34E50"/>
    <w:rPr>
      <w:vertAlign w:val="superscript"/>
    </w:rPr>
  </w:style>
  <w:style w:type="paragraph" w:styleId="ListParagraph">
    <w:name w:val="List Paragraph"/>
    <w:basedOn w:val="Normal"/>
    <w:uiPriority w:val="72"/>
    <w:rsid w:val="001423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266771">
      <w:bodyDiv w:val="1"/>
      <w:marLeft w:val="0"/>
      <w:marRight w:val="0"/>
      <w:marTop w:val="0"/>
      <w:marBottom w:val="0"/>
      <w:divBdr>
        <w:top w:val="none" w:sz="0" w:space="0" w:color="auto"/>
        <w:left w:val="none" w:sz="0" w:space="0" w:color="auto"/>
        <w:bottom w:val="none" w:sz="0" w:space="0" w:color="auto"/>
        <w:right w:val="none" w:sz="0" w:space="0" w:color="auto"/>
      </w:divBdr>
    </w:div>
    <w:div w:id="85227980">
      <w:bodyDiv w:val="1"/>
      <w:marLeft w:val="0"/>
      <w:marRight w:val="0"/>
      <w:marTop w:val="0"/>
      <w:marBottom w:val="0"/>
      <w:divBdr>
        <w:top w:val="none" w:sz="0" w:space="0" w:color="auto"/>
        <w:left w:val="none" w:sz="0" w:space="0" w:color="auto"/>
        <w:bottom w:val="none" w:sz="0" w:space="0" w:color="auto"/>
        <w:right w:val="none" w:sz="0" w:space="0" w:color="auto"/>
      </w:divBdr>
    </w:div>
    <w:div w:id="104889879">
      <w:bodyDiv w:val="1"/>
      <w:marLeft w:val="0"/>
      <w:marRight w:val="0"/>
      <w:marTop w:val="0"/>
      <w:marBottom w:val="0"/>
      <w:divBdr>
        <w:top w:val="none" w:sz="0" w:space="0" w:color="auto"/>
        <w:left w:val="none" w:sz="0" w:space="0" w:color="auto"/>
        <w:bottom w:val="none" w:sz="0" w:space="0" w:color="auto"/>
        <w:right w:val="none" w:sz="0" w:space="0" w:color="auto"/>
      </w:divBdr>
    </w:div>
    <w:div w:id="198513860">
      <w:bodyDiv w:val="1"/>
      <w:marLeft w:val="0"/>
      <w:marRight w:val="0"/>
      <w:marTop w:val="0"/>
      <w:marBottom w:val="0"/>
      <w:divBdr>
        <w:top w:val="none" w:sz="0" w:space="0" w:color="auto"/>
        <w:left w:val="none" w:sz="0" w:space="0" w:color="auto"/>
        <w:bottom w:val="none" w:sz="0" w:space="0" w:color="auto"/>
        <w:right w:val="none" w:sz="0" w:space="0" w:color="auto"/>
      </w:divBdr>
    </w:div>
    <w:div w:id="378669859">
      <w:bodyDiv w:val="1"/>
      <w:marLeft w:val="300"/>
      <w:marRight w:val="300"/>
      <w:marTop w:val="300"/>
      <w:marBottom w:val="300"/>
      <w:divBdr>
        <w:top w:val="none" w:sz="0" w:space="0" w:color="auto"/>
        <w:left w:val="none" w:sz="0" w:space="0" w:color="auto"/>
        <w:bottom w:val="none" w:sz="0" w:space="0" w:color="auto"/>
        <w:right w:val="none" w:sz="0" w:space="0" w:color="auto"/>
      </w:divBdr>
    </w:div>
    <w:div w:id="381831798">
      <w:bodyDiv w:val="1"/>
      <w:marLeft w:val="0"/>
      <w:marRight w:val="0"/>
      <w:marTop w:val="0"/>
      <w:marBottom w:val="0"/>
      <w:divBdr>
        <w:top w:val="none" w:sz="0" w:space="0" w:color="auto"/>
        <w:left w:val="none" w:sz="0" w:space="0" w:color="auto"/>
        <w:bottom w:val="none" w:sz="0" w:space="0" w:color="auto"/>
        <w:right w:val="none" w:sz="0" w:space="0" w:color="auto"/>
      </w:divBdr>
    </w:div>
    <w:div w:id="459882896">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3021229">
      <w:bodyDiv w:val="1"/>
      <w:marLeft w:val="0"/>
      <w:marRight w:val="0"/>
      <w:marTop w:val="0"/>
      <w:marBottom w:val="0"/>
      <w:divBdr>
        <w:top w:val="none" w:sz="0" w:space="0" w:color="auto"/>
        <w:left w:val="none" w:sz="0" w:space="0" w:color="auto"/>
        <w:bottom w:val="none" w:sz="0" w:space="0" w:color="auto"/>
        <w:right w:val="none" w:sz="0" w:space="0" w:color="auto"/>
      </w:divBdr>
    </w:div>
    <w:div w:id="783227082">
      <w:bodyDiv w:val="1"/>
      <w:marLeft w:val="0"/>
      <w:marRight w:val="0"/>
      <w:marTop w:val="0"/>
      <w:marBottom w:val="0"/>
      <w:divBdr>
        <w:top w:val="none" w:sz="0" w:space="0" w:color="auto"/>
        <w:left w:val="none" w:sz="0" w:space="0" w:color="auto"/>
        <w:bottom w:val="none" w:sz="0" w:space="0" w:color="auto"/>
        <w:right w:val="none" w:sz="0" w:space="0" w:color="auto"/>
      </w:divBdr>
    </w:div>
    <w:div w:id="792287178">
      <w:bodyDiv w:val="1"/>
      <w:marLeft w:val="0"/>
      <w:marRight w:val="0"/>
      <w:marTop w:val="0"/>
      <w:marBottom w:val="0"/>
      <w:divBdr>
        <w:top w:val="none" w:sz="0" w:space="0" w:color="auto"/>
        <w:left w:val="none" w:sz="0" w:space="0" w:color="auto"/>
        <w:bottom w:val="none" w:sz="0" w:space="0" w:color="auto"/>
        <w:right w:val="none" w:sz="0" w:space="0" w:color="auto"/>
      </w:divBdr>
    </w:div>
    <w:div w:id="833573544">
      <w:bodyDiv w:val="1"/>
      <w:marLeft w:val="0"/>
      <w:marRight w:val="0"/>
      <w:marTop w:val="0"/>
      <w:marBottom w:val="0"/>
      <w:divBdr>
        <w:top w:val="none" w:sz="0" w:space="0" w:color="auto"/>
        <w:left w:val="none" w:sz="0" w:space="0" w:color="auto"/>
        <w:bottom w:val="none" w:sz="0" w:space="0" w:color="auto"/>
        <w:right w:val="none" w:sz="0" w:space="0" w:color="auto"/>
      </w:divBdr>
    </w:div>
    <w:div w:id="835649748">
      <w:bodyDiv w:val="1"/>
      <w:marLeft w:val="0"/>
      <w:marRight w:val="0"/>
      <w:marTop w:val="0"/>
      <w:marBottom w:val="0"/>
      <w:divBdr>
        <w:top w:val="none" w:sz="0" w:space="0" w:color="auto"/>
        <w:left w:val="none" w:sz="0" w:space="0" w:color="auto"/>
        <w:bottom w:val="none" w:sz="0" w:space="0" w:color="auto"/>
        <w:right w:val="none" w:sz="0" w:space="0" w:color="auto"/>
      </w:divBdr>
    </w:div>
    <w:div w:id="993071635">
      <w:bodyDiv w:val="1"/>
      <w:marLeft w:val="0"/>
      <w:marRight w:val="0"/>
      <w:marTop w:val="0"/>
      <w:marBottom w:val="0"/>
      <w:divBdr>
        <w:top w:val="none" w:sz="0" w:space="0" w:color="auto"/>
        <w:left w:val="none" w:sz="0" w:space="0" w:color="auto"/>
        <w:bottom w:val="none" w:sz="0" w:space="0" w:color="auto"/>
        <w:right w:val="none" w:sz="0" w:space="0" w:color="auto"/>
      </w:divBdr>
    </w:div>
    <w:div w:id="1099136349">
      <w:bodyDiv w:val="1"/>
      <w:marLeft w:val="0"/>
      <w:marRight w:val="0"/>
      <w:marTop w:val="0"/>
      <w:marBottom w:val="0"/>
      <w:divBdr>
        <w:top w:val="none" w:sz="0" w:space="0" w:color="auto"/>
        <w:left w:val="none" w:sz="0" w:space="0" w:color="auto"/>
        <w:bottom w:val="none" w:sz="0" w:space="0" w:color="auto"/>
        <w:right w:val="none" w:sz="0" w:space="0" w:color="auto"/>
      </w:divBdr>
    </w:div>
    <w:div w:id="1225486575">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27586476">
      <w:bodyDiv w:val="1"/>
      <w:marLeft w:val="0"/>
      <w:marRight w:val="0"/>
      <w:marTop w:val="0"/>
      <w:marBottom w:val="0"/>
      <w:divBdr>
        <w:top w:val="none" w:sz="0" w:space="0" w:color="auto"/>
        <w:left w:val="none" w:sz="0" w:space="0" w:color="auto"/>
        <w:bottom w:val="none" w:sz="0" w:space="0" w:color="auto"/>
        <w:right w:val="none" w:sz="0" w:space="0" w:color="auto"/>
      </w:divBdr>
    </w:div>
    <w:div w:id="1343505633">
      <w:bodyDiv w:val="1"/>
      <w:marLeft w:val="0"/>
      <w:marRight w:val="0"/>
      <w:marTop w:val="0"/>
      <w:marBottom w:val="0"/>
      <w:divBdr>
        <w:top w:val="none" w:sz="0" w:space="0" w:color="auto"/>
        <w:left w:val="none" w:sz="0" w:space="0" w:color="auto"/>
        <w:bottom w:val="none" w:sz="0" w:space="0" w:color="auto"/>
        <w:right w:val="none" w:sz="0" w:space="0" w:color="auto"/>
      </w:divBdr>
    </w:div>
    <w:div w:id="1424260128">
      <w:bodyDiv w:val="1"/>
      <w:marLeft w:val="0"/>
      <w:marRight w:val="0"/>
      <w:marTop w:val="0"/>
      <w:marBottom w:val="0"/>
      <w:divBdr>
        <w:top w:val="none" w:sz="0" w:space="0" w:color="auto"/>
        <w:left w:val="none" w:sz="0" w:space="0" w:color="auto"/>
        <w:bottom w:val="none" w:sz="0" w:space="0" w:color="auto"/>
        <w:right w:val="none" w:sz="0" w:space="0" w:color="auto"/>
      </w:divBdr>
    </w:div>
    <w:div w:id="1545214621">
      <w:bodyDiv w:val="1"/>
      <w:marLeft w:val="0"/>
      <w:marRight w:val="0"/>
      <w:marTop w:val="0"/>
      <w:marBottom w:val="0"/>
      <w:divBdr>
        <w:top w:val="none" w:sz="0" w:space="0" w:color="auto"/>
        <w:left w:val="none" w:sz="0" w:space="0" w:color="auto"/>
        <w:bottom w:val="none" w:sz="0" w:space="0" w:color="auto"/>
        <w:right w:val="none" w:sz="0" w:space="0" w:color="auto"/>
      </w:divBdr>
    </w:div>
    <w:div w:id="1575622077">
      <w:bodyDiv w:val="1"/>
      <w:marLeft w:val="0"/>
      <w:marRight w:val="0"/>
      <w:marTop w:val="0"/>
      <w:marBottom w:val="0"/>
      <w:divBdr>
        <w:top w:val="none" w:sz="0" w:space="0" w:color="auto"/>
        <w:left w:val="none" w:sz="0" w:space="0" w:color="auto"/>
        <w:bottom w:val="none" w:sz="0" w:space="0" w:color="auto"/>
        <w:right w:val="none" w:sz="0" w:space="0" w:color="auto"/>
      </w:divBdr>
    </w:div>
    <w:div w:id="1651252958">
      <w:bodyDiv w:val="1"/>
      <w:marLeft w:val="0"/>
      <w:marRight w:val="0"/>
      <w:marTop w:val="0"/>
      <w:marBottom w:val="0"/>
      <w:divBdr>
        <w:top w:val="none" w:sz="0" w:space="0" w:color="auto"/>
        <w:left w:val="none" w:sz="0" w:space="0" w:color="auto"/>
        <w:bottom w:val="none" w:sz="0" w:space="0" w:color="auto"/>
        <w:right w:val="none" w:sz="0" w:space="0" w:color="auto"/>
      </w:divBdr>
    </w:div>
    <w:div w:id="1674838980">
      <w:bodyDiv w:val="1"/>
      <w:marLeft w:val="0"/>
      <w:marRight w:val="0"/>
      <w:marTop w:val="0"/>
      <w:marBottom w:val="0"/>
      <w:divBdr>
        <w:top w:val="none" w:sz="0" w:space="0" w:color="auto"/>
        <w:left w:val="none" w:sz="0" w:space="0" w:color="auto"/>
        <w:bottom w:val="none" w:sz="0" w:space="0" w:color="auto"/>
        <w:right w:val="none" w:sz="0" w:space="0" w:color="auto"/>
      </w:divBdr>
    </w:div>
    <w:div w:id="1702240869">
      <w:bodyDiv w:val="1"/>
      <w:marLeft w:val="0"/>
      <w:marRight w:val="0"/>
      <w:marTop w:val="0"/>
      <w:marBottom w:val="0"/>
      <w:divBdr>
        <w:top w:val="none" w:sz="0" w:space="0" w:color="auto"/>
        <w:left w:val="none" w:sz="0" w:space="0" w:color="auto"/>
        <w:bottom w:val="none" w:sz="0" w:space="0" w:color="auto"/>
        <w:right w:val="none" w:sz="0" w:space="0" w:color="auto"/>
      </w:divBdr>
    </w:div>
    <w:div w:id="174387106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3982465">
      <w:bodyDiv w:val="1"/>
      <w:marLeft w:val="0"/>
      <w:marRight w:val="0"/>
      <w:marTop w:val="0"/>
      <w:marBottom w:val="0"/>
      <w:divBdr>
        <w:top w:val="none" w:sz="0" w:space="0" w:color="auto"/>
        <w:left w:val="none" w:sz="0" w:space="0" w:color="auto"/>
        <w:bottom w:val="none" w:sz="0" w:space="0" w:color="auto"/>
        <w:right w:val="none" w:sz="0" w:space="0" w:color="auto"/>
      </w:divBdr>
    </w:div>
    <w:div w:id="1844933582">
      <w:bodyDiv w:val="1"/>
      <w:marLeft w:val="0"/>
      <w:marRight w:val="0"/>
      <w:marTop w:val="0"/>
      <w:marBottom w:val="0"/>
      <w:divBdr>
        <w:top w:val="none" w:sz="0" w:space="0" w:color="auto"/>
        <w:left w:val="none" w:sz="0" w:space="0" w:color="auto"/>
        <w:bottom w:val="none" w:sz="0" w:space="0" w:color="auto"/>
        <w:right w:val="none" w:sz="0" w:space="0" w:color="auto"/>
      </w:divBdr>
    </w:div>
    <w:div w:id="1885750564">
      <w:bodyDiv w:val="1"/>
      <w:marLeft w:val="0"/>
      <w:marRight w:val="0"/>
      <w:marTop w:val="0"/>
      <w:marBottom w:val="0"/>
      <w:divBdr>
        <w:top w:val="none" w:sz="0" w:space="0" w:color="auto"/>
        <w:left w:val="none" w:sz="0" w:space="0" w:color="auto"/>
        <w:bottom w:val="none" w:sz="0" w:space="0" w:color="auto"/>
        <w:right w:val="none" w:sz="0" w:space="0" w:color="auto"/>
      </w:divBdr>
    </w:div>
    <w:div w:id="1913466931">
      <w:bodyDiv w:val="1"/>
      <w:marLeft w:val="0"/>
      <w:marRight w:val="0"/>
      <w:marTop w:val="0"/>
      <w:marBottom w:val="0"/>
      <w:divBdr>
        <w:top w:val="none" w:sz="0" w:space="0" w:color="auto"/>
        <w:left w:val="none" w:sz="0" w:space="0" w:color="auto"/>
        <w:bottom w:val="none" w:sz="0" w:space="0" w:color="auto"/>
        <w:right w:val="none" w:sz="0" w:space="0" w:color="auto"/>
      </w:divBdr>
    </w:div>
    <w:div w:id="1915508211">
      <w:bodyDiv w:val="1"/>
      <w:marLeft w:val="0"/>
      <w:marRight w:val="0"/>
      <w:marTop w:val="0"/>
      <w:marBottom w:val="0"/>
      <w:divBdr>
        <w:top w:val="none" w:sz="0" w:space="0" w:color="auto"/>
        <w:left w:val="none" w:sz="0" w:space="0" w:color="auto"/>
        <w:bottom w:val="none" w:sz="0" w:space="0" w:color="auto"/>
        <w:right w:val="none" w:sz="0" w:space="0" w:color="auto"/>
      </w:divBdr>
    </w:div>
    <w:div w:id="1962572440">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 w:id="2048606895">
      <w:bodyDiv w:val="1"/>
      <w:marLeft w:val="0"/>
      <w:marRight w:val="0"/>
      <w:marTop w:val="0"/>
      <w:marBottom w:val="0"/>
      <w:divBdr>
        <w:top w:val="none" w:sz="0" w:space="0" w:color="auto"/>
        <w:left w:val="none" w:sz="0" w:space="0" w:color="auto"/>
        <w:bottom w:val="none" w:sz="0" w:space="0" w:color="auto"/>
        <w:right w:val="none" w:sz="0" w:space="0" w:color="auto"/>
      </w:divBdr>
    </w:div>
    <w:div w:id="20575846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endcorporalpunishment.or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info@endcorporalpunishment.org"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jeuneafrique.com/575577/societe/pourquoi-le-senegal-veut-encadrer-les-ecoles-coraniqu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A574D5-768C-42B9-B145-84C143D00D3D}"/>
</file>

<file path=customXml/itemProps2.xml><?xml version="1.0" encoding="utf-8"?>
<ds:datastoreItem xmlns:ds="http://schemas.openxmlformats.org/officeDocument/2006/customXml" ds:itemID="{CD458E77-4ECF-4667-B6F7-7996F83A0473}"/>
</file>

<file path=customXml/itemProps3.xml><?xml version="1.0" encoding="utf-8"?>
<ds:datastoreItem xmlns:ds="http://schemas.openxmlformats.org/officeDocument/2006/customXml" ds:itemID="{101527D1-71F8-455B-B6D9-EFEB835EF6CB}"/>
</file>

<file path=customXml/itemProps4.xml><?xml version="1.0" encoding="utf-8"?>
<ds:datastoreItem xmlns:ds="http://schemas.openxmlformats.org/officeDocument/2006/customXml" ds:itemID="{EB287DAC-BE00-46C4-B127-F0C3C4791392}"/>
</file>

<file path=customXml/itemProps5.xml><?xml version="1.0" encoding="utf-8"?>
<ds:datastoreItem xmlns:ds="http://schemas.openxmlformats.org/officeDocument/2006/customXml" ds:itemID="{57867BE8-A556-49BB-974F-9DE862E8C652}"/>
</file>

<file path=docProps/app.xml><?xml version="1.0" encoding="utf-8"?>
<Properties xmlns="http://schemas.openxmlformats.org/officeDocument/2006/extended-properties" xmlns:vt="http://schemas.openxmlformats.org/officeDocument/2006/docPropsVTypes">
  <Template>Normal.dotm</Template>
  <TotalTime>1</TotalTime>
  <Pages>5</Pages>
  <Words>1956</Words>
  <Characters>11155</Characters>
  <Application>Microsoft Office Word</Application>
  <DocSecurity>4</DocSecurity>
  <Lines>92</Lines>
  <Paragraphs>26</Paragraphs>
  <ScaleCrop>false</ScaleCrop>
  <HeadingPairs>
    <vt:vector size="2" baseType="variant">
      <vt:variant>
        <vt:lpstr>Title</vt:lpstr>
      </vt:variant>
      <vt:variant>
        <vt:i4>1</vt:i4>
      </vt:variant>
    </vt:vector>
  </HeadingPairs>
  <TitlesOfParts>
    <vt:vector size="1" baseType="lpstr">
      <vt:lpstr>GI CRPD briefing</vt:lpstr>
    </vt:vector>
  </TitlesOfParts>
  <Company>Freelance Writing &amp; Research</Company>
  <LinksUpToDate>false</LinksUpToDate>
  <CharactersWithSpaces>13085</CharactersWithSpaces>
  <SharedDoc>false</SharedDoc>
  <HLinks>
    <vt:vector size="30" baseType="variant">
      <vt:variant>
        <vt:i4>7208998</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131159</vt:i4>
      </vt:variant>
      <vt:variant>
        <vt:i4>0</vt:i4>
      </vt:variant>
      <vt:variant>
        <vt:i4>0</vt:i4>
      </vt:variant>
      <vt:variant>
        <vt:i4>5</vt:i4>
      </vt:variant>
      <vt:variant>
        <vt:lpwstr>mailto:elinor@endcorporalpunishment.org</vt:lpwstr>
      </vt:variant>
      <vt:variant>
        <vt:lpwstr/>
      </vt:variant>
      <vt:variant>
        <vt:i4>7208998</vt:i4>
      </vt:variant>
      <vt:variant>
        <vt:i4>3</vt:i4>
      </vt:variant>
      <vt:variant>
        <vt:i4>0</vt:i4>
      </vt:variant>
      <vt:variant>
        <vt:i4>5</vt:i4>
      </vt:variant>
      <vt:variant>
        <vt:lpwstr>mailto:info@endcorporalpunishment.org</vt:lpwstr>
      </vt:variant>
      <vt:variant>
        <vt:lpwstr/>
      </vt:variant>
      <vt:variant>
        <vt:i4>4587539</vt:i4>
      </vt:variant>
      <vt:variant>
        <vt:i4>0</vt:i4>
      </vt:variant>
      <vt:variant>
        <vt:i4>0</vt:i4>
      </vt:variant>
      <vt:variant>
        <vt:i4>5</vt:i4>
      </vt:variant>
      <vt:variant>
        <vt:lpwstr>http://www.endcorporalpunishment.org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CRPD briefing</dc:title>
  <dc:subject/>
  <dc:creator>Global Initiative to End All Corporal Punishment of Children</dc:creator>
  <cp:keywords/>
  <cp:lastModifiedBy>CAILLOT Lucille</cp:lastModifiedBy>
  <cp:revision>2</cp:revision>
  <cp:lastPrinted>2005-01-04T10:45:00Z</cp:lastPrinted>
  <dcterms:created xsi:type="dcterms:W3CDTF">2019-02-11T13:24:00Z</dcterms:created>
  <dcterms:modified xsi:type="dcterms:W3CDTF">2019-02-11T13:24:00Z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0x010100A55E3C1D809DFD4CA245D0C6A65A453A</vt:lpwstr>
  </property>
</Properties>
</file>