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82913" w14:textId="77777777" w:rsidR="0090197E" w:rsidRPr="001168D1" w:rsidRDefault="00000000">
      <w:pPr>
        <w:spacing w:before="240" w:after="240"/>
        <w:jc w:val="both"/>
        <w:rPr>
          <w:rFonts w:ascii="Times New Roman" w:eastAsia="Times New Roman" w:hAnsi="Times New Roman" w:cs="Times New Roman"/>
          <w:sz w:val="24"/>
          <w:szCs w:val="24"/>
          <w:lang w:val="en-US"/>
        </w:rPr>
      </w:pPr>
      <w:r w:rsidRPr="001168D1">
        <w:rPr>
          <w:rFonts w:ascii="Times New Roman" w:eastAsia="Times New Roman" w:hAnsi="Times New Roman" w:cs="Times New Roman"/>
          <w:b/>
          <w:bCs/>
          <w:sz w:val="24"/>
          <w:szCs w:val="24"/>
          <w:lang w:val="en-US"/>
        </w:rPr>
        <w:t>Submission by Geledés – Black Woman Institute to CERD</w:t>
      </w:r>
      <w:r w:rsidRPr="001168D1">
        <w:rPr>
          <w:rFonts w:ascii="Times New Roman" w:eastAsia="Times New Roman" w:hAnsi="Times New Roman" w:cs="Times New Roman"/>
          <w:b/>
          <w:bCs/>
          <w:sz w:val="24"/>
          <w:szCs w:val="24"/>
          <w:lang w:val="en-US"/>
        </w:rPr>
        <w:br/>
      </w:r>
    </w:p>
    <w:p w14:paraId="3B882914" w14:textId="77777777" w:rsidR="0090197E" w:rsidRPr="001168D1" w:rsidRDefault="00000000">
      <w:pPr>
        <w:spacing w:before="240" w:after="240"/>
        <w:jc w:val="both"/>
        <w:rPr>
          <w:rFonts w:ascii="Times New Roman" w:eastAsia="Times New Roman" w:hAnsi="Times New Roman" w:cs="Times New Roman"/>
          <w:sz w:val="24"/>
          <w:szCs w:val="24"/>
          <w:lang w:val="en-US"/>
        </w:rPr>
      </w:pPr>
      <w:r w:rsidRPr="001168D1">
        <w:rPr>
          <w:rFonts w:ascii="Times New Roman" w:eastAsia="Times New Roman" w:hAnsi="Times New Roman" w:cs="Times New Roman"/>
          <w:b/>
          <w:bCs/>
          <w:sz w:val="24"/>
          <w:szCs w:val="24"/>
          <w:lang w:val="en-US"/>
        </w:rPr>
        <w:t>Follow-up to the Concluding Observations on Brazil (CERD/C/BRA/CO/18-20) and to the State follow-up report (CERD/C/BRA/FCO/18-20)</w:t>
      </w:r>
      <w:r w:rsidRPr="001168D1">
        <w:rPr>
          <w:rFonts w:ascii="Times New Roman" w:eastAsia="Times New Roman" w:hAnsi="Times New Roman" w:cs="Times New Roman"/>
          <w:b/>
          <w:bCs/>
          <w:sz w:val="24"/>
          <w:szCs w:val="24"/>
          <w:lang w:val="en-US"/>
        </w:rPr>
        <w:br/>
      </w:r>
    </w:p>
    <w:p w14:paraId="3B882915" w14:textId="77777777" w:rsidR="0090197E" w:rsidRPr="001168D1" w:rsidRDefault="00000000">
      <w:pPr>
        <w:spacing w:before="240" w:after="240"/>
        <w:jc w:val="both"/>
        <w:rPr>
          <w:rFonts w:ascii="Times New Roman" w:eastAsia="Times New Roman" w:hAnsi="Times New Roman" w:cs="Times New Roman"/>
          <w:b/>
          <w:bCs/>
          <w:sz w:val="24"/>
          <w:szCs w:val="24"/>
          <w:lang w:val="en-US"/>
        </w:rPr>
      </w:pPr>
      <w:r w:rsidRPr="001168D1">
        <w:rPr>
          <w:rFonts w:ascii="Times New Roman" w:eastAsia="Times New Roman" w:hAnsi="Times New Roman" w:cs="Times New Roman"/>
          <w:b/>
          <w:bCs/>
          <w:sz w:val="24"/>
          <w:szCs w:val="24"/>
          <w:lang w:val="en-US"/>
        </w:rPr>
        <w:t>Focus: paragraphs 19(c) (education), 23(a) (poverty, work and income) and 36(a)–(d) (excessive use of force/police lethality).¹ ²</w:t>
      </w:r>
    </w:p>
    <w:p w14:paraId="3B882916" w14:textId="77777777" w:rsidR="0090197E" w:rsidRPr="001168D1" w:rsidRDefault="00000000">
      <w:pPr>
        <w:pStyle w:val="Heading2"/>
        <w:keepNext w:val="0"/>
        <w:keepLines w:val="0"/>
        <w:spacing w:after="80"/>
        <w:jc w:val="both"/>
        <w:rPr>
          <w:rFonts w:ascii="Times New Roman" w:eastAsia="Times New Roman" w:hAnsi="Times New Roman" w:cs="Times New Roman"/>
          <w:b/>
          <w:bCs/>
          <w:sz w:val="24"/>
          <w:szCs w:val="24"/>
          <w:lang w:val="en-US"/>
        </w:rPr>
      </w:pPr>
      <w:bookmarkStart w:id="0" w:name="_4fxpnaejih68" w:colFirst="0" w:colLast="0"/>
      <w:bookmarkEnd w:id="0"/>
      <w:r w:rsidRPr="001168D1">
        <w:rPr>
          <w:rFonts w:ascii="Times New Roman" w:eastAsia="Times New Roman" w:hAnsi="Times New Roman" w:cs="Times New Roman"/>
          <w:b/>
          <w:bCs/>
          <w:sz w:val="24"/>
          <w:szCs w:val="24"/>
          <w:lang w:val="en-US"/>
        </w:rPr>
        <w:t>1. Introduction and scope</w:t>
      </w:r>
    </w:p>
    <w:p w14:paraId="3B882917" w14:textId="77777777" w:rsidR="0090197E" w:rsidRPr="001168D1" w:rsidRDefault="00000000">
      <w:pPr>
        <w:spacing w:before="240" w:after="240"/>
        <w:jc w:val="both"/>
        <w:rPr>
          <w:rFonts w:ascii="Times New Roman" w:eastAsia="Times New Roman" w:hAnsi="Times New Roman" w:cs="Times New Roman"/>
          <w:sz w:val="24"/>
          <w:szCs w:val="24"/>
          <w:lang w:val="en-US"/>
        </w:rPr>
      </w:pPr>
      <w:r w:rsidRPr="001168D1">
        <w:rPr>
          <w:rFonts w:ascii="Times New Roman" w:eastAsia="Times New Roman" w:hAnsi="Times New Roman" w:cs="Times New Roman"/>
          <w:sz w:val="24"/>
          <w:szCs w:val="24"/>
          <w:lang w:val="en-US"/>
        </w:rPr>
        <w:t>Geledés – Black Woman Institute submits the present contribution to the follow-up procedure of the Committee on the Elimination of Racial Discrimination (CERD), with reference to the Concluding Observations adopted in December 2022 and to the follow-up report submitted by Brazil on 8 January 2026.¹ ² This contribution is limited to items 19(c), 23(a) and 36(a)–(d), as they represent structural dimensions of racism in Brazil with disproportionate impacts on the Black population and its economic, social and cultural rights, as well as the right to life and physical integrity in light of discriminatory patterns of State violence.¹</w:t>
      </w:r>
    </w:p>
    <w:p w14:paraId="3B882918" w14:textId="77777777" w:rsidR="0090197E" w:rsidRPr="001168D1" w:rsidRDefault="00000000">
      <w:pPr>
        <w:spacing w:before="240" w:after="240"/>
        <w:jc w:val="both"/>
        <w:rPr>
          <w:rFonts w:ascii="Times New Roman" w:eastAsia="Times New Roman" w:hAnsi="Times New Roman" w:cs="Times New Roman"/>
          <w:sz w:val="24"/>
          <w:szCs w:val="24"/>
          <w:lang w:val="en-US"/>
        </w:rPr>
      </w:pPr>
      <w:r w:rsidRPr="001168D1">
        <w:rPr>
          <w:rFonts w:ascii="Times New Roman" w:eastAsia="Times New Roman" w:hAnsi="Times New Roman" w:cs="Times New Roman"/>
          <w:sz w:val="24"/>
          <w:szCs w:val="24"/>
          <w:lang w:val="en-US"/>
        </w:rPr>
        <w:t>This submission adopts, as a central criterion for assessing follow-up, the distinction between (i) the mere articulation of policies and norms and (ii) the demonstration of measurable effectiveness, with targets, disaggregated indicators, budgetary allocations, nationwide (federal) coverage, and accountability mechanisms consistent with the State’s positive obligations.²</w:t>
      </w:r>
    </w:p>
    <w:p w14:paraId="3B882919" w14:textId="77777777" w:rsidR="0090197E" w:rsidRPr="001168D1" w:rsidRDefault="00000000">
      <w:pPr>
        <w:pStyle w:val="Heading2"/>
        <w:keepNext w:val="0"/>
        <w:keepLines w:val="0"/>
        <w:spacing w:after="80"/>
        <w:jc w:val="both"/>
        <w:rPr>
          <w:rFonts w:ascii="Times New Roman" w:eastAsia="Times New Roman" w:hAnsi="Times New Roman" w:cs="Times New Roman"/>
          <w:b/>
          <w:bCs/>
          <w:sz w:val="24"/>
          <w:szCs w:val="24"/>
          <w:lang w:val="en-US"/>
        </w:rPr>
      </w:pPr>
      <w:bookmarkStart w:id="1" w:name="_z9h8uwh2amvi" w:colFirst="0" w:colLast="0"/>
      <w:bookmarkEnd w:id="1"/>
      <w:r w:rsidRPr="001168D1">
        <w:rPr>
          <w:rFonts w:ascii="Times New Roman" w:eastAsia="Times New Roman" w:hAnsi="Times New Roman" w:cs="Times New Roman"/>
          <w:b/>
          <w:bCs/>
          <w:sz w:val="24"/>
          <w:szCs w:val="24"/>
          <w:lang w:val="en-US"/>
        </w:rPr>
        <w:t>2. Executive summary</w:t>
      </w:r>
    </w:p>
    <w:p w14:paraId="3B88291A" w14:textId="77777777" w:rsidR="0090197E" w:rsidRPr="001168D1" w:rsidRDefault="00000000">
      <w:pPr>
        <w:spacing w:before="240" w:after="240"/>
        <w:jc w:val="both"/>
        <w:rPr>
          <w:rFonts w:ascii="Times New Roman" w:eastAsia="Times New Roman" w:hAnsi="Times New Roman" w:cs="Times New Roman"/>
          <w:sz w:val="24"/>
          <w:szCs w:val="24"/>
          <w:lang w:val="en-US"/>
        </w:rPr>
      </w:pPr>
      <w:r w:rsidRPr="001168D1">
        <w:rPr>
          <w:rFonts w:ascii="Times New Roman" w:eastAsia="Times New Roman" w:hAnsi="Times New Roman" w:cs="Times New Roman"/>
          <w:b/>
          <w:bCs/>
          <w:sz w:val="24"/>
          <w:szCs w:val="24"/>
          <w:lang w:val="en-US"/>
        </w:rPr>
        <w:t>Education (19c).</w:t>
      </w:r>
      <w:r w:rsidRPr="001168D1">
        <w:rPr>
          <w:rFonts w:ascii="Times New Roman" w:eastAsia="Times New Roman" w:hAnsi="Times New Roman" w:cs="Times New Roman"/>
          <w:sz w:val="24"/>
          <w:szCs w:val="24"/>
          <w:lang w:val="en-US"/>
        </w:rPr>
        <w:t xml:space="preserve"> CERD reiterated the need to address racialized educational disparities and to strengthen policies that ensure access to and retention in quality education, including affirmative action and measures aimed at reducing inequalities.¹ Brazil reports, as a follow-up measure, the establishment—through a Ministry of Education (MEC) ordinance—of the National Policy for Equity, Education for Ethnic-Racial Relations and Quilombola School Education (PNEERQ), indicating as an objective “overcoming racial and ethnic inequalities and racism in learning environments”.³ The State also presents data from the 2024 School Census on enrolment in Indigenous education, schools located in quilombola territories, and areas of agrarian reform.⁴</w:t>
      </w:r>
    </w:p>
    <w:p w14:paraId="3B88291B" w14:textId="77777777" w:rsidR="0090197E" w:rsidRPr="001168D1" w:rsidRDefault="00000000">
      <w:pPr>
        <w:spacing w:before="240" w:after="240"/>
        <w:jc w:val="both"/>
        <w:rPr>
          <w:rFonts w:ascii="Times New Roman" w:eastAsia="Times New Roman" w:hAnsi="Times New Roman" w:cs="Times New Roman"/>
          <w:sz w:val="24"/>
          <w:szCs w:val="24"/>
          <w:lang w:val="en-US"/>
        </w:rPr>
      </w:pPr>
      <w:r w:rsidRPr="001168D1">
        <w:rPr>
          <w:rFonts w:ascii="Times New Roman" w:eastAsia="Times New Roman" w:hAnsi="Times New Roman" w:cs="Times New Roman"/>
          <w:b/>
          <w:bCs/>
          <w:sz w:val="24"/>
          <w:szCs w:val="24"/>
          <w:lang w:val="en-US"/>
        </w:rPr>
        <w:t>Counterpoint:</w:t>
      </w:r>
      <w:r w:rsidRPr="001168D1">
        <w:rPr>
          <w:rFonts w:ascii="Times New Roman" w:eastAsia="Times New Roman" w:hAnsi="Times New Roman" w:cs="Times New Roman"/>
          <w:sz w:val="24"/>
          <w:szCs w:val="24"/>
          <w:lang w:val="en-US"/>
        </w:rPr>
        <w:t xml:space="preserve"> while important, such information remains insufficient to demonstrate effective implementation and a reduction of disparities, as it does not include (a) a baseline and (b) verifiable targets, (c) implementation indicators (teacher training, materials, instructional time, monitoring), and (d) federative coverage and induction at municipal scale.² In addition, evidence points to racial inequality already in early childhood: in 2024, non-Black children had higher access to daycare, with an approximate gap of 4.4 percentage points for girls and 3.6 </w:t>
      </w:r>
      <w:r w:rsidRPr="001168D1">
        <w:rPr>
          <w:rFonts w:ascii="Times New Roman" w:eastAsia="Times New Roman" w:hAnsi="Times New Roman" w:cs="Times New Roman"/>
          <w:sz w:val="24"/>
          <w:szCs w:val="24"/>
          <w:lang w:val="en-US"/>
        </w:rPr>
        <w:lastRenderedPageBreak/>
        <w:t>percentage points for boys—requiring explicit targets to reduce the racial “gap” from the outset of the educational cycle.⁵ The Geledés/Alana study further underscores weaknesses in institutional support and local implementation capacity, identifying the “lack of support” as a central obstacle to the implementation of anti-racist education policies.⁶</w:t>
      </w:r>
    </w:p>
    <w:p w14:paraId="3B88291C" w14:textId="77777777" w:rsidR="0090197E" w:rsidRDefault="00000000">
      <w:pPr>
        <w:spacing w:before="240" w:after="240"/>
        <w:jc w:val="both"/>
        <w:rPr>
          <w:rFonts w:ascii="Times New Roman" w:eastAsia="Times New Roman" w:hAnsi="Times New Roman" w:cs="Times New Roman"/>
          <w:sz w:val="24"/>
          <w:szCs w:val="24"/>
        </w:rPr>
      </w:pPr>
      <w:r w:rsidRPr="001168D1">
        <w:rPr>
          <w:rFonts w:ascii="Times New Roman" w:eastAsia="Times New Roman" w:hAnsi="Times New Roman" w:cs="Times New Roman"/>
          <w:b/>
          <w:bCs/>
          <w:sz w:val="24"/>
          <w:szCs w:val="24"/>
          <w:lang w:val="en-US"/>
        </w:rPr>
        <w:t>Poverty, work and income (23a).</w:t>
      </w:r>
      <w:r w:rsidRPr="001168D1">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CERD recommends “necessary and effective” measures to eradicate poverty among Afro-Brazilians, Indigenous peoples and quilombolas, including adequate cash-transfer programmes and targeted measures for decent work, with specific attention to Black women.¹ Brazil reports that Bolsa Família is “fully in line” with the Committee’s recommendation and notes a 30% increase in Indigenous and quilombola beneficiaries since January 2023; it further indicates that, in August 2025, 73.27% of those served were Black, specifying totals by sex.⁷</w:t>
      </w:r>
    </w:p>
    <w:p w14:paraId="3B88291D" w14:textId="77777777" w:rsidR="0090197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Counterpoint:</w:t>
      </w:r>
      <w:r>
        <w:rPr>
          <w:rFonts w:ascii="Times New Roman" w:eastAsia="Times New Roman" w:hAnsi="Times New Roman" w:cs="Times New Roman"/>
          <w:sz w:val="24"/>
          <w:szCs w:val="24"/>
        </w:rPr>
        <w:t xml:space="preserve"> although the State provides coverage figures, the follow-up does not demonstrate (i) targets to reduce racial disparities, (ii) indicators of mobility and poverty reduction by race/colour and gender, (iii) a labour policy design to confront labour-market stratification, (iv) strengthened inspection and due-diligence tools in sectors where forced labour is most prevalent, nor (v) a distributive and racial impact assessment of the main economic policies.² Available evidence points to the structural persistence of economic hierarchy by race and gender: Black women (pretas/pardas) occupy the lowest income tier and White men the highest in national 2023 breakdowns.⁸ Concentration at the top is also racialized: in 2023, White people accounted for 78.6% of the top 1% richest, while Black and Brown people are disproportionately concentrated in the poorer half of the population. In the same vein, it is necessary to highlight another structural agenda deepening labour inequalities for the Black population: the persistence of conditions analogous to slavery as a praxis in agribusiness and construction, and, alongside the expansion of extractivist exploitation, the continuity of environmental racism. In 2025, data from Repórter Brasil indicate that the federal government rescued 2,772 people from forced labour, representing a 26.8% increase compared to 2024. Most of these workers—83% in total—self-identify as Black or Brown, and 86% are men, evidencing the structural nature of the problem, which is not addressed solely through social programme coverage without disparity-reduction targets.⁹</w:t>
      </w:r>
    </w:p>
    <w:p w14:paraId="3B88291E" w14:textId="77777777" w:rsidR="0090197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Excessive use of force/police lethality (36a–d).</w:t>
      </w:r>
      <w:r>
        <w:rPr>
          <w:rFonts w:ascii="Times New Roman" w:eastAsia="Times New Roman" w:hAnsi="Times New Roman" w:cs="Times New Roman"/>
          <w:sz w:val="24"/>
          <w:szCs w:val="24"/>
        </w:rPr>
        <w:t xml:space="preserve"> CERD recommends immediate and decisive action to end the excessive and lethal use of force, including protocols, effective training, less-lethal weapons, compliance with STF decisions, and stronger independent mechanisms for investigation and accountability, with reparations for victims and consultation with Afro-Brazilian communities.¹ Brazil states it has undertaken a “normative and institutional update” regarding the use of force, highlighting a national structured project with a “diagnosis and impact assessment” pillar.¹⁰ The State cites Decree No. 12,341/2024, which regulates Law No. 13,060/2014 and provides that force must be “graduated and proportional”, prohibiting the use of firearms against an unarmed person fleeing unless there is an immediate risk, and establishing mandatory annual training and detailed reporting in cases involving injury or death.¹¹</w:t>
      </w:r>
    </w:p>
    <w:p w14:paraId="3B88291F" w14:textId="77777777" w:rsidR="0090197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Counterpoint:</w:t>
      </w:r>
      <w:r>
        <w:rPr>
          <w:rFonts w:ascii="Times New Roman" w:eastAsia="Times New Roman" w:hAnsi="Times New Roman" w:cs="Times New Roman"/>
          <w:sz w:val="24"/>
          <w:szCs w:val="24"/>
        </w:rPr>
        <w:t xml:space="preserve"> the normative update is positive, but it does not replace the demonstration of effectiveness required by CERD follow-up, particularly given the scale of the problem and its racial selectivity. In 2024, there were 6,243 deaths resulting from police intervention, with 82% of the victims being Black (data cited from the Brazilian Yearbook of Public Security in an inequalities report).¹² Moreover, the 2025 Atlas of Violence indicates that, in 2023, the risk of a Black person being a homicide victim was 2.7 times higher than that of a non-Black person, reinforcing the racialized structure of lethal violence.¹³ Thus, the State’s follow-up remains incomplete for failing to provide: (i) standardized and public time series on deaths by police intervention disaggregated by race/colour, age, gender and territory; (ii) national reduction targets; (iii) independent investigation mechanisms and external oversight; (iv) accountability indicators (complaints, prosecutions, convictions); and (v) reparations and guarantees of non-repetition centred on affected families and communities.²</w:t>
      </w:r>
    </w:p>
    <w:p w14:paraId="3B882920" w14:textId="77777777" w:rsidR="0090197E" w:rsidRDefault="00000000">
      <w:pPr>
        <w:pStyle w:val="Heading2"/>
        <w:keepNext w:val="0"/>
        <w:keepLines w:val="0"/>
        <w:spacing w:after="80"/>
        <w:jc w:val="both"/>
        <w:rPr>
          <w:rFonts w:ascii="Times New Roman" w:eastAsia="Times New Roman" w:hAnsi="Times New Roman" w:cs="Times New Roman"/>
          <w:b/>
          <w:bCs/>
          <w:sz w:val="24"/>
          <w:szCs w:val="24"/>
        </w:rPr>
      </w:pPr>
      <w:bookmarkStart w:id="2" w:name="_jgipie8cmycp" w:colFirst="0" w:colLast="0"/>
      <w:bookmarkEnd w:id="2"/>
      <w:r>
        <w:rPr>
          <w:rFonts w:ascii="Times New Roman" w:eastAsia="Times New Roman" w:hAnsi="Times New Roman" w:cs="Times New Roman"/>
          <w:b/>
          <w:bCs/>
          <w:sz w:val="24"/>
          <w:szCs w:val="24"/>
        </w:rPr>
        <w:t>3. Comments by recommendation and requests to the Committee</w:t>
      </w:r>
    </w:p>
    <w:p w14:paraId="3B882921" w14:textId="77777777" w:rsidR="0090197E" w:rsidRDefault="00000000">
      <w:pPr>
        <w:pStyle w:val="Heading3"/>
        <w:keepNext w:val="0"/>
        <w:keepLines w:val="0"/>
        <w:spacing w:before="280"/>
        <w:jc w:val="both"/>
        <w:rPr>
          <w:rFonts w:ascii="Times New Roman" w:eastAsia="Times New Roman" w:hAnsi="Times New Roman" w:cs="Times New Roman"/>
          <w:b/>
          <w:bCs/>
          <w:color w:val="000000"/>
          <w:sz w:val="24"/>
          <w:szCs w:val="24"/>
        </w:rPr>
      </w:pPr>
      <w:bookmarkStart w:id="3" w:name="_be840c7wzn5g" w:colFirst="0" w:colLast="0"/>
      <w:bookmarkEnd w:id="3"/>
      <w:r>
        <w:rPr>
          <w:rFonts w:ascii="Times New Roman" w:eastAsia="Times New Roman" w:hAnsi="Times New Roman" w:cs="Times New Roman"/>
          <w:b/>
          <w:bCs/>
          <w:color w:val="000000"/>
          <w:sz w:val="24"/>
          <w:szCs w:val="24"/>
        </w:rPr>
        <w:t>3.1. Gender-based violence — paragraph 17(f): the increase in femicides is absent from Brazil’s response</w:t>
      </w:r>
    </w:p>
    <w:p w14:paraId="3B882922" w14:textId="77777777" w:rsidR="0090197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Brazil received specific recommendations on femicide and violence against Afro-Brazilian women. However, in its response, the State did not detail concrete and structural measures to address gender-based violence, even in the face of an overall rise in violence cases and an increase in femicide.</w:t>
      </w:r>
    </w:p>
    <w:p w14:paraId="3B882923" w14:textId="77777777" w:rsidR="0090197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Atlas of Violence, between 2013 and 2023, 30,980 Black women were victims of homicide, representing 67.1 percentage points of all victims with a defined cause in the period. In 2023, the female homicide rate for Black women was 4.3 per 100,000, while for non-Black women it was 2.5 per 100,000—highlighting the centrality of structural racism in lethal gender-based violence.¹³</w:t>
      </w:r>
    </w:p>
    <w:p w14:paraId="3B882924" w14:textId="77777777" w:rsidR="0090197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Lethal violence against women remains largely rooted in the domestic context. Data from the 18th Brazilian Yearbook of Public Security indicate that 64.3 percentage points of femicides occurred inside the home.¹⁴ The home, which should represent protection, becomes the most dangerous space for women. Although gender hatred may traverse both domestic and urban contexts, in Brazilian institutional practice the death of a woman tends to be recognized as femicide especially when it occurs in the domestic sphere, revealing limitations in classification and in the full recognition of gender-based violence.</w:t>
      </w:r>
    </w:p>
    <w:p w14:paraId="3B882925" w14:textId="77777777" w:rsidR="0090197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Beyond completed femicide, recent years have seen an increase in other severe forms of violence that often precede it. Beatings and attempted strangulation rose from 3.4 percentage points in 2017 to 7.8 percentage points in 2025, reaching the highest level recorded; similarly, physical assaults such as slaps, pushing and kicking rose from 8.9 percentage points in 2017 to 16.9 percentage points in 2025. Stalking increased from 9.3 percentage points in 2017 to 16.1 percentage points in 2025.¹⁴</w:t>
      </w:r>
    </w:p>
    <w:p w14:paraId="3B882926" w14:textId="77777777" w:rsidR="0090197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For Geledés, the rise in these indicators cannot be dissociated from the recent political context, marked by defunding of policies to address violence against women, discontinuity and weakening of shelter and support services—intensified during and after the pandemic—and the advance of ultra-conservative movements that distort the debate on gender equity and amplify misogynistic and racist discourse on social media.</w:t>
      </w:r>
    </w:p>
    <w:p w14:paraId="3B882927" w14:textId="77777777" w:rsidR="0090197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scenario, Geledés understands that the technological dimension of violence becomes central. With respect to technology-facilitated gender-and-race-based violence, misogynistic and racist communities organized online find in social media and AI systems a permissive virtual environment for creating and disseminating racist, misogynistic, disinformation-based content and harassment targeting vulnerable groups. This context produces a space of impunity, in which digital symbolic violence may spill over into the real world.</w:t>
      </w:r>
    </w:p>
    <w:p w14:paraId="3B882928" w14:textId="77777777" w:rsidR="0090197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Geledés’ request to CERD (17f):</w:t>
      </w:r>
      <w:r>
        <w:rPr>
          <w:rFonts w:ascii="Times New Roman" w:eastAsia="Times New Roman" w:hAnsi="Times New Roman" w:cs="Times New Roman"/>
          <w:sz w:val="24"/>
          <w:szCs w:val="24"/>
        </w:rPr>
        <w:t xml:space="preserve"> that the Committee request the State party to: (i) ensure mandatory collection and disclosure of data disaggregated by race/colour, gender, territory and income within violence reporting systems; (ii) define targets and indicators in public policies aimed at addressing gender-based violence, including in the digital environment; (iii) regulate the digital environment to prevent technology-facilitated violence; identify and hold accountable individuals who disseminate hate speech; and ensure the removal and demonetization of misogynistic and racist content; (iv) adopt measures to articulate income-generation and labour policies as a fundamental step in addressing violence; (v) present the national scenario of violence with data disaggregated by race/colour and income, highlighting actions for response and prevention across different policy sectors.</w:t>
      </w:r>
    </w:p>
    <w:p w14:paraId="3B882929" w14:textId="77777777" w:rsidR="0090197E" w:rsidRDefault="00000000">
      <w:pPr>
        <w:pStyle w:val="Heading3"/>
        <w:keepNext w:val="0"/>
        <w:keepLines w:val="0"/>
        <w:spacing w:before="280"/>
        <w:jc w:val="both"/>
        <w:rPr>
          <w:rFonts w:ascii="Times New Roman" w:eastAsia="Times New Roman" w:hAnsi="Times New Roman" w:cs="Times New Roman"/>
          <w:b/>
          <w:bCs/>
          <w:color w:val="000000"/>
          <w:sz w:val="24"/>
          <w:szCs w:val="24"/>
        </w:rPr>
      </w:pPr>
      <w:bookmarkStart w:id="4" w:name="_5lfpbhbrrxly" w:colFirst="0" w:colLast="0"/>
      <w:bookmarkEnd w:id="4"/>
      <w:r>
        <w:rPr>
          <w:rFonts w:ascii="Times New Roman" w:eastAsia="Times New Roman" w:hAnsi="Times New Roman" w:cs="Times New Roman"/>
          <w:b/>
          <w:bCs/>
          <w:color w:val="000000"/>
          <w:sz w:val="24"/>
          <w:szCs w:val="24"/>
        </w:rPr>
        <w:t>3.2. Education — paragraph 19(c): from norms to verifiable implementation</w:t>
      </w:r>
    </w:p>
    <w:p w14:paraId="3B88292A" w14:textId="77777777" w:rsidR="0090197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Brazil reports the creation of PNEERQ through an MEC ordinance (14 May 2024), whose stated objective includes overcoming inequalities and racism in learning environments.³ The State supplements this with 2024 School Census data concerning enrolment in Indigenous education and the presence of students in schools in quilombola territories and agrarian reform areas.⁴</w:t>
      </w:r>
    </w:p>
    <w:p w14:paraId="3B88292B" w14:textId="77777777" w:rsidR="0090197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Geledés acknowledges the relevance of normative frameworks and education data. However, for follow-up purposes, the Committee requested information on effective implementation of the recommendation; and Brazil’s report does not provide minimum elements of measurability and federative induction.² In particular, the State does not provide: (a) indicators of policy implementation by school system/municipality; (b) annual expansion targets; (c) budget and technical support instruments for municipalities; (d) public accountability and course-correction mechanisms.²</w:t>
      </w:r>
    </w:p>
    <w:p w14:paraId="3B88292C" w14:textId="77777777" w:rsidR="0090197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gap is especially concerning given evidence of racial inequality from early childhood, including differences in daycare access in 2024 between Black and non-Black children.⁵ It is also concerning in light of qualitative and institutional evidence of weaknesses in implementing anti-racist education policies, as pointed out by the Geledés/Alana study.⁶</w:t>
      </w:r>
    </w:p>
    <w:p w14:paraId="3B88292D" w14:textId="77777777" w:rsidR="0090197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Geledés’ request to CERD (19c):</w:t>
      </w:r>
      <w:r>
        <w:rPr>
          <w:rFonts w:ascii="Times New Roman" w:eastAsia="Times New Roman" w:hAnsi="Times New Roman" w:cs="Times New Roman"/>
          <w:sz w:val="24"/>
          <w:szCs w:val="24"/>
        </w:rPr>
        <w:t xml:space="preserve"> that the Committee request the State party to: (i) present a national plan with targets and budget for implementing the policy (including teacher training, materials and governance), (ii) establish a federative induction mechanism for municipal education systems, (iii) create a public monitoring system with indicators disaggregated by race/colour, gender and territory, and (iv) ensure an independent evaluation of results with corrective measures.¹ ² ⁶</w:t>
      </w:r>
    </w:p>
    <w:p w14:paraId="3B88292E" w14:textId="77777777" w:rsidR="0090197E" w:rsidRDefault="00000000">
      <w:pPr>
        <w:pStyle w:val="Heading3"/>
        <w:keepNext w:val="0"/>
        <w:keepLines w:val="0"/>
        <w:spacing w:before="280"/>
        <w:jc w:val="both"/>
        <w:rPr>
          <w:rFonts w:ascii="Times New Roman" w:eastAsia="Times New Roman" w:hAnsi="Times New Roman" w:cs="Times New Roman"/>
          <w:b/>
          <w:bCs/>
          <w:color w:val="000000"/>
          <w:sz w:val="24"/>
          <w:szCs w:val="24"/>
        </w:rPr>
      </w:pPr>
      <w:bookmarkStart w:id="5" w:name="_rjezgp6uzdw8" w:colFirst="0" w:colLast="0"/>
      <w:bookmarkEnd w:id="5"/>
      <w:r>
        <w:rPr>
          <w:rFonts w:ascii="Times New Roman" w:eastAsia="Times New Roman" w:hAnsi="Times New Roman" w:cs="Times New Roman"/>
          <w:b/>
          <w:bCs/>
          <w:color w:val="000000"/>
          <w:sz w:val="24"/>
          <w:szCs w:val="24"/>
        </w:rPr>
        <w:t>3.3. Poverty, work and income — paragraph 23(a): social coverage is not enough without disparity-reduction targets</w:t>
      </w:r>
    </w:p>
    <w:p w14:paraId="3B88292F" w14:textId="77777777" w:rsidR="0090197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Brazil states that Bolsa Família is central and aligned with the Committee’s recommendation, presenting an increase in Indigenous and quilombola beneficiaries and the racial composition of beneficiaries in August 2025, with a Black majority.⁷</w:t>
      </w:r>
    </w:p>
    <w:p w14:paraId="3B882930" w14:textId="77777777" w:rsidR="0090197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Geledés recognizes the importance of cash-transfer policies to mitigate extreme poverty. However, CERD’s recommendations under 23(a) are broader: they include eradication of poverty among Afro-Brazilians, Indigenous peoples and quilombolas, labour protections, targeted measures for Black women in domestic work, remuneration of care work, and expanded effectiveness of employment policies.¹ By focusing on coverage, the State report does not show how it will reduce structural disparities in income and wealth by race and gender, nor does it provide verifiable targets and effectiveness indicators for the follow-up period.²</w:t>
      </w:r>
    </w:p>
    <w:p w14:paraId="3B882931" w14:textId="77777777" w:rsidR="0090197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Annexed data underscore the structural nature of the problem: the stratification of earnings by race and gender in recent breakdowns shows persistent inequality, with Black/Brown women in the lowest tier and White men in the highest.⁸ At the top, the racial concentration of wealth is striking, with Whites representing 78.6% of the top 1% richest in 2023.⁹</w:t>
      </w:r>
    </w:p>
    <w:p w14:paraId="3B882932" w14:textId="77777777" w:rsidR="0090197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Geledés’ request to CERD (23a):</w:t>
      </w:r>
      <w:r>
        <w:rPr>
          <w:rFonts w:ascii="Times New Roman" w:eastAsia="Times New Roman" w:hAnsi="Times New Roman" w:cs="Times New Roman"/>
          <w:sz w:val="24"/>
          <w:szCs w:val="24"/>
        </w:rPr>
        <w:t xml:space="preserve"> that the Committee request the State party to: (i) present annual targets and a timeline for reducing poverty and inequalities disaggregated by race/colour and gender; (ii) provide indicators of economic mobility and access to formal employment and decent pay; (iii) adopt labour measures targeted to Black women and care work (recognition and remuneration); and (iv) conduct a distributive and racial impact assessment of the main economic and social policies.¹ ²</w:t>
      </w:r>
    </w:p>
    <w:p w14:paraId="3B882933" w14:textId="77777777" w:rsidR="0090197E" w:rsidRDefault="00000000">
      <w:pPr>
        <w:pStyle w:val="Heading3"/>
        <w:keepNext w:val="0"/>
        <w:keepLines w:val="0"/>
        <w:spacing w:before="280"/>
        <w:jc w:val="both"/>
        <w:rPr>
          <w:rFonts w:ascii="Times New Roman" w:eastAsia="Times New Roman" w:hAnsi="Times New Roman" w:cs="Times New Roman"/>
          <w:b/>
          <w:bCs/>
          <w:color w:val="000000"/>
          <w:sz w:val="24"/>
          <w:szCs w:val="24"/>
        </w:rPr>
      </w:pPr>
      <w:bookmarkStart w:id="6" w:name="_7xtugz5sv3d" w:colFirst="0" w:colLast="0"/>
      <w:bookmarkEnd w:id="6"/>
      <w:r>
        <w:rPr>
          <w:rFonts w:ascii="Times New Roman" w:eastAsia="Times New Roman" w:hAnsi="Times New Roman" w:cs="Times New Roman"/>
          <w:b/>
          <w:bCs/>
          <w:color w:val="000000"/>
          <w:sz w:val="24"/>
          <w:szCs w:val="24"/>
        </w:rPr>
        <w:t>3.4. Excessive use of force/police lethality — paragraph 36(a)–(d): evidence, accountability and reparation</w:t>
      </w:r>
    </w:p>
    <w:p w14:paraId="3B882934" w14:textId="77777777" w:rsidR="0090197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Brazil reports normative and institutional advances and highlights Decree No. 12,341/2024 as a regulatory framework for Law No. 13,060/2014, including prohibitions and obligations regarding training and reporting in cases of death/injury.¹¹ The State also claims that the national project provides “impact assessment” and an empirical basis for formulation and monitoring.¹⁰</w:t>
      </w:r>
    </w:p>
    <w:p w14:paraId="3B882935" w14:textId="77777777" w:rsidR="0090197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Geledés acknowledges that normative standardization and training are necessary components. However, CERD follow-up requires evidence of effectiveness given the systemic nature of the </w:t>
      </w:r>
      <w:r>
        <w:rPr>
          <w:rFonts w:ascii="Times New Roman" w:eastAsia="Times New Roman" w:hAnsi="Times New Roman" w:cs="Times New Roman"/>
          <w:sz w:val="24"/>
          <w:szCs w:val="24"/>
        </w:rPr>
        <w:lastRenderedPageBreak/>
        <w:t>problem, including accountability and independent investigation.¹ The State report does not demonstrate a measurable reduction in police lethality nor a robust external oversight structure, while public evidence points to persistence and racial selectivity: 6,243 deaths by police intervention in 2024, with 82% Black victims.¹² The 2025 Atlas of Violence reinforces the structurally racialized pattern of lethal violence (2.7 times higher risk for Black people in 2023).¹³</w:t>
      </w:r>
    </w:p>
    <w:p w14:paraId="3B882936" w14:textId="77777777" w:rsidR="0090197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Geledés’ request to CERD (36a–d):</w:t>
      </w:r>
      <w:r>
        <w:rPr>
          <w:rFonts w:ascii="Times New Roman" w:eastAsia="Times New Roman" w:hAnsi="Times New Roman" w:cs="Times New Roman"/>
          <w:sz w:val="24"/>
          <w:szCs w:val="24"/>
        </w:rPr>
        <w:t xml:space="preserve"> that the Committee request the State party to: (i) provide standardized and public data on deaths by police intervention disaggregated by race/colour, gender, age and territory; (ii) set targets and a reduction timeline; (iii) establish independent investigation mechanisms and external oversight; (iv) provide indicators of accountability and reparation (complaints, prosecutions, convictions, and reparation measures for families); and (v) conduct structured consultations with Afro-Brazilian communities, in line with item 36(h) of the Concluding Observations.¹ ²</w:t>
      </w:r>
    </w:p>
    <w:p w14:paraId="3B882937" w14:textId="77777777" w:rsidR="0090197E" w:rsidRDefault="00000000">
      <w:pPr>
        <w:pStyle w:val="Heading3"/>
        <w:keepNext w:val="0"/>
        <w:keepLines w:val="0"/>
        <w:spacing w:before="280"/>
        <w:jc w:val="both"/>
        <w:rPr>
          <w:rFonts w:ascii="Times New Roman" w:eastAsia="Times New Roman" w:hAnsi="Times New Roman" w:cs="Times New Roman"/>
          <w:b/>
          <w:bCs/>
          <w:color w:val="000000"/>
          <w:sz w:val="24"/>
          <w:szCs w:val="24"/>
        </w:rPr>
      </w:pPr>
      <w:bookmarkStart w:id="7" w:name="_dxm8tyhwe7r0" w:colFirst="0" w:colLast="0"/>
      <w:bookmarkEnd w:id="7"/>
      <w:r>
        <w:rPr>
          <w:rFonts w:ascii="Times New Roman" w:eastAsia="Times New Roman" w:hAnsi="Times New Roman" w:cs="Times New Roman"/>
          <w:b/>
          <w:bCs/>
          <w:color w:val="000000"/>
          <w:sz w:val="24"/>
          <w:szCs w:val="24"/>
        </w:rPr>
        <w:t>3.4. Environmental racism and climate change: a structural dimension of racial inequalities</w:t>
      </w:r>
    </w:p>
    <w:p w14:paraId="3B882938" w14:textId="77777777" w:rsidR="0090197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the Committee’s Concluding Observations do not address climate change as a standalone issue, environmental racism is a cross-cutting dimension of recommendations relating to economic, social and cultural rights, as well as the right to life and physical integrity. The climate crisis intensifies historical racial inequalities in Brazil, disproportionately exposing Afro-Brazilian, quilombola and peripheral populations to environmental risks, food insecurity, forced displacement, extreme events and the deterioration of living conditions.</w:t>
      </w:r>
    </w:p>
    <w:p w14:paraId="3B882939" w14:textId="77777777" w:rsidR="0090197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Belém Declaration on Combating Environmental Racism states that environmental racism manifests when racialized communities bear a disproportionate burden of environmental and climate harms, combined with exclusion from decision-making processes and the absence of reparatory public policies. Such understanding is consistent with the International Convention on the Elimination of All Forms of Racial Discrimination, which imposes positive obligations on the State to prevent direct and indirect discriminatory practices, including those resulting from structural omissions.</w:t>
      </w:r>
    </w:p>
    <w:p w14:paraId="3B88293A" w14:textId="77777777" w:rsidR="0090197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Brazilian context, recent evidence shows that:</w:t>
      </w:r>
    </w:p>
    <w:p w14:paraId="3B88293B" w14:textId="77777777" w:rsidR="0090197E" w:rsidRDefault="00000000">
      <w:pPr>
        <w:numPr>
          <w:ilvl w:val="0"/>
          <w:numId w:val="1"/>
        </w:num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Territories with higher concentrations of Afro-Brazilian populations face greater exposure to climate risks, such as floods, landslides, heat islands and the lack of adequate urban infrastructure.</w:t>
      </w:r>
      <w:r>
        <w:rPr>
          <w:rFonts w:ascii="Times New Roman" w:eastAsia="Times New Roman" w:hAnsi="Times New Roman" w:cs="Times New Roman"/>
          <w:sz w:val="24"/>
          <w:szCs w:val="24"/>
        </w:rPr>
        <w:br/>
      </w:r>
    </w:p>
    <w:p w14:paraId="3B88293C" w14:textId="77777777" w:rsidR="0090197E"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Extreme events disproportionately affect Black women, especially those in informal work and care work.</w:t>
      </w:r>
      <w:r>
        <w:rPr>
          <w:rFonts w:ascii="Times New Roman" w:eastAsia="Times New Roman" w:hAnsi="Times New Roman" w:cs="Times New Roman"/>
          <w:sz w:val="24"/>
          <w:szCs w:val="24"/>
        </w:rPr>
        <w:br/>
      </w:r>
    </w:p>
    <w:p w14:paraId="3B88293D" w14:textId="77777777" w:rsidR="0090197E"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a systematic absence of race/colour-disaggregated data in administrative records related to disasters, climate adaptation, environmental financing and </w:t>
      </w:r>
      <w:r>
        <w:rPr>
          <w:rFonts w:ascii="Times New Roman" w:eastAsia="Times New Roman" w:hAnsi="Times New Roman" w:cs="Times New Roman"/>
          <w:sz w:val="24"/>
          <w:szCs w:val="24"/>
        </w:rPr>
        <w:lastRenderedPageBreak/>
        <w:t>reconstruction policies.</w:t>
      </w:r>
      <w:r>
        <w:rPr>
          <w:rFonts w:ascii="Times New Roman" w:eastAsia="Times New Roman" w:hAnsi="Times New Roman" w:cs="Times New Roman"/>
          <w:sz w:val="24"/>
          <w:szCs w:val="24"/>
        </w:rPr>
        <w:br/>
      </w:r>
    </w:p>
    <w:p w14:paraId="3B88293E" w14:textId="77777777" w:rsidR="0090197E" w:rsidRDefault="00000000">
      <w:pPr>
        <w:numPr>
          <w:ilvl w:val="0"/>
          <w:numId w:val="1"/>
        </w:num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statistical gap produces institutional invisibility of inequalities and undermines the design of climate policies compatible with the principle of substantive equality.</w:t>
      </w:r>
      <w:r>
        <w:rPr>
          <w:rFonts w:ascii="Times New Roman" w:eastAsia="Times New Roman" w:hAnsi="Times New Roman" w:cs="Times New Roman"/>
          <w:sz w:val="24"/>
          <w:szCs w:val="24"/>
        </w:rPr>
        <w:br/>
      </w:r>
    </w:p>
    <w:p w14:paraId="3B88293F" w14:textId="77777777" w:rsidR="0090197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Accordingly, Geledés understands that the absence of explicit reference to measures aimed at combating environmental racism in the follow-up report constitutes a relevant gap, particularly given that the climate crisis exacerbates the conditions of poverty, territorial vulnerability and structural violence already identified under paragraphs 19(c), 23(a) and 36(a)–(d).</w:t>
      </w:r>
    </w:p>
    <w:p w14:paraId="3B882940" w14:textId="77777777" w:rsidR="0090197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Geledés’ request to CERD (cross-cutting dimension):</w:t>
      </w:r>
      <w:r>
        <w:rPr>
          <w:rFonts w:ascii="Times New Roman" w:eastAsia="Times New Roman" w:hAnsi="Times New Roman" w:cs="Times New Roman"/>
          <w:sz w:val="24"/>
          <w:szCs w:val="24"/>
        </w:rPr>
        <w:t xml:space="preserve"> that the Committee request the State party to: (i) explicitly incorporate the fight against environmental racism into national climate, adaptation and risk-management policies; (ii) ensure mandatory collection and disclosure of disaggregated data by race/colour, gender, territory and income in disaster registries and climate policies; (iii) define targets and indicators to reduce racial inequalities in national climate plans; (iv) guarantee effective participation of Afro-Brazilian, quilombola and peripheral populations in the formulation and monitoring of environmental and climate policies; and (v) adopt racial equity criteria in the allocation of climate finance and in post-disaster reconstruction policies.</w:t>
      </w:r>
    </w:p>
    <w:p w14:paraId="3B882941" w14:textId="77777777" w:rsidR="0090197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Incorporating this dimension is essential for the State party to fulfil its conventional obligations to prevent indirect and structural discrimination, ensuring that the climate transition and environmental policies do not reproduce or deepen historically entrenched racial inequalities.</w:t>
      </w:r>
    </w:p>
    <w:p w14:paraId="3B882942" w14:textId="77777777" w:rsidR="0090197E" w:rsidRDefault="00000000">
      <w:pPr>
        <w:pStyle w:val="Heading2"/>
        <w:keepNext w:val="0"/>
        <w:keepLines w:val="0"/>
        <w:spacing w:after="80"/>
        <w:jc w:val="both"/>
        <w:rPr>
          <w:rFonts w:ascii="Times New Roman" w:eastAsia="Times New Roman" w:hAnsi="Times New Roman" w:cs="Times New Roman"/>
          <w:b/>
          <w:bCs/>
          <w:sz w:val="24"/>
          <w:szCs w:val="24"/>
        </w:rPr>
      </w:pPr>
      <w:bookmarkStart w:id="8" w:name="_vvm118jlga7i" w:colFirst="0" w:colLast="0"/>
      <w:bookmarkEnd w:id="8"/>
      <w:r>
        <w:rPr>
          <w:rFonts w:ascii="Times New Roman" w:eastAsia="Times New Roman" w:hAnsi="Times New Roman" w:cs="Times New Roman"/>
          <w:b/>
          <w:bCs/>
          <w:sz w:val="24"/>
          <w:szCs w:val="24"/>
        </w:rPr>
        <w:t>4. Conclusion</w:t>
      </w:r>
    </w:p>
    <w:p w14:paraId="3B882943" w14:textId="77777777" w:rsidR="0090197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Brazil’s follow-up report presents relevant initiatives—including the creation of an education policy and normative measures on the use of force, as well as Bolsa Família coverage data.³ ⁷ ¹¹ However, in light of the requirements of CERD’s follow-up procedure, the document remains predominantly descriptive and insufficient on what is decisive for compliance assessment: verifiable targets, disaggregated indicators, budget, timeline, federative coverage, and effective accountability mechanisms capable of reducing disparities and preventing violations with racial selectivity.²</w:t>
      </w:r>
    </w:p>
    <w:p w14:paraId="3B882944" w14:textId="77777777" w:rsidR="0090197E"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Accordingly, Geledés requests that CERD reiterate the need for the State party to supplement its follow-up and formulate additional requests for information centred on measurable results and demonstrable reductions of racial inequalities in the three axes addressed.¹ ²</w:t>
      </w:r>
    </w:p>
    <w:p w14:paraId="3B882945" w14:textId="77777777" w:rsidR="0090197E" w:rsidRDefault="00000000">
      <w:pPr>
        <w:spacing w:before="240" w:after="240"/>
      </w:pPr>
      <w:r>
        <w:br w:type="page"/>
      </w:r>
    </w:p>
    <w:p w14:paraId="3B882946" w14:textId="77777777" w:rsidR="0090197E" w:rsidRDefault="0090197E">
      <w:pPr>
        <w:spacing w:before="240" w:after="240"/>
      </w:pPr>
    </w:p>
    <w:p w14:paraId="3B882947" w14:textId="77777777" w:rsidR="0090197E" w:rsidRDefault="00000000">
      <w:pPr>
        <w:numPr>
          <w:ilvl w:val="0"/>
          <w:numId w:val="2"/>
        </w:numPr>
        <w:spacing w:before="240"/>
      </w:pPr>
      <w:r>
        <w:t>UNITED NATIONS. Committee on the Elimination of Racial Discrimination (CERD). Concluding observations on the combined eighteenth to twentieth periodic reports of Brazil. CERD/C/BRA/CO/18-20. Geneva: United Nations, 2022.</w:t>
      </w:r>
      <w:r>
        <w:br/>
      </w:r>
    </w:p>
    <w:p w14:paraId="3B882948" w14:textId="77777777" w:rsidR="0090197E" w:rsidRDefault="00000000">
      <w:pPr>
        <w:numPr>
          <w:ilvl w:val="0"/>
          <w:numId w:val="2"/>
        </w:numPr>
      </w:pPr>
      <w:r>
        <w:t>UNITED NATIONS. Committee on the Elimination of Racial Discrimination (CERD). Information received from Brazil on follow-up to the concluding observations on its combined eighteenth to twentieth periodic reports. CERD/C/BRA/FCO/18-20. Geneva: United Nations, 8 Jan. 2026.</w:t>
      </w:r>
      <w:r>
        <w:br/>
      </w:r>
    </w:p>
    <w:p w14:paraId="3B882949" w14:textId="77777777" w:rsidR="0090197E" w:rsidRDefault="00000000">
      <w:pPr>
        <w:numPr>
          <w:ilvl w:val="0"/>
          <w:numId w:val="2"/>
        </w:numPr>
      </w:pPr>
      <w:r>
        <w:t>BRAZIL. Ministry of Education. National Policy for Equity, Education for Ethnic-Racial Relations and Quilombola School Education (PNEERQ) (Ordinance GAB/MEC No. 470, 14 May 2024). In: UNITED NATIONS. CERD/C/BRA/FCO/18-20. 2026.</w:t>
      </w:r>
      <w:r>
        <w:br/>
      </w:r>
    </w:p>
    <w:p w14:paraId="3B88294A" w14:textId="77777777" w:rsidR="0090197E" w:rsidRDefault="00000000">
      <w:pPr>
        <w:numPr>
          <w:ilvl w:val="0"/>
          <w:numId w:val="2"/>
        </w:numPr>
      </w:pPr>
      <w:r>
        <w:t>BRAZIL. 2024 School Census (data cited in the follow-up: enrolment in Indigenous education and schools in quilombola territories and agrarian reform areas). In: UNITED NATIONS. CERD/C/BRA/FCO/18-20. 2026.</w:t>
      </w:r>
      <w:r>
        <w:br/>
      </w:r>
    </w:p>
    <w:p w14:paraId="3B88294B" w14:textId="77777777" w:rsidR="0090197E" w:rsidRDefault="00000000">
      <w:pPr>
        <w:numPr>
          <w:ilvl w:val="0"/>
          <w:numId w:val="2"/>
        </w:numPr>
      </w:pPr>
      <w:r>
        <w:t>DIEESE (prepared by); IBGE (source). In: NATIONAL PACT TO COMBAT INEQUALITIES. Report of the Brazilian Observatory of Inequalities 2025. [n.p.]: [n.p.], 2025. (Daycare access gap in 2024: 4.4 p.p. girls; 3.6 p.p. boys).</w:t>
      </w:r>
      <w:r>
        <w:br/>
      </w:r>
    </w:p>
    <w:p w14:paraId="3B88294C" w14:textId="77777777" w:rsidR="0090197E" w:rsidRDefault="00000000">
      <w:pPr>
        <w:numPr>
          <w:ilvl w:val="0"/>
          <w:numId w:val="2"/>
        </w:numPr>
      </w:pPr>
      <w:r>
        <w:t>GELEDÉS – BLACK WOMEN’S INSTITUTE; ALANA INSTITUTE. Law 10.639/03: the role of Municipal Education Secretariats in teaching African and Afro-Brazilian history and culture. [n.p.]: [n.p.], [n.d.]. (Findings on “lack of support”, knowledge and engagement).</w:t>
      </w:r>
      <w:r>
        <w:br/>
      </w:r>
    </w:p>
    <w:p w14:paraId="3B88294D" w14:textId="77777777" w:rsidR="0090197E" w:rsidRDefault="00000000">
      <w:pPr>
        <w:numPr>
          <w:ilvl w:val="0"/>
          <w:numId w:val="2"/>
        </w:numPr>
      </w:pPr>
      <w:r>
        <w:t>BRAZIL. Ministry of Development and Social Assistance, Family and Fight against Hunger (MDS). Bolsa Família – data and disaggregation by Indigenous/quilombola beneficiaries and racial composition of beneficiaries (Aug. 2025). In: UNITED NATIONS. CERD/C/BRA/FCO/18-20. 2026.</w:t>
      </w:r>
      <w:r>
        <w:br/>
      </w:r>
    </w:p>
    <w:p w14:paraId="3B88294E" w14:textId="77777777" w:rsidR="0090197E" w:rsidRDefault="00000000">
      <w:pPr>
        <w:numPr>
          <w:ilvl w:val="0"/>
          <w:numId w:val="2"/>
        </w:numPr>
      </w:pPr>
      <w:r>
        <w:t>OXFAM BRAZIL. Climate crossroads: a portrait of Brazilian inequalities. [n.p.]: Oxfam Brazil, [n.d.]. (Intersectional income hierarchy and national values).</w:t>
      </w:r>
      <w:r>
        <w:br/>
      </w:r>
    </w:p>
    <w:p w14:paraId="3B88294F" w14:textId="77777777" w:rsidR="0090197E" w:rsidRDefault="00000000">
      <w:pPr>
        <w:numPr>
          <w:ilvl w:val="0"/>
          <w:numId w:val="2"/>
        </w:numPr>
      </w:pPr>
      <w:r>
        <w:t>[IRPF REPORT 2023]. Report on the personal distribution of income and wealth of the Brazilian population – IRPF 2023 data. [n.p.]: [n.p.], [n.d.]. (Whites: 78.6% of the top 1% richest in 2023).</w:t>
      </w:r>
      <w:r>
        <w:br/>
      </w:r>
    </w:p>
    <w:p w14:paraId="3B882950" w14:textId="77777777" w:rsidR="0090197E" w:rsidRDefault="00000000">
      <w:pPr>
        <w:numPr>
          <w:ilvl w:val="0"/>
          <w:numId w:val="2"/>
        </w:numPr>
      </w:pPr>
      <w:r>
        <w:t>BRAZIL. Ministry of Justice and Public Security. National Project for the Qualification of the Use of Force (“diagnosis and impact assessment” pillar). In: UNITED NATIONS. CERD/C/BRA/FCO/18-20. 2026.</w:t>
      </w:r>
      <w:r>
        <w:br/>
      </w:r>
    </w:p>
    <w:p w14:paraId="3B882951" w14:textId="77777777" w:rsidR="0090197E" w:rsidRDefault="00000000">
      <w:pPr>
        <w:numPr>
          <w:ilvl w:val="0"/>
          <w:numId w:val="2"/>
        </w:numPr>
      </w:pPr>
      <w:r>
        <w:t>BRAZIL. Decree No. 12,341 of 2024 (regulates Law No. 13,060/2014; technical parameters; prohibitions and training/reporting obligations). In: UNITED NATIONS. CERD/C/BRA/FCO/18-20. 2026.</w:t>
      </w:r>
      <w:r>
        <w:br/>
      </w:r>
    </w:p>
    <w:p w14:paraId="3B882952" w14:textId="77777777" w:rsidR="0090197E" w:rsidRDefault="00000000">
      <w:pPr>
        <w:numPr>
          <w:ilvl w:val="0"/>
          <w:numId w:val="2"/>
        </w:numPr>
      </w:pPr>
      <w:r>
        <w:lastRenderedPageBreak/>
        <w:t>NATIONAL PACT TO COMBAT INEQUALITIES. Report of the Brazilian Observatory of Inequalities 2025. [n.p.]: [n.p.], 2025. (Police intervention in 2024: 6,243 deaths; 82% Black victims; reference to the 2025 Brazilian Yearbook of Public Security).</w:t>
      </w:r>
      <w:r>
        <w:br/>
      </w:r>
    </w:p>
    <w:p w14:paraId="3B882953" w14:textId="77777777" w:rsidR="0090197E" w:rsidRDefault="00000000">
      <w:pPr>
        <w:numPr>
          <w:ilvl w:val="0"/>
          <w:numId w:val="2"/>
        </w:numPr>
      </w:pPr>
      <w:r>
        <w:t>INSTITUTE FOR APPLIED ECONOMIC RESEARCH (IPEA); BRAZILIAN PUBLIC SECURITY FORUM (FBSP). Atlas of Violence 2025. Brasília/Rio de Janeiro: Ipea/FBSP, 2025. (Relative risk: 2.7 times higher for Black people in 2023).</w:t>
      </w:r>
      <w:r>
        <w:br/>
      </w:r>
    </w:p>
    <w:p w14:paraId="3B882954" w14:textId="77777777" w:rsidR="0090197E" w:rsidRDefault="00000000">
      <w:pPr>
        <w:numPr>
          <w:ilvl w:val="0"/>
          <w:numId w:val="2"/>
        </w:numPr>
        <w:spacing w:after="240"/>
      </w:pPr>
      <w:r>
        <w:t>BRAZILIAN PUBLIC SECURITY FORUM. Visible and invisible: the victimization of women in Brazil. 5th ed., São Paulo: Brazilian Public Security Forum, 2025.</w:t>
      </w:r>
    </w:p>
    <w:p w14:paraId="3B882955" w14:textId="77777777" w:rsidR="0090197E" w:rsidRDefault="0090197E"/>
    <w:sectPr w:rsidR="0090197E">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B27A5" w14:textId="77777777" w:rsidR="00EB046E" w:rsidRDefault="00EB046E">
      <w:pPr>
        <w:spacing w:line="240" w:lineRule="auto"/>
      </w:pPr>
      <w:r>
        <w:separator/>
      </w:r>
    </w:p>
  </w:endnote>
  <w:endnote w:type="continuationSeparator" w:id="0">
    <w:p w14:paraId="42EBD257" w14:textId="77777777" w:rsidR="00EB046E" w:rsidRDefault="00EB0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fontKey="{0052B5E7-E006-4566-90D4-D8144EDF5315}"/>
  </w:font>
  <w:font w:name="Cambria">
    <w:panose1 w:val="02040503050406030204"/>
    <w:charset w:val="00"/>
    <w:family w:val="roman"/>
    <w:pitch w:val="variable"/>
    <w:sig w:usb0="E00006FF" w:usb1="420024FF" w:usb2="02000000" w:usb3="00000000" w:csb0="0000019F" w:csb1="00000000"/>
    <w:embedRegular r:id="rId2" w:fontKey="{F5AEF3AF-0923-44E9-9A8A-EEF219A1903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296F4" w14:textId="77777777" w:rsidR="00EB046E" w:rsidRDefault="00EB046E">
      <w:pPr>
        <w:spacing w:line="240" w:lineRule="auto"/>
      </w:pPr>
      <w:r>
        <w:separator/>
      </w:r>
    </w:p>
  </w:footnote>
  <w:footnote w:type="continuationSeparator" w:id="0">
    <w:p w14:paraId="492F153B" w14:textId="77777777" w:rsidR="00EB046E" w:rsidRDefault="00EB046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63659E"/>
    <w:multiLevelType w:val="multilevel"/>
    <w:tmpl w:val="50BA4A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719B1DCC"/>
    <w:multiLevelType w:val="multilevel"/>
    <w:tmpl w:val="A3B6EC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06560263">
    <w:abstractNumId w:val="1"/>
  </w:num>
  <w:num w:numId="2" w16cid:durableId="279336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97E"/>
    <w:rsid w:val="001168D1"/>
    <w:rsid w:val="00146F5C"/>
    <w:rsid w:val="0090197E"/>
    <w:rsid w:val="00EB046E"/>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882913"/>
  <w15:docId w15:val="{F306CFEA-800C-43E0-B486-48FBCB2B6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semiHidden/>
    <w:unhideWhenUsed/>
    <w:rsid w:val="001168D1"/>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1168D1"/>
  </w:style>
  <w:style w:type="paragraph" w:styleId="Footer">
    <w:name w:val="footer"/>
    <w:basedOn w:val="Normal"/>
    <w:link w:val="FooterChar"/>
    <w:uiPriority w:val="99"/>
    <w:semiHidden/>
    <w:unhideWhenUsed/>
    <w:rsid w:val="001168D1"/>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1168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d898ffd0bd190952e71897c3dcc0ad4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f7a98970d8a932617f5e778f06c29072"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2026-03-10T18:10:55+00:00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F3F05CF5-44B6-4BA1-A930-1F8F8F7CA8F4}"/>
</file>

<file path=customXml/itemProps2.xml><?xml version="1.0" encoding="utf-8"?>
<ds:datastoreItem xmlns:ds="http://schemas.openxmlformats.org/officeDocument/2006/customXml" ds:itemID="{6BC81E09-B831-4668-9706-E1BE7B4ECD22}"/>
</file>

<file path=customXml/itemProps3.xml><?xml version="1.0" encoding="utf-8"?>
<ds:datastoreItem xmlns:ds="http://schemas.openxmlformats.org/officeDocument/2006/customXml" ds:itemID="{3295AA2C-168C-4921-9F0E-819695C6511C}"/>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9</Pages>
  <Words>3547</Words>
  <Characters>20219</Characters>
  <Application>Microsoft Office Word</Application>
  <DocSecurity>0</DocSecurity>
  <Lines>168</Lines>
  <Paragraphs>47</Paragraphs>
  <ScaleCrop>false</ScaleCrop>
  <Company/>
  <LinksUpToDate>false</LinksUpToDate>
  <CharactersWithSpaces>23719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Author</cp:lastModifiedBy>
  <cp:revision>2</cp:revision>
  <dcterms:created xsi:type="dcterms:W3CDTF">2026-03-10T18:05:00Z</dcterms:created>
  <dcterms:modified xsi:type="dcterms:W3CDTF">2026-03-10T18:05:00Z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