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C9A09" w14:textId="4EE5CA30" w:rsidR="005D0CD1" w:rsidRPr="009F413D" w:rsidRDefault="005D0CD1" w:rsidP="005D0CD1">
      <w:pPr>
        <w:spacing w:before="120" w:after="120" w:line="240" w:lineRule="auto"/>
        <w:jc w:val="center"/>
        <w:rPr>
          <w:rFonts w:asciiTheme="majorBidi" w:eastAsia="Times New Roman" w:hAnsiTheme="majorBidi" w:cstheme="majorBidi"/>
          <w:b/>
          <w:bCs/>
          <w:color w:val="385623" w:themeColor="accent6" w:themeShade="80"/>
          <w:kern w:val="0"/>
          <w:sz w:val="28"/>
          <w:szCs w:val="28"/>
          <w14:ligatures w14:val="none"/>
        </w:rPr>
      </w:pPr>
      <w:r w:rsidRPr="009F413D">
        <w:rPr>
          <w:rFonts w:asciiTheme="majorBidi" w:eastAsia="Times New Roman" w:hAnsiTheme="majorBidi" w:cstheme="majorBidi"/>
          <w:b/>
          <w:bCs/>
          <w:color w:val="385623" w:themeColor="accent6" w:themeShade="80"/>
          <w:kern w:val="0"/>
          <w:sz w:val="28"/>
          <w:szCs w:val="28"/>
          <w14:ligatures w14:val="none"/>
        </w:rPr>
        <w:t xml:space="preserve">Report submitted to the Committee against Torture regarding </w:t>
      </w:r>
      <w:r>
        <w:rPr>
          <w:rFonts w:asciiTheme="majorBidi" w:eastAsia="Times New Roman" w:hAnsiTheme="majorBidi" w:cstheme="majorBidi"/>
          <w:b/>
          <w:bCs/>
          <w:color w:val="385623" w:themeColor="accent6" w:themeShade="80"/>
          <w:kern w:val="0"/>
          <w:sz w:val="28"/>
          <w:szCs w:val="28"/>
          <w14:ligatures w14:val="none"/>
        </w:rPr>
        <w:t>Finland</w:t>
      </w:r>
    </w:p>
    <w:p w14:paraId="466E020B" w14:textId="77777777" w:rsidR="005D0CD1" w:rsidRDefault="005D0CD1" w:rsidP="005D0CD1">
      <w:pPr>
        <w:spacing w:before="120" w:after="120" w:line="240" w:lineRule="auto"/>
        <w:jc w:val="center"/>
        <w:rPr>
          <w:rFonts w:asciiTheme="majorBidi" w:eastAsia="Times New Roman" w:hAnsiTheme="majorBidi" w:cstheme="majorBidi"/>
          <w:color w:val="70AD47" w:themeColor="accent6"/>
          <w:kern w:val="0"/>
          <w:sz w:val="24"/>
          <w:szCs w:val="24"/>
          <w14:ligatures w14:val="none"/>
        </w:rPr>
      </w:pPr>
      <w:r w:rsidRPr="009F413D">
        <w:rPr>
          <w:rFonts w:asciiTheme="majorBidi" w:eastAsia="Times New Roman" w:hAnsiTheme="majorBidi" w:cstheme="majorBidi"/>
          <w:color w:val="70AD47" w:themeColor="accent6"/>
          <w:kern w:val="0"/>
          <w:sz w:val="24"/>
          <w:szCs w:val="24"/>
          <w14:ligatures w14:val="none"/>
        </w:rPr>
        <w:t>International Alliance for Peace and Development</w:t>
      </w:r>
    </w:p>
    <w:p w14:paraId="04576CC1" w14:textId="77777777" w:rsidR="005D0CD1" w:rsidRDefault="005D0CD1" w:rsidP="005D0CD1">
      <w:pPr>
        <w:spacing w:before="120" w:after="120" w:line="240" w:lineRule="auto"/>
        <w:jc w:val="center"/>
        <w:rPr>
          <w:rFonts w:asciiTheme="majorBidi" w:eastAsia="Times New Roman" w:hAnsiTheme="majorBidi" w:cstheme="majorBidi"/>
          <w:color w:val="70AD47" w:themeColor="accent6"/>
          <w:kern w:val="0"/>
          <w:sz w:val="24"/>
          <w:szCs w:val="24"/>
          <w14:ligatures w14:val="none"/>
        </w:rPr>
      </w:pPr>
    </w:p>
    <w:p w14:paraId="14AC98D0" w14:textId="6C938B24" w:rsidR="00340D06" w:rsidRDefault="005D0CD1" w:rsidP="009A47EF">
      <w:pPr>
        <w:spacing w:before="120" w:after="120" w:line="240" w:lineRule="auto"/>
        <w:jc w:val="both"/>
        <w:rPr>
          <w:rFonts w:asciiTheme="majorBidi" w:eastAsia="Times New Roman" w:hAnsiTheme="majorBidi" w:cstheme="majorBidi"/>
          <w:kern w:val="0"/>
          <w:sz w:val="24"/>
          <w:szCs w:val="24"/>
          <w14:ligatures w14:val="none"/>
        </w:rPr>
      </w:pPr>
      <w:r w:rsidRPr="005D0CD1">
        <w:rPr>
          <w:rFonts w:asciiTheme="majorBidi" w:eastAsia="Times New Roman" w:hAnsiTheme="majorBidi" w:cstheme="majorBidi"/>
          <w:kern w:val="0"/>
          <w:sz w:val="24"/>
          <w:szCs w:val="24"/>
          <w14:ligatures w14:val="none"/>
        </w:rPr>
        <w:t>The International Alliance for Peace and Development is submitting this report to the Committee against Torture regarding its review of Finland, and the Alliance hopes that the information in this report will assist the Committee during its review of the country. Finland ratified the Convention against Torture on August 30, 1989, and Finland ratified the Optional Protocol to the Convention on October 8, 2014</w:t>
      </w:r>
      <w:r w:rsidR="00B755CB">
        <w:rPr>
          <w:rStyle w:val="FootnoteReference"/>
          <w:rFonts w:asciiTheme="majorBidi" w:eastAsia="Times New Roman" w:hAnsiTheme="majorBidi" w:cstheme="majorBidi"/>
          <w:kern w:val="0"/>
          <w:sz w:val="24"/>
          <w:szCs w:val="24"/>
          <w14:ligatures w14:val="none"/>
        </w:rPr>
        <w:footnoteReference w:id="1"/>
      </w:r>
      <w:r w:rsidRPr="005D0CD1">
        <w:rPr>
          <w:rFonts w:asciiTheme="majorBidi" w:eastAsia="Times New Roman" w:hAnsiTheme="majorBidi" w:cstheme="majorBidi"/>
          <w:kern w:val="0"/>
          <w:sz w:val="24"/>
          <w:szCs w:val="24"/>
          <w14:ligatures w14:val="none"/>
        </w:rPr>
        <w:t xml:space="preserve">. However, an independent national mechanism has not yet been established pursuant to the ratification of the Protocol, and the Ombudsman is still playing his role as part of this mechanism. The eighth periodic report under Article 19 of the Convention was submitted in December 2020. The </w:t>
      </w:r>
      <w:r>
        <w:rPr>
          <w:rFonts w:asciiTheme="majorBidi" w:eastAsia="Times New Roman" w:hAnsiTheme="majorBidi" w:cstheme="majorBidi"/>
          <w:kern w:val="0"/>
          <w:sz w:val="24"/>
          <w:szCs w:val="24"/>
          <w14:ligatures w14:val="none"/>
        </w:rPr>
        <w:t>Alliance</w:t>
      </w:r>
      <w:r w:rsidRPr="005D0CD1">
        <w:rPr>
          <w:rFonts w:asciiTheme="majorBidi" w:eastAsia="Times New Roman" w:hAnsiTheme="majorBidi" w:cstheme="majorBidi"/>
          <w:kern w:val="0"/>
          <w:sz w:val="24"/>
          <w:szCs w:val="24"/>
          <w14:ligatures w14:val="none"/>
        </w:rPr>
        <w:t xml:space="preserve"> reviewed this report and the list of issues submitted to Finland in December 2019 before commencing the writing of this report, which includes updated information on Finland’s compliance with the Convention against Torture and an indication of issues not covered </w:t>
      </w:r>
      <w:r>
        <w:rPr>
          <w:rFonts w:asciiTheme="majorBidi" w:eastAsia="Times New Roman" w:hAnsiTheme="majorBidi" w:cstheme="majorBidi"/>
          <w:kern w:val="0"/>
          <w:sz w:val="24"/>
          <w:szCs w:val="24"/>
          <w14:ligatures w14:val="none"/>
        </w:rPr>
        <w:t xml:space="preserve">in the </w:t>
      </w:r>
      <w:r w:rsidRPr="005D0CD1">
        <w:rPr>
          <w:rFonts w:asciiTheme="majorBidi" w:eastAsia="Times New Roman" w:hAnsiTheme="majorBidi" w:cstheme="majorBidi"/>
          <w:kern w:val="0"/>
          <w:sz w:val="24"/>
          <w:szCs w:val="24"/>
          <w14:ligatures w14:val="none"/>
        </w:rPr>
        <w:t>State report. The report focuses specifically on the issues of forced return of refugees, the failure to establish a national mechanism to prevent torture as an independent entity, the right of prisoners to submit complaints to the competent authorities, and education and training in the field of combating torture. In addition to violence against women, human trafficking practices, and exploitation of migrant workers.</w:t>
      </w:r>
    </w:p>
    <w:p w14:paraId="2195502D" w14:textId="77777777" w:rsidR="005D0CD1" w:rsidRPr="005D0CD1" w:rsidRDefault="005D0CD1" w:rsidP="005D0CD1">
      <w:pPr>
        <w:spacing w:before="120" w:after="120" w:line="240" w:lineRule="auto"/>
        <w:jc w:val="both"/>
        <w:rPr>
          <w:rFonts w:asciiTheme="majorBidi" w:eastAsia="Times New Roman" w:hAnsiTheme="majorBidi" w:cstheme="majorBidi"/>
          <w:b/>
          <w:bCs/>
          <w:color w:val="385623" w:themeColor="accent6" w:themeShade="80"/>
          <w:kern w:val="0"/>
          <w:sz w:val="24"/>
          <w:szCs w:val="24"/>
          <w14:ligatures w14:val="none"/>
        </w:rPr>
      </w:pPr>
      <w:r w:rsidRPr="005D0CD1">
        <w:rPr>
          <w:rFonts w:asciiTheme="majorBidi" w:eastAsia="Times New Roman" w:hAnsiTheme="majorBidi" w:cstheme="majorBidi"/>
          <w:b/>
          <w:bCs/>
          <w:color w:val="385623" w:themeColor="accent6" w:themeShade="80"/>
          <w:kern w:val="0"/>
          <w:sz w:val="24"/>
          <w:szCs w:val="24"/>
          <w14:ligatures w14:val="none"/>
        </w:rPr>
        <w:t>First: Forced return of refugees and asylum seekers</w:t>
      </w:r>
    </w:p>
    <w:p w14:paraId="371D811D" w14:textId="734336D6" w:rsidR="00A4501F" w:rsidRDefault="005D0CD1" w:rsidP="00A4501F">
      <w:pPr>
        <w:spacing w:before="120" w:after="120" w:line="240" w:lineRule="auto"/>
        <w:jc w:val="both"/>
        <w:rPr>
          <w:rFonts w:asciiTheme="majorBidi" w:eastAsia="Times New Roman" w:hAnsiTheme="majorBidi" w:cstheme="majorBidi"/>
          <w:kern w:val="0"/>
          <w:sz w:val="24"/>
          <w:szCs w:val="24"/>
          <w14:ligatures w14:val="none"/>
        </w:rPr>
      </w:pPr>
      <w:r w:rsidRPr="005D0CD1">
        <w:rPr>
          <w:rFonts w:asciiTheme="majorBidi" w:eastAsia="Times New Roman" w:hAnsiTheme="majorBidi" w:cstheme="majorBidi"/>
          <w:kern w:val="0"/>
          <w:sz w:val="24"/>
          <w:szCs w:val="24"/>
          <w14:ligatures w14:val="none"/>
        </w:rPr>
        <w:t>The Committee requested Finland to take effective legislative, judicial and administrative measures to maintain good refugee status determination procedures while complying with its obligations with respect to non-refoulement under article 3 of the Convention</w:t>
      </w:r>
      <w:r w:rsidR="00B755CB">
        <w:rPr>
          <w:rStyle w:val="FootnoteReference"/>
          <w:rFonts w:asciiTheme="majorBidi" w:eastAsia="Times New Roman" w:hAnsiTheme="majorBidi" w:cstheme="majorBidi"/>
          <w:kern w:val="0"/>
          <w:sz w:val="24"/>
          <w:szCs w:val="24"/>
          <w14:ligatures w14:val="none"/>
        </w:rPr>
        <w:footnoteReference w:id="2"/>
      </w:r>
      <w:r w:rsidRPr="005D0CD1">
        <w:rPr>
          <w:rFonts w:asciiTheme="majorBidi" w:eastAsia="Times New Roman" w:hAnsiTheme="majorBidi" w:cstheme="majorBidi"/>
          <w:kern w:val="0"/>
          <w:sz w:val="24"/>
          <w:szCs w:val="24"/>
          <w14:ligatures w14:val="none"/>
        </w:rPr>
        <w:t xml:space="preserve">. </w:t>
      </w:r>
      <w:r w:rsidR="00A4501F" w:rsidRPr="00A4501F">
        <w:rPr>
          <w:rFonts w:asciiTheme="majorBidi" w:eastAsia="Times New Roman" w:hAnsiTheme="majorBidi" w:cstheme="majorBidi"/>
          <w:kern w:val="0"/>
          <w:sz w:val="24"/>
          <w:szCs w:val="24"/>
          <w14:ligatures w14:val="none"/>
        </w:rPr>
        <w:t>In its last list of issues, the Committee requested information regarding the steps it has taken to comply with the principle of non-refoulement of refugees and asylum seekers to their countries of origin if there are substantial grounds for believing that they would be at risk of being subjected to torture</w:t>
      </w:r>
      <w:r w:rsidR="00A4501F">
        <w:rPr>
          <w:rFonts w:asciiTheme="majorBidi" w:eastAsia="Times New Roman" w:hAnsiTheme="majorBidi" w:cstheme="majorBidi"/>
          <w:kern w:val="0"/>
          <w:sz w:val="24"/>
          <w:szCs w:val="24"/>
          <w14:ligatures w14:val="none"/>
        </w:rPr>
        <w:t xml:space="preserve">. </w:t>
      </w:r>
      <w:r w:rsidRPr="005D0CD1">
        <w:rPr>
          <w:rFonts w:asciiTheme="majorBidi" w:eastAsia="Times New Roman" w:hAnsiTheme="majorBidi" w:cstheme="majorBidi"/>
          <w:kern w:val="0"/>
          <w:sz w:val="24"/>
          <w:szCs w:val="24"/>
          <w14:ligatures w14:val="none"/>
        </w:rPr>
        <w:t xml:space="preserve">The </w:t>
      </w:r>
      <w:r w:rsidR="00A4501F">
        <w:rPr>
          <w:rFonts w:asciiTheme="majorBidi" w:eastAsia="Times New Roman" w:hAnsiTheme="majorBidi" w:cstheme="majorBidi"/>
          <w:kern w:val="0"/>
          <w:sz w:val="24"/>
          <w:szCs w:val="24"/>
          <w14:ligatures w14:val="none"/>
        </w:rPr>
        <w:t>Alliance</w:t>
      </w:r>
      <w:r w:rsidRPr="005D0CD1">
        <w:rPr>
          <w:rFonts w:asciiTheme="majorBidi" w:eastAsia="Times New Roman" w:hAnsiTheme="majorBidi" w:cstheme="majorBidi"/>
          <w:kern w:val="0"/>
          <w:sz w:val="24"/>
          <w:szCs w:val="24"/>
          <w14:ligatures w14:val="none"/>
        </w:rPr>
        <w:t xml:space="preserve"> reviewed the steps taken by Finland to adhere to this principle, including its declared obligations under the 1951 Convention relating to the Status of Refugees. However, the </w:t>
      </w:r>
      <w:r w:rsidR="003E774A">
        <w:rPr>
          <w:rFonts w:asciiTheme="majorBidi" w:eastAsia="Times New Roman" w:hAnsiTheme="majorBidi" w:cstheme="majorBidi"/>
          <w:kern w:val="0"/>
          <w:sz w:val="24"/>
          <w:szCs w:val="24"/>
          <w14:ligatures w14:val="none"/>
        </w:rPr>
        <w:t>Alliance</w:t>
      </w:r>
      <w:r w:rsidRPr="005D0CD1">
        <w:rPr>
          <w:rFonts w:asciiTheme="majorBidi" w:eastAsia="Times New Roman" w:hAnsiTheme="majorBidi" w:cstheme="majorBidi"/>
          <w:kern w:val="0"/>
          <w:sz w:val="24"/>
          <w:szCs w:val="24"/>
          <w14:ligatures w14:val="none"/>
        </w:rPr>
        <w:t xml:space="preserve"> notes the continued violation of </w:t>
      </w:r>
      <w:r w:rsidR="00A4501F" w:rsidRPr="005D0CD1">
        <w:rPr>
          <w:rFonts w:asciiTheme="majorBidi" w:eastAsia="Times New Roman" w:hAnsiTheme="majorBidi" w:cstheme="majorBidi"/>
          <w:kern w:val="0"/>
          <w:sz w:val="24"/>
          <w:szCs w:val="24"/>
          <w14:ligatures w14:val="none"/>
        </w:rPr>
        <w:t>the</w:t>
      </w:r>
      <w:r w:rsidRPr="005D0CD1">
        <w:rPr>
          <w:rFonts w:asciiTheme="majorBidi" w:eastAsia="Times New Roman" w:hAnsiTheme="majorBidi" w:cstheme="majorBidi"/>
          <w:kern w:val="0"/>
          <w:sz w:val="24"/>
          <w:szCs w:val="24"/>
          <w14:ligatures w14:val="none"/>
        </w:rPr>
        <w:t xml:space="preserve"> principle of non-refoulement in practice in Finland</w:t>
      </w:r>
      <w:r w:rsidR="00A4501F">
        <w:rPr>
          <w:rFonts w:asciiTheme="majorBidi" w:eastAsia="Times New Roman" w:hAnsiTheme="majorBidi" w:cstheme="majorBidi"/>
          <w:kern w:val="0"/>
          <w:sz w:val="24"/>
          <w:szCs w:val="24"/>
          <w14:ligatures w14:val="none"/>
        </w:rPr>
        <w:t>.</w:t>
      </w:r>
    </w:p>
    <w:p w14:paraId="49D73C6C" w14:textId="60E18798" w:rsidR="00A4501F" w:rsidRDefault="00A4501F" w:rsidP="00A4501F">
      <w:pPr>
        <w:spacing w:before="120" w:after="120" w:line="240" w:lineRule="auto"/>
        <w:jc w:val="both"/>
        <w:rPr>
          <w:rFonts w:asciiTheme="majorBidi" w:eastAsia="Times New Roman" w:hAnsiTheme="majorBidi" w:cstheme="majorBidi"/>
          <w:kern w:val="0"/>
          <w:sz w:val="24"/>
          <w:szCs w:val="24"/>
          <w14:ligatures w14:val="none"/>
        </w:rPr>
      </w:pPr>
      <w:r w:rsidRPr="00A4501F">
        <w:rPr>
          <w:rFonts w:asciiTheme="majorBidi" w:eastAsia="Times New Roman" w:hAnsiTheme="majorBidi" w:cstheme="majorBidi"/>
          <w:kern w:val="0"/>
          <w:sz w:val="24"/>
          <w:szCs w:val="24"/>
          <w14:ligatures w14:val="none"/>
        </w:rPr>
        <w:t xml:space="preserve">For example, in July 2022, amendments to the Border Guard Law made it possible to centralize the reception of asylum applications at a separate crossing point, meaning that the eastern border with the Russian Federation may be closed to asylum seekers. The amendments included the possibility of building barriers in the border area, and the government began building a fence extending along parts of the eastern border. This means obstructing asylum seekers' access to territory to apply for international protection, and ultimately leads to refoulement in violation of the principle of non-refoulement contained in Article 3 of the Convention. In specific incidents, the </w:t>
      </w:r>
      <w:r>
        <w:rPr>
          <w:rFonts w:asciiTheme="majorBidi" w:eastAsia="Times New Roman" w:hAnsiTheme="majorBidi" w:cstheme="majorBidi"/>
          <w:kern w:val="0"/>
          <w:sz w:val="24"/>
          <w:szCs w:val="24"/>
          <w14:ligatures w14:val="none"/>
        </w:rPr>
        <w:t>Alliance</w:t>
      </w:r>
      <w:r w:rsidRPr="00A4501F">
        <w:rPr>
          <w:rFonts w:asciiTheme="majorBidi" w:eastAsia="Times New Roman" w:hAnsiTheme="majorBidi" w:cstheme="majorBidi"/>
          <w:kern w:val="0"/>
          <w:sz w:val="24"/>
          <w:szCs w:val="24"/>
          <w14:ligatures w14:val="none"/>
        </w:rPr>
        <w:t xml:space="preserve"> noted that Finland intends to extradite an asylum seeker to the Democratic Republic of the Congo, and despite the Committee on Torture’s appeal in December 2023 for Finland not to take this step, no information was available regarding the measures taken by the state to prevent the re-extradition of the asylum seeker</w:t>
      </w:r>
      <w:r w:rsidR="00B755CB">
        <w:rPr>
          <w:rStyle w:val="FootnoteReference"/>
          <w:rFonts w:asciiTheme="majorBidi" w:eastAsia="Times New Roman" w:hAnsiTheme="majorBidi" w:cstheme="majorBidi"/>
          <w:kern w:val="0"/>
          <w:sz w:val="24"/>
          <w:szCs w:val="24"/>
          <w14:ligatures w14:val="none"/>
        </w:rPr>
        <w:footnoteReference w:id="3"/>
      </w:r>
      <w:r w:rsidRPr="00A4501F">
        <w:rPr>
          <w:rFonts w:asciiTheme="majorBidi" w:eastAsia="Times New Roman" w:hAnsiTheme="majorBidi" w:cstheme="majorBidi"/>
          <w:kern w:val="0"/>
          <w:sz w:val="24"/>
          <w:szCs w:val="24"/>
          <w14:ligatures w14:val="none"/>
        </w:rPr>
        <w:t>. This situation contradicts Article 3 of the Convention, which prohibits the deportation, return or extradition of any person to another country if there are reasonable grounds to believe that he or she will be exposed to the risk of torture.</w:t>
      </w:r>
    </w:p>
    <w:p w14:paraId="7012C3AF" w14:textId="368C7F2F" w:rsidR="00A4501F" w:rsidRDefault="00A4501F" w:rsidP="00A4501F">
      <w:pPr>
        <w:spacing w:before="120" w:after="120" w:line="240" w:lineRule="auto"/>
        <w:jc w:val="both"/>
        <w:rPr>
          <w:rFonts w:asciiTheme="majorBidi" w:eastAsia="Times New Roman" w:hAnsiTheme="majorBidi" w:cstheme="majorBidi"/>
          <w:kern w:val="0"/>
          <w:sz w:val="24"/>
          <w:szCs w:val="24"/>
          <w14:ligatures w14:val="none"/>
        </w:rPr>
      </w:pPr>
      <w:r w:rsidRPr="00A4501F">
        <w:rPr>
          <w:rFonts w:asciiTheme="majorBidi" w:eastAsia="Times New Roman" w:hAnsiTheme="majorBidi" w:cstheme="majorBidi"/>
          <w:kern w:val="0"/>
          <w:sz w:val="24"/>
          <w:szCs w:val="24"/>
          <w14:ligatures w14:val="none"/>
        </w:rPr>
        <w:lastRenderedPageBreak/>
        <w:t xml:space="preserve">In addition, the International </w:t>
      </w:r>
      <w:r>
        <w:rPr>
          <w:rFonts w:asciiTheme="majorBidi" w:eastAsia="Times New Roman" w:hAnsiTheme="majorBidi" w:cstheme="majorBidi"/>
          <w:kern w:val="0"/>
          <w:sz w:val="24"/>
          <w:szCs w:val="24"/>
          <w14:ligatures w14:val="none"/>
        </w:rPr>
        <w:t>Alliance</w:t>
      </w:r>
      <w:r w:rsidRPr="00A4501F">
        <w:rPr>
          <w:rFonts w:asciiTheme="majorBidi" w:eastAsia="Times New Roman" w:hAnsiTheme="majorBidi" w:cstheme="majorBidi"/>
          <w:kern w:val="0"/>
          <w:sz w:val="24"/>
          <w:szCs w:val="24"/>
          <w14:ligatures w14:val="none"/>
        </w:rPr>
        <w:t xml:space="preserve"> for Peace and Development reviewed the Ministry of the Interior’s statements that set vague charges that require the forced return of refugees to their countries. According to the Ministry, the person has committed a serious crime in Finland that threatens public order and security, or if the person is endangering national security. This requires return to his country, although Finland did not specify these crimes</w:t>
      </w:r>
      <w:r w:rsidR="00B755CB">
        <w:rPr>
          <w:rStyle w:val="FootnoteReference"/>
          <w:rFonts w:asciiTheme="majorBidi" w:eastAsia="Times New Roman" w:hAnsiTheme="majorBidi" w:cstheme="majorBidi"/>
          <w:kern w:val="0"/>
          <w:sz w:val="24"/>
          <w:szCs w:val="24"/>
          <w14:ligatures w14:val="none"/>
        </w:rPr>
        <w:footnoteReference w:id="4"/>
      </w:r>
      <w:r w:rsidRPr="00A4501F">
        <w:rPr>
          <w:rFonts w:asciiTheme="majorBidi" w:eastAsia="Times New Roman" w:hAnsiTheme="majorBidi" w:cstheme="majorBidi"/>
          <w:kern w:val="0"/>
          <w:sz w:val="24"/>
          <w:szCs w:val="24"/>
          <w14:ligatures w14:val="none"/>
        </w:rPr>
        <w:t xml:space="preserve">. The </w:t>
      </w:r>
      <w:r>
        <w:rPr>
          <w:rFonts w:asciiTheme="majorBidi" w:eastAsia="Times New Roman" w:hAnsiTheme="majorBidi" w:cstheme="majorBidi"/>
          <w:kern w:val="0"/>
          <w:sz w:val="24"/>
          <w:szCs w:val="24"/>
          <w14:ligatures w14:val="none"/>
        </w:rPr>
        <w:t>Alliance</w:t>
      </w:r>
      <w:r w:rsidRPr="00A4501F">
        <w:rPr>
          <w:rFonts w:asciiTheme="majorBidi" w:eastAsia="Times New Roman" w:hAnsiTheme="majorBidi" w:cstheme="majorBidi"/>
          <w:kern w:val="0"/>
          <w:sz w:val="24"/>
          <w:szCs w:val="24"/>
          <w14:ligatures w14:val="none"/>
        </w:rPr>
        <w:t xml:space="preserve"> supports what was stated in the statement of the Ombudsman in Finland, which states that the principle of non-refoulement is a right that Finland must observe in all circumstances. Non-refoulement guarantees the right to life and protects against torture and inhuman and degrading treatment</w:t>
      </w:r>
      <w:r w:rsidR="00B755CB">
        <w:rPr>
          <w:rStyle w:val="FootnoteReference"/>
          <w:rFonts w:asciiTheme="majorBidi" w:eastAsia="Times New Roman" w:hAnsiTheme="majorBidi" w:cstheme="majorBidi"/>
          <w:kern w:val="0"/>
          <w:sz w:val="24"/>
          <w:szCs w:val="24"/>
          <w14:ligatures w14:val="none"/>
        </w:rPr>
        <w:footnoteReference w:id="5"/>
      </w:r>
      <w:r w:rsidRPr="00A4501F">
        <w:rPr>
          <w:rFonts w:asciiTheme="majorBidi" w:eastAsia="Times New Roman" w:hAnsiTheme="majorBidi" w:cstheme="majorBidi"/>
          <w:kern w:val="0"/>
          <w:sz w:val="24"/>
          <w:szCs w:val="24"/>
          <w14:ligatures w14:val="none"/>
        </w:rPr>
        <w:t xml:space="preserve">. Although the </w:t>
      </w:r>
      <w:r>
        <w:rPr>
          <w:rFonts w:asciiTheme="majorBidi" w:eastAsia="Times New Roman" w:hAnsiTheme="majorBidi" w:cstheme="majorBidi"/>
          <w:kern w:val="0"/>
          <w:sz w:val="24"/>
          <w:szCs w:val="24"/>
          <w14:ligatures w14:val="none"/>
        </w:rPr>
        <w:t>Alliance</w:t>
      </w:r>
      <w:r w:rsidRPr="00A4501F">
        <w:rPr>
          <w:rFonts w:asciiTheme="majorBidi" w:eastAsia="Times New Roman" w:hAnsiTheme="majorBidi" w:cstheme="majorBidi"/>
          <w:kern w:val="0"/>
          <w:sz w:val="24"/>
          <w:szCs w:val="24"/>
          <w14:ligatures w14:val="none"/>
        </w:rPr>
        <w:t xml:space="preserve"> supports the views that states have a sovereign right to regulate the entry of non-citizens, international law also stipulates the universal and fundamental right to seek and enjoy asylum. Effective access to land is a prerequisite for the effective exercise of this right, which is contrary to Finland's practices</w:t>
      </w:r>
      <w:r w:rsidR="00B755CB">
        <w:rPr>
          <w:rStyle w:val="FootnoteReference"/>
          <w:rFonts w:asciiTheme="majorBidi" w:eastAsia="Times New Roman" w:hAnsiTheme="majorBidi" w:cstheme="majorBidi"/>
          <w:kern w:val="0"/>
          <w:sz w:val="24"/>
          <w:szCs w:val="24"/>
          <w14:ligatures w14:val="none"/>
        </w:rPr>
        <w:footnoteReference w:id="6"/>
      </w:r>
      <w:r w:rsidRPr="00A4501F">
        <w:rPr>
          <w:rFonts w:asciiTheme="majorBidi" w:eastAsia="Times New Roman" w:hAnsiTheme="majorBidi" w:cstheme="majorBidi"/>
          <w:kern w:val="0"/>
          <w:sz w:val="24"/>
          <w:szCs w:val="24"/>
          <w14:ligatures w14:val="none"/>
        </w:rPr>
        <w:t>.</w:t>
      </w:r>
    </w:p>
    <w:p w14:paraId="1F136522" w14:textId="77777777" w:rsidR="00A4501F" w:rsidRPr="00A4501F" w:rsidRDefault="00A4501F" w:rsidP="00A4501F">
      <w:pPr>
        <w:spacing w:before="120" w:after="120" w:line="240" w:lineRule="auto"/>
        <w:rPr>
          <w:rFonts w:asciiTheme="majorBidi" w:eastAsia="Times New Roman" w:hAnsiTheme="majorBidi" w:cstheme="majorBidi"/>
          <w:b/>
          <w:bCs/>
          <w:color w:val="385623" w:themeColor="accent6" w:themeShade="80"/>
          <w:kern w:val="0"/>
          <w:sz w:val="24"/>
          <w:szCs w:val="24"/>
          <w14:ligatures w14:val="none"/>
        </w:rPr>
      </w:pPr>
      <w:r w:rsidRPr="00A4501F">
        <w:rPr>
          <w:rFonts w:asciiTheme="majorBidi" w:eastAsia="Times New Roman" w:hAnsiTheme="majorBidi" w:cstheme="majorBidi"/>
          <w:b/>
          <w:bCs/>
          <w:color w:val="385623" w:themeColor="accent6" w:themeShade="80"/>
          <w:kern w:val="0"/>
          <w:sz w:val="24"/>
          <w:szCs w:val="24"/>
          <w14:ligatures w14:val="none"/>
        </w:rPr>
        <w:t>Second: The National Mechanism against Torture</w:t>
      </w:r>
    </w:p>
    <w:p w14:paraId="1D19FF4C" w14:textId="3984976A" w:rsidR="00A4501F" w:rsidRDefault="00A4501F" w:rsidP="00A4501F">
      <w:pPr>
        <w:spacing w:before="120" w:after="120" w:line="240" w:lineRule="auto"/>
        <w:jc w:val="both"/>
        <w:rPr>
          <w:rFonts w:asciiTheme="majorBidi" w:eastAsia="Times New Roman" w:hAnsiTheme="majorBidi" w:cstheme="majorBidi"/>
          <w:kern w:val="0"/>
          <w:sz w:val="24"/>
          <w:szCs w:val="24"/>
          <w14:ligatures w14:val="none"/>
        </w:rPr>
      </w:pPr>
      <w:r w:rsidRPr="00A4501F">
        <w:rPr>
          <w:rFonts w:asciiTheme="majorBidi" w:eastAsia="Times New Roman" w:hAnsiTheme="majorBidi" w:cstheme="majorBidi"/>
          <w:kern w:val="0"/>
          <w:sz w:val="24"/>
          <w:szCs w:val="24"/>
          <w14:ligatures w14:val="none"/>
        </w:rPr>
        <w:t>Finland ratified the Optional Protocol to the Convention against Torture on October 8, 2014, and the Protocol entered into force on November 7, 2014. Since then, Finland has had to establish a national mechanism against torture. The Committee had requested updated information from Finland in the list of issues regarding the establishment of the National Mechanism as a separate entity</w:t>
      </w:r>
      <w:r w:rsidR="00B755CB">
        <w:rPr>
          <w:rStyle w:val="FootnoteReference"/>
          <w:rFonts w:asciiTheme="majorBidi" w:eastAsia="Times New Roman" w:hAnsiTheme="majorBidi" w:cstheme="majorBidi"/>
          <w:kern w:val="0"/>
          <w:sz w:val="24"/>
          <w:szCs w:val="24"/>
          <w14:ligatures w14:val="none"/>
        </w:rPr>
        <w:footnoteReference w:id="7"/>
      </w:r>
      <w:r w:rsidRPr="00A4501F">
        <w:rPr>
          <w:rFonts w:asciiTheme="majorBidi" w:eastAsia="Times New Roman" w:hAnsiTheme="majorBidi" w:cstheme="majorBidi"/>
          <w:kern w:val="0"/>
          <w:sz w:val="24"/>
          <w:szCs w:val="24"/>
          <w14:ligatures w14:val="none"/>
        </w:rPr>
        <w:t>. However, the International Alliance for Peace and Development notes that the Ombudsman continues to exercise its role as the national preventive mechanism for the prevention of torture in Finland</w:t>
      </w:r>
      <w:r w:rsidR="00B755CB">
        <w:rPr>
          <w:rStyle w:val="FootnoteReference"/>
          <w:rFonts w:asciiTheme="majorBidi" w:eastAsia="Times New Roman" w:hAnsiTheme="majorBidi" w:cstheme="majorBidi"/>
          <w:kern w:val="0"/>
          <w:sz w:val="24"/>
          <w:szCs w:val="24"/>
          <w14:ligatures w14:val="none"/>
        </w:rPr>
        <w:footnoteReference w:id="8"/>
      </w:r>
      <w:r w:rsidRPr="00A4501F">
        <w:rPr>
          <w:rFonts w:asciiTheme="majorBidi" w:eastAsia="Times New Roman" w:hAnsiTheme="majorBidi" w:cstheme="majorBidi"/>
          <w:kern w:val="0"/>
          <w:sz w:val="24"/>
          <w:szCs w:val="24"/>
          <w14:ligatures w14:val="none"/>
        </w:rPr>
        <w:t>, and that</w:t>
      </w:r>
      <w:r w:rsidR="00B34118" w:rsidRPr="00B34118">
        <w:t xml:space="preserve"> </w:t>
      </w:r>
      <w:r w:rsidR="00B34118">
        <w:rPr>
          <w:rFonts w:asciiTheme="majorBidi" w:eastAsia="Times New Roman" w:hAnsiTheme="majorBidi" w:cstheme="majorBidi"/>
          <w:kern w:val="0"/>
          <w:sz w:val="24"/>
          <w:szCs w:val="24"/>
          <w14:ligatures w14:val="none"/>
        </w:rPr>
        <w:t>t</w:t>
      </w:r>
      <w:r w:rsidR="00B34118" w:rsidRPr="00B34118">
        <w:rPr>
          <w:rFonts w:asciiTheme="majorBidi" w:eastAsia="Times New Roman" w:hAnsiTheme="majorBidi" w:cstheme="majorBidi"/>
          <w:kern w:val="0"/>
          <w:sz w:val="24"/>
          <w:szCs w:val="24"/>
          <w14:ligatures w14:val="none"/>
        </w:rPr>
        <w:t>he National Mechanism as an independent entity has not yet been established and there is no information available whether Finland will discuss a draft law to establish the National Mechanism. This requires the state to accelerate the pace of establishing a national mechanism in response to what was stated in the Committee’s recent concluding observations.</w:t>
      </w:r>
    </w:p>
    <w:p w14:paraId="1FE81930" w14:textId="77777777" w:rsidR="00B34118" w:rsidRPr="00B34118" w:rsidRDefault="00B34118" w:rsidP="00B34118">
      <w:pPr>
        <w:spacing w:before="120" w:after="120" w:line="240" w:lineRule="auto"/>
        <w:jc w:val="both"/>
        <w:rPr>
          <w:rFonts w:asciiTheme="majorBidi" w:eastAsia="Times New Roman" w:hAnsiTheme="majorBidi" w:cstheme="majorBidi"/>
          <w:b/>
          <w:bCs/>
          <w:color w:val="385623" w:themeColor="accent6" w:themeShade="80"/>
          <w:kern w:val="0"/>
          <w:sz w:val="24"/>
          <w:szCs w:val="24"/>
          <w14:ligatures w14:val="none"/>
        </w:rPr>
      </w:pPr>
      <w:r w:rsidRPr="00B34118">
        <w:rPr>
          <w:rFonts w:asciiTheme="majorBidi" w:eastAsia="Times New Roman" w:hAnsiTheme="majorBidi" w:cstheme="majorBidi"/>
          <w:b/>
          <w:bCs/>
          <w:color w:val="385623" w:themeColor="accent6" w:themeShade="80"/>
          <w:kern w:val="0"/>
          <w:sz w:val="24"/>
          <w:szCs w:val="24"/>
          <w14:ligatures w14:val="none"/>
        </w:rPr>
        <w:t>Third: Education and training to combat torture</w:t>
      </w:r>
    </w:p>
    <w:p w14:paraId="261B08FA" w14:textId="38787949" w:rsidR="00B34118" w:rsidRPr="00B34118" w:rsidRDefault="00B34118" w:rsidP="00B34118">
      <w:pPr>
        <w:spacing w:before="120" w:after="120" w:line="240" w:lineRule="auto"/>
        <w:jc w:val="both"/>
        <w:rPr>
          <w:rFonts w:asciiTheme="majorBidi" w:eastAsia="Times New Roman" w:hAnsiTheme="majorBidi" w:cstheme="majorBidi"/>
          <w:kern w:val="0"/>
          <w:sz w:val="24"/>
          <w:szCs w:val="24"/>
          <w14:ligatures w14:val="none"/>
        </w:rPr>
      </w:pPr>
      <w:r w:rsidRPr="00B34118">
        <w:rPr>
          <w:rFonts w:asciiTheme="majorBidi" w:eastAsia="Times New Roman" w:hAnsiTheme="majorBidi" w:cstheme="majorBidi"/>
          <w:kern w:val="0"/>
          <w:sz w:val="24"/>
          <w:szCs w:val="24"/>
          <w14:ligatures w14:val="none"/>
        </w:rPr>
        <w:t xml:space="preserve">In its last list of issues, the Committee requested Finland to clarify whether training on the provisions of the Convention and the absolute prohibition of torture had been made mandatory for all law enforcement officials, in particular those dealing with persons detained in police detention facilities, and </w:t>
      </w:r>
      <w:r>
        <w:rPr>
          <w:rFonts w:asciiTheme="majorBidi" w:eastAsia="Times New Roman" w:hAnsiTheme="majorBidi" w:cstheme="majorBidi"/>
          <w:kern w:val="0"/>
          <w:sz w:val="24"/>
          <w:szCs w:val="24"/>
          <w14:ligatures w14:val="none"/>
        </w:rPr>
        <w:t>t</w:t>
      </w:r>
      <w:r w:rsidRPr="00B34118">
        <w:rPr>
          <w:rFonts w:asciiTheme="majorBidi" w:eastAsia="Times New Roman" w:hAnsiTheme="majorBidi" w:cstheme="majorBidi"/>
          <w:kern w:val="0"/>
          <w:sz w:val="24"/>
          <w:szCs w:val="24"/>
          <w14:ligatures w14:val="none"/>
        </w:rPr>
        <w:t>he Alliance reviewed the steps taken by Finland in this context, including the training conducted by the Border and Coast Guard Academy. However, these steps did not in any way include issuing decisions to compulsory training provided to all law enforcement officials.</w:t>
      </w:r>
    </w:p>
    <w:p w14:paraId="74DE1372" w14:textId="3638F566" w:rsidR="00B34118" w:rsidRDefault="00B34118" w:rsidP="00B34118">
      <w:pPr>
        <w:spacing w:before="120" w:after="120" w:line="240" w:lineRule="auto"/>
        <w:jc w:val="both"/>
        <w:rPr>
          <w:rFonts w:asciiTheme="majorBidi" w:eastAsia="Times New Roman" w:hAnsiTheme="majorBidi" w:cstheme="majorBidi"/>
          <w:kern w:val="0"/>
          <w:sz w:val="24"/>
          <w:szCs w:val="24"/>
          <w14:ligatures w14:val="none"/>
        </w:rPr>
      </w:pPr>
      <w:r w:rsidRPr="00B34118">
        <w:rPr>
          <w:rFonts w:asciiTheme="majorBidi" w:eastAsia="Times New Roman" w:hAnsiTheme="majorBidi" w:cstheme="majorBidi"/>
          <w:kern w:val="0"/>
          <w:sz w:val="24"/>
          <w:szCs w:val="24"/>
          <w14:ligatures w14:val="none"/>
        </w:rPr>
        <w:t xml:space="preserve">The </w:t>
      </w:r>
      <w:r>
        <w:rPr>
          <w:rFonts w:asciiTheme="majorBidi" w:eastAsia="Times New Roman" w:hAnsiTheme="majorBidi" w:cstheme="majorBidi"/>
          <w:kern w:val="0"/>
          <w:sz w:val="24"/>
          <w:szCs w:val="24"/>
          <w14:ligatures w14:val="none"/>
        </w:rPr>
        <w:t>Alliance</w:t>
      </w:r>
      <w:r w:rsidRPr="00B34118">
        <w:rPr>
          <w:rFonts w:asciiTheme="majorBidi" w:eastAsia="Times New Roman" w:hAnsiTheme="majorBidi" w:cstheme="majorBidi"/>
          <w:kern w:val="0"/>
          <w:sz w:val="24"/>
          <w:szCs w:val="24"/>
          <w14:ligatures w14:val="none"/>
        </w:rPr>
        <w:t xml:space="preserve"> also notes that limited training on the Guide to the Effective Investigation and Documentation of Torture and Other Cruel, Inhuman or Degrading Treatment or Punishment, known as the Istanbul Protocol, is not available to all medical professionals and other officials who deal with persons in detention centers, including detained migrants and refugees, and asylum seekers. The </w:t>
      </w:r>
      <w:r>
        <w:rPr>
          <w:rFonts w:asciiTheme="majorBidi" w:eastAsia="Times New Roman" w:hAnsiTheme="majorBidi" w:cstheme="majorBidi"/>
          <w:kern w:val="0"/>
          <w:sz w:val="24"/>
          <w:szCs w:val="24"/>
          <w14:ligatures w14:val="none"/>
        </w:rPr>
        <w:t>Alliance</w:t>
      </w:r>
      <w:r w:rsidRPr="00B34118">
        <w:rPr>
          <w:rFonts w:asciiTheme="majorBidi" w:eastAsia="Times New Roman" w:hAnsiTheme="majorBidi" w:cstheme="majorBidi"/>
          <w:kern w:val="0"/>
          <w:sz w:val="24"/>
          <w:szCs w:val="24"/>
          <w14:ligatures w14:val="none"/>
        </w:rPr>
        <w:t xml:space="preserve"> has also seen reports indicating that the evaluation of the feasibility of the training programs provided to police officers is very limited and is conducted without a unified methodology</w:t>
      </w:r>
      <w:r w:rsidR="00B755CB">
        <w:rPr>
          <w:rStyle w:val="FootnoteReference"/>
          <w:rFonts w:asciiTheme="majorBidi" w:eastAsia="Times New Roman" w:hAnsiTheme="majorBidi" w:cstheme="majorBidi"/>
          <w:kern w:val="0"/>
          <w:sz w:val="24"/>
          <w:szCs w:val="24"/>
          <w14:ligatures w14:val="none"/>
        </w:rPr>
        <w:footnoteReference w:id="9"/>
      </w:r>
      <w:r w:rsidRPr="00B34118">
        <w:rPr>
          <w:rFonts w:asciiTheme="majorBidi" w:eastAsia="Times New Roman" w:hAnsiTheme="majorBidi" w:cstheme="majorBidi"/>
          <w:kern w:val="0"/>
          <w:sz w:val="24"/>
          <w:szCs w:val="24"/>
          <w14:ligatures w14:val="none"/>
        </w:rPr>
        <w:t>, which makes the impact of these training programs unknown</w:t>
      </w:r>
      <w:r>
        <w:rPr>
          <w:rFonts w:asciiTheme="majorBidi" w:eastAsia="Times New Roman" w:hAnsiTheme="majorBidi" w:cstheme="majorBidi"/>
          <w:kern w:val="0"/>
          <w:sz w:val="24"/>
          <w:szCs w:val="24"/>
          <w14:ligatures w14:val="none"/>
        </w:rPr>
        <w:t xml:space="preserve"> and i</w:t>
      </w:r>
      <w:r w:rsidRPr="00B34118">
        <w:rPr>
          <w:rFonts w:asciiTheme="majorBidi" w:eastAsia="Times New Roman" w:hAnsiTheme="majorBidi" w:cstheme="majorBidi"/>
          <w:kern w:val="0"/>
          <w:sz w:val="24"/>
          <w:szCs w:val="24"/>
          <w14:ligatures w14:val="none"/>
        </w:rPr>
        <w:t>t hinders the implementation of Article 10 of the Convention against Torture.</w:t>
      </w:r>
    </w:p>
    <w:p w14:paraId="59FCFFFC" w14:textId="77777777" w:rsidR="00B34118" w:rsidRPr="00B34118" w:rsidRDefault="00B34118" w:rsidP="00B34118">
      <w:pPr>
        <w:spacing w:before="120" w:after="120" w:line="240" w:lineRule="auto"/>
        <w:jc w:val="both"/>
        <w:rPr>
          <w:rFonts w:asciiTheme="majorBidi" w:eastAsia="Times New Roman" w:hAnsiTheme="majorBidi" w:cstheme="majorBidi"/>
          <w:b/>
          <w:bCs/>
          <w:color w:val="385623" w:themeColor="accent6" w:themeShade="80"/>
          <w:kern w:val="0"/>
          <w:sz w:val="24"/>
          <w:szCs w:val="24"/>
          <w14:ligatures w14:val="none"/>
        </w:rPr>
      </w:pPr>
      <w:r w:rsidRPr="00B34118">
        <w:rPr>
          <w:rFonts w:asciiTheme="majorBidi" w:eastAsia="Times New Roman" w:hAnsiTheme="majorBidi" w:cstheme="majorBidi"/>
          <w:b/>
          <w:bCs/>
          <w:color w:val="385623" w:themeColor="accent6" w:themeShade="80"/>
          <w:kern w:val="0"/>
          <w:sz w:val="24"/>
          <w:szCs w:val="24"/>
          <w14:ligatures w14:val="none"/>
        </w:rPr>
        <w:lastRenderedPageBreak/>
        <w:t>Fourth: The right to submit complaints to the competent authorities</w:t>
      </w:r>
    </w:p>
    <w:p w14:paraId="48AB6622" w14:textId="22E0D754" w:rsidR="00B34118" w:rsidRDefault="00B34118" w:rsidP="00B34118">
      <w:pPr>
        <w:spacing w:before="120" w:after="120" w:line="240" w:lineRule="auto"/>
        <w:jc w:val="both"/>
        <w:rPr>
          <w:rFonts w:asciiTheme="majorBidi" w:eastAsia="Times New Roman" w:hAnsiTheme="majorBidi" w:cstheme="majorBidi"/>
          <w:kern w:val="0"/>
          <w:sz w:val="24"/>
          <w:szCs w:val="24"/>
          <w14:ligatures w14:val="none"/>
        </w:rPr>
      </w:pPr>
      <w:r w:rsidRPr="00B34118">
        <w:rPr>
          <w:rFonts w:asciiTheme="majorBidi" w:eastAsia="Times New Roman" w:hAnsiTheme="majorBidi" w:cstheme="majorBidi"/>
          <w:kern w:val="0"/>
          <w:sz w:val="24"/>
          <w:szCs w:val="24"/>
          <w14:ligatures w14:val="none"/>
        </w:rPr>
        <w:t>The International Alliance for Peace and Development notes that the issue of submitting complaints to the competent authorities in Finland faces some obstacles in practice, especially with regard to internal complaints by prisoners in places of deprivation of liberty. For example, according to the European Committee for the Prevention of Torture, there are no complaints boxes in places of deprivation of liberty or Complaints are recorded and are not systematically followed up by the police. Also, in individual cases, prisoners can file complaints, but their processing is slow</w:t>
      </w:r>
      <w:r w:rsidR="00B755CB">
        <w:rPr>
          <w:rStyle w:val="FootnoteReference"/>
          <w:rFonts w:asciiTheme="majorBidi" w:eastAsia="Times New Roman" w:hAnsiTheme="majorBidi" w:cstheme="majorBidi"/>
          <w:kern w:val="0"/>
          <w:sz w:val="24"/>
          <w:szCs w:val="24"/>
          <w14:ligatures w14:val="none"/>
        </w:rPr>
        <w:footnoteReference w:id="10"/>
      </w:r>
      <w:r w:rsidRPr="00B34118">
        <w:rPr>
          <w:rFonts w:asciiTheme="majorBidi" w:eastAsia="Times New Roman" w:hAnsiTheme="majorBidi" w:cstheme="majorBidi"/>
          <w:kern w:val="0"/>
          <w:sz w:val="24"/>
          <w:szCs w:val="24"/>
          <w14:ligatures w14:val="none"/>
        </w:rPr>
        <w:t xml:space="preserve">. The </w:t>
      </w:r>
      <w:r>
        <w:rPr>
          <w:rFonts w:asciiTheme="majorBidi" w:eastAsia="Times New Roman" w:hAnsiTheme="majorBidi" w:cstheme="majorBidi"/>
          <w:kern w:val="0"/>
          <w:sz w:val="24"/>
          <w:szCs w:val="24"/>
          <w14:ligatures w14:val="none"/>
        </w:rPr>
        <w:t>Alliance</w:t>
      </w:r>
      <w:r w:rsidRPr="00B34118">
        <w:rPr>
          <w:rFonts w:asciiTheme="majorBidi" w:eastAsia="Times New Roman" w:hAnsiTheme="majorBidi" w:cstheme="majorBidi"/>
          <w:kern w:val="0"/>
          <w:sz w:val="24"/>
          <w:szCs w:val="24"/>
          <w14:ligatures w14:val="none"/>
        </w:rPr>
        <w:t xml:space="preserve"> noted that there are complaints received by the General Secretariat of Grievances related to restrictive measures during the Corona epidemic that prohibit visits to prisoners, but the investigation into these complaints has not been announced. It is also unclear whether the ban imposed on visits during the Corona epidemic has been canceled and these visits have returned at the same pace before the epidemic, or are they still at limited rates. Also, the lack of complaint boxes requires the existence of a mechanism in order to enable prisoners to submit complaints in written form in a closed complaints box. An effective procedure for submitting complaints constitutes a fundamental guarantee against the forms of torture mentioned in the Convention. The Alliance noted that in psychiatric institutions, Finland has appointed patient ombudsmen to inform patients of their rights and assist them in filing complaints</w:t>
      </w:r>
      <w:r w:rsidR="00B755CB">
        <w:rPr>
          <w:rStyle w:val="FootnoteReference"/>
          <w:rFonts w:asciiTheme="majorBidi" w:eastAsia="Times New Roman" w:hAnsiTheme="majorBidi" w:cstheme="majorBidi"/>
          <w:kern w:val="0"/>
          <w:sz w:val="24"/>
          <w:szCs w:val="24"/>
          <w14:ligatures w14:val="none"/>
        </w:rPr>
        <w:footnoteReference w:id="11"/>
      </w:r>
      <w:r w:rsidRPr="00B34118">
        <w:rPr>
          <w:rFonts w:asciiTheme="majorBidi" w:eastAsia="Times New Roman" w:hAnsiTheme="majorBidi" w:cstheme="majorBidi"/>
          <w:kern w:val="0"/>
          <w:sz w:val="24"/>
          <w:szCs w:val="24"/>
          <w14:ligatures w14:val="none"/>
        </w:rPr>
        <w:t>. However, the Alliance</w:t>
      </w:r>
      <w:r>
        <w:rPr>
          <w:rFonts w:asciiTheme="majorBidi" w:eastAsia="Times New Roman" w:hAnsiTheme="majorBidi" w:cstheme="majorBidi"/>
          <w:kern w:val="0"/>
          <w:sz w:val="24"/>
          <w:szCs w:val="24"/>
          <w14:ligatures w14:val="none"/>
        </w:rPr>
        <w:t xml:space="preserve"> </w:t>
      </w:r>
      <w:r w:rsidRPr="00B34118">
        <w:rPr>
          <w:rFonts w:asciiTheme="majorBidi" w:eastAsia="Times New Roman" w:hAnsiTheme="majorBidi" w:cstheme="majorBidi"/>
          <w:kern w:val="0"/>
          <w:sz w:val="24"/>
          <w:szCs w:val="24"/>
          <w14:ligatures w14:val="none"/>
        </w:rPr>
        <w:t>noted that patients do not know how to submit a direct and confidential complaint to an external party. A number of patients also reported that they lack confidence in the usefulness of filing complaints</w:t>
      </w:r>
      <w:r w:rsidR="00B755CB">
        <w:rPr>
          <w:rStyle w:val="FootnoteReference"/>
          <w:rFonts w:asciiTheme="majorBidi" w:eastAsia="Times New Roman" w:hAnsiTheme="majorBidi" w:cstheme="majorBidi"/>
          <w:kern w:val="0"/>
          <w:sz w:val="24"/>
          <w:szCs w:val="24"/>
          <w14:ligatures w14:val="none"/>
        </w:rPr>
        <w:footnoteReference w:id="12"/>
      </w:r>
      <w:r w:rsidRPr="00B34118">
        <w:rPr>
          <w:rFonts w:asciiTheme="majorBidi" w:eastAsia="Times New Roman" w:hAnsiTheme="majorBidi" w:cstheme="majorBidi"/>
          <w:kern w:val="0"/>
          <w:sz w:val="24"/>
          <w:szCs w:val="24"/>
          <w14:ligatures w14:val="none"/>
        </w:rPr>
        <w:t>. This may conflict with the provisions of Article 13 of the Convention, which gives any person who has been subjected to torture or ill-treatment the right to submit complaints to the competent authorities in the state party to the Convention</w:t>
      </w:r>
      <w:r w:rsidR="00B755CB">
        <w:rPr>
          <w:rStyle w:val="FootnoteReference"/>
          <w:rFonts w:asciiTheme="majorBidi" w:eastAsia="Times New Roman" w:hAnsiTheme="majorBidi" w:cstheme="majorBidi"/>
          <w:kern w:val="0"/>
          <w:sz w:val="24"/>
          <w:szCs w:val="24"/>
          <w14:ligatures w14:val="none"/>
        </w:rPr>
        <w:footnoteReference w:id="13"/>
      </w:r>
      <w:r w:rsidRPr="00B34118">
        <w:rPr>
          <w:rFonts w:asciiTheme="majorBidi" w:eastAsia="Times New Roman" w:hAnsiTheme="majorBidi" w:cstheme="majorBidi"/>
          <w:kern w:val="0"/>
          <w:sz w:val="24"/>
          <w:szCs w:val="24"/>
          <w14:ligatures w14:val="none"/>
        </w:rPr>
        <w:t>.</w:t>
      </w:r>
    </w:p>
    <w:p w14:paraId="4E557418" w14:textId="77777777" w:rsidR="00F511AF" w:rsidRPr="00F511AF" w:rsidRDefault="00F511AF" w:rsidP="00F511AF">
      <w:pPr>
        <w:spacing w:before="120" w:after="120" w:line="240" w:lineRule="auto"/>
        <w:rPr>
          <w:rFonts w:asciiTheme="majorBidi" w:eastAsia="Times New Roman" w:hAnsiTheme="majorBidi" w:cstheme="majorBidi"/>
          <w:b/>
          <w:bCs/>
          <w:color w:val="385623" w:themeColor="accent6" w:themeShade="80"/>
          <w:kern w:val="0"/>
          <w:sz w:val="24"/>
          <w:szCs w:val="24"/>
          <w14:ligatures w14:val="none"/>
        </w:rPr>
      </w:pPr>
      <w:r w:rsidRPr="00F511AF">
        <w:rPr>
          <w:rFonts w:asciiTheme="majorBidi" w:eastAsia="Times New Roman" w:hAnsiTheme="majorBidi" w:cstheme="majorBidi"/>
          <w:b/>
          <w:bCs/>
          <w:color w:val="385623" w:themeColor="accent6" w:themeShade="80"/>
          <w:kern w:val="0"/>
          <w:sz w:val="24"/>
          <w:szCs w:val="24"/>
          <w14:ligatures w14:val="none"/>
        </w:rPr>
        <w:t>Fifth: Domestic violence against women</w:t>
      </w:r>
    </w:p>
    <w:p w14:paraId="3F539BBA" w14:textId="4A99CE78" w:rsidR="00F511AF" w:rsidRPr="00F511AF" w:rsidRDefault="00F511AF" w:rsidP="00F511AF">
      <w:pPr>
        <w:spacing w:before="120" w:after="120" w:line="240" w:lineRule="auto"/>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In its last list of issues, the Committee on Torture requested information from Finland whether it has established an independent complaints mechanism for victims of domestic violence; Whether there is treatment in cases of domestic violence and the duration of pre-trial investigation, especially with regard to migrant women, and in the provision of services to them; How the State party intends to deal with the recent reported rise in honor-related crimes</w:t>
      </w:r>
      <w:r w:rsidR="00B755CB">
        <w:rPr>
          <w:rStyle w:val="FootnoteReference"/>
          <w:rFonts w:asciiTheme="majorBidi" w:eastAsia="Times New Roman" w:hAnsiTheme="majorBidi" w:cstheme="majorBidi"/>
          <w:kern w:val="0"/>
          <w:sz w:val="24"/>
          <w:szCs w:val="24"/>
          <w14:ligatures w14:val="none"/>
        </w:rPr>
        <w:footnoteReference w:id="14"/>
      </w:r>
      <w:r w:rsidRPr="00F511AF">
        <w:rPr>
          <w:rFonts w:asciiTheme="majorBidi" w:eastAsia="Times New Roman" w:hAnsiTheme="majorBidi" w:cstheme="majorBidi"/>
          <w:kern w:val="0"/>
          <w:sz w:val="24"/>
          <w:szCs w:val="24"/>
          <w14:ligatures w14:val="none"/>
        </w:rPr>
        <w:t>; However, this independent mechanism had not been established by the time the report was written, and Finland was content with establishing a telephone line that worked around the clock to receive reports. Finland did not explain the reasons for the slowdown in establishing this mechanism. The Alliance views with concern the high rates of intimate partner violence in Finland. According to credible data, one in every three women is exposed to intimate partner violence. The Alliance notes that the most common type of violence to which women are exposed is sexual violence, especially among women between the ages of 16 to 34 years</w:t>
      </w:r>
      <w:r w:rsidR="00B755CB">
        <w:rPr>
          <w:rStyle w:val="FootnoteReference"/>
          <w:rFonts w:asciiTheme="majorBidi" w:eastAsia="Times New Roman" w:hAnsiTheme="majorBidi" w:cstheme="majorBidi"/>
          <w:kern w:val="0"/>
          <w:sz w:val="24"/>
          <w:szCs w:val="24"/>
          <w14:ligatures w14:val="none"/>
        </w:rPr>
        <w:footnoteReference w:id="15"/>
      </w:r>
      <w:r w:rsidRPr="00F511AF">
        <w:rPr>
          <w:rFonts w:asciiTheme="majorBidi" w:eastAsia="Times New Roman" w:hAnsiTheme="majorBidi" w:cstheme="majorBidi"/>
          <w:kern w:val="0"/>
          <w:sz w:val="24"/>
          <w:szCs w:val="24"/>
          <w14:ligatures w14:val="none"/>
        </w:rPr>
        <w:t>. There also remained a general problem reported by a Statistics Finland study of underreporting by women of experiences of violence</w:t>
      </w:r>
      <w:r w:rsidR="00B755CB">
        <w:rPr>
          <w:rStyle w:val="FootnoteReference"/>
          <w:rFonts w:asciiTheme="majorBidi" w:eastAsia="Times New Roman" w:hAnsiTheme="majorBidi" w:cstheme="majorBidi"/>
          <w:kern w:val="0"/>
          <w:sz w:val="24"/>
          <w:szCs w:val="24"/>
          <w14:ligatures w14:val="none"/>
        </w:rPr>
        <w:footnoteReference w:id="16"/>
      </w:r>
      <w:r w:rsidR="00B755CB">
        <w:rPr>
          <w:rFonts w:asciiTheme="majorBidi" w:eastAsia="Times New Roman" w:hAnsiTheme="majorBidi" w:cstheme="majorBidi"/>
          <w:kern w:val="0"/>
          <w:sz w:val="24"/>
          <w:szCs w:val="24"/>
          <w14:ligatures w14:val="none"/>
        </w:rPr>
        <w:t>.</w:t>
      </w:r>
    </w:p>
    <w:p w14:paraId="652FE11C" w14:textId="1C25FB75" w:rsidR="00F511AF" w:rsidRDefault="00F511AF" w:rsidP="00F511AF">
      <w:p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 xml:space="preserve">The International Alliance for Peace and Development notes that Finland has developed an action plan to combat violence against women and has allocated resources of 400,000 euros to implement this plan. The </w:t>
      </w:r>
      <w:r>
        <w:rPr>
          <w:rFonts w:asciiTheme="majorBidi" w:eastAsia="Times New Roman" w:hAnsiTheme="majorBidi" w:cstheme="majorBidi"/>
          <w:kern w:val="0"/>
          <w:sz w:val="24"/>
          <w:szCs w:val="24"/>
          <w14:ligatures w14:val="none"/>
        </w:rPr>
        <w:t>Alliance</w:t>
      </w:r>
      <w:r w:rsidRPr="00F511AF">
        <w:rPr>
          <w:rFonts w:asciiTheme="majorBidi" w:eastAsia="Times New Roman" w:hAnsiTheme="majorBidi" w:cstheme="majorBidi"/>
          <w:kern w:val="0"/>
          <w:sz w:val="24"/>
          <w:szCs w:val="24"/>
          <w14:ligatures w14:val="none"/>
        </w:rPr>
        <w:t xml:space="preserve"> also notes that the government program to combat violence against women included the establishment of an independent rapporteur position on violence against women. However, no updated information was available on the establishment of the position of independent rapporteur in practice. </w:t>
      </w:r>
      <w:r w:rsidRPr="00F511AF">
        <w:rPr>
          <w:rFonts w:asciiTheme="majorBidi" w:eastAsia="Times New Roman" w:hAnsiTheme="majorBidi" w:cstheme="majorBidi"/>
          <w:kern w:val="0"/>
          <w:sz w:val="24"/>
          <w:szCs w:val="24"/>
          <w14:ligatures w14:val="none"/>
        </w:rPr>
        <w:lastRenderedPageBreak/>
        <w:t>Various reports also indicated the limited availability of shelters for cases of violence against women, especially in rural and remote areas.</w:t>
      </w:r>
    </w:p>
    <w:p w14:paraId="74602EFF" w14:textId="77777777" w:rsidR="00F511AF" w:rsidRPr="00F511AF" w:rsidRDefault="00F511AF" w:rsidP="00F511AF">
      <w:pPr>
        <w:spacing w:before="120" w:after="120" w:line="240" w:lineRule="auto"/>
        <w:rPr>
          <w:rFonts w:asciiTheme="majorBidi" w:eastAsia="Times New Roman" w:hAnsiTheme="majorBidi" w:cstheme="majorBidi"/>
          <w:b/>
          <w:bCs/>
          <w:color w:val="385623" w:themeColor="accent6" w:themeShade="80"/>
          <w:kern w:val="0"/>
          <w:sz w:val="24"/>
          <w:szCs w:val="24"/>
          <w14:ligatures w14:val="none"/>
        </w:rPr>
      </w:pPr>
      <w:r w:rsidRPr="00F511AF">
        <w:rPr>
          <w:rFonts w:asciiTheme="majorBidi" w:eastAsia="Times New Roman" w:hAnsiTheme="majorBidi" w:cstheme="majorBidi"/>
          <w:b/>
          <w:bCs/>
          <w:color w:val="385623" w:themeColor="accent6" w:themeShade="80"/>
          <w:kern w:val="0"/>
          <w:sz w:val="24"/>
          <w:szCs w:val="24"/>
          <w14:ligatures w14:val="none"/>
        </w:rPr>
        <w:t>Sixth: Human trafficking and exploitation of migrant workers</w:t>
      </w:r>
    </w:p>
    <w:p w14:paraId="28F7F4A2" w14:textId="10BAC964" w:rsidR="00F511AF" w:rsidRPr="00F511AF" w:rsidRDefault="00F511AF" w:rsidP="00F511AF">
      <w:pPr>
        <w:spacing w:before="120" w:after="120" w:line="240" w:lineRule="auto"/>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In the list of issues, the Committee requested Finland to provide information on measures to combat human trafficking, including providing further assistance in reporting trafficking incidents; Increase training of police and other public officials on the provisions of the Law on the Reception of Persons Seeking International Protection and the Identification of Victims of Human Trafficking</w:t>
      </w:r>
      <w:r w:rsidR="003E774A">
        <w:rPr>
          <w:rStyle w:val="FootnoteReference"/>
          <w:rFonts w:asciiTheme="majorBidi" w:eastAsia="Times New Roman" w:hAnsiTheme="majorBidi" w:cstheme="majorBidi"/>
          <w:kern w:val="0"/>
          <w:sz w:val="24"/>
          <w:szCs w:val="24"/>
          <w14:ligatures w14:val="none"/>
        </w:rPr>
        <w:footnoteReference w:id="17"/>
      </w:r>
      <w:r>
        <w:rPr>
          <w:rFonts w:asciiTheme="majorBidi" w:eastAsia="Times New Roman" w:hAnsiTheme="majorBidi" w:cstheme="majorBidi"/>
          <w:kern w:val="0"/>
          <w:sz w:val="24"/>
          <w:szCs w:val="24"/>
          <w14:ligatures w14:val="none"/>
        </w:rPr>
        <w:t>.</w:t>
      </w:r>
    </w:p>
    <w:p w14:paraId="4B70B867" w14:textId="1CCDF2C0" w:rsidR="00F511AF" w:rsidRPr="00F511AF" w:rsidRDefault="00F511AF" w:rsidP="00F511AF">
      <w:pPr>
        <w:spacing w:before="120" w:after="120" w:line="240" w:lineRule="auto"/>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 xml:space="preserve">The Alliance noted the National Coordinator’s supervision of all efforts related to combating human trafficking in Finland, including the development and implementation of the 2021-2023 National Action Plan to Combat Human Trafficking. However, the </w:t>
      </w:r>
      <w:r>
        <w:rPr>
          <w:rFonts w:asciiTheme="majorBidi" w:eastAsia="Times New Roman" w:hAnsiTheme="majorBidi" w:cstheme="majorBidi"/>
          <w:kern w:val="0"/>
          <w:sz w:val="24"/>
          <w:szCs w:val="24"/>
          <w14:ligatures w14:val="none"/>
        </w:rPr>
        <w:t>Alliance</w:t>
      </w:r>
      <w:r w:rsidRPr="00F511AF">
        <w:rPr>
          <w:rFonts w:asciiTheme="majorBidi" w:eastAsia="Times New Roman" w:hAnsiTheme="majorBidi" w:cstheme="majorBidi"/>
          <w:kern w:val="0"/>
          <w:sz w:val="24"/>
          <w:szCs w:val="24"/>
          <w14:ligatures w14:val="none"/>
        </w:rPr>
        <w:t xml:space="preserve"> has seen reports that the government continues to punish trafficking victims, including placing them in detention centers, for alleged illegal actions resulting from their trafficking</w:t>
      </w:r>
      <w:r w:rsidR="003E774A">
        <w:rPr>
          <w:rStyle w:val="FootnoteReference"/>
          <w:rFonts w:asciiTheme="majorBidi" w:eastAsia="Times New Roman" w:hAnsiTheme="majorBidi" w:cstheme="majorBidi"/>
          <w:kern w:val="0"/>
          <w:sz w:val="24"/>
          <w:szCs w:val="24"/>
          <w14:ligatures w14:val="none"/>
        </w:rPr>
        <w:footnoteReference w:id="18"/>
      </w:r>
      <w:r w:rsidRPr="00F511AF">
        <w:rPr>
          <w:rFonts w:asciiTheme="majorBidi" w:eastAsia="Times New Roman" w:hAnsiTheme="majorBidi" w:cstheme="majorBidi"/>
          <w:kern w:val="0"/>
          <w:sz w:val="24"/>
          <w:szCs w:val="24"/>
          <w14:ligatures w14:val="none"/>
        </w:rPr>
        <w:t>. There are also other reports indicating that local authorities, especially in northern Finland, have not succeeded in identifying potential victims of human trafficking in advance, especially in the field of sex trafficking.</w:t>
      </w:r>
    </w:p>
    <w:p w14:paraId="5D4A173F" w14:textId="630E2262" w:rsidR="00F511AF" w:rsidRDefault="00F511AF" w:rsidP="00F511AF">
      <w:p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There also remained significant discrepancies and differences between the services provided to victims of trafficking through the national assistance system and the services provided by municipalities</w:t>
      </w:r>
      <w:r w:rsidR="003E774A">
        <w:rPr>
          <w:rStyle w:val="FootnoteReference"/>
          <w:rFonts w:asciiTheme="majorBidi" w:eastAsia="Times New Roman" w:hAnsiTheme="majorBidi" w:cstheme="majorBidi"/>
          <w:kern w:val="0"/>
          <w:sz w:val="24"/>
          <w:szCs w:val="24"/>
          <w14:ligatures w14:val="none"/>
        </w:rPr>
        <w:footnoteReference w:id="19"/>
      </w:r>
      <w:r w:rsidRPr="00F511AF">
        <w:rPr>
          <w:rFonts w:asciiTheme="majorBidi" w:eastAsia="Times New Roman" w:hAnsiTheme="majorBidi" w:cstheme="majorBidi"/>
          <w:kern w:val="0"/>
          <w:sz w:val="24"/>
          <w:szCs w:val="24"/>
          <w14:ligatures w14:val="none"/>
        </w:rPr>
        <w:t xml:space="preserve">. They’re remained legislative gaps related to the lack of monitoring of companies responsible for recruiting workers, which makes these workers vulnerable to exploitation and human trafficking, as </w:t>
      </w:r>
      <w:r>
        <w:rPr>
          <w:rFonts w:asciiTheme="majorBidi" w:eastAsia="Times New Roman" w:hAnsiTheme="majorBidi" w:cstheme="majorBidi"/>
          <w:kern w:val="0"/>
          <w:sz w:val="24"/>
          <w:szCs w:val="24"/>
          <w14:ligatures w14:val="none"/>
        </w:rPr>
        <w:t>t</w:t>
      </w:r>
      <w:r w:rsidRPr="00F511AF">
        <w:rPr>
          <w:rFonts w:asciiTheme="majorBidi" w:eastAsia="Times New Roman" w:hAnsiTheme="majorBidi" w:cstheme="majorBidi"/>
          <w:kern w:val="0"/>
          <w:sz w:val="24"/>
          <w:szCs w:val="24"/>
          <w14:ligatures w14:val="none"/>
        </w:rPr>
        <w:t>he law did not prevent unreliable companies from bringing what are known as “berry pickers” to Finland, and did not provide clear mechanisms to monitor companies working to bring these workers from abroad.</w:t>
      </w:r>
    </w:p>
    <w:p w14:paraId="277DF437" w14:textId="77777777" w:rsidR="00F511AF" w:rsidRPr="00F511AF" w:rsidRDefault="00F511AF" w:rsidP="00F511AF">
      <w:pPr>
        <w:spacing w:before="120" w:after="120" w:line="240" w:lineRule="auto"/>
        <w:jc w:val="both"/>
        <w:rPr>
          <w:rFonts w:asciiTheme="majorBidi" w:eastAsia="Times New Roman" w:hAnsiTheme="majorBidi" w:cstheme="majorBidi"/>
          <w:b/>
          <w:bCs/>
          <w:color w:val="385623" w:themeColor="accent6" w:themeShade="80"/>
          <w:kern w:val="0"/>
          <w:sz w:val="24"/>
          <w:szCs w:val="24"/>
          <w14:ligatures w14:val="none"/>
        </w:rPr>
      </w:pPr>
      <w:r w:rsidRPr="00F511AF">
        <w:rPr>
          <w:rFonts w:asciiTheme="majorBidi" w:eastAsia="Times New Roman" w:hAnsiTheme="majorBidi" w:cstheme="majorBidi"/>
          <w:b/>
          <w:bCs/>
          <w:color w:val="385623" w:themeColor="accent6" w:themeShade="80"/>
          <w:kern w:val="0"/>
          <w:sz w:val="24"/>
          <w:szCs w:val="24"/>
          <w14:ligatures w14:val="none"/>
        </w:rPr>
        <w:t>The International Alliance for Peace and Development recommends the following:</w:t>
      </w:r>
    </w:p>
    <w:p w14:paraId="260E9FF3" w14:textId="05C68D84"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The Committee should urge States to adhere to the principle of non-coercion of refugees in accordance with Article III of the Convention and the provisions of the 1951 Convention relating to the Status of Refugees</w:t>
      </w:r>
      <w:r>
        <w:rPr>
          <w:rFonts w:asciiTheme="majorBidi" w:eastAsia="Times New Roman" w:hAnsiTheme="majorBidi" w:cstheme="majorBidi"/>
          <w:kern w:val="0"/>
          <w:sz w:val="24"/>
          <w:szCs w:val="24"/>
          <w14:ligatures w14:val="none"/>
        </w:rPr>
        <w:t>.</w:t>
      </w:r>
    </w:p>
    <w:p w14:paraId="1A1AE913" w14:textId="2D2FB781"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Ensuring the provision of shelters for women victims of domestic violence in rural and remote areas</w:t>
      </w:r>
      <w:r>
        <w:rPr>
          <w:rFonts w:asciiTheme="majorBidi" w:eastAsia="Times New Roman" w:hAnsiTheme="majorBidi" w:cstheme="majorBidi"/>
          <w:kern w:val="0"/>
          <w:sz w:val="24"/>
          <w:szCs w:val="24"/>
          <w14:ligatures w14:val="none"/>
        </w:rPr>
        <w:t>.</w:t>
      </w:r>
    </w:p>
    <w:p w14:paraId="156C2F6F" w14:textId="77777777"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Establishing a national preventive mechanism against torture to complement the ratification of the Optional Protocol annexed to the Convention.</w:t>
      </w:r>
    </w:p>
    <w:p w14:paraId="72646B45" w14:textId="77777777"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Stop inappropriately punishing victims solely for illegal acts committed as a direct result of being trafficked.</w:t>
      </w:r>
    </w:p>
    <w:p w14:paraId="11742DE1" w14:textId="1A9F8C55"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Accelerate legislative reforms to effectively prevent and combat all forms of violence against women, including by amending the definition of rape to include lack of consent as a fundamental feature, explicitly criminalizing forced marriage, and reviewing legislation on restraining orders</w:t>
      </w:r>
      <w:r>
        <w:rPr>
          <w:rFonts w:asciiTheme="majorBidi" w:eastAsia="Times New Roman" w:hAnsiTheme="majorBidi" w:cstheme="majorBidi"/>
          <w:kern w:val="0"/>
          <w:sz w:val="24"/>
          <w:szCs w:val="24"/>
          <w14:ligatures w14:val="none"/>
        </w:rPr>
        <w:t>.</w:t>
      </w:r>
    </w:p>
    <w:p w14:paraId="3110D54D" w14:textId="75D762C1"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Temporarily accepting asylum applications submitted by people at the border until the application is fully studied and examined</w:t>
      </w:r>
      <w:r>
        <w:rPr>
          <w:rFonts w:asciiTheme="majorBidi" w:eastAsia="Times New Roman" w:hAnsiTheme="majorBidi" w:cstheme="majorBidi"/>
          <w:kern w:val="0"/>
          <w:sz w:val="24"/>
          <w:szCs w:val="24"/>
          <w14:ligatures w14:val="none"/>
        </w:rPr>
        <w:t>.</w:t>
      </w:r>
    </w:p>
    <w:p w14:paraId="6DD3A62A" w14:textId="77777777"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Educating patients in mental health hospitals about the ways in which complaints can be submitted to external parties other than patient ombudsmen.</w:t>
      </w:r>
    </w:p>
    <w:p w14:paraId="6B9A8620" w14:textId="62F48A0F"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Urging the state to allocate additional resources to municipalities in order to provide services similar to the national assistance system for victims of human trafficking</w:t>
      </w:r>
      <w:r>
        <w:rPr>
          <w:rFonts w:asciiTheme="majorBidi" w:eastAsia="Times New Roman" w:hAnsiTheme="majorBidi" w:cstheme="majorBidi"/>
          <w:kern w:val="0"/>
          <w:sz w:val="24"/>
          <w:szCs w:val="24"/>
          <w14:ligatures w14:val="none"/>
        </w:rPr>
        <w:t>.</w:t>
      </w:r>
    </w:p>
    <w:p w14:paraId="221876FB" w14:textId="5A615CB4"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Training local authorities, especially in northern and north-eastern Finland, to pre-identify victims of human trafficking and intervene preventively to assist potential trafficking victims</w:t>
      </w:r>
      <w:r>
        <w:rPr>
          <w:rFonts w:asciiTheme="majorBidi" w:eastAsia="Times New Roman" w:hAnsiTheme="majorBidi" w:cstheme="majorBidi"/>
          <w:kern w:val="0"/>
          <w:sz w:val="24"/>
          <w:szCs w:val="24"/>
          <w14:ligatures w14:val="none"/>
        </w:rPr>
        <w:t>.</w:t>
      </w:r>
    </w:p>
    <w:p w14:paraId="7EBDF09D" w14:textId="1F9950AE" w:rsidR="00F511AF" w:rsidRPr="00F511AF" w:rsidRDefault="00F511AF" w:rsidP="00F511AF">
      <w:pPr>
        <w:pStyle w:val="ListParagraph"/>
        <w:numPr>
          <w:ilvl w:val="0"/>
          <w:numId w:val="27"/>
        </w:numPr>
        <w:spacing w:before="120" w:after="120" w:line="240" w:lineRule="auto"/>
        <w:jc w:val="both"/>
        <w:rPr>
          <w:rFonts w:asciiTheme="majorBidi" w:eastAsia="Times New Roman" w:hAnsiTheme="majorBidi" w:cstheme="majorBidi"/>
          <w:kern w:val="0"/>
          <w:sz w:val="24"/>
          <w:szCs w:val="24"/>
          <w14:ligatures w14:val="none"/>
        </w:rPr>
      </w:pPr>
      <w:r w:rsidRPr="00F511AF">
        <w:rPr>
          <w:rFonts w:asciiTheme="majorBidi" w:eastAsia="Times New Roman" w:hAnsiTheme="majorBidi" w:cstheme="majorBidi"/>
          <w:kern w:val="0"/>
          <w:sz w:val="24"/>
          <w:szCs w:val="24"/>
          <w14:ligatures w14:val="none"/>
        </w:rPr>
        <w:t>Adopting more mandatory training programs on the provisions of the Convention and the absolute prohibition of torture, covering all law enforcement personnel, including persons dealing with detainees, migrants, refugees, and asylum seekers.</w:t>
      </w:r>
    </w:p>
    <w:sectPr w:rsidR="00F511AF" w:rsidRPr="00F511AF">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9665C" w14:textId="77777777" w:rsidR="006D6651" w:rsidRDefault="006D6651" w:rsidP="003D1884">
      <w:pPr>
        <w:spacing w:after="0" w:line="240" w:lineRule="auto"/>
      </w:pPr>
      <w:r>
        <w:separator/>
      </w:r>
    </w:p>
  </w:endnote>
  <w:endnote w:type="continuationSeparator" w:id="0">
    <w:p w14:paraId="3E200281" w14:textId="77777777" w:rsidR="006D6651" w:rsidRDefault="006D6651"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F3423" w14:textId="77777777" w:rsidR="006D6651" w:rsidRDefault="006D6651" w:rsidP="003D1884">
      <w:pPr>
        <w:spacing w:after="0" w:line="240" w:lineRule="auto"/>
      </w:pPr>
      <w:r>
        <w:separator/>
      </w:r>
    </w:p>
  </w:footnote>
  <w:footnote w:type="continuationSeparator" w:id="0">
    <w:p w14:paraId="24B643AB" w14:textId="77777777" w:rsidR="006D6651" w:rsidRDefault="006D6651" w:rsidP="003D1884">
      <w:pPr>
        <w:spacing w:after="0" w:line="240" w:lineRule="auto"/>
      </w:pPr>
      <w:r>
        <w:continuationSeparator/>
      </w:r>
    </w:p>
  </w:footnote>
  <w:footnote w:id="1">
    <w:p w14:paraId="734DE15B" w14:textId="77C598F7" w:rsidR="00B755CB" w:rsidRDefault="00B755CB">
      <w:pPr>
        <w:pStyle w:val="FootnoteText"/>
      </w:pPr>
      <w:r>
        <w:rPr>
          <w:rStyle w:val="FootnoteReference"/>
        </w:rPr>
        <w:footnoteRef/>
      </w:r>
      <w:r>
        <w:t xml:space="preserve"> </w:t>
      </w:r>
      <w:r>
        <w:rPr>
          <w:rFonts w:ascii="Calibri" w:eastAsia="Calibri" w:hAnsi="Calibri" w:cs="Calibri"/>
          <w:color w:val="000000"/>
        </w:rPr>
        <w:t xml:space="preserve">Finland ratified the UN’s Optional Protocol to the Convention against Torture, </w:t>
      </w:r>
      <w:hyperlink r:id="rId1">
        <w:r>
          <w:rPr>
            <w:rFonts w:ascii="Calibri" w:eastAsia="Calibri" w:hAnsi="Calibri" w:cs="Calibri"/>
            <w:color w:val="0563C1"/>
            <w:u w:val="single"/>
          </w:rPr>
          <w:t>https://tinyurl.com/2dkssb2e</w:t>
        </w:r>
      </w:hyperlink>
    </w:p>
  </w:footnote>
  <w:footnote w:id="2">
    <w:p w14:paraId="379B09AB" w14:textId="3A7C6DC7" w:rsidR="00B755CB" w:rsidRDefault="00B755CB">
      <w:pPr>
        <w:pStyle w:val="FootnoteText"/>
      </w:pPr>
      <w:r>
        <w:rPr>
          <w:rStyle w:val="FootnoteReference"/>
        </w:rPr>
        <w:footnoteRef/>
      </w:r>
      <w:r>
        <w:t xml:space="preserve"> </w:t>
      </w:r>
      <w:r>
        <w:rPr>
          <w:rFonts w:ascii="Calibri" w:eastAsia="Calibri" w:hAnsi="Calibri" w:cs="Calibri"/>
          <w:color w:val="000000"/>
        </w:rPr>
        <w:t xml:space="preserve">Concluding observations on the seventh periodic report of Finland, </w:t>
      </w:r>
      <w:hyperlink r:id="rId2">
        <w:r>
          <w:rPr>
            <w:rFonts w:ascii="Calibri" w:eastAsia="Calibri" w:hAnsi="Calibri" w:cs="Calibri"/>
            <w:color w:val="0563C1"/>
            <w:u w:val="single"/>
          </w:rPr>
          <w:t>https://tinyurl.com/2ffcn9c6</w:t>
        </w:r>
      </w:hyperlink>
    </w:p>
  </w:footnote>
  <w:footnote w:id="3">
    <w:p w14:paraId="471BA9F6" w14:textId="003C9809" w:rsidR="00B755CB" w:rsidRPr="00B755CB" w:rsidRDefault="00B755CB" w:rsidP="00B755CB">
      <w:pPr>
        <w:pBdr>
          <w:top w:val="nil"/>
          <w:left w:val="nil"/>
          <w:bottom w:val="nil"/>
          <w:right w:val="nil"/>
          <w:between w:val="nil"/>
        </w:pBdr>
        <w:spacing w:after="0" w:line="240" w:lineRule="auto"/>
        <w:rPr>
          <w:color w:val="000000"/>
          <w:sz w:val="20"/>
          <w:szCs w:val="20"/>
        </w:rPr>
      </w:pPr>
      <w:r>
        <w:rPr>
          <w:rStyle w:val="FootnoteReference"/>
        </w:rPr>
        <w:footnoteRef/>
      </w:r>
      <w:r>
        <w:t xml:space="preserve"> </w:t>
      </w:r>
      <w:r>
        <w:rPr>
          <w:rFonts w:ascii="Calibri" w:eastAsia="Calibri" w:hAnsi="Calibri" w:cs="Calibri"/>
          <w:color w:val="000000"/>
          <w:sz w:val="20"/>
          <w:szCs w:val="20"/>
        </w:rPr>
        <w:t xml:space="preserve">The UN Committee against Torture makes a request to Finland, </w:t>
      </w:r>
      <w:hyperlink r:id="rId3">
        <w:r>
          <w:rPr>
            <w:rFonts w:ascii="Calibri" w:eastAsia="Calibri" w:hAnsi="Calibri" w:cs="Calibri"/>
            <w:color w:val="0563C1"/>
            <w:sz w:val="20"/>
            <w:szCs w:val="20"/>
            <w:u w:val="single"/>
          </w:rPr>
          <w:t>https://tinyurl.com/4t7ftvbr</w:t>
        </w:r>
      </w:hyperlink>
      <w:r>
        <w:rPr>
          <w:rFonts w:ascii="Calibri" w:eastAsia="Calibri" w:hAnsi="Calibri" w:cs="Calibri"/>
          <w:color w:val="000000"/>
          <w:sz w:val="20"/>
          <w:szCs w:val="20"/>
        </w:rPr>
        <w:t xml:space="preserve"> </w:t>
      </w:r>
    </w:p>
  </w:footnote>
  <w:footnote w:id="4">
    <w:p w14:paraId="142B7FDC" w14:textId="06C516BF" w:rsidR="00B755CB" w:rsidRDefault="00B755CB">
      <w:pPr>
        <w:pStyle w:val="FootnoteText"/>
      </w:pPr>
      <w:r>
        <w:rPr>
          <w:rStyle w:val="FootnoteReference"/>
        </w:rPr>
        <w:footnoteRef/>
      </w:r>
      <w:r>
        <w:t xml:space="preserve"> </w:t>
      </w:r>
      <w:r w:rsidRPr="00B755CB">
        <w:t xml:space="preserve">Ministry of the Interior prepares to tighten the rules on international protection, </w:t>
      </w:r>
      <w:hyperlink r:id="rId4" w:history="1">
        <w:r w:rsidRPr="0021376B">
          <w:rPr>
            <w:rStyle w:val="Hyperlink"/>
          </w:rPr>
          <w:t>https://valtioneuvosto.fi/en/-/1410869/ministry-of-the-interior-prepares-to-tighten-the-rules-on-international-protection</w:t>
        </w:r>
      </w:hyperlink>
      <w:r>
        <w:t xml:space="preserve"> </w:t>
      </w:r>
    </w:p>
  </w:footnote>
  <w:footnote w:id="5">
    <w:p w14:paraId="4342CE5F" w14:textId="5E0F9520" w:rsidR="00B755CB" w:rsidRDefault="00B755CB">
      <w:pPr>
        <w:pStyle w:val="FootnoteText"/>
      </w:pPr>
      <w:r>
        <w:rPr>
          <w:rStyle w:val="FootnoteReference"/>
        </w:rPr>
        <w:footnoteRef/>
      </w:r>
      <w:r>
        <w:t xml:space="preserve"> </w:t>
      </w:r>
      <w:r>
        <w:rPr>
          <w:rFonts w:ascii="Calibri" w:eastAsia="Calibri" w:hAnsi="Calibri" w:cs="Calibri"/>
          <w:color w:val="000000"/>
        </w:rPr>
        <w:t xml:space="preserve">Finland's border closures "seriously </w:t>
      </w:r>
      <w:r>
        <w:rPr>
          <w:color w:val="000000"/>
        </w:rPr>
        <w:t>jeopardize</w:t>
      </w:r>
      <w:r>
        <w:rPr>
          <w:rFonts w:ascii="Calibri" w:eastAsia="Calibri" w:hAnsi="Calibri" w:cs="Calibri"/>
          <w:color w:val="000000"/>
        </w:rPr>
        <w:t xml:space="preserve">" asylum seekers' rights, non-discrimination ombudsman says, </w:t>
      </w:r>
      <w:hyperlink r:id="rId5">
        <w:r>
          <w:rPr>
            <w:rFonts w:ascii="Calibri" w:eastAsia="Calibri" w:hAnsi="Calibri" w:cs="Calibri"/>
            <w:color w:val="0563C1"/>
            <w:u w:val="single"/>
          </w:rPr>
          <w:t>https://yle.fi/a/74-20061970</w:t>
        </w:r>
      </w:hyperlink>
    </w:p>
  </w:footnote>
  <w:footnote w:id="6">
    <w:p w14:paraId="46F8007F" w14:textId="368F2F19" w:rsidR="00B755CB" w:rsidRDefault="00B755CB">
      <w:pPr>
        <w:pStyle w:val="FootnoteText"/>
      </w:pPr>
      <w:r>
        <w:rPr>
          <w:rStyle w:val="FootnoteReference"/>
        </w:rPr>
        <w:footnoteRef/>
      </w:r>
      <w:r>
        <w:t xml:space="preserve"> </w:t>
      </w:r>
      <w:r>
        <w:rPr>
          <w:rFonts w:ascii="Calibri" w:eastAsia="Calibri" w:hAnsi="Calibri" w:cs="Calibri"/>
          <w:color w:val="000000"/>
        </w:rPr>
        <w:t xml:space="preserve">UNHCR recommendations to Finland on strengthening refugee protection in Finland, Europe and globally, page 2, </w:t>
      </w:r>
      <w:hyperlink r:id="rId6">
        <w:r>
          <w:rPr>
            <w:rFonts w:ascii="Calibri" w:eastAsia="Calibri" w:hAnsi="Calibri" w:cs="Calibri"/>
            <w:color w:val="0563C1"/>
            <w:u w:val="single"/>
          </w:rPr>
          <w:t>https://tinyurl.com/3eejsf7d</w:t>
        </w:r>
      </w:hyperlink>
    </w:p>
  </w:footnote>
  <w:footnote w:id="7">
    <w:p w14:paraId="0F7EDB18" w14:textId="1D44D213" w:rsidR="00B755CB" w:rsidRPr="00B755CB" w:rsidRDefault="00B755CB" w:rsidP="00B755CB">
      <w:pPr>
        <w:pBdr>
          <w:top w:val="nil"/>
          <w:left w:val="nil"/>
          <w:bottom w:val="nil"/>
          <w:right w:val="nil"/>
          <w:between w:val="nil"/>
        </w:pBdr>
        <w:spacing w:after="0" w:line="240" w:lineRule="auto"/>
        <w:rPr>
          <w:color w:val="000000"/>
          <w:sz w:val="20"/>
          <w:szCs w:val="20"/>
        </w:rPr>
      </w:pPr>
      <w:r>
        <w:rPr>
          <w:rStyle w:val="FootnoteReference"/>
        </w:rPr>
        <w:footnoteRef/>
      </w:r>
      <w:r>
        <w:t xml:space="preserve"> </w:t>
      </w:r>
      <w:r>
        <w:rPr>
          <w:rFonts w:ascii="Calibri" w:eastAsia="Calibri" w:hAnsi="Calibri" w:cs="Calibri"/>
          <w:color w:val="000000"/>
          <w:sz w:val="20"/>
          <w:szCs w:val="20"/>
        </w:rPr>
        <w:t xml:space="preserve">List of issues prior to submission of the eighth periodic report of Finland, Para 6, </w:t>
      </w:r>
      <w:hyperlink r:id="rId7">
        <w:r>
          <w:rPr>
            <w:rFonts w:ascii="Calibri" w:eastAsia="Calibri" w:hAnsi="Calibri" w:cs="Calibri"/>
            <w:color w:val="0563C1"/>
            <w:sz w:val="20"/>
            <w:szCs w:val="20"/>
            <w:u w:val="single"/>
          </w:rPr>
          <w:t>https://tinyurl.com/w7me9vxx</w:t>
        </w:r>
      </w:hyperlink>
      <w:r>
        <w:rPr>
          <w:rFonts w:ascii="Calibri" w:eastAsia="Calibri" w:hAnsi="Calibri" w:cs="Calibri"/>
          <w:color w:val="000000"/>
          <w:sz w:val="20"/>
          <w:szCs w:val="20"/>
        </w:rPr>
        <w:t xml:space="preserve"> </w:t>
      </w:r>
    </w:p>
  </w:footnote>
  <w:footnote w:id="8">
    <w:p w14:paraId="2EB19DCB" w14:textId="03E0A9DB" w:rsidR="00B755CB" w:rsidRDefault="00B755CB">
      <w:pPr>
        <w:pStyle w:val="FootnoteText"/>
      </w:pPr>
      <w:r>
        <w:rPr>
          <w:rStyle w:val="FootnoteReference"/>
        </w:rPr>
        <w:footnoteRef/>
      </w:r>
      <w:r>
        <w:t xml:space="preserve"> </w:t>
      </w:r>
      <w:r>
        <w:rPr>
          <w:rFonts w:ascii="Calibri" w:eastAsia="Calibri" w:hAnsi="Calibri" w:cs="Calibri"/>
          <w:color w:val="000000"/>
        </w:rPr>
        <w:t xml:space="preserve">REALISATION OF FUNDAMENTAL AND HUMAN RIGHTS IN FINLAND Human Rights Centre’s publications 1/2021 – observations from 2019, Page 9, </w:t>
      </w:r>
      <w:hyperlink r:id="rId8">
        <w:r>
          <w:rPr>
            <w:rFonts w:ascii="Calibri" w:eastAsia="Calibri" w:hAnsi="Calibri" w:cs="Calibri"/>
            <w:color w:val="0563C1"/>
            <w:u w:val="single"/>
          </w:rPr>
          <w:t>https://tinyurl.com/3w7xarzj</w:t>
        </w:r>
      </w:hyperlink>
    </w:p>
  </w:footnote>
  <w:footnote w:id="9">
    <w:p w14:paraId="422B2CA9" w14:textId="1792A696" w:rsidR="00B755CB" w:rsidRDefault="00B755CB">
      <w:pPr>
        <w:pStyle w:val="FootnoteText"/>
      </w:pPr>
      <w:r>
        <w:rPr>
          <w:rStyle w:val="FootnoteReference"/>
        </w:rPr>
        <w:footnoteRef/>
      </w:r>
      <w:r>
        <w:t xml:space="preserve"> </w:t>
      </w:r>
      <w:r w:rsidRPr="00B755CB">
        <w:t xml:space="preserve">Eighth periodic report submitted by Finland under article 19 of the Convention pursuant to the simplified reporting procedure, due in 2020, </w:t>
      </w:r>
      <w:hyperlink r:id="rId9" w:history="1">
        <w:r w:rsidRPr="0021376B">
          <w:rPr>
            <w:rStyle w:val="Hyperlink"/>
          </w:rPr>
          <w:t>https://tinyurl.com/5ynd4k2r</w:t>
        </w:r>
      </w:hyperlink>
      <w:r>
        <w:t xml:space="preserve"> </w:t>
      </w:r>
    </w:p>
  </w:footnote>
  <w:footnote w:id="10">
    <w:p w14:paraId="29D0EBCC" w14:textId="0CC92B18" w:rsidR="00B755CB" w:rsidRDefault="00B755CB">
      <w:pPr>
        <w:pStyle w:val="FootnoteText"/>
      </w:pPr>
      <w:r>
        <w:rPr>
          <w:rStyle w:val="FootnoteReference"/>
        </w:rPr>
        <w:footnoteRef/>
      </w:r>
      <w:r>
        <w:t xml:space="preserve"> </w:t>
      </w:r>
      <w:r w:rsidRPr="00B755CB">
        <w:t xml:space="preserve">Page 39,  </w:t>
      </w:r>
      <w:hyperlink r:id="rId10" w:history="1">
        <w:r w:rsidRPr="0021376B">
          <w:rPr>
            <w:rStyle w:val="Hyperlink"/>
          </w:rPr>
          <w:t>https://rm.coe.int/1680a25b54</w:t>
        </w:r>
      </w:hyperlink>
      <w:r>
        <w:t xml:space="preserve"> </w:t>
      </w:r>
    </w:p>
  </w:footnote>
  <w:footnote w:id="11">
    <w:p w14:paraId="72280906" w14:textId="26BC8E7C" w:rsidR="00B755CB" w:rsidRDefault="00B755CB">
      <w:pPr>
        <w:pStyle w:val="FootnoteText"/>
      </w:pPr>
      <w:r>
        <w:rPr>
          <w:rStyle w:val="FootnoteReference"/>
        </w:rPr>
        <w:footnoteRef/>
      </w:r>
      <w:r>
        <w:t xml:space="preserve"> </w:t>
      </w:r>
      <w:r>
        <w:rPr>
          <w:rFonts w:ascii="Calibri" w:eastAsia="Calibri" w:hAnsi="Calibri" w:cs="Calibri"/>
          <w:color w:val="000000"/>
        </w:rPr>
        <w:t xml:space="preserve">Patients' rights to complain in Finnish psychiatric care: an overview, </w:t>
      </w:r>
      <w:hyperlink r:id="rId11" w:history="1">
        <w:r w:rsidRPr="0021376B">
          <w:rPr>
            <w:rStyle w:val="Hyperlink"/>
          </w:rPr>
          <w:t>https://pubmed.ncbi.nlm.nih.gov/19303640/</w:t>
        </w:r>
      </w:hyperlink>
    </w:p>
  </w:footnote>
  <w:footnote w:id="12">
    <w:p w14:paraId="29FCFC3C" w14:textId="54FE28E7" w:rsidR="00B755CB" w:rsidRDefault="00B755CB">
      <w:pPr>
        <w:pStyle w:val="FootnoteText"/>
      </w:pPr>
      <w:r>
        <w:rPr>
          <w:rStyle w:val="FootnoteReference"/>
        </w:rPr>
        <w:footnoteRef/>
      </w:r>
      <w:r>
        <w:t xml:space="preserve"> </w:t>
      </w:r>
      <w:r w:rsidRPr="00B755CB">
        <w:t xml:space="preserve">Ibid,  </w:t>
      </w:r>
      <w:hyperlink r:id="rId12" w:history="1">
        <w:r w:rsidRPr="0021376B">
          <w:rPr>
            <w:rStyle w:val="Hyperlink"/>
          </w:rPr>
          <w:t>https://rm.coe.int/1680a25b54</w:t>
        </w:r>
      </w:hyperlink>
      <w:r>
        <w:t xml:space="preserve"> </w:t>
      </w:r>
    </w:p>
  </w:footnote>
  <w:footnote w:id="13">
    <w:p w14:paraId="26B165F8" w14:textId="167C7BA3" w:rsidR="00B755CB" w:rsidRDefault="00B755CB">
      <w:pPr>
        <w:pStyle w:val="FootnoteText"/>
      </w:pPr>
      <w:r>
        <w:rPr>
          <w:rStyle w:val="FootnoteReference"/>
        </w:rPr>
        <w:footnoteRef/>
      </w:r>
      <w:r>
        <w:t xml:space="preserve"> </w:t>
      </w:r>
      <w:r w:rsidRPr="00B755CB">
        <w:t xml:space="preserve">Convention against Torture and Other Cruel, Inhuman or Degrading Treatment or Punishment, Article 13, </w:t>
      </w:r>
      <w:hyperlink r:id="rId13" w:history="1">
        <w:r w:rsidRPr="0021376B">
          <w:rPr>
            <w:rStyle w:val="Hyperlink"/>
          </w:rPr>
          <w:t>https://www.ohchr.org/en/instruments-mechanisms/instruments/convention-against-torture-and-other-cruel-inhuman-or-degrading</w:t>
        </w:r>
      </w:hyperlink>
      <w:r>
        <w:t xml:space="preserve"> </w:t>
      </w:r>
    </w:p>
  </w:footnote>
  <w:footnote w:id="14">
    <w:p w14:paraId="761F699D" w14:textId="051656CF" w:rsidR="00B755CB" w:rsidRDefault="00B755CB">
      <w:pPr>
        <w:pStyle w:val="FootnoteText"/>
      </w:pPr>
      <w:r>
        <w:rPr>
          <w:rStyle w:val="FootnoteReference"/>
        </w:rPr>
        <w:footnoteRef/>
      </w:r>
      <w:r>
        <w:t xml:space="preserve"> </w:t>
      </w:r>
      <w:r>
        <w:rPr>
          <w:rFonts w:ascii="Calibri" w:eastAsia="Calibri" w:hAnsi="Calibri" w:cs="Calibri"/>
          <w:color w:val="000000"/>
        </w:rPr>
        <w:t xml:space="preserve">List of issues prior to submission of the eighth periodic report of Finland *, </w:t>
      </w:r>
      <w:hyperlink r:id="rId14">
        <w:r>
          <w:rPr>
            <w:rFonts w:ascii="Calibri" w:eastAsia="Calibri" w:hAnsi="Calibri" w:cs="Calibri"/>
            <w:color w:val="0563C1"/>
            <w:u w:val="single"/>
          </w:rPr>
          <w:t>https://tinyurl.com/w7me9vxx</w:t>
        </w:r>
      </w:hyperlink>
    </w:p>
  </w:footnote>
  <w:footnote w:id="15">
    <w:p w14:paraId="40944220" w14:textId="6F5FC19B" w:rsidR="00B755CB" w:rsidRDefault="00B755CB">
      <w:pPr>
        <w:pStyle w:val="FootnoteText"/>
      </w:pPr>
      <w:r>
        <w:rPr>
          <w:rStyle w:val="FootnoteReference"/>
        </w:rPr>
        <w:footnoteRef/>
      </w:r>
      <w:r>
        <w:t xml:space="preserve"> </w:t>
      </w:r>
      <w:r>
        <w:rPr>
          <w:rFonts w:ascii="Calibri" w:eastAsia="Calibri" w:hAnsi="Calibri" w:cs="Calibri"/>
          <w:color w:val="000000"/>
        </w:rPr>
        <w:t xml:space="preserve">1 in 3 women in Finland experience intimate partner violence, </w:t>
      </w:r>
      <w:hyperlink r:id="rId15">
        <w:r>
          <w:rPr>
            <w:rFonts w:ascii="Calibri" w:eastAsia="Calibri" w:hAnsi="Calibri" w:cs="Calibri"/>
            <w:color w:val="0563C1"/>
            <w:u w:val="single"/>
          </w:rPr>
          <w:t>https://yle.fi/a/74-20048290</w:t>
        </w:r>
      </w:hyperlink>
    </w:p>
  </w:footnote>
  <w:footnote w:id="16">
    <w:p w14:paraId="09929C4D" w14:textId="2CBB6DE4" w:rsidR="00B755CB" w:rsidRDefault="00B755CB">
      <w:pPr>
        <w:pStyle w:val="FootnoteText"/>
      </w:pPr>
      <w:r>
        <w:rPr>
          <w:rStyle w:val="FootnoteReference"/>
        </w:rPr>
        <w:footnoteRef/>
      </w:r>
      <w:r>
        <w:t xml:space="preserve"> Ibid</w:t>
      </w:r>
    </w:p>
  </w:footnote>
  <w:footnote w:id="17">
    <w:p w14:paraId="68CCB5DA" w14:textId="2B641677" w:rsidR="003E774A" w:rsidRDefault="003E774A">
      <w:pPr>
        <w:pStyle w:val="FootnoteText"/>
      </w:pPr>
      <w:r>
        <w:rPr>
          <w:rStyle w:val="FootnoteReference"/>
        </w:rPr>
        <w:footnoteRef/>
      </w:r>
      <w:r>
        <w:t xml:space="preserve"> </w:t>
      </w:r>
      <w:r>
        <w:rPr>
          <w:rFonts w:ascii="Calibri" w:eastAsia="Calibri" w:hAnsi="Calibri" w:cs="Calibri"/>
          <w:color w:val="000000"/>
        </w:rPr>
        <w:t xml:space="preserve">List of issues prior to submission of the eighth periodic report of </w:t>
      </w:r>
      <w:r>
        <w:rPr>
          <w:color w:val="000000"/>
        </w:rPr>
        <w:t>Finland,</w:t>
      </w:r>
      <w:r>
        <w:rPr>
          <w:rFonts w:ascii="Calibri" w:eastAsia="Calibri" w:hAnsi="Calibri" w:cs="Calibri"/>
          <w:color w:val="000000"/>
        </w:rPr>
        <w:t xml:space="preserve"> </w:t>
      </w:r>
      <w:hyperlink r:id="rId16">
        <w:r>
          <w:rPr>
            <w:rFonts w:ascii="Calibri" w:eastAsia="Calibri" w:hAnsi="Calibri" w:cs="Calibri"/>
            <w:color w:val="0563C1"/>
            <w:u w:val="single"/>
          </w:rPr>
          <w:t>https://tinyurl.com/w7me9vxx</w:t>
        </w:r>
      </w:hyperlink>
    </w:p>
  </w:footnote>
  <w:footnote w:id="18">
    <w:p w14:paraId="23E65EBB" w14:textId="19EAE2DE" w:rsidR="003E774A" w:rsidRDefault="003E774A">
      <w:pPr>
        <w:pStyle w:val="FootnoteText"/>
      </w:pPr>
      <w:r>
        <w:rPr>
          <w:rStyle w:val="FootnoteReference"/>
        </w:rPr>
        <w:footnoteRef/>
      </w:r>
      <w:r>
        <w:t xml:space="preserve"> </w:t>
      </w:r>
      <w:r w:rsidRPr="003E774A">
        <w:t>2023 Trafficking in Persons Report: Finland</w:t>
      </w:r>
      <w:r>
        <w:t xml:space="preserve"> </w:t>
      </w:r>
    </w:p>
  </w:footnote>
  <w:footnote w:id="19">
    <w:p w14:paraId="3049EB3C" w14:textId="21F91E59" w:rsidR="003E774A" w:rsidRDefault="003E774A">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930336"/>
    <w:multiLevelType w:val="hybridMultilevel"/>
    <w:tmpl w:val="9A82E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A962A5F"/>
    <w:multiLevelType w:val="hybridMultilevel"/>
    <w:tmpl w:val="E45C219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3"/>
  </w:num>
  <w:num w:numId="3" w16cid:durableId="1057122983">
    <w:abstractNumId w:val="23"/>
  </w:num>
  <w:num w:numId="4" w16cid:durableId="599484416">
    <w:abstractNumId w:val="12"/>
  </w:num>
  <w:num w:numId="5" w16cid:durableId="221990767">
    <w:abstractNumId w:val="26"/>
  </w:num>
  <w:num w:numId="6" w16cid:durableId="1184974759">
    <w:abstractNumId w:val="2"/>
  </w:num>
  <w:num w:numId="7" w16cid:durableId="719747233">
    <w:abstractNumId w:val="7"/>
  </w:num>
  <w:num w:numId="8" w16cid:durableId="2082218265">
    <w:abstractNumId w:val="14"/>
  </w:num>
  <w:num w:numId="9" w16cid:durableId="44522668">
    <w:abstractNumId w:val="16"/>
  </w:num>
  <w:num w:numId="10" w16cid:durableId="384570591">
    <w:abstractNumId w:val="18"/>
  </w:num>
  <w:num w:numId="11" w16cid:durableId="955409921">
    <w:abstractNumId w:val="1"/>
  </w:num>
  <w:num w:numId="12" w16cid:durableId="329604790">
    <w:abstractNumId w:val="0"/>
  </w:num>
  <w:num w:numId="13" w16cid:durableId="499975853">
    <w:abstractNumId w:val="19"/>
  </w:num>
  <w:num w:numId="14" w16cid:durableId="933244681">
    <w:abstractNumId w:val="21"/>
  </w:num>
  <w:num w:numId="15" w16cid:durableId="1029186210">
    <w:abstractNumId w:val="24"/>
  </w:num>
  <w:num w:numId="16" w16cid:durableId="510409883">
    <w:abstractNumId w:val="22"/>
  </w:num>
  <w:num w:numId="17" w16cid:durableId="1424718560">
    <w:abstractNumId w:val="5"/>
  </w:num>
  <w:num w:numId="18" w16cid:durableId="1266771858">
    <w:abstractNumId w:val="17"/>
  </w:num>
  <w:num w:numId="19" w16cid:durableId="1307006074">
    <w:abstractNumId w:val="6"/>
  </w:num>
  <w:num w:numId="20" w16cid:durableId="596136773">
    <w:abstractNumId w:val="11"/>
  </w:num>
  <w:num w:numId="21" w16cid:durableId="31420069">
    <w:abstractNumId w:val="8"/>
  </w:num>
  <w:num w:numId="22" w16cid:durableId="334383903">
    <w:abstractNumId w:val="25"/>
  </w:num>
  <w:num w:numId="23" w16cid:durableId="1430659545">
    <w:abstractNumId w:val="10"/>
  </w:num>
  <w:num w:numId="24" w16cid:durableId="155460974">
    <w:abstractNumId w:val="20"/>
  </w:num>
  <w:num w:numId="25" w16cid:durableId="722827196">
    <w:abstractNumId w:val="4"/>
  </w:num>
  <w:num w:numId="26" w16cid:durableId="298338832">
    <w:abstractNumId w:val="9"/>
  </w:num>
  <w:num w:numId="27" w16cid:durableId="8277915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7B97"/>
    <w:rsid w:val="001374D3"/>
    <w:rsid w:val="00137D94"/>
    <w:rsid w:val="00137FA4"/>
    <w:rsid w:val="00145C8B"/>
    <w:rsid w:val="00155A14"/>
    <w:rsid w:val="001751C8"/>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E774A"/>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C5F24"/>
    <w:rsid w:val="005D0CD1"/>
    <w:rsid w:val="005D2424"/>
    <w:rsid w:val="005D7270"/>
    <w:rsid w:val="005E07AC"/>
    <w:rsid w:val="005E1A66"/>
    <w:rsid w:val="00605C13"/>
    <w:rsid w:val="00605E6A"/>
    <w:rsid w:val="00623B00"/>
    <w:rsid w:val="0063407D"/>
    <w:rsid w:val="00661876"/>
    <w:rsid w:val="00672538"/>
    <w:rsid w:val="006857E8"/>
    <w:rsid w:val="00690CA6"/>
    <w:rsid w:val="006A5B98"/>
    <w:rsid w:val="006D29FD"/>
    <w:rsid w:val="006D5294"/>
    <w:rsid w:val="006D6651"/>
    <w:rsid w:val="006D7846"/>
    <w:rsid w:val="007001BC"/>
    <w:rsid w:val="00716EF6"/>
    <w:rsid w:val="007203A5"/>
    <w:rsid w:val="007253A8"/>
    <w:rsid w:val="00726C7D"/>
    <w:rsid w:val="00756631"/>
    <w:rsid w:val="007719B0"/>
    <w:rsid w:val="007809DA"/>
    <w:rsid w:val="007A3308"/>
    <w:rsid w:val="007D795E"/>
    <w:rsid w:val="007E687B"/>
    <w:rsid w:val="0080014F"/>
    <w:rsid w:val="00832E45"/>
    <w:rsid w:val="008738FB"/>
    <w:rsid w:val="00877E2D"/>
    <w:rsid w:val="008A1847"/>
    <w:rsid w:val="008C49F7"/>
    <w:rsid w:val="008D520A"/>
    <w:rsid w:val="00904745"/>
    <w:rsid w:val="0096340C"/>
    <w:rsid w:val="0096779B"/>
    <w:rsid w:val="009852FE"/>
    <w:rsid w:val="009940AF"/>
    <w:rsid w:val="00996355"/>
    <w:rsid w:val="009A47EF"/>
    <w:rsid w:val="009C68A7"/>
    <w:rsid w:val="009D18CE"/>
    <w:rsid w:val="009E120E"/>
    <w:rsid w:val="009E5640"/>
    <w:rsid w:val="00A16414"/>
    <w:rsid w:val="00A42355"/>
    <w:rsid w:val="00A4501F"/>
    <w:rsid w:val="00A52770"/>
    <w:rsid w:val="00A641E3"/>
    <w:rsid w:val="00A66799"/>
    <w:rsid w:val="00AE76B3"/>
    <w:rsid w:val="00B02619"/>
    <w:rsid w:val="00B30326"/>
    <w:rsid w:val="00B34118"/>
    <w:rsid w:val="00B544FE"/>
    <w:rsid w:val="00B567EF"/>
    <w:rsid w:val="00B755CB"/>
    <w:rsid w:val="00B86C51"/>
    <w:rsid w:val="00BC412F"/>
    <w:rsid w:val="00BD5A19"/>
    <w:rsid w:val="00BE0F32"/>
    <w:rsid w:val="00C26EB5"/>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4081E"/>
    <w:rsid w:val="00E53BB1"/>
    <w:rsid w:val="00E55D80"/>
    <w:rsid w:val="00E56E43"/>
    <w:rsid w:val="00EC41C9"/>
    <w:rsid w:val="00ED1E5C"/>
    <w:rsid w:val="00EE156B"/>
    <w:rsid w:val="00F154A1"/>
    <w:rsid w:val="00F44F63"/>
    <w:rsid w:val="00F4689D"/>
    <w:rsid w:val="00F511AF"/>
    <w:rsid w:val="00F854B3"/>
    <w:rsid w:val="00F86E04"/>
    <w:rsid w:val="00F86F47"/>
    <w:rsid w:val="00FB1391"/>
    <w:rsid w:val="00FB2237"/>
    <w:rsid w:val="00FB3D68"/>
    <w:rsid w:val="00FC11B4"/>
    <w:rsid w:val="00FC312B"/>
    <w:rsid w:val="00FD7EF0"/>
    <w:rsid w:val="00FE6E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3w7xarzj" TargetMode="External"/><Relationship Id="rId13" Type="http://schemas.openxmlformats.org/officeDocument/2006/relationships/hyperlink" Target="https://www.ohchr.org/en/instruments-mechanisms/instruments/convention-against-torture-and-other-cruel-inhuman-or-degrading" TargetMode="External"/><Relationship Id="rId3" Type="http://schemas.openxmlformats.org/officeDocument/2006/relationships/hyperlink" Target="https://tinyurl.com/4t7ftvbr" TargetMode="External"/><Relationship Id="rId7" Type="http://schemas.openxmlformats.org/officeDocument/2006/relationships/hyperlink" Target="https://tinyurl.com/w7me9vxx" TargetMode="External"/><Relationship Id="rId12" Type="http://schemas.openxmlformats.org/officeDocument/2006/relationships/hyperlink" Target="https://rm.coe.int/1680a25b54" TargetMode="External"/><Relationship Id="rId2" Type="http://schemas.openxmlformats.org/officeDocument/2006/relationships/hyperlink" Target="https://tinyurl.com/2ffcn9c6" TargetMode="External"/><Relationship Id="rId16" Type="http://schemas.openxmlformats.org/officeDocument/2006/relationships/hyperlink" Target="https://tinyurl.com/w7me9vxx" TargetMode="External"/><Relationship Id="rId1" Type="http://schemas.openxmlformats.org/officeDocument/2006/relationships/hyperlink" Target="https://tinyurl.com/2dkssb2e" TargetMode="External"/><Relationship Id="rId6" Type="http://schemas.openxmlformats.org/officeDocument/2006/relationships/hyperlink" Target="https://tinyurl.com/3eejsf7d" TargetMode="External"/><Relationship Id="rId11" Type="http://schemas.openxmlformats.org/officeDocument/2006/relationships/hyperlink" Target="https://pubmed.ncbi.nlm.nih.gov/19303640/" TargetMode="External"/><Relationship Id="rId5" Type="http://schemas.openxmlformats.org/officeDocument/2006/relationships/hyperlink" Target="https://yle.fi/a/74-20061970" TargetMode="External"/><Relationship Id="rId15" Type="http://schemas.openxmlformats.org/officeDocument/2006/relationships/hyperlink" Target="https://yle.fi/a/74-20048290" TargetMode="External"/><Relationship Id="rId10" Type="http://schemas.openxmlformats.org/officeDocument/2006/relationships/hyperlink" Target="https://rm.coe.int/1680a25b54" TargetMode="External"/><Relationship Id="rId4" Type="http://schemas.openxmlformats.org/officeDocument/2006/relationships/hyperlink" Target="https://valtioneuvosto.fi/en/-/1410869/ministry-of-the-interior-prepares-to-tighten-the-rules-on-international-protection" TargetMode="External"/><Relationship Id="rId9" Type="http://schemas.openxmlformats.org/officeDocument/2006/relationships/hyperlink" Target="https://tinyurl.com/5ynd4k2r" TargetMode="External"/><Relationship Id="rId14" Type="http://schemas.openxmlformats.org/officeDocument/2006/relationships/hyperlink" Target="https://tinyurl.com/w7me9vx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2218</Words>
  <Characters>12454</Characters>
  <Application>Microsoft Office Word</Application>
  <DocSecurity>4</DocSecurity>
  <Lines>103</Lines>
  <Paragraphs>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Youssef Hamdan</cp:lastModifiedBy>
  <cp:revision>2</cp:revision>
  <dcterms:created xsi:type="dcterms:W3CDTF">2024-03-18T09:36:00Z</dcterms:created>
  <dcterms:modified xsi:type="dcterms:W3CDTF">2024-03-18T09:36:00Z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