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word/intelligence.xml" ContentType="application/vnd.ms-office.intelligence+xml"/>
  <Override PartName="/word/documenttasks/documenttasks1.xml" ContentType="application/vnd.ms-office.documenttask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D660D" w14:textId="0FE467D2" w:rsidR="004D60A2" w:rsidRPr="00A11FC3" w:rsidRDefault="004D60A2" w:rsidP="00A11FC3">
      <w:pPr>
        <w:numPr>
          <w:ilvl w:val="0"/>
          <w:numId w:val="0"/>
        </w:numPr>
        <w:jc w:val="center"/>
        <w:rPr>
          <w:b/>
          <w:bCs/>
          <w:sz w:val="36"/>
          <w:szCs w:val="36"/>
        </w:rPr>
      </w:pPr>
      <w:r w:rsidRPr="00A11FC3">
        <w:rPr>
          <w:b/>
          <w:bCs/>
          <w:sz w:val="36"/>
          <w:szCs w:val="36"/>
        </w:rPr>
        <w:t>The United States of America</w:t>
      </w:r>
    </w:p>
    <w:p w14:paraId="6F00C175" w14:textId="4432D8F0" w:rsidR="004D60A2" w:rsidRPr="00A11FC3" w:rsidRDefault="004D60A2" w:rsidP="00264F36">
      <w:pPr>
        <w:numPr>
          <w:ilvl w:val="0"/>
          <w:numId w:val="0"/>
        </w:numPr>
        <w:spacing w:after="0" w:line="240" w:lineRule="auto"/>
        <w:jc w:val="center"/>
        <w:rPr>
          <w:sz w:val="32"/>
          <w:szCs w:val="32"/>
        </w:rPr>
      </w:pPr>
      <w:r w:rsidRPr="00A11FC3">
        <w:rPr>
          <w:b/>
          <w:bCs/>
          <w:sz w:val="32"/>
          <w:szCs w:val="32"/>
        </w:rPr>
        <w:t>Submission to the Committee on the Rights of the Child on Measures to Give Effect to its Obligations under the Optional Protocol to the Convention on the Rights of the Child on the Sale of Children, Child Prostitution and Child Pornography</w:t>
      </w:r>
      <w:r w:rsidR="007058D7">
        <w:rPr>
          <w:b/>
          <w:bCs/>
          <w:sz w:val="32"/>
          <w:szCs w:val="32"/>
        </w:rPr>
        <w:t xml:space="preserve"> </w:t>
      </w:r>
    </w:p>
    <w:p w14:paraId="496D872C" w14:textId="731420C9" w:rsidR="00BF16BB" w:rsidRPr="007058D7" w:rsidRDefault="00BF16BB" w:rsidP="007058D7">
      <w:pPr>
        <w:numPr>
          <w:ilvl w:val="0"/>
          <w:numId w:val="0"/>
        </w:numPr>
        <w:spacing w:after="0" w:line="240" w:lineRule="auto"/>
        <w:rPr>
          <w:sz w:val="32"/>
          <w:szCs w:val="32"/>
        </w:rPr>
      </w:pPr>
    </w:p>
    <w:p w14:paraId="663AC0CB" w14:textId="77031CA9" w:rsidR="009D0715" w:rsidRPr="007058D7" w:rsidRDefault="009D0715" w:rsidP="007058D7">
      <w:pPr>
        <w:numPr>
          <w:ilvl w:val="0"/>
          <w:numId w:val="0"/>
        </w:numPr>
        <w:spacing w:after="0" w:line="240" w:lineRule="auto"/>
        <w:rPr>
          <w:sz w:val="32"/>
          <w:szCs w:val="32"/>
        </w:rPr>
      </w:pPr>
    </w:p>
    <w:p w14:paraId="4D6F7555" w14:textId="47F5141F" w:rsidR="009D0715" w:rsidRPr="007058D7" w:rsidRDefault="009D0715" w:rsidP="007058D7">
      <w:pPr>
        <w:numPr>
          <w:ilvl w:val="0"/>
          <w:numId w:val="0"/>
        </w:numPr>
        <w:spacing w:after="0" w:line="240" w:lineRule="auto"/>
        <w:rPr>
          <w:sz w:val="32"/>
          <w:szCs w:val="32"/>
        </w:rPr>
      </w:pPr>
    </w:p>
    <w:p w14:paraId="2011C5BA" w14:textId="64DB2997" w:rsidR="009D0715" w:rsidRPr="007058D7" w:rsidRDefault="009D0715" w:rsidP="007058D7">
      <w:pPr>
        <w:numPr>
          <w:ilvl w:val="0"/>
          <w:numId w:val="0"/>
        </w:numPr>
        <w:spacing w:after="0" w:line="240" w:lineRule="auto"/>
        <w:rPr>
          <w:sz w:val="32"/>
          <w:szCs w:val="32"/>
        </w:rPr>
      </w:pPr>
    </w:p>
    <w:p w14:paraId="46D76876" w14:textId="50CF5234" w:rsidR="009D0715" w:rsidRPr="007058D7" w:rsidRDefault="009D0715" w:rsidP="007058D7">
      <w:pPr>
        <w:numPr>
          <w:ilvl w:val="0"/>
          <w:numId w:val="0"/>
        </w:numPr>
        <w:spacing w:after="0" w:line="240" w:lineRule="auto"/>
        <w:rPr>
          <w:sz w:val="32"/>
          <w:szCs w:val="32"/>
        </w:rPr>
      </w:pPr>
    </w:p>
    <w:p w14:paraId="3C917ED7" w14:textId="34BBD1CD" w:rsidR="009D0715" w:rsidRPr="007058D7" w:rsidRDefault="009D0715" w:rsidP="007058D7">
      <w:pPr>
        <w:numPr>
          <w:ilvl w:val="0"/>
          <w:numId w:val="0"/>
        </w:numPr>
        <w:spacing w:after="0" w:line="240" w:lineRule="auto"/>
        <w:rPr>
          <w:sz w:val="32"/>
          <w:szCs w:val="32"/>
        </w:rPr>
      </w:pPr>
    </w:p>
    <w:p w14:paraId="246C7B31" w14:textId="324808F3" w:rsidR="009D0715" w:rsidRDefault="009D0715" w:rsidP="007058D7">
      <w:pPr>
        <w:numPr>
          <w:ilvl w:val="0"/>
          <w:numId w:val="0"/>
        </w:numPr>
        <w:spacing w:after="0" w:line="240" w:lineRule="auto"/>
        <w:rPr>
          <w:sz w:val="32"/>
          <w:szCs w:val="32"/>
        </w:rPr>
      </w:pPr>
    </w:p>
    <w:p w14:paraId="108C0EF9" w14:textId="77777777" w:rsidR="007058D7" w:rsidRPr="007058D7" w:rsidRDefault="007058D7" w:rsidP="007058D7">
      <w:pPr>
        <w:numPr>
          <w:ilvl w:val="0"/>
          <w:numId w:val="0"/>
        </w:numPr>
        <w:spacing w:after="0" w:line="240" w:lineRule="auto"/>
        <w:rPr>
          <w:sz w:val="32"/>
          <w:szCs w:val="32"/>
        </w:rPr>
      </w:pPr>
    </w:p>
    <w:p w14:paraId="09E775EF" w14:textId="77777777" w:rsidR="004D60A2" w:rsidRPr="007058D7" w:rsidRDefault="004D60A2" w:rsidP="00390232">
      <w:pPr>
        <w:numPr>
          <w:ilvl w:val="0"/>
          <w:numId w:val="0"/>
        </w:numPr>
        <w:spacing w:after="0" w:line="240" w:lineRule="auto"/>
        <w:jc w:val="center"/>
        <w:rPr>
          <w:b/>
          <w:bCs/>
          <w:sz w:val="24"/>
          <w:szCs w:val="24"/>
        </w:rPr>
      </w:pPr>
      <w:r w:rsidRPr="007058D7">
        <w:rPr>
          <w:b/>
          <w:bCs/>
          <w:sz w:val="24"/>
          <w:szCs w:val="24"/>
        </w:rPr>
        <w:t>United States Department of State</w:t>
      </w:r>
    </w:p>
    <w:p w14:paraId="0FA4083A" w14:textId="4C6E725A" w:rsidR="004D60A2" w:rsidRPr="007058D7" w:rsidRDefault="168B092C" w:rsidP="00390232">
      <w:pPr>
        <w:numPr>
          <w:ilvl w:val="0"/>
          <w:numId w:val="0"/>
        </w:numPr>
        <w:spacing w:after="0" w:line="240" w:lineRule="auto"/>
        <w:jc w:val="center"/>
        <w:rPr>
          <w:b/>
          <w:bCs/>
          <w:sz w:val="24"/>
          <w:szCs w:val="24"/>
        </w:rPr>
      </w:pPr>
      <w:r w:rsidRPr="007058D7">
        <w:rPr>
          <w:b/>
          <w:bCs/>
          <w:sz w:val="24"/>
          <w:szCs w:val="24"/>
        </w:rPr>
        <w:t>January 23</w:t>
      </w:r>
      <w:r w:rsidR="004D60A2" w:rsidRPr="007058D7">
        <w:rPr>
          <w:b/>
          <w:bCs/>
          <w:sz w:val="24"/>
          <w:szCs w:val="24"/>
        </w:rPr>
        <w:t>, 202</w:t>
      </w:r>
      <w:r w:rsidR="00012D40" w:rsidRPr="007058D7">
        <w:rPr>
          <w:b/>
          <w:bCs/>
          <w:sz w:val="24"/>
          <w:szCs w:val="24"/>
        </w:rPr>
        <w:t>2</w:t>
      </w:r>
    </w:p>
    <w:p w14:paraId="6DFF6D06" w14:textId="2A3CFEAB" w:rsidR="00BE1048" w:rsidRDefault="00BE1048" w:rsidP="00D81A51">
      <w:pPr>
        <w:numPr>
          <w:ilvl w:val="0"/>
          <w:numId w:val="0"/>
        </w:numPr>
        <w:spacing w:after="0" w:line="240" w:lineRule="auto"/>
        <w:jc w:val="center"/>
      </w:pPr>
      <w:bookmarkStart w:id="0" w:name="_GoBack"/>
      <w:bookmarkEnd w:id="0"/>
      <w:r w:rsidRPr="009E16AE">
        <w:br w:type="page"/>
      </w:r>
    </w:p>
    <w:p w14:paraId="1BBFA050" w14:textId="732C57BB" w:rsidR="004905B4" w:rsidRDefault="005747AD" w:rsidP="005A491E">
      <w:pPr>
        <w:pStyle w:val="TOC1"/>
        <w:rPr>
          <w:rFonts w:ascii="Times New Roman Bold" w:hAnsi="Times New Roman Bold"/>
          <w:sz w:val="24"/>
        </w:rPr>
      </w:pPr>
      <w:r w:rsidRPr="001E3F7C">
        <w:rPr>
          <w:rFonts w:ascii="Times New Roman Bold" w:hAnsi="Times New Roman Bold"/>
          <w:sz w:val="24"/>
        </w:rPr>
        <w:lastRenderedPageBreak/>
        <w:t>Contents</w:t>
      </w:r>
    </w:p>
    <w:p w14:paraId="072E9141" w14:textId="77777777" w:rsidR="001E3F7C" w:rsidRPr="001B4EAA" w:rsidRDefault="001E3F7C" w:rsidP="001466DE">
      <w:pPr>
        <w:numPr>
          <w:ilvl w:val="0"/>
          <w:numId w:val="0"/>
        </w:numPr>
        <w:ind w:left="720"/>
      </w:pPr>
    </w:p>
    <w:p w14:paraId="38CF0CF8" w14:textId="4085C062" w:rsidR="001B4EAA" w:rsidRPr="001B4EAA" w:rsidRDefault="003C5556">
      <w:pPr>
        <w:pStyle w:val="TOC1"/>
        <w:rPr>
          <w:b w:val="0"/>
          <w:bCs w:val="0"/>
          <w:caps w:val="0"/>
          <w:sz w:val="24"/>
        </w:rPr>
      </w:pPr>
      <w:r w:rsidRPr="001B4EAA">
        <w:rPr>
          <w:b w:val="0"/>
          <w:bCs w:val="0"/>
        </w:rPr>
        <w:fldChar w:fldCharType="begin"/>
      </w:r>
      <w:r w:rsidRPr="001B4EAA">
        <w:rPr>
          <w:b w:val="0"/>
          <w:bCs w:val="0"/>
        </w:rPr>
        <w:instrText xml:space="preserve"> TOC \o "1-2" \h \z \u </w:instrText>
      </w:r>
      <w:r w:rsidRPr="001B4EAA">
        <w:rPr>
          <w:b w:val="0"/>
          <w:bCs w:val="0"/>
        </w:rPr>
        <w:fldChar w:fldCharType="separate"/>
      </w:r>
      <w:hyperlink w:anchor="_Toc93588710" w:history="1">
        <w:r w:rsidR="001B4EAA" w:rsidRPr="001B4EAA">
          <w:rPr>
            <w:rStyle w:val="Hyperlink"/>
            <w:b w:val="0"/>
            <w:bCs w:val="0"/>
          </w:rPr>
          <w:t>I.  Introduction</w:t>
        </w:r>
        <w:r w:rsidR="001B4EAA" w:rsidRPr="001B4EAA">
          <w:rPr>
            <w:b w:val="0"/>
            <w:bCs w:val="0"/>
            <w:webHidden/>
          </w:rPr>
          <w:tab/>
        </w:r>
        <w:r w:rsidR="001B4EAA" w:rsidRPr="001B4EAA">
          <w:rPr>
            <w:b w:val="0"/>
            <w:bCs w:val="0"/>
            <w:webHidden/>
          </w:rPr>
          <w:fldChar w:fldCharType="begin"/>
        </w:r>
        <w:r w:rsidR="001B4EAA" w:rsidRPr="001B4EAA">
          <w:rPr>
            <w:b w:val="0"/>
            <w:bCs w:val="0"/>
            <w:webHidden/>
          </w:rPr>
          <w:instrText xml:space="preserve"> PAGEREF _Toc93588710 \h </w:instrText>
        </w:r>
        <w:r w:rsidR="001B4EAA" w:rsidRPr="001B4EAA">
          <w:rPr>
            <w:b w:val="0"/>
            <w:bCs w:val="0"/>
            <w:webHidden/>
          </w:rPr>
        </w:r>
        <w:r w:rsidR="001B4EAA" w:rsidRPr="001B4EAA">
          <w:rPr>
            <w:b w:val="0"/>
            <w:bCs w:val="0"/>
            <w:webHidden/>
          </w:rPr>
          <w:fldChar w:fldCharType="separate"/>
        </w:r>
        <w:r w:rsidR="001B4EAA" w:rsidRPr="001B4EAA">
          <w:rPr>
            <w:b w:val="0"/>
            <w:bCs w:val="0"/>
            <w:webHidden/>
          </w:rPr>
          <w:t>3</w:t>
        </w:r>
        <w:r w:rsidR="001B4EAA" w:rsidRPr="001B4EAA">
          <w:rPr>
            <w:b w:val="0"/>
            <w:bCs w:val="0"/>
            <w:webHidden/>
          </w:rPr>
          <w:fldChar w:fldCharType="end"/>
        </w:r>
      </w:hyperlink>
    </w:p>
    <w:p w14:paraId="7A315D88" w14:textId="40203DCF" w:rsidR="001B4EAA" w:rsidRPr="001B4EAA" w:rsidRDefault="00AC52D9">
      <w:pPr>
        <w:pStyle w:val="TOC1"/>
        <w:rPr>
          <w:b w:val="0"/>
          <w:bCs w:val="0"/>
          <w:caps w:val="0"/>
          <w:sz w:val="24"/>
        </w:rPr>
      </w:pPr>
      <w:hyperlink w:anchor="_Toc93588711" w:history="1">
        <w:r w:rsidR="001B4EAA" w:rsidRPr="001B4EAA">
          <w:rPr>
            <w:rStyle w:val="Hyperlink"/>
            <w:b w:val="0"/>
            <w:bCs w:val="0"/>
          </w:rPr>
          <w:t>II.  Replies to the concluding observations</w:t>
        </w:r>
        <w:r w:rsidR="001B4EAA" w:rsidRPr="001B4EAA">
          <w:rPr>
            <w:b w:val="0"/>
            <w:bCs w:val="0"/>
            <w:webHidden/>
          </w:rPr>
          <w:tab/>
        </w:r>
        <w:r w:rsidR="001B4EAA" w:rsidRPr="001B4EAA">
          <w:rPr>
            <w:b w:val="0"/>
            <w:bCs w:val="0"/>
            <w:webHidden/>
          </w:rPr>
          <w:fldChar w:fldCharType="begin"/>
        </w:r>
        <w:r w:rsidR="001B4EAA" w:rsidRPr="001B4EAA">
          <w:rPr>
            <w:b w:val="0"/>
            <w:bCs w:val="0"/>
            <w:webHidden/>
          </w:rPr>
          <w:instrText xml:space="preserve"> PAGEREF _Toc93588711 \h </w:instrText>
        </w:r>
        <w:r w:rsidR="001B4EAA" w:rsidRPr="001B4EAA">
          <w:rPr>
            <w:b w:val="0"/>
            <w:bCs w:val="0"/>
            <w:webHidden/>
          </w:rPr>
        </w:r>
        <w:r w:rsidR="001B4EAA" w:rsidRPr="001B4EAA">
          <w:rPr>
            <w:b w:val="0"/>
            <w:bCs w:val="0"/>
            <w:webHidden/>
          </w:rPr>
          <w:fldChar w:fldCharType="separate"/>
        </w:r>
        <w:r w:rsidR="001B4EAA" w:rsidRPr="001B4EAA">
          <w:rPr>
            <w:b w:val="0"/>
            <w:bCs w:val="0"/>
            <w:webHidden/>
          </w:rPr>
          <w:t>3</w:t>
        </w:r>
        <w:r w:rsidR="001B4EAA" w:rsidRPr="001B4EAA">
          <w:rPr>
            <w:b w:val="0"/>
            <w:bCs w:val="0"/>
            <w:webHidden/>
          </w:rPr>
          <w:fldChar w:fldCharType="end"/>
        </w:r>
      </w:hyperlink>
    </w:p>
    <w:p w14:paraId="52DE29A2" w14:textId="640BD150" w:rsidR="001B4EAA" w:rsidRPr="001B4EAA" w:rsidRDefault="00AC52D9">
      <w:pPr>
        <w:pStyle w:val="TOC2"/>
        <w:rPr>
          <w:rFonts w:ascii="Times New Roman" w:hAnsi="Times New Roman"/>
          <w:smallCaps w:val="0"/>
          <w:noProof/>
          <w:sz w:val="24"/>
        </w:rPr>
      </w:pPr>
      <w:hyperlink w:anchor="_Toc93588712" w:history="1">
        <w:r w:rsidR="001B4EAA" w:rsidRPr="001B4EAA">
          <w:rPr>
            <w:rStyle w:val="Hyperlink"/>
            <w:rFonts w:ascii="Times New Roman" w:hAnsi="Times New Roman"/>
            <w:noProof/>
          </w:rPr>
          <w:t>A.  General Observations</w:t>
        </w:r>
        <w:r w:rsidR="001B4EAA" w:rsidRPr="001B4EAA">
          <w:rPr>
            <w:rFonts w:ascii="Times New Roman" w:hAnsi="Times New Roman"/>
            <w:noProof/>
            <w:webHidden/>
          </w:rPr>
          <w:tab/>
        </w:r>
        <w:r w:rsidR="001B4EAA" w:rsidRPr="001B4EAA">
          <w:rPr>
            <w:rFonts w:ascii="Times New Roman" w:hAnsi="Times New Roman"/>
            <w:noProof/>
            <w:webHidden/>
          </w:rPr>
          <w:fldChar w:fldCharType="begin"/>
        </w:r>
        <w:r w:rsidR="001B4EAA" w:rsidRPr="001B4EAA">
          <w:rPr>
            <w:rFonts w:ascii="Times New Roman" w:hAnsi="Times New Roman"/>
            <w:noProof/>
            <w:webHidden/>
          </w:rPr>
          <w:instrText xml:space="preserve"> PAGEREF _Toc93588712 \h </w:instrText>
        </w:r>
        <w:r w:rsidR="001B4EAA" w:rsidRPr="001B4EAA">
          <w:rPr>
            <w:rFonts w:ascii="Times New Roman" w:hAnsi="Times New Roman"/>
            <w:noProof/>
            <w:webHidden/>
          </w:rPr>
        </w:r>
        <w:r w:rsidR="001B4EAA" w:rsidRPr="001B4EAA">
          <w:rPr>
            <w:rFonts w:ascii="Times New Roman" w:hAnsi="Times New Roman"/>
            <w:noProof/>
            <w:webHidden/>
          </w:rPr>
          <w:fldChar w:fldCharType="separate"/>
        </w:r>
        <w:r w:rsidR="001B4EAA" w:rsidRPr="001B4EAA">
          <w:rPr>
            <w:rFonts w:ascii="Times New Roman" w:hAnsi="Times New Roman"/>
            <w:noProof/>
            <w:webHidden/>
          </w:rPr>
          <w:t>3</w:t>
        </w:r>
        <w:r w:rsidR="001B4EAA" w:rsidRPr="001B4EAA">
          <w:rPr>
            <w:rFonts w:ascii="Times New Roman" w:hAnsi="Times New Roman"/>
            <w:noProof/>
            <w:webHidden/>
          </w:rPr>
          <w:fldChar w:fldCharType="end"/>
        </w:r>
      </w:hyperlink>
    </w:p>
    <w:p w14:paraId="2FF0162D" w14:textId="6E1BC1DA" w:rsidR="001B4EAA" w:rsidRPr="001B4EAA" w:rsidRDefault="00AC52D9">
      <w:pPr>
        <w:pStyle w:val="TOC2"/>
        <w:rPr>
          <w:rFonts w:ascii="Times New Roman" w:hAnsi="Times New Roman"/>
          <w:smallCaps w:val="0"/>
          <w:noProof/>
          <w:sz w:val="24"/>
        </w:rPr>
      </w:pPr>
      <w:hyperlink w:anchor="_Toc93588713" w:history="1">
        <w:r w:rsidR="001B4EAA" w:rsidRPr="001B4EAA">
          <w:rPr>
            <w:rStyle w:val="Hyperlink"/>
            <w:rFonts w:ascii="Times New Roman" w:hAnsi="Times New Roman"/>
            <w:noProof/>
          </w:rPr>
          <w:t>B.  Data</w:t>
        </w:r>
        <w:r w:rsidR="001B4EAA" w:rsidRPr="001B4EAA">
          <w:rPr>
            <w:rFonts w:ascii="Times New Roman" w:hAnsi="Times New Roman"/>
            <w:noProof/>
            <w:webHidden/>
          </w:rPr>
          <w:tab/>
        </w:r>
        <w:r w:rsidR="001B4EAA" w:rsidRPr="001B4EAA">
          <w:rPr>
            <w:rFonts w:ascii="Times New Roman" w:hAnsi="Times New Roman"/>
            <w:noProof/>
            <w:webHidden/>
          </w:rPr>
          <w:fldChar w:fldCharType="begin"/>
        </w:r>
        <w:r w:rsidR="001B4EAA" w:rsidRPr="001B4EAA">
          <w:rPr>
            <w:rFonts w:ascii="Times New Roman" w:hAnsi="Times New Roman"/>
            <w:noProof/>
            <w:webHidden/>
          </w:rPr>
          <w:instrText xml:space="preserve"> PAGEREF _Toc93588713 \h </w:instrText>
        </w:r>
        <w:r w:rsidR="001B4EAA" w:rsidRPr="001B4EAA">
          <w:rPr>
            <w:rFonts w:ascii="Times New Roman" w:hAnsi="Times New Roman"/>
            <w:noProof/>
            <w:webHidden/>
          </w:rPr>
        </w:r>
        <w:r w:rsidR="001B4EAA" w:rsidRPr="001B4EAA">
          <w:rPr>
            <w:rFonts w:ascii="Times New Roman" w:hAnsi="Times New Roman"/>
            <w:noProof/>
            <w:webHidden/>
          </w:rPr>
          <w:fldChar w:fldCharType="separate"/>
        </w:r>
        <w:r w:rsidR="001B4EAA" w:rsidRPr="001B4EAA">
          <w:rPr>
            <w:rFonts w:ascii="Times New Roman" w:hAnsi="Times New Roman"/>
            <w:noProof/>
            <w:webHidden/>
          </w:rPr>
          <w:t>4</w:t>
        </w:r>
        <w:r w:rsidR="001B4EAA" w:rsidRPr="001B4EAA">
          <w:rPr>
            <w:rFonts w:ascii="Times New Roman" w:hAnsi="Times New Roman"/>
            <w:noProof/>
            <w:webHidden/>
          </w:rPr>
          <w:fldChar w:fldCharType="end"/>
        </w:r>
      </w:hyperlink>
    </w:p>
    <w:p w14:paraId="288F8C86" w14:textId="75AB471A" w:rsidR="001B4EAA" w:rsidRPr="001B4EAA" w:rsidRDefault="00AC52D9">
      <w:pPr>
        <w:pStyle w:val="TOC2"/>
        <w:rPr>
          <w:rFonts w:ascii="Times New Roman" w:hAnsi="Times New Roman"/>
          <w:smallCaps w:val="0"/>
          <w:noProof/>
          <w:sz w:val="24"/>
        </w:rPr>
      </w:pPr>
      <w:hyperlink w:anchor="_Toc93588714" w:history="1">
        <w:r w:rsidR="001B4EAA" w:rsidRPr="001B4EAA">
          <w:rPr>
            <w:rStyle w:val="Hyperlink"/>
            <w:rFonts w:ascii="Times New Roman" w:hAnsi="Times New Roman"/>
            <w:noProof/>
          </w:rPr>
          <w:t>C.  General Measures of Implementation</w:t>
        </w:r>
        <w:r w:rsidR="001B4EAA" w:rsidRPr="001B4EAA">
          <w:rPr>
            <w:rFonts w:ascii="Times New Roman" w:hAnsi="Times New Roman"/>
            <w:noProof/>
            <w:webHidden/>
          </w:rPr>
          <w:tab/>
        </w:r>
        <w:r w:rsidR="001B4EAA" w:rsidRPr="001B4EAA">
          <w:rPr>
            <w:rFonts w:ascii="Times New Roman" w:hAnsi="Times New Roman"/>
            <w:noProof/>
            <w:webHidden/>
          </w:rPr>
          <w:fldChar w:fldCharType="begin"/>
        </w:r>
        <w:r w:rsidR="001B4EAA" w:rsidRPr="001B4EAA">
          <w:rPr>
            <w:rFonts w:ascii="Times New Roman" w:hAnsi="Times New Roman"/>
            <w:noProof/>
            <w:webHidden/>
          </w:rPr>
          <w:instrText xml:space="preserve"> PAGEREF _Toc93588714 \h </w:instrText>
        </w:r>
        <w:r w:rsidR="001B4EAA" w:rsidRPr="001B4EAA">
          <w:rPr>
            <w:rFonts w:ascii="Times New Roman" w:hAnsi="Times New Roman"/>
            <w:noProof/>
            <w:webHidden/>
          </w:rPr>
        </w:r>
        <w:r w:rsidR="001B4EAA" w:rsidRPr="001B4EAA">
          <w:rPr>
            <w:rFonts w:ascii="Times New Roman" w:hAnsi="Times New Roman"/>
            <w:noProof/>
            <w:webHidden/>
          </w:rPr>
          <w:fldChar w:fldCharType="separate"/>
        </w:r>
        <w:r w:rsidR="001B4EAA" w:rsidRPr="001B4EAA">
          <w:rPr>
            <w:rFonts w:ascii="Times New Roman" w:hAnsi="Times New Roman"/>
            <w:noProof/>
            <w:webHidden/>
          </w:rPr>
          <w:t>7</w:t>
        </w:r>
        <w:r w:rsidR="001B4EAA" w:rsidRPr="001B4EAA">
          <w:rPr>
            <w:rFonts w:ascii="Times New Roman" w:hAnsi="Times New Roman"/>
            <w:noProof/>
            <w:webHidden/>
          </w:rPr>
          <w:fldChar w:fldCharType="end"/>
        </w:r>
      </w:hyperlink>
    </w:p>
    <w:p w14:paraId="260EB1CB" w14:textId="1D144646" w:rsidR="001B4EAA" w:rsidRPr="001B4EAA" w:rsidRDefault="00AC52D9" w:rsidP="004D4093">
      <w:pPr>
        <w:pStyle w:val="TOC1"/>
        <w:jc w:val="left"/>
        <w:rPr>
          <w:b w:val="0"/>
          <w:bCs w:val="0"/>
          <w:caps w:val="0"/>
          <w:sz w:val="24"/>
        </w:rPr>
      </w:pPr>
      <w:hyperlink w:anchor="_Toc93588715" w:history="1">
        <w:r w:rsidR="001B4EAA" w:rsidRPr="001B4EAA">
          <w:rPr>
            <w:rStyle w:val="Hyperlink"/>
            <w:b w:val="0"/>
            <w:bCs w:val="0"/>
            <w:shd w:val="clear" w:color="auto" w:fill="FFFFFF"/>
          </w:rPr>
          <w:t>III.  Prevention of the sale of children, child prostitution and child pornography (art. 9(1) and (2))</w:t>
        </w:r>
        <w:r w:rsidR="001B4EAA" w:rsidRPr="001B4EAA">
          <w:rPr>
            <w:b w:val="0"/>
            <w:bCs w:val="0"/>
            <w:webHidden/>
          </w:rPr>
          <w:tab/>
        </w:r>
        <w:r w:rsidR="001B4EAA" w:rsidRPr="001B4EAA">
          <w:rPr>
            <w:b w:val="0"/>
            <w:bCs w:val="0"/>
            <w:webHidden/>
          </w:rPr>
          <w:fldChar w:fldCharType="begin"/>
        </w:r>
        <w:r w:rsidR="001B4EAA" w:rsidRPr="001B4EAA">
          <w:rPr>
            <w:b w:val="0"/>
            <w:bCs w:val="0"/>
            <w:webHidden/>
          </w:rPr>
          <w:instrText xml:space="preserve"> PAGEREF _Toc93588715 \h </w:instrText>
        </w:r>
        <w:r w:rsidR="001B4EAA" w:rsidRPr="001B4EAA">
          <w:rPr>
            <w:b w:val="0"/>
            <w:bCs w:val="0"/>
            <w:webHidden/>
          </w:rPr>
        </w:r>
        <w:r w:rsidR="001B4EAA" w:rsidRPr="001B4EAA">
          <w:rPr>
            <w:b w:val="0"/>
            <w:bCs w:val="0"/>
            <w:webHidden/>
          </w:rPr>
          <w:fldChar w:fldCharType="separate"/>
        </w:r>
        <w:r w:rsidR="001B4EAA" w:rsidRPr="001B4EAA">
          <w:rPr>
            <w:b w:val="0"/>
            <w:bCs w:val="0"/>
            <w:webHidden/>
          </w:rPr>
          <w:t>15</w:t>
        </w:r>
        <w:r w:rsidR="001B4EAA" w:rsidRPr="001B4EAA">
          <w:rPr>
            <w:b w:val="0"/>
            <w:bCs w:val="0"/>
            <w:webHidden/>
          </w:rPr>
          <w:fldChar w:fldCharType="end"/>
        </w:r>
      </w:hyperlink>
    </w:p>
    <w:p w14:paraId="1CC78CAB" w14:textId="2CC3B964" w:rsidR="001B4EAA" w:rsidRPr="001B4EAA" w:rsidRDefault="00AC52D9" w:rsidP="004D4093">
      <w:pPr>
        <w:pStyle w:val="TOC1"/>
        <w:jc w:val="left"/>
        <w:rPr>
          <w:b w:val="0"/>
          <w:bCs w:val="0"/>
          <w:caps w:val="0"/>
          <w:sz w:val="24"/>
        </w:rPr>
      </w:pPr>
      <w:hyperlink w:anchor="_Toc93588716" w:history="1">
        <w:r w:rsidR="001B4EAA" w:rsidRPr="001B4EAA">
          <w:rPr>
            <w:rStyle w:val="Hyperlink"/>
            <w:b w:val="0"/>
            <w:bCs w:val="0"/>
          </w:rPr>
          <w:t>IV.  Prohibition of the sale of children, child pornography and child prostitution and related matters (arts. 3, 4(2) and (3), and 5-7)</w:t>
        </w:r>
        <w:r w:rsidR="001B4EAA" w:rsidRPr="001B4EAA">
          <w:rPr>
            <w:b w:val="0"/>
            <w:bCs w:val="0"/>
            <w:webHidden/>
          </w:rPr>
          <w:tab/>
        </w:r>
        <w:r w:rsidR="001B4EAA" w:rsidRPr="001B4EAA">
          <w:rPr>
            <w:b w:val="0"/>
            <w:bCs w:val="0"/>
            <w:webHidden/>
          </w:rPr>
          <w:fldChar w:fldCharType="begin"/>
        </w:r>
        <w:r w:rsidR="001B4EAA" w:rsidRPr="001B4EAA">
          <w:rPr>
            <w:b w:val="0"/>
            <w:bCs w:val="0"/>
            <w:webHidden/>
          </w:rPr>
          <w:instrText xml:space="preserve"> PAGEREF _Toc93588716 \h </w:instrText>
        </w:r>
        <w:r w:rsidR="001B4EAA" w:rsidRPr="001B4EAA">
          <w:rPr>
            <w:b w:val="0"/>
            <w:bCs w:val="0"/>
            <w:webHidden/>
          </w:rPr>
        </w:r>
        <w:r w:rsidR="001B4EAA" w:rsidRPr="001B4EAA">
          <w:rPr>
            <w:b w:val="0"/>
            <w:bCs w:val="0"/>
            <w:webHidden/>
          </w:rPr>
          <w:fldChar w:fldCharType="separate"/>
        </w:r>
        <w:r w:rsidR="001B4EAA" w:rsidRPr="001B4EAA">
          <w:rPr>
            <w:b w:val="0"/>
            <w:bCs w:val="0"/>
            <w:webHidden/>
          </w:rPr>
          <w:t>27</w:t>
        </w:r>
        <w:r w:rsidR="001B4EAA" w:rsidRPr="001B4EAA">
          <w:rPr>
            <w:b w:val="0"/>
            <w:bCs w:val="0"/>
            <w:webHidden/>
          </w:rPr>
          <w:fldChar w:fldCharType="end"/>
        </w:r>
      </w:hyperlink>
    </w:p>
    <w:p w14:paraId="2E6C4062" w14:textId="083DC945" w:rsidR="001B4EAA" w:rsidRPr="001B4EAA" w:rsidRDefault="00AC52D9">
      <w:pPr>
        <w:pStyle w:val="TOC1"/>
        <w:rPr>
          <w:b w:val="0"/>
          <w:bCs w:val="0"/>
          <w:caps w:val="0"/>
          <w:sz w:val="24"/>
        </w:rPr>
      </w:pPr>
      <w:hyperlink w:anchor="_Toc93588717" w:history="1">
        <w:r w:rsidR="001B4EAA" w:rsidRPr="001B4EAA">
          <w:rPr>
            <w:rStyle w:val="Hyperlink"/>
            <w:b w:val="0"/>
            <w:bCs w:val="0"/>
            <w:shd w:val="clear" w:color="auto" w:fill="FFFFFF"/>
          </w:rPr>
          <w:t>V.  Protection of the rights of child victims (arts. 8 and 9(3) and (4))</w:t>
        </w:r>
        <w:r w:rsidR="001B4EAA" w:rsidRPr="001B4EAA">
          <w:rPr>
            <w:b w:val="0"/>
            <w:bCs w:val="0"/>
            <w:webHidden/>
          </w:rPr>
          <w:tab/>
        </w:r>
        <w:r w:rsidR="001B4EAA" w:rsidRPr="001B4EAA">
          <w:rPr>
            <w:b w:val="0"/>
            <w:bCs w:val="0"/>
            <w:webHidden/>
          </w:rPr>
          <w:fldChar w:fldCharType="begin"/>
        </w:r>
        <w:r w:rsidR="001B4EAA" w:rsidRPr="001B4EAA">
          <w:rPr>
            <w:b w:val="0"/>
            <w:bCs w:val="0"/>
            <w:webHidden/>
          </w:rPr>
          <w:instrText xml:space="preserve"> PAGEREF _Toc93588717 \h </w:instrText>
        </w:r>
        <w:r w:rsidR="001B4EAA" w:rsidRPr="001B4EAA">
          <w:rPr>
            <w:b w:val="0"/>
            <w:bCs w:val="0"/>
            <w:webHidden/>
          </w:rPr>
        </w:r>
        <w:r w:rsidR="001B4EAA" w:rsidRPr="001B4EAA">
          <w:rPr>
            <w:b w:val="0"/>
            <w:bCs w:val="0"/>
            <w:webHidden/>
          </w:rPr>
          <w:fldChar w:fldCharType="separate"/>
        </w:r>
        <w:r w:rsidR="001B4EAA" w:rsidRPr="001B4EAA">
          <w:rPr>
            <w:b w:val="0"/>
            <w:bCs w:val="0"/>
            <w:webHidden/>
          </w:rPr>
          <w:t>31</w:t>
        </w:r>
        <w:r w:rsidR="001B4EAA" w:rsidRPr="001B4EAA">
          <w:rPr>
            <w:b w:val="0"/>
            <w:bCs w:val="0"/>
            <w:webHidden/>
          </w:rPr>
          <w:fldChar w:fldCharType="end"/>
        </w:r>
      </w:hyperlink>
    </w:p>
    <w:p w14:paraId="09EEB54A" w14:textId="110EAFF5" w:rsidR="001B4EAA" w:rsidRPr="001B4EAA" w:rsidRDefault="00AC52D9">
      <w:pPr>
        <w:pStyle w:val="TOC1"/>
        <w:rPr>
          <w:b w:val="0"/>
          <w:bCs w:val="0"/>
          <w:caps w:val="0"/>
          <w:sz w:val="24"/>
        </w:rPr>
      </w:pPr>
      <w:hyperlink w:anchor="_Toc93588718" w:history="1">
        <w:r w:rsidR="001B4EAA" w:rsidRPr="001B4EAA">
          <w:rPr>
            <w:rStyle w:val="Hyperlink"/>
            <w:b w:val="0"/>
            <w:bCs w:val="0"/>
          </w:rPr>
          <w:t>VI.  International assistance and cooperation</w:t>
        </w:r>
        <w:r w:rsidR="001B4EAA" w:rsidRPr="001B4EAA">
          <w:rPr>
            <w:b w:val="0"/>
            <w:bCs w:val="0"/>
            <w:webHidden/>
          </w:rPr>
          <w:tab/>
        </w:r>
        <w:r w:rsidR="001B4EAA" w:rsidRPr="001B4EAA">
          <w:rPr>
            <w:b w:val="0"/>
            <w:bCs w:val="0"/>
            <w:webHidden/>
          </w:rPr>
          <w:fldChar w:fldCharType="begin"/>
        </w:r>
        <w:r w:rsidR="001B4EAA" w:rsidRPr="001B4EAA">
          <w:rPr>
            <w:b w:val="0"/>
            <w:bCs w:val="0"/>
            <w:webHidden/>
          </w:rPr>
          <w:instrText xml:space="preserve"> PAGEREF _Toc93588718 \h </w:instrText>
        </w:r>
        <w:r w:rsidR="001B4EAA" w:rsidRPr="001B4EAA">
          <w:rPr>
            <w:b w:val="0"/>
            <w:bCs w:val="0"/>
            <w:webHidden/>
          </w:rPr>
        </w:r>
        <w:r w:rsidR="001B4EAA" w:rsidRPr="001B4EAA">
          <w:rPr>
            <w:b w:val="0"/>
            <w:bCs w:val="0"/>
            <w:webHidden/>
          </w:rPr>
          <w:fldChar w:fldCharType="separate"/>
        </w:r>
        <w:r w:rsidR="001B4EAA" w:rsidRPr="001B4EAA">
          <w:rPr>
            <w:b w:val="0"/>
            <w:bCs w:val="0"/>
            <w:webHidden/>
          </w:rPr>
          <w:t>38</w:t>
        </w:r>
        <w:r w:rsidR="001B4EAA" w:rsidRPr="001B4EAA">
          <w:rPr>
            <w:b w:val="0"/>
            <w:bCs w:val="0"/>
            <w:webHidden/>
          </w:rPr>
          <w:fldChar w:fldCharType="end"/>
        </w:r>
      </w:hyperlink>
    </w:p>
    <w:p w14:paraId="25AD8883" w14:textId="44D7C9C7" w:rsidR="001B4EAA" w:rsidRPr="001B4EAA" w:rsidRDefault="00AC52D9">
      <w:pPr>
        <w:pStyle w:val="TOC1"/>
        <w:rPr>
          <w:b w:val="0"/>
          <w:bCs w:val="0"/>
          <w:caps w:val="0"/>
          <w:sz w:val="24"/>
        </w:rPr>
      </w:pPr>
      <w:hyperlink w:anchor="_Toc93588719" w:history="1">
        <w:r w:rsidR="001B4EAA" w:rsidRPr="001B4EAA">
          <w:rPr>
            <w:rStyle w:val="Hyperlink"/>
            <w:b w:val="0"/>
            <w:bCs w:val="0"/>
          </w:rPr>
          <w:t>VII.  Ratification of the Optional Protocol on a Communications Procedure</w:t>
        </w:r>
        <w:r w:rsidR="001B4EAA" w:rsidRPr="001B4EAA">
          <w:rPr>
            <w:b w:val="0"/>
            <w:bCs w:val="0"/>
            <w:webHidden/>
          </w:rPr>
          <w:tab/>
        </w:r>
        <w:r w:rsidR="001B4EAA" w:rsidRPr="001B4EAA">
          <w:rPr>
            <w:b w:val="0"/>
            <w:bCs w:val="0"/>
            <w:webHidden/>
          </w:rPr>
          <w:fldChar w:fldCharType="begin"/>
        </w:r>
        <w:r w:rsidR="001B4EAA" w:rsidRPr="001B4EAA">
          <w:rPr>
            <w:b w:val="0"/>
            <w:bCs w:val="0"/>
            <w:webHidden/>
          </w:rPr>
          <w:instrText xml:space="preserve"> PAGEREF _Toc93588719 \h </w:instrText>
        </w:r>
        <w:r w:rsidR="001B4EAA" w:rsidRPr="001B4EAA">
          <w:rPr>
            <w:b w:val="0"/>
            <w:bCs w:val="0"/>
            <w:webHidden/>
          </w:rPr>
        </w:r>
        <w:r w:rsidR="001B4EAA" w:rsidRPr="001B4EAA">
          <w:rPr>
            <w:b w:val="0"/>
            <w:bCs w:val="0"/>
            <w:webHidden/>
          </w:rPr>
          <w:fldChar w:fldCharType="separate"/>
        </w:r>
        <w:r w:rsidR="001B4EAA" w:rsidRPr="001B4EAA">
          <w:rPr>
            <w:b w:val="0"/>
            <w:bCs w:val="0"/>
            <w:webHidden/>
          </w:rPr>
          <w:t>40</w:t>
        </w:r>
        <w:r w:rsidR="001B4EAA" w:rsidRPr="001B4EAA">
          <w:rPr>
            <w:b w:val="0"/>
            <w:bCs w:val="0"/>
            <w:webHidden/>
          </w:rPr>
          <w:fldChar w:fldCharType="end"/>
        </w:r>
      </w:hyperlink>
    </w:p>
    <w:p w14:paraId="0D5ADF03" w14:textId="0B7CC614" w:rsidR="001B4EAA" w:rsidRPr="001B4EAA" w:rsidRDefault="00AC52D9">
      <w:pPr>
        <w:pStyle w:val="TOC1"/>
        <w:rPr>
          <w:b w:val="0"/>
          <w:bCs w:val="0"/>
          <w:caps w:val="0"/>
          <w:sz w:val="24"/>
        </w:rPr>
      </w:pPr>
      <w:hyperlink w:anchor="_Toc93588720" w:history="1">
        <w:r w:rsidR="001B4EAA" w:rsidRPr="001B4EAA">
          <w:rPr>
            <w:rStyle w:val="Hyperlink"/>
            <w:b w:val="0"/>
            <w:bCs w:val="0"/>
            <w:shd w:val="clear" w:color="auto" w:fill="FFFFFF"/>
          </w:rPr>
          <w:t>VIII.  Implementation and reporting</w:t>
        </w:r>
        <w:r w:rsidR="001B4EAA" w:rsidRPr="001B4EAA">
          <w:rPr>
            <w:b w:val="0"/>
            <w:bCs w:val="0"/>
            <w:webHidden/>
          </w:rPr>
          <w:tab/>
        </w:r>
        <w:r w:rsidR="001B4EAA" w:rsidRPr="001B4EAA">
          <w:rPr>
            <w:b w:val="0"/>
            <w:bCs w:val="0"/>
            <w:webHidden/>
          </w:rPr>
          <w:fldChar w:fldCharType="begin"/>
        </w:r>
        <w:r w:rsidR="001B4EAA" w:rsidRPr="001B4EAA">
          <w:rPr>
            <w:b w:val="0"/>
            <w:bCs w:val="0"/>
            <w:webHidden/>
          </w:rPr>
          <w:instrText xml:space="preserve"> PAGEREF _Toc93588720 \h </w:instrText>
        </w:r>
        <w:r w:rsidR="001B4EAA" w:rsidRPr="001B4EAA">
          <w:rPr>
            <w:b w:val="0"/>
            <w:bCs w:val="0"/>
            <w:webHidden/>
          </w:rPr>
        </w:r>
        <w:r w:rsidR="001B4EAA" w:rsidRPr="001B4EAA">
          <w:rPr>
            <w:b w:val="0"/>
            <w:bCs w:val="0"/>
            <w:webHidden/>
          </w:rPr>
          <w:fldChar w:fldCharType="separate"/>
        </w:r>
        <w:r w:rsidR="001B4EAA" w:rsidRPr="001B4EAA">
          <w:rPr>
            <w:b w:val="0"/>
            <w:bCs w:val="0"/>
            <w:webHidden/>
          </w:rPr>
          <w:t>40</w:t>
        </w:r>
        <w:r w:rsidR="001B4EAA" w:rsidRPr="001B4EAA">
          <w:rPr>
            <w:b w:val="0"/>
            <w:bCs w:val="0"/>
            <w:webHidden/>
          </w:rPr>
          <w:fldChar w:fldCharType="end"/>
        </w:r>
      </w:hyperlink>
    </w:p>
    <w:p w14:paraId="722A2C43" w14:textId="743F08C4" w:rsidR="001B4EAA" w:rsidRPr="001B4EAA" w:rsidRDefault="00AC52D9">
      <w:pPr>
        <w:pStyle w:val="TOC1"/>
        <w:rPr>
          <w:b w:val="0"/>
          <w:bCs w:val="0"/>
          <w:caps w:val="0"/>
          <w:sz w:val="24"/>
        </w:rPr>
      </w:pPr>
      <w:hyperlink w:anchor="_Toc93588721" w:history="1">
        <w:r w:rsidR="001B4EAA" w:rsidRPr="001B4EAA">
          <w:rPr>
            <w:rStyle w:val="Hyperlink"/>
            <w:b w:val="0"/>
            <w:bCs w:val="0"/>
          </w:rPr>
          <w:t>Annex 1 : Acronym List</w:t>
        </w:r>
        <w:r w:rsidR="001B4EAA" w:rsidRPr="001B4EAA">
          <w:rPr>
            <w:b w:val="0"/>
            <w:bCs w:val="0"/>
            <w:webHidden/>
          </w:rPr>
          <w:tab/>
        </w:r>
        <w:r w:rsidR="001B4EAA" w:rsidRPr="001B4EAA">
          <w:rPr>
            <w:b w:val="0"/>
            <w:bCs w:val="0"/>
            <w:webHidden/>
          </w:rPr>
          <w:fldChar w:fldCharType="begin"/>
        </w:r>
        <w:r w:rsidR="001B4EAA" w:rsidRPr="001B4EAA">
          <w:rPr>
            <w:b w:val="0"/>
            <w:bCs w:val="0"/>
            <w:webHidden/>
          </w:rPr>
          <w:instrText xml:space="preserve"> PAGEREF _Toc93588721 \h </w:instrText>
        </w:r>
        <w:r w:rsidR="001B4EAA" w:rsidRPr="001B4EAA">
          <w:rPr>
            <w:b w:val="0"/>
            <w:bCs w:val="0"/>
            <w:webHidden/>
          </w:rPr>
        </w:r>
        <w:r w:rsidR="001B4EAA" w:rsidRPr="001B4EAA">
          <w:rPr>
            <w:b w:val="0"/>
            <w:bCs w:val="0"/>
            <w:webHidden/>
          </w:rPr>
          <w:fldChar w:fldCharType="separate"/>
        </w:r>
        <w:r w:rsidR="001B4EAA" w:rsidRPr="001B4EAA">
          <w:rPr>
            <w:b w:val="0"/>
            <w:bCs w:val="0"/>
            <w:webHidden/>
          </w:rPr>
          <w:t>41</w:t>
        </w:r>
        <w:r w:rsidR="001B4EAA" w:rsidRPr="001B4EAA">
          <w:rPr>
            <w:b w:val="0"/>
            <w:bCs w:val="0"/>
            <w:webHidden/>
          </w:rPr>
          <w:fldChar w:fldCharType="end"/>
        </w:r>
      </w:hyperlink>
    </w:p>
    <w:p w14:paraId="56F0ECB1" w14:textId="4B6BB25B" w:rsidR="001B4EAA" w:rsidRPr="001B4EAA" w:rsidRDefault="00AC52D9" w:rsidP="001B4EAA">
      <w:pPr>
        <w:pStyle w:val="TOC1"/>
        <w:jc w:val="left"/>
        <w:rPr>
          <w:b w:val="0"/>
          <w:bCs w:val="0"/>
          <w:caps w:val="0"/>
          <w:sz w:val="24"/>
        </w:rPr>
      </w:pPr>
      <w:hyperlink w:anchor="_Toc93588722" w:history="1">
        <w:r w:rsidR="001B4EAA" w:rsidRPr="001B4EAA">
          <w:rPr>
            <w:rStyle w:val="Hyperlink"/>
            <w:b w:val="0"/>
            <w:bCs w:val="0"/>
          </w:rPr>
          <w:t>Annex 2 : Data on Arrests, Pleas, and Trials for Crimes Against Children, Including Child Pornography</w:t>
        </w:r>
        <w:r w:rsidR="001B4EAA" w:rsidRPr="001B4EAA">
          <w:rPr>
            <w:b w:val="0"/>
            <w:bCs w:val="0"/>
            <w:webHidden/>
          </w:rPr>
          <w:tab/>
        </w:r>
        <w:r w:rsidR="001B4EAA" w:rsidRPr="001B4EAA">
          <w:rPr>
            <w:b w:val="0"/>
            <w:bCs w:val="0"/>
            <w:webHidden/>
          </w:rPr>
          <w:fldChar w:fldCharType="begin"/>
        </w:r>
        <w:r w:rsidR="001B4EAA" w:rsidRPr="001B4EAA">
          <w:rPr>
            <w:b w:val="0"/>
            <w:bCs w:val="0"/>
            <w:webHidden/>
          </w:rPr>
          <w:instrText xml:space="preserve"> PAGEREF _Toc93588722 \h </w:instrText>
        </w:r>
        <w:r w:rsidR="001B4EAA" w:rsidRPr="001B4EAA">
          <w:rPr>
            <w:b w:val="0"/>
            <w:bCs w:val="0"/>
            <w:webHidden/>
          </w:rPr>
        </w:r>
        <w:r w:rsidR="001B4EAA" w:rsidRPr="001B4EAA">
          <w:rPr>
            <w:b w:val="0"/>
            <w:bCs w:val="0"/>
            <w:webHidden/>
          </w:rPr>
          <w:fldChar w:fldCharType="separate"/>
        </w:r>
        <w:r w:rsidR="001B4EAA" w:rsidRPr="001B4EAA">
          <w:rPr>
            <w:b w:val="0"/>
            <w:bCs w:val="0"/>
            <w:webHidden/>
          </w:rPr>
          <w:t>42</w:t>
        </w:r>
        <w:r w:rsidR="001B4EAA" w:rsidRPr="001B4EAA">
          <w:rPr>
            <w:b w:val="0"/>
            <w:bCs w:val="0"/>
            <w:webHidden/>
          </w:rPr>
          <w:fldChar w:fldCharType="end"/>
        </w:r>
      </w:hyperlink>
    </w:p>
    <w:p w14:paraId="73B520EF" w14:textId="43D0C85B" w:rsidR="001B4EAA" w:rsidRPr="001B4EAA" w:rsidRDefault="00AC52D9" w:rsidP="001B4EAA">
      <w:pPr>
        <w:pStyle w:val="TOC1"/>
        <w:jc w:val="left"/>
        <w:rPr>
          <w:b w:val="0"/>
          <w:bCs w:val="0"/>
          <w:caps w:val="0"/>
          <w:sz w:val="24"/>
        </w:rPr>
      </w:pPr>
      <w:hyperlink w:anchor="_Toc93588723" w:history="1">
        <w:r w:rsidR="001B4EAA" w:rsidRPr="001B4EAA">
          <w:rPr>
            <w:rStyle w:val="Hyperlink"/>
            <w:b w:val="0"/>
            <w:bCs w:val="0"/>
          </w:rPr>
          <w:t>Annex 3 : Eligibility Letters for Children and Certification Letters for Adults; Continued Presence; Applications for T Nonimmigrant Status and Petitions for U Nonimmigrant Status</w:t>
        </w:r>
        <w:r w:rsidR="001B4EAA" w:rsidRPr="001B4EAA">
          <w:rPr>
            <w:b w:val="0"/>
            <w:bCs w:val="0"/>
            <w:webHidden/>
          </w:rPr>
          <w:tab/>
        </w:r>
        <w:r w:rsidR="001B4EAA" w:rsidRPr="001B4EAA">
          <w:rPr>
            <w:b w:val="0"/>
            <w:bCs w:val="0"/>
            <w:webHidden/>
          </w:rPr>
          <w:fldChar w:fldCharType="begin"/>
        </w:r>
        <w:r w:rsidR="001B4EAA" w:rsidRPr="001B4EAA">
          <w:rPr>
            <w:b w:val="0"/>
            <w:bCs w:val="0"/>
            <w:webHidden/>
          </w:rPr>
          <w:instrText xml:space="preserve"> PAGEREF _Toc93588723 \h </w:instrText>
        </w:r>
        <w:r w:rsidR="001B4EAA" w:rsidRPr="001B4EAA">
          <w:rPr>
            <w:b w:val="0"/>
            <w:bCs w:val="0"/>
            <w:webHidden/>
          </w:rPr>
        </w:r>
        <w:r w:rsidR="001B4EAA" w:rsidRPr="001B4EAA">
          <w:rPr>
            <w:b w:val="0"/>
            <w:bCs w:val="0"/>
            <w:webHidden/>
          </w:rPr>
          <w:fldChar w:fldCharType="separate"/>
        </w:r>
        <w:r w:rsidR="001B4EAA" w:rsidRPr="001B4EAA">
          <w:rPr>
            <w:b w:val="0"/>
            <w:bCs w:val="0"/>
            <w:webHidden/>
          </w:rPr>
          <w:t>43</w:t>
        </w:r>
        <w:r w:rsidR="001B4EAA" w:rsidRPr="001B4EAA">
          <w:rPr>
            <w:b w:val="0"/>
            <w:bCs w:val="0"/>
            <w:webHidden/>
          </w:rPr>
          <w:fldChar w:fldCharType="end"/>
        </w:r>
      </w:hyperlink>
    </w:p>
    <w:p w14:paraId="0F60E8D6" w14:textId="06BD5A7A" w:rsidR="00EA12F0" w:rsidRPr="00FD7BC9" w:rsidRDefault="003C5556" w:rsidP="001E3F7C">
      <w:pPr>
        <w:numPr>
          <w:ilvl w:val="0"/>
          <w:numId w:val="0"/>
        </w:numPr>
        <w:shd w:val="clear" w:color="auto" w:fill="auto"/>
        <w:spacing w:after="0"/>
        <w:jc w:val="both"/>
        <w:rPr>
          <w:sz w:val="28"/>
          <w:szCs w:val="28"/>
        </w:rPr>
      </w:pPr>
      <w:r w:rsidRPr="001B4EAA">
        <w:rPr>
          <w:caps/>
          <w:szCs w:val="24"/>
        </w:rPr>
        <w:fldChar w:fldCharType="end"/>
      </w:r>
      <w:r w:rsidR="00EA12F0" w:rsidRPr="00FD7BC9">
        <w:br w:type="page"/>
      </w:r>
    </w:p>
    <w:p w14:paraId="7B067A82" w14:textId="43DCF99E" w:rsidR="004D60A2" w:rsidRPr="00612487" w:rsidRDefault="00962982" w:rsidP="001B4EAA">
      <w:pPr>
        <w:pStyle w:val="Heading1"/>
        <w:numPr>
          <w:ilvl w:val="0"/>
          <w:numId w:val="0"/>
        </w:numPr>
      </w:pPr>
      <w:bookmarkStart w:id="1" w:name="_Toc93588710"/>
      <w:r w:rsidRPr="00612487">
        <w:lastRenderedPageBreak/>
        <w:t>I.  Introduction</w:t>
      </w:r>
      <w:bookmarkEnd w:id="1"/>
      <w:r w:rsidRPr="00612487">
        <w:t xml:space="preserve">  </w:t>
      </w:r>
    </w:p>
    <w:p w14:paraId="6057E81D" w14:textId="27DFDE33" w:rsidR="00684D86" w:rsidRDefault="004D60A2" w:rsidP="000A3F69">
      <w:pPr>
        <w:ind w:left="0" w:firstLine="0"/>
      </w:pPr>
      <w:r w:rsidRPr="00BE1048">
        <w:t>The United States of America welcomes this opportunity to sub</w:t>
      </w:r>
      <w:r w:rsidR="00514177" w:rsidRPr="00BE1048">
        <w:t>mit its</w:t>
      </w:r>
      <w:r w:rsidRPr="00BE1048">
        <w:t xml:space="preserve"> Fifth Periodic Report to the Committee on the Rights of the Child (Committee) on measures giving effect to its obligati</w:t>
      </w:r>
      <w:r w:rsidR="00514177" w:rsidRPr="00BE1048">
        <w:t>ons under the Optional Protocol</w:t>
      </w:r>
      <w:r w:rsidRPr="00BE1048">
        <w:t xml:space="preserve"> to the Convention on the Rights of the Child on the Sale of Children, Child Prostitution and Child Pornography (OPSC). The </w:t>
      </w:r>
      <w:r w:rsidR="00AF4E7B">
        <w:t>r</w:t>
      </w:r>
      <w:r w:rsidRPr="00BE1048">
        <w:t>eport places particular emphasis on developments sinc</w:t>
      </w:r>
      <w:r w:rsidR="00DA68B5" w:rsidRPr="00BE1048">
        <w:t>e submission of the</w:t>
      </w:r>
      <w:r w:rsidR="00962982" w:rsidRPr="00BE1048">
        <w:t xml:space="preserve"> Third and Fourth U.S. Report (CRC/C/OP</w:t>
      </w:r>
      <w:r w:rsidR="0005439A" w:rsidRPr="00BE1048">
        <w:t>S</w:t>
      </w:r>
      <w:r w:rsidR="00962982" w:rsidRPr="00BE1048">
        <w:t>C/USA/3-4) in 2016 (hereinafter 2016 Report)</w:t>
      </w:r>
      <w:r w:rsidRPr="00BE1048">
        <w:t xml:space="preserve">. The selection and order of the content </w:t>
      </w:r>
      <w:r w:rsidR="00DA68B5" w:rsidRPr="00BE1048">
        <w:t xml:space="preserve">in this report </w:t>
      </w:r>
      <w:r w:rsidRPr="00BE1048">
        <w:t xml:space="preserve">generally follow that of the Committee’s June 2, 2017 Concluding Observations (Observations), CRC/C/OPSC/USA/CO/3-4. </w:t>
      </w:r>
    </w:p>
    <w:p w14:paraId="223E12E0" w14:textId="0D303B53" w:rsidR="00142B21" w:rsidRDefault="004D60A2" w:rsidP="00E54247">
      <w:pPr>
        <w:ind w:left="0" w:firstLine="0"/>
      </w:pPr>
      <w:r w:rsidRPr="009E16AE">
        <w:t xml:space="preserve">This </w:t>
      </w:r>
      <w:r w:rsidR="00480741" w:rsidRPr="009E16AE">
        <w:t>r</w:t>
      </w:r>
      <w:r w:rsidRPr="009E16AE">
        <w:t xml:space="preserve">eport draws on the expertise of the U.S. Departments of State (DOS), </w:t>
      </w:r>
      <w:r w:rsidR="00D00799" w:rsidRPr="009E16AE">
        <w:t xml:space="preserve">Education (ED), </w:t>
      </w:r>
      <w:r w:rsidRPr="009E16AE">
        <w:t xml:space="preserve">Justice (DOJ), Health and Human Services (HHS), </w:t>
      </w:r>
      <w:r w:rsidR="00D00799" w:rsidRPr="009E16AE">
        <w:t xml:space="preserve">Homeland Security (DHS), </w:t>
      </w:r>
      <w:r w:rsidR="00CC4834" w:rsidRPr="009E16AE">
        <w:t xml:space="preserve">Interior (DOI), </w:t>
      </w:r>
      <w:r w:rsidRPr="009E16AE">
        <w:t>Labor (DOL),</w:t>
      </w:r>
      <w:r w:rsidR="0D21E230" w:rsidRPr="009E16AE">
        <w:t xml:space="preserve"> and the Treasury (Treasury),</w:t>
      </w:r>
      <w:r w:rsidRPr="009E16AE">
        <w:t xml:space="preserve"> as well as the U.S. Agency for International Development (USAID)</w:t>
      </w:r>
      <w:r w:rsidR="003D4E98" w:rsidRPr="009E16AE">
        <w:t xml:space="preserve"> </w:t>
      </w:r>
      <w:r w:rsidR="29C14771" w:rsidRPr="009E16AE">
        <w:t xml:space="preserve">and </w:t>
      </w:r>
      <w:r w:rsidR="00F96B2D" w:rsidRPr="009E16AE">
        <w:t>the Office of the U.S. Trade Representative (USTR)</w:t>
      </w:r>
      <w:r w:rsidRPr="009E16AE">
        <w:t xml:space="preserve">. </w:t>
      </w:r>
      <w:r w:rsidR="43E46628" w:rsidRPr="009E16AE">
        <w:t xml:space="preserve">The United States intends to hold </w:t>
      </w:r>
      <w:r w:rsidR="50FC62F1" w:rsidRPr="009E16AE">
        <w:t xml:space="preserve">a </w:t>
      </w:r>
      <w:r w:rsidR="43E46628" w:rsidRPr="009E16AE">
        <w:t>civil society consultation with nongovernmental organizations (NGOs) prior to its Committee presentation.</w:t>
      </w:r>
      <w:r w:rsidR="00224997">
        <w:t xml:space="preserve"> </w:t>
      </w:r>
      <w:r w:rsidR="00224997">
        <w:fldChar w:fldCharType="begin"/>
      </w:r>
      <w:r w:rsidR="00224997">
        <w:instrText xml:space="preserve"> REF _Ref93581331 \n \h </w:instrText>
      </w:r>
      <w:r w:rsidR="00224997">
        <w:fldChar w:fldCharType="separate"/>
      </w:r>
      <w:r w:rsidR="00224997">
        <w:rPr>
          <w:cs/>
        </w:rPr>
        <w:t>‎</w:t>
      </w:r>
      <w:r w:rsidR="00224997">
        <w:t>Annex 1</w:t>
      </w:r>
      <w:r w:rsidR="00224997">
        <w:fldChar w:fldCharType="end"/>
      </w:r>
      <w:r w:rsidR="00224997">
        <w:t xml:space="preserve"> </w:t>
      </w:r>
      <w:r w:rsidR="00CC6FAF" w:rsidRPr="009E16AE">
        <w:t>contains a list of acronyms used in this report.</w:t>
      </w:r>
    </w:p>
    <w:p w14:paraId="1B7FF2CA" w14:textId="3286E462" w:rsidR="00962982" w:rsidRPr="00FD05B2" w:rsidRDefault="00962982" w:rsidP="001B4EAA">
      <w:pPr>
        <w:pStyle w:val="Heading1"/>
        <w:numPr>
          <w:ilvl w:val="0"/>
          <w:numId w:val="0"/>
        </w:numPr>
      </w:pPr>
      <w:bookmarkStart w:id="2" w:name="_Toc93588711"/>
      <w:r w:rsidRPr="00FD05B2">
        <w:t xml:space="preserve">II.  Replies to the </w:t>
      </w:r>
      <w:r w:rsidR="00354E23">
        <w:t>C</w:t>
      </w:r>
      <w:r w:rsidRPr="00FD05B2">
        <w:t xml:space="preserve">oncluding </w:t>
      </w:r>
      <w:r w:rsidR="00354E23">
        <w:t>O</w:t>
      </w:r>
      <w:r w:rsidRPr="00FD05B2">
        <w:t>bservations</w:t>
      </w:r>
      <w:bookmarkEnd w:id="2"/>
    </w:p>
    <w:p w14:paraId="6CC79EFC" w14:textId="4455EFBF" w:rsidR="004D60A2" w:rsidRPr="00027BC3" w:rsidRDefault="00D72027" w:rsidP="00954514">
      <w:pPr>
        <w:pStyle w:val="Heading2"/>
      </w:pPr>
      <w:bookmarkStart w:id="3" w:name="_Toc93588712"/>
      <w:r w:rsidRPr="00027BC3">
        <w:t xml:space="preserve">A.  </w:t>
      </w:r>
      <w:r w:rsidR="00AF2019" w:rsidRPr="00027BC3">
        <w:t>General Observations</w:t>
      </w:r>
      <w:bookmarkEnd w:id="3"/>
    </w:p>
    <w:p w14:paraId="0443B02A" w14:textId="48FDDDBF" w:rsidR="4514C18F" w:rsidRPr="00E54247" w:rsidRDefault="1E24E491" w:rsidP="000A3F69">
      <w:pPr>
        <w:ind w:left="0" w:firstLine="0"/>
      </w:pPr>
      <w:r w:rsidRPr="00E54247">
        <w:t>The United States appreciates the C</w:t>
      </w:r>
      <w:r w:rsidR="528A831F" w:rsidRPr="00E54247">
        <w:t>ommittee’s welcoming the</w:t>
      </w:r>
      <w:r w:rsidRPr="00E54247">
        <w:t xml:space="preserve"> measures it has taken in the area of child trafficking, including enactment of </w:t>
      </w:r>
      <w:r w:rsidR="72837838" w:rsidRPr="00E54247">
        <w:t xml:space="preserve">laws reauthorizing and supplementing the Trafficking Victims Protection Act of 2000 </w:t>
      </w:r>
      <w:r w:rsidR="0664E845" w:rsidRPr="00E54247">
        <w:t xml:space="preserve">and other measures, </w:t>
      </w:r>
      <w:r w:rsidR="72837838" w:rsidRPr="00E54247">
        <w:t xml:space="preserve">such as </w:t>
      </w:r>
      <w:r w:rsidRPr="00E54247">
        <w:t>the Trafficking Victims P</w:t>
      </w:r>
      <w:r w:rsidR="528A831F" w:rsidRPr="00E54247">
        <w:t>rotection Reauthorization Act (T</w:t>
      </w:r>
      <w:r w:rsidRPr="00E54247">
        <w:t xml:space="preserve">VPRA) in 2013, </w:t>
      </w:r>
      <w:r w:rsidR="5C6C68BA" w:rsidRPr="00E54247">
        <w:t xml:space="preserve">the Preventing Sex Trafficking and Strengthening Families Act in September 2014, </w:t>
      </w:r>
      <w:r w:rsidRPr="00E54247">
        <w:t>the Justice for Victims of Trafficking Act (JVTA) in May 20</w:t>
      </w:r>
      <w:r w:rsidR="5C6C68BA" w:rsidRPr="00E54247">
        <w:t>15</w:t>
      </w:r>
      <w:r w:rsidRPr="00E54247">
        <w:t xml:space="preserve">, </w:t>
      </w:r>
      <w:r w:rsidR="5C6C68BA" w:rsidRPr="00E54247">
        <w:t xml:space="preserve">establishment of the Office on Trafficking in </w:t>
      </w:r>
      <w:r w:rsidR="005A67C5" w:rsidRPr="00E54247">
        <w:t>P</w:t>
      </w:r>
      <w:r w:rsidR="5C6C68BA" w:rsidRPr="00E54247">
        <w:t>ersons under the Administration for Children and Families (</w:t>
      </w:r>
      <w:r w:rsidR="6B4E860A" w:rsidRPr="00E54247">
        <w:t>ACF</w:t>
      </w:r>
      <w:r w:rsidR="5C6C68BA" w:rsidRPr="00E54247">
        <w:t xml:space="preserve">) in </w:t>
      </w:r>
      <w:r w:rsidR="6BE1FFA5" w:rsidRPr="00E54247">
        <w:t>H</w:t>
      </w:r>
      <w:r w:rsidR="5C6C68BA" w:rsidRPr="00E54247">
        <w:t xml:space="preserve">HS in 2015, </w:t>
      </w:r>
      <w:r w:rsidRPr="00E54247">
        <w:t>adoption of the National Strategy for Child Exploitation Preve</w:t>
      </w:r>
      <w:r w:rsidR="5C6C68BA" w:rsidRPr="00E54247">
        <w:t>ntion and Interdiction in 2016,</w:t>
      </w:r>
      <w:r w:rsidRPr="00E54247">
        <w:t xml:space="preserve"> and adoption of the Federal Strategic Action Plan on Services for Victims of Human Trafficking in the United States for 2013-2017. </w:t>
      </w:r>
      <w:r w:rsidR="5C6C68BA" w:rsidRPr="00E54247">
        <w:t xml:space="preserve"> </w:t>
      </w:r>
      <w:r w:rsidR="0CCA6F3C" w:rsidRPr="00E54247">
        <w:t>More recently,</w:t>
      </w:r>
      <w:r w:rsidR="00A67C63" w:rsidRPr="00E54247">
        <w:t xml:space="preserve"> the Trafficking Victims Protection Act </w:t>
      </w:r>
      <w:r w:rsidR="00040C79" w:rsidRPr="00E54247">
        <w:t xml:space="preserve">(TVPA) was </w:t>
      </w:r>
      <w:r w:rsidR="00A67C63" w:rsidRPr="00E54247">
        <w:t xml:space="preserve">reauthorized by Congress </w:t>
      </w:r>
      <w:r w:rsidR="55291E47" w:rsidRPr="00E54247">
        <w:t>by four separate bills</w:t>
      </w:r>
      <w:r w:rsidR="00A67C63" w:rsidRPr="00E54247">
        <w:t xml:space="preserve"> in 2018 and early 2019</w:t>
      </w:r>
      <w:r w:rsidR="494614FE" w:rsidRPr="00E54247">
        <w:t>.</w:t>
      </w:r>
      <w:r w:rsidR="00A67C63" w:rsidRPr="00E54247">
        <w:t xml:space="preserve"> </w:t>
      </w:r>
      <w:r w:rsidR="71F8AA42" w:rsidRPr="00E54247">
        <w:t>T</w:t>
      </w:r>
      <w:r w:rsidR="00A67C63" w:rsidRPr="00E54247">
        <w:t xml:space="preserve">he United States has developed and published a National Action Plan to Combat Human </w:t>
      </w:r>
      <w:r w:rsidR="00985D7F" w:rsidRPr="00E54247">
        <w:t>T</w:t>
      </w:r>
      <w:r w:rsidR="00A67C63" w:rsidRPr="00E54247">
        <w:t>rafficking, first released in October 2020 and reissu</w:t>
      </w:r>
      <w:r w:rsidR="00E8083A" w:rsidRPr="00E54247">
        <w:t>ed</w:t>
      </w:r>
      <w:r w:rsidR="00A67C63" w:rsidRPr="00E54247">
        <w:t xml:space="preserve"> on December 3, 2021</w:t>
      </w:r>
      <w:r w:rsidR="4816D615" w:rsidRPr="00E54247">
        <w:t>, which reflects the Administration’s commitments to gender and racial equity by taking action against the systemic injustices that communities experience, including underserved populations</w:t>
      </w:r>
      <w:r w:rsidR="00A67C63" w:rsidRPr="00E54247">
        <w:t>.</w:t>
      </w:r>
      <w:r w:rsidR="11780527" w:rsidRPr="00BD5603">
        <w:rPr>
          <w:rStyle w:val="FootnoteReference"/>
        </w:rPr>
        <w:footnoteReference w:id="1"/>
      </w:r>
      <w:r w:rsidR="00A67C63" w:rsidRPr="00E54247">
        <w:t xml:space="preserve"> </w:t>
      </w:r>
      <w:r w:rsidR="528A831F" w:rsidRPr="00E54247">
        <w:t>Through such laws and strategies, the United States continues</w:t>
      </w:r>
      <w:r w:rsidR="5C6C68BA" w:rsidRPr="00E54247">
        <w:t xml:space="preserve"> actively </w:t>
      </w:r>
      <w:r w:rsidR="528A831F" w:rsidRPr="00E54247">
        <w:t xml:space="preserve">and aggressively </w:t>
      </w:r>
      <w:r w:rsidR="5C6C68BA" w:rsidRPr="00E54247">
        <w:t xml:space="preserve">to </w:t>
      </w:r>
      <w:r w:rsidR="528A831F" w:rsidRPr="00E54247">
        <w:t xml:space="preserve">enforce laws against all forms of trafficking, including trafficking of children, and to provide support and protection to trafficking victims. </w:t>
      </w:r>
    </w:p>
    <w:p w14:paraId="37BFD3DB" w14:textId="34BEF994" w:rsidR="4514C18F" w:rsidRPr="00E54247" w:rsidRDefault="00D72027" w:rsidP="000A3F69">
      <w:pPr>
        <w:ind w:left="0" w:firstLine="0"/>
      </w:pPr>
      <w:r w:rsidRPr="00E54247">
        <w:t xml:space="preserve">In the spirit of </w:t>
      </w:r>
      <w:r w:rsidR="0037118A" w:rsidRPr="00E54247">
        <w:t xml:space="preserve">cooperation, the United States is providing as much information as possible in response to the Committee’s questions and comments, even in the instances where the questions or information provided in response do not bear directly on obligations arising under the </w:t>
      </w:r>
      <w:r w:rsidR="00514177" w:rsidRPr="00E54247">
        <w:t>OPSC</w:t>
      </w:r>
      <w:r w:rsidR="0037118A" w:rsidRPr="00E54247">
        <w:t xml:space="preserve">.  </w:t>
      </w:r>
    </w:p>
    <w:p w14:paraId="7D59A386" w14:textId="77777777" w:rsidR="00D72027" w:rsidRPr="000A3F69" w:rsidRDefault="00D72027" w:rsidP="006A668C">
      <w:pPr>
        <w:pStyle w:val="Heading2"/>
      </w:pPr>
      <w:bookmarkStart w:id="4" w:name="_Toc93588713"/>
      <w:r w:rsidRPr="000A3F69">
        <w:t>B.  Data</w:t>
      </w:r>
      <w:bookmarkEnd w:id="4"/>
      <w:r w:rsidRPr="000A3F69">
        <w:t xml:space="preserve"> </w:t>
      </w:r>
    </w:p>
    <w:p w14:paraId="34D6E83B" w14:textId="1D797590" w:rsidR="4514C18F" w:rsidRPr="00647261" w:rsidRDefault="45941FC9" w:rsidP="00310E35">
      <w:pPr>
        <w:ind w:left="0" w:firstLine="0"/>
      </w:pPr>
      <w:r w:rsidRPr="696F7013">
        <w:rPr>
          <w:b/>
          <w:bCs/>
        </w:rPr>
        <w:t xml:space="preserve">Data </w:t>
      </w:r>
      <w:r w:rsidR="00E96390">
        <w:rPr>
          <w:b/>
          <w:bCs/>
        </w:rPr>
        <w:t>C</w:t>
      </w:r>
      <w:r w:rsidRPr="696F7013">
        <w:rPr>
          <w:b/>
          <w:bCs/>
        </w:rPr>
        <w:t>ollection</w:t>
      </w:r>
      <w:r w:rsidRPr="00262361">
        <w:rPr>
          <w:b/>
          <w:bCs/>
        </w:rPr>
        <w:t>.</w:t>
      </w:r>
      <w:r w:rsidRPr="00012D40">
        <w:t xml:space="preserve">  </w:t>
      </w:r>
      <w:r w:rsidR="1E7357A9" w:rsidRPr="00012D40">
        <w:t>As noted in our Third and Fourth Periodic Report, establishment of a unified national data collection system involves significant challenges for the United States because the federal government and state, territorial, tribal, and local governments all have jurisdiction in this area, and data collection is done by all such authorities, some of whom use different data systems and different definitions of offenses.  Nonetheless, in recent years, the United States has</w:t>
      </w:r>
      <w:r w:rsidR="31B06FD6" w:rsidRPr="12383FEE">
        <w:t xml:space="preserve"> continued to</w:t>
      </w:r>
      <w:r w:rsidR="1E7357A9" w:rsidRPr="00012D40">
        <w:t xml:space="preserve"> take steps toward a national data co</w:t>
      </w:r>
      <w:r w:rsidR="0798DD55" w:rsidRPr="00012D40">
        <w:t xml:space="preserve">llection system in some areas. </w:t>
      </w:r>
      <w:r w:rsidR="542BDC70" w:rsidRPr="00012D40">
        <w:t xml:space="preserve">These include the December 2014 launch by DOJ of the Internet Crimes Against Children Data System (IDS), as part of the Internet Crimes Against Children (ICAC) Task Force Program, a national network of 61 coordinated task forces representing over </w:t>
      </w:r>
      <w:r w:rsidR="00964759">
        <w:t>5,400</w:t>
      </w:r>
      <w:r w:rsidR="542BDC70" w:rsidRPr="00012D40">
        <w:t xml:space="preserve"> federal, state, and local law enforceme</w:t>
      </w:r>
      <w:r w:rsidR="0798DD55" w:rsidRPr="00012D40">
        <w:t xml:space="preserve">nt and prosecutorial agencies. </w:t>
      </w:r>
      <w:r w:rsidR="542BDC70" w:rsidRPr="00012D40">
        <w:t xml:space="preserve">IDS allows credentialed users investigating and prosecuting </w:t>
      </w:r>
      <w:r w:rsidR="0B8EE46E" w:rsidRPr="12383FEE">
        <w:t xml:space="preserve">crimes involving </w:t>
      </w:r>
      <w:r w:rsidR="542BDC70" w:rsidRPr="00012D40">
        <w:t xml:space="preserve">child exploitation to contribute and access data for use in resolving case conflicts, and allows for real time analysis of data, across several platforms, to facilitate identification of targets and assist in estimating the size of the law enforcement effort needed </w:t>
      </w:r>
      <w:r w:rsidR="73B7FCA4" w:rsidRPr="00012D40">
        <w:t>to address these crimes.</w:t>
      </w:r>
      <w:r w:rsidR="542BDC70" w:rsidRPr="00012D40">
        <w:t xml:space="preserve"> </w:t>
      </w:r>
      <w:r w:rsidR="16F6BF7C" w:rsidRPr="00012D40">
        <w:t xml:space="preserve">Since 1998, ICAC Task Forces have reviewed more than 1,114,000 reports of online child exploitation, resulting in the arrest </w:t>
      </w:r>
      <w:r w:rsidR="2C8935C3" w:rsidRPr="00012D40">
        <w:t xml:space="preserve">of more than 108,300 suspects. </w:t>
      </w:r>
      <w:r w:rsidR="542BDC70" w:rsidRPr="00012D40">
        <w:t>In F</w:t>
      </w:r>
      <w:r w:rsidR="5AA071C1" w:rsidRPr="00012D40">
        <w:t xml:space="preserve">iscal </w:t>
      </w:r>
      <w:r w:rsidR="542BDC70" w:rsidRPr="00012D40">
        <w:t>Y</w:t>
      </w:r>
      <w:r w:rsidR="51279A49" w:rsidRPr="00012D40">
        <w:t>ear</w:t>
      </w:r>
      <w:r w:rsidR="0B8EE46E" w:rsidRPr="12383FEE">
        <w:t xml:space="preserve"> </w:t>
      </w:r>
      <w:r w:rsidR="1029355E" w:rsidRPr="12383FEE">
        <w:t xml:space="preserve">(FY) </w:t>
      </w:r>
      <w:r w:rsidR="0B8EE46E" w:rsidRPr="12383FEE">
        <w:t>2020</w:t>
      </w:r>
      <w:r w:rsidR="00647261">
        <w:t>,</w:t>
      </w:r>
      <w:r w:rsidR="00514177" w:rsidRPr="00012D40">
        <w:rPr>
          <w:rStyle w:val="FootnoteReference"/>
        </w:rPr>
        <w:footnoteReference w:id="2"/>
      </w:r>
      <w:r w:rsidR="542BDC70" w:rsidRPr="00012D40">
        <w:t xml:space="preserve"> ICAC task force programs conducted more than 109,000 in</w:t>
      </w:r>
      <w:r w:rsidR="73B7FCA4" w:rsidRPr="00012D40">
        <w:t>vestigations and 85,600 forensic</w:t>
      </w:r>
      <w:r w:rsidR="542BDC70" w:rsidRPr="00012D40">
        <w:t xml:space="preserve"> exams, resulting in arrests o</w:t>
      </w:r>
      <w:r w:rsidR="16F6BF7C" w:rsidRPr="00012D40">
        <w:t xml:space="preserve">f more than 9,200 individuals. </w:t>
      </w:r>
      <w:r w:rsidR="542BDC70" w:rsidRPr="00012D40">
        <w:t>The ICAC program also trained over 24,800 law enforcement personnel, over 2,260 prosecutors, and more than 7,600 other profession</w:t>
      </w:r>
      <w:r w:rsidR="3835B182" w:rsidRPr="00012D40">
        <w:t xml:space="preserve">als working in the </w:t>
      </w:r>
      <w:r w:rsidR="2C8935C3" w:rsidRPr="00012D40">
        <w:t xml:space="preserve">field. </w:t>
      </w:r>
      <w:r w:rsidR="542BDC70" w:rsidRPr="00012D40">
        <w:t>In FY 2020, funding for ICAC totaled $34.7 million.</w:t>
      </w:r>
      <w:r w:rsidR="00964759">
        <w:t xml:space="preserve"> In December 2020, DOJ’s Office for Victims of Crime (OVC) released the </w:t>
      </w:r>
      <w:hyperlink r:id="rId8" w:history="1">
        <w:r w:rsidR="00964759" w:rsidRPr="00882BEF">
          <w:rPr>
            <w:rStyle w:val="Hyperlink"/>
          </w:rPr>
          <w:t>Human Trafficking Action Research Toolkit</w:t>
        </w:r>
      </w:hyperlink>
      <w:r w:rsidR="00964759">
        <w:t xml:space="preserve"> </w:t>
      </w:r>
      <w:r w:rsidR="00964759" w:rsidRPr="00882BEF">
        <w:t>to provide information, strategies, tools, and other resources to help organizations and programs collect and interpret data in order to enhance their work</w:t>
      </w:r>
      <w:r w:rsidR="00964759">
        <w:t xml:space="preserve">. </w:t>
      </w:r>
      <w:r w:rsidR="00CC6FAF">
        <w:t>For further ICAC data on arrests, pleas, and trials for crimes against children, see</w:t>
      </w:r>
      <w:r w:rsidR="00181F01">
        <w:t xml:space="preserve"> </w:t>
      </w:r>
      <w:r w:rsidR="00181F01">
        <w:fldChar w:fldCharType="begin"/>
      </w:r>
      <w:r w:rsidR="00181F01">
        <w:instrText xml:space="preserve"> REF _Ref93581574 \n \h </w:instrText>
      </w:r>
      <w:r w:rsidR="00181F01">
        <w:fldChar w:fldCharType="separate"/>
      </w:r>
      <w:r w:rsidR="00181F01">
        <w:rPr>
          <w:cs/>
        </w:rPr>
        <w:t>‎</w:t>
      </w:r>
      <w:r w:rsidR="00181F01">
        <w:t>Annex 2</w:t>
      </w:r>
      <w:r w:rsidR="00181F01">
        <w:fldChar w:fldCharType="end"/>
      </w:r>
      <w:r w:rsidR="00CC6FAF">
        <w:t xml:space="preserve">. </w:t>
      </w:r>
      <w:r w:rsidR="00964759">
        <w:t>Additionally, in 2021, OVC funded a training and technical assistance project that will support law enforcement to develop data plans, collect and analyze data, and support data-driven programming to better address anti-trafficking initiatives (</w:t>
      </w:r>
      <w:r w:rsidR="003D1B63">
        <w:t>f</w:t>
      </w:r>
      <w:r w:rsidR="00632401">
        <w:t xml:space="preserve">or </w:t>
      </w:r>
      <w:r w:rsidR="00964759">
        <w:t xml:space="preserve">both minors and adults). </w:t>
      </w:r>
      <w:r w:rsidR="542BDC70" w:rsidRPr="00012D40">
        <w:t xml:space="preserve">  </w:t>
      </w:r>
    </w:p>
    <w:p w14:paraId="6E82677A" w14:textId="0B89440B" w:rsidR="4514C18F" w:rsidRPr="00632401" w:rsidRDefault="00F23CC9" w:rsidP="00310E35">
      <w:pPr>
        <w:ind w:left="0" w:firstLine="0"/>
      </w:pPr>
      <w:r w:rsidRPr="4514C18F">
        <w:t xml:space="preserve">The Preventing Sex Trafficking and Strengthening Families Act of 2014 requires state child welfare agencies to report </w:t>
      </w:r>
      <w:r w:rsidR="00514177" w:rsidRPr="4514C18F">
        <w:t xml:space="preserve">to the Secretary of HHS on an annual basis </w:t>
      </w:r>
      <w:r w:rsidRPr="4514C18F">
        <w:t>the total number of children and youth who are victi</w:t>
      </w:r>
      <w:r w:rsidR="00514177" w:rsidRPr="4514C18F">
        <w:t>ms of sex trafficking</w:t>
      </w:r>
      <w:r w:rsidRPr="4514C18F">
        <w:t xml:space="preserve">, including certain tribal child sex trafficking data in the Adoption and Foster Care Analysis and Reporting System; and requires welfare agencies to report information they receive on missing and abducted children to the National Center for Missing </w:t>
      </w:r>
      <w:r w:rsidR="00964759" w:rsidRPr="4514C18F">
        <w:t>&amp;</w:t>
      </w:r>
      <w:r w:rsidRPr="4514C18F">
        <w:t xml:space="preserve"> Exploited Children (NCMEC) and to law enforcement authorities for inclusion in the National Crime Information Center (NCIC) database. </w:t>
      </w:r>
      <w:r w:rsidR="00012ABD" w:rsidRPr="4514C18F">
        <w:t xml:space="preserve">The Child Maltreatment Report of 2019, </w:t>
      </w:r>
      <w:hyperlink r:id="rId9" w:history="1">
        <w:r w:rsidR="00632401" w:rsidRPr="00A65FD0">
          <w:rPr>
            <w:rStyle w:val="Hyperlink"/>
          </w:rPr>
          <w:t>https://www.acf.hhs.gov/sites/default/files/documents/cb/cm2019.pdf</w:t>
        </w:r>
      </w:hyperlink>
      <w:r w:rsidR="00C95715" w:rsidRPr="4514C18F">
        <w:t xml:space="preserve">, </w:t>
      </w:r>
      <w:r w:rsidR="00012ABD" w:rsidRPr="4514C18F">
        <w:t xml:space="preserve">provides information on the first data collected on child sex trafficking from child welfare </w:t>
      </w:r>
      <w:r w:rsidR="1942E612" w:rsidRPr="4514C18F">
        <w:t xml:space="preserve">agencies </w:t>
      </w:r>
      <w:r w:rsidR="00012ABD" w:rsidRPr="4514C18F">
        <w:t xml:space="preserve">under the Justice for Victims of Trafficking Act of 2015; in FY19, 29 states reported 877 unique victims of sex trafficking. </w:t>
      </w:r>
      <w:r w:rsidRPr="4514C18F">
        <w:t>HHS also implements the Human Trafficking Data Collection Project to collect data on human trafficking victimization, service needs, and identification of risk factors.</w:t>
      </w:r>
      <w:r w:rsidR="00012ABD" w:rsidRPr="4514C18F">
        <w:t xml:space="preserve"> HHS launched the Shepherd Case Management System in 2019, providing a secure, streamlined process to request assistance for foreign national minors who may have experienced human trafficking and fostering transparency throughout the HHS Eligibility process. In 2020, HHS partnered with </w:t>
      </w:r>
      <w:r w:rsidR="00632401">
        <w:t>USAID</w:t>
      </w:r>
      <w:r w:rsidR="00012ABD" w:rsidRPr="4514C18F">
        <w:t xml:space="preserve"> and the National Opinion Research Center to review and validate historical HHS Eligibility data (FY 2001 – FY 2019). In 2021, HHS awarded a contract to develop the Anti-Trafficking Information Management System, which will improve data collection and analysis from grant recipients and create an interoperable system with the existing Shepherd Case Management module.</w:t>
      </w:r>
      <w:r w:rsidRPr="4514C18F">
        <w:t xml:space="preserve"> </w:t>
      </w:r>
    </w:p>
    <w:p w14:paraId="51E194CA" w14:textId="3E85C07E" w:rsidR="4514C18F" w:rsidRPr="00F32D36" w:rsidRDefault="00373B42" w:rsidP="00310E35">
      <w:pPr>
        <w:ind w:left="0" w:firstLine="0"/>
      </w:pPr>
      <w:r w:rsidRPr="4514C18F">
        <w:t xml:space="preserve">The Administration for Children and Families (ACF), Family and Youth Services Bureau (FYSB), Runaway and Homeless Youth (RHY) Division </w:t>
      </w:r>
      <w:r w:rsidR="306CF2FB" w:rsidRPr="4514C18F">
        <w:t xml:space="preserve">in HHS </w:t>
      </w:r>
      <w:r w:rsidRPr="4514C18F">
        <w:t xml:space="preserve">requires funded runaway and homeless youth programs to collect information regarding labor exploitation, labor trafficking, and sex trafficking through the Runaway and Homeless Youth Homeless Management Information System (HMIS) to ensure that youth victims of human trafficking are identified and referred to specialized services.  </w:t>
      </w:r>
    </w:p>
    <w:p w14:paraId="50DEEEB5" w14:textId="209CEDE5" w:rsidR="4514C18F" w:rsidRPr="00F32D36" w:rsidRDefault="004765CB" w:rsidP="00310E35">
      <w:pPr>
        <w:ind w:left="0" w:firstLine="0"/>
      </w:pPr>
      <w:r w:rsidRPr="58EEB98A">
        <w:t>The Combat Human Trafficking Act of 2015 requires the director of the Bureau of Justice Statistics (BJ</w:t>
      </w:r>
      <w:r w:rsidR="00964759" w:rsidRPr="58EEB98A">
        <w:t>S</w:t>
      </w:r>
      <w:r w:rsidRPr="58EEB98A">
        <w:t xml:space="preserve">) in DOJ to prepare an annual report that includes information on the number of arrests for human-trafficking offenses by state law enforcement officers, the number of prosecutions of individuals in state courts for human trafficking offenses, the number of convictions of individuals in state courts for human trafficking offenses, and the sentences imposed on individuals convicted in state courts for such offenses. </w:t>
      </w:r>
      <w:r w:rsidR="00090D0F" w:rsidRPr="58EEB98A">
        <w:t>As its first data collection on the roles of state attorneys general in combating human trafficking, BJS conducted a 2018 Survey of State Attorneys Gen</w:t>
      </w:r>
      <w:r w:rsidR="00BC7CCD" w:rsidRPr="58EEB98A">
        <w:t>eral</w:t>
      </w:r>
      <w:r w:rsidR="00514177" w:rsidRPr="58EEB98A">
        <w:t>. The survey drew</w:t>
      </w:r>
      <w:r w:rsidR="00090D0F" w:rsidRPr="58EEB98A">
        <w:t xml:space="preserve"> responses from 43 states, the District of Columbia, American Samoa, Guam, and the Northern Mariana Islands. </w:t>
      </w:r>
      <w:r w:rsidR="5DA010F0" w:rsidRPr="58EEB98A">
        <w:t>Of the 47 offices responding, local police (26) or state police (22) were more frequently identified as referral sources than any other single source</w:t>
      </w:r>
      <w:r w:rsidR="00090D0F" w:rsidRPr="58EEB98A">
        <w:t xml:space="preserve">. Of the 47 offices responding, </w:t>
      </w:r>
      <w:r w:rsidR="3F5DEA24" w:rsidRPr="58EEB98A">
        <w:t>three</w:t>
      </w:r>
      <w:r w:rsidR="00090D0F" w:rsidRPr="58EEB98A">
        <w:t xml:space="preserve"> reported closing at least one case of labor trafficking with a guilty defendant, while 16 reported cl</w:t>
      </w:r>
      <w:r w:rsidR="00782812" w:rsidRPr="58EEB98A">
        <w:t>osing at least one case of sex</w:t>
      </w:r>
      <w:r w:rsidR="00090D0F" w:rsidRPr="58EEB98A">
        <w:t xml:space="preserve"> trafficking with a guilty defendant. With regard to resources to investigate and prosecute cases, 31 offices had access to crime analysts, and 37 had access to computer forensics experts. Of the 47 responding offices, 44 indicated that they participated in at least one federal, regional, or state task force</w:t>
      </w:r>
      <w:r w:rsidR="00782812" w:rsidRPr="58EEB98A">
        <w:t xml:space="preserve"> combatting human trafficking. </w:t>
      </w:r>
      <w:r w:rsidR="00090D0F" w:rsidRPr="58EEB98A">
        <w:t>In addition, most attorneys general offices had victim advocates (41) and victim service providers (35) to suppo</w:t>
      </w:r>
      <w:r w:rsidR="00CC339B" w:rsidRPr="58EEB98A">
        <w:t>rt victims, including victims of</w:t>
      </w:r>
      <w:r w:rsidR="00090D0F" w:rsidRPr="58EEB98A">
        <w:t xml:space="preserve"> sex or labor trafficking.  </w:t>
      </w:r>
    </w:p>
    <w:p w14:paraId="2EF47014" w14:textId="0908DEC1" w:rsidR="4514C18F" w:rsidRPr="00F32D36" w:rsidRDefault="6167E127" w:rsidP="00310E35">
      <w:pPr>
        <w:ind w:left="0" w:firstLine="0"/>
      </w:pPr>
      <w:r w:rsidRPr="4514C18F">
        <w:t>A number of additional</w:t>
      </w:r>
      <w:r w:rsidR="78504845" w:rsidRPr="4514C18F">
        <w:t xml:space="preserve"> changes have been institut</w:t>
      </w:r>
      <w:r w:rsidR="26CD9B1E" w:rsidRPr="4514C18F">
        <w:t>e</w:t>
      </w:r>
      <w:r w:rsidRPr="4514C18F">
        <w:t>d</w:t>
      </w:r>
      <w:r w:rsidR="26CD9B1E" w:rsidRPr="4514C18F">
        <w:t xml:space="preserve"> to increase and improve collection of </w:t>
      </w:r>
      <w:r w:rsidRPr="4514C18F">
        <w:t xml:space="preserve">human trafficking data. </w:t>
      </w:r>
      <w:r w:rsidR="3513055E" w:rsidRPr="4514C18F">
        <w:t>In 2013, the Federal Bureau of Investigation (FBI) established the Human Trafficking Data Collection (UCR-HT) as part of its Uniform</w:t>
      </w:r>
      <w:r w:rsidRPr="4514C18F">
        <w:t xml:space="preserve"> Crime Reporting (UCR) Program.</w:t>
      </w:r>
      <w:r w:rsidR="3513055E" w:rsidRPr="4514C18F">
        <w:t xml:space="preserve"> State UCR programs and local law enforcement agencies that participate in this collection provide </w:t>
      </w:r>
      <w:r w:rsidR="61E1E573" w:rsidRPr="4514C18F">
        <w:t>the number</w:t>
      </w:r>
      <w:r w:rsidR="3513055E" w:rsidRPr="4514C18F">
        <w:t xml:space="preserve"> of offenses</w:t>
      </w:r>
      <w:r w:rsidR="61E1E573" w:rsidRPr="4514C18F">
        <w:t xml:space="preserve"> charged and</w:t>
      </w:r>
      <w:r w:rsidR="3513055E" w:rsidRPr="4514C18F">
        <w:t xml:space="preserve"> case clearances </w:t>
      </w:r>
      <w:r w:rsidR="61E1E573" w:rsidRPr="4514C18F">
        <w:t>by</w:t>
      </w:r>
      <w:r w:rsidR="3513055E" w:rsidRPr="4514C18F">
        <w:t xml:space="preserve"> arrests for two types of human trafficking: sex </w:t>
      </w:r>
      <w:r w:rsidR="61E1E573" w:rsidRPr="4514C18F">
        <w:t>trafficking</w:t>
      </w:r>
      <w:r w:rsidR="3513055E" w:rsidRPr="4514C18F">
        <w:t xml:space="preserve"> and </w:t>
      </w:r>
      <w:r w:rsidR="4AB55BE6" w:rsidRPr="4514C18F">
        <w:t>all forms of</w:t>
      </w:r>
      <w:r w:rsidR="61E1E573" w:rsidRPr="4514C18F">
        <w:t xml:space="preserve"> labor</w:t>
      </w:r>
      <w:r w:rsidR="398A0508" w:rsidRPr="4514C18F">
        <w:t xml:space="preserve"> trafficking</w:t>
      </w:r>
      <w:r w:rsidR="3513055E" w:rsidRPr="4514C18F">
        <w:t>. Data collected by the FBI represent only human trafficking offenses and arrests submitted by states and agencies with the abil</w:t>
      </w:r>
      <w:r w:rsidRPr="4514C18F">
        <w:t xml:space="preserve">ity to record and report them. </w:t>
      </w:r>
      <w:r w:rsidR="3513055E" w:rsidRPr="4514C18F">
        <w:t>Consequently, the information available through UCR-HT collection likely underrepresents the full scope o</w:t>
      </w:r>
      <w:r w:rsidR="19ABC7DC" w:rsidRPr="4514C18F">
        <w:t>f human trafficking offenses known</w:t>
      </w:r>
      <w:r w:rsidR="3513055E" w:rsidRPr="4514C18F">
        <w:t xml:space="preserve"> to st</w:t>
      </w:r>
      <w:r w:rsidRPr="4514C18F">
        <w:t xml:space="preserve">ate and local law enforcement. </w:t>
      </w:r>
      <w:r w:rsidR="3513055E" w:rsidRPr="4514C18F">
        <w:t xml:space="preserve">Over the past </w:t>
      </w:r>
      <w:r w:rsidR="61E1E573" w:rsidRPr="4514C18F">
        <w:t>five</w:t>
      </w:r>
      <w:r w:rsidR="3513055E" w:rsidRPr="4514C18F">
        <w:t xml:space="preserve"> years, participation in the UCR-HT collection has grown, with the number of reporting states </w:t>
      </w:r>
      <w:r w:rsidR="61E1E573" w:rsidRPr="4514C18F">
        <w:t xml:space="preserve">with participating law enforcement agencies </w:t>
      </w:r>
      <w:r w:rsidR="3513055E" w:rsidRPr="4514C18F">
        <w:t xml:space="preserve">increasing from 37 in 2015 to 45 in 2019. </w:t>
      </w:r>
      <w:r w:rsidR="19ABC7DC" w:rsidRPr="4514C18F">
        <w:t xml:space="preserve">From 2015 to 2019, the number of </w:t>
      </w:r>
      <w:r w:rsidR="61E1E573" w:rsidRPr="4514C18F">
        <w:t xml:space="preserve">forced labor </w:t>
      </w:r>
      <w:r w:rsidR="19ABC7DC" w:rsidRPr="4514C18F">
        <w:t>arrests reported by participating law enforcement agen</w:t>
      </w:r>
      <w:r w:rsidRPr="4514C18F">
        <w:t xml:space="preserve">cies increased from 66 to 146. </w:t>
      </w:r>
      <w:r w:rsidR="61E1E573" w:rsidRPr="4514C18F">
        <w:t>Sex trafficking related arrests</w:t>
      </w:r>
      <w:r w:rsidR="19ABC7DC" w:rsidRPr="4514C18F">
        <w:t xml:space="preserve"> fluctuated between 2015 and 2017, re</w:t>
      </w:r>
      <w:r w:rsidR="40F0E13F" w:rsidRPr="4514C18F">
        <w:t>aching a peak in 2016, but were</w:t>
      </w:r>
      <w:r w:rsidRPr="4514C18F">
        <w:t xml:space="preserve"> stable from 2017 to 2019. </w:t>
      </w:r>
      <w:r w:rsidR="19ABC7DC" w:rsidRPr="4514C18F">
        <w:t>Participating agencies reported 562 arrests for commercial sex acts in</w:t>
      </w:r>
      <w:r w:rsidRPr="4514C18F">
        <w:t xml:space="preserve"> 2019.  </w:t>
      </w:r>
      <w:r w:rsidR="7FFB0DD6" w:rsidRPr="4514C18F">
        <w:t xml:space="preserve">In </w:t>
      </w:r>
      <w:r w:rsidRPr="4514C18F">
        <w:t>January 2021, the</w:t>
      </w:r>
      <w:r w:rsidR="19ABC7DC" w:rsidRPr="4514C18F">
        <w:t xml:space="preserve"> </w:t>
      </w:r>
      <w:r w:rsidR="61E1E573" w:rsidRPr="4514C18F">
        <w:t xml:space="preserve">FBI </w:t>
      </w:r>
      <w:r w:rsidR="19ABC7DC" w:rsidRPr="4514C18F">
        <w:t xml:space="preserve">UCR program transitioned from a summary-based system of </w:t>
      </w:r>
      <w:r w:rsidR="61E1E573" w:rsidRPr="4514C18F">
        <w:t xml:space="preserve">the number of charged </w:t>
      </w:r>
      <w:r w:rsidR="19ABC7DC" w:rsidRPr="4514C18F">
        <w:t>offense</w:t>
      </w:r>
      <w:r w:rsidR="61E1E573" w:rsidRPr="4514C18F">
        <w:t>s</w:t>
      </w:r>
      <w:r w:rsidR="19ABC7DC" w:rsidRPr="4514C18F">
        <w:t xml:space="preserve"> to an incident-based system, in which agencies report crime data, including data on human trafficking offenses, to the FBI’s National Incident-Based Reporting System (NIBRS). This enable</w:t>
      </w:r>
      <w:r w:rsidR="3291499D" w:rsidRPr="4514C18F">
        <w:t>s</w:t>
      </w:r>
      <w:r w:rsidR="19ABC7DC" w:rsidRPr="4514C18F">
        <w:t xml:space="preserve"> examination of further details with regard to trafficking incidents, including the number and demographic characteristics of victims</w:t>
      </w:r>
      <w:r w:rsidR="61E1E573" w:rsidRPr="4514C18F">
        <w:t xml:space="preserve"> to identify whether the victim is a child or an adult</w:t>
      </w:r>
      <w:r w:rsidR="19ABC7DC" w:rsidRPr="4514C18F">
        <w:t xml:space="preserve">, where and when incidents occurred, whether any weapons or injuries were associated with the offense(s), and information about persons arrested in connection with the trafficking. </w:t>
      </w:r>
      <w:r w:rsidR="61E1E573" w:rsidRPr="4514C18F">
        <w:t>In addition, NIBRS uses standardized definitions to maintain uniform and consistent data. These definitions ensure that the FBI UCR program considers and appropriately counts all criminal offenses of law, regardless of the different titles under state and local law or U.S. titles and statutes.</w:t>
      </w:r>
      <w:r w:rsidR="19ABC7DC" w:rsidRPr="4514C18F">
        <w:t xml:space="preserve"> </w:t>
      </w:r>
    </w:p>
    <w:p w14:paraId="67A0CAF9" w14:textId="2EE5AFE4" w:rsidR="4514C18F" w:rsidRPr="00F32D36" w:rsidRDefault="7786B8A2" w:rsidP="00310E35">
      <w:pPr>
        <w:ind w:left="0" w:firstLine="0"/>
      </w:pPr>
      <w:r w:rsidRPr="4514C18F">
        <w:t>The Criminal Cases in State Courts collection is a new effort</w:t>
      </w:r>
      <w:r w:rsidR="4FF4BD31" w:rsidRPr="4514C18F">
        <w:t xml:space="preserve"> by </w:t>
      </w:r>
      <w:r w:rsidR="3835B182" w:rsidRPr="4514C18F">
        <w:t>DOJ</w:t>
      </w:r>
      <w:r w:rsidR="00F32D36">
        <w:t>/BJS</w:t>
      </w:r>
      <w:r w:rsidR="3835B182" w:rsidRPr="4514C18F">
        <w:t xml:space="preserve"> </w:t>
      </w:r>
      <w:r w:rsidR="0BA5F346" w:rsidRPr="4514C18F">
        <w:t>to gather</w:t>
      </w:r>
      <w:r w:rsidR="3835B182" w:rsidRPr="4514C18F">
        <w:t>,</w:t>
      </w:r>
      <w:r w:rsidRPr="4514C18F">
        <w:t xml:space="preserve"> </w:t>
      </w:r>
      <w:r w:rsidR="3835B182" w:rsidRPr="4514C18F">
        <w:t xml:space="preserve">from state court electronic records, data </w:t>
      </w:r>
      <w:r w:rsidRPr="4514C18F">
        <w:t>on the number and attributes of cases closed in state trial cour</w:t>
      </w:r>
      <w:r w:rsidR="3835B182" w:rsidRPr="4514C18F">
        <w:t>ts</w:t>
      </w:r>
      <w:r w:rsidRPr="4514C18F">
        <w:t xml:space="preserve">. This effort will produce </w:t>
      </w:r>
      <w:r w:rsidR="7CC840D1" w:rsidRPr="4514C18F">
        <w:t>national estimates of activity</w:t>
      </w:r>
      <w:r w:rsidRPr="4514C18F">
        <w:t xml:space="preserve"> in state courts and provide an understanding of case</w:t>
      </w:r>
      <w:r w:rsidR="7CC840D1" w:rsidRPr="4514C18F">
        <w:t xml:space="preserve"> characteristics and outcomes. </w:t>
      </w:r>
      <w:r w:rsidRPr="4514C18F">
        <w:t xml:space="preserve">In 2019, BJS </w:t>
      </w:r>
      <w:r w:rsidR="3835B182" w:rsidRPr="4514C18F">
        <w:t xml:space="preserve">also </w:t>
      </w:r>
      <w:r w:rsidRPr="4514C18F">
        <w:t xml:space="preserve">administered the 2019 Census of Tribal Law Enforcement Agencies, the first BJS data collection focused solely on </w:t>
      </w:r>
      <w:r w:rsidR="109D78C6" w:rsidRPr="4514C18F">
        <w:t xml:space="preserve">tribal law enforcement agencies, </w:t>
      </w:r>
      <w:r w:rsidR="00B8764B" w:rsidRPr="4514C18F">
        <w:t>law enforcement</w:t>
      </w:r>
      <w:r w:rsidR="109D78C6" w:rsidRPr="4514C18F">
        <w:t xml:space="preserve"> agencies operated by the Bureau of Indian Affairs</w:t>
      </w:r>
      <w:r w:rsidR="5C69FA13" w:rsidRPr="4514C18F">
        <w:t xml:space="preserve"> </w:t>
      </w:r>
      <w:r w:rsidR="00B8764B" w:rsidRPr="4514C18F">
        <w:t>Office of Justice Services</w:t>
      </w:r>
      <w:r w:rsidR="109D78C6" w:rsidRPr="4514C18F">
        <w:t xml:space="preserve">, and the Alaska State </w:t>
      </w:r>
      <w:r w:rsidR="00B8764B" w:rsidRPr="4514C18F">
        <w:t>Troopers</w:t>
      </w:r>
      <w:r w:rsidR="109D78C6" w:rsidRPr="4514C18F">
        <w:t xml:space="preserve"> who provide services to Alaska Native Village</w:t>
      </w:r>
      <w:r w:rsidR="7CC840D1" w:rsidRPr="4514C18F">
        <w:t>s</w:t>
      </w:r>
      <w:r w:rsidR="109D78C6" w:rsidRPr="4514C18F">
        <w:t xml:space="preserve"> under their jurisdiction. Among other elements, agencies were asked whether they had made any arrests for sex trafficking or labor trafficki</w:t>
      </w:r>
      <w:r w:rsidR="4FF4BD31" w:rsidRPr="4514C18F">
        <w:t xml:space="preserve">ng during the previous year. </w:t>
      </w:r>
      <w:r w:rsidR="3835B182" w:rsidRPr="4514C18F">
        <w:t>Data collection</w:t>
      </w:r>
      <w:r w:rsidR="109D78C6" w:rsidRPr="4514C18F">
        <w:t xml:space="preserve"> ended on December 31, 2019, with a 92 percent response rate. </w:t>
      </w:r>
      <w:r w:rsidRPr="4514C18F">
        <w:t xml:space="preserve"> </w:t>
      </w:r>
    </w:p>
    <w:p w14:paraId="1223A6BF" w14:textId="0C47D5F0" w:rsidR="4514C18F" w:rsidRPr="00F32D36" w:rsidRDefault="00B8764B" w:rsidP="00310E35">
      <w:pPr>
        <w:ind w:left="0" w:firstLine="0"/>
      </w:pPr>
      <w:r w:rsidRPr="4514C18F">
        <w:t>The 2019 National Survey of Victim Service Providers</w:t>
      </w:r>
      <w:r w:rsidR="19AAA8C3" w:rsidRPr="4514C18F">
        <w:t xml:space="preserve"> (NSVSP)</w:t>
      </w:r>
      <w:r w:rsidRPr="4514C18F">
        <w:t xml:space="preserve">, administered by DOJ/BJS to a nationally-representative sample of victim service providers from the 2017 National Census of Victim Service Providers, surveyed about 7,200 organizations that served victims of crime or abuse as their primary function or that had dedicated staff or programs to serve victims. The NSVSP collected detailed information about the victim services field, including the range of services being provided to victims, characteristics of victims who received services, whether services were related to sex trafficking or labor trafficking, characteristics of staff providing services to victims, and gaps in services. DOJ/BJS is currently preparing the 2019 NSVSP data for release in 2022. </w:t>
      </w:r>
      <w:r w:rsidR="109D78C6" w:rsidRPr="4514C18F">
        <w:t>Collection of such data is important in describing the types and level of support available for crime vi</w:t>
      </w:r>
      <w:r w:rsidR="3835B182" w:rsidRPr="4514C18F">
        <w:t>ctims, including services for</w:t>
      </w:r>
      <w:r w:rsidR="109D78C6" w:rsidRPr="4514C18F">
        <w:t xml:space="preserve"> hard-to-reach victim populations. </w:t>
      </w:r>
    </w:p>
    <w:p w14:paraId="4F502706" w14:textId="5490AB42" w:rsidR="4514C18F" w:rsidRPr="00F32D36" w:rsidRDefault="502E3DB8" w:rsidP="00310E35">
      <w:pPr>
        <w:ind w:left="0" w:firstLine="0"/>
      </w:pPr>
      <w:r w:rsidRPr="4514C18F">
        <w:t xml:space="preserve">Finally, </w:t>
      </w:r>
      <w:r w:rsidR="6DD65D96" w:rsidRPr="4514C18F">
        <w:t xml:space="preserve">DOJ/BJS’ </w:t>
      </w:r>
      <w:r w:rsidRPr="4514C18F">
        <w:t>Nat</w:t>
      </w:r>
      <w:r w:rsidR="109D78C6" w:rsidRPr="4514C18F">
        <w:t>ional Corrections Repor</w:t>
      </w:r>
      <w:r w:rsidRPr="4514C18F">
        <w:t>ting Program, which collects off</w:t>
      </w:r>
      <w:r w:rsidR="109D78C6" w:rsidRPr="4514C18F">
        <w:t>ender-level data on state prison admissions and releases</w:t>
      </w:r>
      <w:r w:rsidRPr="4514C18F">
        <w:t xml:space="preserve">, </w:t>
      </w:r>
      <w:r w:rsidR="3CF2348A" w:rsidRPr="4514C18F">
        <w:t>has updated its codes related to</w:t>
      </w:r>
      <w:r w:rsidRPr="4514C18F">
        <w:t xml:space="preserve"> human trafficking to improve measurement of the number of individuals inca</w:t>
      </w:r>
      <w:r w:rsidR="008B271A" w:rsidRPr="4514C18F">
        <w:t xml:space="preserve">rcerated in state prisons for </w:t>
      </w:r>
      <w:r w:rsidRPr="4514C18F">
        <w:t>human trafficking offense</w:t>
      </w:r>
      <w:r w:rsidR="008B271A" w:rsidRPr="4514C18F">
        <w:t>s</w:t>
      </w:r>
      <w:r w:rsidRPr="4514C18F">
        <w:t xml:space="preserve">. In addition, the National Crime Statistics Exchange Initiative, a collaboration between BJS and the FBI, seeks to increase the number of law enforcement agencies reporting detailed crime data to </w:t>
      </w:r>
      <w:r w:rsidR="3CF2348A" w:rsidRPr="4514C18F">
        <w:t>the NIBRS.</w:t>
      </w:r>
    </w:p>
    <w:p w14:paraId="0AFB56A3" w14:textId="5B9E88FB" w:rsidR="4514C18F" w:rsidRPr="00F32D36" w:rsidRDefault="1F6CC2E3" w:rsidP="00310E35">
      <w:pPr>
        <w:ind w:left="0" w:firstLine="0"/>
      </w:pPr>
      <w:r w:rsidRPr="4514C18F">
        <w:t xml:space="preserve">The Attorney General’s most recent </w:t>
      </w:r>
      <w:r w:rsidR="12359E57" w:rsidRPr="4514C18F">
        <w:t>publicly available</w:t>
      </w:r>
      <w:r w:rsidR="00270F24" w:rsidRPr="4514C18F">
        <w:t xml:space="preserve"> </w:t>
      </w:r>
      <w:r w:rsidRPr="4514C18F">
        <w:t xml:space="preserve">Annual Report to Congress </w:t>
      </w:r>
      <w:r w:rsidR="00B8764B" w:rsidRPr="4514C18F">
        <w:t>on</w:t>
      </w:r>
      <w:r w:rsidRPr="4514C18F">
        <w:t xml:space="preserve"> U.S. Government Activities to Combat Trafficking in Persons (for Fiscal Year 2018) can be found at </w:t>
      </w:r>
      <w:hyperlink r:id="rId10">
        <w:r w:rsidRPr="4514C18F">
          <w:rPr>
            <w:rStyle w:val="Hyperlink"/>
            <w:color w:val="auto"/>
          </w:rPr>
          <w:t>https://www.justice.gov/humantrafficking/page/file/1276166/download</w:t>
        </w:r>
      </w:hyperlink>
      <w:r w:rsidR="00316FD8" w:rsidRPr="4514C18F">
        <w:t>.</w:t>
      </w:r>
      <w:r w:rsidR="6E368CB3" w:rsidRPr="4514C18F">
        <w:t xml:space="preserve"> </w:t>
      </w:r>
      <w:r w:rsidR="779C38F1" w:rsidRPr="4514C18F">
        <w:t>DOS</w:t>
      </w:r>
      <w:r w:rsidR="6E368CB3" w:rsidRPr="4514C18F">
        <w:t>’s 202</w:t>
      </w:r>
      <w:r w:rsidR="001B2C9F" w:rsidRPr="4514C18F">
        <w:t>1</w:t>
      </w:r>
      <w:r w:rsidR="6E368CB3" w:rsidRPr="4514C18F">
        <w:t xml:space="preserve"> Report on U.S. Government Efforts to Combat trafficking in Persons can be found at </w:t>
      </w:r>
      <w:hyperlink r:id="rId11">
        <w:r w:rsidR="00A34BC7" w:rsidRPr="4514C18F">
          <w:rPr>
            <w:rStyle w:val="Hyperlink"/>
          </w:rPr>
          <w:t>https://www.state.gov/report/2021-trafficking-in-persons-report/</w:t>
        </w:r>
      </w:hyperlink>
      <w:r w:rsidR="6E368CB3" w:rsidRPr="4514C18F">
        <w:t xml:space="preserve">.  </w:t>
      </w:r>
    </w:p>
    <w:p w14:paraId="5BF4B886" w14:textId="70B363E3" w:rsidR="00366D5D" w:rsidRPr="00E66B06" w:rsidRDefault="00366D5D" w:rsidP="006A668C">
      <w:pPr>
        <w:pStyle w:val="Heading2"/>
      </w:pPr>
      <w:bookmarkStart w:id="5" w:name="_Toc93588714"/>
      <w:r w:rsidRPr="00E66B06">
        <w:t>C.  General Measures of Implementation</w:t>
      </w:r>
      <w:bookmarkEnd w:id="5"/>
    </w:p>
    <w:p w14:paraId="1031FC14" w14:textId="3F36116E" w:rsidR="008B271A" w:rsidRPr="00686B91" w:rsidRDefault="07C34FB8" w:rsidP="000A7B48">
      <w:pPr>
        <w:ind w:left="0" w:firstLine="0"/>
        <w:rPr>
          <w:shd w:val="clear" w:color="auto" w:fill="FFFFFF"/>
        </w:rPr>
      </w:pPr>
      <w:r w:rsidRPr="696F7013">
        <w:rPr>
          <w:b/>
          <w:bCs/>
        </w:rPr>
        <w:t xml:space="preserve">General Principles of the Convention – Legislation. </w:t>
      </w:r>
      <w:r w:rsidR="3835B182" w:rsidRPr="00012D40">
        <w:t xml:space="preserve"> </w:t>
      </w:r>
      <w:r w:rsidR="67B69EA4" w:rsidRPr="12383FEE">
        <w:t>P</w:t>
      </w:r>
      <w:r w:rsidR="613614F4" w:rsidRPr="00012D40">
        <w:rPr>
          <w:shd w:val="clear" w:color="auto" w:fill="FFFFFF"/>
        </w:rPr>
        <w:t>rior to becoming a party to the OPSC, the United States carefully reviewed its laws and determined that they were sufficient to allow effective implementation of its OPSC o</w:t>
      </w:r>
      <w:r w:rsidR="03E4BBB9" w:rsidRPr="00012D40">
        <w:rPr>
          <w:shd w:val="clear" w:color="auto" w:fill="FFFFFF"/>
        </w:rPr>
        <w:t xml:space="preserve">bligations, </w:t>
      </w:r>
      <w:r w:rsidR="37C0D9DC" w:rsidRPr="12383FEE">
        <w:t xml:space="preserve">as outlined in the U.S. reservations and understandings, </w:t>
      </w:r>
      <w:r w:rsidR="1D16E242" w:rsidRPr="12383FEE">
        <w:t xml:space="preserve">which remain in effect, </w:t>
      </w:r>
      <w:r w:rsidR="03E4BBB9" w:rsidRPr="00012D40">
        <w:rPr>
          <w:shd w:val="clear" w:color="auto" w:fill="FFFFFF"/>
        </w:rPr>
        <w:t>including the offens</w:t>
      </w:r>
      <w:r w:rsidR="613614F4" w:rsidRPr="00012D40">
        <w:rPr>
          <w:shd w:val="clear" w:color="auto" w:fill="FFFFFF"/>
        </w:rPr>
        <w:t>es regarding sale of children as defined in</w:t>
      </w:r>
      <w:r w:rsidR="3835B182" w:rsidRPr="00012D40">
        <w:rPr>
          <w:shd w:val="clear" w:color="auto" w:fill="FFFFFF"/>
        </w:rPr>
        <w:t xml:space="preserve"> articles 2 and 3</w:t>
      </w:r>
      <w:r w:rsidR="15240B61" w:rsidRPr="00012D40">
        <w:rPr>
          <w:shd w:val="clear" w:color="auto" w:fill="FFFFFF"/>
        </w:rPr>
        <w:t xml:space="preserve">. </w:t>
      </w:r>
    </w:p>
    <w:p w14:paraId="3477E618" w14:textId="03CF2DDB" w:rsidR="0084143C" w:rsidRPr="00EA1EDE" w:rsidRDefault="71D4D66C" w:rsidP="000A7B48">
      <w:pPr>
        <w:ind w:left="0" w:firstLine="0"/>
      </w:pPr>
      <w:r w:rsidRPr="00012D40">
        <w:rPr>
          <w:shd w:val="clear" w:color="auto" w:fill="FFFFFF"/>
        </w:rPr>
        <w:t>With regard to harmonization of the</w:t>
      </w:r>
      <w:r w:rsidR="613614F4" w:rsidRPr="00012D40">
        <w:rPr>
          <w:shd w:val="clear" w:color="auto" w:fill="FFFFFF"/>
        </w:rPr>
        <w:t xml:space="preserve"> age of the child between federal</w:t>
      </w:r>
      <w:r w:rsidR="001B2C9F">
        <w:rPr>
          <w:shd w:val="clear" w:color="auto" w:fill="FFFFFF"/>
        </w:rPr>
        <w:t>,</w:t>
      </w:r>
      <w:r w:rsidRPr="00012D40">
        <w:rPr>
          <w:shd w:val="clear" w:color="auto" w:fill="FFFFFF"/>
        </w:rPr>
        <w:t xml:space="preserve"> state</w:t>
      </w:r>
      <w:r w:rsidR="001B2C9F">
        <w:rPr>
          <w:shd w:val="clear" w:color="auto" w:fill="FFFFFF"/>
        </w:rPr>
        <w:t>, and tribal</w:t>
      </w:r>
      <w:r w:rsidRPr="00012D40">
        <w:rPr>
          <w:shd w:val="clear" w:color="auto" w:fill="FFFFFF"/>
        </w:rPr>
        <w:t xml:space="preserve"> legislation</w:t>
      </w:r>
      <w:r w:rsidR="613614F4" w:rsidRPr="00012D40">
        <w:rPr>
          <w:shd w:val="clear" w:color="auto" w:fill="FFFFFF"/>
        </w:rPr>
        <w:t xml:space="preserve">, </w:t>
      </w:r>
      <w:r w:rsidR="2F4BCF0D" w:rsidRPr="00012D40">
        <w:rPr>
          <w:shd w:val="clear" w:color="auto" w:fill="FFFFFF"/>
        </w:rPr>
        <w:t xml:space="preserve">due to our federal system, the U.S. federal government cannot effect changes directly in state </w:t>
      </w:r>
      <w:r w:rsidR="001B2C9F">
        <w:rPr>
          <w:shd w:val="clear" w:color="auto" w:fill="FFFFFF"/>
        </w:rPr>
        <w:t xml:space="preserve">or tribal </w:t>
      </w:r>
      <w:r w:rsidR="2F4BCF0D" w:rsidRPr="00012D40">
        <w:rPr>
          <w:shd w:val="clear" w:color="auto" w:fill="FFFFFF"/>
        </w:rPr>
        <w:t>criminal laws, but can and does encourage harmonizati</w:t>
      </w:r>
      <w:r w:rsidR="5090D7AA" w:rsidRPr="00012D40">
        <w:rPr>
          <w:shd w:val="clear" w:color="auto" w:fill="FFFFFF"/>
        </w:rPr>
        <w:t>on efforts. Federal laws and corresponding protections for victims generally extend to those under age 18</w:t>
      </w:r>
      <w:r w:rsidR="001B2C9F">
        <w:rPr>
          <w:shd w:val="clear" w:color="auto" w:fill="FFFFFF"/>
        </w:rPr>
        <w:t>.</w:t>
      </w:r>
      <w:r w:rsidR="5090D7AA" w:rsidRPr="00012D40">
        <w:rPr>
          <w:shd w:val="clear" w:color="auto" w:fill="FFFFFF"/>
        </w:rPr>
        <w:t xml:space="preserve"> </w:t>
      </w:r>
      <w:r w:rsidR="001B2C9F">
        <w:rPr>
          <w:shd w:val="clear" w:color="auto" w:fill="FFFFFF"/>
        </w:rPr>
        <w:t>S</w:t>
      </w:r>
      <w:r w:rsidR="5090D7AA" w:rsidRPr="00012D40">
        <w:rPr>
          <w:shd w:val="clear" w:color="auto" w:fill="FFFFFF"/>
        </w:rPr>
        <w:t>ee, e.g., 18 U.S.C. §1591 (sex trafficking); 18 U.S.C. §§ 2421-2423 and 2425 (transportation, coercion and enticement, transportation of minors, and use of interstate facilities to transmit information about a minor); 18 U.S.C. §§ 2251-2260 (child pornography)</w:t>
      </w:r>
      <w:r w:rsidR="001B2C9F">
        <w:rPr>
          <w:rStyle w:val="FootnoteReference"/>
          <w:rFonts w:eastAsia="Times New Roman"/>
          <w:shd w:val="clear" w:color="auto" w:fill="FFFFFF"/>
        </w:rPr>
        <w:footnoteReference w:id="3"/>
      </w:r>
      <w:r w:rsidR="5090D7AA" w:rsidRPr="00012D40">
        <w:rPr>
          <w:shd w:val="clear" w:color="auto" w:fill="FFFFFF"/>
        </w:rPr>
        <w:t>; 18 U.S.C. § 3509 (special protections for minors); 18 U.S.C. § 3771 (rights and protections for federal crime victims); and Fed</w:t>
      </w:r>
      <w:r w:rsidR="001B2C9F">
        <w:rPr>
          <w:shd w:val="clear" w:color="auto" w:fill="FFFFFF"/>
        </w:rPr>
        <w:t>.</w:t>
      </w:r>
      <w:r w:rsidR="5090D7AA" w:rsidRPr="00012D40">
        <w:rPr>
          <w:shd w:val="clear" w:color="auto" w:fill="FFFFFF"/>
        </w:rPr>
        <w:t xml:space="preserve"> R</w:t>
      </w:r>
      <w:r w:rsidR="001B2C9F">
        <w:rPr>
          <w:shd w:val="clear" w:color="auto" w:fill="FFFFFF"/>
        </w:rPr>
        <w:t>.</w:t>
      </w:r>
      <w:r w:rsidR="5090D7AA" w:rsidRPr="00012D40">
        <w:rPr>
          <w:shd w:val="clear" w:color="auto" w:fill="FFFFFF"/>
        </w:rPr>
        <w:t xml:space="preserve"> Evid</w:t>
      </w:r>
      <w:r w:rsidR="001B2C9F">
        <w:rPr>
          <w:shd w:val="clear" w:color="auto" w:fill="FFFFFF"/>
        </w:rPr>
        <w:t>.</w:t>
      </w:r>
      <w:r w:rsidR="5090D7AA" w:rsidRPr="00012D40">
        <w:rPr>
          <w:shd w:val="clear" w:color="auto" w:fill="FFFFFF"/>
        </w:rPr>
        <w:t xml:space="preserve"> 412 (protections for victims of sexual assault). </w:t>
      </w:r>
      <w:r w:rsidR="5FF920E1" w:rsidRPr="00012D40">
        <w:rPr>
          <w:shd w:val="clear" w:color="auto" w:fill="FFFFFF"/>
        </w:rPr>
        <w:t>Every state has enacted human trafficking laws</w:t>
      </w:r>
      <w:r w:rsidR="12B36189" w:rsidRPr="00012D40">
        <w:rPr>
          <w:shd w:val="clear" w:color="auto" w:fill="FFFFFF"/>
        </w:rPr>
        <w:t>, and many of those similarly extend protection to those under 18</w:t>
      </w:r>
      <w:r w:rsidR="5FF920E1" w:rsidRPr="00012D40">
        <w:rPr>
          <w:shd w:val="clear" w:color="auto" w:fill="FFFFFF"/>
        </w:rPr>
        <w:t>. State laws criminalize trafficking activity, provide judicial protections for survivors, establish funding sources for anti-trafficking efforts, coordinate stakeholder efforts, regulate businesses to mitigate the impact of trafficking</w:t>
      </w:r>
      <w:r w:rsidRPr="00012D40">
        <w:rPr>
          <w:shd w:val="clear" w:color="auto" w:fill="FFFFFF"/>
        </w:rPr>
        <w:t>,</w:t>
      </w:r>
      <w:r w:rsidR="5FF920E1" w:rsidRPr="00012D40">
        <w:rPr>
          <w:shd w:val="clear" w:color="auto" w:fill="FFFFFF"/>
        </w:rPr>
        <w:t xml:space="preserve"> and educate the</w:t>
      </w:r>
      <w:r w:rsidR="3835B182" w:rsidRPr="00012D40">
        <w:rPr>
          <w:shd w:val="clear" w:color="auto" w:fill="FFFFFF"/>
        </w:rPr>
        <w:t xml:space="preserve"> public on trafficking issues. </w:t>
      </w:r>
      <w:r w:rsidR="5B577761" w:rsidRPr="00012D40">
        <w:rPr>
          <w:shd w:val="clear" w:color="auto" w:fill="FFFFFF"/>
        </w:rPr>
        <w:t>According to the National Conference of State Legislat</w:t>
      </w:r>
      <w:r w:rsidR="3835B182" w:rsidRPr="00012D40">
        <w:rPr>
          <w:shd w:val="clear" w:color="auto" w:fill="FFFFFF"/>
        </w:rPr>
        <w:t>ures, as of 2020, 36 states had</w:t>
      </w:r>
      <w:r w:rsidR="5090D7AA" w:rsidRPr="00012D40">
        <w:rPr>
          <w:shd w:val="clear" w:color="auto" w:fill="FFFFFF"/>
        </w:rPr>
        <w:t xml:space="preserve"> Child Advocacy Offices or ombudspersons. </w:t>
      </w:r>
      <w:r w:rsidR="03E4BBB9" w:rsidRPr="00012D40">
        <w:rPr>
          <w:shd w:val="clear" w:color="auto" w:fill="FFFFFF"/>
        </w:rPr>
        <w:t>DOJ</w:t>
      </w:r>
      <w:r w:rsidR="00F600A6">
        <w:rPr>
          <w:shd w:val="clear" w:color="auto" w:fill="FFFFFF"/>
        </w:rPr>
        <w:t>/</w:t>
      </w:r>
      <w:r w:rsidRPr="00012D40">
        <w:rPr>
          <w:shd w:val="clear" w:color="auto" w:fill="FFFFFF"/>
        </w:rPr>
        <w:t xml:space="preserve">OVC has partnered with the National Conference of State Legislatures to develop a database of state human trafficking enactments. </w:t>
      </w:r>
      <w:r w:rsidR="5090D7AA" w:rsidRPr="00012D40">
        <w:rPr>
          <w:shd w:val="clear" w:color="auto" w:fill="FFFFFF"/>
        </w:rPr>
        <w:t xml:space="preserve">OVC </w:t>
      </w:r>
      <w:r w:rsidRPr="00012D40">
        <w:rPr>
          <w:shd w:val="clear" w:color="auto" w:fill="FFFFFF"/>
        </w:rPr>
        <w:t xml:space="preserve">also </w:t>
      </w:r>
      <w:r w:rsidR="5090D7AA" w:rsidRPr="00012D40">
        <w:rPr>
          <w:shd w:val="clear" w:color="auto" w:fill="FFFFFF"/>
        </w:rPr>
        <w:t>funds a state demonstration initiative called Vision 21: Linking Systems of Care</w:t>
      </w:r>
      <w:r w:rsidR="268A3EC8" w:rsidRPr="00012D40">
        <w:rPr>
          <w:shd w:val="clear" w:color="auto" w:fill="FFFFFF"/>
        </w:rPr>
        <w:t xml:space="preserve"> for Children and Youth</w:t>
      </w:r>
      <w:r w:rsidR="5FF920E1" w:rsidRPr="00012D40">
        <w:rPr>
          <w:shd w:val="clear" w:color="auto" w:fill="FFFFFF"/>
        </w:rPr>
        <w:t xml:space="preserve">, which </w:t>
      </w:r>
      <w:r w:rsidR="5090D7AA" w:rsidRPr="00012D40">
        <w:rPr>
          <w:shd w:val="clear" w:color="auto" w:fill="FFFFFF"/>
        </w:rPr>
        <w:t>aims to ensure that every child entering relevant systems</w:t>
      </w:r>
      <w:r w:rsidR="00E74C35">
        <w:rPr>
          <w:shd w:val="clear" w:color="auto" w:fill="FFFFFF"/>
        </w:rPr>
        <w:t>, such as public health, educational, and justice systems,</w:t>
      </w:r>
      <w:r w:rsidR="5090D7AA" w:rsidRPr="00012D40">
        <w:rPr>
          <w:shd w:val="clear" w:color="auto" w:fill="FFFFFF"/>
        </w:rPr>
        <w:t xml:space="preserve"> at any governmental level is assessed for victimization (including exploitation and trafficking), that children and their families are provided comprehensive and coordinated services that fully address their needs, and that practices and policies are established to sustain this approach in the long term. </w:t>
      </w:r>
      <w:r w:rsidR="00E74C35" w:rsidRPr="00373B42">
        <w:rPr>
          <w:shd w:val="clear" w:color="auto" w:fill="FFFFFF"/>
        </w:rPr>
        <w:t xml:space="preserve">OVC also funds a program specifically focused on improving outcomes for child and youth victims of human trafficking by supporting </w:t>
      </w:r>
      <w:r w:rsidR="00373B42">
        <w:rPr>
          <w:shd w:val="clear" w:color="auto" w:fill="FFFFFF"/>
        </w:rPr>
        <w:t>coordination at the statewide and</w:t>
      </w:r>
      <w:r w:rsidR="00E74C35" w:rsidRPr="00373B42">
        <w:rPr>
          <w:shd w:val="clear" w:color="auto" w:fill="FFFFFF"/>
        </w:rPr>
        <w:t xml:space="preserve"> tribal jurisdiction level, to create effective change across systems. </w:t>
      </w:r>
      <w:r w:rsidR="00373B42" w:rsidRPr="00373B42">
        <w:t>HHS’s Children’s Bureau also funds a State Court Improvement Program (CIP), which is available to the highest court of appeal in every state, Puerto Rico, and the District of Columbia. The purpose of the CIP is to (1) promote the continuous quality improvement of court processes and legal representation in child welfare proceedings through ongoing data analysis, assessment, interventions, and training, and (2) enhance and expand collaboration between the judicial branch of state government, the title IV</w:t>
      </w:r>
      <w:r w:rsidR="61B95CDD" w:rsidRPr="00373B42">
        <w:t>-</w:t>
      </w:r>
      <w:r w:rsidR="00373B42" w:rsidRPr="00373B42">
        <w:t>E/IV-B agency, and tribes to improve child welfare outcomes.</w:t>
      </w:r>
      <w:r w:rsidR="00373B42" w:rsidRPr="00373B42">
        <w:rPr>
          <w:color w:val="212121"/>
          <w:shd w:val="clear" w:color="auto" w:fill="FFFFFF"/>
        </w:rPr>
        <w:t> </w:t>
      </w:r>
    </w:p>
    <w:p w14:paraId="50518FEB" w14:textId="773186FE" w:rsidR="00176210" w:rsidRPr="00012D40" w:rsidRDefault="21373AF9" w:rsidP="000A7B48">
      <w:pPr>
        <w:ind w:left="0" w:firstLine="0"/>
      </w:pPr>
      <w:r w:rsidRPr="696F7013">
        <w:rPr>
          <w:b/>
          <w:bCs/>
          <w:shd w:val="clear" w:color="auto" w:fill="FFFFFF"/>
        </w:rPr>
        <w:t xml:space="preserve">Comprehensive </w:t>
      </w:r>
      <w:r w:rsidR="003F4E1E">
        <w:rPr>
          <w:b/>
          <w:bCs/>
          <w:shd w:val="clear" w:color="auto" w:fill="FFFFFF"/>
        </w:rPr>
        <w:t>P</w:t>
      </w:r>
      <w:r w:rsidR="003F4E1E" w:rsidRPr="696F7013">
        <w:rPr>
          <w:b/>
          <w:bCs/>
          <w:shd w:val="clear" w:color="auto" w:fill="FFFFFF"/>
        </w:rPr>
        <w:t xml:space="preserve">olicy </w:t>
      </w:r>
      <w:r w:rsidRPr="696F7013">
        <w:rPr>
          <w:b/>
          <w:bCs/>
          <w:shd w:val="clear" w:color="auto" w:fill="FFFFFF"/>
        </w:rPr>
        <w:t xml:space="preserve">and </w:t>
      </w:r>
      <w:r w:rsidR="003F4E1E">
        <w:rPr>
          <w:b/>
          <w:bCs/>
          <w:shd w:val="clear" w:color="auto" w:fill="FFFFFF"/>
        </w:rPr>
        <w:t>S</w:t>
      </w:r>
      <w:r w:rsidR="003F4E1E" w:rsidRPr="696F7013">
        <w:rPr>
          <w:b/>
          <w:bCs/>
          <w:shd w:val="clear" w:color="auto" w:fill="FFFFFF"/>
        </w:rPr>
        <w:t>trategy</w:t>
      </w:r>
      <w:r w:rsidRPr="696F7013">
        <w:rPr>
          <w:b/>
          <w:bCs/>
          <w:shd w:val="clear" w:color="auto" w:fill="FFFFFF"/>
        </w:rPr>
        <w:t>.</w:t>
      </w:r>
      <w:r w:rsidRPr="00012D40">
        <w:rPr>
          <w:shd w:val="clear" w:color="auto" w:fill="FFFFFF"/>
        </w:rPr>
        <w:t xml:space="preserve"> </w:t>
      </w:r>
      <w:r w:rsidR="058BC79A" w:rsidRPr="00012D40">
        <w:rPr>
          <w:shd w:val="clear" w:color="auto" w:fill="FFFFFF"/>
        </w:rPr>
        <w:t xml:space="preserve"> The United States </w:t>
      </w:r>
      <w:r w:rsidR="2E8688F3" w:rsidRPr="00012D40">
        <w:rPr>
          <w:shd w:val="clear" w:color="auto" w:fill="FFFFFF"/>
        </w:rPr>
        <w:t>works aggressively to prevent all types</w:t>
      </w:r>
      <w:r w:rsidR="43AE9CA3" w:rsidRPr="00012D40">
        <w:rPr>
          <w:shd w:val="clear" w:color="auto" w:fill="FFFFFF"/>
        </w:rPr>
        <w:t xml:space="preserve"> of trafficking of children,</w:t>
      </w:r>
      <w:r w:rsidR="2E8688F3" w:rsidRPr="00012D40">
        <w:rPr>
          <w:shd w:val="clear" w:color="auto" w:fill="FFFFFF"/>
        </w:rPr>
        <w:t xml:space="preserve"> to </w:t>
      </w:r>
      <w:r w:rsidR="43AE9CA3" w:rsidRPr="00012D40">
        <w:rPr>
          <w:shd w:val="clear" w:color="auto" w:fill="FFFFFF"/>
        </w:rPr>
        <w:t xml:space="preserve">punish those who engage in </w:t>
      </w:r>
      <w:r w:rsidR="51F12FCB">
        <w:rPr>
          <w:shd w:val="clear" w:color="auto" w:fill="FFFFFF"/>
        </w:rPr>
        <w:t>the offense</w:t>
      </w:r>
      <w:r w:rsidR="43AE9CA3" w:rsidRPr="00012D40">
        <w:rPr>
          <w:shd w:val="clear" w:color="auto" w:fill="FFFFFF"/>
        </w:rPr>
        <w:t>, and to</w:t>
      </w:r>
      <w:r w:rsidR="6C6D5212" w:rsidRPr="00012D40">
        <w:rPr>
          <w:shd w:val="clear" w:color="auto" w:fill="FFFFFF"/>
        </w:rPr>
        <w:t xml:space="preserve"> assist</w:t>
      </w:r>
      <w:r w:rsidR="72DA9E65" w:rsidRPr="6799215C">
        <w:t xml:space="preserve"> </w:t>
      </w:r>
      <w:r w:rsidR="43AE9CA3" w:rsidRPr="00012D40">
        <w:rPr>
          <w:shd w:val="clear" w:color="auto" w:fill="FFFFFF"/>
        </w:rPr>
        <w:t xml:space="preserve">and reintegrate </w:t>
      </w:r>
      <w:r w:rsidR="51F12FCB">
        <w:rPr>
          <w:shd w:val="clear" w:color="auto" w:fill="FFFFFF"/>
        </w:rPr>
        <w:t xml:space="preserve">into the community </w:t>
      </w:r>
      <w:r w:rsidR="43AE9CA3" w:rsidRPr="00012D40">
        <w:rPr>
          <w:shd w:val="clear" w:color="auto" w:fill="FFFFFF"/>
        </w:rPr>
        <w:t xml:space="preserve">child victims of trafficking. </w:t>
      </w:r>
      <w:r w:rsidR="2E8688F3" w:rsidRPr="00012D40">
        <w:rPr>
          <w:shd w:val="clear" w:color="auto" w:fill="FFFFFF"/>
        </w:rPr>
        <w:t>T</w:t>
      </w:r>
      <w:r w:rsidR="058BC79A" w:rsidRPr="00012D40">
        <w:rPr>
          <w:shd w:val="clear" w:color="auto" w:fill="FFFFFF"/>
        </w:rPr>
        <w:t>wo national strategies related to trafficking of children</w:t>
      </w:r>
      <w:r w:rsidR="2E8688F3" w:rsidRPr="00012D40">
        <w:rPr>
          <w:shd w:val="clear" w:color="auto" w:fill="FFFFFF"/>
        </w:rPr>
        <w:t xml:space="preserve"> currently guide </w:t>
      </w:r>
      <w:r w:rsidR="7836C8AC" w:rsidRPr="00012D40">
        <w:rPr>
          <w:shd w:val="clear" w:color="auto" w:fill="FFFFFF"/>
        </w:rPr>
        <w:t xml:space="preserve">the </w:t>
      </w:r>
      <w:r w:rsidR="2E8688F3" w:rsidRPr="00012D40">
        <w:rPr>
          <w:shd w:val="clear" w:color="auto" w:fill="FFFFFF"/>
        </w:rPr>
        <w:t>work</w:t>
      </w:r>
      <w:r w:rsidR="5149AC19" w:rsidRPr="00012D40">
        <w:rPr>
          <w:shd w:val="clear" w:color="auto" w:fill="FFFFFF"/>
        </w:rPr>
        <w:t xml:space="preserve"> of the United States</w:t>
      </w:r>
      <w:r w:rsidR="106A8C23" w:rsidRPr="00012D40">
        <w:rPr>
          <w:shd w:val="clear" w:color="auto" w:fill="FFFFFF"/>
        </w:rPr>
        <w:t xml:space="preserve">: </w:t>
      </w:r>
      <w:r w:rsidR="51F12FCB">
        <w:rPr>
          <w:shd w:val="clear" w:color="auto" w:fill="FFFFFF"/>
        </w:rPr>
        <w:t>DOJ’s</w:t>
      </w:r>
      <w:r w:rsidR="05AF15CC" w:rsidRPr="00012D40">
        <w:rPr>
          <w:shd w:val="clear" w:color="auto" w:fill="FFFFFF"/>
        </w:rPr>
        <w:t xml:space="preserve"> 2016 National Strategy for Child Exploitation Prevention and Interdiction, developed under the auspices of the National Coordinator for Child Exploitation Prevention and Interdiction in DOJ, and </w:t>
      </w:r>
      <w:r w:rsidR="51F12FCB">
        <w:rPr>
          <w:shd w:val="clear" w:color="auto" w:fill="FFFFFF"/>
        </w:rPr>
        <w:t>DOJ’s</w:t>
      </w:r>
      <w:r w:rsidR="05AF15CC" w:rsidRPr="00012D40">
        <w:rPr>
          <w:shd w:val="clear" w:color="auto" w:fill="FFFFFF"/>
        </w:rPr>
        <w:t xml:space="preserve"> 2017 National Strategy to Combat Human Tr</w:t>
      </w:r>
      <w:r w:rsidR="106A8C23" w:rsidRPr="00012D40">
        <w:rPr>
          <w:shd w:val="clear" w:color="auto" w:fill="FFFFFF"/>
        </w:rPr>
        <w:t>afficking. These strategies encompass programs</w:t>
      </w:r>
      <w:r w:rsidR="3CA90072" w:rsidRPr="00012D40">
        <w:rPr>
          <w:shd w:val="clear" w:color="auto" w:fill="FFFFFF"/>
        </w:rPr>
        <w:t xml:space="preserve"> addressing all forms of </w:t>
      </w:r>
      <w:r w:rsidR="51F12FCB">
        <w:rPr>
          <w:shd w:val="clear" w:color="auto" w:fill="FFFFFF"/>
        </w:rPr>
        <w:t xml:space="preserve">child </w:t>
      </w:r>
      <w:r w:rsidR="3CA90072" w:rsidRPr="00012D40">
        <w:rPr>
          <w:shd w:val="clear" w:color="auto" w:fill="FFFFFF"/>
        </w:rPr>
        <w:t>trafficking</w:t>
      </w:r>
      <w:r w:rsidR="51F12FCB">
        <w:rPr>
          <w:shd w:val="clear" w:color="auto" w:fill="FFFFFF"/>
        </w:rPr>
        <w:t xml:space="preserve"> and exploitation</w:t>
      </w:r>
      <w:r w:rsidR="3CA90072" w:rsidRPr="00012D40">
        <w:rPr>
          <w:shd w:val="clear" w:color="auto" w:fill="FFFFFF"/>
        </w:rPr>
        <w:t>,</w:t>
      </w:r>
      <w:r w:rsidR="106A8C23" w:rsidRPr="00012D40">
        <w:rPr>
          <w:shd w:val="clear" w:color="auto" w:fill="FFFFFF"/>
        </w:rPr>
        <w:t xml:space="preserve"> run throughout the federal government </w:t>
      </w:r>
      <w:r w:rsidR="76904928" w:rsidRPr="00012D40">
        <w:rPr>
          <w:shd w:val="clear" w:color="auto" w:fill="FFFFFF"/>
        </w:rPr>
        <w:t>by DOJ, HHS, DHS, DOS, DOL</w:t>
      </w:r>
      <w:r w:rsidR="51F12FCB">
        <w:rPr>
          <w:shd w:val="clear" w:color="auto" w:fill="FFFFFF"/>
        </w:rPr>
        <w:t>,</w:t>
      </w:r>
      <w:r w:rsidR="76904928" w:rsidRPr="00012D40">
        <w:rPr>
          <w:shd w:val="clear" w:color="auto" w:fill="FFFFFF"/>
        </w:rPr>
        <w:t xml:space="preserve"> and other agencies</w:t>
      </w:r>
      <w:r w:rsidR="106A8C23" w:rsidRPr="00012D40">
        <w:rPr>
          <w:shd w:val="clear" w:color="auto" w:fill="FFFFFF"/>
        </w:rPr>
        <w:t xml:space="preserve">, in </w:t>
      </w:r>
      <w:r w:rsidR="51F12FCB">
        <w:rPr>
          <w:shd w:val="clear" w:color="auto" w:fill="FFFFFF"/>
        </w:rPr>
        <w:t>many</w:t>
      </w:r>
      <w:r w:rsidR="106A8C23" w:rsidRPr="00012D40">
        <w:rPr>
          <w:shd w:val="clear" w:color="auto" w:fill="FFFFFF"/>
        </w:rPr>
        <w:t xml:space="preserve"> cases</w:t>
      </w:r>
      <w:r w:rsidR="51F12FCB">
        <w:rPr>
          <w:shd w:val="clear" w:color="auto" w:fill="FFFFFF"/>
        </w:rPr>
        <w:t xml:space="preserve"> in collaboration with</w:t>
      </w:r>
      <w:r w:rsidR="51F12FCB" w:rsidRPr="00012D40">
        <w:rPr>
          <w:shd w:val="clear" w:color="auto" w:fill="FFFFFF"/>
        </w:rPr>
        <w:t xml:space="preserve"> </w:t>
      </w:r>
      <w:r w:rsidR="51F12FCB">
        <w:rPr>
          <w:shd w:val="clear" w:color="auto" w:fill="FFFFFF"/>
        </w:rPr>
        <w:t xml:space="preserve">state, local, tribal, </w:t>
      </w:r>
      <w:r w:rsidR="51F12FCB" w:rsidRPr="002A0C2E">
        <w:rPr>
          <w:shd w:val="clear" w:color="auto" w:fill="FFFFFF"/>
        </w:rPr>
        <w:t>and territorial government and law enf</w:t>
      </w:r>
      <w:r w:rsidR="51F12FCB">
        <w:rPr>
          <w:shd w:val="clear" w:color="auto" w:fill="FFFFFF"/>
        </w:rPr>
        <w:t xml:space="preserve">orcement partners. </w:t>
      </w:r>
      <w:r w:rsidR="31373512" w:rsidRPr="00012D40">
        <w:t xml:space="preserve">The United </w:t>
      </w:r>
      <w:r w:rsidR="6FFF9A17">
        <w:t xml:space="preserve">States prioritizes not only </w:t>
      </w:r>
      <w:r w:rsidR="31373512" w:rsidRPr="00012D40">
        <w:t>prevention and prohibition, but also the</w:t>
      </w:r>
      <w:r w:rsidR="3E78107A" w:rsidRPr="00012D40">
        <w:t xml:space="preserve"> </w:t>
      </w:r>
      <w:r w:rsidR="6B4530BF" w:rsidRPr="00012D40">
        <w:t xml:space="preserve">recovery </w:t>
      </w:r>
      <w:r w:rsidR="31373512" w:rsidRPr="00012D40">
        <w:t xml:space="preserve">and reintegration of child victims of all </w:t>
      </w:r>
      <w:r w:rsidR="573A9AAB" w:rsidRPr="00012D40">
        <w:t>forms of trafficking</w:t>
      </w:r>
      <w:r w:rsidR="31373512" w:rsidRPr="00012D40">
        <w:t xml:space="preserve">. The DOJ National Strategy for Child Exploitation Prevention and Interdiction identifies innovative ways the federal government and its partners can address child exploitation and the provision of services to those affected. </w:t>
      </w:r>
      <w:r w:rsidR="51F12FCB">
        <w:t>In addition, DOJ</w:t>
      </w:r>
      <w:r w:rsidR="5E9886B2">
        <w:t>/</w:t>
      </w:r>
      <w:r w:rsidR="51F12FCB">
        <w:t>OVC</w:t>
      </w:r>
      <w:r w:rsidR="39F1358A">
        <w:t>, which</w:t>
      </w:r>
      <w:r w:rsidR="51F12FCB">
        <w:t xml:space="preserve"> is the largest federal funder of anti-trafficking programs, supports numerous programs specifically focused on child and youth victims of trafficking, including programs focused on direct services for child sex and labor trafficking victims; preventing trafficking of girls; systems-level change to improve outcomes for child and youth victims of sex trafficking; and enhancing juvenile and family court responses to human trafficking.</w:t>
      </w:r>
    </w:p>
    <w:p w14:paraId="171A6A21" w14:textId="638AEEBF" w:rsidR="00EC2EFB" w:rsidRDefault="38B2F4B3" w:rsidP="000A7B48">
      <w:pPr>
        <w:ind w:left="0" w:firstLine="0"/>
      </w:pPr>
      <w:r w:rsidRPr="00EC2EFB">
        <w:rPr>
          <w:shd w:val="clear" w:color="auto" w:fill="FFFFFF"/>
        </w:rPr>
        <w:t xml:space="preserve">The United States’ </w:t>
      </w:r>
      <w:r w:rsidR="2E8688F3" w:rsidRPr="00EC2EFB">
        <w:rPr>
          <w:shd w:val="clear" w:color="auto" w:fill="FFFFFF"/>
        </w:rPr>
        <w:t xml:space="preserve">work on </w:t>
      </w:r>
      <w:r w:rsidR="7607F0A2" w:rsidRPr="00EC2EFB">
        <w:rPr>
          <w:shd w:val="clear" w:color="auto" w:fill="FFFFFF"/>
        </w:rPr>
        <w:t xml:space="preserve">labor </w:t>
      </w:r>
      <w:r w:rsidR="2E8688F3" w:rsidRPr="00EC2EFB">
        <w:rPr>
          <w:shd w:val="clear" w:color="auto" w:fill="FFFFFF"/>
        </w:rPr>
        <w:t>t</w:t>
      </w:r>
      <w:r w:rsidR="77F021C3" w:rsidRPr="00EC2EFB">
        <w:rPr>
          <w:shd w:val="clear" w:color="auto" w:fill="FFFFFF"/>
        </w:rPr>
        <w:t>raffick</w:t>
      </w:r>
      <w:r w:rsidR="106A8C23" w:rsidRPr="00EC2EFB">
        <w:rPr>
          <w:shd w:val="clear" w:color="auto" w:fill="FFFFFF"/>
        </w:rPr>
        <w:t>ing of children</w:t>
      </w:r>
      <w:r w:rsidR="3CA90072" w:rsidRPr="00EC2EFB">
        <w:rPr>
          <w:shd w:val="clear" w:color="auto" w:fill="FFFFFF"/>
        </w:rPr>
        <w:t>, in particular,</w:t>
      </w:r>
      <w:r w:rsidR="2E8688F3" w:rsidRPr="00EC2EFB">
        <w:rPr>
          <w:shd w:val="clear" w:color="auto" w:fill="FFFFFF"/>
        </w:rPr>
        <w:t xml:space="preserve"> is centered in</w:t>
      </w:r>
      <w:r w:rsidR="7C14DD17" w:rsidRPr="00EC2EFB">
        <w:rPr>
          <w:shd w:val="clear" w:color="auto" w:fill="FFFFFF"/>
        </w:rPr>
        <w:t xml:space="preserve"> DOL</w:t>
      </w:r>
      <w:r w:rsidR="1749CA3C" w:rsidRPr="00EC2EFB">
        <w:t>'s</w:t>
      </w:r>
      <w:r w:rsidR="76904928" w:rsidRPr="00EC2EFB">
        <w:rPr>
          <w:shd w:val="clear" w:color="auto" w:fill="FFFFFF"/>
        </w:rPr>
        <w:t xml:space="preserve"> Bureau of International Labor Affairs (ILAB)</w:t>
      </w:r>
      <w:r w:rsidR="7F109EAD" w:rsidRPr="00EC2EFB">
        <w:rPr>
          <w:shd w:val="clear" w:color="auto" w:fill="FFFFFF"/>
        </w:rPr>
        <w:t xml:space="preserve"> and DOL</w:t>
      </w:r>
      <w:r w:rsidR="1C7F50EE" w:rsidRPr="00EC2EFB">
        <w:t>’s</w:t>
      </w:r>
      <w:r w:rsidR="7F109EAD" w:rsidRPr="00EC2EFB">
        <w:rPr>
          <w:shd w:val="clear" w:color="auto" w:fill="FFFFFF"/>
        </w:rPr>
        <w:t xml:space="preserve"> W</w:t>
      </w:r>
      <w:r w:rsidR="29B38B5C" w:rsidRPr="00EC2EFB">
        <w:rPr>
          <w:shd w:val="clear" w:color="auto" w:fill="FFFFFF"/>
        </w:rPr>
        <w:t>age and Hour Division (WHD</w:t>
      </w:r>
      <w:r w:rsidR="7F109EAD" w:rsidRPr="00EC2EFB">
        <w:rPr>
          <w:shd w:val="clear" w:color="auto" w:fill="FFFFFF"/>
        </w:rPr>
        <w:t>)</w:t>
      </w:r>
      <w:r w:rsidR="5A13B1ED" w:rsidRPr="00EC2EFB">
        <w:rPr>
          <w:shd w:val="clear" w:color="auto" w:fill="FFFFFF"/>
        </w:rPr>
        <w:t xml:space="preserve">. </w:t>
      </w:r>
      <w:r w:rsidR="376A6B40" w:rsidRPr="00EC2EFB">
        <w:t xml:space="preserve">The </w:t>
      </w:r>
      <w:r w:rsidR="76904928" w:rsidRPr="00EC2EFB">
        <w:t>Office of Child Labor, Forced Labor, and Human Trafficking (OCFT)</w:t>
      </w:r>
      <w:r w:rsidR="376A6B40" w:rsidRPr="00EC2EFB">
        <w:t xml:space="preserve"> in ILAB</w:t>
      </w:r>
      <w:r w:rsidR="77F021C3" w:rsidRPr="00EC2EFB">
        <w:t xml:space="preserve"> lead</w:t>
      </w:r>
      <w:r w:rsidR="28713000" w:rsidRPr="00EC2EFB">
        <w:t>s</w:t>
      </w:r>
      <w:r w:rsidR="76904928" w:rsidRPr="00EC2EFB">
        <w:t xml:space="preserve"> the fight to eradicate t</w:t>
      </w:r>
      <w:r w:rsidR="376A6B40" w:rsidRPr="00EC2EFB">
        <w:t xml:space="preserve">hese </w:t>
      </w:r>
      <w:r w:rsidR="3748F57E" w:rsidRPr="00EC2EFB">
        <w:t xml:space="preserve">crimes and </w:t>
      </w:r>
      <w:r w:rsidR="376A6B40" w:rsidRPr="00EC2EFB">
        <w:t>labor abuses</w:t>
      </w:r>
      <w:r w:rsidR="51F12FCB">
        <w:t xml:space="preserve"> outside the United States</w:t>
      </w:r>
      <w:r w:rsidR="376A6B40" w:rsidRPr="00EC2EFB">
        <w:t>. OCFT combats</w:t>
      </w:r>
      <w:r w:rsidR="4C9BFFF2">
        <w:t xml:space="preserve"> </w:t>
      </w:r>
      <w:r w:rsidR="76904928" w:rsidRPr="00EC2EFB">
        <w:t>forced labor</w:t>
      </w:r>
      <w:r w:rsidR="376A6B40" w:rsidRPr="00EC2EFB">
        <w:t xml:space="preserve"> </w:t>
      </w:r>
      <w:r w:rsidR="77F021C3" w:rsidRPr="00EC2EFB">
        <w:t>through glob</w:t>
      </w:r>
      <w:r w:rsidR="43AE9CA3" w:rsidRPr="00EC2EFB">
        <w:t>al leadership</w:t>
      </w:r>
      <w:r w:rsidR="00F600A6">
        <w:t xml:space="preserve"> and</w:t>
      </w:r>
      <w:r w:rsidR="4C9BFFF2">
        <w:t xml:space="preserve"> in-depth research on </w:t>
      </w:r>
      <w:r w:rsidR="76904928" w:rsidRPr="00EC2EFB">
        <w:t xml:space="preserve">forced labor in more than 150 countries around the world, including </w:t>
      </w:r>
      <w:r w:rsidR="299344DF" w:rsidRPr="00EC2EFB">
        <w:t xml:space="preserve">the development of </w:t>
      </w:r>
      <w:r w:rsidR="76904928" w:rsidRPr="00EC2EFB">
        <w:t xml:space="preserve">individual country </w:t>
      </w:r>
      <w:r w:rsidR="10A1A9C1">
        <w:t>recommendations</w:t>
      </w:r>
      <w:r w:rsidR="76904928" w:rsidRPr="00EC2EFB">
        <w:t xml:space="preserve"> to support the enforcement of labor provisions in trade agreements and preference programs</w:t>
      </w:r>
      <w:r w:rsidR="2087B5D1">
        <w:t xml:space="preserve">. </w:t>
      </w:r>
      <w:r w:rsidR="10A1A9C1">
        <w:t>OCFT also engages with foreign</w:t>
      </w:r>
      <w:r w:rsidR="76904928" w:rsidRPr="00EC2EFB">
        <w:t xml:space="preserve"> governments</w:t>
      </w:r>
      <w:r w:rsidR="10A1A9C1">
        <w:t>, civil society organizations, companies, consumers, U.S. government interagency partners, other change-makers, and labor</w:t>
      </w:r>
      <w:r w:rsidR="76904928" w:rsidRPr="00EC2EFB">
        <w:t xml:space="preserve"> organizations to strengthen laws, enforcement, policies, and social programs to end child labor</w:t>
      </w:r>
      <w:r w:rsidR="10A1A9C1">
        <w:t>, including forced labor.</w:t>
      </w:r>
      <w:r w:rsidR="76904928" w:rsidRPr="00EC2EFB">
        <w:t xml:space="preserve"> </w:t>
      </w:r>
      <w:r w:rsidR="10A1A9C1">
        <w:t>Moreover, OCFT applies</w:t>
      </w:r>
      <w:r w:rsidR="76904928" w:rsidRPr="00EC2EFB">
        <w:t xml:space="preserve"> social compliance tools for businesses and trade associations, such as the mobile application Comply Chain, </w:t>
      </w:r>
      <w:r w:rsidR="10A1A9C1">
        <w:t xml:space="preserve">and the Better Trade Tool, an online accountability resource, </w:t>
      </w:r>
      <w:r w:rsidR="76904928" w:rsidRPr="00EC2EFB">
        <w:t>to raise awareness of risks and ensure that</w:t>
      </w:r>
      <w:r w:rsidR="5E8F8C1B" w:rsidRPr="00EC2EFB">
        <w:t xml:space="preserve"> g</w:t>
      </w:r>
      <w:r w:rsidR="4C9BFFF2">
        <w:t xml:space="preserve">oods produced </w:t>
      </w:r>
      <w:r w:rsidR="51F12FCB">
        <w:t>with child</w:t>
      </w:r>
      <w:r w:rsidR="76904928" w:rsidRPr="00EC2EFB">
        <w:t xml:space="preserve"> </w:t>
      </w:r>
      <w:r w:rsidR="6086DE70" w:rsidRPr="00EC2EFB">
        <w:t>f</w:t>
      </w:r>
      <w:r w:rsidR="76904928" w:rsidRPr="00EC2EFB">
        <w:t>orced labor</w:t>
      </w:r>
      <w:r w:rsidR="0401D931" w:rsidRPr="00EC2EFB">
        <w:t xml:space="preserve"> </w:t>
      </w:r>
      <w:r w:rsidR="76904928" w:rsidRPr="00EC2EFB">
        <w:t>are not in global supply chains.</w:t>
      </w:r>
      <w:r w:rsidR="2E8688F3" w:rsidRPr="00EC2EFB">
        <w:t xml:space="preserve"> </w:t>
      </w:r>
      <w:r w:rsidR="10A1A9C1">
        <w:t xml:space="preserve">In May 2021, DOL collaborated with </w:t>
      </w:r>
      <w:r w:rsidR="40B4F8DE">
        <w:t>DOS</w:t>
      </w:r>
      <w:r w:rsidR="10A1A9C1">
        <w:t xml:space="preserve">, </w:t>
      </w:r>
      <w:r w:rsidR="4324A884">
        <w:t>USAID</w:t>
      </w:r>
      <w:r w:rsidR="10A1A9C1">
        <w:t xml:space="preserve">, and </w:t>
      </w:r>
      <w:r w:rsidR="2BE505BF">
        <w:t>USTR</w:t>
      </w:r>
      <w:r w:rsidR="10A1A9C1">
        <w:t xml:space="preserve"> to submit the U.S. Action Pledge for the UN International Year for the Elimination of Child Labor. In this pledge, DOL committed to </w:t>
      </w:r>
      <w:r w:rsidR="10A1A9C1" w:rsidRPr="00FA09D9">
        <w:rPr>
          <w:color w:val="212121"/>
          <w:shd w:val="clear" w:color="auto" w:fill="FFFFFF"/>
        </w:rPr>
        <w:t>provid</w:t>
      </w:r>
      <w:r w:rsidR="72507909" w:rsidRPr="6799215C">
        <w:rPr>
          <w:color w:val="212121"/>
        </w:rPr>
        <w:t>e</w:t>
      </w:r>
      <w:r w:rsidR="10A1A9C1" w:rsidRPr="00FA09D9">
        <w:rPr>
          <w:color w:val="212121"/>
          <w:shd w:val="clear" w:color="auto" w:fill="FFFFFF"/>
        </w:rPr>
        <w:t xml:space="preserve"> $57 million during 2021 to accelerate action internationally to eliminate child labor and forced labor</w:t>
      </w:r>
      <w:r w:rsidR="10A1A9C1">
        <w:t xml:space="preserve">. </w:t>
      </w:r>
      <w:r w:rsidR="2E8688F3" w:rsidRPr="00EC2EFB">
        <w:t>In carrying out this wor</w:t>
      </w:r>
      <w:r w:rsidR="573A9AAB" w:rsidRPr="00EC2EFB">
        <w:t xml:space="preserve">k, DOL works with DOJ, DHS, HHS, Treasury, </w:t>
      </w:r>
      <w:r w:rsidR="2C7005F5">
        <w:t xml:space="preserve">USTR, </w:t>
      </w:r>
      <w:r w:rsidR="5C27BB1A">
        <w:t>DOS</w:t>
      </w:r>
      <w:r w:rsidR="45C85686" w:rsidRPr="6799215C">
        <w:t xml:space="preserve">, USAID, </w:t>
      </w:r>
      <w:r w:rsidR="2E8688F3" w:rsidRPr="00EC2EFB">
        <w:t>and many other government agencie</w:t>
      </w:r>
      <w:r w:rsidR="7C14DD17" w:rsidRPr="00EC2EFB">
        <w:t xml:space="preserve">s, non-governmental entities, </w:t>
      </w:r>
      <w:r w:rsidR="557C8702" w:rsidRPr="00EC2EFB">
        <w:t>and</w:t>
      </w:r>
      <w:r w:rsidR="2E8688F3" w:rsidRPr="00EC2EFB">
        <w:t xml:space="preserve"> foreign government</w:t>
      </w:r>
      <w:r w:rsidR="7C14DD17" w:rsidRPr="00EC2EFB">
        <w:t>s</w:t>
      </w:r>
      <w:r w:rsidR="2E8688F3" w:rsidRPr="00EC2EFB">
        <w:t>.</w:t>
      </w:r>
      <w:r w:rsidR="7D1FD010">
        <w:t xml:space="preserve"> Internationally, the U.S. Accelerating Protection and Care for Children in Adversity (APCCA) Strategy also guides a wh</w:t>
      </w:r>
      <w:r w:rsidR="0D365378">
        <w:t>o</w:t>
      </w:r>
      <w:r w:rsidR="7D1FD010">
        <w:t>le</w:t>
      </w:r>
      <w:r w:rsidR="2E42D85F">
        <w:t>-</w:t>
      </w:r>
      <w:r w:rsidR="7D1FD010">
        <w:t>of</w:t>
      </w:r>
      <w:r w:rsidR="786A04EB">
        <w:t>-</w:t>
      </w:r>
      <w:r w:rsidR="7D1FD010">
        <w:t xml:space="preserve">government approach to investing in the development, care, dignity, and safety of the world’s most vulnerable children and their families. </w:t>
      </w:r>
    </w:p>
    <w:p w14:paraId="364572E6" w14:textId="17F9B87D" w:rsidR="00EA7D04" w:rsidRPr="00CB0678" w:rsidRDefault="697126DE" w:rsidP="000A7B48">
      <w:pPr>
        <w:ind w:left="0" w:firstLine="0"/>
      </w:pPr>
      <w:r w:rsidRPr="5C531F67">
        <w:t>DOJ</w:t>
      </w:r>
      <w:r w:rsidR="78F291BC" w:rsidRPr="5C531F67">
        <w:t>’s</w:t>
      </w:r>
      <w:r w:rsidRPr="5C531F67">
        <w:t xml:space="preserve"> Office of Juvenile Justice and Delinquency Prevention’s (</w:t>
      </w:r>
      <w:r w:rsidR="35460164" w:rsidRPr="5C531F67">
        <w:t>OJJDP</w:t>
      </w:r>
      <w:r w:rsidRPr="5C531F67">
        <w:t>)</w:t>
      </w:r>
      <w:r w:rsidR="35460164" w:rsidRPr="5C531F67">
        <w:t xml:space="preserve"> Internet Crimes Against Children Task Force Program (ICAC) hel</w:t>
      </w:r>
      <w:r w:rsidRPr="5C531F67">
        <w:t>p</w:t>
      </w:r>
      <w:r w:rsidR="35460164" w:rsidRPr="5C531F67">
        <w:t>s state</w:t>
      </w:r>
      <w:r w:rsidR="00EA7D04" w:rsidRPr="5C531F67">
        <w:t>,</w:t>
      </w:r>
      <w:r w:rsidR="35460164" w:rsidRPr="5C531F67">
        <w:t xml:space="preserve"> local</w:t>
      </w:r>
      <w:r w:rsidR="00EA7D04" w:rsidRPr="5C531F67">
        <w:t>, and tribal</w:t>
      </w:r>
      <w:r w:rsidR="35460164" w:rsidRPr="5C531F67">
        <w:t xml:space="preserve"> law enforcement agencies develop effective re</w:t>
      </w:r>
      <w:r w:rsidRPr="5C531F67">
        <w:t>s</w:t>
      </w:r>
      <w:r w:rsidR="35460164" w:rsidRPr="5C531F67">
        <w:t>ponses to technology-facilitated child sexual exploitation and int</w:t>
      </w:r>
      <w:r w:rsidRPr="5C531F67">
        <w:t xml:space="preserve">ernet crimes against children. </w:t>
      </w:r>
      <w:r w:rsidR="7565E210" w:rsidRPr="5C531F67">
        <w:t>The ICAC program involves</w:t>
      </w:r>
      <w:r w:rsidR="35460164" w:rsidRPr="5C531F67">
        <w:t xml:space="preserve"> a national network of 61 coordinated task forces representing more than 5,400 federal, state, local</w:t>
      </w:r>
      <w:r w:rsidR="00EA7D04" w:rsidRPr="5C531F67">
        <w:t>, and tribal</w:t>
      </w:r>
      <w:r w:rsidR="35460164" w:rsidRPr="5C531F67">
        <w:t xml:space="preserve"> law enforcement and prosecutorial agencies engaged in proactive and reactive investigations, forensic investigations, and criminal prose</w:t>
      </w:r>
      <w:r w:rsidRPr="5C531F67">
        <w:t>cutions.</w:t>
      </w:r>
      <w:r w:rsidR="35460164" w:rsidRPr="5C531F67">
        <w:t xml:space="preserve"> OJJDP’s FY</w:t>
      </w:r>
      <w:r w:rsidRPr="5C531F67">
        <w:t xml:space="preserve"> 2020 National AMBER Alert Trai</w:t>
      </w:r>
      <w:r w:rsidR="35460164" w:rsidRPr="5C531F67">
        <w:t>ning and Technical Assistance Program is a partnership of law enforcement, broadcasters and media, transportation agencies, emergency centers, other public safety agencies, and child protection organizations and professionals dedicated to recovering endangered</w:t>
      </w:r>
      <w:r w:rsidR="35DFBB4B" w:rsidRPr="5C531F67">
        <w:t>,</w:t>
      </w:r>
      <w:r w:rsidR="35460164" w:rsidRPr="5C531F67">
        <w:t xml:space="preserve"> missing</w:t>
      </w:r>
      <w:r w:rsidR="2A41DF59" w:rsidRPr="5C531F67">
        <w:t>,</w:t>
      </w:r>
      <w:r w:rsidR="35460164" w:rsidRPr="5C531F67">
        <w:t xml:space="preserve"> and abducted children</w:t>
      </w:r>
      <w:r w:rsidRPr="5C531F67">
        <w:t>. OJJDP also supports organizations that provide mentoring services for children and youth who are victims of commercial sexual exploitation</w:t>
      </w:r>
      <w:r w:rsidR="30CDDD36" w:rsidRPr="5C531F67">
        <w:t xml:space="preserve"> and domestic sex trafficking. In addition, t</w:t>
      </w:r>
      <w:r w:rsidRPr="5C531F67">
        <w:t xml:space="preserve">he National Council of Juvenile </w:t>
      </w:r>
      <w:r w:rsidR="30CDDD36" w:rsidRPr="5C531F67">
        <w:t>and Family Court Judges has</w:t>
      </w:r>
      <w:r w:rsidRPr="5C531F67">
        <w:t xml:space="preserve"> created a National Judicial Institute on Domestic Child Sex Trafficking and a curriculum to help judicial officers better understand the dynamics of domestic child sex trafficking, the applicable law and legal considerations, and how to identify children at risk.</w:t>
      </w:r>
      <w:r w:rsidR="528ED210" w:rsidRPr="5C531F67">
        <w:t xml:space="preserve"> With DOJ funding, the National Resource Center and Clearinghouse (NRCC), operated by NCMEC, is designed to help prevent child abduction and sexual exploitation, and to provide technical assistance to victims, their families, and the professionals who serve them. NCMEC operates a 24-hour toll-free Missing Children’s Hotline and a CyberTipline, the nation’s centralized reporting system for online exploitation of children.</w:t>
      </w:r>
      <w:r w:rsidR="09107785" w:rsidRPr="5C531F67">
        <w:t xml:space="preserve"> Of the more than 26,500 endangered runaway </w:t>
      </w:r>
      <w:r w:rsidR="54478612" w:rsidRPr="5C531F67">
        <w:t xml:space="preserve">children </w:t>
      </w:r>
      <w:r w:rsidR="09107785" w:rsidRPr="5C531F67">
        <w:t>reported to NCMEC in 2020, one in six were likely victims of child sex trafficking.</w:t>
      </w:r>
      <w:r w:rsidR="00EA7D04" w:rsidRPr="5C531F67">
        <w:t xml:space="preserve"> OJJDP, through its FY 2021 Children’s Advocacy Centers (CACs) National Subgrants program, plans to fund the National Children’s Alliance to support local CACs, state chapters, and multidisciplinary teams that provide </w:t>
      </w:r>
      <w:r w:rsidR="5B3DC040" w:rsidRPr="5C531F67">
        <w:t xml:space="preserve">a </w:t>
      </w:r>
      <w:r w:rsidR="00EA7D04" w:rsidRPr="5C531F67">
        <w:t>coordinated investigation and comprehensive response to child abuse, specifically to provide services and improve the response to children who are victims of child pornography, including those victims of child pornography who are also victims of commercial sex trafficking.</w:t>
      </w:r>
    </w:p>
    <w:p w14:paraId="2484B190" w14:textId="05755907" w:rsidR="00550DAF" w:rsidRDefault="39EE3711" w:rsidP="000A7B48">
      <w:pPr>
        <w:ind w:left="0" w:firstLine="0"/>
      </w:pPr>
      <w:r w:rsidRPr="4514C18F">
        <w:t xml:space="preserve">Services and assistance to child victims of trafficking are also available from HHS and other federal, state, </w:t>
      </w:r>
      <w:r w:rsidR="00EA7D04" w:rsidRPr="4514C18F">
        <w:t xml:space="preserve">tribal, </w:t>
      </w:r>
      <w:r w:rsidRPr="4514C18F">
        <w:t xml:space="preserve">and community funded programs. </w:t>
      </w:r>
      <w:r w:rsidR="642FFB60" w:rsidRPr="4514C18F">
        <w:t>HHS</w:t>
      </w:r>
      <w:r w:rsidR="00EC0B1B" w:rsidRPr="4514C18F">
        <w:t>/</w:t>
      </w:r>
      <w:r w:rsidR="00B07FDF" w:rsidRPr="4514C18F">
        <w:t>ACF</w:t>
      </w:r>
      <w:r w:rsidR="642FFB60" w:rsidRPr="4514C18F">
        <w:t xml:space="preserve"> </w:t>
      </w:r>
      <w:r w:rsidR="25ED3F8A" w:rsidRPr="4514C18F">
        <w:t>uses</w:t>
      </w:r>
      <w:r w:rsidR="642FFB60" w:rsidRPr="4514C18F">
        <w:t xml:space="preserve"> a </w:t>
      </w:r>
      <w:r w:rsidR="25ED3F8A" w:rsidRPr="4514C18F">
        <w:t xml:space="preserve">gender-responsive, </w:t>
      </w:r>
      <w:r w:rsidR="642FFB60" w:rsidRPr="4514C18F">
        <w:t>trauma-informed approach to victims’ services</w:t>
      </w:r>
      <w:r w:rsidR="25ED3F8A" w:rsidRPr="4514C18F">
        <w:t>, based on</w:t>
      </w:r>
      <w:r w:rsidR="642FFB60" w:rsidRPr="4514C18F">
        <w:t xml:space="preserve"> trauma-informed work with children</w:t>
      </w:r>
      <w:r w:rsidR="25ED3F8A" w:rsidRPr="4514C18F">
        <w:t xml:space="preserve">, and developed with the National Center for Trauma-Informed Care. </w:t>
      </w:r>
      <w:r w:rsidR="003D0C85" w:rsidRPr="4514C18F">
        <w:t>The ACF</w:t>
      </w:r>
      <w:r w:rsidR="00EC0B1B" w:rsidRPr="4514C18F">
        <w:t>/</w:t>
      </w:r>
      <w:r w:rsidR="003D0C85" w:rsidRPr="4514C18F">
        <w:t xml:space="preserve">FYSB has developed multiple technical resources to build the capacity of funded programs serving runaway and homeless youth and youth at-risk. These include resources on human trafficking online recruitment, labor trafficking among runaway and homeless youth, trauma-informed response to youth victims of sex trafficking, and human trafficking prevention among </w:t>
      </w:r>
      <w:r w:rsidR="00B07FDF" w:rsidRPr="4514C18F">
        <w:t>runaway and homeless youth</w:t>
      </w:r>
      <w:r w:rsidR="003D0C85" w:rsidRPr="4514C18F">
        <w:t xml:space="preserve"> settings. In FY21, FYSB partnered with Thorn, a national organization working to address online sexual exploitation of children and youth, to facilitate a training focusing on online challenges impacting young people, such as sextortion and sexting. HHS incorporates content on trauma-informed responses in its</w:t>
      </w:r>
      <w:r w:rsidR="47B9ED1A" w:rsidRPr="4514C18F">
        <w:t xml:space="preserve"> Stop, Observe, Ask, Respond</w:t>
      </w:r>
      <w:r w:rsidR="003D0C85" w:rsidRPr="4514C18F">
        <w:t xml:space="preserve"> </w:t>
      </w:r>
      <w:r w:rsidR="6DB4C793" w:rsidRPr="4514C18F">
        <w:t>(</w:t>
      </w:r>
      <w:r w:rsidR="003D0C85" w:rsidRPr="4514C18F">
        <w:t>SOAR</w:t>
      </w:r>
      <w:r w:rsidR="6C6F81D2" w:rsidRPr="4514C18F">
        <w:t>)</w:t>
      </w:r>
      <w:r w:rsidR="003D0C85" w:rsidRPr="4514C18F">
        <w:t xml:space="preserve"> trainings on human trafficking for healthcare and human services providers. In 2021, HHS released the Core Competencies for Anti-Trafficking Response in Health Care and Behavior Health Systems, which incorporates trauma-informed responses.</w:t>
      </w:r>
      <w:r w:rsidR="35460164" w:rsidRPr="4514C18F">
        <w:t xml:space="preserve"> </w:t>
      </w:r>
      <w:r w:rsidR="39DFAFDE" w:rsidRPr="4514C18F">
        <w:t>The T</w:t>
      </w:r>
      <w:r w:rsidR="00B07FDF" w:rsidRPr="4514C18F">
        <w:t>VPA</w:t>
      </w:r>
      <w:r w:rsidR="39DFAFDE" w:rsidRPr="4514C18F">
        <w:t xml:space="preserve"> of 2000 also authorized HHS to certify foreign victims of severe forms of trafficking in persons, making these individuals eligible for federally</w:t>
      </w:r>
      <w:r w:rsidR="00475424">
        <w:t xml:space="preserve"> </w:t>
      </w:r>
      <w:r w:rsidR="39DFAFDE" w:rsidRPr="4514C18F">
        <w:t>funded benefits and services to the same extent as refugees.</w:t>
      </w:r>
      <w:r w:rsidR="2EB06257" w:rsidRPr="4514C18F">
        <w:t xml:space="preserve"> Every state has a state Refugee Coordinator or Regional Representative who oversees benefits for trafficking victims </w:t>
      </w:r>
      <w:r w:rsidR="49721039" w:rsidRPr="4514C18F">
        <w:t xml:space="preserve">as well as refugees and other populations. </w:t>
      </w:r>
      <w:r w:rsidR="275EE6A4" w:rsidRPr="4514C18F">
        <w:t>In addition, services are provided by state governments, and non-governmental and community organizations.</w:t>
      </w:r>
    </w:p>
    <w:p w14:paraId="3A2D3491" w14:textId="4214AD2B" w:rsidR="000C6359" w:rsidRPr="00012D40" w:rsidRDefault="275EE6A4" w:rsidP="000A7B48">
      <w:pPr>
        <w:ind w:left="0" w:firstLine="0"/>
      </w:pPr>
      <w:r w:rsidRPr="4514C18F">
        <w:rPr>
          <w:b/>
          <w:bCs/>
        </w:rPr>
        <w:t xml:space="preserve">Coordination and </w:t>
      </w:r>
      <w:r w:rsidR="003C5D5A">
        <w:rPr>
          <w:b/>
          <w:bCs/>
        </w:rPr>
        <w:t>E</w:t>
      </w:r>
      <w:r w:rsidR="003C5D5A" w:rsidRPr="4514C18F">
        <w:rPr>
          <w:b/>
          <w:bCs/>
        </w:rPr>
        <w:t>valuation</w:t>
      </w:r>
      <w:r w:rsidRPr="4514C18F">
        <w:rPr>
          <w:b/>
          <w:bCs/>
        </w:rPr>
        <w:t xml:space="preserve">.  </w:t>
      </w:r>
      <w:r w:rsidR="2EFAE09E" w:rsidRPr="4514C18F">
        <w:t>In our federal system,</w:t>
      </w:r>
      <w:r w:rsidR="75035B42" w:rsidRPr="4514C18F">
        <w:t xml:space="preserve"> numerous </w:t>
      </w:r>
      <w:r w:rsidR="0FFD8A9C" w:rsidRPr="4514C18F">
        <w:t xml:space="preserve">actors </w:t>
      </w:r>
      <w:r w:rsidR="75035B42" w:rsidRPr="4514C18F">
        <w:t>at various</w:t>
      </w:r>
      <w:r w:rsidR="2487778A" w:rsidRPr="4514C18F">
        <w:t xml:space="preserve"> governmental levels </w:t>
      </w:r>
      <w:r w:rsidR="2EFAE09E" w:rsidRPr="4514C18F">
        <w:t xml:space="preserve">and in non-governmental organizations </w:t>
      </w:r>
      <w:r w:rsidR="75035B42" w:rsidRPr="4514C18F">
        <w:t xml:space="preserve">are </w:t>
      </w:r>
      <w:r w:rsidR="2487778A" w:rsidRPr="4514C18F">
        <w:t>involved in the prevention and prohibition of child trafficking</w:t>
      </w:r>
      <w:r w:rsidR="00EA7D04" w:rsidRPr="4514C18F">
        <w:t xml:space="preserve"> and exploitation</w:t>
      </w:r>
      <w:r w:rsidR="2487778A" w:rsidRPr="4514C18F">
        <w:t xml:space="preserve"> and the </w:t>
      </w:r>
      <w:r w:rsidR="6C293721" w:rsidRPr="4514C18F">
        <w:t xml:space="preserve">restoration </w:t>
      </w:r>
      <w:r w:rsidR="2487778A" w:rsidRPr="4514C18F">
        <w:t xml:space="preserve">and reintegration of child victims. </w:t>
      </w:r>
      <w:r w:rsidRPr="4514C18F">
        <w:t xml:space="preserve">The </w:t>
      </w:r>
      <w:r w:rsidR="4AA21828" w:rsidRPr="4514C18F">
        <w:t xml:space="preserve">role of the </w:t>
      </w:r>
      <w:r w:rsidR="75035B42" w:rsidRPr="4514C18F">
        <w:t xml:space="preserve">DOJ </w:t>
      </w:r>
      <w:r w:rsidRPr="4514C18F">
        <w:t>National Coordinator for Child Exploitation Prevent</w:t>
      </w:r>
      <w:r w:rsidR="75035B42" w:rsidRPr="4514C18F">
        <w:t>ion and Interdiction</w:t>
      </w:r>
      <w:r w:rsidR="00A01030" w:rsidRPr="4514C18F">
        <w:t xml:space="preserve"> </w:t>
      </w:r>
      <w:r w:rsidR="75035B42" w:rsidRPr="4514C18F">
        <w:t xml:space="preserve">is to establish clear policy and </w:t>
      </w:r>
      <w:r w:rsidR="009D1578" w:rsidRPr="4514C18F">
        <w:t>programmatic directions for DOJ</w:t>
      </w:r>
      <w:r w:rsidR="43BEA6DA" w:rsidRPr="4514C18F">
        <w:t xml:space="preserve"> </w:t>
      </w:r>
      <w:r w:rsidR="75035B42" w:rsidRPr="4514C18F">
        <w:t>and to coordinat</w:t>
      </w:r>
      <w:r w:rsidR="00EA7D04" w:rsidRPr="4514C18F">
        <w:t>e</w:t>
      </w:r>
      <w:r w:rsidR="75035B42" w:rsidRPr="4514C18F">
        <w:t xml:space="preserve"> </w:t>
      </w:r>
      <w:r w:rsidR="00EA7D04" w:rsidRPr="4514C18F">
        <w:t xml:space="preserve">implementation of </w:t>
      </w:r>
      <w:r w:rsidR="616B59ED" w:rsidRPr="4514C18F">
        <w:t xml:space="preserve">that </w:t>
      </w:r>
      <w:r w:rsidR="75035B42" w:rsidRPr="4514C18F">
        <w:t xml:space="preserve">policy and </w:t>
      </w:r>
      <w:r w:rsidR="616B59ED" w:rsidRPr="4514C18F">
        <w:t xml:space="preserve">the </w:t>
      </w:r>
      <w:r w:rsidR="75035B42" w:rsidRPr="4514C18F">
        <w:t>activities</w:t>
      </w:r>
      <w:r w:rsidR="616B59ED" w:rsidRPr="4514C18F">
        <w:t xml:space="preserve"> </w:t>
      </w:r>
      <w:r w:rsidR="00EA7D04" w:rsidRPr="4514C18F">
        <w:t>with relevant stakeholders, including</w:t>
      </w:r>
      <w:r w:rsidR="75035B42" w:rsidRPr="4514C18F">
        <w:t xml:space="preserve"> the federal governmen</w:t>
      </w:r>
      <w:r w:rsidR="616B59ED" w:rsidRPr="4514C18F">
        <w:t>t,</w:t>
      </w:r>
      <w:r w:rsidR="75035B42" w:rsidRPr="4514C18F">
        <w:t xml:space="preserve"> other levels of government – states, territories, and tribal governments</w:t>
      </w:r>
      <w:r w:rsidR="2B6D458A" w:rsidRPr="4514C18F">
        <w:t xml:space="preserve"> –</w:t>
      </w:r>
      <w:r w:rsidR="00B83137" w:rsidRPr="4514C18F">
        <w:t xml:space="preserve"> </w:t>
      </w:r>
      <w:r w:rsidR="616B59ED" w:rsidRPr="4514C18F">
        <w:t>and non-governmental organizations working in the area</w:t>
      </w:r>
      <w:r w:rsidR="75035B42" w:rsidRPr="4514C18F">
        <w:t>.</w:t>
      </w:r>
      <w:r w:rsidR="2EFAE09E" w:rsidRPr="4514C18F">
        <w:t xml:space="preserve"> More specifically, </w:t>
      </w:r>
      <w:r w:rsidR="00EA7D04" w:rsidRPr="4514C18F">
        <w:t xml:space="preserve">to achieve policy objectives to improve the response to child exploitation, </w:t>
      </w:r>
      <w:r w:rsidR="2EFAE09E" w:rsidRPr="4514C18F">
        <w:t xml:space="preserve">the National Coordinator </w:t>
      </w:r>
      <w:r w:rsidR="00EA7D04" w:rsidRPr="4514C18F">
        <w:t>cooperates and coordinates with</w:t>
      </w:r>
      <w:r w:rsidR="2EFAE09E" w:rsidRPr="4514C18F">
        <w:t xml:space="preserve"> law enforcement (international, federal, state, </w:t>
      </w:r>
      <w:r w:rsidR="6B338356" w:rsidRPr="4514C18F">
        <w:t xml:space="preserve">territorial, </w:t>
      </w:r>
      <w:r w:rsidR="2EFAE09E" w:rsidRPr="4514C18F">
        <w:t xml:space="preserve">local and tribal), prosecutors (federal, state, </w:t>
      </w:r>
      <w:r w:rsidR="488ED382" w:rsidRPr="4514C18F">
        <w:t xml:space="preserve">territorial, </w:t>
      </w:r>
      <w:r w:rsidR="2EFAE09E" w:rsidRPr="4514C18F">
        <w:t>local and tribal), victim and witness coordinators, non-governmental organizations, probation offices, child advocacy centers, private sector entities, schools, child welfare agencies, academic</w:t>
      </w:r>
      <w:r w:rsidR="550DD083" w:rsidRPr="4514C18F">
        <w:t xml:space="preserve"> institutions</w:t>
      </w:r>
      <w:r w:rsidR="2EFAE09E" w:rsidRPr="4514C18F">
        <w:t>, religious organizations, hospitals</w:t>
      </w:r>
      <w:r w:rsidR="00475424">
        <w:t>,</w:t>
      </w:r>
      <w:r w:rsidR="2EFAE09E" w:rsidRPr="4514C18F">
        <w:t xml:space="preserve"> and civil legal service providers. Governm</w:t>
      </w:r>
      <w:r w:rsidR="00B83137" w:rsidRPr="4514C18F">
        <w:t xml:space="preserve">ental agencies at all levels </w:t>
      </w:r>
      <w:r w:rsidR="00EA7D04" w:rsidRPr="4514C18F">
        <w:t>regularly work</w:t>
      </w:r>
      <w:r w:rsidR="2EFAE09E" w:rsidRPr="4514C18F">
        <w:t xml:space="preserve"> with non-governmental organization</w:t>
      </w:r>
      <w:r w:rsidR="00836DA5" w:rsidRPr="4514C18F">
        <w:t>s.</w:t>
      </w:r>
    </w:p>
    <w:p w14:paraId="7328CEA3" w14:textId="1215E526" w:rsidR="00D93292" w:rsidRPr="00012D40" w:rsidRDefault="7C1D6083" w:rsidP="000A7B48">
      <w:pPr>
        <w:ind w:left="0" w:firstLine="0"/>
      </w:pPr>
      <w:r w:rsidRPr="12383FEE">
        <w:t xml:space="preserve">Despite unprecedented challenges, </w:t>
      </w:r>
      <w:r w:rsidR="6840D79A" w:rsidRPr="12383FEE">
        <w:t>t</w:t>
      </w:r>
      <w:r w:rsidR="6E368CB3" w:rsidRPr="12383FEE">
        <w:t xml:space="preserve">he United States took strong measures to ensure the effectiveness of its </w:t>
      </w:r>
      <w:r w:rsidR="5EAA3ADB" w:rsidRPr="12383FEE">
        <w:t xml:space="preserve">coordination </w:t>
      </w:r>
      <w:r w:rsidR="6E368CB3" w:rsidRPr="12383FEE">
        <w:t xml:space="preserve">efforts </w:t>
      </w:r>
      <w:r w:rsidR="49C175F8" w:rsidRPr="12383FEE">
        <w:t xml:space="preserve">in this area </w:t>
      </w:r>
      <w:r w:rsidR="6E368CB3" w:rsidRPr="12383FEE">
        <w:t xml:space="preserve">during the COVID-19 pandemic. Based on consultations with local government and NGOs nationwide, DOJ and HHS published comprehensive resource guides for grantees on how to operate, provide services, and manage grants during COVID-19. </w:t>
      </w:r>
      <w:r w:rsidR="000F4E61">
        <w:t xml:space="preserve">Additionally, DOJ provided </w:t>
      </w:r>
      <w:r w:rsidR="000F4E61" w:rsidRPr="007A72F2">
        <w:t xml:space="preserve">additional flexibilities </w:t>
      </w:r>
      <w:r w:rsidR="000F4E61">
        <w:t xml:space="preserve">in its grants administration requirements </w:t>
      </w:r>
      <w:r w:rsidR="000F4E61" w:rsidRPr="007A72F2">
        <w:t xml:space="preserve">to provide relief to funding recipients affected by the loss of operational capacity and increased costs due to the COVID-19 crisis. </w:t>
      </w:r>
      <w:r w:rsidR="6E368CB3" w:rsidRPr="12383FEE">
        <w:t xml:space="preserve">DOL published </w:t>
      </w:r>
      <w:r w:rsidR="00595491">
        <w:t>recommendations</w:t>
      </w:r>
      <w:r w:rsidR="6E368CB3" w:rsidRPr="12383FEE">
        <w:t xml:space="preserve"> for governments and other stakeholders to protect children at heightened risk of labor exploitation during the pandemic. </w:t>
      </w:r>
      <w:r w:rsidR="00595491">
        <w:t>Through their</w:t>
      </w:r>
      <w:r w:rsidR="00595491" w:rsidRPr="00FA09D9">
        <w:rPr>
          <w:color w:val="212121"/>
          <w:shd w:val="clear" w:color="auto" w:fill="FFFFFF"/>
        </w:rPr>
        <w:t xml:space="preserve"> field programs</w:t>
      </w:r>
      <w:r w:rsidR="00595491">
        <w:rPr>
          <w:color w:val="212121"/>
          <w:shd w:val="clear" w:color="auto" w:fill="FFFFFF"/>
        </w:rPr>
        <w:t>, DOL also implemented</w:t>
      </w:r>
      <w:r w:rsidR="00595491" w:rsidRPr="00FA09D9">
        <w:rPr>
          <w:color w:val="212121"/>
          <w:shd w:val="clear" w:color="auto" w:fill="FFFFFF"/>
        </w:rPr>
        <w:t xml:space="preserve"> targeted efforts to raise awareness of the danger posed by the virus and how it may be increasing vulnerability to exploitative labor</w:t>
      </w:r>
      <w:r w:rsidR="7E204E9D" w:rsidRPr="00FA09D9">
        <w:rPr>
          <w:color w:val="212121"/>
          <w:shd w:val="clear" w:color="auto" w:fill="FFFFFF"/>
        </w:rPr>
        <w:t xml:space="preserve"> practices</w:t>
      </w:r>
      <w:r w:rsidR="00595491">
        <w:rPr>
          <w:color w:val="212121"/>
          <w:shd w:val="clear" w:color="auto" w:fill="FFFFFF"/>
        </w:rPr>
        <w:t>.</w:t>
      </w:r>
      <w:r w:rsidR="00595491">
        <w:t xml:space="preserve"> </w:t>
      </w:r>
      <w:r w:rsidR="6E368CB3" w:rsidRPr="12383FEE">
        <w:t>The National Human Trafficking Hotline, funded by HHS, transitioned to full remote operations with no disruption in services and found creative solutions for individuals in lockdown areas through partnerships with the business community to ens</w:t>
      </w:r>
      <w:r w:rsidR="38D0AD68" w:rsidRPr="12383FEE">
        <w:t xml:space="preserve">ure victims access to shelter. </w:t>
      </w:r>
      <w:r w:rsidR="6E368CB3" w:rsidRPr="12383FEE">
        <w:t xml:space="preserve">The number of emergency trafficking cases </w:t>
      </w:r>
      <w:r w:rsidR="003D0C85">
        <w:t>reported to</w:t>
      </w:r>
      <w:r w:rsidR="6E368CB3" w:rsidRPr="12383FEE">
        <w:t xml:space="preserve"> the Hotline increased by more than 40 percent in the </w:t>
      </w:r>
      <w:r w:rsidR="23A04CF9" w:rsidRPr="12383FEE">
        <w:t xml:space="preserve">first </w:t>
      </w:r>
      <w:r w:rsidR="6E368CB3" w:rsidRPr="12383FEE">
        <w:t>month following shelter-in-place orders</w:t>
      </w:r>
      <w:r w:rsidR="1D44BB15" w:rsidRPr="12383FEE">
        <w:t xml:space="preserve"> in 2020</w:t>
      </w:r>
      <w:r w:rsidR="003D0C85">
        <w:t xml:space="preserve"> when comparing post-shelter-in-place with pre-shelter-in-place times in 2019 and 2020</w:t>
      </w:r>
      <w:r w:rsidR="6E368CB3" w:rsidRPr="12383FEE">
        <w:t>. DOJ, DHS, a</w:t>
      </w:r>
      <w:r w:rsidR="36BDEE6A" w:rsidRPr="12383FEE">
        <w:t>n</w:t>
      </w:r>
      <w:r w:rsidR="6E368CB3" w:rsidRPr="12383FEE">
        <w:t>d DOS, along with the other countries in the Five Country Ministerial</w:t>
      </w:r>
      <w:r w:rsidR="00475424">
        <w:t>—</w:t>
      </w:r>
      <w:r w:rsidR="6E368CB3" w:rsidRPr="12383FEE">
        <w:t>Australia, Canada, New Zealand, and the United Kingdom</w:t>
      </w:r>
      <w:r w:rsidR="00475424">
        <w:t>—</w:t>
      </w:r>
      <w:r w:rsidR="6E368CB3" w:rsidRPr="12383FEE">
        <w:t>consulted with leading tech companies on development of public service announcements to prevent and respond to online exploitation, including chi</w:t>
      </w:r>
      <w:r w:rsidR="38D0AD68" w:rsidRPr="12383FEE">
        <w:t xml:space="preserve">ld sex trafficking. </w:t>
      </w:r>
      <w:r w:rsidR="6E368CB3" w:rsidRPr="12383FEE">
        <w:t>DHS expanded its internet safety messaging for children in response to traffickers’ increased use of t</w:t>
      </w:r>
      <w:r w:rsidR="38D0AD68" w:rsidRPr="12383FEE">
        <w:t xml:space="preserve">he internet to reach children. </w:t>
      </w:r>
      <w:r w:rsidR="000D3AC6" w:rsidRPr="12383FEE">
        <w:t>In FY 202</w:t>
      </w:r>
      <w:r w:rsidR="000D3AC6">
        <w:t>1</w:t>
      </w:r>
      <w:r w:rsidR="000D3AC6" w:rsidRPr="12383FEE">
        <w:t xml:space="preserve">, U.S. Immigration and Customs Enforcement Homeland Security Investigations (ICE/HSI) </w:t>
      </w:r>
      <w:r w:rsidR="000D3AC6">
        <w:t xml:space="preserve">provided in-person and virtual Project </w:t>
      </w:r>
      <w:r w:rsidR="000D3AC6" w:rsidRPr="12383FEE">
        <w:t xml:space="preserve">iGuardian </w:t>
      </w:r>
      <w:r w:rsidR="000D3AC6">
        <w:t xml:space="preserve">campaign </w:t>
      </w:r>
      <w:r w:rsidR="000D3AC6" w:rsidRPr="12383FEE">
        <w:t>presentations, which focus</w:t>
      </w:r>
      <w:r w:rsidR="000D3AC6">
        <w:t>ed</w:t>
      </w:r>
      <w:r w:rsidR="000D3AC6" w:rsidRPr="12383FEE">
        <w:t xml:space="preserve"> on</w:t>
      </w:r>
      <w:r w:rsidR="000D3AC6">
        <w:t xml:space="preserve"> providing education and awareness to children, teens</w:t>
      </w:r>
      <w:r w:rsidR="00475424">
        <w:t>,</w:t>
      </w:r>
      <w:r w:rsidR="000D3AC6">
        <w:t xml:space="preserve"> and adults about the potential dangers of online environments and how to stay safe online, to over 58,000 participants. In FY 2020, </w:t>
      </w:r>
      <w:r w:rsidR="000D3AC6" w:rsidRPr="12383FEE">
        <w:t xml:space="preserve">ICE/HSI </w:t>
      </w:r>
      <w:r w:rsidR="000D3AC6">
        <w:t>partnered with news outlets to present targeted outreach campaigns</w:t>
      </w:r>
      <w:r w:rsidR="000D3AC6" w:rsidRPr="12383FEE">
        <w:t xml:space="preserve"> that focused on the protection of children from </w:t>
      </w:r>
      <w:r w:rsidR="000D3AC6">
        <w:t>online predators</w:t>
      </w:r>
      <w:r w:rsidR="000D3AC6" w:rsidRPr="12383FEE">
        <w:t>.</w:t>
      </w:r>
      <w:r w:rsidR="000D3AC6">
        <w:t xml:space="preserve"> These presentations aired live and were streamed online and via social media platforms, reaching tens of thousands of viewers.</w:t>
      </w:r>
      <w:r w:rsidR="000D3AC6" w:rsidRPr="12383FEE">
        <w:t xml:space="preserve"> </w:t>
      </w:r>
      <w:r w:rsidR="6E368CB3" w:rsidRPr="12383FEE">
        <w:t>DHS’s Blue Campaign purchas</w:t>
      </w:r>
      <w:r w:rsidR="7D8804F9" w:rsidRPr="12383FEE">
        <w:t xml:space="preserve">ed social media advertisements and </w:t>
      </w:r>
      <w:r w:rsidR="6E368CB3" w:rsidRPr="12383FEE">
        <w:t xml:space="preserve">directed </w:t>
      </w:r>
      <w:r w:rsidR="7D8804F9" w:rsidRPr="12383FEE">
        <w:t xml:space="preserve">viewers to iGuardian resources through the Blue Campaign online safety webpage, which received </w:t>
      </w:r>
      <w:r w:rsidR="000D3AC6">
        <w:t xml:space="preserve">over </w:t>
      </w:r>
      <w:r w:rsidR="7D8804F9" w:rsidRPr="12383FEE">
        <w:t>2</w:t>
      </w:r>
      <w:r w:rsidR="000D3AC6">
        <w:t>12</w:t>
      </w:r>
      <w:r w:rsidR="7D8804F9" w:rsidRPr="12383FEE">
        <w:t>,000 visi</w:t>
      </w:r>
      <w:r w:rsidR="36BDEE6A" w:rsidRPr="12383FEE">
        <w:t>ts from advertisements</w:t>
      </w:r>
      <w:r w:rsidR="42654162" w:rsidRPr="12383FEE">
        <w:t xml:space="preserve"> </w:t>
      </w:r>
      <w:r w:rsidR="00551046">
        <w:t>that ran from</w:t>
      </w:r>
      <w:r w:rsidR="000D3AC6">
        <w:t xml:space="preserve"> June 15 through September 5, 2020</w:t>
      </w:r>
      <w:r w:rsidR="36BDEE6A" w:rsidRPr="12383FEE">
        <w:t xml:space="preserve">. </w:t>
      </w:r>
      <w:r w:rsidR="3137D73F" w:rsidRPr="12383FEE">
        <w:t xml:space="preserve">In addition, </w:t>
      </w:r>
      <w:r w:rsidR="5B83844F" w:rsidRPr="12383FEE">
        <w:t xml:space="preserve">FBI </w:t>
      </w:r>
      <w:r w:rsidR="7D8804F9" w:rsidRPr="12383FEE">
        <w:t xml:space="preserve">Child/Adolescent Forensic Interviewers </w:t>
      </w:r>
      <w:r w:rsidR="000F4E61">
        <w:t xml:space="preserve">(CAFIs) </w:t>
      </w:r>
      <w:r w:rsidR="7D8804F9" w:rsidRPr="12383FEE">
        <w:t xml:space="preserve">developed </w:t>
      </w:r>
      <w:r w:rsidR="000F4E61">
        <w:t xml:space="preserve">and implemented </w:t>
      </w:r>
      <w:r w:rsidR="7D8804F9" w:rsidRPr="12383FEE">
        <w:t xml:space="preserve">a process </w:t>
      </w:r>
      <w:r w:rsidR="000F4E61">
        <w:t>that allowed victims to be forensically interviewed virtually, if needed</w:t>
      </w:r>
      <w:r w:rsidR="000F4E61" w:rsidRPr="12383FEE">
        <w:t xml:space="preserve">. </w:t>
      </w:r>
      <w:r w:rsidR="000F4E61">
        <w:t>CAFIs</w:t>
      </w:r>
      <w:r w:rsidR="000F4E61" w:rsidRPr="12383FEE">
        <w:t xml:space="preserve"> </w:t>
      </w:r>
      <w:r w:rsidR="000F4E61">
        <w:t>continued to operate and</w:t>
      </w:r>
      <w:r w:rsidR="7D8804F9" w:rsidRPr="12383FEE">
        <w:t xml:space="preserve"> condu</w:t>
      </w:r>
      <w:r w:rsidR="38D0AD68" w:rsidRPr="12383FEE">
        <w:t xml:space="preserve">ct remote </w:t>
      </w:r>
      <w:r w:rsidR="7D8804F9" w:rsidRPr="12383FEE">
        <w:t xml:space="preserve">victim and witness in-person interviews during </w:t>
      </w:r>
      <w:r w:rsidR="00475424">
        <w:t xml:space="preserve">the </w:t>
      </w:r>
      <w:r w:rsidR="7D8804F9" w:rsidRPr="12383FEE">
        <w:t>COVID-19</w:t>
      </w:r>
      <w:r w:rsidR="00475424">
        <w:t xml:space="preserve"> pandemic</w:t>
      </w:r>
      <w:r w:rsidR="7D8804F9" w:rsidRPr="12383FEE">
        <w:t xml:space="preserve"> with the use of personal protective equipment to prevent </w:t>
      </w:r>
      <w:r w:rsidR="000F4E61">
        <w:t>exposure</w:t>
      </w:r>
      <w:r w:rsidR="7D8804F9" w:rsidRPr="12383FEE">
        <w:t>.</w:t>
      </w:r>
      <w:r w:rsidR="6E368CB3" w:rsidRPr="12383FEE">
        <w:t xml:space="preserve"> </w:t>
      </w:r>
      <w:r w:rsidR="00F00F2C" w:rsidRPr="00F00F2C">
        <w:t xml:space="preserve">Furthermore, in early 2020, the </w:t>
      </w:r>
      <w:r w:rsidR="00F00F2C" w:rsidRPr="00551046">
        <w:t xml:space="preserve">HSI Victim Assistance Program developed tele-forensic interview protocols to be utilized by the Forensic Interview Specialists </w:t>
      </w:r>
      <w:r w:rsidR="00F00F2C" w:rsidRPr="00F00F2C">
        <w:t xml:space="preserve">to continue to conduct interviews during </w:t>
      </w:r>
      <w:r w:rsidR="7E047074" w:rsidRPr="00F00F2C">
        <w:t xml:space="preserve">the </w:t>
      </w:r>
      <w:r w:rsidR="00F00F2C" w:rsidRPr="00F00F2C">
        <w:t xml:space="preserve">COVID-19 </w:t>
      </w:r>
      <w:r w:rsidR="2FD9E308" w:rsidRPr="00F00F2C">
        <w:t xml:space="preserve">pandemic </w:t>
      </w:r>
      <w:r w:rsidR="00F00F2C" w:rsidRPr="00F00F2C">
        <w:t>with protective protocols in place.</w:t>
      </w:r>
    </w:p>
    <w:p w14:paraId="2BFE6E54" w14:textId="18455E8F" w:rsidR="00765E4F" w:rsidRPr="00D86DC3" w:rsidRDefault="2EFAE09E" w:rsidP="000A7B48">
      <w:pPr>
        <w:ind w:left="0" w:firstLine="0"/>
      </w:pPr>
      <w:r w:rsidRPr="696F7013">
        <w:rPr>
          <w:b/>
          <w:bCs/>
        </w:rPr>
        <w:t xml:space="preserve">Dissemination, </w:t>
      </w:r>
      <w:r w:rsidR="00617BA9">
        <w:rPr>
          <w:b/>
          <w:bCs/>
        </w:rPr>
        <w:t>A</w:t>
      </w:r>
      <w:r w:rsidR="00617BA9" w:rsidRPr="696F7013">
        <w:rPr>
          <w:b/>
          <w:bCs/>
        </w:rPr>
        <w:t>wareness</w:t>
      </w:r>
      <w:r w:rsidRPr="696F7013">
        <w:rPr>
          <w:b/>
          <w:bCs/>
        </w:rPr>
        <w:t>-</w:t>
      </w:r>
      <w:r w:rsidR="00617BA9">
        <w:rPr>
          <w:b/>
          <w:bCs/>
        </w:rPr>
        <w:t>R</w:t>
      </w:r>
      <w:r w:rsidR="00617BA9" w:rsidRPr="696F7013">
        <w:rPr>
          <w:b/>
          <w:bCs/>
        </w:rPr>
        <w:t>aising</w:t>
      </w:r>
      <w:r w:rsidRPr="00EF2892">
        <w:rPr>
          <w:b/>
          <w:bCs/>
        </w:rPr>
        <w:t>.</w:t>
      </w:r>
      <w:r w:rsidRPr="00012D40">
        <w:t xml:space="preserve"> </w:t>
      </w:r>
      <w:r w:rsidR="6E099DC4" w:rsidRPr="00012D40">
        <w:t>Authorities in the</w:t>
      </w:r>
      <w:r w:rsidR="5908F8D2" w:rsidRPr="00012D40">
        <w:t xml:space="preserve"> U</w:t>
      </w:r>
      <w:r w:rsidR="6E099DC4" w:rsidRPr="00012D40">
        <w:t>nited States work actively</w:t>
      </w:r>
      <w:r w:rsidR="5908F8D2" w:rsidRPr="00012D40">
        <w:t xml:space="preserve"> to raise awareness of </w:t>
      </w:r>
      <w:r w:rsidR="38D0AD68" w:rsidRPr="00012D40">
        <w:t>the OPSC</w:t>
      </w:r>
      <w:r w:rsidR="3BA806C7" w:rsidRPr="00012D40">
        <w:t xml:space="preserve"> and </w:t>
      </w:r>
      <w:r w:rsidR="6DC7485B" w:rsidRPr="00012D40">
        <w:t>to promote public awareness of the need to prevent and combat the crimes covered by the OPSC, in particular with regard to children at risk of becoming victims and their parents.</w:t>
      </w:r>
      <w:r w:rsidR="5DDED3F1" w:rsidRPr="00012D40">
        <w:rPr>
          <w:shd w:val="clear" w:color="auto" w:fill="FFFFFF"/>
        </w:rPr>
        <w:t xml:space="preserve"> Descriptions of awareness-raising</w:t>
      </w:r>
      <w:r w:rsidR="6E099DC4" w:rsidRPr="00012D40">
        <w:rPr>
          <w:shd w:val="clear" w:color="auto" w:fill="FFFFFF"/>
        </w:rPr>
        <w:t xml:space="preserve"> activities are found in the Attorney General’s Trafficking Report</w:t>
      </w:r>
      <w:r w:rsidR="65CD0BBA" w:rsidRPr="00012D40">
        <w:rPr>
          <w:shd w:val="clear" w:color="auto" w:fill="FFFFFF"/>
        </w:rPr>
        <w:t xml:space="preserve">, </w:t>
      </w:r>
      <w:hyperlink r:id="rId12" w:history="1">
        <w:r w:rsidR="65CD0BBA" w:rsidRPr="00012D40">
          <w:rPr>
            <w:rStyle w:val="Hyperlink"/>
            <w:rFonts w:eastAsia="Times New Roman"/>
            <w:color w:val="auto"/>
            <w:shd w:val="clear" w:color="auto" w:fill="FFFFFF"/>
          </w:rPr>
          <w:t>https://www.justice.gov/humantrafficking/reports-and-publications</w:t>
        </w:r>
      </w:hyperlink>
      <w:r w:rsidR="65CD0BBA" w:rsidRPr="00012D40">
        <w:rPr>
          <w:shd w:val="clear" w:color="auto" w:fill="FFFFFF"/>
        </w:rPr>
        <w:t xml:space="preserve">, and throughout this report. </w:t>
      </w:r>
      <w:r w:rsidR="6DC7485B" w:rsidRPr="00012D40">
        <w:rPr>
          <w:shd w:val="clear" w:color="auto" w:fill="FFFFFF"/>
        </w:rPr>
        <w:t xml:space="preserve">The provisions of the OPSC are also widely available to the public online and through publications. The DOS website sets forth a list of 20 actions the public can take to combat </w:t>
      </w:r>
      <w:r w:rsidR="2D8CC643" w:rsidRPr="00012D40">
        <w:rPr>
          <w:shd w:val="clear" w:color="auto" w:fill="FFFFFF"/>
        </w:rPr>
        <w:t xml:space="preserve">human </w:t>
      </w:r>
      <w:r w:rsidR="6DC7485B" w:rsidRPr="00012D40">
        <w:rPr>
          <w:shd w:val="clear" w:color="auto" w:fill="FFFFFF"/>
        </w:rPr>
        <w:t>trafficking including a hotline to call, a list of goods that may have been produced by child labor or forced labor, protocols for schools, a description of how to recognize recruitment tactics, tips for health care providers in recognizing indicators of human trafficking, and others.</w:t>
      </w:r>
      <w:r w:rsidR="00551046">
        <w:rPr>
          <w:shd w:val="clear" w:color="auto" w:fill="FFFFFF"/>
        </w:rPr>
        <w:t xml:space="preserve"> U.S. Attorneys’ Offices work with private sector entities, such as hotels and airlines, and with community groups, faith-based organizations, victim advocacy groups, academic organizations, medical professionals, and legal aid</w:t>
      </w:r>
      <w:r w:rsidR="00672E02">
        <w:rPr>
          <w:shd w:val="clear" w:color="auto" w:fill="FFFFFF"/>
        </w:rPr>
        <w:t xml:space="preserve"> offices to increase awareness.</w:t>
      </w:r>
      <w:r w:rsidR="00551046">
        <w:rPr>
          <w:shd w:val="clear" w:color="auto" w:fill="FFFFFF"/>
        </w:rPr>
        <w:t xml:space="preserve"> In April 2021, Treasury, in coordination with DOJ and DHS, held a training for the casino and gaming industry on identifying human trafficking and related money laundering.</w:t>
      </w:r>
      <w:r w:rsidR="0663405C" w:rsidRPr="00012D40">
        <w:rPr>
          <w:shd w:val="clear" w:color="auto" w:fill="FFFFFF"/>
        </w:rPr>
        <w:t xml:space="preserve"> </w:t>
      </w:r>
    </w:p>
    <w:p w14:paraId="14C0CEA0" w14:textId="0ABF9A54" w:rsidR="007E6579" w:rsidRPr="00D86DC3" w:rsidRDefault="53C0BD39" w:rsidP="000A7B48">
      <w:pPr>
        <w:ind w:left="0" w:firstLine="0"/>
        <w:rPr>
          <w:shd w:val="clear" w:color="auto" w:fill="FFFFFF"/>
        </w:rPr>
      </w:pPr>
      <w:r w:rsidRPr="5C531F67">
        <w:t>DHS established the DHS Center for Countering Human Trafficking (CCHT) on October 20, 2020 to advance counter human trafficking law enforcement operations, protect victims, and enhance prevention efforts by aligning DHS’</w:t>
      </w:r>
      <w:r w:rsidR="00CC4834">
        <w:t>s</w:t>
      </w:r>
      <w:r w:rsidRPr="5C531F67">
        <w:t xml:space="preserve"> capabilities and expertise. DHS celebrated the one-year anniversary of CCHT on October 20, 2021 by launching a new public website at </w:t>
      </w:r>
      <w:hyperlink r:id="rId13" w:history="1">
        <w:r w:rsidR="0045517C" w:rsidRPr="00B06843">
          <w:rPr>
            <w:rStyle w:val="Hyperlink"/>
            <w:rFonts w:eastAsia="Times New Roman"/>
          </w:rPr>
          <w:t>www.dhs.gov/CCHT</w:t>
        </w:r>
      </w:hyperlink>
      <w:r w:rsidR="0045517C">
        <w:t xml:space="preserve"> </w:t>
      </w:r>
      <w:r w:rsidRPr="5C531F67">
        <w:t>and announcing a number of new initiatives to combat human trafficking.</w:t>
      </w:r>
      <w:r w:rsidRPr="00012D40">
        <w:rPr>
          <w:shd w:val="clear" w:color="auto" w:fill="FFFFFF"/>
        </w:rPr>
        <w:t xml:space="preserve"> </w:t>
      </w:r>
      <w:r w:rsidR="78221B4C" w:rsidRPr="00012D40">
        <w:rPr>
          <w:shd w:val="clear" w:color="auto" w:fill="FFFFFF"/>
        </w:rPr>
        <w:t>Additionally, t</w:t>
      </w:r>
      <w:r w:rsidR="00A76333" w:rsidRPr="00012D40">
        <w:rPr>
          <w:shd w:val="clear" w:color="auto" w:fill="FFFFFF"/>
        </w:rPr>
        <w:t>he DHS Blue Campaign continues to be highly effective in educating the public, law enforcement</w:t>
      </w:r>
      <w:r w:rsidR="1E1A88DB" w:rsidRPr="00012D40">
        <w:rPr>
          <w:shd w:val="clear" w:color="auto" w:fill="FFFFFF"/>
        </w:rPr>
        <w:t>,</w:t>
      </w:r>
      <w:r w:rsidR="00A76333">
        <w:rPr>
          <w:shd w:val="clear" w:color="auto" w:fill="FFFFFF"/>
        </w:rPr>
        <w:t xml:space="preserve"> </w:t>
      </w:r>
      <w:r w:rsidR="00F00F2C" w:rsidRPr="00012D40">
        <w:rPr>
          <w:shd w:val="clear" w:color="auto" w:fill="FFFFFF"/>
        </w:rPr>
        <w:t xml:space="preserve">vulnerable communities, </w:t>
      </w:r>
      <w:r w:rsidR="00A76333" w:rsidRPr="00012D40">
        <w:rPr>
          <w:shd w:val="clear" w:color="auto" w:fill="FFFFFF"/>
        </w:rPr>
        <w:t>and industry partners o</w:t>
      </w:r>
      <w:r w:rsidR="5658D7A8" w:rsidRPr="00012D40">
        <w:rPr>
          <w:shd w:val="clear" w:color="auto" w:fill="FFFFFF"/>
        </w:rPr>
        <w:t>n</w:t>
      </w:r>
      <w:r w:rsidR="00A76333" w:rsidRPr="00012D40">
        <w:rPr>
          <w:shd w:val="clear" w:color="auto" w:fill="FFFFFF"/>
        </w:rPr>
        <w:t xml:space="preserve"> recogniz</w:t>
      </w:r>
      <w:r w:rsidR="70A4ED2B" w:rsidRPr="00012D40">
        <w:rPr>
          <w:shd w:val="clear" w:color="auto" w:fill="FFFFFF"/>
        </w:rPr>
        <w:t>ing</w:t>
      </w:r>
      <w:r w:rsidR="00A76333" w:rsidRPr="00012D40">
        <w:rPr>
          <w:shd w:val="clear" w:color="auto" w:fill="FFFFFF"/>
        </w:rPr>
        <w:t xml:space="preserve"> the indicators of human trafficking and how</w:t>
      </w:r>
      <w:r w:rsidR="38D0AD68" w:rsidRPr="00012D40">
        <w:rPr>
          <w:shd w:val="clear" w:color="auto" w:fill="FFFFFF"/>
        </w:rPr>
        <w:t xml:space="preserve"> to respond to possible cases. </w:t>
      </w:r>
      <w:r w:rsidR="690868B2" w:rsidRPr="00012D40">
        <w:rPr>
          <w:shd w:val="clear" w:color="auto" w:fill="FFFFFF"/>
        </w:rPr>
        <w:t>Relatedly, t</w:t>
      </w:r>
      <w:r w:rsidR="0A0C613B" w:rsidRPr="00012D40">
        <w:rPr>
          <w:shd w:val="clear" w:color="auto" w:fill="FFFFFF"/>
        </w:rPr>
        <w:t>he HHS National Advisory Committee on Preventing Sex Trafficking of Children and Youth in the United States published it</w:t>
      </w:r>
      <w:r w:rsidR="36BDEE6A" w:rsidRPr="00012D40">
        <w:rPr>
          <w:shd w:val="clear" w:color="auto" w:fill="FFFFFF"/>
        </w:rPr>
        <w:t>s interim report in FY 2020. That</w:t>
      </w:r>
      <w:r w:rsidR="0A0C613B" w:rsidRPr="00012D40">
        <w:rPr>
          <w:shd w:val="clear" w:color="auto" w:fill="FFFFFF"/>
        </w:rPr>
        <w:t xml:space="preserve"> report contains recommendations and supporting resources that states may consu</w:t>
      </w:r>
      <w:r w:rsidR="36BDEE6A" w:rsidRPr="00012D40">
        <w:rPr>
          <w:shd w:val="clear" w:color="auto" w:fill="FFFFFF"/>
        </w:rPr>
        <w:t>lt as they work to improve</w:t>
      </w:r>
      <w:r w:rsidR="0A0C613B" w:rsidRPr="00012D40">
        <w:rPr>
          <w:shd w:val="clear" w:color="auto" w:fill="FFFFFF"/>
        </w:rPr>
        <w:t xml:space="preserve"> </w:t>
      </w:r>
      <w:r w:rsidR="36BDEE6A" w:rsidRPr="00012D40">
        <w:rPr>
          <w:shd w:val="clear" w:color="auto" w:fill="FFFFFF"/>
        </w:rPr>
        <w:t xml:space="preserve">the </w:t>
      </w:r>
      <w:r w:rsidR="0A0C613B">
        <w:rPr>
          <w:shd w:val="clear" w:color="auto" w:fill="FFFFFF"/>
        </w:rPr>
        <w:t xml:space="preserve">response to sex trafficking of children and youth within their jurisdictions. </w:t>
      </w:r>
      <w:r w:rsidR="003D0C85">
        <w:t xml:space="preserve">The Committee also </w:t>
      </w:r>
      <w:r w:rsidR="003D0C85" w:rsidRPr="00012D40">
        <w:rPr>
          <w:shd w:val="clear" w:color="auto" w:fill="FFFFFF"/>
        </w:rPr>
        <w:t>released a State Self-Assessment Survey in FY 2021 to assess strategies to respond to children and youth experiencing sex trafficking and develop recommendations for states.</w:t>
      </w:r>
      <w:r w:rsidR="003D0C85">
        <w:rPr>
          <w:shd w:val="clear" w:color="auto" w:fill="FFFFFF"/>
        </w:rPr>
        <w:t xml:space="preserve"> </w:t>
      </w:r>
      <w:r w:rsidR="009448A6">
        <w:rPr>
          <w:shd w:val="clear" w:color="auto" w:fill="FFFFFF"/>
        </w:rPr>
        <w:t>HHS also launched the Human Trafficking Youth Prevention Education Demonstration Grants in FY 2020, funding eight local educational agencies to develop and implement programs to prevent human trafficking by providing skills-based training to school staff and students and developing a Human Trafficking School Safety Protocol. In FY 2021, HHS awarded a contract to develop new Look Beneath the Surface Campaign materials for public awareness, education, and outreach efforts.</w:t>
      </w:r>
      <w:r w:rsidR="00551046" w:rsidRPr="00012D40">
        <w:t xml:space="preserve"> </w:t>
      </w:r>
      <w:r w:rsidR="7FDF02CB">
        <w:t xml:space="preserve">Finally, </w:t>
      </w:r>
      <w:r w:rsidR="009448A6" w:rsidRPr="00012D40">
        <w:t>in the United States education system</w:t>
      </w:r>
      <w:r w:rsidR="7FDF02CB">
        <w:t>,</w:t>
      </w:r>
      <w:r w:rsidR="009448A6" w:rsidRPr="00012D40">
        <w:rPr>
          <w:shd w:val="clear" w:color="auto" w:fill="FFFFFF"/>
        </w:rPr>
        <w:t xml:space="preserve"> school curricula</w:t>
      </w:r>
      <w:r w:rsidR="6DC7485B">
        <w:rPr>
          <w:shd w:val="clear" w:color="auto" w:fill="FFFFFF"/>
        </w:rPr>
        <w:t xml:space="preserve"> are developed at state and local levels</w:t>
      </w:r>
      <w:r w:rsidR="00551046">
        <w:rPr>
          <w:shd w:val="clear" w:color="auto" w:fill="FFFFFF"/>
        </w:rPr>
        <w:t xml:space="preserve">. </w:t>
      </w:r>
      <w:r w:rsidR="007E6579" w:rsidRPr="00012D40">
        <w:rPr>
          <w:shd w:val="clear" w:color="auto" w:fill="FFFFFF"/>
        </w:rPr>
        <w:t>However</w:t>
      </w:r>
      <w:r w:rsidR="7144F8D2">
        <w:rPr>
          <w:shd w:val="clear" w:color="auto" w:fill="FFFFFF"/>
        </w:rPr>
        <w:t xml:space="preserve">, the federal government does work to make </w:t>
      </w:r>
      <w:r w:rsidR="007E6579" w:rsidRPr="00012D40">
        <w:rPr>
          <w:shd w:val="clear" w:color="auto" w:fill="FFFFFF"/>
        </w:rPr>
        <w:t xml:space="preserve">information available to help </w:t>
      </w:r>
      <w:r w:rsidR="7144F8D2" w:rsidRPr="00012D40">
        <w:rPr>
          <w:shd w:val="clear" w:color="auto" w:fill="FFFFFF"/>
        </w:rPr>
        <w:t>schools</w:t>
      </w:r>
      <w:r w:rsidR="1329E32E">
        <w:rPr>
          <w:shd w:val="clear" w:color="auto" w:fill="FFFFFF"/>
        </w:rPr>
        <w:t xml:space="preserve"> </w:t>
      </w:r>
      <w:r w:rsidR="007E6579" w:rsidRPr="00012D40">
        <w:rPr>
          <w:shd w:val="clear" w:color="auto" w:fill="FFFFFF"/>
        </w:rPr>
        <w:t xml:space="preserve">be </w:t>
      </w:r>
      <w:r w:rsidR="1329E32E" w:rsidRPr="00012D40">
        <w:rPr>
          <w:shd w:val="clear" w:color="auto" w:fill="FFFFFF"/>
        </w:rPr>
        <w:t xml:space="preserve">aware of trafficking </w:t>
      </w:r>
      <w:r w:rsidR="7A825ABF" w:rsidRPr="00012D40">
        <w:rPr>
          <w:shd w:val="clear" w:color="auto" w:fill="FFFFFF"/>
        </w:rPr>
        <w:t xml:space="preserve">of children </w:t>
      </w:r>
      <w:r w:rsidR="1329E32E" w:rsidRPr="00012D40">
        <w:rPr>
          <w:shd w:val="clear" w:color="auto" w:fill="FFFFFF"/>
        </w:rPr>
        <w:t>and</w:t>
      </w:r>
      <w:r w:rsidR="745976EB" w:rsidRPr="00012D40">
        <w:rPr>
          <w:shd w:val="clear" w:color="auto" w:fill="FFFFFF"/>
        </w:rPr>
        <w:t xml:space="preserve"> to make</w:t>
      </w:r>
      <w:r w:rsidR="6FB210FE">
        <w:rPr>
          <w:shd w:val="clear" w:color="auto" w:fill="FFFFFF"/>
        </w:rPr>
        <w:t xml:space="preserve"> </w:t>
      </w:r>
      <w:r w:rsidR="007E6579" w:rsidRPr="00012D40">
        <w:rPr>
          <w:shd w:val="clear" w:color="auto" w:fill="FFFFFF"/>
        </w:rPr>
        <w:t>resources available for</w:t>
      </w:r>
      <w:r w:rsidR="6FB210FE" w:rsidRPr="00012D40">
        <w:rPr>
          <w:shd w:val="clear" w:color="auto" w:fill="FFFFFF"/>
        </w:rPr>
        <w:t xml:space="preserve"> </w:t>
      </w:r>
      <w:r w:rsidR="1329E32E" w:rsidRPr="00012D40">
        <w:rPr>
          <w:shd w:val="clear" w:color="auto" w:fill="FFFFFF"/>
        </w:rPr>
        <w:t xml:space="preserve">teaching about it and </w:t>
      </w:r>
      <w:r w:rsidR="6FB210FE" w:rsidRPr="00012D40">
        <w:rPr>
          <w:shd w:val="clear" w:color="auto" w:fill="FFFFFF"/>
        </w:rPr>
        <w:t>taking</w:t>
      </w:r>
      <w:r w:rsidR="7144F8D2" w:rsidRPr="00012D40">
        <w:rPr>
          <w:shd w:val="clear" w:color="auto" w:fill="FFFFFF"/>
        </w:rPr>
        <w:t xml:space="preserve"> appropriate action to address</w:t>
      </w:r>
      <w:r w:rsidR="1329E32E" w:rsidRPr="00012D40">
        <w:rPr>
          <w:shd w:val="clear" w:color="auto" w:fill="FFFFFF"/>
        </w:rPr>
        <w:t xml:space="preserve"> it when it occurs</w:t>
      </w:r>
      <w:r w:rsidR="6DC7485B">
        <w:rPr>
          <w:shd w:val="clear" w:color="auto" w:fill="FFFFFF"/>
        </w:rPr>
        <w:t>.</w:t>
      </w:r>
      <w:r w:rsidR="003D0C85" w:rsidRPr="5C531F67">
        <w:t xml:space="preserve"> </w:t>
      </w:r>
    </w:p>
    <w:p w14:paraId="4F27E433" w14:textId="6EAA8DBE" w:rsidR="007E6579" w:rsidRPr="00D86DC3" w:rsidRDefault="007E6579" w:rsidP="000A7B48">
      <w:pPr>
        <w:ind w:left="0" w:firstLine="0"/>
        <w:rPr>
          <w:shd w:val="clear" w:color="auto" w:fill="FFFFFF"/>
        </w:rPr>
      </w:pPr>
      <w:r w:rsidRPr="008C16D4">
        <w:rPr>
          <w:shd w:val="clear" w:color="auto" w:fill="FFFFFF"/>
        </w:rPr>
        <w:t>On its own and in collaboration with other agencies, ED has been involved in numerous efforts to elevate awareness on combating human trafficking, including working with partners at the federal, state</w:t>
      </w:r>
      <w:r w:rsidR="6A1746FB" w:rsidRPr="008C16D4">
        <w:rPr>
          <w:shd w:val="clear" w:color="auto" w:fill="FFFFFF"/>
        </w:rPr>
        <w:t>,</w:t>
      </w:r>
      <w:r w:rsidRPr="008C16D4">
        <w:rPr>
          <w:shd w:val="clear" w:color="auto" w:fill="FFFFFF"/>
        </w:rPr>
        <w:t xml:space="preserve"> and local level, hosting informational webinars, and using social media to communicate and disseminate anti-trafficking messaging and resources.</w:t>
      </w:r>
      <w:r>
        <w:rPr>
          <w:shd w:val="clear" w:color="auto" w:fill="FFFFFF"/>
        </w:rPr>
        <w:t xml:space="preserve"> </w:t>
      </w:r>
      <w:r w:rsidRPr="00634644">
        <w:rPr>
          <w:shd w:val="clear" w:color="auto" w:fill="FFFFFF"/>
        </w:rPr>
        <w:t>In FY 2020, ED released a series of webinars on preventing and protecting students from human trafficking. The webinars provided education administrators, teachers, and specialized instructional support personnel with information on how they can identify and support students affected by human trafficking. T</w:t>
      </w:r>
      <w:r>
        <w:rPr>
          <w:shd w:val="clear" w:color="auto" w:fill="FFFFFF"/>
        </w:rPr>
        <w:t>hey also shared</w:t>
      </w:r>
      <w:r w:rsidR="002B68F9">
        <w:rPr>
          <w:shd w:val="clear" w:color="auto" w:fill="FFFFFF"/>
        </w:rPr>
        <w:t xml:space="preserve"> </w:t>
      </w:r>
      <w:r w:rsidRPr="00634644">
        <w:rPr>
          <w:shd w:val="clear" w:color="auto" w:fill="FFFFFF"/>
        </w:rPr>
        <w:t>strategies to prevent human trafficking and child labor exploitation in light of increased internet use among youth due to COVID-19.</w:t>
      </w:r>
      <w:r w:rsidRPr="00335B12">
        <w:rPr>
          <w:shd w:val="clear" w:color="auto" w:fill="FFFFFF"/>
        </w:rPr>
        <w:t xml:space="preserve"> </w:t>
      </w:r>
      <w:r w:rsidR="002B68F9">
        <w:rPr>
          <w:shd w:val="clear" w:color="auto" w:fill="FFFFFF"/>
        </w:rPr>
        <w:t>In 2022</w:t>
      </w:r>
      <w:r w:rsidR="4F971EB8">
        <w:rPr>
          <w:shd w:val="clear" w:color="auto" w:fill="FFFFFF"/>
        </w:rPr>
        <w:t>,</w:t>
      </w:r>
      <w:r w:rsidR="002B68F9">
        <w:rPr>
          <w:shd w:val="clear" w:color="auto" w:fill="FFFFFF"/>
        </w:rPr>
        <w:t xml:space="preserve"> ED plans to produce and make public a Human Trafficking Staff Development Webinar Series</w:t>
      </w:r>
      <w:r w:rsidR="001B50B6">
        <w:rPr>
          <w:shd w:val="clear" w:color="auto" w:fill="FFFFFF"/>
        </w:rPr>
        <w:t xml:space="preserve"> that</w:t>
      </w:r>
      <w:r w:rsidR="002B68F9">
        <w:rPr>
          <w:shd w:val="clear" w:color="auto" w:fill="FFFFFF"/>
        </w:rPr>
        <w:t xml:space="preserve"> will include three pre-recorded </w:t>
      </w:r>
      <w:r w:rsidR="29F8A62A">
        <w:rPr>
          <w:shd w:val="clear" w:color="auto" w:fill="FFFFFF"/>
        </w:rPr>
        <w:t>information</w:t>
      </w:r>
      <w:r w:rsidR="002B68F9">
        <w:rPr>
          <w:shd w:val="clear" w:color="auto" w:fill="FFFFFF"/>
        </w:rPr>
        <w:t xml:space="preserve"> sessions</w:t>
      </w:r>
      <w:r w:rsidR="005A75DD">
        <w:rPr>
          <w:shd w:val="clear" w:color="auto" w:fill="FFFFFF"/>
        </w:rPr>
        <w:t xml:space="preserve"> accessible for streaming for educators</w:t>
      </w:r>
      <w:r w:rsidR="002B68F9">
        <w:rPr>
          <w:shd w:val="clear" w:color="auto" w:fill="FFFFFF"/>
        </w:rPr>
        <w:t xml:space="preserve"> working to address human trafficking in their school </w:t>
      </w:r>
      <w:r w:rsidR="005A75DD">
        <w:rPr>
          <w:shd w:val="clear" w:color="auto" w:fill="FFFFFF"/>
        </w:rPr>
        <w:t xml:space="preserve">or district settings. </w:t>
      </w:r>
      <w:r w:rsidR="002B68F9">
        <w:rPr>
          <w:shd w:val="clear" w:color="auto" w:fill="FFFFFF"/>
        </w:rPr>
        <w:t>The sessions will also provide links to additio</w:t>
      </w:r>
      <w:r w:rsidR="005A75DD">
        <w:rPr>
          <w:shd w:val="clear" w:color="auto" w:fill="FFFFFF"/>
        </w:rPr>
        <w:t xml:space="preserve">nal resources and information. </w:t>
      </w:r>
      <w:r w:rsidR="002B68F9">
        <w:rPr>
          <w:shd w:val="clear" w:color="auto" w:fill="FFFFFF"/>
        </w:rPr>
        <w:t>In 2022, ED also plans to develop an easy-to-use commu</w:t>
      </w:r>
      <w:r w:rsidR="005A75DD">
        <w:rPr>
          <w:shd w:val="clear" w:color="auto" w:fill="FFFFFF"/>
        </w:rPr>
        <w:t>nication resource for schools and</w:t>
      </w:r>
      <w:r w:rsidR="002B68F9">
        <w:rPr>
          <w:shd w:val="clear" w:color="auto" w:fill="FFFFFF"/>
        </w:rPr>
        <w:t xml:space="preserve"> districts to support their trafficking prevention and intervention efforts that will be available in various formats for maximum flexibility</w:t>
      </w:r>
      <w:r w:rsidR="005A75DD">
        <w:rPr>
          <w:shd w:val="clear" w:color="auto" w:fill="FFFFFF"/>
        </w:rPr>
        <w:t>, develop another series of human trafficking information webinars, and update its human trafficking webpage</w:t>
      </w:r>
      <w:r w:rsidR="002B68F9">
        <w:rPr>
          <w:shd w:val="clear" w:color="auto" w:fill="FFFFFF"/>
        </w:rPr>
        <w:t>.</w:t>
      </w:r>
    </w:p>
    <w:p w14:paraId="58223C53" w14:textId="200C94A2" w:rsidR="00D93292" w:rsidRPr="000F5E02" w:rsidRDefault="007E6579" w:rsidP="000A7B48">
      <w:pPr>
        <w:ind w:left="0" w:firstLine="0"/>
        <w:rPr>
          <w:shd w:val="clear" w:color="auto" w:fill="FFFFFF"/>
        </w:rPr>
      </w:pPr>
      <w:r w:rsidRPr="00711785">
        <w:rPr>
          <w:shd w:val="clear" w:color="auto" w:fill="FFFFFF"/>
        </w:rPr>
        <w:t xml:space="preserve">In 2021, ED released the second edition of </w:t>
      </w:r>
      <w:r w:rsidRPr="5C531F67">
        <w:rPr>
          <w:shd w:val="clear" w:color="auto" w:fill="FFFFFF"/>
        </w:rPr>
        <w:t>Human Trafficking in America’s Schools</w:t>
      </w:r>
      <w:r w:rsidRPr="007E6579">
        <w:rPr>
          <w:shd w:val="clear" w:color="auto" w:fill="FFFFFF"/>
        </w:rPr>
        <w:t>,</w:t>
      </w:r>
      <w:r w:rsidRPr="00711785">
        <w:rPr>
          <w:shd w:val="clear" w:color="auto" w:fill="FFFFFF"/>
        </w:rPr>
        <w:t xml:space="preserve"> a guide for educators to provide awareness of the current prevalence of child trafficking and the forms it takes and </w:t>
      </w:r>
      <w:r>
        <w:rPr>
          <w:shd w:val="clear" w:color="auto" w:fill="FFFFFF"/>
        </w:rPr>
        <w:t>to explain</w:t>
      </w:r>
      <w:r w:rsidRPr="00711785">
        <w:rPr>
          <w:shd w:val="clear" w:color="auto" w:fill="FFFFFF"/>
        </w:rPr>
        <w:t xml:space="preserve"> what schools can do to prevent, respond, and help students to recover from human trafficking. It features recent research on human trafficking prevention and protection strategies and an additional focus on vulnerable populations and reintegration of tr</w:t>
      </w:r>
      <w:r w:rsidR="001B50B6">
        <w:rPr>
          <w:shd w:val="clear" w:color="auto" w:fill="FFFFFF"/>
        </w:rPr>
        <w:t>afficking survivors. O</w:t>
      </w:r>
      <w:r w:rsidRPr="00711785">
        <w:rPr>
          <w:shd w:val="clear" w:color="auto" w:fill="FFFFFF"/>
        </w:rPr>
        <w:t>riginally released in 2015</w:t>
      </w:r>
      <w:r w:rsidR="001B50B6">
        <w:rPr>
          <w:shd w:val="clear" w:color="auto" w:fill="FFFFFF"/>
        </w:rPr>
        <w:t>, the guide</w:t>
      </w:r>
      <w:r w:rsidRPr="00711785">
        <w:rPr>
          <w:shd w:val="clear" w:color="auto" w:fill="FFFFFF"/>
        </w:rPr>
        <w:t xml:space="preserve"> includes information for school staff about risk factors, recruitment, and how to identify trafficking; what to do if someone suspects trafficking; and other resources. </w:t>
      </w:r>
      <w:r>
        <w:rPr>
          <w:shd w:val="clear" w:color="auto" w:fill="FFFFFF"/>
        </w:rPr>
        <w:t>Additionally, a brief entitled</w:t>
      </w:r>
      <w:r w:rsidRPr="00711785">
        <w:rPr>
          <w:shd w:val="clear" w:color="auto" w:fill="FFFFFF"/>
        </w:rPr>
        <w:t xml:space="preserve"> </w:t>
      </w:r>
      <w:r w:rsidR="7A2A5952" w:rsidRPr="00711785">
        <w:rPr>
          <w:shd w:val="clear" w:color="auto" w:fill="FFFFFF"/>
        </w:rPr>
        <w:t>“</w:t>
      </w:r>
      <w:r w:rsidRPr="5C531F67">
        <w:rPr>
          <w:shd w:val="clear" w:color="auto" w:fill="FFFFFF"/>
        </w:rPr>
        <w:t>Addressing the Growing Problem of Domestic Sex Trafficking in Minors through Positive Behavioral Interventions and Supports (PBIS)</w:t>
      </w:r>
      <w:r>
        <w:rPr>
          <w:shd w:val="clear" w:color="auto" w:fill="FFFFFF"/>
        </w:rPr>
        <w:t>,</w:t>
      </w:r>
      <w:r w:rsidR="4C463305">
        <w:rPr>
          <w:shd w:val="clear" w:color="auto" w:fill="FFFFFF"/>
        </w:rPr>
        <w:t>”</w:t>
      </w:r>
      <w:r>
        <w:rPr>
          <w:shd w:val="clear" w:color="auto" w:fill="FFFFFF"/>
        </w:rPr>
        <w:t xml:space="preserve"> released in 2021,</w:t>
      </w:r>
      <w:r w:rsidRPr="00711785">
        <w:rPr>
          <w:shd w:val="clear" w:color="auto" w:fill="FFFFFF"/>
        </w:rPr>
        <w:t xml:space="preserve"> describes how PBIS can serve as a strategy to support trafficking survivors. ED also maintains </w:t>
      </w:r>
      <w:r w:rsidR="001B50B6">
        <w:rPr>
          <w:shd w:val="clear" w:color="auto" w:fill="FFFFFF"/>
        </w:rPr>
        <w:t xml:space="preserve">a </w:t>
      </w:r>
      <w:r w:rsidRPr="00711785">
        <w:rPr>
          <w:shd w:val="clear" w:color="auto" w:fill="FFFFFF"/>
        </w:rPr>
        <w:t>webpage dedicated to providing helpful federal resources for education administrators, teachers, specialized instructional support personnel, parents, caregivers, and students to combat trafficking.</w:t>
      </w:r>
    </w:p>
    <w:p w14:paraId="0C0AF858" w14:textId="6954B991" w:rsidR="006420E7" w:rsidRPr="004A707D" w:rsidRDefault="3BA806C7" w:rsidP="000A7B48">
      <w:pPr>
        <w:ind w:left="0" w:firstLine="0"/>
      </w:pPr>
      <w:r w:rsidRPr="696F7013">
        <w:rPr>
          <w:b/>
          <w:bCs/>
          <w:shd w:val="clear" w:color="auto" w:fill="FFFFFF"/>
        </w:rPr>
        <w:t>Training.</w:t>
      </w:r>
      <w:r w:rsidR="032224FD" w:rsidRPr="696F7013">
        <w:rPr>
          <w:b/>
          <w:bCs/>
          <w:shd w:val="clear" w:color="auto" w:fill="FFFFFF"/>
        </w:rPr>
        <w:t xml:space="preserve">  </w:t>
      </w:r>
      <w:r w:rsidR="36BDEE6A" w:rsidRPr="00012D40">
        <w:rPr>
          <w:shd w:val="clear" w:color="auto" w:fill="FFFFFF"/>
        </w:rPr>
        <w:t>With regard to the Committee’s recommendation that the effectiveness and impact of training be assessed, t</w:t>
      </w:r>
      <w:r w:rsidR="032224FD" w:rsidRPr="00012D40">
        <w:rPr>
          <w:shd w:val="clear" w:color="auto" w:fill="FFFFFF"/>
        </w:rPr>
        <w:t>he Government Performance and Results Act (GPRA) of 1993 requires federal agencies to set goals, measure results, and report their progress in achieving program objectives based on projected percentage</w:t>
      </w:r>
      <w:r w:rsidR="36BDEE6A" w:rsidRPr="00012D40">
        <w:rPr>
          <w:shd w:val="clear" w:color="auto" w:fill="FFFFFF"/>
        </w:rPr>
        <w:t xml:space="preserve"> changes. </w:t>
      </w:r>
      <w:r w:rsidR="1329E32E" w:rsidRPr="00012D40">
        <w:rPr>
          <w:shd w:val="clear" w:color="auto" w:fill="FFFFFF"/>
        </w:rPr>
        <w:t>F</w:t>
      </w:r>
      <w:r w:rsidR="2D65925D" w:rsidRPr="00012D40">
        <w:rPr>
          <w:shd w:val="clear" w:color="auto" w:fill="FFFFFF"/>
        </w:rPr>
        <w:t>ederal agencies working on human trafficking, including trafficking of children, regularly assess the effectivene</w:t>
      </w:r>
      <w:r w:rsidR="65118C93" w:rsidRPr="00012D40">
        <w:rPr>
          <w:shd w:val="clear" w:color="auto" w:fill="FFFFFF"/>
        </w:rPr>
        <w:t xml:space="preserve">ss and impact of their work. While it would not be possible in this report to list the evaluation projects of all agencies, as an </w:t>
      </w:r>
      <w:r w:rsidR="032224FD" w:rsidRPr="00012D40">
        <w:rPr>
          <w:shd w:val="clear" w:color="auto" w:fill="FFFFFF"/>
        </w:rPr>
        <w:t xml:space="preserve">example, </w:t>
      </w:r>
      <w:r w:rsidR="00565666">
        <w:rPr>
          <w:shd w:val="clear" w:color="auto" w:fill="FFFFFF"/>
        </w:rPr>
        <w:t>HHS</w:t>
      </w:r>
      <w:r w:rsidR="00752BA4">
        <w:rPr>
          <w:shd w:val="clear" w:color="auto" w:fill="FFFFFF"/>
        </w:rPr>
        <w:t>/</w:t>
      </w:r>
      <w:r w:rsidR="00565666">
        <w:rPr>
          <w:shd w:val="clear" w:color="auto" w:fill="FFFFFF"/>
        </w:rPr>
        <w:t>ACF released a study examining the link between foster care runaway episodes and human trafficking in 2020</w:t>
      </w:r>
      <w:r w:rsidR="00F31B5B">
        <w:rPr>
          <w:shd w:val="clear" w:color="auto" w:fill="FFFFFF"/>
        </w:rPr>
        <w:t>,</w:t>
      </w:r>
      <w:r w:rsidR="00F31B5B">
        <w:t xml:space="preserve"> </w:t>
      </w:r>
      <w:hyperlink r:id="rId14" w:history="1">
        <w:r w:rsidR="00F31B5B" w:rsidRPr="004A707D">
          <w:rPr>
            <w:rStyle w:val="Hyperlink"/>
          </w:rPr>
          <w:t>https://www.acf.hhs.gov/opre/report/examining-link-foster-care-runaway-episodes-and-human-trafficking</w:t>
        </w:r>
      </w:hyperlink>
      <w:r w:rsidR="004A707D">
        <w:rPr>
          <w:shd w:val="clear" w:color="auto" w:fill="FFFFFF"/>
        </w:rPr>
        <w:t>;</w:t>
      </w:r>
      <w:r w:rsidR="00565666" w:rsidRPr="00F31B5B">
        <w:rPr>
          <w:shd w:val="clear" w:color="auto" w:fill="FFFFFF"/>
        </w:rPr>
        <w:t xml:space="preserve"> an evaluation of the domestic victims of human trafficking program in 2021</w:t>
      </w:r>
      <w:r w:rsidR="004A707D">
        <w:rPr>
          <w:shd w:val="clear" w:color="auto" w:fill="FFFFFF"/>
        </w:rPr>
        <w:t>,</w:t>
      </w:r>
      <w:r w:rsidR="00F31B5B" w:rsidRPr="004A707D">
        <w:t xml:space="preserve">  </w:t>
      </w:r>
      <w:hyperlink r:id="rId15" w:history="1">
        <w:r w:rsidR="00F31B5B" w:rsidRPr="004A707D">
          <w:rPr>
            <w:rStyle w:val="Hyperlink"/>
          </w:rPr>
          <w:t>https://www.acf.hhs.gov/opre/report/evaluation-domestic-victims-human-trafficking-program-final-report</w:t>
        </w:r>
      </w:hyperlink>
      <w:r w:rsidR="004A707D">
        <w:rPr>
          <w:shd w:val="clear" w:color="auto" w:fill="FFFFFF"/>
        </w:rPr>
        <w:t>;</w:t>
      </w:r>
      <w:r w:rsidR="00565666" w:rsidRPr="00F31B5B">
        <w:rPr>
          <w:shd w:val="clear" w:color="auto" w:fill="FFFFFF"/>
        </w:rPr>
        <w:t xml:space="preserve"> and a comprehensive examination of prevalence studies that could be applied in the U</w:t>
      </w:r>
      <w:r w:rsidR="1327E902" w:rsidRPr="00F31B5B">
        <w:rPr>
          <w:shd w:val="clear" w:color="auto" w:fill="FFFFFF"/>
        </w:rPr>
        <w:t xml:space="preserve">nited </w:t>
      </w:r>
      <w:r w:rsidR="00045D69" w:rsidRPr="004A707D">
        <w:rPr>
          <w:shd w:val="clear" w:color="auto" w:fill="FFFFFF"/>
        </w:rPr>
        <w:t>S</w:t>
      </w:r>
      <w:r w:rsidR="4E0B5A8C" w:rsidRPr="004A707D">
        <w:rPr>
          <w:shd w:val="clear" w:color="auto" w:fill="FFFFFF"/>
        </w:rPr>
        <w:t>tates</w:t>
      </w:r>
      <w:r w:rsidR="00045D69" w:rsidRPr="004A707D">
        <w:rPr>
          <w:shd w:val="clear" w:color="auto" w:fill="FFFFFF"/>
        </w:rPr>
        <w:t xml:space="preserve"> in 2021</w:t>
      </w:r>
      <w:r w:rsidR="004A707D">
        <w:rPr>
          <w:shd w:val="clear" w:color="auto" w:fill="FFFFFF"/>
        </w:rPr>
        <w:t>,</w:t>
      </w:r>
      <w:r w:rsidR="00F31B5B" w:rsidRPr="004A707D">
        <w:rPr>
          <w:shd w:val="clear" w:color="auto" w:fill="FFFFFF"/>
        </w:rPr>
        <w:t xml:space="preserve"> </w:t>
      </w:r>
      <w:hyperlink r:id="rId16" w:history="1">
        <w:r w:rsidR="00F31B5B" w:rsidRPr="004A707D">
          <w:rPr>
            <w:rStyle w:val="Hyperlink"/>
          </w:rPr>
          <w:t>https://www.acf.hhs.gov/opre/report/human-trafficking-policy-and-research-analysis-project-comprehensive-review-prior</w:t>
        </w:r>
      </w:hyperlink>
      <w:r w:rsidR="00045D69">
        <w:rPr>
          <w:shd w:val="clear" w:color="auto" w:fill="FFFFFF"/>
        </w:rPr>
        <w:t xml:space="preserve">. </w:t>
      </w:r>
      <w:r w:rsidR="00565666">
        <w:rPr>
          <w:shd w:val="clear" w:color="auto" w:fill="FFFFFF"/>
        </w:rPr>
        <w:t xml:space="preserve">The </w:t>
      </w:r>
      <w:r w:rsidR="00565666" w:rsidRPr="00012D40">
        <w:rPr>
          <w:shd w:val="clear" w:color="auto" w:fill="FFFFFF"/>
        </w:rPr>
        <w:t>Office o</w:t>
      </w:r>
      <w:r w:rsidR="00565666">
        <w:rPr>
          <w:shd w:val="clear" w:color="auto" w:fill="FFFFFF"/>
        </w:rPr>
        <w:t>n</w:t>
      </w:r>
      <w:r w:rsidR="00565666" w:rsidRPr="00012D40">
        <w:rPr>
          <w:shd w:val="clear" w:color="auto" w:fill="FFFFFF"/>
        </w:rPr>
        <w:t xml:space="preserve"> </w:t>
      </w:r>
      <w:r w:rsidR="032224FD" w:rsidRPr="00012D40">
        <w:rPr>
          <w:shd w:val="clear" w:color="auto" w:fill="FFFFFF"/>
        </w:rPr>
        <w:t>Trafficking in Persons</w:t>
      </w:r>
      <w:r w:rsidR="2D65925D" w:rsidRPr="00012D40">
        <w:rPr>
          <w:shd w:val="clear" w:color="auto" w:fill="FFFFFF"/>
        </w:rPr>
        <w:t xml:space="preserve"> (OTIP)</w:t>
      </w:r>
      <w:r w:rsidR="032224FD" w:rsidRPr="00012D40">
        <w:rPr>
          <w:shd w:val="clear" w:color="auto" w:fill="FFFFFF"/>
        </w:rPr>
        <w:t xml:space="preserve"> in HHS/ACF reports annual</w:t>
      </w:r>
      <w:r w:rsidR="2D65925D" w:rsidRPr="00012D40">
        <w:rPr>
          <w:shd w:val="clear" w:color="auto" w:fill="FFFFFF"/>
        </w:rPr>
        <w:t>ly</w:t>
      </w:r>
      <w:r w:rsidR="032224FD" w:rsidRPr="00012D40">
        <w:rPr>
          <w:shd w:val="clear" w:color="auto" w:fill="FFFFFF"/>
        </w:rPr>
        <w:t xml:space="preserve"> to Congress on a select set of indicators of program performance, including the following:</w:t>
      </w:r>
    </w:p>
    <w:p w14:paraId="7C8F7DE6" w14:textId="5E590BDB" w:rsidR="006420E7" w:rsidRPr="00012D40" w:rsidRDefault="006420E7" w:rsidP="00E54247">
      <w:pPr>
        <w:pStyle w:val="ListParagraph"/>
        <w:numPr>
          <w:ilvl w:val="0"/>
          <w:numId w:val="3"/>
        </w:numPr>
        <w:rPr>
          <w:shd w:val="clear" w:color="auto" w:fill="FFFFFF"/>
        </w:rPr>
      </w:pPr>
      <w:r w:rsidRPr="00012D40">
        <w:rPr>
          <w:shd w:val="clear" w:color="auto" w:fill="FFFFFF"/>
        </w:rPr>
        <w:t>Certification of eligibility –</w:t>
      </w:r>
      <w:r w:rsidR="00BB4DD1" w:rsidRPr="00012D40">
        <w:rPr>
          <w:shd w:val="clear" w:color="auto" w:fill="FFFFFF"/>
        </w:rPr>
        <w:t xml:space="preserve"> </w:t>
      </w:r>
      <w:r w:rsidRPr="00012D40">
        <w:rPr>
          <w:shd w:val="clear" w:color="auto" w:fill="FFFFFF"/>
        </w:rPr>
        <w:t>the number of victims certified per year through HHS Certification and Eligibility Letters</w:t>
      </w:r>
      <w:r w:rsidR="003D7B01">
        <w:rPr>
          <w:shd w:val="clear" w:color="auto" w:fill="FFFFFF"/>
        </w:rPr>
        <w:t xml:space="preserve"> (see</w:t>
      </w:r>
      <w:r w:rsidR="00181F01">
        <w:rPr>
          <w:shd w:val="clear" w:color="auto" w:fill="FFFFFF"/>
        </w:rPr>
        <w:t xml:space="preserve"> </w:t>
      </w:r>
      <w:r w:rsidR="00181F01">
        <w:rPr>
          <w:shd w:val="clear" w:color="auto" w:fill="FFFFFF"/>
        </w:rPr>
        <w:fldChar w:fldCharType="begin"/>
      </w:r>
      <w:r w:rsidR="00181F01">
        <w:rPr>
          <w:shd w:val="clear" w:color="auto" w:fill="FFFFFF"/>
        </w:rPr>
        <w:instrText xml:space="preserve"> REF _Ref93581591 \n \h </w:instrText>
      </w:r>
      <w:r w:rsidR="00181F01">
        <w:rPr>
          <w:shd w:val="clear" w:color="auto" w:fill="FFFFFF"/>
        </w:rPr>
      </w:r>
      <w:r w:rsidR="00181F01">
        <w:rPr>
          <w:shd w:val="clear" w:color="auto" w:fill="FFFFFF"/>
        </w:rPr>
        <w:fldChar w:fldCharType="separate"/>
      </w:r>
      <w:r w:rsidR="00181F01">
        <w:rPr>
          <w:shd w:val="clear" w:color="auto" w:fill="FFFFFF"/>
          <w:cs/>
        </w:rPr>
        <w:t>‎</w:t>
      </w:r>
      <w:r w:rsidR="00181F01">
        <w:rPr>
          <w:shd w:val="clear" w:color="auto" w:fill="FFFFFF"/>
        </w:rPr>
        <w:t>Annex 3</w:t>
      </w:r>
      <w:r w:rsidR="00181F01">
        <w:rPr>
          <w:shd w:val="clear" w:color="auto" w:fill="FFFFFF"/>
        </w:rPr>
        <w:fldChar w:fldCharType="end"/>
      </w:r>
      <w:r w:rsidR="003D7B01">
        <w:rPr>
          <w:shd w:val="clear" w:color="auto" w:fill="FFFFFF"/>
        </w:rPr>
        <w:t>)</w:t>
      </w:r>
      <w:r w:rsidR="00BB4DD1" w:rsidRPr="00012D40">
        <w:rPr>
          <w:shd w:val="clear" w:color="auto" w:fill="FFFFFF"/>
        </w:rPr>
        <w:t>;</w:t>
      </w:r>
    </w:p>
    <w:p w14:paraId="531F30D3" w14:textId="1E5F0610" w:rsidR="006420E7" w:rsidRPr="00012D40" w:rsidRDefault="006420E7" w:rsidP="00E54247">
      <w:pPr>
        <w:pStyle w:val="ListParagraph"/>
        <w:numPr>
          <w:ilvl w:val="0"/>
          <w:numId w:val="3"/>
        </w:numPr>
        <w:rPr>
          <w:shd w:val="clear" w:color="auto" w:fill="FFFFFF"/>
        </w:rPr>
      </w:pPr>
      <w:r w:rsidRPr="00012D40">
        <w:rPr>
          <w:shd w:val="clear" w:color="auto" w:fill="FFFFFF"/>
        </w:rPr>
        <w:t xml:space="preserve">Service Provision to Foreign Victims – the number of </w:t>
      </w:r>
      <w:r w:rsidR="00BB4DD1" w:rsidRPr="00012D40">
        <w:rPr>
          <w:shd w:val="clear" w:color="auto" w:fill="FFFFFF"/>
        </w:rPr>
        <w:t xml:space="preserve">foreign </w:t>
      </w:r>
      <w:r w:rsidRPr="00012D40">
        <w:rPr>
          <w:shd w:val="clear" w:color="auto" w:fill="FFFFFF"/>
        </w:rPr>
        <w:t>victims served by the entire network of grantees</w:t>
      </w:r>
      <w:r w:rsidR="00BB4DD1" w:rsidRPr="00012D40">
        <w:rPr>
          <w:shd w:val="clear" w:color="auto" w:fill="FFFFFF"/>
        </w:rPr>
        <w:t>;</w:t>
      </w:r>
    </w:p>
    <w:p w14:paraId="77BE2D7C" w14:textId="475B7971" w:rsidR="006420E7" w:rsidRPr="00012D40" w:rsidRDefault="006420E7" w:rsidP="00E54247">
      <w:pPr>
        <w:pStyle w:val="ListParagraph"/>
        <w:numPr>
          <w:ilvl w:val="0"/>
          <w:numId w:val="3"/>
        </w:numPr>
        <w:rPr>
          <w:shd w:val="clear" w:color="auto" w:fill="FFFFFF"/>
        </w:rPr>
      </w:pPr>
      <w:r w:rsidRPr="00012D40">
        <w:rPr>
          <w:shd w:val="clear" w:color="auto" w:fill="FFFFFF"/>
        </w:rPr>
        <w:t xml:space="preserve">Service Provision to Domestic Victims – the number of </w:t>
      </w:r>
      <w:r w:rsidR="00BB4DD1" w:rsidRPr="00012D40">
        <w:rPr>
          <w:shd w:val="clear" w:color="auto" w:fill="FFFFFF"/>
        </w:rPr>
        <w:t xml:space="preserve">domestic </w:t>
      </w:r>
      <w:r w:rsidRPr="00012D40">
        <w:rPr>
          <w:shd w:val="clear" w:color="auto" w:fill="FFFFFF"/>
        </w:rPr>
        <w:t>victims served by the entire network of grantees</w:t>
      </w:r>
      <w:r w:rsidR="00BB4DD1" w:rsidRPr="00012D40">
        <w:rPr>
          <w:shd w:val="clear" w:color="auto" w:fill="FFFFFF"/>
        </w:rPr>
        <w:t>;</w:t>
      </w:r>
    </w:p>
    <w:p w14:paraId="0473319B" w14:textId="21633B31" w:rsidR="006420E7" w:rsidRPr="00012D40" w:rsidRDefault="006420E7" w:rsidP="00E54247">
      <w:pPr>
        <w:pStyle w:val="ListParagraph"/>
        <w:numPr>
          <w:ilvl w:val="0"/>
          <w:numId w:val="3"/>
        </w:numPr>
        <w:rPr>
          <w:shd w:val="clear" w:color="auto" w:fill="FFFFFF"/>
        </w:rPr>
      </w:pPr>
      <w:r w:rsidRPr="00012D40">
        <w:rPr>
          <w:shd w:val="clear" w:color="auto" w:fill="FFFFFF"/>
        </w:rPr>
        <w:t>Victim identification – the number of potential trafficking victims identified b</w:t>
      </w:r>
      <w:r w:rsidR="00BB4DD1" w:rsidRPr="00012D40">
        <w:rPr>
          <w:shd w:val="clear" w:color="auto" w:fill="FFFFFF"/>
        </w:rPr>
        <w:t>y</w:t>
      </w:r>
      <w:r w:rsidRPr="00012D40">
        <w:rPr>
          <w:shd w:val="clear" w:color="auto" w:fill="FFFFFF"/>
        </w:rPr>
        <w:t xml:space="preserve"> the National Human Traffick</w:t>
      </w:r>
      <w:r w:rsidR="00BB4DD1" w:rsidRPr="00012D40">
        <w:rPr>
          <w:shd w:val="clear" w:color="auto" w:fill="FFFFFF"/>
        </w:rPr>
        <w:t>ing</w:t>
      </w:r>
      <w:r w:rsidRPr="00012D40">
        <w:rPr>
          <w:shd w:val="clear" w:color="auto" w:fill="FFFFFF"/>
        </w:rPr>
        <w:t xml:space="preserve"> Hotline</w:t>
      </w:r>
      <w:r w:rsidR="00BB4DD1" w:rsidRPr="00012D40">
        <w:rPr>
          <w:shd w:val="clear" w:color="auto" w:fill="FFFFFF"/>
        </w:rPr>
        <w:t>;</w:t>
      </w:r>
    </w:p>
    <w:p w14:paraId="2470C779" w14:textId="76E296BF" w:rsidR="006420E7" w:rsidRPr="00012D40" w:rsidRDefault="006420E7" w:rsidP="00E54247">
      <w:pPr>
        <w:pStyle w:val="ListParagraph"/>
        <w:numPr>
          <w:ilvl w:val="0"/>
          <w:numId w:val="3"/>
        </w:numPr>
        <w:rPr>
          <w:shd w:val="clear" w:color="auto" w:fill="FFFFFF"/>
        </w:rPr>
      </w:pPr>
      <w:r w:rsidRPr="00012D40">
        <w:rPr>
          <w:shd w:val="clear" w:color="auto" w:fill="FFFFFF"/>
        </w:rPr>
        <w:t>Survivor Engagement – the number of incoming communications received from victims and survivors of trafficking</w:t>
      </w:r>
      <w:r w:rsidR="00BB4DD1" w:rsidRPr="00012D40">
        <w:rPr>
          <w:shd w:val="clear" w:color="auto" w:fill="FFFFFF"/>
        </w:rPr>
        <w:t>;</w:t>
      </w:r>
    </w:p>
    <w:p w14:paraId="10523787" w14:textId="012A16C0" w:rsidR="006420E7" w:rsidRPr="00012D40" w:rsidRDefault="032224FD" w:rsidP="00E54247">
      <w:pPr>
        <w:pStyle w:val="ListParagraph"/>
        <w:numPr>
          <w:ilvl w:val="0"/>
          <w:numId w:val="3"/>
        </w:numPr>
        <w:rPr>
          <w:shd w:val="clear" w:color="auto" w:fill="FFFFFF"/>
        </w:rPr>
      </w:pPr>
      <w:r w:rsidRPr="00012D40">
        <w:rPr>
          <w:shd w:val="clear" w:color="auto" w:fill="FFFFFF"/>
        </w:rPr>
        <w:t>Training impact – the percentage of individuals trained who have high or very high confidence in their ability to identify and respond to human trafficking after receiving</w:t>
      </w:r>
      <w:r w:rsidR="005D6D6D">
        <w:rPr>
          <w:shd w:val="clear" w:color="auto" w:fill="FFFFFF"/>
        </w:rPr>
        <w:t xml:space="preserve"> </w:t>
      </w:r>
      <w:r w:rsidRPr="00012D40">
        <w:rPr>
          <w:shd w:val="clear" w:color="auto" w:fill="FFFFFF"/>
        </w:rPr>
        <w:t>SOAR to Health and Wellness Training through the National Human Trafficking Training and Technical Assistance Center</w:t>
      </w:r>
      <w:r w:rsidR="2D65925D" w:rsidRPr="00012D40">
        <w:rPr>
          <w:shd w:val="clear" w:color="auto" w:fill="FFFFFF"/>
        </w:rPr>
        <w:t>;</w:t>
      </w:r>
      <w:r w:rsidR="00752BA4">
        <w:rPr>
          <w:shd w:val="clear" w:color="auto" w:fill="FFFFFF"/>
        </w:rPr>
        <w:t xml:space="preserve"> and</w:t>
      </w:r>
    </w:p>
    <w:p w14:paraId="539164E5" w14:textId="24B3C220" w:rsidR="00BB4DD1" w:rsidRPr="000C0CC6" w:rsidRDefault="006420E7" w:rsidP="00E54247">
      <w:pPr>
        <w:pStyle w:val="ListParagraph"/>
        <w:numPr>
          <w:ilvl w:val="0"/>
          <w:numId w:val="3"/>
        </w:numPr>
        <w:rPr>
          <w:shd w:val="clear" w:color="auto" w:fill="FFFFFF"/>
        </w:rPr>
      </w:pPr>
      <w:r w:rsidRPr="00012D40">
        <w:rPr>
          <w:shd w:val="clear" w:color="auto" w:fill="FFFFFF"/>
        </w:rPr>
        <w:t>OTIP also</w:t>
      </w:r>
      <w:r w:rsidR="00765E4F" w:rsidRPr="00012D40">
        <w:rPr>
          <w:shd w:val="clear" w:color="auto" w:fill="FFFFFF"/>
        </w:rPr>
        <w:t xml:space="preserve"> </w:t>
      </w:r>
      <w:r w:rsidR="00BB4DD1" w:rsidRPr="00012D40">
        <w:rPr>
          <w:shd w:val="clear" w:color="auto" w:fill="FFFFFF"/>
        </w:rPr>
        <w:t xml:space="preserve">reports on the total number of individuals who receive training through the National Human Trafficking Training Assistance Center and the total number of communications received by the hotline.  </w:t>
      </w:r>
    </w:p>
    <w:p w14:paraId="20CCD66E" w14:textId="68B846A3" w:rsidR="00724DC8" w:rsidRPr="005B6A00" w:rsidRDefault="65118C93" w:rsidP="00DA4555">
      <w:pPr>
        <w:numPr>
          <w:ilvl w:val="0"/>
          <w:numId w:val="0"/>
        </w:numPr>
        <w:rPr>
          <w:shd w:val="clear" w:color="auto" w:fill="FFFFFF"/>
        </w:rPr>
      </w:pPr>
      <w:r w:rsidRPr="00012D40">
        <w:rPr>
          <w:shd w:val="clear" w:color="auto" w:fill="FFFFFF"/>
        </w:rPr>
        <w:t xml:space="preserve">Similar evaluation work is done by all federal agencies involved with human trafficking and by many states and cities for the programs they </w:t>
      </w:r>
      <w:r w:rsidR="0B854458" w:rsidRPr="00012D40">
        <w:rPr>
          <w:shd w:val="clear" w:color="auto" w:fill="FFFFFF"/>
        </w:rPr>
        <w:t>administer</w:t>
      </w:r>
      <w:r w:rsidRPr="00012D40">
        <w:rPr>
          <w:shd w:val="clear" w:color="auto" w:fill="FFFFFF"/>
        </w:rPr>
        <w:t>.</w:t>
      </w:r>
    </w:p>
    <w:p w14:paraId="28B22084" w14:textId="0B7DB190" w:rsidR="002666D1" w:rsidRPr="00543AD5" w:rsidRDefault="65118C93" w:rsidP="005B6A00">
      <w:pPr>
        <w:ind w:left="0" w:firstLine="0"/>
        <w:rPr>
          <w:shd w:val="clear" w:color="auto" w:fill="FFFFFF"/>
        </w:rPr>
      </w:pPr>
      <w:r w:rsidRPr="696F7013">
        <w:rPr>
          <w:b/>
          <w:bCs/>
          <w:shd w:val="clear" w:color="auto" w:fill="FFFFFF"/>
        </w:rPr>
        <w:t xml:space="preserve">Allocation of Resources.  </w:t>
      </w:r>
      <w:r w:rsidR="5C558871" w:rsidRPr="00012D40">
        <w:rPr>
          <w:shd w:val="clear" w:color="auto" w:fill="FFFFFF"/>
        </w:rPr>
        <w:t>A</w:t>
      </w:r>
      <w:r w:rsidRPr="00012D40">
        <w:rPr>
          <w:shd w:val="clear" w:color="auto" w:fill="FFFFFF"/>
        </w:rPr>
        <w:t>t</w:t>
      </w:r>
      <w:r w:rsidR="6FB210FE" w:rsidRPr="00012D40">
        <w:rPr>
          <w:shd w:val="clear" w:color="auto" w:fill="FFFFFF"/>
        </w:rPr>
        <w:t xml:space="preserve"> all governmental levels</w:t>
      </w:r>
      <w:r w:rsidR="00752BA4">
        <w:rPr>
          <w:shd w:val="clear" w:color="auto" w:fill="FFFFFF"/>
        </w:rPr>
        <w:t>—</w:t>
      </w:r>
      <w:r w:rsidRPr="00012D40">
        <w:rPr>
          <w:shd w:val="clear" w:color="auto" w:fill="FFFFFF"/>
        </w:rPr>
        <w:t xml:space="preserve">federal, state, </w:t>
      </w:r>
      <w:r w:rsidR="5325C02C" w:rsidRPr="00012D40">
        <w:rPr>
          <w:shd w:val="clear" w:color="auto" w:fill="FFFFFF"/>
        </w:rPr>
        <w:t xml:space="preserve">territorial, tribal, </w:t>
      </w:r>
      <w:r w:rsidRPr="00012D40">
        <w:rPr>
          <w:shd w:val="clear" w:color="auto" w:fill="FFFFFF"/>
        </w:rPr>
        <w:t>and local</w:t>
      </w:r>
      <w:r w:rsidR="00752BA4">
        <w:rPr>
          <w:shd w:val="clear" w:color="auto" w:fill="FFFFFF"/>
        </w:rPr>
        <w:t>—</w:t>
      </w:r>
      <w:r w:rsidR="5C558871" w:rsidRPr="00012D40">
        <w:rPr>
          <w:shd w:val="clear" w:color="auto" w:fill="FFFFFF"/>
        </w:rPr>
        <w:t xml:space="preserve">in the United States, </w:t>
      </w:r>
      <w:r w:rsidRPr="00012D40">
        <w:rPr>
          <w:shd w:val="clear" w:color="auto" w:fill="FFFFFF"/>
        </w:rPr>
        <w:t>budget allocations for programs to address trafficking of children for sex, labor, an</w:t>
      </w:r>
      <w:r w:rsidR="5C558871" w:rsidRPr="00012D40">
        <w:rPr>
          <w:shd w:val="clear" w:color="auto" w:fill="FFFFFF"/>
        </w:rPr>
        <w:t>d other activities are publ</w:t>
      </w:r>
      <w:r w:rsidR="36BDEE6A" w:rsidRPr="00012D40">
        <w:rPr>
          <w:shd w:val="clear" w:color="auto" w:fill="FFFFFF"/>
        </w:rPr>
        <w:t>ic. As noted above, government</w:t>
      </w:r>
      <w:r w:rsidR="5C558871" w:rsidRPr="00012D40">
        <w:rPr>
          <w:shd w:val="clear" w:color="auto" w:fill="FFFFFF"/>
        </w:rPr>
        <w:t xml:space="preserve"> agencies do assess the effectiveness of their programs and the budget</w:t>
      </w:r>
      <w:r w:rsidR="38D0AD68" w:rsidRPr="00012D40">
        <w:rPr>
          <w:shd w:val="clear" w:color="auto" w:fill="FFFFFF"/>
        </w:rPr>
        <w:t xml:space="preserve"> allocations allotted to them. </w:t>
      </w:r>
      <w:r w:rsidR="5C558871" w:rsidRPr="00012D40">
        <w:rPr>
          <w:shd w:val="clear" w:color="auto" w:fill="FFFFFF"/>
        </w:rPr>
        <w:t>Officials at all levels in the United States place high priority on the m</w:t>
      </w:r>
      <w:r w:rsidR="6360A14D" w:rsidRPr="00012D40">
        <w:rPr>
          <w:shd w:val="clear" w:color="auto" w:fill="FFFFFF"/>
        </w:rPr>
        <w:t xml:space="preserve">atters covered by OPSC and </w:t>
      </w:r>
      <w:r w:rsidR="5C558871" w:rsidRPr="00012D40">
        <w:rPr>
          <w:shd w:val="clear" w:color="auto" w:fill="FFFFFF"/>
        </w:rPr>
        <w:t>continue to work to find the most effective ways of addressing them.</w:t>
      </w:r>
      <w:r w:rsidR="0088680D">
        <w:rPr>
          <w:shd w:val="clear" w:color="auto" w:fill="FFFFFF"/>
        </w:rPr>
        <w:t xml:space="preserve"> Information on federal funding for anti-trafficking programs is </w:t>
      </w:r>
      <w:r w:rsidR="11DE9117">
        <w:rPr>
          <w:shd w:val="clear" w:color="auto" w:fill="FFFFFF"/>
        </w:rPr>
        <w:t>included in</w:t>
      </w:r>
      <w:r w:rsidR="0088680D">
        <w:rPr>
          <w:shd w:val="clear" w:color="auto" w:fill="FFFFFF"/>
        </w:rPr>
        <w:t xml:space="preserve"> the Attorney General</w:t>
      </w:r>
      <w:r w:rsidR="00752BA4">
        <w:rPr>
          <w:shd w:val="clear" w:color="auto" w:fill="FFFFFF"/>
        </w:rPr>
        <w:t>’</w:t>
      </w:r>
      <w:r w:rsidR="0088680D">
        <w:rPr>
          <w:shd w:val="clear" w:color="auto" w:fill="FFFFFF"/>
        </w:rPr>
        <w:t>s</w:t>
      </w:r>
      <w:r w:rsidR="6E739DB4">
        <w:rPr>
          <w:shd w:val="clear" w:color="auto" w:fill="FFFFFF"/>
        </w:rPr>
        <w:t xml:space="preserve"> most recent,</w:t>
      </w:r>
      <w:r w:rsidR="0088680D">
        <w:rPr>
          <w:shd w:val="clear" w:color="auto" w:fill="FFFFFF"/>
        </w:rPr>
        <w:t xml:space="preserve"> </w:t>
      </w:r>
      <w:r w:rsidR="7EDEE80C" w:rsidRPr="5C531F67">
        <w:t xml:space="preserve">publicly available </w:t>
      </w:r>
      <w:r w:rsidR="0088680D">
        <w:rPr>
          <w:shd w:val="clear" w:color="auto" w:fill="FFFFFF"/>
        </w:rPr>
        <w:t xml:space="preserve">Annual Report to Congress </w:t>
      </w:r>
      <w:r w:rsidR="24765E3E">
        <w:rPr>
          <w:shd w:val="clear" w:color="auto" w:fill="FFFFFF"/>
        </w:rPr>
        <w:t>on</w:t>
      </w:r>
      <w:r w:rsidR="0088680D">
        <w:rPr>
          <w:shd w:val="clear" w:color="auto" w:fill="FFFFFF"/>
        </w:rPr>
        <w:t xml:space="preserve"> U.S. Government Activities to Combat Trafficking in Persons</w:t>
      </w:r>
      <w:r w:rsidR="41ACB6F6">
        <w:rPr>
          <w:shd w:val="clear" w:color="auto" w:fill="FFFFFF"/>
        </w:rPr>
        <w:t xml:space="preserve"> (for </w:t>
      </w:r>
      <w:r w:rsidR="0088680D">
        <w:rPr>
          <w:shd w:val="clear" w:color="auto" w:fill="FFFFFF"/>
        </w:rPr>
        <w:t>FY 2018</w:t>
      </w:r>
      <w:r w:rsidR="6C2A909E">
        <w:rPr>
          <w:shd w:val="clear" w:color="auto" w:fill="FFFFFF"/>
        </w:rPr>
        <w:t>)</w:t>
      </w:r>
      <w:r w:rsidR="0088680D">
        <w:rPr>
          <w:shd w:val="clear" w:color="auto" w:fill="FFFFFF"/>
        </w:rPr>
        <w:t>,</w:t>
      </w:r>
      <w:r w:rsidR="00FE0124">
        <w:rPr>
          <w:shd w:val="clear" w:color="auto" w:fill="FFFFFF"/>
        </w:rPr>
        <w:t xml:space="preserve"> </w:t>
      </w:r>
      <w:hyperlink r:id="rId17" w:history="1">
        <w:r w:rsidR="000A1526" w:rsidRPr="002F7D30">
          <w:rPr>
            <w:rStyle w:val="Hyperlink"/>
            <w:rFonts w:eastAsia="Times New Roman"/>
            <w:shd w:val="clear" w:color="auto" w:fill="FFFFFF"/>
          </w:rPr>
          <w:t>www.justice.gov/humantrafficking/page/file/1276166/download</w:t>
        </w:r>
      </w:hyperlink>
      <w:r w:rsidR="0088680D" w:rsidRPr="00012D40">
        <w:rPr>
          <w:shd w:val="clear" w:color="auto" w:fill="FFFFFF"/>
        </w:rPr>
        <w:t>.</w:t>
      </w:r>
      <w:r w:rsidR="5C558871" w:rsidRPr="5C531F67">
        <w:t xml:space="preserve"> </w:t>
      </w:r>
    </w:p>
    <w:p w14:paraId="53EDC066" w14:textId="5886CD21" w:rsidR="008E3CBD" w:rsidRPr="00012D40" w:rsidRDefault="00D9795D" w:rsidP="001B4EAA">
      <w:pPr>
        <w:pStyle w:val="Heading1"/>
        <w:numPr>
          <w:ilvl w:val="0"/>
          <w:numId w:val="0"/>
        </w:numPr>
        <w:rPr>
          <w:shd w:val="clear" w:color="auto" w:fill="FFFFFF"/>
        </w:rPr>
      </w:pPr>
      <w:bookmarkStart w:id="6" w:name="_Toc93588715"/>
      <w:r>
        <w:rPr>
          <w:shd w:val="clear" w:color="auto" w:fill="FFFFFF"/>
        </w:rPr>
        <w:t>III</w:t>
      </w:r>
      <w:r w:rsidR="0022427A" w:rsidRPr="00012D40">
        <w:rPr>
          <w:shd w:val="clear" w:color="auto" w:fill="FFFFFF"/>
        </w:rPr>
        <w:t xml:space="preserve">.  Prevention of the </w:t>
      </w:r>
      <w:r w:rsidR="009A0BA8">
        <w:rPr>
          <w:shd w:val="clear" w:color="auto" w:fill="FFFFFF"/>
        </w:rPr>
        <w:t>S</w:t>
      </w:r>
      <w:r w:rsidR="0022427A" w:rsidRPr="00012D40">
        <w:rPr>
          <w:shd w:val="clear" w:color="auto" w:fill="FFFFFF"/>
        </w:rPr>
        <w:t xml:space="preserve">ale of </w:t>
      </w:r>
      <w:r w:rsidR="009A0BA8">
        <w:rPr>
          <w:shd w:val="clear" w:color="auto" w:fill="FFFFFF"/>
        </w:rPr>
        <w:t>C</w:t>
      </w:r>
      <w:r w:rsidR="0022427A" w:rsidRPr="00012D40">
        <w:rPr>
          <w:shd w:val="clear" w:color="auto" w:fill="FFFFFF"/>
        </w:rPr>
        <w:t xml:space="preserve">hildren, </w:t>
      </w:r>
      <w:r w:rsidR="009A0BA8">
        <w:rPr>
          <w:shd w:val="clear" w:color="auto" w:fill="FFFFFF"/>
        </w:rPr>
        <w:t>C</w:t>
      </w:r>
      <w:r w:rsidR="0022427A" w:rsidRPr="00012D40">
        <w:rPr>
          <w:shd w:val="clear" w:color="auto" w:fill="FFFFFF"/>
        </w:rPr>
        <w:t xml:space="preserve">hild </w:t>
      </w:r>
      <w:r w:rsidR="009A0BA8">
        <w:rPr>
          <w:shd w:val="clear" w:color="auto" w:fill="FFFFFF"/>
        </w:rPr>
        <w:t>P</w:t>
      </w:r>
      <w:r w:rsidR="0022427A" w:rsidRPr="00012D40">
        <w:rPr>
          <w:shd w:val="clear" w:color="auto" w:fill="FFFFFF"/>
        </w:rPr>
        <w:t xml:space="preserve">rostitution and </w:t>
      </w:r>
      <w:r w:rsidR="009A0BA8">
        <w:rPr>
          <w:shd w:val="clear" w:color="auto" w:fill="FFFFFF"/>
        </w:rPr>
        <w:t>C</w:t>
      </w:r>
      <w:r w:rsidR="0022427A" w:rsidRPr="00012D40">
        <w:rPr>
          <w:shd w:val="clear" w:color="auto" w:fill="FFFFFF"/>
        </w:rPr>
        <w:t xml:space="preserve">hild </w:t>
      </w:r>
      <w:r w:rsidR="009A0BA8">
        <w:rPr>
          <w:shd w:val="clear" w:color="auto" w:fill="FFFFFF"/>
        </w:rPr>
        <w:t>P</w:t>
      </w:r>
      <w:r w:rsidR="0022427A" w:rsidRPr="00012D40">
        <w:rPr>
          <w:shd w:val="clear" w:color="auto" w:fill="FFFFFF"/>
        </w:rPr>
        <w:t>ornography (</w:t>
      </w:r>
      <w:r w:rsidR="009A0BA8">
        <w:rPr>
          <w:shd w:val="clear" w:color="auto" w:fill="FFFFFF"/>
        </w:rPr>
        <w:t>A</w:t>
      </w:r>
      <w:r w:rsidR="0022427A" w:rsidRPr="00012D40">
        <w:rPr>
          <w:shd w:val="clear" w:color="auto" w:fill="FFFFFF"/>
        </w:rPr>
        <w:t>rt. 9(1) and (2))</w:t>
      </w:r>
      <w:bookmarkEnd w:id="6"/>
      <w:r w:rsidR="002666D1" w:rsidRPr="00012D40">
        <w:rPr>
          <w:shd w:val="clear" w:color="auto" w:fill="FFFFFF"/>
        </w:rPr>
        <w:t xml:space="preserve"> </w:t>
      </w:r>
      <w:r w:rsidR="00724DC8" w:rsidRPr="00012D40">
        <w:rPr>
          <w:shd w:val="clear" w:color="auto" w:fill="FFFFFF"/>
        </w:rPr>
        <w:t xml:space="preserve"> </w:t>
      </w:r>
    </w:p>
    <w:p w14:paraId="1D1D4ABA" w14:textId="21CAE191" w:rsidR="001756C8" w:rsidRPr="00012D40" w:rsidRDefault="3B2DD265" w:rsidP="00CD4EAB">
      <w:pPr>
        <w:ind w:left="0" w:firstLine="0"/>
      </w:pPr>
      <w:r w:rsidRPr="696F7013">
        <w:rPr>
          <w:b/>
          <w:bCs/>
          <w:shd w:val="clear" w:color="auto" w:fill="FFFFFF"/>
        </w:rPr>
        <w:t xml:space="preserve">Measures </w:t>
      </w:r>
      <w:r w:rsidR="00CB2632">
        <w:rPr>
          <w:b/>
          <w:bCs/>
          <w:shd w:val="clear" w:color="auto" w:fill="FFFFFF"/>
        </w:rPr>
        <w:t>A</w:t>
      </w:r>
      <w:r w:rsidR="00CB2632" w:rsidRPr="696F7013">
        <w:rPr>
          <w:b/>
          <w:bCs/>
          <w:shd w:val="clear" w:color="auto" w:fill="FFFFFF"/>
        </w:rPr>
        <w:t xml:space="preserve">dopted </w:t>
      </w:r>
      <w:r w:rsidRPr="696F7013">
        <w:rPr>
          <w:b/>
          <w:bCs/>
          <w:shd w:val="clear" w:color="auto" w:fill="FFFFFF"/>
        </w:rPr>
        <w:t xml:space="preserve">to </w:t>
      </w:r>
      <w:r w:rsidR="00CB2632">
        <w:rPr>
          <w:b/>
          <w:bCs/>
          <w:shd w:val="clear" w:color="auto" w:fill="FFFFFF"/>
        </w:rPr>
        <w:t>P</w:t>
      </w:r>
      <w:r w:rsidR="00CB2632" w:rsidRPr="696F7013">
        <w:rPr>
          <w:b/>
          <w:bCs/>
          <w:shd w:val="clear" w:color="auto" w:fill="FFFFFF"/>
        </w:rPr>
        <w:t xml:space="preserve">revent </w:t>
      </w:r>
      <w:r w:rsidR="00CB2632">
        <w:rPr>
          <w:b/>
          <w:bCs/>
          <w:shd w:val="clear" w:color="auto" w:fill="FFFFFF"/>
        </w:rPr>
        <w:t>O</w:t>
      </w:r>
      <w:r w:rsidRPr="696F7013">
        <w:rPr>
          <w:b/>
          <w:bCs/>
          <w:shd w:val="clear" w:color="auto" w:fill="FFFFFF"/>
        </w:rPr>
        <w:t>ffen</w:t>
      </w:r>
      <w:r w:rsidR="00CB2632">
        <w:rPr>
          <w:b/>
          <w:bCs/>
          <w:shd w:val="clear" w:color="auto" w:fill="FFFFFF"/>
        </w:rPr>
        <w:t>s</w:t>
      </w:r>
      <w:r w:rsidRPr="696F7013">
        <w:rPr>
          <w:b/>
          <w:bCs/>
          <w:shd w:val="clear" w:color="auto" w:fill="FFFFFF"/>
        </w:rPr>
        <w:t xml:space="preserve">es </w:t>
      </w:r>
      <w:r w:rsidR="004633BC">
        <w:rPr>
          <w:b/>
          <w:bCs/>
          <w:shd w:val="clear" w:color="auto" w:fill="FFFFFF"/>
        </w:rPr>
        <w:t>P</w:t>
      </w:r>
      <w:r w:rsidR="004633BC" w:rsidRPr="696F7013">
        <w:rPr>
          <w:b/>
          <w:bCs/>
          <w:shd w:val="clear" w:color="auto" w:fill="FFFFFF"/>
        </w:rPr>
        <w:t xml:space="preserve">rohibited </w:t>
      </w:r>
      <w:r w:rsidRPr="696F7013">
        <w:rPr>
          <w:b/>
          <w:bCs/>
          <w:shd w:val="clear" w:color="auto" w:fill="FFFFFF"/>
        </w:rPr>
        <w:t>under the Protocol.</w:t>
      </w:r>
      <w:r w:rsidRPr="00012D40">
        <w:rPr>
          <w:shd w:val="clear" w:color="auto" w:fill="FFFFFF"/>
        </w:rPr>
        <w:t xml:space="preserve">  </w:t>
      </w:r>
      <w:r w:rsidR="341A85C1" w:rsidRPr="00012D40">
        <w:rPr>
          <w:shd w:val="clear" w:color="auto" w:fill="FFFFFF"/>
        </w:rPr>
        <w:t>T</w:t>
      </w:r>
      <w:r w:rsidR="6FABCAC7" w:rsidRPr="00012D40">
        <w:rPr>
          <w:shd w:val="clear" w:color="auto" w:fill="FFFFFF"/>
        </w:rPr>
        <w:t>he United States</w:t>
      </w:r>
      <w:r w:rsidR="341A85C1" w:rsidRPr="00012D40">
        <w:rPr>
          <w:shd w:val="clear" w:color="auto" w:fill="FFFFFF"/>
        </w:rPr>
        <w:t xml:space="preserve"> takes a comprehensive approach</w:t>
      </w:r>
      <w:r w:rsidR="6FABCAC7" w:rsidRPr="00012D40">
        <w:t xml:space="preserve"> to prevent</w:t>
      </w:r>
      <w:r w:rsidR="341A85C1" w:rsidRPr="00012D40">
        <w:t>ing</w:t>
      </w:r>
      <w:r w:rsidR="6FABCAC7" w:rsidRPr="00012D40">
        <w:t xml:space="preserve"> </w:t>
      </w:r>
      <w:r w:rsidR="342FAEAC" w:rsidRPr="12383FEE">
        <w:t>the offenses prohibited under the Protocol</w:t>
      </w:r>
      <w:r w:rsidR="341A85C1" w:rsidRPr="00012D40">
        <w:t>,</w:t>
      </w:r>
      <w:r w:rsidR="7253C74A" w:rsidRPr="12383FEE">
        <w:t xml:space="preserve"> which </w:t>
      </w:r>
      <w:r w:rsidR="341A85C1" w:rsidRPr="00012D40">
        <w:t>includ</w:t>
      </w:r>
      <w:r w:rsidR="685DA217" w:rsidRPr="12383FEE">
        <w:t>es</w:t>
      </w:r>
      <w:r w:rsidR="6FABCAC7" w:rsidRPr="00012D40">
        <w:t xml:space="preserve"> three levels—primary, secondary, and te</w:t>
      </w:r>
      <w:r w:rsidR="341A85C1" w:rsidRPr="00012D40">
        <w:t>rtiary</w:t>
      </w:r>
      <w:r w:rsidR="544292C0" w:rsidRPr="12383FEE">
        <w:t xml:space="preserve"> prevention</w:t>
      </w:r>
      <w:r w:rsidR="6FABCAC7" w:rsidRPr="00012D40">
        <w:t xml:space="preserve">. Primary prevention </w:t>
      </w:r>
      <w:r w:rsidR="1F1A7DF2" w:rsidRPr="00012D40">
        <w:t>helps stop</w:t>
      </w:r>
      <w:r w:rsidR="6FABCAC7" w:rsidRPr="00012D40">
        <w:t xml:space="preserve"> violence before it occurs. Primary prevention strategies include strengthening and creating healthy relationships, reducing risks within the individual’s environment, increasing buffers to violence</w:t>
      </w:r>
      <w:r w:rsidR="575322B7" w:rsidRPr="00012D40">
        <w:t>,</w:t>
      </w:r>
      <w:r w:rsidR="00F00F2C" w:rsidRPr="00F00F2C">
        <w:t xml:space="preserve"> </w:t>
      </w:r>
      <w:r w:rsidR="00F00F2C">
        <w:t>and targeting education for children, teens</w:t>
      </w:r>
      <w:r w:rsidR="006023B2">
        <w:t>,</w:t>
      </w:r>
      <w:r w:rsidR="00F00F2C">
        <w:t xml:space="preserve"> and adults through training and social awareness campaigns</w:t>
      </w:r>
      <w:r w:rsidR="6FABCAC7" w:rsidRPr="00012D40">
        <w:t>. Secondary prevention provides an immediate response to violence as it occurs. These services include first responses, such as basic services and emergency and medical care that address short-term consequences. Te</w:t>
      </w:r>
      <w:r w:rsidR="1F1A7DF2" w:rsidRPr="00012D40">
        <w:t>rtiary prevention activities involve</w:t>
      </w:r>
      <w:r w:rsidR="6FABCAC7" w:rsidRPr="00012D40">
        <w:t xml:space="preserve"> long-term responses that occur in the aftermath of violence, such as</w:t>
      </w:r>
      <w:r w:rsidR="6A974CD9" w:rsidRPr="00012D40">
        <w:t xml:space="preserve"> </w:t>
      </w:r>
      <w:r w:rsidR="6FABCAC7" w:rsidRPr="00012D40">
        <w:t>long-term housing, job training, therapeutic counseling, and other supportive services that seek to prevent re-victimization</w:t>
      </w:r>
      <w:r w:rsidR="00B82CE5">
        <w:t xml:space="preserve"> </w:t>
      </w:r>
      <w:r w:rsidR="00BC5C9D">
        <w:t>and provide access to rights and services, if appropriate, through DOJ’s Victim Notification Program</w:t>
      </w:r>
      <w:r w:rsidR="00F03D80">
        <w:t xml:space="preserve">, </w:t>
      </w:r>
      <w:hyperlink r:id="rId18" w:history="1">
        <w:r w:rsidR="00F03D80" w:rsidRPr="00232FDC">
          <w:rPr>
            <w:rStyle w:val="Hyperlink"/>
            <w:rFonts w:ascii="Times" w:eastAsia="Times New Roman" w:hAnsi="Times"/>
          </w:rPr>
          <w:t>https://www.justice.gov/criminal-vns</w:t>
        </w:r>
      </w:hyperlink>
      <w:r w:rsidR="00F03D80">
        <w:t>.</w:t>
      </w:r>
      <w:r w:rsidR="00BC5C9D" w:rsidRPr="00012D40">
        <w:t xml:space="preserve">  </w:t>
      </w:r>
      <w:r w:rsidR="350CDFC1" w:rsidRPr="00012D40">
        <w:t xml:space="preserve"> </w:t>
      </w:r>
    </w:p>
    <w:p w14:paraId="0967502F" w14:textId="12D07AEE" w:rsidR="009C0850" w:rsidRPr="00012D40" w:rsidRDefault="5A460420" w:rsidP="00CD4EAB">
      <w:pPr>
        <w:ind w:left="0" w:firstLine="0"/>
      </w:pPr>
      <w:r w:rsidRPr="4514C18F">
        <w:t xml:space="preserve">A proactive </w:t>
      </w:r>
      <w:r w:rsidR="3D9494EC" w:rsidRPr="4514C18F">
        <w:t>prevention</w:t>
      </w:r>
      <w:r w:rsidR="350CDFC1" w:rsidRPr="4514C18F">
        <w:t xml:space="preserve"> approach </w:t>
      </w:r>
      <w:r w:rsidRPr="4514C18F">
        <w:t xml:space="preserve">requires the involvement of multiple </w:t>
      </w:r>
      <w:r w:rsidR="350CDFC1" w:rsidRPr="4514C18F">
        <w:t xml:space="preserve">government </w:t>
      </w:r>
      <w:r w:rsidR="34C84892" w:rsidRPr="4514C18F">
        <w:t xml:space="preserve">agencies </w:t>
      </w:r>
      <w:r w:rsidR="350CDFC1" w:rsidRPr="4514C18F">
        <w:t xml:space="preserve">responsible for protecting people from all forms of violence and assisting </w:t>
      </w:r>
      <w:r w:rsidRPr="4514C18F">
        <w:t>those who have experienced it. This approach</w:t>
      </w:r>
      <w:r w:rsidR="350CDFC1" w:rsidRPr="4514C18F">
        <w:t xml:space="preserve"> provides an opportunity for agencies to partner with community-based providers to evolve, adjust, and respond to the needs of children, youth, and families in their communities before they reach a critical level of risk or danger. </w:t>
      </w:r>
      <w:r w:rsidR="764BE33A" w:rsidRPr="4514C18F">
        <w:t>Preventing violence requires acting across multiple levels at the same time, focusing on the individual (</w:t>
      </w:r>
      <w:r w:rsidR="317CDE9E" w:rsidRPr="4514C18F">
        <w:t xml:space="preserve">including </w:t>
      </w:r>
      <w:r w:rsidR="764BE33A" w:rsidRPr="4514C18F">
        <w:t xml:space="preserve">factors such as age, education, income, substance abuse, </w:t>
      </w:r>
      <w:r w:rsidR="636A007F" w:rsidRPr="4514C18F">
        <w:t>a</w:t>
      </w:r>
      <w:r w:rsidR="750CFCB9" w:rsidRPr="4514C18F">
        <w:t>n</w:t>
      </w:r>
      <w:r w:rsidR="636A007F" w:rsidRPr="4514C18F">
        <w:t xml:space="preserve">d </w:t>
      </w:r>
      <w:r w:rsidR="764BE33A" w:rsidRPr="4514C18F">
        <w:t>behavioral history), the individual’s relationships (</w:t>
      </w:r>
      <w:r w:rsidR="50AAC90B" w:rsidRPr="4514C18F">
        <w:t xml:space="preserve">e.g. </w:t>
      </w:r>
      <w:r w:rsidR="764BE33A" w:rsidRPr="4514C18F">
        <w:t>family</w:t>
      </w:r>
      <w:r w:rsidR="034876DF" w:rsidRPr="4514C18F">
        <w:t>,</w:t>
      </w:r>
      <w:r w:rsidR="764BE33A" w:rsidRPr="4514C18F">
        <w:t xml:space="preserve"> friends, co-workers, peers), the community (</w:t>
      </w:r>
      <w:r w:rsidR="37E7CCC3" w:rsidRPr="4514C18F">
        <w:t xml:space="preserve">e.g. </w:t>
      </w:r>
      <w:r w:rsidR="764BE33A" w:rsidRPr="4514C18F">
        <w:t>schools, workplaces, neighborhoods), and societal factors (</w:t>
      </w:r>
      <w:r w:rsidR="2AB4D614" w:rsidRPr="4514C18F">
        <w:t xml:space="preserve">e.g. </w:t>
      </w:r>
      <w:r w:rsidR="764BE33A" w:rsidRPr="4514C18F">
        <w:t xml:space="preserve">broad social and cultural norms, health, economic factors, </w:t>
      </w:r>
      <w:r w:rsidR="285D39DD" w:rsidRPr="4514C18F">
        <w:t xml:space="preserve">and </w:t>
      </w:r>
      <w:r w:rsidR="764BE33A" w:rsidRPr="4514C18F">
        <w:t>edu</w:t>
      </w:r>
      <w:r w:rsidR="1F1A7DF2" w:rsidRPr="4514C18F">
        <w:t xml:space="preserve">cational and social policies). </w:t>
      </w:r>
      <w:r w:rsidR="350CDFC1" w:rsidRPr="4514C18F">
        <w:t xml:space="preserve">By working together, agencies and community providers can change </w:t>
      </w:r>
      <w:r w:rsidRPr="4514C18F">
        <w:t xml:space="preserve">attitudes and perceptions and alter </w:t>
      </w:r>
      <w:r w:rsidR="350CDFC1" w:rsidRPr="4514C18F">
        <w:t>the services environment so that individuals and families receive the supp</w:t>
      </w:r>
      <w:r w:rsidRPr="4514C18F">
        <w:t>ort they need before</w:t>
      </w:r>
      <w:r w:rsidR="350CDFC1" w:rsidRPr="4514C18F">
        <w:t xml:space="preserve"> human trafficking can occur.</w:t>
      </w:r>
      <w:r w:rsidR="00565666" w:rsidRPr="4514C18F">
        <w:t xml:space="preserve"> HHS</w:t>
      </w:r>
      <w:r w:rsidR="00EC0B1B" w:rsidRPr="4514C18F">
        <w:t>/</w:t>
      </w:r>
      <w:r w:rsidR="00565666" w:rsidRPr="4514C18F">
        <w:t xml:space="preserve">ACF </w:t>
      </w:r>
      <w:r w:rsidR="2B75A8D2" w:rsidRPr="4514C18F">
        <w:t xml:space="preserve">is </w:t>
      </w:r>
      <w:r w:rsidR="00565666" w:rsidRPr="4514C18F">
        <w:t>committed to working with federal and other stakeholders to establish and implement a national human trafficking prevention action plan as part of the National Action Plan to Combat Human Trafficking.</w:t>
      </w:r>
    </w:p>
    <w:p w14:paraId="37895A54" w14:textId="6DBB2ACB" w:rsidR="00FE2B5B" w:rsidRPr="00012D40" w:rsidRDefault="09F66DCB" w:rsidP="00CD4EAB">
      <w:pPr>
        <w:ind w:left="0" w:firstLine="0"/>
      </w:pPr>
      <w:r w:rsidRPr="4514C18F">
        <w:t>With regard to school curriculums, as noted abo</w:t>
      </w:r>
      <w:r w:rsidR="10FBE069" w:rsidRPr="4514C18F">
        <w:t>ve, curricula</w:t>
      </w:r>
      <w:r w:rsidRPr="4514C18F">
        <w:t xml:space="preserve"> are</w:t>
      </w:r>
      <w:r w:rsidR="6E5A4950" w:rsidRPr="4514C18F">
        <w:t xml:space="preserve"> developed at the </w:t>
      </w:r>
      <w:r w:rsidR="476BCBD2" w:rsidRPr="4514C18F">
        <w:t xml:space="preserve">state and </w:t>
      </w:r>
      <w:r w:rsidR="6E5A4950" w:rsidRPr="4514C18F">
        <w:t>local level</w:t>
      </w:r>
      <w:r w:rsidR="33E73758" w:rsidRPr="4514C18F">
        <w:t>s</w:t>
      </w:r>
      <w:r w:rsidR="45D665A0" w:rsidRPr="4514C18F">
        <w:t xml:space="preserve"> in the United States</w:t>
      </w:r>
      <w:r w:rsidR="6E5A4950" w:rsidRPr="4514C18F">
        <w:t xml:space="preserve">. </w:t>
      </w:r>
      <w:r w:rsidR="0066512C" w:rsidRPr="4514C18F">
        <w:t>However, as a resource</w:t>
      </w:r>
      <w:r w:rsidR="00F03D80" w:rsidRPr="4514C18F">
        <w:t>, ED</w:t>
      </w:r>
      <w:r w:rsidRPr="4514C18F">
        <w:t xml:space="preserve"> has published a Human Trafficking Framework for Instruc</w:t>
      </w:r>
      <w:r w:rsidR="6E5A4950" w:rsidRPr="4514C18F">
        <w:t xml:space="preserve">tional Programming in Schools. </w:t>
      </w:r>
      <w:r w:rsidRPr="4514C18F">
        <w:t>In addition, various school districts have put together trafficking</w:t>
      </w:r>
      <w:r w:rsidR="10FBE069" w:rsidRPr="4514C18F">
        <w:t xml:space="preserve"> curricula </w:t>
      </w:r>
      <w:r w:rsidR="0066512C" w:rsidRPr="4514C18F">
        <w:t xml:space="preserve">as a resource </w:t>
      </w:r>
      <w:r w:rsidR="10FBE069" w:rsidRPr="4514C18F">
        <w:t>for students at various</w:t>
      </w:r>
      <w:r w:rsidRPr="4514C18F">
        <w:t xml:space="preserve"> grade levels, and the National Criminal Justice Training Center and other non-governmental orga</w:t>
      </w:r>
      <w:r w:rsidR="6E5A4950" w:rsidRPr="4514C18F">
        <w:t>nizations have also published</w:t>
      </w:r>
      <w:r w:rsidRPr="4514C18F">
        <w:t xml:space="preserve"> curricula on </w:t>
      </w:r>
      <w:r w:rsidR="6E5A4950" w:rsidRPr="4514C18F">
        <w:t xml:space="preserve">human </w:t>
      </w:r>
      <w:r w:rsidRPr="4514C18F">
        <w:t>tr</w:t>
      </w:r>
      <w:r w:rsidR="10FBE069" w:rsidRPr="4514C18F">
        <w:t xml:space="preserve">afficking </w:t>
      </w:r>
      <w:r w:rsidR="0066512C" w:rsidRPr="4514C18F">
        <w:t xml:space="preserve">as a resource </w:t>
      </w:r>
      <w:r w:rsidR="10FBE069" w:rsidRPr="4514C18F">
        <w:t>for students of differing</w:t>
      </w:r>
      <w:r w:rsidRPr="4514C18F">
        <w:t xml:space="preserve"> grade levels.  </w:t>
      </w:r>
    </w:p>
    <w:p w14:paraId="39E8965E" w14:textId="4C78DEFA" w:rsidR="5C531F67" w:rsidRDefault="47191333" w:rsidP="00CD4EAB">
      <w:pPr>
        <w:ind w:left="0" w:firstLine="0"/>
      </w:pPr>
      <w:r w:rsidRPr="6799215C">
        <w:t>The United States is aware that children in vulnerable situations, such as those living in poverty</w:t>
      </w:r>
      <w:r w:rsidR="28F7F061" w:rsidRPr="6799215C">
        <w:t>;</w:t>
      </w:r>
      <w:r w:rsidR="31908A40" w:rsidRPr="6799215C">
        <w:t xml:space="preserve"> unaccompanied children without lawful immigration status</w:t>
      </w:r>
      <w:r w:rsidR="797B6ADF" w:rsidRPr="6799215C">
        <w:t>;</w:t>
      </w:r>
      <w:r w:rsidR="1F652B58" w:rsidRPr="6799215C">
        <w:t xml:space="preserve"> members of racial or ethnic minority groups</w:t>
      </w:r>
      <w:r w:rsidR="6EF791D9" w:rsidRPr="6799215C">
        <w:t>;</w:t>
      </w:r>
      <w:r w:rsidRPr="6799215C">
        <w:t xml:space="preserve"> runaway and homeless </w:t>
      </w:r>
      <w:r w:rsidR="19DA4F51" w:rsidRPr="6799215C">
        <w:t>youth</w:t>
      </w:r>
      <w:r w:rsidR="4D09156B" w:rsidRPr="6799215C">
        <w:t>;</w:t>
      </w:r>
      <w:r w:rsidRPr="6799215C">
        <w:t xml:space="preserve"> American </w:t>
      </w:r>
      <w:r w:rsidR="36CE0106" w:rsidRPr="6799215C">
        <w:t xml:space="preserve">Indian and Alaskan Native </w:t>
      </w:r>
      <w:r w:rsidRPr="6799215C">
        <w:t>children</w:t>
      </w:r>
      <w:r w:rsidR="6FEC53E6" w:rsidRPr="6799215C">
        <w:t>;</w:t>
      </w:r>
      <w:r w:rsidRPr="6799215C">
        <w:t xml:space="preserve"> </w:t>
      </w:r>
      <w:r w:rsidR="0B009897" w:rsidRPr="6799215C">
        <w:t>persons with disabilities</w:t>
      </w:r>
      <w:r w:rsidR="5D40F807" w:rsidRPr="6799215C">
        <w:t>;</w:t>
      </w:r>
      <w:r w:rsidR="0B009897" w:rsidRPr="6799215C">
        <w:t xml:space="preserve"> LGBTQ+ individuals</w:t>
      </w:r>
      <w:r w:rsidR="0CA24E91" w:rsidRPr="6799215C">
        <w:t>;</w:t>
      </w:r>
      <w:r w:rsidR="0B009897" w:rsidRPr="6799215C">
        <w:t xml:space="preserve"> </w:t>
      </w:r>
      <w:r w:rsidR="2369D4F9" w:rsidRPr="6799215C">
        <w:t>children</w:t>
      </w:r>
      <w:r w:rsidR="0757682E" w:rsidRPr="6799215C">
        <w:t xml:space="preserve"> in the child welfare</w:t>
      </w:r>
      <w:r w:rsidR="2EDA54A3" w:rsidRPr="6799215C">
        <w:t xml:space="preserve"> and juvenile justice systems, including foster care</w:t>
      </w:r>
      <w:r w:rsidR="05E07444" w:rsidRPr="4514C18F">
        <w:t>;</w:t>
      </w:r>
      <w:r w:rsidR="4591C353" w:rsidRPr="6799215C">
        <w:t xml:space="preserve"> </w:t>
      </w:r>
      <w:r w:rsidRPr="6799215C">
        <w:t xml:space="preserve">and others may be more likely to encounter and become possible victims of </w:t>
      </w:r>
      <w:r w:rsidR="624F6A5C" w:rsidRPr="6799215C">
        <w:t>offenses prohibited under the OPSC</w:t>
      </w:r>
      <w:r w:rsidRPr="6799215C">
        <w:t>.</w:t>
      </w:r>
      <w:r w:rsidR="00F03D80" w:rsidRPr="6799215C">
        <w:rPr>
          <w:rStyle w:val="FootnoteReference"/>
          <w:rFonts w:ascii="Times" w:eastAsia="Times New Roman" w:hAnsi="Times"/>
        </w:rPr>
        <w:footnoteReference w:id="4"/>
      </w:r>
      <w:r w:rsidRPr="6799215C">
        <w:t xml:space="preserve"> Officials at all levels, as well as non-government organizations that work with such c</w:t>
      </w:r>
      <w:r w:rsidR="5FBA9251" w:rsidRPr="6799215C">
        <w:t>hildren</w:t>
      </w:r>
      <w:r w:rsidR="083DEC8C" w:rsidRPr="6799215C">
        <w:t>,</w:t>
      </w:r>
      <w:r w:rsidR="5FBA9251" w:rsidRPr="6799215C">
        <w:t xml:space="preserve"> seek to ensure that they are appropriately aware of </w:t>
      </w:r>
      <w:r w:rsidR="09F31D34" w:rsidRPr="6799215C">
        <w:t>and protected from such harm</w:t>
      </w:r>
      <w:r w:rsidR="5FBA9251" w:rsidRPr="6799215C">
        <w:t>.</w:t>
      </w:r>
      <w:r w:rsidR="3AA127D9" w:rsidRPr="6799215C">
        <w:t xml:space="preserve"> In FY 2020, HHS, through the National Human Trafficking Training and Technical Assistance Center, convened a Human Trafficking Leadership Academy cohort of Indigenous leaders with professional and lived experience to develop recommendations about leveraging culture as a protective factor to prevent trafficking among all Indigenous youth. The HHS framework on Missing and Murdered Indigenous Persons (MMIP) also includes efforts at the intersection of human trafficking and MMIP, </w:t>
      </w:r>
      <w:hyperlink r:id="rId19">
        <w:r w:rsidR="3AA127D9" w:rsidRPr="6799215C">
          <w:rPr>
            <w:rStyle w:val="Hyperlink"/>
            <w:rFonts w:ascii="Times" w:eastAsia="Times New Roman" w:hAnsi="Times"/>
          </w:rPr>
          <w:t>https://www.acf.hhs.gov/ana/mmna-framework</w:t>
        </w:r>
      </w:hyperlink>
      <w:r w:rsidR="3AA127D9" w:rsidRPr="6799215C">
        <w:t>.</w:t>
      </w:r>
    </w:p>
    <w:p w14:paraId="53CB12E3" w14:textId="24089238" w:rsidR="009B7543" w:rsidRPr="008925E2" w:rsidRDefault="523692F4" w:rsidP="00CD4EAB">
      <w:pPr>
        <w:ind w:left="0" w:firstLine="0"/>
        <w:rPr>
          <w:rFonts w:ascii="Times" w:hAnsi="Times"/>
        </w:rPr>
      </w:pPr>
      <w:r w:rsidRPr="4514C18F">
        <w:t>An important feature in the U.S.</w:t>
      </w:r>
      <w:r w:rsidR="47601AAD" w:rsidRPr="4514C18F">
        <w:t xml:space="preserve"> </w:t>
      </w:r>
      <w:r w:rsidRPr="4514C18F">
        <w:t xml:space="preserve">government’s anti-trafficking response is </w:t>
      </w:r>
      <w:r w:rsidR="3F7B781B" w:rsidRPr="4514C18F">
        <w:t xml:space="preserve">its </w:t>
      </w:r>
      <w:r w:rsidRPr="4514C18F">
        <w:t>reg</w:t>
      </w:r>
      <w:r w:rsidR="6541A20A" w:rsidRPr="4514C18F">
        <w:t xml:space="preserve">ular </w:t>
      </w:r>
      <w:r w:rsidRPr="4514C18F">
        <w:t>engagement with survivor</w:t>
      </w:r>
      <w:r w:rsidR="524E98FF" w:rsidRPr="4514C18F">
        <w:t xml:space="preserve"> leaders</w:t>
      </w:r>
      <w:r w:rsidRPr="4514C18F">
        <w:t xml:space="preserve"> of human trafficking. </w:t>
      </w:r>
      <w:r w:rsidR="056AFD50" w:rsidRPr="4514C18F">
        <w:t xml:space="preserve">The U.S. Advisory Council on Human Trafficking (the Council), which was established by the Justice for Victims of Trafficking Act (JVTA), provides a formal platform for trafficking survivors to advise and make recommendations on federal anti-trafficking policies to the President’s Interagency Task Force to Monitor and Combat Trafficking in Persons. Each member is a survivor of human trafficking, and together they represent a diverse range of backgrounds and experiences, including survivors of child sex trafficking and individuals who serve children who have experienced or are at risk of human trafficking. The Council is appointed by the President for two-year terms. Since its establishment, the Council has produced five annual reports (available at: </w:t>
      </w:r>
      <w:hyperlink r:id="rId20">
        <w:r w:rsidR="056AFD50" w:rsidRPr="4514C18F">
          <w:rPr>
            <w:rStyle w:val="Hyperlink"/>
            <w:rFonts w:eastAsia="Times New Roman"/>
          </w:rPr>
          <w:t>https://www.state.gov/u-s-advisory-council-on-human-trafficking/</w:t>
        </w:r>
      </w:hyperlink>
      <w:r w:rsidR="056AFD50" w:rsidRPr="4514C18F">
        <w:t xml:space="preserve">) and collaborated with the U.S. government to implement its recommendations on enhancing federal anti-trafficking policies and programs. Through its recommendations over the years, the Council has encouraged U.S. federal agencies to support increased training opportunities by survivors for direct service professionals on identifying, preventing, and responding to trafficking among underserved children and youth populations, as well as encouraging </w:t>
      </w:r>
      <w:r w:rsidR="006023B2">
        <w:t xml:space="preserve">ED </w:t>
      </w:r>
      <w:r w:rsidR="056AFD50" w:rsidRPr="4514C18F">
        <w:t>and schools to partner with advocates who are Survivor Leaders and can support youth who have experienced trafficking in navigating various systems of care. It has also addressed prevention of child sex trafficking by calling for the development of online safety and prevention tools that target individuals at-risk of human trafficking online, individuals exploiting others through human trafficking online, and/or potential online buyers of commercial sex from human trafficking victims. Additionally, it recommends addressing the gaps and issues relating to the intersection between pornography, human trafficking, and child sexual exploitation</w:t>
      </w:r>
      <w:r w:rsidR="056AFD50" w:rsidRPr="4514C18F">
        <w:rPr>
          <w:rFonts w:ascii="Times" w:hAnsi="Times"/>
        </w:rPr>
        <w:t>.</w:t>
      </w:r>
    </w:p>
    <w:p w14:paraId="1B1A62BD" w14:textId="6170589F" w:rsidR="00C1073F" w:rsidRPr="00012D40" w:rsidRDefault="009B7543" w:rsidP="00CD4EAB">
      <w:pPr>
        <w:ind w:left="0" w:firstLine="0"/>
      </w:pPr>
      <w:r w:rsidRPr="12383FEE">
        <w:rPr>
          <w:b/>
          <w:bCs/>
        </w:rPr>
        <w:t xml:space="preserve">Economic </w:t>
      </w:r>
      <w:r w:rsidR="00651857">
        <w:rPr>
          <w:b/>
          <w:bCs/>
        </w:rPr>
        <w:t>E</w:t>
      </w:r>
      <w:r w:rsidR="00651857" w:rsidRPr="12383FEE">
        <w:rPr>
          <w:b/>
          <w:bCs/>
        </w:rPr>
        <w:t xml:space="preserve">xploitation </w:t>
      </w:r>
      <w:r w:rsidRPr="12383FEE">
        <w:rPr>
          <w:b/>
          <w:bCs/>
        </w:rPr>
        <w:t xml:space="preserve">of </w:t>
      </w:r>
      <w:r w:rsidR="00651857">
        <w:rPr>
          <w:b/>
          <w:bCs/>
        </w:rPr>
        <w:t>C</w:t>
      </w:r>
      <w:r w:rsidR="00651857" w:rsidRPr="12383FEE">
        <w:rPr>
          <w:b/>
          <w:bCs/>
        </w:rPr>
        <w:t>hildren</w:t>
      </w:r>
      <w:r w:rsidRPr="12383FEE">
        <w:rPr>
          <w:b/>
          <w:bCs/>
        </w:rPr>
        <w:t>.</w:t>
      </w:r>
      <w:r w:rsidRPr="12383FEE">
        <w:t xml:space="preserve">  </w:t>
      </w:r>
      <w:r w:rsidR="00654D1C" w:rsidRPr="12383FEE">
        <w:t>The United States works actively to prohibit and prevent child labor trafficking both within the United S</w:t>
      </w:r>
      <w:r w:rsidR="00C1073F" w:rsidRPr="12383FEE">
        <w:t>tates and throughout the world.</w:t>
      </w:r>
      <w:r w:rsidR="003756EB" w:rsidRPr="12383FEE">
        <w:t xml:space="preserve"> </w:t>
      </w:r>
      <w:r w:rsidR="004372E1" w:rsidRPr="12383FEE">
        <w:t>DOL</w:t>
      </w:r>
      <w:r w:rsidR="009F0539" w:rsidRPr="12383FEE">
        <w:t xml:space="preserve"> has an important role to play in combating trafficking in persons through civil enforcement of federal labor laws, research and funding for grants overseas, and employment and training expertise. </w:t>
      </w:r>
      <w:r w:rsidR="00C1073F" w:rsidRPr="00012D40">
        <w:t xml:space="preserve"> </w:t>
      </w:r>
    </w:p>
    <w:p w14:paraId="4191B931" w14:textId="6D50665F" w:rsidR="00FE58B6" w:rsidRPr="00300365" w:rsidRDefault="559B87D5" w:rsidP="00CD4EAB">
      <w:pPr>
        <w:ind w:left="0" w:firstLine="0"/>
        <w:rPr>
          <w:rFonts w:ascii="Times" w:hAnsi="Times"/>
        </w:rPr>
      </w:pPr>
      <w:r w:rsidRPr="00012D40">
        <w:t xml:space="preserve">The </w:t>
      </w:r>
      <w:r w:rsidRPr="00012D40">
        <w:rPr>
          <w:shd w:val="clear" w:color="auto" w:fill="FFFFFF"/>
        </w:rPr>
        <w:t>child labor provisions of the</w:t>
      </w:r>
      <w:r w:rsidR="0DEBCBBD" w:rsidRPr="00012D40">
        <w:rPr>
          <w:shd w:val="clear" w:color="auto" w:fill="FFFFFF"/>
        </w:rPr>
        <w:t xml:space="preserve"> Fair Labor Standards Act (FLSA) are designed to protect the educational opportunities of youth and prohibit their employment in jobs that are detrimental to their health and safety. </w:t>
      </w:r>
      <w:r w:rsidR="6AAC6A44">
        <w:rPr>
          <w:shd w:val="clear" w:color="auto" w:fill="FFFFFF"/>
        </w:rPr>
        <w:t>The FLS</w:t>
      </w:r>
      <w:r w:rsidR="1911D16C" w:rsidRPr="00012D40">
        <w:rPr>
          <w:shd w:val="clear" w:color="auto" w:fill="FFFFFF"/>
        </w:rPr>
        <w:t>A</w:t>
      </w:r>
      <w:r w:rsidR="17433AA6" w:rsidRPr="00012D40">
        <w:rPr>
          <w:shd w:val="clear" w:color="auto" w:fill="FFFFFF"/>
        </w:rPr>
        <w:t xml:space="preserve"> defines and prohibits the employment of</w:t>
      </w:r>
      <w:r w:rsidR="1911D16C" w:rsidRPr="00012D40">
        <w:rPr>
          <w:shd w:val="clear" w:color="auto" w:fill="FFFFFF"/>
        </w:rPr>
        <w:t xml:space="preserve"> </w:t>
      </w:r>
      <w:r w:rsidR="17433AA6" w:rsidRPr="00012D40">
        <w:rPr>
          <w:shd w:val="clear" w:color="auto" w:fill="FFFFFF"/>
        </w:rPr>
        <w:t xml:space="preserve">“oppressive child </w:t>
      </w:r>
      <w:r w:rsidR="6AAC6A44">
        <w:rPr>
          <w:shd w:val="clear" w:color="auto" w:fill="FFFFFF"/>
        </w:rPr>
        <w:t xml:space="preserve">labor” in the United States. </w:t>
      </w:r>
      <w:r w:rsidR="31C099A3">
        <w:rPr>
          <w:shd w:val="clear" w:color="auto" w:fill="FFFFFF"/>
        </w:rPr>
        <w:t>For non-agricultural employment, i</w:t>
      </w:r>
      <w:r w:rsidR="6AAC6A44">
        <w:rPr>
          <w:shd w:val="clear" w:color="auto" w:fill="FFFFFF"/>
        </w:rPr>
        <w:t>t</w:t>
      </w:r>
      <w:r w:rsidR="17433AA6" w:rsidRPr="00012D40">
        <w:rPr>
          <w:shd w:val="clear" w:color="auto" w:fill="FFFFFF"/>
        </w:rPr>
        <w:t xml:space="preserve"> establishes a general minimum age of 16</w:t>
      </w:r>
      <w:r w:rsidR="1911D16C" w:rsidRPr="00012D40">
        <w:rPr>
          <w:shd w:val="clear" w:color="auto" w:fill="FFFFFF"/>
        </w:rPr>
        <w:t xml:space="preserve"> </w:t>
      </w:r>
      <w:r w:rsidR="17433AA6" w:rsidRPr="00012D40">
        <w:rPr>
          <w:shd w:val="clear" w:color="auto" w:fill="FFFFFF"/>
        </w:rPr>
        <w:t>years for employment in non-hazardous occupations and a minimum age of 18 years for</w:t>
      </w:r>
      <w:r w:rsidR="1911D16C" w:rsidRPr="00012D40">
        <w:rPr>
          <w:shd w:val="clear" w:color="auto" w:fill="FFFFFF"/>
        </w:rPr>
        <w:t xml:space="preserve"> </w:t>
      </w:r>
      <w:r w:rsidR="17433AA6" w:rsidRPr="00012D40">
        <w:rPr>
          <w:shd w:val="clear" w:color="auto" w:fill="FFFFFF"/>
        </w:rPr>
        <w:t>employment in any occupation determined by the Secretary of Labor to be hazardous to the</w:t>
      </w:r>
      <w:r w:rsidR="1911D16C" w:rsidRPr="00012D40">
        <w:rPr>
          <w:shd w:val="clear" w:color="auto" w:fill="FFFFFF"/>
        </w:rPr>
        <w:t xml:space="preserve"> </w:t>
      </w:r>
      <w:r w:rsidR="17433AA6" w:rsidRPr="00012D40">
        <w:rPr>
          <w:shd w:val="clear" w:color="auto" w:fill="FFFFFF"/>
        </w:rPr>
        <w:t xml:space="preserve">health or well-being of minors. </w:t>
      </w:r>
      <w:r w:rsidR="31C099A3">
        <w:rPr>
          <w:shd w:val="clear" w:color="auto" w:fill="FFFFFF"/>
        </w:rPr>
        <w:t xml:space="preserve">Children 14 and 15 years of age may be employed outside of school hours in a variety of non-manufacturing and non-hazardous jobs for limited periods of time and under specified conditions. Children under 14 years of age may not be employed in non-agricultural occupations covered by the FLSA. For agricultural employment, the FLSA establishes that children ages 16 and above may work in any farm job at any time. Children aged 14 and 15 may work outside of school hours in jobs not declared hazardous by the Secretary of Labor. Children 12 and 13 years of age may work outside school hours in non-hazardous jobs on farms that also employ their parent(s) or with written parental consent. Children under the age of 12 may work outside school hours in non-hazardous jobs with parental consent, but only on farms where none of the employees are subject to the minimum wage requirements of the FLSA. Local children ages 10 and 11 may hand harvest short-season crops outside of school hours for no more than </w:t>
      </w:r>
      <w:r w:rsidR="5700B80B">
        <w:rPr>
          <w:shd w:val="clear" w:color="auto" w:fill="FFFFFF"/>
        </w:rPr>
        <w:t>eight</w:t>
      </w:r>
      <w:r w:rsidR="31C099A3">
        <w:rPr>
          <w:shd w:val="clear" w:color="auto" w:fill="FFFFFF"/>
        </w:rPr>
        <w:t xml:space="preserve"> weeks between June 1 and October 15 if their employers have obtained special waivers from the Secretary of Labor. Finally, children may work at any time in any job on a farm owned or operated by their parents.</w:t>
      </w:r>
      <w:r w:rsidR="322D8312">
        <w:rPr>
          <w:shd w:val="clear" w:color="auto" w:fill="FFFFFF"/>
        </w:rPr>
        <w:t xml:space="preserve"> </w:t>
      </w:r>
      <w:r w:rsidR="31C099A3">
        <w:rPr>
          <w:shd w:val="clear" w:color="auto" w:fill="FFFFFF"/>
        </w:rPr>
        <w:t>The FLSA</w:t>
      </w:r>
      <w:r w:rsidR="5FFBB358" w:rsidRPr="00012D40">
        <w:rPr>
          <w:shd w:val="clear" w:color="auto" w:fill="FFFFFF"/>
        </w:rPr>
        <w:t xml:space="preserve"> pro</w:t>
      </w:r>
      <w:r w:rsidR="31C099A3">
        <w:rPr>
          <w:shd w:val="clear" w:color="auto" w:fill="FFFFFF"/>
        </w:rPr>
        <w:t>hibits</w:t>
      </w:r>
      <w:r w:rsidRPr="00012D40">
        <w:rPr>
          <w:shd w:val="clear" w:color="auto" w:fill="FFFFFF"/>
        </w:rPr>
        <w:t xml:space="preserve"> </w:t>
      </w:r>
      <w:r w:rsidR="5FFBB358" w:rsidRPr="00012D40">
        <w:rPr>
          <w:shd w:val="clear" w:color="auto" w:fill="FFFFFF"/>
        </w:rPr>
        <w:t xml:space="preserve">the interstate shipment of goods produced in an establishment in or about which oppressive child labor is employed. </w:t>
      </w:r>
      <w:r w:rsidR="6D405442" w:rsidRPr="00012D40">
        <w:rPr>
          <w:shd w:val="clear" w:color="auto" w:fill="FFFFFF"/>
        </w:rPr>
        <w:t>All</w:t>
      </w:r>
      <w:r w:rsidR="6D405442" w:rsidRPr="00012D40">
        <w:rPr>
          <w:rFonts w:ascii="Times" w:hAnsi="Times"/>
        </w:rPr>
        <w:t xml:space="preserve"> states also have child labor laws, compulsory schooling requirements, and other laws that govern children’s employment and activities. No state law may weaken the worker protections provided by the FLSA. However, state laws that impose greater worker protections will supersede those provided by the FLSA.</w:t>
      </w:r>
    </w:p>
    <w:p w14:paraId="1272925A" w14:textId="05BEBAB0" w:rsidR="00404AE4" w:rsidRDefault="00FE58B6" w:rsidP="00CD4EAB">
      <w:pPr>
        <w:ind w:left="0" w:firstLine="0"/>
      </w:pPr>
      <w:r w:rsidRPr="4514C18F">
        <w:t>DOL</w:t>
      </w:r>
      <w:r w:rsidR="00EC0B1B" w:rsidRPr="4514C18F">
        <w:t>/</w:t>
      </w:r>
      <w:r w:rsidRPr="4514C18F">
        <w:t>WHD engages in robust enforcement activities to promote compliance with child labor laws in non-agricultur</w:t>
      </w:r>
      <w:r w:rsidR="0ADBE7E7" w:rsidRPr="4514C18F">
        <w:t>al</w:t>
      </w:r>
      <w:r w:rsidR="00404AE4" w:rsidRPr="4514C18F">
        <w:t xml:space="preserve"> and agricultural industries. </w:t>
      </w:r>
      <w:r w:rsidRPr="4514C18F">
        <w:t>These enforcement actions involve conducting focused init</w:t>
      </w:r>
      <w:r w:rsidR="00404AE4" w:rsidRPr="4514C18F">
        <w:t>i</w:t>
      </w:r>
      <w:r w:rsidRPr="4514C18F">
        <w:t>atives, fully utilizing enforcement and compliance tools, and conducting increased numbers of educational and community outreach activities targeted to this workforce.</w:t>
      </w:r>
      <w:r w:rsidR="00404AE4" w:rsidRPr="4514C18F">
        <w:t xml:space="preserve"> In all investigations in which WHD finds child labor violations, the agency considers assessing civil money penalties as a deterrent. WHD follows the requirements of the Child Labor Enhanced Penalty Program to address child labor violations that cause the serious injury or death of a minor. These violations carry a maximum </w:t>
      </w:r>
      <w:r w:rsidR="00C578A0" w:rsidRPr="4514C18F">
        <w:t>civil money penalty of $60,115.</w:t>
      </w:r>
      <w:r w:rsidR="00404AE4" w:rsidRPr="4514C18F">
        <w:t xml:space="preserve"> In addit</w:t>
      </w:r>
      <w:r w:rsidR="00672E02" w:rsidRPr="4514C18F">
        <w:t>ion to rigorous enforcement, WHD</w:t>
      </w:r>
      <w:r w:rsidR="00404AE4" w:rsidRPr="4514C18F">
        <w:t xml:space="preserve"> is focused on improving compliance with federal child labor laws b</w:t>
      </w:r>
      <w:r w:rsidR="00C578A0" w:rsidRPr="4514C18F">
        <w:t xml:space="preserve">y increasing outreach efforts. </w:t>
      </w:r>
      <w:r w:rsidR="00404AE4" w:rsidRPr="4514C18F">
        <w:t>WHD maintains a robust website dedicated to its longstanding YouthRules campaign; this resource provides a diverse array of educational resources on child labor protections. WHD also conducts outreach events to reach working youth, their parents, their educators, and their employers.</w:t>
      </w:r>
    </w:p>
    <w:p w14:paraId="7C2E8576" w14:textId="5BF67367" w:rsidR="00404AE4" w:rsidRDefault="5967E119" w:rsidP="00CD4EAB">
      <w:pPr>
        <w:ind w:left="0" w:firstLine="0"/>
      </w:pPr>
      <w:r w:rsidRPr="4514C18F">
        <w:t>In FY 2021, WHD found child labor violations in 747 concluded cases. In those cases, WHD found that 2,819 minors were working in violation of the FLSA. In addition, in 208 of these cases, violations of Hazardous Occupation Orders were found, with a total of 545 minors employed in violation of such orders.  The most common violations often involve the failure to comply with the hours standards for 14</w:t>
      </w:r>
      <w:r w:rsidR="00B75933">
        <w:t>-</w:t>
      </w:r>
      <w:r w:rsidRPr="4514C18F">
        <w:t xml:space="preserve"> and 15</w:t>
      </w:r>
      <w:r w:rsidR="00B75933">
        <w:t>-</w:t>
      </w:r>
      <w:r w:rsidRPr="4514C18F">
        <w:t>year-olds in non-agricultural industries, and the failure to comply with Hazardous Orders in non-agricultural industries for 16</w:t>
      </w:r>
      <w:r w:rsidR="00B75933">
        <w:t>-</w:t>
      </w:r>
      <w:r w:rsidRPr="4514C18F">
        <w:t xml:space="preserve"> and </w:t>
      </w:r>
      <w:r w:rsidR="00B75933" w:rsidRPr="4514C18F">
        <w:t>17</w:t>
      </w:r>
      <w:r w:rsidR="00B75933">
        <w:t>-</w:t>
      </w:r>
      <w:r w:rsidRPr="4514C18F">
        <w:t xml:space="preserve">year-olds. </w:t>
      </w:r>
    </w:p>
    <w:p w14:paraId="77B5EE50" w14:textId="5B2A19B7" w:rsidR="000F1D16" w:rsidRDefault="00404AE4" w:rsidP="00CD4EAB">
      <w:pPr>
        <w:ind w:left="0" w:firstLine="0"/>
      </w:pPr>
      <w:r w:rsidRPr="4514C18F">
        <w:t>WHD conducted several statewide or regional initiatives on particular industries in which child labor violations are prevalent, such as construction, groceries,</w:t>
      </w:r>
      <w:r w:rsidR="00C578A0" w:rsidRPr="4514C18F">
        <w:t xml:space="preserve"> and restaurants. A</w:t>
      </w:r>
      <w:r w:rsidRPr="4514C18F">
        <w:t xml:space="preserve"> child labor component </w:t>
      </w:r>
      <w:r w:rsidR="00C578A0" w:rsidRPr="4514C18F">
        <w:t xml:space="preserve">is included </w:t>
      </w:r>
      <w:r w:rsidRPr="4514C18F">
        <w:t>in many of the outreach events associated with these initiatives. WHD enforces the child labor provisions to ensure that children are protected from illegal employment in prohibited hazardous occupations and that those who are eligible to work have safe and appropriate work experiences. WHD examines child labor in all of its investigations under the FLSA, including agricu</w:t>
      </w:r>
      <w:r w:rsidR="00C578A0" w:rsidRPr="4514C18F">
        <w:t>lture.</w:t>
      </w:r>
      <w:r w:rsidRPr="4514C18F">
        <w:t xml:space="preserve"> In May 2021, WHD announced that its investigation into a 16-year-old</w:t>
      </w:r>
      <w:r w:rsidR="06D848DF" w:rsidRPr="4514C18F">
        <w:t xml:space="preserve"> </w:t>
      </w:r>
      <w:r w:rsidRPr="4514C18F">
        <w:t>boy</w:t>
      </w:r>
      <w:r w:rsidR="00C578A0" w:rsidRPr="4514C18F">
        <w:t>’</w:t>
      </w:r>
      <w:r w:rsidRPr="4514C18F">
        <w:t xml:space="preserve">s fatal fall from doing roof construction atop a hotel work site found </w:t>
      </w:r>
      <w:r w:rsidR="00C578A0" w:rsidRPr="4514C18F">
        <w:t xml:space="preserve">that </w:t>
      </w:r>
      <w:r w:rsidRPr="4514C18F">
        <w:t>the teenager’s employer, Stover and Sons Contractors, Inc., a M</w:t>
      </w:r>
      <w:r w:rsidR="00C578A0" w:rsidRPr="4514C18F">
        <w:t>adison</w:t>
      </w:r>
      <w:r w:rsidR="26130EAE" w:rsidRPr="4514C18F">
        <w:t>, Tennessee</w:t>
      </w:r>
      <w:r w:rsidR="00C578A0" w:rsidRPr="4514C18F">
        <w:t xml:space="preserve"> construction contractor,</w:t>
      </w:r>
      <w:r w:rsidRPr="4514C18F">
        <w:t xml:space="preserve"> violated two hazardous occupation orders of the chil</w:t>
      </w:r>
      <w:r w:rsidR="00C578A0" w:rsidRPr="4514C18F">
        <w:t>d labor provisions of the FLSA.</w:t>
      </w:r>
      <w:r w:rsidRPr="4514C18F">
        <w:t xml:space="preserve"> The orders ban employers from allowing minors under age 18 to perform roofing activities or to operate or ride on a p</w:t>
      </w:r>
      <w:r w:rsidR="00FE6982" w:rsidRPr="4514C18F">
        <w:t>ower-driven hoisting apparatus.</w:t>
      </w:r>
      <w:r w:rsidRPr="4514C18F">
        <w:t xml:space="preserve"> Further investigation determined </w:t>
      </w:r>
      <w:r w:rsidR="00C578A0" w:rsidRPr="4514C18F">
        <w:t xml:space="preserve">that </w:t>
      </w:r>
      <w:r w:rsidRPr="4514C18F">
        <w:t>the employer also violated child labor laws when it allowed the boy to work more than 8 hours a day and more than 40 hours per we</w:t>
      </w:r>
      <w:r w:rsidR="00C578A0" w:rsidRPr="4514C18F">
        <w:t>ek when he was 15 years of age.</w:t>
      </w:r>
      <w:r w:rsidRPr="4514C18F">
        <w:t xml:space="preserve"> WHD assessed Stove</w:t>
      </w:r>
      <w:r w:rsidR="00C578A0" w:rsidRPr="4514C18F">
        <w:t>r</w:t>
      </w:r>
      <w:r w:rsidRPr="4514C18F">
        <w:t xml:space="preserve"> and Sons a $122,364 civil penalty under the Child Labor Enhanced Penalt</w:t>
      </w:r>
      <w:r w:rsidR="00C578A0" w:rsidRPr="4514C18F">
        <w:t>y Program.</w:t>
      </w:r>
      <w:r w:rsidRPr="4514C18F">
        <w:t xml:space="preserve"> The program permits </w:t>
      </w:r>
      <w:r w:rsidR="00D45845">
        <w:t>WHD</w:t>
      </w:r>
      <w:r w:rsidRPr="4514C18F">
        <w:t xml:space="preserve"> to assess penalties of up to $59,413 for each child labor violation related to the death or serious injury of a worker under age 18 for violations that occurred on or before January 15, 2021. </w:t>
      </w:r>
      <w:r w:rsidR="000F1D16" w:rsidRPr="4514C18F">
        <w:t>Stover and Sons is currently contesting the penalties.</w:t>
      </w:r>
    </w:p>
    <w:p w14:paraId="28CD0CD7" w14:textId="77829E69" w:rsidR="001046EF" w:rsidRPr="00EB77AC" w:rsidRDefault="000F1D16" w:rsidP="00CD4EAB">
      <w:pPr>
        <w:ind w:left="0" w:firstLine="0"/>
        <w:rPr>
          <w:shd w:val="clear" w:color="auto" w:fill="FFFFFF"/>
        </w:rPr>
      </w:pPr>
      <w:r w:rsidRPr="5C531F67">
        <w:t xml:space="preserve">In January 2021, WHD announced that its investigation into Sunscape LLC, a landscaping materials supplier based in Orlando, Florida, resulted in the employer’s paying a civil money penalty of $15,804 for violating child labor requirements of </w:t>
      </w:r>
      <w:r w:rsidR="48B0E32A" w:rsidRPr="5C531F67">
        <w:t xml:space="preserve">the </w:t>
      </w:r>
      <w:r w:rsidRPr="5C531F67">
        <w:t>FLSA. WHD investigators determined that the employer had violated child labor requirements by employing two 17-year-olds and one 13-year</w:t>
      </w:r>
      <w:r w:rsidR="00BB082D">
        <w:t>-</w:t>
      </w:r>
      <w:r w:rsidRPr="5C531F67">
        <w:t>old to operate a forklift, by employing a 13-year-old who was under the legal age for non-agriculture jobs, and by allowing the child to work before 7 a.m., more than 8 hours per workday</w:t>
      </w:r>
      <w:r w:rsidR="0003148B" w:rsidRPr="5C531F67">
        <w:t>,</w:t>
      </w:r>
      <w:r w:rsidRPr="5C531F67">
        <w:t xml:space="preserve"> and more than 40 hours per workweek. In November 2020, WHD announced that as a result of i</w:t>
      </w:r>
      <w:r w:rsidR="098AFE9A" w:rsidRPr="5C531F67">
        <w:t>t</w:t>
      </w:r>
      <w:r w:rsidRPr="5C531F67">
        <w:t>s investigation into Sinkula Investments Ltd. Co., operator of 10 northern Kentucky Wendy’s franchise locations, the employer paid a civil money penalty of $16,160 for violating child labor requirements of the FLSA. WHD investigators determined that Sinkula had violated child labor requirements by employing 14</w:t>
      </w:r>
      <w:r w:rsidR="00B75933">
        <w:t>-</w:t>
      </w:r>
      <w:r w:rsidRPr="5C531F67">
        <w:t xml:space="preserve"> and 15-year-old employees to operate equipment prohibited by law</w:t>
      </w:r>
      <w:r w:rsidR="0003148B" w:rsidRPr="5C531F67">
        <w:t xml:space="preserve"> for workers in that age group.</w:t>
      </w:r>
      <w:r w:rsidRPr="5C531F67">
        <w:t xml:space="preserve"> Child labor hazardous occupations violations resulted from the minors operating gas ranges, pressure cookers, and deep fryers not equipped with an auto-lift feature to lower and raise baskets into and out of hot grease.</w:t>
      </w:r>
    </w:p>
    <w:p w14:paraId="6EB72D29" w14:textId="5E1A6BB0" w:rsidR="00641800" w:rsidRPr="00012D40" w:rsidRDefault="009F0539" w:rsidP="00CD4EAB">
      <w:pPr>
        <w:ind w:left="0" w:firstLine="0"/>
        <w:rPr>
          <w:rFonts w:eastAsia="Times New Roman"/>
          <w:shd w:val="clear" w:color="auto" w:fill="FFFFFF"/>
        </w:rPr>
      </w:pPr>
      <w:r w:rsidRPr="00012D40">
        <w:t xml:space="preserve">Through </w:t>
      </w:r>
      <w:r w:rsidR="00C8261C" w:rsidRPr="00012D40">
        <w:t>WHD’s</w:t>
      </w:r>
      <w:r w:rsidR="00CF7316" w:rsidRPr="00012D40">
        <w:t xml:space="preserve"> </w:t>
      </w:r>
      <w:r w:rsidRPr="00012D40">
        <w:t>civil enfor</w:t>
      </w:r>
      <w:r w:rsidR="00785C0E">
        <w:t>cement of the FLS</w:t>
      </w:r>
      <w:r w:rsidRPr="00012D40">
        <w:t>A, DOL partners with federal law enfor</w:t>
      </w:r>
      <w:r w:rsidR="00CF7316" w:rsidRPr="00012D40">
        <w:t>cement agencies on</w:t>
      </w:r>
      <w:r w:rsidRPr="00012D40">
        <w:t xml:space="preserve"> the identification and referral of potential instances of trafficking in persons and the calculation of restitution amounts for vic</w:t>
      </w:r>
      <w:r w:rsidR="00CF7316" w:rsidRPr="00012D40">
        <w:t>tims. WHD</w:t>
      </w:r>
      <w:r w:rsidRPr="00012D40">
        <w:t xml:space="preserve"> also strategically approaches enforcement efforts by focusing on industries where labor law violation rates are high and vulnerable low-wage workers are often reluctant to assert their rights and raise their voices. </w:t>
      </w:r>
      <w:r w:rsidR="00785C0E">
        <w:rPr>
          <w:rFonts w:eastAsia="Times New Roman"/>
          <w:shd w:val="clear" w:color="auto" w:fill="FFFFFF"/>
        </w:rPr>
        <w:t>The FLS</w:t>
      </w:r>
      <w:r w:rsidR="00BF1E84" w:rsidRPr="00012D40">
        <w:rPr>
          <w:rFonts w:eastAsia="Times New Roman"/>
          <w:shd w:val="clear" w:color="auto" w:fill="FFFFFF"/>
        </w:rPr>
        <w:t>A</w:t>
      </w:r>
      <w:r w:rsidR="00C1073F" w:rsidRPr="00012D40">
        <w:rPr>
          <w:rFonts w:eastAsia="Times New Roman"/>
          <w:shd w:val="clear" w:color="auto" w:fill="FFFFFF"/>
        </w:rPr>
        <w:t xml:space="preserve"> </w:t>
      </w:r>
      <w:r w:rsidR="00616FBC" w:rsidRPr="00012D40">
        <w:rPr>
          <w:rFonts w:eastAsia="Times New Roman"/>
          <w:shd w:val="clear" w:color="auto" w:fill="FFFFFF"/>
        </w:rPr>
        <w:t xml:space="preserve">authorizes DOL to conduct workplace inspections and investigations to determine if oppressive child labor is present and </w:t>
      </w:r>
      <w:r w:rsidR="003545C4" w:rsidRPr="00012D40">
        <w:rPr>
          <w:rFonts w:eastAsia="Times New Roman"/>
          <w:shd w:val="clear" w:color="auto" w:fill="FFFFFF"/>
        </w:rPr>
        <w:t xml:space="preserve">to </w:t>
      </w:r>
      <w:r w:rsidR="0061691C">
        <w:rPr>
          <w:rFonts w:eastAsia="Times New Roman"/>
          <w:shd w:val="clear" w:color="auto" w:fill="FFFFFF"/>
        </w:rPr>
        <w:t>enforce</w:t>
      </w:r>
      <w:r w:rsidR="00616FBC" w:rsidRPr="00012D40">
        <w:rPr>
          <w:rFonts w:eastAsia="Times New Roman"/>
          <w:shd w:val="clear" w:color="auto" w:fill="FFFFFF"/>
        </w:rPr>
        <w:t xml:space="preserve"> child labor provisions.</w:t>
      </w:r>
      <w:r w:rsidR="00C02E76" w:rsidRPr="00012D40">
        <w:rPr>
          <w:rFonts w:eastAsia="Times New Roman"/>
          <w:shd w:val="clear" w:color="auto" w:fill="FFFFFF"/>
        </w:rPr>
        <w:t xml:space="preserve"> Penalties include ci</w:t>
      </w:r>
      <w:r w:rsidR="003545C4" w:rsidRPr="00012D40">
        <w:rPr>
          <w:rFonts w:eastAsia="Times New Roman"/>
          <w:shd w:val="clear" w:color="auto" w:fill="FFFFFF"/>
        </w:rPr>
        <w:t>vil monetary fines, injunctions of</w:t>
      </w:r>
      <w:r w:rsidR="00C02E76" w:rsidRPr="00012D40">
        <w:rPr>
          <w:rFonts w:eastAsia="Times New Roman"/>
          <w:shd w:val="clear" w:color="auto" w:fill="FFFFFF"/>
        </w:rPr>
        <w:t xml:space="preserve"> business activities and, in some cases, </w:t>
      </w:r>
      <w:r w:rsidR="003545C4" w:rsidRPr="00012D40">
        <w:rPr>
          <w:rFonts w:eastAsia="Times New Roman"/>
          <w:shd w:val="clear" w:color="auto" w:fill="FFFFFF"/>
        </w:rPr>
        <w:t>criminal penalties, including imprisonment</w:t>
      </w:r>
      <w:r w:rsidR="00C02E76" w:rsidRPr="00012D40">
        <w:rPr>
          <w:rFonts w:eastAsia="Times New Roman"/>
          <w:shd w:val="clear" w:color="auto" w:fill="FFFFFF"/>
        </w:rPr>
        <w:t>.</w:t>
      </w:r>
      <w:r w:rsidR="00616FBC" w:rsidRPr="00012D40">
        <w:rPr>
          <w:rFonts w:eastAsia="Times New Roman"/>
          <w:shd w:val="clear" w:color="auto" w:fill="FFFFFF"/>
        </w:rPr>
        <w:t xml:space="preserve">  </w:t>
      </w:r>
    </w:p>
    <w:p w14:paraId="7B6B3DC1" w14:textId="31C0E48E" w:rsidR="4514C18F" w:rsidRPr="00D45845" w:rsidRDefault="23F3689E" w:rsidP="00CD4EAB">
      <w:pPr>
        <w:ind w:left="0" w:firstLine="0"/>
        <w:rPr>
          <w:rFonts w:eastAsia="Times New Roman"/>
        </w:rPr>
      </w:pPr>
      <w:r w:rsidRPr="6799215C">
        <w:t>DOL works aggressively on implementation of the Federal Strategic Action Plan on Services to</w:t>
      </w:r>
      <w:r w:rsidR="00E50C6E">
        <w:t xml:space="preserve"> Victims of </w:t>
      </w:r>
      <w:r w:rsidRPr="6799215C">
        <w:t>Trafficking. In 2015, WHD added three qualifying crimes</w:t>
      </w:r>
      <w:r w:rsidR="00D45845">
        <w:t>—</w:t>
      </w:r>
      <w:r w:rsidRPr="6799215C">
        <w:t>extortion, forced labor, and fraud in foreign labor trafficking</w:t>
      </w:r>
      <w:r w:rsidR="00D45845">
        <w:t>—</w:t>
      </w:r>
      <w:r w:rsidRPr="6799215C">
        <w:t>for which it will complete U nonimmigrant status certifications, when appropriate, when those crimes are detected in the course of its workplace investigations</w:t>
      </w:r>
      <w:r w:rsidRPr="6799215C">
        <w:rPr>
          <w:rFonts w:eastAsia="Times New Roman"/>
        </w:rPr>
        <w:t xml:space="preserve">. </w:t>
      </w:r>
      <w:r w:rsidRPr="6799215C">
        <w:t>WHD also exercises similar authority in completion of T nonimmigrant status declarations for victims of human trafficking, where appropriate</w:t>
      </w:r>
      <w:r w:rsidR="687AB211" w:rsidRPr="6799215C">
        <w:t>.</w:t>
      </w:r>
      <w:r w:rsidRPr="6799215C">
        <w:rPr>
          <w:rFonts w:eastAsia="Times New Roman"/>
        </w:rPr>
        <w:t xml:space="preserve"> </w:t>
      </w:r>
      <w:r w:rsidR="6F5E4A39" w:rsidRPr="6799215C">
        <w:t xml:space="preserve">U.S. Citizenship and Immigration Services (USCIS) </w:t>
      </w:r>
      <w:r w:rsidR="6F5E4A39" w:rsidRPr="6799215C">
        <w:rPr>
          <w:rFonts w:eastAsia="Times New Roman"/>
        </w:rPr>
        <w:t>administers the T nonimmigrant status program, which is available to victims of severe forms of trafficking in persons, and the U nonimmigrant status program, which is available to victims of qualifying criminal</w:t>
      </w:r>
      <w:r w:rsidR="6F5E4A39" w:rsidRPr="6799215C">
        <w:t xml:space="preserve"> activity</w:t>
      </w:r>
      <w:r w:rsidR="6F5E4A39" w:rsidRPr="6799215C">
        <w:rPr>
          <w:rFonts w:ascii="Calibri" w:eastAsia="Calibri" w:hAnsi="Calibri" w:cs="Calibri"/>
        </w:rPr>
        <w:t>.</w:t>
      </w:r>
      <w:r w:rsidR="6F5E4A39" w:rsidRPr="6799215C">
        <w:t xml:space="preserve"> T nonimmigrant status (commonly referred to as the T visa) is a temporary immigration benefit that enables certain victims of a severe form of trafficking in persons to remain in the United States for up to four years if they have complied with any reasonable requests for assistance from law enforcement in the detection, investigation, or prosecution of acts of trafficking or qualify for an exemption due to age or an exception due to trauma, and meet other requirements. U nonimmigrant status (commonly referred to as the U visa) is a temporary immigration benefit that enables certain victims of qualifying criminal activity to remain in the United States if they have been, are being, or are likely to be helpful to law enforcement in the detection, investigation, or prosecution of qualifying criminal activity, and meet other requirements. Both U and T nonimmigrants may be eligible to adjust status to lawful permanent residence under certain circumstances and may petition for certain eligible family members.</w:t>
      </w:r>
      <w:r w:rsidR="003D7B01">
        <w:t xml:space="preserve"> For further data on applications for T and U non-immigrant status, see</w:t>
      </w:r>
      <w:r w:rsidR="00181F01">
        <w:t xml:space="preserve"> </w:t>
      </w:r>
      <w:r w:rsidR="00181F01">
        <w:fldChar w:fldCharType="begin"/>
      </w:r>
      <w:r w:rsidR="00181F01">
        <w:instrText xml:space="preserve"> REF _Ref93581591 \n \h </w:instrText>
      </w:r>
      <w:r w:rsidR="00181F01">
        <w:fldChar w:fldCharType="separate"/>
      </w:r>
      <w:r w:rsidR="00181F01">
        <w:rPr>
          <w:cs/>
        </w:rPr>
        <w:t>‎</w:t>
      </w:r>
      <w:r w:rsidR="00181F01">
        <w:t>Annex 3</w:t>
      </w:r>
      <w:r w:rsidR="00181F01">
        <w:fldChar w:fldCharType="end"/>
      </w:r>
      <w:r w:rsidR="003D7B01">
        <w:t>.</w:t>
      </w:r>
      <w:r w:rsidR="6F5E4A39" w:rsidRPr="6799215C">
        <w:t xml:space="preserve"> </w:t>
      </w:r>
    </w:p>
    <w:p w14:paraId="0663C477" w14:textId="3702F17C" w:rsidR="001046EF" w:rsidRPr="00D45845" w:rsidRDefault="6F5E4A39" w:rsidP="00CD4EAB">
      <w:pPr>
        <w:ind w:left="0" w:firstLine="0"/>
      </w:pPr>
      <w:r w:rsidRPr="4514C18F">
        <w:t>On October 20, 2021, USCIS issued comprehensive guidance regarding the adjudication of applications for T nonimmigrant status.  This guidance clarifies DHS policies for victims of trafficking while emphasizing the victim-centered approach and eliminates barriers for noncitizen victims of trafficking seeking immigration relief. USCIS also published the first ever standalone T Visa Law Enforcement Agency Resource Guide for certifying officials on October 21, 2021. This Guide emphasizes that completing the Form 914 Supplement B is consistent with a victim-centered approach</w:t>
      </w:r>
      <w:r w:rsidR="64BDE0F3" w:rsidRPr="4514C18F">
        <w:t xml:space="preserve">. </w:t>
      </w:r>
      <w:r w:rsidRPr="4514C18F">
        <w:t>On June 14, 2021, USCIS implemented the U Bona Fide Determination (BFD) process. The BFD process provides eligible noncitizen victims living in the United States with employment authorization and deferred action if they have a pending bona fide U nonimmigrant status petition and merit a favorable exercise of discretion.</w:t>
      </w:r>
    </w:p>
    <w:p w14:paraId="0D33E0BB" w14:textId="5FDB0A9C" w:rsidR="5C531F67" w:rsidRPr="007473D1" w:rsidRDefault="000E260F" w:rsidP="00CD4EAB">
      <w:pPr>
        <w:ind w:left="0" w:firstLine="0"/>
      </w:pPr>
      <w:r w:rsidRPr="4514C18F">
        <w:t>WHD is part of a government-wide strategy to combat human trafficking in the United States. The Division, with the support of its Solicitor</w:t>
      </w:r>
      <w:r w:rsidR="00D45845">
        <w:t>’</w:t>
      </w:r>
      <w:r w:rsidRPr="4514C18F">
        <w:t xml:space="preserve">s Office, carries out civil law enforcement in the </w:t>
      </w:r>
      <w:r w:rsidR="6BB6DAD3" w:rsidRPr="4514C18F">
        <w:t>United States’</w:t>
      </w:r>
      <w:r w:rsidRPr="4514C18F">
        <w:t xml:space="preserve"> workplaces. WHD investigators are in workplaces across the country every day interviewing employees and assessing situations where workers may have been intimidated, threatened, or held against their will. They are often the first government authorities to witness exploitive labor practices in the workplace and, as a result, play a very important role in </w:t>
      </w:r>
      <w:r w:rsidR="00D45845">
        <w:rPr>
          <w:rFonts w:eastAsia="Times New Roman"/>
        </w:rPr>
        <w:t xml:space="preserve">WHD’s </w:t>
      </w:r>
      <w:r w:rsidRPr="4514C18F">
        <w:t>commitment to identifying and combating human trafficking. WHD participates in more than 120 joint governmental task forces around the country,</w:t>
      </w:r>
      <w:r w:rsidR="007473D1" w:rsidRPr="4514C18F">
        <w:t xml:space="preserve"> </w:t>
      </w:r>
      <w:r w:rsidRPr="4514C18F">
        <w:t>which collaborate with state, local and federal law enforcement agencies to identify and combat trafficking of persons. In cases involving labor trafficking, WHD investigators often provide expertise in analyzing complicated and often falsified payroll records</w:t>
      </w:r>
      <w:r w:rsidR="00BB082D" w:rsidRPr="4514C18F">
        <w:t xml:space="preserve"> </w:t>
      </w:r>
      <w:r w:rsidRPr="4514C18F">
        <w:t>and provide technical expertise on computing back wages to ensure that trafficking victims receive the full amount of restitution due to them.</w:t>
      </w:r>
      <w:r w:rsidR="2A3F5591" w:rsidRPr="4514C18F">
        <w:rPr>
          <w:rFonts w:eastAsia="Times" w:cs="Times"/>
        </w:rPr>
        <w:t xml:space="preserve"> In FY 2021, WHD made nine</w:t>
      </w:r>
      <w:r w:rsidR="2A3F5591" w:rsidRPr="4514C18F">
        <w:rPr>
          <w:rFonts w:ascii="MS Mincho" w:hAnsi="MS Mincho" w:cs="MS Mincho"/>
        </w:rPr>
        <w:t xml:space="preserve"> </w:t>
      </w:r>
      <w:r w:rsidR="2A3F5591" w:rsidRPr="4514C18F">
        <w:rPr>
          <w:rFonts w:eastAsia="Times" w:cs="Times"/>
        </w:rPr>
        <w:t>referrals to federal, state, and local law enforcement agencies or task forces and referred two H (employment based) visa cases to DOL’s inspector general regarding allegations of human trafficking. WHD and DOL’s Office of Inspector General worked concurrently on one investigation. Additionally, five criminal law enforcement agencies referred cases to DOL and one criminal agency requested Wage and Hour’s assistance.</w:t>
      </w:r>
    </w:p>
    <w:p w14:paraId="2365B714" w14:textId="203ADBD5" w:rsidR="006455B6" w:rsidRPr="00F80B43" w:rsidRDefault="00BE13D6" w:rsidP="00CD4EAB">
      <w:pPr>
        <w:ind w:left="0" w:firstLine="0"/>
        <w:rPr>
          <w:rFonts w:eastAsia="Times New Roman"/>
          <w:shd w:val="clear" w:color="auto" w:fill="FFFFFF"/>
        </w:rPr>
      </w:pPr>
      <w:r>
        <w:rPr>
          <w:rFonts w:eastAsia="Times New Roman"/>
        </w:rPr>
        <w:t>DOL/</w:t>
      </w:r>
      <w:r w:rsidR="005561FA" w:rsidRPr="00012D40">
        <w:t>ILAB conducts and funds rigorous research and uses the results to inform the design and implement</w:t>
      </w:r>
      <w:r w:rsidR="002C2E16" w:rsidRPr="00012D40">
        <w:t>ation of policy and programs</w:t>
      </w:r>
      <w:r w:rsidR="13E1153F" w:rsidRPr="12383FEE">
        <w:t xml:space="preserve"> relevant to</w:t>
      </w:r>
      <w:r w:rsidR="0072280B">
        <w:t xml:space="preserve"> </w:t>
      </w:r>
      <w:r w:rsidR="3409254A">
        <w:t xml:space="preserve">addressing </w:t>
      </w:r>
      <w:r w:rsidR="0072280B">
        <w:t>global</w:t>
      </w:r>
      <w:r w:rsidR="13E1153F" w:rsidRPr="12383FEE">
        <w:t xml:space="preserve"> child labor</w:t>
      </w:r>
      <w:r w:rsidR="002C2E16" w:rsidRPr="00012D40">
        <w:t xml:space="preserve">. </w:t>
      </w:r>
      <w:r w:rsidR="005561FA" w:rsidRPr="00012D40">
        <w:t>Such research covers worker livelihoods and the violation of worker rights, including the prevalence of child labor and occurrence of forced labor around the world.</w:t>
      </w:r>
      <w:r w:rsidR="002C2E16" w:rsidRPr="00012D40">
        <w:t xml:space="preserve"> ILAB</w:t>
      </w:r>
      <w:r w:rsidR="005561FA" w:rsidRPr="00012D40">
        <w:t xml:space="preserve"> also sponsor</w:t>
      </w:r>
      <w:r w:rsidR="002C2E16" w:rsidRPr="00012D40">
        <w:t>s</w:t>
      </w:r>
      <w:r w:rsidR="005561FA" w:rsidRPr="00012D40">
        <w:t xml:space="preserve"> qualitative studies, quantitative surveys, impact evaluations, and other research products to study worker livelihoods, the incidences and root causes of child labor and worker rights violations, and the effectiveness of particular policies and </w:t>
      </w:r>
      <w:r w:rsidR="000E260F">
        <w:t>interventions</w:t>
      </w:r>
      <w:r w:rsidR="002C2E16" w:rsidRPr="00012D40">
        <w:t xml:space="preserve">. These studies help </w:t>
      </w:r>
      <w:r w:rsidR="733387D7" w:rsidRPr="12383FEE">
        <w:t xml:space="preserve">ILAB </w:t>
      </w:r>
      <w:r w:rsidR="002C2E16" w:rsidRPr="00012D40">
        <w:t xml:space="preserve">review </w:t>
      </w:r>
      <w:r w:rsidR="6D5BFDD8" w:rsidRPr="12383FEE">
        <w:t xml:space="preserve">its </w:t>
      </w:r>
      <w:r w:rsidR="002C2E16" w:rsidRPr="00012D40">
        <w:t xml:space="preserve">policies and </w:t>
      </w:r>
      <w:r w:rsidR="000E260F">
        <w:t>interventions</w:t>
      </w:r>
      <w:r w:rsidR="002C2E16" w:rsidRPr="00012D40">
        <w:t xml:space="preserve">, advance </w:t>
      </w:r>
      <w:r w:rsidR="2D9077A1" w:rsidRPr="12383FEE">
        <w:t xml:space="preserve">its </w:t>
      </w:r>
      <w:r w:rsidR="005561FA" w:rsidRPr="00012D40">
        <w:t xml:space="preserve">understanding of why </w:t>
      </w:r>
      <w:r w:rsidR="000E260F">
        <w:t>certain project</w:t>
      </w:r>
      <w:r w:rsidR="005561FA" w:rsidRPr="00012D40">
        <w:t xml:space="preserve"> strategies work or do not work, </w:t>
      </w:r>
      <w:r w:rsidR="002C2E16" w:rsidRPr="00012D40">
        <w:t xml:space="preserve">help </w:t>
      </w:r>
      <w:r w:rsidR="005561FA" w:rsidRPr="00012D40">
        <w:t>identify the most effective policy approaches, provide information to strengthen enforcement efforts, and compile new data on workers and child laborers.</w:t>
      </w:r>
      <w:r w:rsidR="002C2E16" w:rsidRPr="00012D40">
        <w:t xml:space="preserve"> </w:t>
      </w:r>
      <w:r w:rsidR="00954A09" w:rsidRPr="00012D40">
        <w:rPr>
          <w:rFonts w:eastAsia="Times New Roman"/>
          <w:shd w:val="clear" w:color="auto" w:fill="FFFFFF"/>
        </w:rPr>
        <w:t>The work</w:t>
      </w:r>
      <w:r w:rsidR="00117377" w:rsidRPr="00012D40">
        <w:rPr>
          <w:rFonts w:eastAsia="Times New Roman"/>
          <w:shd w:val="clear" w:color="auto" w:fill="FFFFFF"/>
        </w:rPr>
        <w:t xml:space="preserve"> of ILAB’s Office of Child Labor, Forced Labor, and Human Trafficking </w:t>
      </w:r>
      <w:r w:rsidR="000E260F">
        <w:rPr>
          <w:rFonts w:eastAsia="Times New Roman"/>
          <w:shd w:val="clear" w:color="auto" w:fill="FFFFFF"/>
        </w:rPr>
        <w:t xml:space="preserve">also </w:t>
      </w:r>
      <w:r w:rsidR="00117377" w:rsidRPr="00012D40">
        <w:rPr>
          <w:rFonts w:eastAsia="Times New Roman"/>
          <w:shd w:val="clear" w:color="auto" w:fill="FFFFFF"/>
        </w:rPr>
        <w:t>include</w:t>
      </w:r>
      <w:r w:rsidR="00997628" w:rsidRPr="00012D40">
        <w:rPr>
          <w:rFonts w:eastAsia="Times New Roman"/>
          <w:shd w:val="clear" w:color="auto" w:fill="FFFFFF"/>
        </w:rPr>
        <w:t>s</w:t>
      </w:r>
      <w:r w:rsidR="00117377" w:rsidRPr="00012D40">
        <w:rPr>
          <w:rFonts w:eastAsia="Times New Roman"/>
          <w:shd w:val="clear" w:color="auto" w:fill="FFFFFF"/>
        </w:rPr>
        <w:t xml:space="preserve"> </w:t>
      </w:r>
      <w:r w:rsidR="000E260F">
        <w:rPr>
          <w:rFonts w:eastAsia="Times New Roman"/>
          <w:shd w:val="clear" w:color="auto" w:fill="FFFFFF"/>
        </w:rPr>
        <w:t xml:space="preserve">its own </w:t>
      </w:r>
      <w:r w:rsidR="00117377" w:rsidRPr="00012D40">
        <w:rPr>
          <w:rFonts w:eastAsia="Times New Roman"/>
          <w:shd w:val="clear" w:color="auto" w:fill="FFFFFF"/>
        </w:rPr>
        <w:t>research and publication of major reports on international child labor, forced labor, and human trafficking; funding and oversight of projects to eliminate exploitive child labor and forced labor around the world; and assistance in the development and implementation of U.S. government policy on international child labor</w:t>
      </w:r>
      <w:r w:rsidR="4159C2DC" w:rsidRPr="00012D40">
        <w:rPr>
          <w:rFonts w:eastAsia="Times New Roman"/>
          <w:shd w:val="clear" w:color="auto" w:fill="FFFFFF"/>
        </w:rPr>
        <w:t xml:space="preserve"> and</w:t>
      </w:r>
      <w:r w:rsidR="00117377" w:rsidRPr="00012D40">
        <w:rPr>
          <w:rFonts w:eastAsia="Times New Roman"/>
          <w:shd w:val="clear" w:color="auto" w:fill="FFFFFF"/>
        </w:rPr>
        <w:t xml:space="preserve"> forced labor and </w:t>
      </w:r>
      <w:r w:rsidR="4CD8D2B4" w:rsidRPr="00012D40">
        <w:rPr>
          <w:rFonts w:eastAsia="Times New Roman"/>
          <w:shd w:val="clear" w:color="auto" w:fill="FFFFFF"/>
        </w:rPr>
        <w:t xml:space="preserve">other </w:t>
      </w:r>
      <w:r w:rsidR="00117377" w:rsidRPr="00012D40">
        <w:rPr>
          <w:rFonts w:eastAsia="Times New Roman"/>
          <w:shd w:val="clear" w:color="auto" w:fill="FFFFFF"/>
        </w:rPr>
        <w:t>human trafficking issues.</w:t>
      </w:r>
      <w:r w:rsidR="00673E42">
        <w:rPr>
          <w:rFonts w:eastAsia="Times New Roman"/>
          <w:shd w:val="clear" w:color="auto" w:fill="FFFFFF"/>
        </w:rPr>
        <w:t xml:space="preserve"> ILAB engagement and technical cooperation initiativ</w:t>
      </w:r>
      <w:r>
        <w:rPr>
          <w:rFonts w:eastAsia="Times New Roman"/>
          <w:shd w:val="clear" w:color="auto" w:fill="FFFFFF"/>
        </w:rPr>
        <w:t xml:space="preserve">es have made </w:t>
      </w:r>
      <w:r w:rsidR="00673E42">
        <w:rPr>
          <w:rFonts w:eastAsia="Times New Roman"/>
          <w:shd w:val="clear" w:color="auto" w:fill="FFFFFF"/>
        </w:rPr>
        <w:t xml:space="preserve">critical differences in the lives of close to </w:t>
      </w:r>
      <w:r w:rsidR="46A3DB09">
        <w:rPr>
          <w:rFonts w:eastAsia="Times New Roman"/>
          <w:shd w:val="clear" w:color="auto" w:fill="FFFFFF"/>
        </w:rPr>
        <w:t>two</w:t>
      </w:r>
      <w:r w:rsidR="00673E42">
        <w:rPr>
          <w:rFonts w:eastAsia="Times New Roman"/>
          <w:shd w:val="clear" w:color="auto" w:fill="FFFFFF"/>
        </w:rPr>
        <w:t xml:space="preserve"> million children and 185,000 families through education and livelihood support and increased capacity of governments and other stakeholders to combat</w:t>
      </w:r>
      <w:r>
        <w:rPr>
          <w:rFonts w:eastAsia="Times New Roman"/>
          <w:shd w:val="clear" w:color="auto" w:fill="FFFFFF"/>
        </w:rPr>
        <w:t xml:space="preserve"> child labor and forced labor. </w:t>
      </w:r>
      <w:r w:rsidR="00673E42">
        <w:rPr>
          <w:rFonts w:eastAsia="Times New Roman"/>
          <w:shd w:val="clear" w:color="auto" w:fill="FFFFFF"/>
        </w:rPr>
        <w:t>ILAB produces three public reports on international child labor and forced labor:</w:t>
      </w:r>
      <w:r>
        <w:rPr>
          <w:rFonts w:eastAsia="Times New Roman"/>
          <w:shd w:val="clear" w:color="auto" w:fill="FFFFFF"/>
        </w:rPr>
        <w:t xml:space="preserve"> </w:t>
      </w:r>
      <w:r w:rsidR="00673E42">
        <w:rPr>
          <w:rFonts w:eastAsia="Times New Roman"/>
          <w:shd w:val="clear" w:color="auto" w:fill="FFFFFF"/>
        </w:rPr>
        <w:t xml:space="preserve">the annual </w:t>
      </w:r>
      <w:r w:rsidR="5909128C">
        <w:rPr>
          <w:rFonts w:eastAsia="Times New Roman"/>
          <w:shd w:val="clear" w:color="auto" w:fill="FFFFFF"/>
        </w:rPr>
        <w:t>“</w:t>
      </w:r>
      <w:r w:rsidR="00673E42">
        <w:rPr>
          <w:rFonts w:eastAsia="Times New Roman"/>
          <w:shd w:val="clear" w:color="auto" w:fill="FFFFFF"/>
        </w:rPr>
        <w:t>Findings on the Worst Forms of Child Labor,</w:t>
      </w:r>
      <w:r w:rsidR="54B320B8">
        <w:rPr>
          <w:rFonts w:eastAsia="Times New Roman"/>
          <w:shd w:val="clear" w:color="auto" w:fill="FFFFFF"/>
        </w:rPr>
        <w:t>”</w:t>
      </w:r>
      <w:r w:rsidR="00673E42">
        <w:rPr>
          <w:rFonts w:eastAsia="Times New Roman"/>
          <w:shd w:val="clear" w:color="auto" w:fill="FFFFFF"/>
        </w:rPr>
        <w:t xml:space="preserve"> the biannual </w:t>
      </w:r>
      <w:r w:rsidR="52BC46E1">
        <w:rPr>
          <w:rFonts w:eastAsia="Times New Roman"/>
          <w:shd w:val="clear" w:color="auto" w:fill="FFFFFF"/>
        </w:rPr>
        <w:t>“</w:t>
      </w:r>
      <w:r w:rsidR="00673E42">
        <w:rPr>
          <w:rFonts w:eastAsia="Times New Roman"/>
          <w:shd w:val="clear" w:color="auto" w:fill="FFFFFF"/>
        </w:rPr>
        <w:t>List of Goods Produced by Child Labor or Forced Labor,</w:t>
      </w:r>
      <w:r w:rsidR="49AF50E0">
        <w:rPr>
          <w:rFonts w:eastAsia="Times New Roman"/>
          <w:shd w:val="clear" w:color="auto" w:fill="FFFFFF"/>
        </w:rPr>
        <w:t>”</w:t>
      </w:r>
      <w:r w:rsidR="00673E42">
        <w:rPr>
          <w:rFonts w:eastAsia="Times New Roman"/>
          <w:shd w:val="clear" w:color="auto" w:fill="FFFFFF"/>
        </w:rPr>
        <w:t xml:space="preserve"> and the periodic </w:t>
      </w:r>
      <w:r w:rsidR="6863B014">
        <w:rPr>
          <w:rFonts w:eastAsia="Times New Roman"/>
          <w:shd w:val="clear" w:color="auto" w:fill="FFFFFF"/>
        </w:rPr>
        <w:t>“</w:t>
      </w:r>
      <w:r w:rsidR="00673E42">
        <w:rPr>
          <w:rFonts w:eastAsia="Times New Roman"/>
          <w:shd w:val="clear" w:color="auto" w:fill="FFFFFF"/>
        </w:rPr>
        <w:t>Products Produced by Forced or Indentured Child Labor.</w:t>
      </w:r>
      <w:r w:rsidR="374BBC1B">
        <w:rPr>
          <w:rFonts w:eastAsia="Times New Roman"/>
          <w:shd w:val="clear" w:color="auto" w:fill="FFFFFF"/>
        </w:rPr>
        <w:t>”</w:t>
      </w:r>
      <w:r w:rsidR="00673E42">
        <w:rPr>
          <w:rFonts w:eastAsia="Times New Roman"/>
          <w:shd w:val="clear" w:color="auto" w:fill="FFFFFF"/>
        </w:rPr>
        <w:t xml:space="preserve"> Taken together, these reports document the current situation of child labor, forced labor, and forced child labor around the world.</w:t>
      </w:r>
    </w:p>
    <w:p w14:paraId="748024EF" w14:textId="3D8D9E62" w:rsidR="00055264" w:rsidRPr="000B44E1" w:rsidRDefault="00997628" w:rsidP="00CD4EAB">
      <w:pPr>
        <w:ind w:left="0" w:firstLine="0"/>
        <w:rPr>
          <w:shd w:val="clear" w:color="auto" w:fill="FFFFFF"/>
        </w:rPr>
      </w:pPr>
      <w:r w:rsidRPr="00012D40">
        <w:rPr>
          <w:shd w:val="clear" w:color="auto" w:fill="FFFFFF"/>
        </w:rPr>
        <w:t xml:space="preserve">In </w:t>
      </w:r>
      <w:r w:rsidR="000E260F">
        <w:rPr>
          <w:shd w:val="clear" w:color="auto" w:fill="FFFFFF"/>
        </w:rPr>
        <w:t>December</w:t>
      </w:r>
      <w:r w:rsidRPr="00012D40">
        <w:rPr>
          <w:shd w:val="clear" w:color="auto" w:fill="FFFFFF"/>
        </w:rPr>
        <w:t xml:space="preserve"> 2020, ILAB</w:t>
      </w:r>
      <w:r w:rsidR="006455B6" w:rsidRPr="00012D40">
        <w:rPr>
          <w:shd w:val="clear" w:color="auto" w:fill="FFFFFF"/>
        </w:rPr>
        <w:t xml:space="preserve"> award</w:t>
      </w:r>
      <w:r w:rsidR="000E260F">
        <w:rPr>
          <w:shd w:val="clear" w:color="auto" w:fill="FFFFFF"/>
        </w:rPr>
        <w:t>ed</w:t>
      </w:r>
      <w:r w:rsidR="006455B6" w:rsidRPr="00012D40">
        <w:rPr>
          <w:shd w:val="clear" w:color="auto" w:fill="FFFFFF"/>
        </w:rPr>
        <w:t xml:space="preserve"> $8 million for two technical assistance projects to improve downstream tracing of goods made with child labor or force</w:t>
      </w:r>
      <w:r w:rsidR="001C6EC1" w:rsidRPr="00012D40">
        <w:rPr>
          <w:shd w:val="clear" w:color="auto" w:fill="FFFFFF"/>
        </w:rPr>
        <w:t>d</w:t>
      </w:r>
      <w:r w:rsidRPr="00012D40">
        <w:rPr>
          <w:shd w:val="clear" w:color="auto" w:fill="FFFFFF"/>
        </w:rPr>
        <w:t xml:space="preserve"> labor. </w:t>
      </w:r>
      <w:r w:rsidR="006455B6" w:rsidRPr="00012D40">
        <w:rPr>
          <w:shd w:val="clear" w:color="auto" w:fill="FFFFFF"/>
        </w:rPr>
        <w:t>In January 2020, DHS also published its first strategy to combat human trafficking, the importation of goods produced with forced labor,</w:t>
      </w:r>
      <w:r w:rsidR="001C6EC1" w:rsidRPr="00012D40">
        <w:rPr>
          <w:shd w:val="clear" w:color="auto" w:fill="FFFFFF"/>
        </w:rPr>
        <w:t xml:space="preserve"> and child sexual exploitation.</w:t>
      </w:r>
      <w:r w:rsidR="006455B6" w:rsidRPr="00012D40">
        <w:rPr>
          <w:shd w:val="clear" w:color="auto" w:fill="FFFFFF"/>
        </w:rPr>
        <w:t xml:space="preserve"> In October 2019, the Office of Management and Budget in the White House also final</w:t>
      </w:r>
      <w:r w:rsidR="001C6EC1" w:rsidRPr="00012D40">
        <w:rPr>
          <w:shd w:val="clear" w:color="auto" w:fill="FFFFFF"/>
        </w:rPr>
        <w:t>ized</w:t>
      </w:r>
      <w:r w:rsidR="006455B6" w:rsidRPr="00012D40">
        <w:rPr>
          <w:shd w:val="clear" w:color="auto" w:fill="FFFFFF"/>
        </w:rPr>
        <w:t xml:space="preserve"> guidance on anti-trafficking risk management best practices and mitigation considerations, which enhances the effectiveness of anti-trafficking requirements in federal acquisition and helps contractors manage and reduce the burden associated with meeting these responsibilities.  </w:t>
      </w:r>
    </w:p>
    <w:p w14:paraId="26456E0A" w14:textId="5A4868AE" w:rsidR="00055264" w:rsidRPr="00F5172C" w:rsidRDefault="00055264" w:rsidP="00CD4EAB">
      <w:pPr>
        <w:ind w:left="0" w:firstLine="0"/>
        <w:rPr>
          <w:shd w:val="clear" w:color="auto" w:fill="FFFFFF"/>
        </w:rPr>
      </w:pPr>
      <w:r w:rsidRPr="00012D40">
        <w:rPr>
          <w:shd w:val="clear" w:color="auto" w:fill="FFFFFF"/>
        </w:rPr>
        <w:t xml:space="preserve">The </w:t>
      </w:r>
      <w:r w:rsidR="000E260F">
        <w:rPr>
          <w:shd w:val="clear" w:color="auto" w:fill="FFFFFF"/>
        </w:rPr>
        <w:t>20</w:t>
      </w:r>
      <w:r w:rsidR="000E260F" w:rsidRPr="00BE13D6">
        <w:rPr>
          <w:shd w:val="clear" w:color="auto" w:fill="FFFFFF"/>
        </w:rPr>
        <w:t>th</w:t>
      </w:r>
      <w:r w:rsidR="000E260F">
        <w:rPr>
          <w:shd w:val="clear" w:color="auto" w:fill="FFFFFF"/>
        </w:rPr>
        <w:t xml:space="preserve"> edition of the </w:t>
      </w:r>
      <w:r w:rsidRPr="00012D40">
        <w:rPr>
          <w:shd w:val="clear" w:color="auto" w:fill="FFFFFF"/>
        </w:rPr>
        <w:t xml:space="preserve">annual </w:t>
      </w:r>
      <w:r w:rsidR="17B68DA0" w:rsidRPr="00012D40">
        <w:rPr>
          <w:shd w:val="clear" w:color="auto" w:fill="FFFFFF"/>
        </w:rPr>
        <w:t>“</w:t>
      </w:r>
      <w:r w:rsidRPr="00012D40">
        <w:rPr>
          <w:shd w:val="clear" w:color="auto" w:fill="FFFFFF"/>
        </w:rPr>
        <w:t>Findings on the Worst Forms of Child Labor,</w:t>
      </w:r>
      <w:r w:rsidR="2503E075" w:rsidRPr="00012D40">
        <w:rPr>
          <w:shd w:val="clear" w:color="auto" w:fill="FFFFFF"/>
        </w:rPr>
        <w:t>”</w:t>
      </w:r>
      <w:r w:rsidRPr="00012D40">
        <w:rPr>
          <w:shd w:val="clear" w:color="auto" w:fill="FFFFFF"/>
        </w:rPr>
        <w:t xml:space="preserve"> released by DOL in September 202</w:t>
      </w:r>
      <w:r w:rsidR="000E260F">
        <w:rPr>
          <w:shd w:val="clear" w:color="auto" w:fill="FFFFFF"/>
        </w:rPr>
        <w:t>1</w:t>
      </w:r>
      <w:r w:rsidRPr="00012D40">
        <w:rPr>
          <w:shd w:val="clear" w:color="auto" w:fill="FFFFFF"/>
        </w:rPr>
        <w:t>, assess</w:t>
      </w:r>
      <w:r w:rsidR="000E260F">
        <w:rPr>
          <w:shd w:val="clear" w:color="auto" w:fill="FFFFFF"/>
        </w:rPr>
        <w:t>es</w:t>
      </w:r>
      <w:r w:rsidRPr="00012D40">
        <w:rPr>
          <w:shd w:val="clear" w:color="auto" w:fill="FFFFFF"/>
        </w:rPr>
        <w:t xml:space="preserve"> foreign governments’ efforts and provide</w:t>
      </w:r>
      <w:r w:rsidR="00AB7CAB">
        <w:rPr>
          <w:shd w:val="clear" w:color="auto" w:fill="FFFFFF"/>
        </w:rPr>
        <w:t>s</w:t>
      </w:r>
      <w:r w:rsidRPr="00012D40">
        <w:rPr>
          <w:shd w:val="clear" w:color="auto" w:fill="FFFFFF"/>
        </w:rPr>
        <w:t xml:space="preserve"> </w:t>
      </w:r>
      <w:r w:rsidR="00AB7CAB">
        <w:rPr>
          <w:shd w:val="clear" w:color="auto" w:fill="FFFFFF"/>
        </w:rPr>
        <w:t>recommendations</w:t>
      </w:r>
      <w:r w:rsidRPr="00012D40">
        <w:rPr>
          <w:shd w:val="clear" w:color="auto" w:fill="FFFFFF"/>
        </w:rPr>
        <w:t xml:space="preserve"> to combat the worst forms of child labor, including child trafficking, in </w:t>
      </w:r>
      <w:r w:rsidR="001C6EC1" w:rsidRPr="00012D40">
        <w:rPr>
          <w:shd w:val="clear" w:color="auto" w:fill="FFFFFF"/>
        </w:rPr>
        <w:t xml:space="preserve">131 countries and territories. </w:t>
      </w:r>
      <w:r w:rsidR="00BE13D6">
        <w:rPr>
          <w:shd w:val="clear" w:color="auto" w:fill="FFFFFF"/>
        </w:rPr>
        <w:t xml:space="preserve">In September 2020, </w:t>
      </w:r>
      <w:r w:rsidRPr="00012D40">
        <w:rPr>
          <w:shd w:val="clear" w:color="auto" w:fill="FFFFFF"/>
        </w:rPr>
        <w:t xml:space="preserve">DOL released the </w:t>
      </w:r>
      <w:r w:rsidR="00AB7CAB">
        <w:rPr>
          <w:shd w:val="clear" w:color="auto" w:fill="FFFFFF"/>
        </w:rPr>
        <w:t>9</w:t>
      </w:r>
      <w:r w:rsidR="00BE13D6">
        <w:rPr>
          <w:shd w:val="clear" w:color="auto" w:fill="FFFFFF"/>
        </w:rPr>
        <w:t>th</w:t>
      </w:r>
      <w:r w:rsidR="00AB7CAB">
        <w:rPr>
          <w:shd w:val="clear" w:color="auto" w:fill="FFFFFF"/>
        </w:rPr>
        <w:t xml:space="preserve"> edition of its </w:t>
      </w:r>
      <w:r w:rsidRPr="00012D40">
        <w:rPr>
          <w:shd w:val="clear" w:color="auto" w:fill="FFFFFF"/>
        </w:rPr>
        <w:t xml:space="preserve">biennial </w:t>
      </w:r>
      <w:r w:rsidR="6DB5B8C3" w:rsidRPr="00012D40">
        <w:rPr>
          <w:shd w:val="clear" w:color="auto" w:fill="FFFFFF"/>
        </w:rPr>
        <w:t>“</w:t>
      </w:r>
      <w:r w:rsidRPr="00012D40">
        <w:rPr>
          <w:shd w:val="clear" w:color="auto" w:fill="FFFFFF"/>
        </w:rPr>
        <w:t xml:space="preserve">List of Goods Produced </w:t>
      </w:r>
      <w:r w:rsidR="00A47C3B">
        <w:rPr>
          <w:shd w:val="clear" w:color="auto" w:fill="FFFFFF"/>
        </w:rPr>
        <w:t>by Child Labor or</w:t>
      </w:r>
      <w:r w:rsidRPr="00012D40">
        <w:rPr>
          <w:shd w:val="clear" w:color="auto" w:fill="FFFFFF"/>
        </w:rPr>
        <w:t xml:space="preserve"> Forced Labor,</w:t>
      </w:r>
      <w:r w:rsidR="2BA433D6" w:rsidRPr="00012D40">
        <w:rPr>
          <w:shd w:val="clear" w:color="auto" w:fill="FFFFFF"/>
        </w:rPr>
        <w:t>”</w:t>
      </w:r>
      <w:r w:rsidRPr="00012D40">
        <w:rPr>
          <w:shd w:val="clear" w:color="auto" w:fill="FFFFFF"/>
        </w:rPr>
        <w:t xml:space="preserve"> which advances supply chain accountability by prov</w:t>
      </w:r>
      <w:r w:rsidR="00DC5178">
        <w:rPr>
          <w:shd w:val="clear" w:color="auto" w:fill="FFFFFF"/>
        </w:rPr>
        <w:t>id</w:t>
      </w:r>
      <w:r w:rsidRPr="00012D40">
        <w:rPr>
          <w:shd w:val="clear" w:color="auto" w:fill="FFFFFF"/>
        </w:rPr>
        <w:t>ing information on goods made with force</w:t>
      </w:r>
      <w:r w:rsidR="262DC1A0" w:rsidRPr="00012D40">
        <w:rPr>
          <w:shd w:val="clear" w:color="auto" w:fill="FFFFFF"/>
        </w:rPr>
        <w:t>d</w:t>
      </w:r>
      <w:r w:rsidRPr="00012D40">
        <w:rPr>
          <w:shd w:val="clear" w:color="auto" w:fill="FFFFFF"/>
        </w:rPr>
        <w:t xml:space="preserve"> and child labor by country </w:t>
      </w:r>
      <w:r w:rsidR="001C6EC1" w:rsidRPr="00012D40">
        <w:rPr>
          <w:shd w:val="clear" w:color="auto" w:fill="FFFFFF"/>
        </w:rPr>
        <w:t>of origin.</w:t>
      </w:r>
      <w:r w:rsidR="00AF0C40" w:rsidRPr="00012D40">
        <w:rPr>
          <w:shd w:val="clear" w:color="auto" w:fill="FFFFFF"/>
        </w:rPr>
        <w:t xml:space="preserve"> In September 2020, DOL </w:t>
      </w:r>
      <w:r w:rsidR="00BE13D6">
        <w:rPr>
          <w:shd w:val="clear" w:color="auto" w:fill="FFFFFF"/>
        </w:rPr>
        <w:t xml:space="preserve">also </w:t>
      </w:r>
      <w:r w:rsidR="00AF0C40" w:rsidRPr="00012D40">
        <w:rPr>
          <w:shd w:val="clear" w:color="auto" w:fill="FFFFFF"/>
        </w:rPr>
        <w:t xml:space="preserve">released an update of its </w:t>
      </w:r>
      <w:r w:rsidR="3B85CCEE" w:rsidRPr="00012D40">
        <w:rPr>
          <w:shd w:val="clear" w:color="auto" w:fill="FFFFFF"/>
        </w:rPr>
        <w:t>“</w:t>
      </w:r>
      <w:r w:rsidR="00AF0C40" w:rsidRPr="00012D40">
        <w:rPr>
          <w:shd w:val="clear" w:color="auto" w:fill="FFFFFF"/>
        </w:rPr>
        <w:t>Comply Chain: Business Tools for Labor Compliance in Gl</w:t>
      </w:r>
      <w:r w:rsidR="001C6EC1" w:rsidRPr="00012D40">
        <w:rPr>
          <w:shd w:val="clear" w:color="auto" w:fill="FFFFFF"/>
        </w:rPr>
        <w:t>obal Supply Chains</w:t>
      </w:r>
      <w:r w:rsidR="230C7417" w:rsidRPr="00012D40">
        <w:rPr>
          <w:shd w:val="clear" w:color="auto" w:fill="FFFFFF"/>
        </w:rPr>
        <w:t>”</w:t>
      </w:r>
      <w:r w:rsidR="001C6EC1" w:rsidRPr="00012D40">
        <w:rPr>
          <w:shd w:val="clear" w:color="auto" w:fill="FFFFFF"/>
        </w:rPr>
        <w:t xml:space="preserve"> mobile app. </w:t>
      </w:r>
      <w:r w:rsidR="00AF0C40" w:rsidRPr="00012D40">
        <w:rPr>
          <w:shd w:val="clear" w:color="auto" w:fill="FFFFFF"/>
        </w:rPr>
        <w:t>The updated app includes more than 50 additional examples from cross-sector partnerships and international organizations, among others, of how to identify, remediate, and prevent child labor and forced labor th</w:t>
      </w:r>
      <w:r w:rsidR="00A47C3B">
        <w:rPr>
          <w:shd w:val="clear" w:color="auto" w:fill="FFFFFF"/>
        </w:rPr>
        <w:t>r</w:t>
      </w:r>
      <w:r w:rsidR="00AF0C40" w:rsidRPr="00012D40">
        <w:rPr>
          <w:shd w:val="clear" w:color="auto" w:fill="FFFFFF"/>
        </w:rPr>
        <w:t>ough strong social compliance systems. It also features recent legal developments in the anti-</w:t>
      </w:r>
      <w:r w:rsidR="003B36CB">
        <w:rPr>
          <w:shd w:val="clear" w:color="auto" w:fill="FFFFFF"/>
        </w:rPr>
        <w:t xml:space="preserve">trafficking field and </w:t>
      </w:r>
      <w:r w:rsidR="00AF0C40" w:rsidRPr="00012D40">
        <w:rPr>
          <w:shd w:val="clear" w:color="auto" w:fill="FFFFFF"/>
        </w:rPr>
        <w:t xml:space="preserve">information to ensure </w:t>
      </w:r>
      <w:r w:rsidR="003B36CB">
        <w:rPr>
          <w:shd w:val="clear" w:color="auto" w:fill="FFFFFF"/>
        </w:rPr>
        <w:t xml:space="preserve">that </w:t>
      </w:r>
      <w:r w:rsidR="00AF0C40" w:rsidRPr="00012D40">
        <w:rPr>
          <w:shd w:val="clear" w:color="auto" w:fill="FFFFFF"/>
        </w:rPr>
        <w:t xml:space="preserve">hiring practices protect workers, encourage and empower workers to speak out against exploitation, and strengthen public reporting on efforts to implement social compliance systems. </w:t>
      </w:r>
      <w:r w:rsidR="00AB7CAB">
        <w:rPr>
          <w:shd w:val="clear" w:color="auto" w:fill="FFFFFF"/>
        </w:rPr>
        <w:t>In September 2021, DOL released a Malay version of Comply Chain to compl</w:t>
      </w:r>
      <w:r w:rsidR="711460C5">
        <w:rPr>
          <w:shd w:val="clear" w:color="auto" w:fill="FFFFFF"/>
        </w:rPr>
        <w:t>e</w:t>
      </w:r>
      <w:r w:rsidR="00AB7CAB">
        <w:rPr>
          <w:shd w:val="clear" w:color="auto" w:fill="FFFFFF"/>
        </w:rPr>
        <w:t>ment existing English, Spanish, and French versions of the app. Also in September 2021, DOL launched its new Better Trade Tool, an online compliance resource that integrates existing reporting on child and forced labor with U.S. import trade data to support supply chain transpa</w:t>
      </w:r>
      <w:r w:rsidR="00FE6982">
        <w:rPr>
          <w:shd w:val="clear" w:color="auto" w:fill="FFFFFF"/>
        </w:rPr>
        <w:t>rency and responsible sourcing.</w:t>
      </w:r>
      <w:r w:rsidR="00AB7CAB">
        <w:rPr>
          <w:shd w:val="clear" w:color="auto" w:fill="FFFFFF"/>
        </w:rPr>
        <w:t xml:space="preserve"> </w:t>
      </w:r>
      <w:r w:rsidR="00AF0C40" w:rsidRPr="00012D40">
        <w:rPr>
          <w:shd w:val="clear" w:color="auto" w:fill="FFFFFF"/>
        </w:rPr>
        <w:t xml:space="preserve">DOL also updated its </w:t>
      </w:r>
      <w:r w:rsidR="00AB7CAB">
        <w:rPr>
          <w:shd w:val="clear" w:color="auto" w:fill="FFFFFF"/>
        </w:rPr>
        <w:t xml:space="preserve">mobile app, </w:t>
      </w:r>
      <w:r w:rsidR="00A47C3B">
        <w:rPr>
          <w:shd w:val="clear" w:color="auto" w:fill="FFFFFF"/>
        </w:rPr>
        <w:t>“</w:t>
      </w:r>
      <w:r w:rsidR="00AF0C40" w:rsidRPr="00012D40">
        <w:rPr>
          <w:shd w:val="clear" w:color="auto" w:fill="FFFFFF"/>
        </w:rPr>
        <w:t>Sweat &amp; Toil: Child Labor, Force</w:t>
      </w:r>
      <w:r w:rsidR="001C6EC1" w:rsidRPr="00012D40">
        <w:rPr>
          <w:shd w:val="clear" w:color="auto" w:fill="FFFFFF"/>
        </w:rPr>
        <w:t>d</w:t>
      </w:r>
      <w:r w:rsidR="00AF0C40" w:rsidRPr="00012D40">
        <w:rPr>
          <w:shd w:val="clear" w:color="auto" w:fill="FFFFFF"/>
        </w:rPr>
        <w:t xml:space="preserve"> Labor, and Human Traffick</w:t>
      </w:r>
      <w:r w:rsidR="00BE13D6">
        <w:rPr>
          <w:shd w:val="clear" w:color="auto" w:fill="FFFFFF"/>
        </w:rPr>
        <w:t>ing Around the World,</w:t>
      </w:r>
      <w:r w:rsidR="00A47C3B">
        <w:rPr>
          <w:shd w:val="clear" w:color="auto" w:fill="FFFFFF"/>
        </w:rPr>
        <w:t>”</w:t>
      </w:r>
      <w:r w:rsidR="00AF0C40" w:rsidRPr="00012D40">
        <w:rPr>
          <w:shd w:val="clear" w:color="auto" w:fill="FFFFFF"/>
        </w:rPr>
        <w:t xml:space="preserve"> to include the </w:t>
      </w:r>
      <w:r w:rsidR="00AB7CAB">
        <w:rPr>
          <w:shd w:val="clear" w:color="auto" w:fill="FFFFFF"/>
        </w:rPr>
        <w:t>2021 and 2020</w:t>
      </w:r>
      <w:r w:rsidR="00AF0C40" w:rsidRPr="00012D40">
        <w:rPr>
          <w:shd w:val="clear" w:color="auto" w:fill="FFFFFF"/>
        </w:rPr>
        <w:t xml:space="preserve"> </w:t>
      </w:r>
      <w:r w:rsidR="00A47C3B">
        <w:rPr>
          <w:shd w:val="clear" w:color="auto" w:fill="FFFFFF"/>
        </w:rPr>
        <w:t>“</w:t>
      </w:r>
      <w:r w:rsidR="00AF0C40" w:rsidRPr="00012D40">
        <w:rPr>
          <w:shd w:val="clear" w:color="auto" w:fill="FFFFFF"/>
        </w:rPr>
        <w:t>Findings on the Worst Forms of Child Labor</w:t>
      </w:r>
      <w:r w:rsidR="00A47C3B">
        <w:rPr>
          <w:shd w:val="clear" w:color="auto" w:fill="FFFFFF"/>
        </w:rPr>
        <w:t>”</w:t>
      </w:r>
      <w:r w:rsidR="00AF0C40" w:rsidRPr="00012D40">
        <w:rPr>
          <w:shd w:val="clear" w:color="auto" w:fill="FFFFFF"/>
        </w:rPr>
        <w:t xml:space="preserve"> and </w:t>
      </w:r>
      <w:r w:rsidR="00AB7CAB">
        <w:rPr>
          <w:shd w:val="clear" w:color="auto" w:fill="FFFFFF"/>
        </w:rPr>
        <w:t>updates to the</w:t>
      </w:r>
      <w:r w:rsidR="00AF0C40" w:rsidRPr="00012D40">
        <w:rPr>
          <w:shd w:val="clear" w:color="auto" w:fill="FFFFFF"/>
        </w:rPr>
        <w:t xml:space="preserve"> </w:t>
      </w:r>
      <w:r w:rsidR="00A47C3B">
        <w:rPr>
          <w:shd w:val="clear" w:color="auto" w:fill="FFFFFF"/>
        </w:rPr>
        <w:t>“</w:t>
      </w:r>
      <w:r w:rsidR="00AF0C40" w:rsidRPr="00012D40">
        <w:rPr>
          <w:shd w:val="clear" w:color="auto" w:fill="FFFFFF"/>
        </w:rPr>
        <w:t>List of Good Produced by Child Labor or Force</w:t>
      </w:r>
      <w:r w:rsidR="00BE13D6">
        <w:rPr>
          <w:shd w:val="clear" w:color="auto" w:fill="FFFFFF"/>
        </w:rPr>
        <w:t>d</w:t>
      </w:r>
      <w:r w:rsidR="00AF0C40" w:rsidRPr="00012D40">
        <w:rPr>
          <w:shd w:val="clear" w:color="auto" w:fill="FFFFFF"/>
        </w:rPr>
        <w:t xml:space="preserve"> Labor.</w:t>
      </w:r>
      <w:r w:rsidR="00A47C3B">
        <w:rPr>
          <w:shd w:val="clear" w:color="auto" w:fill="FFFFFF"/>
        </w:rPr>
        <w:t>”</w:t>
      </w:r>
    </w:p>
    <w:p w14:paraId="78FE01EA" w14:textId="601C3C3B" w:rsidR="0000651B" w:rsidRPr="00ED3270" w:rsidRDefault="0C110EB9" w:rsidP="00CD4EAB">
      <w:pPr>
        <w:ind w:left="0" w:firstLine="0"/>
        <w:rPr>
          <w:shd w:val="clear" w:color="auto" w:fill="FFFFFF"/>
        </w:rPr>
      </w:pPr>
      <w:r w:rsidRPr="00012D40">
        <w:rPr>
          <w:shd w:val="clear" w:color="auto" w:fill="FFFFFF"/>
        </w:rPr>
        <w:t xml:space="preserve">USTR, </w:t>
      </w:r>
      <w:r w:rsidR="1845630C">
        <w:rPr>
          <w:shd w:val="clear" w:color="auto" w:fill="FFFFFF"/>
        </w:rPr>
        <w:t>within the Executive Office of the President, develops and coordinates U.S. international trade, commodity, and direct investment policy. USTR also monitors and negotiates trade agreements and administers trade preference programs, which include U.S. government priorities to address child labor and forced labor,</w:t>
      </w:r>
      <w:r w:rsidR="1CC04F2F">
        <w:rPr>
          <w:shd w:val="clear" w:color="auto" w:fill="FFFFFF"/>
        </w:rPr>
        <w:t xml:space="preserve"> </w:t>
      </w:r>
      <w:r w:rsidR="1845630C">
        <w:rPr>
          <w:shd w:val="clear" w:color="auto" w:fill="FFFFFF"/>
        </w:rPr>
        <w:t>and promotes trade and labor around the globe by building international consensus on issues such as forced labor in bilateral, regional, and multilateral fora. The trade agreements to which the United States is a party have long included provisions to require parties to adopt, maintain, and enforce legal provisions on the elimination of child labor and all forms of forced or compulsory labor. In addition, the United States-Mexico-Canada Agreement (USMCA)</w:t>
      </w:r>
      <w:r w:rsidR="0EA7F08D">
        <w:rPr>
          <w:shd w:val="clear" w:color="auto" w:fill="FFFFFF"/>
        </w:rPr>
        <w:t xml:space="preserve">, </w:t>
      </w:r>
      <w:r w:rsidR="0EA7F08D" w:rsidRPr="5C531F67">
        <w:t>which replaced the North American Free Trade Agreement (NAFTA) and entered into force on July 1, 2020,</w:t>
      </w:r>
      <w:r w:rsidR="1845630C">
        <w:rPr>
          <w:shd w:val="clear" w:color="auto" w:fill="FFFFFF"/>
        </w:rPr>
        <w:t xml:space="preserve"> includes a groundbreaking provision requiring all three countries to prohibit the importation of goods produced wholly or in part with forced labor, including forced child labor. </w:t>
      </w:r>
      <w:r w:rsidR="3A6E3610" w:rsidRPr="5C531F67">
        <w:t>Under the legislation implementing th</w:t>
      </w:r>
      <w:r w:rsidR="519F0234" w:rsidRPr="5C531F67">
        <w:t>e USMCA</w:t>
      </w:r>
      <w:r w:rsidR="3A6E3610" w:rsidRPr="5C531F67">
        <w:t>, a May 2020 Executive Order established a Forced Labor Enforcement Task Force to monitor U.S. enforcement of the prohibition of imports produced wholly or in part by convict labor, forced labor, and/or indentured labor, including forced or indentured child labor, under penal sanctions.</w:t>
      </w:r>
      <w:r w:rsidR="3A6E3610">
        <w:rPr>
          <w:shd w:val="clear" w:color="auto" w:fill="FFFFFF"/>
        </w:rPr>
        <w:t xml:space="preserve"> </w:t>
      </w:r>
      <w:r w:rsidR="1845630C">
        <w:rPr>
          <w:shd w:val="clear" w:color="auto" w:fill="FFFFFF"/>
        </w:rPr>
        <w:t>In cooperation with USTR, DOL also works to ensure that United States trading partners live up to their commitments through monitoring and enforcement of labor provisions of trade agreements and trade preference programs, including on child labor and forced labor. In 2019, for example</w:t>
      </w:r>
      <w:r w:rsidR="694BD497">
        <w:rPr>
          <w:shd w:val="clear" w:color="auto" w:fill="FFFFFF"/>
        </w:rPr>
        <w:t xml:space="preserve">, Mauritania’s eligibility for trade preference benefits under the African Growth and Opportunity Act (AGOA) was terminated </w:t>
      </w:r>
      <w:r w:rsidR="1845630C">
        <w:rPr>
          <w:shd w:val="clear" w:color="auto" w:fill="FFFFFF"/>
        </w:rPr>
        <w:t>after the President determined that Mauritania was not making sufficient progress toward establishing protection of internationally-recognized</w:t>
      </w:r>
      <w:r w:rsidR="1845630C" w:rsidRPr="5C531F67">
        <w:t xml:space="preserve"> worker rights. Specifically, Mauritania had made insufficient progress toward combating forced labor, in particular hereditary slavery. </w:t>
      </w:r>
    </w:p>
    <w:p w14:paraId="5B41C7C7" w14:textId="6E7A61EE" w:rsidR="00495BC7" w:rsidRPr="00344618" w:rsidRDefault="0000651B" w:rsidP="00CD4EAB">
      <w:pPr>
        <w:ind w:left="0" w:firstLine="0"/>
      </w:pPr>
      <w:r w:rsidRPr="00012D40">
        <w:rPr>
          <w:shd w:val="clear" w:color="auto" w:fill="FFFFFF"/>
        </w:rPr>
        <w:t>In December 2019, the Department</w:t>
      </w:r>
      <w:r w:rsidR="0072280B">
        <w:rPr>
          <w:shd w:val="clear" w:color="auto" w:fill="FFFFFF"/>
        </w:rPr>
        <w:t xml:space="preserve"> of the Treasury </w:t>
      </w:r>
      <w:r w:rsidRPr="00012D40">
        <w:rPr>
          <w:shd w:val="clear" w:color="auto" w:fill="FFFFFF"/>
        </w:rPr>
        <w:t xml:space="preserve">hosted its inaugural Partnership to Combat Human Rights Abuse and Corruption event, </w:t>
      </w:r>
      <w:r w:rsidR="00341E3F">
        <w:rPr>
          <w:shd w:val="clear" w:color="auto" w:fill="FFFFFF"/>
        </w:rPr>
        <w:t xml:space="preserve">annually </w:t>
      </w:r>
      <w:r w:rsidRPr="00012D40">
        <w:rPr>
          <w:shd w:val="clear" w:color="auto" w:fill="FFFFFF"/>
        </w:rPr>
        <w:t xml:space="preserve">bringing together more than </w:t>
      </w:r>
      <w:r w:rsidR="00341E3F">
        <w:rPr>
          <w:shd w:val="clear" w:color="auto" w:fill="FFFFFF"/>
        </w:rPr>
        <w:t>4</w:t>
      </w:r>
      <w:r w:rsidRPr="00012D40">
        <w:rPr>
          <w:shd w:val="clear" w:color="auto" w:fill="FFFFFF"/>
        </w:rPr>
        <w:t>00 NGO, industry, and government partners to combat human rights abuses</w:t>
      </w:r>
      <w:r w:rsidR="00341E3F">
        <w:rPr>
          <w:shd w:val="clear" w:color="auto" w:fill="FFFFFF"/>
        </w:rPr>
        <w:t xml:space="preserve">, including </w:t>
      </w:r>
      <w:r w:rsidR="0AB20317">
        <w:rPr>
          <w:shd w:val="clear" w:color="auto" w:fill="FFFFFF"/>
        </w:rPr>
        <w:t xml:space="preserve">those involving </w:t>
      </w:r>
      <w:r w:rsidR="00341E3F">
        <w:rPr>
          <w:shd w:val="clear" w:color="auto" w:fill="FFFFFF"/>
        </w:rPr>
        <w:t>human trafficking</w:t>
      </w:r>
      <w:r w:rsidRPr="00012D40">
        <w:rPr>
          <w:shd w:val="clear" w:color="auto" w:fill="FFFFFF"/>
        </w:rPr>
        <w:t xml:space="preserve"> and corruption</w:t>
      </w:r>
      <w:r w:rsidR="00341E3F">
        <w:rPr>
          <w:shd w:val="clear" w:color="auto" w:fill="FFFFFF"/>
        </w:rPr>
        <w:t>,</w:t>
      </w:r>
      <w:r w:rsidRPr="00012D40">
        <w:rPr>
          <w:shd w:val="clear" w:color="auto" w:fill="FFFFFF"/>
        </w:rPr>
        <w:t xml:space="preserve"> through enhanced information sharing and coordination on illicit finance and corruption networks. </w:t>
      </w:r>
      <w:r w:rsidR="00341E3F" w:rsidRPr="00E877B3">
        <w:rPr>
          <w:shd w:val="clear" w:color="auto" w:fill="FFFFFF"/>
        </w:rPr>
        <w:t>In January 2020, Treasury published a webpage on Treasury’s role and tools to combat human trafficking</w:t>
      </w:r>
      <w:r w:rsidR="00721980">
        <w:rPr>
          <w:shd w:val="clear" w:color="auto" w:fill="FFFFFF"/>
        </w:rPr>
        <w:t xml:space="preserve">, </w:t>
      </w:r>
      <w:hyperlink r:id="rId21" w:history="1">
        <w:r w:rsidR="00721980" w:rsidRPr="00232FDC">
          <w:rPr>
            <w:rStyle w:val="Hyperlink"/>
          </w:rPr>
          <w:t>https://home.treasury.gov/news/featured-stories/combating-human-trafficking</w:t>
        </w:r>
      </w:hyperlink>
      <w:r w:rsidR="00341E3F" w:rsidRPr="00E877B3">
        <w:rPr>
          <w:shd w:val="clear" w:color="auto" w:fill="FFFFFF"/>
        </w:rPr>
        <w:t>.</w:t>
      </w:r>
      <w:r w:rsidR="00721980" w:rsidRPr="00012D40">
        <w:rPr>
          <w:shd w:val="clear" w:color="auto" w:fill="FFFFFF"/>
        </w:rPr>
        <w:t xml:space="preserve"> </w:t>
      </w:r>
      <w:r w:rsidR="00672E16" w:rsidRPr="00012D40">
        <w:rPr>
          <w:shd w:val="clear" w:color="auto" w:fill="FFFFFF"/>
        </w:rPr>
        <w:t>In October and December 2019, Treasury’s Financial Crimes Enforcement Network</w:t>
      </w:r>
      <w:r w:rsidRPr="00012D40">
        <w:rPr>
          <w:shd w:val="clear" w:color="auto" w:fill="FFFFFF"/>
        </w:rPr>
        <w:t xml:space="preserve"> </w:t>
      </w:r>
      <w:r w:rsidR="00672E16" w:rsidRPr="00012D40">
        <w:rPr>
          <w:shd w:val="clear" w:color="auto" w:fill="FFFFFF"/>
        </w:rPr>
        <w:t>(FinCE</w:t>
      </w:r>
      <w:r w:rsidR="001C6EC1" w:rsidRPr="00012D40">
        <w:rPr>
          <w:shd w:val="clear" w:color="auto" w:fill="FFFFFF"/>
        </w:rPr>
        <w:t>N) collaborated with DHS ICE/HSI</w:t>
      </w:r>
      <w:r w:rsidR="00672E16" w:rsidRPr="00012D40">
        <w:rPr>
          <w:shd w:val="clear" w:color="auto" w:fill="FFFFFF"/>
        </w:rPr>
        <w:t xml:space="preserve"> and DOJ to provide analytical support to four criminal investigations into human trafficking networks. In addition, FinCEN trained DOJ human trafficking coordinators and members of the Attorney General’s Advisory Committee </w:t>
      </w:r>
      <w:r w:rsidR="22CCADF6" w:rsidRPr="00012D40">
        <w:rPr>
          <w:shd w:val="clear" w:color="auto" w:fill="FFFFFF"/>
        </w:rPr>
        <w:t xml:space="preserve">on </w:t>
      </w:r>
      <w:r w:rsidR="00672E16" w:rsidRPr="00012D40">
        <w:rPr>
          <w:shd w:val="clear" w:color="auto" w:fill="FFFFFF"/>
        </w:rPr>
        <w:t xml:space="preserve">Child Exploitation and Human Trafficking Working Group on FinCEN’s recent work related to human trafficking and recommendations for using Bank Secrecy Act data </w:t>
      </w:r>
      <w:r w:rsidR="00C91748">
        <w:rPr>
          <w:shd w:val="clear" w:color="auto" w:fill="FFFFFF"/>
        </w:rPr>
        <w:t>i</w:t>
      </w:r>
      <w:r w:rsidR="00672E16" w:rsidRPr="00012D40">
        <w:rPr>
          <w:shd w:val="clear" w:color="auto" w:fill="FFFFFF"/>
        </w:rPr>
        <w:t xml:space="preserve">n human trafficking investigations. </w:t>
      </w:r>
      <w:r w:rsidR="00495BC7">
        <w:rPr>
          <w:shd w:val="clear" w:color="auto" w:fill="FFFFFF"/>
        </w:rPr>
        <w:t>In 2018, Treasury contributed to the Financial Action Task Force’s</w:t>
      </w:r>
      <w:r w:rsidR="00495BC7" w:rsidRPr="00E877B3">
        <w:rPr>
          <w:shd w:val="clear" w:color="auto" w:fill="FFFFFF"/>
        </w:rPr>
        <w:t xml:space="preserve"> </w:t>
      </w:r>
      <w:r w:rsidR="00495BC7">
        <w:rPr>
          <w:shd w:val="clear" w:color="auto" w:fill="FFFFFF"/>
        </w:rPr>
        <w:t>global report on money laun</w:t>
      </w:r>
      <w:r w:rsidR="00721980">
        <w:rPr>
          <w:shd w:val="clear" w:color="auto" w:fill="FFFFFF"/>
        </w:rPr>
        <w:t>dering and human trafficking,</w:t>
      </w:r>
      <w:r w:rsidR="00495BC7">
        <w:rPr>
          <w:shd w:val="clear" w:color="auto" w:fill="FFFFFF"/>
        </w:rPr>
        <w:t xml:space="preserve"> </w:t>
      </w:r>
      <w:r w:rsidR="00495BC7" w:rsidRPr="00E877B3">
        <w:rPr>
          <w:shd w:val="clear" w:color="auto" w:fill="FFFFFF"/>
        </w:rPr>
        <w:t>raise</w:t>
      </w:r>
      <w:r w:rsidR="00495BC7">
        <w:rPr>
          <w:shd w:val="clear" w:color="auto" w:fill="FFFFFF"/>
        </w:rPr>
        <w:t>d</w:t>
      </w:r>
      <w:r w:rsidR="00495BC7" w:rsidRPr="00E877B3">
        <w:rPr>
          <w:shd w:val="clear" w:color="auto" w:fill="FFFFFF"/>
        </w:rPr>
        <w:t xml:space="preserve"> awareness of this issue</w:t>
      </w:r>
      <w:r w:rsidR="00721980">
        <w:rPr>
          <w:shd w:val="clear" w:color="auto" w:fill="FFFFFF"/>
        </w:rPr>
        <w:t>,</w:t>
      </w:r>
      <w:r w:rsidR="00495BC7" w:rsidRPr="00E877B3">
        <w:rPr>
          <w:shd w:val="clear" w:color="auto" w:fill="FFFFFF"/>
        </w:rPr>
        <w:t xml:space="preserve"> and encourage</w:t>
      </w:r>
      <w:r w:rsidR="00721980">
        <w:rPr>
          <w:shd w:val="clear" w:color="auto" w:fill="FFFFFF"/>
        </w:rPr>
        <w:t xml:space="preserve">d </w:t>
      </w:r>
      <w:r w:rsidR="00495BC7" w:rsidRPr="00E877B3">
        <w:rPr>
          <w:shd w:val="clear" w:color="auto" w:fill="FFFFFF"/>
        </w:rPr>
        <w:t xml:space="preserve">governments to adopt the good practices outlined in the </w:t>
      </w:r>
      <w:r w:rsidR="00495BC7">
        <w:rPr>
          <w:shd w:val="clear" w:color="auto" w:fill="FFFFFF"/>
        </w:rPr>
        <w:t>report</w:t>
      </w:r>
      <w:r w:rsidR="00721980">
        <w:rPr>
          <w:shd w:val="clear" w:color="auto" w:fill="FFFFFF"/>
        </w:rPr>
        <w:t xml:space="preserve">, </w:t>
      </w:r>
      <w:hyperlink r:id="rId22" w:history="1">
        <w:r w:rsidR="00721980" w:rsidRPr="00232FDC">
          <w:rPr>
            <w:rStyle w:val="Hyperlink"/>
          </w:rPr>
          <w:t>https://www.fatf-gafi.org/media/fatf/content/images/Human-Trafficking-2018.pdf</w:t>
        </w:r>
      </w:hyperlink>
      <w:r w:rsidR="00495BC7">
        <w:rPr>
          <w:shd w:val="clear" w:color="auto" w:fill="FFFFFF"/>
        </w:rPr>
        <w:t xml:space="preserve">. </w:t>
      </w:r>
      <w:r w:rsidR="00495BC7" w:rsidRPr="00E877B3">
        <w:rPr>
          <w:shd w:val="clear" w:color="auto" w:fill="FFFFFF"/>
        </w:rPr>
        <w:t xml:space="preserve">Treasury’s FinCEN published </w:t>
      </w:r>
      <w:r w:rsidR="00495BC7">
        <w:rPr>
          <w:shd w:val="clear" w:color="auto" w:fill="FFFFFF"/>
        </w:rPr>
        <w:t>two</w:t>
      </w:r>
      <w:r w:rsidR="00495BC7" w:rsidRPr="00E877B3">
        <w:rPr>
          <w:shd w:val="clear" w:color="auto" w:fill="FFFFFF"/>
        </w:rPr>
        <w:t xml:space="preserve"> advisor</w:t>
      </w:r>
      <w:r w:rsidR="00495BC7">
        <w:rPr>
          <w:shd w:val="clear" w:color="auto" w:fill="FFFFFF"/>
        </w:rPr>
        <w:t>ies</w:t>
      </w:r>
      <w:r w:rsidR="00495BC7" w:rsidRPr="00E877B3">
        <w:rPr>
          <w:shd w:val="clear" w:color="auto" w:fill="FFFFFF"/>
        </w:rPr>
        <w:t xml:space="preserve"> on human trafficking to help financial institutions identify the movement of human traffickers’ funds and to support law enforcement investigations that use financial intelligence</w:t>
      </w:r>
      <w:r w:rsidR="00721980" w:rsidRPr="00721980">
        <w:t xml:space="preserve"> </w:t>
      </w:r>
      <w:hyperlink r:id="rId23" w:history="1">
        <w:r w:rsidR="006B048F" w:rsidRPr="00232FDC">
          <w:rPr>
            <w:rStyle w:val="Hyperlink"/>
          </w:rPr>
          <w:t>https://www.fincen.gov/sites/default/files/advisory/2020-10-15/Advisory%20Human%20Trafficking%20508%20FINAL_0.pdf</w:t>
        </w:r>
      </w:hyperlink>
      <w:r w:rsidR="00721980">
        <w:t xml:space="preserve">. </w:t>
      </w:r>
      <w:r w:rsidR="00341E3F" w:rsidRPr="00E877B3">
        <w:rPr>
          <w:shd w:val="clear" w:color="auto" w:fill="FFFFFF"/>
        </w:rPr>
        <w:t xml:space="preserve">In 2018, FinCEN </w:t>
      </w:r>
      <w:r w:rsidR="00495BC7">
        <w:rPr>
          <w:shd w:val="clear" w:color="auto" w:fill="FFFFFF"/>
        </w:rPr>
        <w:t xml:space="preserve">also </w:t>
      </w:r>
      <w:r w:rsidR="00341E3F" w:rsidRPr="00E877B3">
        <w:rPr>
          <w:shd w:val="clear" w:color="auto" w:fill="FFFFFF"/>
        </w:rPr>
        <w:t>updated its Suspicious Activity Report (SAR) form to include a checkbox for financial institutions to identify potential suspicious activity related to human trafficking. This update to the SAR form helps the financial industry report suspicious activity potentially tied to human trafficking in a more comprehensive way. The update also allows law enforcement to more easily identify potential perpetrators or enablers of human trafficking.</w:t>
      </w:r>
    </w:p>
    <w:p w14:paraId="6A8427A3" w14:textId="0D1041DD" w:rsidR="00954A09" w:rsidRPr="000A5A6B" w:rsidRDefault="00672E16" w:rsidP="00CD4EAB">
      <w:pPr>
        <w:ind w:left="0" w:firstLine="0"/>
      </w:pPr>
      <w:r w:rsidRPr="00012D40">
        <w:rPr>
          <w:shd w:val="clear" w:color="auto" w:fill="FFFFFF"/>
        </w:rPr>
        <w:t>Between October 1, 2019 and July 31, 2020, Treasury received 98,536 SARs alleging human trafficking. Large depository institutions and money services businesses continued to be the most prominent filers of SARs related to suspected human trafficking-related activity.</w:t>
      </w:r>
      <w:r w:rsidR="0072280B">
        <w:rPr>
          <w:shd w:val="clear" w:color="auto" w:fill="FFFFFF"/>
        </w:rPr>
        <w:t xml:space="preserve"> </w:t>
      </w:r>
      <w:r w:rsidR="0072280B" w:rsidRPr="000E3807">
        <w:t xml:space="preserve">In October 2020, FinCEN issued a supplemental advisory on human trafficking, including updated information about financial investigations, money laundering, forfeiture, international case studies, and guidance related to filing of </w:t>
      </w:r>
      <w:r w:rsidR="0072280B">
        <w:t>SARs,</w:t>
      </w:r>
      <w:r w:rsidR="0072280B" w:rsidRPr="000E3807">
        <w:t xml:space="preserve"> </w:t>
      </w:r>
      <w:hyperlink r:id="rId24" w:history="1">
        <w:r w:rsidR="0072280B" w:rsidRPr="000E3807">
          <w:rPr>
            <w:rStyle w:val="Hyperlink"/>
          </w:rPr>
          <w:t>https://www.fincen.gov/sites/default/files/advisory/2020-10-15/Advisory%20Human%20Trafficking%20508%20FINAL_0.pdf</w:t>
        </w:r>
      </w:hyperlink>
      <w:r w:rsidR="0072280B" w:rsidRPr="00C91748">
        <w:rPr>
          <w:rStyle w:val="Hyperlink"/>
          <w:color w:val="auto"/>
          <w:u w:val="none"/>
        </w:rPr>
        <w:t>.</w:t>
      </w:r>
      <w:r w:rsidR="00C91748">
        <w:rPr>
          <w:rStyle w:val="Hyperlink"/>
          <w:u w:val="none"/>
        </w:rPr>
        <w:t xml:space="preserve"> </w:t>
      </w:r>
      <w:r w:rsidR="0072280B" w:rsidRPr="000E3807">
        <w:t xml:space="preserve">In addition, on September 16, 2021, FinCEN issued a Notice specifically focused on child exploitation, including highlights of financial trends financial institutions should be aware of related to online child exploitation. </w:t>
      </w:r>
      <w:hyperlink r:id="rId25" w:history="1">
        <w:r w:rsidR="0072280B" w:rsidRPr="000E3807">
          <w:rPr>
            <w:rStyle w:val="Hyperlink"/>
          </w:rPr>
          <w:t>https://www.fincen.gov/sites/default/files/shared/FinCEN%20OCSE%20Notice%20508C.pdf</w:t>
        </w:r>
      </w:hyperlink>
      <w:r w:rsidR="0072280B">
        <w:t xml:space="preserve">.  </w:t>
      </w:r>
      <w:r w:rsidR="0072280B" w:rsidRPr="000E3807">
        <w:t xml:space="preserve">On November 8, 2021, Treasury hosted a half-day conference to address financial transparency in human trafficking, including child sex trafficking and forced </w:t>
      </w:r>
      <w:r w:rsidR="0072280B">
        <w:t xml:space="preserve">labor, and child exploitation. </w:t>
      </w:r>
      <w:r w:rsidR="0072280B" w:rsidRPr="000E3807">
        <w:t>The conference also covered combating forced labor in supply chains and anti-corruption efforts in the United States, the United Kingdom, France, and elsewhere.</w:t>
      </w:r>
      <w:r w:rsidR="00341E3F">
        <w:t xml:space="preserve"> </w:t>
      </w:r>
      <w:r w:rsidR="00341E3F">
        <w:rPr>
          <w:shd w:val="clear" w:color="auto" w:fill="FFFFFF"/>
        </w:rPr>
        <w:t xml:space="preserve">In October 2020, </w:t>
      </w:r>
      <w:r w:rsidR="00495BC7">
        <w:rPr>
          <w:shd w:val="clear" w:color="auto" w:fill="FFFFFF"/>
        </w:rPr>
        <w:t>DOS and Treasury</w:t>
      </w:r>
      <w:r w:rsidR="00341E3F" w:rsidRPr="00E877B3">
        <w:rPr>
          <w:shd w:val="clear" w:color="auto" w:fill="FFFFFF"/>
        </w:rPr>
        <w:t>, on behalf of the</w:t>
      </w:r>
      <w:r w:rsidR="003273AA">
        <w:rPr>
          <w:shd w:val="clear" w:color="auto" w:fill="FFFFFF"/>
        </w:rPr>
        <w:t xml:space="preserve"> President’s Interagency Task Force to Monitor and Combat Trafficking in Persons</w:t>
      </w:r>
      <w:r w:rsidR="00341E3F" w:rsidRPr="00E877B3">
        <w:rPr>
          <w:shd w:val="clear" w:color="auto" w:fill="FFFFFF"/>
        </w:rPr>
        <w:t>,</w:t>
      </w:r>
      <w:r w:rsidR="00341E3F">
        <w:rPr>
          <w:shd w:val="clear" w:color="auto" w:fill="FFFFFF"/>
        </w:rPr>
        <w:t xml:space="preserve"> published an</w:t>
      </w:r>
      <w:r w:rsidR="00341E3F" w:rsidRPr="00E877B3">
        <w:rPr>
          <w:shd w:val="clear" w:color="auto" w:fill="FFFFFF"/>
        </w:rPr>
        <w:t xml:space="preserve"> analysis of anti-money laundering efforts of the U.S. government, U.S. financial institutions, and international financial institutions related to human trafficking</w:t>
      </w:r>
      <w:r w:rsidR="00341E3F">
        <w:rPr>
          <w:shd w:val="clear" w:color="auto" w:fill="FFFFFF"/>
        </w:rPr>
        <w:t xml:space="preserve"> </w:t>
      </w:r>
      <w:r w:rsidR="00341E3F" w:rsidRPr="00E877B3">
        <w:rPr>
          <w:shd w:val="clear" w:color="auto" w:fill="FFFFFF"/>
        </w:rPr>
        <w:t>and recommendations to strengthen the efforts of those institutions</w:t>
      </w:r>
      <w:r w:rsidR="006B048F">
        <w:rPr>
          <w:shd w:val="clear" w:color="auto" w:fill="FFFFFF"/>
        </w:rPr>
        <w:t>,</w:t>
      </w:r>
      <w:r w:rsidR="00721980">
        <w:rPr>
          <w:shd w:val="clear" w:color="auto" w:fill="FFFFFF"/>
        </w:rPr>
        <w:t xml:space="preserve"> </w:t>
      </w:r>
      <w:hyperlink r:id="rId26" w:history="1">
        <w:r w:rsidR="00FE6982" w:rsidRPr="0032028A">
          <w:rPr>
            <w:rStyle w:val="Hyperlink"/>
          </w:rPr>
          <w:t>https://www.state.gov/report-to-congress-on-an-analysis-of-anti-money-laundering-efforts-related-to-human-trafficking/</w:t>
        </w:r>
      </w:hyperlink>
      <w:r w:rsidR="006B048F">
        <w:t>.</w:t>
      </w:r>
    </w:p>
    <w:p w14:paraId="01C01A74" w14:textId="568EC442" w:rsidR="007F2E61" w:rsidRPr="00A35259" w:rsidRDefault="00954A09" w:rsidP="00CD4EAB">
      <w:pPr>
        <w:ind w:left="0" w:firstLine="0"/>
        <w:rPr>
          <w:shd w:val="clear" w:color="auto" w:fill="FFFFFF"/>
        </w:rPr>
      </w:pPr>
      <w:r w:rsidRPr="00012D40">
        <w:rPr>
          <w:shd w:val="clear" w:color="auto" w:fill="FFFFFF"/>
        </w:rPr>
        <w:t xml:space="preserve">With regard to the Committee’s </w:t>
      </w:r>
      <w:r w:rsidR="00C91748">
        <w:rPr>
          <w:shd w:val="clear" w:color="auto" w:fill="FFFFFF"/>
        </w:rPr>
        <w:t>r</w:t>
      </w:r>
      <w:r w:rsidRPr="00012D40">
        <w:rPr>
          <w:shd w:val="clear" w:color="auto" w:fill="FFFFFF"/>
        </w:rPr>
        <w:t xml:space="preserve">ecommendation concerning ILO Convention No. 138, the 1998 ILO Declaration on Fundamental Principles and Rights at Work confirms that all ILO Members have an obligation, arising from the </w:t>
      </w:r>
      <w:r w:rsidR="00210C63" w:rsidRPr="00012D40">
        <w:rPr>
          <w:shd w:val="clear" w:color="auto" w:fill="FFFFFF"/>
        </w:rPr>
        <w:t>very fact of membership in the o</w:t>
      </w:r>
      <w:r w:rsidRPr="00012D40">
        <w:rPr>
          <w:shd w:val="clear" w:color="auto" w:fill="FFFFFF"/>
        </w:rPr>
        <w:t>rganization, to respect, promote</w:t>
      </w:r>
      <w:r w:rsidR="00C91748">
        <w:rPr>
          <w:shd w:val="clear" w:color="auto" w:fill="FFFFFF"/>
        </w:rPr>
        <w:t>,</w:t>
      </w:r>
      <w:r w:rsidRPr="00012D40">
        <w:rPr>
          <w:shd w:val="clear" w:color="auto" w:fill="FFFFFF"/>
        </w:rPr>
        <w:t xml:space="preserve"> and realize in good faith the principles concerning the fundamental rights that are the subject of the ILO’s eight core conventions, including the effective abolition of child labor. Although the United States has not ratified the majority of those conventions, the United States has demonstrated, in its follow-up reports under the Declaration, that U.S. workers enjoy the fundamental principles and rights at work.</w:t>
      </w:r>
    </w:p>
    <w:p w14:paraId="2ADAF1A8" w14:textId="3EE7EAE8" w:rsidR="002247FD" w:rsidRPr="00012D40" w:rsidRDefault="007F2E61" w:rsidP="00CD4EAB">
      <w:pPr>
        <w:ind w:left="0" w:firstLine="0"/>
      </w:pPr>
      <w:r w:rsidRPr="4514C18F">
        <w:rPr>
          <w:shd w:val="clear" w:color="auto" w:fill="FFFFFF"/>
        </w:rPr>
        <w:t xml:space="preserve">With regard </w:t>
      </w:r>
      <w:r w:rsidR="7659489D" w:rsidRPr="4514C18F">
        <w:t xml:space="preserve">to </w:t>
      </w:r>
      <w:r w:rsidRPr="4514C18F">
        <w:rPr>
          <w:shd w:val="clear" w:color="auto" w:fill="FFFFFF"/>
        </w:rPr>
        <w:t xml:space="preserve">unaccompanied </w:t>
      </w:r>
      <w:r w:rsidR="4C68C480" w:rsidRPr="4514C18F">
        <w:rPr>
          <w:shd w:val="clear" w:color="auto" w:fill="FFFFFF"/>
        </w:rPr>
        <w:t xml:space="preserve">noncitizen </w:t>
      </w:r>
      <w:r w:rsidRPr="4514C18F">
        <w:rPr>
          <w:shd w:val="clear" w:color="auto" w:fill="FFFFFF"/>
        </w:rPr>
        <w:t xml:space="preserve">children brought into or arriving in the country for purposes amounting to economic exploitation, </w:t>
      </w:r>
      <w:r w:rsidR="002247FD" w:rsidRPr="4514C18F">
        <w:rPr>
          <w:shd w:val="clear" w:color="auto" w:fill="FFFFFF"/>
        </w:rPr>
        <w:t>HHS</w:t>
      </w:r>
      <w:r w:rsidR="00EC0B1B" w:rsidRPr="4514C18F">
        <w:t>/</w:t>
      </w:r>
      <w:r w:rsidR="00797DC0">
        <w:t>ACF/</w:t>
      </w:r>
      <w:r w:rsidR="002247FD" w:rsidRPr="4514C18F">
        <w:t>OTIP develops and implements anti-trafficking strategies, policies, and programs to address economic and labor exploitation. HHS’s</w:t>
      </w:r>
      <w:r w:rsidR="00210C63" w:rsidRPr="4514C18F">
        <w:t xml:space="preserve"> </w:t>
      </w:r>
      <w:r w:rsidRPr="4514C18F">
        <w:t>Office of Refugee Resettlement (ORR) serves unaccom</w:t>
      </w:r>
      <w:r w:rsidR="00A53E79" w:rsidRPr="4514C18F">
        <w:t xml:space="preserve">panied children in two </w:t>
      </w:r>
      <w:r w:rsidR="002247FD" w:rsidRPr="4514C18F">
        <w:t xml:space="preserve">distinct </w:t>
      </w:r>
      <w:r w:rsidRPr="4514C18F">
        <w:t>programs: the Unaccompanied Refugee Minors Program (URM) and the </w:t>
      </w:r>
      <w:hyperlink r:id="rId27" w:history="1">
        <w:r w:rsidRPr="4514C18F">
          <w:rPr>
            <w:rStyle w:val="Hyperlink"/>
            <w:rFonts w:eastAsia="Times New Roman"/>
            <w:color w:val="auto"/>
            <w:u w:val="none"/>
          </w:rPr>
          <w:t>Unaccompanied Children (UC) Program</w:t>
        </w:r>
      </w:hyperlink>
      <w:r w:rsidRPr="4514C18F">
        <w:t xml:space="preserve">. The URM </w:t>
      </w:r>
      <w:r w:rsidR="002247FD" w:rsidRPr="4514C18F">
        <w:t>P</w:t>
      </w:r>
      <w:r w:rsidRPr="4514C18F">
        <w:t xml:space="preserve">rogram serves some of the most </w:t>
      </w:r>
      <w:r w:rsidR="00997628" w:rsidRPr="4514C18F">
        <w:t>vulnerable minors in the world</w:t>
      </w:r>
      <w:r w:rsidR="00C91748">
        <w:t>—those</w:t>
      </w:r>
      <w:r w:rsidRPr="4514C18F">
        <w:t xml:space="preserve"> fleeing persecution, violence, or abuse </w:t>
      </w:r>
      <w:r w:rsidR="002247FD" w:rsidRPr="4514C18F">
        <w:t>who</w:t>
      </w:r>
      <w:r w:rsidRPr="4514C18F">
        <w:t xml:space="preserve"> enter the United States without a </w:t>
      </w:r>
      <w:r w:rsidR="42ACFDF4" w:rsidRPr="4514C18F">
        <w:t xml:space="preserve">parent or other </w:t>
      </w:r>
      <w:r w:rsidR="48158EB9" w:rsidRPr="4514C18F">
        <w:t xml:space="preserve">suitable </w:t>
      </w:r>
      <w:r w:rsidR="42ACFDF4" w:rsidRPr="4514C18F">
        <w:t>caregiver</w:t>
      </w:r>
      <w:r w:rsidRPr="4514C18F">
        <w:t xml:space="preserve">. </w:t>
      </w:r>
      <w:r w:rsidR="002247FD" w:rsidRPr="4514C18F">
        <w:t xml:space="preserve">Children enter the URM Program by applying directly to ORR or by being referred </w:t>
      </w:r>
      <w:r w:rsidR="727BB465" w:rsidRPr="4514C18F">
        <w:rPr>
          <w:sz w:val="19"/>
          <w:szCs w:val="19"/>
        </w:rPr>
        <w:t>through the UC Program or</w:t>
      </w:r>
      <w:r w:rsidR="727BB465" w:rsidRPr="4514C18F">
        <w:t xml:space="preserve"> </w:t>
      </w:r>
      <w:r w:rsidR="002247FD" w:rsidRPr="4514C18F">
        <w:t xml:space="preserve">by </w:t>
      </w:r>
      <w:r w:rsidR="00C91748">
        <w:t>DOS</w:t>
      </w:r>
      <w:r w:rsidR="002247FD" w:rsidRPr="4514C18F">
        <w:t xml:space="preserve">. ORR’s UC Program takes custody of unaccompanied children referred </w:t>
      </w:r>
      <w:r w:rsidR="00FE6982" w:rsidRPr="4514C18F">
        <w:t>from DHS</w:t>
      </w:r>
      <w:r w:rsidR="002247FD" w:rsidRPr="4514C18F">
        <w:t xml:space="preserve"> or other federal agencies after it has been determined that the child entered the country without a parent or legal guardian, is without lawful immigration status, and is under 18 years of age. Once children are placed in the UC Program, they receive case management (including family unification),</w:t>
      </w:r>
      <w:r w:rsidR="003E49AB" w:rsidRPr="4514C18F">
        <w:t xml:space="preserve"> immunizations, and medical, dental, and mental health services, as well as</w:t>
      </w:r>
      <w:r w:rsidR="002247FD" w:rsidRPr="4514C18F">
        <w:t xml:space="preserve"> educational</w:t>
      </w:r>
      <w:r w:rsidR="002247FD" w:rsidRPr="4514C18F" w:rsidDel="00645455">
        <w:t xml:space="preserve"> and legal services while </w:t>
      </w:r>
      <w:r w:rsidR="002247FD" w:rsidRPr="4514C18F">
        <w:t xml:space="preserve">awaiting unification with a vetted sponsor, usually a parent or a close relative in the United States, pending their immigration proceedings or until they are placed in URM foster care with licensed partners. Bridging child welfare experience with expertise in refugee resettlement, these programs are shaped to care for minors with forced migration and traumatic experiences.  </w:t>
      </w:r>
    </w:p>
    <w:p w14:paraId="6F263A4B" w14:textId="01D356C6" w:rsidR="32D7262C" w:rsidRDefault="444F5D86" w:rsidP="00CD4EAB">
      <w:pPr>
        <w:ind w:left="0" w:firstLine="0"/>
      </w:pPr>
      <w:r w:rsidRPr="640EE2FC">
        <w:rPr>
          <w:rFonts w:eastAsia="Times New Roman"/>
          <w:b/>
          <w:bCs/>
          <w:shd w:val="clear" w:color="auto" w:fill="FFFFFF"/>
        </w:rPr>
        <w:t>Adoption</w:t>
      </w:r>
      <w:r w:rsidRPr="00EF2892">
        <w:rPr>
          <w:rFonts w:eastAsia="Times New Roman"/>
          <w:b/>
          <w:bCs/>
          <w:shd w:val="clear" w:color="auto" w:fill="FFFFFF"/>
        </w:rPr>
        <w:t>.</w:t>
      </w:r>
      <w:r w:rsidRPr="00012D40">
        <w:rPr>
          <w:rFonts w:eastAsia="Times New Roman"/>
          <w:shd w:val="clear" w:color="auto" w:fill="FFFFFF"/>
        </w:rPr>
        <w:t xml:space="preserve"> </w:t>
      </w:r>
      <w:r w:rsidR="724F47FE" w:rsidRPr="00012D40">
        <w:rPr>
          <w:rFonts w:eastAsia="Times New Roman"/>
          <w:shd w:val="clear" w:color="auto" w:fill="FFFFFF"/>
        </w:rPr>
        <w:t xml:space="preserve"> </w:t>
      </w:r>
      <w:r w:rsidR="724F47FE" w:rsidRPr="00012D40">
        <w:t xml:space="preserve">The United States continues </w:t>
      </w:r>
      <w:r w:rsidR="1F977BDA">
        <w:t xml:space="preserve">actively </w:t>
      </w:r>
      <w:r w:rsidR="724F47FE" w:rsidRPr="00012D40">
        <w:t>to implement its</w:t>
      </w:r>
      <w:r w:rsidR="0E0F9793" w:rsidRPr="12383FEE">
        <w:t xml:space="preserve"> obligations under the Hague Convention on the Protection of Children and Co-operation in Respect of Intercountry Adoption</w:t>
      </w:r>
      <w:r w:rsidR="724F47FE" w:rsidRPr="00012D40">
        <w:t xml:space="preserve"> </w:t>
      </w:r>
      <w:r w:rsidR="4422511E" w:rsidRPr="12383FEE">
        <w:t>(</w:t>
      </w:r>
      <w:r w:rsidR="724F47FE" w:rsidRPr="00012D40">
        <w:t>Hague Adoption Convention</w:t>
      </w:r>
      <w:r w:rsidR="21353E51" w:rsidRPr="12383FEE">
        <w:t>)</w:t>
      </w:r>
      <w:r w:rsidR="724F47FE" w:rsidRPr="00012D40">
        <w:t xml:space="preserve"> with regard to intercountry adoptions.</w:t>
      </w:r>
      <w:r w:rsidR="2457D142" w:rsidRPr="00012D40">
        <w:t xml:space="preserve"> T</w:t>
      </w:r>
      <w:r w:rsidR="724F47FE" w:rsidRPr="00012D40">
        <w:t>he Intercou</w:t>
      </w:r>
      <w:r w:rsidR="2457D142" w:rsidRPr="00012D40">
        <w:t>ntry Adoption Act of 2000 (IAA)</w:t>
      </w:r>
      <w:r w:rsidR="724F47FE" w:rsidRPr="00012D40">
        <w:t xml:space="preserve"> and its implementing regulations require the accreditation and monitoring of all adoption service providers who provide services in the United States in intercountry adoption cases, unless acting under the supervision and responsibility of an accredited adoption service provider or preparing a home</w:t>
      </w:r>
      <w:r w:rsidR="00407919">
        <w:t xml:space="preserve"> </w:t>
      </w:r>
      <w:r w:rsidR="724F47FE" w:rsidRPr="00012D40">
        <w:t>study as an exempted provider. The IAA imposes civil and criminal penalties for any person who offers, gives, solicits, or accepts inducement intended to influence the decision of an accrediting entity, the relinquishment of parental rights, or the decision or action of a central authority, or who provides adoption services without accreditation or approval (unless supervised or exempted). The Intercountry Adoption Universal Accreditation Act, which went into effect July 14, 2014, extended the safeguards provided by accreditation to orphans being adopted from countries that are not Hague Adoption Convention parties, their adoptive parents, and their birth parents. This ensures that adoption service providers are all held to the same federal standards and ongoing monitoring and oversight, no matter from which country a child is adopted.</w:t>
      </w:r>
      <w:r w:rsidR="42397389" w:rsidRPr="00012D40">
        <w:t xml:space="preserve"> </w:t>
      </w:r>
    </w:p>
    <w:p w14:paraId="2C5874F0" w14:textId="6E47B719" w:rsidR="32D7262C" w:rsidRDefault="3FAC50F3" w:rsidP="00CD4EAB">
      <w:pPr>
        <w:ind w:left="0" w:firstLine="0"/>
      </w:pPr>
      <w:r w:rsidRPr="4514C18F">
        <w:t xml:space="preserve">U.S. regulations implementing the IAA prohibit child </w:t>
      </w:r>
      <w:r w:rsidR="790CE0F8" w:rsidRPr="4514C18F">
        <w:t>buying</w:t>
      </w:r>
      <w:r w:rsidRPr="4514C18F">
        <w:t xml:space="preserve">. </w:t>
      </w:r>
      <w:r w:rsidR="360920FB" w:rsidRPr="4514C18F">
        <w:t xml:space="preserve">Title 22, Part 96, Section 36 of the Code of Federal Regulations (CFR) </w:t>
      </w:r>
      <w:r w:rsidRPr="4514C18F">
        <w:t xml:space="preserve">requires agencies and persons to prohibit their employees and agents from giving money or other consideration, directly or indirectly, to a child’s parent(s) or other individual(s) or an entity as payment for the child or an inducement to release the child. 22 CFR Part 96 also ensures </w:t>
      </w:r>
      <w:r w:rsidR="7F3B2792" w:rsidRPr="4514C18F">
        <w:t xml:space="preserve">effective and systematic accreditation and monitoring of individuals and entities </w:t>
      </w:r>
      <w:r w:rsidR="479AA35A" w:rsidRPr="4514C18F">
        <w:t>providing</w:t>
      </w:r>
      <w:r w:rsidR="7F3B2792" w:rsidRPr="4514C18F">
        <w:t xml:space="preserve"> adoption</w:t>
      </w:r>
      <w:r w:rsidR="6AFD18DA" w:rsidRPr="4514C18F">
        <w:t xml:space="preserve"> service in intercountry adoptions</w:t>
      </w:r>
      <w:r w:rsidR="7F3B2792" w:rsidRPr="4514C18F">
        <w:t xml:space="preserve">, ensures that adoption processes do not result in financial gain, and adequately and effectively implements the Hague </w:t>
      </w:r>
      <w:r w:rsidR="7F2D1612" w:rsidRPr="4514C18F">
        <w:t xml:space="preserve">Adoption </w:t>
      </w:r>
      <w:r w:rsidR="70B31A8B" w:rsidRPr="4514C18F">
        <w:t>Convention</w:t>
      </w:r>
      <w:r w:rsidR="7F3B2792" w:rsidRPr="4514C18F">
        <w:t xml:space="preserve">. </w:t>
      </w:r>
      <w:r w:rsidR="5CA220A3" w:rsidRPr="4514C18F">
        <w:t>On November 20, 2020, DOS published draft ch</w:t>
      </w:r>
      <w:r w:rsidRPr="4514C18F">
        <w:t>anges to</w:t>
      </w:r>
      <w:r w:rsidR="7F3B2792" w:rsidRPr="4514C18F">
        <w:t xml:space="preserve"> 22 CFR 96. Those proposed changes are designed </w:t>
      </w:r>
      <w:r w:rsidR="236675DD" w:rsidRPr="4514C18F">
        <w:t xml:space="preserve">in part </w:t>
      </w:r>
      <w:r w:rsidR="7F3B2792" w:rsidRPr="4514C18F">
        <w:t xml:space="preserve">to </w:t>
      </w:r>
      <w:r w:rsidR="5CA220A3" w:rsidRPr="4514C18F">
        <w:t>ensure that fee structures are more reasonable and understandable. Among other elements, they require that fees charged for care prior to adoption must be structu</w:t>
      </w:r>
      <w:r w:rsidR="7F3B2792" w:rsidRPr="4514C18F">
        <w:t>red as broader assistance to child welfare efforts</w:t>
      </w:r>
      <w:r w:rsidR="5CA220A3" w:rsidRPr="4514C18F">
        <w:t xml:space="preserve"> and disassociated from the care of a specific child, must be charged only once, must not be unreasonable, and must be disclosed to the prospective parents as part of </w:t>
      </w:r>
      <w:r w:rsidR="790CE0F8" w:rsidRPr="4514C18F">
        <w:t>the overall fee disclosure. The regulations</w:t>
      </w:r>
      <w:r w:rsidR="5CA220A3" w:rsidRPr="4514C18F">
        <w:t xml:space="preserve"> also prohibit payment of incentive or contingent fees that create an incentive to recruit children for int</w:t>
      </w:r>
      <w:r w:rsidR="0FBFF784" w:rsidRPr="4514C18F">
        <w:t>er</w:t>
      </w:r>
      <w:r w:rsidR="5CA220A3" w:rsidRPr="4514C18F">
        <w:t xml:space="preserve">country adoptions, require greater transparency with regard to fees, and also provide </w:t>
      </w:r>
      <w:r w:rsidR="1EFF038B" w:rsidRPr="4514C18F">
        <w:t>f</w:t>
      </w:r>
      <w:r w:rsidR="5CA220A3" w:rsidRPr="4514C18F">
        <w:t>or post-placement monitoring and post-adoption services</w:t>
      </w:r>
      <w:r w:rsidR="19FB10A3" w:rsidRPr="4514C18F">
        <w:t xml:space="preserve">. </w:t>
      </w:r>
      <w:r w:rsidR="43041B40" w:rsidRPr="4514C18F">
        <w:t>DHS regulations require denial of intercountry adoption petitions if there is evidence of child-buying or prohibited payments for a child,</w:t>
      </w:r>
      <w:r w:rsidR="49396512" w:rsidRPr="4514C18F">
        <w:t xml:space="preserve"> see 8 CFR 204.</w:t>
      </w:r>
      <w:r w:rsidR="77BAB48B" w:rsidRPr="4514C18F">
        <w:t>3</w:t>
      </w:r>
      <w:r w:rsidR="49396512" w:rsidRPr="4514C18F">
        <w:t>(h)(14)(i)</w:t>
      </w:r>
      <w:r w:rsidR="6B9327D2" w:rsidRPr="4514C18F">
        <w:t xml:space="preserve"> and 204.304(a)</w:t>
      </w:r>
      <w:r w:rsidR="49396512" w:rsidRPr="4514C18F">
        <w:t xml:space="preserve">. </w:t>
      </w:r>
      <w:r w:rsidR="19FB10A3" w:rsidRPr="4514C18F">
        <w:t xml:space="preserve">Under </w:t>
      </w:r>
      <w:r w:rsidR="7F3B2792" w:rsidRPr="4514C18F">
        <w:t xml:space="preserve">U.S. </w:t>
      </w:r>
      <w:r w:rsidR="4A18D4F6" w:rsidRPr="4514C18F">
        <w:t xml:space="preserve">laws and </w:t>
      </w:r>
      <w:r w:rsidR="7F3B2792" w:rsidRPr="4514C18F">
        <w:t>regulations, accredited agencies and</w:t>
      </w:r>
      <w:r w:rsidR="19FB10A3" w:rsidRPr="4514C18F">
        <w:t xml:space="preserve"> approved persons must ensure that intercountry adoptions take place in the best interests of the child.</w:t>
      </w:r>
    </w:p>
    <w:p w14:paraId="27E27A36" w14:textId="3FBBD1EF" w:rsidR="32D7262C" w:rsidRDefault="19FB10A3" w:rsidP="00CD4EAB">
      <w:pPr>
        <w:ind w:left="0" w:firstLine="0"/>
      </w:pPr>
      <w:r w:rsidRPr="4514C18F">
        <w:t>The United States continues its active</w:t>
      </w:r>
      <w:r w:rsidR="7F3B2792" w:rsidRPr="4514C18F">
        <w:t xml:space="preserve"> </w:t>
      </w:r>
      <w:r w:rsidRPr="4514C18F">
        <w:t xml:space="preserve">outreach efforts to better educate adoption service providers and prospective adoptive parents, </w:t>
      </w:r>
      <w:r w:rsidR="4BCBCF2B" w:rsidRPr="4514C18F">
        <w:t xml:space="preserve">including by improving </w:t>
      </w:r>
      <w:r w:rsidRPr="4514C18F">
        <w:t xml:space="preserve">awareness of and </w:t>
      </w:r>
      <w:r w:rsidR="2376221A" w:rsidRPr="4514C18F">
        <w:t>compliance with</w:t>
      </w:r>
      <w:r w:rsidRPr="4514C18F">
        <w:t xml:space="preserve"> the Hague Adoption Convention process. T</w:t>
      </w:r>
      <w:r w:rsidR="669048F5" w:rsidRPr="4514C18F">
        <w:t xml:space="preserve">o ensure </w:t>
      </w:r>
      <w:r w:rsidRPr="4514C18F">
        <w:t>compliance with foreign countries’ legal procedures relating to intercountry adoption</w:t>
      </w:r>
      <w:r w:rsidR="7FADA4C4" w:rsidRPr="4514C18F">
        <w:t>, the U.S. immigration process requires prospective adopti</w:t>
      </w:r>
      <w:r w:rsidR="5C5656E8" w:rsidRPr="4514C18F">
        <w:t>ve</w:t>
      </w:r>
      <w:r w:rsidR="7FADA4C4" w:rsidRPr="4514C18F">
        <w:t xml:space="preserve"> parents to </w:t>
      </w:r>
      <w:r w:rsidR="7EE05BAA" w:rsidRPr="4514C18F">
        <w:t>present an</w:t>
      </w:r>
      <w:r w:rsidR="7FADA4C4" w:rsidRPr="4514C18F">
        <w:t xml:space="preserve"> adoption order valid under local law</w:t>
      </w:r>
      <w:r w:rsidR="7015FC66" w:rsidRPr="4514C18F">
        <w:t>s</w:t>
      </w:r>
      <w:r w:rsidR="1AB1F756" w:rsidRPr="4514C18F">
        <w:t xml:space="preserve">. </w:t>
      </w:r>
      <w:r w:rsidR="3C4B169C" w:rsidRPr="4514C18F">
        <w:t>The United States also</w:t>
      </w:r>
      <w:r w:rsidRPr="4514C18F">
        <w:t xml:space="preserve"> provid</w:t>
      </w:r>
      <w:r w:rsidR="432772D0" w:rsidRPr="4514C18F">
        <w:t>es</w:t>
      </w:r>
      <w:r w:rsidRPr="4514C18F">
        <w:t xml:space="preserve"> extensive information to prospective adoptive parents and adoption service providers about each foreign country’s system and engag</w:t>
      </w:r>
      <w:r w:rsidR="72404D4D" w:rsidRPr="4514C18F">
        <w:t>es</w:t>
      </w:r>
      <w:r w:rsidRPr="4514C18F">
        <w:t xml:space="preserve"> in bilateral discussions with other countries to prevent or address any issue</w:t>
      </w:r>
      <w:r w:rsidR="7B8C9655" w:rsidRPr="4514C18F">
        <w:t>s</w:t>
      </w:r>
      <w:r w:rsidR="27516575" w:rsidRPr="4514C18F">
        <w:t xml:space="preserve"> such as unregulated custody transfer of children.</w:t>
      </w:r>
      <w:r w:rsidR="43041B40" w:rsidRPr="4514C18F">
        <w:t xml:space="preserve"> </w:t>
      </w:r>
      <w:r w:rsidR="27516575" w:rsidRPr="4514C18F">
        <w:t xml:space="preserve"> </w:t>
      </w:r>
    </w:p>
    <w:p w14:paraId="3FC36BA7" w14:textId="389F868B" w:rsidR="32D7262C" w:rsidRDefault="19FB10A3" w:rsidP="00CD4EAB">
      <w:pPr>
        <w:ind w:left="0" w:firstLine="0"/>
      </w:pPr>
      <w:r w:rsidRPr="4514C18F">
        <w:t>As part of the accreditation and approval process to provide adoption services in intercountry adoption, adoption service providers in the United States must demonstrate that they provide adequate training and counseling to adoptive parents in preparation for adoption to integrate adopted children into adoptive families and promote the permanency of the adoptive placement. Regulations governing accreditation require that the adoption service provider arranging the adoption provide the prospective adoptive parent(s) with at least 10 hours of preparation and training, independent of the home study and subsequent report. This includes counseling on the child’s history and cultural background, known health risks, and any other medical, social, educational, or other data known about the child</w:t>
      </w:r>
      <w:r w:rsidR="1F977BDA" w:rsidRPr="4514C18F">
        <w:t>, s</w:t>
      </w:r>
      <w:r w:rsidR="70B31A8B" w:rsidRPr="4514C18F">
        <w:t>ee 2</w:t>
      </w:r>
      <w:r w:rsidRPr="4514C18F">
        <w:t>2 CFR 96.48. Training for social workers and case managers on adoption laws, regulations, and issues is also provided by federal and state authorities</w:t>
      </w:r>
      <w:r w:rsidR="36A60ADC" w:rsidRPr="4514C18F">
        <w:t>,</w:t>
      </w:r>
      <w:r w:rsidRPr="4514C18F">
        <w:t xml:space="preserve"> as well as NGOs and other private groups. </w:t>
      </w:r>
    </w:p>
    <w:p w14:paraId="2006C50D" w14:textId="43BB79B3" w:rsidR="32D7262C" w:rsidRDefault="5F40D545" w:rsidP="00CD4EAB">
      <w:pPr>
        <w:ind w:left="0" w:firstLine="0"/>
      </w:pPr>
      <w:r w:rsidRPr="4514C18F">
        <w:rPr>
          <w:b/>
          <w:bCs/>
        </w:rPr>
        <w:t xml:space="preserve">Surrogate </w:t>
      </w:r>
      <w:r w:rsidR="006F22ED">
        <w:rPr>
          <w:b/>
          <w:bCs/>
        </w:rPr>
        <w:t>M</w:t>
      </w:r>
      <w:r w:rsidR="006F22ED" w:rsidRPr="4514C18F">
        <w:rPr>
          <w:b/>
          <w:bCs/>
        </w:rPr>
        <w:t>otherhood</w:t>
      </w:r>
      <w:r w:rsidRPr="00EF2892">
        <w:rPr>
          <w:b/>
          <w:bCs/>
        </w:rPr>
        <w:t>.</w:t>
      </w:r>
      <w:r w:rsidRPr="4514C18F">
        <w:t xml:space="preserve"> </w:t>
      </w:r>
      <w:r w:rsidR="215C2BCE" w:rsidRPr="4514C18F">
        <w:t>R</w:t>
      </w:r>
      <w:r w:rsidR="0EBDF444" w:rsidRPr="4514C18F">
        <w:t>ecogniz</w:t>
      </w:r>
      <w:r w:rsidR="7A08054C" w:rsidRPr="4514C18F">
        <w:t>ing that</w:t>
      </w:r>
      <w:r w:rsidRPr="4514C18F">
        <w:t xml:space="preserve"> </w:t>
      </w:r>
      <w:r w:rsidR="13F40E32" w:rsidRPr="4514C18F">
        <w:t>s</w:t>
      </w:r>
      <w:r w:rsidR="43EE5B09" w:rsidRPr="4514C18F">
        <w:t>urrogacy is a complex issue</w:t>
      </w:r>
      <w:r w:rsidR="0E1F6183" w:rsidRPr="4514C18F">
        <w:t>, we respectfully note that surrogacy, as a practice, does not appear to fall within the scope of the OPSC</w:t>
      </w:r>
      <w:r w:rsidR="43EE5B09" w:rsidRPr="4514C18F">
        <w:t xml:space="preserve">. </w:t>
      </w:r>
      <w:r w:rsidR="00AD4E17" w:rsidRPr="4514C18F">
        <w:t xml:space="preserve">Surrogacy, as a practice, does not involve </w:t>
      </w:r>
      <w:r w:rsidR="6DA05334" w:rsidRPr="4514C18F">
        <w:t xml:space="preserve">the sale of children, as defined in Article 2, or </w:t>
      </w:r>
      <w:r w:rsidR="00AD4E17" w:rsidRPr="4514C18F">
        <w:t xml:space="preserve">any of </w:t>
      </w:r>
      <w:r w:rsidR="75E38952" w:rsidRPr="4514C18F">
        <w:t xml:space="preserve">the </w:t>
      </w:r>
      <w:r w:rsidR="3AD93629" w:rsidRPr="4514C18F">
        <w:t>acts and activities that States parties are obligated to criminalize</w:t>
      </w:r>
      <w:r w:rsidR="5E263781" w:rsidRPr="4514C18F">
        <w:t xml:space="preserve"> </w:t>
      </w:r>
      <w:r w:rsidR="7E38710E" w:rsidRPr="4514C18F">
        <w:t xml:space="preserve">under </w:t>
      </w:r>
      <w:r w:rsidR="5E263781" w:rsidRPr="4514C18F">
        <w:t>Article 3</w:t>
      </w:r>
      <w:r w:rsidR="00AD4E17" w:rsidRPr="4514C18F">
        <w:t xml:space="preserve">. </w:t>
      </w:r>
      <w:r w:rsidR="4B75812F" w:rsidRPr="4514C18F">
        <w:t>No federal legislation exists regarding payments to surrogate mothers and t</w:t>
      </w:r>
      <w:r w:rsidR="43EE5B09" w:rsidRPr="4514C18F">
        <w:t xml:space="preserve">here are no plans to formulate federal laws or regulations on surrogacy at </w:t>
      </w:r>
      <w:r w:rsidR="40E90BCE" w:rsidRPr="4514C18F">
        <w:t xml:space="preserve">this </w:t>
      </w:r>
      <w:r w:rsidR="43EE5B09" w:rsidRPr="4514C18F">
        <w:t xml:space="preserve">time. </w:t>
      </w:r>
    </w:p>
    <w:p w14:paraId="7E8957E0" w14:textId="571671DC" w:rsidR="00E345A1" w:rsidRDefault="3CC4ADEE" w:rsidP="00CD4EAB">
      <w:pPr>
        <w:ind w:left="0" w:firstLine="0"/>
      </w:pPr>
      <w:r w:rsidRPr="5C531F67">
        <w:t>Questions of parentage and family matters are generally handled at the state</w:t>
      </w:r>
      <w:r w:rsidR="00DF2CE3" w:rsidRPr="5C531F67">
        <w:t xml:space="preserve"> or tribal</w:t>
      </w:r>
      <w:r w:rsidRPr="5C531F67">
        <w:t xml:space="preserve"> level in the United States, and state laws regarding surrogacy vary widely. For instance, </w:t>
      </w:r>
      <w:r w:rsidR="62D080AD" w:rsidRPr="5C531F67">
        <w:t xml:space="preserve">commercial </w:t>
      </w:r>
      <w:r w:rsidRPr="5C531F67">
        <w:t>surrogacy is illegal in some states and is expressly permitted and regulated in others.</w:t>
      </w:r>
      <w:r w:rsidR="00682BC4" w:rsidRPr="5C531F67">
        <w:t xml:space="preserve"> </w:t>
      </w:r>
      <w:r w:rsidR="4DE63074" w:rsidRPr="5C531F67">
        <w:t>A majority of</w:t>
      </w:r>
      <w:r w:rsidRPr="5C531F67">
        <w:t xml:space="preserve"> states </w:t>
      </w:r>
      <w:r w:rsidR="62EC6263" w:rsidRPr="5C531F67">
        <w:t xml:space="preserve">in the United States </w:t>
      </w:r>
      <w:r w:rsidRPr="5C531F67">
        <w:t>have laws that in some fashion address surrogacy</w:t>
      </w:r>
      <w:r w:rsidR="4224C019" w:rsidRPr="5C531F67">
        <w:t>, whether through statute or case</w:t>
      </w:r>
      <w:r w:rsidR="008F1E64" w:rsidRPr="5C531F67">
        <w:t xml:space="preserve"> </w:t>
      </w:r>
      <w:r w:rsidR="4224C019" w:rsidRPr="5C531F67">
        <w:t>law</w:t>
      </w:r>
      <w:r w:rsidRPr="5C531F67">
        <w:t>. Some states have laws that provide that surroga</w:t>
      </w:r>
      <w:r w:rsidR="389E2C97" w:rsidRPr="5C531F67">
        <w:t>cy</w:t>
      </w:r>
      <w:r w:rsidRPr="5C531F67">
        <w:t xml:space="preserve"> contracts are invalid, while others set up </w:t>
      </w:r>
      <w:r w:rsidR="10354761" w:rsidRPr="5C531F67">
        <w:t>specific</w:t>
      </w:r>
      <w:r w:rsidRPr="5C531F67">
        <w:t xml:space="preserve"> mechanisms to approve contracts</w:t>
      </w:r>
      <w:r w:rsidR="368F6339" w:rsidRPr="5C531F67">
        <w:t xml:space="preserve">, set </w:t>
      </w:r>
      <w:r w:rsidR="48369535" w:rsidRPr="5C531F67">
        <w:t xml:space="preserve">eligibility </w:t>
      </w:r>
      <w:r w:rsidR="368F6339" w:rsidRPr="5C531F67">
        <w:t xml:space="preserve">requirements for surrogates and intended parents, </w:t>
      </w:r>
      <w:r w:rsidR="144ACB83" w:rsidRPr="5C531F67">
        <w:t xml:space="preserve">or mandate counseling </w:t>
      </w:r>
      <w:r w:rsidR="40B9969F" w:rsidRPr="5C531F67">
        <w:t>and</w:t>
      </w:r>
      <w:r w:rsidR="144ACB83" w:rsidRPr="5C531F67">
        <w:t xml:space="preserve"> separate legal counsel for all parties</w:t>
      </w:r>
      <w:r w:rsidR="00A06699" w:rsidRPr="5C531F67">
        <w:t>.</w:t>
      </w:r>
      <w:r w:rsidR="691A4D9F" w:rsidRPr="5C531F67">
        <w:t xml:space="preserve"> </w:t>
      </w:r>
    </w:p>
    <w:p w14:paraId="3246C25B" w14:textId="4ACAFCC1" w:rsidR="005C13CC" w:rsidRDefault="4C592CF1" w:rsidP="00CD4EAB">
      <w:pPr>
        <w:ind w:left="0" w:firstLine="0"/>
      </w:pPr>
      <w:r w:rsidRPr="4514C18F">
        <w:rPr>
          <w:b/>
          <w:bCs/>
        </w:rPr>
        <w:t xml:space="preserve">Extraterritorial </w:t>
      </w:r>
      <w:r w:rsidR="7C8DAC53" w:rsidRPr="4514C18F">
        <w:rPr>
          <w:b/>
          <w:bCs/>
        </w:rPr>
        <w:t xml:space="preserve">Child </w:t>
      </w:r>
      <w:r w:rsidRPr="4514C18F">
        <w:rPr>
          <w:b/>
          <w:bCs/>
        </w:rPr>
        <w:t>S</w:t>
      </w:r>
      <w:r w:rsidR="7C8DAC53" w:rsidRPr="4514C18F">
        <w:rPr>
          <w:b/>
          <w:bCs/>
        </w:rPr>
        <w:t>ex</w:t>
      </w:r>
      <w:r w:rsidRPr="4514C18F">
        <w:rPr>
          <w:b/>
          <w:bCs/>
        </w:rPr>
        <w:t>ual Exploitation and Abuse</w:t>
      </w:r>
      <w:r w:rsidR="7C8DAC53" w:rsidRPr="00EF2892">
        <w:rPr>
          <w:b/>
          <w:bCs/>
        </w:rPr>
        <w:t>.</w:t>
      </w:r>
      <w:r w:rsidR="7C8DAC53" w:rsidRPr="4514C18F">
        <w:t xml:space="preserve">  </w:t>
      </w:r>
      <w:r w:rsidR="30870727" w:rsidRPr="4514C18F">
        <w:t xml:space="preserve">Federal law prohibits an American citizen or resident </w:t>
      </w:r>
      <w:r w:rsidR="61B0F915" w:rsidRPr="4514C18F">
        <w:t xml:space="preserve">from </w:t>
      </w:r>
      <w:r w:rsidR="30870727" w:rsidRPr="4514C18F">
        <w:t>travel</w:t>
      </w:r>
      <w:r w:rsidR="36A5A008" w:rsidRPr="4514C18F">
        <w:t>ing</w:t>
      </w:r>
      <w:r w:rsidR="30870727" w:rsidRPr="4514C18F">
        <w:t xml:space="preserve"> to</w:t>
      </w:r>
      <w:r w:rsidRPr="4514C18F">
        <w:t xml:space="preserve"> or residing in</w:t>
      </w:r>
      <w:r w:rsidR="30870727" w:rsidRPr="4514C18F">
        <w:t xml:space="preserve"> a foreign country</w:t>
      </w:r>
      <w:r w:rsidRPr="4514C18F">
        <w:t xml:space="preserve"> and engag</w:t>
      </w:r>
      <w:r w:rsidR="2087B5D1" w:rsidRPr="4514C18F">
        <w:t>ing in “illicit sexual conduct”</w:t>
      </w:r>
      <w:r w:rsidRPr="4514C18F">
        <w:t xml:space="preserve"> with a minor, which includes commercial sexual exploitation, production of child pornography, and sexual abuse. In September 2019, in the first appellate decision to consider the issue, the U.S. Court of Appeals for the District of Columbia Circuit </w:t>
      </w:r>
      <w:r w:rsidR="591EA80A" w:rsidRPr="4514C18F">
        <w:t xml:space="preserve">in </w:t>
      </w:r>
      <w:r w:rsidR="57EF631D" w:rsidRPr="4514C18F">
        <w:rPr>
          <w:u w:val="single"/>
        </w:rPr>
        <w:t>United States v. Park</w:t>
      </w:r>
      <w:r w:rsidR="57EF631D" w:rsidRPr="4514C18F">
        <w:t xml:space="preserve">, 938 F.3d 354 (D.C. Cir. 2019) </w:t>
      </w:r>
      <w:r w:rsidRPr="4514C18F">
        <w:t>affirmed the constitutionality of the statute that applies</w:t>
      </w:r>
      <w:r w:rsidR="2087B5D1" w:rsidRPr="4514C18F">
        <w:t xml:space="preserve"> to Americans residing abroad. </w:t>
      </w:r>
      <w:r w:rsidRPr="4514C18F">
        <w:t>The U.S. Court of Appeals for the Sixth Circuit is currently considering the same issue.</w:t>
      </w:r>
      <w:r w:rsidR="30870727" w:rsidRPr="4514C18F">
        <w:t xml:space="preserve"> It is also illegal to </w:t>
      </w:r>
      <w:r w:rsidRPr="4514C18F">
        <w:t xml:space="preserve">knowingly </w:t>
      </w:r>
      <w:r w:rsidR="30870727" w:rsidRPr="4514C18F">
        <w:t>help organize or assist another person</w:t>
      </w:r>
      <w:r w:rsidR="151A3310" w:rsidRPr="4514C18F">
        <w:t xml:space="preserve"> to travel for these purposes. </w:t>
      </w:r>
      <w:r w:rsidR="30870727" w:rsidRPr="4514C18F">
        <w:t xml:space="preserve">Convicted offenders face fines and up to 30 years in prison. </w:t>
      </w:r>
    </w:p>
    <w:p w14:paraId="703DDFA7" w14:textId="679D7B03" w:rsidR="00D2258F" w:rsidRPr="00012D40" w:rsidRDefault="44C75316" w:rsidP="00CD4EAB">
      <w:pPr>
        <w:ind w:left="0" w:firstLine="0"/>
      </w:pPr>
      <w:r w:rsidRPr="5C531F67">
        <w:t xml:space="preserve">The </w:t>
      </w:r>
      <w:r w:rsidR="00DE59EF">
        <w:t>Providing Resources, Officers, and Technology to Eradicate Cyber Threats to Our Children</w:t>
      </w:r>
      <w:r w:rsidR="00DE59EF" w:rsidRPr="5C531F67">
        <w:t xml:space="preserve"> </w:t>
      </w:r>
      <w:r w:rsidR="00DE59EF">
        <w:t>(</w:t>
      </w:r>
      <w:r w:rsidRPr="5C531F67">
        <w:t>PROTECT Our Children</w:t>
      </w:r>
      <w:r w:rsidR="00DE59EF">
        <w:t>)</w:t>
      </w:r>
      <w:r w:rsidRPr="5C531F67">
        <w:t xml:space="preserve"> Act of 2008 requires that the Attorney General develop and implement a National Strategy for Child Exploitation Prevention and Interdi</w:t>
      </w:r>
      <w:r w:rsidR="12AEFC3E" w:rsidRPr="5C531F67">
        <w:t>ction (National Strategy).</w:t>
      </w:r>
      <w:r w:rsidRPr="5C531F67">
        <w:t xml:space="preserve"> </w:t>
      </w:r>
      <w:r w:rsidR="12AEFC3E" w:rsidRPr="5C531F67">
        <w:t>Under the most recent</w:t>
      </w:r>
      <w:r w:rsidR="5AC19998" w:rsidRPr="5C531F67">
        <w:t xml:space="preserve"> </w:t>
      </w:r>
      <w:r w:rsidR="74CDE339" w:rsidRPr="5C531F67">
        <w:t xml:space="preserve">National </w:t>
      </w:r>
      <w:r w:rsidR="5AC19998" w:rsidRPr="5C531F67">
        <w:t>Strategy,</w:t>
      </w:r>
      <w:r w:rsidR="12AEFC3E" w:rsidRPr="5C531F67">
        <w:t xml:space="preserve"> published in 2016, the United States continues to work aggressively</w:t>
      </w:r>
      <w:r w:rsidR="5AC19998" w:rsidRPr="5C531F67">
        <w:t xml:space="preserve"> to combat </w:t>
      </w:r>
      <w:r w:rsidR="00DF2CE3" w:rsidRPr="5C531F67">
        <w:t xml:space="preserve">extraterritorial </w:t>
      </w:r>
      <w:r w:rsidR="5AC19998" w:rsidRPr="5C531F67">
        <w:t>child sex</w:t>
      </w:r>
      <w:r w:rsidR="2E4603D2" w:rsidRPr="5C531F67">
        <w:t xml:space="preserve">ual exploitation </w:t>
      </w:r>
      <w:r w:rsidR="00DF2CE3" w:rsidRPr="5C531F67">
        <w:t xml:space="preserve">and abuse </w:t>
      </w:r>
      <w:r w:rsidR="5AC19998" w:rsidRPr="5C531F67">
        <w:t>both within the U</w:t>
      </w:r>
      <w:r w:rsidR="0BCBC52B" w:rsidRPr="5C531F67">
        <w:t xml:space="preserve">nited </w:t>
      </w:r>
      <w:r w:rsidR="5AC19998" w:rsidRPr="5C531F67">
        <w:t>S</w:t>
      </w:r>
      <w:r w:rsidR="4FF4A9B3" w:rsidRPr="5C531F67">
        <w:t>tates</w:t>
      </w:r>
      <w:r w:rsidR="5AC19998" w:rsidRPr="5C531F67">
        <w:t xml:space="preserve"> and abroad, including programs </w:t>
      </w:r>
      <w:r w:rsidR="56DE331F" w:rsidRPr="5C531F67">
        <w:t>noted in the Committ</w:t>
      </w:r>
      <w:r w:rsidR="1D690701" w:rsidRPr="5C531F67">
        <w:t>ee’s Concluding Observations as well as</w:t>
      </w:r>
      <w:r w:rsidR="56DE331F" w:rsidRPr="5C531F67">
        <w:t xml:space="preserve"> more recent program</w:t>
      </w:r>
      <w:r w:rsidR="12AEFC3E" w:rsidRPr="5C531F67">
        <w:t>matic</w:t>
      </w:r>
      <w:r w:rsidR="56DE331F" w:rsidRPr="5C531F67">
        <w:t xml:space="preserve"> inno</w:t>
      </w:r>
      <w:r w:rsidR="1D690701" w:rsidRPr="5C531F67">
        <w:t>vations designed to address recent challenges</w:t>
      </w:r>
      <w:r w:rsidR="56DE331F" w:rsidRPr="5C531F67">
        <w:t xml:space="preserve">, such as encryption, use of mobile </w:t>
      </w:r>
      <w:r w:rsidR="1D690701" w:rsidRPr="5C531F67">
        <w:t xml:space="preserve">devices, and </w:t>
      </w:r>
      <w:r w:rsidR="3E693D71" w:rsidRPr="5C531F67">
        <w:t>t</w:t>
      </w:r>
      <w:r w:rsidR="1D690701" w:rsidRPr="5C531F67">
        <w:t xml:space="preserve">he dark </w:t>
      </w:r>
      <w:r w:rsidR="00DF2CE3" w:rsidRPr="5C531F67">
        <w:t>web</w:t>
      </w:r>
      <w:r w:rsidR="1D690701" w:rsidRPr="5C531F67">
        <w:t xml:space="preserve">. </w:t>
      </w:r>
      <w:r w:rsidR="56DE331F" w:rsidRPr="5C531F67">
        <w:t>Experts throughout the federal government</w:t>
      </w:r>
      <w:r w:rsidR="12AEFC3E" w:rsidRPr="5C531F67">
        <w:t xml:space="preserve"> w</w:t>
      </w:r>
      <w:r w:rsidR="3C515938" w:rsidRPr="5C531F67">
        <w:t>ork actively</w:t>
      </w:r>
      <w:r w:rsidR="1D690701" w:rsidRPr="5C531F67">
        <w:t xml:space="preserve"> to stop </w:t>
      </w:r>
      <w:r w:rsidR="0AF19CE3" w:rsidRPr="5C531F67">
        <w:t>extraterritorial child sexual exploitation and abuse</w:t>
      </w:r>
      <w:r w:rsidR="1B272F3C" w:rsidRPr="5C531F67">
        <w:t xml:space="preserve">. </w:t>
      </w:r>
      <w:r w:rsidR="412D4FA7" w:rsidRPr="5C531F67">
        <w:t xml:space="preserve">These include </w:t>
      </w:r>
      <w:r w:rsidR="1A88208D" w:rsidRPr="5C531F67">
        <w:t xml:space="preserve">experts in </w:t>
      </w:r>
      <w:r w:rsidR="412D4FA7" w:rsidRPr="5C531F67">
        <w:t>the FBI-led</w:t>
      </w:r>
      <w:r w:rsidR="12AEFC3E" w:rsidRPr="5C531F67">
        <w:t xml:space="preserve"> Child Exploitation </w:t>
      </w:r>
      <w:r w:rsidR="00DF2CE3" w:rsidRPr="5C531F67">
        <w:t xml:space="preserve">Human Trafficking </w:t>
      </w:r>
      <w:r w:rsidR="12AEFC3E" w:rsidRPr="5C531F67">
        <w:t>Task Forces</w:t>
      </w:r>
      <w:r w:rsidR="412D4FA7" w:rsidRPr="5C531F67">
        <w:t>, which</w:t>
      </w:r>
      <w:r w:rsidR="12AEFC3E" w:rsidRPr="5C531F67">
        <w:t xml:space="preserve"> collaborat</w:t>
      </w:r>
      <w:r w:rsidR="412D4FA7" w:rsidRPr="5C531F67">
        <w:t>e</w:t>
      </w:r>
      <w:r w:rsidR="12AEFC3E" w:rsidRPr="5C531F67">
        <w:t xml:space="preserve"> with approximately 400 state, local, tribal and federal law enforcement partners; the FBI Innocent Images National Initiative; </w:t>
      </w:r>
      <w:r w:rsidR="1D690701" w:rsidRPr="5C531F67">
        <w:t xml:space="preserve">DOJ’s Child Exploitation Section and High Technology Investigations Unit; </w:t>
      </w:r>
      <w:r w:rsidR="12AEFC3E" w:rsidRPr="5C531F67">
        <w:t>DHS/ICE’s Operat</w:t>
      </w:r>
      <w:r w:rsidR="6248C2BA" w:rsidRPr="5C531F67">
        <w:t>i</w:t>
      </w:r>
      <w:r w:rsidR="12AEFC3E" w:rsidRPr="5C531F67">
        <w:t>o</w:t>
      </w:r>
      <w:r w:rsidR="7779630A" w:rsidRPr="5C531F67">
        <w:t>n</w:t>
      </w:r>
      <w:r w:rsidR="12AEFC3E" w:rsidRPr="5C531F67">
        <w:t xml:space="preserve"> Predator and its Cyber Crimes Center Child Exploitation Investigations Unit; the ICE/HSI Victim Identification Program; Postal Service Inspectors; the U.S. Marshals Servic</w:t>
      </w:r>
      <w:r w:rsidR="1D690701" w:rsidRPr="5C531F67">
        <w:t>e fugitive apprehension program</w:t>
      </w:r>
      <w:r w:rsidR="12AEFC3E" w:rsidRPr="5C531F67">
        <w:t>;</w:t>
      </w:r>
      <w:r w:rsidR="1D690701" w:rsidRPr="5C531F67">
        <w:t xml:space="preserve"> </w:t>
      </w:r>
      <w:r w:rsidR="16BFC2FE" w:rsidRPr="5C531F67">
        <w:t xml:space="preserve">and </w:t>
      </w:r>
      <w:r w:rsidR="1D690701" w:rsidRPr="5C531F67">
        <w:t>U.S. Attorney’s Offices work</w:t>
      </w:r>
      <w:r w:rsidR="3F469001" w:rsidRPr="5C531F67">
        <w:t>ing</w:t>
      </w:r>
      <w:r w:rsidR="12AEFC3E" w:rsidRPr="5C531F67">
        <w:t xml:space="preserve"> on Project Safe Childhood</w:t>
      </w:r>
      <w:r w:rsidR="2D7762F0" w:rsidRPr="5C531F67">
        <w:t>. Federal law enforcement officials also</w:t>
      </w:r>
      <w:r w:rsidR="12AEFC3E" w:rsidRPr="5C531F67">
        <w:t xml:space="preserve"> work </w:t>
      </w:r>
      <w:r w:rsidR="459799DA" w:rsidRPr="5C531F67">
        <w:t xml:space="preserve">to stop </w:t>
      </w:r>
      <w:r w:rsidR="7840E8DD" w:rsidRPr="5C531F67">
        <w:t xml:space="preserve">extraterritorial child sexual exploitation and abuse </w:t>
      </w:r>
      <w:r w:rsidR="12AEFC3E" w:rsidRPr="5C531F67">
        <w:t xml:space="preserve">with international </w:t>
      </w:r>
      <w:r w:rsidR="1D690701" w:rsidRPr="5C531F67">
        <w:t xml:space="preserve">counterparts through Interpol. </w:t>
      </w:r>
      <w:r w:rsidR="12AEFC3E" w:rsidRPr="5C531F67">
        <w:t xml:space="preserve">Future goals include targeting emerging technologies, offender organizations, and high-value individual offenders, enhancing international collaborations, and identifying victims. </w:t>
      </w:r>
      <w:r w:rsidR="0057705F" w:rsidRPr="5C531F67">
        <w:t>In addition, USAID’s Digital Strategy, released in 2020, contains a Protecting Children and Youth from Digital Harm workstream. This workstream, which is</w:t>
      </w:r>
      <w:r w:rsidR="00B9246A" w:rsidRPr="5C531F67">
        <w:t xml:space="preserve"> under development, will focus on</w:t>
      </w:r>
      <w:r w:rsidR="0057705F" w:rsidRPr="5C531F67">
        <w:t xml:space="preserve"> prevention interventions, including stopping </w:t>
      </w:r>
      <w:r w:rsidR="189FECD1" w:rsidRPr="5C531F67">
        <w:t>extraterritorial child sexual exploitation and abuse</w:t>
      </w:r>
      <w:r w:rsidR="0057705F" w:rsidRPr="5C531F67">
        <w:t xml:space="preserve">, </w:t>
      </w:r>
      <w:hyperlink r:id="rId28">
        <w:r w:rsidR="0057705F" w:rsidRPr="5C531F67">
          <w:rPr>
            <w:rStyle w:val="Hyperlink"/>
          </w:rPr>
          <w:t>https://www.usaid.gov/sites/default/files/documents/USAID_Digital_Strategy.pdf</w:t>
        </w:r>
      </w:hyperlink>
      <w:r w:rsidR="0057705F" w:rsidRPr="5C531F67">
        <w:t xml:space="preserve">. </w:t>
      </w:r>
      <w:r w:rsidR="12AEFC3E" w:rsidRPr="5C531F67">
        <w:t>The United States is also engaged in aggressive outreach and awareness activities including expanding and updating community-based internet safety outreach efforts</w:t>
      </w:r>
      <w:r w:rsidR="412D4FA7" w:rsidRPr="5C531F67">
        <w:t>, developing nation-wide messaging</w:t>
      </w:r>
      <w:r w:rsidR="12AEFC3E" w:rsidRPr="5C531F67">
        <w:t>, enhancing awareness</w:t>
      </w:r>
      <w:r w:rsidR="1D690701" w:rsidRPr="5C531F67">
        <w:t xml:space="preserve"> and educational activities, improving awareness of sextortion offenses, and engaging in law enforcement and prosecutor training.</w:t>
      </w:r>
    </w:p>
    <w:p w14:paraId="00816BB9" w14:textId="5711C066" w:rsidR="00F95C5E" w:rsidRPr="000F0956" w:rsidRDefault="7B76C7FC" w:rsidP="00CD4EAB">
      <w:pPr>
        <w:ind w:left="0" w:firstLine="0"/>
        <w:rPr>
          <w:rFonts w:eastAsia="Times New Roman"/>
        </w:rPr>
      </w:pPr>
      <w:r w:rsidRPr="007E71A5">
        <w:t>With regard to concerns that perpetrators could avoid liability for sexual explo</w:t>
      </w:r>
      <w:r w:rsidR="32C53D00" w:rsidRPr="007E71A5">
        <w:t>itation of children by</w:t>
      </w:r>
      <w:r w:rsidR="32C53D00" w:rsidRPr="00012D40">
        <w:t xml:space="preserve"> </w:t>
      </w:r>
      <w:r w:rsidR="32C53D00" w:rsidRPr="007E71A5">
        <w:t>presenting</w:t>
      </w:r>
      <w:r w:rsidRPr="007E71A5">
        <w:t xml:space="preserve"> </w:t>
      </w:r>
      <w:r w:rsidR="32C53D00" w:rsidRPr="007E71A5">
        <w:t xml:space="preserve">as a defense </w:t>
      </w:r>
      <w:r w:rsidRPr="007E71A5">
        <w:t xml:space="preserve">“clear and convincing evidence” </w:t>
      </w:r>
      <w:r w:rsidR="32C53D00" w:rsidRPr="007E71A5">
        <w:t>that the person with whom they engaged in a</w:t>
      </w:r>
      <w:r w:rsidR="32C53D00" w:rsidRPr="00012D40">
        <w:t xml:space="preserve"> commercial sex act had attained the age of 18 years,</w:t>
      </w:r>
      <w:r w:rsidR="32C53D00" w:rsidRPr="00012D40">
        <w:rPr>
          <w:rFonts w:eastAsia="Times New Roman"/>
          <w:shd w:val="clear" w:color="auto" w:fill="FFFFFF"/>
        </w:rPr>
        <w:t xml:space="preserve"> w</w:t>
      </w:r>
      <w:r w:rsidRPr="00012D40">
        <w:rPr>
          <w:rFonts w:eastAsia="Times New Roman"/>
          <w:shd w:val="clear" w:color="auto" w:fill="FFFFFF"/>
        </w:rPr>
        <w:t>e a</w:t>
      </w:r>
      <w:r w:rsidR="32C53D00" w:rsidRPr="00012D40">
        <w:rPr>
          <w:rFonts w:eastAsia="Times New Roman"/>
          <w:shd w:val="clear" w:color="auto" w:fill="FFFFFF"/>
        </w:rPr>
        <w:t>re not aware of a case where such a</w:t>
      </w:r>
      <w:r w:rsidRPr="00012D40">
        <w:rPr>
          <w:rFonts w:eastAsia="Times New Roman"/>
          <w:shd w:val="clear" w:color="auto" w:fill="FFFFFF"/>
        </w:rPr>
        <w:t xml:space="preserve"> defense has been successfully asserted. </w:t>
      </w:r>
      <w:r w:rsidR="06B8879E" w:rsidRPr="12383FEE">
        <w:rPr>
          <w:rFonts w:eastAsia="Times New Roman"/>
        </w:rPr>
        <w:t>We also note that c</w:t>
      </w:r>
      <w:r w:rsidRPr="00012D40">
        <w:rPr>
          <w:rFonts w:eastAsia="Times New Roman"/>
          <w:shd w:val="clear" w:color="auto" w:fill="FFFFFF"/>
        </w:rPr>
        <w:t>onviction under this criminal provision does not require that a U.S. citizen reside in the United States.</w:t>
      </w:r>
      <w:r w:rsidR="0041177B" w:rsidRPr="00012D40">
        <w:t xml:space="preserve"> </w:t>
      </w:r>
    </w:p>
    <w:p w14:paraId="1B0FBE72" w14:textId="6572B35C" w:rsidR="00F95C5E" w:rsidRPr="007E71A5" w:rsidRDefault="1F1923DF" w:rsidP="001B4EAA">
      <w:pPr>
        <w:pStyle w:val="Heading1"/>
        <w:numPr>
          <w:ilvl w:val="0"/>
          <w:numId w:val="0"/>
        </w:numPr>
      </w:pPr>
      <w:bookmarkStart w:id="7" w:name="_Toc93588716"/>
      <w:r w:rsidRPr="7DE3C874">
        <w:t>I</w:t>
      </w:r>
      <w:r w:rsidR="00D9795D">
        <w:t>V</w:t>
      </w:r>
      <w:r w:rsidRPr="7DE3C874">
        <w:t xml:space="preserve">.  Prohibition of the </w:t>
      </w:r>
      <w:r w:rsidR="003A0953">
        <w:t>S</w:t>
      </w:r>
      <w:r w:rsidRPr="7DE3C874">
        <w:t>ale</w:t>
      </w:r>
      <w:r w:rsidR="56DE331F" w:rsidRPr="7DE3C874">
        <w:t xml:space="preserve"> </w:t>
      </w:r>
      <w:r w:rsidRPr="7DE3C874">
        <w:t xml:space="preserve">of </w:t>
      </w:r>
      <w:r w:rsidR="003A0953">
        <w:t>C</w:t>
      </w:r>
      <w:r w:rsidRPr="7DE3C874">
        <w:t xml:space="preserve">hildren, </w:t>
      </w:r>
      <w:r w:rsidR="003A0953">
        <w:t>C</w:t>
      </w:r>
      <w:r w:rsidRPr="7DE3C874">
        <w:t xml:space="preserve">hild pornography and </w:t>
      </w:r>
      <w:r w:rsidR="003A0953">
        <w:t>C</w:t>
      </w:r>
      <w:r w:rsidRPr="7DE3C874">
        <w:t xml:space="preserve">hild </w:t>
      </w:r>
      <w:r w:rsidR="003A0953">
        <w:t>P</w:t>
      </w:r>
      <w:r w:rsidRPr="7DE3C874">
        <w:t xml:space="preserve">rostitution and </w:t>
      </w:r>
      <w:r w:rsidR="003A0953">
        <w:t>R</w:t>
      </w:r>
      <w:r w:rsidRPr="7DE3C874">
        <w:t xml:space="preserve">elated </w:t>
      </w:r>
      <w:r w:rsidR="003A0953">
        <w:t>M</w:t>
      </w:r>
      <w:r w:rsidRPr="7DE3C874">
        <w:t>atters (arts. 3, 4(2) and (3)</w:t>
      </w:r>
      <w:r w:rsidR="001A50A0">
        <w:t>,</w:t>
      </w:r>
      <w:r w:rsidRPr="7DE3C874">
        <w:t xml:space="preserve"> and 5-7)</w:t>
      </w:r>
      <w:bookmarkEnd w:id="7"/>
    </w:p>
    <w:p w14:paraId="59091328" w14:textId="2AEF0F2D" w:rsidR="00C059A3" w:rsidRPr="00AD10BD" w:rsidRDefault="3F4DEF96" w:rsidP="00B500E3">
      <w:pPr>
        <w:ind w:left="0" w:firstLine="0"/>
        <w:rPr>
          <w:shd w:val="clear" w:color="auto" w:fill="FFFFFF"/>
        </w:rPr>
      </w:pPr>
      <w:r w:rsidRPr="007E71A5">
        <w:rPr>
          <w:b/>
          <w:bCs/>
        </w:rPr>
        <w:t xml:space="preserve">Existing </w:t>
      </w:r>
      <w:r w:rsidR="006F7881">
        <w:rPr>
          <w:b/>
          <w:bCs/>
        </w:rPr>
        <w:t>C</w:t>
      </w:r>
      <w:r w:rsidR="006F7881" w:rsidRPr="007E71A5">
        <w:rPr>
          <w:b/>
          <w:bCs/>
        </w:rPr>
        <w:t xml:space="preserve">riminal </w:t>
      </w:r>
      <w:r w:rsidRPr="007E71A5">
        <w:rPr>
          <w:b/>
          <w:bCs/>
        </w:rPr>
        <w:t xml:space="preserve">or </w:t>
      </w:r>
      <w:r w:rsidR="006F7881">
        <w:rPr>
          <w:b/>
          <w:bCs/>
        </w:rPr>
        <w:t>P</w:t>
      </w:r>
      <w:r w:rsidR="006F7881" w:rsidRPr="007E71A5">
        <w:rPr>
          <w:b/>
          <w:bCs/>
        </w:rPr>
        <w:t xml:space="preserve">enal </w:t>
      </w:r>
      <w:r w:rsidR="006F7881">
        <w:rPr>
          <w:b/>
          <w:bCs/>
        </w:rPr>
        <w:t>L</w:t>
      </w:r>
      <w:r w:rsidR="006F7881" w:rsidRPr="007E71A5">
        <w:rPr>
          <w:b/>
          <w:bCs/>
        </w:rPr>
        <w:t xml:space="preserve">aws </w:t>
      </w:r>
      <w:r w:rsidRPr="007E71A5">
        <w:rPr>
          <w:b/>
          <w:bCs/>
        </w:rPr>
        <w:t xml:space="preserve">and </w:t>
      </w:r>
      <w:r w:rsidR="006F7881">
        <w:rPr>
          <w:b/>
          <w:bCs/>
        </w:rPr>
        <w:t>R</w:t>
      </w:r>
      <w:r w:rsidR="006F7881" w:rsidRPr="007E71A5">
        <w:rPr>
          <w:b/>
          <w:bCs/>
        </w:rPr>
        <w:t>egulations</w:t>
      </w:r>
      <w:r w:rsidRPr="00EF2892">
        <w:rPr>
          <w:b/>
          <w:bCs/>
        </w:rPr>
        <w:t>.</w:t>
      </w:r>
      <w:r w:rsidR="7B76C7FC" w:rsidRPr="007E71A5">
        <w:rPr>
          <w:b/>
          <w:bCs/>
        </w:rPr>
        <w:t xml:space="preserve"> </w:t>
      </w:r>
      <w:r w:rsidR="60B14186" w:rsidRPr="007E71A5">
        <w:rPr>
          <w:shd w:val="clear" w:color="auto" w:fill="FFFFFF"/>
        </w:rPr>
        <w:t xml:space="preserve"> </w:t>
      </w:r>
      <w:r w:rsidR="007E71A5">
        <w:rPr>
          <w:shd w:val="clear" w:color="auto" w:fill="FFFFFF"/>
        </w:rPr>
        <w:t>As noted above, in</w:t>
      </w:r>
      <w:r w:rsidR="60B14186" w:rsidRPr="007E71A5">
        <w:rPr>
          <w:shd w:val="clear" w:color="auto" w:fill="FFFFFF"/>
        </w:rPr>
        <w:t xml:space="preserve"> becoming a party to the OPSC, the United States carefully reviewed its laws and determined that they were sufficient to allow effective implementation of its obligations, as outlined in the U.S. instrument of ratification. Federal statutes define a commercial sex act as “any sex act on account of which anything of value is given to or received by any person,” 18 U.S.C. § 1591(e)(3) and 22 U.S.C. § 7102(4), and therefore do not require that remuneration be in the form of an exchange of money.</w:t>
      </w:r>
      <w:r w:rsidR="1C058A01" w:rsidRPr="007E71A5">
        <w:rPr>
          <w:shd w:val="clear" w:color="auto" w:fill="FFFFFF"/>
        </w:rPr>
        <w:t xml:space="preserve"> The United States is not aware of any form of “sale” of children </w:t>
      </w:r>
      <w:r w:rsidR="00860DCB">
        <w:rPr>
          <w:shd w:val="clear" w:color="auto" w:fill="FFFFFF"/>
        </w:rPr>
        <w:t xml:space="preserve">as described in </w:t>
      </w:r>
      <w:r w:rsidR="15211B92">
        <w:rPr>
          <w:shd w:val="clear" w:color="auto" w:fill="FFFFFF"/>
        </w:rPr>
        <w:t xml:space="preserve">OPSC </w:t>
      </w:r>
      <w:r w:rsidR="00860DCB">
        <w:rPr>
          <w:shd w:val="clear" w:color="auto" w:fill="FFFFFF"/>
        </w:rPr>
        <w:t>Article 3</w:t>
      </w:r>
      <w:r w:rsidR="73DBBC01">
        <w:rPr>
          <w:shd w:val="clear" w:color="auto" w:fill="FFFFFF"/>
        </w:rPr>
        <w:t>(</w:t>
      </w:r>
      <w:r w:rsidR="00860DCB">
        <w:rPr>
          <w:shd w:val="clear" w:color="auto" w:fill="FFFFFF"/>
        </w:rPr>
        <w:t>1</w:t>
      </w:r>
      <w:r w:rsidR="19CA2BF5">
        <w:rPr>
          <w:shd w:val="clear" w:color="auto" w:fill="FFFFFF"/>
        </w:rPr>
        <w:t>)</w:t>
      </w:r>
      <w:r w:rsidR="00860DCB">
        <w:rPr>
          <w:shd w:val="clear" w:color="auto" w:fill="FFFFFF"/>
        </w:rPr>
        <w:t xml:space="preserve"> </w:t>
      </w:r>
      <w:r w:rsidR="1C058A01" w:rsidRPr="007E71A5">
        <w:rPr>
          <w:shd w:val="clear" w:color="auto" w:fill="FFFFFF"/>
        </w:rPr>
        <w:t>that cannot be prosecuted under U.S. law</w:t>
      </w:r>
      <w:r w:rsidR="007871F0">
        <w:rPr>
          <w:shd w:val="clear" w:color="auto" w:fill="FFFFFF"/>
        </w:rPr>
        <w:t>.</w:t>
      </w:r>
      <w:r w:rsidR="1C058A01" w:rsidRPr="007E71A5">
        <w:rPr>
          <w:shd w:val="clear" w:color="auto" w:fill="FFFFFF"/>
        </w:rPr>
        <w:t xml:space="preserve"> </w:t>
      </w:r>
      <w:r w:rsidR="0758BA80" w:rsidRPr="007E71A5">
        <w:t>Moreover, the United States notes that OPSC Article 3(2) relating to “attempts to commit acts” applies “subject to the provisions of a State Party’s national law,” and notes further that a number of the laws through which the OPSC is implemented in the United States include attempted actions in the definition of prohibited activities</w:t>
      </w:r>
      <w:r w:rsidR="10649EA5" w:rsidRPr="007E71A5">
        <w:t xml:space="preserve">, </w:t>
      </w:r>
      <w:r w:rsidR="007E71A5">
        <w:t>see</w:t>
      </w:r>
      <w:r w:rsidR="006023B2">
        <w:t>,</w:t>
      </w:r>
      <w:r w:rsidR="007E71A5">
        <w:t xml:space="preserve"> e.g.</w:t>
      </w:r>
      <w:r w:rsidR="006023B2">
        <w:t>,</w:t>
      </w:r>
      <w:r w:rsidR="00B0273D">
        <w:t xml:space="preserve"> </w:t>
      </w:r>
      <w:r w:rsidR="10649EA5" w:rsidRPr="007E71A5">
        <w:t>18 U.S.C. § 1594(a) (attempted sex trafficking), 18 U.S.C. § 2241 (aggravated sexual abuse), 18 U.S.C. § 2242 (abuse), 18 U.S.C. § 2243 (sexual abuse of a minor or ward), 18 U.S.C. § 2251(e) (providing penalty for attempted production of child pornography), 18 U.S.C. § 2252(b) (providing penalty for attempts to engage in certain activities related to material involving the sexual exploitation of minors), and 18 U.S.C. § 2423(e) (criminalizing attempts to engage in certain child sexual exploitation offenses)</w:t>
      </w:r>
      <w:r w:rsidR="007871F0">
        <w:t>.</w:t>
      </w:r>
      <w:r w:rsidR="1C058A01" w:rsidRPr="00012D40">
        <w:rPr>
          <w:shd w:val="clear" w:color="auto" w:fill="FFFFFF"/>
        </w:rPr>
        <w:t xml:space="preserve"> </w:t>
      </w:r>
    </w:p>
    <w:p w14:paraId="3627699E" w14:textId="3026038C" w:rsidR="00A63161" w:rsidRPr="00787E33" w:rsidRDefault="2093F1BB" w:rsidP="00B500E3">
      <w:pPr>
        <w:ind w:left="0" w:firstLine="0"/>
        <w:rPr>
          <w:shd w:val="clear" w:color="auto" w:fill="FFFFFF"/>
        </w:rPr>
      </w:pPr>
      <w:r w:rsidRPr="00012D40">
        <w:rPr>
          <w:shd w:val="clear" w:color="auto" w:fill="FFFFFF"/>
        </w:rPr>
        <w:t xml:space="preserve">U.S. law related to child pornography provides protection for children in a manner </w:t>
      </w:r>
      <w:r w:rsidR="4D8C1708" w:rsidRPr="12383FEE">
        <w:t>consistent with</w:t>
      </w:r>
      <w:r w:rsidRPr="00012D40">
        <w:rPr>
          <w:shd w:val="clear" w:color="auto" w:fill="FFFFFF"/>
        </w:rPr>
        <w:t xml:space="preserve"> the free speech requirements of the First Amendment</w:t>
      </w:r>
      <w:r w:rsidR="026A5525" w:rsidRPr="00012D40">
        <w:rPr>
          <w:shd w:val="clear" w:color="auto" w:fill="FFFFFF"/>
        </w:rPr>
        <w:t xml:space="preserve"> to the U.S. Constitution. </w:t>
      </w:r>
      <w:r w:rsidRPr="00012D40">
        <w:rPr>
          <w:shd w:val="clear" w:color="auto" w:fill="FFFFFF"/>
        </w:rPr>
        <w:t xml:space="preserve">In </w:t>
      </w:r>
      <w:r w:rsidRPr="00012D40">
        <w:rPr>
          <w:u w:val="single"/>
          <w:shd w:val="clear" w:color="auto" w:fill="FFFFFF"/>
        </w:rPr>
        <w:t>New York v. Ferber</w:t>
      </w:r>
      <w:r w:rsidRPr="00012D40">
        <w:rPr>
          <w:shd w:val="clear" w:color="auto" w:fill="FFFFFF"/>
        </w:rPr>
        <w:t xml:space="preserve">, 958 U.S. 747 (1982), the </w:t>
      </w:r>
      <w:r w:rsidR="0D03C277" w:rsidRPr="12383FEE">
        <w:t xml:space="preserve">U.S. Supreme </w:t>
      </w:r>
      <w:r w:rsidRPr="00012D40">
        <w:rPr>
          <w:shd w:val="clear" w:color="auto" w:fill="FFFFFF"/>
        </w:rPr>
        <w:t>Court recognized a category of expression that is outside the coverage of the First Amendment</w:t>
      </w:r>
      <w:r w:rsidR="00B0273D">
        <w:rPr>
          <w:shd w:val="clear" w:color="auto" w:fill="FFFFFF"/>
        </w:rPr>
        <w:t>—</w:t>
      </w:r>
      <w:r w:rsidRPr="00012D40">
        <w:rPr>
          <w:shd w:val="clear" w:color="auto" w:fill="FFFFFF"/>
        </w:rPr>
        <w:t>the visual depiction of children in films or still photographs in a variety of sexua</w:t>
      </w:r>
      <w:r w:rsidR="026A5525" w:rsidRPr="00012D40">
        <w:rPr>
          <w:shd w:val="clear" w:color="auto" w:fill="FFFFFF"/>
        </w:rPr>
        <w:t xml:space="preserve">l activities or exposures. </w:t>
      </w:r>
      <w:r w:rsidRPr="00012D40">
        <w:rPr>
          <w:shd w:val="clear" w:color="auto" w:fill="FFFFFF"/>
        </w:rPr>
        <w:t>Such depictions may be prohibited based on the governmental interest in protecting the physical and psych</w:t>
      </w:r>
      <w:r w:rsidR="026A5525" w:rsidRPr="00012D40">
        <w:rPr>
          <w:shd w:val="clear" w:color="auto" w:fill="FFFFFF"/>
        </w:rPr>
        <w:t>ological well-being of children</w:t>
      </w:r>
      <w:r w:rsidRPr="00012D40">
        <w:rPr>
          <w:shd w:val="clear" w:color="auto" w:fill="FFFFFF"/>
        </w:rPr>
        <w:t xml:space="preserve"> whose participation in the production of these materials would subject them to exploitatio</w:t>
      </w:r>
      <w:r w:rsidR="026A5525" w:rsidRPr="00012D40">
        <w:rPr>
          <w:shd w:val="clear" w:color="auto" w:fill="FFFFFF"/>
        </w:rPr>
        <w:t xml:space="preserve">n and harm. </w:t>
      </w:r>
      <w:r w:rsidRPr="00012D40">
        <w:rPr>
          <w:shd w:val="clear" w:color="auto" w:fill="FFFFFF"/>
        </w:rPr>
        <w:t xml:space="preserve">The </w:t>
      </w:r>
      <w:r w:rsidR="00B82CE5">
        <w:rPr>
          <w:shd w:val="clear" w:color="auto" w:fill="FFFFFF"/>
        </w:rPr>
        <w:t xml:space="preserve">Supreme </w:t>
      </w:r>
      <w:r w:rsidR="6496B926" w:rsidRPr="12383FEE">
        <w:t>C</w:t>
      </w:r>
      <w:r w:rsidRPr="00012D40">
        <w:rPr>
          <w:shd w:val="clear" w:color="auto" w:fill="FFFFFF"/>
        </w:rPr>
        <w:t>ourt</w:t>
      </w:r>
      <w:r w:rsidR="3E693D71" w:rsidRPr="00012D40">
        <w:rPr>
          <w:shd w:val="clear" w:color="auto" w:fill="FFFFFF"/>
        </w:rPr>
        <w:t xml:space="preserve"> found that the government</w:t>
      </w:r>
      <w:r w:rsidR="6899DE9B" w:rsidRPr="00012D40">
        <w:rPr>
          <w:shd w:val="clear" w:color="auto" w:fill="FFFFFF"/>
        </w:rPr>
        <w:t xml:space="preserve"> may go beyond a mere prohibition of the use of children because it is not possible to protect children adequately without prohibiting the exhibition and dissemination of materials and advertising about them. However, because expression is involved, the government must carefully define what conduct is to be prohibited and may reach only “works that visually depict sexual conduct by ch</w:t>
      </w:r>
      <w:r w:rsidR="3E693D71" w:rsidRPr="00012D40">
        <w:rPr>
          <w:shd w:val="clear" w:color="auto" w:fill="FFFFFF"/>
        </w:rPr>
        <w:t>ildren below a specified age.”</w:t>
      </w:r>
      <w:r w:rsidR="6899DE9B" w:rsidRPr="00012D40">
        <w:rPr>
          <w:shd w:val="clear" w:color="auto" w:fill="FFFFFF"/>
        </w:rPr>
        <w:t xml:space="preserve"> Federal law prohibits the production, distribution, reception, and possession of an image of child pornography using or affecting any means or facility of interstate or foreign commerce</w:t>
      </w:r>
      <w:r w:rsidR="007E71A5">
        <w:t>,</w:t>
      </w:r>
      <w:r w:rsidR="6899DE9B" w:rsidRPr="00012D40">
        <w:rPr>
          <w:shd w:val="clear" w:color="auto" w:fill="FFFFFF"/>
        </w:rPr>
        <w:t xml:space="preserve"> </w:t>
      </w:r>
      <w:r w:rsidR="007E71A5" w:rsidRPr="5C531F67">
        <w:rPr>
          <w:shd w:val="clear" w:color="auto" w:fill="FFFFFF"/>
        </w:rPr>
        <w:t>see</w:t>
      </w:r>
      <w:r w:rsidR="282A0BCE" w:rsidRPr="5C531F67">
        <w:rPr>
          <w:shd w:val="clear" w:color="auto" w:fill="FFFFFF"/>
        </w:rPr>
        <w:t xml:space="preserve"> </w:t>
      </w:r>
      <w:r w:rsidR="6899DE9B" w:rsidRPr="007E71A5">
        <w:rPr>
          <w:shd w:val="clear" w:color="auto" w:fill="FFFFFF"/>
        </w:rPr>
        <w:t>18</w:t>
      </w:r>
      <w:r w:rsidR="6899DE9B" w:rsidRPr="00012D40">
        <w:rPr>
          <w:shd w:val="clear" w:color="auto" w:fill="FFFFFF"/>
        </w:rPr>
        <w:t xml:space="preserve"> U.S.C. </w:t>
      </w:r>
      <w:r w:rsidR="6899DE9B" w:rsidRPr="00012D40">
        <w:t>§ 225</w:t>
      </w:r>
      <w:r w:rsidR="6899DE9B" w:rsidRPr="00012D40">
        <w:rPr>
          <w:shd w:val="clear" w:color="auto" w:fill="FFFFFF"/>
        </w:rPr>
        <w:t xml:space="preserve">1; 18 U.S.C. </w:t>
      </w:r>
      <w:r w:rsidR="6899DE9B" w:rsidRPr="00012D40">
        <w:t>§ 2252; 18 U.S.C. §</w:t>
      </w:r>
      <w:r w:rsidR="3E693D71" w:rsidRPr="00012D40">
        <w:rPr>
          <w:shd w:val="clear" w:color="auto" w:fill="FFFFFF"/>
        </w:rPr>
        <w:t xml:space="preserve"> 2252A. </w:t>
      </w:r>
      <w:r w:rsidR="6899DE9B" w:rsidRPr="00012D40">
        <w:rPr>
          <w:shd w:val="clear" w:color="auto" w:fill="FFFFFF"/>
        </w:rPr>
        <w:t>Specifi</w:t>
      </w:r>
      <w:r w:rsidR="026A5525" w:rsidRPr="00012D40">
        <w:rPr>
          <w:shd w:val="clear" w:color="auto" w:fill="FFFFFF"/>
        </w:rPr>
        <w:t xml:space="preserve">cally, </w:t>
      </w:r>
      <w:r w:rsidR="2480AA59" w:rsidRPr="12383FEE">
        <w:t xml:space="preserve">18 U.S.C. § </w:t>
      </w:r>
      <w:r w:rsidR="6899DE9B" w:rsidRPr="00012D40">
        <w:rPr>
          <w:shd w:val="clear" w:color="auto" w:fill="FFFFFF"/>
        </w:rPr>
        <w:t>2251 makes it illegal to persuade, induce, entice, or coerce a minor to engage in sexually explicit conduct for purposes of producing visual depictions of that conduct. Any individual who attempts or conspires to commit a child pornography offense is also subject to</w:t>
      </w:r>
      <w:r w:rsidR="026A5525" w:rsidRPr="00012D40">
        <w:rPr>
          <w:shd w:val="clear" w:color="auto" w:fill="FFFFFF"/>
        </w:rPr>
        <w:t xml:space="preserve"> prosecution under federal law.</w:t>
      </w:r>
      <w:r w:rsidR="6899DE9B" w:rsidRPr="00012D40">
        <w:rPr>
          <w:shd w:val="clear" w:color="auto" w:fill="FFFFFF"/>
        </w:rPr>
        <w:t xml:space="preserve"> With regard to the Committee’s concerns, we are not aware of harmful offenses related to child pornography that cannot be prosecuted effective</w:t>
      </w:r>
      <w:r w:rsidR="33FC69D5" w:rsidRPr="12383FEE">
        <w:t>l</w:t>
      </w:r>
      <w:r w:rsidR="2324EB1D" w:rsidRPr="12383FEE">
        <w:t>y</w:t>
      </w:r>
      <w:r w:rsidR="6899DE9B" w:rsidRPr="00012D40">
        <w:rPr>
          <w:shd w:val="clear" w:color="auto" w:fill="FFFFFF"/>
        </w:rPr>
        <w:t xml:space="preserve"> under </w:t>
      </w:r>
      <w:r w:rsidR="25C8225F" w:rsidRPr="12383FEE">
        <w:t>U.S.</w:t>
      </w:r>
      <w:r w:rsidR="00B82CE5">
        <w:t xml:space="preserve"> </w:t>
      </w:r>
      <w:r w:rsidR="6899DE9B" w:rsidRPr="00012D40">
        <w:rPr>
          <w:shd w:val="clear" w:color="auto" w:fill="FFFFFF"/>
        </w:rPr>
        <w:t>law.</w:t>
      </w:r>
    </w:p>
    <w:p w14:paraId="32E0116B" w14:textId="52ACE7FC" w:rsidR="00C059A3" w:rsidRPr="00DC6B79" w:rsidRDefault="76263C69" w:rsidP="00B500E3">
      <w:pPr>
        <w:ind w:left="0" w:firstLine="0"/>
        <w:rPr>
          <w:rFonts w:ascii="Times" w:hAnsi="Times"/>
        </w:rPr>
      </w:pPr>
      <w:r w:rsidRPr="00012D40">
        <w:rPr>
          <w:shd w:val="clear" w:color="auto" w:fill="FFFFFF"/>
        </w:rPr>
        <w:t>In the United States, those convicted of o</w:t>
      </w:r>
      <w:r w:rsidR="3146BD4C" w:rsidRPr="00012D40">
        <w:rPr>
          <w:shd w:val="clear" w:color="auto" w:fill="FFFFFF"/>
        </w:rPr>
        <w:t xml:space="preserve">ffenses covered by the OPSC are subject to appropriate </w:t>
      </w:r>
      <w:r w:rsidR="2093F1BB" w:rsidRPr="00012D40">
        <w:rPr>
          <w:shd w:val="clear" w:color="auto" w:fill="FFFFFF"/>
        </w:rPr>
        <w:t>punishment</w:t>
      </w:r>
      <w:r w:rsidR="026A5525" w:rsidRPr="00012D40">
        <w:rPr>
          <w:shd w:val="clear" w:color="auto" w:fill="FFFFFF"/>
        </w:rPr>
        <w:t xml:space="preserve"> under federal and state law, and t</w:t>
      </w:r>
      <w:r w:rsidR="3146BD4C" w:rsidRPr="00012D40">
        <w:rPr>
          <w:shd w:val="clear" w:color="auto" w:fill="FFFFFF"/>
        </w:rPr>
        <w:t>he same is true for</w:t>
      </w:r>
      <w:r w:rsidR="6110E305" w:rsidRPr="00012D40">
        <w:rPr>
          <w:shd w:val="clear" w:color="auto" w:fill="FFFFFF"/>
        </w:rPr>
        <w:t xml:space="preserve"> those convicted of</w:t>
      </w:r>
      <w:r w:rsidR="3146BD4C" w:rsidRPr="00012D40">
        <w:rPr>
          <w:shd w:val="clear" w:color="auto" w:fill="FFFFFF"/>
        </w:rPr>
        <w:t xml:space="preserve"> attempt to commit </w:t>
      </w:r>
      <w:r w:rsidR="09FB0F64" w:rsidRPr="00012D40">
        <w:rPr>
          <w:shd w:val="clear" w:color="auto" w:fill="FFFFFF"/>
        </w:rPr>
        <w:t xml:space="preserve">such </w:t>
      </w:r>
      <w:r w:rsidR="3146BD4C" w:rsidRPr="00012D40">
        <w:rPr>
          <w:shd w:val="clear" w:color="auto" w:fill="FFFFFF"/>
        </w:rPr>
        <w:t>offenses.</w:t>
      </w:r>
      <w:r w:rsidR="02BD22EC" w:rsidRPr="00012D40">
        <w:rPr>
          <w:shd w:val="clear" w:color="auto" w:fill="FFFFFF"/>
        </w:rPr>
        <w:t xml:space="preserve"> Any violation of federal child pornography law is a serious crime, and convicted offenders fa</w:t>
      </w:r>
      <w:r w:rsidR="00917E5F">
        <w:rPr>
          <w:shd w:val="clear" w:color="auto" w:fill="FFFFFF"/>
        </w:rPr>
        <w:t xml:space="preserve">ce </w:t>
      </w:r>
      <w:r w:rsidR="009207D1">
        <w:rPr>
          <w:shd w:val="clear" w:color="auto" w:fill="FFFFFF"/>
        </w:rPr>
        <w:t>appropriate</w:t>
      </w:r>
      <w:r w:rsidR="00917E5F">
        <w:rPr>
          <w:shd w:val="clear" w:color="auto" w:fill="FFFFFF"/>
        </w:rPr>
        <w:t xml:space="preserve"> statutory penalties. </w:t>
      </w:r>
      <w:r w:rsidR="02BD22EC" w:rsidRPr="00012D40">
        <w:rPr>
          <w:shd w:val="clear" w:color="auto" w:fill="FFFFFF"/>
        </w:rPr>
        <w:t>For example, a first</w:t>
      </w:r>
      <w:r w:rsidR="00186807">
        <w:rPr>
          <w:shd w:val="clear" w:color="auto" w:fill="FFFFFF"/>
        </w:rPr>
        <w:t>-</w:t>
      </w:r>
      <w:r w:rsidR="02BD22EC" w:rsidRPr="00012D40">
        <w:rPr>
          <w:shd w:val="clear" w:color="auto" w:fill="FFFFFF"/>
        </w:rPr>
        <w:t>time offender convicted</w:t>
      </w:r>
      <w:r w:rsidR="3146BD4C" w:rsidRPr="00012D40">
        <w:rPr>
          <w:shd w:val="clear" w:color="auto" w:fill="FFFFFF"/>
        </w:rPr>
        <w:t xml:space="preserve"> </w:t>
      </w:r>
      <w:r w:rsidR="02BD22EC" w:rsidRPr="00012D40">
        <w:rPr>
          <w:shd w:val="clear" w:color="auto" w:fill="FFFFFF"/>
        </w:rPr>
        <w:t xml:space="preserve">of producing child pornography under 18 U.S.C. </w:t>
      </w:r>
      <w:r w:rsidR="02BD22EC" w:rsidRPr="00012D40">
        <w:t xml:space="preserve">§ 2251 faces fines and a statutory minimum of 15 years to 30 years maximum in prison. A </w:t>
      </w:r>
      <w:r w:rsidR="00B0273D" w:rsidRPr="00012D40">
        <w:t>first-time</w:t>
      </w:r>
      <w:r w:rsidR="02BD22EC" w:rsidRPr="00012D40">
        <w:t xml:space="preserve"> offender convicted of transporting child pornography in interstate or foreign commerce under 18 U.S.C.</w:t>
      </w:r>
      <w:r w:rsidR="02BD22EC" w:rsidRPr="00012D40">
        <w:rPr>
          <w:shd w:val="clear" w:color="auto" w:fill="FFFFFF"/>
        </w:rPr>
        <w:t xml:space="preserve"> </w:t>
      </w:r>
      <w:r w:rsidR="02BD22EC" w:rsidRPr="00012D40">
        <w:t xml:space="preserve">§ 2252 faces fines and a statutory minimum of </w:t>
      </w:r>
      <w:r w:rsidR="74E849D0" w:rsidRPr="00012D40">
        <w:t>five</w:t>
      </w:r>
      <w:r w:rsidR="02BD22EC" w:rsidRPr="00012D40">
        <w:t xml:space="preserve"> years to 20 years maximum in prison. Convicted offenders may face harsher penalties if the</w:t>
      </w:r>
      <w:r w:rsidR="1702C9CA" w:rsidRPr="00012D40">
        <w:t>y</w:t>
      </w:r>
      <w:r w:rsidR="02BD22EC" w:rsidRPr="00012D40">
        <w:t xml:space="preserve"> ha</w:t>
      </w:r>
      <w:r w:rsidR="7C5F4572" w:rsidRPr="00012D40">
        <w:t>ve</w:t>
      </w:r>
      <w:r w:rsidR="02BD22EC" w:rsidRPr="00012D40">
        <w:t xml:space="preserve"> prior convictions</w:t>
      </w:r>
      <w:r w:rsidR="009207D1">
        <w:t xml:space="preserve"> for offenses related to child sexual exploitation or sexual assault</w:t>
      </w:r>
      <w:r w:rsidR="001C1C9A">
        <w:t>.</w:t>
      </w:r>
      <w:r w:rsidR="02BD22EC" w:rsidRPr="00012D40">
        <w:t xml:space="preserve"> In these circumstances, a convicted offender may face up to life imprisonment. </w:t>
      </w:r>
      <w:r w:rsidR="576FD385" w:rsidRPr="00012D40">
        <w:t>Accordingly, w</w:t>
      </w:r>
      <w:r w:rsidR="3146BD4C" w:rsidRPr="00012D40">
        <w:rPr>
          <w:shd w:val="clear" w:color="auto" w:fill="FFFFFF"/>
        </w:rPr>
        <w:t xml:space="preserve">e are not aware of </w:t>
      </w:r>
      <w:r w:rsidR="2093F1BB" w:rsidRPr="00012D40">
        <w:rPr>
          <w:shd w:val="clear" w:color="auto" w:fill="FFFFFF"/>
        </w:rPr>
        <w:t xml:space="preserve">any </w:t>
      </w:r>
      <w:r w:rsidR="4CD31688" w:rsidRPr="00012D40">
        <w:rPr>
          <w:shd w:val="clear" w:color="auto" w:fill="FFFFFF"/>
        </w:rPr>
        <w:t xml:space="preserve">circumstance where </w:t>
      </w:r>
      <w:r w:rsidR="7638E291" w:rsidRPr="00012D40">
        <w:rPr>
          <w:shd w:val="clear" w:color="auto" w:fill="FFFFFF"/>
        </w:rPr>
        <w:t xml:space="preserve">the </w:t>
      </w:r>
      <w:r w:rsidR="558F9561" w:rsidRPr="00012D40">
        <w:rPr>
          <w:shd w:val="clear" w:color="auto" w:fill="FFFFFF"/>
        </w:rPr>
        <w:t>penalties prescribed by U.S. law</w:t>
      </w:r>
      <w:r w:rsidR="2093F1BB" w:rsidRPr="00012D40">
        <w:rPr>
          <w:shd w:val="clear" w:color="auto" w:fill="FFFFFF"/>
        </w:rPr>
        <w:t xml:space="preserve"> </w:t>
      </w:r>
      <w:r w:rsidR="6DA385A2" w:rsidRPr="00012D40">
        <w:rPr>
          <w:shd w:val="clear" w:color="auto" w:fill="FFFFFF"/>
        </w:rPr>
        <w:t>for offenses covered by the OP</w:t>
      </w:r>
      <w:r w:rsidR="00186807">
        <w:rPr>
          <w:shd w:val="clear" w:color="auto" w:fill="FFFFFF"/>
        </w:rPr>
        <w:t>S</w:t>
      </w:r>
      <w:r w:rsidR="6DA385A2" w:rsidRPr="00012D40">
        <w:rPr>
          <w:shd w:val="clear" w:color="auto" w:fill="FFFFFF"/>
        </w:rPr>
        <w:t xml:space="preserve">C </w:t>
      </w:r>
      <w:r w:rsidR="2093F1BB" w:rsidRPr="00012D40">
        <w:rPr>
          <w:shd w:val="clear" w:color="auto" w:fill="FFFFFF"/>
        </w:rPr>
        <w:t>are not</w:t>
      </w:r>
      <w:r w:rsidR="6363562C" w:rsidRPr="00012D40">
        <w:rPr>
          <w:shd w:val="clear" w:color="auto" w:fill="FFFFFF"/>
        </w:rPr>
        <w:t xml:space="preserve"> </w:t>
      </w:r>
      <w:r w:rsidR="2B40EC14" w:rsidRPr="00012D40">
        <w:rPr>
          <w:shd w:val="clear" w:color="auto" w:fill="FFFFFF"/>
        </w:rPr>
        <w:t xml:space="preserve">considered </w:t>
      </w:r>
      <w:r w:rsidR="6363562C" w:rsidRPr="00012D40">
        <w:rPr>
          <w:shd w:val="clear" w:color="auto" w:fill="FFFFFF"/>
        </w:rPr>
        <w:t>appropriate</w:t>
      </w:r>
      <w:r w:rsidR="001DA7D0" w:rsidRPr="00012D40">
        <w:rPr>
          <w:shd w:val="clear" w:color="auto" w:fill="FFFFFF"/>
        </w:rPr>
        <w:t xml:space="preserve"> or otherwise commensurate with the gravity of the crime</w:t>
      </w:r>
      <w:r w:rsidR="6363562C" w:rsidRPr="00012D40">
        <w:rPr>
          <w:shd w:val="clear" w:color="auto" w:fill="FFFFFF"/>
        </w:rPr>
        <w:t>,</w:t>
      </w:r>
      <w:r w:rsidR="05796380" w:rsidRPr="00012D40">
        <w:rPr>
          <w:shd w:val="clear" w:color="auto" w:fill="FFFFFF"/>
        </w:rPr>
        <w:t xml:space="preserve"> consistent</w:t>
      </w:r>
      <w:r w:rsidR="2093F1BB" w:rsidRPr="00012D40">
        <w:rPr>
          <w:shd w:val="clear" w:color="auto" w:fill="FFFFFF"/>
        </w:rPr>
        <w:t xml:space="preserve"> with Article 3 of the OPSC.</w:t>
      </w:r>
    </w:p>
    <w:p w14:paraId="5F00181D" w14:textId="4E14BE3C" w:rsidR="00136696" w:rsidRPr="00012D40" w:rsidRDefault="6899DE9B" w:rsidP="00B500E3">
      <w:pPr>
        <w:ind w:left="0" w:firstLine="0"/>
      </w:pPr>
      <w:r w:rsidRPr="7DE3C874">
        <w:rPr>
          <w:b/>
          <w:bCs/>
        </w:rPr>
        <w:t>Sale of Organs</w:t>
      </w:r>
      <w:r w:rsidR="7A105811" w:rsidRPr="00EF2892">
        <w:rPr>
          <w:b/>
          <w:bCs/>
        </w:rPr>
        <w:t>.</w:t>
      </w:r>
      <w:r w:rsidR="7A105811" w:rsidRPr="7DE3C874">
        <w:rPr>
          <w:b/>
          <w:bCs/>
        </w:rPr>
        <w:t xml:space="preserve">  </w:t>
      </w:r>
      <w:r w:rsidR="6FC63B29" w:rsidRPr="00012D40">
        <w:t>The</w:t>
      </w:r>
      <w:r w:rsidR="7A105811" w:rsidRPr="00012D40">
        <w:t xml:space="preserve"> National Organ Transplant Act</w:t>
      </w:r>
      <w:r w:rsidR="489BEF33" w:rsidRPr="00012D40">
        <w:t xml:space="preserve"> of 1984</w:t>
      </w:r>
      <w:r w:rsidR="7A105811" w:rsidRPr="00012D40">
        <w:t xml:space="preserve"> (NOTA</w:t>
      </w:r>
      <w:r w:rsidR="489BEF33" w:rsidRPr="00012D40">
        <w:t>)</w:t>
      </w:r>
      <w:r w:rsidR="002247FD">
        <w:t>, as amended,</w:t>
      </w:r>
      <w:r w:rsidR="6FC63B29" w:rsidRPr="00012D40">
        <w:t xml:space="preserve"> established a criminal prohibition against the exchange of organs for transplantati</w:t>
      </w:r>
      <w:r w:rsidR="4679947A" w:rsidRPr="00012D40">
        <w:t xml:space="preserve">on for valuable consideration. </w:t>
      </w:r>
      <w:r w:rsidR="1AFEB1DC" w:rsidRPr="00012D40">
        <w:t>NOTA</w:t>
      </w:r>
      <w:r w:rsidR="6FC63B29" w:rsidRPr="00012D40">
        <w:rPr>
          <w:rFonts w:eastAsia="Times New Roman"/>
          <w:shd w:val="clear" w:color="auto" w:fill="FFFFFF"/>
        </w:rPr>
        <w:t xml:space="preserve"> authorized the Secret</w:t>
      </w:r>
      <w:r w:rsidR="4679947A" w:rsidRPr="00012D40">
        <w:rPr>
          <w:rFonts w:eastAsia="Times New Roman"/>
          <w:shd w:val="clear" w:color="auto" w:fill="FFFFFF"/>
        </w:rPr>
        <w:t>ary of HHS</w:t>
      </w:r>
      <w:r w:rsidR="6FC63B29" w:rsidRPr="00012D40">
        <w:rPr>
          <w:rFonts w:eastAsia="Times New Roman"/>
          <w:shd w:val="clear" w:color="auto" w:fill="FFFFFF"/>
        </w:rPr>
        <w:t xml:space="preserve"> to make grants </w:t>
      </w:r>
      <w:r w:rsidR="002247FD">
        <w:rPr>
          <w:rFonts w:eastAsia="Times New Roman"/>
          <w:shd w:val="clear" w:color="auto" w:fill="FFFFFF"/>
        </w:rPr>
        <w:t>to</w:t>
      </w:r>
      <w:r w:rsidR="6FC63B29" w:rsidRPr="00012D40">
        <w:rPr>
          <w:rFonts w:eastAsia="Times New Roman"/>
          <w:shd w:val="clear" w:color="auto" w:fill="FFFFFF"/>
        </w:rPr>
        <w:t xml:space="preserve"> organ procurement organizations, created the Scientific Registry of Transplant Recipients, </w:t>
      </w:r>
      <w:r w:rsidR="0016629C">
        <w:rPr>
          <w:rFonts w:eastAsia="Times New Roman"/>
          <w:shd w:val="clear" w:color="auto" w:fill="FFFFFF"/>
        </w:rPr>
        <w:t xml:space="preserve">and </w:t>
      </w:r>
      <w:r w:rsidR="1DD54BB6" w:rsidRPr="00012D40">
        <w:rPr>
          <w:rFonts w:eastAsia="Times New Roman"/>
          <w:shd w:val="clear" w:color="auto" w:fill="FFFFFF"/>
        </w:rPr>
        <w:t xml:space="preserve">created the Health Resources and Services Center, Organ Procurement and Transplantation Network and </w:t>
      </w:r>
      <w:r w:rsidR="0016629C">
        <w:rPr>
          <w:rFonts w:eastAsia="Times New Roman"/>
          <w:shd w:val="clear" w:color="auto" w:fill="FFFFFF"/>
        </w:rPr>
        <w:t>p</w:t>
      </w:r>
      <w:r w:rsidR="1DD54BB6" w:rsidRPr="00012D40">
        <w:rPr>
          <w:rFonts w:eastAsia="Times New Roman"/>
          <w:shd w:val="clear" w:color="auto" w:fill="FFFFFF"/>
        </w:rPr>
        <w:t>artnership</w:t>
      </w:r>
      <w:r w:rsidR="0016629C">
        <w:rPr>
          <w:rFonts w:eastAsia="Times New Roman"/>
          <w:shd w:val="clear" w:color="auto" w:fill="FFFFFF"/>
        </w:rPr>
        <w:t>s</w:t>
      </w:r>
      <w:r w:rsidR="1DD54BB6" w:rsidRPr="00012D40">
        <w:rPr>
          <w:rFonts w:eastAsia="Times New Roman"/>
          <w:shd w:val="clear" w:color="auto" w:fill="FFFFFF"/>
        </w:rPr>
        <w:t xml:space="preserve"> </w:t>
      </w:r>
      <w:r w:rsidR="026A5525" w:rsidRPr="00012D40">
        <w:rPr>
          <w:rFonts w:eastAsia="Times New Roman"/>
          <w:shd w:val="clear" w:color="auto" w:fill="FFFFFF"/>
        </w:rPr>
        <w:t>within HHS</w:t>
      </w:r>
      <w:r w:rsidR="6FC63B29" w:rsidRPr="00012D40">
        <w:rPr>
          <w:rFonts w:eastAsia="Times New Roman"/>
          <w:shd w:val="clear" w:color="auto" w:fill="FFFFFF"/>
        </w:rPr>
        <w:t xml:space="preserve"> to administer these activities. </w:t>
      </w:r>
      <w:r w:rsidR="0016629C">
        <w:rPr>
          <w:rFonts w:eastAsia="Times New Roman"/>
          <w:shd w:val="clear" w:color="auto" w:fill="FFFFFF"/>
        </w:rPr>
        <w:t xml:space="preserve">Violation of this criminal prohibition in NOTA is </w:t>
      </w:r>
      <w:r w:rsidR="0016629C" w:rsidRPr="00012D40">
        <w:rPr>
          <w:rFonts w:eastAsia="Times New Roman"/>
          <w:shd w:val="clear" w:color="auto" w:fill="FFFFFF"/>
        </w:rPr>
        <w:t xml:space="preserve">punishable by up to </w:t>
      </w:r>
      <w:r w:rsidR="25470674" w:rsidRPr="00012D40">
        <w:rPr>
          <w:rFonts w:eastAsia="Times New Roman"/>
          <w:shd w:val="clear" w:color="auto" w:fill="FFFFFF"/>
        </w:rPr>
        <w:t>five</w:t>
      </w:r>
      <w:r w:rsidR="0016629C" w:rsidRPr="00012D40">
        <w:rPr>
          <w:rFonts w:eastAsia="Times New Roman"/>
          <w:shd w:val="clear" w:color="auto" w:fill="FFFFFF"/>
        </w:rPr>
        <w:t xml:space="preserve"> years in prison </w:t>
      </w:r>
      <w:r w:rsidR="0016629C">
        <w:rPr>
          <w:rFonts w:eastAsia="Times New Roman"/>
          <w:shd w:val="clear" w:color="auto" w:fill="FFFFFF"/>
        </w:rPr>
        <w:t>or</w:t>
      </w:r>
      <w:r w:rsidR="0016629C" w:rsidRPr="00012D40">
        <w:rPr>
          <w:rFonts w:eastAsia="Times New Roman"/>
          <w:shd w:val="clear" w:color="auto" w:fill="FFFFFF"/>
        </w:rPr>
        <w:t xml:space="preserve"> a fine of </w:t>
      </w:r>
      <w:r w:rsidR="0016629C">
        <w:rPr>
          <w:rFonts w:eastAsia="Times New Roman"/>
          <w:shd w:val="clear" w:color="auto" w:fill="FFFFFF"/>
        </w:rPr>
        <w:t xml:space="preserve">not more than </w:t>
      </w:r>
      <w:r w:rsidR="0016629C" w:rsidRPr="00012D40">
        <w:rPr>
          <w:rFonts w:eastAsia="Times New Roman"/>
          <w:shd w:val="clear" w:color="auto" w:fill="FFFFFF"/>
        </w:rPr>
        <w:t>$50,000</w:t>
      </w:r>
      <w:r w:rsidR="0016629C">
        <w:rPr>
          <w:rFonts w:eastAsia="Times New Roman"/>
          <w:shd w:val="clear" w:color="auto" w:fill="FFFFFF"/>
        </w:rPr>
        <w:t xml:space="preserve"> or both</w:t>
      </w:r>
      <w:r w:rsidR="0016629C" w:rsidRPr="00012D40">
        <w:rPr>
          <w:rFonts w:eastAsia="Times New Roman"/>
          <w:shd w:val="clear" w:color="auto" w:fill="FFFFFF"/>
        </w:rPr>
        <w:t>.</w:t>
      </w:r>
      <w:r w:rsidR="0016629C" w:rsidRPr="00012D40">
        <w:t xml:space="preserve"> NOTA does allow </w:t>
      </w:r>
      <w:r w:rsidR="0016629C">
        <w:t>for reasonable payments associated with the removal, transportation, implantation, processing, preservation, quality control, and storage of a human organ. NOTA also allows payments for the expenses of travel, housing, and lost wages incurred by living organ donors.</w:t>
      </w:r>
      <w:r w:rsidR="0016629C" w:rsidRPr="00012D40">
        <w:t xml:space="preserve"> </w:t>
      </w:r>
      <w:r w:rsidR="4679947A" w:rsidRPr="00012D40">
        <w:t>The Uniform Anatomical Gift Act, a model statut</w:t>
      </w:r>
      <w:r w:rsidR="026A5525" w:rsidRPr="00012D40">
        <w:t>e intended for adoption in state</w:t>
      </w:r>
      <w:r w:rsidR="4679947A" w:rsidRPr="00012D40">
        <w:t xml:space="preserve"> jurisdiction</w:t>
      </w:r>
      <w:r w:rsidR="026A5525" w:rsidRPr="00012D40">
        <w:t>s</w:t>
      </w:r>
      <w:r w:rsidR="4679947A" w:rsidRPr="00012D40">
        <w:t>, also bans sale of organs.</w:t>
      </w:r>
      <w:r w:rsidR="6FC63B29" w:rsidRPr="00012D40">
        <w:t xml:space="preserve"> </w:t>
      </w:r>
      <w:r w:rsidR="4679947A" w:rsidRPr="00012D40">
        <w:t xml:space="preserve">A 2013 HHS regulation clarified that blood stem cells </w:t>
      </w:r>
      <w:r w:rsidR="6FC63B29" w:rsidRPr="00012D40">
        <w:t xml:space="preserve">fall under the definition of “human organ” under NOTA, thereby making illegal the transfer of such blood cells for valuable consideration. </w:t>
      </w:r>
      <w:r w:rsidR="4679947A" w:rsidRPr="00012D40">
        <w:t xml:space="preserve">In 2011, DOJ prosecuted the first organ trafficking case under NOTA, in which the defendant pleaded guilty and was sentenced to two and a half years in prison for brokering three illegal kidney transplants for adult customers </w:t>
      </w:r>
      <w:r w:rsidR="489BEF33" w:rsidRPr="00012D40">
        <w:t>in New Jersey.</w:t>
      </w:r>
      <w:r w:rsidR="4679947A" w:rsidRPr="00012D40">
        <w:t xml:space="preserve"> There are no known reports of sale of children’s organs in the United States.</w:t>
      </w:r>
    </w:p>
    <w:p w14:paraId="3DACC467" w14:textId="7C9F5E64" w:rsidR="00205C91" w:rsidRPr="00012D40" w:rsidRDefault="489BEF33" w:rsidP="00B500E3">
      <w:pPr>
        <w:ind w:left="0" w:firstLine="0"/>
      </w:pPr>
      <w:r w:rsidRPr="5C531F67">
        <w:t xml:space="preserve">A compilation of state statutes concerning sale of organs, prepared by the National District Attorneys Association was attached to our Second Periodic Report. </w:t>
      </w:r>
      <w:r w:rsidR="0016629C" w:rsidRPr="5C531F67">
        <w:t xml:space="preserve">A website that covers the legislation, policy, and history of organ donation in </w:t>
      </w:r>
      <w:r w:rsidR="0016629C" w:rsidRPr="00B0273D">
        <w:t>the U</w:t>
      </w:r>
      <w:r w:rsidR="0340C848" w:rsidRPr="00B0273D">
        <w:t xml:space="preserve">nited </w:t>
      </w:r>
      <w:r w:rsidR="0016629C" w:rsidRPr="00B0273D">
        <w:t>S</w:t>
      </w:r>
      <w:r w:rsidR="39E636DF" w:rsidRPr="00B0273D">
        <w:t>tates</w:t>
      </w:r>
      <w:r w:rsidR="0016629C" w:rsidRPr="00B0273D">
        <w:t xml:space="preserve"> can be found at: </w:t>
      </w:r>
      <w:hyperlink r:id="rId29" w:history="1">
        <w:r w:rsidR="00A431D1" w:rsidRPr="00B0273D">
          <w:rPr>
            <w:rStyle w:val="Hyperlink"/>
          </w:rPr>
          <w:t>https://optn.transplant.hrsa.gov/about/history-nota/</w:t>
        </w:r>
      </w:hyperlink>
      <w:r w:rsidR="0016629C" w:rsidRPr="006A668C">
        <w:t>.</w:t>
      </w:r>
      <w:r w:rsidR="0016629C" w:rsidRPr="5C531F67">
        <w:rPr>
          <w:color w:val="1F497D" w:themeColor="text2"/>
        </w:rPr>
        <w:t xml:space="preserve"> </w:t>
      </w:r>
      <w:r w:rsidRPr="5C531F67">
        <w:t xml:space="preserve">As explained in the U.S. </w:t>
      </w:r>
      <w:r w:rsidR="35F16766" w:rsidRPr="5C531F67">
        <w:t>initial report</w:t>
      </w:r>
      <w:r w:rsidRPr="5C531F67">
        <w:t xml:space="preserve">, at paragraphs 19-20, although U.S. state laws may not always criminalize the sale of organs </w:t>
      </w:r>
      <w:r w:rsidRPr="5C531F67">
        <w:rPr>
          <w:i/>
          <w:iCs/>
        </w:rPr>
        <w:t>per se</w:t>
      </w:r>
      <w:r w:rsidRPr="5C531F67">
        <w:t>, conduct prohibited by the OPSC would necessarily fall within the scope of one or more state criminal statutes, such as assault, battery, maiming, child abuse, or criminal homicide</w:t>
      </w:r>
      <w:r w:rsidR="79AEE41E" w:rsidRPr="5C531F67">
        <w:t>, consistent with the United States’ obligations under the OPSC</w:t>
      </w:r>
      <w:r w:rsidRPr="5C531F67">
        <w:t>.</w:t>
      </w:r>
      <w:r w:rsidR="37283C50" w:rsidRPr="5C531F67">
        <w:t xml:space="preserve"> </w:t>
      </w:r>
      <w:r w:rsidR="00045D69" w:rsidRPr="5C531F67">
        <w:t xml:space="preserve">We also note that non-governmental organizations in the United States, such as the Organ Donation and Transplantation Alliance, track and report on state laws regarding organ donation and transplantation and related issues. </w:t>
      </w:r>
    </w:p>
    <w:p w14:paraId="05CBB8CB" w14:textId="0CD2D2A0" w:rsidR="00666C45" w:rsidRPr="00012D40" w:rsidRDefault="0B4A262C" w:rsidP="00B500E3">
      <w:pPr>
        <w:ind w:left="0" w:firstLine="0"/>
      </w:pPr>
      <w:r w:rsidRPr="7DE3C874">
        <w:rPr>
          <w:b/>
          <w:bCs/>
        </w:rPr>
        <w:t xml:space="preserve">Extraterritorial </w:t>
      </w:r>
      <w:r w:rsidR="007170FC">
        <w:rPr>
          <w:b/>
          <w:bCs/>
        </w:rPr>
        <w:t>J</w:t>
      </w:r>
      <w:r w:rsidR="007170FC" w:rsidRPr="7DE3C874">
        <w:rPr>
          <w:b/>
          <w:bCs/>
        </w:rPr>
        <w:t>urisdiction</w:t>
      </w:r>
      <w:r w:rsidRPr="00EF2892">
        <w:rPr>
          <w:b/>
          <w:bCs/>
        </w:rPr>
        <w:t>.</w:t>
      </w:r>
      <w:r w:rsidRPr="00B0273D">
        <w:t xml:space="preserve"> </w:t>
      </w:r>
      <w:r w:rsidRPr="00012D40">
        <w:t xml:space="preserve"> As noted in our previous report, establishment of jurisdiction by a State Party over its nationals as perpetrators or victims outside its territory under OPSC Article 4(2) is not mandatory, and the United States does not routinely do so. Nonetheless, as discussed in Section V (L) (Jurisdiction</w:t>
      </w:r>
      <w:r w:rsidR="35F16766" w:rsidRPr="00012D40">
        <w:t>)</w:t>
      </w:r>
      <w:r w:rsidRPr="00012D40">
        <w:t xml:space="preserve"> of the Second Periodic Report, in addition to cases covered by the special aircraft or special maritime and territorial jurisdiction, U.S. law extends jurisdiction under a number of statutes relevant</w:t>
      </w:r>
      <w:r w:rsidR="596B6C99" w:rsidRPr="00012D40">
        <w:t xml:space="preserve"> to implementation of the OPSC.</w:t>
      </w:r>
      <w:r w:rsidRPr="00012D40">
        <w:t xml:space="preserve"> </w:t>
      </w:r>
      <w:r w:rsidR="0A5277D3" w:rsidRPr="7DE3C874">
        <w:t xml:space="preserve">For all these statutes, a child is considered to be anyone under the age of 18. </w:t>
      </w:r>
    </w:p>
    <w:p w14:paraId="238F0D06" w14:textId="1352C8C4" w:rsidR="00666C45" w:rsidRPr="00012D40" w:rsidRDefault="00B0376F" w:rsidP="00B500E3">
      <w:pPr>
        <w:ind w:left="0" w:firstLine="0"/>
      </w:pPr>
      <w:r>
        <w:t>For example, f</w:t>
      </w:r>
      <w:r w:rsidR="0B4A262C" w:rsidRPr="00012D40">
        <w:t>ederal law provides “extraterritorial jurisdiction” over certain sex offenses against children</w:t>
      </w:r>
      <w:r w:rsidR="596B6C99" w:rsidRPr="00012D40">
        <w:t xml:space="preserve">. </w:t>
      </w:r>
      <w:r w:rsidR="0B4A262C" w:rsidRPr="00012D40">
        <w:t>18 U.S.C.</w:t>
      </w:r>
      <w:r w:rsidR="35F16766" w:rsidRPr="00012D40">
        <w:rPr>
          <w:rFonts w:eastAsia="Times New Roman"/>
          <w:shd w:val="clear" w:color="auto" w:fill="FFFFFF"/>
        </w:rPr>
        <w:t xml:space="preserve"> </w:t>
      </w:r>
      <w:r w:rsidR="35F16766" w:rsidRPr="00012D40">
        <w:t>§</w:t>
      </w:r>
      <w:r w:rsidR="0B4A262C" w:rsidRPr="00012D40">
        <w:t xml:space="preserve"> 2423(c) prohibits U.S. citizens or legal permanent residents from traveling from the United States to a foreign country, </w:t>
      </w:r>
      <w:r w:rsidR="00032578">
        <w:t xml:space="preserve">or residing in a foreign country </w:t>
      </w:r>
      <w:r w:rsidR="0B4A262C" w:rsidRPr="00012D40">
        <w:t>and while there, raping o</w:t>
      </w:r>
      <w:r w:rsidR="4A300AB0" w:rsidRPr="12383FEE">
        <w:t>r</w:t>
      </w:r>
      <w:r w:rsidR="0B4A262C" w:rsidRPr="00012D40">
        <w:t xml:space="preserve"> sexually molesting a child</w:t>
      </w:r>
      <w:r w:rsidR="00032578">
        <w:t>, producing child pornography, or engaging in a commercial sex act with a child</w:t>
      </w:r>
      <w:r w:rsidR="596B6C99" w:rsidRPr="00012D40">
        <w:t xml:space="preserve">. </w:t>
      </w:r>
      <w:r w:rsidR="0B4A262C" w:rsidRPr="00012D40">
        <w:t xml:space="preserve">Citizens can be punished under this law even if the conduct they engaged in was legal in </w:t>
      </w:r>
      <w:r w:rsidR="596B6C99" w:rsidRPr="00012D40">
        <w:t xml:space="preserve">the country where it occurred. </w:t>
      </w:r>
      <w:r w:rsidR="0B4A262C" w:rsidRPr="00012D40">
        <w:t>For example, if an individual traveled to a country that had legalized prostitution,</w:t>
      </w:r>
      <w:r w:rsidRPr="3D0A45CF">
        <w:rPr>
          <w:rStyle w:val="FootnoteReference"/>
        </w:rPr>
        <w:footnoteReference w:id="5"/>
      </w:r>
      <w:r w:rsidR="0B4A262C" w:rsidRPr="3D0A45CF">
        <w:t xml:space="preserve"> and while there paid a child for sex, that individual could still be </w:t>
      </w:r>
      <w:r w:rsidR="151E147B" w:rsidRPr="12383FEE">
        <w:t xml:space="preserve">prosecuted and </w:t>
      </w:r>
      <w:r w:rsidR="006558A0">
        <w:t>convicted under the statute.</w:t>
      </w:r>
      <w:r w:rsidR="0B4A262C" w:rsidRPr="00012D40">
        <w:t xml:space="preserve"> The penalty is up to 30 years in prison.  </w:t>
      </w:r>
    </w:p>
    <w:p w14:paraId="0EA95AB8" w14:textId="3FF9D9FA" w:rsidR="00666C45" w:rsidRPr="00012D40" w:rsidRDefault="35F16766" w:rsidP="00B500E3">
      <w:pPr>
        <w:ind w:left="0" w:firstLine="0"/>
      </w:pPr>
      <w:r w:rsidRPr="00012D40">
        <w:t>18 U.S.C.</w:t>
      </w:r>
      <w:r w:rsidRPr="00012D40">
        <w:rPr>
          <w:rFonts w:eastAsia="Times New Roman"/>
          <w:shd w:val="clear" w:color="auto" w:fill="FFFFFF"/>
        </w:rPr>
        <w:t xml:space="preserve"> </w:t>
      </w:r>
      <w:r w:rsidRPr="00012D40">
        <w:t xml:space="preserve">§ </w:t>
      </w:r>
      <w:r w:rsidR="3C90CCAA" w:rsidRPr="00012D40">
        <w:t xml:space="preserve">2423(b) makes it a crime for U.S. citizens or legal permanent residents to travel from the United States to a foreign country with </w:t>
      </w:r>
      <w:r w:rsidR="00032578">
        <w:t>a motivating purpose</w:t>
      </w:r>
      <w:r w:rsidR="3C90CCAA" w:rsidRPr="00012D40">
        <w:t xml:space="preserve"> to engage in illegal sexual conduct with a child, such as rape</w:t>
      </w:r>
      <w:r w:rsidRPr="00012D40">
        <w:t>, molestation, or prostitution. The difference between</w:t>
      </w:r>
      <w:r w:rsidRPr="00012D40">
        <w:rPr>
          <w:rFonts w:eastAsia="Times New Roman"/>
          <w:shd w:val="clear" w:color="auto" w:fill="FFFFFF"/>
        </w:rPr>
        <w:t xml:space="preserve"> </w:t>
      </w:r>
      <w:r w:rsidRPr="00012D40">
        <w:t>§ 2423(b) and</w:t>
      </w:r>
      <w:r w:rsidRPr="00012D40">
        <w:rPr>
          <w:rFonts w:eastAsia="Times New Roman"/>
          <w:shd w:val="clear" w:color="auto" w:fill="FFFFFF"/>
        </w:rPr>
        <w:t xml:space="preserve"> </w:t>
      </w:r>
      <w:r w:rsidRPr="00012D40">
        <w:t>§ 2423(c) is that §</w:t>
      </w:r>
      <w:r w:rsidR="3C90CCAA" w:rsidRPr="00012D40">
        <w:t xml:space="preserve"> 2423(b) requires proof that the defendant had formed criminal </w:t>
      </w:r>
      <w:r w:rsidR="00032578">
        <w:t>purpose</w:t>
      </w:r>
      <w:r w:rsidR="3C90CCAA" w:rsidRPr="00012D40">
        <w:t xml:space="preserve"> at the t</w:t>
      </w:r>
      <w:r w:rsidR="006558A0">
        <w:t>ime the defendant</w:t>
      </w:r>
      <w:r w:rsidRPr="00012D40">
        <w:t xml:space="preserve"> began to travel. </w:t>
      </w:r>
      <w:r w:rsidR="3C90CCAA" w:rsidRPr="00012D40">
        <w:t xml:space="preserve">The penalty for this offense is </w:t>
      </w:r>
      <w:r w:rsidRPr="00012D40">
        <w:t>also up to 30 years in prison. Finally,</w:t>
      </w:r>
      <w:r w:rsidRPr="00012D40">
        <w:rPr>
          <w:rFonts w:eastAsia="Times New Roman"/>
          <w:shd w:val="clear" w:color="auto" w:fill="FFFFFF"/>
        </w:rPr>
        <w:t xml:space="preserve"> </w:t>
      </w:r>
      <w:r w:rsidRPr="00012D40">
        <w:t>§</w:t>
      </w:r>
      <w:r w:rsidR="3C90CCAA" w:rsidRPr="00012D40">
        <w:t xml:space="preserve"> 2423(d) makes it a crime to be what is known informally as </w:t>
      </w:r>
      <w:r w:rsidR="596B6C99" w:rsidRPr="00012D40">
        <w:t>a “child sex tour operator.”</w:t>
      </w:r>
      <w:r w:rsidR="3C90CCAA" w:rsidRPr="00012D40">
        <w:t xml:space="preserve"> This statute makes it an offense to profit by facilitating the travel of U.S. citizens or legal permanent residents, knowing that they are traveling for the purpose of engagin</w:t>
      </w:r>
      <w:r w:rsidRPr="00012D40">
        <w:t xml:space="preserve">g in illegal sex with a minor. </w:t>
      </w:r>
      <w:r w:rsidR="3C90CCAA" w:rsidRPr="00012D40">
        <w:t>The penalty for this offense is up to 30 years in prison.</w:t>
      </w:r>
    </w:p>
    <w:p w14:paraId="22B237DE" w14:textId="2543258C" w:rsidR="00666C45" w:rsidRPr="00012D40" w:rsidRDefault="3EAADD03" w:rsidP="00B500E3">
      <w:pPr>
        <w:ind w:left="0" w:firstLine="0"/>
      </w:pPr>
      <w:r w:rsidRPr="4514C18F">
        <w:t>Some child pornography laws a</w:t>
      </w:r>
      <w:r w:rsidR="636B3FA2" w:rsidRPr="4514C18F">
        <w:t xml:space="preserve">lso apply to conduct overseas. </w:t>
      </w:r>
      <w:r w:rsidR="50736370" w:rsidRPr="4514C18F">
        <w:t>18 U.S.C.</w:t>
      </w:r>
      <w:r w:rsidRPr="4514C18F">
        <w:t xml:space="preserve"> </w:t>
      </w:r>
      <w:r w:rsidR="636B3FA2" w:rsidRPr="4514C18F">
        <w:t xml:space="preserve">§§ </w:t>
      </w:r>
      <w:r w:rsidRPr="4514C18F">
        <w:t>2251(c)</w:t>
      </w:r>
      <w:r w:rsidR="50736370" w:rsidRPr="4514C18F">
        <w:t xml:space="preserve"> and 2260(a)</w:t>
      </w:r>
      <w:r w:rsidRPr="4514C18F">
        <w:t xml:space="preserve"> both make it a crime for anyone to produce child pornography in foreign countries if they import the child abuse images into the United States, or if they intend to do so. The penalty for a first</w:t>
      </w:r>
      <w:r w:rsidR="00186807">
        <w:t>-</w:t>
      </w:r>
      <w:r w:rsidRPr="4514C18F">
        <w:t>time offender under thes</w:t>
      </w:r>
      <w:r w:rsidR="49C8375E" w:rsidRPr="4514C18F">
        <w:t>e statutes is at least 15 years</w:t>
      </w:r>
      <w:r w:rsidRPr="4514C18F">
        <w:t xml:space="preserve"> up to a maximum of 30 years in prison. Finally, 18 U.S.C. </w:t>
      </w:r>
      <w:r w:rsidR="7C518D87" w:rsidRPr="4514C18F">
        <w:t xml:space="preserve">§ </w:t>
      </w:r>
      <w:r w:rsidRPr="4514C18F">
        <w:t xml:space="preserve">1596 grants extraterritorial jurisdiction over sex trafficking of children </w:t>
      </w:r>
      <w:r w:rsidR="6307289E" w:rsidRPr="4514C18F">
        <w:t xml:space="preserve">or </w:t>
      </w:r>
      <w:r w:rsidR="26135EFF" w:rsidRPr="4514C18F">
        <w:t xml:space="preserve">any individual </w:t>
      </w:r>
      <w:r w:rsidRPr="4514C18F">
        <w:t>by force, fraud, or coercion</w:t>
      </w:r>
      <w:r w:rsidR="6307289E" w:rsidRPr="4514C18F">
        <w:t xml:space="preserve"> as well as over forced labor and other trafficking crimes</w:t>
      </w:r>
      <w:r w:rsidRPr="4514C18F">
        <w:t xml:space="preserve">. This means that federal prosecutors can investigate and prosecute </w:t>
      </w:r>
      <w:r w:rsidR="6717CD5B" w:rsidRPr="4514C18F">
        <w:t xml:space="preserve">certain </w:t>
      </w:r>
      <w:r w:rsidRPr="4514C18F">
        <w:t>foreign nationals who commit sex trafficking crimes against children outside the U</w:t>
      </w:r>
      <w:r w:rsidR="50736370" w:rsidRPr="4514C18F">
        <w:t xml:space="preserve">nited States. </w:t>
      </w:r>
      <w:r w:rsidRPr="4514C18F">
        <w:t>Section 1596 also allows the federal government to investigate and prosecute U.S. nationals and residents who commit child sex trafficking crimes in foreign countries.</w:t>
      </w:r>
    </w:p>
    <w:p w14:paraId="1CD5F984" w14:textId="1C043B96" w:rsidR="00604E3A" w:rsidRPr="00E372CC" w:rsidRDefault="429A1D67" w:rsidP="00B500E3">
      <w:pPr>
        <w:ind w:left="0" w:firstLine="0"/>
        <w:rPr>
          <w:shd w:val="clear" w:color="auto" w:fill="FFFFFF"/>
        </w:rPr>
      </w:pPr>
      <w:r w:rsidRPr="7DE3C874">
        <w:rPr>
          <w:b/>
          <w:bCs/>
          <w:shd w:val="clear" w:color="auto" w:fill="FFFFFF"/>
        </w:rPr>
        <w:t>Extradition.</w:t>
      </w:r>
      <w:r w:rsidR="4F927FF0" w:rsidRPr="7DE3C874">
        <w:rPr>
          <w:b/>
          <w:bCs/>
          <w:shd w:val="clear" w:color="auto" w:fill="FFFFFF"/>
        </w:rPr>
        <w:t xml:space="preserve">  </w:t>
      </w:r>
      <w:r w:rsidR="4F927FF0" w:rsidRPr="00012D40">
        <w:rPr>
          <w:shd w:val="clear" w:color="auto" w:fill="FFFFFF"/>
        </w:rPr>
        <w:t>Consistent with OPSC Article 5(1), the United States considers the offenses covered by the OPSC to be included as extradi</w:t>
      </w:r>
      <w:r w:rsidR="38F4CB1F" w:rsidRPr="00012D40">
        <w:rPr>
          <w:shd w:val="clear" w:color="auto" w:fill="FFFFFF"/>
        </w:rPr>
        <w:t>table offenses in</w:t>
      </w:r>
      <w:r w:rsidR="35973E9C" w:rsidRPr="00012D40">
        <w:rPr>
          <w:shd w:val="clear" w:color="auto" w:fill="FFFFFF"/>
        </w:rPr>
        <w:t xml:space="preserve"> bilateral extradition treaties the United States has with other OPSC State Parties</w:t>
      </w:r>
      <w:r w:rsidR="596B6C99" w:rsidRPr="00012D40">
        <w:rPr>
          <w:shd w:val="clear" w:color="auto" w:fill="FFFFFF"/>
        </w:rPr>
        <w:t>, particularly list-based treaties</w:t>
      </w:r>
      <w:r w:rsidR="4F927FF0" w:rsidRPr="00012D40">
        <w:rPr>
          <w:shd w:val="clear" w:color="auto" w:fill="FFFFFF"/>
        </w:rPr>
        <w:t xml:space="preserve"> </w:t>
      </w:r>
      <w:r w:rsidR="596B6C99" w:rsidRPr="00012D40">
        <w:rPr>
          <w:shd w:val="clear" w:color="auto" w:fill="FFFFFF"/>
        </w:rPr>
        <w:t>that predate</w:t>
      </w:r>
      <w:r w:rsidR="00B82CE5">
        <w:rPr>
          <w:shd w:val="clear" w:color="auto" w:fill="FFFFFF"/>
        </w:rPr>
        <w:t xml:space="preserve"> the United States’</w:t>
      </w:r>
      <w:r w:rsidR="4F927FF0" w:rsidRPr="00012D40">
        <w:rPr>
          <w:shd w:val="clear" w:color="auto" w:fill="FFFFFF"/>
        </w:rPr>
        <w:t xml:space="preserve"> 2002 ratifi</w:t>
      </w:r>
      <w:r w:rsidR="596B6C99" w:rsidRPr="00012D40">
        <w:rPr>
          <w:shd w:val="clear" w:color="auto" w:fill="FFFFFF"/>
        </w:rPr>
        <w:t>cation of the OPSC and that do</w:t>
      </w:r>
      <w:r w:rsidR="4F927FF0" w:rsidRPr="00012D40">
        <w:rPr>
          <w:shd w:val="clear" w:color="auto" w:fill="FFFFFF"/>
        </w:rPr>
        <w:t xml:space="preserve"> not list the offenses referred to in Article 3(1) of the OPSC. All of the United States’ modern extradition treaties incorporate the concept of dual criminality, and </w:t>
      </w:r>
      <w:r w:rsidR="2A5B0F29" w:rsidRPr="12383FEE">
        <w:t xml:space="preserve">as noted above </w:t>
      </w:r>
      <w:r w:rsidR="4F927FF0" w:rsidRPr="00012D40">
        <w:rPr>
          <w:shd w:val="clear" w:color="auto" w:fill="FFFFFF"/>
        </w:rPr>
        <w:t>U.S. law criminalizes the offenses covered by the OPSC. So long as a requesting State Party has met its OPSC obligation to criminalize the offenses referred to in Article 3(1), the dual criminality requirement will generally have been met for purposes of executing an extradition request from that State Party.</w:t>
      </w:r>
    </w:p>
    <w:p w14:paraId="183E3D1B" w14:textId="696EA728" w:rsidR="00231294" w:rsidRPr="009B4A42" w:rsidRDefault="35973E9C" w:rsidP="00B500E3">
      <w:pPr>
        <w:ind w:left="0" w:firstLine="0"/>
      </w:pPr>
      <w:r w:rsidRPr="00012D40">
        <w:rPr>
          <w:shd w:val="clear" w:color="auto" w:fill="FFFFFF"/>
        </w:rPr>
        <w:t xml:space="preserve">The U.S. actively pursues extradition for </w:t>
      </w:r>
      <w:r w:rsidR="77FC81A6" w:rsidRPr="00012D40">
        <w:rPr>
          <w:shd w:val="clear" w:color="auto" w:fill="FFFFFF"/>
        </w:rPr>
        <w:t xml:space="preserve">offenses covered by the </w:t>
      </w:r>
      <w:r w:rsidRPr="00012D40">
        <w:rPr>
          <w:shd w:val="clear" w:color="auto" w:fill="FFFFFF"/>
        </w:rPr>
        <w:t>OPSC</w:t>
      </w:r>
      <w:r w:rsidR="6451FC13" w:rsidRPr="00012D40">
        <w:rPr>
          <w:shd w:val="clear" w:color="auto" w:fill="FFFFFF"/>
        </w:rPr>
        <w:t xml:space="preserve">. </w:t>
      </w:r>
      <w:r w:rsidR="1F603CD4" w:rsidRPr="00012D40">
        <w:rPr>
          <w:shd w:val="clear" w:color="auto" w:fill="FFFFFF"/>
        </w:rPr>
        <w:t>For example,</w:t>
      </w:r>
      <w:r w:rsidRPr="00012D40">
        <w:rPr>
          <w:shd w:val="clear" w:color="auto" w:fill="FFFFFF"/>
        </w:rPr>
        <w:t xml:space="preserve"> </w:t>
      </w:r>
      <w:r w:rsidR="00B82CE5">
        <w:rPr>
          <w:shd w:val="clear" w:color="auto" w:fill="FFFFFF"/>
        </w:rPr>
        <w:t>the United States has successfully obtained the extradition of foreign nationals to the United States for prosecution in conjunction with the U.S.</w:t>
      </w:r>
      <w:r w:rsidR="00B25ED9">
        <w:rPr>
          <w:shd w:val="clear" w:color="auto" w:fill="FFFFFF"/>
        </w:rPr>
        <w:t>-</w:t>
      </w:r>
      <w:r w:rsidR="00B82CE5">
        <w:rPr>
          <w:shd w:val="clear" w:color="auto" w:fill="FFFFFF"/>
        </w:rPr>
        <w:t>Mexico Bilateral Human Trafficking Enforcement Initiative, an initiative among DOJ, DHS/</w:t>
      </w:r>
      <w:r w:rsidR="00797DC0">
        <w:rPr>
          <w:shd w:val="clear" w:color="auto" w:fill="FFFFFF"/>
        </w:rPr>
        <w:t>ICE/</w:t>
      </w:r>
      <w:r w:rsidR="00B82CE5">
        <w:rPr>
          <w:shd w:val="clear" w:color="auto" w:fill="FFFFFF"/>
        </w:rPr>
        <w:t>HS</w:t>
      </w:r>
      <w:r w:rsidR="73C29C33">
        <w:rPr>
          <w:shd w:val="clear" w:color="auto" w:fill="FFFFFF"/>
        </w:rPr>
        <w:t>I</w:t>
      </w:r>
      <w:r w:rsidR="2387135C">
        <w:rPr>
          <w:shd w:val="clear" w:color="auto" w:fill="FFFFFF"/>
        </w:rPr>
        <w:t>,</w:t>
      </w:r>
      <w:r w:rsidR="00B82CE5">
        <w:rPr>
          <w:shd w:val="clear" w:color="auto" w:fill="FFFFFF"/>
        </w:rPr>
        <w:t xml:space="preserve"> and Mexican </w:t>
      </w:r>
      <w:r w:rsidR="10DC3DDD">
        <w:rPr>
          <w:shd w:val="clear" w:color="auto" w:fill="FFFFFF"/>
        </w:rPr>
        <w:t>l</w:t>
      </w:r>
      <w:r w:rsidR="00B82CE5">
        <w:rPr>
          <w:shd w:val="clear" w:color="auto" w:fill="FFFFFF"/>
        </w:rPr>
        <w:t xml:space="preserve">aw enforcement counterparts </w:t>
      </w:r>
      <w:r w:rsidRPr="00012D40">
        <w:rPr>
          <w:shd w:val="clear" w:color="auto" w:fill="FFFFFF"/>
        </w:rPr>
        <w:t xml:space="preserve">to strengthen high-impact prosecutions under both U.S. and Mexican law. </w:t>
      </w:r>
      <w:r w:rsidR="00B82CE5">
        <w:rPr>
          <w:shd w:val="clear" w:color="auto" w:fill="FFFFFF"/>
        </w:rPr>
        <w:t>E</w:t>
      </w:r>
      <w:r w:rsidRPr="00012D40">
        <w:rPr>
          <w:shd w:val="clear" w:color="auto" w:fill="FFFFFF"/>
        </w:rPr>
        <w:t xml:space="preserve">fforts </w:t>
      </w:r>
      <w:r w:rsidR="00B82CE5">
        <w:rPr>
          <w:shd w:val="clear" w:color="auto" w:fill="FFFFFF"/>
        </w:rPr>
        <w:t xml:space="preserve">under the initiative </w:t>
      </w:r>
      <w:r w:rsidRPr="00012D40">
        <w:rPr>
          <w:shd w:val="clear" w:color="auto" w:fill="FFFFFF"/>
        </w:rPr>
        <w:t>have resulted in prosecutions in both Mexico and the U</w:t>
      </w:r>
      <w:r w:rsidR="013362FA" w:rsidRPr="00012D40">
        <w:rPr>
          <w:shd w:val="clear" w:color="auto" w:fill="FFFFFF"/>
        </w:rPr>
        <w:t xml:space="preserve">nited </w:t>
      </w:r>
      <w:r w:rsidRPr="00012D40">
        <w:rPr>
          <w:shd w:val="clear" w:color="auto" w:fill="FFFFFF"/>
        </w:rPr>
        <w:t>S</w:t>
      </w:r>
      <w:r w:rsidR="3D58F287" w:rsidRPr="00012D40">
        <w:rPr>
          <w:shd w:val="clear" w:color="auto" w:fill="FFFFFF"/>
        </w:rPr>
        <w:t>tates</w:t>
      </w:r>
      <w:r w:rsidRPr="00012D40">
        <w:rPr>
          <w:shd w:val="clear" w:color="auto" w:fill="FFFFFF"/>
        </w:rPr>
        <w:t>, including federal prosecutions of more than 50 defendants in multiple cases in New York, Georgia, Florida</w:t>
      </w:r>
      <w:r w:rsidR="40337EEA" w:rsidRPr="00012D40">
        <w:rPr>
          <w:shd w:val="clear" w:color="auto" w:fill="FFFFFF"/>
        </w:rPr>
        <w:t>,</w:t>
      </w:r>
      <w:r w:rsidRPr="00012D40">
        <w:rPr>
          <w:shd w:val="clear" w:color="auto" w:fill="FFFFFF"/>
        </w:rPr>
        <w:t xml:space="preserve"> and Texas since 2009, and numerous Mexican federal and state prosecutions of associated sex traffickers.</w:t>
      </w:r>
    </w:p>
    <w:p w14:paraId="54E11763" w14:textId="2067806B" w:rsidR="00BB2494" w:rsidRPr="00012D40" w:rsidRDefault="00BB2494" w:rsidP="001B4EAA">
      <w:pPr>
        <w:pStyle w:val="Heading1"/>
        <w:numPr>
          <w:ilvl w:val="0"/>
          <w:numId w:val="0"/>
        </w:numPr>
        <w:rPr>
          <w:shd w:val="clear" w:color="auto" w:fill="FFFFFF"/>
        </w:rPr>
      </w:pPr>
      <w:bookmarkStart w:id="8" w:name="_Toc93588717"/>
      <w:r w:rsidRPr="00012D40">
        <w:rPr>
          <w:shd w:val="clear" w:color="auto" w:fill="FFFFFF"/>
        </w:rPr>
        <w:t xml:space="preserve">V.  Protection of the </w:t>
      </w:r>
      <w:r w:rsidR="00A2039F">
        <w:rPr>
          <w:shd w:val="clear" w:color="auto" w:fill="FFFFFF"/>
        </w:rPr>
        <w:t>R</w:t>
      </w:r>
      <w:r w:rsidRPr="00012D40">
        <w:rPr>
          <w:shd w:val="clear" w:color="auto" w:fill="FFFFFF"/>
        </w:rPr>
        <w:t xml:space="preserve">ights of </w:t>
      </w:r>
      <w:r w:rsidR="00A2039F">
        <w:rPr>
          <w:shd w:val="clear" w:color="auto" w:fill="FFFFFF"/>
        </w:rPr>
        <w:t>C</w:t>
      </w:r>
      <w:r w:rsidRPr="00012D40">
        <w:rPr>
          <w:shd w:val="clear" w:color="auto" w:fill="FFFFFF"/>
        </w:rPr>
        <w:t xml:space="preserve">hild </w:t>
      </w:r>
      <w:r w:rsidR="00A2039F">
        <w:rPr>
          <w:shd w:val="clear" w:color="auto" w:fill="FFFFFF"/>
        </w:rPr>
        <w:t>V</w:t>
      </w:r>
      <w:r w:rsidRPr="00012D40">
        <w:rPr>
          <w:shd w:val="clear" w:color="auto" w:fill="FFFFFF"/>
        </w:rPr>
        <w:t>ict</w:t>
      </w:r>
      <w:r w:rsidR="00F160A1">
        <w:rPr>
          <w:shd w:val="clear" w:color="auto" w:fill="FFFFFF"/>
        </w:rPr>
        <w:t>ims (</w:t>
      </w:r>
      <w:r w:rsidR="00A1177B">
        <w:rPr>
          <w:shd w:val="clear" w:color="auto" w:fill="FFFFFF"/>
        </w:rPr>
        <w:t>A</w:t>
      </w:r>
      <w:r w:rsidR="00F160A1">
        <w:rPr>
          <w:shd w:val="clear" w:color="auto" w:fill="FFFFFF"/>
        </w:rPr>
        <w:t>rts. 8 and 9(3) and (4))</w:t>
      </w:r>
      <w:bookmarkEnd w:id="8"/>
    </w:p>
    <w:p w14:paraId="684652B6" w14:textId="52739E58" w:rsidR="32D7262C" w:rsidRPr="00797DC0" w:rsidRDefault="68CAB35A" w:rsidP="00B500E3">
      <w:pPr>
        <w:ind w:left="0" w:firstLine="0"/>
      </w:pPr>
      <w:r w:rsidRPr="7DE3C874">
        <w:rPr>
          <w:b/>
          <w:bCs/>
          <w:shd w:val="clear" w:color="auto" w:fill="FFFFFF"/>
        </w:rPr>
        <w:t xml:space="preserve">Measures </w:t>
      </w:r>
      <w:r w:rsidR="00E20570">
        <w:rPr>
          <w:b/>
          <w:bCs/>
          <w:shd w:val="clear" w:color="auto" w:fill="FFFFFF"/>
        </w:rPr>
        <w:t>A</w:t>
      </w:r>
      <w:r w:rsidR="00E20570" w:rsidRPr="7DE3C874">
        <w:rPr>
          <w:b/>
          <w:bCs/>
          <w:shd w:val="clear" w:color="auto" w:fill="FFFFFF"/>
        </w:rPr>
        <w:t xml:space="preserve">dopted </w:t>
      </w:r>
      <w:r w:rsidRPr="7DE3C874">
        <w:rPr>
          <w:b/>
          <w:bCs/>
          <w:shd w:val="clear" w:color="auto" w:fill="FFFFFF"/>
        </w:rPr>
        <w:t xml:space="preserve">to </w:t>
      </w:r>
      <w:r w:rsidR="00E20570">
        <w:rPr>
          <w:b/>
          <w:bCs/>
          <w:shd w:val="clear" w:color="auto" w:fill="FFFFFF"/>
        </w:rPr>
        <w:t>P</w:t>
      </w:r>
      <w:r w:rsidR="00E20570" w:rsidRPr="7DE3C874">
        <w:rPr>
          <w:b/>
          <w:bCs/>
          <w:shd w:val="clear" w:color="auto" w:fill="FFFFFF"/>
        </w:rPr>
        <w:t xml:space="preserve">rotect </w:t>
      </w:r>
      <w:r w:rsidRPr="7DE3C874">
        <w:rPr>
          <w:b/>
          <w:bCs/>
          <w:shd w:val="clear" w:color="auto" w:fill="FFFFFF"/>
        </w:rPr>
        <w:t xml:space="preserve">the </w:t>
      </w:r>
      <w:r w:rsidR="00E20570">
        <w:rPr>
          <w:b/>
          <w:bCs/>
          <w:shd w:val="clear" w:color="auto" w:fill="FFFFFF"/>
        </w:rPr>
        <w:t>R</w:t>
      </w:r>
      <w:r w:rsidR="00E20570" w:rsidRPr="7DE3C874">
        <w:rPr>
          <w:b/>
          <w:bCs/>
          <w:shd w:val="clear" w:color="auto" w:fill="FFFFFF"/>
        </w:rPr>
        <w:t xml:space="preserve">ights </w:t>
      </w:r>
      <w:r w:rsidRPr="7DE3C874">
        <w:rPr>
          <w:b/>
          <w:bCs/>
          <w:shd w:val="clear" w:color="auto" w:fill="FFFFFF"/>
        </w:rPr>
        <w:t xml:space="preserve">and </w:t>
      </w:r>
      <w:r w:rsidR="004E7B71">
        <w:rPr>
          <w:b/>
          <w:bCs/>
          <w:shd w:val="clear" w:color="auto" w:fill="FFFFFF"/>
        </w:rPr>
        <w:t>I</w:t>
      </w:r>
      <w:r w:rsidR="004E7B71" w:rsidRPr="7DE3C874">
        <w:rPr>
          <w:b/>
          <w:bCs/>
          <w:shd w:val="clear" w:color="auto" w:fill="FFFFFF"/>
        </w:rPr>
        <w:t xml:space="preserve">nterests </w:t>
      </w:r>
      <w:r w:rsidRPr="7DE3C874">
        <w:rPr>
          <w:b/>
          <w:bCs/>
          <w:shd w:val="clear" w:color="auto" w:fill="FFFFFF"/>
        </w:rPr>
        <w:t xml:space="preserve">of </w:t>
      </w:r>
      <w:r w:rsidR="004E7B71">
        <w:rPr>
          <w:b/>
          <w:bCs/>
          <w:shd w:val="clear" w:color="auto" w:fill="FFFFFF"/>
        </w:rPr>
        <w:t>C</w:t>
      </w:r>
      <w:r w:rsidR="004E7B71" w:rsidRPr="7DE3C874">
        <w:rPr>
          <w:b/>
          <w:bCs/>
          <w:shd w:val="clear" w:color="auto" w:fill="FFFFFF"/>
        </w:rPr>
        <w:t xml:space="preserve">hild </w:t>
      </w:r>
      <w:r w:rsidR="004D6DAA">
        <w:rPr>
          <w:b/>
          <w:bCs/>
          <w:shd w:val="clear" w:color="auto" w:fill="FFFFFF"/>
        </w:rPr>
        <w:t>V</w:t>
      </w:r>
      <w:r w:rsidR="004D6DAA" w:rsidRPr="7DE3C874">
        <w:rPr>
          <w:b/>
          <w:bCs/>
          <w:shd w:val="clear" w:color="auto" w:fill="FFFFFF"/>
        </w:rPr>
        <w:t xml:space="preserve">ictims </w:t>
      </w:r>
      <w:r w:rsidRPr="7DE3C874">
        <w:rPr>
          <w:b/>
          <w:bCs/>
          <w:shd w:val="clear" w:color="auto" w:fill="FFFFFF"/>
        </w:rPr>
        <w:t xml:space="preserve">of </w:t>
      </w:r>
      <w:r w:rsidR="004D6DAA">
        <w:rPr>
          <w:b/>
          <w:bCs/>
          <w:shd w:val="clear" w:color="auto" w:fill="FFFFFF"/>
        </w:rPr>
        <w:t>O</w:t>
      </w:r>
      <w:r w:rsidR="004D6DAA" w:rsidRPr="7DE3C874">
        <w:rPr>
          <w:b/>
          <w:bCs/>
          <w:shd w:val="clear" w:color="auto" w:fill="FFFFFF"/>
        </w:rPr>
        <w:t xml:space="preserve">ffenses </w:t>
      </w:r>
      <w:r w:rsidR="004D6DAA">
        <w:rPr>
          <w:b/>
          <w:bCs/>
          <w:shd w:val="clear" w:color="auto" w:fill="FFFFFF"/>
        </w:rPr>
        <w:t>P</w:t>
      </w:r>
      <w:r w:rsidR="004D6DAA" w:rsidRPr="7DE3C874">
        <w:rPr>
          <w:b/>
          <w:bCs/>
          <w:shd w:val="clear" w:color="auto" w:fill="FFFFFF"/>
        </w:rPr>
        <w:t xml:space="preserve">rohibited </w:t>
      </w:r>
      <w:r w:rsidRPr="7DE3C874">
        <w:rPr>
          <w:b/>
          <w:bCs/>
          <w:shd w:val="clear" w:color="auto" w:fill="FFFFFF"/>
        </w:rPr>
        <w:t>under the Optional Protocol</w:t>
      </w:r>
      <w:r w:rsidRPr="00EF2892">
        <w:rPr>
          <w:b/>
          <w:bCs/>
          <w:shd w:val="clear" w:color="auto" w:fill="FFFFFF"/>
        </w:rPr>
        <w:t>.</w:t>
      </w:r>
      <w:r w:rsidRPr="00797DC0">
        <w:rPr>
          <w:shd w:val="clear" w:color="auto" w:fill="FFFFFF"/>
        </w:rPr>
        <w:t xml:space="preserve"> </w:t>
      </w:r>
      <w:r w:rsidRPr="7DE3C874">
        <w:rPr>
          <w:b/>
          <w:bCs/>
          <w:shd w:val="clear" w:color="auto" w:fill="FFFFFF"/>
        </w:rPr>
        <w:t xml:space="preserve"> </w:t>
      </w:r>
      <w:r w:rsidR="37FEBA07" w:rsidRPr="00012D40">
        <w:rPr>
          <w:shd w:val="clear" w:color="auto" w:fill="FFFFFF"/>
        </w:rPr>
        <w:t>As indicated in our 2016</w:t>
      </w:r>
      <w:r w:rsidR="62C16117" w:rsidRPr="00012D40">
        <w:rPr>
          <w:shd w:val="clear" w:color="auto" w:fill="FFFFFF"/>
        </w:rPr>
        <w:t xml:space="preserve"> Report, </w:t>
      </w:r>
      <w:r w:rsidR="37FEBA07" w:rsidRPr="00012D40">
        <w:t>services to child victims are provided through numero</w:t>
      </w:r>
      <w:r w:rsidR="62C16117" w:rsidRPr="00012D40">
        <w:t>us</w:t>
      </w:r>
      <w:r w:rsidR="37FEBA07" w:rsidRPr="00012D40">
        <w:t xml:space="preserve"> </w:t>
      </w:r>
      <w:r w:rsidR="62C16117" w:rsidRPr="00012D40">
        <w:t xml:space="preserve">federal </w:t>
      </w:r>
      <w:r w:rsidR="37FEBA07" w:rsidRPr="00012D40">
        <w:t>departments and agencies, i</w:t>
      </w:r>
      <w:r w:rsidR="62C16117" w:rsidRPr="00012D40">
        <w:t>ncluding DOS, DOJ, DHS</w:t>
      </w:r>
      <w:r w:rsidR="0099EE26">
        <w:t xml:space="preserve">, USAID, </w:t>
      </w:r>
      <w:r w:rsidR="62C16117" w:rsidRPr="00012D40">
        <w:t>and HHS; state</w:t>
      </w:r>
      <w:r w:rsidR="0099EE26">
        <w:t>,</w:t>
      </w:r>
      <w:r w:rsidR="62C16117" w:rsidRPr="00012D40">
        <w:t xml:space="preserve"> </w:t>
      </w:r>
      <w:r w:rsidR="62BCEAE8" w:rsidRPr="00012D40">
        <w:t xml:space="preserve">territorial, </w:t>
      </w:r>
      <w:r w:rsidR="62C16117" w:rsidRPr="00012D40">
        <w:t>local</w:t>
      </w:r>
      <w:r w:rsidR="4851E128">
        <w:t xml:space="preserve">, </w:t>
      </w:r>
      <w:r w:rsidR="0099EE26">
        <w:t>and</w:t>
      </w:r>
      <w:r w:rsidR="4851E128">
        <w:t xml:space="preserve"> </w:t>
      </w:r>
      <w:r w:rsidR="0099EE26">
        <w:t>tribal</w:t>
      </w:r>
      <w:r w:rsidR="62C16117" w:rsidRPr="00012D40">
        <w:t xml:space="preserve"> authorities;</w:t>
      </w:r>
      <w:r w:rsidR="37FEBA07" w:rsidRPr="00012D40">
        <w:t xml:space="preserve"> and civil society. As is evident from the</w:t>
      </w:r>
      <w:r w:rsidR="0099EE26">
        <w:t xml:space="preserve"> </w:t>
      </w:r>
      <w:r w:rsidR="7EB1E39B">
        <w:t xml:space="preserve">updated </w:t>
      </w:r>
      <w:r w:rsidR="0099EE26">
        <w:t>National Action Plan to Combat Human Trafficking, released in December 2021, the federal government supports an integrated federal response to human trafficking and emphasizes the importance of investing resources in anti-trafficking policies and programs.</w:t>
      </w:r>
      <w:r w:rsidR="37FEBA07" w:rsidRPr="00012D40">
        <w:t xml:space="preserve"> </w:t>
      </w:r>
    </w:p>
    <w:p w14:paraId="18EFF217" w14:textId="077DF578" w:rsidR="32D7262C" w:rsidRPr="00797DC0" w:rsidRDefault="5CB90782" w:rsidP="00B500E3">
      <w:pPr>
        <w:ind w:left="0" w:firstLine="0"/>
      </w:pPr>
      <w:r w:rsidRPr="00797DC0">
        <w:t>N</w:t>
      </w:r>
      <w:r w:rsidR="62C16117" w:rsidRPr="00797DC0">
        <w:t xml:space="preserve">umerous </w:t>
      </w:r>
      <w:r w:rsidR="1F8E77B3" w:rsidRPr="00797DC0">
        <w:t xml:space="preserve">programs </w:t>
      </w:r>
      <w:r w:rsidRPr="00797DC0">
        <w:t xml:space="preserve">to protect the rights and interests of child victims of trafficking </w:t>
      </w:r>
      <w:r w:rsidR="1F8E77B3" w:rsidRPr="00797DC0">
        <w:t>have been or are</w:t>
      </w:r>
      <w:r w:rsidRPr="00797DC0">
        <w:t xml:space="preserve"> being pursued in the United States</w:t>
      </w:r>
      <w:r w:rsidR="37FEBA07" w:rsidRPr="00797DC0">
        <w:t>.</w:t>
      </w:r>
      <w:r w:rsidRPr="00797DC0">
        <w:t xml:space="preserve"> A few are highlighted here.</w:t>
      </w:r>
      <w:r w:rsidR="0099EE26" w:rsidRPr="00797DC0">
        <w:t xml:space="preserve"> </w:t>
      </w:r>
      <w:r w:rsidR="4F5AE24F" w:rsidRPr="00797DC0">
        <w:t>HHS delivers services to minors who have experienced human trafficking through the Trafficking Victim Assistance Program, Domestic Victims of Human Trafficking Services and Outreach Program, and the Demonstration Grants to Strengthen the Response to Victims of Human Trafficking in Native Communities. In 2021, HHS</w:t>
      </w:r>
      <w:r w:rsidR="5D99B16A" w:rsidRPr="00797DC0">
        <w:t>/</w:t>
      </w:r>
      <w:r w:rsidR="4F5AE24F" w:rsidRPr="00797DC0">
        <w:t>ACF</w:t>
      </w:r>
      <w:r w:rsidR="60864650" w:rsidRPr="00797DC0">
        <w:t>/</w:t>
      </w:r>
      <w:r w:rsidR="4F5AE24F" w:rsidRPr="00797DC0">
        <w:t>OTIP also published resources on trafficking prevention and protection among unaccompanied children</w:t>
      </w:r>
      <w:r w:rsidR="0E04F760" w:rsidRPr="00797DC0">
        <w:t xml:space="preserve">, </w:t>
      </w:r>
      <w:hyperlink r:id="rId30">
        <w:r w:rsidR="0E04F760" w:rsidRPr="00797DC0">
          <w:rPr>
            <w:rStyle w:val="Hyperlink"/>
          </w:rPr>
          <w:t>https://www.acf.hhs.gov/otip/victim-assistance/child-eligibility-letters/resources</w:t>
        </w:r>
      </w:hyperlink>
      <w:r w:rsidR="0E04F760" w:rsidRPr="00797DC0">
        <w:rPr>
          <w:rStyle w:val="Hyperlink"/>
          <w:color w:val="auto"/>
          <w:u w:val="none"/>
        </w:rPr>
        <w:t>,</w:t>
      </w:r>
      <w:r w:rsidR="0E04F760" w:rsidRPr="00797DC0">
        <w:t xml:space="preserve"> </w:t>
      </w:r>
      <w:r w:rsidR="4F5AE24F" w:rsidRPr="00797DC0">
        <w:t>in addition to other comprehensive victim assistance programs</w:t>
      </w:r>
      <w:r w:rsidR="0E04F760" w:rsidRPr="00797DC0">
        <w:t xml:space="preserve">, </w:t>
      </w:r>
      <w:hyperlink r:id="rId31">
        <w:r w:rsidR="0E04F760" w:rsidRPr="00797DC0">
          <w:rPr>
            <w:rStyle w:val="Hyperlink"/>
          </w:rPr>
          <w:t>https://www.scf.hhs.gov/otip/victim-assistance</w:t>
        </w:r>
      </w:hyperlink>
      <w:r w:rsidR="4F5AE24F" w:rsidRPr="00797DC0">
        <w:t xml:space="preserve">.  </w:t>
      </w:r>
    </w:p>
    <w:p w14:paraId="7FA56B8B" w14:textId="67CF4A01" w:rsidR="32D7262C" w:rsidRPr="00797DC0" w:rsidRDefault="1B0ADBE1" w:rsidP="00B500E3">
      <w:pPr>
        <w:ind w:left="0" w:firstLine="0"/>
      </w:pPr>
      <w:r w:rsidRPr="4514C18F">
        <w:t>In FY 2019, DOJ</w:t>
      </w:r>
      <w:r w:rsidR="15C4DA0D" w:rsidRPr="4514C18F">
        <w:t>/</w:t>
      </w:r>
      <w:r w:rsidRPr="4514C18F">
        <w:t>OJJDP announced a program of Specialized Services and Mentoring for Children and Youth Victims of Sex Trafficking and Se</w:t>
      </w:r>
      <w:r w:rsidR="4BFCE5D8" w:rsidRPr="4514C18F">
        <w:t xml:space="preserve">xual Exploitation, designed </w:t>
      </w:r>
      <w:r w:rsidRPr="4514C18F">
        <w:t xml:space="preserve">to </w:t>
      </w:r>
      <w:r w:rsidR="21A1F5AE" w:rsidRPr="4514C18F">
        <w:t>support the efforts of organizations to develop or enhance their</w:t>
      </w:r>
      <w:r w:rsidRPr="4514C18F">
        <w:t xml:space="preserve"> mentoring capacity</w:t>
      </w:r>
      <w:r w:rsidR="21A1F5AE" w:rsidRPr="4514C18F">
        <w:t>, facilitate outreach efforts,</w:t>
      </w:r>
      <w:r w:rsidRPr="4514C18F">
        <w:t xml:space="preserve"> and increase the availability of direct services for child and youth victims of commercial sexual exploitation</w:t>
      </w:r>
      <w:r w:rsidR="4BFCE5D8" w:rsidRPr="4514C18F">
        <w:t xml:space="preserve"> and domestic sex trafficking. </w:t>
      </w:r>
      <w:r w:rsidR="21A1F5AE" w:rsidRPr="4514C18F">
        <w:t>Under this initiative, expe</w:t>
      </w:r>
      <w:r w:rsidR="0FE700CF" w:rsidRPr="4514C18F">
        <w:t>rienced organizations work</w:t>
      </w:r>
      <w:r w:rsidR="22AC2AF6" w:rsidRPr="4514C18F">
        <w:t xml:space="preserve"> with </w:t>
      </w:r>
      <w:r w:rsidR="21A1F5AE" w:rsidRPr="4514C18F">
        <w:t xml:space="preserve">OJJDP’s existing training and technical assistance provider to develop or enhance mentoring service models and mentoring based on best practices to focus on the needs of </w:t>
      </w:r>
      <w:r w:rsidR="01A809FE" w:rsidRPr="4514C18F">
        <w:t>children</w:t>
      </w:r>
      <w:r w:rsidR="21A1F5AE" w:rsidRPr="4514C18F">
        <w:t xml:space="preserve"> who are risk or are victims of commercial sexual exploitation and domestic sex trafficking. Nine awards, totaling m</w:t>
      </w:r>
      <w:r w:rsidRPr="4514C18F">
        <w:t>ore than $4 million</w:t>
      </w:r>
      <w:r w:rsidR="1F8E77B3" w:rsidRPr="4514C18F">
        <w:t>, were</w:t>
      </w:r>
      <w:r w:rsidRPr="4514C18F">
        <w:t xml:space="preserve"> granted to non-government organizations for this work in FY </w:t>
      </w:r>
      <w:r w:rsidR="22AC2AF6" w:rsidRPr="4514C18F">
        <w:t>20</w:t>
      </w:r>
      <w:r w:rsidRPr="4514C18F">
        <w:t>19. The Youth Collaboratory developed a toolkit for youth services providers, and the National Council of Juvenile and Family C</w:t>
      </w:r>
      <w:r w:rsidR="4BFCE5D8" w:rsidRPr="4514C18F">
        <w:t>ourt Judges</w:t>
      </w:r>
      <w:r w:rsidRPr="4514C18F">
        <w:t xml:space="preserve"> developed the National Judicial Institute on D</w:t>
      </w:r>
      <w:r w:rsidR="4BFCE5D8" w:rsidRPr="4514C18F">
        <w:t xml:space="preserve">omestic Child Sex Trafficking. </w:t>
      </w:r>
    </w:p>
    <w:p w14:paraId="74C596BC" w14:textId="5BE5510B" w:rsidR="32D7262C" w:rsidRDefault="1B0ADBE1" w:rsidP="00B500E3">
      <w:pPr>
        <w:ind w:left="0" w:firstLine="0"/>
      </w:pPr>
      <w:r w:rsidRPr="58EEB98A">
        <w:t>OJJDP also supports the</w:t>
      </w:r>
      <w:r w:rsidR="0099EE26" w:rsidRPr="58EEB98A">
        <w:t xml:space="preserve"> NCMEC</w:t>
      </w:r>
      <w:r w:rsidRPr="58EEB98A">
        <w:t xml:space="preserve">, whose AMBER Alert System is now being used in all 50 states, the District of Columbia, </w:t>
      </w:r>
      <w:r w:rsidR="0099EE26" w:rsidRPr="58EEB98A">
        <w:t>in tribal nations</w:t>
      </w:r>
      <w:r w:rsidRPr="58EEB98A">
        <w:t>, Puerto Rico</w:t>
      </w:r>
      <w:r w:rsidR="0FE700CF" w:rsidRPr="58EEB98A">
        <w:t>,</w:t>
      </w:r>
      <w:r w:rsidRPr="58EEB98A">
        <w:t xml:space="preserve"> the U.S. Virgin Islands, and 3</w:t>
      </w:r>
      <w:r w:rsidR="4BFCE5D8" w:rsidRPr="58EEB98A">
        <w:t>3 other countries.</w:t>
      </w:r>
      <w:r w:rsidR="0099EE26" w:rsidRPr="58EEB98A">
        <w:t xml:space="preserve"> In add</w:t>
      </w:r>
      <w:r w:rsidR="34297BD5" w:rsidRPr="58EEB98A">
        <w:t xml:space="preserve">ition, with the passage of the </w:t>
      </w:r>
      <w:r w:rsidR="0099EE26" w:rsidRPr="58EEB98A">
        <w:t>Ashlynne Mike AMBER Alert in Indian Country Act</w:t>
      </w:r>
      <w:r w:rsidR="34297BD5" w:rsidRPr="58EEB98A">
        <w:t xml:space="preserve"> in 2018, OJJDP is committed to working to integrate tribal communities into state or regional AMBER Alert communication plans</w:t>
      </w:r>
      <w:r w:rsidR="4005DEB6" w:rsidRPr="58EEB98A">
        <w:t>,</w:t>
      </w:r>
      <w:r w:rsidR="34297BD5" w:rsidRPr="58EEB98A">
        <w:t xml:space="preserve"> ensuring the widest coverage possible should an AMBER Alert need to be activated. By </w:t>
      </w:r>
      <w:r w:rsidR="149A458B" w:rsidRPr="58EEB98A">
        <w:t xml:space="preserve">November </w:t>
      </w:r>
      <w:r w:rsidR="34297BD5" w:rsidRPr="58EEB98A">
        <w:t>2021, 1,</w:t>
      </w:r>
      <w:r w:rsidR="0D912EC3" w:rsidRPr="58EEB98A">
        <w:t>085</w:t>
      </w:r>
      <w:r w:rsidR="34297BD5" w:rsidRPr="58EEB98A">
        <w:rPr>
          <w:rStyle w:val="CommentReference"/>
          <w:rFonts w:asciiTheme="minorHAnsi" w:hAnsiTheme="minorHAnsi" w:cstheme="minorBidi"/>
        </w:rPr>
        <w:t xml:space="preserve"> </w:t>
      </w:r>
      <w:r w:rsidRPr="58EEB98A">
        <w:t xml:space="preserve">child victims had been successfully </w:t>
      </w:r>
      <w:r w:rsidR="4BFCE5D8" w:rsidRPr="58EEB98A">
        <w:t xml:space="preserve">recovered through AMBER alert. </w:t>
      </w:r>
      <w:r w:rsidRPr="58EEB98A">
        <w:t>OJJDP</w:t>
      </w:r>
      <w:r w:rsidR="4BFCE5D8" w:rsidRPr="58EEB98A">
        <w:t>’s</w:t>
      </w:r>
      <w:r w:rsidRPr="58EEB98A">
        <w:t xml:space="preserve"> Specialized Services and Mentoring for child and youth victims of sex trafficking and Sexual Exploitation Trainin</w:t>
      </w:r>
      <w:r w:rsidR="4DD37BB7" w:rsidRPr="58EEB98A">
        <w:t>g and Technical Assistance</w:t>
      </w:r>
      <w:r w:rsidRPr="58EEB98A">
        <w:t xml:space="preserve"> also support</w:t>
      </w:r>
      <w:r w:rsidR="5DE6A0CD" w:rsidRPr="58EEB98A">
        <w:t>ed</w:t>
      </w:r>
      <w:r w:rsidRPr="58EEB98A">
        <w:t xml:space="preserve"> local communities and</w:t>
      </w:r>
      <w:r w:rsidR="4BFCE5D8" w:rsidRPr="58EEB98A">
        <w:t xml:space="preserve"> organizations to enhance </w:t>
      </w:r>
      <w:r w:rsidRPr="58EEB98A">
        <w:t>capacity to respond to the needs of child victims of sexual exploitation.</w:t>
      </w:r>
      <w:r w:rsidR="07BEC57A" w:rsidRPr="58EEB98A">
        <w:t xml:space="preserve"> </w:t>
      </w:r>
    </w:p>
    <w:p w14:paraId="1AA7E47E" w14:textId="77755173" w:rsidR="00183D4C" w:rsidRPr="00440B08" w:rsidRDefault="4188F05C" w:rsidP="00B500E3">
      <w:pPr>
        <w:ind w:left="0" w:firstLine="0"/>
        <w:rPr>
          <w:rFonts w:eastAsia="Times New Roman"/>
        </w:rPr>
      </w:pPr>
      <w:r w:rsidRPr="4514C18F">
        <w:t>DOJ awarded more than $100 million in anti-trafficking funding in FY 2019</w:t>
      </w:r>
      <w:r w:rsidR="5FBC887A" w:rsidRPr="4514C18F">
        <w:t xml:space="preserve">. </w:t>
      </w:r>
      <w:r w:rsidRPr="4514C18F">
        <w:t xml:space="preserve">This funding included 65 awards totaling $42.9 million to provide direct services to trafficking victims and $6 million to four grantees to improve outcomes for child </w:t>
      </w:r>
      <w:r w:rsidR="009DFE3F" w:rsidRPr="4514C18F">
        <w:t xml:space="preserve">and youth trafficking victims. </w:t>
      </w:r>
      <w:r w:rsidR="005B6FFA" w:rsidRPr="4514C18F">
        <w:t>I</w:t>
      </w:r>
      <w:r w:rsidRPr="4514C18F">
        <w:t xml:space="preserve">nitiatives included 32 awards for specialized services for child victims of trafficking ($15.5 million), five </w:t>
      </w:r>
      <w:r w:rsidR="5FBC887A" w:rsidRPr="4514C18F">
        <w:t xml:space="preserve">awards </w:t>
      </w:r>
      <w:r w:rsidRPr="4514C18F">
        <w:t>for improving victim services ($4.4 million), and one for training and technical assistance to improve services for labor tra</w:t>
      </w:r>
      <w:r w:rsidR="6BE66ABE" w:rsidRPr="4514C18F">
        <w:t xml:space="preserve">fficking victims ($1 million). </w:t>
      </w:r>
      <w:r w:rsidRPr="4514C18F">
        <w:t>DOJ also made 10 awards totaling $4.7 million to support specialized services and mentoring for child and youth victims of sex traffi</w:t>
      </w:r>
      <w:r w:rsidR="5FBC887A" w:rsidRPr="4514C18F">
        <w:t xml:space="preserve">cking and sexual exploitation. </w:t>
      </w:r>
      <w:r w:rsidRPr="4514C18F">
        <w:t>In addition to previously funded Enhanced Collaborative Model anti-trafficking task forces, DOJ awarded $21 million as part of its FY 2019 anti-trafficking funding to 15 task forces, which included funding for 13 state and local enforcement agencies and 12 victim service providers implementing a collaborative approach to identify and combat all forms of human trafficking.</w:t>
      </w:r>
      <w:r w:rsidR="00693144" w:rsidRPr="4514C18F">
        <w:t xml:space="preserve"> </w:t>
      </w:r>
      <w:r w:rsidR="00183D4C" w:rsidRPr="4514C18F">
        <w:rPr>
          <w:rFonts w:eastAsia="Times New Roman"/>
        </w:rPr>
        <w:t xml:space="preserve">In FY 2020, DOJ awarded over $101 million to support victims of human trafficking. In addition to research, training, and technical assistance, and direct services programs, which often include services for minor victims, </w:t>
      </w:r>
      <w:r w:rsidR="000D129A" w:rsidRPr="4514C18F">
        <w:rPr>
          <w:rFonts w:eastAsia="Times New Roman"/>
        </w:rPr>
        <w:t>DOJ/OVC</w:t>
      </w:r>
      <w:r w:rsidR="00183D4C" w:rsidRPr="4514C18F">
        <w:rPr>
          <w:rFonts w:eastAsia="Times New Roman"/>
        </w:rPr>
        <w:t xml:space="preserve"> funded over $4.2 million total to four recipients to enhance coordinated, multidisciplinary, and statewide approaches to at-risk populations to improve outcomes for children and youth who are victims of human trafficking; over $1.8 million total to four organizations, including a training and technical assistance provider, to support prevention and early intervention services, including mentoring and other direct support services for girls who are at risk of or are victims of sex trafficking; over $6.8 million to four recipients to develop, expand, and strengthen assistance programs for minor victims of sex trafficking; and nearly $2 million total to three organizations to develop, expand, or strengthen victim service programs for minor victims of labor trafficking</w:t>
      </w:r>
      <w:r w:rsidR="00CD1270" w:rsidRPr="4514C18F">
        <w:rPr>
          <w:rFonts w:eastAsia="Times New Roman"/>
        </w:rPr>
        <w:t xml:space="preserve">. </w:t>
      </w:r>
      <w:r w:rsidR="00183D4C" w:rsidRPr="4514C18F">
        <w:rPr>
          <w:rFonts w:eastAsia="Times New Roman"/>
        </w:rPr>
        <w:t>OVC also awarded over $17.7 million to 27 programs to support the effectiveness of collaborative and multidisciplinary task forces to combat human trafficking.</w:t>
      </w:r>
    </w:p>
    <w:p w14:paraId="3709C3E0" w14:textId="388E67B7" w:rsidR="00842250" w:rsidRPr="00012D40" w:rsidRDefault="005B6FFA" w:rsidP="00B500E3">
      <w:pPr>
        <w:ind w:left="0" w:firstLine="0"/>
      </w:pPr>
      <w:r w:rsidRPr="5C531F67">
        <w:t>As noted above in paragraph 19</w:t>
      </w:r>
      <w:r w:rsidR="0073551F" w:rsidRPr="5C531F67">
        <w:t xml:space="preserve">, </w:t>
      </w:r>
      <w:r w:rsidR="6C25C3AD" w:rsidRPr="5C531F67">
        <w:t>HHS supports and advocates</w:t>
      </w:r>
      <w:r w:rsidR="35C01DE6" w:rsidRPr="5C531F67">
        <w:t xml:space="preserve"> </w:t>
      </w:r>
      <w:r w:rsidR="6BE66ABE" w:rsidRPr="5C531F67">
        <w:t xml:space="preserve">for the </w:t>
      </w:r>
      <w:r w:rsidR="6C25C3AD" w:rsidRPr="5C531F67">
        <w:t>use of</w:t>
      </w:r>
      <w:r w:rsidR="35C01DE6" w:rsidRPr="5C531F67">
        <w:t xml:space="preserve"> </w:t>
      </w:r>
      <w:r w:rsidR="23737AF2" w:rsidRPr="5C531F67">
        <w:t>trauma-informed approach</w:t>
      </w:r>
      <w:r w:rsidR="6C25C3AD" w:rsidRPr="5C531F67">
        <w:t>es with regard to services to child trafficking victims</w:t>
      </w:r>
      <w:r w:rsidR="23737AF2" w:rsidRPr="5C531F67">
        <w:t>,</w:t>
      </w:r>
      <w:r w:rsidRPr="5C531F67">
        <w:t xml:space="preserve"> as indicated in </w:t>
      </w:r>
      <w:r w:rsidR="00CD1270" w:rsidRPr="5C531F67">
        <w:t xml:space="preserve">the report entitled </w:t>
      </w:r>
      <w:r w:rsidR="4278767F" w:rsidRPr="5C531F67">
        <w:t>“</w:t>
      </w:r>
      <w:r w:rsidRPr="5C531F67">
        <w:t>Trauma-informed Approaches: Federal Activities and Initiatives,</w:t>
      </w:r>
      <w:r w:rsidR="00CC4834">
        <w:t>”</w:t>
      </w:r>
      <w:r w:rsidR="35C01DE6" w:rsidRPr="5C531F67">
        <w:t xml:space="preserve"> developed with support from </w:t>
      </w:r>
      <w:r w:rsidR="26C45596" w:rsidRPr="5C531F67">
        <w:t>the Substance Abuse and Mental H</w:t>
      </w:r>
      <w:r w:rsidR="00A43894" w:rsidRPr="5C531F67">
        <w:t>ealth Services Administration’s</w:t>
      </w:r>
      <w:r w:rsidR="35C01DE6" w:rsidRPr="5C531F67">
        <w:t xml:space="preserve"> National Center for Trauma-Informed Care. This report outlines </w:t>
      </w:r>
      <w:r w:rsidR="00F160A1" w:rsidRPr="5C531F67">
        <w:t>the commitment of federal agencies</w:t>
      </w:r>
      <w:r w:rsidR="35C01DE6" w:rsidRPr="5C531F67">
        <w:t xml:space="preserve"> to implementing gender-responsive, trauma-informed approaches.</w:t>
      </w:r>
    </w:p>
    <w:p w14:paraId="1CCEEA1E" w14:textId="2FBA4CBF" w:rsidR="00463FA2" w:rsidRDefault="0599477C" w:rsidP="00B500E3">
      <w:pPr>
        <w:ind w:left="0" w:firstLine="0"/>
      </w:pPr>
      <w:r w:rsidRPr="4514C18F">
        <w:t>In FY 2019, HHS anti-trafficking grantees provided comprehensive case management assistance to 2,398 victims of traffickin</w:t>
      </w:r>
      <w:r w:rsidR="009DFE3F" w:rsidRPr="4514C18F">
        <w:t xml:space="preserve">g and eligible family members. </w:t>
      </w:r>
      <w:r w:rsidRPr="4514C18F">
        <w:t>HHS issued 311 Certification Letters and 892 Eligibil</w:t>
      </w:r>
      <w:r w:rsidR="6AFF9354" w:rsidRPr="4514C18F">
        <w:t>i</w:t>
      </w:r>
      <w:r w:rsidRPr="4514C18F">
        <w:t xml:space="preserve">ty Letters to adult and child victims of trafficking, respectively, to be eligible to apply for benefits and services to the same extent as refugees. </w:t>
      </w:r>
      <w:r w:rsidR="009DFE3F" w:rsidRPr="4514C18F">
        <w:t>In FY 2020, HHS and the National Human Trafficking Hotline increased collaboration with</w:t>
      </w:r>
      <w:r w:rsidR="005B6FFA" w:rsidRPr="4514C18F">
        <w:t xml:space="preserve"> NCMEC</w:t>
      </w:r>
      <w:r w:rsidR="009DFE3F" w:rsidRPr="4514C18F">
        <w:t xml:space="preserve"> to strengthen protocols on locating, protecting, and serving children. HHS also integrated anti-trafficking efforts into child welfare, runaway and homeless youth, unaccompanied children, domestic violence, and Native communities programming</w:t>
      </w:r>
      <w:r w:rsidR="005B6FFA" w:rsidRPr="4514C18F">
        <w:t>, as well as in federally qualified health center programming</w:t>
      </w:r>
      <w:r w:rsidR="009DFE3F" w:rsidRPr="4514C18F">
        <w:t xml:space="preserve"> through training and technical a</w:t>
      </w:r>
      <w:r w:rsidR="5FBC887A" w:rsidRPr="4514C18F">
        <w:t xml:space="preserve">ssistance and data collection. </w:t>
      </w:r>
      <w:r w:rsidR="009DFE3F" w:rsidRPr="4514C18F">
        <w:t>I</w:t>
      </w:r>
      <w:r w:rsidR="00CD1270" w:rsidRPr="4514C18F">
        <w:t>n partnership with DOJ, HHS</w:t>
      </w:r>
      <w:r w:rsidR="009DFE3F" w:rsidRPr="4514C18F">
        <w:t xml:space="preserve"> launched a four-part national virtual listening session series on prevent</w:t>
      </w:r>
      <w:r w:rsidR="5FBC887A" w:rsidRPr="4514C18F">
        <w:t>ing</w:t>
      </w:r>
      <w:r w:rsidR="009DFE3F" w:rsidRPr="4514C18F">
        <w:t xml:space="preserve"> and responding to child trafficking during Child Abuse Preventio</w:t>
      </w:r>
      <w:r w:rsidR="5FBC887A" w:rsidRPr="4514C18F">
        <w:t>n</w:t>
      </w:r>
      <w:r w:rsidR="6BE66ABE" w:rsidRPr="4514C18F">
        <w:t xml:space="preserve"> Month in April 2020. </w:t>
      </w:r>
      <w:r w:rsidR="009DFE3F" w:rsidRPr="4514C18F">
        <w:t>The series included discussions about the impact of COVID-19 on children and youth as well as feder</w:t>
      </w:r>
      <w:r w:rsidR="005B6FFA" w:rsidRPr="4514C18F">
        <w:t>al, state,</w:t>
      </w:r>
      <w:r w:rsidR="48E896D5" w:rsidRPr="4514C18F">
        <w:t xml:space="preserve"> local</w:t>
      </w:r>
      <w:r w:rsidR="005B6FFA" w:rsidRPr="4514C18F">
        <w:t>,</w:t>
      </w:r>
      <w:r w:rsidR="00CD1270" w:rsidRPr="4514C18F">
        <w:t xml:space="preserve"> </w:t>
      </w:r>
      <w:r w:rsidR="005B6FFA" w:rsidRPr="4514C18F">
        <w:t>and tribal</w:t>
      </w:r>
      <w:r w:rsidR="48E896D5" w:rsidRPr="4514C18F">
        <w:t xml:space="preserve"> efforts to safeguard child trafficking victims.</w:t>
      </w:r>
      <w:r w:rsidR="009DFE3F" w:rsidRPr="4514C18F">
        <w:t xml:space="preserve"> </w:t>
      </w:r>
      <w:r w:rsidR="001656B2" w:rsidRPr="4514C18F">
        <w:t xml:space="preserve">Additionally, </w:t>
      </w:r>
      <w:r w:rsidR="005D604F" w:rsidRPr="4514C18F">
        <w:t>i</w:t>
      </w:r>
      <w:r w:rsidR="001656B2" w:rsidRPr="4514C18F">
        <w:t>n FY20,</w:t>
      </w:r>
      <w:r w:rsidR="005A65D6" w:rsidRPr="4514C18F">
        <w:t xml:space="preserve"> </w:t>
      </w:r>
      <w:r w:rsidR="001656B2" w:rsidRPr="4514C18F">
        <w:t>HHS</w:t>
      </w:r>
      <w:r w:rsidR="000D129A" w:rsidRPr="4514C18F">
        <w:t>/</w:t>
      </w:r>
      <w:r w:rsidR="001656B2" w:rsidRPr="4514C18F">
        <w:t>FYSB released the Issue Brief “Human Trafficking Prevention: Strategies for Runaway and Homeless Youth Settings</w:t>
      </w:r>
      <w:r w:rsidR="10E8F184" w:rsidRPr="4514C18F">
        <w:t>.</w:t>
      </w:r>
      <w:r w:rsidR="001656B2" w:rsidRPr="4514C18F">
        <w:t xml:space="preserve">” This resource offers practical approaches to assist organizations integrate human trafficking prevention within their programs. FYSB also released a factsheet addressing the impact of human trafficking on adolescent health, as well as the </w:t>
      </w:r>
      <w:r w:rsidR="00CC4834">
        <w:t>r</w:t>
      </w:r>
      <w:r w:rsidR="001656B2" w:rsidRPr="4514C18F">
        <w:t xml:space="preserve">esource </w:t>
      </w:r>
      <w:r w:rsidR="00CC4834">
        <w:t>g</w:t>
      </w:r>
      <w:r w:rsidR="001656B2" w:rsidRPr="4514C18F">
        <w:t>uide “Human Trafficking in Youth Serving Organizations</w:t>
      </w:r>
      <w:r w:rsidR="64DC150A" w:rsidRPr="4514C18F">
        <w:t>.</w:t>
      </w:r>
      <w:r w:rsidR="001656B2" w:rsidRPr="4514C18F">
        <w:t xml:space="preserve">” Due to the increase of incidents of labor trafficking among runaway and homeless youth, FYSB released a series of training and resources to provide youth serving organizations with information on how to respond </w:t>
      </w:r>
      <w:r w:rsidR="5C5C56F2" w:rsidRPr="4514C18F">
        <w:t xml:space="preserve">to </w:t>
      </w:r>
      <w:r w:rsidR="001656B2" w:rsidRPr="4514C18F">
        <w:t>and prevent labor exploitation and trafficking within their programs</w:t>
      </w:r>
      <w:r w:rsidR="00C300D2" w:rsidRPr="4514C18F">
        <w:t>.</w:t>
      </w:r>
    </w:p>
    <w:p w14:paraId="1EFA833C" w14:textId="191F03D8" w:rsidR="00B7502E" w:rsidRPr="00012D40" w:rsidRDefault="009DFE3F" w:rsidP="00B500E3">
      <w:pPr>
        <w:ind w:left="0" w:firstLine="0"/>
      </w:pPr>
      <w:r w:rsidRPr="7DE3C874">
        <w:t>DHS’s U.S. Secret Service’s Chil</w:t>
      </w:r>
      <w:r w:rsidR="6D0B70ED" w:rsidRPr="7DE3C874">
        <w:t>d</w:t>
      </w:r>
      <w:r w:rsidRPr="7DE3C874">
        <w:t>hood Smart Program, which aims to increase awareness of sexual exploitation, including child sex trafficking,</w:t>
      </w:r>
      <w:r w:rsidR="0073551F">
        <w:t xml:space="preserve"> and </w:t>
      </w:r>
      <w:r w:rsidR="00444F25">
        <w:t xml:space="preserve">to </w:t>
      </w:r>
      <w:r w:rsidR="0073551F">
        <w:t>reduce child victimization</w:t>
      </w:r>
      <w:r w:rsidRPr="7DE3C874">
        <w:t xml:space="preserve"> provided resources to</w:t>
      </w:r>
      <w:r w:rsidR="00463FA2">
        <w:t xml:space="preserve"> 17,845</w:t>
      </w:r>
      <w:r w:rsidRPr="7DE3C874">
        <w:t xml:space="preserve"> children and parents in the United States in FY 2020.</w:t>
      </w:r>
    </w:p>
    <w:p w14:paraId="50C8110B" w14:textId="5289A2D9" w:rsidR="00814300" w:rsidRPr="00012D40" w:rsidRDefault="15BE5BFE" w:rsidP="00B500E3">
      <w:pPr>
        <w:ind w:left="0" w:firstLine="0"/>
      </w:pPr>
      <w:r w:rsidRPr="5C531F67">
        <w:t xml:space="preserve">According to </w:t>
      </w:r>
      <w:r w:rsidR="2D2C1DC2" w:rsidRPr="5C531F67">
        <w:t>a</w:t>
      </w:r>
      <w:r w:rsidRPr="5C531F67">
        <w:t xml:space="preserve"> report by the National Conference on State Legislators (NCSL), as of </w:t>
      </w:r>
      <w:r w:rsidR="79096F42" w:rsidRPr="5C531F67">
        <w:t>April 2017</w:t>
      </w:r>
      <w:r w:rsidR="0073551F" w:rsidRPr="5C531F67">
        <w:t>,</w:t>
      </w:r>
      <w:r w:rsidR="79096F42" w:rsidRPr="5C531F67">
        <w:t xml:space="preserve"> </w:t>
      </w:r>
      <w:r w:rsidRPr="5C531F67">
        <w:t>24 states had created task forces, committees</w:t>
      </w:r>
      <w:r w:rsidR="00CC4834">
        <w:t>,</w:t>
      </w:r>
      <w:r w:rsidRPr="5C531F67">
        <w:t xml:space="preserve"> or director positions to improve stakeholder collaboration for responses to human trafficking; 20 states</w:t>
      </w:r>
      <w:r w:rsidR="00444F25" w:rsidRPr="5C531F67">
        <w:t xml:space="preserve"> and the District of Columbia</w:t>
      </w:r>
      <w:r w:rsidRPr="5C531F67">
        <w:t xml:space="preserve"> had legislated prosecutorial </w:t>
      </w:r>
      <w:r w:rsidR="2FACA7EF" w:rsidRPr="5C531F67">
        <w:t>immunity for trafficked youth;</w:t>
      </w:r>
      <w:r w:rsidRPr="5C531F67">
        <w:t xml:space="preserve"> at least 29</w:t>
      </w:r>
      <w:r w:rsidR="00444F25" w:rsidRPr="5C531F67">
        <w:t xml:space="preserve"> states and the District of Columbia</w:t>
      </w:r>
      <w:r w:rsidRPr="5C531F67">
        <w:t xml:space="preserve"> provided diversion opportunities for youth away from the justice system to programs and services that a</w:t>
      </w:r>
      <w:r w:rsidR="2FACA7EF" w:rsidRPr="5C531F67">
        <w:t>ddressed their underlying needs; all states had penalties for traffickers; and at least 44 had</w:t>
      </w:r>
      <w:r w:rsidRPr="5C531F67">
        <w:t xml:space="preserve"> increased penalties for those who commit these crimes or related offenses against children</w:t>
      </w:r>
      <w:r w:rsidR="737A3C8C" w:rsidRPr="5C531F67">
        <w:t xml:space="preserve">, </w:t>
      </w:r>
      <w:hyperlink r:id="rId32">
        <w:r w:rsidR="737A3C8C" w:rsidRPr="5C531F67">
          <w:rPr>
            <w:rStyle w:val="Hyperlink"/>
            <w:rFonts w:eastAsia="Times New Roman"/>
            <w:color w:val="auto"/>
          </w:rPr>
          <w:t>https://www.ncsl.org/Portals/1/Documents/cj/SafeHarbor_v06.pdf</w:t>
        </w:r>
      </w:hyperlink>
      <w:r w:rsidR="737A3C8C" w:rsidRPr="5C531F67">
        <w:t>.</w:t>
      </w:r>
      <w:r w:rsidR="00463FA2" w:rsidRPr="5C531F67">
        <w:t xml:space="preserve"> A number of tri</w:t>
      </w:r>
      <w:r w:rsidR="65692680" w:rsidRPr="5C531F67">
        <w:t>b</w:t>
      </w:r>
      <w:r w:rsidR="00463FA2" w:rsidRPr="5C531F67">
        <w:t>al governments also have anti-trafficking initiatives.</w:t>
      </w:r>
      <w:r w:rsidR="737A3C8C" w:rsidRPr="5C531F67">
        <w:t xml:space="preserve"> </w:t>
      </w:r>
      <w:r w:rsidR="0095200B" w:rsidRPr="5C531F67">
        <w:t xml:space="preserve">  </w:t>
      </w:r>
    </w:p>
    <w:p w14:paraId="5F55142A" w14:textId="3D3FB241" w:rsidR="004B28BE" w:rsidRPr="00012D40" w:rsidRDefault="6C25C3AD" w:rsidP="00B500E3">
      <w:pPr>
        <w:ind w:left="0" w:firstLine="0"/>
      </w:pPr>
      <w:r w:rsidRPr="58EEB98A">
        <w:t xml:space="preserve">Millions of dollars are provided each year to </w:t>
      </w:r>
      <w:r w:rsidR="14C9505C" w:rsidRPr="58EEB98A">
        <w:t xml:space="preserve">a wide variety of </w:t>
      </w:r>
      <w:r w:rsidRPr="58EEB98A">
        <w:t xml:space="preserve">non-governmental organizations </w:t>
      </w:r>
      <w:r w:rsidR="14C9505C" w:rsidRPr="58EEB98A">
        <w:t>to carry out programs to prevent child trafficking and provide services to child victims.</w:t>
      </w:r>
      <w:r w:rsidRPr="58EEB98A">
        <w:t xml:space="preserve"> </w:t>
      </w:r>
      <w:r w:rsidR="14C9505C" w:rsidRPr="58EEB98A">
        <w:t>The work of</w:t>
      </w:r>
      <w:r w:rsidR="34BE046C" w:rsidRPr="58EEB98A">
        <w:t xml:space="preserve"> </w:t>
      </w:r>
      <w:r w:rsidR="3C55F197" w:rsidRPr="58EEB98A">
        <w:t xml:space="preserve">these </w:t>
      </w:r>
      <w:r w:rsidR="34BE046C" w:rsidRPr="58EEB98A">
        <w:t>non-go</w:t>
      </w:r>
      <w:r w:rsidR="14C9505C" w:rsidRPr="58EEB98A">
        <w:t xml:space="preserve">vernmental organizations </w:t>
      </w:r>
      <w:r w:rsidR="34BE046C" w:rsidRPr="58EEB98A">
        <w:t>is monitored and evalua</w:t>
      </w:r>
      <w:r w:rsidRPr="58EEB98A">
        <w:t xml:space="preserve">ted according to </w:t>
      </w:r>
      <w:r w:rsidR="14C9505C" w:rsidRPr="58EEB98A">
        <w:t xml:space="preserve">the </w:t>
      </w:r>
      <w:r w:rsidRPr="58EEB98A">
        <w:t>requirements of</w:t>
      </w:r>
      <w:r w:rsidR="34BE046C" w:rsidRPr="58EEB98A">
        <w:t xml:space="preserve"> the contra</w:t>
      </w:r>
      <w:r w:rsidR="76F4BD65" w:rsidRPr="58EEB98A">
        <w:t>ct</w:t>
      </w:r>
      <w:r w:rsidRPr="58EEB98A">
        <w:t>ing or granting process. In addition</w:t>
      </w:r>
      <w:r w:rsidR="76F4BD65" w:rsidRPr="58EEB98A">
        <w:t>, t</w:t>
      </w:r>
      <w:r w:rsidR="34BE046C" w:rsidRPr="58EEB98A">
        <w:t>he process of monitoring and eval</w:t>
      </w:r>
      <w:r w:rsidR="76F4BD65" w:rsidRPr="58EEB98A">
        <w:t>uation, itself, is also studied</w:t>
      </w:r>
      <w:r w:rsidR="34BE046C" w:rsidRPr="58EEB98A">
        <w:t xml:space="preserve"> and critiqued, see</w:t>
      </w:r>
      <w:r w:rsidR="2BC6ABF1" w:rsidRPr="58EEB98A">
        <w:t>,</w:t>
      </w:r>
      <w:r w:rsidR="34BE046C" w:rsidRPr="58EEB98A">
        <w:t xml:space="preserve"> e.g., a </w:t>
      </w:r>
      <w:r w:rsidR="00463FA2" w:rsidRPr="58EEB98A">
        <w:t xml:space="preserve">report completed </w:t>
      </w:r>
      <w:r w:rsidR="34BE046C" w:rsidRPr="58EEB98A">
        <w:t>for the DOJ Office of Justice Programs in 20</w:t>
      </w:r>
      <w:r w:rsidR="00463FA2" w:rsidRPr="58EEB98A">
        <w:t>14,</w:t>
      </w:r>
      <w:r w:rsidR="005072D9" w:rsidRPr="58EEB98A">
        <w:t xml:space="preserve"> </w:t>
      </w:r>
      <w:hyperlink r:id="rId33">
        <w:r w:rsidR="005072D9" w:rsidRPr="58EEB98A">
          <w:rPr>
            <w:rStyle w:val="Hyperlink"/>
          </w:rPr>
          <w:t>https://www.ojp.gov/pdffiles1/nij/grants/248578.pdf</w:t>
        </w:r>
      </w:hyperlink>
      <w:r w:rsidR="005072D9" w:rsidRPr="58EEB98A">
        <w:t>. Moreover, the Office on Violence Against Women (OVW) administers grant programs authorized by the Violence Against Women Act, as amended, that allow grant funds to serve domestic violence, sexual assault, dating violence, and stalking victims who are also victims of severe forms of trafficking in persons. In addition, OVW’s Tribal Governments Program, Grants to Tribal Sexual Assault and Domestic Violence Coalitions Program, and Consolidated Grant Program to Address Children and Youth Experiencing Domestic and Sexual Assault and Engage Men and Boys as Allies provide funding to respond to victims whose primary victimization is sex trafficking and support prevention, intervention, and response activities, including services for runaway and homeless youth, youth who identify as LGBTQ, and youth victims of sex trafficking, as well as culturally specific supportive services for American Indian and Alaska Native victims of sex trafficking. OVW also funds training and technical assistance projects to enhance the capacity of grantees to address sex trafficking. OVW has funded the “Sovereign Responses to Sex Trafficking in Indian Country and Alaska”</w:t>
      </w:r>
      <w:r w:rsidR="7C8C8260" w:rsidRPr="58EEB98A">
        <w:t xml:space="preserve"> conference</w:t>
      </w:r>
      <w:r w:rsidR="005072D9" w:rsidRPr="58EEB98A">
        <w:t xml:space="preserve"> as well as the International Organization for Adolescents to provide specialized training and technical assistance to organizations serving youth victims of sex trafficking, youth victims of international domestic sex trafficking, and sexual exploitation through commercial means or survival sex, including those involved in the juvenile criminal justice system.</w:t>
      </w:r>
      <w:r w:rsidR="76F4BD65" w:rsidRPr="58EEB98A">
        <w:t xml:space="preserve"> In all cases, the federal government seeks to ensure that the </w:t>
      </w:r>
      <w:r w:rsidRPr="58EEB98A">
        <w:t>research</w:t>
      </w:r>
      <w:r w:rsidR="5337D1CB" w:rsidRPr="58EEB98A">
        <w:t xml:space="preserve"> and </w:t>
      </w:r>
      <w:r w:rsidR="76F4BD65" w:rsidRPr="58EEB98A">
        <w:t xml:space="preserve">programs it supports are efficiently and effectively carried out </w:t>
      </w:r>
      <w:r w:rsidR="5337D1CB" w:rsidRPr="58EEB98A">
        <w:t>to meet their stated objectives, as required by</w:t>
      </w:r>
      <w:r w:rsidR="76F4BD65" w:rsidRPr="58EEB98A">
        <w:t xml:space="preserve"> federal law.</w:t>
      </w:r>
      <w:r w:rsidR="5407B5E9" w:rsidRPr="58EEB98A">
        <w:t xml:space="preserve"> In addition, to address a serious problem involving missing and murdered American Indians and Alaska Natives, particularly women and girls, President Biden issued on November 15, 2021 an Executive Order on Improving Public Safety and Criminal Justice for Native Americans and Addressing the Crisis of Missing or Murdered Indigenous People. This Executive Order includes renewed focus on addressing trafficking</w:t>
      </w:r>
      <w:r w:rsidR="26FA6207" w:rsidRPr="58EEB98A">
        <w:t xml:space="preserve">, </w:t>
      </w:r>
      <w:r w:rsidR="5407B5E9" w:rsidRPr="58EEB98A">
        <w:t>exploitation</w:t>
      </w:r>
      <w:r w:rsidR="44773ABB" w:rsidRPr="58EEB98A">
        <w:t>, and abuse</w:t>
      </w:r>
      <w:r w:rsidR="5407B5E9" w:rsidRPr="58EEB98A">
        <w:t xml:space="preserve"> of American Indian and Alaska Native children.</w:t>
      </w:r>
      <w:r w:rsidR="18F006CA" w:rsidRPr="58EEB98A">
        <w:t xml:space="preserve"> Also, </w:t>
      </w:r>
      <w:r w:rsidR="00CC4834">
        <w:t>DOI</w:t>
      </w:r>
      <w:r w:rsidR="18F006CA" w:rsidRPr="58EEB98A">
        <w:t xml:space="preserve"> has established a special unit to focus resources on active and unsolved missing persons cases.</w:t>
      </w:r>
    </w:p>
    <w:p w14:paraId="2B1048D0" w14:textId="55E341BF" w:rsidR="005072D9" w:rsidRPr="00814307" w:rsidRDefault="4BA98E07" w:rsidP="00B500E3">
      <w:pPr>
        <w:ind w:left="0" w:firstLine="0"/>
        <w:rPr>
          <w:color w:val="1B1B1B"/>
          <w:shd w:val="clear" w:color="auto" w:fill="FFFFFF"/>
        </w:rPr>
      </w:pPr>
      <w:r w:rsidRPr="7DE3C874">
        <w:t>With regard to legal representation for child pornography victims and incentives for such victims to seek</w:t>
      </w:r>
      <w:r w:rsidR="00463FA2">
        <w:t xml:space="preserve"> support</w:t>
      </w:r>
      <w:r w:rsidRPr="7DE3C874">
        <w:t xml:space="preserve">, </w:t>
      </w:r>
      <w:r w:rsidR="613DE4C7" w:rsidRPr="7DE3C874">
        <w:t>DOJ</w:t>
      </w:r>
      <w:r w:rsidR="000D129A">
        <w:t>/</w:t>
      </w:r>
      <w:r w:rsidR="003275DF">
        <w:t>OVC</w:t>
      </w:r>
      <w:r w:rsidRPr="7DE3C874">
        <w:t xml:space="preserve"> enhances the capacity to assist crime victims and to provide leadership in changing attitudes, policies</w:t>
      </w:r>
      <w:r w:rsidR="00EE23E9">
        <w:t>,</w:t>
      </w:r>
      <w:r w:rsidRPr="7DE3C874">
        <w:t xml:space="preserve"> and practices to promote justice and healing for all victims</w:t>
      </w:r>
      <w:r w:rsidR="69CD9045" w:rsidRPr="7DE3C874">
        <w:t xml:space="preserve"> of child pornography</w:t>
      </w:r>
      <w:r w:rsidRPr="7DE3C874">
        <w:t>. OVC administers the Crime Victims Fund, created by the 1984 Victims of Crime Act, a major source of funding for victim services throughout the U</w:t>
      </w:r>
      <w:r w:rsidR="61853C97" w:rsidRPr="7DE3C874">
        <w:t xml:space="preserve">nited </w:t>
      </w:r>
      <w:r w:rsidRPr="7DE3C874">
        <w:t>S</w:t>
      </w:r>
      <w:r w:rsidR="0CF258A7" w:rsidRPr="7DE3C874">
        <w:t>tates</w:t>
      </w:r>
      <w:r w:rsidRPr="7DE3C874">
        <w:t>, including those in the area of child victim</w:t>
      </w:r>
      <w:r w:rsidR="69CD9045" w:rsidRPr="7DE3C874">
        <w:t xml:space="preserve">ization and human trafficking. </w:t>
      </w:r>
      <w:r w:rsidRPr="7DE3C874">
        <w:t>The Fund supports tho</w:t>
      </w:r>
      <w:r w:rsidR="69CD9045" w:rsidRPr="7DE3C874">
        <w:t>usands of programs annually</w:t>
      </w:r>
      <w:r w:rsidR="48E896D5" w:rsidRPr="7DE3C874">
        <w:t>,</w:t>
      </w:r>
      <w:r w:rsidRPr="7DE3C874">
        <w:t xml:space="preserve"> represent</w:t>
      </w:r>
      <w:r w:rsidR="69CD9045" w:rsidRPr="7DE3C874">
        <w:t>ing</w:t>
      </w:r>
      <w:r w:rsidRPr="7DE3C874">
        <w:t xml:space="preserve"> millions of dollar</w:t>
      </w:r>
      <w:r w:rsidR="69CD9045" w:rsidRPr="7DE3C874">
        <w:t>s</w:t>
      </w:r>
      <w:r w:rsidRPr="7DE3C874">
        <w:t xml:space="preserve"> invested in victim compensation and as</w:t>
      </w:r>
      <w:r w:rsidR="003275DF">
        <w:t>sistance throughout the U</w:t>
      </w:r>
      <w:r w:rsidR="00EE23E9">
        <w:t xml:space="preserve">nited </w:t>
      </w:r>
      <w:r w:rsidR="003275DF">
        <w:t>S</w:t>
      </w:r>
      <w:r w:rsidR="00EE23E9">
        <w:t>tates</w:t>
      </w:r>
      <w:r w:rsidR="003275DF">
        <w:t xml:space="preserve"> and its territories</w:t>
      </w:r>
      <w:r w:rsidRPr="7DE3C874">
        <w:t>, as well as training and demonstration projects designed to enhance the skills of those w</w:t>
      </w:r>
      <w:r w:rsidR="69CD9045" w:rsidRPr="7DE3C874">
        <w:t>ho provide services to victims.</w:t>
      </w:r>
      <w:r w:rsidRPr="7DE3C874">
        <w:t xml:space="preserve"> OVC also administers two major grant prog</w:t>
      </w:r>
      <w:r w:rsidR="69CD9045" w:rsidRPr="7DE3C874">
        <w:t>r</w:t>
      </w:r>
      <w:r w:rsidRPr="7DE3C874">
        <w:t>ams that support direct services to crime victims</w:t>
      </w:r>
      <w:r w:rsidR="69CD9045" w:rsidRPr="7DE3C874">
        <w:t xml:space="preserve"> in every state, </w:t>
      </w:r>
      <w:r w:rsidR="00294C64">
        <w:t>the District of Columbia</w:t>
      </w:r>
      <w:r w:rsidRPr="7DE3C874">
        <w:t>, and five territories, providin</w:t>
      </w:r>
      <w:r w:rsidR="69CD9045" w:rsidRPr="7DE3C874">
        <w:t>g discretionary funds</w:t>
      </w:r>
      <w:r w:rsidRPr="7DE3C874">
        <w:t xml:space="preserve"> to meet emerging needs and </w:t>
      </w:r>
      <w:r w:rsidR="69CD9045" w:rsidRPr="7DE3C874">
        <w:t>fill gaps in existing services.</w:t>
      </w:r>
      <w:r w:rsidRPr="7DE3C874">
        <w:t xml:space="preserve"> </w:t>
      </w:r>
      <w:r w:rsidR="00183D4C">
        <w:t>In addition, OVC also funds the Tribal Victim Services Set-Aside program (TVSSA),</w:t>
      </w:r>
      <w:r w:rsidR="00183D4C" w:rsidRPr="007D31A7">
        <w:t xml:space="preserve"> </w:t>
      </w:r>
      <w:r w:rsidR="00183D4C">
        <w:t xml:space="preserve">which is </w:t>
      </w:r>
      <w:r w:rsidR="00183D4C" w:rsidRPr="007D31A7">
        <w:t xml:space="preserve">administered through a non-competitive, administrative formula to all </w:t>
      </w:r>
      <w:r w:rsidR="00183D4C">
        <w:t xml:space="preserve">U.S. </w:t>
      </w:r>
      <w:r w:rsidR="00183D4C" w:rsidRPr="007D31A7">
        <w:t>federally</w:t>
      </w:r>
      <w:r w:rsidR="00435388">
        <w:t xml:space="preserve"> </w:t>
      </w:r>
      <w:r w:rsidR="00183D4C" w:rsidRPr="007D31A7">
        <w:t xml:space="preserve">recognized tribes </w:t>
      </w:r>
      <w:r w:rsidR="3CC85E7A" w:rsidRPr="007D31A7">
        <w:t xml:space="preserve">that </w:t>
      </w:r>
      <w:r w:rsidR="00183D4C" w:rsidRPr="007D31A7">
        <w:t>choose to participate</w:t>
      </w:r>
      <w:r w:rsidR="00183D4C">
        <w:t>. The TVSSA supports culturally</w:t>
      </w:r>
      <w:r w:rsidR="00435388">
        <w:t xml:space="preserve"> </w:t>
      </w:r>
      <w:r w:rsidR="00183D4C">
        <w:t xml:space="preserve">responsive victim services to meet the unique needs of American Indian and Alaska Native communities. </w:t>
      </w:r>
      <w:r w:rsidR="69CD9045" w:rsidRPr="7DE3C874">
        <w:t>OVC</w:t>
      </w:r>
      <w:r w:rsidR="00463FA2">
        <w:t xml:space="preserve"> also</w:t>
      </w:r>
      <w:r w:rsidRPr="7DE3C874">
        <w:t xml:space="preserve"> operates a Training and Technical Assistance</w:t>
      </w:r>
      <w:r w:rsidR="00463FA2">
        <w:t xml:space="preserve"> (TTA)</w:t>
      </w:r>
      <w:r w:rsidRPr="7DE3C874">
        <w:t xml:space="preserve"> Center that provides training opportunities for providers and advocates at all levels of victim</w:t>
      </w:r>
      <w:r w:rsidR="69CD9045" w:rsidRPr="7DE3C874">
        <w:t xml:space="preserve"> services. </w:t>
      </w:r>
      <w:r w:rsidR="005072D9">
        <w:rPr>
          <w:color w:val="1B1B1B"/>
          <w:shd w:val="clear" w:color="auto" w:fill="FFFFFF"/>
        </w:rPr>
        <w:t>Additionally,</w:t>
      </w:r>
      <w:r w:rsidR="005072D9" w:rsidRPr="00102B27">
        <w:rPr>
          <w:color w:val="1B1B1B"/>
          <w:shd w:val="clear" w:color="auto" w:fill="FFFFFF"/>
        </w:rPr>
        <w:t xml:space="preserve"> OVC provides practitioner-driven, evidence-based TTA </w:t>
      </w:r>
      <w:r w:rsidR="005072D9">
        <w:rPr>
          <w:color w:val="1B1B1B"/>
          <w:shd w:val="clear" w:color="auto" w:fill="FFFFFF"/>
        </w:rPr>
        <w:t>focused specifically on building capacity and increasing expertise of organizations and entities that encounter and provide services to survivors of human trafficking. This includes</w:t>
      </w:r>
      <w:r w:rsidR="005072D9">
        <w:t xml:space="preserve"> TTA </w:t>
      </w:r>
      <w:r w:rsidR="005072D9" w:rsidRPr="00102B27">
        <w:rPr>
          <w:color w:val="1B1B1B"/>
          <w:shd w:val="clear" w:color="auto" w:fill="FFFFFF"/>
        </w:rPr>
        <w:t>project</w:t>
      </w:r>
      <w:r w:rsidR="005072D9">
        <w:rPr>
          <w:color w:val="1B1B1B"/>
          <w:shd w:val="clear" w:color="auto" w:fill="FFFFFF"/>
        </w:rPr>
        <w:t>s to assist</w:t>
      </w:r>
      <w:r w:rsidR="005072D9" w:rsidRPr="00102B27">
        <w:rPr>
          <w:color w:val="1B1B1B"/>
          <w:shd w:val="clear" w:color="auto" w:fill="FFFFFF"/>
        </w:rPr>
        <w:t xml:space="preserve"> courts in implementing trauma-responsive policies to identify survivors of human trafficking who are facing criminal charges; </w:t>
      </w:r>
      <w:r w:rsidR="008025E5">
        <w:rPr>
          <w:color w:val="1B1B1B"/>
          <w:shd w:val="clear" w:color="auto" w:fill="FFFFFF"/>
        </w:rPr>
        <w:t xml:space="preserve">to </w:t>
      </w:r>
      <w:r w:rsidR="005072D9" w:rsidRPr="00102B27">
        <w:rPr>
          <w:color w:val="1B1B1B"/>
          <w:shd w:val="clear" w:color="auto" w:fill="FFFFFF"/>
        </w:rPr>
        <w:t xml:space="preserve">respond to the needs of survivors facing charges with a range of outcomes in their cases and a continuum of social service referrals; and </w:t>
      </w:r>
      <w:r w:rsidR="008025E5">
        <w:rPr>
          <w:color w:val="1B1B1B"/>
          <w:shd w:val="clear" w:color="auto" w:fill="FFFFFF"/>
        </w:rPr>
        <w:t xml:space="preserve">to </w:t>
      </w:r>
      <w:r w:rsidR="005072D9" w:rsidRPr="00102B27">
        <w:rPr>
          <w:color w:val="1B1B1B"/>
          <w:shd w:val="clear" w:color="auto" w:fill="FFFFFF"/>
        </w:rPr>
        <w:t>reduc</w:t>
      </w:r>
      <w:r w:rsidR="008025E5">
        <w:rPr>
          <w:color w:val="1B1B1B"/>
          <w:shd w:val="clear" w:color="auto" w:fill="FFFFFF"/>
        </w:rPr>
        <w:t>e</w:t>
      </w:r>
      <w:r w:rsidR="005072D9" w:rsidRPr="00102B27">
        <w:rPr>
          <w:color w:val="1B1B1B"/>
          <w:shd w:val="clear" w:color="auto" w:fill="FFFFFF"/>
        </w:rPr>
        <w:t xml:space="preserve"> the infliction of harm on survivors facing crimina</w:t>
      </w:r>
      <w:r w:rsidR="005072D9">
        <w:rPr>
          <w:color w:val="1B1B1B"/>
          <w:shd w:val="clear" w:color="auto" w:fill="FFFFFF"/>
        </w:rPr>
        <w:t>l char</w:t>
      </w:r>
      <w:r w:rsidR="008025E5">
        <w:rPr>
          <w:color w:val="1B1B1B"/>
          <w:shd w:val="clear" w:color="auto" w:fill="FFFFFF"/>
        </w:rPr>
        <w:t xml:space="preserve">ges in court proceedings. </w:t>
      </w:r>
      <w:r w:rsidR="005072D9">
        <w:rPr>
          <w:color w:val="1B1B1B"/>
          <w:shd w:val="clear" w:color="auto" w:fill="FFFFFF"/>
        </w:rPr>
        <w:t>OVC</w:t>
      </w:r>
      <w:r w:rsidR="008025E5">
        <w:rPr>
          <w:color w:val="1B1B1B"/>
          <w:shd w:val="clear" w:color="auto" w:fill="FFFFFF"/>
        </w:rPr>
        <w:t xml:space="preserve"> also</w:t>
      </w:r>
      <w:r w:rsidR="005072D9">
        <w:rPr>
          <w:color w:val="1B1B1B"/>
          <w:shd w:val="clear" w:color="auto" w:fill="FFFFFF"/>
        </w:rPr>
        <w:t xml:space="preserve"> provides c</w:t>
      </w:r>
      <w:r w:rsidR="005072D9" w:rsidRPr="00EB4A2A">
        <w:rPr>
          <w:shd w:val="clear" w:color="auto" w:fill="FFFFFF"/>
        </w:rPr>
        <w:t xml:space="preserve">omprehensive </w:t>
      </w:r>
      <w:r w:rsidR="005072D9">
        <w:rPr>
          <w:shd w:val="clear" w:color="auto" w:fill="FFFFFF"/>
        </w:rPr>
        <w:t>l</w:t>
      </w:r>
      <w:r w:rsidR="005072D9" w:rsidRPr="00EB4A2A">
        <w:rPr>
          <w:shd w:val="clear" w:color="auto" w:fill="FFFFFF"/>
        </w:rPr>
        <w:t xml:space="preserve">egal </w:t>
      </w:r>
      <w:r w:rsidR="005072D9">
        <w:rPr>
          <w:shd w:val="clear" w:color="auto" w:fill="FFFFFF"/>
        </w:rPr>
        <w:t>TTA to</w:t>
      </w:r>
      <w:r w:rsidR="005072D9" w:rsidRPr="00EB4A2A">
        <w:rPr>
          <w:shd w:val="clear" w:color="auto" w:fill="FFFFFF"/>
        </w:rPr>
        <w:t xml:space="preserve"> </w:t>
      </w:r>
      <w:r w:rsidR="005072D9">
        <w:t xml:space="preserve">build </w:t>
      </w:r>
      <w:r w:rsidR="005072D9" w:rsidRPr="00102B27">
        <w:rPr>
          <w:color w:val="1B1B1B"/>
          <w:shd w:val="clear" w:color="auto" w:fill="FFFFFF"/>
        </w:rPr>
        <w:t>the capacity of legal and social service providers to deliver services to human trafficking victims and increase victims’ access to the full spectrum of legal remedies available to them to increase their safety, financial wellbeing, independence</w:t>
      </w:r>
      <w:r w:rsidR="005072D9">
        <w:rPr>
          <w:color w:val="1B1B1B"/>
          <w:shd w:val="clear" w:color="auto" w:fill="FFFFFF"/>
        </w:rPr>
        <w:t>,</w:t>
      </w:r>
      <w:r w:rsidR="005072D9" w:rsidRPr="00102B27">
        <w:rPr>
          <w:color w:val="1B1B1B"/>
          <w:shd w:val="clear" w:color="auto" w:fill="FFFFFF"/>
        </w:rPr>
        <w:t xml:space="preserve"> and self-sufficiency through access to trained legal service providers.</w:t>
      </w:r>
    </w:p>
    <w:p w14:paraId="3858BAA8" w14:textId="7D8706CF" w:rsidR="00E05748" w:rsidRPr="0052771E" w:rsidRDefault="000C16CC" w:rsidP="00B500E3">
      <w:pPr>
        <w:ind w:left="0" w:firstLine="0"/>
        <w:rPr>
          <w:rFonts w:eastAsia="Times New Roman"/>
        </w:rPr>
      </w:pPr>
      <w:r>
        <w:rPr>
          <w:color w:val="1B1B1B"/>
          <w:shd w:val="clear" w:color="auto" w:fill="FFFFFF"/>
        </w:rPr>
        <w:t>With regard to</w:t>
      </w:r>
      <w:r w:rsidR="005072D9">
        <w:rPr>
          <w:rFonts w:eastAsia="Times New Roman"/>
        </w:rPr>
        <w:t xml:space="preserve"> compensation for child exploitation victims</w:t>
      </w:r>
      <w:r>
        <w:rPr>
          <w:rFonts w:eastAsia="Times New Roman"/>
        </w:rPr>
        <w:t>, o</w:t>
      </w:r>
      <w:r w:rsidR="005072D9" w:rsidRPr="008471C7">
        <w:t>n December 7, 2018, the Amy, Vicky, and Andy Child Pornography Victim Assis</w:t>
      </w:r>
      <w:r w:rsidR="008025E5">
        <w:t xml:space="preserve">tance Act of 2018 was enacted. </w:t>
      </w:r>
      <w:r w:rsidR="005072D9" w:rsidRPr="008471C7">
        <w:t xml:space="preserve">This legislation gives victims of child pornography the option of receiving reparation by applying to a fund, avoiding the substantial burdens associated with multiple restitution </w:t>
      </w:r>
      <w:r>
        <w:t>proceedings in criminal courts.</w:t>
      </w:r>
      <w:r w:rsidR="005072D9" w:rsidRPr="008471C7">
        <w:t xml:space="preserve"> Work to implement the fund is ongoing.</w:t>
      </w:r>
      <w:r>
        <w:rPr>
          <w:rFonts w:eastAsia="Times New Roman"/>
        </w:rPr>
        <w:t xml:space="preserve"> </w:t>
      </w:r>
      <w:r w:rsidR="005072D9" w:rsidRPr="007D4058">
        <w:rPr>
          <w:rFonts w:eastAsia="Times New Roman"/>
        </w:rPr>
        <w:t>Asset forfeiture is a critical tool in the recovery</w:t>
      </w:r>
      <w:r w:rsidR="005072D9">
        <w:rPr>
          <w:rFonts w:eastAsia="Times New Roman"/>
        </w:rPr>
        <w:t xml:space="preserve"> </w:t>
      </w:r>
      <w:r w:rsidR="005072D9" w:rsidRPr="007D4058">
        <w:rPr>
          <w:rFonts w:eastAsia="Times New Roman"/>
        </w:rPr>
        <w:t>of illicit gains arising from f</w:t>
      </w:r>
      <w:r w:rsidR="005072D9">
        <w:rPr>
          <w:rFonts w:eastAsia="Times New Roman"/>
        </w:rPr>
        <w:t>i</w:t>
      </w:r>
      <w:r w:rsidR="005072D9" w:rsidRPr="007D4058">
        <w:rPr>
          <w:rFonts w:eastAsia="Times New Roman"/>
        </w:rPr>
        <w:t>nancial crimes</w:t>
      </w:r>
      <w:r w:rsidR="005072D9">
        <w:rPr>
          <w:rFonts w:eastAsia="Times New Roman"/>
        </w:rPr>
        <w:t xml:space="preserve"> </w:t>
      </w:r>
      <w:r w:rsidR="005072D9" w:rsidRPr="007D4058">
        <w:rPr>
          <w:rFonts w:eastAsia="Times New Roman"/>
        </w:rPr>
        <w:t>such as fraud, embezzlement, and thef</w:t>
      </w:r>
      <w:r w:rsidR="005072D9">
        <w:rPr>
          <w:rFonts w:eastAsia="Times New Roman"/>
        </w:rPr>
        <w:t>t, as well as crimes such as human trafficking and child exploitation</w:t>
      </w:r>
      <w:r>
        <w:rPr>
          <w:rFonts w:eastAsia="Times New Roman"/>
        </w:rPr>
        <w:t>.</w:t>
      </w:r>
      <w:r w:rsidR="005072D9">
        <w:rPr>
          <w:rFonts w:eastAsia="Times New Roman"/>
        </w:rPr>
        <w:t xml:space="preserve"> DOJ’s </w:t>
      </w:r>
      <w:r w:rsidR="005072D9" w:rsidRPr="007D4058">
        <w:rPr>
          <w:rFonts w:eastAsia="Times New Roman"/>
        </w:rPr>
        <w:t>Asset</w:t>
      </w:r>
      <w:r w:rsidR="005072D9">
        <w:rPr>
          <w:rFonts w:eastAsia="Times New Roman"/>
        </w:rPr>
        <w:t xml:space="preserve"> </w:t>
      </w:r>
      <w:r w:rsidR="005072D9" w:rsidRPr="007D4058">
        <w:rPr>
          <w:rFonts w:eastAsia="Times New Roman"/>
        </w:rPr>
        <w:t>Forfeiture Program plays</w:t>
      </w:r>
      <w:r w:rsidR="005072D9">
        <w:rPr>
          <w:rFonts w:eastAsia="Times New Roman"/>
        </w:rPr>
        <w:t xml:space="preserve"> </w:t>
      </w:r>
      <w:r w:rsidR="005072D9" w:rsidRPr="007D4058">
        <w:rPr>
          <w:rFonts w:eastAsia="Times New Roman"/>
        </w:rPr>
        <w:t>a critical role in disrupting and dismantling</w:t>
      </w:r>
      <w:r w:rsidR="005072D9">
        <w:rPr>
          <w:rFonts w:eastAsia="Times New Roman"/>
        </w:rPr>
        <w:t xml:space="preserve"> </w:t>
      </w:r>
      <w:r w:rsidR="005072D9" w:rsidRPr="007D4058">
        <w:rPr>
          <w:rFonts w:eastAsia="Times New Roman"/>
        </w:rPr>
        <w:t>illegal enterprises, depriving criminals of the</w:t>
      </w:r>
      <w:r w:rsidR="005072D9">
        <w:rPr>
          <w:rFonts w:eastAsia="Times New Roman"/>
        </w:rPr>
        <w:t xml:space="preserve"> </w:t>
      </w:r>
      <w:r w:rsidR="005072D9" w:rsidRPr="007D4058">
        <w:rPr>
          <w:rFonts w:eastAsia="Times New Roman"/>
        </w:rPr>
        <w:t>proceeds of illegal activity, deterring crime,</w:t>
      </w:r>
      <w:r w:rsidR="005072D9">
        <w:rPr>
          <w:rFonts w:eastAsia="Times New Roman"/>
        </w:rPr>
        <w:t xml:space="preserve"> </w:t>
      </w:r>
      <w:r w:rsidR="005072D9" w:rsidRPr="007D4058">
        <w:rPr>
          <w:rFonts w:eastAsia="Times New Roman"/>
        </w:rPr>
        <w:t>and restoring property to victims</w:t>
      </w:r>
      <w:r>
        <w:rPr>
          <w:rFonts w:eastAsia="Times New Roman"/>
        </w:rPr>
        <w:t>.</w:t>
      </w:r>
      <w:r w:rsidR="005072D9">
        <w:rPr>
          <w:rFonts w:eastAsia="Times New Roman"/>
        </w:rPr>
        <w:t xml:space="preserve"> </w:t>
      </w:r>
      <w:r w:rsidR="005072D9" w:rsidRPr="00303189">
        <w:rPr>
          <w:rFonts w:eastAsia="Times New Roman"/>
        </w:rPr>
        <w:t>Returning forfeited funds to victims has</w:t>
      </w:r>
      <w:r w:rsidR="005072D9">
        <w:rPr>
          <w:rFonts w:eastAsia="Times New Roman"/>
        </w:rPr>
        <w:t xml:space="preserve"> </w:t>
      </w:r>
      <w:r w:rsidR="005072D9" w:rsidRPr="00303189">
        <w:rPr>
          <w:rFonts w:eastAsia="Times New Roman"/>
        </w:rPr>
        <w:t xml:space="preserve">been a key part of </w:t>
      </w:r>
      <w:r w:rsidR="005072D9">
        <w:rPr>
          <w:rFonts w:eastAsia="Times New Roman"/>
        </w:rPr>
        <w:t>DOJ’s</w:t>
      </w:r>
      <w:r w:rsidR="005072D9" w:rsidRPr="00303189">
        <w:rPr>
          <w:rFonts w:eastAsia="Times New Roman"/>
        </w:rPr>
        <w:t xml:space="preserve"> Asset</w:t>
      </w:r>
      <w:r w:rsidR="005072D9">
        <w:rPr>
          <w:rFonts w:eastAsia="Times New Roman"/>
        </w:rPr>
        <w:t xml:space="preserve"> </w:t>
      </w:r>
      <w:r w:rsidR="005072D9" w:rsidRPr="00303189">
        <w:rPr>
          <w:rFonts w:eastAsia="Times New Roman"/>
        </w:rPr>
        <w:t>Forfe</w:t>
      </w:r>
      <w:r>
        <w:rPr>
          <w:rFonts w:eastAsia="Times New Roman"/>
        </w:rPr>
        <w:t>iture Program.</w:t>
      </w:r>
      <w:r w:rsidR="005072D9">
        <w:rPr>
          <w:rFonts w:eastAsia="Times New Roman"/>
        </w:rPr>
        <w:t xml:space="preserve"> </w:t>
      </w:r>
      <w:r w:rsidR="005072D9" w:rsidRPr="00303189">
        <w:rPr>
          <w:rFonts w:eastAsia="Times New Roman"/>
        </w:rPr>
        <w:t>T</w:t>
      </w:r>
      <w:r w:rsidR="005072D9">
        <w:rPr>
          <w:rFonts w:eastAsia="Times New Roman"/>
        </w:rPr>
        <w:t>h</w:t>
      </w:r>
      <w:r w:rsidR="005072D9" w:rsidRPr="00303189">
        <w:rPr>
          <w:rFonts w:eastAsia="Times New Roman"/>
        </w:rPr>
        <w:t>e 2018 Attorney</w:t>
      </w:r>
      <w:r w:rsidR="005072D9">
        <w:rPr>
          <w:rFonts w:eastAsia="Times New Roman"/>
        </w:rPr>
        <w:t xml:space="preserve"> </w:t>
      </w:r>
      <w:r w:rsidR="005072D9" w:rsidRPr="00303189">
        <w:rPr>
          <w:rFonts w:eastAsia="Times New Roman"/>
        </w:rPr>
        <w:t>General’s Guidelines on the Asset Forfeiture</w:t>
      </w:r>
      <w:r w:rsidR="005072D9">
        <w:rPr>
          <w:rFonts w:eastAsia="Times New Roman"/>
        </w:rPr>
        <w:t xml:space="preserve"> </w:t>
      </w:r>
      <w:r w:rsidR="005072D9" w:rsidRPr="00303189">
        <w:rPr>
          <w:rFonts w:eastAsia="Times New Roman"/>
        </w:rPr>
        <w:t>Program state that one of the primary goals of</w:t>
      </w:r>
      <w:r w:rsidR="005072D9">
        <w:rPr>
          <w:rFonts w:eastAsia="Times New Roman"/>
        </w:rPr>
        <w:t xml:space="preserve"> </w:t>
      </w:r>
      <w:r w:rsidR="005072D9" w:rsidRPr="00303189">
        <w:rPr>
          <w:rFonts w:eastAsia="Times New Roman"/>
        </w:rPr>
        <w:t>the forfeiture program is to “recover[] assets</w:t>
      </w:r>
      <w:r w:rsidR="005072D9">
        <w:rPr>
          <w:rFonts w:eastAsia="Times New Roman"/>
        </w:rPr>
        <w:t xml:space="preserve"> </w:t>
      </w:r>
      <w:r w:rsidR="005072D9" w:rsidRPr="00303189">
        <w:rPr>
          <w:rFonts w:eastAsia="Times New Roman"/>
        </w:rPr>
        <w:t>that may be used to compensate victims,”</w:t>
      </w:r>
      <w:r w:rsidR="005072D9">
        <w:rPr>
          <w:rFonts w:eastAsia="Times New Roman"/>
        </w:rPr>
        <w:t xml:space="preserve"> </w:t>
      </w:r>
      <w:r w:rsidR="005072D9" w:rsidRPr="00303189">
        <w:rPr>
          <w:rFonts w:eastAsia="Times New Roman"/>
        </w:rPr>
        <w:t>and “[w]henever possible, prosecutors</w:t>
      </w:r>
      <w:r w:rsidR="005072D9">
        <w:rPr>
          <w:rFonts w:eastAsia="Times New Roman"/>
        </w:rPr>
        <w:t xml:space="preserve"> </w:t>
      </w:r>
      <w:r w:rsidR="005072D9" w:rsidRPr="00303189">
        <w:rPr>
          <w:rFonts w:eastAsia="Times New Roman"/>
        </w:rPr>
        <w:t>should use asset forfeiture to recover assets</w:t>
      </w:r>
      <w:r w:rsidR="005072D9">
        <w:rPr>
          <w:rFonts w:eastAsia="Times New Roman"/>
        </w:rPr>
        <w:t xml:space="preserve"> </w:t>
      </w:r>
      <w:r w:rsidR="005072D9" w:rsidRPr="00303189">
        <w:rPr>
          <w:rFonts w:eastAsia="Times New Roman"/>
        </w:rPr>
        <w:t>to return to victims of crime….”</w:t>
      </w:r>
      <w:r>
        <w:rPr>
          <w:rFonts w:eastAsia="Times New Roman"/>
        </w:rPr>
        <w:t xml:space="preserve"> </w:t>
      </w:r>
      <w:r w:rsidR="005072D9" w:rsidRPr="00303189">
        <w:rPr>
          <w:rFonts w:eastAsia="Times New Roman"/>
        </w:rPr>
        <w:t>Since 2000,</w:t>
      </w:r>
      <w:r w:rsidR="005072D9">
        <w:rPr>
          <w:rFonts w:eastAsia="Times New Roman"/>
        </w:rPr>
        <w:t xml:space="preserve"> </w:t>
      </w:r>
      <w:r w:rsidR="005072D9" w:rsidRPr="00303189">
        <w:rPr>
          <w:rFonts w:eastAsia="Times New Roman"/>
        </w:rPr>
        <w:t>the government has transferred more than</w:t>
      </w:r>
      <w:r w:rsidR="005072D9">
        <w:rPr>
          <w:rFonts w:eastAsia="Times New Roman"/>
        </w:rPr>
        <w:t xml:space="preserve"> </w:t>
      </w:r>
      <w:r w:rsidR="005072D9" w:rsidRPr="00303189">
        <w:rPr>
          <w:rFonts w:eastAsia="Times New Roman"/>
        </w:rPr>
        <w:t>$1</w:t>
      </w:r>
      <w:r w:rsidR="005072D9">
        <w:rPr>
          <w:rFonts w:eastAsia="Times New Roman"/>
        </w:rPr>
        <w:t>1</w:t>
      </w:r>
      <w:r w:rsidR="005072D9" w:rsidRPr="00303189">
        <w:rPr>
          <w:rFonts w:eastAsia="Times New Roman"/>
        </w:rPr>
        <w:t xml:space="preserve"> billion in forfeited funds to victims.</w:t>
      </w:r>
      <w:r>
        <w:rPr>
          <w:rFonts w:eastAsia="Times New Roman"/>
        </w:rPr>
        <w:t xml:space="preserve"> </w:t>
      </w:r>
      <w:r w:rsidR="005072D9" w:rsidRPr="007D4058">
        <w:rPr>
          <w:rFonts w:eastAsia="Times New Roman"/>
        </w:rPr>
        <w:t xml:space="preserve">DOJ’s Money Laundering and Asset Recovery Section uses defendants’ forfeited </w:t>
      </w:r>
      <w:r w:rsidR="005072D9">
        <w:rPr>
          <w:rFonts w:eastAsia="Times New Roman"/>
        </w:rPr>
        <w:t>assets</w:t>
      </w:r>
      <w:r w:rsidR="005072D9" w:rsidRPr="007D4058">
        <w:rPr>
          <w:rFonts w:eastAsia="Times New Roman"/>
        </w:rPr>
        <w:t xml:space="preserve"> to compensate victims by applying the funds to existing federal restitution orders and by paying the defendants’ victims directly.</w:t>
      </w:r>
    </w:p>
    <w:p w14:paraId="4A9A7A3A" w14:textId="61D51B14" w:rsidR="008A77D9" w:rsidRPr="00012D40" w:rsidRDefault="2898EBEE" w:rsidP="00B500E3">
      <w:pPr>
        <w:ind w:left="0" w:firstLine="0"/>
      </w:pPr>
      <w:r w:rsidRPr="12383FEE">
        <w:rPr>
          <w:b/>
          <w:bCs/>
        </w:rPr>
        <w:t xml:space="preserve">Unaccompanied </w:t>
      </w:r>
      <w:r w:rsidR="00742CA1">
        <w:rPr>
          <w:b/>
          <w:bCs/>
        </w:rPr>
        <w:t>F</w:t>
      </w:r>
      <w:r w:rsidRPr="12383FEE">
        <w:rPr>
          <w:b/>
          <w:bCs/>
        </w:rPr>
        <w:t xml:space="preserve">oreign </w:t>
      </w:r>
      <w:r w:rsidR="00742CA1">
        <w:rPr>
          <w:b/>
          <w:bCs/>
        </w:rPr>
        <w:t>C</w:t>
      </w:r>
      <w:r w:rsidRPr="12383FEE">
        <w:rPr>
          <w:b/>
          <w:bCs/>
        </w:rPr>
        <w:t xml:space="preserve">hildren, </w:t>
      </w:r>
      <w:r w:rsidR="00742CA1">
        <w:rPr>
          <w:b/>
          <w:bCs/>
        </w:rPr>
        <w:t>A</w:t>
      </w:r>
      <w:r w:rsidRPr="12383FEE">
        <w:rPr>
          <w:b/>
          <w:bCs/>
        </w:rPr>
        <w:t xml:space="preserve">sylum </w:t>
      </w:r>
      <w:r w:rsidR="00742CA1">
        <w:rPr>
          <w:b/>
          <w:bCs/>
        </w:rPr>
        <w:t>S</w:t>
      </w:r>
      <w:r w:rsidRPr="12383FEE">
        <w:rPr>
          <w:b/>
          <w:bCs/>
        </w:rPr>
        <w:t xml:space="preserve">eekers, </w:t>
      </w:r>
      <w:r w:rsidR="00742CA1">
        <w:rPr>
          <w:b/>
          <w:bCs/>
        </w:rPr>
        <w:t>R</w:t>
      </w:r>
      <w:r w:rsidRPr="12383FEE">
        <w:rPr>
          <w:b/>
          <w:bCs/>
        </w:rPr>
        <w:t xml:space="preserve">efugees and </w:t>
      </w:r>
      <w:r w:rsidR="00742CA1">
        <w:rPr>
          <w:b/>
          <w:bCs/>
        </w:rPr>
        <w:t>M</w:t>
      </w:r>
      <w:r w:rsidRPr="12383FEE">
        <w:rPr>
          <w:b/>
          <w:bCs/>
        </w:rPr>
        <w:t>igrants</w:t>
      </w:r>
      <w:r w:rsidRPr="00EF2892">
        <w:rPr>
          <w:b/>
          <w:bCs/>
        </w:rPr>
        <w:t>.</w:t>
      </w:r>
      <w:r w:rsidRPr="12383FEE">
        <w:t xml:space="preserve">  </w:t>
      </w:r>
      <w:r w:rsidR="24772429" w:rsidRPr="12383FEE">
        <w:t>The Un</w:t>
      </w:r>
      <w:r w:rsidR="48E896D5" w:rsidRPr="12383FEE">
        <w:t>ited States continu</w:t>
      </w:r>
      <w:r w:rsidR="1DE41E07" w:rsidRPr="12383FEE">
        <w:t>es</w:t>
      </w:r>
      <w:r w:rsidR="62DD94EC" w:rsidRPr="12383FEE">
        <w:t xml:space="preserve"> to train</w:t>
      </w:r>
      <w:r w:rsidR="24772429" w:rsidRPr="12383FEE">
        <w:t xml:space="preserve"> Customs and Border Protection officers to identify, detect, and protect children who are victims or may be at risk of becoming victims of offenses under the </w:t>
      </w:r>
      <w:r w:rsidR="4EF481B1" w:rsidRPr="12383FEE">
        <w:t>OPSC</w:t>
      </w:r>
      <w:r w:rsidR="24772429" w:rsidRPr="12383FEE">
        <w:t>.</w:t>
      </w:r>
      <w:r w:rsidRPr="12383FEE">
        <w:t xml:space="preserve"> </w:t>
      </w:r>
      <w:r w:rsidR="24772429" w:rsidRPr="12383FEE">
        <w:t xml:space="preserve">In addition, as acknowledged by the Committee, the United States also </w:t>
      </w:r>
      <w:r w:rsidR="62DD94EC" w:rsidRPr="12383FEE">
        <w:t xml:space="preserve">actively </w:t>
      </w:r>
      <w:r w:rsidR="24772429" w:rsidRPr="12383FEE">
        <w:t xml:space="preserve">trains others </w:t>
      </w:r>
      <w:r w:rsidR="62DD94EC" w:rsidRPr="12383FEE">
        <w:t xml:space="preserve">involved in the international travel industry </w:t>
      </w:r>
      <w:r w:rsidR="24772429" w:rsidRPr="12383FEE">
        <w:t xml:space="preserve">through programs like the Blue Lightening Initiative for airline workers. </w:t>
      </w:r>
      <w:r w:rsidR="48E896D5" w:rsidRPr="12383FEE">
        <w:t xml:space="preserve">So far, more than two </w:t>
      </w:r>
      <w:r w:rsidR="62DD94EC" w:rsidRPr="12383FEE">
        <w:t xml:space="preserve">dozen airlines and 100,000 workers in the aviation industry have been trained to recognize instances of trafficking, including child trafficking.  </w:t>
      </w:r>
    </w:p>
    <w:p w14:paraId="0B1B2A99" w14:textId="4FE16468" w:rsidR="002346FB" w:rsidRPr="00012D40" w:rsidRDefault="53C4103E" w:rsidP="00B500E3">
      <w:pPr>
        <w:ind w:left="0" w:firstLine="0"/>
      </w:pPr>
      <w:r w:rsidRPr="4514C18F">
        <w:t>T</w:t>
      </w:r>
      <w:r w:rsidR="740E4E3F" w:rsidRPr="4514C18F">
        <w:t xml:space="preserve">he Central American Minors (CAM) program </w:t>
      </w:r>
      <w:r w:rsidRPr="4514C18F">
        <w:t>was reopened on March 15, 2021. CAM</w:t>
      </w:r>
      <w:r w:rsidR="2D840029" w:rsidRPr="4514C18F">
        <w:t xml:space="preserve"> </w:t>
      </w:r>
      <w:r w:rsidR="3E74A46A" w:rsidRPr="4514C18F">
        <w:t>was initiated</w:t>
      </w:r>
      <w:r w:rsidR="423C63C0" w:rsidRPr="4514C18F">
        <w:t xml:space="preserve"> in 2014</w:t>
      </w:r>
      <w:r w:rsidRPr="4514C18F">
        <w:t xml:space="preserve"> </w:t>
      </w:r>
      <w:r w:rsidR="740E4E3F" w:rsidRPr="4514C18F">
        <w:t>to provide</w:t>
      </w:r>
      <w:r w:rsidR="370F40FE" w:rsidRPr="4514C18F">
        <w:t xml:space="preserve"> vulnerable children in </w:t>
      </w:r>
      <w:r w:rsidR="00435388">
        <w:t>n</w:t>
      </w:r>
      <w:r w:rsidR="370F40FE" w:rsidRPr="4514C18F">
        <w:t>orthern Central America</w:t>
      </w:r>
      <w:r w:rsidR="740E4E3F" w:rsidRPr="4514C18F">
        <w:t xml:space="preserve"> a safe </w:t>
      </w:r>
      <w:r w:rsidR="2FA896AC" w:rsidRPr="4514C18F">
        <w:t xml:space="preserve">alternative </w:t>
      </w:r>
      <w:r w:rsidR="6B868C40" w:rsidRPr="4514C18F">
        <w:t>to dangerous irregular migration</w:t>
      </w:r>
      <w:r w:rsidR="00463FA2" w:rsidRPr="4514C18F">
        <w:t xml:space="preserve"> </w:t>
      </w:r>
      <w:r w:rsidR="34C1B31A" w:rsidRPr="4514C18F">
        <w:t xml:space="preserve">by allowing certain </w:t>
      </w:r>
      <w:r w:rsidR="00463FA2" w:rsidRPr="4514C18F">
        <w:t>parents</w:t>
      </w:r>
      <w:r w:rsidR="740E4E3F" w:rsidRPr="4514C18F">
        <w:t xml:space="preserve"> lawfully present in the U</w:t>
      </w:r>
      <w:r w:rsidR="7BECC1E1" w:rsidRPr="4514C18F">
        <w:t xml:space="preserve">nited </w:t>
      </w:r>
      <w:r w:rsidR="423C63C0" w:rsidRPr="4514C18F">
        <w:t>S</w:t>
      </w:r>
      <w:r w:rsidR="5A6F0D63" w:rsidRPr="4514C18F">
        <w:t>tates</w:t>
      </w:r>
      <w:r w:rsidR="65D0343A" w:rsidRPr="4514C18F">
        <w:t xml:space="preserve"> to petition for access to the U.S. Refugee Admissions Program (USRAP) on behalf of their children who are nationals of El Salvador, Guatemala, or Honduras for potential resettlement in the United States.</w:t>
      </w:r>
      <w:r w:rsidR="018727CE" w:rsidRPr="4514C18F">
        <w:t xml:space="preserve"> Children found ineligible for refugee status were considered on a case-by-case basis for parole </w:t>
      </w:r>
      <w:r w:rsidR="1EC5B2A7" w:rsidRPr="4514C18F">
        <w:t xml:space="preserve">into the United States </w:t>
      </w:r>
      <w:r w:rsidR="018727CE" w:rsidRPr="4514C18F">
        <w:t>by USCIS</w:t>
      </w:r>
      <w:r w:rsidRPr="4514C18F">
        <w:t xml:space="preserve">. The </w:t>
      </w:r>
      <w:r w:rsidR="0C91ED95" w:rsidRPr="4514C18F">
        <w:t xml:space="preserve">restart </w:t>
      </w:r>
      <w:r w:rsidR="405DD4B0" w:rsidRPr="4514C18F">
        <w:t>of CAM consists of</w:t>
      </w:r>
      <w:r w:rsidR="3E74A46A" w:rsidRPr="4514C18F">
        <w:t xml:space="preserve"> two</w:t>
      </w:r>
      <w:r w:rsidR="423C63C0" w:rsidRPr="4514C18F">
        <w:t xml:space="preserve"> phases. </w:t>
      </w:r>
      <w:r w:rsidR="0960ECE4" w:rsidRPr="4514C18F">
        <w:t>Phase One</w:t>
      </w:r>
      <w:r w:rsidR="740E4E3F" w:rsidRPr="4514C18F">
        <w:t xml:space="preserve"> </w:t>
      </w:r>
      <w:r w:rsidR="7EC771B2" w:rsidRPr="4514C18F">
        <w:t xml:space="preserve">made eligible for reopening </w:t>
      </w:r>
      <w:r w:rsidR="740E4E3F" w:rsidRPr="4514C18F">
        <w:t xml:space="preserve">applications that were closed </w:t>
      </w:r>
      <w:r w:rsidR="39E5031B" w:rsidRPr="4514C18F">
        <w:t>without receiving a refugee interview by January 31, 2018, after the program termination was announced in 2017</w:t>
      </w:r>
      <w:r w:rsidR="207EC477" w:rsidRPr="4514C18F">
        <w:t>; 3</w:t>
      </w:r>
      <w:r w:rsidR="636B8143" w:rsidRPr="4514C18F">
        <w:t>,126 cases representing 3,828 individuals were identified as eligible under this phase</w:t>
      </w:r>
      <w:r w:rsidRPr="4514C18F">
        <w:t>.</w:t>
      </w:r>
      <w:r w:rsidR="55F2750A" w:rsidRPr="4514C18F">
        <w:t xml:space="preserve"> On June 15, 2021, Secretary of State Antony J. Blinken and Secretary of Homeland Security Alejandro N. Mayorkas announce</w:t>
      </w:r>
      <w:r w:rsidR="2E75BE16" w:rsidRPr="4514C18F">
        <w:t>d</w:t>
      </w:r>
      <w:r w:rsidR="55F2750A" w:rsidRPr="4514C18F">
        <w:t xml:space="preserve"> the second phase of the CAM reopening, which expand</w:t>
      </w:r>
      <w:r w:rsidR="04190EAB" w:rsidRPr="4514C18F">
        <w:t>ed</w:t>
      </w:r>
      <w:r w:rsidR="55F2750A" w:rsidRPr="4514C18F">
        <w:t xml:space="preserve"> </w:t>
      </w:r>
      <w:r w:rsidR="634CFC1A" w:rsidRPr="4514C18F">
        <w:t xml:space="preserve">eligibility to petition for </w:t>
      </w:r>
      <w:r w:rsidR="5078A6AD" w:rsidRPr="4514C18F">
        <w:t xml:space="preserve">USRAP </w:t>
      </w:r>
      <w:r w:rsidR="55F2750A" w:rsidRPr="4514C18F">
        <w:t>access</w:t>
      </w:r>
      <w:r w:rsidR="4847B483" w:rsidRPr="4514C18F">
        <w:t xml:space="preserve"> </w:t>
      </w:r>
      <w:r w:rsidR="55F2750A" w:rsidRPr="4514C18F">
        <w:t xml:space="preserve">to a greater number of qualifying individuals. </w:t>
      </w:r>
      <w:r w:rsidR="24C69C12" w:rsidRPr="4514C18F">
        <w:t xml:space="preserve">As part of Phase Two, </w:t>
      </w:r>
      <w:r w:rsidR="25D2885B" w:rsidRPr="4514C18F">
        <w:t>e</w:t>
      </w:r>
      <w:r w:rsidR="55F2750A" w:rsidRPr="4514C18F">
        <w:t>ligibility to petition now extend</w:t>
      </w:r>
      <w:r w:rsidR="34343FAD" w:rsidRPr="4514C18F">
        <w:t>s</w:t>
      </w:r>
      <w:r w:rsidR="55F2750A" w:rsidRPr="4514C18F">
        <w:t xml:space="preserve"> to include legal guardians (in addition to parents) who are in the United States pursuant to any of the following qualifying categories: lawful permanent residence; temporary protected status; parole; deferred action; deferred enforced departu</w:t>
      </w:r>
      <w:r w:rsidR="009A5485" w:rsidRPr="4514C18F">
        <w:t xml:space="preserve">re; or withholding of removal. </w:t>
      </w:r>
      <w:r w:rsidR="55F2750A" w:rsidRPr="4514C18F">
        <w:t>In addition, this expansion of eligibility now include</w:t>
      </w:r>
      <w:r w:rsidR="139C7110" w:rsidRPr="4514C18F">
        <w:t>s</w:t>
      </w:r>
      <w:r w:rsidR="55F2750A" w:rsidRPr="4514C18F">
        <w:t xml:space="preserve"> certain U.S.-based parents or legal guardians who have a pending asylum application or a pending </w:t>
      </w:r>
      <w:r w:rsidR="7F429F60" w:rsidRPr="4514C18F">
        <w:t xml:space="preserve">petition for </w:t>
      </w:r>
      <w:r w:rsidR="55F2750A" w:rsidRPr="4514C18F">
        <w:t xml:space="preserve">U </w:t>
      </w:r>
      <w:r w:rsidR="565F7144" w:rsidRPr="4514C18F">
        <w:t>nonimmigrant status</w:t>
      </w:r>
      <w:r w:rsidR="009A5485" w:rsidRPr="4514C18F">
        <w:t xml:space="preserve"> filed before May 15, 2021. </w:t>
      </w:r>
      <w:r w:rsidR="55F2750A" w:rsidRPr="4514C18F">
        <w:t>These new changes will dramatically expand access to the CAM program</w:t>
      </w:r>
      <w:r w:rsidR="44DAC97C" w:rsidRPr="4514C18F">
        <w:t>, particularly for Guatemalans who historically made up only 2% of CAM applicants between 2014 and 2017</w:t>
      </w:r>
      <w:r w:rsidR="48634157" w:rsidRPr="4514C18F">
        <w:t xml:space="preserve">. The United States remains firmly committed to welcoming people to the United States with humanity and respect, as well as providing a legal </w:t>
      </w:r>
      <w:r w:rsidR="158A5508" w:rsidRPr="4514C18F">
        <w:t xml:space="preserve">and safe </w:t>
      </w:r>
      <w:r w:rsidR="48634157" w:rsidRPr="4514C18F">
        <w:t xml:space="preserve">alternative to irregular migration. </w:t>
      </w:r>
    </w:p>
    <w:p w14:paraId="04EA811F" w14:textId="437A3DDA" w:rsidR="00DE4EBD" w:rsidRPr="00012D40" w:rsidRDefault="5533EB95" w:rsidP="00B500E3">
      <w:pPr>
        <w:ind w:left="0" w:firstLine="0"/>
      </w:pPr>
      <w:r w:rsidRPr="4514C18F">
        <w:rPr>
          <w:rFonts w:eastAsia="Times New Roman"/>
        </w:rPr>
        <w:t>U</w:t>
      </w:r>
      <w:r w:rsidRPr="4514C18F">
        <w:t>nder the Trafficking Victims Protection R</w:t>
      </w:r>
      <w:r w:rsidR="00780604" w:rsidRPr="4514C18F">
        <w:t xml:space="preserve">eauthorization Act of 2008, </w:t>
      </w:r>
      <w:r w:rsidRPr="4514C18F">
        <w:t>HHS is required to</w:t>
      </w:r>
      <w:r w:rsidR="00AF3948" w:rsidRPr="4514C18F">
        <w:t xml:space="preserve"> facilitate</w:t>
      </w:r>
      <w:r w:rsidRPr="4514C18F">
        <w:t xml:space="preserve"> legal representation for unaccompanied children to the greatest extent practicable</w:t>
      </w:r>
      <w:r w:rsidR="00AF3948" w:rsidRPr="4514C18F">
        <w:t xml:space="preserve"> at no expense to the government</w:t>
      </w:r>
      <w:r w:rsidRPr="4514C18F">
        <w:t xml:space="preserve">. </w:t>
      </w:r>
      <w:r w:rsidR="561EB003" w:rsidRPr="4514C18F">
        <w:t>HHS</w:t>
      </w:r>
      <w:r w:rsidR="000D129A" w:rsidRPr="4514C18F">
        <w:t>/</w:t>
      </w:r>
      <w:r w:rsidR="561EB003" w:rsidRPr="4514C18F">
        <w:t>ORR</w:t>
      </w:r>
      <w:r w:rsidRPr="4514C18F">
        <w:t xml:space="preserve"> provides funding for a legal services provider to give</w:t>
      </w:r>
      <w:r w:rsidR="48E896D5" w:rsidRPr="4514C18F">
        <w:t xml:space="preserve"> </w:t>
      </w:r>
      <w:r w:rsidRPr="4514C18F">
        <w:t>“Know Your Rights” presentati</w:t>
      </w:r>
      <w:r w:rsidR="00AF3948" w:rsidRPr="4514C18F">
        <w:t>ons</w:t>
      </w:r>
      <w:r w:rsidRPr="4514C18F">
        <w:t xml:space="preserve"> and legal screening</w:t>
      </w:r>
      <w:r w:rsidR="00AF3948" w:rsidRPr="4514C18F">
        <w:t>s on available immigration relief</w:t>
      </w:r>
      <w:r w:rsidRPr="4514C18F">
        <w:t xml:space="preserve"> to all una</w:t>
      </w:r>
      <w:r w:rsidR="52952736" w:rsidRPr="4514C18F">
        <w:t>ccompanied children (UC)</w:t>
      </w:r>
      <w:r w:rsidRPr="4514C18F">
        <w:t xml:space="preserve"> in ORR custody. </w:t>
      </w:r>
      <w:r w:rsidR="1356370D" w:rsidRPr="4514C18F">
        <w:t>The</w:t>
      </w:r>
      <w:r w:rsidR="52952736" w:rsidRPr="4514C18F">
        <w:t xml:space="preserve"> screening determines the UC’s potential eligibility</w:t>
      </w:r>
      <w:r w:rsidR="08D5C973" w:rsidRPr="4514C18F">
        <w:t xml:space="preserve"> for immigration relief.</w:t>
      </w:r>
      <w:r w:rsidR="1356370D" w:rsidRPr="4514C18F">
        <w:t xml:space="preserve"> The legal services</w:t>
      </w:r>
      <w:r w:rsidR="001C5D1B" w:rsidRPr="4514C18F">
        <w:t xml:space="preserve"> partners also</w:t>
      </w:r>
      <w:r w:rsidR="52952736" w:rsidRPr="4514C18F">
        <w:t xml:space="preserve"> provide direct representation for </w:t>
      </w:r>
      <w:r w:rsidR="001C5D1B" w:rsidRPr="4514C18F">
        <w:t xml:space="preserve">some </w:t>
      </w:r>
      <w:r w:rsidR="00A63776" w:rsidRPr="4514C18F">
        <w:t xml:space="preserve">UC in ORR </w:t>
      </w:r>
      <w:r w:rsidR="52952736" w:rsidRPr="4514C18F">
        <w:t xml:space="preserve">custody while they await unification with a sponsor. </w:t>
      </w:r>
      <w:r w:rsidRPr="4514C18F">
        <w:t>Direct representation is also provided for UC in ORR’s long-term care programs,</w:t>
      </w:r>
      <w:r w:rsidR="001C5D1B" w:rsidRPr="4514C18F">
        <w:t xml:space="preserve"> </w:t>
      </w:r>
      <w:r w:rsidRPr="4514C18F">
        <w:t>UC seeking voluntary departure</w:t>
      </w:r>
      <w:r w:rsidR="001C5D1B" w:rsidRPr="4514C18F">
        <w:t>, UC appearing for removal proceedings while in ORR care,</w:t>
      </w:r>
      <w:r w:rsidRPr="4514C18F">
        <w:t xml:space="preserve"> UC who are without unification options</w:t>
      </w:r>
      <w:r w:rsidR="001C5D1B" w:rsidRPr="4514C18F">
        <w:t>, and in some cases for children post-release</w:t>
      </w:r>
      <w:r w:rsidRPr="4514C18F">
        <w:t>.</w:t>
      </w:r>
    </w:p>
    <w:p w14:paraId="7CCEA0A0" w14:textId="14F93D98" w:rsidR="00C95715" w:rsidRPr="00012D40" w:rsidRDefault="52952736" w:rsidP="00B500E3">
      <w:pPr>
        <w:ind w:left="0" w:firstLine="0"/>
      </w:pPr>
      <w:r w:rsidRPr="15074BDE">
        <w:t>ORR legal service providers</w:t>
      </w:r>
      <w:r w:rsidR="00463FA2" w:rsidRPr="15074BDE">
        <w:t xml:space="preserve"> also</w:t>
      </w:r>
      <w:r w:rsidRPr="15074BDE">
        <w:t xml:space="preserve"> </w:t>
      </w:r>
      <w:r w:rsidR="1356370D" w:rsidRPr="15074BDE">
        <w:t xml:space="preserve">help coordinate </w:t>
      </w:r>
      <w:r w:rsidRPr="15074BDE">
        <w:t>referral</w:t>
      </w:r>
      <w:r w:rsidR="1356370D" w:rsidRPr="15074BDE">
        <w:t>s to</w:t>
      </w:r>
      <w:r w:rsidRPr="15074BDE">
        <w:t xml:space="preserve"> </w:t>
      </w:r>
      <w:r w:rsidRPr="15074BDE">
        <w:rPr>
          <w:i/>
          <w:iCs/>
        </w:rPr>
        <w:t>pro bono</w:t>
      </w:r>
      <w:r w:rsidRPr="15074BDE">
        <w:t xml:space="preserve"> attorney</w:t>
      </w:r>
      <w:r w:rsidR="1356370D" w:rsidRPr="15074BDE">
        <w:t>s</w:t>
      </w:r>
      <w:r w:rsidRPr="15074BDE">
        <w:t xml:space="preserve"> to</w:t>
      </w:r>
      <w:r w:rsidR="1356370D" w:rsidRPr="15074BDE">
        <w:t xml:space="preserve"> provide </w:t>
      </w:r>
      <w:r w:rsidR="6FA15ED5" w:rsidRPr="15074BDE">
        <w:t xml:space="preserve">any further </w:t>
      </w:r>
      <w:r w:rsidR="1356370D" w:rsidRPr="15074BDE">
        <w:t>legal representation</w:t>
      </w:r>
      <w:r w:rsidR="001C5D1B" w:rsidRPr="15074BDE">
        <w:t>.</w:t>
      </w:r>
      <w:r w:rsidR="1356370D" w:rsidRPr="15074BDE">
        <w:t xml:space="preserve"> </w:t>
      </w:r>
      <w:r w:rsidRPr="15074BDE">
        <w:t xml:space="preserve">Resources for </w:t>
      </w:r>
      <w:r w:rsidRPr="15074BDE">
        <w:rPr>
          <w:i/>
          <w:iCs/>
        </w:rPr>
        <w:t>pro bono</w:t>
      </w:r>
      <w:r w:rsidRPr="15074BDE">
        <w:t xml:space="preserve"> attorneys</w:t>
      </w:r>
      <w:r w:rsidR="00463FA2" w:rsidRPr="15074BDE">
        <w:t xml:space="preserve"> are</w:t>
      </w:r>
      <w:r w:rsidR="00AF3948" w:rsidRPr="15074BDE">
        <w:t xml:space="preserve"> </w:t>
      </w:r>
      <w:r w:rsidRPr="15074BDE">
        <w:t>include</w:t>
      </w:r>
      <w:r w:rsidR="00AF3948" w:rsidRPr="15074BDE">
        <w:t xml:space="preserve">d </w:t>
      </w:r>
      <w:r w:rsidR="00463FA2" w:rsidRPr="15074BDE">
        <w:t>in</w:t>
      </w:r>
      <w:r w:rsidRPr="15074BDE">
        <w:t xml:space="preserve"> the</w:t>
      </w:r>
      <w:r w:rsidR="00463FA2" w:rsidRPr="15074BDE">
        <w:t xml:space="preserve"> ORR</w:t>
      </w:r>
      <w:r w:rsidR="00AF3948" w:rsidRPr="15074BDE">
        <w:t xml:space="preserve"> </w:t>
      </w:r>
      <w:r w:rsidRPr="15074BDE">
        <w:t>Legal</w:t>
      </w:r>
      <w:r w:rsidR="00463FA2" w:rsidRPr="15074BDE">
        <w:t xml:space="preserve"> Resource Guide</w:t>
      </w:r>
      <w:r w:rsidR="00AF3948" w:rsidRPr="15074BDE">
        <w:t>.</w:t>
      </w:r>
      <w:r w:rsidR="1356370D" w:rsidRPr="15074BDE">
        <w:t xml:space="preserve"> </w:t>
      </w:r>
      <w:r w:rsidRPr="15074BDE">
        <w:t>The majority of UC are cared for through a network of state-licensed, ORR-funded care providers</w:t>
      </w:r>
      <w:r w:rsidR="00AF3948" w:rsidRPr="15074BDE">
        <w:t>. These</w:t>
      </w:r>
      <w:r w:rsidR="00EA4FD7" w:rsidRPr="15074BDE">
        <w:t xml:space="preserve"> </w:t>
      </w:r>
      <w:r w:rsidR="1356370D" w:rsidRPr="15074BDE">
        <w:t>services include</w:t>
      </w:r>
      <w:r w:rsidR="00AF3948" w:rsidRPr="15074BDE">
        <w:t xml:space="preserve"> notices related to a child’s right to apply for asylum and information about access to counsel and forms of legal immigration relief.</w:t>
      </w:r>
    </w:p>
    <w:p w14:paraId="47C0AB4B" w14:textId="751B357B" w:rsidR="00291DB4" w:rsidRPr="00012D40" w:rsidRDefault="60AABDE9" w:rsidP="00B500E3">
      <w:pPr>
        <w:ind w:left="0" w:firstLine="0"/>
      </w:pPr>
      <w:r w:rsidRPr="4514C18F">
        <w:t>As a general matter,</w:t>
      </w:r>
      <w:r w:rsidR="001C5D1B" w:rsidRPr="4514C18F">
        <w:t xml:space="preserve"> employees, contractors,</w:t>
      </w:r>
      <w:r w:rsidRPr="4514C18F">
        <w:t xml:space="preserve"> and volunteers</w:t>
      </w:r>
      <w:r w:rsidR="001C5D1B" w:rsidRPr="4514C18F">
        <w:t xml:space="preserve"> who have access to</w:t>
      </w:r>
      <w:r w:rsidRPr="4514C18F">
        <w:t xml:space="preserve"> unaccompanied </w:t>
      </w:r>
      <w:r w:rsidR="78AB8720" w:rsidRPr="4514C18F">
        <w:t xml:space="preserve">children must pass FBI fingerprint-based criminal </w:t>
      </w:r>
      <w:r w:rsidR="001C5D1B" w:rsidRPr="4514C18F">
        <w:t>record</w:t>
      </w:r>
      <w:r w:rsidR="78AB8720" w:rsidRPr="4514C18F">
        <w:t xml:space="preserve"> checks. </w:t>
      </w:r>
      <w:r w:rsidRPr="4514C18F">
        <w:t xml:space="preserve">As a temporary measure, </w:t>
      </w:r>
      <w:r w:rsidR="78AB8720" w:rsidRPr="4514C18F">
        <w:t xml:space="preserve">however, </w:t>
      </w:r>
      <w:r w:rsidRPr="4514C18F">
        <w:t>to ensure housing and care for the incredible number of unaccompanied children arriving in the United States</w:t>
      </w:r>
      <w:r w:rsidR="78AB8720" w:rsidRPr="4514C18F">
        <w:t xml:space="preserve"> in early 2021</w:t>
      </w:r>
      <w:r w:rsidRPr="4514C18F">
        <w:t xml:space="preserve">, </w:t>
      </w:r>
      <w:r w:rsidR="78AB8720" w:rsidRPr="4514C18F">
        <w:t xml:space="preserve">the Biden </w:t>
      </w:r>
      <w:r w:rsidR="3153FB29" w:rsidRPr="4514C18F">
        <w:t>A</w:t>
      </w:r>
      <w:r w:rsidR="78AB8720" w:rsidRPr="4514C18F">
        <w:t>dministration announced in March 2021</w:t>
      </w:r>
      <w:r w:rsidR="1D2F2033" w:rsidRPr="4514C18F">
        <w:t xml:space="preserve"> that it </w:t>
      </w:r>
      <w:r w:rsidR="002671F9" w:rsidRPr="4514C18F">
        <w:t xml:space="preserve">may waive some pre-employment </w:t>
      </w:r>
      <w:r w:rsidR="000C16CC" w:rsidRPr="4514C18F">
        <w:t>record</w:t>
      </w:r>
      <w:r w:rsidR="1D2F2033" w:rsidRPr="4514C18F">
        <w:t xml:space="preserve"> checks for</w:t>
      </w:r>
      <w:r w:rsidR="78AB8720" w:rsidRPr="4514C18F">
        <w:t xml:space="preserve"> </w:t>
      </w:r>
      <w:r w:rsidR="002671F9" w:rsidRPr="4514C18F">
        <w:t>employees, contractors</w:t>
      </w:r>
      <w:r w:rsidR="32ABD812" w:rsidRPr="4514C18F">
        <w:t>,</w:t>
      </w:r>
      <w:r w:rsidR="002671F9" w:rsidRPr="4514C18F">
        <w:t xml:space="preserve"> and volunteers who may have direct access to unaccompanied children at Emergency Intake Sites (that were unable to complete pre-employment checks) opened across the United States. </w:t>
      </w:r>
      <w:r w:rsidR="1D2F2033" w:rsidRPr="4514C18F">
        <w:t xml:space="preserve">In those Emergency Intake Sites, HHS announced that it would implement the standards of care used for children in an emergency response setting. </w:t>
      </w:r>
      <w:r w:rsidR="002671F9" w:rsidRPr="4514C18F">
        <w:t>Employees, contractors</w:t>
      </w:r>
      <w:r w:rsidR="077EC539" w:rsidRPr="4514C18F">
        <w:t>,</w:t>
      </w:r>
      <w:r w:rsidR="002671F9" w:rsidRPr="4514C18F">
        <w:t xml:space="preserve"> and volunteers who may have access to unaccompanied children at these sites still</w:t>
      </w:r>
      <w:r w:rsidR="1D2F2033" w:rsidRPr="4514C18F">
        <w:t xml:space="preserve"> have to</w:t>
      </w:r>
      <w:r w:rsidR="78AB8720" w:rsidRPr="4514C18F">
        <w:t xml:space="preserve"> pass public </w:t>
      </w:r>
      <w:r w:rsidR="002671F9" w:rsidRPr="4514C18F">
        <w:t xml:space="preserve">record </w:t>
      </w:r>
      <w:r w:rsidR="78AB8720" w:rsidRPr="4514C18F">
        <w:t>checks</w:t>
      </w:r>
      <w:r w:rsidR="1D2F2033" w:rsidRPr="4514C18F">
        <w:t>.</w:t>
      </w:r>
      <w:r w:rsidR="78AB8720" w:rsidRPr="4514C18F">
        <w:t xml:space="preserve"> In additi</w:t>
      </w:r>
      <w:r w:rsidR="1D2F2033" w:rsidRPr="4514C18F">
        <w:t xml:space="preserve">on, staff providing direct care at those </w:t>
      </w:r>
      <w:r w:rsidR="002671F9" w:rsidRPr="4514C18F">
        <w:t>Emergency Intake Sites</w:t>
      </w:r>
      <w:r w:rsidR="1D2F2033" w:rsidRPr="4514C18F">
        <w:t xml:space="preserve"> </w:t>
      </w:r>
      <w:r w:rsidR="002671F9" w:rsidRPr="4514C18F">
        <w:t>are directly</w:t>
      </w:r>
      <w:r w:rsidR="78AB8720" w:rsidRPr="4514C18F">
        <w:t xml:space="preserve"> supervised by federal employees or others who have passed </w:t>
      </w:r>
      <w:r w:rsidR="1D2F2033" w:rsidRPr="4514C18F">
        <w:t xml:space="preserve">FBI </w:t>
      </w:r>
      <w:r w:rsidR="78AB8720" w:rsidRPr="4514C18F">
        <w:t xml:space="preserve">fingerprint-based </w:t>
      </w:r>
      <w:r w:rsidR="000C16CC" w:rsidRPr="4514C18F">
        <w:t>record</w:t>
      </w:r>
      <w:r w:rsidR="005A7946" w:rsidRPr="4514C18F">
        <w:t xml:space="preserve"> checks.</w:t>
      </w:r>
      <w:r w:rsidR="78AB8720" w:rsidRPr="4514C18F">
        <w:t xml:space="preserve"> </w:t>
      </w:r>
      <w:r w:rsidR="002671F9" w:rsidRPr="4514C18F">
        <w:t xml:space="preserve">Once employees, contractors, and volunteers pass all required </w:t>
      </w:r>
      <w:r w:rsidR="005B658C" w:rsidRPr="4514C18F">
        <w:t>record</w:t>
      </w:r>
      <w:r w:rsidR="002671F9" w:rsidRPr="4514C18F">
        <w:t xml:space="preserve"> checks, they are deemed appropriate to work with children unsupervised.</w:t>
      </w:r>
    </w:p>
    <w:p w14:paraId="2984FA3F" w14:textId="42A0C538" w:rsidR="00C6147C" w:rsidRPr="00012D40" w:rsidRDefault="11AFD9A0" w:rsidP="00B500E3">
      <w:pPr>
        <w:ind w:left="0" w:firstLine="0"/>
      </w:pPr>
      <w:r w:rsidRPr="7DE3C874">
        <w:rPr>
          <w:b/>
          <w:bCs/>
        </w:rPr>
        <w:t xml:space="preserve">Criminal </w:t>
      </w:r>
      <w:r w:rsidR="003043C1">
        <w:rPr>
          <w:b/>
          <w:bCs/>
        </w:rPr>
        <w:t>J</w:t>
      </w:r>
      <w:r w:rsidRPr="7DE3C874">
        <w:rPr>
          <w:b/>
          <w:bCs/>
        </w:rPr>
        <w:t xml:space="preserve">ustice </w:t>
      </w:r>
      <w:r w:rsidR="003043C1">
        <w:rPr>
          <w:b/>
          <w:bCs/>
        </w:rPr>
        <w:t>S</w:t>
      </w:r>
      <w:r w:rsidRPr="7DE3C874">
        <w:rPr>
          <w:b/>
          <w:bCs/>
        </w:rPr>
        <w:t xml:space="preserve">ystem </w:t>
      </w:r>
      <w:r w:rsidR="000C16CC">
        <w:rPr>
          <w:b/>
          <w:bCs/>
        </w:rPr>
        <w:t xml:space="preserve">and </w:t>
      </w:r>
      <w:r w:rsidR="003043C1">
        <w:rPr>
          <w:b/>
          <w:bCs/>
        </w:rPr>
        <w:t>A</w:t>
      </w:r>
      <w:r w:rsidR="000C16CC">
        <w:rPr>
          <w:b/>
          <w:bCs/>
        </w:rPr>
        <w:t xml:space="preserve">dministrative </w:t>
      </w:r>
      <w:r w:rsidR="003043C1">
        <w:rPr>
          <w:b/>
          <w:bCs/>
        </w:rPr>
        <w:t>P</w:t>
      </w:r>
      <w:r w:rsidRPr="7DE3C874">
        <w:rPr>
          <w:b/>
          <w:bCs/>
        </w:rPr>
        <w:t xml:space="preserve">rotection </w:t>
      </w:r>
      <w:r w:rsidR="003043C1">
        <w:rPr>
          <w:b/>
          <w:bCs/>
        </w:rPr>
        <w:t>M</w:t>
      </w:r>
      <w:r w:rsidRPr="7DE3C874">
        <w:rPr>
          <w:b/>
          <w:bCs/>
        </w:rPr>
        <w:t>easures</w:t>
      </w:r>
      <w:r w:rsidRPr="00EF2892">
        <w:rPr>
          <w:b/>
          <w:bCs/>
        </w:rPr>
        <w:t>.</w:t>
      </w:r>
      <w:r w:rsidRPr="7DE3C874">
        <w:rPr>
          <w:b/>
          <w:bCs/>
        </w:rPr>
        <w:t xml:space="preserve"> </w:t>
      </w:r>
      <w:r w:rsidR="236696E3" w:rsidRPr="7DE3C874">
        <w:rPr>
          <w:b/>
          <w:bCs/>
        </w:rPr>
        <w:t xml:space="preserve"> </w:t>
      </w:r>
      <w:r w:rsidR="236696E3" w:rsidRPr="7DE3C874">
        <w:t xml:space="preserve">The United States </w:t>
      </w:r>
      <w:r w:rsidR="09A940D9" w:rsidRPr="7DE3C874">
        <w:t xml:space="preserve">appreciates the Committee’s interest in its training of judges and judicial officials at the state, territorial, tribal, and federal levels to sensitize them to the unique needs of child exploitation victims, and the United States </w:t>
      </w:r>
      <w:r w:rsidR="236696E3" w:rsidRPr="7DE3C874">
        <w:t xml:space="preserve">continues </w:t>
      </w:r>
      <w:r w:rsidR="09A940D9" w:rsidRPr="7DE3C874">
        <w:t>its active work in this area</w:t>
      </w:r>
      <w:r w:rsidR="11F8E915" w:rsidRPr="7DE3C874">
        <w:t xml:space="preserve">. </w:t>
      </w:r>
      <w:r w:rsidR="000C16CC">
        <w:t>The</w:t>
      </w:r>
      <w:r w:rsidR="000C16CC" w:rsidRPr="7DE3C874">
        <w:t xml:space="preserve"> DOJ Executive Office for Immigration Review (EOIR) </w:t>
      </w:r>
      <w:r w:rsidR="000C16CC">
        <w:t xml:space="preserve">provides training on human trafficking to new immigration judges, and </w:t>
      </w:r>
      <w:r w:rsidR="000C16CC" w:rsidRPr="7DE3C874">
        <w:t xml:space="preserve">EOIR also </w:t>
      </w:r>
      <w:r w:rsidR="000C16CC">
        <w:t xml:space="preserve">provides periodic </w:t>
      </w:r>
      <w:r w:rsidR="000C16CC" w:rsidRPr="7DE3C874">
        <w:t>train</w:t>
      </w:r>
      <w:r w:rsidR="000C16CC">
        <w:t>ing</w:t>
      </w:r>
      <w:r w:rsidR="000C16CC" w:rsidRPr="7DE3C874">
        <w:t xml:space="preserve"> </w:t>
      </w:r>
      <w:r w:rsidR="000C16CC">
        <w:t>to other court</w:t>
      </w:r>
      <w:r w:rsidR="000C16CC" w:rsidRPr="7DE3C874">
        <w:t xml:space="preserve"> personnel in identifying and reporting suspected victims of trafficking or suspected traffickers.</w:t>
      </w:r>
      <w:r w:rsidR="000C16CC">
        <w:t xml:space="preserve"> In addition, EOIR launched the Counsel for Children Initiative (CCI) in 2021. The CCI </w:t>
      </w:r>
      <w:r w:rsidR="000C16CC" w:rsidRPr="002E2163">
        <w:t xml:space="preserve">works to provide legal representation to certain unaccompanied children </w:t>
      </w:r>
      <w:r w:rsidR="000C16CC">
        <w:t xml:space="preserve">in immigration proceedings at nine immigration courts, and EOIR believes that the CCI will, in part, help EOIR </w:t>
      </w:r>
      <w:r w:rsidR="000C16CC" w:rsidRPr="002E2163">
        <w:t>identify children who have been victims of human trafficking or abuse and refer them to appropriate support services.</w:t>
      </w:r>
      <w:r w:rsidR="000C16CC" w:rsidRPr="7DE3C874">
        <w:t xml:space="preserve"> </w:t>
      </w:r>
      <w:r w:rsidR="0599477C" w:rsidRPr="7DE3C874">
        <w:t xml:space="preserve">In October 2019, DOJ held a three-day workshop for federal human trafficking prosecutors in which survivors, prosecutors, and victims assistance professionals provided training on victim-centered, trauma-informed </w:t>
      </w:r>
      <w:r w:rsidR="6FA15ED5" w:rsidRPr="7DE3C874">
        <w:t xml:space="preserve">approaches to law enforcement. </w:t>
      </w:r>
      <w:r w:rsidR="0599477C" w:rsidRPr="7DE3C874">
        <w:t>A similar training focused on child sex trafficking took place in March 2020.</w:t>
      </w:r>
    </w:p>
    <w:p w14:paraId="0A2440AE" w14:textId="506A44C4" w:rsidR="00C6147C" w:rsidRPr="00012D40" w:rsidRDefault="236696E3" w:rsidP="00B500E3">
      <w:pPr>
        <w:ind w:left="0" w:firstLine="0"/>
      </w:pPr>
      <w:r w:rsidRPr="7DE3C874">
        <w:t xml:space="preserve">Regular trainings are </w:t>
      </w:r>
      <w:r w:rsidR="4BF28DA0" w:rsidRPr="7DE3C874">
        <w:t xml:space="preserve">also </w:t>
      </w:r>
      <w:r w:rsidRPr="7DE3C874">
        <w:t xml:space="preserve">provided throughout the United States by the National Judicial Institute on Domestic Child Sex Trafficking (NJIDCST), created by the National Council of Juvenile and Family Court Judges in partnership with Rights4Girls and </w:t>
      </w:r>
      <w:r w:rsidR="75DF6254" w:rsidRPr="7DE3C874">
        <w:t>DOJ/</w:t>
      </w:r>
      <w:r w:rsidR="005A7946">
        <w:t xml:space="preserve">OJJDP. </w:t>
      </w:r>
      <w:r w:rsidRPr="7DE3C874">
        <w:t>NJIDCST uses a special segment entitled “Judges Can,” which focuses on real-world</w:t>
      </w:r>
      <w:r w:rsidR="41EE3E5A" w:rsidRPr="7DE3C874">
        <w:t>,</w:t>
      </w:r>
      <w:r w:rsidRPr="7DE3C874">
        <w:t xml:space="preserve"> practical applications in topical areas such as victim and perpetrator behavior, trafficking dynamics, culture, judicial decision-making, and the lega</w:t>
      </w:r>
      <w:r w:rsidR="4BF28DA0" w:rsidRPr="7DE3C874">
        <w:t>l landscape of trafficking law.</w:t>
      </w:r>
      <w:r w:rsidRPr="7DE3C874">
        <w:t xml:space="preserve"> “Judges Can” enables</w:t>
      </w:r>
      <w:r w:rsidR="11F8E915" w:rsidRPr="7DE3C874">
        <w:t xml:space="preserve"> participants</w:t>
      </w:r>
      <w:r w:rsidRPr="7DE3C874">
        <w:t xml:space="preserve"> to take a step back after each segment and explore how they can make immediate changes to their own judicial practice from the moment th</w:t>
      </w:r>
      <w:r w:rsidR="00A45940">
        <w:t xml:space="preserve">ey return to their courtrooms. </w:t>
      </w:r>
      <w:r w:rsidRPr="7DE3C874">
        <w:t>It also provides answers t</w:t>
      </w:r>
      <w:r w:rsidR="11F8E915" w:rsidRPr="7DE3C874">
        <w:t xml:space="preserve">o </w:t>
      </w:r>
      <w:r w:rsidR="19D1FCEF" w:rsidRPr="7DE3C874">
        <w:t xml:space="preserve">difficult </w:t>
      </w:r>
      <w:r w:rsidR="11F8E915" w:rsidRPr="7DE3C874">
        <w:t>questions, such as “how to</w:t>
      </w:r>
      <w:r w:rsidRPr="7DE3C874">
        <w:t xml:space="preserve"> talk to a chi</w:t>
      </w:r>
      <w:r w:rsidR="11F8E915" w:rsidRPr="7DE3C874">
        <w:t xml:space="preserve">ld who has experienced trauma.” </w:t>
      </w:r>
    </w:p>
    <w:p w14:paraId="50B54A68" w14:textId="72468114" w:rsidR="00C6147C" w:rsidRPr="00012D40" w:rsidRDefault="11F8E915" w:rsidP="00B500E3">
      <w:pPr>
        <w:ind w:left="0" w:firstLine="0"/>
      </w:pPr>
      <w:r w:rsidRPr="7DE3C874">
        <w:t>HHS/ACF’s Children’s Bureau also provides regular</w:t>
      </w:r>
      <w:r w:rsidR="001C5D1B">
        <w:t xml:space="preserve"> training and technical assistance to Court Improvement Program grantees</w:t>
      </w:r>
      <w:r w:rsidRPr="7DE3C874">
        <w:t xml:space="preserve"> through the </w:t>
      </w:r>
      <w:r w:rsidR="001C5D1B">
        <w:t xml:space="preserve">Capacity Building </w:t>
      </w:r>
      <w:r w:rsidRPr="7DE3C874">
        <w:t>Center for Courts, which provides assistance on the implementation of the Preventing Sex Trafficking and Strengthening Families Act of 2014</w:t>
      </w:r>
      <w:r w:rsidR="001C5D1B">
        <w:t xml:space="preserve"> and can include training for judicial employees</w:t>
      </w:r>
      <w:r w:rsidRPr="7DE3C874">
        <w:t>.</w:t>
      </w:r>
    </w:p>
    <w:p w14:paraId="2F5C29AE" w14:textId="3E6883E4" w:rsidR="353C7EDF" w:rsidRDefault="001C5D1B" w:rsidP="00B500E3">
      <w:pPr>
        <w:ind w:left="0" w:firstLine="0"/>
        <w:rPr>
          <w:rFonts w:eastAsia="Times New Roman"/>
        </w:rPr>
      </w:pPr>
      <w:r w:rsidRPr="4514C18F">
        <w:t>Subject to any constitutional limitations and when deemed appropriate by the court, c</w:t>
      </w:r>
      <w:r w:rsidR="2603D40D" w:rsidRPr="4514C18F">
        <w:t xml:space="preserve">hild victim and witness testimonies via </w:t>
      </w:r>
      <w:r w:rsidR="42074287" w:rsidRPr="4514C18F">
        <w:t>closed circuit television, video recording, and</w:t>
      </w:r>
      <w:r w:rsidR="2603D40D" w:rsidRPr="4514C18F">
        <w:t xml:space="preserve"> other means to avo</w:t>
      </w:r>
      <w:r w:rsidR="0AA885F7" w:rsidRPr="4514C18F">
        <w:t>id re-victimization are available</w:t>
      </w:r>
      <w:r w:rsidR="643EDFBB" w:rsidRPr="4514C18F">
        <w:t xml:space="preserve"> in federal court</w:t>
      </w:r>
      <w:r w:rsidR="00A45940" w:rsidRPr="4514C18F">
        <w:t>, s</w:t>
      </w:r>
      <w:r w:rsidR="00B8665A" w:rsidRPr="4514C18F">
        <w:t>ee, e.g.</w:t>
      </w:r>
      <w:r w:rsidR="00BF2005">
        <w:t xml:space="preserve">, </w:t>
      </w:r>
      <w:r w:rsidR="4BF28DA0" w:rsidRPr="4514C18F">
        <w:t>18 U.S.C.</w:t>
      </w:r>
      <w:r w:rsidR="4A4E88D5" w:rsidRPr="4514C18F">
        <w:t xml:space="preserve"> §</w:t>
      </w:r>
      <w:r w:rsidR="4BF28DA0" w:rsidRPr="4514C18F">
        <w:t xml:space="preserve"> 3509. Such mechanisms are supported and used to avoid re-victimization of children</w:t>
      </w:r>
      <w:r w:rsidR="004D0182" w:rsidRPr="4514C18F">
        <w:t xml:space="preserve"> who are victims of physical abuse, sexual abuse, or exploitation, which includes child pornography offense</w:t>
      </w:r>
      <w:r w:rsidR="261BEA2C" w:rsidRPr="4514C18F">
        <w:t>s</w:t>
      </w:r>
      <w:r w:rsidR="004D0182" w:rsidRPr="4514C18F">
        <w:t xml:space="preserve"> and child sex trafficking.</w:t>
      </w:r>
    </w:p>
    <w:p w14:paraId="4935AE5C" w14:textId="2E198999" w:rsidR="6799215C" w:rsidRPr="00BF2005" w:rsidRDefault="353C7EDF" w:rsidP="00B500E3">
      <w:pPr>
        <w:ind w:left="0" w:firstLine="0"/>
      </w:pPr>
      <w:r w:rsidRPr="4514C18F">
        <w:t>HHS</w:t>
      </w:r>
      <w:r w:rsidR="00907516">
        <w:t>’s</w:t>
      </w:r>
      <w:r w:rsidRPr="4514C18F">
        <w:t xml:space="preserve"> Administration on Community Living’s Administration on Disabilities (AoD) funds a national network of programs that work at the state and local level and in the territories to improve opportunities for people with disabilities to access quality services and support, achieve economic self-sufficiency, and experience equality and inclusion in all facets of community life. One leading example is AoD funding 57 federally mandated Protection and Advocacy Systems (P&amp;As) and hundreds of Centers for Independent Living (CILs). P&amp;As are charged with protecting and advocating for people with disabilities, especially against abuse and neglect, and CILs provide tools, resources, and support for integrating people with disabilities fully into their communities to promote equal opportunities, self-determination, and respect.  The National Disability Rights Network (NDRN) is a nonprofit membership organization that is a training and technical assistance provider to P&amp;As. In 2017, NDRN and the Human Trafficking Pro Bono Legal Center signed a collaborative memorandum of understanding to work more closely to prevent the human trafficking of children and adults with disabilities. The P&amp;As in California, Illinois, Idaho, Montana, Michigan, New York, and Wisconsin</w:t>
      </w:r>
      <w:r w:rsidR="1FD6B838" w:rsidRPr="4514C18F">
        <w:t>,</w:t>
      </w:r>
      <w:r w:rsidRPr="4514C18F">
        <w:t xml:space="preserve"> as well as the CILs in Vermont and Oregon and the University Center for Excellence in Developmental Disabilities in Illinois</w:t>
      </w:r>
      <w:r w:rsidR="3AD95ACA" w:rsidRPr="4514C18F">
        <w:t>,</w:t>
      </w:r>
      <w:r w:rsidRPr="4514C18F">
        <w:t xml:space="preserve"> are members of the National Human Trafficking Working Group.</w:t>
      </w:r>
    </w:p>
    <w:p w14:paraId="4A451018" w14:textId="65203AE0" w:rsidR="00B879C2" w:rsidRPr="00012D40" w:rsidRDefault="00B879C2" w:rsidP="001B4EAA">
      <w:pPr>
        <w:pStyle w:val="Heading1"/>
        <w:numPr>
          <w:ilvl w:val="0"/>
          <w:numId w:val="0"/>
        </w:numPr>
      </w:pPr>
      <w:bookmarkStart w:id="9" w:name="_Toc93588718"/>
      <w:r w:rsidRPr="00012D40">
        <w:t xml:space="preserve">VI.  International </w:t>
      </w:r>
      <w:r w:rsidR="005C6E40">
        <w:t>A</w:t>
      </w:r>
      <w:r w:rsidRPr="00012D40">
        <w:t xml:space="preserve">ssistance and </w:t>
      </w:r>
      <w:r w:rsidR="005C6E40">
        <w:t>C</w:t>
      </w:r>
      <w:r w:rsidRPr="00012D40">
        <w:t>ooperation</w:t>
      </w:r>
      <w:bookmarkEnd w:id="9"/>
    </w:p>
    <w:p w14:paraId="1CDAC797" w14:textId="56792175" w:rsidR="00B879C2" w:rsidRPr="00012D40" w:rsidRDefault="42DE5853" w:rsidP="00F20403">
      <w:pPr>
        <w:ind w:left="0" w:firstLine="0"/>
      </w:pPr>
      <w:r w:rsidRPr="5C531F67">
        <w:rPr>
          <w:b/>
          <w:bCs/>
        </w:rPr>
        <w:t xml:space="preserve">Multilateral, </w:t>
      </w:r>
      <w:r w:rsidR="00A40F8E">
        <w:rPr>
          <w:b/>
          <w:bCs/>
        </w:rPr>
        <w:t>B</w:t>
      </w:r>
      <w:r w:rsidRPr="5C531F67">
        <w:rPr>
          <w:b/>
          <w:bCs/>
        </w:rPr>
        <w:t xml:space="preserve">ilateral and </w:t>
      </w:r>
      <w:r w:rsidR="00A40F8E">
        <w:rPr>
          <w:b/>
          <w:bCs/>
        </w:rPr>
        <w:t>R</w:t>
      </w:r>
      <w:r w:rsidRPr="5C531F67">
        <w:rPr>
          <w:b/>
          <w:bCs/>
        </w:rPr>
        <w:t xml:space="preserve">egional </w:t>
      </w:r>
      <w:r w:rsidR="00A40F8E">
        <w:rPr>
          <w:b/>
          <w:bCs/>
        </w:rPr>
        <w:t>A</w:t>
      </w:r>
      <w:r w:rsidRPr="5C531F67">
        <w:rPr>
          <w:b/>
          <w:bCs/>
        </w:rPr>
        <w:t>greements</w:t>
      </w:r>
      <w:r w:rsidRPr="00262361">
        <w:rPr>
          <w:b/>
          <w:bCs/>
        </w:rPr>
        <w:t>.</w:t>
      </w:r>
      <w:r w:rsidRPr="5C531F67">
        <w:rPr>
          <w:b/>
          <w:bCs/>
        </w:rPr>
        <w:t xml:space="preserve"> </w:t>
      </w:r>
      <w:r w:rsidRPr="5C531F67">
        <w:t>The United States continues to strengthen international cooperation through multilateral, regional, and bilateral arrangements, including with neighboring countries</w:t>
      </w:r>
      <w:r w:rsidR="575BA0CF" w:rsidRPr="5C531F67">
        <w:t>,</w:t>
      </w:r>
      <w:r w:rsidRPr="5C531F67">
        <w:t xml:space="preserve"> with a view to improving prevention, detection, investigation, prosecution</w:t>
      </w:r>
      <w:r w:rsidR="00295E0E">
        <w:t>,</w:t>
      </w:r>
      <w:r w:rsidRPr="5C531F67">
        <w:t xml:space="preserve"> and punishment of those responsible for offenses covered by the</w:t>
      </w:r>
      <w:r w:rsidR="0AA885F7" w:rsidRPr="5C531F67">
        <w:t xml:space="preserve"> OPSC. </w:t>
      </w:r>
      <w:r w:rsidR="56E09767" w:rsidRPr="5C531F67">
        <w:t>Through the U.S.</w:t>
      </w:r>
      <w:r w:rsidR="522EA9AD" w:rsidRPr="5C531F67">
        <w:t>-</w:t>
      </w:r>
      <w:r w:rsidR="56E09767" w:rsidRPr="5C531F67">
        <w:t xml:space="preserve">Mexico Bilateral Human </w:t>
      </w:r>
      <w:r w:rsidR="004D0182" w:rsidRPr="5C531F67">
        <w:t>T</w:t>
      </w:r>
      <w:r w:rsidR="56E09767" w:rsidRPr="5C531F67">
        <w:t>rafficking Enforcement Initiative, in FY 2020, DOJ and DHS continued to advance bilateral investigations and prosecutions of transnational trafficking enterprises operating across the U.S.</w:t>
      </w:r>
      <w:r w:rsidR="2872895F" w:rsidRPr="5C531F67">
        <w:t>-</w:t>
      </w:r>
      <w:r w:rsidR="56E09767" w:rsidRPr="5C531F67">
        <w:t>Mexico border and to facilitate exchanges of leads, evidence, intelligence anal</w:t>
      </w:r>
      <w:r w:rsidR="09634428" w:rsidRPr="5C531F67">
        <w:t>ytics, and strategic guidance</w:t>
      </w:r>
      <w:r w:rsidR="004D0182" w:rsidRPr="5C531F67">
        <w:t xml:space="preserve"> with regard to all victims of human trafficking, including children.</w:t>
      </w:r>
      <w:r w:rsidR="09634428" w:rsidRPr="5C531F67">
        <w:t xml:space="preserve"> </w:t>
      </w:r>
      <w:r w:rsidR="56E09767" w:rsidRPr="5C531F67">
        <w:t>DOJ increased engagement with Mexican anti-money laundering authorities, in collaboration with Treasury, to enhance capacity to identify and combat human trafficking and secure trafficking pr</w:t>
      </w:r>
      <w:r w:rsidR="09634428" w:rsidRPr="5C531F67">
        <w:t xml:space="preserve">oceeds for victim restitution. </w:t>
      </w:r>
      <w:r w:rsidR="56E09767" w:rsidRPr="5C531F67">
        <w:t>DOJ also supported the development of 13 state-level human traf</w:t>
      </w:r>
      <w:r w:rsidR="005A7946" w:rsidRPr="5C531F67">
        <w:t xml:space="preserve">ficking task forces in Mexico. </w:t>
      </w:r>
      <w:r w:rsidR="56E09767" w:rsidRPr="5C531F67">
        <w:t xml:space="preserve">As a result of these bilateral anti-trafficking efforts, DOJ secured convictions of six defendants </w:t>
      </w:r>
      <w:r w:rsidR="3D0D1FD5" w:rsidRPr="5C531F67">
        <w:t xml:space="preserve">for sex trafficking offenses </w:t>
      </w:r>
      <w:r w:rsidR="56E09767" w:rsidRPr="5C531F67">
        <w:t xml:space="preserve">in </w:t>
      </w:r>
      <w:r w:rsidR="4357E1BC" w:rsidRPr="5C531F67">
        <w:t>2019</w:t>
      </w:r>
      <w:r w:rsidR="0AA885F7" w:rsidRPr="5C531F67">
        <w:t xml:space="preserve">. </w:t>
      </w:r>
      <w:r w:rsidR="56E09767" w:rsidRPr="5C531F67">
        <w:t>Also, as part of Treasury’s bilateral anti-corruption initiative with</w:t>
      </w:r>
      <w:r w:rsidR="60E17E21" w:rsidRPr="5C531F67">
        <w:t xml:space="preserve"> Mexico</w:t>
      </w:r>
      <w:r w:rsidR="56E09767" w:rsidRPr="5C531F67">
        <w:t xml:space="preserve">, </w:t>
      </w:r>
      <w:r w:rsidR="00B8665A" w:rsidRPr="5C531F67">
        <w:t xml:space="preserve">in February 2020 </w:t>
      </w:r>
      <w:r w:rsidR="56E09767" w:rsidRPr="5C531F67">
        <w:t>Treasury and its Mexican government counterparts created a working group focused on human trafficking and its illicit fin</w:t>
      </w:r>
      <w:r w:rsidR="00B8665A" w:rsidRPr="5C531F67">
        <w:t>ancing risks</w:t>
      </w:r>
      <w:r w:rsidR="0AA885F7" w:rsidRPr="5C531F67">
        <w:t xml:space="preserve">. </w:t>
      </w:r>
      <w:r w:rsidR="56E09767" w:rsidRPr="5C531F67">
        <w:t>Since the working group’s inception, the United States and Mexico have committed to demonstrating significant progress to hold human traffickers accountable and have exchanged financial intelligence on human traffickers operating across the U.S.</w:t>
      </w:r>
      <w:r w:rsidR="00DE6AC2">
        <w:t>-</w:t>
      </w:r>
      <w:r w:rsidR="60E17E21" w:rsidRPr="5C531F67">
        <w:t xml:space="preserve">Mexico border. </w:t>
      </w:r>
    </w:p>
    <w:p w14:paraId="5C1599DA" w14:textId="75FB9C4A" w:rsidR="000A6186" w:rsidRPr="00012D40" w:rsidRDefault="66DEA99B" w:rsidP="00F20403">
      <w:pPr>
        <w:ind w:left="0" w:firstLine="0"/>
      </w:pPr>
      <w:r w:rsidRPr="5C531F67">
        <w:t xml:space="preserve">DOS’s Office </w:t>
      </w:r>
      <w:r w:rsidR="09CF5D0D" w:rsidRPr="5C531F67">
        <w:t xml:space="preserve">to Monitor and Combat </w:t>
      </w:r>
      <w:r w:rsidRPr="5C531F67">
        <w:t>Trafficking in Persons</w:t>
      </w:r>
      <w:r w:rsidR="68EF57E7" w:rsidRPr="5C531F67">
        <w:t xml:space="preserve"> (TIP</w:t>
      </w:r>
      <w:r w:rsidR="6E7B4CAA" w:rsidRPr="5C531F67">
        <w:t xml:space="preserve"> Office</w:t>
      </w:r>
      <w:r w:rsidR="68EF57E7" w:rsidRPr="5C531F67">
        <w:t>)</w:t>
      </w:r>
      <w:r w:rsidRPr="5C531F67">
        <w:t xml:space="preserve"> signed a Child Protection Compact</w:t>
      </w:r>
      <w:r w:rsidR="43C83DBF" w:rsidRPr="5C531F67">
        <w:t xml:space="preserve"> (CPC)</w:t>
      </w:r>
      <w:r w:rsidRPr="5C531F67">
        <w:t xml:space="preserve"> Partnershi</w:t>
      </w:r>
      <w:r w:rsidR="68EF57E7" w:rsidRPr="5C531F67">
        <w:t xml:space="preserve">p with Mongolia in April 2020. </w:t>
      </w:r>
      <w:r w:rsidRPr="5C531F67">
        <w:t xml:space="preserve">The partnership will strengthen the Mongolian government’s capacity to form and operate a trafficking-focused multidisciplinary task force, prosecute and </w:t>
      </w:r>
      <w:r w:rsidR="444A8AC0" w:rsidRPr="5C531F67">
        <w:t xml:space="preserve">convict </w:t>
      </w:r>
      <w:r w:rsidRPr="5C531F67">
        <w:t xml:space="preserve">child traffickers, provide </w:t>
      </w:r>
      <w:r w:rsidRPr="00DE6AC2">
        <w:t xml:space="preserve">comprehensive trauma-informed care for child victims, and prevent </w:t>
      </w:r>
      <w:r w:rsidR="6FA15ED5" w:rsidRPr="00DE6AC2">
        <w:t xml:space="preserve">child trafficking in Mongolia. </w:t>
      </w:r>
      <w:r w:rsidR="4A863F25" w:rsidRPr="00DE6AC2">
        <w:t xml:space="preserve">To ensure the quality of </w:t>
      </w:r>
      <w:r w:rsidR="4A863F25" w:rsidRPr="00DE6AC2">
        <w:rPr>
          <w:rFonts w:eastAsia="Times New Roman"/>
        </w:rPr>
        <w:t>trauma- and survivor-informed and victim-centered approaches of the projects under the Mongolia CPC</w:t>
      </w:r>
      <w:r w:rsidR="5913A87A" w:rsidRPr="00DE6AC2">
        <w:rPr>
          <w:rFonts w:eastAsia="Times New Roman"/>
        </w:rPr>
        <w:t xml:space="preserve"> Partnership</w:t>
      </w:r>
      <w:r w:rsidR="4A863F25" w:rsidRPr="00DE6AC2">
        <w:rPr>
          <w:rFonts w:eastAsia="Times New Roman"/>
        </w:rPr>
        <w:t>, proposals were reviewed by consultants from the TIP Office’s Human Trafficking Expert Consultant Network</w:t>
      </w:r>
      <w:r w:rsidR="687D96EF" w:rsidRPr="00DE6AC2">
        <w:rPr>
          <w:rFonts w:eastAsia="Times New Roman"/>
        </w:rPr>
        <w:t>.</w:t>
      </w:r>
      <w:r w:rsidR="4A863F25" w:rsidRPr="00DE6AC2">
        <w:rPr>
          <w:rFonts w:eastAsia="Times New Roman"/>
        </w:rPr>
        <w:t xml:space="preserve"> </w:t>
      </w:r>
      <w:r w:rsidRPr="00DE6AC2">
        <w:t xml:space="preserve">In addition, the TIP Office identified key takeaways from its first partnership with Ghana, which </w:t>
      </w:r>
      <w:r w:rsidRPr="5C531F67">
        <w:t xml:space="preserve">ended in June 2020, including how the partnership improved interagency coordination, enforcement of Ghana’s anti-trafficking law, and community-level awareness.  </w:t>
      </w:r>
    </w:p>
    <w:p w14:paraId="249AC288" w14:textId="6B83E781" w:rsidR="007E4C1D" w:rsidRPr="00012D40" w:rsidRDefault="66DEA99B" w:rsidP="00F20403">
      <w:pPr>
        <w:ind w:left="0" w:firstLine="0"/>
      </w:pPr>
      <w:r w:rsidRPr="7DE3C874">
        <w:t>In FY 2020, USAID launched the Safe Migr</w:t>
      </w:r>
      <w:r w:rsidR="68EF57E7" w:rsidRPr="7DE3C874">
        <w:t xml:space="preserve">ation in Central Asia project. </w:t>
      </w:r>
      <w:r w:rsidRPr="7DE3C874">
        <w:t>The project’s goal is to strengthen the mutual accountability of all stakeholders, including gov</w:t>
      </w:r>
      <w:r w:rsidR="00733ACF">
        <w:t>ernments,</w:t>
      </w:r>
      <w:r w:rsidR="1F1CF869" w:rsidRPr="7DE3C874">
        <w:t xml:space="preserve"> </w:t>
      </w:r>
      <w:r w:rsidRPr="7DE3C874">
        <w:t>NGOs</w:t>
      </w:r>
      <w:r w:rsidR="00733ACF">
        <w:t>,</w:t>
      </w:r>
      <w:r w:rsidRPr="7DE3C874">
        <w:t xml:space="preserve"> and the private sector, to become more self-reliant in efforts to prevent trafficking in persons, protect trafficking survivors, and promote safe migration. One of the project’s components focuses on supporting migrant workers facing increased vulnerability as a result of travel restrictions due to COVID-19, including by developing livelihood support to targeted groups of migrants to mitigate COVID-19’s impact and engaging with the private sector to connect migrants to legitimate </w:t>
      </w:r>
      <w:r w:rsidR="6DF519DC" w:rsidRPr="7DE3C874">
        <w:t>forms of employment</w:t>
      </w:r>
      <w:r w:rsidRPr="7DE3C874">
        <w:t xml:space="preserve">.  </w:t>
      </w:r>
    </w:p>
    <w:p w14:paraId="1A3B72C6" w14:textId="0005747A" w:rsidR="00C3560E" w:rsidRPr="00012D40" w:rsidRDefault="1F1CF869" w:rsidP="00F20403">
      <w:pPr>
        <w:ind w:left="0" w:firstLine="0"/>
      </w:pPr>
      <w:r w:rsidRPr="7DE3C874">
        <w:t xml:space="preserve">In FY 2020, USAID </w:t>
      </w:r>
      <w:r w:rsidR="6FA15ED5" w:rsidRPr="7DE3C874">
        <w:t xml:space="preserve">also </w:t>
      </w:r>
      <w:r w:rsidRPr="7DE3C874">
        <w:t xml:space="preserve">launched a new project in Haiti to strengthen key local entities like the National Counter-Trafficking Committee and the Social </w:t>
      </w:r>
      <w:r w:rsidR="65DD75B5" w:rsidRPr="7DE3C874">
        <w:t>Welfare Institute in their efforts to combat child trafficking through the deinstitutionalization of Haitian children, to increase public awareness of human trafficking, and to help develop and implement victim-centered services</w:t>
      </w:r>
      <w:r w:rsidR="68EF57E7" w:rsidRPr="7DE3C874">
        <w:t xml:space="preserve"> at national and local levels. </w:t>
      </w:r>
      <w:r w:rsidR="65DD75B5" w:rsidRPr="7DE3C874">
        <w:t xml:space="preserve">Also in FY 2020, USAID research applied an </w:t>
      </w:r>
      <w:r w:rsidR="00733ACF">
        <w:t>ecosystem model using weak-signal analysis</w:t>
      </w:r>
      <w:r w:rsidR="65DD75B5" w:rsidRPr="7DE3C874">
        <w:t xml:space="preserve"> with geospatial analysis and artificial intelligence to identify populations in Bangladesh, the Philippines, and Laos at heightened vulnerability to trafficking in persons.</w:t>
      </w:r>
    </w:p>
    <w:p w14:paraId="624679FD" w14:textId="44142F37" w:rsidR="000A6186" w:rsidRPr="00012D40" w:rsidRDefault="65DD75B5" w:rsidP="00F20403">
      <w:pPr>
        <w:ind w:left="0" w:firstLine="0"/>
      </w:pPr>
      <w:r w:rsidRPr="7DE3C874">
        <w:t xml:space="preserve">In March 2020, DOJ, DHS, and government counterparts from the Five </w:t>
      </w:r>
      <w:r w:rsidR="00295E0E">
        <w:t>Country</w:t>
      </w:r>
      <w:r w:rsidRPr="7DE3C874">
        <w:t xml:space="preserve"> Ministerial (Australia, Canada, New Zealand, and the United Kingdom) announced the Voluntary Principles to Counter Online Child Sexual Exploitation and Abuse</w:t>
      </w:r>
      <w:r w:rsidR="003C6F7E">
        <w:t xml:space="preserve">. </w:t>
      </w:r>
      <w:r w:rsidR="003C6F7E" w:rsidRPr="00103D61">
        <w:rPr>
          <w:color w:val="000000" w:themeColor="text1"/>
        </w:rPr>
        <w:t>Developed in consultation with representatives from six leading technology companies (Facebook, Google, Microsoft, Snap, Twitter, and Roblox), and a range of experts from industry, civil society</w:t>
      </w:r>
      <w:r w:rsidR="00020E86">
        <w:rPr>
          <w:color w:val="000000" w:themeColor="text1"/>
        </w:rPr>
        <w:t>,</w:t>
      </w:r>
      <w:r w:rsidR="003C6F7E" w:rsidRPr="00103D61">
        <w:rPr>
          <w:color w:val="000000" w:themeColor="text1"/>
        </w:rPr>
        <w:t xml:space="preserve"> and academia, the 11 voluntary principles outline measures that companies in the technology industry can cho</w:t>
      </w:r>
      <w:r w:rsidR="00E90F87">
        <w:rPr>
          <w:color w:val="000000" w:themeColor="text1"/>
        </w:rPr>
        <w:t xml:space="preserve">ose to implement to protect </w:t>
      </w:r>
      <w:r w:rsidR="003C6F7E" w:rsidRPr="00103D61">
        <w:rPr>
          <w:color w:val="000000" w:themeColor="text1"/>
        </w:rPr>
        <w:t>children from sexual abuse online</w:t>
      </w:r>
      <w:r w:rsidR="00020E86">
        <w:rPr>
          <w:color w:val="000000" w:themeColor="text1"/>
        </w:rPr>
        <w:t>, and thus</w:t>
      </w:r>
      <w:r w:rsidR="003C6F7E">
        <w:rPr>
          <w:color w:val="000000" w:themeColor="text1"/>
        </w:rPr>
        <w:t xml:space="preserve"> serve</w:t>
      </w:r>
      <w:r w:rsidR="003C6F7E" w:rsidRPr="00103D61">
        <w:t xml:space="preserve"> </w:t>
      </w:r>
      <w:r w:rsidRPr="7DE3C874">
        <w:t xml:space="preserve">as a framework to guide the digital industry in its efforts to combat the proliferation of online child exploitation.  </w:t>
      </w:r>
    </w:p>
    <w:p w14:paraId="362B5C02" w14:textId="7ADBDAFE" w:rsidR="00C3560E" w:rsidRPr="00012D40" w:rsidRDefault="65DD75B5" w:rsidP="00F20403">
      <w:pPr>
        <w:ind w:left="0" w:firstLine="0"/>
      </w:pPr>
      <w:r w:rsidRPr="4514C18F">
        <w:t>In November 2019, DHS/ICE/H</w:t>
      </w:r>
      <w:r w:rsidR="7987A440" w:rsidRPr="4514C18F">
        <w:t>S</w:t>
      </w:r>
      <w:r w:rsidRPr="4514C18F">
        <w:t xml:space="preserve">I launched the Angel Watch Center to improve its ability to notify countries of the potential travel of registered child sex offenders. </w:t>
      </w:r>
      <w:r w:rsidR="68EF57E7" w:rsidRPr="4514C18F">
        <w:t>The DOS Bureau of Diplomatic Security</w:t>
      </w:r>
      <w:r w:rsidR="00D16A97">
        <w:t xml:space="preserve"> </w:t>
      </w:r>
      <w:r w:rsidR="68EF57E7" w:rsidRPr="4514C18F">
        <w:t>focuses</w:t>
      </w:r>
      <w:r w:rsidRPr="4514C18F">
        <w:t xml:space="preserve"> on emergency threats posed by transnational organized crime related t</w:t>
      </w:r>
      <w:r w:rsidR="68EF57E7" w:rsidRPr="4514C18F">
        <w:t>o human trafficking</w:t>
      </w:r>
      <w:r w:rsidR="4BA08D2F" w:rsidRPr="4514C18F">
        <w:t xml:space="preserve"> and visa and passport fraud</w:t>
      </w:r>
      <w:r w:rsidR="68EF57E7" w:rsidRPr="4514C18F">
        <w:t xml:space="preserve"> and provides</w:t>
      </w:r>
      <w:r w:rsidRPr="4514C18F">
        <w:t xml:space="preserve"> weekly criminal intelligence products to agents, analysts, and global law enforcement partners. </w:t>
      </w:r>
    </w:p>
    <w:p w14:paraId="2AC901B6" w14:textId="0E272B1F" w:rsidR="00D16A97" w:rsidRPr="00012D40" w:rsidRDefault="00D9795D" w:rsidP="001B4EAA">
      <w:pPr>
        <w:pStyle w:val="Heading1"/>
        <w:numPr>
          <w:ilvl w:val="0"/>
          <w:numId w:val="0"/>
        </w:numPr>
      </w:pPr>
      <w:bookmarkStart w:id="10" w:name="_Toc93588719"/>
      <w:r>
        <w:t>VII</w:t>
      </w:r>
      <w:r w:rsidR="0015786C" w:rsidRPr="00012D40">
        <w:t>.  Ratification of the Optional Protocol on a Communications Procedure</w:t>
      </w:r>
      <w:bookmarkEnd w:id="10"/>
    </w:p>
    <w:p w14:paraId="632CB706" w14:textId="15C464AD" w:rsidR="001F1699" w:rsidRPr="00821F32" w:rsidRDefault="002A4E88" w:rsidP="00674974">
      <w:pPr>
        <w:ind w:left="0" w:firstLine="0"/>
        <w:rPr>
          <w:shd w:val="clear" w:color="auto" w:fill="FFFFFF"/>
        </w:rPr>
      </w:pPr>
      <w:r w:rsidRPr="00012D40">
        <w:t xml:space="preserve">As noted in </w:t>
      </w:r>
      <w:r w:rsidR="00D9795D">
        <w:t>its</w:t>
      </w:r>
      <w:r w:rsidRPr="00012D40">
        <w:t xml:space="preserve"> Third </w:t>
      </w:r>
      <w:r w:rsidR="001F1699" w:rsidRPr="00012D40">
        <w:t xml:space="preserve">and Fourth Periodic </w:t>
      </w:r>
      <w:r w:rsidRPr="00012D40">
        <w:t xml:space="preserve">Report, </w:t>
      </w:r>
      <w:r w:rsidRPr="00012D40">
        <w:rPr>
          <w:shd w:val="clear" w:color="auto" w:fill="FFFFFF"/>
        </w:rPr>
        <w:t>the United States participated in negotiating the Optional Protocol on a Communications Procedure</w:t>
      </w:r>
      <w:r w:rsidR="04B1AE01" w:rsidRPr="00012D40">
        <w:rPr>
          <w:shd w:val="clear" w:color="auto" w:fill="FFFFFF"/>
        </w:rPr>
        <w:t>,</w:t>
      </w:r>
      <w:r w:rsidRPr="00012D40">
        <w:rPr>
          <w:shd w:val="clear" w:color="auto" w:fill="FFFFFF"/>
        </w:rPr>
        <w:t xml:space="preserve"> but has no current plans to ratify it.</w:t>
      </w:r>
    </w:p>
    <w:p w14:paraId="1CE25C74" w14:textId="6BC48570" w:rsidR="001F1699" w:rsidRPr="00012D40" w:rsidRDefault="00D9795D" w:rsidP="001B4EAA">
      <w:pPr>
        <w:pStyle w:val="Heading1"/>
        <w:numPr>
          <w:ilvl w:val="0"/>
          <w:numId w:val="0"/>
        </w:numPr>
        <w:rPr>
          <w:shd w:val="clear" w:color="auto" w:fill="FFFFFF"/>
        </w:rPr>
      </w:pPr>
      <w:bookmarkStart w:id="11" w:name="_Toc93588720"/>
      <w:r>
        <w:rPr>
          <w:shd w:val="clear" w:color="auto" w:fill="FFFFFF"/>
        </w:rPr>
        <w:t>VIII</w:t>
      </w:r>
      <w:r w:rsidR="001F1699" w:rsidRPr="00012D40">
        <w:rPr>
          <w:shd w:val="clear" w:color="auto" w:fill="FFFFFF"/>
        </w:rPr>
        <w:t xml:space="preserve">.  Implementation and </w:t>
      </w:r>
      <w:r w:rsidR="00641813">
        <w:rPr>
          <w:shd w:val="clear" w:color="auto" w:fill="FFFFFF"/>
        </w:rPr>
        <w:t>R</w:t>
      </w:r>
      <w:r w:rsidR="001F1699" w:rsidRPr="00012D40">
        <w:rPr>
          <w:shd w:val="clear" w:color="auto" w:fill="FFFFFF"/>
        </w:rPr>
        <w:t>eporting</w:t>
      </w:r>
      <w:bookmarkEnd w:id="11"/>
    </w:p>
    <w:p w14:paraId="363A7394" w14:textId="1AA85404" w:rsidR="001F1699" w:rsidRPr="00012D40" w:rsidRDefault="70E0374E" w:rsidP="00674974">
      <w:pPr>
        <w:ind w:left="0" w:firstLine="0"/>
      </w:pPr>
      <w:r w:rsidRPr="00012D40">
        <w:rPr>
          <w:shd w:val="clear" w:color="auto" w:fill="FFFFFF"/>
        </w:rPr>
        <w:t xml:space="preserve">The Committee’s recommendations are widely available throughout the United States. </w:t>
      </w:r>
      <w:r w:rsidR="144AF31C" w:rsidRPr="6799215C">
        <w:t>In addition, as noted above, the United States intends to</w:t>
      </w:r>
      <w:r w:rsidR="6F70BC7F" w:rsidRPr="6799215C">
        <w:t xml:space="preserve"> a</w:t>
      </w:r>
      <w:r w:rsidR="144AF31C" w:rsidRPr="6799215C">
        <w:t xml:space="preserve"> hold civil society consultation with NGOs prior to its Committee presentation.</w:t>
      </w:r>
      <w:r w:rsidR="005A7946">
        <w:br/>
      </w:r>
    </w:p>
    <w:p w14:paraId="33019699" w14:textId="4E473E22" w:rsidR="001F1699" w:rsidRPr="005D0B31" w:rsidRDefault="001F1699" w:rsidP="005D0B31">
      <w:pPr>
        <w:numPr>
          <w:ilvl w:val="0"/>
          <w:numId w:val="0"/>
        </w:numPr>
        <w:ind w:left="359"/>
      </w:pPr>
    </w:p>
    <w:p w14:paraId="140894FC" w14:textId="72159295" w:rsidR="0015786C" w:rsidRPr="005D0B31" w:rsidRDefault="0015786C" w:rsidP="005D0B31">
      <w:pPr>
        <w:numPr>
          <w:ilvl w:val="0"/>
          <w:numId w:val="0"/>
        </w:numPr>
        <w:ind w:left="359"/>
      </w:pPr>
    </w:p>
    <w:p w14:paraId="360DCE5E" w14:textId="6F27FFCC" w:rsidR="002156BA" w:rsidRPr="005D0B31" w:rsidRDefault="002156BA" w:rsidP="005D0B31">
      <w:pPr>
        <w:numPr>
          <w:ilvl w:val="0"/>
          <w:numId w:val="0"/>
        </w:numPr>
        <w:ind w:left="359"/>
      </w:pPr>
      <w:r w:rsidRPr="005D0B31">
        <w:t xml:space="preserve">  </w:t>
      </w:r>
    </w:p>
    <w:p w14:paraId="45651572" w14:textId="2A02E6CE" w:rsidR="00B056B3" w:rsidRDefault="00BD1599" w:rsidP="005D0B31">
      <w:pPr>
        <w:numPr>
          <w:ilvl w:val="0"/>
          <w:numId w:val="0"/>
        </w:numPr>
        <w:ind w:left="359"/>
      </w:pPr>
      <w:r w:rsidRPr="005D0B31">
        <w:t xml:space="preserve"> </w:t>
      </w:r>
    </w:p>
    <w:p w14:paraId="4C5D3D9C" w14:textId="77777777" w:rsidR="00B056B3" w:rsidRDefault="00B056B3">
      <w:pPr>
        <w:numPr>
          <w:ilvl w:val="0"/>
          <w:numId w:val="0"/>
        </w:numPr>
        <w:shd w:val="clear" w:color="auto" w:fill="auto"/>
        <w:spacing w:after="0" w:line="240" w:lineRule="auto"/>
      </w:pPr>
      <w:r>
        <w:br w:type="page"/>
      </w:r>
    </w:p>
    <w:p w14:paraId="122B0D1E" w14:textId="77777777" w:rsidR="00784E2B" w:rsidRPr="007753BC" w:rsidRDefault="00784E2B" w:rsidP="001B4EAA">
      <w:pPr>
        <w:pStyle w:val="Heading1"/>
      </w:pPr>
      <w:bookmarkStart w:id="12" w:name="_Ref93581331"/>
      <w:bookmarkStart w:id="13" w:name="_Toc93588721"/>
      <w:r>
        <w:t>: Acronym List</w:t>
      </w:r>
      <w:bookmarkEnd w:id="12"/>
      <w:bookmarkEnd w:id="13"/>
    </w:p>
    <w:p w14:paraId="18A2F352" w14:textId="77777777" w:rsidR="00784E2B" w:rsidRPr="00E504D5" w:rsidRDefault="00784E2B" w:rsidP="00784E2B">
      <w:pPr>
        <w:numPr>
          <w:ilvl w:val="0"/>
          <w:numId w:val="0"/>
        </w:numPr>
        <w:spacing w:after="0" w:line="240" w:lineRule="auto"/>
        <w:ind w:left="360"/>
        <w:jc w:val="center"/>
        <w:rPr>
          <w:b/>
          <w:bCs/>
        </w:rPr>
      </w:pPr>
      <w:r w:rsidRPr="00E504D5">
        <w:rPr>
          <w:b/>
          <w:bCs/>
        </w:rPr>
        <w:t xml:space="preserve">List of Acronyms </w:t>
      </w:r>
      <w:r>
        <w:rPr>
          <w:b/>
          <w:bCs/>
        </w:rPr>
        <w:t>U</w:t>
      </w:r>
      <w:r w:rsidRPr="00E504D5">
        <w:rPr>
          <w:b/>
          <w:bCs/>
        </w:rPr>
        <w:t xml:space="preserve">sed </w:t>
      </w:r>
      <w:r>
        <w:rPr>
          <w:b/>
          <w:bCs/>
        </w:rPr>
        <w:t>M</w:t>
      </w:r>
      <w:r w:rsidRPr="00E504D5">
        <w:rPr>
          <w:b/>
          <w:bCs/>
        </w:rPr>
        <w:t xml:space="preserve">ultiple </w:t>
      </w:r>
      <w:r>
        <w:rPr>
          <w:b/>
          <w:bCs/>
        </w:rPr>
        <w:t>T</w:t>
      </w:r>
      <w:r w:rsidRPr="00E504D5">
        <w:rPr>
          <w:b/>
          <w:bCs/>
        </w:rPr>
        <w:t>imes throughout the Report</w:t>
      </w:r>
    </w:p>
    <w:p w14:paraId="3E5D45D7" w14:textId="77777777" w:rsidR="00784E2B" w:rsidRPr="007753BC" w:rsidRDefault="00784E2B" w:rsidP="00784E2B">
      <w:pPr>
        <w:numPr>
          <w:ilvl w:val="0"/>
          <w:numId w:val="0"/>
        </w:numPr>
        <w:spacing w:after="0" w:line="240" w:lineRule="auto"/>
        <w:ind w:left="360"/>
      </w:pPr>
    </w:p>
    <w:tbl>
      <w:tblPr>
        <w:tblStyle w:val="TableGrid"/>
        <w:tblW w:w="0" w:type="auto"/>
        <w:tblLook w:val="04A0" w:firstRow="1" w:lastRow="0" w:firstColumn="1" w:lastColumn="0" w:noHBand="0" w:noVBand="1"/>
      </w:tblPr>
      <w:tblGrid>
        <w:gridCol w:w="1435"/>
        <w:gridCol w:w="7195"/>
      </w:tblGrid>
      <w:tr w:rsidR="00784E2B" w:rsidRPr="007753BC" w14:paraId="24A34530" w14:textId="77777777" w:rsidTr="00442CED">
        <w:tc>
          <w:tcPr>
            <w:tcW w:w="1435" w:type="dxa"/>
            <w:tcBorders>
              <w:top w:val="nil"/>
              <w:left w:val="nil"/>
              <w:bottom w:val="nil"/>
              <w:right w:val="nil"/>
            </w:tcBorders>
          </w:tcPr>
          <w:p w14:paraId="1B4D13A9" w14:textId="77777777" w:rsidR="00784E2B" w:rsidRPr="007753BC" w:rsidRDefault="00784E2B" w:rsidP="00442CED">
            <w:pPr>
              <w:numPr>
                <w:ilvl w:val="0"/>
                <w:numId w:val="0"/>
              </w:numPr>
              <w:spacing w:after="0" w:line="240" w:lineRule="auto"/>
              <w:ind w:left="360"/>
            </w:pPr>
            <w:r w:rsidRPr="007753BC">
              <w:t>ACF</w:t>
            </w:r>
          </w:p>
        </w:tc>
        <w:tc>
          <w:tcPr>
            <w:tcW w:w="7195" w:type="dxa"/>
            <w:tcBorders>
              <w:top w:val="nil"/>
              <w:left w:val="nil"/>
              <w:bottom w:val="nil"/>
              <w:right w:val="nil"/>
            </w:tcBorders>
          </w:tcPr>
          <w:p w14:paraId="76F809F7" w14:textId="77777777" w:rsidR="00784E2B" w:rsidRPr="007753BC" w:rsidRDefault="00784E2B" w:rsidP="00442CED">
            <w:pPr>
              <w:numPr>
                <w:ilvl w:val="0"/>
                <w:numId w:val="0"/>
              </w:numPr>
              <w:spacing w:after="0" w:line="240" w:lineRule="auto"/>
              <w:ind w:left="360"/>
            </w:pPr>
            <w:r w:rsidRPr="007753BC">
              <w:t>Administration for Children and Families (in HHS)</w:t>
            </w:r>
          </w:p>
        </w:tc>
      </w:tr>
      <w:tr w:rsidR="00784E2B" w:rsidRPr="007753BC" w14:paraId="38B42005" w14:textId="77777777" w:rsidTr="00442CED">
        <w:tc>
          <w:tcPr>
            <w:tcW w:w="1435" w:type="dxa"/>
            <w:tcBorders>
              <w:top w:val="nil"/>
              <w:left w:val="nil"/>
              <w:bottom w:val="nil"/>
              <w:right w:val="nil"/>
            </w:tcBorders>
          </w:tcPr>
          <w:p w14:paraId="26A2110A" w14:textId="77777777" w:rsidR="00784E2B" w:rsidRPr="007753BC" w:rsidRDefault="00784E2B" w:rsidP="00442CED">
            <w:pPr>
              <w:numPr>
                <w:ilvl w:val="0"/>
                <w:numId w:val="0"/>
              </w:numPr>
              <w:spacing w:after="0" w:line="240" w:lineRule="auto"/>
              <w:ind w:left="360"/>
            </w:pPr>
          </w:p>
        </w:tc>
        <w:tc>
          <w:tcPr>
            <w:tcW w:w="7195" w:type="dxa"/>
            <w:tcBorders>
              <w:top w:val="nil"/>
              <w:left w:val="nil"/>
              <w:bottom w:val="nil"/>
              <w:right w:val="nil"/>
            </w:tcBorders>
          </w:tcPr>
          <w:p w14:paraId="327474DD" w14:textId="77777777" w:rsidR="00784E2B" w:rsidRPr="007753BC" w:rsidRDefault="00784E2B" w:rsidP="00442CED">
            <w:pPr>
              <w:numPr>
                <w:ilvl w:val="0"/>
                <w:numId w:val="0"/>
              </w:numPr>
              <w:spacing w:after="0" w:line="240" w:lineRule="auto"/>
              <w:ind w:left="360"/>
            </w:pPr>
          </w:p>
        </w:tc>
      </w:tr>
      <w:tr w:rsidR="00784E2B" w:rsidRPr="007753BC" w14:paraId="018B12D9" w14:textId="77777777" w:rsidTr="00442CED">
        <w:tc>
          <w:tcPr>
            <w:tcW w:w="1435" w:type="dxa"/>
            <w:tcBorders>
              <w:top w:val="nil"/>
              <w:left w:val="nil"/>
              <w:bottom w:val="nil"/>
              <w:right w:val="nil"/>
            </w:tcBorders>
          </w:tcPr>
          <w:p w14:paraId="713D4292" w14:textId="77777777" w:rsidR="00784E2B" w:rsidRPr="007753BC" w:rsidRDefault="00784E2B" w:rsidP="00442CED">
            <w:pPr>
              <w:numPr>
                <w:ilvl w:val="0"/>
                <w:numId w:val="0"/>
              </w:numPr>
              <w:spacing w:after="0" w:line="240" w:lineRule="auto"/>
              <w:ind w:left="360"/>
            </w:pPr>
            <w:r w:rsidRPr="007753BC">
              <w:t>BJS</w:t>
            </w:r>
          </w:p>
        </w:tc>
        <w:tc>
          <w:tcPr>
            <w:tcW w:w="7195" w:type="dxa"/>
            <w:tcBorders>
              <w:top w:val="nil"/>
              <w:left w:val="nil"/>
              <w:bottom w:val="nil"/>
              <w:right w:val="nil"/>
            </w:tcBorders>
          </w:tcPr>
          <w:p w14:paraId="562FC450" w14:textId="77777777" w:rsidR="00784E2B" w:rsidRPr="007753BC" w:rsidRDefault="00784E2B" w:rsidP="00442CED">
            <w:pPr>
              <w:numPr>
                <w:ilvl w:val="0"/>
                <w:numId w:val="0"/>
              </w:numPr>
              <w:spacing w:after="0" w:line="240" w:lineRule="auto"/>
              <w:ind w:left="360"/>
            </w:pPr>
            <w:r w:rsidRPr="007753BC">
              <w:t>Bureau of Justice Statistics (in DOJ)</w:t>
            </w:r>
          </w:p>
        </w:tc>
      </w:tr>
      <w:tr w:rsidR="00784E2B" w:rsidRPr="007753BC" w14:paraId="2C672B12" w14:textId="77777777" w:rsidTr="00442CED">
        <w:tc>
          <w:tcPr>
            <w:tcW w:w="1435" w:type="dxa"/>
            <w:tcBorders>
              <w:top w:val="nil"/>
              <w:left w:val="nil"/>
              <w:bottom w:val="nil"/>
              <w:right w:val="nil"/>
            </w:tcBorders>
          </w:tcPr>
          <w:p w14:paraId="4F5EC3E1" w14:textId="77777777" w:rsidR="00784E2B" w:rsidRPr="007753BC" w:rsidRDefault="00784E2B" w:rsidP="00442CED">
            <w:pPr>
              <w:numPr>
                <w:ilvl w:val="0"/>
                <w:numId w:val="0"/>
              </w:numPr>
              <w:spacing w:after="0" w:line="240" w:lineRule="auto"/>
              <w:ind w:left="360"/>
            </w:pPr>
            <w:r w:rsidRPr="007753BC">
              <w:t>BIA</w:t>
            </w:r>
          </w:p>
        </w:tc>
        <w:tc>
          <w:tcPr>
            <w:tcW w:w="7195" w:type="dxa"/>
            <w:tcBorders>
              <w:top w:val="nil"/>
              <w:left w:val="nil"/>
              <w:bottom w:val="nil"/>
              <w:right w:val="nil"/>
            </w:tcBorders>
          </w:tcPr>
          <w:p w14:paraId="018D7FA9" w14:textId="77777777" w:rsidR="00784E2B" w:rsidRPr="007753BC" w:rsidRDefault="00784E2B" w:rsidP="00442CED">
            <w:pPr>
              <w:numPr>
                <w:ilvl w:val="0"/>
                <w:numId w:val="0"/>
              </w:numPr>
              <w:spacing w:after="0" w:line="240" w:lineRule="auto"/>
              <w:ind w:left="360"/>
            </w:pPr>
            <w:r w:rsidRPr="007753BC">
              <w:t>Bureau of Indian Affairs (in DOI)</w:t>
            </w:r>
          </w:p>
        </w:tc>
      </w:tr>
      <w:tr w:rsidR="00784E2B" w:rsidRPr="007753BC" w14:paraId="7A328458" w14:textId="77777777" w:rsidTr="00442CED">
        <w:tc>
          <w:tcPr>
            <w:tcW w:w="1435" w:type="dxa"/>
            <w:tcBorders>
              <w:top w:val="nil"/>
              <w:left w:val="nil"/>
              <w:bottom w:val="nil"/>
              <w:right w:val="nil"/>
            </w:tcBorders>
          </w:tcPr>
          <w:p w14:paraId="0CEC1F9E" w14:textId="77777777" w:rsidR="00784E2B" w:rsidRPr="007753BC" w:rsidRDefault="00784E2B" w:rsidP="00442CED">
            <w:pPr>
              <w:numPr>
                <w:ilvl w:val="0"/>
                <w:numId w:val="0"/>
              </w:numPr>
              <w:spacing w:after="0" w:line="240" w:lineRule="auto"/>
              <w:ind w:left="360"/>
            </w:pPr>
          </w:p>
        </w:tc>
        <w:tc>
          <w:tcPr>
            <w:tcW w:w="7195" w:type="dxa"/>
            <w:tcBorders>
              <w:top w:val="nil"/>
              <w:left w:val="nil"/>
              <w:bottom w:val="nil"/>
              <w:right w:val="nil"/>
            </w:tcBorders>
          </w:tcPr>
          <w:p w14:paraId="5985B9B7" w14:textId="77777777" w:rsidR="00784E2B" w:rsidRPr="007753BC" w:rsidRDefault="00784E2B" w:rsidP="00442CED">
            <w:pPr>
              <w:numPr>
                <w:ilvl w:val="0"/>
                <w:numId w:val="0"/>
              </w:numPr>
              <w:spacing w:after="0" w:line="240" w:lineRule="auto"/>
              <w:ind w:left="360"/>
            </w:pPr>
          </w:p>
        </w:tc>
      </w:tr>
      <w:tr w:rsidR="00784E2B" w:rsidRPr="007753BC" w14:paraId="3C603FC4" w14:textId="77777777" w:rsidTr="00442CED">
        <w:tc>
          <w:tcPr>
            <w:tcW w:w="1435" w:type="dxa"/>
            <w:tcBorders>
              <w:top w:val="nil"/>
              <w:left w:val="nil"/>
              <w:bottom w:val="nil"/>
              <w:right w:val="nil"/>
            </w:tcBorders>
          </w:tcPr>
          <w:p w14:paraId="7F0C2AD6" w14:textId="77777777" w:rsidR="00784E2B" w:rsidRPr="007753BC" w:rsidRDefault="00784E2B" w:rsidP="00442CED">
            <w:pPr>
              <w:numPr>
                <w:ilvl w:val="0"/>
                <w:numId w:val="0"/>
              </w:numPr>
              <w:spacing w:after="0" w:line="240" w:lineRule="auto"/>
              <w:ind w:left="360"/>
            </w:pPr>
            <w:r w:rsidRPr="007753BC">
              <w:t>CFR</w:t>
            </w:r>
          </w:p>
        </w:tc>
        <w:tc>
          <w:tcPr>
            <w:tcW w:w="7195" w:type="dxa"/>
            <w:tcBorders>
              <w:top w:val="nil"/>
              <w:left w:val="nil"/>
              <w:bottom w:val="nil"/>
              <w:right w:val="nil"/>
            </w:tcBorders>
          </w:tcPr>
          <w:p w14:paraId="10D45226" w14:textId="77777777" w:rsidR="00784E2B" w:rsidRPr="007753BC" w:rsidRDefault="00784E2B" w:rsidP="00442CED">
            <w:pPr>
              <w:numPr>
                <w:ilvl w:val="0"/>
                <w:numId w:val="0"/>
              </w:numPr>
              <w:spacing w:after="0" w:line="240" w:lineRule="auto"/>
              <w:ind w:left="360"/>
            </w:pPr>
            <w:r w:rsidRPr="007753BC">
              <w:t>Code of Federal Regulations</w:t>
            </w:r>
          </w:p>
        </w:tc>
      </w:tr>
      <w:tr w:rsidR="00784E2B" w:rsidRPr="007753BC" w14:paraId="56EB549D" w14:textId="77777777" w:rsidTr="00442CED">
        <w:tc>
          <w:tcPr>
            <w:tcW w:w="1435" w:type="dxa"/>
            <w:tcBorders>
              <w:top w:val="nil"/>
              <w:left w:val="nil"/>
              <w:bottom w:val="nil"/>
              <w:right w:val="nil"/>
            </w:tcBorders>
          </w:tcPr>
          <w:p w14:paraId="537B1260" w14:textId="77777777" w:rsidR="00784E2B" w:rsidRPr="007753BC" w:rsidRDefault="00784E2B" w:rsidP="00442CED">
            <w:pPr>
              <w:numPr>
                <w:ilvl w:val="0"/>
                <w:numId w:val="0"/>
              </w:numPr>
              <w:spacing w:after="0" w:line="240" w:lineRule="auto"/>
              <w:ind w:left="360"/>
            </w:pPr>
          </w:p>
        </w:tc>
        <w:tc>
          <w:tcPr>
            <w:tcW w:w="7195" w:type="dxa"/>
            <w:tcBorders>
              <w:top w:val="nil"/>
              <w:left w:val="nil"/>
              <w:bottom w:val="nil"/>
              <w:right w:val="nil"/>
            </w:tcBorders>
          </w:tcPr>
          <w:p w14:paraId="337CD45A" w14:textId="77777777" w:rsidR="00784E2B" w:rsidRPr="007753BC" w:rsidRDefault="00784E2B" w:rsidP="00442CED">
            <w:pPr>
              <w:numPr>
                <w:ilvl w:val="0"/>
                <w:numId w:val="0"/>
              </w:numPr>
              <w:spacing w:after="0" w:line="240" w:lineRule="auto"/>
              <w:ind w:left="360"/>
            </w:pPr>
          </w:p>
        </w:tc>
      </w:tr>
      <w:tr w:rsidR="00784E2B" w:rsidRPr="007753BC" w14:paraId="6DDF4841" w14:textId="77777777" w:rsidTr="00442CED">
        <w:tc>
          <w:tcPr>
            <w:tcW w:w="1435" w:type="dxa"/>
            <w:tcBorders>
              <w:top w:val="nil"/>
              <w:left w:val="nil"/>
              <w:bottom w:val="nil"/>
              <w:right w:val="nil"/>
            </w:tcBorders>
          </w:tcPr>
          <w:p w14:paraId="1D19F5A9" w14:textId="77777777" w:rsidR="00784E2B" w:rsidRPr="007753BC" w:rsidRDefault="00784E2B" w:rsidP="00442CED">
            <w:pPr>
              <w:numPr>
                <w:ilvl w:val="0"/>
                <w:numId w:val="0"/>
              </w:numPr>
              <w:spacing w:after="0" w:line="240" w:lineRule="auto"/>
              <w:ind w:left="360"/>
            </w:pPr>
            <w:r w:rsidRPr="007753BC">
              <w:t>DHS</w:t>
            </w:r>
          </w:p>
        </w:tc>
        <w:tc>
          <w:tcPr>
            <w:tcW w:w="7195" w:type="dxa"/>
            <w:tcBorders>
              <w:top w:val="nil"/>
              <w:left w:val="nil"/>
              <w:bottom w:val="nil"/>
              <w:right w:val="nil"/>
            </w:tcBorders>
          </w:tcPr>
          <w:p w14:paraId="07F21A15" w14:textId="77777777" w:rsidR="00784E2B" w:rsidRPr="007753BC" w:rsidRDefault="00784E2B" w:rsidP="00442CED">
            <w:pPr>
              <w:numPr>
                <w:ilvl w:val="0"/>
                <w:numId w:val="0"/>
              </w:numPr>
              <w:spacing w:after="0" w:line="240" w:lineRule="auto"/>
              <w:ind w:left="360"/>
            </w:pPr>
            <w:r w:rsidRPr="007753BC">
              <w:t>United States Department of Homeland Security</w:t>
            </w:r>
          </w:p>
        </w:tc>
      </w:tr>
      <w:tr w:rsidR="00784E2B" w:rsidRPr="007753BC" w14:paraId="1C23E36D"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29E3E166" w14:textId="77777777" w:rsidR="00784E2B" w:rsidRPr="007753BC" w:rsidRDefault="00784E2B" w:rsidP="00442CED">
            <w:pPr>
              <w:numPr>
                <w:ilvl w:val="0"/>
                <w:numId w:val="0"/>
              </w:numPr>
              <w:spacing w:after="0" w:line="240" w:lineRule="auto"/>
              <w:ind w:left="360"/>
            </w:pPr>
            <w:r w:rsidRPr="007753BC">
              <w:t>DoD</w:t>
            </w:r>
          </w:p>
        </w:tc>
        <w:tc>
          <w:tcPr>
            <w:tcW w:w="7195" w:type="dxa"/>
          </w:tcPr>
          <w:p w14:paraId="264ABC3B" w14:textId="77777777" w:rsidR="00784E2B" w:rsidRPr="007753BC" w:rsidRDefault="00784E2B" w:rsidP="00442CED">
            <w:pPr>
              <w:numPr>
                <w:ilvl w:val="0"/>
                <w:numId w:val="0"/>
              </w:numPr>
              <w:spacing w:after="0" w:line="240" w:lineRule="auto"/>
              <w:ind w:left="360"/>
            </w:pPr>
            <w:r w:rsidRPr="007753BC">
              <w:t>United States Department of Defense</w:t>
            </w:r>
          </w:p>
        </w:tc>
      </w:tr>
      <w:tr w:rsidR="00784E2B" w:rsidRPr="007753BC" w14:paraId="1799C804"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27D884B9" w14:textId="77777777" w:rsidR="00784E2B" w:rsidRPr="007753BC" w:rsidRDefault="00784E2B" w:rsidP="00442CED">
            <w:pPr>
              <w:numPr>
                <w:ilvl w:val="0"/>
                <w:numId w:val="0"/>
              </w:numPr>
              <w:spacing w:after="0" w:line="240" w:lineRule="auto"/>
              <w:ind w:left="360"/>
            </w:pPr>
            <w:r w:rsidRPr="007753BC">
              <w:t>DOJ</w:t>
            </w:r>
          </w:p>
        </w:tc>
        <w:tc>
          <w:tcPr>
            <w:tcW w:w="7195" w:type="dxa"/>
          </w:tcPr>
          <w:p w14:paraId="3868628F" w14:textId="77777777" w:rsidR="00784E2B" w:rsidRPr="007753BC" w:rsidRDefault="00784E2B" w:rsidP="00442CED">
            <w:pPr>
              <w:numPr>
                <w:ilvl w:val="0"/>
                <w:numId w:val="0"/>
              </w:numPr>
              <w:spacing w:after="0" w:line="240" w:lineRule="auto"/>
              <w:ind w:left="360"/>
            </w:pPr>
            <w:r w:rsidRPr="007753BC">
              <w:t>United States Department of Justice</w:t>
            </w:r>
          </w:p>
        </w:tc>
      </w:tr>
      <w:tr w:rsidR="00784E2B" w:rsidRPr="007753BC" w14:paraId="2786AECC"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019B008C" w14:textId="77777777" w:rsidR="00784E2B" w:rsidRPr="007753BC" w:rsidRDefault="00784E2B" w:rsidP="00442CED">
            <w:pPr>
              <w:numPr>
                <w:ilvl w:val="0"/>
                <w:numId w:val="0"/>
              </w:numPr>
              <w:spacing w:after="0" w:line="240" w:lineRule="auto"/>
              <w:ind w:left="360"/>
            </w:pPr>
            <w:r w:rsidRPr="007753BC">
              <w:t>DOL</w:t>
            </w:r>
          </w:p>
        </w:tc>
        <w:tc>
          <w:tcPr>
            <w:tcW w:w="7195" w:type="dxa"/>
          </w:tcPr>
          <w:p w14:paraId="3270AC17" w14:textId="77777777" w:rsidR="00784E2B" w:rsidRPr="007753BC" w:rsidRDefault="00784E2B" w:rsidP="00442CED">
            <w:pPr>
              <w:numPr>
                <w:ilvl w:val="0"/>
                <w:numId w:val="0"/>
              </w:numPr>
              <w:spacing w:after="0" w:line="240" w:lineRule="auto"/>
              <w:ind w:left="360"/>
            </w:pPr>
            <w:r w:rsidRPr="007753BC">
              <w:t>United States Department of Labor</w:t>
            </w:r>
          </w:p>
        </w:tc>
      </w:tr>
      <w:tr w:rsidR="00784E2B" w:rsidRPr="007753BC" w14:paraId="02967E19"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74EC8F2D" w14:textId="77777777" w:rsidR="00784E2B" w:rsidRPr="007753BC" w:rsidRDefault="00784E2B" w:rsidP="00442CED">
            <w:pPr>
              <w:numPr>
                <w:ilvl w:val="0"/>
                <w:numId w:val="0"/>
              </w:numPr>
              <w:spacing w:after="0" w:line="240" w:lineRule="auto"/>
              <w:ind w:left="360"/>
            </w:pPr>
            <w:r w:rsidRPr="007753BC">
              <w:t>DOS</w:t>
            </w:r>
          </w:p>
        </w:tc>
        <w:tc>
          <w:tcPr>
            <w:tcW w:w="7195" w:type="dxa"/>
          </w:tcPr>
          <w:p w14:paraId="323DA959" w14:textId="77777777" w:rsidR="00784E2B" w:rsidRPr="007753BC" w:rsidRDefault="00784E2B" w:rsidP="00442CED">
            <w:pPr>
              <w:numPr>
                <w:ilvl w:val="0"/>
                <w:numId w:val="0"/>
              </w:numPr>
              <w:spacing w:after="0" w:line="240" w:lineRule="auto"/>
              <w:ind w:left="360"/>
            </w:pPr>
            <w:r w:rsidRPr="007753BC">
              <w:t>United States Department of State</w:t>
            </w:r>
          </w:p>
        </w:tc>
      </w:tr>
      <w:tr w:rsidR="00784E2B" w:rsidRPr="007753BC" w14:paraId="131C1E03"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6270327D" w14:textId="77777777" w:rsidR="00784E2B" w:rsidRPr="007753BC" w:rsidRDefault="00784E2B" w:rsidP="00442CED">
            <w:pPr>
              <w:numPr>
                <w:ilvl w:val="0"/>
                <w:numId w:val="0"/>
              </w:numPr>
              <w:spacing w:after="0" w:line="240" w:lineRule="auto"/>
              <w:ind w:left="360"/>
            </w:pPr>
          </w:p>
        </w:tc>
        <w:tc>
          <w:tcPr>
            <w:tcW w:w="7195" w:type="dxa"/>
          </w:tcPr>
          <w:p w14:paraId="054DC21A" w14:textId="4E38C456" w:rsidR="00784E2B" w:rsidRPr="007753BC" w:rsidRDefault="00954514" w:rsidP="00954514">
            <w:pPr>
              <w:numPr>
                <w:ilvl w:val="0"/>
                <w:numId w:val="0"/>
              </w:numPr>
              <w:tabs>
                <w:tab w:val="left" w:pos="6042"/>
              </w:tabs>
              <w:spacing w:after="0" w:line="240" w:lineRule="auto"/>
              <w:ind w:left="360"/>
            </w:pPr>
            <w:r>
              <w:tab/>
            </w:r>
          </w:p>
        </w:tc>
      </w:tr>
      <w:tr w:rsidR="00784E2B" w:rsidRPr="007753BC" w14:paraId="35245838"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38B82644" w14:textId="77777777" w:rsidR="00784E2B" w:rsidRPr="007753BC" w:rsidRDefault="00784E2B" w:rsidP="00442CED">
            <w:pPr>
              <w:numPr>
                <w:ilvl w:val="0"/>
                <w:numId w:val="0"/>
              </w:numPr>
              <w:spacing w:after="0" w:line="240" w:lineRule="auto"/>
              <w:ind w:left="360"/>
            </w:pPr>
            <w:r w:rsidRPr="007753BC">
              <w:t>ED</w:t>
            </w:r>
          </w:p>
        </w:tc>
        <w:tc>
          <w:tcPr>
            <w:tcW w:w="7195" w:type="dxa"/>
          </w:tcPr>
          <w:p w14:paraId="0BA0DBFE" w14:textId="77777777" w:rsidR="00784E2B" w:rsidRPr="007753BC" w:rsidRDefault="00784E2B" w:rsidP="00442CED">
            <w:pPr>
              <w:numPr>
                <w:ilvl w:val="0"/>
                <w:numId w:val="0"/>
              </w:numPr>
              <w:spacing w:after="0" w:line="240" w:lineRule="auto"/>
              <w:ind w:left="360"/>
            </w:pPr>
            <w:r w:rsidRPr="007753BC">
              <w:t>United States Department of Education</w:t>
            </w:r>
          </w:p>
        </w:tc>
      </w:tr>
      <w:tr w:rsidR="00784E2B" w:rsidRPr="007753BC" w14:paraId="658BB826"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4E5937FB" w14:textId="77777777" w:rsidR="00784E2B" w:rsidRPr="007753BC" w:rsidRDefault="00784E2B" w:rsidP="00442CED">
            <w:pPr>
              <w:numPr>
                <w:ilvl w:val="0"/>
                <w:numId w:val="0"/>
              </w:numPr>
              <w:spacing w:after="0" w:line="240" w:lineRule="auto"/>
              <w:ind w:left="360"/>
            </w:pPr>
            <w:r w:rsidRPr="007753BC">
              <w:t>EEOC</w:t>
            </w:r>
          </w:p>
        </w:tc>
        <w:tc>
          <w:tcPr>
            <w:tcW w:w="7195" w:type="dxa"/>
          </w:tcPr>
          <w:p w14:paraId="4FC577A4" w14:textId="77777777" w:rsidR="00784E2B" w:rsidRPr="007753BC" w:rsidRDefault="00784E2B" w:rsidP="00442CED">
            <w:pPr>
              <w:numPr>
                <w:ilvl w:val="0"/>
                <w:numId w:val="0"/>
              </w:numPr>
              <w:spacing w:after="0" w:line="240" w:lineRule="auto"/>
              <w:ind w:left="360"/>
            </w:pPr>
            <w:r w:rsidRPr="007753BC">
              <w:t>Equal Employment Opportunity Commission</w:t>
            </w:r>
          </w:p>
        </w:tc>
      </w:tr>
      <w:tr w:rsidR="00784E2B" w:rsidRPr="007753BC" w14:paraId="7645E845"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3C248763" w14:textId="77777777" w:rsidR="00784E2B" w:rsidRPr="007753BC" w:rsidRDefault="00784E2B" w:rsidP="00442CED">
            <w:pPr>
              <w:numPr>
                <w:ilvl w:val="0"/>
                <w:numId w:val="0"/>
              </w:numPr>
              <w:spacing w:after="0" w:line="240" w:lineRule="auto"/>
              <w:ind w:left="360"/>
            </w:pPr>
          </w:p>
        </w:tc>
        <w:tc>
          <w:tcPr>
            <w:tcW w:w="7195" w:type="dxa"/>
          </w:tcPr>
          <w:p w14:paraId="606AA4EC" w14:textId="77777777" w:rsidR="00784E2B" w:rsidRPr="007753BC" w:rsidRDefault="00784E2B" w:rsidP="00442CED">
            <w:pPr>
              <w:numPr>
                <w:ilvl w:val="0"/>
                <w:numId w:val="0"/>
              </w:numPr>
              <w:spacing w:after="0" w:line="240" w:lineRule="auto"/>
              <w:ind w:left="360"/>
            </w:pPr>
          </w:p>
        </w:tc>
      </w:tr>
      <w:tr w:rsidR="00784E2B" w:rsidRPr="007753BC" w14:paraId="49ECEB13"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72EC868A" w14:textId="77777777" w:rsidR="00784E2B" w:rsidRPr="007753BC" w:rsidRDefault="00784E2B" w:rsidP="00442CED">
            <w:pPr>
              <w:numPr>
                <w:ilvl w:val="0"/>
                <w:numId w:val="0"/>
              </w:numPr>
              <w:spacing w:after="0" w:line="240" w:lineRule="auto"/>
              <w:ind w:left="360"/>
            </w:pPr>
            <w:r w:rsidRPr="007753BC">
              <w:t>FBI</w:t>
            </w:r>
          </w:p>
        </w:tc>
        <w:tc>
          <w:tcPr>
            <w:tcW w:w="7195" w:type="dxa"/>
          </w:tcPr>
          <w:p w14:paraId="76F2567D" w14:textId="77777777" w:rsidR="00784E2B" w:rsidRPr="007753BC" w:rsidRDefault="00784E2B" w:rsidP="00442CED">
            <w:pPr>
              <w:numPr>
                <w:ilvl w:val="0"/>
                <w:numId w:val="0"/>
              </w:numPr>
              <w:spacing w:after="0" w:line="240" w:lineRule="auto"/>
              <w:ind w:left="360"/>
            </w:pPr>
            <w:r w:rsidRPr="007753BC">
              <w:t>Federal Bureau of Investigation</w:t>
            </w:r>
          </w:p>
        </w:tc>
      </w:tr>
      <w:tr w:rsidR="00784E2B" w:rsidRPr="007753BC" w14:paraId="71A96638"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210326E0" w14:textId="77777777" w:rsidR="00784E2B" w:rsidRPr="007753BC" w:rsidRDefault="00784E2B" w:rsidP="00442CED">
            <w:pPr>
              <w:numPr>
                <w:ilvl w:val="0"/>
                <w:numId w:val="0"/>
              </w:numPr>
              <w:spacing w:after="0" w:line="240" w:lineRule="auto"/>
              <w:ind w:left="360"/>
            </w:pPr>
            <w:r w:rsidRPr="007753BC">
              <w:t>FLSA</w:t>
            </w:r>
          </w:p>
        </w:tc>
        <w:tc>
          <w:tcPr>
            <w:tcW w:w="7195" w:type="dxa"/>
          </w:tcPr>
          <w:p w14:paraId="10F7133B" w14:textId="77777777" w:rsidR="00784E2B" w:rsidRPr="007753BC" w:rsidRDefault="00784E2B" w:rsidP="00442CED">
            <w:pPr>
              <w:numPr>
                <w:ilvl w:val="0"/>
                <w:numId w:val="0"/>
              </w:numPr>
              <w:spacing w:after="0" w:line="240" w:lineRule="auto"/>
              <w:ind w:left="360"/>
            </w:pPr>
            <w:r w:rsidRPr="007753BC">
              <w:t>Fair Labor Standards Act</w:t>
            </w:r>
          </w:p>
        </w:tc>
      </w:tr>
      <w:tr w:rsidR="00784E2B" w:rsidRPr="007753BC" w14:paraId="3C0A5D43"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0AC35D7F" w14:textId="77777777" w:rsidR="00784E2B" w:rsidRPr="007753BC" w:rsidRDefault="00784E2B" w:rsidP="00442CED">
            <w:pPr>
              <w:numPr>
                <w:ilvl w:val="0"/>
                <w:numId w:val="0"/>
              </w:numPr>
              <w:spacing w:after="0" w:line="240" w:lineRule="auto"/>
              <w:ind w:left="360"/>
            </w:pPr>
            <w:r w:rsidRPr="007753BC">
              <w:t>FYSB</w:t>
            </w:r>
          </w:p>
        </w:tc>
        <w:tc>
          <w:tcPr>
            <w:tcW w:w="7195" w:type="dxa"/>
          </w:tcPr>
          <w:p w14:paraId="03E67B07" w14:textId="77777777" w:rsidR="00784E2B" w:rsidRPr="007753BC" w:rsidRDefault="00784E2B" w:rsidP="00442CED">
            <w:pPr>
              <w:numPr>
                <w:ilvl w:val="0"/>
                <w:numId w:val="0"/>
              </w:numPr>
              <w:spacing w:after="0" w:line="240" w:lineRule="auto"/>
              <w:ind w:left="360"/>
            </w:pPr>
            <w:r w:rsidRPr="007753BC">
              <w:t>Family and Youth Services Bureau (in HHS)</w:t>
            </w:r>
          </w:p>
        </w:tc>
      </w:tr>
      <w:tr w:rsidR="00784E2B" w:rsidRPr="007753BC" w14:paraId="58960EA4"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74A8A323" w14:textId="77777777" w:rsidR="00784E2B" w:rsidRPr="007753BC" w:rsidRDefault="00784E2B" w:rsidP="00442CED">
            <w:pPr>
              <w:numPr>
                <w:ilvl w:val="0"/>
                <w:numId w:val="0"/>
              </w:numPr>
              <w:spacing w:after="0" w:line="240" w:lineRule="auto"/>
              <w:ind w:left="360"/>
            </w:pPr>
          </w:p>
        </w:tc>
        <w:tc>
          <w:tcPr>
            <w:tcW w:w="7195" w:type="dxa"/>
          </w:tcPr>
          <w:p w14:paraId="048760B7" w14:textId="77777777" w:rsidR="00784E2B" w:rsidRPr="007753BC" w:rsidRDefault="00784E2B" w:rsidP="00442CED">
            <w:pPr>
              <w:numPr>
                <w:ilvl w:val="0"/>
                <w:numId w:val="0"/>
              </w:numPr>
              <w:spacing w:after="0" w:line="240" w:lineRule="auto"/>
              <w:ind w:left="360"/>
            </w:pPr>
          </w:p>
        </w:tc>
      </w:tr>
      <w:tr w:rsidR="00784E2B" w:rsidRPr="007753BC" w14:paraId="3A6F0B21"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0FBC9255" w14:textId="77777777" w:rsidR="00784E2B" w:rsidRPr="007753BC" w:rsidRDefault="00784E2B" w:rsidP="00442CED">
            <w:pPr>
              <w:numPr>
                <w:ilvl w:val="0"/>
                <w:numId w:val="0"/>
              </w:numPr>
              <w:spacing w:after="0" w:line="240" w:lineRule="auto"/>
              <w:ind w:left="360"/>
            </w:pPr>
            <w:r w:rsidRPr="007753BC">
              <w:t>HHS</w:t>
            </w:r>
          </w:p>
        </w:tc>
        <w:tc>
          <w:tcPr>
            <w:tcW w:w="7195" w:type="dxa"/>
          </w:tcPr>
          <w:p w14:paraId="504677CE" w14:textId="77777777" w:rsidR="00784E2B" w:rsidRPr="007753BC" w:rsidRDefault="00784E2B" w:rsidP="00442CED">
            <w:pPr>
              <w:numPr>
                <w:ilvl w:val="0"/>
                <w:numId w:val="0"/>
              </w:numPr>
              <w:spacing w:after="0" w:line="240" w:lineRule="auto"/>
              <w:ind w:left="360"/>
            </w:pPr>
            <w:r w:rsidRPr="007753BC">
              <w:t>United States Department of Health and Human Services</w:t>
            </w:r>
          </w:p>
        </w:tc>
      </w:tr>
      <w:tr w:rsidR="00784E2B" w:rsidRPr="007753BC" w14:paraId="249C3572"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510ABD0A" w14:textId="77777777" w:rsidR="00784E2B" w:rsidRPr="007753BC" w:rsidRDefault="00784E2B" w:rsidP="00442CED">
            <w:pPr>
              <w:numPr>
                <w:ilvl w:val="0"/>
                <w:numId w:val="0"/>
              </w:numPr>
              <w:spacing w:after="0" w:line="240" w:lineRule="auto"/>
              <w:ind w:left="360"/>
            </w:pPr>
            <w:r w:rsidRPr="007753BC">
              <w:t>HSI</w:t>
            </w:r>
          </w:p>
        </w:tc>
        <w:tc>
          <w:tcPr>
            <w:tcW w:w="7195" w:type="dxa"/>
          </w:tcPr>
          <w:p w14:paraId="2403107C" w14:textId="77777777" w:rsidR="00784E2B" w:rsidRPr="007753BC" w:rsidRDefault="00784E2B" w:rsidP="00442CED">
            <w:pPr>
              <w:numPr>
                <w:ilvl w:val="0"/>
                <w:numId w:val="0"/>
              </w:numPr>
              <w:spacing w:after="0" w:line="240" w:lineRule="auto"/>
              <w:ind w:left="360"/>
            </w:pPr>
            <w:r w:rsidRPr="007753BC">
              <w:t>Homeland Security Investigations (in DHS/ICE)</w:t>
            </w:r>
          </w:p>
        </w:tc>
      </w:tr>
      <w:tr w:rsidR="00784E2B" w:rsidRPr="007753BC" w14:paraId="77E5547B"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17BB2C6F" w14:textId="77777777" w:rsidR="00784E2B" w:rsidRPr="007753BC" w:rsidRDefault="00784E2B" w:rsidP="00442CED">
            <w:pPr>
              <w:numPr>
                <w:ilvl w:val="0"/>
                <w:numId w:val="0"/>
              </w:numPr>
              <w:spacing w:after="0" w:line="240" w:lineRule="auto"/>
              <w:ind w:left="360"/>
            </w:pPr>
          </w:p>
        </w:tc>
        <w:tc>
          <w:tcPr>
            <w:tcW w:w="7195" w:type="dxa"/>
          </w:tcPr>
          <w:p w14:paraId="02A465E3" w14:textId="77777777" w:rsidR="00784E2B" w:rsidRPr="007753BC" w:rsidRDefault="00784E2B" w:rsidP="00442CED">
            <w:pPr>
              <w:numPr>
                <w:ilvl w:val="0"/>
                <w:numId w:val="0"/>
              </w:numPr>
              <w:spacing w:after="0" w:line="240" w:lineRule="auto"/>
              <w:ind w:left="360"/>
            </w:pPr>
          </w:p>
        </w:tc>
      </w:tr>
      <w:tr w:rsidR="00784E2B" w:rsidRPr="007753BC" w14:paraId="31588140"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33E6FA88" w14:textId="77777777" w:rsidR="00784E2B" w:rsidRPr="007753BC" w:rsidRDefault="00784E2B" w:rsidP="00442CED">
            <w:pPr>
              <w:numPr>
                <w:ilvl w:val="0"/>
                <w:numId w:val="0"/>
              </w:numPr>
              <w:spacing w:after="0" w:line="240" w:lineRule="auto"/>
              <w:ind w:left="360"/>
            </w:pPr>
            <w:r w:rsidRPr="007753BC">
              <w:t>ICAC</w:t>
            </w:r>
          </w:p>
        </w:tc>
        <w:tc>
          <w:tcPr>
            <w:tcW w:w="7195" w:type="dxa"/>
          </w:tcPr>
          <w:p w14:paraId="3F2609F3" w14:textId="77777777" w:rsidR="00784E2B" w:rsidRPr="007753BC" w:rsidRDefault="00784E2B" w:rsidP="00442CED">
            <w:pPr>
              <w:numPr>
                <w:ilvl w:val="0"/>
                <w:numId w:val="0"/>
              </w:numPr>
              <w:spacing w:after="0" w:line="240" w:lineRule="auto"/>
              <w:ind w:left="360"/>
            </w:pPr>
            <w:r w:rsidRPr="007753BC">
              <w:t>Internet Crimes Against Children Task Force Program (in DOJ)</w:t>
            </w:r>
          </w:p>
        </w:tc>
      </w:tr>
      <w:tr w:rsidR="00784E2B" w:rsidRPr="007753BC" w14:paraId="097473E6"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2B634327" w14:textId="77777777" w:rsidR="00784E2B" w:rsidRPr="007753BC" w:rsidRDefault="00784E2B" w:rsidP="00442CED">
            <w:pPr>
              <w:numPr>
                <w:ilvl w:val="0"/>
                <w:numId w:val="0"/>
              </w:numPr>
              <w:spacing w:after="0" w:line="240" w:lineRule="auto"/>
              <w:ind w:left="360"/>
            </w:pPr>
            <w:r w:rsidRPr="007753BC">
              <w:t>ICE</w:t>
            </w:r>
          </w:p>
        </w:tc>
        <w:tc>
          <w:tcPr>
            <w:tcW w:w="7195" w:type="dxa"/>
          </w:tcPr>
          <w:p w14:paraId="1A13ECE9" w14:textId="77777777" w:rsidR="00784E2B" w:rsidRPr="007753BC" w:rsidRDefault="00784E2B" w:rsidP="00442CED">
            <w:pPr>
              <w:numPr>
                <w:ilvl w:val="0"/>
                <w:numId w:val="0"/>
              </w:numPr>
              <w:spacing w:after="0" w:line="240" w:lineRule="auto"/>
              <w:ind w:left="360"/>
            </w:pPr>
            <w:r w:rsidRPr="007753BC">
              <w:t>United States Immigration and Customs Enforcement (in DHS)</w:t>
            </w:r>
          </w:p>
        </w:tc>
      </w:tr>
      <w:tr w:rsidR="00784E2B" w:rsidRPr="007753BC" w14:paraId="15F3FBF6"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538EFC72" w14:textId="77777777" w:rsidR="00784E2B" w:rsidRPr="007753BC" w:rsidRDefault="00784E2B" w:rsidP="00442CED">
            <w:pPr>
              <w:numPr>
                <w:ilvl w:val="0"/>
                <w:numId w:val="0"/>
              </w:numPr>
              <w:spacing w:after="0" w:line="240" w:lineRule="auto"/>
              <w:ind w:left="360"/>
            </w:pPr>
            <w:r w:rsidRPr="007753BC">
              <w:t>ILAB</w:t>
            </w:r>
          </w:p>
        </w:tc>
        <w:tc>
          <w:tcPr>
            <w:tcW w:w="7195" w:type="dxa"/>
          </w:tcPr>
          <w:p w14:paraId="2F777C9A" w14:textId="77777777" w:rsidR="00784E2B" w:rsidRPr="007753BC" w:rsidRDefault="00784E2B" w:rsidP="00442CED">
            <w:pPr>
              <w:numPr>
                <w:ilvl w:val="0"/>
                <w:numId w:val="0"/>
              </w:numPr>
              <w:spacing w:after="0" w:line="240" w:lineRule="auto"/>
              <w:ind w:left="360"/>
            </w:pPr>
            <w:r w:rsidRPr="007753BC">
              <w:t>Bureau of International Labor Affairs (in DOL)</w:t>
            </w:r>
          </w:p>
        </w:tc>
      </w:tr>
      <w:tr w:rsidR="00784E2B" w:rsidRPr="007753BC" w14:paraId="0B663A69"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4C15C1F1" w14:textId="77777777" w:rsidR="00784E2B" w:rsidRPr="007753BC" w:rsidRDefault="00784E2B" w:rsidP="00442CED">
            <w:pPr>
              <w:numPr>
                <w:ilvl w:val="0"/>
                <w:numId w:val="0"/>
              </w:numPr>
              <w:spacing w:after="0" w:line="240" w:lineRule="auto"/>
              <w:ind w:left="360"/>
            </w:pPr>
          </w:p>
        </w:tc>
        <w:tc>
          <w:tcPr>
            <w:tcW w:w="7195" w:type="dxa"/>
          </w:tcPr>
          <w:p w14:paraId="79BE0F84" w14:textId="77777777" w:rsidR="00784E2B" w:rsidRPr="007753BC" w:rsidRDefault="00784E2B" w:rsidP="00442CED">
            <w:pPr>
              <w:numPr>
                <w:ilvl w:val="0"/>
                <w:numId w:val="0"/>
              </w:numPr>
              <w:spacing w:after="0" w:line="240" w:lineRule="auto"/>
              <w:ind w:left="360"/>
            </w:pPr>
          </w:p>
        </w:tc>
      </w:tr>
      <w:tr w:rsidR="00784E2B" w:rsidRPr="007753BC" w14:paraId="5CA6EB3E"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6BDB8092" w14:textId="77777777" w:rsidR="00784E2B" w:rsidRPr="007753BC" w:rsidRDefault="00784E2B" w:rsidP="00442CED">
            <w:pPr>
              <w:numPr>
                <w:ilvl w:val="0"/>
                <w:numId w:val="0"/>
              </w:numPr>
              <w:spacing w:after="0" w:line="240" w:lineRule="auto"/>
              <w:ind w:left="360"/>
            </w:pPr>
            <w:r w:rsidRPr="007753BC">
              <w:t>NCMEC</w:t>
            </w:r>
          </w:p>
        </w:tc>
        <w:tc>
          <w:tcPr>
            <w:tcW w:w="7195" w:type="dxa"/>
          </w:tcPr>
          <w:p w14:paraId="5EE0443E" w14:textId="77777777" w:rsidR="00784E2B" w:rsidRPr="007753BC" w:rsidRDefault="00784E2B" w:rsidP="00442CED">
            <w:pPr>
              <w:numPr>
                <w:ilvl w:val="0"/>
                <w:numId w:val="0"/>
              </w:numPr>
              <w:spacing w:after="0" w:line="240" w:lineRule="auto"/>
              <w:ind w:left="360"/>
            </w:pPr>
            <w:r w:rsidRPr="007753BC">
              <w:t>National Center for Missing and Exploited Children</w:t>
            </w:r>
          </w:p>
        </w:tc>
      </w:tr>
      <w:tr w:rsidR="00784E2B" w:rsidRPr="007753BC" w14:paraId="6E3E1083"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0A9B98DF" w14:textId="77777777" w:rsidR="00784E2B" w:rsidRPr="007753BC" w:rsidRDefault="00784E2B" w:rsidP="00442CED">
            <w:pPr>
              <w:numPr>
                <w:ilvl w:val="0"/>
                <w:numId w:val="0"/>
              </w:numPr>
              <w:spacing w:after="0" w:line="240" w:lineRule="auto"/>
              <w:ind w:left="360"/>
            </w:pPr>
            <w:r w:rsidRPr="007753BC">
              <w:t>NGO</w:t>
            </w:r>
          </w:p>
        </w:tc>
        <w:tc>
          <w:tcPr>
            <w:tcW w:w="7195" w:type="dxa"/>
          </w:tcPr>
          <w:p w14:paraId="0E445358" w14:textId="77777777" w:rsidR="00784E2B" w:rsidRPr="007753BC" w:rsidRDefault="00784E2B" w:rsidP="00442CED">
            <w:pPr>
              <w:numPr>
                <w:ilvl w:val="0"/>
                <w:numId w:val="0"/>
              </w:numPr>
              <w:spacing w:after="0" w:line="240" w:lineRule="auto"/>
              <w:ind w:left="360"/>
            </w:pPr>
            <w:r w:rsidRPr="007753BC">
              <w:t>Non-governmental organization</w:t>
            </w:r>
          </w:p>
        </w:tc>
      </w:tr>
      <w:tr w:rsidR="00784E2B" w:rsidRPr="007753BC" w14:paraId="74AAC01E"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5E0C5E9C" w14:textId="77777777" w:rsidR="00784E2B" w:rsidRPr="007753BC" w:rsidRDefault="00784E2B" w:rsidP="00442CED">
            <w:pPr>
              <w:numPr>
                <w:ilvl w:val="0"/>
                <w:numId w:val="0"/>
              </w:numPr>
              <w:spacing w:after="0" w:line="240" w:lineRule="auto"/>
              <w:ind w:left="360"/>
            </w:pPr>
            <w:r w:rsidRPr="007753BC">
              <w:t>NIBRS</w:t>
            </w:r>
          </w:p>
        </w:tc>
        <w:tc>
          <w:tcPr>
            <w:tcW w:w="7195" w:type="dxa"/>
          </w:tcPr>
          <w:p w14:paraId="1B966B9A" w14:textId="77777777" w:rsidR="00784E2B" w:rsidRPr="007753BC" w:rsidRDefault="00784E2B" w:rsidP="00442CED">
            <w:pPr>
              <w:numPr>
                <w:ilvl w:val="0"/>
                <w:numId w:val="0"/>
              </w:numPr>
              <w:spacing w:after="0" w:line="240" w:lineRule="auto"/>
              <w:ind w:left="360"/>
            </w:pPr>
            <w:r w:rsidRPr="007753BC">
              <w:t>National Incident-Based Reporting System (in FBI)</w:t>
            </w:r>
          </w:p>
        </w:tc>
      </w:tr>
      <w:tr w:rsidR="00784E2B" w:rsidRPr="007753BC" w14:paraId="15CD3122"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5599428C" w14:textId="77777777" w:rsidR="00784E2B" w:rsidRPr="007753BC" w:rsidRDefault="00784E2B" w:rsidP="00442CED">
            <w:pPr>
              <w:numPr>
                <w:ilvl w:val="0"/>
                <w:numId w:val="0"/>
              </w:numPr>
              <w:spacing w:after="0" w:line="240" w:lineRule="auto"/>
              <w:ind w:left="360"/>
            </w:pPr>
          </w:p>
        </w:tc>
        <w:tc>
          <w:tcPr>
            <w:tcW w:w="7195" w:type="dxa"/>
          </w:tcPr>
          <w:p w14:paraId="739AD43E" w14:textId="77777777" w:rsidR="00784E2B" w:rsidRPr="007753BC" w:rsidRDefault="00784E2B" w:rsidP="00442CED">
            <w:pPr>
              <w:numPr>
                <w:ilvl w:val="0"/>
                <w:numId w:val="0"/>
              </w:numPr>
              <w:spacing w:after="0" w:line="240" w:lineRule="auto"/>
              <w:ind w:left="360"/>
            </w:pPr>
          </w:p>
        </w:tc>
      </w:tr>
      <w:tr w:rsidR="00784E2B" w:rsidRPr="007753BC" w14:paraId="2D3F554B"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7BE29A53" w14:textId="77777777" w:rsidR="00784E2B" w:rsidRPr="007753BC" w:rsidRDefault="00784E2B" w:rsidP="00442CED">
            <w:pPr>
              <w:numPr>
                <w:ilvl w:val="0"/>
                <w:numId w:val="0"/>
              </w:numPr>
              <w:spacing w:after="0" w:line="240" w:lineRule="auto"/>
              <w:ind w:left="360"/>
            </w:pPr>
            <w:r w:rsidRPr="007753BC">
              <w:t>OJJDP</w:t>
            </w:r>
          </w:p>
        </w:tc>
        <w:tc>
          <w:tcPr>
            <w:tcW w:w="7195" w:type="dxa"/>
          </w:tcPr>
          <w:p w14:paraId="3F474C1A" w14:textId="77777777" w:rsidR="00784E2B" w:rsidRPr="007753BC" w:rsidRDefault="00784E2B" w:rsidP="00442CED">
            <w:pPr>
              <w:numPr>
                <w:ilvl w:val="0"/>
                <w:numId w:val="0"/>
              </w:numPr>
              <w:spacing w:after="0" w:line="240" w:lineRule="auto"/>
              <w:ind w:left="360"/>
            </w:pPr>
            <w:r w:rsidRPr="007753BC">
              <w:t>Office of Juvenile Justice and Delinquency Prevention (in DOJ)</w:t>
            </w:r>
          </w:p>
        </w:tc>
      </w:tr>
      <w:tr w:rsidR="00784E2B" w:rsidRPr="007753BC" w14:paraId="590CFBE1"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71B7DB89" w14:textId="77777777" w:rsidR="00784E2B" w:rsidRPr="007753BC" w:rsidRDefault="00784E2B" w:rsidP="00442CED">
            <w:pPr>
              <w:numPr>
                <w:ilvl w:val="0"/>
                <w:numId w:val="0"/>
              </w:numPr>
              <w:spacing w:after="0" w:line="240" w:lineRule="auto"/>
              <w:ind w:left="360"/>
            </w:pPr>
            <w:r w:rsidRPr="007753BC">
              <w:t>ORR</w:t>
            </w:r>
          </w:p>
        </w:tc>
        <w:tc>
          <w:tcPr>
            <w:tcW w:w="7195" w:type="dxa"/>
          </w:tcPr>
          <w:p w14:paraId="356E06F0" w14:textId="77777777" w:rsidR="00784E2B" w:rsidRPr="007753BC" w:rsidRDefault="00784E2B" w:rsidP="00442CED">
            <w:pPr>
              <w:numPr>
                <w:ilvl w:val="0"/>
                <w:numId w:val="0"/>
              </w:numPr>
              <w:spacing w:after="0" w:line="240" w:lineRule="auto"/>
              <w:ind w:left="360"/>
            </w:pPr>
            <w:r w:rsidRPr="007753BC">
              <w:t>Office of Refugee Resettlement (in HHS)</w:t>
            </w:r>
          </w:p>
        </w:tc>
      </w:tr>
      <w:tr w:rsidR="00784E2B" w:rsidRPr="007753BC" w14:paraId="36EB8639"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6227C6A5" w14:textId="77777777" w:rsidR="00784E2B" w:rsidRPr="007753BC" w:rsidRDefault="00784E2B" w:rsidP="00442CED">
            <w:pPr>
              <w:numPr>
                <w:ilvl w:val="0"/>
                <w:numId w:val="0"/>
              </w:numPr>
              <w:spacing w:after="0" w:line="240" w:lineRule="auto"/>
              <w:ind w:left="360"/>
            </w:pPr>
            <w:r w:rsidRPr="007753BC">
              <w:t>OTIP</w:t>
            </w:r>
          </w:p>
        </w:tc>
        <w:tc>
          <w:tcPr>
            <w:tcW w:w="7195" w:type="dxa"/>
          </w:tcPr>
          <w:p w14:paraId="2AFC94F7" w14:textId="77777777" w:rsidR="00784E2B" w:rsidRPr="007753BC" w:rsidRDefault="00784E2B" w:rsidP="00442CED">
            <w:pPr>
              <w:numPr>
                <w:ilvl w:val="0"/>
                <w:numId w:val="0"/>
              </w:numPr>
              <w:spacing w:after="0" w:line="240" w:lineRule="auto"/>
              <w:ind w:left="360"/>
            </w:pPr>
            <w:r w:rsidRPr="007753BC">
              <w:t>Office on Trafficking in Persons (in HHS/ACF)</w:t>
            </w:r>
          </w:p>
        </w:tc>
      </w:tr>
      <w:tr w:rsidR="00784E2B" w:rsidRPr="007753BC" w14:paraId="4E891971"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0488FEEB" w14:textId="77777777" w:rsidR="00784E2B" w:rsidRPr="007753BC" w:rsidRDefault="00784E2B" w:rsidP="00442CED">
            <w:pPr>
              <w:numPr>
                <w:ilvl w:val="0"/>
                <w:numId w:val="0"/>
              </w:numPr>
              <w:spacing w:after="0" w:line="240" w:lineRule="auto"/>
              <w:ind w:left="360"/>
            </w:pPr>
            <w:r w:rsidRPr="007753BC">
              <w:t>OVC</w:t>
            </w:r>
          </w:p>
        </w:tc>
        <w:tc>
          <w:tcPr>
            <w:tcW w:w="7195" w:type="dxa"/>
          </w:tcPr>
          <w:p w14:paraId="16A8386B" w14:textId="77777777" w:rsidR="00784E2B" w:rsidRPr="007753BC" w:rsidRDefault="00784E2B" w:rsidP="00442CED">
            <w:pPr>
              <w:numPr>
                <w:ilvl w:val="0"/>
                <w:numId w:val="0"/>
              </w:numPr>
              <w:spacing w:after="0" w:line="240" w:lineRule="auto"/>
              <w:ind w:left="360"/>
            </w:pPr>
            <w:r w:rsidRPr="007753BC">
              <w:t>Office for Victims of Crimes (in DOJ)</w:t>
            </w:r>
          </w:p>
        </w:tc>
      </w:tr>
      <w:tr w:rsidR="00784E2B" w:rsidRPr="007753BC" w14:paraId="48607734"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7CA1E335" w14:textId="77777777" w:rsidR="00784E2B" w:rsidRPr="007753BC" w:rsidRDefault="00784E2B" w:rsidP="00442CED">
            <w:pPr>
              <w:numPr>
                <w:ilvl w:val="0"/>
                <w:numId w:val="0"/>
              </w:numPr>
              <w:spacing w:after="0" w:line="240" w:lineRule="auto"/>
              <w:ind w:left="360"/>
            </w:pPr>
            <w:r w:rsidRPr="007753BC">
              <w:t>OVW</w:t>
            </w:r>
          </w:p>
        </w:tc>
        <w:tc>
          <w:tcPr>
            <w:tcW w:w="7195" w:type="dxa"/>
          </w:tcPr>
          <w:p w14:paraId="69965C51" w14:textId="77777777" w:rsidR="00784E2B" w:rsidRPr="007753BC" w:rsidRDefault="00784E2B" w:rsidP="00442CED">
            <w:pPr>
              <w:numPr>
                <w:ilvl w:val="0"/>
                <w:numId w:val="0"/>
              </w:numPr>
              <w:spacing w:after="0" w:line="240" w:lineRule="auto"/>
              <w:ind w:left="360"/>
            </w:pPr>
            <w:r w:rsidRPr="007753BC">
              <w:t>Office on Violence Against Women (in DOJ)</w:t>
            </w:r>
          </w:p>
        </w:tc>
      </w:tr>
      <w:tr w:rsidR="00784E2B" w:rsidRPr="007753BC" w14:paraId="6ACAAFA4"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37C9CF52" w14:textId="77777777" w:rsidR="00784E2B" w:rsidRPr="007753BC" w:rsidRDefault="00784E2B" w:rsidP="00442CED">
            <w:pPr>
              <w:numPr>
                <w:ilvl w:val="0"/>
                <w:numId w:val="0"/>
              </w:numPr>
              <w:spacing w:after="0" w:line="240" w:lineRule="auto"/>
              <w:ind w:left="360"/>
            </w:pPr>
          </w:p>
        </w:tc>
        <w:tc>
          <w:tcPr>
            <w:tcW w:w="7195" w:type="dxa"/>
          </w:tcPr>
          <w:p w14:paraId="542356ED" w14:textId="77777777" w:rsidR="00784E2B" w:rsidRPr="007753BC" w:rsidRDefault="00784E2B" w:rsidP="00442CED">
            <w:pPr>
              <w:numPr>
                <w:ilvl w:val="0"/>
                <w:numId w:val="0"/>
              </w:numPr>
              <w:spacing w:after="0" w:line="240" w:lineRule="auto"/>
              <w:ind w:left="360"/>
            </w:pPr>
          </w:p>
        </w:tc>
      </w:tr>
      <w:tr w:rsidR="00784E2B" w:rsidRPr="007753BC" w14:paraId="602F0C8F"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7CC115D8" w14:textId="77777777" w:rsidR="00784E2B" w:rsidRPr="007753BC" w:rsidRDefault="00784E2B" w:rsidP="00442CED">
            <w:pPr>
              <w:numPr>
                <w:ilvl w:val="0"/>
                <w:numId w:val="0"/>
              </w:numPr>
              <w:spacing w:after="0" w:line="240" w:lineRule="auto"/>
              <w:ind w:left="360"/>
            </w:pPr>
            <w:r w:rsidRPr="007753BC">
              <w:t>TVPA</w:t>
            </w:r>
          </w:p>
        </w:tc>
        <w:tc>
          <w:tcPr>
            <w:tcW w:w="7195" w:type="dxa"/>
          </w:tcPr>
          <w:p w14:paraId="166FF5A2" w14:textId="77777777" w:rsidR="00784E2B" w:rsidRPr="007753BC" w:rsidRDefault="00784E2B" w:rsidP="00442CED">
            <w:pPr>
              <w:numPr>
                <w:ilvl w:val="0"/>
                <w:numId w:val="0"/>
              </w:numPr>
              <w:spacing w:after="0" w:line="240" w:lineRule="auto"/>
              <w:ind w:left="360"/>
            </w:pPr>
            <w:r w:rsidRPr="007753BC">
              <w:t>Trafficking Victims Protection Act</w:t>
            </w:r>
          </w:p>
        </w:tc>
      </w:tr>
      <w:tr w:rsidR="00784E2B" w:rsidRPr="007753BC" w14:paraId="783DD2E0"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0801B972" w14:textId="77777777" w:rsidR="00784E2B" w:rsidRPr="007753BC" w:rsidRDefault="00784E2B" w:rsidP="00442CED">
            <w:pPr>
              <w:numPr>
                <w:ilvl w:val="0"/>
                <w:numId w:val="0"/>
              </w:numPr>
              <w:spacing w:after="0" w:line="240" w:lineRule="auto"/>
              <w:ind w:left="360"/>
            </w:pPr>
          </w:p>
        </w:tc>
        <w:tc>
          <w:tcPr>
            <w:tcW w:w="7195" w:type="dxa"/>
          </w:tcPr>
          <w:p w14:paraId="453408AE" w14:textId="77777777" w:rsidR="00784E2B" w:rsidRPr="007753BC" w:rsidRDefault="00784E2B" w:rsidP="00442CED">
            <w:pPr>
              <w:numPr>
                <w:ilvl w:val="0"/>
                <w:numId w:val="0"/>
              </w:numPr>
              <w:spacing w:after="0" w:line="240" w:lineRule="auto"/>
              <w:ind w:left="360"/>
            </w:pPr>
          </w:p>
        </w:tc>
      </w:tr>
      <w:tr w:rsidR="00784E2B" w:rsidRPr="007753BC" w14:paraId="53E956EB"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76CFC924" w14:textId="77777777" w:rsidR="00784E2B" w:rsidRPr="007753BC" w:rsidRDefault="00784E2B" w:rsidP="00442CED">
            <w:pPr>
              <w:numPr>
                <w:ilvl w:val="0"/>
                <w:numId w:val="0"/>
              </w:numPr>
              <w:spacing w:after="0" w:line="240" w:lineRule="auto"/>
              <w:ind w:left="360"/>
            </w:pPr>
            <w:r w:rsidRPr="007753BC">
              <w:t>USAID</w:t>
            </w:r>
          </w:p>
        </w:tc>
        <w:tc>
          <w:tcPr>
            <w:tcW w:w="7195" w:type="dxa"/>
          </w:tcPr>
          <w:p w14:paraId="1C646E54" w14:textId="77777777" w:rsidR="00784E2B" w:rsidRPr="007753BC" w:rsidRDefault="00784E2B" w:rsidP="00442CED">
            <w:pPr>
              <w:numPr>
                <w:ilvl w:val="0"/>
                <w:numId w:val="0"/>
              </w:numPr>
              <w:spacing w:after="0" w:line="240" w:lineRule="auto"/>
              <w:ind w:left="360"/>
            </w:pPr>
            <w:r w:rsidRPr="007753BC">
              <w:t>United States Agency for International Development</w:t>
            </w:r>
          </w:p>
        </w:tc>
      </w:tr>
      <w:tr w:rsidR="00784E2B" w:rsidRPr="007753BC" w14:paraId="4B4BC99B"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39B85D5F" w14:textId="77777777" w:rsidR="00784E2B" w:rsidRPr="007753BC" w:rsidRDefault="00784E2B" w:rsidP="00442CED">
            <w:pPr>
              <w:numPr>
                <w:ilvl w:val="0"/>
                <w:numId w:val="0"/>
              </w:numPr>
              <w:spacing w:after="0" w:line="240" w:lineRule="auto"/>
              <w:ind w:left="360"/>
            </w:pPr>
            <w:r w:rsidRPr="007753BC">
              <w:t>USCIS</w:t>
            </w:r>
          </w:p>
        </w:tc>
        <w:tc>
          <w:tcPr>
            <w:tcW w:w="7195" w:type="dxa"/>
          </w:tcPr>
          <w:p w14:paraId="70E2E3D8" w14:textId="77777777" w:rsidR="00784E2B" w:rsidRPr="007753BC" w:rsidRDefault="00784E2B" w:rsidP="00442CED">
            <w:pPr>
              <w:numPr>
                <w:ilvl w:val="0"/>
                <w:numId w:val="0"/>
              </w:numPr>
              <w:spacing w:after="0" w:line="240" w:lineRule="auto"/>
              <w:ind w:left="360"/>
            </w:pPr>
            <w:r w:rsidRPr="007753BC">
              <w:t>United States Citizenship and Immigration Services (in DHS)</w:t>
            </w:r>
          </w:p>
        </w:tc>
      </w:tr>
      <w:tr w:rsidR="00784E2B" w:rsidRPr="007753BC" w14:paraId="03E92B19"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35822E21" w14:textId="77777777" w:rsidR="00784E2B" w:rsidRPr="007753BC" w:rsidRDefault="00784E2B" w:rsidP="00442CED">
            <w:pPr>
              <w:numPr>
                <w:ilvl w:val="0"/>
                <w:numId w:val="0"/>
              </w:numPr>
              <w:spacing w:after="0" w:line="240" w:lineRule="auto"/>
              <w:ind w:left="360"/>
            </w:pPr>
            <w:r w:rsidRPr="007753BC">
              <w:t>USTR</w:t>
            </w:r>
          </w:p>
        </w:tc>
        <w:tc>
          <w:tcPr>
            <w:tcW w:w="7195" w:type="dxa"/>
          </w:tcPr>
          <w:p w14:paraId="5E307444" w14:textId="77777777" w:rsidR="00784E2B" w:rsidRPr="007753BC" w:rsidRDefault="00784E2B" w:rsidP="00442CED">
            <w:pPr>
              <w:numPr>
                <w:ilvl w:val="0"/>
                <w:numId w:val="0"/>
              </w:numPr>
              <w:spacing w:after="0" w:line="240" w:lineRule="auto"/>
              <w:ind w:left="360"/>
            </w:pPr>
            <w:r w:rsidRPr="007753BC">
              <w:t>Office of the United States Trade Representative</w:t>
            </w:r>
          </w:p>
        </w:tc>
      </w:tr>
      <w:tr w:rsidR="00784E2B" w:rsidRPr="007753BC" w14:paraId="5EF252FC"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2327221E" w14:textId="77777777" w:rsidR="00784E2B" w:rsidRPr="007753BC" w:rsidRDefault="00784E2B" w:rsidP="00442CED">
            <w:pPr>
              <w:numPr>
                <w:ilvl w:val="0"/>
                <w:numId w:val="0"/>
              </w:numPr>
              <w:spacing w:after="0" w:line="240" w:lineRule="auto"/>
              <w:ind w:left="360"/>
            </w:pPr>
          </w:p>
        </w:tc>
        <w:tc>
          <w:tcPr>
            <w:tcW w:w="7195" w:type="dxa"/>
          </w:tcPr>
          <w:p w14:paraId="2F54B00B" w14:textId="77777777" w:rsidR="00784E2B" w:rsidRPr="007753BC" w:rsidRDefault="00784E2B" w:rsidP="00442CED">
            <w:pPr>
              <w:numPr>
                <w:ilvl w:val="0"/>
                <w:numId w:val="0"/>
              </w:numPr>
              <w:spacing w:after="0" w:line="240" w:lineRule="auto"/>
              <w:ind w:left="360"/>
            </w:pPr>
          </w:p>
        </w:tc>
      </w:tr>
      <w:tr w:rsidR="00784E2B" w:rsidRPr="007753BC" w14:paraId="57E5FCB7" w14:textId="77777777" w:rsidTr="0044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 w:type="dxa"/>
          </w:tcPr>
          <w:p w14:paraId="11668835" w14:textId="77777777" w:rsidR="00784E2B" w:rsidRPr="007753BC" w:rsidRDefault="00784E2B" w:rsidP="00442CED">
            <w:pPr>
              <w:numPr>
                <w:ilvl w:val="0"/>
                <w:numId w:val="0"/>
              </w:numPr>
              <w:spacing w:after="0" w:line="240" w:lineRule="auto"/>
              <w:ind w:left="360"/>
            </w:pPr>
            <w:r w:rsidRPr="007753BC">
              <w:t>WHD</w:t>
            </w:r>
          </w:p>
        </w:tc>
        <w:tc>
          <w:tcPr>
            <w:tcW w:w="7195" w:type="dxa"/>
          </w:tcPr>
          <w:p w14:paraId="258419FE" w14:textId="77777777" w:rsidR="00784E2B" w:rsidRPr="007753BC" w:rsidRDefault="00784E2B" w:rsidP="00442CED">
            <w:pPr>
              <w:numPr>
                <w:ilvl w:val="0"/>
                <w:numId w:val="0"/>
              </w:numPr>
              <w:spacing w:after="0" w:line="240" w:lineRule="auto"/>
              <w:ind w:left="360"/>
            </w:pPr>
            <w:r w:rsidRPr="007753BC">
              <w:t>Wage and Hour Division (in DOL)</w:t>
            </w:r>
          </w:p>
        </w:tc>
      </w:tr>
    </w:tbl>
    <w:p w14:paraId="2D1CD159" w14:textId="77777777" w:rsidR="00784E2B" w:rsidRDefault="00784E2B" w:rsidP="00784E2B">
      <w:pPr>
        <w:numPr>
          <w:ilvl w:val="0"/>
          <w:numId w:val="0"/>
        </w:numPr>
        <w:shd w:val="clear" w:color="auto" w:fill="auto"/>
        <w:spacing w:after="0" w:line="240" w:lineRule="auto"/>
      </w:pPr>
      <w:r>
        <w:br w:type="page"/>
      </w:r>
    </w:p>
    <w:p w14:paraId="671AC8EE" w14:textId="14F48641" w:rsidR="00FE78F1" w:rsidRPr="00B0052E" w:rsidRDefault="00784E2B" w:rsidP="001B4EAA">
      <w:pPr>
        <w:pStyle w:val="Heading1"/>
      </w:pPr>
      <w:bookmarkStart w:id="14" w:name="_Toc93588722"/>
      <w:bookmarkStart w:id="15" w:name="_Ref93581574"/>
      <w:r w:rsidRPr="000E1773">
        <w:t>: Data on Arrests, Pleas, and Trials for Crimes Against Children, Including Child Pornography</w:t>
      </w:r>
      <w:bookmarkEnd w:id="14"/>
      <w:r w:rsidRPr="000E1773">
        <w:t xml:space="preserve"> </w:t>
      </w:r>
      <w:bookmarkEnd w:id="15"/>
    </w:p>
    <w:p w14:paraId="7456D8AD" w14:textId="77777777" w:rsidR="00784E2B" w:rsidRPr="00D6395F" w:rsidRDefault="00784E2B" w:rsidP="00784E2B">
      <w:pPr>
        <w:numPr>
          <w:ilvl w:val="0"/>
          <w:numId w:val="0"/>
        </w:numPr>
        <w:spacing w:after="0" w:line="240" w:lineRule="auto"/>
        <w:ind w:left="360"/>
        <w:jc w:val="center"/>
        <w:rPr>
          <w:b/>
          <w:bCs/>
          <w:sz w:val="24"/>
          <w:szCs w:val="24"/>
        </w:rPr>
      </w:pPr>
      <w:r w:rsidRPr="00D6395F">
        <w:rPr>
          <w:b/>
          <w:bCs/>
          <w:sz w:val="24"/>
          <w:szCs w:val="24"/>
        </w:rPr>
        <w:t>Criminal Caseload Statistics</w:t>
      </w:r>
    </w:p>
    <w:p w14:paraId="42C35491" w14:textId="77777777" w:rsidR="00784E2B" w:rsidRPr="00D6395F" w:rsidRDefault="00784E2B" w:rsidP="00784E2B">
      <w:pPr>
        <w:numPr>
          <w:ilvl w:val="0"/>
          <w:numId w:val="0"/>
        </w:numPr>
        <w:spacing w:before="240" w:line="240" w:lineRule="auto"/>
        <w:ind w:left="360"/>
        <w:jc w:val="center"/>
        <w:rPr>
          <w:i/>
          <w:iCs/>
        </w:rPr>
      </w:pPr>
      <w:r w:rsidRPr="00D6395F">
        <w:rPr>
          <w:i/>
          <w:iCs/>
        </w:rPr>
        <w:t>Source:  Department of Justice</w:t>
      </w:r>
    </w:p>
    <w:p w14:paraId="5A9011EB" w14:textId="77777777" w:rsidR="00784E2B" w:rsidRDefault="00784E2B" w:rsidP="00784E2B">
      <w:pPr>
        <w:numPr>
          <w:ilvl w:val="0"/>
          <w:numId w:val="0"/>
        </w:numPr>
        <w:spacing w:after="0" w:line="240" w:lineRule="auto"/>
        <w:ind w:left="360"/>
      </w:pPr>
      <w:r w:rsidRPr="00B0052E">
        <w:t>The following chart shows the number of federal child pornography-related cases filed from Fiscal Years 2016 through 2021, the number of defendants charged in those cases, and the number of convictions during those years.  The data include crimes involving child pornography production, advertisement, possession, transportation, receipt, and distribution, and is extracted from the United States Attorneys’ Case Management System.</w:t>
      </w:r>
      <w:r w:rsidRPr="00E42249">
        <w:rPr>
          <w:vertAlign w:val="superscript"/>
        </w:rPr>
        <w:footnoteReference w:id="6"/>
      </w:r>
    </w:p>
    <w:p w14:paraId="640C5D01" w14:textId="77777777" w:rsidR="00784E2B" w:rsidRPr="00B0052E" w:rsidRDefault="00784E2B" w:rsidP="00784E2B">
      <w:pPr>
        <w:numPr>
          <w:ilvl w:val="0"/>
          <w:numId w:val="0"/>
        </w:numPr>
        <w:spacing w:after="0" w:line="240" w:lineRule="auto"/>
        <w:ind w:left="360"/>
      </w:pPr>
    </w:p>
    <w:tbl>
      <w:tblPr>
        <w:tblStyle w:val="TableGrid"/>
        <w:tblW w:w="0" w:type="auto"/>
        <w:jc w:val="center"/>
        <w:tblLook w:val="04A0" w:firstRow="1" w:lastRow="0" w:firstColumn="1" w:lastColumn="0" w:noHBand="0" w:noVBand="1"/>
      </w:tblPr>
      <w:tblGrid>
        <w:gridCol w:w="1374"/>
        <w:gridCol w:w="2354"/>
        <w:gridCol w:w="2441"/>
        <w:gridCol w:w="2441"/>
      </w:tblGrid>
      <w:tr w:rsidR="001079CA" w:rsidRPr="001D22FF" w14:paraId="4D2F1709" w14:textId="77777777" w:rsidTr="00291B04">
        <w:trPr>
          <w:jc w:val="center"/>
        </w:trPr>
        <w:tc>
          <w:tcPr>
            <w:tcW w:w="1440" w:type="dxa"/>
            <w:tcBorders>
              <w:top w:val="single" w:sz="12" w:space="0" w:color="auto"/>
              <w:left w:val="single" w:sz="12" w:space="0" w:color="auto"/>
              <w:right w:val="single" w:sz="12" w:space="0" w:color="auto"/>
            </w:tcBorders>
            <w:shd w:val="clear" w:color="auto" w:fill="auto"/>
            <w:vAlign w:val="center"/>
          </w:tcPr>
          <w:p w14:paraId="14CD4AF6" w14:textId="77777777" w:rsidR="001079CA" w:rsidRPr="00D37480" w:rsidRDefault="001079CA" w:rsidP="001079CA">
            <w:pPr>
              <w:pStyle w:val="Quote"/>
              <w:rPr>
                <w:b/>
                <w:bCs/>
              </w:rPr>
            </w:pPr>
            <w:r w:rsidRPr="00D37480">
              <w:rPr>
                <w:b/>
                <w:bCs/>
              </w:rPr>
              <w:t>Fiscal Year</w:t>
            </w:r>
          </w:p>
        </w:tc>
        <w:tc>
          <w:tcPr>
            <w:tcW w:w="2640" w:type="dxa"/>
            <w:tcBorders>
              <w:top w:val="single" w:sz="12" w:space="0" w:color="auto"/>
              <w:left w:val="single" w:sz="12" w:space="0" w:color="auto"/>
            </w:tcBorders>
            <w:shd w:val="clear" w:color="auto" w:fill="auto"/>
            <w:vAlign w:val="center"/>
          </w:tcPr>
          <w:p w14:paraId="22C1838E" w14:textId="77777777" w:rsidR="001079CA" w:rsidRPr="00D37480" w:rsidRDefault="001079CA" w:rsidP="001079CA">
            <w:pPr>
              <w:pStyle w:val="Quote"/>
              <w:rPr>
                <w:b/>
                <w:bCs/>
              </w:rPr>
            </w:pPr>
            <w:r w:rsidRPr="00D37480">
              <w:rPr>
                <w:b/>
                <w:bCs/>
              </w:rPr>
              <w:t>Cases Filed</w:t>
            </w:r>
          </w:p>
        </w:tc>
        <w:tc>
          <w:tcPr>
            <w:tcW w:w="2640" w:type="dxa"/>
            <w:tcBorders>
              <w:top w:val="single" w:sz="12" w:space="0" w:color="auto"/>
            </w:tcBorders>
            <w:shd w:val="clear" w:color="auto" w:fill="auto"/>
            <w:vAlign w:val="center"/>
          </w:tcPr>
          <w:p w14:paraId="74E09D4C" w14:textId="77777777" w:rsidR="001079CA" w:rsidRPr="00D37480" w:rsidRDefault="001079CA" w:rsidP="001079CA">
            <w:pPr>
              <w:pStyle w:val="Quote"/>
              <w:rPr>
                <w:b/>
                <w:bCs/>
              </w:rPr>
            </w:pPr>
            <w:r w:rsidRPr="00D37480">
              <w:rPr>
                <w:b/>
                <w:bCs/>
              </w:rPr>
              <w:t>Defendants Filed</w:t>
            </w:r>
          </w:p>
        </w:tc>
        <w:tc>
          <w:tcPr>
            <w:tcW w:w="2640" w:type="dxa"/>
            <w:tcBorders>
              <w:top w:val="single" w:sz="12" w:space="0" w:color="auto"/>
              <w:right w:val="single" w:sz="12" w:space="0" w:color="auto"/>
            </w:tcBorders>
            <w:shd w:val="clear" w:color="auto" w:fill="auto"/>
            <w:vAlign w:val="center"/>
          </w:tcPr>
          <w:p w14:paraId="67FF6E15" w14:textId="77777777" w:rsidR="001079CA" w:rsidRPr="00D37480" w:rsidRDefault="001079CA" w:rsidP="001079CA">
            <w:pPr>
              <w:pStyle w:val="Quote"/>
              <w:rPr>
                <w:b/>
                <w:bCs/>
              </w:rPr>
            </w:pPr>
            <w:r w:rsidRPr="00D37480">
              <w:rPr>
                <w:b/>
                <w:bCs/>
              </w:rPr>
              <w:t>Guilty Defendants</w:t>
            </w:r>
          </w:p>
        </w:tc>
      </w:tr>
      <w:tr w:rsidR="001079CA" w14:paraId="509E6B2F" w14:textId="77777777" w:rsidTr="00291B04">
        <w:trPr>
          <w:jc w:val="center"/>
        </w:trPr>
        <w:tc>
          <w:tcPr>
            <w:tcW w:w="1440" w:type="dxa"/>
            <w:tcBorders>
              <w:left w:val="single" w:sz="12" w:space="0" w:color="auto"/>
              <w:right w:val="single" w:sz="12" w:space="0" w:color="auto"/>
            </w:tcBorders>
            <w:shd w:val="clear" w:color="auto" w:fill="auto"/>
            <w:vAlign w:val="center"/>
          </w:tcPr>
          <w:p w14:paraId="22939454" w14:textId="77777777" w:rsidR="001079CA" w:rsidRPr="00D37480" w:rsidRDefault="001079CA" w:rsidP="001079CA">
            <w:pPr>
              <w:pStyle w:val="Quote"/>
              <w:rPr>
                <w:b/>
                <w:bCs/>
              </w:rPr>
            </w:pPr>
            <w:r w:rsidRPr="00D37480">
              <w:rPr>
                <w:b/>
                <w:bCs/>
              </w:rPr>
              <w:t>2016</w:t>
            </w:r>
          </w:p>
        </w:tc>
        <w:tc>
          <w:tcPr>
            <w:tcW w:w="2640" w:type="dxa"/>
            <w:tcBorders>
              <w:left w:val="single" w:sz="12" w:space="0" w:color="auto"/>
            </w:tcBorders>
            <w:vAlign w:val="center"/>
          </w:tcPr>
          <w:p w14:paraId="12AE2F1D" w14:textId="77777777" w:rsidR="001079CA" w:rsidRPr="00B63010" w:rsidRDefault="001079CA" w:rsidP="001079CA">
            <w:pPr>
              <w:pStyle w:val="Quote"/>
            </w:pPr>
            <w:r w:rsidRPr="00B63010">
              <w:t>2,080</w:t>
            </w:r>
          </w:p>
        </w:tc>
        <w:tc>
          <w:tcPr>
            <w:tcW w:w="2640" w:type="dxa"/>
            <w:vAlign w:val="center"/>
          </w:tcPr>
          <w:p w14:paraId="3F5221C9" w14:textId="77777777" w:rsidR="001079CA" w:rsidRPr="00B63010" w:rsidRDefault="001079CA" w:rsidP="001079CA">
            <w:pPr>
              <w:pStyle w:val="Quote"/>
            </w:pPr>
            <w:r w:rsidRPr="00B63010">
              <w:t>2,136</w:t>
            </w:r>
          </w:p>
        </w:tc>
        <w:tc>
          <w:tcPr>
            <w:tcW w:w="2640" w:type="dxa"/>
            <w:tcBorders>
              <w:right w:val="single" w:sz="12" w:space="0" w:color="auto"/>
            </w:tcBorders>
            <w:vAlign w:val="center"/>
          </w:tcPr>
          <w:p w14:paraId="4CE6E2FA" w14:textId="77777777" w:rsidR="001079CA" w:rsidRPr="00B63010" w:rsidRDefault="001079CA" w:rsidP="001079CA">
            <w:pPr>
              <w:pStyle w:val="Quote"/>
            </w:pPr>
            <w:r w:rsidRPr="00B63010">
              <w:t>2,151</w:t>
            </w:r>
          </w:p>
        </w:tc>
      </w:tr>
      <w:tr w:rsidR="001079CA" w14:paraId="390583AE" w14:textId="77777777" w:rsidTr="00291B04">
        <w:trPr>
          <w:jc w:val="center"/>
        </w:trPr>
        <w:tc>
          <w:tcPr>
            <w:tcW w:w="1440" w:type="dxa"/>
            <w:tcBorders>
              <w:left w:val="single" w:sz="12" w:space="0" w:color="auto"/>
              <w:right w:val="single" w:sz="12" w:space="0" w:color="auto"/>
            </w:tcBorders>
            <w:shd w:val="clear" w:color="auto" w:fill="auto"/>
            <w:vAlign w:val="center"/>
          </w:tcPr>
          <w:p w14:paraId="6882C629" w14:textId="77777777" w:rsidR="001079CA" w:rsidRPr="00D37480" w:rsidRDefault="001079CA" w:rsidP="001079CA">
            <w:pPr>
              <w:pStyle w:val="Quote"/>
              <w:rPr>
                <w:b/>
                <w:bCs/>
              </w:rPr>
            </w:pPr>
            <w:r w:rsidRPr="00D37480">
              <w:rPr>
                <w:b/>
                <w:bCs/>
              </w:rPr>
              <w:t>2017</w:t>
            </w:r>
          </w:p>
        </w:tc>
        <w:tc>
          <w:tcPr>
            <w:tcW w:w="2640" w:type="dxa"/>
            <w:tcBorders>
              <w:left w:val="single" w:sz="12" w:space="0" w:color="auto"/>
            </w:tcBorders>
            <w:vAlign w:val="center"/>
          </w:tcPr>
          <w:p w14:paraId="7BF8F5CC" w14:textId="77777777" w:rsidR="001079CA" w:rsidRPr="00B63010" w:rsidRDefault="001079CA" w:rsidP="001079CA">
            <w:pPr>
              <w:pStyle w:val="Quote"/>
            </w:pPr>
            <w:r w:rsidRPr="00B63010">
              <w:t>2,033</w:t>
            </w:r>
          </w:p>
        </w:tc>
        <w:tc>
          <w:tcPr>
            <w:tcW w:w="2640" w:type="dxa"/>
            <w:vAlign w:val="center"/>
          </w:tcPr>
          <w:p w14:paraId="18FA8A53" w14:textId="77777777" w:rsidR="001079CA" w:rsidRPr="00B63010" w:rsidRDefault="001079CA" w:rsidP="001079CA">
            <w:pPr>
              <w:pStyle w:val="Quote"/>
            </w:pPr>
            <w:r w:rsidRPr="00B63010">
              <w:t>2,080</w:t>
            </w:r>
          </w:p>
        </w:tc>
        <w:tc>
          <w:tcPr>
            <w:tcW w:w="2640" w:type="dxa"/>
            <w:tcBorders>
              <w:right w:val="single" w:sz="12" w:space="0" w:color="auto"/>
            </w:tcBorders>
            <w:vAlign w:val="center"/>
          </w:tcPr>
          <w:p w14:paraId="5E994554" w14:textId="77777777" w:rsidR="001079CA" w:rsidRPr="00B63010" w:rsidRDefault="001079CA" w:rsidP="001079CA">
            <w:pPr>
              <w:pStyle w:val="Quote"/>
            </w:pPr>
            <w:r w:rsidRPr="00B63010">
              <w:t>1,855</w:t>
            </w:r>
          </w:p>
        </w:tc>
      </w:tr>
      <w:tr w:rsidR="001079CA" w14:paraId="7DAFA459" w14:textId="77777777" w:rsidTr="00291B04">
        <w:trPr>
          <w:jc w:val="center"/>
        </w:trPr>
        <w:tc>
          <w:tcPr>
            <w:tcW w:w="1440" w:type="dxa"/>
            <w:tcBorders>
              <w:left w:val="single" w:sz="12" w:space="0" w:color="auto"/>
              <w:right w:val="single" w:sz="12" w:space="0" w:color="auto"/>
            </w:tcBorders>
            <w:shd w:val="clear" w:color="auto" w:fill="auto"/>
            <w:vAlign w:val="center"/>
          </w:tcPr>
          <w:p w14:paraId="23996DB9" w14:textId="77777777" w:rsidR="001079CA" w:rsidRPr="00D37480" w:rsidRDefault="001079CA" w:rsidP="001079CA">
            <w:pPr>
              <w:pStyle w:val="Quote"/>
              <w:rPr>
                <w:b/>
                <w:bCs/>
              </w:rPr>
            </w:pPr>
            <w:r w:rsidRPr="00D37480">
              <w:rPr>
                <w:b/>
                <w:bCs/>
              </w:rPr>
              <w:t>2018</w:t>
            </w:r>
          </w:p>
        </w:tc>
        <w:tc>
          <w:tcPr>
            <w:tcW w:w="2640" w:type="dxa"/>
            <w:tcBorders>
              <w:left w:val="single" w:sz="12" w:space="0" w:color="auto"/>
            </w:tcBorders>
            <w:vAlign w:val="center"/>
          </w:tcPr>
          <w:p w14:paraId="50131EEF" w14:textId="77777777" w:rsidR="001079CA" w:rsidRPr="00B63010" w:rsidRDefault="001079CA" w:rsidP="001079CA">
            <w:pPr>
              <w:pStyle w:val="Quote"/>
            </w:pPr>
            <w:r w:rsidRPr="00B63010">
              <w:t>2,102</w:t>
            </w:r>
          </w:p>
        </w:tc>
        <w:tc>
          <w:tcPr>
            <w:tcW w:w="2640" w:type="dxa"/>
            <w:vAlign w:val="center"/>
          </w:tcPr>
          <w:p w14:paraId="089690AB" w14:textId="77777777" w:rsidR="001079CA" w:rsidRPr="00B63010" w:rsidRDefault="001079CA" w:rsidP="001079CA">
            <w:pPr>
              <w:pStyle w:val="Quote"/>
            </w:pPr>
            <w:r w:rsidRPr="00B63010">
              <w:t>2,171</w:t>
            </w:r>
          </w:p>
        </w:tc>
        <w:tc>
          <w:tcPr>
            <w:tcW w:w="2640" w:type="dxa"/>
            <w:tcBorders>
              <w:right w:val="single" w:sz="12" w:space="0" w:color="auto"/>
            </w:tcBorders>
            <w:vAlign w:val="center"/>
          </w:tcPr>
          <w:p w14:paraId="13389B6F" w14:textId="77777777" w:rsidR="001079CA" w:rsidRPr="00B63010" w:rsidRDefault="001079CA" w:rsidP="001079CA">
            <w:pPr>
              <w:pStyle w:val="Quote"/>
            </w:pPr>
            <w:r w:rsidRPr="00B63010">
              <w:t>1,919</w:t>
            </w:r>
          </w:p>
        </w:tc>
      </w:tr>
      <w:tr w:rsidR="001079CA" w14:paraId="13EE815B" w14:textId="77777777" w:rsidTr="00291B04">
        <w:trPr>
          <w:jc w:val="center"/>
        </w:trPr>
        <w:tc>
          <w:tcPr>
            <w:tcW w:w="1440" w:type="dxa"/>
            <w:tcBorders>
              <w:left w:val="single" w:sz="12" w:space="0" w:color="auto"/>
              <w:right w:val="single" w:sz="12" w:space="0" w:color="auto"/>
            </w:tcBorders>
            <w:shd w:val="clear" w:color="auto" w:fill="auto"/>
            <w:vAlign w:val="center"/>
          </w:tcPr>
          <w:p w14:paraId="5640DEEB" w14:textId="77777777" w:rsidR="001079CA" w:rsidRPr="00D37480" w:rsidRDefault="001079CA" w:rsidP="001079CA">
            <w:pPr>
              <w:pStyle w:val="Quote"/>
              <w:rPr>
                <w:b/>
                <w:bCs/>
              </w:rPr>
            </w:pPr>
            <w:r w:rsidRPr="00D37480">
              <w:rPr>
                <w:b/>
                <w:bCs/>
              </w:rPr>
              <w:t>2019</w:t>
            </w:r>
          </w:p>
        </w:tc>
        <w:tc>
          <w:tcPr>
            <w:tcW w:w="2640" w:type="dxa"/>
            <w:tcBorders>
              <w:left w:val="single" w:sz="12" w:space="0" w:color="auto"/>
            </w:tcBorders>
            <w:vAlign w:val="center"/>
          </w:tcPr>
          <w:p w14:paraId="11B4CF7D" w14:textId="77777777" w:rsidR="001079CA" w:rsidRPr="00B63010" w:rsidRDefault="001079CA" w:rsidP="001079CA">
            <w:pPr>
              <w:pStyle w:val="Quote"/>
            </w:pPr>
            <w:r w:rsidRPr="00B63010">
              <w:t>2,151</w:t>
            </w:r>
          </w:p>
        </w:tc>
        <w:tc>
          <w:tcPr>
            <w:tcW w:w="2640" w:type="dxa"/>
            <w:vAlign w:val="center"/>
          </w:tcPr>
          <w:p w14:paraId="6088BA63" w14:textId="77777777" w:rsidR="001079CA" w:rsidRPr="00B63010" w:rsidRDefault="001079CA" w:rsidP="001079CA">
            <w:pPr>
              <w:pStyle w:val="Quote"/>
            </w:pPr>
            <w:r w:rsidRPr="00B63010">
              <w:t>2,206</w:t>
            </w:r>
          </w:p>
        </w:tc>
        <w:tc>
          <w:tcPr>
            <w:tcW w:w="2640" w:type="dxa"/>
            <w:tcBorders>
              <w:right w:val="single" w:sz="12" w:space="0" w:color="auto"/>
            </w:tcBorders>
            <w:vAlign w:val="center"/>
          </w:tcPr>
          <w:p w14:paraId="786348D8" w14:textId="77777777" w:rsidR="001079CA" w:rsidRPr="00B63010" w:rsidRDefault="001079CA" w:rsidP="001079CA">
            <w:pPr>
              <w:pStyle w:val="Quote"/>
            </w:pPr>
            <w:r w:rsidRPr="00B63010">
              <w:t>1,923</w:t>
            </w:r>
          </w:p>
        </w:tc>
      </w:tr>
      <w:tr w:rsidR="001079CA" w14:paraId="1CA063E2" w14:textId="77777777" w:rsidTr="00291B04">
        <w:trPr>
          <w:jc w:val="center"/>
        </w:trPr>
        <w:tc>
          <w:tcPr>
            <w:tcW w:w="1440" w:type="dxa"/>
            <w:tcBorders>
              <w:left w:val="single" w:sz="12" w:space="0" w:color="auto"/>
              <w:right w:val="single" w:sz="12" w:space="0" w:color="auto"/>
            </w:tcBorders>
            <w:shd w:val="clear" w:color="auto" w:fill="auto"/>
            <w:vAlign w:val="center"/>
          </w:tcPr>
          <w:p w14:paraId="3FE52F57" w14:textId="77777777" w:rsidR="001079CA" w:rsidRPr="00D37480" w:rsidRDefault="001079CA" w:rsidP="001079CA">
            <w:pPr>
              <w:pStyle w:val="Quote"/>
              <w:rPr>
                <w:b/>
                <w:bCs/>
              </w:rPr>
            </w:pPr>
            <w:r w:rsidRPr="00D37480">
              <w:rPr>
                <w:b/>
                <w:bCs/>
              </w:rPr>
              <w:t>2020</w:t>
            </w:r>
          </w:p>
        </w:tc>
        <w:tc>
          <w:tcPr>
            <w:tcW w:w="2640" w:type="dxa"/>
            <w:tcBorders>
              <w:left w:val="single" w:sz="12" w:space="0" w:color="auto"/>
            </w:tcBorders>
            <w:vAlign w:val="center"/>
          </w:tcPr>
          <w:p w14:paraId="5655E7AF" w14:textId="77777777" w:rsidR="001079CA" w:rsidRPr="00B63010" w:rsidRDefault="001079CA" w:rsidP="001079CA">
            <w:pPr>
              <w:pStyle w:val="Quote"/>
            </w:pPr>
            <w:r w:rsidRPr="00B63010">
              <w:t>2,080</w:t>
            </w:r>
          </w:p>
        </w:tc>
        <w:tc>
          <w:tcPr>
            <w:tcW w:w="2640" w:type="dxa"/>
            <w:vAlign w:val="center"/>
          </w:tcPr>
          <w:p w14:paraId="38A5FE90" w14:textId="77777777" w:rsidR="001079CA" w:rsidRPr="00B63010" w:rsidRDefault="001079CA" w:rsidP="001079CA">
            <w:pPr>
              <w:pStyle w:val="Quote"/>
            </w:pPr>
            <w:r w:rsidRPr="00B63010">
              <w:t>2,132</w:t>
            </w:r>
          </w:p>
        </w:tc>
        <w:tc>
          <w:tcPr>
            <w:tcW w:w="2640" w:type="dxa"/>
            <w:tcBorders>
              <w:right w:val="single" w:sz="12" w:space="0" w:color="auto"/>
            </w:tcBorders>
            <w:vAlign w:val="center"/>
          </w:tcPr>
          <w:p w14:paraId="5323B9EC" w14:textId="77777777" w:rsidR="001079CA" w:rsidRPr="00B63010" w:rsidRDefault="001079CA" w:rsidP="001079CA">
            <w:pPr>
              <w:pStyle w:val="Quote"/>
            </w:pPr>
            <w:r w:rsidRPr="00B63010">
              <w:t>1,383</w:t>
            </w:r>
          </w:p>
        </w:tc>
      </w:tr>
      <w:tr w:rsidR="001079CA" w14:paraId="7E301BF2" w14:textId="77777777" w:rsidTr="00291B04">
        <w:trPr>
          <w:jc w:val="center"/>
        </w:trPr>
        <w:tc>
          <w:tcPr>
            <w:tcW w:w="1440" w:type="dxa"/>
            <w:tcBorders>
              <w:left w:val="single" w:sz="12" w:space="0" w:color="auto"/>
              <w:bottom w:val="single" w:sz="12" w:space="0" w:color="auto"/>
              <w:right w:val="single" w:sz="12" w:space="0" w:color="auto"/>
            </w:tcBorders>
            <w:shd w:val="clear" w:color="auto" w:fill="auto"/>
            <w:vAlign w:val="center"/>
          </w:tcPr>
          <w:p w14:paraId="5024A413" w14:textId="77777777" w:rsidR="001079CA" w:rsidRPr="00D37480" w:rsidRDefault="001079CA" w:rsidP="001079CA">
            <w:pPr>
              <w:pStyle w:val="Quote"/>
              <w:rPr>
                <w:b/>
                <w:bCs/>
              </w:rPr>
            </w:pPr>
            <w:r w:rsidRPr="00D37480">
              <w:rPr>
                <w:b/>
                <w:bCs/>
              </w:rPr>
              <w:t>2021</w:t>
            </w:r>
          </w:p>
        </w:tc>
        <w:tc>
          <w:tcPr>
            <w:tcW w:w="2640" w:type="dxa"/>
            <w:tcBorders>
              <w:left w:val="single" w:sz="12" w:space="0" w:color="auto"/>
              <w:bottom w:val="single" w:sz="12" w:space="0" w:color="auto"/>
            </w:tcBorders>
            <w:vAlign w:val="center"/>
          </w:tcPr>
          <w:p w14:paraId="28B757FA" w14:textId="77777777" w:rsidR="001079CA" w:rsidRPr="00B63010" w:rsidRDefault="001079CA" w:rsidP="001079CA">
            <w:pPr>
              <w:pStyle w:val="Quote"/>
            </w:pPr>
            <w:r w:rsidRPr="00B63010">
              <w:t>2,226</w:t>
            </w:r>
          </w:p>
        </w:tc>
        <w:tc>
          <w:tcPr>
            <w:tcW w:w="2640" w:type="dxa"/>
            <w:tcBorders>
              <w:bottom w:val="single" w:sz="12" w:space="0" w:color="auto"/>
            </w:tcBorders>
            <w:vAlign w:val="center"/>
          </w:tcPr>
          <w:p w14:paraId="1CB6DAF4" w14:textId="77777777" w:rsidR="001079CA" w:rsidRPr="00B63010" w:rsidRDefault="001079CA" w:rsidP="001079CA">
            <w:pPr>
              <w:pStyle w:val="Quote"/>
            </w:pPr>
            <w:r w:rsidRPr="00B63010">
              <w:t>2,290</w:t>
            </w:r>
          </w:p>
        </w:tc>
        <w:tc>
          <w:tcPr>
            <w:tcW w:w="2640" w:type="dxa"/>
            <w:tcBorders>
              <w:bottom w:val="single" w:sz="12" w:space="0" w:color="auto"/>
              <w:right w:val="single" w:sz="12" w:space="0" w:color="auto"/>
            </w:tcBorders>
            <w:vAlign w:val="center"/>
          </w:tcPr>
          <w:p w14:paraId="2DFA80E8" w14:textId="77777777" w:rsidR="001079CA" w:rsidRPr="00B63010" w:rsidRDefault="001079CA" w:rsidP="001079CA">
            <w:pPr>
              <w:pStyle w:val="Quote"/>
            </w:pPr>
            <w:r w:rsidRPr="00B63010">
              <w:t>1,592</w:t>
            </w:r>
          </w:p>
        </w:tc>
      </w:tr>
    </w:tbl>
    <w:p w14:paraId="25D1AF0C" w14:textId="77777777" w:rsidR="001079CA" w:rsidRDefault="001079CA" w:rsidP="00784E2B">
      <w:pPr>
        <w:numPr>
          <w:ilvl w:val="0"/>
          <w:numId w:val="0"/>
        </w:numPr>
        <w:spacing w:after="0" w:line="240" w:lineRule="auto"/>
        <w:ind w:left="360"/>
      </w:pPr>
    </w:p>
    <w:p w14:paraId="2A9EEBEF" w14:textId="6DA67489" w:rsidR="00784E2B" w:rsidRDefault="00784E2B" w:rsidP="00784E2B">
      <w:pPr>
        <w:numPr>
          <w:ilvl w:val="0"/>
          <w:numId w:val="0"/>
        </w:numPr>
        <w:spacing w:after="0" w:line="240" w:lineRule="auto"/>
        <w:ind w:left="360"/>
      </w:pPr>
      <w:r w:rsidRPr="00B0052E">
        <w:t>The Internet Crimes Against Children (ICAC) Task Forces, combining the expertise of federal, state, and local law enforcement in jurisdictions across the country, is a key part of combating child sexual exploitation.  ICAC data, based on activities of the 61 ICAC Task Forces that serve all 50 states, show the following on arrests, plea agreements, and trials, at both the state and federal levels, for all technology-facilitated crimes against children for fiscal years 2016 through 2021.</w:t>
      </w:r>
    </w:p>
    <w:p w14:paraId="2DCDFA61" w14:textId="77777777" w:rsidR="00784E2B" w:rsidRPr="00B0052E" w:rsidRDefault="00784E2B" w:rsidP="00784E2B">
      <w:pPr>
        <w:numPr>
          <w:ilvl w:val="0"/>
          <w:numId w:val="0"/>
        </w:numPr>
        <w:spacing w:after="0" w:line="240" w:lineRule="auto"/>
        <w:ind w:left="360"/>
      </w:pPr>
    </w:p>
    <w:tbl>
      <w:tblPr>
        <w:tblW w:w="86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4"/>
        <w:gridCol w:w="1212"/>
        <w:gridCol w:w="1246"/>
        <w:gridCol w:w="1211"/>
        <w:gridCol w:w="1211"/>
        <w:gridCol w:w="1380"/>
        <w:gridCol w:w="1246"/>
      </w:tblGrid>
      <w:tr w:rsidR="00C538D0" w:rsidRPr="00B0052E" w14:paraId="3C11A7D6" w14:textId="77777777" w:rsidTr="00C538D0">
        <w:trPr>
          <w:trHeight w:val="300"/>
          <w:jc w:val="center"/>
        </w:trPr>
        <w:tc>
          <w:tcPr>
            <w:tcW w:w="1075" w:type="dxa"/>
            <w:shd w:val="clear" w:color="auto" w:fill="auto"/>
            <w:tcMar>
              <w:top w:w="0" w:type="dxa"/>
              <w:left w:w="108" w:type="dxa"/>
              <w:bottom w:w="0" w:type="dxa"/>
              <w:right w:w="108" w:type="dxa"/>
            </w:tcMar>
            <w:vAlign w:val="center"/>
            <w:hideMark/>
          </w:tcPr>
          <w:p w14:paraId="520B2AD0" w14:textId="77777777" w:rsidR="00784E2B" w:rsidRPr="00291B04" w:rsidRDefault="00784E2B" w:rsidP="00442CED">
            <w:pPr>
              <w:numPr>
                <w:ilvl w:val="0"/>
                <w:numId w:val="0"/>
              </w:numPr>
              <w:spacing w:after="0" w:line="240" w:lineRule="auto"/>
              <w:ind w:left="360"/>
            </w:pPr>
          </w:p>
        </w:tc>
        <w:tc>
          <w:tcPr>
            <w:tcW w:w="1225" w:type="dxa"/>
            <w:shd w:val="clear" w:color="auto" w:fill="auto"/>
            <w:tcMar>
              <w:top w:w="0" w:type="dxa"/>
              <w:left w:w="108" w:type="dxa"/>
              <w:bottom w:w="0" w:type="dxa"/>
              <w:right w:w="108" w:type="dxa"/>
            </w:tcMar>
            <w:vAlign w:val="center"/>
            <w:hideMark/>
          </w:tcPr>
          <w:p w14:paraId="117643A9" w14:textId="77777777" w:rsidR="00784E2B" w:rsidRPr="00291B04" w:rsidRDefault="00784E2B" w:rsidP="00442CED">
            <w:pPr>
              <w:numPr>
                <w:ilvl w:val="0"/>
                <w:numId w:val="0"/>
              </w:numPr>
              <w:spacing w:after="0" w:line="240" w:lineRule="auto"/>
              <w:ind w:left="360"/>
              <w:rPr>
                <w:b/>
                <w:bCs/>
              </w:rPr>
            </w:pPr>
            <w:r w:rsidRPr="00291B04">
              <w:rPr>
                <w:b/>
                <w:bCs/>
              </w:rPr>
              <w:t>FY 2016</w:t>
            </w:r>
          </w:p>
        </w:tc>
        <w:tc>
          <w:tcPr>
            <w:tcW w:w="1254" w:type="dxa"/>
            <w:shd w:val="clear" w:color="auto" w:fill="auto"/>
            <w:tcMar>
              <w:top w:w="0" w:type="dxa"/>
              <w:left w:w="108" w:type="dxa"/>
              <w:bottom w:w="0" w:type="dxa"/>
              <w:right w:w="108" w:type="dxa"/>
            </w:tcMar>
            <w:vAlign w:val="center"/>
            <w:hideMark/>
          </w:tcPr>
          <w:p w14:paraId="010E528F" w14:textId="77777777" w:rsidR="00784E2B" w:rsidRPr="00291B04" w:rsidRDefault="00784E2B" w:rsidP="00442CED">
            <w:pPr>
              <w:numPr>
                <w:ilvl w:val="0"/>
                <w:numId w:val="0"/>
              </w:numPr>
              <w:spacing w:after="0" w:line="240" w:lineRule="auto"/>
              <w:ind w:left="360"/>
              <w:rPr>
                <w:b/>
                <w:bCs/>
              </w:rPr>
            </w:pPr>
            <w:r w:rsidRPr="00291B04">
              <w:rPr>
                <w:b/>
                <w:bCs/>
              </w:rPr>
              <w:t>FY 2017</w:t>
            </w:r>
          </w:p>
        </w:tc>
        <w:tc>
          <w:tcPr>
            <w:tcW w:w="1224" w:type="dxa"/>
            <w:shd w:val="clear" w:color="auto" w:fill="auto"/>
            <w:tcMar>
              <w:top w:w="0" w:type="dxa"/>
              <w:left w:w="108" w:type="dxa"/>
              <w:bottom w:w="0" w:type="dxa"/>
              <w:right w:w="108" w:type="dxa"/>
            </w:tcMar>
            <w:vAlign w:val="center"/>
            <w:hideMark/>
          </w:tcPr>
          <w:p w14:paraId="1D81F937" w14:textId="77777777" w:rsidR="00784E2B" w:rsidRPr="00291B04" w:rsidRDefault="00784E2B" w:rsidP="00442CED">
            <w:pPr>
              <w:numPr>
                <w:ilvl w:val="0"/>
                <w:numId w:val="0"/>
              </w:numPr>
              <w:spacing w:after="0" w:line="240" w:lineRule="auto"/>
              <w:ind w:left="360"/>
              <w:rPr>
                <w:b/>
                <w:bCs/>
              </w:rPr>
            </w:pPr>
            <w:r w:rsidRPr="00291B04">
              <w:rPr>
                <w:b/>
                <w:bCs/>
              </w:rPr>
              <w:t>FY 2018</w:t>
            </w:r>
          </w:p>
        </w:tc>
        <w:tc>
          <w:tcPr>
            <w:tcW w:w="1224" w:type="dxa"/>
            <w:shd w:val="clear" w:color="auto" w:fill="auto"/>
            <w:tcMar>
              <w:top w:w="0" w:type="dxa"/>
              <w:left w:w="108" w:type="dxa"/>
              <w:bottom w:w="0" w:type="dxa"/>
              <w:right w:w="108" w:type="dxa"/>
            </w:tcMar>
            <w:vAlign w:val="center"/>
            <w:hideMark/>
          </w:tcPr>
          <w:p w14:paraId="1E426E7A" w14:textId="77777777" w:rsidR="00784E2B" w:rsidRPr="00291B04" w:rsidRDefault="00784E2B" w:rsidP="00442CED">
            <w:pPr>
              <w:numPr>
                <w:ilvl w:val="0"/>
                <w:numId w:val="0"/>
              </w:numPr>
              <w:spacing w:after="0" w:line="240" w:lineRule="auto"/>
              <w:ind w:left="360"/>
              <w:rPr>
                <w:b/>
                <w:bCs/>
              </w:rPr>
            </w:pPr>
            <w:r w:rsidRPr="00291B04">
              <w:rPr>
                <w:b/>
                <w:bCs/>
              </w:rPr>
              <w:t>FY 2019</w:t>
            </w:r>
          </w:p>
        </w:tc>
        <w:tc>
          <w:tcPr>
            <w:tcW w:w="1404" w:type="dxa"/>
            <w:shd w:val="clear" w:color="auto" w:fill="auto"/>
            <w:tcMar>
              <w:top w:w="0" w:type="dxa"/>
              <w:left w:w="108" w:type="dxa"/>
              <w:bottom w:w="0" w:type="dxa"/>
              <w:right w:w="108" w:type="dxa"/>
            </w:tcMar>
            <w:vAlign w:val="center"/>
            <w:hideMark/>
          </w:tcPr>
          <w:p w14:paraId="759505D6" w14:textId="77777777" w:rsidR="00784E2B" w:rsidRPr="00291B04" w:rsidRDefault="00784E2B" w:rsidP="00442CED">
            <w:pPr>
              <w:numPr>
                <w:ilvl w:val="0"/>
                <w:numId w:val="0"/>
              </w:numPr>
              <w:spacing w:after="0" w:line="240" w:lineRule="auto"/>
              <w:ind w:left="360"/>
              <w:rPr>
                <w:b/>
                <w:bCs/>
              </w:rPr>
            </w:pPr>
            <w:r w:rsidRPr="00291B04">
              <w:rPr>
                <w:b/>
                <w:bCs/>
              </w:rPr>
              <w:t>FY 2020</w:t>
            </w:r>
          </w:p>
        </w:tc>
        <w:tc>
          <w:tcPr>
            <w:tcW w:w="1254" w:type="dxa"/>
            <w:shd w:val="clear" w:color="auto" w:fill="auto"/>
            <w:tcMar>
              <w:top w:w="0" w:type="dxa"/>
              <w:left w:w="108" w:type="dxa"/>
              <w:bottom w:w="0" w:type="dxa"/>
              <w:right w:w="108" w:type="dxa"/>
            </w:tcMar>
            <w:vAlign w:val="center"/>
            <w:hideMark/>
          </w:tcPr>
          <w:p w14:paraId="710DDE2F" w14:textId="77777777" w:rsidR="00784E2B" w:rsidRPr="00291B04" w:rsidRDefault="00784E2B" w:rsidP="00442CED">
            <w:pPr>
              <w:numPr>
                <w:ilvl w:val="0"/>
                <w:numId w:val="0"/>
              </w:numPr>
              <w:spacing w:after="0" w:line="240" w:lineRule="auto"/>
              <w:ind w:left="360"/>
              <w:rPr>
                <w:b/>
                <w:bCs/>
              </w:rPr>
            </w:pPr>
            <w:r w:rsidRPr="00291B04">
              <w:rPr>
                <w:b/>
                <w:bCs/>
              </w:rPr>
              <w:t>FY 2021</w:t>
            </w:r>
          </w:p>
        </w:tc>
      </w:tr>
      <w:tr w:rsidR="00291B04" w:rsidRPr="00B0052E" w14:paraId="0DF267A1" w14:textId="77777777" w:rsidTr="00C538D0">
        <w:trPr>
          <w:trHeight w:val="300"/>
          <w:jc w:val="center"/>
        </w:trPr>
        <w:tc>
          <w:tcPr>
            <w:tcW w:w="1075" w:type="dxa"/>
            <w:shd w:val="clear" w:color="auto" w:fill="auto"/>
            <w:tcMar>
              <w:top w:w="0" w:type="dxa"/>
              <w:left w:w="108" w:type="dxa"/>
              <w:bottom w:w="0" w:type="dxa"/>
              <w:right w:w="108" w:type="dxa"/>
            </w:tcMar>
            <w:vAlign w:val="center"/>
            <w:hideMark/>
          </w:tcPr>
          <w:p w14:paraId="0C6092D7" w14:textId="77777777" w:rsidR="00784E2B" w:rsidRPr="00291B04" w:rsidRDefault="00784E2B" w:rsidP="00442CED">
            <w:pPr>
              <w:numPr>
                <w:ilvl w:val="0"/>
                <w:numId w:val="0"/>
              </w:numPr>
              <w:spacing w:after="0" w:line="240" w:lineRule="auto"/>
              <w:ind w:left="360"/>
            </w:pPr>
            <w:r w:rsidRPr="00291B04">
              <w:t>Arrests</w:t>
            </w:r>
          </w:p>
        </w:tc>
        <w:tc>
          <w:tcPr>
            <w:tcW w:w="1225" w:type="dxa"/>
            <w:tcMar>
              <w:top w:w="0" w:type="dxa"/>
              <w:left w:w="108" w:type="dxa"/>
              <w:bottom w:w="0" w:type="dxa"/>
              <w:right w:w="108" w:type="dxa"/>
            </w:tcMar>
            <w:vAlign w:val="center"/>
            <w:hideMark/>
          </w:tcPr>
          <w:p w14:paraId="6FEDEA44" w14:textId="77777777" w:rsidR="00784E2B" w:rsidRPr="00B0052E" w:rsidRDefault="00784E2B" w:rsidP="00442CED">
            <w:pPr>
              <w:numPr>
                <w:ilvl w:val="0"/>
                <w:numId w:val="0"/>
              </w:numPr>
              <w:spacing w:after="0" w:line="240" w:lineRule="auto"/>
              <w:ind w:left="360"/>
            </w:pPr>
            <w:r w:rsidRPr="00B0052E">
              <w:t>9,379</w:t>
            </w:r>
          </w:p>
        </w:tc>
        <w:tc>
          <w:tcPr>
            <w:tcW w:w="1254" w:type="dxa"/>
            <w:tcMar>
              <w:top w:w="0" w:type="dxa"/>
              <w:left w:w="108" w:type="dxa"/>
              <w:bottom w:w="0" w:type="dxa"/>
              <w:right w:w="108" w:type="dxa"/>
            </w:tcMar>
            <w:vAlign w:val="center"/>
            <w:hideMark/>
          </w:tcPr>
          <w:p w14:paraId="15411A55" w14:textId="77777777" w:rsidR="00784E2B" w:rsidRPr="00B0052E" w:rsidRDefault="00784E2B" w:rsidP="00442CED">
            <w:pPr>
              <w:numPr>
                <w:ilvl w:val="0"/>
                <w:numId w:val="0"/>
              </w:numPr>
              <w:spacing w:after="0" w:line="240" w:lineRule="auto"/>
              <w:ind w:left="360"/>
            </w:pPr>
            <w:r w:rsidRPr="00B0052E">
              <w:t>10,401</w:t>
            </w:r>
          </w:p>
        </w:tc>
        <w:tc>
          <w:tcPr>
            <w:tcW w:w="1224" w:type="dxa"/>
            <w:tcMar>
              <w:top w:w="0" w:type="dxa"/>
              <w:left w:w="108" w:type="dxa"/>
              <w:bottom w:w="0" w:type="dxa"/>
              <w:right w:w="108" w:type="dxa"/>
            </w:tcMar>
            <w:vAlign w:val="center"/>
            <w:hideMark/>
          </w:tcPr>
          <w:p w14:paraId="7D9BEA72" w14:textId="77777777" w:rsidR="00784E2B" w:rsidRPr="00B0052E" w:rsidRDefault="00784E2B" w:rsidP="00442CED">
            <w:pPr>
              <w:numPr>
                <w:ilvl w:val="0"/>
                <w:numId w:val="0"/>
              </w:numPr>
              <w:spacing w:after="0" w:line="240" w:lineRule="auto"/>
              <w:ind w:left="360"/>
            </w:pPr>
            <w:r w:rsidRPr="00B0052E">
              <w:t>9,153</w:t>
            </w:r>
          </w:p>
        </w:tc>
        <w:tc>
          <w:tcPr>
            <w:tcW w:w="1224" w:type="dxa"/>
            <w:tcMar>
              <w:top w:w="0" w:type="dxa"/>
              <w:left w:w="108" w:type="dxa"/>
              <w:bottom w:w="0" w:type="dxa"/>
              <w:right w:w="108" w:type="dxa"/>
            </w:tcMar>
            <w:vAlign w:val="center"/>
            <w:hideMark/>
          </w:tcPr>
          <w:p w14:paraId="617E00C3" w14:textId="77777777" w:rsidR="00784E2B" w:rsidRPr="00B0052E" w:rsidRDefault="00784E2B" w:rsidP="00442CED">
            <w:pPr>
              <w:numPr>
                <w:ilvl w:val="0"/>
                <w:numId w:val="0"/>
              </w:numPr>
              <w:spacing w:after="0" w:line="240" w:lineRule="auto"/>
              <w:ind w:left="360"/>
            </w:pPr>
            <w:r w:rsidRPr="00B0052E">
              <w:t>9,625</w:t>
            </w:r>
          </w:p>
        </w:tc>
        <w:tc>
          <w:tcPr>
            <w:tcW w:w="1404" w:type="dxa"/>
            <w:tcMar>
              <w:top w:w="0" w:type="dxa"/>
              <w:left w:w="108" w:type="dxa"/>
              <w:bottom w:w="0" w:type="dxa"/>
              <w:right w:w="108" w:type="dxa"/>
            </w:tcMar>
            <w:vAlign w:val="center"/>
            <w:hideMark/>
          </w:tcPr>
          <w:p w14:paraId="39F021AA" w14:textId="77777777" w:rsidR="00784E2B" w:rsidRPr="00B0052E" w:rsidRDefault="00784E2B" w:rsidP="00442CED">
            <w:pPr>
              <w:numPr>
                <w:ilvl w:val="0"/>
                <w:numId w:val="0"/>
              </w:numPr>
              <w:spacing w:after="0" w:line="240" w:lineRule="auto"/>
              <w:ind w:left="360"/>
            </w:pPr>
            <w:r w:rsidRPr="00B0052E">
              <w:t>9,207</w:t>
            </w:r>
          </w:p>
        </w:tc>
        <w:tc>
          <w:tcPr>
            <w:tcW w:w="1254" w:type="dxa"/>
            <w:tcMar>
              <w:top w:w="0" w:type="dxa"/>
              <w:left w:w="108" w:type="dxa"/>
              <w:bottom w:w="0" w:type="dxa"/>
              <w:right w:w="108" w:type="dxa"/>
            </w:tcMar>
            <w:vAlign w:val="center"/>
            <w:hideMark/>
          </w:tcPr>
          <w:p w14:paraId="4C485504" w14:textId="77777777" w:rsidR="00784E2B" w:rsidRPr="00B0052E" w:rsidRDefault="00784E2B" w:rsidP="00442CED">
            <w:pPr>
              <w:numPr>
                <w:ilvl w:val="0"/>
                <w:numId w:val="0"/>
              </w:numPr>
              <w:spacing w:after="0" w:line="240" w:lineRule="auto"/>
              <w:ind w:left="360"/>
            </w:pPr>
            <w:r w:rsidRPr="00B0052E">
              <w:t>10,333</w:t>
            </w:r>
          </w:p>
        </w:tc>
      </w:tr>
      <w:tr w:rsidR="00291B04" w:rsidRPr="00B0052E" w14:paraId="1B43A76F" w14:textId="77777777" w:rsidTr="00C538D0">
        <w:trPr>
          <w:trHeight w:val="300"/>
          <w:jc w:val="center"/>
        </w:trPr>
        <w:tc>
          <w:tcPr>
            <w:tcW w:w="1075" w:type="dxa"/>
            <w:shd w:val="clear" w:color="auto" w:fill="auto"/>
            <w:tcMar>
              <w:top w:w="0" w:type="dxa"/>
              <w:left w:w="108" w:type="dxa"/>
              <w:bottom w:w="0" w:type="dxa"/>
              <w:right w:w="108" w:type="dxa"/>
            </w:tcMar>
            <w:vAlign w:val="center"/>
            <w:hideMark/>
          </w:tcPr>
          <w:p w14:paraId="277E318E" w14:textId="77777777" w:rsidR="00784E2B" w:rsidRPr="00291B04" w:rsidRDefault="00784E2B" w:rsidP="00442CED">
            <w:pPr>
              <w:numPr>
                <w:ilvl w:val="0"/>
                <w:numId w:val="0"/>
              </w:numPr>
              <w:spacing w:after="0" w:line="240" w:lineRule="auto"/>
              <w:ind w:left="360"/>
            </w:pPr>
            <w:r w:rsidRPr="00291B04">
              <w:t>Pleas</w:t>
            </w:r>
          </w:p>
        </w:tc>
        <w:tc>
          <w:tcPr>
            <w:tcW w:w="1225" w:type="dxa"/>
            <w:tcMar>
              <w:top w:w="0" w:type="dxa"/>
              <w:left w:w="108" w:type="dxa"/>
              <w:bottom w:w="0" w:type="dxa"/>
              <w:right w:w="108" w:type="dxa"/>
            </w:tcMar>
            <w:vAlign w:val="center"/>
            <w:hideMark/>
          </w:tcPr>
          <w:p w14:paraId="2F3FD28E" w14:textId="77777777" w:rsidR="00784E2B" w:rsidRPr="00B0052E" w:rsidRDefault="00784E2B" w:rsidP="00442CED">
            <w:pPr>
              <w:numPr>
                <w:ilvl w:val="0"/>
                <w:numId w:val="0"/>
              </w:numPr>
              <w:spacing w:after="0" w:line="240" w:lineRule="auto"/>
              <w:ind w:left="360"/>
            </w:pPr>
            <w:r w:rsidRPr="00B0052E">
              <w:t>2,450</w:t>
            </w:r>
          </w:p>
        </w:tc>
        <w:tc>
          <w:tcPr>
            <w:tcW w:w="1254" w:type="dxa"/>
            <w:tcMar>
              <w:top w:w="0" w:type="dxa"/>
              <w:left w:w="108" w:type="dxa"/>
              <w:bottom w:w="0" w:type="dxa"/>
              <w:right w:w="108" w:type="dxa"/>
            </w:tcMar>
            <w:vAlign w:val="center"/>
            <w:hideMark/>
          </w:tcPr>
          <w:p w14:paraId="3E7D4D61" w14:textId="77777777" w:rsidR="00784E2B" w:rsidRPr="00B0052E" w:rsidRDefault="00784E2B" w:rsidP="00442CED">
            <w:pPr>
              <w:numPr>
                <w:ilvl w:val="0"/>
                <w:numId w:val="0"/>
              </w:numPr>
              <w:spacing w:after="0" w:line="240" w:lineRule="auto"/>
              <w:ind w:left="360"/>
            </w:pPr>
            <w:r w:rsidRPr="00B0052E">
              <w:t>3,314</w:t>
            </w:r>
          </w:p>
        </w:tc>
        <w:tc>
          <w:tcPr>
            <w:tcW w:w="1224" w:type="dxa"/>
            <w:tcMar>
              <w:top w:w="0" w:type="dxa"/>
              <w:left w:w="108" w:type="dxa"/>
              <w:bottom w:w="0" w:type="dxa"/>
              <w:right w:w="108" w:type="dxa"/>
            </w:tcMar>
            <w:vAlign w:val="center"/>
            <w:hideMark/>
          </w:tcPr>
          <w:p w14:paraId="680E5A21" w14:textId="77777777" w:rsidR="00784E2B" w:rsidRPr="00B0052E" w:rsidRDefault="00784E2B" w:rsidP="00442CED">
            <w:pPr>
              <w:numPr>
                <w:ilvl w:val="0"/>
                <w:numId w:val="0"/>
              </w:numPr>
              <w:spacing w:after="0" w:line="240" w:lineRule="auto"/>
              <w:ind w:left="360"/>
            </w:pPr>
            <w:r w:rsidRPr="00B0052E">
              <w:t>2,948</w:t>
            </w:r>
          </w:p>
        </w:tc>
        <w:tc>
          <w:tcPr>
            <w:tcW w:w="1224" w:type="dxa"/>
            <w:tcMar>
              <w:top w:w="0" w:type="dxa"/>
              <w:left w:w="108" w:type="dxa"/>
              <w:bottom w:w="0" w:type="dxa"/>
              <w:right w:w="108" w:type="dxa"/>
            </w:tcMar>
            <w:vAlign w:val="center"/>
            <w:hideMark/>
          </w:tcPr>
          <w:p w14:paraId="09A4804E" w14:textId="77777777" w:rsidR="00784E2B" w:rsidRPr="00B0052E" w:rsidRDefault="00784E2B" w:rsidP="00442CED">
            <w:pPr>
              <w:numPr>
                <w:ilvl w:val="0"/>
                <w:numId w:val="0"/>
              </w:numPr>
              <w:spacing w:after="0" w:line="240" w:lineRule="auto"/>
              <w:ind w:left="360"/>
            </w:pPr>
            <w:r w:rsidRPr="00B0052E">
              <w:t>2,539</w:t>
            </w:r>
          </w:p>
        </w:tc>
        <w:tc>
          <w:tcPr>
            <w:tcW w:w="1404" w:type="dxa"/>
            <w:tcMar>
              <w:top w:w="0" w:type="dxa"/>
              <w:left w:w="108" w:type="dxa"/>
              <w:bottom w:w="0" w:type="dxa"/>
              <w:right w:w="108" w:type="dxa"/>
            </w:tcMar>
            <w:vAlign w:val="center"/>
            <w:hideMark/>
          </w:tcPr>
          <w:p w14:paraId="06DADB6C" w14:textId="77777777" w:rsidR="00784E2B" w:rsidRPr="00B0052E" w:rsidRDefault="00784E2B" w:rsidP="00442CED">
            <w:pPr>
              <w:numPr>
                <w:ilvl w:val="0"/>
                <w:numId w:val="0"/>
              </w:numPr>
              <w:spacing w:after="0" w:line="240" w:lineRule="auto"/>
              <w:ind w:left="360"/>
            </w:pPr>
            <w:r w:rsidRPr="00B0052E">
              <w:t>2,235</w:t>
            </w:r>
          </w:p>
        </w:tc>
        <w:tc>
          <w:tcPr>
            <w:tcW w:w="1254" w:type="dxa"/>
            <w:tcMar>
              <w:top w:w="0" w:type="dxa"/>
              <w:left w:w="108" w:type="dxa"/>
              <w:bottom w:w="0" w:type="dxa"/>
              <w:right w:w="108" w:type="dxa"/>
            </w:tcMar>
            <w:vAlign w:val="center"/>
            <w:hideMark/>
          </w:tcPr>
          <w:p w14:paraId="152082B9" w14:textId="77777777" w:rsidR="00784E2B" w:rsidRPr="00B0052E" w:rsidRDefault="00784E2B" w:rsidP="00442CED">
            <w:pPr>
              <w:numPr>
                <w:ilvl w:val="0"/>
                <w:numId w:val="0"/>
              </w:numPr>
              <w:spacing w:after="0" w:line="240" w:lineRule="auto"/>
              <w:ind w:left="360"/>
            </w:pPr>
            <w:r w:rsidRPr="00B0052E">
              <w:t>2,354</w:t>
            </w:r>
          </w:p>
        </w:tc>
      </w:tr>
      <w:tr w:rsidR="00291B04" w:rsidRPr="00B0052E" w14:paraId="3144F48E" w14:textId="77777777" w:rsidTr="00C538D0">
        <w:trPr>
          <w:trHeight w:val="315"/>
          <w:jc w:val="center"/>
        </w:trPr>
        <w:tc>
          <w:tcPr>
            <w:tcW w:w="1075" w:type="dxa"/>
            <w:shd w:val="clear" w:color="auto" w:fill="auto"/>
            <w:tcMar>
              <w:top w:w="0" w:type="dxa"/>
              <w:left w:w="108" w:type="dxa"/>
              <w:bottom w:w="0" w:type="dxa"/>
              <w:right w:w="108" w:type="dxa"/>
            </w:tcMar>
            <w:vAlign w:val="center"/>
            <w:hideMark/>
          </w:tcPr>
          <w:p w14:paraId="0D7B17F5" w14:textId="77777777" w:rsidR="00784E2B" w:rsidRPr="00291B04" w:rsidRDefault="00784E2B" w:rsidP="00442CED">
            <w:pPr>
              <w:numPr>
                <w:ilvl w:val="0"/>
                <w:numId w:val="0"/>
              </w:numPr>
              <w:spacing w:after="0" w:line="240" w:lineRule="auto"/>
              <w:ind w:left="360"/>
            </w:pPr>
            <w:r w:rsidRPr="00291B04">
              <w:t>Trials</w:t>
            </w:r>
          </w:p>
        </w:tc>
        <w:tc>
          <w:tcPr>
            <w:tcW w:w="1225" w:type="dxa"/>
            <w:tcMar>
              <w:top w:w="0" w:type="dxa"/>
              <w:left w:w="108" w:type="dxa"/>
              <w:bottom w:w="0" w:type="dxa"/>
              <w:right w:w="108" w:type="dxa"/>
            </w:tcMar>
            <w:vAlign w:val="center"/>
            <w:hideMark/>
          </w:tcPr>
          <w:p w14:paraId="4652C22F" w14:textId="77777777" w:rsidR="00784E2B" w:rsidRPr="00B0052E" w:rsidRDefault="00784E2B" w:rsidP="00442CED">
            <w:pPr>
              <w:numPr>
                <w:ilvl w:val="0"/>
                <w:numId w:val="0"/>
              </w:numPr>
              <w:spacing w:after="0" w:line="240" w:lineRule="auto"/>
              <w:ind w:left="360"/>
            </w:pPr>
            <w:r w:rsidRPr="00B0052E">
              <w:t>851</w:t>
            </w:r>
          </w:p>
        </w:tc>
        <w:tc>
          <w:tcPr>
            <w:tcW w:w="1254" w:type="dxa"/>
            <w:tcMar>
              <w:top w:w="0" w:type="dxa"/>
              <w:left w:w="108" w:type="dxa"/>
              <w:bottom w:w="0" w:type="dxa"/>
              <w:right w:w="108" w:type="dxa"/>
            </w:tcMar>
            <w:vAlign w:val="center"/>
            <w:hideMark/>
          </w:tcPr>
          <w:p w14:paraId="6FF0570B" w14:textId="77777777" w:rsidR="00784E2B" w:rsidRPr="00B0052E" w:rsidRDefault="00784E2B" w:rsidP="00442CED">
            <w:pPr>
              <w:numPr>
                <w:ilvl w:val="0"/>
                <w:numId w:val="0"/>
              </w:numPr>
              <w:spacing w:after="0" w:line="240" w:lineRule="auto"/>
              <w:ind w:left="360"/>
            </w:pPr>
            <w:r w:rsidRPr="00B0052E">
              <w:t>722</w:t>
            </w:r>
          </w:p>
        </w:tc>
        <w:tc>
          <w:tcPr>
            <w:tcW w:w="1224" w:type="dxa"/>
            <w:tcMar>
              <w:top w:w="0" w:type="dxa"/>
              <w:left w:w="108" w:type="dxa"/>
              <w:bottom w:w="0" w:type="dxa"/>
              <w:right w:w="108" w:type="dxa"/>
            </w:tcMar>
            <w:vAlign w:val="center"/>
            <w:hideMark/>
          </w:tcPr>
          <w:p w14:paraId="72483642" w14:textId="77777777" w:rsidR="00784E2B" w:rsidRPr="00B0052E" w:rsidRDefault="00784E2B" w:rsidP="00442CED">
            <w:pPr>
              <w:numPr>
                <w:ilvl w:val="0"/>
                <w:numId w:val="0"/>
              </w:numPr>
              <w:spacing w:after="0" w:line="240" w:lineRule="auto"/>
              <w:ind w:left="360"/>
            </w:pPr>
            <w:r w:rsidRPr="00B0052E">
              <w:t>653</w:t>
            </w:r>
          </w:p>
        </w:tc>
        <w:tc>
          <w:tcPr>
            <w:tcW w:w="1224" w:type="dxa"/>
            <w:tcMar>
              <w:top w:w="0" w:type="dxa"/>
              <w:left w:w="108" w:type="dxa"/>
              <w:bottom w:w="0" w:type="dxa"/>
              <w:right w:w="108" w:type="dxa"/>
            </w:tcMar>
            <w:vAlign w:val="center"/>
            <w:hideMark/>
          </w:tcPr>
          <w:p w14:paraId="57566628" w14:textId="77777777" w:rsidR="00784E2B" w:rsidRPr="00B0052E" w:rsidRDefault="00784E2B" w:rsidP="00442CED">
            <w:pPr>
              <w:numPr>
                <w:ilvl w:val="0"/>
                <w:numId w:val="0"/>
              </w:numPr>
              <w:spacing w:after="0" w:line="240" w:lineRule="auto"/>
              <w:ind w:left="360"/>
            </w:pPr>
            <w:r w:rsidRPr="00B0052E">
              <w:t>625</w:t>
            </w:r>
          </w:p>
        </w:tc>
        <w:tc>
          <w:tcPr>
            <w:tcW w:w="1404" w:type="dxa"/>
            <w:tcMar>
              <w:top w:w="0" w:type="dxa"/>
              <w:left w:w="108" w:type="dxa"/>
              <w:bottom w:w="0" w:type="dxa"/>
              <w:right w:w="108" w:type="dxa"/>
            </w:tcMar>
            <w:vAlign w:val="center"/>
            <w:hideMark/>
          </w:tcPr>
          <w:p w14:paraId="2899E0D4" w14:textId="77777777" w:rsidR="00784E2B" w:rsidRPr="00B0052E" w:rsidRDefault="00784E2B" w:rsidP="00442CED">
            <w:pPr>
              <w:numPr>
                <w:ilvl w:val="0"/>
                <w:numId w:val="0"/>
              </w:numPr>
              <w:spacing w:after="0" w:line="240" w:lineRule="auto"/>
              <w:ind w:left="360"/>
            </w:pPr>
            <w:r w:rsidRPr="00B0052E">
              <w:t>418</w:t>
            </w:r>
          </w:p>
        </w:tc>
        <w:tc>
          <w:tcPr>
            <w:tcW w:w="1254" w:type="dxa"/>
            <w:tcMar>
              <w:top w:w="0" w:type="dxa"/>
              <w:left w:w="108" w:type="dxa"/>
              <w:bottom w:w="0" w:type="dxa"/>
              <w:right w:w="108" w:type="dxa"/>
            </w:tcMar>
            <w:vAlign w:val="center"/>
            <w:hideMark/>
          </w:tcPr>
          <w:p w14:paraId="3252E5C1" w14:textId="77777777" w:rsidR="00784E2B" w:rsidRPr="00B0052E" w:rsidRDefault="00784E2B" w:rsidP="00442CED">
            <w:pPr>
              <w:numPr>
                <w:ilvl w:val="0"/>
                <w:numId w:val="0"/>
              </w:numPr>
              <w:spacing w:after="0" w:line="240" w:lineRule="auto"/>
              <w:ind w:left="360"/>
            </w:pPr>
            <w:r w:rsidRPr="00B0052E">
              <w:t>441</w:t>
            </w:r>
          </w:p>
        </w:tc>
      </w:tr>
    </w:tbl>
    <w:p w14:paraId="3D66C474" w14:textId="77777777" w:rsidR="00784E2B" w:rsidRPr="00B0052E" w:rsidRDefault="00784E2B" w:rsidP="00784E2B">
      <w:pPr>
        <w:numPr>
          <w:ilvl w:val="0"/>
          <w:numId w:val="0"/>
        </w:numPr>
        <w:spacing w:after="0" w:line="240" w:lineRule="auto"/>
        <w:ind w:left="360"/>
      </w:pPr>
    </w:p>
    <w:p w14:paraId="0ECB5830" w14:textId="090F4FC0" w:rsidR="002D5E83" w:rsidRDefault="002D5E83">
      <w:pPr>
        <w:numPr>
          <w:ilvl w:val="0"/>
          <w:numId w:val="0"/>
        </w:numPr>
        <w:shd w:val="clear" w:color="auto" w:fill="auto"/>
        <w:spacing w:after="0" w:line="240" w:lineRule="auto"/>
      </w:pPr>
      <w:r>
        <w:br w:type="page"/>
      </w:r>
    </w:p>
    <w:p w14:paraId="3534E320" w14:textId="79301BEF" w:rsidR="00FE78F1" w:rsidRPr="001B4EAA" w:rsidRDefault="00335E97" w:rsidP="001B4EAA">
      <w:pPr>
        <w:pStyle w:val="Heading1"/>
      </w:pPr>
      <w:bookmarkStart w:id="16" w:name="_Ref93581591"/>
      <w:bookmarkStart w:id="17" w:name="_Toc93588723"/>
      <w:r w:rsidRPr="005F7B74">
        <w:t>:</w:t>
      </w:r>
      <w:r w:rsidRPr="001B4EAA">
        <w:t xml:space="preserve"> </w:t>
      </w:r>
      <w:r w:rsidR="00005B5D" w:rsidRPr="001B4EAA">
        <w:t>Eligibility Letters for Children and Certification Letters for Adults; Continued Presence; Applications for T Nonimmigrant Status and Petitions for U Nonimmigrant Status</w:t>
      </w:r>
      <w:bookmarkEnd w:id="16"/>
      <w:bookmarkEnd w:id="17"/>
    </w:p>
    <w:p w14:paraId="6A386153" w14:textId="00D0DF18" w:rsidR="003B33F2" w:rsidRDefault="00395332" w:rsidP="003B33F2">
      <w:pPr>
        <w:numPr>
          <w:ilvl w:val="0"/>
          <w:numId w:val="0"/>
        </w:numPr>
        <w:spacing w:line="240" w:lineRule="auto"/>
        <w:ind w:left="360"/>
        <w:jc w:val="center"/>
        <w:rPr>
          <w:b/>
          <w:sz w:val="24"/>
          <w:szCs w:val="24"/>
        </w:rPr>
      </w:pPr>
      <w:r>
        <w:rPr>
          <w:b/>
          <w:sz w:val="24"/>
          <w:szCs w:val="24"/>
        </w:rPr>
        <w:t>Table</w:t>
      </w:r>
      <w:r w:rsidR="003B33F2">
        <w:rPr>
          <w:b/>
          <w:sz w:val="24"/>
          <w:szCs w:val="24"/>
        </w:rPr>
        <w:t xml:space="preserve"> A:  Eligibility Letters </w:t>
      </w:r>
      <w:r w:rsidR="003C3655">
        <w:rPr>
          <w:b/>
          <w:sz w:val="24"/>
          <w:szCs w:val="24"/>
        </w:rPr>
        <w:t>f</w:t>
      </w:r>
      <w:r w:rsidR="003B33F2">
        <w:rPr>
          <w:b/>
          <w:sz w:val="24"/>
          <w:szCs w:val="24"/>
        </w:rPr>
        <w:t xml:space="preserve">or Children </w:t>
      </w:r>
      <w:r w:rsidR="003B33F2">
        <w:rPr>
          <w:b/>
          <w:sz w:val="24"/>
          <w:szCs w:val="24"/>
        </w:rPr>
        <w:br/>
      </w:r>
      <w:r w:rsidR="004A3743">
        <w:rPr>
          <w:b/>
          <w:sz w:val="24"/>
          <w:szCs w:val="24"/>
        </w:rPr>
        <w:t>and</w:t>
      </w:r>
      <w:r w:rsidR="003B33F2">
        <w:rPr>
          <w:b/>
          <w:sz w:val="24"/>
          <w:szCs w:val="24"/>
        </w:rPr>
        <w:t xml:space="preserve"> C</w:t>
      </w:r>
      <w:r w:rsidR="0055101F">
        <w:rPr>
          <w:b/>
          <w:sz w:val="24"/>
          <w:szCs w:val="24"/>
        </w:rPr>
        <w:t>ertification</w:t>
      </w:r>
      <w:r w:rsidR="003B33F2">
        <w:rPr>
          <w:b/>
          <w:sz w:val="24"/>
          <w:szCs w:val="24"/>
        </w:rPr>
        <w:t xml:space="preserve"> L</w:t>
      </w:r>
      <w:r w:rsidR="00BF4176">
        <w:rPr>
          <w:b/>
          <w:sz w:val="24"/>
          <w:szCs w:val="24"/>
        </w:rPr>
        <w:t>etters</w:t>
      </w:r>
      <w:r w:rsidR="003B33F2">
        <w:rPr>
          <w:b/>
          <w:sz w:val="24"/>
          <w:szCs w:val="24"/>
        </w:rPr>
        <w:t xml:space="preserve"> </w:t>
      </w:r>
      <w:r w:rsidR="00BF4176">
        <w:rPr>
          <w:b/>
          <w:sz w:val="24"/>
          <w:szCs w:val="24"/>
        </w:rPr>
        <w:t>for</w:t>
      </w:r>
      <w:r w:rsidR="003B33F2">
        <w:rPr>
          <w:b/>
          <w:sz w:val="24"/>
          <w:szCs w:val="24"/>
        </w:rPr>
        <w:t xml:space="preserve"> A</w:t>
      </w:r>
      <w:r w:rsidR="00BF4176">
        <w:rPr>
          <w:b/>
          <w:sz w:val="24"/>
          <w:szCs w:val="24"/>
        </w:rPr>
        <w:t>dults</w:t>
      </w:r>
    </w:p>
    <w:p w14:paraId="0FFA8EB6" w14:textId="77777777" w:rsidR="003B33F2" w:rsidRDefault="003B33F2" w:rsidP="003B33F2">
      <w:pPr>
        <w:numPr>
          <w:ilvl w:val="0"/>
          <w:numId w:val="0"/>
        </w:numPr>
        <w:spacing w:line="240" w:lineRule="auto"/>
        <w:ind w:left="360"/>
        <w:jc w:val="center"/>
        <w:rPr>
          <w:b/>
          <w:sz w:val="24"/>
          <w:szCs w:val="24"/>
        </w:rPr>
      </w:pPr>
      <w:r>
        <w:rPr>
          <w:b/>
          <w:sz w:val="24"/>
          <w:szCs w:val="24"/>
        </w:rPr>
        <w:t>Fiscal Years 2015 to 2020</w:t>
      </w:r>
    </w:p>
    <w:p w14:paraId="1A41A2A1" w14:textId="77777777" w:rsidR="003B33F2" w:rsidRPr="00074F4D" w:rsidRDefault="003B33F2" w:rsidP="003B33F2">
      <w:pPr>
        <w:numPr>
          <w:ilvl w:val="0"/>
          <w:numId w:val="0"/>
        </w:numPr>
        <w:spacing w:line="240" w:lineRule="auto"/>
        <w:ind w:left="360"/>
        <w:jc w:val="center"/>
        <w:rPr>
          <w:bCs/>
          <w:i/>
        </w:rPr>
      </w:pPr>
      <w:r w:rsidRPr="00074F4D">
        <w:rPr>
          <w:bCs/>
          <w:i/>
        </w:rPr>
        <w:t xml:space="preserve">Source:  Department of Health and Human Services, </w:t>
      </w:r>
      <w:r w:rsidRPr="00074F4D">
        <w:rPr>
          <w:bCs/>
          <w:i/>
        </w:rPr>
        <w:br/>
        <w:t>Administration for Children and Families</w:t>
      </w:r>
    </w:p>
    <w:tbl>
      <w:tblPr>
        <w:tblStyle w:val="TableGrid"/>
        <w:tblW w:w="0" w:type="auto"/>
        <w:jc w:val="center"/>
        <w:tblLook w:val="04A0" w:firstRow="1" w:lastRow="0" w:firstColumn="1" w:lastColumn="0" w:noHBand="0" w:noVBand="1"/>
      </w:tblPr>
      <w:tblGrid>
        <w:gridCol w:w="2132"/>
        <w:gridCol w:w="2160"/>
        <w:gridCol w:w="2183"/>
        <w:gridCol w:w="2135"/>
      </w:tblGrid>
      <w:tr w:rsidR="00EA3F19" w:rsidRPr="00C24869" w14:paraId="5847E6F5" w14:textId="77777777" w:rsidTr="00EA3F19">
        <w:trPr>
          <w:jc w:val="center"/>
        </w:trPr>
        <w:tc>
          <w:tcPr>
            <w:tcW w:w="2214" w:type="dxa"/>
            <w:tcBorders>
              <w:top w:val="single" w:sz="12" w:space="0" w:color="auto"/>
              <w:left w:val="single" w:sz="12" w:space="0" w:color="auto"/>
              <w:bottom w:val="single" w:sz="12" w:space="0" w:color="auto"/>
              <w:right w:val="single" w:sz="12" w:space="0" w:color="auto"/>
            </w:tcBorders>
            <w:shd w:val="clear" w:color="auto" w:fill="auto"/>
            <w:vAlign w:val="center"/>
          </w:tcPr>
          <w:p w14:paraId="6308AB0A" w14:textId="77777777" w:rsidR="003B33F2" w:rsidRPr="00C24869" w:rsidRDefault="003B33F2" w:rsidP="003B33F2">
            <w:pPr>
              <w:numPr>
                <w:ilvl w:val="0"/>
                <w:numId w:val="0"/>
              </w:numPr>
              <w:spacing w:after="0" w:line="240" w:lineRule="auto"/>
              <w:ind w:left="360"/>
              <w:jc w:val="center"/>
              <w:rPr>
                <w:b/>
                <w:sz w:val="24"/>
                <w:szCs w:val="24"/>
              </w:rPr>
            </w:pPr>
            <w:r w:rsidRPr="00C24869">
              <w:rPr>
                <w:b/>
                <w:sz w:val="24"/>
                <w:szCs w:val="24"/>
              </w:rPr>
              <w:t>Fiscal Year</w:t>
            </w:r>
          </w:p>
        </w:tc>
        <w:tc>
          <w:tcPr>
            <w:tcW w:w="2214" w:type="dxa"/>
            <w:tcBorders>
              <w:top w:val="single" w:sz="12" w:space="0" w:color="auto"/>
              <w:left w:val="single" w:sz="12" w:space="0" w:color="auto"/>
              <w:bottom w:val="single" w:sz="12" w:space="0" w:color="auto"/>
            </w:tcBorders>
            <w:shd w:val="clear" w:color="auto" w:fill="auto"/>
            <w:vAlign w:val="center"/>
          </w:tcPr>
          <w:p w14:paraId="5E969372" w14:textId="77777777" w:rsidR="003B33F2" w:rsidRPr="00C24869" w:rsidRDefault="003B33F2" w:rsidP="003B33F2">
            <w:pPr>
              <w:numPr>
                <w:ilvl w:val="0"/>
                <w:numId w:val="0"/>
              </w:numPr>
              <w:spacing w:after="0" w:line="240" w:lineRule="auto"/>
              <w:ind w:left="360"/>
              <w:jc w:val="center"/>
              <w:rPr>
                <w:b/>
                <w:sz w:val="24"/>
                <w:szCs w:val="24"/>
              </w:rPr>
            </w:pPr>
            <w:r w:rsidRPr="00C24869">
              <w:rPr>
                <w:b/>
                <w:sz w:val="24"/>
                <w:szCs w:val="24"/>
              </w:rPr>
              <w:t>Number of eligibility letters issued to children</w:t>
            </w:r>
          </w:p>
        </w:tc>
        <w:tc>
          <w:tcPr>
            <w:tcW w:w="2214" w:type="dxa"/>
            <w:tcBorders>
              <w:top w:val="single" w:sz="12" w:space="0" w:color="auto"/>
              <w:bottom w:val="single" w:sz="12" w:space="0" w:color="auto"/>
            </w:tcBorders>
            <w:shd w:val="clear" w:color="auto" w:fill="auto"/>
            <w:vAlign w:val="center"/>
          </w:tcPr>
          <w:p w14:paraId="51A35D12" w14:textId="77777777" w:rsidR="003B33F2" w:rsidRPr="00C24869" w:rsidRDefault="003B33F2" w:rsidP="003B33F2">
            <w:pPr>
              <w:numPr>
                <w:ilvl w:val="0"/>
                <w:numId w:val="0"/>
              </w:numPr>
              <w:spacing w:after="0" w:line="240" w:lineRule="auto"/>
              <w:ind w:left="360"/>
              <w:jc w:val="center"/>
              <w:rPr>
                <w:b/>
                <w:sz w:val="24"/>
                <w:szCs w:val="24"/>
              </w:rPr>
            </w:pPr>
            <w:r w:rsidRPr="00C24869">
              <w:rPr>
                <w:b/>
                <w:sz w:val="24"/>
                <w:szCs w:val="24"/>
              </w:rPr>
              <w:t>Number of certification letters issued to adults</w:t>
            </w:r>
          </w:p>
        </w:tc>
        <w:tc>
          <w:tcPr>
            <w:tcW w:w="2214" w:type="dxa"/>
            <w:tcBorders>
              <w:top w:val="single" w:sz="12" w:space="0" w:color="auto"/>
              <w:bottom w:val="single" w:sz="12" w:space="0" w:color="auto"/>
              <w:right w:val="single" w:sz="12" w:space="0" w:color="auto"/>
            </w:tcBorders>
            <w:shd w:val="clear" w:color="auto" w:fill="auto"/>
            <w:vAlign w:val="center"/>
          </w:tcPr>
          <w:p w14:paraId="03366185" w14:textId="77777777" w:rsidR="003B33F2" w:rsidRPr="00C24869" w:rsidRDefault="003B33F2" w:rsidP="003B33F2">
            <w:pPr>
              <w:numPr>
                <w:ilvl w:val="0"/>
                <w:numId w:val="0"/>
              </w:numPr>
              <w:spacing w:after="0" w:line="240" w:lineRule="auto"/>
              <w:ind w:left="360"/>
              <w:jc w:val="center"/>
              <w:rPr>
                <w:b/>
                <w:sz w:val="24"/>
                <w:szCs w:val="24"/>
              </w:rPr>
            </w:pPr>
            <w:r>
              <w:rPr>
                <w:b/>
                <w:sz w:val="24"/>
                <w:szCs w:val="24"/>
              </w:rPr>
              <w:t>Total l</w:t>
            </w:r>
            <w:r w:rsidRPr="00C24869">
              <w:rPr>
                <w:b/>
                <w:sz w:val="24"/>
                <w:szCs w:val="24"/>
              </w:rPr>
              <w:t>etters issued</w:t>
            </w:r>
          </w:p>
        </w:tc>
      </w:tr>
      <w:tr w:rsidR="003B33F2" w14:paraId="0E0BD157" w14:textId="77777777" w:rsidTr="00894F7D">
        <w:trPr>
          <w:jc w:val="center"/>
        </w:trPr>
        <w:tc>
          <w:tcPr>
            <w:tcW w:w="2214" w:type="dxa"/>
            <w:tcBorders>
              <w:top w:val="single" w:sz="12" w:space="0" w:color="auto"/>
              <w:left w:val="single" w:sz="12" w:space="0" w:color="auto"/>
              <w:right w:val="single" w:sz="12" w:space="0" w:color="auto"/>
            </w:tcBorders>
            <w:shd w:val="clear" w:color="auto" w:fill="auto"/>
            <w:vAlign w:val="center"/>
          </w:tcPr>
          <w:p w14:paraId="59743553" w14:textId="77777777" w:rsidR="003B33F2" w:rsidRPr="00C24869" w:rsidRDefault="003B33F2" w:rsidP="003B33F2">
            <w:pPr>
              <w:numPr>
                <w:ilvl w:val="0"/>
                <w:numId w:val="0"/>
              </w:numPr>
              <w:spacing w:after="0" w:line="240" w:lineRule="auto"/>
              <w:ind w:left="360"/>
              <w:jc w:val="center"/>
              <w:rPr>
                <w:b/>
                <w:sz w:val="24"/>
                <w:szCs w:val="24"/>
              </w:rPr>
            </w:pPr>
            <w:r w:rsidRPr="00C24869">
              <w:rPr>
                <w:b/>
                <w:sz w:val="24"/>
                <w:szCs w:val="24"/>
              </w:rPr>
              <w:t>201</w:t>
            </w:r>
            <w:r>
              <w:rPr>
                <w:b/>
                <w:sz w:val="24"/>
                <w:szCs w:val="24"/>
              </w:rPr>
              <w:t>5</w:t>
            </w:r>
          </w:p>
          <w:p w14:paraId="5A2E8658" w14:textId="77777777" w:rsidR="003B33F2" w:rsidRPr="00C24869" w:rsidRDefault="003B33F2" w:rsidP="003B33F2">
            <w:pPr>
              <w:numPr>
                <w:ilvl w:val="0"/>
                <w:numId w:val="0"/>
              </w:numPr>
              <w:spacing w:after="0" w:line="240" w:lineRule="auto"/>
              <w:ind w:left="360"/>
              <w:jc w:val="center"/>
              <w:rPr>
                <w:b/>
                <w:sz w:val="24"/>
                <w:szCs w:val="24"/>
              </w:rPr>
            </w:pPr>
          </w:p>
        </w:tc>
        <w:tc>
          <w:tcPr>
            <w:tcW w:w="2214" w:type="dxa"/>
            <w:tcBorders>
              <w:top w:val="single" w:sz="12" w:space="0" w:color="auto"/>
              <w:left w:val="single" w:sz="12" w:space="0" w:color="auto"/>
            </w:tcBorders>
            <w:shd w:val="clear" w:color="auto" w:fill="auto"/>
            <w:vAlign w:val="center"/>
          </w:tcPr>
          <w:p w14:paraId="45E4CBF7" w14:textId="77777777" w:rsidR="003B33F2" w:rsidRPr="009559A4" w:rsidRDefault="003B33F2" w:rsidP="003B33F2">
            <w:pPr>
              <w:numPr>
                <w:ilvl w:val="0"/>
                <w:numId w:val="0"/>
              </w:numPr>
              <w:spacing w:after="0" w:line="240" w:lineRule="auto"/>
              <w:ind w:left="360"/>
              <w:jc w:val="center"/>
              <w:rPr>
                <w:sz w:val="24"/>
                <w:szCs w:val="24"/>
              </w:rPr>
            </w:pPr>
            <w:r>
              <w:rPr>
                <w:sz w:val="24"/>
                <w:szCs w:val="24"/>
              </w:rPr>
              <w:t>239</w:t>
            </w:r>
          </w:p>
        </w:tc>
        <w:tc>
          <w:tcPr>
            <w:tcW w:w="2214" w:type="dxa"/>
            <w:tcBorders>
              <w:top w:val="single" w:sz="12" w:space="0" w:color="auto"/>
            </w:tcBorders>
            <w:shd w:val="clear" w:color="auto" w:fill="auto"/>
            <w:vAlign w:val="center"/>
          </w:tcPr>
          <w:p w14:paraId="75718F14" w14:textId="77777777" w:rsidR="003B33F2" w:rsidRPr="009559A4" w:rsidRDefault="003B33F2" w:rsidP="003B33F2">
            <w:pPr>
              <w:numPr>
                <w:ilvl w:val="0"/>
                <w:numId w:val="0"/>
              </w:numPr>
              <w:spacing w:after="0" w:line="240" w:lineRule="auto"/>
              <w:ind w:left="360"/>
              <w:jc w:val="center"/>
              <w:rPr>
                <w:sz w:val="24"/>
                <w:szCs w:val="24"/>
              </w:rPr>
            </w:pPr>
            <w:r>
              <w:rPr>
                <w:sz w:val="24"/>
                <w:szCs w:val="24"/>
              </w:rPr>
              <w:t>621</w:t>
            </w:r>
          </w:p>
        </w:tc>
        <w:tc>
          <w:tcPr>
            <w:tcW w:w="2214" w:type="dxa"/>
            <w:tcBorders>
              <w:top w:val="single" w:sz="12" w:space="0" w:color="auto"/>
              <w:right w:val="single" w:sz="12" w:space="0" w:color="auto"/>
            </w:tcBorders>
            <w:shd w:val="clear" w:color="auto" w:fill="auto"/>
            <w:vAlign w:val="center"/>
          </w:tcPr>
          <w:p w14:paraId="208AF5FE" w14:textId="77777777" w:rsidR="003B33F2" w:rsidRPr="009559A4" w:rsidRDefault="003B33F2" w:rsidP="003B33F2">
            <w:pPr>
              <w:numPr>
                <w:ilvl w:val="0"/>
                <w:numId w:val="0"/>
              </w:numPr>
              <w:spacing w:after="0" w:line="240" w:lineRule="auto"/>
              <w:ind w:left="360"/>
              <w:jc w:val="center"/>
              <w:rPr>
                <w:sz w:val="24"/>
                <w:szCs w:val="24"/>
              </w:rPr>
            </w:pPr>
            <w:r>
              <w:rPr>
                <w:sz w:val="24"/>
                <w:szCs w:val="24"/>
              </w:rPr>
              <w:t>860</w:t>
            </w:r>
          </w:p>
        </w:tc>
      </w:tr>
      <w:tr w:rsidR="003B33F2" w:rsidRPr="009559A4" w14:paraId="09C6130B" w14:textId="77777777" w:rsidTr="00894F7D">
        <w:trPr>
          <w:jc w:val="center"/>
        </w:trPr>
        <w:tc>
          <w:tcPr>
            <w:tcW w:w="2214" w:type="dxa"/>
            <w:tcBorders>
              <w:left w:val="single" w:sz="12" w:space="0" w:color="auto"/>
              <w:right w:val="single" w:sz="12" w:space="0" w:color="auto"/>
            </w:tcBorders>
            <w:shd w:val="clear" w:color="auto" w:fill="auto"/>
            <w:vAlign w:val="center"/>
          </w:tcPr>
          <w:p w14:paraId="766AB5B1" w14:textId="77777777" w:rsidR="003B33F2" w:rsidRPr="00C24869" w:rsidRDefault="003B33F2" w:rsidP="003B33F2">
            <w:pPr>
              <w:numPr>
                <w:ilvl w:val="0"/>
                <w:numId w:val="0"/>
              </w:numPr>
              <w:spacing w:after="0" w:line="240" w:lineRule="auto"/>
              <w:ind w:left="360"/>
              <w:jc w:val="center"/>
              <w:rPr>
                <w:b/>
                <w:sz w:val="24"/>
                <w:szCs w:val="24"/>
              </w:rPr>
            </w:pPr>
            <w:r w:rsidRPr="00C24869">
              <w:rPr>
                <w:b/>
                <w:sz w:val="24"/>
                <w:szCs w:val="24"/>
              </w:rPr>
              <w:t>201</w:t>
            </w:r>
            <w:r>
              <w:rPr>
                <w:b/>
                <w:sz w:val="24"/>
                <w:szCs w:val="24"/>
              </w:rPr>
              <w:t>6</w:t>
            </w:r>
          </w:p>
          <w:p w14:paraId="76C94541" w14:textId="77777777" w:rsidR="003B33F2" w:rsidRPr="00C24869" w:rsidRDefault="003B33F2" w:rsidP="003B33F2">
            <w:pPr>
              <w:numPr>
                <w:ilvl w:val="0"/>
                <w:numId w:val="0"/>
              </w:numPr>
              <w:spacing w:after="0" w:line="240" w:lineRule="auto"/>
              <w:ind w:left="360"/>
              <w:jc w:val="center"/>
              <w:rPr>
                <w:b/>
                <w:sz w:val="24"/>
                <w:szCs w:val="24"/>
              </w:rPr>
            </w:pPr>
          </w:p>
        </w:tc>
        <w:tc>
          <w:tcPr>
            <w:tcW w:w="2214" w:type="dxa"/>
            <w:tcBorders>
              <w:left w:val="single" w:sz="12" w:space="0" w:color="auto"/>
            </w:tcBorders>
            <w:shd w:val="clear" w:color="auto" w:fill="auto"/>
            <w:vAlign w:val="center"/>
          </w:tcPr>
          <w:p w14:paraId="2272B57E" w14:textId="77777777" w:rsidR="003B33F2" w:rsidRPr="009559A4" w:rsidRDefault="003B33F2" w:rsidP="003B33F2">
            <w:pPr>
              <w:numPr>
                <w:ilvl w:val="0"/>
                <w:numId w:val="0"/>
              </w:numPr>
              <w:spacing w:after="0" w:line="240" w:lineRule="auto"/>
              <w:ind w:left="360"/>
              <w:jc w:val="center"/>
              <w:rPr>
                <w:sz w:val="24"/>
                <w:szCs w:val="24"/>
              </w:rPr>
            </w:pPr>
            <w:r>
              <w:rPr>
                <w:sz w:val="24"/>
                <w:szCs w:val="24"/>
              </w:rPr>
              <w:t>335</w:t>
            </w:r>
          </w:p>
        </w:tc>
        <w:tc>
          <w:tcPr>
            <w:tcW w:w="2214" w:type="dxa"/>
            <w:shd w:val="clear" w:color="auto" w:fill="auto"/>
            <w:vAlign w:val="center"/>
          </w:tcPr>
          <w:p w14:paraId="25A96563" w14:textId="77777777" w:rsidR="003B33F2" w:rsidRPr="009559A4" w:rsidRDefault="003B33F2" w:rsidP="003B33F2">
            <w:pPr>
              <w:numPr>
                <w:ilvl w:val="0"/>
                <w:numId w:val="0"/>
              </w:numPr>
              <w:spacing w:after="0" w:line="240" w:lineRule="auto"/>
              <w:ind w:left="360"/>
              <w:jc w:val="center"/>
              <w:rPr>
                <w:sz w:val="24"/>
                <w:szCs w:val="24"/>
              </w:rPr>
            </w:pPr>
            <w:r>
              <w:rPr>
                <w:sz w:val="24"/>
                <w:szCs w:val="24"/>
              </w:rPr>
              <w:t>442</w:t>
            </w:r>
          </w:p>
        </w:tc>
        <w:tc>
          <w:tcPr>
            <w:tcW w:w="2214" w:type="dxa"/>
            <w:tcBorders>
              <w:right w:val="single" w:sz="12" w:space="0" w:color="auto"/>
            </w:tcBorders>
            <w:shd w:val="clear" w:color="auto" w:fill="auto"/>
            <w:vAlign w:val="center"/>
          </w:tcPr>
          <w:p w14:paraId="6EA34CCC" w14:textId="77777777" w:rsidR="003B33F2" w:rsidRPr="009559A4" w:rsidRDefault="003B33F2" w:rsidP="003B33F2">
            <w:pPr>
              <w:numPr>
                <w:ilvl w:val="0"/>
                <w:numId w:val="0"/>
              </w:numPr>
              <w:spacing w:after="0" w:line="240" w:lineRule="auto"/>
              <w:ind w:left="360"/>
              <w:jc w:val="center"/>
              <w:rPr>
                <w:sz w:val="24"/>
                <w:szCs w:val="24"/>
              </w:rPr>
            </w:pPr>
            <w:r>
              <w:rPr>
                <w:sz w:val="24"/>
                <w:szCs w:val="24"/>
              </w:rPr>
              <w:t>777</w:t>
            </w:r>
          </w:p>
        </w:tc>
      </w:tr>
      <w:tr w:rsidR="003B33F2" w:rsidRPr="009559A4" w14:paraId="3C4398BE" w14:textId="77777777" w:rsidTr="00894F7D">
        <w:trPr>
          <w:jc w:val="center"/>
        </w:trPr>
        <w:tc>
          <w:tcPr>
            <w:tcW w:w="2214" w:type="dxa"/>
            <w:tcBorders>
              <w:left w:val="single" w:sz="12" w:space="0" w:color="auto"/>
              <w:right w:val="single" w:sz="12" w:space="0" w:color="auto"/>
            </w:tcBorders>
            <w:shd w:val="clear" w:color="auto" w:fill="auto"/>
            <w:vAlign w:val="center"/>
          </w:tcPr>
          <w:p w14:paraId="0ED533E3" w14:textId="77777777" w:rsidR="003B33F2" w:rsidRPr="00C24869" w:rsidRDefault="003B33F2" w:rsidP="003B33F2">
            <w:pPr>
              <w:numPr>
                <w:ilvl w:val="0"/>
                <w:numId w:val="0"/>
              </w:numPr>
              <w:spacing w:after="0" w:line="240" w:lineRule="auto"/>
              <w:ind w:left="360"/>
              <w:jc w:val="center"/>
              <w:rPr>
                <w:b/>
                <w:sz w:val="24"/>
                <w:szCs w:val="24"/>
              </w:rPr>
            </w:pPr>
            <w:r w:rsidRPr="00C24869">
              <w:rPr>
                <w:b/>
                <w:sz w:val="24"/>
                <w:szCs w:val="24"/>
              </w:rPr>
              <w:t>201</w:t>
            </w:r>
            <w:r>
              <w:rPr>
                <w:b/>
                <w:sz w:val="24"/>
                <w:szCs w:val="24"/>
              </w:rPr>
              <w:t>7</w:t>
            </w:r>
          </w:p>
          <w:p w14:paraId="2434495C" w14:textId="77777777" w:rsidR="003B33F2" w:rsidRPr="00C24869" w:rsidRDefault="003B33F2" w:rsidP="003B33F2">
            <w:pPr>
              <w:numPr>
                <w:ilvl w:val="0"/>
                <w:numId w:val="0"/>
              </w:numPr>
              <w:spacing w:after="0" w:line="240" w:lineRule="auto"/>
              <w:ind w:left="360"/>
              <w:jc w:val="center"/>
              <w:rPr>
                <w:b/>
                <w:sz w:val="24"/>
                <w:szCs w:val="24"/>
              </w:rPr>
            </w:pPr>
          </w:p>
        </w:tc>
        <w:tc>
          <w:tcPr>
            <w:tcW w:w="2214" w:type="dxa"/>
            <w:tcBorders>
              <w:left w:val="single" w:sz="12" w:space="0" w:color="auto"/>
            </w:tcBorders>
            <w:shd w:val="clear" w:color="auto" w:fill="auto"/>
            <w:vAlign w:val="center"/>
          </w:tcPr>
          <w:p w14:paraId="04EF0340" w14:textId="77777777" w:rsidR="003B33F2" w:rsidRPr="009559A4" w:rsidRDefault="003B33F2" w:rsidP="003B33F2">
            <w:pPr>
              <w:numPr>
                <w:ilvl w:val="0"/>
                <w:numId w:val="0"/>
              </w:numPr>
              <w:spacing w:after="0" w:line="240" w:lineRule="auto"/>
              <w:ind w:left="360"/>
              <w:jc w:val="center"/>
              <w:rPr>
                <w:sz w:val="24"/>
                <w:szCs w:val="24"/>
              </w:rPr>
            </w:pPr>
            <w:r>
              <w:rPr>
                <w:sz w:val="24"/>
                <w:szCs w:val="24"/>
              </w:rPr>
              <w:t>506</w:t>
            </w:r>
          </w:p>
        </w:tc>
        <w:tc>
          <w:tcPr>
            <w:tcW w:w="2214" w:type="dxa"/>
            <w:shd w:val="clear" w:color="auto" w:fill="auto"/>
            <w:vAlign w:val="center"/>
          </w:tcPr>
          <w:p w14:paraId="605C63E6" w14:textId="77777777" w:rsidR="003B33F2" w:rsidRPr="009559A4" w:rsidRDefault="003B33F2" w:rsidP="003B33F2">
            <w:pPr>
              <w:numPr>
                <w:ilvl w:val="0"/>
                <w:numId w:val="0"/>
              </w:numPr>
              <w:spacing w:after="0" w:line="240" w:lineRule="auto"/>
              <w:ind w:left="360"/>
              <w:jc w:val="center"/>
              <w:rPr>
                <w:sz w:val="24"/>
                <w:szCs w:val="24"/>
              </w:rPr>
            </w:pPr>
            <w:r>
              <w:rPr>
                <w:sz w:val="24"/>
                <w:szCs w:val="24"/>
              </w:rPr>
              <w:t>448</w:t>
            </w:r>
          </w:p>
        </w:tc>
        <w:tc>
          <w:tcPr>
            <w:tcW w:w="2214" w:type="dxa"/>
            <w:tcBorders>
              <w:right w:val="single" w:sz="12" w:space="0" w:color="auto"/>
            </w:tcBorders>
            <w:shd w:val="clear" w:color="auto" w:fill="auto"/>
            <w:vAlign w:val="center"/>
          </w:tcPr>
          <w:p w14:paraId="53714A7E" w14:textId="77777777" w:rsidR="003B33F2" w:rsidRPr="009559A4" w:rsidRDefault="003B33F2" w:rsidP="003B33F2">
            <w:pPr>
              <w:numPr>
                <w:ilvl w:val="0"/>
                <w:numId w:val="0"/>
              </w:numPr>
              <w:spacing w:after="0" w:line="240" w:lineRule="auto"/>
              <w:ind w:left="360"/>
              <w:jc w:val="center"/>
              <w:rPr>
                <w:sz w:val="24"/>
                <w:szCs w:val="24"/>
              </w:rPr>
            </w:pPr>
            <w:r>
              <w:rPr>
                <w:sz w:val="24"/>
                <w:szCs w:val="24"/>
              </w:rPr>
              <w:t>954</w:t>
            </w:r>
          </w:p>
        </w:tc>
      </w:tr>
      <w:tr w:rsidR="003B33F2" w:rsidRPr="009559A4" w14:paraId="3CC9328A" w14:textId="77777777" w:rsidTr="00894F7D">
        <w:trPr>
          <w:jc w:val="center"/>
        </w:trPr>
        <w:tc>
          <w:tcPr>
            <w:tcW w:w="2214" w:type="dxa"/>
            <w:tcBorders>
              <w:left w:val="single" w:sz="12" w:space="0" w:color="auto"/>
              <w:right w:val="single" w:sz="12" w:space="0" w:color="auto"/>
            </w:tcBorders>
            <w:shd w:val="clear" w:color="auto" w:fill="auto"/>
            <w:vAlign w:val="center"/>
          </w:tcPr>
          <w:p w14:paraId="08478A1E" w14:textId="77777777" w:rsidR="003B33F2" w:rsidRPr="00C24869" w:rsidRDefault="003B33F2" w:rsidP="003B33F2">
            <w:pPr>
              <w:numPr>
                <w:ilvl w:val="0"/>
                <w:numId w:val="0"/>
              </w:numPr>
              <w:spacing w:after="0" w:line="240" w:lineRule="auto"/>
              <w:ind w:left="360"/>
              <w:jc w:val="center"/>
              <w:rPr>
                <w:b/>
                <w:sz w:val="24"/>
                <w:szCs w:val="24"/>
              </w:rPr>
            </w:pPr>
            <w:r w:rsidRPr="00C24869">
              <w:rPr>
                <w:b/>
                <w:sz w:val="24"/>
                <w:szCs w:val="24"/>
              </w:rPr>
              <w:t>201</w:t>
            </w:r>
            <w:r>
              <w:rPr>
                <w:b/>
                <w:sz w:val="24"/>
                <w:szCs w:val="24"/>
              </w:rPr>
              <w:t>8</w:t>
            </w:r>
          </w:p>
          <w:p w14:paraId="3B8A5340" w14:textId="77777777" w:rsidR="003B33F2" w:rsidRPr="00C24869" w:rsidRDefault="003B33F2" w:rsidP="003B33F2">
            <w:pPr>
              <w:numPr>
                <w:ilvl w:val="0"/>
                <w:numId w:val="0"/>
              </w:numPr>
              <w:spacing w:after="0" w:line="240" w:lineRule="auto"/>
              <w:ind w:left="360"/>
              <w:jc w:val="center"/>
              <w:rPr>
                <w:b/>
                <w:sz w:val="24"/>
                <w:szCs w:val="24"/>
              </w:rPr>
            </w:pPr>
          </w:p>
        </w:tc>
        <w:tc>
          <w:tcPr>
            <w:tcW w:w="2214" w:type="dxa"/>
            <w:tcBorders>
              <w:left w:val="single" w:sz="12" w:space="0" w:color="auto"/>
            </w:tcBorders>
            <w:shd w:val="clear" w:color="auto" w:fill="auto"/>
            <w:vAlign w:val="center"/>
          </w:tcPr>
          <w:p w14:paraId="44A89A7D" w14:textId="77777777" w:rsidR="003B33F2" w:rsidRPr="009559A4" w:rsidRDefault="003B33F2" w:rsidP="003B33F2">
            <w:pPr>
              <w:numPr>
                <w:ilvl w:val="0"/>
                <w:numId w:val="0"/>
              </w:numPr>
              <w:spacing w:after="0" w:line="240" w:lineRule="auto"/>
              <w:ind w:left="360"/>
              <w:jc w:val="center"/>
              <w:rPr>
                <w:sz w:val="24"/>
                <w:szCs w:val="24"/>
              </w:rPr>
            </w:pPr>
            <w:r>
              <w:rPr>
                <w:sz w:val="24"/>
                <w:szCs w:val="24"/>
              </w:rPr>
              <w:t>466</w:t>
            </w:r>
          </w:p>
        </w:tc>
        <w:tc>
          <w:tcPr>
            <w:tcW w:w="2214" w:type="dxa"/>
            <w:shd w:val="clear" w:color="auto" w:fill="auto"/>
            <w:vAlign w:val="center"/>
          </w:tcPr>
          <w:p w14:paraId="133B77E4" w14:textId="77777777" w:rsidR="003B33F2" w:rsidRPr="009559A4" w:rsidRDefault="003B33F2" w:rsidP="003B33F2">
            <w:pPr>
              <w:numPr>
                <w:ilvl w:val="0"/>
                <w:numId w:val="0"/>
              </w:numPr>
              <w:spacing w:after="0" w:line="240" w:lineRule="auto"/>
              <w:ind w:left="360"/>
              <w:jc w:val="center"/>
              <w:rPr>
                <w:sz w:val="24"/>
                <w:szCs w:val="24"/>
              </w:rPr>
            </w:pPr>
            <w:r>
              <w:rPr>
                <w:sz w:val="24"/>
                <w:szCs w:val="24"/>
              </w:rPr>
              <w:t>412</w:t>
            </w:r>
          </w:p>
        </w:tc>
        <w:tc>
          <w:tcPr>
            <w:tcW w:w="2214" w:type="dxa"/>
            <w:tcBorders>
              <w:right w:val="single" w:sz="12" w:space="0" w:color="auto"/>
            </w:tcBorders>
            <w:shd w:val="clear" w:color="auto" w:fill="auto"/>
            <w:vAlign w:val="center"/>
          </w:tcPr>
          <w:p w14:paraId="6B732E6E" w14:textId="77777777" w:rsidR="003B33F2" w:rsidRPr="009559A4" w:rsidRDefault="003B33F2" w:rsidP="003B33F2">
            <w:pPr>
              <w:numPr>
                <w:ilvl w:val="0"/>
                <w:numId w:val="0"/>
              </w:numPr>
              <w:spacing w:after="0" w:line="240" w:lineRule="auto"/>
              <w:ind w:left="360"/>
              <w:jc w:val="center"/>
              <w:rPr>
                <w:sz w:val="24"/>
                <w:szCs w:val="24"/>
              </w:rPr>
            </w:pPr>
            <w:r>
              <w:rPr>
                <w:sz w:val="24"/>
                <w:szCs w:val="24"/>
              </w:rPr>
              <w:t>878</w:t>
            </w:r>
          </w:p>
        </w:tc>
      </w:tr>
      <w:tr w:rsidR="003B33F2" w:rsidRPr="009559A4" w14:paraId="052E0B46" w14:textId="77777777" w:rsidTr="00894F7D">
        <w:trPr>
          <w:jc w:val="center"/>
        </w:trPr>
        <w:tc>
          <w:tcPr>
            <w:tcW w:w="2214" w:type="dxa"/>
            <w:tcBorders>
              <w:left w:val="single" w:sz="12" w:space="0" w:color="auto"/>
              <w:right w:val="single" w:sz="12" w:space="0" w:color="auto"/>
            </w:tcBorders>
            <w:shd w:val="clear" w:color="auto" w:fill="auto"/>
            <w:vAlign w:val="center"/>
          </w:tcPr>
          <w:p w14:paraId="0DA4A649" w14:textId="77777777" w:rsidR="003B33F2" w:rsidRPr="00C24869" w:rsidRDefault="003B33F2" w:rsidP="003B33F2">
            <w:pPr>
              <w:numPr>
                <w:ilvl w:val="0"/>
                <w:numId w:val="0"/>
              </w:numPr>
              <w:spacing w:after="0" w:line="240" w:lineRule="auto"/>
              <w:ind w:left="360"/>
              <w:jc w:val="center"/>
              <w:rPr>
                <w:b/>
                <w:sz w:val="24"/>
                <w:szCs w:val="24"/>
              </w:rPr>
            </w:pPr>
            <w:r w:rsidRPr="00C24869">
              <w:rPr>
                <w:b/>
                <w:sz w:val="24"/>
                <w:szCs w:val="24"/>
              </w:rPr>
              <w:t>201</w:t>
            </w:r>
            <w:r>
              <w:rPr>
                <w:b/>
                <w:sz w:val="24"/>
                <w:szCs w:val="24"/>
              </w:rPr>
              <w:t>9</w:t>
            </w:r>
          </w:p>
          <w:p w14:paraId="008C034F" w14:textId="77777777" w:rsidR="003B33F2" w:rsidRPr="00C24869" w:rsidRDefault="003B33F2" w:rsidP="003B33F2">
            <w:pPr>
              <w:numPr>
                <w:ilvl w:val="0"/>
                <w:numId w:val="0"/>
              </w:numPr>
              <w:spacing w:after="0" w:line="240" w:lineRule="auto"/>
              <w:ind w:left="360"/>
              <w:jc w:val="center"/>
              <w:rPr>
                <w:b/>
                <w:sz w:val="24"/>
                <w:szCs w:val="24"/>
              </w:rPr>
            </w:pPr>
          </w:p>
        </w:tc>
        <w:tc>
          <w:tcPr>
            <w:tcW w:w="2214" w:type="dxa"/>
            <w:tcBorders>
              <w:left w:val="single" w:sz="12" w:space="0" w:color="auto"/>
            </w:tcBorders>
            <w:shd w:val="clear" w:color="auto" w:fill="auto"/>
            <w:vAlign w:val="center"/>
          </w:tcPr>
          <w:p w14:paraId="16679770" w14:textId="77777777" w:rsidR="003B33F2" w:rsidRPr="009559A4" w:rsidRDefault="003B33F2" w:rsidP="003B33F2">
            <w:pPr>
              <w:numPr>
                <w:ilvl w:val="0"/>
                <w:numId w:val="0"/>
              </w:numPr>
              <w:spacing w:after="0" w:line="240" w:lineRule="auto"/>
              <w:ind w:left="360"/>
              <w:jc w:val="center"/>
              <w:rPr>
                <w:sz w:val="24"/>
                <w:szCs w:val="24"/>
              </w:rPr>
            </w:pPr>
            <w:r>
              <w:rPr>
                <w:sz w:val="24"/>
                <w:szCs w:val="24"/>
              </w:rPr>
              <w:t>892</w:t>
            </w:r>
          </w:p>
        </w:tc>
        <w:tc>
          <w:tcPr>
            <w:tcW w:w="2214" w:type="dxa"/>
            <w:shd w:val="clear" w:color="auto" w:fill="auto"/>
            <w:vAlign w:val="center"/>
          </w:tcPr>
          <w:p w14:paraId="1F295DD6" w14:textId="77777777" w:rsidR="003B33F2" w:rsidRPr="009559A4" w:rsidRDefault="003B33F2" w:rsidP="003B33F2">
            <w:pPr>
              <w:numPr>
                <w:ilvl w:val="0"/>
                <w:numId w:val="0"/>
              </w:numPr>
              <w:spacing w:after="0" w:line="240" w:lineRule="auto"/>
              <w:ind w:left="360"/>
              <w:jc w:val="center"/>
              <w:rPr>
                <w:sz w:val="24"/>
                <w:szCs w:val="24"/>
              </w:rPr>
            </w:pPr>
            <w:r>
              <w:rPr>
                <w:sz w:val="24"/>
                <w:szCs w:val="24"/>
              </w:rPr>
              <w:t>311</w:t>
            </w:r>
          </w:p>
        </w:tc>
        <w:tc>
          <w:tcPr>
            <w:tcW w:w="2214" w:type="dxa"/>
            <w:tcBorders>
              <w:right w:val="single" w:sz="12" w:space="0" w:color="auto"/>
            </w:tcBorders>
            <w:shd w:val="clear" w:color="auto" w:fill="auto"/>
            <w:vAlign w:val="center"/>
          </w:tcPr>
          <w:p w14:paraId="110197ED" w14:textId="77777777" w:rsidR="003B33F2" w:rsidRPr="009559A4" w:rsidRDefault="003B33F2" w:rsidP="003B33F2">
            <w:pPr>
              <w:numPr>
                <w:ilvl w:val="0"/>
                <w:numId w:val="0"/>
              </w:numPr>
              <w:spacing w:after="0" w:line="240" w:lineRule="auto"/>
              <w:ind w:left="360"/>
              <w:jc w:val="center"/>
              <w:rPr>
                <w:sz w:val="24"/>
                <w:szCs w:val="24"/>
              </w:rPr>
            </w:pPr>
            <w:r>
              <w:rPr>
                <w:sz w:val="24"/>
                <w:szCs w:val="24"/>
              </w:rPr>
              <w:t>1,203</w:t>
            </w:r>
          </w:p>
        </w:tc>
      </w:tr>
      <w:tr w:rsidR="003B33F2" w:rsidRPr="009559A4" w14:paraId="44BBF171" w14:textId="77777777" w:rsidTr="00894F7D">
        <w:trPr>
          <w:jc w:val="center"/>
        </w:trPr>
        <w:tc>
          <w:tcPr>
            <w:tcW w:w="2214" w:type="dxa"/>
            <w:tcBorders>
              <w:left w:val="single" w:sz="12" w:space="0" w:color="auto"/>
              <w:bottom w:val="single" w:sz="12" w:space="0" w:color="auto"/>
              <w:right w:val="single" w:sz="12" w:space="0" w:color="auto"/>
            </w:tcBorders>
            <w:shd w:val="clear" w:color="auto" w:fill="auto"/>
            <w:vAlign w:val="center"/>
          </w:tcPr>
          <w:p w14:paraId="52731FAF" w14:textId="77777777" w:rsidR="003B33F2" w:rsidRDefault="003B33F2" w:rsidP="003B33F2">
            <w:pPr>
              <w:numPr>
                <w:ilvl w:val="0"/>
                <w:numId w:val="0"/>
              </w:numPr>
              <w:spacing w:after="0" w:line="240" w:lineRule="auto"/>
              <w:ind w:left="360"/>
              <w:jc w:val="center"/>
              <w:rPr>
                <w:b/>
                <w:sz w:val="24"/>
                <w:szCs w:val="24"/>
              </w:rPr>
            </w:pPr>
            <w:r>
              <w:rPr>
                <w:b/>
                <w:sz w:val="24"/>
                <w:szCs w:val="24"/>
              </w:rPr>
              <w:t>2020</w:t>
            </w:r>
          </w:p>
          <w:p w14:paraId="259354F4" w14:textId="77777777" w:rsidR="003B33F2" w:rsidRPr="00C24869" w:rsidRDefault="003B33F2" w:rsidP="003B33F2">
            <w:pPr>
              <w:numPr>
                <w:ilvl w:val="0"/>
                <w:numId w:val="0"/>
              </w:numPr>
              <w:spacing w:after="0" w:line="240" w:lineRule="auto"/>
              <w:ind w:left="360"/>
              <w:jc w:val="center"/>
              <w:rPr>
                <w:b/>
                <w:sz w:val="24"/>
                <w:szCs w:val="24"/>
              </w:rPr>
            </w:pPr>
          </w:p>
        </w:tc>
        <w:tc>
          <w:tcPr>
            <w:tcW w:w="2214" w:type="dxa"/>
            <w:tcBorders>
              <w:left w:val="single" w:sz="12" w:space="0" w:color="auto"/>
              <w:bottom w:val="single" w:sz="12" w:space="0" w:color="auto"/>
            </w:tcBorders>
            <w:shd w:val="clear" w:color="auto" w:fill="auto"/>
            <w:vAlign w:val="center"/>
          </w:tcPr>
          <w:p w14:paraId="202EE4AB" w14:textId="77777777" w:rsidR="003B33F2" w:rsidRDefault="003B33F2" w:rsidP="003B33F2">
            <w:pPr>
              <w:numPr>
                <w:ilvl w:val="0"/>
                <w:numId w:val="0"/>
              </w:numPr>
              <w:spacing w:after="0" w:line="240" w:lineRule="auto"/>
              <w:ind w:left="360"/>
              <w:jc w:val="center"/>
              <w:rPr>
                <w:sz w:val="24"/>
                <w:szCs w:val="24"/>
              </w:rPr>
            </w:pPr>
            <w:r>
              <w:rPr>
                <w:sz w:val="24"/>
                <w:szCs w:val="24"/>
              </w:rPr>
              <w:t>673</w:t>
            </w:r>
          </w:p>
        </w:tc>
        <w:tc>
          <w:tcPr>
            <w:tcW w:w="2214" w:type="dxa"/>
            <w:tcBorders>
              <w:bottom w:val="single" w:sz="12" w:space="0" w:color="auto"/>
            </w:tcBorders>
            <w:shd w:val="clear" w:color="auto" w:fill="auto"/>
            <w:vAlign w:val="center"/>
          </w:tcPr>
          <w:p w14:paraId="4207274C" w14:textId="77777777" w:rsidR="003B33F2" w:rsidRDefault="003B33F2" w:rsidP="003B33F2">
            <w:pPr>
              <w:numPr>
                <w:ilvl w:val="0"/>
                <w:numId w:val="0"/>
              </w:numPr>
              <w:spacing w:after="0" w:line="240" w:lineRule="auto"/>
              <w:ind w:left="360"/>
              <w:jc w:val="center"/>
              <w:rPr>
                <w:sz w:val="24"/>
                <w:szCs w:val="24"/>
              </w:rPr>
            </w:pPr>
            <w:r>
              <w:rPr>
                <w:sz w:val="24"/>
                <w:szCs w:val="24"/>
              </w:rPr>
              <w:t>508</w:t>
            </w:r>
          </w:p>
        </w:tc>
        <w:tc>
          <w:tcPr>
            <w:tcW w:w="2214" w:type="dxa"/>
            <w:tcBorders>
              <w:bottom w:val="single" w:sz="12" w:space="0" w:color="auto"/>
              <w:right w:val="single" w:sz="12" w:space="0" w:color="auto"/>
            </w:tcBorders>
            <w:shd w:val="clear" w:color="auto" w:fill="auto"/>
            <w:vAlign w:val="center"/>
          </w:tcPr>
          <w:p w14:paraId="277B6AC6" w14:textId="77777777" w:rsidR="003B33F2" w:rsidRDefault="003B33F2" w:rsidP="003B33F2">
            <w:pPr>
              <w:numPr>
                <w:ilvl w:val="0"/>
                <w:numId w:val="0"/>
              </w:numPr>
              <w:spacing w:after="0" w:line="240" w:lineRule="auto"/>
              <w:ind w:left="360"/>
              <w:jc w:val="center"/>
              <w:rPr>
                <w:sz w:val="24"/>
                <w:szCs w:val="24"/>
              </w:rPr>
            </w:pPr>
            <w:r>
              <w:rPr>
                <w:sz w:val="24"/>
                <w:szCs w:val="24"/>
              </w:rPr>
              <w:t>1,181</w:t>
            </w:r>
          </w:p>
        </w:tc>
      </w:tr>
    </w:tbl>
    <w:p w14:paraId="792A48C6" w14:textId="77777777" w:rsidR="003B33F2" w:rsidRPr="009559A4" w:rsidRDefault="003B33F2" w:rsidP="003B33F2">
      <w:pPr>
        <w:numPr>
          <w:ilvl w:val="0"/>
          <w:numId w:val="0"/>
        </w:numPr>
        <w:spacing w:after="0" w:line="240" w:lineRule="auto"/>
        <w:ind w:left="360"/>
        <w:jc w:val="center"/>
        <w:rPr>
          <w:sz w:val="24"/>
          <w:szCs w:val="24"/>
        </w:rPr>
      </w:pPr>
    </w:p>
    <w:p w14:paraId="6636D421" w14:textId="77777777" w:rsidR="003B33F2" w:rsidRDefault="003B33F2" w:rsidP="003B33F2">
      <w:pPr>
        <w:numPr>
          <w:ilvl w:val="0"/>
          <w:numId w:val="0"/>
        </w:numPr>
        <w:spacing w:after="0" w:line="240" w:lineRule="auto"/>
        <w:ind w:left="360"/>
        <w:jc w:val="center"/>
        <w:rPr>
          <w:b/>
          <w:sz w:val="24"/>
          <w:szCs w:val="24"/>
        </w:rPr>
      </w:pPr>
    </w:p>
    <w:p w14:paraId="6074EE19" w14:textId="77777777" w:rsidR="003B33F2" w:rsidRDefault="003B33F2" w:rsidP="003B33F2">
      <w:pPr>
        <w:numPr>
          <w:ilvl w:val="0"/>
          <w:numId w:val="0"/>
        </w:numPr>
        <w:spacing w:after="0" w:line="240" w:lineRule="auto"/>
        <w:ind w:left="360"/>
        <w:jc w:val="center"/>
        <w:rPr>
          <w:b/>
          <w:sz w:val="24"/>
          <w:szCs w:val="24"/>
        </w:rPr>
      </w:pPr>
    </w:p>
    <w:p w14:paraId="00DF1572" w14:textId="77777777" w:rsidR="003B33F2" w:rsidRPr="00B255B5" w:rsidRDefault="003B33F2" w:rsidP="003B33F2">
      <w:pPr>
        <w:numPr>
          <w:ilvl w:val="0"/>
          <w:numId w:val="0"/>
        </w:numPr>
        <w:spacing w:after="0" w:line="240" w:lineRule="auto"/>
        <w:ind w:left="360"/>
        <w:rPr>
          <w:b/>
          <w:sz w:val="24"/>
          <w:szCs w:val="24"/>
        </w:rPr>
      </w:pPr>
    </w:p>
    <w:p w14:paraId="09465A29" w14:textId="77777777" w:rsidR="003B33F2" w:rsidRDefault="003B33F2" w:rsidP="003B33F2">
      <w:pPr>
        <w:widowControl w:val="0"/>
        <w:numPr>
          <w:ilvl w:val="0"/>
          <w:numId w:val="0"/>
        </w:numPr>
        <w:autoSpaceDE w:val="0"/>
        <w:autoSpaceDN w:val="0"/>
        <w:adjustRightInd w:val="0"/>
        <w:spacing w:line="240" w:lineRule="auto"/>
        <w:ind w:left="360"/>
        <w:jc w:val="center"/>
        <w:rPr>
          <w:b/>
          <w:sz w:val="28"/>
          <w:szCs w:val="28"/>
        </w:rPr>
      </w:pPr>
    </w:p>
    <w:p w14:paraId="6AFD7CA8" w14:textId="77777777" w:rsidR="003B33F2" w:rsidRDefault="003B33F2" w:rsidP="003B33F2">
      <w:pPr>
        <w:widowControl w:val="0"/>
        <w:numPr>
          <w:ilvl w:val="0"/>
          <w:numId w:val="0"/>
        </w:numPr>
        <w:autoSpaceDE w:val="0"/>
        <w:autoSpaceDN w:val="0"/>
        <w:adjustRightInd w:val="0"/>
        <w:spacing w:line="240" w:lineRule="auto"/>
        <w:ind w:left="360"/>
        <w:jc w:val="center"/>
        <w:rPr>
          <w:b/>
          <w:sz w:val="28"/>
          <w:szCs w:val="28"/>
        </w:rPr>
      </w:pPr>
    </w:p>
    <w:p w14:paraId="19A4335B" w14:textId="77777777" w:rsidR="003B33F2" w:rsidRDefault="003B33F2" w:rsidP="003B33F2">
      <w:pPr>
        <w:widowControl w:val="0"/>
        <w:numPr>
          <w:ilvl w:val="0"/>
          <w:numId w:val="0"/>
        </w:numPr>
        <w:autoSpaceDE w:val="0"/>
        <w:autoSpaceDN w:val="0"/>
        <w:adjustRightInd w:val="0"/>
        <w:spacing w:line="240" w:lineRule="auto"/>
        <w:ind w:left="360"/>
        <w:jc w:val="center"/>
        <w:rPr>
          <w:b/>
          <w:sz w:val="28"/>
          <w:szCs w:val="28"/>
        </w:rPr>
      </w:pPr>
    </w:p>
    <w:p w14:paraId="4B52DEBC" w14:textId="77777777" w:rsidR="003B33F2" w:rsidRDefault="003B33F2" w:rsidP="003B33F2">
      <w:pPr>
        <w:widowControl w:val="0"/>
        <w:numPr>
          <w:ilvl w:val="0"/>
          <w:numId w:val="0"/>
        </w:numPr>
        <w:autoSpaceDE w:val="0"/>
        <w:autoSpaceDN w:val="0"/>
        <w:adjustRightInd w:val="0"/>
        <w:spacing w:line="240" w:lineRule="auto"/>
        <w:ind w:left="360"/>
        <w:jc w:val="center"/>
        <w:rPr>
          <w:b/>
          <w:sz w:val="28"/>
          <w:szCs w:val="28"/>
        </w:rPr>
      </w:pPr>
    </w:p>
    <w:p w14:paraId="4537A05F" w14:textId="77777777" w:rsidR="003B33F2" w:rsidRDefault="003B33F2" w:rsidP="003B33F2">
      <w:pPr>
        <w:widowControl w:val="0"/>
        <w:numPr>
          <w:ilvl w:val="0"/>
          <w:numId w:val="0"/>
        </w:numPr>
        <w:autoSpaceDE w:val="0"/>
        <w:autoSpaceDN w:val="0"/>
        <w:adjustRightInd w:val="0"/>
        <w:spacing w:line="240" w:lineRule="auto"/>
        <w:ind w:left="360"/>
        <w:jc w:val="center"/>
        <w:rPr>
          <w:b/>
          <w:sz w:val="28"/>
          <w:szCs w:val="28"/>
        </w:rPr>
      </w:pPr>
    </w:p>
    <w:p w14:paraId="021040B2" w14:textId="77777777" w:rsidR="003B33F2" w:rsidRDefault="003B33F2" w:rsidP="003B33F2">
      <w:pPr>
        <w:widowControl w:val="0"/>
        <w:numPr>
          <w:ilvl w:val="0"/>
          <w:numId w:val="0"/>
        </w:numPr>
        <w:autoSpaceDE w:val="0"/>
        <w:autoSpaceDN w:val="0"/>
        <w:adjustRightInd w:val="0"/>
        <w:spacing w:line="240" w:lineRule="auto"/>
        <w:ind w:left="360"/>
        <w:rPr>
          <w:b/>
          <w:sz w:val="28"/>
          <w:szCs w:val="28"/>
        </w:rPr>
      </w:pPr>
    </w:p>
    <w:p w14:paraId="448E9A85" w14:textId="77777777" w:rsidR="003B33F2" w:rsidRDefault="003B33F2" w:rsidP="003B33F2">
      <w:pPr>
        <w:numPr>
          <w:ilvl w:val="0"/>
          <w:numId w:val="0"/>
        </w:numPr>
        <w:spacing w:after="0" w:line="240" w:lineRule="auto"/>
        <w:ind w:left="360"/>
        <w:rPr>
          <w:b/>
          <w:sz w:val="24"/>
          <w:szCs w:val="24"/>
        </w:rPr>
      </w:pPr>
      <w:r>
        <w:rPr>
          <w:b/>
          <w:sz w:val="24"/>
          <w:szCs w:val="24"/>
        </w:rPr>
        <w:br w:type="page"/>
      </w:r>
    </w:p>
    <w:p w14:paraId="2DCAC074" w14:textId="43B82660" w:rsidR="003B33F2" w:rsidRPr="00890E3E" w:rsidRDefault="00062119" w:rsidP="003B33F2">
      <w:pPr>
        <w:numPr>
          <w:ilvl w:val="0"/>
          <w:numId w:val="0"/>
        </w:numPr>
        <w:spacing w:line="240" w:lineRule="auto"/>
        <w:ind w:left="360"/>
        <w:jc w:val="center"/>
        <w:rPr>
          <w:b/>
          <w:sz w:val="24"/>
          <w:szCs w:val="24"/>
        </w:rPr>
      </w:pPr>
      <w:r>
        <w:rPr>
          <w:b/>
          <w:sz w:val="24"/>
          <w:szCs w:val="24"/>
        </w:rPr>
        <w:t>Table</w:t>
      </w:r>
      <w:r w:rsidR="003B33F2" w:rsidRPr="00890E3E">
        <w:rPr>
          <w:b/>
          <w:sz w:val="24"/>
          <w:szCs w:val="24"/>
        </w:rPr>
        <w:t xml:space="preserve"> B:  </w:t>
      </w:r>
      <w:r w:rsidR="00152926">
        <w:rPr>
          <w:b/>
          <w:sz w:val="24"/>
          <w:szCs w:val="24"/>
        </w:rPr>
        <w:t>Continued Presence</w:t>
      </w:r>
    </w:p>
    <w:p w14:paraId="5645EE57" w14:textId="77777777" w:rsidR="003B33F2" w:rsidRPr="00890E3E" w:rsidRDefault="003B33F2" w:rsidP="003B33F2">
      <w:pPr>
        <w:numPr>
          <w:ilvl w:val="0"/>
          <w:numId w:val="0"/>
        </w:numPr>
        <w:spacing w:line="240" w:lineRule="auto"/>
        <w:ind w:left="360"/>
        <w:jc w:val="center"/>
        <w:rPr>
          <w:b/>
          <w:sz w:val="24"/>
          <w:szCs w:val="24"/>
        </w:rPr>
      </w:pPr>
      <w:r w:rsidRPr="00890E3E">
        <w:rPr>
          <w:b/>
          <w:sz w:val="24"/>
          <w:szCs w:val="24"/>
        </w:rPr>
        <w:t>Fiscal Years 20</w:t>
      </w:r>
      <w:r>
        <w:rPr>
          <w:b/>
          <w:sz w:val="24"/>
          <w:szCs w:val="24"/>
        </w:rPr>
        <w:t>16</w:t>
      </w:r>
      <w:r w:rsidRPr="00890E3E">
        <w:rPr>
          <w:b/>
          <w:sz w:val="24"/>
          <w:szCs w:val="24"/>
        </w:rPr>
        <w:t xml:space="preserve"> to 20</w:t>
      </w:r>
      <w:r>
        <w:rPr>
          <w:b/>
          <w:sz w:val="24"/>
          <w:szCs w:val="24"/>
        </w:rPr>
        <w:t>20</w:t>
      </w:r>
    </w:p>
    <w:p w14:paraId="53D57564" w14:textId="77777777" w:rsidR="003B33F2" w:rsidRPr="00FB6393" w:rsidRDefault="003B33F2" w:rsidP="003B33F2">
      <w:pPr>
        <w:numPr>
          <w:ilvl w:val="0"/>
          <w:numId w:val="0"/>
        </w:numPr>
        <w:spacing w:line="240" w:lineRule="auto"/>
        <w:ind w:left="360"/>
        <w:jc w:val="center"/>
        <w:rPr>
          <w:bCs/>
          <w:i/>
        </w:rPr>
      </w:pPr>
      <w:r w:rsidRPr="00FB6393">
        <w:rPr>
          <w:bCs/>
          <w:i/>
        </w:rPr>
        <w:t xml:space="preserve">Source:  Department of Homeland Security, U.S. Immigration and Customs </w:t>
      </w:r>
      <w:r w:rsidRPr="00FB6393">
        <w:rPr>
          <w:bCs/>
          <w:i/>
        </w:rPr>
        <w:br/>
        <w:t>Enforcement, Homeland Security Investigations, Law Enforcement Parole Unit</w:t>
      </w:r>
    </w:p>
    <w:tbl>
      <w:tblPr>
        <w:tblStyle w:val="TableGrid"/>
        <w:tblW w:w="11504" w:type="dxa"/>
        <w:tblInd w:w="-1448" w:type="dxa"/>
        <w:tblLayout w:type="fixed"/>
        <w:tblLook w:val="04A0" w:firstRow="1" w:lastRow="0" w:firstColumn="1" w:lastColumn="0" w:noHBand="0" w:noVBand="1"/>
      </w:tblPr>
      <w:tblGrid>
        <w:gridCol w:w="2358"/>
        <w:gridCol w:w="1710"/>
        <w:gridCol w:w="1620"/>
        <w:gridCol w:w="1980"/>
        <w:gridCol w:w="1918"/>
        <w:gridCol w:w="1918"/>
      </w:tblGrid>
      <w:tr w:rsidR="003B33F2" w:rsidRPr="00C24869" w14:paraId="69E1A613" w14:textId="77777777" w:rsidTr="003733BB">
        <w:tc>
          <w:tcPr>
            <w:tcW w:w="2358" w:type="dxa"/>
            <w:tcBorders>
              <w:top w:val="single" w:sz="12" w:space="0" w:color="auto"/>
              <w:left w:val="single" w:sz="12" w:space="0" w:color="auto"/>
              <w:bottom w:val="single" w:sz="12" w:space="0" w:color="auto"/>
              <w:right w:val="single" w:sz="12" w:space="0" w:color="auto"/>
            </w:tcBorders>
            <w:shd w:val="clear" w:color="auto" w:fill="auto"/>
            <w:vAlign w:val="center"/>
          </w:tcPr>
          <w:p w14:paraId="3F056BD9" w14:textId="77777777" w:rsidR="003B33F2" w:rsidRPr="00C24869" w:rsidRDefault="003B33F2" w:rsidP="003733BB">
            <w:pPr>
              <w:widowControl w:val="0"/>
              <w:numPr>
                <w:ilvl w:val="0"/>
                <w:numId w:val="0"/>
              </w:numPr>
              <w:autoSpaceDE w:val="0"/>
              <w:autoSpaceDN w:val="0"/>
              <w:adjustRightInd w:val="0"/>
              <w:spacing w:before="120" w:after="120" w:line="240" w:lineRule="auto"/>
              <w:ind w:left="360"/>
              <w:rPr>
                <w:b/>
                <w:sz w:val="24"/>
                <w:szCs w:val="24"/>
              </w:rPr>
            </w:pPr>
          </w:p>
        </w:tc>
        <w:tc>
          <w:tcPr>
            <w:tcW w:w="1710" w:type="dxa"/>
            <w:tcBorders>
              <w:top w:val="single" w:sz="12" w:space="0" w:color="auto"/>
              <w:left w:val="single" w:sz="12" w:space="0" w:color="auto"/>
              <w:bottom w:val="single" w:sz="12" w:space="0" w:color="auto"/>
            </w:tcBorders>
            <w:shd w:val="clear" w:color="auto" w:fill="auto"/>
            <w:vAlign w:val="center"/>
          </w:tcPr>
          <w:p w14:paraId="4E073A99" w14:textId="77777777" w:rsidR="003B33F2" w:rsidRPr="00C24869" w:rsidRDefault="003B33F2" w:rsidP="003733BB">
            <w:pPr>
              <w:widowControl w:val="0"/>
              <w:numPr>
                <w:ilvl w:val="0"/>
                <w:numId w:val="0"/>
              </w:numPr>
              <w:autoSpaceDE w:val="0"/>
              <w:autoSpaceDN w:val="0"/>
              <w:adjustRightInd w:val="0"/>
              <w:spacing w:before="120" w:after="120" w:line="240" w:lineRule="auto"/>
              <w:ind w:left="360"/>
              <w:jc w:val="center"/>
              <w:rPr>
                <w:b/>
                <w:sz w:val="24"/>
                <w:szCs w:val="24"/>
              </w:rPr>
            </w:pPr>
            <w:r w:rsidRPr="00C24869">
              <w:rPr>
                <w:b/>
                <w:sz w:val="24"/>
                <w:szCs w:val="24"/>
              </w:rPr>
              <w:t>FY 201</w:t>
            </w:r>
            <w:r>
              <w:rPr>
                <w:b/>
                <w:sz w:val="24"/>
                <w:szCs w:val="24"/>
              </w:rPr>
              <w:t>6</w:t>
            </w:r>
          </w:p>
        </w:tc>
        <w:tc>
          <w:tcPr>
            <w:tcW w:w="1620" w:type="dxa"/>
            <w:tcBorders>
              <w:top w:val="single" w:sz="12" w:space="0" w:color="auto"/>
              <w:bottom w:val="single" w:sz="12" w:space="0" w:color="auto"/>
            </w:tcBorders>
            <w:shd w:val="clear" w:color="auto" w:fill="auto"/>
            <w:vAlign w:val="center"/>
          </w:tcPr>
          <w:p w14:paraId="065FE676" w14:textId="77777777" w:rsidR="003B33F2" w:rsidRPr="00C24869" w:rsidRDefault="003B33F2" w:rsidP="003733BB">
            <w:pPr>
              <w:widowControl w:val="0"/>
              <w:numPr>
                <w:ilvl w:val="0"/>
                <w:numId w:val="0"/>
              </w:numPr>
              <w:autoSpaceDE w:val="0"/>
              <w:autoSpaceDN w:val="0"/>
              <w:adjustRightInd w:val="0"/>
              <w:spacing w:before="120" w:after="120" w:line="240" w:lineRule="auto"/>
              <w:ind w:left="360"/>
              <w:jc w:val="center"/>
              <w:rPr>
                <w:b/>
                <w:sz w:val="24"/>
                <w:szCs w:val="24"/>
              </w:rPr>
            </w:pPr>
            <w:r w:rsidRPr="00C24869">
              <w:rPr>
                <w:b/>
                <w:sz w:val="24"/>
                <w:szCs w:val="24"/>
              </w:rPr>
              <w:t>FY 201</w:t>
            </w:r>
            <w:r>
              <w:rPr>
                <w:b/>
                <w:sz w:val="24"/>
                <w:szCs w:val="24"/>
              </w:rPr>
              <w:t>7</w:t>
            </w:r>
          </w:p>
        </w:tc>
        <w:tc>
          <w:tcPr>
            <w:tcW w:w="1980" w:type="dxa"/>
            <w:tcBorders>
              <w:top w:val="single" w:sz="12" w:space="0" w:color="auto"/>
              <w:bottom w:val="single" w:sz="12" w:space="0" w:color="auto"/>
            </w:tcBorders>
            <w:shd w:val="clear" w:color="auto" w:fill="auto"/>
            <w:vAlign w:val="center"/>
          </w:tcPr>
          <w:p w14:paraId="2818FF68" w14:textId="77777777" w:rsidR="003B33F2" w:rsidRPr="00C24869" w:rsidRDefault="003B33F2" w:rsidP="003733BB">
            <w:pPr>
              <w:widowControl w:val="0"/>
              <w:numPr>
                <w:ilvl w:val="0"/>
                <w:numId w:val="0"/>
              </w:numPr>
              <w:autoSpaceDE w:val="0"/>
              <w:autoSpaceDN w:val="0"/>
              <w:adjustRightInd w:val="0"/>
              <w:spacing w:before="120" w:after="120" w:line="240" w:lineRule="auto"/>
              <w:ind w:left="360"/>
              <w:jc w:val="center"/>
              <w:rPr>
                <w:b/>
                <w:sz w:val="24"/>
                <w:szCs w:val="24"/>
              </w:rPr>
            </w:pPr>
            <w:r w:rsidRPr="00C24869">
              <w:rPr>
                <w:b/>
                <w:sz w:val="24"/>
                <w:szCs w:val="24"/>
              </w:rPr>
              <w:t>FY 201</w:t>
            </w:r>
            <w:r>
              <w:rPr>
                <w:b/>
                <w:sz w:val="24"/>
                <w:szCs w:val="24"/>
              </w:rPr>
              <w:t>8</w:t>
            </w:r>
          </w:p>
        </w:tc>
        <w:tc>
          <w:tcPr>
            <w:tcW w:w="1918" w:type="dxa"/>
            <w:tcBorders>
              <w:top w:val="single" w:sz="12" w:space="0" w:color="auto"/>
              <w:bottom w:val="single" w:sz="12" w:space="0" w:color="auto"/>
            </w:tcBorders>
            <w:shd w:val="clear" w:color="auto" w:fill="auto"/>
            <w:vAlign w:val="center"/>
          </w:tcPr>
          <w:p w14:paraId="620AF7A5" w14:textId="77777777" w:rsidR="003B33F2" w:rsidRPr="00C24869" w:rsidRDefault="003B33F2" w:rsidP="003733BB">
            <w:pPr>
              <w:widowControl w:val="0"/>
              <w:numPr>
                <w:ilvl w:val="0"/>
                <w:numId w:val="0"/>
              </w:numPr>
              <w:autoSpaceDE w:val="0"/>
              <w:autoSpaceDN w:val="0"/>
              <w:adjustRightInd w:val="0"/>
              <w:spacing w:before="120" w:after="120" w:line="240" w:lineRule="auto"/>
              <w:ind w:left="360"/>
              <w:jc w:val="center"/>
              <w:rPr>
                <w:b/>
                <w:sz w:val="24"/>
                <w:szCs w:val="24"/>
              </w:rPr>
            </w:pPr>
            <w:r w:rsidRPr="00C24869">
              <w:rPr>
                <w:b/>
                <w:sz w:val="24"/>
                <w:szCs w:val="24"/>
              </w:rPr>
              <w:t>FY 201</w:t>
            </w:r>
            <w:r>
              <w:rPr>
                <w:b/>
                <w:sz w:val="24"/>
                <w:szCs w:val="24"/>
              </w:rPr>
              <w:t>9</w:t>
            </w:r>
          </w:p>
        </w:tc>
        <w:tc>
          <w:tcPr>
            <w:tcW w:w="1918" w:type="dxa"/>
            <w:tcBorders>
              <w:top w:val="single" w:sz="12" w:space="0" w:color="auto"/>
              <w:bottom w:val="single" w:sz="12" w:space="0" w:color="auto"/>
            </w:tcBorders>
            <w:shd w:val="clear" w:color="auto" w:fill="auto"/>
            <w:vAlign w:val="center"/>
          </w:tcPr>
          <w:p w14:paraId="59CB5DFD" w14:textId="77777777" w:rsidR="003B33F2" w:rsidRPr="00C24869" w:rsidRDefault="003B33F2" w:rsidP="003733BB">
            <w:pPr>
              <w:widowControl w:val="0"/>
              <w:numPr>
                <w:ilvl w:val="0"/>
                <w:numId w:val="0"/>
              </w:numPr>
              <w:autoSpaceDE w:val="0"/>
              <w:autoSpaceDN w:val="0"/>
              <w:adjustRightInd w:val="0"/>
              <w:spacing w:before="120" w:after="120" w:line="240" w:lineRule="auto"/>
              <w:ind w:left="360"/>
              <w:jc w:val="center"/>
              <w:rPr>
                <w:b/>
                <w:sz w:val="24"/>
                <w:szCs w:val="24"/>
              </w:rPr>
            </w:pPr>
            <w:r>
              <w:rPr>
                <w:b/>
                <w:sz w:val="24"/>
                <w:szCs w:val="24"/>
              </w:rPr>
              <w:t>FY 2020</w:t>
            </w:r>
          </w:p>
        </w:tc>
      </w:tr>
      <w:tr w:rsidR="003B33F2" w14:paraId="4CD8B30E" w14:textId="77777777" w:rsidTr="003733BB">
        <w:tc>
          <w:tcPr>
            <w:tcW w:w="2358" w:type="dxa"/>
            <w:tcBorders>
              <w:top w:val="single" w:sz="12" w:space="0" w:color="auto"/>
              <w:left w:val="single" w:sz="12" w:space="0" w:color="auto"/>
              <w:right w:val="single" w:sz="12" w:space="0" w:color="auto"/>
            </w:tcBorders>
            <w:shd w:val="clear" w:color="auto" w:fill="auto"/>
            <w:vAlign w:val="center"/>
          </w:tcPr>
          <w:p w14:paraId="10AD07B7" w14:textId="77777777" w:rsidR="003B33F2" w:rsidRPr="00C24869" w:rsidRDefault="003B33F2" w:rsidP="003733BB">
            <w:pPr>
              <w:widowControl w:val="0"/>
              <w:numPr>
                <w:ilvl w:val="0"/>
                <w:numId w:val="0"/>
              </w:numPr>
              <w:autoSpaceDE w:val="0"/>
              <w:autoSpaceDN w:val="0"/>
              <w:adjustRightInd w:val="0"/>
              <w:spacing w:before="120" w:after="120" w:line="240" w:lineRule="auto"/>
              <w:ind w:left="360"/>
              <w:rPr>
                <w:b/>
                <w:sz w:val="24"/>
                <w:szCs w:val="24"/>
              </w:rPr>
            </w:pPr>
            <w:r w:rsidRPr="00C24869">
              <w:rPr>
                <w:b/>
                <w:sz w:val="24"/>
                <w:szCs w:val="24"/>
              </w:rPr>
              <w:t>Requests for continued presence</w:t>
            </w:r>
          </w:p>
        </w:tc>
        <w:tc>
          <w:tcPr>
            <w:tcW w:w="1710" w:type="dxa"/>
            <w:tcBorders>
              <w:top w:val="single" w:sz="12" w:space="0" w:color="auto"/>
              <w:left w:val="single" w:sz="12" w:space="0" w:color="auto"/>
            </w:tcBorders>
            <w:shd w:val="clear" w:color="auto" w:fill="auto"/>
            <w:vAlign w:val="center"/>
          </w:tcPr>
          <w:p w14:paraId="590D9EAB" w14:textId="77777777" w:rsidR="003B33F2" w:rsidRPr="00D9177C" w:rsidRDefault="003B33F2" w:rsidP="003733BB">
            <w:pPr>
              <w:widowControl w:val="0"/>
              <w:numPr>
                <w:ilvl w:val="0"/>
                <w:numId w:val="0"/>
              </w:numPr>
              <w:autoSpaceDE w:val="0"/>
              <w:autoSpaceDN w:val="0"/>
              <w:adjustRightInd w:val="0"/>
              <w:spacing w:before="120" w:after="120" w:line="240" w:lineRule="auto"/>
              <w:ind w:left="360"/>
              <w:jc w:val="center"/>
              <w:rPr>
                <w:sz w:val="24"/>
                <w:szCs w:val="24"/>
              </w:rPr>
            </w:pPr>
            <w:r w:rsidRPr="00D9177C">
              <w:rPr>
                <w:color w:val="000000"/>
              </w:rPr>
              <w:t>112</w:t>
            </w:r>
          </w:p>
        </w:tc>
        <w:tc>
          <w:tcPr>
            <w:tcW w:w="1620" w:type="dxa"/>
            <w:tcBorders>
              <w:top w:val="nil"/>
            </w:tcBorders>
            <w:shd w:val="clear" w:color="auto" w:fill="auto"/>
            <w:vAlign w:val="center"/>
          </w:tcPr>
          <w:p w14:paraId="7A8CDFE2" w14:textId="77777777" w:rsidR="003B33F2" w:rsidRPr="00D9177C" w:rsidRDefault="003B33F2" w:rsidP="003733BB">
            <w:pPr>
              <w:widowControl w:val="0"/>
              <w:numPr>
                <w:ilvl w:val="0"/>
                <w:numId w:val="0"/>
              </w:numPr>
              <w:autoSpaceDE w:val="0"/>
              <w:autoSpaceDN w:val="0"/>
              <w:adjustRightInd w:val="0"/>
              <w:spacing w:before="120" w:after="120" w:line="240" w:lineRule="auto"/>
              <w:ind w:left="360"/>
              <w:jc w:val="center"/>
              <w:rPr>
                <w:sz w:val="24"/>
                <w:szCs w:val="24"/>
              </w:rPr>
            </w:pPr>
            <w:r w:rsidRPr="00D9177C">
              <w:rPr>
                <w:color w:val="000000"/>
              </w:rPr>
              <w:t>104</w:t>
            </w:r>
          </w:p>
        </w:tc>
        <w:tc>
          <w:tcPr>
            <w:tcW w:w="1980" w:type="dxa"/>
            <w:tcBorders>
              <w:top w:val="single" w:sz="12" w:space="0" w:color="auto"/>
            </w:tcBorders>
            <w:shd w:val="clear" w:color="auto" w:fill="auto"/>
            <w:vAlign w:val="center"/>
          </w:tcPr>
          <w:p w14:paraId="0975D22C" w14:textId="77777777" w:rsidR="003B33F2" w:rsidRPr="00D9177C" w:rsidRDefault="003B33F2" w:rsidP="003733BB">
            <w:pPr>
              <w:widowControl w:val="0"/>
              <w:numPr>
                <w:ilvl w:val="0"/>
                <w:numId w:val="0"/>
              </w:numPr>
              <w:autoSpaceDE w:val="0"/>
              <w:autoSpaceDN w:val="0"/>
              <w:adjustRightInd w:val="0"/>
              <w:spacing w:before="120" w:after="120" w:line="240" w:lineRule="auto"/>
              <w:ind w:left="360"/>
              <w:jc w:val="center"/>
              <w:rPr>
                <w:sz w:val="24"/>
                <w:szCs w:val="24"/>
              </w:rPr>
            </w:pPr>
            <w:r w:rsidRPr="00D9177C">
              <w:rPr>
                <w:color w:val="000000"/>
              </w:rPr>
              <w:t>151</w:t>
            </w:r>
          </w:p>
        </w:tc>
        <w:tc>
          <w:tcPr>
            <w:tcW w:w="1918" w:type="dxa"/>
            <w:tcBorders>
              <w:top w:val="single" w:sz="12" w:space="0" w:color="auto"/>
            </w:tcBorders>
            <w:shd w:val="clear" w:color="auto" w:fill="auto"/>
            <w:vAlign w:val="center"/>
          </w:tcPr>
          <w:p w14:paraId="080C9936" w14:textId="77777777" w:rsidR="003B33F2" w:rsidRPr="00D9177C" w:rsidRDefault="003B33F2" w:rsidP="003733BB">
            <w:pPr>
              <w:widowControl w:val="0"/>
              <w:numPr>
                <w:ilvl w:val="0"/>
                <w:numId w:val="0"/>
              </w:numPr>
              <w:autoSpaceDE w:val="0"/>
              <w:autoSpaceDN w:val="0"/>
              <w:adjustRightInd w:val="0"/>
              <w:spacing w:before="120" w:after="120" w:line="240" w:lineRule="auto"/>
              <w:ind w:left="360"/>
              <w:jc w:val="center"/>
              <w:rPr>
                <w:sz w:val="24"/>
                <w:szCs w:val="24"/>
              </w:rPr>
            </w:pPr>
            <w:r w:rsidRPr="00D9177C">
              <w:rPr>
                <w:color w:val="000000"/>
              </w:rPr>
              <w:t>182</w:t>
            </w:r>
          </w:p>
        </w:tc>
        <w:tc>
          <w:tcPr>
            <w:tcW w:w="1918" w:type="dxa"/>
            <w:tcBorders>
              <w:top w:val="single" w:sz="12" w:space="0" w:color="auto"/>
            </w:tcBorders>
            <w:shd w:val="clear" w:color="auto" w:fill="auto"/>
            <w:vAlign w:val="center"/>
          </w:tcPr>
          <w:p w14:paraId="665E5B12" w14:textId="77777777" w:rsidR="003B33F2" w:rsidRPr="00D9177C" w:rsidRDefault="003B33F2" w:rsidP="003733BB">
            <w:pPr>
              <w:widowControl w:val="0"/>
              <w:numPr>
                <w:ilvl w:val="0"/>
                <w:numId w:val="0"/>
              </w:numPr>
              <w:autoSpaceDE w:val="0"/>
              <w:autoSpaceDN w:val="0"/>
              <w:adjustRightInd w:val="0"/>
              <w:spacing w:before="120" w:after="120" w:line="240" w:lineRule="auto"/>
              <w:ind w:left="360"/>
              <w:jc w:val="center"/>
              <w:rPr>
                <w:sz w:val="24"/>
                <w:szCs w:val="24"/>
              </w:rPr>
            </w:pPr>
            <w:r w:rsidRPr="00D9177C">
              <w:rPr>
                <w:color w:val="000000"/>
              </w:rPr>
              <w:t>161</w:t>
            </w:r>
          </w:p>
        </w:tc>
      </w:tr>
      <w:tr w:rsidR="003B33F2" w14:paraId="60814F10" w14:textId="77777777" w:rsidTr="003733BB">
        <w:tc>
          <w:tcPr>
            <w:tcW w:w="2358" w:type="dxa"/>
            <w:tcBorders>
              <w:left w:val="single" w:sz="12" w:space="0" w:color="auto"/>
              <w:right w:val="single" w:sz="12" w:space="0" w:color="auto"/>
            </w:tcBorders>
            <w:shd w:val="clear" w:color="auto" w:fill="auto"/>
            <w:vAlign w:val="center"/>
          </w:tcPr>
          <w:p w14:paraId="305A010B" w14:textId="77777777" w:rsidR="003B33F2" w:rsidRPr="00C24869" w:rsidRDefault="003B33F2" w:rsidP="003733BB">
            <w:pPr>
              <w:widowControl w:val="0"/>
              <w:numPr>
                <w:ilvl w:val="0"/>
                <w:numId w:val="0"/>
              </w:numPr>
              <w:autoSpaceDE w:val="0"/>
              <w:autoSpaceDN w:val="0"/>
              <w:adjustRightInd w:val="0"/>
              <w:spacing w:before="120" w:after="120" w:line="240" w:lineRule="auto"/>
              <w:ind w:left="360"/>
              <w:rPr>
                <w:b/>
                <w:sz w:val="24"/>
                <w:szCs w:val="24"/>
              </w:rPr>
            </w:pPr>
            <w:r w:rsidRPr="00C24869">
              <w:rPr>
                <w:b/>
                <w:sz w:val="24"/>
                <w:szCs w:val="24"/>
              </w:rPr>
              <w:t>Number awarded</w:t>
            </w:r>
          </w:p>
        </w:tc>
        <w:tc>
          <w:tcPr>
            <w:tcW w:w="1710" w:type="dxa"/>
            <w:tcBorders>
              <w:left w:val="single" w:sz="12" w:space="0" w:color="auto"/>
            </w:tcBorders>
            <w:shd w:val="clear" w:color="auto" w:fill="auto"/>
            <w:vAlign w:val="center"/>
          </w:tcPr>
          <w:p w14:paraId="07E6DE7D" w14:textId="77777777" w:rsidR="003B33F2" w:rsidRPr="00D9177C" w:rsidRDefault="003B33F2" w:rsidP="003733BB">
            <w:pPr>
              <w:widowControl w:val="0"/>
              <w:numPr>
                <w:ilvl w:val="0"/>
                <w:numId w:val="0"/>
              </w:numPr>
              <w:autoSpaceDE w:val="0"/>
              <w:autoSpaceDN w:val="0"/>
              <w:adjustRightInd w:val="0"/>
              <w:spacing w:before="120" w:after="120" w:line="240" w:lineRule="auto"/>
              <w:ind w:left="360"/>
              <w:jc w:val="center"/>
              <w:rPr>
                <w:sz w:val="24"/>
                <w:szCs w:val="24"/>
              </w:rPr>
            </w:pPr>
            <w:r w:rsidRPr="00D9177C">
              <w:rPr>
                <w:color w:val="000000"/>
              </w:rPr>
              <w:t>69</w:t>
            </w:r>
          </w:p>
        </w:tc>
        <w:tc>
          <w:tcPr>
            <w:tcW w:w="1620" w:type="dxa"/>
            <w:shd w:val="clear" w:color="auto" w:fill="auto"/>
            <w:vAlign w:val="center"/>
          </w:tcPr>
          <w:p w14:paraId="3EF20C92" w14:textId="77777777" w:rsidR="003B33F2" w:rsidRPr="00D9177C" w:rsidRDefault="003B33F2" w:rsidP="003733BB">
            <w:pPr>
              <w:widowControl w:val="0"/>
              <w:numPr>
                <w:ilvl w:val="0"/>
                <w:numId w:val="0"/>
              </w:numPr>
              <w:autoSpaceDE w:val="0"/>
              <w:autoSpaceDN w:val="0"/>
              <w:adjustRightInd w:val="0"/>
              <w:spacing w:before="120" w:after="120" w:line="240" w:lineRule="auto"/>
              <w:ind w:left="360"/>
              <w:jc w:val="center"/>
              <w:rPr>
                <w:sz w:val="24"/>
                <w:szCs w:val="24"/>
              </w:rPr>
            </w:pPr>
            <w:r w:rsidRPr="00D9177C">
              <w:rPr>
                <w:color w:val="000000"/>
              </w:rPr>
              <w:t>52</w:t>
            </w:r>
          </w:p>
        </w:tc>
        <w:tc>
          <w:tcPr>
            <w:tcW w:w="1980" w:type="dxa"/>
            <w:shd w:val="clear" w:color="auto" w:fill="auto"/>
            <w:vAlign w:val="center"/>
          </w:tcPr>
          <w:p w14:paraId="66D9087D" w14:textId="77777777" w:rsidR="003B33F2" w:rsidRPr="00D9177C" w:rsidRDefault="003B33F2" w:rsidP="003733BB">
            <w:pPr>
              <w:widowControl w:val="0"/>
              <w:numPr>
                <w:ilvl w:val="0"/>
                <w:numId w:val="0"/>
              </w:numPr>
              <w:autoSpaceDE w:val="0"/>
              <w:autoSpaceDN w:val="0"/>
              <w:adjustRightInd w:val="0"/>
              <w:spacing w:before="120" w:after="120" w:line="240" w:lineRule="auto"/>
              <w:ind w:left="360"/>
              <w:jc w:val="center"/>
              <w:rPr>
                <w:sz w:val="24"/>
                <w:szCs w:val="24"/>
              </w:rPr>
            </w:pPr>
            <w:r w:rsidRPr="00D9177C">
              <w:rPr>
                <w:color w:val="000000"/>
              </w:rPr>
              <w:t>86</w:t>
            </w:r>
          </w:p>
        </w:tc>
        <w:tc>
          <w:tcPr>
            <w:tcW w:w="1918" w:type="dxa"/>
            <w:shd w:val="clear" w:color="auto" w:fill="auto"/>
            <w:vAlign w:val="center"/>
          </w:tcPr>
          <w:p w14:paraId="2F27A03E" w14:textId="77777777" w:rsidR="003B33F2" w:rsidRPr="00D9177C" w:rsidRDefault="003B33F2" w:rsidP="003733BB">
            <w:pPr>
              <w:widowControl w:val="0"/>
              <w:numPr>
                <w:ilvl w:val="0"/>
                <w:numId w:val="0"/>
              </w:numPr>
              <w:autoSpaceDE w:val="0"/>
              <w:autoSpaceDN w:val="0"/>
              <w:adjustRightInd w:val="0"/>
              <w:spacing w:before="120" w:after="120" w:line="240" w:lineRule="auto"/>
              <w:ind w:left="360"/>
              <w:jc w:val="center"/>
              <w:rPr>
                <w:sz w:val="24"/>
                <w:szCs w:val="24"/>
              </w:rPr>
            </w:pPr>
            <w:r w:rsidRPr="00D9177C">
              <w:rPr>
                <w:color w:val="000000"/>
              </w:rPr>
              <w:t>125</w:t>
            </w:r>
          </w:p>
        </w:tc>
        <w:tc>
          <w:tcPr>
            <w:tcW w:w="1918" w:type="dxa"/>
            <w:shd w:val="clear" w:color="auto" w:fill="auto"/>
            <w:vAlign w:val="center"/>
          </w:tcPr>
          <w:p w14:paraId="1E3B3587" w14:textId="77777777" w:rsidR="003B33F2" w:rsidRPr="00D9177C" w:rsidRDefault="003B33F2" w:rsidP="003733BB">
            <w:pPr>
              <w:widowControl w:val="0"/>
              <w:numPr>
                <w:ilvl w:val="0"/>
                <w:numId w:val="0"/>
              </w:numPr>
              <w:autoSpaceDE w:val="0"/>
              <w:autoSpaceDN w:val="0"/>
              <w:adjustRightInd w:val="0"/>
              <w:spacing w:before="120" w:after="120" w:line="240" w:lineRule="auto"/>
              <w:ind w:left="360"/>
              <w:jc w:val="center"/>
              <w:rPr>
                <w:sz w:val="24"/>
                <w:szCs w:val="24"/>
              </w:rPr>
            </w:pPr>
            <w:r w:rsidRPr="00D9177C">
              <w:rPr>
                <w:color w:val="000000"/>
              </w:rPr>
              <w:t>97</w:t>
            </w:r>
          </w:p>
        </w:tc>
      </w:tr>
      <w:tr w:rsidR="003B33F2" w14:paraId="227D5ED1" w14:textId="77777777" w:rsidTr="003733BB">
        <w:tc>
          <w:tcPr>
            <w:tcW w:w="2358" w:type="dxa"/>
            <w:tcBorders>
              <w:left w:val="single" w:sz="12" w:space="0" w:color="auto"/>
              <w:right w:val="single" w:sz="12" w:space="0" w:color="auto"/>
            </w:tcBorders>
            <w:shd w:val="clear" w:color="auto" w:fill="auto"/>
            <w:vAlign w:val="center"/>
          </w:tcPr>
          <w:p w14:paraId="5BC2FC8A" w14:textId="77777777" w:rsidR="003B33F2" w:rsidRPr="00C24869" w:rsidRDefault="003B33F2" w:rsidP="003733BB">
            <w:pPr>
              <w:widowControl w:val="0"/>
              <w:numPr>
                <w:ilvl w:val="0"/>
                <w:numId w:val="0"/>
              </w:numPr>
              <w:autoSpaceDE w:val="0"/>
              <w:autoSpaceDN w:val="0"/>
              <w:adjustRightInd w:val="0"/>
              <w:spacing w:before="120" w:after="120" w:line="240" w:lineRule="auto"/>
              <w:ind w:left="360"/>
              <w:rPr>
                <w:b/>
                <w:sz w:val="24"/>
                <w:szCs w:val="24"/>
              </w:rPr>
            </w:pPr>
            <w:r w:rsidRPr="00C24869">
              <w:rPr>
                <w:b/>
                <w:sz w:val="24"/>
                <w:szCs w:val="24"/>
              </w:rPr>
              <w:t>Number withdrawn or denied</w:t>
            </w:r>
          </w:p>
        </w:tc>
        <w:tc>
          <w:tcPr>
            <w:tcW w:w="1710" w:type="dxa"/>
            <w:tcBorders>
              <w:left w:val="single" w:sz="12" w:space="0" w:color="auto"/>
            </w:tcBorders>
            <w:shd w:val="clear" w:color="auto" w:fill="auto"/>
            <w:vAlign w:val="center"/>
          </w:tcPr>
          <w:p w14:paraId="625F3144" w14:textId="77777777" w:rsidR="003B33F2" w:rsidRPr="00D9177C" w:rsidRDefault="003B33F2" w:rsidP="003733BB">
            <w:pPr>
              <w:widowControl w:val="0"/>
              <w:numPr>
                <w:ilvl w:val="0"/>
                <w:numId w:val="0"/>
              </w:numPr>
              <w:autoSpaceDE w:val="0"/>
              <w:autoSpaceDN w:val="0"/>
              <w:adjustRightInd w:val="0"/>
              <w:spacing w:before="120" w:after="120" w:line="240" w:lineRule="auto"/>
              <w:ind w:left="360"/>
              <w:jc w:val="center"/>
              <w:rPr>
                <w:sz w:val="24"/>
                <w:szCs w:val="24"/>
              </w:rPr>
            </w:pPr>
            <w:r w:rsidRPr="00D9177C">
              <w:rPr>
                <w:color w:val="000000"/>
              </w:rPr>
              <w:t>1</w:t>
            </w:r>
          </w:p>
        </w:tc>
        <w:tc>
          <w:tcPr>
            <w:tcW w:w="1620" w:type="dxa"/>
            <w:shd w:val="clear" w:color="auto" w:fill="auto"/>
            <w:vAlign w:val="center"/>
          </w:tcPr>
          <w:p w14:paraId="78F1F68F" w14:textId="77777777" w:rsidR="003B33F2" w:rsidRPr="00D9177C" w:rsidRDefault="003B33F2" w:rsidP="003733BB">
            <w:pPr>
              <w:widowControl w:val="0"/>
              <w:numPr>
                <w:ilvl w:val="0"/>
                <w:numId w:val="0"/>
              </w:numPr>
              <w:autoSpaceDE w:val="0"/>
              <w:autoSpaceDN w:val="0"/>
              <w:adjustRightInd w:val="0"/>
              <w:spacing w:before="120" w:after="120" w:line="240" w:lineRule="auto"/>
              <w:ind w:left="360"/>
              <w:jc w:val="center"/>
              <w:rPr>
                <w:sz w:val="24"/>
                <w:szCs w:val="24"/>
              </w:rPr>
            </w:pPr>
            <w:r w:rsidRPr="00D9177C">
              <w:rPr>
                <w:color w:val="000000"/>
              </w:rPr>
              <w:t>2</w:t>
            </w:r>
          </w:p>
        </w:tc>
        <w:tc>
          <w:tcPr>
            <w:tcW w:w="1980" w:type="dxa"/>
            <w:shd w:val="clear" w:color="auto" w:fill="auto"/>
            <w:vAlign w:val="center"/>
          </w:tcPr>
          <w:p w14:paraId="758CCBA0" w14:textId="77777777" w:rsidR="003B33F2" w:rsidRPr="00D9177C" w:rsidRDefault="003B33F2" w:rsidP="003733BB">
            <w:pPr>
              <w:widowControl w:val="0"/>
              <w:numPr>
                <w:ilvl w:val="0"/>
                <w:numId w:val="0"/>
              </w:numPr>
              <w:autoSpaceDE w:val="0"/>
              <w:autoSpaceDN w:val="0"/>
              <w:adjustRightInd w:val="0"/>
              <w:spacing w:before="120" w:after="120" w:line="240" w:lineRule="auto"/>
              <w:ind w:left="360"/>
              <w:jc w:val="center"/>
              <w:rPr>
                <w:sz w:val="24"/>
                <w:szCs w:val="24"/>
              </w:rPr>
            </w:pPr>
            <w:r w:rsidRPr="00D9177C">
              <w:rPr>
                <w:color w:val="000000"/>
              </w:rPr>
              <w:t>42</w:t>
            </w:r>
          </w:p>
        </w:tc>
        <w:tc>
          <w:tcPr>
            <w:tcW w:w="1918" w:type="dxa"/>
            <w:shd w:val="clear" w:color="auto" w:fill="auto"/>
            <w:vAlign w:val="center"/>
          </w:tcPr>
          <w:p w14:paraId="356CA6BF" w14:textId="77777777" w:rsidR="003B33F2" w:rsidRPr="00D9177C" w:rsidRDefault="003B33F2" w:rsidP="003733BB">
            <w:pPr>
              <w:widowControl w:val="0"/>
              <w:numPr>
                <w:ilvl w:val="0"/>
                <w:numId w:val="0"/>
              </w:numPr>
              <w:autoSpaceDE w:val="0"/>
              <w:autoSpaceDN w:val="0"/>
              <w:adjustRightInd w:val="0"/>
              <w:spacing w:before="120" w:after="120" w:line="240" w:lineRule="auto"/>
              <w:ind w:left="360"/>
              <w:jc w:val="center"/>
              <w:rPr>
                <w:sz w:val="24"/>
                <w:szCs w:val="24"/>
              </w:rPr>
            </w:pPr>
            <w:r w:rsidRPr="00D9177C">
              <w:rPr>
                <w:color w:val="000000"/>
              </w:rPr>
              <w:t>9</w:t>
            </w:r>
          </w:p>
        </w:tc>
        <w:tc>
          <w:tcPr>
            <w:tcW w:w="1918" w:type="dxa"/>
            <w:shd w:val="clear" w:color="auto" w:fill="auto"/>
            <w:vAlign w:val="center"/>
          </w:tcPr>
          <w:p w14:paraId="2445BD56" w14:textId="77777777" w:rsidR="003B33F2" w:rsidRPr="00D9177C" w:rsidRDefault="003B33F2" w:rsidP="003733BB">
            <w:pPr>
              <w:widowControl w:val="0"/>
              <w:numPr>
                <w:ilvl w:val="0"/>
                <w:numId w:val="0"/>
              </w:numPr>
              <w:autoSpaceDE w:val="0"/>
              <w:autoSpaceDN w:val="0"/>
              <w:adjustRightInd w:val="0"/>
              <w:spacing w:before="120" w:after="120" w:line="240" w:lineRule="auto"/>
              <w:ind w:left="360"/>
              <w:jc w:val="center"/>
              <w:rPr>
                <w:sz w:val="24"/>
                <w:szCs w:val="24"/>
              </w:rPr>
            </w:pPr>
            <w:r w:rsidRPr="00D9177C">
              <w:rPr>
                <w:color w:val="000000"/>
              </w:rPr>
              <w:t>8</w:t>
            </w:r>
          </w:p>
        </w:tc>
      </w:tr>
      <w:tr w:rsidR="003B33F2" w14:paraId="574C6275" w14:textId="77777777" w:rsidTr="003733BB">
        <w:tc>
          <w:tcPr>
            <w:tcW w:w="2358" w:type="dxa"/>
            <w:tcBorders>
              <w:left w:val="single" w:sz="12" w:space="0" w:color="auto"/>
              <w:right w:val="single" w:sz="12" w:space="0" w:color="auto"/>
            </w:tcBorders>
            <w:shd w:val="clear" w:color="auto" w:fill="auto"/>
            <w:vAlign w:val="center"/>
          </w:tcPr>
          <w:p w14:paraId="3EAB31D9" w14:textId="77777777" w:rsidR="003B33F2" w:rsidRPr="00C24869" w:rsidRDefault="003B33F2" w:rsidP="003733BB">
            <w:pPr>
              <w:widowControl w:val="0"/>
              <w:numPr>
                <w:ilvl w:val="0"/>
                <w:numId w:val="0"/>
              </w:numPr>
              <w:autoSpaceDE w:val="0"/>
              <w:autoSpaceDN w:val="0"/>
              <w:adjustRightInd w:val="0"/>
              <w:spacing w:before="120" w:after="120" w:line="240" w:lineRule="auto"/>
              <w:ind w:left="360"/>
              <w:rPr>
                <w:b/>
                <w:sz w:val="24"/>
                <w:szCs w:val="24"/>
              </w:rPr>
            </w:pPr>
            <w:r w:rsidRPr="00C24869">
              <w:rPr>
                <w:b/>
                <w:sz w:val="24"/>
                <w:szCs w:val="24"/>
              </w:rPr>
              <w:t>Extension</w:t>
            </w:r>
            <w:r>
              <w:rPr>
                <w:b/>
                <w:sz w:val="24"/>
                <w:szCs w:val="24"/>
              </w:rPr>
              <w:t>s</w:t>
            </w:r>
            <w:r w:rsidRPr="00C24869">
              <w:rPr>
                <w:b/>
                <w:sz w:val="24"/>
                <w:szCs w:val="24"/>
              </w:rPr>
              <w:t xml:space="preserve"> </w:t>
            </w:r>
            <w:r>
              <w:rPr>
                <w:b/>
                <w:sz w:val="24"/>
                <w:szCs w:val="24"/>
              </w:rPr>
              <w:t>granted</w:t>
            </w:r>
          </w:p>
        </w:tc>
        <w:tc>
          <w:tcPr>
            <w:tcW w:w="1710" w:type="dxa"/>
            <w:tcBorders>
              <w:left w:val="single" w:sz="12" w:space="0" w:color="auto"/>
            </w:tcBorders>
            <w:shd w:val="clear" w:color="auto" w:fill="auto"/>
            <w:vAlign w:val="center"/>
          </w:tcPr>
          <w:p w14:paraId="48A414F8" w14:textId="77777777" w:rsidR="003B33F2" w:rsidRPr="00D9177C" w:rsidRDefault="003B33F2" w:rsidP="003733BB">
            <w:pPr>
              <w:widowControl w:val="0"/>
              <w:numPr>
                <w:ilvl w:val="0"/>
                <w:numId w:val="0"/>
              </w:numPr>
              <w:autoSpaceDE w:val="0"/>
              <w:autoSpaceDN w:val="0"/>
              <w:adjustRightInd w:val="0"/>
              <w:spacing w:before="120" w:after="120" w:line="240" w:lineRule="auto"/>
              <w:ind w:left="360"/>
              <w:jc w:val="center"/>
              <w:rPr>
                <w:sz w:val="24"/>
                <w:szCs w:val="24"/>
              </w:rPr>
            </w:pPr>
            <w:r w:rsidRPr="00D9177C">
              <w:rPr>
                <w:color w:val="000000"/>
              </w:rPr>
              <w:t>42</w:t>
            </w:r>
          </w:p>
        </w:tc>
        <w:tc>
          <w:tcPr>
            <w:tcW w:w="1620" w:type="dxa"/>
            <w:shd w:val="clear" w:color="auto" w:fill="auto"/>
            <w:vAlign w:val="center"/>
          </w:tcPr>
          <w:p w14:paraId="59C53E57" w14:textId="77777777" w:rsidR="003B33F2" w:rsidRPr="00D9177C" w:rsidRDefault="003B33F2" w:rsidP="003733BB">
            <w:pPr>
              <w:widowControl w:val="0"/>
              <w:numPr>
                <w:ilvl w:val="0"/>
                <w:numId w:val="0"/>
              </w:numPr>
              <w:autoSpaceDE w:val="0"/>
              <w:autoSpaceDN w:val="0"/>
              <w:adjustRightInd w:val="0"/>
              <w:spacing w:before="120" w:after="120" w:line="240" w:lineRule="auto"/>
              <w:ind w:left="360"/>
              <w:jc w:val="center"/>
              <w:rPr>
                <w:sz w:val="24"/>
                <w:szCs w:val="24"/>
              </w:rPr>
            </w:pPr>
            <w:r w:rsidRPr="00D9177C">
              <w:rPr>
                <w:color w:val="000000"/>
              </w:rPr>
              <w:t>104</w:t>
            </w:r>
          </w:p>
        </w:tc>
        <w:tc>
          <w:tcPr>
            <w:tcW w:w="1980" w:type="dxa"/>
            <w:shd w:val="clear" w:color="auto" w:fill="auto"/>
            <w:vAlign w:val="center"/>
          </w:tcPr>
          <w:p w14:paraId="7EF57E0C" w14:textId="77777777" w:rsidR="003B33F2" w:rsidRPr="00D9177C" w:rsidRDefault="003B33F2" w:rsidP="003733BB">
            <w:pPr>
              <w:widowControl w:val="0"/>
              <w:numPr>
                <w:ilvl w:val="0"/>
                <w:numId w:val="0"/>
              </w:numPr>
              <w:autoSpaceDE w:val="0"/>
              <w:autoSpaceDN w:val="0"/>
              <w:adjustRightInd w:val="0"/>
              <w:spacing w:before="120" w:after="120" w:line="240" w:lineRule="auto"/>
              <w:ind w:left="360"/>
              <w:jc w:val="center"/>
              <w:rPr>
                <w:sz w:val="24"/>
                <w:szCs w:val="24"/>
              </w:rPr>
            </w:pPr>
            <w:r w:rsidRPr="00D9177C">
              <w:rPr>
                <w:color w:val="000000"/>
              </w:rPr>
              <w:t>23</w:t>
            </w:r>
          </w:p>
        </w:tc>
        <w:tc>
          <w:tcPr>
            <w:tcW w:w="1918" w:type="dxa"/>
            <w:shd w:val="clear" w:color="auto" w:fill="auto"/>
            <w:vAlign w:val="center"/>
          </w:tcPr>
          <w:p w14:paraId="2AF18886" w14:textId="77777777" w:rsidR="003B33F2" w:rsidRPr="00D9177C" w:rsidRDefault="003B33F2" w:rsidP="003733BB">
            <w:pPr>
              <w:widowControl w:val="0"/>
              <w:numPr>
                <w:ilvl w:val="0"/>
                <w:numId w:val="0"/>
              </w:numPr>
              <w:autoSpaceDE w:val="0"/>
              <w:autoSpaceDN w:val="0"/>
              <w:adjustRightInd w:val="0"/>
              <w:spacing w:before="120" w:after="120" w:line="240" w:lineRule="auto"/>
              <w:ind w:left="360"/>
              <w:jc w:val="center"/>
              <w:rPr>
                <w:sz w:val="24"/>
                <w:szCs w:val="24"/>
              </w:rPr>
            </w:pPr>
            <w:r w:rsidRPr="00D9177C">
              <w:rPr>
                <w:color w:val="000000"/>
              </w:rPr>
              <w:t>48</w:t>
            </w:r>
          </w:p>
        </w:tc>
        <w:tc>
          <w:tcPr>
            <w:tcW w:w="1918" w:type="dxa"/>
            <w:shd w:val="clear" w:color="auto" w:fill="auto"/>
            <w:vAlign w:val="center"/>
          </w:tcPr>
          <w:p w14:paraId="0F0F4164" w14:textId="77777777" w:rsidR="003B33F2" w:rsidRPr="00D9177C" w:rsidRDefault="003B33F2" w:rsidP="003733BB">
            <w:pPr>
              <w:widowControl w:val="0"/>
              <w:numPr>
                <w:ilvl w:val="0"/>
                <w:numId w:val="0"/>
              </w:numPr>
              <w:autoSpaceDE w:val="0"/>
              <w:autoSpaceDN w:val="0"/>
              <w:adjustRightInd w:val="0"/>
              <w:spacing w:before="120" w:after="120" w:line="240" w:lineRule="auto"/>
              <w:ind w:left="360"/>
              <w:jc w:val="center"/>
              <w:rPr>
                <w:sz w:val="24"/>
                <w:szCs w:val="24"/>
              </w:rPr>
            </w:pPr>
            <w:r w:rsidRPr="00D9177C">
              <w:rPr>
                <w:color w:val="000000"/>
              </w:rPr>
              <w:t>56</w:t>
            </w:r>
          </w:p>
        </w:tc>
      </w:tr>
      <w:tr w:rsidR="003B33F2" w14:paraId="3098433B" w14:textId="77777777" w:rsidTr="003733BB">
        <w:tc>
          <w:tcPr>
            <w:tcW w:w="2358" w:type="dxa"/>
            <w:tcBorders>
              <w:left w:val="single" w:sz="12" w:space="0" w:color="auto"/>
              <w:right w:val="single" w:sz="12" w:space="0" w:color="auto"/>
            </w:tcBorders>
            <w:shd w:val="clear" w:color="auto" w:fill="auto"/>
            <w:vAlign w:val="center"/>
          </w:tcPr>
          <w:p w14:paraId="286A0722" w14:textId="77777777" w:rsidR="003B33F2" w:rsidRPr="00C24869" w:rsidRDefault="003B33F2" w:rsidP="003733BB">
            <w:pPr>
              <w:widowControl w:val="0"/>
              <w:numPr>
                <w:ilvl w:val="0"/>
                <w:numId w:val="0"/>
              </w:numPr>
              <w:autoSpaceDE w:val="0"/>
              <w:autoSpaceDN w:val="0"/>
              <w:adjustRightInd w:val="0"/>
              <w:spacing w:before="120" w:after="120" w:line="240" w:lineRule="auto"/>
              <w:ind w:left="360"/>
              <w:rPr>
                <w:b/>
                <w:sz w:val="24"/>
                <w:szCs w:val="24"/>
              </w:rPr>
            </w:pPr>
            <w:r w:rsidRPr="00C24869">
              <w:rPr>
                <w:b/>
                <w:sz w:val="24"/>
                <w:szCs w:val="24"/>
              </w:rPr>
              <w:t>Countries represented</w:t>
            </w:r>
          </w:p>
        </w:tc>
        <w:tc>
          <w:tcPr>
            <w:tcW w:w="1710" w:type="dxa"/>
            <w:tcBorders>
              <w:left w:val="single" w:sz="12" w:space="0" w:color="auto"/>
            </w:tcBorders>
            <w:shd w:val="clear" w:color="auto" w:fill="auto"/>
            <w:vAlign w:val="center"/>
          </w:tcPr>
          <w:p w14:paraId="06A07B06" w14:textId="77777777" w:rsidR="003B33F2" w:rsidRPr="00D9177C" w:rsidRDefault="003B33F2" w:rsidP="003733BB">
            <w:pPr>
              <w:widowControl w:val="0"/>
              <w:numPr>
                <w:ilvl w:val="0"/>
                <w:numId w:val="0"/>
              </w:numPr>
              <w:autoSpaceDE w:val="0"/>
              <w:autoSpaceDN w:val="0"/>
              <w:adjustRightInd w:val="0"/>
              <w:spacing w:before="120" w:after="120" w:line="240" w:lineRule="auto"/>
              <w:ind w:left="360"/>
              <w:jc w:val="center"/>
              <w:rPr>
                <w:sz w:val="24"/>
                <w:szCs w:val="24"/>
              </w:rPr>
            </w:pPr>
            <w:r w:rsidRPr="00D9177C">
              <w:rPr>
                <w:color w:val="000000"/>
              </w:rPr>
              <w:t>22</w:t>
            </w:r>
          </w:p>
        </w:tc>
        <w:tc>
          <w:tcPr>
            <w:tcW w:w="1620" w:type="dxa"/>
            <w:shd w:val="clear" w:color="auto" w:fill="auto"/>
            <w:vAlign w:val="center"/>
          </w:tcPr>
          <w:p w14:paraId="559C3639" w14:textId="77777777" w:rsidR="003B33F2" w:rsidRPr="00D9177C" w:rsidRDefault="003B33F2" w:rsidP="003733BB">
            <w:pPr>
              <w:widowControl w:val="0"/>
              <w:numPr>
                <w:ilvl w:val="0"/>
                <w:numId w:val="0"/>
              </w:numPr>
              <w:autoSpaceDE w:val="0"/>
              <w:autoSpaceDN w:val="0"/>
              <w:adjustRightInd w:val="0"/>
              <w:spacing w:before="120" w:after="120" w:line="240" w:lineRule="auto"/>
              <w:ind w:left="360"/>
              <w:jc w:val="center"/>
              <w:rPr>
                <w:sz w:val="24"/>
                <w:szCs w:val="24"/>
              </w:rPr>
            </w:pPr>
            <w:r w:rsidRPr="00D9177C">
              <w:rPr>
                <w:color w:val="000000"/>
              </w:rPr>
              <w:t>22</w:t>
            </w:r>
          </w:p>
        </w:tc>
        <w:tc>
          <w:tcPr>
            <w:tcW w:w="1980" w:type="dxa"/>
            <w:shd w:val="clear" w:color="auto" w:fill="auto"/>
            <w:vAlign w:val="center"/>
          </w:tcPr>
          <w:p w14:paraId="64D90684" w14:textId="77777777" w:rsidR="003B33F2" w:rsidRPr="00D9177C" w:rsidRDefault="003B33F2" w:rsidP="003733BB">
            <w:pPr>
              <w:widowControl w:val="0"/>
              <w:numPr>
                <w:ilvl w:val="0"/>
                <w:numId w:val="0"/>
              </w:numPr>
              <w:autoSpaceDE w:val="0"/>
              <w:autoSpaceDN w:val="0"/>
              <w:adjustRightInd w:val="0"/>
              <w:spacing w:before="120" w:after="120" w:line="240" w:lineRule="auto"/>
              <w:ind w:left="360"/>
              <w:jc w:val="center"/>
              <w:rPr>
                <w:sz w:val="24"/>
                <w:szCs w:val="24"/>
              </w:rPr>
            </w:pPr>
            <w:r w:rsidRPr="00D9177C">
              <w:rPr>
                <w:color w:val="000000"/>
              </w:rPr>
              <w:t>37</w:t>
            </w:r>
          </w:p>
        </w:tc>
        <w:tc>
          <w:tcPr>
            <w:tcW w:w="1918" w:type="dxa"/>
            <w:shd w:val="clear" w:color="auto" w:fill="auto"/>
            <w:vAlign w:val="center"/>
          </w:tcPr>
          <w:p w14:paraId="74DBDFAD" w14:textId="77777777" w:rsidR="003B33F2" w:rsidRPr="00D9177C" w:rsidRDefault="003B33F2" w:rsidP="003733BB">
            <w:pPr>
              <w:widowControl w:val="0"/>
              <w:numPr>
                <w:ilvl w:val="0"/>
                <w:numId w:val="0"/>
              </w:numPr>
              <w:autoSpaceDE w:val="0"/>
              <w:autoSpaceDN w:val="0"/>
              <w:adjustRightInd w:val="0"/>
              <w:spacing w:before="120" w:after="120" w:line="240" w:lineRule="auto"/>
              <w:ind w:left="360"/>
              <w:jc w:val="center"/>
              <w:rPr>
                <w:sz w:val="24"/>
                <w:szCs w:val="24"/>
              </w:rPr>
            </w:pPr>
            <w:r w:rsidRPr="00D9177C">
              <w:rPr>
                <w:color w:val="000000"/>
              </w:rPr>
              <w:t>32</w:t>
            </w:r>
          </w:p>
        </w:tc>
        <w:tc>
          <w:tcPr>
            <w:tcW w:w="1918" w:type="dxa"/>
            <w:shd w:val="clear" w:color="auto" w:fill="auto"/>
            <w:vAlign w:val="center"/>
          </w:tcPr>
          <w:p w14:paraId="3220D501" w14:textId="77777777" w:rsidR="003B33F2" w:rsidRPr="00D9177C" w:rsidRDefault="003B33F2" w:rsidP="003733BB">
            <w:pPr>
              <w:widowControl w:val="0"/>
              <w:numPr>
                <w:ilvl w:val="0"/>
                <w:numId w:val="0"/>
              </w:numPr>
              <w:autoSpaceDE w:val="0"/>
              <w:autoSpaceDN w:val="0"/>
              <w:adjustRightInd w:val="0"/>
              <w:spacing w:before="120" w:after="120" w:line="240" w:lineRule="auto"/>
              <w:ind w:left="360"/>
              <w:jc w:val="center"/>
              <w:rPr>
                <w:sz w:val="24"/>
                <w:szCs w:val="24"/>
              </w:rPr>
            </w:pPr>
            <w:r w:rsidRPr="00D9177C">
              <w:rPr>
                <w:color w:val="000000"/>
              </w:rPr>
              <w:t>34</w:t>
            </w:r>
          </w:p>
        </w:tc>
      </w:tr>
      <w:tr w:rsidR="003B33F2" w14:paraId="15D0B700" w14:textId="77777777" w:rsidTr="003733BB">
        <w:trPr>
          <w:trHeight w:val="1421"/>
        </w:trPr>
        <w:tc>
          <w:tcPr>
            <w:tcW w:w="2358" w:type="dxa"/>
            <w:tcBorders>
              <w:left w:val="single" w:sz="12" w:space="0" w:color="auto"/>
              <w:right w:val="single" w:sz="12" w:space="0" w:color="auto"/>
            </w:tcBorders>
            <w:shd w:val="clear" w:color="auto" w:fill="auto"/>
            <w:vAlign w:val="center"/>
          </w:tcPr>
          <w:p w14:paraId="5C580D4B" w14:textId="77777777" w:rsidR="003B33F2" w:rsidRPr="00C24869" w:rsidRDefault="003B33F2" w:rsidP="003733BB">
            <w:pPr>
              <w:widowControl w:val="0"/>
              <w:numPr>
                <w:ilvl w:val="0"/>
                <w:numId w:val="0"/>
              </w:numPr>
              <w:autoSpaceDE w:val="0"/>
              <w:autoSpaceDN w:val="0"/>
              <w:adjustRightInd w:val="0"/>
              <w:spacing w:before="120" w:after="120" w:line="240" w:lineRule="auto"/>
              <w:ind w:left="360"/>
              <w:rPr>
                <w:b/>
                <w:sz w:val="24"/>
                <w:szCs w:val="24"/>
              </w:rPr>
            </w:pPr>
            <w:r w:rsidRPr="00C24869">
              <w:rPr>
                <w:b/>
                <w:sz w:val="24"/>
                <w:szCs w:val="24"/>
              </w:rPr>
              <w:t>Countries with highest number of victims</w:t>
            </w:r>
          </w:p>
        </w:tc>
        <w:tc>
          <w:tcPr>
            <w:tcW w:w="1710" w:type="dxa"/>
            <w:tcBorders>
              <w:left w:val="single" w:sz="12" w:space="0" w:color="auto"/>
            </w:tcBorders>
            <w:shd w:val="clear" w:color="auto" w:fill="auto"/>
            <w:vAlign w:val="center"/>
          </w:tcPr>
          <w:p w14:paraId="3902CE70" w14:textId="77777777" w:rsidR="003B33F2" w:rsidRPr="00D9177C" w:rsidRDefault="003B33F2" w:rsidP="003733BB">
            <w:pPr>
              <w:numPr>
                <w:ilvl w:val="0"/>
                <w:numId w:val="0"/>
              </w:numPr>
              <w:spacing w:before="120" w:after="120" w:line="240" w:lineRule="auto"/>
              <w:ind w:left="360"/>
              <w:jc w:val="center"/>
              <w:rPr>
                <w:rFonts w:eastAsia="Times New Roman"/>
                <w:color w:val="000000"/>
              </w:rPr>
            </w:pPr>
            <w:r w:rsidRPr="00D9177C">
              <w:rPr>
                <w:color w:val="000000"/>
              </w:rPr>
              <w:t>Mexico, Honduras, Philippines, China</w:t>
            </w:r>
          </w:p>
        </w:tc>
        <w:tc>
          <w:tcPr>
            <w:tcW w:w="1620" w:type="dxa"/>
            <w:shd w:val="clear" w:color="auto" w:fill="auto"/>
            <w:vAlign w:val="center"/>
          </w:tcPr>
          <w:p w14:paraId="3BB67083" w14:textId="77777777" w:rsidR="003B33F2" w:rsidRPr="00D9177C" w:rsidRDefault="003B33F2" w:rsidP="003733BB">
            <w:pPr>
              <w:numPr>
                <w:ilvl w:val="0"/>
                <w:numId w:val="0"/>
              </w:numPr>
              <w:spacing w:before="120" w:after="120" w:line="240" w:lineRule="auto"/>
              <w:ind w:left="360"/>
              <w:jc w:val="center"/>
              <w:rPr>
                <w:rFonts w:eastAsia="Times New Roman"/>
                <w:color w:val="000000"/>
              </w:rPr>
            </w:pPr>
            <w:r w:rsidRPr="00D9177C">
              <w:rPr>
                <w:color w:val="000000"/>
              </w:rPr>
              <w:t>Mexico, Honduras, Philippines, China</w:t>
            </w:r>
          </w:p>
        </w:tc>
        <w:tc>
          <w:tcPr>
            <w:tcW w:w="1980" w:type="dxa"/>
            <w:shd w:val="clear" w:color="auto" w:fill="auto"/>
            <w:vAlign w:val="center"/>
          </w:tcPr>
          <w:p w14:paraId="6107128D" w14:textId="77777777" w:rsidR="003B33F2" w:rsidRPr="00D9177C" w:rsidRDefault="003B33F2" w:rsidP="003733BB">
            <w:pPr>
              <w:numPr>
                <w:ilvl w:val="0"/>
                <w:numId w:val="0"/>
              </w:numPr>
              <w:spacing w:before="120" w:after="120" w:line="240" w:lineRule="auto"/>
              <w:ind w:left="360"/>
              <w:jc w:val="center"/>
              <w:rPr>
                <w:rFonts w:eastAsia="Times New Roman"/>
                <w:color w:val="000000"/>
              </w:rPr>
            </w:pPr>
            <w:r w:rsidRPr="00D9177C">
              <w:rPr>
                <w:color w:val="000000"/>
              </w:rPr>
              <w:t>Bangladesh, Mexico, Philippines, China</w:t>
            </w:r>
          </w:p>
        </w:tc>
        <w:tc>
          <w:tcPr>
            <w:tcW w:w="1918" w:type="dxa"/>
            <w:shd w:val="clear" w:color="auto" w:fill="auto"/>
            <w:vAlign w:val="center"/>
          </w:tcPr>
          <w:p w14:paraId="675F9791" w14:textId="77777777" w:rsidR="003B33F2" w:rsidRPr="00D9177C" w:rsidRDefault="003B33F2" w:rsidP="003733BB">
            <w:pPr>
              <w:numPr>
                <w:ilvl w:val="0"/>
                <w:numId w:val="0"/>
              </w:numPr>
              <w:spacing w:before="120" w:after="120" w:line="240" w:lineRule="auto"/>
              <w:ind w:left="360"/>
              <w:jc w:val="center"/>
              <w:rPr>
                <w:rFonts w:eastAsia="Times New Roman"/>
                <w:color w:val="000000"/>
              </w:rPr>
            </w:pPr>
            <w:r w:rsidRPr="00D9177C">
              <w:rPr>
                <w:color w:val="000000"/>
              </w:rPr>
              <w:t>Mexico, Guatemala, Philippines, China</w:t>
            </w:r>
            <w:r>
              <w:rPr>
                <w:color w:val="000000"/>
              </w:rPr>
              <w:t xml:space="preserve">*, </w:t>
            </w:r>
            <w:r w:rsidRPr="00D9177C">
              <w:rPr>
                <w:color w:val="000000"/>
              </w:rPr>
              <w:t>Honduras</w:t>
            </w:r>
            <w:r>
              <w:rPr>
                <w:color w:val="000000"/>
              </w:rPr>
              <w:t>*</w:t>
            </w:r>
          </w:p>
        </w:tc>
        <w:tc>
          <w:tcPr>
            <w:tcW w:w="1918" w:type="dxa"/>
            <w:shd w:val="clear" w:color="auto" w:fill="auto"/>
            <w:vAlign w:val="center"/>
          </w:tcPr>
          <w:p w14:paraId="01F1016F" w14:textId="77777777" w:rsidR="003B33F2" w:rsidRPr="00D9177C" w:rsidRDefault="003B33F2" w:rsidP="003733BB">
            <w:pPr>
              <w:numPr>
                <w:ilvl w:val="0"/>
                <w:numId w:val="0"/>
              </w:numPr>
              <w:spacing w:before="120" w:after="120" w:line="240" w:lineRule="auto"/>
              <w:ind w:left="360"/>
              <w:jc w:val="center"/>
              <w:rPr>
                <w:rFonts w:eastAsia="Times New Roman"/>
                <w:color w:val="000000"/>
              </w:rPr>
            </w:pPr>
            <w:r w:rsidRPr="00D9177C">
              <w:rPr>
                <w:color w:val="000000"/>
              </w:rPr>
              <w:t>Mexico, Guatemala, Philippines, Venezuela</w:t>
            </w:r>
          </w:p>
        </w:tc>
      </w:tr>
      <w:tr w:rsidR="003B33F2" w14:paraId="5B41B124" w14:textId="77777777" w:rsidTr="009475F3">
        <w:trPr>
          <w:trHeight w:val="1610"/>
        </w:trPr>
        <w:tc>
          <w:tcPr>
            <w:tcW w:w="2358" w:type="dxa"/>
            <w:tcBorders>
              <w:left w:val="single" w:sz="12" w:space="0" w:color="auto"/>
              <w:bottom w:val="single" w:sz="12" w:space="0" w:color="auto"/>
              <w:right w:val="single" w:sz="12" w:space="0" w:color="auto"/>
            </w:tcBorders>
            <w:shd w:val="clear" w:color="auto" w:fill="auto"/>
            <w:vAlign w:val="center"/>
          </w:tcPr>
          <w:p w14:paraId="03092CE9" w14:textId="77777777" w:rsidR="003B33F2" w:rsidRPr="00C24869" w:rsidRDefault="003B33F2" w:rsidP="003733BB">
            <w:pPr>
              <w:widowControl w:val="0"/>
              <w:numPr>
                <w:ilvl w:val="0"/>
                <w:numId w:val="0"/>
              </w:numPr>
              <w:autoSpaceDE w:val="0"/>
              <w:autoSpaceDN w:val="0"/>
              <w:adjustRightInd w:val="0"/>
              <w:spacing w:before="120" w:after="120" w:line="240" w:lineRule="auto"/>
              <w:ind w:left="360"/>
              <w:rPr>
                <w:b/>
                <w:sz w:val="24"/>
                <w:szCs w:val="24"/>
              </w:rPr>
            </w:pPr>
            <w:r>
              <w:rPr>
                <w:b/>
                <w:sz w:val="24"/>
                <w:szCs w:val="24"/>
              </w:rPr>
              <w:t>U.S. c</w:t>
            </w:r>
            <w:r w:rsidRPr="00C24869">
              <w:rPr>
                <w:b/>
                <w:sz w:val="24"/>
                <w:szCs w:val="24"/>
              </w:rPr>
              <w:t>ities with most continued presence requests</w:t>
            </w:r>
          </w:p>
        </w:tc>
        <w:tc>
          <w:tcPr>
            <w:tcW w:w="1710" w:type="dxa"/>
            <w:tcBorders>
              <w:left w:val="single" w:sz="12" w:space="0" w:color="auto"/>
              <w:bottom w:val="single" w:sz="12" w:space="0" w:color="auto"/>
            </w:tcBorders>
            <w:shd w:val="clear" w:color="auto" w:fill="auto"/>
            <w:vAlign w:val="center"/>
          </w:tcPr>
          <w:p w14:paraId="120C89B7" w14:textId="77777777" w:rsidR="003B33F2" w:rsidRPr="00D9177C" w:rsidRDefault="003B33F2" w:rsidP="003733BB">
            <w:pPr>
              <w:numPr>
                <w:ilvl w:val="0"/>
                <w:numId w:val="0"/>
              </w:numPr>
              <w:spacing w:before="120" w:after="120" w:line="240" w:lineRule="auto"/>
              <w:ind w:left="360"/>
              <w:jc w:val="center"/>
              <w:rPr>
                <w:rFonts w:eastAsia="Times New Roman"/>
                <w:color w:val="000000"/>
              </w:rPr>
            </w:pPr>
            <w:r w:rsidRPr="00D9177C">
              <w:rPr>
                <w:color w:val="000000"/>
              </w:rPr>
              <w:t>New York, Tampa, Atlanta, Houston</w:t>
            </w:r>
          </w:p>
        </w:tc>
        <w:tc>
          <w:tcPr>
            <w:tcW w:w="1620" w:type="dxa"/>
            <w:tcBorders>
              <w:bottom w:val="single" w:sz="12" w:space="0" w:color="auto"/>
            </w:tcBorders>
            <w:shd w:val="clear" w:color="auto" w:fill="auto"/>
            <w:vAlign w:val="center"/>
          </w:tcPr>
          <w:p w14:paraId="060BE543" w14:textId="77777777" w:rsidR="003B33F2" w:rsidRPr="00D9177C" w:rsidRDefault="003B33F2" w:rsidP="003733BB">
            <w:pPr>
              <w:numPr>
                <w:ilvl w:val="0"/>
                <w:numId w:val="0"/>
              </w:numPr>
              <w:spacing w:before="120" w:after="120" w:line="240" w:lineRule="auto"/>
              <w:ind w:left="360"/>
              <w:jc w:val="center"/>
              <w:rPr>
                <w:rFonts w:eastAsia="Times New Roman"/>
                <w:color w:val="000000"/>
              </w:rPr>
            </w:pPr>
            <w:r w:rsidRPr="00D9177C">
              <w:rPr>
                <w:color w:val="000000"/>
              </w:rPr>
              <w:t>New York, Tampa, Atlanta, Houston</w:t>
            </w:r>
          </w:p>
        </w:tc>
        <w:tc>
          <w:tcPr>
            <w:tcW w:w="1980" w:type="dxa"/>
            <w:tcBorders>
              <w:bottom w:val="single" w:sz="12" w:space="0" w:color="auto"/>
            </w:tcBorders>
            <w:shd w:val="clear" w:color="auto" w:fill="auto"/>
            <w:vAlign w:val="center"/>
          </w:tcPr>
          <w:p w14:paraId="1166F32A" w14:textId="1F255374" w:rsidR="003B33F2" w:rsidRPr="00D9177C" w:rsidRDefault="003B33F2" w:rsidP="003733BB">
            <w:pPr>
              <w:numPr>
                <w:ilvl w:val="0"/>
                <w:numId w:val="0"/>
              </w:numPr>
              <w:spacing w:before="120" w:after="120" w:line="240" w:lineRule="auto"/>
              <w:ind w:left="360"/>
              <w:jc w:val="center"/>
              <w:rPr>
                <w:rFonts w:eastAsia="Times New Roman"/>
                <w:color w:val="000000"/>
              </w:rPr>
            </w:pPr>
            <w:r w:rsidRPr="00D9177C">
              <w:rPr>
                <w:color w:val="000000"/>
              </w:rPr>
              <w:t>New York, Honolulu, Dallas, Atlanta</w:t>
            </w:r>
          </w:p>
        </w:tc>
        <w:tc>
          <w:tcPr>
            <w:tcW w:w="1918" w:type="dxa"/>
            <w:tcBorders>
              <w:bottom w:val="single" w:sz="12" w:space="0" w:color="auto"/>
            </w:tcBorders>
            <w:shd w:val="clear" w:color="auto" w:fill="auto"/>
            <w:vAlign w:val="center"/>
          </w:tcPr>
          <w:p w14:paraId="358B5219" w14:textId="77777777" w:rsidR="003B33F2" w:rsidRPr="00D9177C" w:rsidRDefault="003B33F2" w:rsidP="009475F3">
            <w:pPr>
              <w:numPr>
                <w:ilvl w:val="0"/>
                <w:numId w:val="0"/>
              </w:numPr>
              <w:spacing w:before="120" w:after="120" w:line="240" w:lineRule="auto"/>
              <w:ind w:left="48"/>
              <w:jc w:val="center"/>
              <w:rPr>
                <w:rFonts w:eastAsia="Times New Roman"/>
                <w:color w:val="000000"/>
              </w:rPr>
            </w:pPr>
            <w:r w:rsidRPr="00D9177C">
              <w:rPr>
                <w:color w:val="000000"/>
              </w:rPr>
              <w:t>Chicago, New York, Atlanta, Miami</w:t>
            </w:r>
            <w:r>
              <w:rPr>
                <w:color w:val="000000"/>
              </w:rPr>
              <w:t xml:space="preserve">*, </w:t>
            </w:r>
            <w:r w:rsidRPr="00D9177C">
              <w:rPr>
                <w:color w:val="000000"/>
              </w:rPr>
              <w:t>San Francisco</w:t>
            </w:r>
            <w:r>
              <w:rPr>
                <w:color w:val="000000"/>
              </w:rPr>
              <w:t>*</w:t>
            </w:r>
          </w:p>
        </w:tc>
        <w:tc>
          <w:tcPr>
            <w:tcW w:w="1918" w:type="dxa"/>
            <w:tcBorders>
              <w:bottom w:val="single" w:sz="12" w:space="0" w:color="auto"/>
            </w:tcBorders>
            <w:shd w:val="clear" w:color="auto" w:fill="auto"/>
            <w:vAlign w:val="center"/>
          </w:tcPr>
          <w:p w14:paraId="3CD959A1" w14:textId="77777777" w:rsidR="003B33F2" w:rsidRPr="00D9177C" w:rsidRDefault="003B33F2" w:rsidP="009475F3">
            <w:pPr>
              <w:numPr>
                <w:ilvl w:val="0"/>
                <w:numId w:val="0"/>
              </w:numPr>
              <w:spacing w:before="120" w:after="120" w:line="240" w:lineRule="auto"/>
              <w:ind w:left="360"/>
              <w:jc w:val="center"/>
              <w:rPr>
                <w:color w:val="000000"/>
              </w:rPr>
            </w:pPr>
          </w:p>
          <w:p w14:paraId="79505970" w14:textId="23697E33" w:rsidR="003B33F2" w:rsidRPr="00D9177C" w:rsidRDefault="009475F3" w:rsidP="009475F3">
            <w:pPr>
              <w:numPr>
                <w:ilvl w:val="0"/>
                <w:numId w:val="0"/>
              </w:numPr>
              <w:spacing w:before="120" w:after="120" w:line="240" w:lineRule="auto"/>
              <w:ind w:left="18" w:firstLine="18"/>
              <w:jc w:val="center"/>
              <w:rPr>
                <w:color w:val="000000"/>
              </w:rPr>
            </w:pPr>
            <w:r w:rsidRPr="00D9177C">
              <w:rPr>
                <w:color w:val="000000"/>
              </w:rPr>
              <w:t>Miami, New York, Chicago, Los Angeles</w:t>
            </w:r>
          </w:p>
          <w:p w14:paraId="1A8429BB" w14:textId="58E06959" w:rsidR="003B33F2" w:rsidRPr="00D9177C" w:rsidRDefault="003B33F2" w:rsidP="009475F3">
            <w:pPr>
              <w:numPr>
                <w:ilvl w:val="0"/>
                <w:numId w:val="0"/>
              </w:numPr>
              <w:spacing w:before="120" w:after="120" w:line="240" w:lineRule="auto"/>
              <w:ind w:left="360"/>
              <w:rPr>
                <w:rFonts w:eastAsia="Times New Roman"/>
                <w:color w:val="000000"/>
              </w:rPr>
            </w:pPr>
          </w:p>
        </w:tc>
      </w:tr>
    </w:tbl>
    <w:p w14:paraId="0235937D" w14:textId="77777777" w:rsidR="003B33F2" w:rsidRDefault="003B33F2" w:rsidP="003B33F2">
      <w:pPr>
        <w:widowControl w:val="0"/>
        <w:numPr>
          <w:ilvl w:val="0"/>
          <w:numId w:val="0"/>
        </w:numPr>
        <w:autoSpaceDE w:val="0"/>
        <w:autoSpaceDN w:val="0"/>
        <w:adjustRightInd w:val="0"/>
        <w:spacing w:line="240" w:lineRule="auto"/>
        <w:ind w:left="360"/>
        <w:rPr>
          <w:b/>
          <w:sz w:val="24"/>
          <w:szCs w:val="24"/>
        </w:rPr>
      </w:pPr>
    </w:p>
    <w:p w14:paraId="5C67DAFB" w14:textId="77777777" w:rsidR="003B33F2" w:rsidRDefault="003B33F2" w:rsidP="003B33F2">
      <w:pPr>
        <w:widowControl w:val="0"/>
        <w:numPr>
          <w:ilvl w:val="0"/>
          <w:numId w:val="0"/>
        </w:numPr>
        <w:autoSpaceDE w:val="0"/>
        <w:autoSpaceDN w:val="0"/>
        <w:adjustRightInd w:val="0"/>
        <w:spacing w:line="240" w:lineRule="auto"/>
        <w:ind w:left="360"/>
        <w:rPr>
          <w:sz w:val="24"/>
          <w:szCs w:val="24"/>
        </w:rPr>
      </w:pPr>
      <w:r>
        <w:rPr>
          <w:b/>
          <w:sz w:val="24"/>
          <w:szCs w:val="24"/>
        </w:rPr>
        <w:t xml:space="preserve">*  </w:t>
      </w:r>
      <w:r>
        <w:rPr>
          <w:bCs/>
          <w:sz w:val="24"/>
          <w:szCs w:val="24"/>
        </w:rPr>
        <w:t xml:space="preserve">Indicates the locations </w:t>
      </w:r>
      <w:r>
        <w:rPr>
          <w:sz w:val="24"/>
          <w:szCs w:val="24"/>
        </w:rPr>
        <w:t>are equal in the number of victims or continued presence requests.</w:t>
      </w:r>
    </w:p>
    <w:p w14:paraId="1748AE59" w14:textId="77777777" w:rsidR="003B33F2" w:rsidRDefault="003B33F2" w:rsidP="003B33F2">
      <w:pPr>
        <w:widowControl w:val="0"/>
        <w:numPr>
          <w:ilvl w:val="0"/>
          <w:numId w:val="0"/>
        </w:numPr>
        <w:autoSpaceDE w:val="0"/>
        <w:autoSpaceDN w:val="0"/>
        <w:adjustRightInd w:val="0"/>
        <w:spacing w:line="240" w:lineRule="auto"/>
        <w:ind w:left="360"/>
        <w:rPr>
          <w:sz w:val="24"/>
          <w:szCs w:val="24"/>
        </w:rPr>
      </w:pPr>
      <w:r>
        <w:rPr>
          <w:sz w:val="24"/>
          <w:szCs w:val="24"/>
        </w:rPr>
        <w:t xml:space="preserve">  </w:t>
      </w:r>
    </w:p>
    <w:p w14:paraId="5A554AAC" w14:textId="77777777" w:rsidR="003B33F2" w:rsidRDefault="003B33F2" w:rsidP="003B33F2">
      <w:pPr>
        <w:widowControl w:val="0"/>
        <w:numPr>
          <w:ilvl w:val="0"/>
          <w:numId w:val="0"/>
        </w:numPr>
        <w:autoSpaceDE w:val="0"/>
        <w:autoSpaceDN w:val="0"/>
        <w:adjustRightInd w:val="0"/>
        <w:spacing w:line="240" w:lineRule="auto"/>
        <w:ind w:left="360"/>
        <w:rPr>
          <w:sz w:val="24"/>
          <w:szCs w:val="24"/>
        </w:rPr>
      </w:pPr>
    </w:p>
    <w:p w14:paraId="151E871F" w14:textId="77777777" w:rsidR="003B33F2" w:rsidRDefault="003B33F2" w:rsidP="003B33F2">
      <w:pPr>
        <w:numPr>
          <w:ilvl w:val="0"/>
          <w:numId w:val="0"/>
        </w:numPr>
        <w:spacing w:after="0" w:line="240" w:lineRule="auto"/>
        <w:ind w:left="360"/>
        <w:rPr>
          <w:sz w:val="24"/>
          <w:szCs w:val="24"/>
        </w:rPr>
      </w:pPr>
      <w:r>
        <w:rPr>
          <w:sz w:val="24"/>
          <w:szCs w:val="24"/>
        </w:rPr>
        <w:br w:type="page"/>
      </w:r>
    </w:p>
    <w:p w14:paraId="4F32738C" w14:textId="24FFE11A" w:rsidR="003B33F2" w:rsidRPr="00985091" w:rsidRDefault="003C144F" w:rsidP="003B33F2">
      <w:pPr>
        <w:numPr>
          <w:ilvl w:val="0"/>
          <w:numId w:val="0"/>
        </w:numPr>
        <w:spacing w:line="240" w:lineRule="auto"/>
        <w:ind w:left="360"/>
        <w:jc w:val="center"/>
        <w:rPr>
          <w:b/>
          <w:sz w:val="24"/>
          <w:szCs w:val="24"/>
        </w:rPr>
      </w:pPr>
      <w:r>
        <w:rPr>
          <w:b/>
          <w:sz w:val="24"/>
          <w:szCs w:val="24"/>
        </w:rPr>
        <w:t>Tables</w:t>
      </w:r>
      <w:r w:rsidR="003B33F2">
        <w:rPr>
          <w:b/>
          <w:sz w:val="24"/>
          <w:szCs w:val="24"/>
        </w:rPr>
        <w:t xml:space="preserve"> C </w:t>
      </w:r>
      <w:r>
        <w:rPr>
          <w:b/>
          <w:sz w:val="24"/>
          <w:szCs w:val="24"/>
        </w:rPr>
        <w:t>and</w:t>
      </w:r>
      <w:r w:rsidR="003B33F2">
        <w:rPr>
          <w:b/>
          <w:sz w:val="24"/>
          <w:szCs w:val="24"/>
        </w:rPr>
        <w:t xml:space="preserve"> D:  </w:t>
      </w:r>
      <w:r w:rsidR="00E84FAA">
        <w:rPr>
          <w:b/>
          <w:sz w:val="24"/>
          <w:szCs w:val="24"/>
        </w:rPr>
        <w:t>Applications for T Nonimmigrant Status and Petitions for U Nonimmigrant Statu</w:t>
      </w:r>
      <w:r w:rsidR="00902C9E">
        <w:rPr>
          <w:b/>
          <w:sz w:val="24"/>
          <w:szCs w:val="24"/>
        </w:rPr>
        <w:t>s</w:t>
      </w:r>
    </w:p>
    <w:p w14:paraId="5D87A00B" w14:textId="77777777" w:rsidR="003B33F2" w:rsidRPr="00985091" w:rsidRDefault="003B33F2" w:rsidP="003B33F2">
      <w:pPr>
        <w:numPr>
          <w:ilvl w:val="0"/>
          <w:numId w:val="0"/>
        </w:numPr>
        <w:spacing w:line="240" w:lineRule="auto"/>
        <w:ind w:left="360"/>
        <w:jc w:val="center"/>
        <w:rPr>
          <w:b/>
          <w:sz w:val="24"/>
          <w:szCs w:val="24"/>
        </w:rPr>
      </w:pPr>
      <w:r w:rsidRPr="00985091">
        <w:rPr>
          <w:b/>
          <w:sz w:val="24"/>
          <w:szCs w:val="24"/>
        </w:rPr>
        <w:t>Fiscal Years 20</w:t>
      </w:r>
      <w:r>
        <w:rPr>
          <w:b/>
          <w:sz w:val="24"/>
          <w:szCs w:val="24"/>
        </w:rPr>
        <w:t>16</w:t>
      </w:r>
      <w:r w:rsidRPr="00985091">
        <w:rPr>
          <w:b/>
          <w:sz w:val="24"/>
          <w:szCs w:val="24"/>
        </w:rPr>
        <w:t xml:space="preserve"> to 20</w:t>
      </w:r>
      <w:r>
        <w:rPr>
          <w:b/>
          <w:sz w:val="24"/>
          <w:szCs w:val="24"/>
        </w:rPr>
        <w:t>20</w:t>
      </w:r>
      <w:r w:rsidRPr="00C24869">
        <w:rPr>
          <w:vertAlign w:val="superscript"/>
        </w:rPr>
        <w:footnoteReference w:id="7"/>
      </w:r>
    </w:p>
    <w:p w14:paraId="3713AC33" w14:textId="77777777" w:rsidR="003B33F2" w:rsidRPr="00BF6AF2" w:rsidRDefault="003B33F2" w:rsidP="003B33F2">
      <w:pPr>
        <w:numPr>
          <w:ilvl w:val="0"/>
          <w:numId w:val="0"/>
        </w:numPr>
        <w:spacing w:line="240" w:lineRule="auto"/>
        <w:ind w:left="360"/>
        <w:jc w:val="center"/>
        <w:rPr>
          <w:bCs/>
          <w:i/>
        </w:rPr>
      </w:pPr>
      <w:r w:rsidRPr="00BF6AF2">
        <w:rPr>
          <w:bCs/>
          <w:i/>
        </w:rPr>
        <w:t>Source:  Department of Homeland Security, U.S. Citizenship and Immigration Services</w:t>
      </w:r>
    </w:p>
    <w:tbl>
      <w:tblPr>
        <w:tblStyle w:val="TableGrid"/>
        <w:tblW w:w="8721" w:type="dxa"/>
        <w:tblLayout w:type="fixed"/>
        <w:tblLook w:val="04A0" w:firstRow="1" w:lastRow="0" w:firstColumn="1" w:lastColumn="0" w:noHBand="0" w:noVBand="1"/>
      </w:tblPr>
      <w:tblGrid>
        <w:gridCol w:w="1081"/>
        <w:gridCol w:w="1063"/>
        <w:gridCol w:w="901"/>
        <w:gridCol w:w="810"/>
        <w:gridCol w:w="900"/>
        <w:gridCol w:w="810"/>
        <w:gridCol w:w="810"/>
        <w:gridCol w:w="2340"/>
        <w:gridCol w:w="6"/>
      </w:tblGrid>
      <w:tr w:rsidR="003B33F2" w:rsidRPr="00890E3E" w14:paraId="134A49DC" w14:textId="77777777" w:rsidTr="00442CED">
        <w:trPr>
          <w:trHeight w:val="1195"/>
        </w:trPr>
        <w:tc>
          <w:tcPr>
            <w:tcW w:w="8721"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08C1F114" w14:textId="77777777" w:rsidR="003B33F2" w:rsidRPr="00890E3E" w:rsidRDefault="003B33F2" w:rsidP="00A11F4F">
            <w:pPr>
              <w:numPr>
                <w:ilvl w:val="0"/>
                <w:numId w:val="0"/>
              </w:numPr>
              <w:shd w:val="clear" w:color="auto" w:fill="auto"/>
              <w:spacing w:before="40" w:after="40" w:line="240" w:lineRule="auto"/>
              <w:jc w:val="center"/>
              <w:rPr>
                <w:b/>
                <w:bCs/>
              </w:rPr>
            </w:pPr>
            <w:r w:rsidRPr="00890E3E">
              <w:rPr>
                <w:b/>
                <w:bCs/>
              </w:rPr>
              <w:t>Applications for T Nonimmig</w:t>
            </w:r>
            <w:r>
              <w:rPr>
                <w:b/>
                <w:bCs/>
              </w:rPr>
              <w:t>rant Status (I-914)</w:t>
            </w:r>
            <w:r>
              <w:rPr>
                <w:b/>
                <w:bCs/>
              </w:rPr>
              <w:br/>
              <w:t>Application</w:t>
            </w:r>
            <w:r w:rsidRPr="00890E3E">
              <w:rPr>
                <w:b/>
                <w:bCs/>
              </w:rPr>
              <w:t xml:space="preserve"> for Family Member of T-1 Recipient (I-914A)</w:t>
            </w:r>
            <w:r w:rsidRPr="00890E3E">
              <w:rPr>
                <w:b/>
                <w:bCs/>
              </w:rPr>
              <w:br/>
              <w:t>Receipts, Approvals, and Denials</w:t>
            </w:r>
            <w:r w:rsidRPr="00890E3E">
              <w:rPr>
                <w:b/>
                <w:bCs/>
              </w:rPr>
              <w:br/>
              <w:t>Fiscal Years 20</w:t>
            </w:r>
            <w:r>
              <w:rPr>
                <w:b/>
                <w:bCs/>
              </w:rPr>
              <w:t>16</w:t>
            </w:r>
            <w:r w:rsidRPr="00890E3E">
              <w:rPr>
                <w:b/>
                <w:bCs/>
              </w:rPr>
              <w:t xml:space="preserve"> to 20</w:t>
            </w:r>
            <w:r>
              <w:rPr>
                <w:b/>
                <w:bCs/>
              </w:rPr>
              <w:t>20</w:t>
            </w:r>
          </w:p>
        </w:tc>
      </w:tr>
      <w:tr w:rsidR="003B33F2" w:rsidRPr="00890E3E" w14:paraId="399059A0" w14:textId="77777777" w:rsidTr="00442CED">
        <w:trPr>
          <w:gridAfter w:val="1"/>
          <w:wAfter w:w="6" w:type="dxa"/>
          <w:trHeight w:val="302"/>
        </w:trPr>
        <w:tc>
          <w:tcPr>
            <w:tcW w:w="214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4003C3D" w14:textId="77777777" w:rsidR="003B33F2" w:rsidRPr="00890E3E" w:rsidRDefault="003B33F2" w:rsidP="00A11F4F">
            <w:pPr>
              <w:numPr>
                <w:ilvl w:val="0"/>
                <w:numId w:val="0"/>
              </w:numPr>
              <w:shd w:val="clear" w:color="auto" w:fill="auto"/>
              <w:spacing w:before="40" w:after="40" w:line="240" w:lineRule="auto"/>
              <w:rPr>
                <w:b/>
                <w:bCs/>
              </w:rPr>
            </w:pPr>
            <w:r w:rsidRPr="00890E3E">
              <w:rPr>
                <w:b/>
                <w:bCs/>
              </w:rPr>
              <w:t xml:space="preserve">Applications for </w:t>
            </w:r>
            <w:r w:rsidRPr="00890E3E">
              <w:rPr>
                <w:b/>
                <w:bCs/>
              </w:rPr>
              <w:br/>
              <w:t>T nonimmigrant status</w:t>
            </w:r>
          </w:p>
        </w:tc>
        <w:tc>
          <w:tcPr>
            <w:tcW w:w="901" w:type="dxa"/>
            <w:tcBorders>
              <w:top w:val="single" w:sz="12" w:space="0" w:color="auto"/>
              <w:left w:val="single" w:sz="12" w:space="0" w:color="auto"/>
              <w:bottom w:val="single" w:sz="12" w:space="0" w:color="auto"/>
            </w:tcBorders>
            <w:shd w:val="clear" w:color="auto" w:fill="auto"/>
            <w:noWrap/>
            <w:vAlign w:val="center"/>
            <w:hideMark/>
          </w:tcPr>
          <w:p w14:paraId="3813B64B" w14:textId="77777777" w:rsidR="003B33F2" w:rsidRPr="00890E3E" w:rsidRDefault="003B33F2" w:rsidP="00A11F4F">
            <w:pPr>
              <w:numPr>
                <w:ilvl w:val="0"/>
                <w:numId w:val="0"/>
              </w:numPr>
              <w:shd w:val="clear" w:color="auto" w:fill="auto"/>
              <w:spacing w:before="40" w:after="40" w:line="240" w:lineRule="auto"/>
              <w:jc w:val="center"/>
              <w:rPr>
                <w:b/>
                <w:bCs/>
              </w:rPr>
            </w:pPr>
            <w:r w:rsidRPr="00890E3E">
              <w:rPr>
                <w:b/>
                <w:bCs/>
              </w:rPr>
              <w:t>20</w:t>
            </w:r>
            <w:r>
              <w:rPr>
                <w:b/>
                <w:bCs/>
              </w:rPr>
              <w:t>16</w:t>
            </w:r>
          </w:p>
        </w:tc>
        <w:tc>
          <w:tcPr>
            <w:tcW w:w="810" w:type="dxa"/>
            <w:tcBorders>
              <w:top w:val="single" w:sz="12" w:space="0" w:color="auto"/>
              <w:bottom w:val="single" w:sz="12" w:space="0" w:color="auto"/>
            </w:tcBorders>
            <w:shd w:val="clear" w:color="auto" w:fill="auto"/>
            <w:noWrap/>
            <w:vAlign w:val="center"/>
            <w:hideMark/>
          </w:tcPr>
          <w:p w14:paraId="674535AF" w14:textId="77777777" w:rsidR="003B33F2" w:rsidRPr="00890E3E" w:rsidRDefault="003B33F2" w:rsidP="00A11F4F">
            <w:pPr>
              <w:numPr>
                <w:ilvl w:val="0"/>
                <w:numId w:val="0"/>
              </w:numPr>
              <w:shd w:val="clear" w:color="auto" w:fill="auto"/>
              <w:spacing w:before="40" w:after="40" w:line="240" w:lineRule="auto"/>
              <w:jc w:val="center"/>
              <w:rPr>
                <w:b/>
                <w:bCs/>
              </w:rPr>
            </w:pPr>
            <w:r>
              <w:rPr>
                <w:b/>
                <w:bCs/>
              </w:rPr>
              <w:t>2017</w:t>
            </w:r>
          </w:p>
        </w:tc>
        <w:tc>
          <w:tcPr>
            <w:tcW w:w="900" w:type="dxa"/>
            <w:tcBorders>
              <w:top w:val="single" w:sz="12" w:space="0" w:color="auto"/>
              <w:bottom w:val="single" w:sz="12" w:space="0" w:color="auto"/>
            </w:tcBorders>
            <w:shd w:val="clear" w:color="auto" w:fill="auto"/>
            <w:noWrap/>
            <w:vAlign w:val="center"/>
            <w:hideMark/>
          </w:tcPr>
          <w:p w14:paraId="65295DA1" w14:textId="77777777" w:rsidR="003B33F2" w:rsidRPr="00890E3E" w:rsidRDefault="003B33F2" w:rsidP="00A11F4F">
            <w:pPr>
              <w:numPr>
                <w:ilvl w:val="0"/>
                <w:numId w:val="0"/>
              </w:numPr>
              <w:shd w:val="clear" w:color="auto" w:fill="auto"/>
              <w:spacing w:before="40" w:after="40" w:line="240" w:lineRule="auto"/>
              <w:jc w:val="center"/>
              <w:rPr>
                <w:b/>
                <w:bCs/>
              </w:rPr>
            </w:pPr>
            <w:r>
              <w:rPr>
                <w:b/>
                <w:bCs/>
              </w:rPr>
              <w:t>2018</w:t>
            </w:r>
          </w:p>
        </w:tc>
        <w:tc>
          <w:tcPr>
            <w:tcW w:w="810" w:type="dxa"/>
            <w:tcBorders>
              <w:top w:val="single" w:sz="12" w:space="0" w:color="auto"/>
              <w:bottom w:val="single" w:sz="12" w:space="0" w:color="auto"/>
            </w:tcBorders>
            <w:shd w:val="clear" w:color="auto" w:fill="auto"/>
            <w:noWrap/>
            <w:vAlign w:val="center"/>
            <w:hideMark/>
          </w:tcPr>
          <w:p w14:paraId="7EF9C845" w14:textId="77777777" w:rsidR="003B33F2" w:rsidRPr="00890E3E" w:rsidRDefault="003B33F2" w:rsidP="00A11F4F">
            <w:pPr>
              <w:numPr>
                <w:ilvl w:val="0"/>
                <w:numId w:val="0"/>
              </w:numPr>
              <w:shd w:val="clear" w:color="auto" w:fill="auto"/>
              <w:spacing w:before="40" w:after="40" w:line="240" w:lineRule="auto"/>
              <w:jc w:val="center"/>
              <w:rPr>
                <w:b/>
                <w:bCs/>
              </w:rPr>
            </w:pPr>
            <w:r>
              <w:rPr>
                <w:b/>
                <w:bCs/>
              </w:rPr>
              <w:t>2019</w:t>
            </w:r>
          </w:p>
        </w:tc>
        <w:tc>
          <w:tcPr>
            <w:tcW w:w="810" w:type="dxa"/>
            <w:tcBorders>
              <w:top w:val="single" w:sz="12" w:space="0" w:color="auto"/>
              <w:bottom w:val="single" w:sz="12" w:space="0" w:color="auto"/>
            </w:tcBorders>
            <w:shd w:val="clear" w:color="auto" w:fill="auto"/>
            <w:noWrap/>
            <w:vAlign w:val="center"/>
            <w:hideMark/>
          </w:tcPr>
          <w:p w14:paraId="4F84F6A7" w14:textId="77777777" w:rsidR="003B33F2" w:rsidRPr="00890E3E" w:rsidRDefault="003B33F2" w:rsidP="00A11F4F">
            <w:pPr>
              <w:numPr>
                <w:ilvl w:val="0"/>
                <w:numId w:val="0"/>
              </w:numPr>
              <w:shd w:val="clear" w:color="auto" w:fill="auto"/>
              <w:spacing w:before="40" w:after="40" w:line="240" w:lineRule="auto"/>
              <w:jc w:val="center"/>
              <w:rPr>
                <w:b/>
                <w:bCs/>
              </w:rPr>
            </w:pPr>
            <w:r>
              <w:rPr>
                <w:b/>
                <w:bCs/>
              </w:rPr>
              <w:t>2020</w:t>
            </w:r>
          </w:p>
        </w:tc>
        <w:tc>
          <w:tcPr>
            <w:tcW w:w="2340" w:type="dxa"/>
            <w:tcBorders>
              <w:top w:val="single" w:sz="12" w:space="0" w:color="auto"/>
              <w:bottom w:val="single" w:sz="12" w:space="0" w:color="auto"/>
              <w:right w:val="single" w:sz="12" w:space="0" w:color="auto"/>
            </w:tcBorders>
            <w:shd w:val="clear" w:color="auto" w:fill="auto"/>
            <w:noWrap/>
            <w:vAlign w:val="center"/>
            <w:hideMark/>
          </w:tcPr>
          <w:p w14:paraId="3AF73A9D" w14:textId="77777777" w:rsidR="003B33F2" w:rsidRPr="00890E3E" w:rsidRDefault="003B33F2" w:rsidP="00A11F4F">
            <w:pPr>
              <w:numPr>
                <w:ilvl w:val="0"/>
                <w:numId w:val="0"/>
              </w:numPr>
              <w:shd w:val="clear" w:color="auto" w:fill="auto"/>
              <w:spacing w:before="40" w:after="40" w:line="240" w:lineRule="auto"/>
              <w:jc w:val="center"/>
              <w:rPr>
                <w:b/>
                <w:bCs/>
              </w:rPr>
            </w:pPr>
            <w:r w:rsidRPr="00890E3E">
              <w:rPr>
                <w:b/>
                <w:bCs/>
              </w:rPr>
              <w:t>Grand total</w:t>
            </w:r>
          </w:p>
        </w:tc>
      </w:tr>
      <w:tr w:rsidR="003B33F2" w:rsidRPr="00890E3E" w14:paraId="51233FD6" w14:textId="77777777" w:rsidTr="00442CED">
        <w:trPr>
          <w:gridAfter w:val="1"/>
          <w:wAfter w:w="6" w:type="dxa"/>
          <w:trHeight w:val="302"/>
        </w:trPr>
        <w:tc>
          <w:tcPr>
            <w:tcW w:w="1081" w:type="dxa"/>
            <w:vMerge w:val="restart"/>
            <w:tcBorders>
              <w:top w:val="single" w:sz="12" w:space="0" w:color="auto"/>
              <w:left w:val="single" w:sz="12" w:space="0" w:color="auto"/>
              <w:right w:val="single" w:sz="12" w:space="0" w:color="auto"/>
            </w:tcBorders>
            <w:shd w:val="clear" w:color="auto" w:fill="auto"/>
            <w:noWrap/>
            <w:vAlign w:val="center"/>
            <w:hideMark/>
          </w:tcPr>
          <w:p w14:paraId="71CB18A0" w14:textId="77777777" w:rsidR="003B33F2" w:rsidRPr="00890E3E" w:rsidRDefault="003B33F2" w:rsidP="00A11F4F">
            <w:pPr>
              <w:numPr>
                <w:ilvl w:val="0"/>
                <w:numId w:val="0"/>
              </w:numPr>
              <w:shd w:val="clear" w:color="auto" w:fill="auto"/>
              <w:spacing w:before="40" w:after="40" w:line="240" w:lineRule="auto"/>
            </w:pPr>
            <w:r w:rsidRPr="00890E3E">
              <w:rPr>
                <w:b/>
                <w:bCs/>
              </w:rPr>
              <w:t>Victims</w:t>
            </w:r>
          </w:p>
        </w:tc>
        <w:tc>
          <w:tcPr>
            <w:tcW w:w="1063" w:type="dxa"/>
            <w:tcBorders>
              <w:top w:val="single" w:sz="12" w:space="0" w:color="auto"/>
              <w:left w:val="single" w:sz="12" w:space="0" w:color="auto"/>
              <w:bottom w:val="nil"/>
              <w:right w:val="single" w:sz="12" w:space="0" w:color="auto"/>
            </w:tcBorders>
            <w:shd w:val="clear" w:color="auto" w:fill="D9D9D9" w:themeFill="background1" w:themeFillShade="D9"/>
            <w:vAlign w:val="center"/>
          </w:tcPr>
          <w:p w14:paraId="177CB999" w14:textId="77777777" w:rsidR="003B33F2" w:rsidRPr="00890E3E" w:rsidRDefault="003B33F2" w:rsidP="00A11F4F">
            <w:pPr>
              <w:numPr>
                <w:ilvl w:val="0"/>
                <w:numId w:val="0"/>
              </w:numPr>
              <w:shd w:val="clear" w:color="auto" w:fill="auto"/>
              <w:spacing w:before="40" w:after="40" w:line="240" w:lineRule="auto"/>
            </w:pPr>
            <w:r w:rsidRPr="00890E3E">
              <w:t>Applied</w:t>
            </w:r>
          </w:p>
        </w:tc>
        <w:tc>
          <w:tcPr>
            <w:tcW w:w="901" w:type="dxa"/>
            <w:tcBorders>
              <w:top w:val="single" w:sz="12" w:space="0" w:color="auto"/>
              <w:left w:val="single" w:sz="12" w:space="0" w:color="auto"/>
              <w:bottom w:val="nil"/>
            </w:tcBorders>
            <w:shd w:val="clear" w:color="auto" w:fill="D9D9D9" w:themeFill="background1" w:themeFillShade="D9"/>
            <w:noWrap/>
            <w:vAlign w:val="bottom"/>
            <w:hideMark/>
          </w:tcPr>
          <w:p w14:paraId="26E8E5A5"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955 </w:t>
            </w:r>
          </w:p>
        </w:tc>
        <w:tc>
          <w:tcPr>
            <w:tcW w:w="810" w:type="dxa"/>
            <w:tcBorders>
              <w:top w:val="single" w:sz="12" w:space="0" w:color="auto"/>
              <w:bottom w:val="nil"/>
            </w:tcBorders>
            <w:shd w:val="clear" w:color="auto" w:fill="D9D9D9" w:themeFill="background1" w:themeFillShade="D9"/>
            <w:noWrap/>
            <w:vAlign w:val="bottom"/>
            <w:hideMark/>
          </w:tcPr>
          <w:p w14:paraId="4FBEB438"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1,177 </w:t>
            </w:r>
          </w:p>
        </w:tc>
        <w:tc>
          <w:tcPr>
            <w:tcW w:w="900" w:type="dxa"/>
            <w:tcBorders>
              <w:top w:val="single" w:sz="12" w:space="0" w:color="auto"/>
              <w:bottom w:val="nil"/>
            </w:tcBorders>
            <w:shd w:val="clear" w:color="auto" w:fill="D9D9D9" w:themeFill="background1" w:themeFillShade="D9"/>
            <w:noWrap/>
            <w:vAlign w:val="bottom"/>
            <w:hideMark/>
          </w:tcPr>
          <w:p w14:paraId="6214BAE8"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1,613 </w:t>
            </w:r>
          </w:p>
        </w:tc>
        <w:tc>
          <w:tcPr>
            <w:tcW w:w="810" w:type="dxa"/>
            <w:tcBorders>
              <w:top w:val="single" w:sz="12" w:space="0" w:color="auto"/>
              <w:bottom w:val="nil"/>
            </w:tcBorders>
            <w:shd w:val="clear" w:color="auto" w:fill="D9D9D9" w:themeFill="background1" w:themeFillShade="D9"/>
            <w:noWrap/>
            <w:vAlign w:val="bottom"/>
            <w:hideMark/>
          </w:tcPr>
          <w:p w14:paraId="50534C11"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1,242 </w:t>
            </w:r>
          </w:p>
        </w:tc>
        <w:tc>
          <w:tcPr>
            <w:tcW w:w="810" w:type="dxa"/>
            <w:tcBorders>
              <w:top w:val="single" w:sz="12" w:space="0" w:color="auto"/>
              <w:bottom w:val="nil"/>
            </w:tcBorders>
            <w:shd w:val="clear" w:color="auto" w:fill="D9D9D9" w:themeFill="background1" w:themeFillShade="D9"/>
            <w:noWrap/>
            <w:vAlign w:val="bottom"/>
            <w:hideMark/>
          </w:tcPr>
          <w:p w14:paraId="269A16B2"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1,110 </w:t>
            </w:r>
          </w:p>
        </w:tc>
        <w:tc>
          <w:tcPr>
            <w:tcW w:w="2340" w:type="dxa"/>
            <w:tcBorders>
              <w:top w:val="single" w:sz="12" w:space="0" w:color="auto"/>
              <w:bottom w:val="nil"/>
              <w:right w:val="single" w:sz="12" w:space="0" w:color="auto"/>
            </w:tcBorders>
            <w:shd w:val="clear" w:color="auto" w:fill="D9D9D9" w:themeFill="background1" w:themeFillShade="D9"/>
            <w:noWrap/>
            <w:vAlign w:val="bottom"/>
            <w:hideMark/>
          </w:tcPr>
          <w:p w14:paraId="0065816F" w14:textId="77777777" w:rsidR="003B33F2" w:rsidRPr="00433895" w:rsidRDefault="003B33F2" w:rsidP="00A11F4F">
            <w:pPr>
              <w:numPr>
                <w:ilvl w:val="0"/>
                <w:numId w:val="0"/>
              </w:numPr>
              <w:shd w:val="clear" w:color="auto" w:fill="auto"/>
              <w:spacing w:before="40" w:after="40" w:line="240" w:lineRule="auto"/>
              <w:jc w:val="center"/>
              <w:rPr>
                <w:b/>
                <w:bCs/>
              </w:rPr>
            </w:pPr>
            <w:r w:rsidRPr="00433895">
              <w:rPr>
                <w:b/>
                <w:bCs/>
                <w:color w:val="000000"/>
              </w:rPr>
              <w:t xml:space="preserve">6,097 </w:t>
            </w:r>
          </w:p>
        </w:tc>
      </w:tr>
      <w:tr w:rsidR="003B33F2" w:rsidRPr="00890E3E" w14:paraId="4B2D86CE" w14:textId="77777777" w:rsidTr="00442CED">
        <w:trPr>
          <w:gridAfter w:val="1"/>
          <w:wAfter w:w="6" w:type="dxa"/>
          <w:trHeight w:val="302"/>
        </w:trPr>
        <w:tc>
          <w:tcPr>
            <w:tcW w:w="1081" w:type="dxa"/>
            <w:vMerge/>
            <w:tcBorders>
              <w:left w:val="single" w:sz="12" w:space="0" w:color="auto"/>
              <w:right w:val="single" w:sz="12" w:space="0" w:color="auto"/>
            </w:tcBorders>
            <w:shd w:val="clear" w:color="auto" w:fill="auto"/>
            <w:noWrap/>
            <w:vAlign w:val="center"/>
            <w:hideMark/>
          </w:tcPr>
          <w:p w14:paraId="5054DDA5" w14:textId="77777777" w:rsidR="003B33F2" w:rsidRPr="00890E3E" w:rsidRDefault="003B33F2" w:rsidP="00A11F4F">
            <w:pPr>
              <w:numPr>
                <w:ilvl w:val="0"/>
                <w:numId w:val="0"/>
              </w:numPr>
              <w:shd w:val="clear" w:color="auto" w:fill="auto"/>
              <w:spacing w:before="40" w:after="40" w:line="240" w:lineRule="auto"/>
            </w:pPr>
          </w:p>
        </w:tc>
        <w:tc>
          <w:tcPr>
            <w:tcW w:w="1063" w:type="dxa"/>
            <w:tcBorders>
              <w:top w:val="nil"/>
              <w:left w:val="single" w:sz="12" w:space="0" w:color="auto"/>
              <w:bottom w:val="nil"/>
              <w:right w:val="single" w:sz="12" w:space="0" w:color="auto"/>
            </w:tcBorders>
            <w:shd w:val="clear" w:color="auto" w:fill="auto"/>
            <w:vAlign w:val="center"/>
          </w:tcPr>
          <w:p w14:paraId="62C7D031" w14:textId="77777777" w:rsidR="003B33F2" w:rsidRPr="00890E3E" w:rsidRDefault="003B33F2" w:rsidP="00A11F4F">
            <w:pPr>
              <w:numPr>
                <w:ilvl w:val="0"/>
                <w:numId w:val="0"/>
              </w:numPr>
              <w:shd w:val="clear" w:color="auto" w:fill="auto"/>
              <w:spacing w:before="40" w:after="40" w:line="240" w:lineRule="auto"/>
            </w:pPr>
            <w:r w:rsidRPr="00890E3E">
              <w:t>Approved</w:t>
            </w:r>
          </w:p>
        </w:tc>
        <w:tc>
          <w:tcPr>
            <w:tcW w:w="901" w:type="dxa"/>
            <w:tcBorders>
              <w:top w:val="nil"/>
              <w:left w:val="single" w:sz="12" w:space="0" w:color="auto"/>
              <w:bottom w:val="nil"/>
            </w:tcBorders>
            <w:shd w:val="clear" w:color="auto" w:fill="auto"/>
            <w:noWrap/>
            <w:vAlign w:val="bottom"/>
            <w:hideMark/>
          </w:tcPr>
          <w:p w14:paraId="268ACC0F"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748 </w:t>
            </w:r>
          </w:p>
        </w:tc>
        <w:tc>
          <w:tcPr>
            <w:tcW w:w="810" w:type="dxa"/>
            <w:tcBorders>
              <w:top w:val="nil"/>
              <w:bottom w:val="nil"/>
            </w:tcBorders>
            <w:shd w:val="clear" w:color="auto" w:fill="auto"/>
            <w:noWrap/>
            <w:vAlign w:val="bottom"/>
            <w:hideMark/>
          </w:tcPr>
          <w:p w14:paraId="35C31046"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669 </w:t>
            </w:r>
          </w:p>
        </w:tc>
        <w:tc>
          <w:tcPr>
            <w:tcW w:w="900" w:type="dxa"/>
            <w:tcBorders>
              <w:top w:val="nil"/>
              <w:bottom w:val="nil"/>
            </w:tcBorders>
            <w:shd w:val="clear" w:color="auto" w:fill="auto"/>
            <w:noWrap/>
            <w:vAlign w:val="bottom"/>
            <w:hideMark/>
          </w:tcPr>
          <w:p w14:paraId="17542972"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576 </w:t>
            </w:r>
          </w:p>
        </w:tc>
        <w:tc>
          <w:tcPr>
            <w:tcW w:w="810" w:type="dxa"/>
            <w:tcBorders>
              <w:top w:val="nil"/>
              <w:bottom w:val="nil"/>
            </w:tcBorders>
            <w:shd w:val="clear" w:color="auto" w:fill="auto"/>
            <w:noWrap/>
            <w:vAlign w:val="bottom"/>
            <w:hideMark/>
          </w:tcPr>
          <w:p w14:paraId="12C6AFFE"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500 </w:t>
            </w:r>
          </w:p>
        </w:tc>
        <w:tc>
          <w:tcPr>
            <w:tcW w:w="810" w:type="dxa"/>
            <w:tcBorders>
              <w:top w:val="nil"/>
              <w:bottom w:val="nil"/>
            </w:tcBorders>
            <w:shd w:val="clear" w:color="auto" w:fill="auto"/>
            <w:noWrap/>
            <w:vAlign w:val="bottom"/>
            <w:hideMark/>
          </w:tcPr>
          <w:p w14:paraId="6B5A51E0"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1,040 </w:t>
            </w:r>
          </w:p>
        </w:tc>
        <w:tc>
          <w:tcPr>
            <w:tcW w:w="2340" w:type="dxa"/>
            <w:tcBorders>
              <w:top w:val="nil"/>
              <w:bottom w:val="nil"/>
              <w:right w:val="single" w:sz="12" w:space="0" w:color="auto"/>
            </w:tcBorders>
            <w:shd w:val="clear" w:color="auto" w:fill="auto"/>
            <w:noWrap/>
            <w:vAlign w:val="bottom"/>
            <w:hideMark/>
          </w:tcPr>
          <w:p w14:paraId="0303FDD5" w14:textId="77777777" w:rsidR="003B33F2" w:rsidRPr="00433895" w:rsidRDefault="003B33F2" w:rsidP="00A11F4F">
            <w:pPr>
              <w:numPr>
                <w:ilvl w:val="0"/>
                <w:numId w:val="0"/>
              </w:numPr>
              <w:shd w:val="clear" w:color="auto" w:fill="auto"/>
              <w:spacing w:before="40" w:after="40" w:line="240" w:lineRule="auto"/>
              <w:jc w:val="center"/>
              <w:rPr>
                <w:b/>
                <w:bCs/>
              </w:rPr>
            </w:pPr>
            <w:r w:rsidRPr="00433895">
              <w:rPr>
                <w:b/>
                <w:bCs/>
                <w:color w:val="000000"/>
              </w:rPr>
              <w:t xml:space="preserve">3,533 </w:t>
            </w:r>
          </w:p>
        </w:tc>
      </w:tr>
      <w:tr w:rsidR="003B33F2" w:rsidRPr="00890E3E" w14:paraId="7773E358" w14:textId="77777777" w:rsidTr="00442CED">
        <w:trPr>
          <w:gridAfter w:val="1"/>
          <w:wAfter w:w="6" w:type="dxa"/>
          <w:trHeight w:val="302"/>
        </w:trPr>
        <w:tc>
          <w:tcPr>
            <w:tcW w:w="1081" w:type="dxa"/>
            <w:vMerge/>
            <w:tcBorders>
              <w:left w:val="single" w:sz="12" w:space="0" w:color="auto"/>
              <w:bottom w:val="single" w:sz="12" w:space="0" w:color="auto"/>
              <w:right w:val="single" w:sz="12" w:space="0" w:color="auto"/>
            </w:tcBorders>
            <w:shd w:val="clear" w:color="auto" w:fill="auto"/>
            <w:noWrap/>
            <w:vAlign w:val="center"/>
            <w:hideMark/>
          </w:tcPr>
          <w:p w14:paraId="2C99700B" w14:textId="77777777" w:rsidR="003B33F2" w:rsidRPr="00890E3E" w:rsidRDefault="003B33F2" w:rsidP="00A11F4F">
            <w:pPr>
              <w:numPr>
                <w:ilvl w:val="0"/>
                <w:numId w:val="0"/>
              </w:numPr>
              <w:shd w:val="clear" w:color="auto" w:fill="auto"/>
              <w:spacing w:before="40" w:after="40" w:line="240" w:lineRule="auto"/>
            </w:pPr>
          </w:p>
        </w:tc>
        <w:tc>
          <w:tcPr>
            <w:tcW w:w="1063" w:type="dxa"/>
            <w:tcBorders>
              <w:top w:val="nil"/>
              <w:left w:val="single" w:sz="12" w:space="0" w:color="auto"/>
              <w:bottom w:val="single" w:sz="12" w:space="0" w:color="auto"/>
              <w:right w:val="single" w:sz="12" w:space="0" w:color="auto"/>
            </w:tcBorders>
            <w:shd w:val="clear" w:color="auto" w:fill="D9D9D9" w:themeFill="background1" w:themeFillShade="D9"/>
            <w:vAlign w:val="center"/>
          </w:tcPr>
          <w:p w14:paraId="156C335C" w14:textId="77777777" w:rsidR="003B33F2" w:rsidRPr="00890E3E" w:rsidRDefault="003B33F2" w:rsidP="00A11F4F">
            <w:pPr>
              <w:numPr>
                <w:ilvl w:val="0"/>
                <w:numId w:val="0"/>
              </w:numPr>
              <w:shd w:val="clear" w:color="auto" w:fill="auto"/>
              <w:spacing w:before="40" w:after="40" w:line="240" w:lineRule="auto"/>
            </w:pPr>
            <w:r w:rsidRPr="00890E3E">
              <w:t>Denied</w:t>
            </w:r>
          </w:p>
        </w:tc>
        <w:tc>
          <w:tcPr>
            <w:tcW w:w="901" w:type="dxa"/>
            <w:tcBorders>
              <w:top w:val="nil"/>
              <w:left w:val="single" w:sz="12" w:space="0" w:color="auto"/>
              <w:bottom w:val="single" w:sz="12" w:space="0" w:color="auto"/>
            </w:tcBorders>
            <w:shd w:val="clear" w:color="auto" w:fill="D9D9D9" w:themeFill="background1" w:themeFillShade="D9"/>
            <w:noWrap/>
            <w:vAlign w:val="bottom"/>
            <w:hideMark/>
          </w:tcPr>
          <w:p w14:paraId="72FB1055"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175 </w:t>
            </w:r>
          </w:p>
        </w:tc>
        <w:tc>
          <w:tcPr>
            <w:tcW w:w="810" w:type="dxa"/>
            <w:tcBorders>
              <w:top w:val="nil"/>
              <w:bottom w:val="single" w:sz="12" w:space="0" w:color="auto"/>
            </w:tcBorders>
            <w:shd w:val="clear" w:color="auto" w:fill="D9D9D9" w:themeFill="background1" w:themeFillShade="D9"/>
            <w:noWrap/>
            <w:vAlign w:val="bottom"/>
            <w:hideMark/>
          </w:tcPr>
          <w:p w14:paraId="24AE8AC3"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213 </w:t>
            </w:r>
          </w:p>
        </w:tc>
        <w:tc>
          <w:tcPr>
            <w:tcW w:w="900" w:type="dxa"/>
            <w:tcBorders>
              <w:top w:val="nil"/>
              <w:bottom w:val="single" w:sz="12" w:space="0" w:color="auto"/>
            </w:tcBorders>
            <w:shd w:val="clear" w:color="auto" w:fill="D9D9D9" w:themeFill="background1" w:themeFillShade="D9"/>
            <w:noWrap/>
            <w:vAlign w:val="bottom"/>
            <w:hideMark/>
          </w:tcPr>
          <w:p w14:paraId="570E144F"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300 </w:t>
            </w:r>
          </w:p>
        </w:tc>
        <w:tc>
          <w:tcPr>
            <w:tcW w:w="810" w:type="dxa"/>
            <w:tcBorders>
              <w:top w:val="nil"/>
              <w:bottom w:val="single" w:sz="12" w:space="0" w:color="auto"/>
            </w:tcBorders>
            <w:shd w:val="clear" w:color="auto" w:fill="D9D9D9" w:themeFill="background1" w:themeFillShade="D9"/>
            <w:noWrap/>
            <w:vAlign w:val="bottom"/>
            <w:hideMark/>
          </w:tcPr>
          <w:p w14:paraId="522E00C0"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365 </w:t>
            </w:r>
          </w:p>
        </w:tc>
        <w:tc>
          <w:tcPr>
            <w:tcW w:w="810" w:type="dxa"/>
            <w:tcBorders>
              <w:top w:val="nil"/>
              <w:bottom w:val="single" w:sz="12" w:space="0" w:color="auto"/>
            </w:tcBorders>
            <w:shd w:val="clear" w:color="auto" w:fill="D9D9D9" w:themeFill="background1" w:themeFillShade="D9"/>
            <w:noWrap/>
            <w:vAlign w:val="bottom"/>
            <w:hideMark/>
          </w:tcPr>
          <w:p w14:paraId="49DFAEB9"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778 </w:t>
            </w:r>
          </w:p>
        </w:tc>
        <w:tc>
          <w:tcPr>
            <w:tcW w:w="2340" w:type="dxa"/>
            <w:tcBorders>
              <w:top w:val="nil"/>
              <w:bottom w:val="single" w:sz="12" w:space="0" w:color="auto"/>
              <w:right w:val="single" w:sz="12" w:space="0" w:color="auto"/>
            </w:tcBorders>
            <w:shd w:val="clear" w:color="auto" w:fill="D9D9D9" w:themeFill="background1" w:themeFillShade="D9"/>
            <w:noWrap/>
            <w:vAlign w:val="bottom"/>
            <w:hideMark/>
          </w:tcPr>
          <w:p w14:paraId="253EDB68" w14:textId="77777777" w:rsidR="003B33F2" w:rsidRPr="00433895" w:rsidRDefault="003B33F2" w:rsidP="00A11F4F">
            <w:pPr>
              <w:numPr>
                <w:ilvl w:val="0"/>
                <w:numId w:val="0"/>
              </w:numPr>
              <w:shd w:val="clear" w:color="auto" w:fill="auto"/>
              <w:spacing w:before="40" w:after="40" w:line="240" w:lineRule="auto"/>
              <w:jc w:val="center"/>
              <w:rPr>
                <w:b/>
                <w:bCs/>
              </w:rPr>
            </w:pPr>
            <w:r w:rsidRPr="00433895">
              <w:rPr>
                <w:b/>
                <w:bCs/>
                <w:color w:val="000000"/>
              </w:rPr>
              <w:t xml:space="preserve">1,831 </w:t>
            </w:r>
          </w:p>
        </w:tc>
      </w:tr>
      <w:tr w:rsidR="003B33F2" w:rsidRPr="00890E3E" w14:paraId="503E84A1" w14:textId="77777777" w:rsidTr="00442CED">
        <w:trPr>
          <w:gridAfter w:val="1"/>
          <w:wAfter w:w="6" w:type="dxa"/>
          <w:trHeight w:val="302"/>
        </w:trPr>
        <w:tc>
          <w:tcPr>
            <w:tcW w:w="1081" w:type="dxa"/>
            <w:vMerge w:val="restart"/>
            <w:tcBorders>
              <w:top w:val="single" w:sz="12" w:space="0" w:color="auto"/>
              <w:left w:val="single" w:sz="12" w:space="0" w:color="auto"/>
              <w:right w:val="single" w:sz="12" w:space="0" w:color="auto"/>
            </w:tcBorders>
            <w:shd w:val="clear" w:color="auto" w:fill="auto"/>
            <w:noWrap/>
            <w:vAlign w:val="center"/>
            <w:hideMark/>
          </w:tcPr>
          <w:p w14:paraId="33E59A82" w14:textId="77777777" w:rsidR="003B33F2" w:rsidRPr="00890E3E" w:rsidRDefault="003B33F2" w:rsidP="00A11F4F">
            <w:pPr>
              <w:numPr>
                <w:ilvl w:val="0"/>
                <w:numId w:val="0"/>
              </w:numPr>
              <w:shd w:val="clear" w:color="auto" w:fill="auto"/>
              <w:spacing w:before="40" w:after="40" w:line="240" w:lineRule="auto"/>
            </w:pPr>
            <w:r w:rsidRPr="00890E3E">
              <w:rPr>
                <w:b/>
                <w:bCs/>
              </w:rPr>
              <w:t>Family of victims</w:t>
            </w:r>
          </w:p>
        </w:tc>
        <w:tc>
          <w:tcPr>
            <w:tcW w:w="1063" w:type="dxa"/>
            <w:tcBorders>
              <w:top w:val="single" w:sz="12" w:space="0" w:color="auto"/>
              <w:left w:val="single" w:sz="12" w:space="0" w:color="auto"/>
              <w:bottom w:val="nil"/>
              <w:right w:val="single" w:sz="12" w:space="0" w:color="auto"/>
            </w:tcBorders>
            <w:shd w:val="clear" w:color="auto" w:fill="auto"/>
            <w:vAlign w:val="center"/>
          </w:tcPr>
          <w:p w14:paraId="0A654AAA" w14:textId="77777777" w:rsidR="003B33F2" w:rsidRPr="00890E3E" w:rsidRDefault="003B33F2" w:rsidP="00A11F4F">
            <w:pPr>
              <w:numPr>
                <w:ilvl w:val="0"/>
                <w:numId w:val="0"/>
              </w:numPr>
              <w:shd w:val="clear" w:color="auto" w:fill="auto"/>
              <w:spacing w:before="40" w:after="40" w:line="240" w:lineRule="auto"/>
            </w:pPr>
            <w:r w:rsidRPr="00890E3E">
              <w:t>Applied</w:t>
            </w:r>
          </w:p>
        </w:tc>
        <w:tc>
          <w:tcPr>
            <w:tcW w:w="901" w:type="dxa"/>
            <w:tcBorders>
              <w:top w:val="single" w:sz="12" w:space="0" w:color="auto"/>
              <w:left w:val="single" w:sz="12" w:space="0" w:color="auto"/>
              <w:bottom w:val="nil"/>
            </w:tcBorders>
            <w:shd w:val="clear" w:color="auto" w:fill="auto"/>
            <w:noWrap/>
            <w:vAlign w:val="bottom"/>
            <w:hideMark/>
          </w:tcPr>
          <w:p w14:paraId="6AEE22A3"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890 </w:t>
            </w:r>
          </w:p>
        </w:tc>
        <w:tc>
          <w:tcPr>
            <w:tcW w:w="810" w:type="dxa"/>
            <w:tcBorders>
              <w:top w:val="single" w:sz="12" w:space="0" w:color="auto"/>
              <w:bottom w:val="nil"/>
            </w:tcBorders>
            <w:shd w:val="clear" w:color="auto" w:fill="auto"/>
            <w:noWrap/>
            <w:vAlign w:val="bottom"/>
            <w:hideMark/>
          </w:tcPr>
          <w:p w14:paraId="4CB3C0F9"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1,142 </w:t>
            </w:r>
          </w:p>
        </w:tc>
        <w:tc>
          <w:tcPr>
            <w:tcW w:w="900" w:type="dxa"/>
            <w:tcBorders>
              <w:top w:val="single" w:sz="12" w:space="0" w:color="auto"/>
              <w:bottom w:val="nil"/>
            </w:tcBorders>
            <w:shd w:val="clear" w:color="auto" w:fill="auto"/>
            <w:noWrap/>
            <w:vAlign w:val="bottom"/>
            <w:hideMark/>
          </w:tcPr>
          <w:p w14:paraId="26FEF0BE"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1,315 </w:t>
            </w:r>
          </w:p>
        </w:tc>
        <w:tc>
          <w:tcPr>
            <w:tcW w:w="810" w:type="dxa"/>
            <w:tcBorders>
              <w:top w:val="single" w:sz="12" w:space="0" w:color="auto"/>
              <w:bottom w:val="nil"/>
            </w:tcBorders>
            <w:shd w:val="clear" w:color="auto" w:fill="auto"/>
            <w:noWrap/>
            <w:vAlign w:val="bottom"/>
            <w:hideMark/>
          </w:tcPr>
          <w:p w14:paraId="1D666C29"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1,011 </w:t>
            </w:r>
          </w:p>
        </w:tc>
        <w:tc>
          <w:tcPr>
            <w:tcW w:w="810" w:type="dxa"/>
            <w:tcBorders>
              <w:top w:val="single" w:sz="12" w:space="0" w:color="auto"/>
              <w:bottom w:val="nil"/>
            </w:tcBorders>
            <w:shd w:val="clear" w:color="auto" w:fill="auto"/>
            <w:noWrap/>
            <w:vAlign w:val="bottom"/>
            <w:hideMark/>
          </w:tcPr>
          <w:p w14:paraId="7D503124"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966 </w:t>
            </w:r>
          </w:p>
        </w:tc>
        <w:tc>
          <w:tcPr>
            <w:tcW w:w="2340" w:type="dxa"/>
            <w:tcBorders>
              <w:top w:val="single" w:sz="12" w:space="0" w:color="auto"/>
              <w:bottom w:val="nil"/>
              <w:right w:val="single" w:sz="12" w:space="0" w:color="auto"/>
            </w:tcBorders>
            <w:shd w:val="clear" w:color="auto" w:fill="auto"/>
            <w:noWrap/>
            <w:vAlign w:val="bottom"/>
            <w:hideMark/>
          </w:tcPr>
          <w:p w14:paraId="087A2087" w14:textId="77777777" w:rsidR="003B33F2" w:rsidRPr="00433895" w:rsidRDefault="003B33F2" w:rsidP="00A11F4F">
            <w:pPr>
              <w:numPr>
                <w:ilvl w:val="0"/>
                <w:numId w:val="0"/>
              </w:numPr>
              <w:shd w:val="clear" w:color="auto" w:fill="auto"/>
              <w:spacing w:before="40" w:after="40" w:line="240" w:lineRule="auto"/>
              <w:jc w:val="center"/>
              <w:rPr>
                <w:b/>
                <w:bCs/>
              </w:rPr>
            </w:pPr>
            <w:r w:rsidRPr="00433895">
              <w:rPr>
                <w:b/>
                <w:bCs/>
                <w:color w:val="000000"/>
              </w:rPr>
              <w:t xml:space="preserve">5,324 </w:t>
            </w:r>
          </w:p>
        </w:tc>
      </w:tr>
      <w:tr w:rsidR="003B33F2" w:rsidRPr="00890E3E" w14:paraId="2B031545" w14:textId="77777777" w:rsidTr="00442CED">
        <w:trPr>
          <w:gridAfter w:val="1"/>
          <w:wAfter w:w="6" w:type="dxa"/>
          <w:trHeight w:val="302"/>
        </w:trPr>
        <w:tc>
          <w:tcPr>
            <w:tcW w:w="1081" w:type="dxa"/>
            <w:vMerge/>
            <w:tcBorders>
              <w:top w:val="single" w:sz="12" w:space="0" w:color="auto"/>
              <w:left w:val="single" w:sz="12" w:space="0" w:color="auto"/>
              <w:right w:val="single" w:sz="12" w:space="0" w:color="auto"/>
            </w:tcBorders>
            <w:shd w:val="clear" w:color="auto" w:fill="auto"/>
            <w:noWrap/>
            <w:vAlign w:val="center"/>
            <w:hideMark/>
          </w:tcPr>
          <w:p w14:paraId="0972E710" w14:textId="77777777" w:rsidR="003B33F2" w:rsidRPr="00890E3E" w:rsidRDefault="003B33F2" w:rsidP="00A11F4F">
            <w:pPr>
              <w:numPr>
                <w:ilvl w:val="0"/>
                <w:numId w:val="0"/>
              </w:numPr>
              <w:shd w:val="clear" w:color="auto" w:fill="auto"/>
              <w:spacing w:before="40" w:after="40" w:line="240" w:lineRule="auto"/>
            </w:pPr>
          </w:p>
        </w:tc>
        <w:tc>
          <w:tcPr>
            <w:tcW w:w="1063" w:type="dxa"/>
            <w:tcBorders>
              <w:top w:val="nil"/>
              <w:left w:val="single" w:sz="12" w:space="0" w:color="auto"/>
              <w:bottom w:val="nil"/>
              <w:right w:val="single" w:sz="12" w:space="0" w:color="auto"/>
            </w:tcBorders>
            <w:shd w:val="clear" w:color="auto" w:fill="D9D9D9" w:themeFill="background1" w:themeFillShade="D9"/>
            <w:vAlign w:val="center"/>
          </w:tcPr>
          <w:p w14:paraId="18170ABC" w14:textId="77777777" w:rsidR="003B33F2" w:rsidRPr="00890E3E" w:rsidRDefault="003B33F2" w:rsidP="00A11F4F">
            <w:pPr>
              <w:numPr>
                <w:ilvl w:val="0"/>
                <w:numId w:val="0"/>
              </w:numPr>
              <w:shd w:val="clear" w:color="auto" w:fill="auto"/>
              <w:spacing w:before="40" w:after="40" w:line="240" w:lineRule="auto"/>
            </w:pPr>
            <w:r w:rsidRPr="00890E3E">
              <w:t>Approved</w:t>
            </w:r>
          </w:p>
        </w:tc>
        <w:tc>
          <w:tcPr>
            <w:tcW w:w="901" w:type="dxa"/>
            <w:tcBorders>
              <w:top w:val="nil"/>
              <w:left w:val="single" w:sz="12" w:space="0" w:color="auto"/>
              <w:bottom w:val="nil"/>
            </w:tcBorders>
            <w:shd w:val="clear" w:color="auto" w:fill="D9D9D9" w:themeFill="background1" w:themeFillShade="D9"/>
            <w:noWrap/>
            <w:vAlign w:val="bottom"/>
            <w:hideMark/>
          </w:tcPr>
          <w:p w14:paraId="4703916F"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937 </w:t>
            </w:r>
          </w:p>
        </w:tc>
        <w:tc>
          <w:tcPr>
            <w:tcW w:w="810" w:type="dxa"/>
            <w:tcBorders>
              <w:top w:val="nil"/>
              <w:bottom w:val="nil"/>
            </w:tcBorders>
            <w:shd w:val="clear" w:color="auto" w:fill="D9D9D9" w:themeFill="background1" w:themeFillShade="D9"/>
            <w:noWrap/>
            <w:vAlign w:val="bottom"/>
            <w:hideMark/>
          </w:tcPr>
          <w:p w14:paraId="6EEF1F92"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667 </w:t>
            </w:r>
          </w:p>
        </w:tc>
        <w:tc>
          <w:tcPr>
            <w:tcW w:w="900" w:type="dxa"/>
            <w:tcBorders>
              <w:top w:val="nil"/>
              <w:bottom w:val="nil"/>
            </w:tcBorders>
            <w:shd w:val="clear" w:color="auto" w:fill="D9D9D9" w:themeFill="background1" w:themeFillShade="D9"/>
            <w:noWrap/>
            <w:vAlign w:val="bottom"/>
            <w:hideMark/>
          </w:tcPr>
          <w:p w14:paraId="669B127B"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703 </w:t>
            </w:r>
          </w:p>
        </w:tc>
        <w:tc>
          <w:tcPr>
            <w:tcW w:w="810" w:type="dxa"/>
            <w:tcBorders>
              <w:top w:val="nil"/>
              <w:bottom w:val="nil"/>
            </w:tcBorders>
            <w:shd w:val="clear" w:color="auto" w:fill="D9D9D9" w:themeFill="background1" w:themeFillShade="D9"/>
            <w:noWrap/>
            <w:vAlign w:val="bottom"/>
            <w:hideMark/>
          </w:tcPr>
          <w:p w14:paraId="6620EEFE"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491 </w:t>
            </w:r>
          </w:p>
        </w:tc>
        <w:tc>
          <w:tcPr>
            <w:tcW w:w="810" w:type="dxa"/>
            <w:tcBorders>
              <w:top w:val="nil"/>
              <w:bottom w:val="nil"/>
            </w:tcBorders>
            <w:shd w:val="clear" w:color="auto" w:fill="D9D9D9" w:themeFill="background1" w:themeFillShade="D9"/>
            <w:noWrap/>
            <w:vAlign w:val="bottom"/>
            <w:hideMark/>
          </w:tcPr>
          <w:p w14:paraId="187D7F36"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1,018 </w:t>
            </w:r>
          </w:p>
        </w:tc>
        <w:tc>
          <w:tcPr>
            <w:tcW w:w="2340" w:type="dxa"/>
            <w:tcBorders>
              <w:top w:val="nil"/>
              <w:bottom w:val="nil"/>
              <w:right w:val="single" w:sz="12" w:space="0" w:color="auto"/>
            </w:tcBorders>
            <w:shd w:val="clear" w:color="auto" w:fill="D9D9D9" w:themeFill="background1" w:themeFillShade="D9"/>
            <w:noWrap/>
            <w:vAlign w:val="bottom"/>
            <w:hideMark/>
          </w:tcPr>
          <w:p w14:paraId="2185F48A" w14:textId="77777777" w:rsidR="003B33F2" w:rsidRPr="00433895" w:rsidRDefault="003B33F2" w:rsidP="00A11F4F">
            <w:pPr>
              <w:numPr>
                <w:ilvl w:val="0"/>
                <w:numId w:val="0"/>
              </w:numPr>
              <w:shd w:val="clear" w:color="auto" w:fill="auto"/>
              <w:spacing w:before="40" w:after="40" w:line="240" w:lineRule="auto"/>
              <w:jc w:val="center"/>
              <w:rPr>
                <w:b/>
                <w:bCs/>
              </w:rPr>
            </w:pPr>
            <w:r w:rsidRPr="00433895">
              <w:rPr>
                <w:b/>
                <w:bCs/>
                <w:color w:val="000000"/>
              </w:rPr>
              <w:t xml:space="preserve">3,816 </w:t>
            </w:r>
          </w:p>
        </w:tc>
      </w:tr>
      <w:tr w:rsidR="003B33F2" w:rsidRPr="00890E3E" w14:paraId="60A55B4D" w14:textId="77777777" w:rsidTr="00442CED">
        <w:trPr>
          <w:gridAfter w:val="1"/>
          <w:wAfter w:w="6" w:type="dxa"/>
          <w:trHeight w:val="317"/>
        </w:trPr>
        <w:tc>
          <w:tcPr>
            <w:tcW w:w="1081" w:type="dxa"/>
            <w:vMerge/>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053C851" w14:textId="77777777" w:rsidR="003B33F2" w:rsidRPr="00890E3E" w:rsidRDefault="003B33F2" w:rsidP="00A11F4F">
            <w:pPr>
              <w:numPr>
                <w:ilvl w:val="0"/>
                <w:numId w:val="0"/>
              </w:numPr>
              <w:shd w:val="clear" w:color="auto" w:fill="auto"/>
              <w:spacing w:before="40" w:after="40" w:line="240" w:lineRule="auto"/>
            </w:pPr>
          </w:p>
        </w:tc>
        <w:tc>
          <w:tcPr>
            <w:tcW w:w="1063" w:type="dxa"/>
            <w:tcBorders>
              <w:top w:val="nil"/>
              <w:left w:val="single" w:sz="12" w:space="0" w:color="auto"/>
              <w:bottom w:val="single" w:sz="12" w:space="0" w:color="auto"/>
              <w:right w:val="single" w:sz="12" w:space="0" w:color="auto"/>
            </w:tcBorders>
            <w:shd w:val="clear" w:color="auto" w:fill="auto"/>
            <w:vAlign w:val="center"/>
          </w:tcPr>
          <w:p w14:paraId="19389382" w14:textId="77777777" w:rsidR="003B33F2" w:rsidRPr="00890E3E" w:rsidRDefault="003B33F2" w:rsidP="00A11F4F">
            <w:pPr>
              <w:numPr>
                <w:ilvl w:val="0"/>
                <w:numId w:val="0"/>
              </w:numPr>
              <w:shd w:val="clear" w:color="auto" w:fill="auto"/>
              <w:spacing w:before="40" w:after="40" w:line="240" w:lineRule="auto"/>
            </w:pPr>
            <w:r w:rsidRPr="00890E3E">
              <w:t>Denied</w:t>
            </w:r>
          </w:p>
        </w:tc>
        <w:tc>
          <w:tcPr>
            <w:tcW w:w="901" w:type="dxa"/>
            <w:tcBorders>
              <w:top w:val="nil"/>
              <w:left w:val="single" w:sz="12" w:space="0" w:color="auto"/>
              <w:bottom w:val="single" w:sz="12" w:space="0" w:color="auto"/>
            </w:tcBorders>
            <w:shd w:val="clear" w:color="auto" w:fill="auto"/>
            <w:noWrap/>
            <w:vAlign w:val="bottom"/>
            <w:hideMark/>
          </w:tcPr>
          <w:p w14:paraId="2A7FB207"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144 </w:t>
            </w:r>
          </w:p>
        </w:tc>
        <w:tc>
          <w:tcPr>
            <w:tcW w:w="810" w:type="dxa"/>
            <w:tcBorders>
              <w:top w:val="nil"/>
              <w:bottom w:val="single" w:sz="12" w:space="0" w:color="auto"/>
            </w:tcBorders>
            <w:shd w:val="clear" w:color="auto" w:fill="auto"/>
            <w:noWrap/>
            <w:vAlign w:val="bottom"/>
            <w:hideMark/>
          </w:tcPr>
          <w:p w14:paraId="7FDD7B2C"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123 </w:t>
            </w:r>
          </w:p>
        </w:tc>
        <w:tc>
          <w:tcPr>
            <w:tcW w:w="900" w:type="dxa"/>
            <w:tcBorders>
              <w:top w:val="nil"/>
              <w:bottom w:val="single" w:sz="12" w:space="0" w:color="auto"/>
            </w:tcBorders>
            <w:shd w:val="clear" w:color="auto" w:fill="auto"/>
            <w:noWrap/>
            <w:vAlign w:val="bottom"/>
            <w:hideMark/>
          </w:tcPr>
          <w:p w14:paraId="6ECB55DF"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251 </w:t>
            </w:r>
          </w:p>
        </w:tc>
        <w:tc>
          <w:tcPr>
            <w:tcW w:w="810" w:type="dxa"/>
            <w:tcBorders>
              <w:top w:val="nil"/>
              <w:bottom w:val="single" w:sz="12" w:space="0" w:color="auto"/>
            </w:tcBorders>
            <w:shd w:val="clear" w:color="auto" w:fill="auto"/>
            <w:noWrap/>
            <w:vAlign w:val="bottom"/>
            <w:hideMark/>
          </w:tcPr>
          <w:p w14:paraId="09AA34D7"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216 </w:t>
            </w:r>
          </w:p>
        </w:tc>
        <w:tc>
          <w:tcPr>
            <w:tcW w:w="810" w:type="dxa"/>
            <w:tcBorders>
              <w:top w:val="nil"/>
              <w:bottom w:val="single" w:sz="12" w:space="0" w:color="auto"/>
            </w:tcBorders>
            <w:shd w:val="clear" w:color="auto" w:fill="auto"/>
            <w:noWrap/>
            <w:vAlign w:val="bottom"/>
            <w:hideMark/>
          </w:tcPr>
          <w:p w14:paraId="61B9D413"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511 </w:t>
            </w:r>
          </w:p>
        </w:tc>
        <w:tc>
          <w:tcPr>
            <w:tcW w:w="2340" w:type="dxa"/>
            <w:tcBorders>
              <w:top w:val="nil"/>
              <w:bottom w:val="single" w:sz="12" w:space="0" w:color="auto"/>
              <w:right w:val="single" w:sz="12" w:space="0" w:color="auto"/>
            </w:tcBorders>
            <w:shd w:val="clear" w:color="auto" w:fill="auto"/>
            <w:noWrap/>
            <w:vAlign w:val="bottom"/>
            <w:hideMark/>
          </w:tcPr>
          <w:p w14:paraId="3109D10B" w14:textId="77777777" w:rsidR="003B33F2" w:rsidRPr="00433895" w:rsidRDefault="003B33F2" w:rsidP="00A11F4F">
            <w:pPr>
              <w:numPr>
                <w:ilvl w:val="0"/>
                <w:numId w:val="0"/>
              </w:numPr>
              <w:shd w:val="clear" w:color="auto" w:fill="auto"/>
              <w:spacing w:before="40" w:after="40" w:line="240" w:lineRule="auto"/>
              <w:jc w:val="center"/>
              <w:rPr>
                <w:b/>
                <w:bCs/>
              </w:rPr>
            </w:pPr>
            <w:r w:rsidRPr="00433895">
              <w:rPr>
                <w:b/>
                <w:bCs/>
                <w:color w:val="000000"/>
              </w:rPr>
              <w:t xml:space="preserve">1,245 </w:t>
            </w:r>
          </w:p>
        </w:tc>
      </w:tr>
    </w:tbl>
    <w:p w14:paraId="42AC7DAD" w14:textId="77777777" w:rsidR="003B33F2" w:rsidRPr="00985091" w:rsidRDefault="003B33F2" w:rsidP="00A11F4F">
      <w:pPr>
        <w:numPr>
          <w:ilvl w:val="0"/>
          <w:numId w:val="0"/>
        </w:numPr>
        <w:shd w:val="clear" w:color="auto" w:fill="auto"/>
        <w:spacing w:line="240" w:lineRule="auto"/>
      </w:pPr>
    </w:p>
    <w:tbl>
      <w:tblPr>
        <w:tblStyle w:val="TableGrid"/>
        <w:tblW w:w="8715" w:type="dxa"/>
        <w:tblLayout w:type="fixed"/>
        <w:tblLook w:val="04A0" w:firstRow="1" w:lastRow="0" w:firstColumn="1" w:lastColumn="0" w:noHBand="0" w:noVBand="1"/>
      </w:tblPr>
      <w:tblGrid>
        <w:gridCol w:w="927"/>
        <w:gridCol w:w="1161"/>
        <w:gridCol w:w="867"/>
        <w:gridCol w:w="810"/>
        <w:gridCol w:w="810"/>
        <w:gridCol w:w="810"/>
        <w:gridCol w:w="770"/>
        <w:gridCol w:w="2560"/>
      </w:tblGrid>
      <w:tr w:rsidR="003B33F2" w:rsidRPr="00890E3E" w14:paraId="2F103C55" w14:textId="77777777" w:rsidTr="00442CED">
        <w:trPr>
          <w:trHeight w:val="1178"/>
        </w:trPr>
        <w:tc>
          <w:tcPr>
            <w:tcW w:w="8715"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6E5E347B" w14:textId="77777777" w:rsidR="003B33F2" w:rsidRPr="00890E3E" w:rsidRDefault="003B33F2" w:rsidP="00A11F4F">
            <w:pPr>
              <w:numPr>
                <w:ilvl w:val="0"/>
                <w:numId w:val="0"/>
              </w:numPr>
              <w:shd w:val="clear" w:color="auto" w:fill="auto"/>
              <w:spacing w:before="40" w:after="40" w:line="240" w:lineRule="auto"/>
              <w:jc w:val="center"/>
              <w:rPr>
                <w:b/>
                <w:bCs/>
              </w:rPr>
            </w:pPr>
            <w:r w:rsidRPr="00890E3E">
              <w:rPr>
                <w:b/>
                <w:bCs/>
              </w:rPr>
              <w:t>Petition for U Nonim</w:t>
            </w:r>
            <w:r>
              <w:rPr>
                <w:b/>
                <w:bCs/>
              </w:rPr>
              <w:t>migrant Status (I-918)</w:t>
            </w:r>
            <w:r>
              <w:rPr>
                <w:b/>
                <w:bCs/>
              </w:rPr>
              <w:br/>
              <w:t>Petition</w:t>
            </w:r>
            <w:r w:rsidRPr="00890E3E">
              <w:rPr>
                <w:b/>
                <w:bCs/>
              </w:rPr>
              <w:t xml:space="preserve"> for Qualifying Family Member of U-1 Recipient (I-918A)</w:t>
            </w:r>
            <w:r w:rsidRPr="00890E3E">
              <w:rPr>
                <w:b/>
                <w:bCs/>
              </w:rPr>
              <w:br/>
              <w:t>Receipts, Approvals, and Denials</w:t>
            </w:r>
            <w:r w:rsidRPr="00890E3E">
              <w:rPr>
                <w:b/>
                <w:bCs/>
              </w:rPr>
              <w:br/>
              <w:t>Fiscal Years 2009 to 2015</w:t>
            </w:r>
          </w:p>
        </w:tc>
      </w:tr>
      <w:tr w:rsidR="003B33F2" w:rsidRPr="00890E3E" w14:paraId="0442275A" w14:textId="77777777" w:rsidTr="00442CED">
        <w:trPr>
          <w:trHeight w:val="300"/>
        </w:trPr>
        <w:tc>
          <w:tcPr>
            <w:tcW w:w="2088" w:type="dxa"/>
            <w:gridSpan w:val="2"/>
            <w:tcBorders>
              <w:top w:val="single" w:sz="12" w:space="0" w:color="auto"/>
              <w:left w:val="single" w:sz="12" w:space="0" w:color="auto"/>
              <w:bottom w:val="single" w:sz="12" w:space="0" w:color="auto"/>
              <w:right w:val="single" w:sz="12" w:space="0" w:color="auto"/>
            </w:tcBorders>
            <w:noWrap/>
            <w:vAlign w:val="center"/>
            <w:hideMark/>
          </w:tcPr>
          <w:p w14:paraId="1CE76737" w14:textId="77777777" w:rsidR="003B33F2" w:rsidRPr="00890E3E" w:rsidRDefault="003B33F2" w:rsidP="00A11F4F">
            <w:pPr>
              <w:numPr>
                <w:ilvl w:val="0"/>
                <w:numId w:val="0"/>
              </w:numPr>
              <w:shd w:val="clear" w:color="auto" w:fill="auto"/>
              <w:spacing w:before="40" w:after="40" w:line="240" w:lineRule="auto"/>
              <w:rPr>
                <w:b/>
                <w:bCs/>
              </w:rPr>
            </w:pPr>
            <w:r>
              <w:rPr>
                <w:b/>
                <w:bCs/>
              </w:rPr>
              <w:t>Petitions</w:t>
            </w:r>
            <w:r w:rsidRPr="00890E3E">
              <w:rPr>
                <w:b/>
                <w:bCs/>
              </w:rPr>
              <w:t xml:space="preserve"> for </w:t>
            </w:r>
            <w:r w:rsidRPr="00890E3E">
              <w:rPr>
                <w:b/>
                <w:bCs/>
              </w:rPr>
              <w:br/>
              <w:t>U nonimmigrant status</w:t>
            </w:r>
          </w:p>
        </w:tc>
        <w:tc>
          <w:tcPr>
            <w:tcW w:w="867" w:type="dxa"/>
            <w:tcBorders>
              <w:top w:val="single" w:sz="12" w:space="0" w:color="auto"/>
              <w:left w:val="single" w:sz="12" w:space="0" w:color="auto"/>
              <w:bottom w:val="single" w:sz="12" w:space="0" w:color="auto"/>
            </w:tcBorders>
            <w:noWrap/>
            <w:vAlign w:val="center"/>
            <w:hideMark/>
          </w:tcPr>
          <w:p w14:paraId="746F76C1" w14:textId="77777777" w:rsidR="003B33F2" w:rsidRPr="00890E3E" w:rsidRDefault="003B33F2" w:rsidP="00A11F4F">
            <w:pPr>
              <w:numPr>
                <w:ilvl w:val="0"/>
                <w:numId w:val="0"/>
              </w:numPr>
              <w:shd w:val="clear" w:color="auto" w:fill="auto"/>
              <w:spacing w:before="40" w:after="40" w:line="240" w:lineRule="auto"/>
              <w:jc w:val="center"/>
              <w:rPr>
                <w:b/>
                <w:bCs/>
              </w:rPr>
            </w:pPr>
            <w:r w:rsidRPr="00890E3E">
              <w:rPr>
                <w:b/>
                <w:bCs/>
              </w:rPr>
              <w:t>20</w:t>
            </w:r>
            <w:r>
              <w:rPr>
                <w:b/>
                <w:bCs/>
              </w:rPr>
              <w:t>16</w:t>
            </w:r>
          </w:p>
        </w:tc>
        <w:tc>
          <w:tcPr>
            <w:tcW w:w="810" w:type="dxa"/>
            <w:tcBorders>
              <w:top w:val="single" w:sz="12" w:space="0" w:color="auto"/>
              <w:bottom w:val="single" w:sz="12" w:space="0" w:color="auto"/>
            </w:tcBorders>
            <w:noWrap/>
            <w:vAlign w:val="center"/>
            <w:hideMark/>
          </w:tcPr>
          <w:p w14:paraId="732BB8C8" w14:textId="77777777" w:rsidR="003B33F2" w:rsidRPr="00890E3E" w:rsidRDefault="003B33F2" w:rsidP="00A11F4F">
            <w:pPr>
              <w:numPr>
                <w:ilvl w:val="0"/>
                <w:numId w:val="0"/>
              </w:numPr>
              <w:shd w:val="clear" w:color="auto" w:fill="auto"/>
              <w:spacing w:before="40" w:after="40" w:line="240" w:lineRule="auto"/>
              <w:jc w:val="center"/>
              <w:rPr>
                <w:b/>
                <w:bCs/>
              </w:rPr>
            </w:pPr>
            <w:r>
              <w:rPr>
                <w:b/>
                <w:bCs/>
              </w:rPr>
              <w:t>2017</w:t>
            </w:r>
          </w:p>
        </w:tc>
        <w:tc>
          <w:tcPr>
            <w:tcW w:w="810" w:type="dxa"/>
            <w:tcBorders>
              <w:top w:val="single" w:sz="12" w:space="0" w:color="auto"/>
              <w:bottom w:val="single" w:sz="12" w:space="0" w:color="auto"/>
            </w:tcBorders>
            <w:noWrap/>
            <w:vAlign w:val="center"/>
            <w:hideMark/>
          </w:tcPr>
          <w:p w14:paraId="6F5CB56F" w14:textId="77777777" w:rsidR="003B33F2" w:rsidRPr="00890E3E" w:rsidRDefault="003B33F2" w:rsidP="00A11F4F">
            <w:pPr>
              <w:numPr>
                <w:ilvl w:val="0"/>
                <w:numId w:val="0"/>
              </w:numPr>
              <w:shd w:val="clear" w:color="auto" w:fill="auto"/>
              <w:spacing w:before="40" w:after="40" w:line="240" w:lineRule="auto"/>
              <w:jc w:val="center"/>
              <w:rPr>
                <w:b/>
                <w:bCs/>
              </w:rPr>
            </w:pPr>
            <w:r>
              <w:rPr>
                <w:b/>
                <w:bCs/>
              </w:rPr>
              <w:t>2018</w:t>
            </w:r>
          </w:p>
        </w:tc>
        <w:tc>
          <w:tcPr>
            <w:tcW w:w="810" w:type="dxa"/>
            <w:tcBorders>
              <w:top w:val="single" w:sz="12" w:space="0" w:color="auto"/>
              <w:bottom w:val="single" w:sz="12" w:space="0" w:color="auto"/>
            </w:tcBorders>
            <w:noWrap/>
            <w:vAlign w:val="center"/>
            <w:hideMark/>
          </w:tcPr>
          <w:p w14:paraId="52A94900" w14:textId="77777777" w:rsidR="003B33F2" w:rsidRPr="00890E3E" w:rsidRDefault="003B33F2" w:rsidP="00A11F4F">
            <w:pPr>
              <w:numPr>
                <w:ilvl w:val="0"/>
                <w:numId w:val="0"/>
              </w:numPr>
              <w:shd w:val="clear" w:color="auto" w:fill="auto"/>
              <w:spacing w:before="40" w:after="40" w:line="240" w:lineRule="auto"/>
              <w:jc w:val="center"/>
              <w:rPr>
                <w:b/>
                <w:bCs/>
              </w:rPr>
            </w:pPr>
            <w:r>
              <w:rPr>
                <w:b/>
                <w:bCs/>
              </w:rPr>
              <w:t>2019</w:t>
            </w:r>
          </w:p>
        </w:tc>
        <w:tc>
          <w:tcPr>
            <w:tcW w:w="770" w:type="dxa"/>
            <w:tcBorders>
              <w:top w:val="single" w:sz="12" w:space="0" w:color="auto"/>
              <w:bottom w:val="single" w:sz="12" w:space="0" w:color="auto"/>
            </w:tcBorders>
            <w:noWrap/>
            <w:vAlign w:val="center"/>
            <w:hideMark/>
          </w:tcPr>
          <w:p w14:paraId="43627192" w14:textId="77777777" w:rsidR="003B33F2" w:rsidRPr="00890E3E" w:rsidRDefault="003B33F2" w:rsidP="00A11F4F">
            <w:pPr>
              <w:numPr>
                <w:ilvl w:val="0"/>
                <w:numId w:val="0"/>
              </w:numPr>
              <w:shd w:val="clear" w:color="auto" w:fill="auto"/>
              <w:spacing w:before="40" w:after="40" w:line="240" w:lineRule="auto"/>
              <w:jc w:val="center"/>
              <w:rPr>
                <w:b/>
                <w:bCs/>
              </w:rPr>
            </w:pPr>
            <w:r>
              <w:rPr>
                <w:b/>
                <w:bCs/>
              </w:rPr>
              <w:t>2020</w:t>
            </w:r>
          </w:p>
        </w:tc>
        <w:tc>
          <w:tcPr>
            <w:tcW w:w="2560" w:type="dxa"/>
            <w:tcBorders>
              <w:top w:val="single" w:sz="12" w:space="0" w:color="auto"/>
              <w:bottom w:val="single" w:sz="12" w:space="0" w:color="auto"/>
              <w:right w:val="single" w:sz="12" w:space="0" w:color="auto"/>
            </w:tcBorders>
            <w:noWrap/>
            <w:vAlign w:val="center"/>
            <w:hideMark/>
          </w:tcPr>
          <w:p w14:paraId="32ABCF72" w14:textId="77777777" w:rsidR="003B33F2" w:rsidRPr="00890E3E" w:rsidRDefault="003B33F2" w:rsidP="00A11F4F">
            <w:pPr>
              <w:numPr>
                <w:ilvl w:val="0"/>
                <w:numId w:val="0"/>
              </w:numPr>
              <w:shd w:val="clear" w:color="auto" w:fill="auto"/>
              <w:spacing w:before="40" w:after="40" w:line="240" w:lineRule="auto"/>
              <w:jc w:val="center"/>
              <w:rPr>
                <w:b/>
                <w:bCs/>
              </w:rPr>
            </w:pPr>
            <w:r w:rsidRPr="00890E3E">
              <w:rPr>
                <w:b/>
                <w:bCs/>
              </w:rPr>
              <w:t>Grand total</w:t>
            </w:r>
          </w:p>
        </w:tc>
      </w:tr>
      <w:tr w:rsidR="003B33F2" w:rsidRPr="00890E3E" w14:paraId="2E0E071A" w14:textId="77777777" w:rsidTr="00442CED">
        <w:trPr>
          <w:trHeight w:val="300"/>
        </w:trPr>
        <w:tc>
          <w:tcPr>
            <w:tcW w:w="927" w:type="dxa"/>
            <w:vMerge w:val="restart"/>
            <w:tcBorders>
              <w:top w:val="single" w:sz="12" w:space="0" w:color="auto"/>
              <w:left w:val="single" w:sz="12" w:space="0" w:color="auto"/>
              <w:right w:val="single" w:sz="12" w:space="0" w:color="auto"/>
            </w:tcBorders>
            <w:noWrap/>
            <w:vAlign w:val="center"/>
            <w:hideMark/>
          </w:tcPr>
          <w:p w14:paraId="78EC607D" w14:textId="77777777" w:rsidR="003B33F2" w:rsidRPr="00890E3E" w:rsidRDefault="003B33F2" w:rsidP="00A11F4F">
            <w:pPr>
              <w:numPr>
                <w:ilvl w:val="0"/>
                <w:numId w:val="0"/>
              </w:numPr>
              <w:shd w:val="clear" w:color="auto" w:fill="auto"/>
              <w:spacing w:before="40" w:after="40" w:line="240" w:lineRule="auto"/>
            </w:pPr>
            <w:r w:rsidRPr="00890E3E">
              <w:rPr>
                <w:b/>
                <w:bCs/>
              </w:rPr>
              <w:t>Victims</w:t>
            </w:r>
          </w:p>
        </w:tc>
        <w:tc>
          <w:tcPr>
            <w:tcW w:w="1161" w:type="dxa"/>
            <w:tcBorders>
              <w:top w:val="single" w:sz="12" w:space="0" w:color="auto"/>
              <w:left w:val="single" w:sz="12" w:space="0" w:color="auto"/>
              <w:bottom w:val="nil"/>
              <w:right w:val="single" w:sz="12" w:space="0" w:color="auto"/>
            </w:tcBorders>
            <w:shd w:val="clear" w:color="auto" w:fill="D9D9D9" w:themeFill="background1" w:themeFillShade="D9"/>
            <w:vAlign w:val="center"/>
          </w:tcPr>
          <w:p w14:paraId="1F3E8F7A" w14:textId="77777777" w:rsidR="003B33F2" w:rsidRPr="00890E3E" w:rsidRDefault="003B33F2" w:rsidP="00A11F4F">
            <w:pPr>
              <w:numPr>
                <w:ilvl w:val="0"/>
                <w:numId w:val="0"/>
              </w:numPr>
              <w:shd w:val="clear" w:color="auto" w:fill="auto"/>
              <w:spacing w:before="40" w:after="40" w:line="240" w:lineRule="auto"/>
            </w:pPr>
            <w:r w:rsidRPr="00890E3E">
              <w:t>Applied</w:t>
            </w:r>
          </w:p>
        </w:tc>
        <w:tc>
          <w:tcPr>
            <w:tcW w:w="867" w:type="dxa"/>
            <w:tcBorders>
              <w:top w:val="single" w:sz="12" w:space="0" w:color="auto"/>
              <w:left w:val="single" w:sz="12" w:space="0" w:color="auto"/>
              <w:bottom w:val="nil"/>
            </w:tcBorders>
            <w:shd w:val="clear" w:color="auto" w:fill="D9D9D9" w:themeFill="background1" w:themeFillShade="D9"/>
            <w:noWrap/>
            <w:vAlign w:val="bottom"/>
            <w:hideMark/>
          </w:tcPr>
          <w:p w14:paraId="3E12FCBC"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34,797 </w:t>
            </w:r>
          </w:p>
        </w:tc>
        <w:tc>
          <w:tcPr>
            <w:tcW w:w="810" w:type="dxa"/>
            <w:tcBorders>
              <w:top w:val="single" w:sz="12" w:space="0" w:color="auto"/>
              <w:bottom w:val="nil"/>
            </w:tcBorders>
            <w:shd w:val="clear" w:color="auto" w:fill="D9D9D9" w:themeFill="background1" w:themeFillShade="D9"/>
            <w:noWrap/>
            <w:vAlign w:val="bottom"/>
            <w:hideMark/>
          </w:tcPr>
          <w:p w14:paraId="797681B9"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37,287 </w:t>
            </w:r>
          </w:p>
        </w:tc>
        <w:tc>
          <w:tcPr>
            <w:tcW w:w="810" w:type="dxa"/>
            <w:tcBorders>
              <w:top w:val="single" w:sz="12" w:space="0" w:color="auto"/>
              <w:bottom w:val="nil"/>
            </w:tcBorders>
            <w:shd w:val="clear" w:color="auto" w:fill="D9D9D9" w:themeFill="background1" w:themeFillShade="D9"/>
            <w:noWrap/>
            <w:vAlign w:val="bottom"/>
            <w:hideMark/>
          </w:tcPr>
          <w:p w14:paraId="525B96B5"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34,967 </w:t>
            </w:r>
          </w:p>
        </w:tc>
        <w:tc>
          <w:tcPr>
            <w:tcW w:w="810" w:type="dxa"/>
            <w:tcBorders>
              <w:top w:val="single" w:sz="12" w:space="0" w:color="auto"/>
              <w:bottom w:val="nil"/>
            </w:tcBorders>
            <w:shd w:val="clear" w:color="auto" w:fill="D9D9D9" w:themeFill="background1" w:themeFillShade="D9"/>
            <w:noWrap/>
            <w:vAlign w:val="bottom"/>
            <w:hideMark/>
          </w:tcPr>
          <w:p w14:paraId="1EB18B60"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28,364 </w:t>
            </w:r>
          </w:p>
        </w:tc>
        <w:tc>
          <w:tcPr>
            <w:tcW w:w="770" w:type="dxa"/>
            <w:tcBorders>
              <w:top w:val="single" w:sz="12" w:space="0" w:color="auto"/>
              <w:bottom w:val="nil"/>
            </w:tcBorders>
            <w:shd w:val="clear" w:color="auto" w:fill="D9D9D9" w:themeFill="background1" w:themeFillShade="D9"/>
            <w:noWrap/>
            <w:vAlign w:val="bottom"/>
            <w:hideMark/>
          </w:tcPr>
          <w:p w14:paraId="1C3CB1C0"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22,358 </w:t>
            </w:r>
          </w:p>
        </w:tc>
        <w:tc>
          <w:tcPr>
            <w:tcW w:w="2560" w:type="dxa"/>
            <w:tcBorders>
              <w:top w:val="single" w:sz="12" w:space="0" w:color="auto"/>
              <w:bottom w:val="nil"/>
              <w:right w:val="single" w:sz="12" w:space="0" w:color="auto"/>
            </w:tcBorders>
            <w:shd w:val="clear" w:color="auto" w:fill="D9D9D9" w:themeFill="background1" w:themeFillShade="D9"/>
            <w:noWrap/>
            <w:vAlign w:val="bottom"/>
            <w:hideMark/>
          </w:tcPr>
          <w:p w14:paraId="5F7BDE5A" w14:textId="77777777" w:rsidR="003B33F2" w:rsidRPr="00433895" w:rsidRDefault="003B33F2" w:rsidP="00A11F4F">
            <w:pPr>
              <w:numPr>
                <w:ilvl w:val="0"/>
                <w:numId w:val="0"/>
              </w:numPr>
              <w:shd w:val="clear" w:color="auto" w:fill="auto"/>
              <w:spacing w:before="40" w:after="40" w:line="240" w:lineRule="auto"/>
              <w:jc w:val="center"/>
              <w:rPr>
                <w:b/>
                <w:bCs/>
              </w:rPr>
            </w:pPr>
            <w:r w:rsidRPr="00433895">
              <w:rPr>
                <w:b/>
                <w:bCs/>
                <w:color w:val="000000"/>
              </w:rPr>
              <w:t xml:space="preserve">157,773 </w:t>
            </w:r>
          </w:p>
        </w:tc>
      </w:tr>
      <w:tr w:rsidR="003B33F2" w:rsidRPr="00890E3E" w14:paraId="70C01AE9" w14:textId="77777777" w:rsidTr="00442CED">
        <w:trPr>
          <w:trHeight w:val="300"/>
        </w:trPr>
        <w:tc>
          <w:tcPr>
            <w:tcW w:w="927" w:type="dxa"/>
            <w:vMerge/>
            <w:tcBorders>
              <w:left w:val="single" w:sz="12" w:space="0" w:color="auto"/>
              <w:right w:val="single" w:sz="12" w:space="0" w:color="auto"/>
            </w:tcBorders>
            <w:noWrap/>
            <w:vAlign w:val="center"/>
            <w:hideMark/>
          </w:tcPr>
          <w:p w14:paraId="6B333334" w14:textId="77777777" w:rsidR="003B33F2" w:rsidRPr="00890E3E" w:rsidRDefault="003B33F2" w:rsidP="00A11F4F">
            <w:pPr>
              <w:numPr>
                <w:ilvl w:val="0"/>
                <w:numId w:val="0"/>
              </w:numPr>
              <w:shd w:val="clear" w:color="auto" w:fill="auto"/>
              <w:spacing w:before="40" w:after="40" w:line="240" w:lineRule="auto"/>
            </w:pPr>
          </w:p>
        </w:tc>
        <w:tc>
          <w:tcPr>
            <w:tcW w:w="1161" w:type="dxa"/>
            <w:tcBorders>
              <w:top w:val="nil"/>
              <w:left w:val="single" w:sz="12" w:space="0" w:color="auto"/>
              <w:bottom w:val="nil"/>
              <w:right w:val="single" w:sz="12" w:space="0" w:color="auto"/>
            </w:tcBorders>
            <w:vAlign w:val="center"/>
          </w:tcPr>
          <w:p w14:paraId="26404C07" w14:textId="77777777" w:rsidR="003B33F2" w:rsidRPr="00890E3E" w:rsidRDefault="003B33F2" w:rsidP="00A11F4F">
            <w:pPr>
              <w:numPr>
                <w:ilvl w:val="0"/>
                <w:numId w:val="0"/>
              </w:numPr>
              <w:shd w:val="clear" w:color="auto" w:fill="auto"/>
              <w:spacing w:before="40" w:after="40" w:line="240" w:lineRule="auto"/>
            </w:pPr>
            <w:r w:rsidRPr="00890E3E">
              <w:t>Approved</w:t>
            </w:r>
          </w:p>
        </w:tc>
        <w:tc>
          <w:tcPr>
            <w:tcW w:w="867" w:type="dxa"/>
            <w:tcBorders>
              <w:top w:val="nil"/>
              <w:left w:val="single" w:sz="12" w:space="0" w:color="auto"/>
              <w:bottom w:val="nil"/>
            </w:tcBorders>
            <w:noWrap/>
            <w:vAlign w:val="bottom"/>
            <w:hideMark/>
          </w:tcPr>
          <w:p w14:paraId="0BB15F05"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10,019 </w:t>
            </w:r>
          </w:p>
        </w:tc>
        <w:tc>
          <w:tcPr>
            <w:tcW w:w="810" w:type="dxa"/>
            <w:tcBorders>
              <w:top w:val="nil"/>
              <w:bottom w:val="nil"/>
            </w:tcBorders>
            <w:noWrap/>
            <w:vAlign w:val="bottom"/>
            <w:hideMark/>
          </w:tcPr>
          <w:p w14:paraId="2E96F851"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10,011 </w:t>
            </w:r>
          </w:p>
        </w:tc>
        <w:tc>
          <w:tcPr>
            <w:tcW w:w="810" w:type="dxa"/>
            <w:tcBorders>
              <w:top w:val="nil"/>
              <w:bottom w:val="nil"/>
            </w:tcBorders>
            <w:noWrap/>
            <w:vAlign w:val="bottom"/>
            <w:hideMark/>
          </w:tcPr>
          <w:p w14:paraId="70C1096C"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10,009 </w:t>
            </w:r>
          </w:p>
        </w:tc>
        <w:tc>
          <w:tcPr>
            <w:tcW w:w="810" w:type="dxa"/>
            <w:tcBorders>
              <w:top w:val="nil"/>
              <w:bottom w:val="nil"/>
            </w:tcBorders>
            <w:noWrap/>
            <w:vAlign w:val="bottom"/>
            <w:hideMark/>
          </w:tcPr>
          <w:p w14:paraId="389377CF"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10,010 </w:t>
            </w:r>
          </w:p>
        </w:tc>
        <w:tc>
          <w:tcPr>
            <w:tcW w:w="770" w:type="dxa"/>
            <w:tcBorders>
              <w:top w:val="nil"/>
              <w:bottom w:val="nil"/>
            </w:tcBorders>
            <w:noWrap/>
            <w:vAlign w:val="bottom"/>
            <w:hideMark/>
          </w:tcPr>
          <w:p w14:paraId="0C68188B"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10,013 </w:t>
            </w:r>
          </w:p>
        </w:tc>
        <w:tc>
          <w:tcPr>
            <w:tcW w:w="2560" w:type="dxa"/>
            <w:tcBorders>
              <w:top w:val="nil"/>
              <w:bottom w:val="nil"/>
              <w:right w:val="single" w:sz="12" w:space="0" w:color="auto"/>
            </w:tcBorders>
            <w:noWrap/>
            <w:vAlign w:val="bottom"/>
            <w:hideMark/>
          </w:tcPr>
          <w:p w14:paraId="108245E5" w14:textId="77777777" w:rsidR="003B33F2" w:rsidRPr="00433895" w:rsidRDefault="003B33F2" w:rsidP="00A11F4F">
            <w:pPr>
              <w:numPr>
                <w:ilvl w:val="0"/>
                <w:numId w:val="0"/>
              </w:numPr>
              <w:shd w:val="clear" w:color="auto" w:fill="auto"/>
              <w:spacing w:before="40" w:after="40" w:line="240" w:lineRule="auto"/>
              <w:jc w:val="center"/>
              <w:rPr>
                <w:b/>
                <w:bCs/>
              </w:rPr>
            </w:pPr>
            <w:r w:rsidRPr="00433895">
              <w:rPr>
                <w:b/>
                <w:bCs/>
                <w:color w:val="000000"/>
              </w:rPr>
              <w:t xml:space="preserve">50,062 </w:t>
            </w:r>
          </w:p>
        </w:tc>
      </w:tr>
      <w:tr w:rsidR="003B33F2" w:rsidRPr="00890E3E" w14:paraId="587F1A31" w14:textId="77777777" w:rsidTr="00442CED">
        <w:trPr>
          <w:trHeight w:val="300"/>
        </w:trPr>
        <w:tc>
          <w:tcPr>
            <w:tcW w:w="927" w:type="dxa"/>
            <w:vMerge/>
            <w:tcBorders>
              <w:left w:val="single" w:sz="12" w:space="0" w:color="auto"/>
              <w:bottom w:val="single" w:sz="12" w:space="0" w:color="auto"/>
              <w:right w:val="single" w:sz="12" w:space="0" w:color="auto"/>
            </w:tcBorders>
            <w:noWrap/>
            <w:vAlign w:val="center"/>
            <w:hideMark/>
          </w:tcPr>
          <w:p w14:paraId="14D549BE" w14:textId="77777777" w:rsidR="003B33F2" w:rsidRPr="00890E3E" w:rsidRDefault="003B33F2" w:rsidP="00A11F4F">
            <w:pPr>
              <w:numPr>
                <w:ilvl w:val="0"/>
                <w:numId w:val="0"/>
              </w:numPr>
              <w:shd w:val="clear" w:color="auto" w:fill="auto"/>
              <w:spacing w:before="40" w:after="40" w:line="240" w:lineRule="auto"/>
            </w:pPr>
          </w:p>
        </w:tc>
        <w:tc>
          <w:tcPr>
            <w:tcW w:w="1161" w:type="dxa"/>
            <w:tcBorders>
              <w:top w:val="nil"/>
              <w:left w:val="single" w:sz="12" w:space="0" w:color="auto"/>
              <w:bottom w:val="single" w:sz="12" w:space="0" w:color="auto"/>
              <w:right w:val="single" w:sz="12" w:space="0" w:color="auto"/>
            </w:tcBorders>
            <w:shd w:val="clear" w:color="auto" w:fill="D9D9D9" w:themeFill="background1" w:themeFillShade="D9"/>
            <w:vAlign w:val="center"/>
          </w:tcPr>
          <w:p w14:paraId="557AC37B" w14:textId="77777777" w:rsidR="003B33F2" w:rsidRPr="00890E3E" w:rsidRDefault="003B33F2" w:rsidP="00A11F4F">
            <w:pPr>
              <w:numPr>
                <w:ilvl w:val="0"/>
                <w:numId w:val="0"/>
              </w:numPr>
              <w:shd w:val="clear" w:color="auto" w:fill="auto"/>
              <w:spacing w:before="40" w:after="40" w:line="240" w:lineRule="auto"/>
            </w:pPr>
            <w:r w:rsidRPr="00890E3E">
              <w:t>Denied</w:t>
            </w:r>
          </w:p>
        </w:tc>
        <w:tc>
          <w:tcPr>
            <w:tcW w:w="867" w:type="dxa"/>
            <w:tcBorders>
              <w:top w:val="nil"/>
              <w:left w:val="single" w:sz="12" w:space="0" w:color="auto"/>
              <w:bottom w:val="single" w:sz="12" w:space="0" w:color="auto"/>
            </w:tcBorders>
            <w:shd w:val="clear" w:color="auto" w:fill="D9D9D9" w:themeFill="background1" w:themeFillShade="D9"/>
            <w:noWrap/>
            <w:vAlign w:val="bottom"/>
            <w:hideMark/>
          </w:tcPr>
          <w:p w14:paraId="61AA2E22"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1,761 </w:t>
            </w:r>
          </w:p>
        </w:tc>
        <w:tc>
          <w:tcPr>
            <w:tcW w:w="810" w:type="dxa"/>
            <w:tcBorders>
              <w:top w:val="nil"/>
              <w:bottom w:val="single" w:sz="12" w:space="0" w:color="auto"/>
            </w:tcBorders>
            <w:shd w:val="clear" w:color="auto" w:fill="D9D9D9" w:themeFill="background1" w:themeFillShade="D9"/>
            <w:noWrap/>
            <w:vAlign w:val="bottom"/>
            <w:hideMark/>
          </w:tcPr>
          <w:p w14:paraId="58B8B022"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2,042 </w:t>
            </w:r>
          </w:p>
        </w:tc>
        <w:tc>
          <w:tcPr>
            <w:tcW w:w="810" w:type="dxa"/>
            <w:tcBorders>
              <w:top w:val="nil"/>
              <w:bottom w:val="single" w:sz="12" w:space="0" w:color="auto"/>
            </w:tcBorders>
            <w:shd w:val="clear" w:color="auto" w:fill="D9D9D9" w:themeFill="background1" w:themeFillShade="D9"/>
            <w:noWrap/>
            <w:vAlign w:val="bottom"/>
            <w:hideMark/>
          </w:tcPr>
          <w:p w14:paraId="4049E3C4"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2,317 </w:t>
            </w:r>
          </w:p>
        </w:tc>
        <w:tc>
          <w:tcPr>
            <w:tcW w:w="810" w:type="dxa"/>
            <w:tcBorders>
              <w:top w:val="nil"/>
              <w:bottom w:val="single" w:sz="12" w:space="0" w:color="auto"/>
            </w:tcBorders>
            <w:shd w:val="clear" w:color="auto" w:fill="D9D9D9" w:themeFill="background1" w:themeFillShade="D9"/>
            <w:noWrap/>
            <w:vAlign w:val="bottom"/>
            <w:hideMark/>
          </w:tcPr>
          <w:p w14:paraId="6DB3A0C1"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2,733 </w:t>
            </w:r>
          </w:p>
        </w:tc>
        <w:tc>
          <w:tcPr>
            <w:tcW w:w="770" w:type="dxa"/>
            <w:tcBorders>
              <w:top w:val="nil"/>
              <w:bottom w:val="single" w:sz="12" w:space="0" w:color="auto"/>
            </w:tcBorders>
            <w:shd w:val="clear" w:color="auto" w:fill="D9D9D9" w:themeFill="background1" w:themeFillShade="D9"/>
            <w:noWrap/>
            <w:vAlign w:val="bottom"/>
            <w:hideMark/>
          </w:tcPr>
          <w:p w14:paraId="1F2B020E"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2,693 </w:t>
            </w:r>
          </w:p>
        </w:tc>
        <w:tc>
          <w:tcPr>
            <w:tcW w:w="2560" w:type="dxa"/>
            <w:tcBorders>
              <w:top w:val="nil"/>
              <w:bottom w:val="single" w:sz="12" w:space="0" w:color="auto"/>
              <w:right w:val="single" w:sz="12" w:space="0" w:color="auto"/>
            </w:tcBorders>
            <w:shd w:val="clear" w:color="auto" w:fill="D9D9D9" w:themeFill="background1" w:themeFillShade="D9"/>
            <w:noWrap/>
            <w:vAlign w:val="bottom"/>
            <w:hideMark/>
          </w:tcPr>
          <w:p w14:paraId="4FFA82F7" w14:textId="77777777" w:rsidR="003B33F2" w:rsidRPr="00433895" w:rsidRDefault="003B33F2" w:rsidP="00A11F4F">
            <w:pPr>
              <w:numPr>
                <w:ilvl w:val="0"/>
                <w:numId w:val="0"/>
              </w:numPr>
              <w:shd w:val="clear" w:color="auto" w:fill="auto"/>
              <w:spacing w:before="40" w:after="40" w:line="240" w:lineRule="auto"/>
              <w:jc w:val="center"/>
              <w:rPr>
                <w:b/>
                <w:bCs/>
              </w:rPr>
            </w:pPr>
            <w:r w:rsidRPr="00433895">
              <w:rPr>
                <w:b/>
                <w:bCs/>
                <w:color w:val="000000"/>
              </w:rPr>
              <w:t xml:space="preserve">11,546 </w:t>
            </w:r>
          </w:p>
        </w:tc>
      </w:tr>
      <w:tr w:rsidR="003B33F2" w:rsidRPr="00890E3E" w14:paraId="74015B79" w14:textId="77777777" w:rsidTr="00442CED">
        <w:trPr>
          <w:trHeight w:val="300"/>
        </w:trPr>
        <w:tc>
          <w:tcPr>
            <w:tcW w:w="927" w:type="dxa"/>
            <w:vMerge w:val="restart"/>
            <w:tcBorders>
              <w:top w:val="single" w:sz="12" w:space="0" w:color="auto"/>
              <w:left w:val="single" w:sz="12" w:space="0" w:color="auto"/>
              <w:right w:val="single" w:sz="12" w:space="0" w:color="auto"/>
            </w:tcBorders>
            <w:noWrap/>
            <w:vAlign w:val="center"/>
            <w:hideMark/>
          </w:tcPr>
          <w:p w14:paraId="1F1CA930" w14:textId="77777777" w:rsidR="003B33F2" w:rsidRPr="00890E3E" w:rsidRDefault="003B33F2" w:rsidP="00A11F4F">
            <w:pPr>
              <w:numPr>
                <w:ilvl w:val="0"/>
                <w:numId w:val="0"/>
              </w:numPr>
              <w:shd w:val="clear" w:color="auto" w:fill="auto"/>
              <w:spacing w:before="40" w:after="40" w:line="240" w:lineRule="auto"/>
              <w:rPr>
                <w:b/>
                <w:bCs/>
              </w:rPr>
            </w:pPr>
            <w:r w:rsidRPr="00890E3E">
              <w:rPr>
                <w:b/>
                <w:bCs/>
              </w:rPr>
              <w:t>Family of victims</w:t>
            </w:r>
          </w:p>
        </w:tc>
        <w:tc>
          <w:tcPr>
            <w:tcW w:w="1161" w:type="dxa"/>
            <w:tcBorders>
              <w:top w:val="single" w:sz="12" w:space="0" w:color="auto"/>
              <w:left w:val="single" w:sz="12" w:space="0" w:color="auto"/>
              <w:bottom w:val="nil"/>
              <w:right w:val="single" w:sz="12" w:space="0" w:color="auto"/>
            </w:tcBorders>
            <w:vAlign w:val="center"/>
          </w:tcPr>
          <w:p w14:paraId="299352AE" w14:textId="77777777" w:rsidR="003B33F2" w:rsidRPr="00890E3E" w:rsidRDefault="003B33F2" w:rsidP="00A11F4F">
            <w:pPr>
              <w:numPr>
                <w:ilvl w:val="0"/>
                <w:numId w:val="0"/>
              </w:numPr>
              <w:shd w:val="clear" w:color="auto" w:fill="auto"/>
              <w:spacing w:before="40" w:after="40" w:line="240" w:lineRule="auto"/>
            </w:pPr>
            <w:r w:rsidRPr="00890E3E">
              <w:t>Applied</w:t>
            </w:r>
          </w:p>
        </w:tc>
        <w:tc>
          <w:tcPr>
            <w:tcW w:w="867" w:type="dxa"/>
            <w:tcBorders>
              <w:top w:val="single" w:sz="12" w:space="0" w:color="auto"/>
              <w:left w:val="single" w:sz="12" w:space="0" w:color="auto"/>
              <w:bottom w:val="nil"/>
            </w:tcBorders>
            <w:noWrap/>
            <w:vAlign w:val="bottom"/>
            <w:hideMark/>
          </w:tcPr>
          <w:p w14:paraId="13D7B88D"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25,469 </w:t>
            </w:r>
          </w:p>
        </w:tc>
        <w:tc>
          <w:tcPr>
            <w:tcW w:w="810" w:type="dxa"/>
            <w:tcBorders>
              <w:top w:val="single" w:sz="12" w:space="0" w:color="auto"/>
              <w:bottom w:val="nil"/>
            </w:tcBorders>
            <w:noWrap/>
            <w:vAlign w:val="bottom"/>
            <w:hideMark/>
          </w:tcPr>
          <w:p w14:paraId="55CFBCCF"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25,703 </w:t>
            </w:r>
          </w:p>
        </w:tc>
        <w:tc>
          <w:tcPr>
            <w:tcW w:w="810" w:type="dxa"/>
            <w:tcBorders>
              <w:top w:val="single" w:sz="12" w:space="0" w:color="auto"/>
              <w:bottom w:val="nil"/>
            </w:tcBorders>
            <w:noWrap/>
            <w:vAlign w:val="bottom"/>
            <w:hideMark/>
          </w:tcPr>
          <w:p w14:paraId="1D8B24E6"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24,024 </w:t>
            </w:r>
          </w:p>
        </w:tc>
        <w:tc>
          <w:tcPr>
            <w:tcW w:w="810" w:type="dxa"/>
            <w:tcBorders>
              <w:top w:val="single" w:sz="12" w:space="0" w:color="auto"/>
              <w:bottom w:val="nil"/>
            </w:tcBorders>
            <w:noWrap/>
            <w:vAlign w:val="bottom"/>
            <w:hideMark/>
          </w:tcPr>
          <w:p w14:paraId="7E133AE8"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18,861 </w:t>
            </w:r>
          </w:p>
        </w:tc>
        <w:tc>
          <w:tcPr>
            <w:tcW w:w="770" w:type="dxa"/>
            <w:tcBorders>
              <w:top w:val="single" w:sz="12" w:space="0" w:color="auto"/>
              <w:bottom w:val="nil"/>
            </w:tcBorders>
            <w:noWrap/>
            <w:vAlign w:val="bottom"/>
            <w:hideMark/>
          </w:tcPr>
          <w:p w14:paraId="42C7CEB1"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14,090 </w:t>
            </w:r>
          </w:p>
        </w:tc>
        <w:tc>
          <w:tcPr>
            <w:tcW w:w="2560" w:type="dxa"/>
            <w:tcBorders>
              <w:top w:val="single" w:sz="12" w:space="0" w:color="auto"/>
              <w:bottom w:val="nil"/>
              <w:right w:val="single" w:sz="12" w:space="0" w:color="auto"/>
            </w:tcBorders>
            <w:noWrap/>
            <w:vAlign w:val="bottom"/>
            <w:hideMark/>
          </w:tcPr>
          <w:p w14:paraId="0651323F" w14:textId="77777777" w:rsidR="003B33F2" w:rsidRPr="00433895" w:rsidRDefault="003B33F2" w:rsidP="00A11F4F">
            <w:pPr>
              <w:numPr>
                <w:ilvl w:val="0"/>
                <w:numId w:val="0"/>
              </w:numPr>
              <w:shd w:val="clear" w:color="auto" w:fill="auto"/>
              <w:spacing w:before="40" w:after="40" w:line="240" w:lineRule="auto"/>
              <w:jc w:val="center"/>
              <w:rPr>
                <w:b/>
                <w:bCs/>
              </w:rPr>
            </w:pPr>
            <w:r w:rsidRPr="00433895">
              <w:rPr>
                <w:b/>
                <w:bCs/>
                <w:color w:val="000000"/>
              </w:rPr>
              <w:t xml:space="preserve">108,147 </w:t>
            </w:r>
          </w:p>
        </w:tc>
      </w:tr>
      <w:tr w:rsidR="003B33F2" w:rsidRPr="00890E3E" w14:paraId="3B6D045C" w14:textId="77777777" w:rsidTr="00442CED">
        <w:trPr>
          <w:trHeight w:val="300"/>
        </w:trPr>
        <w:tc>
          <w:tcPr>
            <w:tcW w:w="927" w:type="dxa"/>
            <w:vMerge/>
            <w:tcBorders>
              <w:left w:val="single" w:sz="12" w:space="0" w:color="auto"/>
              <w:right w:val="single" w:sz="12" w:space="0" w:color="auto"/>
            </w:tcBorders>
            <w:noWrap/>
            <w:vAlign w:val="center"/>
            <w:hideMark/>
          </w:tcPr>
          <w:p w14:paraId="731F20D2" w14:textId="77777777" w:rsidR="003B33F2" w:rsidRPr="00890E3E" w:rsidRDefault="003B33F2" w:rsidP="00A11F4F">
            <w:pPr>
              <w:numPr>
                <w:ilvl w:val="0"/>
                <w:numId w:val="0"/>
              </w:numPr>
              <w:shd w:val="clear" w:color="auto" w:fill="auto"/>
              <w:spacing w:before="40" w:after="40" w:line="240" w:lineRule="auto"/>
            </w:pPr>
          </w:p>
        </w:tc>
        <w:tc>
          <w:tcPr>
            <w:tcW w:w="1161" w:type="dxa"/>
            <w:tcBorders>
              <w:top w:val="nil"/>
              <w:left w:val="single" w:sz="12" w:space="0" w:color="auto"/>
              <w:bottom w:val="nil"/>
              <w:right w:val="single" w:sz="12" w:space="0" w:color="auto"/>
            </w:tcBorders>
            <w:shd w:val="clear" w:color="auto" w:fill="D9D9D9" w:themeFill="background1" w:themeFillShade="D9"/>
            <w:vAlign w:val="center"/>
          </w:tcPr>
          <w:p w14:paraId="0C3B1FD6" w14:textId="77777777" w:rsidR="003B33F2" w:rsidRPr="00890E3E" w:rsidRDefault="003B33F2" w:rsidP="00A11F4F">
            <w:pPr>
              <w:numPr>
                <w:ilvl w:val="0"/>
                <w:numId w:val="0"/>
              </w:numPr>
              <w:shd w:val="clear" w:color="auto" w:fill="auto"/>
              <w:spacing w:before="40" w:after="40" w:line="240" w:lineRule="auto"/>
            </w:pPr>
            <w:r w:rsidRPr="00890E3E">
              <w:t>Approved</w:t>
            </w:r>
          </w:p>
        </w:tc>
        <w:tc>
          <w:tcPr>
            <w:tcW w:w="867" w:type="dxa"/>
            <w:tcBorders>
              <w:top w:val="nil"/>
              <w:left w:val="single" w:sz="12" w:space="0" w:color="auto"/>
              <w:bottom w:val="nil"/>
            </w:tcBorders>
            <w:shd w:val="clear" w:color="auto" w:fill="D9D9D9" w:themeFill="background1" w:themeFillShade="D9"/>
            <w:noWrap/>
            <w:vAlign w:val="bottom"/>
            <w:hideMark/>
          </w:tcPr>
          <w:p w14:paraId="53411ED8"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7,624 </w:t>
            </w:r>
          </w:p>
        </w:tc>
        <w:tc>
          <w:tcPr>
            <w:tcW w:w="810" w:type="dxa"/>
            <w:tcBorders>
              <w:top w:val="nil"/>
              <w:bottom w:val="nil"/>
            </w:tcBorders>
            <w:shd w:val="clear" w:color="auto" w:fill="D9D9D9" w:themeFill="background1" w:themeFillShade="D9"/>
            <w:noWrap/>
            <w:vAlign w:val="bottom"/>
            <w:hideMark/>
          </w:tcPr>
          <w:p w14:paraId="044936F7"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7,628 </w:t>
            </w:r>
          </w:p>
        </w:tc>
        <w:tc>
          <w:tcPr>
            <w:tcW w:w="810" w:type="dxa"/>
            <w:tcBorders>
              <w:top w:val="nil"/>
              <w:bottom w:val="nil"/>
            </w:tcBorders>
            <w:shd w:val="clear" w:color="auto" w:fill="D9D9D9" w:themeFill="background1" w:themeFillShade="D9"/>
            <w:noWrap/>
            <w:vAlign w:val="bottom"/>
            <w:hideMark/>
          </w:tcPr>
          <w:p w14:paraId="07CE43D4"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7,906 </w:t>
            </w:r>
          </w:p>
        </w:tc>
        <w:tc>
          <w:tcPr>
            <w:tcW w:w="810" w:type="dxa"/>
            <w:tcBorders>
              <w:top w:val="nil"/>
              <w:bottom w:val="nil"/>
            </w:tcBorders>
            <w:shd w:val="clear" w:color="auto" w:fill="D9D9D9" w:themeFill="background1" w:themeFillShade="D9"/>
            <w:noWrap/>
            <w:vAlign w:val="bottom"/>
            <w:hideMark/>
          </w:tcPr>
          <w:p w14:paraId="0F0CC1EF"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7,846 </w:t>
            </w:r>
          </w:p>
        </w:tc>
        <w:tc>
          <w:tcPr>
            <w:tcW w:w="770" w:type="dxa"/>
            <w:tcBorders>
              <w:top w:val="nil"/>
              <w:bottom w:val="nil"/>
            </w:tcBorders>
            <w:shd w:val="clear" w:color="auto" w:fill="D9D9D9" w:themeFill="background1" w:themeFillShade="D9"/>
            <w:noWrap/>
            <w:vAlign w:val="bottom"/>
            <w:hideMark/>
          </w:tcPr>
          <w:p w14:paraId="77789DDA"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7,212 </w:t>
            </w:r>
          </w:p>
        </w:tc>
        <w:tc>
          <w:tcPr>
            <w:tcW w:w="2560" w:type="dxa"/>
            <w:tcBorders>
              <w:top w:val="nil"/>
              <w:bottom w:val="nil"/>
              <w:right w:val="single" w:sz="12" w:space="0" w:color="auto"/>
            </w:tcBorders>
            <w:shd w:val="clear" w:color="auto" w:fill="D9D9D9" w:themeFill="background1" w:themeFillShade="D9"/>
            <w:noWrap/>
            <w:vAlign w:val="bottom"/>
            <w:hideMark/>
          </w:tcPr>
          <w:p w14:paraId="694C9E97" w14:textId="77777777" w:rsidR="003B33F2" w:rsidRPr="00433895" w:rsidRDefault="003B33F2" w:rsidP="00A11F4F">
            <w:pPr>
              <w:numPr>
                <w:ilvl w:val="0"/>
                <w:numId w:val="0"/>
              </w:numPr>
              <w:shd w:val="clear" w:color="auto" w:fill="auto"/>
              <w:spacing w:before="40" w:after="40" w:line="240" w:lineRule="auto"/>
              <w:jc w:val="center"/>
              <w:rPr>
                <w:b/>
                <w:bCs/>
              </w:rPr>
            </w:pPr>
            <w:r w:rsidRPr="00433895">
              <w:rPr>
                <w:b/>
                <w:bCs/>
                <w:color w:val="000000"/>
              </w:rPr>
              <w:t xml:space="preserve">38,216 </w:t>
            </w:r>
          </w:p>
        </w:tc>
      </w:tr>
      <w:tr w:rsidR="003B33F2" w:rsidRPr="00890E3E" w14:paraId="5387EDE2" w14:textId="77777777" w:rsidTr="00442CED">
        <w:trPr>
          <w:trHeight w:val="315"/>
        </w:trPr>
        <w:tc>
          <w:tcPr>
            <w:tcW w:w="927" w:type="dxa"/>
            <w:vMerge/>
            <w:tcBorders>
              <w:left w:val="single" w:sz="12" w:space="0" w:color="auto"/>
              <w:bottom w:val="single" w:sz="12" w:space="0" w:color="auto"/>
              <w:right w:val="single" w:sz="12" w:space="0" w:color="auto"/>
            </w:tcBorders>
            <w:noWrap/>
            <w:vAlign w:val="center"/>
            <w:hideMark/>
          </w:tcPr>
          <w:p w14:paraId="604D20C6" w14:textId="77777777" w:rsidR="003B33F2" w:rsidRPr="00890E3E" w:rsidRDefault="003B33F2" w:rsidP="00A11F4F">
            <w:pPr>
              <w:numPr>
                <w:ilvl w:val="0"/>
                <w:numId w:val="0"/>
              </w:numPr>
              <w:shd w:val="clear" w:color="auto" w:fill="auto"/>
              <w:spacing w:before="40" w:after="40" w:line="240" w:lineRule="auto"/>
            </w:pPr>
          </w:p>
        </w:tc>
        <w:tc>
          <w:tcPr>
            <w:tcW w:w="1161" w:type="dxa"/>
            <w:tcBorders>
              <w:top w:val="nil"/>
              <w:left w:val="single" w:sz="12" w:space="0" w:color="auto"/>
              <w:bottom w:val="single" w:sz="12" w:space="0" w:color="auto"/>
              <w:right w:val="single" w:sz="12" w:space="0" w:color="auto"/>
            </w:tcBorders>
            <w:vAlign w:val="center"/>
          </w:tcPr>
          <w:p w14:paraId="09EF4697" w14:textId="77777777" w:rsidR="003B33F2" w:rsidRPr="00890E3E" w:rsidRDefault="003B33F2" w:rsidP="00A11F4F">
            <w:pPr>
              <w:numPr>
                <w:ilvl w:val="0"/>
                <w:numId w:val="0"/>
              </w:numPr>
              <w:shd w:val="clear" w:color="auto" w:fill="auto"/>
              <w:spacing w:before="40" w:after="40" w:line="240" w:lineRule="auto"/>
            </w:pPr>
            <w:r w:rsidRPr="00890E3E">
              <w:t>Denied</w:t>
            </w:r>
          </w:p>
        </w:tc>
        <w:tc>
          <w:tcPr>
            <w:tcW w:w="867" w:type="dxa"/>
            <w:tcBorders>
              <w:top w:val="nil"/>
              <w:left w:val="single" w:sz="12" w:space="0" w:color="auto"/>
              <w:bottom w:val="single" w:sz="12" w:space="0" w:color="auto"/>
            </w:tcBorders>
            <w:noWrap/>
            <w:vAlign w:val="bottom"/>
            <w:hideMark/>
          </w:tcPr>
          <w:p w14:paraId="3B73CF98"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1,257 </w:t>
            </w:r>
          </w:p>
        </w:tc>
        <w:tc>
          <w:tcPr>
            <w:tcW w:w="810" w:type="dxa"/>
            <w:tcBorders>
              <w:top w:val="nil"/>
              <w:bottom w:val="single" w:sz="12" w:space="0" w:color="auto"/>
            </w:tcBorders>
            <w:noWrap/>
            <w:vAlign w:val="bottom"/>
            <w:hideMark/>
          </w:tcPr>
          <w:p w14:paraId="64EFD1A8"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1,612 </w:t>
            </w:r>
          </w:p>
        </w:tc>
        <w:tc>
          <w:tcPr>
            <w:tcW w:w="810" w:type="dxa"/>
            <w:tcBorders>
              <w:top w:val="nil"/>
              <w:bottom w:val="single" w:sz="12" w:space="0" w:color="auto"/>
            </w:tcBorders>
            <w:noWrap/>
            <w:vAlign w:val="bottom"/>
            <w:hideMark/>
          </w:tcPr>
          <w:p w14:paraId="5F4B1942"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1,991 </w:t>
            </w:r>
          </w:p>
        </w:tc>
        <w:tc>
          <w:tcPr>
            <w:tcW w:w="810" w:type="dxa"/>
            <w:tcBorders>
              <w:top w:val="nil"/>
              <w:bottom w:val="single" w:sz="12" w:space="0" w:color="auto"/>
            </w:tcBorders>
            <w:noWrap/>
            <w:vAlign w:val="bottom"/>
            <w:hideMark/>
          </w:tcPr>
          <w:p w14:paraId="5F14E326"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2,397 </w:t>
            </w:r>
          </w:p>
        </w:tc>
        <w:tc>
          <w:tcPr>
            <w:tcW w:w="770" w:type="dxa"/>
            <w:tcBorders>
              <w:top w:val="nil"/>
              <w:bottom w:val="single" w:sz="12" w:space="0" w:color="auto"/>
            </w:tcBorders>
            <w:noWrap/>
            <w:vAlign w:val="bottom"/>
            <w:hideMark/>
          </w:tcPr>
          <w:p w14:paraId="3F5B1168" w14:textId="77777777" w:rsidR="003B33F2" w:rsidRPr="00433895" w:rsidRDefault="003B33F2" w:rsidP="00A11F4F">
            <w:pPr>
              <w:numPr>
                <w:ilvl w:val="0"/>
                <w:numId w:val="0"/>
              </w:numPr>
              <w:shd w:val="clear" w:color="auto" w:fill="auto"/>
              <w:spacing w:before="40" w:after="40" w:line="240" w:lineRule="auto"/>
              <w:jc w:val="center"/>
            </w:pPr>
            <w:r w:rsidRPr="00433895">
              <w:rPr>
                <w:color w:val="000000"/>
              </w:rPr>
              <w:t xml:space="preserve">2,472 </w:t>
            </w:r>
          </w:p>
        </w:tc>
        <w:tc>
          <w:tcPr>
            <w:tcW w:w="2560" w:type="dxa"/>
            <w:tcBorders>
              <w:top w:val="nil"/>
              <w:bottom w:val="single" w:sz="12" w:space="0" w:color="auto"/>
              <w:right w:val="single" w:sz="12" w:space="0" w:color="auto"/>
            </w:tcBorders>
            <w:noWrap/>
            <w:vAlign w:val="bottom"/>
            <w:hideMark/>
          </w:tcPr>
          <w:p w14:paraId="23B78C23" w14:textId="77777777" w:rsidR="003B33F2" w:rsidRPr="00433895" w:rsidRDefault="003B33F2" w:rsidP="00A11F4F">
            <w:pPr>
              <w:numPr>
                <w:ilvl w:val="0"/>
                <w:numId w:val="0"/>
              </w:numPr>
              <w:shd w:val="clear" w:color="auto" w:fill="auto"/>
              <w:spacing w:before="40" w:after="40" w:line="240" w:lineRule="auto"/>
              <w:jc w:val="center"/>
              <w:rPr>
                <w:b/>
                <w:bCs/>
              </w:rPr>
            </w:pPr>
            <w:r w:rsidRPr="00433895">
              <w:rPr>
                <w:b/>
                <w:bCs/>
                <w:color w:val="000000"/>
              </w:rPr>
              <w:t xml:space="preserve">9,729 </w:t>
            </w:r>
          </w:p>
        </w:tc>
      </w:tr>
    </w:tbl>
    <w:p w14:paraId="2FC53198" w14:textId="630A045A" w:rsidR="00660443" w:rsidRDefault="00660443" w:rsidP="00F54254">
      <w:pPr>
        <w:numPr>
          <w:ilvl w:val="0"/>
          <w:numId w:val="0"/>
        </w:numPr>
        <w:rPr>
          <w:b/>
        </w:rPr>
      </w:pPr>
    </w:p>
    <w:p w14:paraId="412B1704" w14:textId="0F9C28C5" w:rsidR="00132A0D" w:rsidRPr="005D0B31" w:rsidRDefault="00BB2494" w:rsidP="00BB47EA">
      <w:pPr>
        <w:numPr>
          <w:ilvl w:val="0"/>
          <w:numId w:val="0"/>
        </w:numPr>
        <w:shd w:val="clear" w:color="auto" w:fill="auto"/>
        <w:spacing w:after="0" w:line="240" w:lineRule="auto"/>
      </w:pPr>
      <w:r w:rsidRPr="005D0B31">
        <w:t xml:space="preserve"> </w:t>
      </w:r>
    </w:p>
    <w:sectPr w:rsidR="00132A0D" w:rsidRPr="005D0B31" w:rsidSect="00332DDF">
      <w:headerReference w:type="default" r:id="rId34"/>
      <w:footerReference w:type="default" r:id="rId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17C94" w14:textId="77777777" w:rsidR="00EE6DF6" w:rsidRDefault="00EE6DF6" w:rsidP="00E54247">
      <w:r>
        <w:separator/>
      </w:r>
    </w:p>
  </w:endnote>
  <w:endnote w:type="continuationSeparator" w:id="0">
    <w:p w14:paraId="0C7E5ECF" w14:textId="77777777" w:rsidR="00EE6DF6" w:rsidRDefault="00EE6DF6" w:rsidP="00E5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New Roman Bold">
    <w:altName w:val="Times New Roman"/>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27CB4" w14:textId="77777777" w:rsidR="009E16AE" w:rsidRDefault="009E16AE" w:rsidP="00E54247">
    <w:pPr>
      <w:pStyle w:val="Footer"/>
      <w:numPr>
        <w:ilvl w:val="0"/>
        <w:numId w:val="0"/>
      </w:num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9AEA4" w14:textId="77777777" w:rsidR="00EE6DF6" w:rsidRDefault="00EE6DF6" w:rsidP="00B64B7A">
      <w:pPr>
        <w:numPr>
          <w:ilvl w:val="0"/>
          <w:numId w:val="0"/>
        </w:numPr>
        <w:spacing w:after="120" w:line="240" w:lineRule="auto"/>
      </w:pPr>
      <w:r>
        <w:separator/>
      </w:r>
    </w:p>
  </w:footnote>
  <w:footnote w:type="continuationSeparator" w:id="0">
    <w:p w14:paraId="3A9016B7" w14:textId="77777777" w:rsidR="00EE6DF6" w:rsidRDefault="00EE6DF6" w:rsidP="00E54247">
      <w:r>
        <w:continuationSeparator/>
      </w:r>
    </w:p>
  </w:footnote>
  <w:footnote w:id="1">
    <w:p w14:paraId="7FD97B0F" w14:textId="27F236C3" w:rsidR="00BF5389" w:rsidRPr="00BF5389" w:rsidRDefault="001A52BA" w:rsidP="00B23C71">
      <w:pPr>
        <w:pStyle w:val="FootnoteText"/>
      </w:pPr>
      <w:r w:rsidRPr="00BF5389">
        <w:rPr>
          <w:rStyle w:val="FootnoteReference"/>
          <w:rFonts w:eastAsia="Times"/>
        </w:rPr>
        <w:footnoteRef/>
      </w:r>
      <w:r w:rsidRPr="00BF5389">
        <w:t xml:space="preserve"> The anti-trafficking efforts outlined in the updated National Action Plan to Combat Human Trafficking are directly linked to the Administration’s broader efforts to address inequities for marginalized groups. These communities often experience overlapping social and economic inequities, and individuals may suffer multiple forms of abuse. As a result, individuals from these communities may be more vulnerable to becoming victims of human trafficking.</w:t>
      </w:r>
    </w:p>
  </w:footnote>
  <w:footnote w:id="2">
    <w:p w14:paraId="183925BB" w14:textId="4838E3D6" w:rsidR="001A52BA" w:rsidRPr="00514177" w:rsidRDefault="001A52BA" w:rsidP="00B23C71">
      <w:pPr>
        <w:pStyle w:val="FootnoteText"/>
      </w:pPr>
      <w:r w:rsidRPr="00514177">
        <w:rPr>
          <w:rStyle w:val="FootnoteReference"/>
        </w:rPr>
        <w:footnoteRef/>
      </w:r>
      <w:r w:rsidRPr="00514177">
        <w:t xml:space="preserve"> The United States Fiscal Year (FY) runs from October 1 through September 30. </w:t>
      </w:r>
      <w:r>
        <w:t xml:space="preserve">Thus, </w:t>
      </w:r>
      <w:r w:rsidRPr="00514177">
        <w:t>FY 2020 runs from October 1,</w:t>
      </w:r>
      <w:r>
        <w:t xml:space="preserve"> 2019 through September 30, 2020</w:t>
      </w:r>
      <w:r w:rsidRPr="00514177">
        <w:t>.</w:t>
      </w:r>
    </w:p>
  </w:footnote>
  <w:footnote w:id="3">
    <w:p w14:paraId="27E240F5" w14:textId="4D06F64A" w:rsidR="001A52BA" w:rsidRPr="001B2C9F" w:rsidRDefault="001A52BA" w:rsidP="00B23C71">
      <w:pPr>
        <w:pStyle w:val="FootnoteText"/>
      </w:pPr>
      <w:r w:rsidRPr="001B2C9F">
        <w:rPr>
          <w:rStyle w:val="FootnoteReference"/>
        </w:rPr>
        <w:footnoteRef/>
      </w:r>
      <w:r w:rsidRPr="001B2C9F">
        <w:t xml:space="preserve"> This report uses the phrase “child pornography” because that is the term used in federal law and in the Optional Protocol. However, the United States notes the international consensus that this term misrepresents the nature of the material and the harm it inflicts on </w:t>
      </w:r>
      <w:r w:rsidRPr="00F32D36">
        <w:t>children. Accordingly, m</w:t>
      </w:r>
      <w:r w:rsidRPr="00F32D36">
        <w:rPr>
          <w:rFonts w:eastAsia="Times New Roman"/>
        </w:rPr>
        <w:t>any advocates and experts prefer to use alternative terms, such as “child sexual abuse material.”</w:t>
      </w:r>
      <w:r w:rsidRPr="00F32D36">
        <w:t xml:space="preserve"> </w:t>
      </w:r>
    </w:p>
  </w:footnote>
  <w:footnote w:id="4">
    <w:p w14:paraId="547C7311" w14:textId="59ADE714" w:rsidR="001A52BA" w:rsidRPr="006023B2" w:rsidRDefault="001A52BA" w:rsidP="00B23C71">
      <w:pPr>
        <w:pStyle w:val="FootnoteText"/>
        <w:rPr>
          <w:color w:val="881798"/>
        </w:rPr>
      </w:pPr>
      <w:r w:rsidRPr="006023B2">
        <w:rPr>
          <w:rStyle w:val="FootnoteReference"/>
          <w:rFonts w:eastAsia="Times"/>
        </w:rPr>
        <w:footnoteRef/>
      </w:r>
      <w:r w:rsidRPr="006023B2">
        <w:t xml:space="preserve"> While U.S. efforts to combat human trafficking have grown in magnitude and sophistication over the years, the United States still struggles with how to address the disparate effects of human trafficking on members of racial minority communities. For example, there are aspects of government-run systems or programs that have historic and ongoing, disproportionate, and negative impact on members of marginalized communities, which increases their vulnerability to human trafficking. To be truly effective, a comprehensive approach to prosecution, protection, and—most of all—prevention must embed racial justice and equity across its policies and programs. See </w:t>
      </w:r>
      <w:hyperlink r:id="rId1" w:history="1">
        <w:r w:rsidRPr="006023B2">
          <w:rPr>
            <w:rStyle w:val="Hyperlink"/>
            <w:rFonts w:eastAsia="Cambria"/>
            <w:color w:val="auto"/>
          </w:rPr>
          <w:t>https://www.state.gov/acknowledging-historical-and-ongoing-harm-the-connections-between-systemic-racism-and-human-trafficking/</w:t>
        </w:r>
      </w:hyperlink>
      <w:r w:rsidR="006023B2" w:rsidRPr="006023B2">
        <w:t>.</w:t>
      </w:r>
    </w:p>
  </w:footnote>
  <w:footnote w:id="5">
    <w:p w14:paraId="57324A18" w14:textId="1F2363A1" w:rsidR="001A52BA" w:rsidRPr="00B0273D" w:rsidRDefault="001A52BA" w:rsidP="00B23C71">
      <w:pPr>
        <w:pStyle w:val="FootnoteText"/>
        <w:rPr>
          <w:color w:val="8764B8"/>
        </w:rPr>
      </w:pPr>
      <w:r w:rsidRPr="006A668C">
        <w:rPr>
          <w:rStyle w:val="FootnoteTextChar"/>
          <w:vertAlign w:val="superscript"/>
        </w:rPr>
        <w:footnoteRef/>
      </w:r>
      <w:r w:rsidRPr="00AA78AF">
        <w:rPr>
          <w:rStyle w:val="FootnoteTextChar"/>
        </w:rPr>
        <w:t xml:space="preserve"> As with the term “child pornography,” the United States notes that the term “child prostitution” fails to reflect the nature of the harm inflicted on children by such activities. This report uses the phrase “child prostitution” because that is the term used in federal law and in the Optional Protocol, but the United States is of the view that the use of this term is otherwise inappropriate</w:t>
      </w:r>
      <w:r w:rsidRPr="00B0273D">
        <w:t>.</w:t>
      </w:r>
    </w:p>
  </w:footnote>
  <w:footnote w:id="6">
    <w:p w14:paraId="609F67E3" w14:textId="77777777" w:rsidR="00784E2B" w:rsidRDefault="00784E2B" w:rsidP="00B23C71">
      <w:pPr>
        <w:pStyle w:val="FootnoteText"/>
      </w:pPr>
      <w:r>
        <w:rPr>
          <w:rStyle w:val="FootnoteReference"/>
        </w:rPr>
        <w:footnoteRef/>
      </w:r>
      <w:r>
        <w:t xml:space="preserve"> </w:t>
      </w:r>
      <w:r w:rsidRPr="009D7F5D">
        <w:t>This chart includes data on any and all criminal cases/defendants in which 18 U.S.C. § 1466A, 18 U.S.C. § 1470, 18 U.S.C.</w:t>
      </w:r>
      <w:r>
        <w:t xml:space="preserve"> </w:t>
      </w:r>
      <w:r w:rsidRPr="009D7F5D">
        <w:t>§ 2251, 18 U.S.C. §</w:t>
      </w:r>
      <w:r>
        <w:t xml:space="preserve"> 2252</w:t>
      </w:r>
      <w:r w:rsidRPr="009D7F5D">
        <w:t xml:space="preserve">, 18 U.S.C. § 2252A, </w:t>
      </w:r>
      <w:r>
        <w:t xml:space="preserve">or </w:t>
      </w:r>
      <w:r w:rsidRPr="009D7F5D">
        <w:t>18 U.S.C. § 2260 was brought as a</w:t>
      </w:r>
      <w:r>
        <w:t>ny</w:t>
      </w:r>
      <w:r w:rsidRPr="009D7F5D">
        <w:t xml:space="preserve"> charge against the defendant. The statutes were run together to eliminate any double counting of cases or defendants when more than one of the statutes was brought against the same defendant.</w:t>
      </w:r>
      <w:r>
        <w:t xml:space="preserve"> T</w:t>
      </w:r>
      <w:r w:rsidRPr="00B1187B">
        <w:t>he methodology for prosecution accomplishment data may differ from</w:t>
      </w:r>
      <w:r>
        <w:t xml:space="preserve"> that used for</w:t>
      </w:r>
      <w:r w:rsidRPr="00B1187B">
        <w:t xml:space="preserve"> </w:t>
      </w:r>
      <w:r>
        <w:t>previous periodic reports</w:t>
      </w:r>
      <w:r w:rsidRPr="00B1187B">
        <w:t>. Thus,</w:t>
      </w:r>
      <w:r>
        <w:t xml:space="preserve"> this</w:t>
      </w:r>
      <w:r w:rsidRPr="00B1187B">
        <w:t xml:space="preserve"> summary data should not be compared across reports from previous years.</w:t>
      </w:r>
    </w:p>
  </w:footnote>
  <w:footnote w:id="7">
    <w:p w14:paraId="42661054" w14:textId="554CACF6" w:rsidR="003B33F2" w:rsidRDefault="003B33F2" w:rsidP="009606ED">
      <w:pPr>
        <w:pStyle w:val="FootnoteText"/>
      </w:pPr>
      <w:r>
        <w:rPr>
          <w:rStyle w:val="FootnoteReference"/>
        </w:rPr>
        <w:footnoteRef/>
      </w:r>
      <w:r>
        <w:t xml:space="preserve"> </w:t>
      </w:r>
      <w:r w:rsidRPr="00433895">
        <w:t>Some applications or petitions approved or denied may have been received in previous reporting periods.</w:t>
      </w:r>
      <w:r>
        <w:t xml:space="preserve"> </w:t>
      </w:r>
      <w:r w:rsidRPr="00433895">
        <w:t xml:space="preserve">The </w:t>
      </w:r>
      <w:r>
        <w:t>tables</w:t>
      </w:r>
      <w:r w:rsidRPr="00433895">
        <w:t xml:space="preserve"> reflect the most up-to-date estimate available at the time the database is queried.</w:t>
      </w:r>
      <w:r>
        <w:t xml:space="preserve"> </w:t>
      </w:r>
      <w:r w:rsidRPr="00433895">
        <w:t>Counts may differ from those reported in previous periods due to system updates and post-adjudicative outcomes.</w:t>
      </w:r>
      <w:r>
        <w:t xml:space="preserve"> </w:t>
      </w:r>
      <w:r w:rsidRPr="00433895">
        <w:t>For a complete list of USCIS forms and descriptions, visit https://www.uscis.gov/forms</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9B3A2" w14:textId="130F9577" w:rsidR="001A52BA" w:rsidRDefault="001A52BA" w:rsidP="00E54247">
    <w:pPr>
      <w:numPr>
        <w:ilvl w:val="0"/>
        <w:numId w:val="0"/>
      </w:numPr>
    </w:pPr>
  </w:p>
</w:hdr>
</file>

<file path=word/intelligence.xml><?xml version="1.0" encoding="utf-8"?>
<int:Intelligence xmlns:int="http://schemas.microsoft.com/office/intelligence/2019/intelligence">
  <int:IntelligenceSettings/>
  <int:Manifest>
    <int:ParagraphRange paragraphId="202045528" textId="1961790088" start="15" length="14" invalidationStart="15" invalidationLength="14" id="PWV1aLi5"/>
    <int:WordHash hashCode="l9qun7jLBnlPAZ" id="ILE6hfQM"/>
  </int:Manifest>
  <int:Observations>
    <int:Content id="PWV1aLi5">
      <int:Rejection type="LegacyProofing"/>
    </int:Content>
    <int:Content id="ILE6hfQM">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23DD"/>
    <w:multiLevelType w:val="hybridMultilevel"/>
    <w:tmpl w:val="2502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2038F"/>
    <w:multiLevelType w:val="multilevel"/>
    <w:tmpl w:val="4924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7A50F2"/>
    <w:multiLevelType w:val="multilevel"/>
    <w:tmpl w:val="21CE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DD6BEA"/>
    <w:multiLevelType w:val="multilevel"/>
    <w:tmpl w:val="78F2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FC4DEB"/>
    <w:multiLevelType w:val="hybridMultilevel"/>
    <w:tmpl w:val="B20AD0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B95575"/>
    <w:multiLevelType w:val="multilevel"/>
    <w:tmpl w:val="5614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BD0A77"/>
    <w:multiLevelType w:val="multilevel"/>
    <w:tmpl w:val="6988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123286"/>
    <w:multiLevelType w:val="multilevel"/>
    <w:tmpl w:val="078870D0"/>
    <w:name w:val="annex"/>
    <w:lvl w:ilvl="0">
      <w:start w:val="1"/>
      <w:numFmt w:val="decimal"/>
      <w:suff w:val="nothing"/>
      <w:lvlText w:val="Annex %1"/>
      <w:lvlJc w:val="left"/>
      <w:pPr>
        <w:ind w:left="0" w:firstLine="0"/>
      </w:pPr>
      <w:rPr>
        <w:rFonts w:ascii="Times New Roman" w:hAnsi="Times New Roman" w:cs="Times New Roman" w:hint="default"/>
        <w:b/>
        <w:i w:val="0"/>
        <w:caps w:val="0"/>
        <w:strike w:val="0"/>
        <w:dstrike w:val="0"/>
        <w:vanish w:val="0"/>
        <w:color w:val="auto"/>
        <w:sz w:val="32"/>
        <w:vertAlign w:val="baseline"/>
      </w:rPr>
    </w:lvl>
    <w:lvl w:ilvl="1">
      <w:start w:val="1"/>
      <w:numFmt w:val="decimal"/>
      <w:pStyle w:val="Heading1"/>
      <w:suff w:val="nothing"/>
      <w:lvlText w:val="Annex %2"/>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5E8A2DDF"/>
    <w:multiLevelType w:val="multilevel"/>
    <w:tmpl w:val="2A5A282A"/>
    <w:styleLink w:val="CurrentList1"/>
    <w:lvl w:ilvl="0">
      <w:start w:val="1"/>
      <w:numFmt w:val="decimal"/>
      <w:suff w:val="nothing"/>
      <w:lvlText w:val="Annex %1"/>
      <w:lvlJc w:val="left"/>
      <w:pPr>
        <w:ind w:left="0" w:firstLine="0"/>
      </w:pPr>
      <w:rPr>
        <w:rFonts w:ascii="Times New Roman" w:hAnsi="Times New Roman" w:cs="Times New Roman" w:hint="default"/>
        <w:b/>
        <w:i w:val="0"/>
        <w:caps w:val="0"/>
        <w:strike w:val="0"/>
        <w:dstrike w:val="0"/>
        <w:vanish w:val="0"/>
        <w:color w:val="auto"/>
        <w:sz w:val="32"/>
        <w:vertAlign w:val="baseline"/>
      </w:rPr>
    </w:lvl>
    <w:lvl w:ilvl="1">
      <w:start w:val="1"/>
      <w:numFmt w:val="decimal"/>
      <w:suff w:val="nothing"/>
      <w:lvlText w:val="Annex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630B71DE"/>
    <w:multiLevelType w:val="hybridMultilevel"/>
    <w:tmpl w:val="A07A029A"/>
    <w:lvl w:ilvl="0" w:tplc="2B3C2C86">
      <w:start w:val="1"/>
      <w:numFmt w:val="decimal"/>
      <w:pStyle w:val="Nor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3"/>
  </w:num>
  <w:num w:numId="6">
    <w:abstractNumId w:val="2"/>
  </w:num>
  <w:num w:numId="7">
    <w:abstractNumId w:val="4"/>
  </w:num>
  <w:num w:numId="8">
    <w:abstractNumId w:val="9"/>
  </w:num>
  <w:num w:numId="9">
    <w:abstractNumId w:val="7"/>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A2"/>
    <w:rsid w:val="000039D1"/>
    <w:rsid w:val="000043A2"/>
    <w:rsid w:val="0000499C"/>
    <w:rsid w:val="00005B5D"/>
    <w:rsid w:val="0000651B"/>
    <w:rsid w:val="00011D7F"/>
    <w:rsid w:val="00012ABD"/>
    <w:rsid w:val="00012D40"/>
    <w:rsid w:val="0001385F"/>
    <w:rsid w:val="0001473B"/>
    <w:rsid w:val="00016F10"/>
    <w:rsid w:val="00020E86"/>
    <w:rsid w:val="00027BC3"/>
    <w:rsid w:val="00030F55"/>
    <w:rsid w:val="0003148B"/>
    <w:rsid w:val="00032578"/>
    <w:rsid w:val="00037F3F"/>
    <w:rsid w:val="00040C79"/>
    <w:rsid w:val="00040E92"/>
    <w:rsid w:val="00043E92"/>
    <w:rsid w:val="00045D69"/>
    <w:rsid w:val="00046BD4"/>
    <w:rsid w:val="00051432"/>
    <w:rsid w:val="0005439A"/>
    <w:rsid w:val="00055264"/>
    <w:rsid w:val="00056402"/>
    <w:rsid w:val="00057E29"/>
    <w:rsid w:val="00061634"/>
    <w:rsid w:val="00062119"/>
    <w:rsid w:val="000623F4"/>
    <w:rsid w:val="0006410D"/>
    <w:rsid w:val="00065EEC"/>
    <w:rsid w:val="00066D96"/>
    <w:rsid w:val="00071F32"/>
    <w:rsid w:val="00073297"/>
    <w:rsid w:val="00074F4D"/>
    <w:rsid w:val="00074F70"/>
    <w:rsid w:val="00077D69"/>
    <w:rsid w:val="000833A6"/>
    <w:rsid w:val="00083DA8"/>
    <w:rsid w:val="000859CC"/>
    <w:rsid w:val="00090D0F"/>
    <w:rsid w:val="00097330"/>
    <w:rsid w:val="00097C83"/>
    <w:rsid w:val="000A1526"/>
    <w:rsid w:val="000A3F69"/>
    <w:rsid w:val="000A5A6B"/>
    <w:rsid w:val="000A6186"/>
    <w:rsid w:val="000A7B48"/>
    <w:rsid w:val="000B44E1"/>
    <w:rsid w:val="000C0CC6"/>
    <w:rsid w:val="000C16CC"/>
    <w:rsid w:val="000C1F55"/>
    <w:rsid w:val="000C2AD9"/>
    <w:rsid w:val="000C6359"/>
    <w:rsid w:val="000C6532"/>
    <w:rsid w:val="000D00B1"/>
    <w:rsid w:val="000D0E94"/>
    <w:rsid w:val="000D0EEF"/>
    <w:rsid w:val="000D129A"/>
    <w:rsid w:val="000D12C7"/>
    <w:rsid w:val="000D183C"/>
    <w:rsid w:val="000D2075"/>
    <w:rsid w:val="000D3AC6"/>
    <w:rsid w:val="000D677A"/>
    <w:rsid w:val="000E260F"/>
    <w:rsid w:val="000E4B64"/>
    <w:rsid w:val="000F0956"/>
    <w:rsid w:val="000F1B08"/>
    <w:rsid w:val="000F1D16"/>
    <w:rsid w:val="000F4E61"/>
    <w:rsid w:val="000F5E02"/>
    <w:rsid w:val="001046EF"/>
    <w:rsid w:val="00104AE8"/>
    <w:rsid w:val="00105962"/>
    <w:rsid w:val="001077E5"/>
    <w:rsid w:val="001079CA"/>
    <w:rsid w:val="00112465"/>
    <w:rsid w:val="00114D9E"/>
    <w:rsid w:val="0011588F"/>
    <w:rsid w:val="00117377"/>
    <w:rsid w:val="001215AC"/>
    <w:rsid w:val="001225BA"/>
    <w:rsid w:val="00122C4D"/>
    <w:rsid w:val="001272EE"/>
    <w:rsid w:val="00127608"/>
    <w:rsid w:val="0013157E"/>
    <w:rsid w:val="00132A0D"/>
    <w:rsid w:val="0013406C"/>
    <w:rsid w:val="00134F21"/>
    <w:rsid w:val="00136696"/>
    <w:rsid w:val="0014211F"/>
    <w:rsid w:val="0014276A"/>
    <w:rsid w:val="00142B21"/>
    <w:rsid w:val="001466DE"/>
    <w:rsid w:val="00151429"/>
    <w:rsid w:val="00152926"/>
    <w:rsid w:val="0015786C"/>
    <w:rsid w:val="001656B2"/>
    <w:rsid w:val="00165800"/>
    <w:rsid w:val="0016629C"/>
    <w:rsid w:val="00173847"/>
    <w:rsid w:val="001756C8"/>
    <w:rsid w:val="00176210"/>
    <w:rsid w:val="0018030C"/>
    <w:rsid w:val="00181F01"/>
    <w:rsid w:val="00183D4C"/>
    <w:rsid w:val="001852EC"/>
    <w:rsid w:val="00186807"/>
    <w:rsid w:val="0018783E"/>
    <w:rsid w:val="00191765"/>
    <w:rsid w:val="0019320A"/>
    <w:rsid w:val="001A50A0"/>
    <w:rsid w:val="001A52BA"/>
    <w:rsid w:val="001B2C9F"/>
    <w:rsid w:val="001B4EAA"/>
    <w:rsid w:val="001B50B6"/>
    <w:rsid w:val="001C1C9A"/>
    <w:rsid w:val="001C4E01"/>
    <w:rsid w:val="001C5D1B"/>
    <w:rsid w:val="001C6EC1"/>
    <w:rsid w:val="001C7CAD"/>
    <w:rsid w:val="001D4C62"/>
    <w:rsid w:val="001D56D1"/>
    <w:rsid w:val="001DA7D0"/>
    <w:rsid w:val="001E1816"/>
    <w:rsid w:val="001E3F7C"/>
    <w:rsid w:val="001E55C2"/>
    <w:rsid w:val="001F137C"/>
    <w:rsid w:val="001F1699"/>
    <w:rsid w:val="001F2C49"/>
    <w:rsid w:val="00204290"/>
    <w:rsid w:val="00205C91"/>
    <w:rsid w:val="00207978"/>
    <w:rsid w:val="00210C63"/>
    <w:rsid w:val="002120F7"/>
    <w:rsid w:val="00215478"/>
    <w:rsid w:val="002156BA"/>
    <w:rsid w:val="00216A98"/>
    <w:rsid w:val="00220195"/>
    <w:rsid w:val="0022427A"/>
    <w:rsid w:val="002247FD"/>
    <w:rsid w:val="00224997"/>
    <w:rsid w:val="00230435"/>
    <w:rsid w:val="00231294"/>
    <w:rsid w:val="002316A1"/>
    <w:rsid w:val="00231884"/>
    <w:rsid w:val="00232866"/>
    <w:rsid w:val="002346FB"/>
    <w:rsid w:val="00260597"/>
    <w:rsid w:val="002620C8"/>
    <w:rsid w:val="00262361"/>
    <w:rsid w:val="00264F36"/>
    <w:rsid w:val="0026523D"/>
    <w:rsid w:val="002666D1"/>
    <w:rsid w:val="00266EDC"/>
    <w:rsid w:val="002671F9"/>
    <w:rsid w:val="002693A3"/>
    <w:rsid w:val="00270F24"/>
    <w:rsid w:val="00273B45"/>
    <w:rsid w:val="002761EF"/>
    <w:rsid w:val="002851DE"/>
    <w:rsid w:val="00287B55"/>
    <w:rsid w:val="00291B04"/>
    <w:rsid w:val="00291DB4"/>
    <w:rsid w:val="00294C64"/>
    <w:rsid w:val="00295E0E"/>
    <w:rsid w:val="0029FDD8"/>
    <w:rsid w:val="002A0CEF"/>
    <w:rsid w:val="002A14A7"/>
    <w:rsid w:val="002A4E88"/>
    <w:rsid w:val="002B68F9"/>
    <w:rsid w:val="002C2E16"/>
    <w:rsid w:val="002D56AD"/>
    <w:rsid w:val="002D5E83"/>
    <w:rsid w:val="002D7038"/>
    <w:rsid w:val="002E4B42"/>
    <w:rsid w:val="002F0A18"/>
    <w:rsid w:val="002F4A0E"/>
    <w:rsid w:val="00300365"/>
    <w:rsid w:val="003043C1"/>
    <w:rsid w:val="00310E35"/>
    <w:rsid w:val="0031504D"/>
    <w:rsid w:val="00316FD8"/>
    <w:rsid w:val="00321F5B"/>
    <w:rsid w:val="00325C1B"/>
    <w:rsid w:val="003273AA"/>
    <w:rsid w:val="003275DF"/>
    <w:rsid w:val="00332DDF"/>
    <w:rsid w:val="0033554B"/>
    <w:rsid w:val="00335E97"/>
    <w:rsid w:val="00341E3F"/>
    <w:rsid w:val="0034358E"/>
    <w:rsid w:val="00344618"/>
    <w:rsid w:val="00347576"/>
    <w:rsid w:val="003545C4"/>
    <w:rsid w:val="00354E23"/>
    <w:rsid w:val="00357C55"/>
    <w:rsid w:val="003608A4"/>
    <w:rsid w:val="003629D9"/>
    <w:rsid w:val="00364E63"/>
    <w:rsid w:val="00366D5D"/>
    <w:rsid w:val="00366D84"/>
    <w:rsid w:val="0037118A"/>
    <w:rsid w:val="003733BB"/>
    <w:rsid w:val="00373B42"/>
    <w:rsid w:val="00373FE5"/>
    <w:rsid w:val="003745E4"/>
    <w:rsid w:val="003756EB"/>
    <w:rsid w:val="00390232"/>
    <w:rsid w:val="00390BE1"/>
    <w:rsid w:val="003920A5"/>
    <w:rsid w:val="003935F1"/>
    <w:rsid w:val="00395332"/>
    <w:rsid w:val="00396134"/>
    <w:rsid w:val="003A0953"/>
    <w:rsid w:val="003B1C0B"/>
    <w:rsid w:val="003B287D"/>
    <w:rsid w:val="003B33F2"/>
    <w:rsid w:val="003B358C"/>
    <w:rsid w:val="003B36CB"/>
    <w:rsid w:val="003B4E23"/>
    <w:rsid w:val="003C144F"/>
    <w:rsid w:val="003C3655"/>
    <w:rsid w:val="003C46FE"/>
    <w:rsid w:val="003C5556"/>
    <w:rsid w:val="003C5C38"/>
    <w:rsid w:val="003C5D5A"/>
    <w:rsid w:val="003C6F7E"/>
    <w:rsid w:val="003D0C85"/>
    <w:rsid w:val="003D1B63"/>
    <w:rsid w:val="003D315E"/>
    <w:rsid w:val="003D4764"/>
    <w:rsid w:val="003D4E98"/>
    <w:rsid w:val="003D5D45"/>
    <w:rsid w:val="003D7B01"/>
    <w:rsid w:val="003E3F2D"/>
    <w:rsid w:val="003E49AB"/>
    <w:rsid w:val="003E5536"/>
    <w:rsid w:val="003E608A"/>
    <w:rsid w:val="003F007F"/>
    <w:rsid w:val="003F1749"/>
    <w:rsid w:val="003F4E1E"/>
    <w:rsid w:val="003F56CD"/>
    <w:rsid w:val="003F6772"/>
    <w:rsid w:val="004039D9"/>
    <w:rsid w:val="00403D9F"/>
    <w:rsid w:val="00404AE4"/>
    <w:rsid w:val="00407919"/>
    <w:rsid w:val="0041177B"/>
    <w:rsid w:val="00413D81"/>
    <w:rsid w:val="004144F0"/>
    <w:rsid w:val="004210B4"/>
    <w:rsid w:val="00425528"/>
    <w:rsid w:val="00430F55"/>
    <w:rsid w:val="00431AB8"/>
    <w:rsid w:val="00434C23"/>
    <w:rsid w:val="00435388"/>
    <w:rsid w:val="004372E1"/>
    <w:rsid w:val="0044454D"/>
    <w:rsid w:val="00444F25"/>
    <w:rsid w:val="00450EDB"/>
    <w:rsid w:val="00453A92"/>
    <w:rsid w:val="0045517C"/>
    <w:rsid w:val="004552CE"/>
    <w:rsid w:val="004606C0"/>
    <w:rsid w:val="00463101"/>
    <w:rsid w:val="004633BC"/>
    <w:rsid w:val="00463FA2"/>
    <w:rsid w:val="00464C5D"/>
    <w:rsid w:val="0046713A"/>
    <w:rsid w:val="004744C2"/>
    <w:rsid w:val="00475424"/>
    <w:rsid w:val="004765CB"/>
    <w:rsid w:val="00480741"/>
    <w:rsid w:val="00487167"/>
    <w:rsid w:val="004879BD"/>
    <w:rsid w:val="0049025C"/>
    <w:rsid w:val="004905B4"/>
    <w:rsid w:val="00490FA1"/>
    <w:rsid w:val="004948CE"/>
    <w:rsid w:val="00495BC7"/>
    <w:rsid w:val="004A0B21"/>
    <w:rsid w:val="004A3743"/>
    <w:rsid w:val="004A4E92"/>
    <w:rsid w:val="004A6573"/>
    <w:rsid w:val="004A707D"/>
    <w:rsid w:val="004B2179"/>
    <w:rsid w:val="004B28BE"/>
    <w:rsid w:val="004B5C59"/>
    <w:rsid w:val="004C0C51"/>
    <w:rsid w:val="004C6906"/>
    <w:rsid w:val="004C73E8"/>
    <w:rsid w:val="004D0182"/>
    <w:rsid w:val="004D12D7"/>
    <w:rsid w:val="004D19C4"/>
    <w:rsid w:val="004D4093"/>
    <w:rsid w:val="004D60A2"/>
    <w:rsid w:val="004D6DAA"/>
    <w:rsid w:val="004E7B71"/>
    <w:rsid w:val="004F0C26"/>
    <w:rsid w:val="004F2636"/>
    <w:rsid w:val="004F491D"/>
    <w:rsid w:val="005029E9"/>
    <w:rsid w:val="00502C0D"/>
    <w:rsid w:val="005072D9"/>
    <w:rsid w:val="00514177"/>
    <w:rsid w:val="00515FD5"/>
    <w:rsid w:val="00524299"/>
    <w:rsid w:val="0052771E"/>
    <w:rsid w:val="005325EC"/>
    <w:rsid w:val="0053328F"/>
    <w:rsid w:val="00536C8D"/>
    <w:rsid w:val="00537F1B"/>
    <w:rsid w:val="00543AD5"/>
    <w:rsid w:val="00545D52"/>
    <w:rsid w:val="00547609"/>
    <w:rsid w:val="00547EB9"/>
    <w:rsid w:val="00550DAF"/>
    <w:rsid w:val="0055101F"/>
    <w:rsid w:val="00551046"/>
    <w:rsid w:val="00551237"/>
    <w:rsid w:val="00552E16"/>
    <w:rsid w:val="00553A59"/>
    <w:rsid w:val="00554C76"/>
    <w:rsid w:val="005561FA"/>
    <w:rsid w:val="00560FAC"/>
    <w:rsid w:val="00565666"/>
    <w:rsid w:val="00572603"/>
    <w:rsid w:val="00574151"/>
    <w:rsid w:val="005747AD"/>
    <w:rsid w:val="0057705F"/>
    <w:rsid w:val="005808B2"/>
    <w:rsid w:val="00583585"/>
    <w:rsid w:val="005870A1"/>
    <w:rsid w:val="00595491"/>
    <w:rsid w:val="005A491E"/>
    <w:rsid w:val="005A65D6"/>
    <w:rsid w:val="005A67C5"/>
    <w:rsid w:val="005A75DD"/>
    <w:rsid w:val="005A7946"/>
    <w:rsid w:val="005B5FFD"/>
    <w:rsid w:val="005B64A0"/>
    <w:rsid w:val="005B658C"/>
    <w:rsid w:val="005B6A00"/>
    <w:rsid w:val="005B6FFA"/>
    <w:rsid w:val="005B9273"/>
    <w:rsid w:val="005C13CC"/>
    <w:rsid w:val="005C6E40"/>
    <w:rsid w:val="005D0B31"/>
    <w:rsid w:val="005D1A7E"/>
    <w:rsid w:val="005D2F32"/>
    <w:rsid w:val="005D36BA"/>
    <w:rsid w:val="005D405D"/>
    <w:rsid w:val="005D604F"/>
    <w:rsid w:val="005D6502"/>
    <w:rsid w:val="005D6D6D"/>
    <w:rsid w:val="005E527D"/>
    <w:rsid w:val="005F0683"/>
    <w:rsid w:val="005F212C"/>
    <w:rsid w:val="005F4685"/>
    <w:rsid w:val="005F7B74"/>
    <w:rsid w:val="006009AE"/>
    <w:rsid w:val="00600EBB"/>
    <w:rsid w:val="006023B2"/>
    <w:rsid w:val="006035B9"/>
    <w:rsid w:val="00604E3A"/>
    <w:rsid w:val="006062EC"/>
    <w:rsid w:val="00606470"/>
    <w:rsid w:val="00607E62"/>
    <w:rsid w:val="00612487"/>
    <w:rsid w:val="00612A1B"/>
    <w:rsid w:val="00613515"/>
    <w:rsid w:val="0061459A"/>
    <w:rsid w:val="0061691C"/>
    <w:rsid w:val="00616FBC"/>
    <w:rsid w:val="00617BA9"/>
    <w:rsid w:val="00622F6C"/>
    <w:rsid w:val="00623132"/>
    <w:rsid w:val="00625563"/>
    <w:rsid w:val="00632401"/>
    <w:rsid w:val="00641800"/>
    <w:rsid w:val="00641813"/>
    <w:rsid w:val="006419E8"/>
    <w:rsid w:val="006420E7"/>
    <w:rsid w:val="00644D46"/>
    <w:rsid w:val="00645455"/>
    <w:rsid w:val="006455B6"/>
    <w:rsid w:val="00647261"/>
    <w:rsid w:val="0064741A"/>
    <w:rsid w:val="0065144A"/>
    <w:rsid w:val="006515A7"/>
    <w:rsid w:val="00651857"/>
    <w:rsid w:val="00652FEE"/>
    <w:rsid w:val="00653F24"/>
    <w:rsid w:val="0065452C"/>
    <w:rsid w:val="00654D1C"/>
    <w:rsid w:val="006558A0"/>
    <w:rsid w:val="00657103"/>
    <w:rsid w:val="00660443"/>
    <w:rsid w:val="0066512C"/>
    <w:rsid w:val="00666C45"/>
    <w:rsid w:val="00667914"/>
    <w:rsid w:val="00672E02"/>
    <w:rsid w:val="00672E16"/>
    <w:rsid w:val="00673E42"/>
    <w:rsid w:val="00674974"/>
    <w:rsid w:val="0067656A"/>
    <w:rsid w:val="00682181"/>
    <w:rsid w:val="00682BC4"/>
    <w:rsid w:val="00684D86"/>
    <w:rsid w:val="00686B91"/>
    <w:rsid w:val="00693144"/>
    <w:rsid w:val="006A668C"/>
    <w:rsid w:val="006A7419"/>
    <w:rsid w:val="006B048F"/>
    <w:rsid w:val="006B4FC9"/>
    <w:rsid w:val="006C2FF7"/>
    <w:rsid w:val="006C579E"/>
    <w:rsid w:val="006C5922"/>
    <w:rsid w:val="006C71C4"/>
    <w:rsid w:val="006D2DB5"/>
    <w:rsid w:val="006D51E6"/>
    <w:rsid w:val="006E15FD"/>
    <w:rsid w:val="006F22ED"/>
    <w:rsid w:val="006F5447"/>
    <w:rsid w:val="006F7881"/>
    <w:rsid w:val="0070059F"/>
    <w:rsid w:val="007058D7"/>
    <w:rsid w:val="0070723C"/>
    <w:rsid w:val="00711546"/>
    <w:rsid w:val="0071398F"/>
    <w:rsid w:val="007170FC"/>
    <w:rsid w:val="00717D74"/>
    <w:rsid w:val="00721980"/>
    <w:rsid w:val="0072280B"/>
    <w:rsid w:val="00724DC8"/>
    <w:rsid w:val="00725787"/>
    <w:rsid w:val="00726F3A"/>
    <w:rsid w:val="0073065A"/>
    <w:rsid w:val="0073286C"/>
    <w:rsid w:val="00733ACF"/>
    <w:rsid w:val="0073551F"/>
    <w:rsid w:val="007377F6"/>
    <w:rsid w:val="007409D1"/>
    <w:rsid w:val="00740A1D"/>
    <w:rsid w:val="007418F0"/>
    <w:rsid w:val="00742CA1"/>
    <w:rsid w:val="007436B3"/>
    <w:rsid w:val="00743DE3"/>
    <w:rsid w:val="007473D1"/>
    <w:rsid w:val="0074E403"/>
    <w:rsid w:val="0075052B"/>
    <w:rsid w:val="00752BA4"/>
    <w:rsid w:val="00754824"/>
    <w:rsid w:val="00765E4F"/>
    <w:rsid w:val="00773637"/>
    <w:rsid w:val="0077491B"/>
    <w:rsid w:val="00780604"/>
    <w:rsid w:val="00782812"/>
    <w:rsid w:val="00784E2B"/>
    <w:rsid w:val="00785C0E"/>
    <w:rsid w:val="007861A7"/>
    <w:rsid w:val="007871F0"/>
    <w:rsid w:val="00787E33"/>
    <w:rsid w:val="00794E4B"/>
    <w:rsid w:val="00795E26"/>
    <w:rsid w:val="00797DC0"/>
    <w:rsid w:val="007A0E27"/>
    <w:rsid w:val="007A3ED5"/>
    <w:rsid w:val="007A59CC"/>
    <w:rsid w:val="007B388C"/>
    <w:rsid w:val="007C17C1"/>
    <w:rsid w:val="007C27D6"/>
    <w:rsid w:val="007C3135"/>
    <w:rsid w:val="007D2790"/>
    <w:rsid w:val="007D661C"/>
    <w:rsid w:val="007E1A47"/>
    <w:rsid w:val="007E4C1D"/>
    <w:rsid w:val="007E6579"/>
    <w:rsid w:val="007E71A5"/>
    <w:rsid w:val="007F29DE"/>
    <w:rsid w:val="007F2E61"/>
    <w:rsid w:val="007F378B"/>
    <w:rsid w:val="007F54FB"/>
    <w:rsid w:val="008025E5"/>
    <w:rsid w:val="00814300"/>
    <w:rsid w:val="00814307"/>
    <w:rsid w:val="00816FA4"/>
    <w:rsid w:val="00821F32"/>
    <w:rsid w:val="0082493F"/>
    <w:rsid w:val="00836DA5"/>
    <w:rsid w:val="0084143C"/>
    <w:rsid w:val="00842250"/>
    <w:rsid w:val="00844991"/>
    <w:rsid w:val="00847237"/>
    <w:rsid w:val="00852298"/>
    <w:rsid w:val="00853CA1"/>
    <w:rsid w:val="00856FC5"/>
    <w:rsid w:val="0085731B"/>
    <w:rsid w:val="00860DCB"/>
    <w:rsid w:val="00862892"/>
    <w:rsid w:val="00862ABF"/>
    <w:rsid w:val="00871BB1"/>
    <w:rsid w:val="00874296"/>
    <w:rsid w:val="008762A2"/>
    <w:rsid w:val="008809E5"/>
    <w:rsid w:val="0088475F"/>
    <w:rsid w:val="008851BF"/>
    <w:rsid w:val="0088680D"/>
    <w:rsid w:val="008925E2"/>
    <w:rsid w:val="008931D5"/>
    <w:rsid w:val="00894F7D"/>
    <w:rsid w:val="00896746"/>
    <w:rsid w:val="008A148D"/>
    <w:rsid w:val="008A77D9"/>
    <w:rsid w:val="008B271A"/>
    <w:rsid w:val="008B3572"/>
    <w:rsid w:val="008B6C50"/>
    <w:rsid w:val="008C5713"/>
    <w:rsid w:val="008D01A9"/>
    <w:rsid w:val="008D10D9"/>
    <w:rsid w:val="008E3CBD"/>
    <w:rsid w:val="008E4303"/>
    <w:rsid w:val="008E4CC9"/>
    <w:rsid w:val="008E5197"/>
    <w:rsid w:val="008E55D5"/>
    <w:rsid w:val="008F04DD"/>
    <w:rsid w:val="008F0DF5"/>
    <w:rsid w:val="008F1E64"/>
    <w:rsid w:val="008F3B22"/>
    <w:rsid w:val="008F4643"/>
    <w:rsid w:val="00902A85"/>
    <w:rsid w:val="00902C9E"/>
    <w:rsid w:val="00907516"/>
    <w:rsid w:val="009108BF"/>
    <w:rsid w:val="00912E7E"/>
    <w:rsid w:val="00917E5F"/>
    <w:rsid w:val="009207D1"/>
    <w:rsid w:val="00921351"/>
    <w:rsid w:val="00936452"/>
    <w:rsid w:val="00941D5B"/>
    <w:rsid w:val="009448A6"/>
    <w:rsid w:val="00946A1D"/>
    <w:rsid w:val="009475F3"/>
    <w:rsid w:val="0095200B"/>
    <w:rsid w:val="00954514"/>
    <w:rsid w:val="00954A09"/>
    <w:rsid w:val="0095760E"/>
    <w:rsid w:val="009606ED"/>
    <w:rsid w:val="00962982"/>
    <w:rsid w:val="00964759"/>
    <w:rsid w:val="00967743"/>
    <w:rsid w:val="009716C2"/>
    <w:rsid w:val="00974187"/>
    <w:rsid w:val="009743CB"/>
    <w:rsid w:val="00975C80"/>
    <w:rsid w:val="00984B68"/>
    <w:rsid w:val="00985A20"/>
    <w:rsid w:val="00985D7F"/>
    <w:rsid w:val="00987497"/>
    <w:rsid w:val="00991888"/>
    <w:rsid w:val="00997628"/>
    <w:rsid w:val="0099EE26"/>
    <w:rsid w:val="009A0BA8"/>
    <w:rsid w:val="009A1A24"/>
    <w:rsid w:val="009A5485"/>
    <w:rsid w:val="009A721D"/>
    <w:rsid w:val="009B4A42"/>
    <w:rsid w:val="009B7543"/>
    <w:rsid w:val="009C0850"/>
    <w:rsid w:val="009C4AED"/>
    <w:rsid w:val="009C4BEB"/>
    <w:rsid w:val="009D0715"/>
    <w:rsid w:val="009D1578"/>
    <w:rsid w:val="009DFE3F"/>
    <w:rsid w:val="009E16AE"/>
    <w:rsid w:val="009F0539"/>
    <w:rsid w:val="009F07E8"/>
    <w:rsid w:val="009F15DD"/>
    <w:rsid w:val="009F7575"/>
    <w:rsid w:val="00A002A7"/>
    <w:rsid w:val="00A00FC5"/>
    <w:rsid w:val="00A01030"/>
    <w:rsid w:val="00A011F6"/>
    <w:rsid w:val="00A01ABF"/>
    <w:rsid w:val="00A0214B"/>
    <w:rsid w:val="00A03A28"/>
    <w:rsid w:val="00A04A89"/>
    <w:rsid w:val="00A0529E"/>
    <w:rsid w:val="00A06699"/>
    <w:rsid w:val="00A07A1F"/>
    <w:rsid w:val="00A10BE3"/>
    <w:rsid w:val="00A1177B"/>
    <w:rsid w:val="00A11F4F"/>
    <w:rsid w:val="00A11FC3"/>
    <w:rsid w:val="00A165D8"/>
    <w:rsid w:val="00A2039F"/>
    <w:rsid w:val="00A26FFA"/>
    <w:rsid w:val="00A271CB"/>
    <w:rsid w:val="00A279E2"/>
    <w:rsid w:val="00A30FCA"/>
    <w:rsid w:val="00A31D57"/>
    <w:rsid w:val="00A34BC7"/>
    <w:rsid w:val="00A35259"/>
    <w:rsid w:val="00A40047"/>
    <w:rsid w:val="00A4079D"/>
    <w:rsid w:val="00A40F8E"/>
    <w:rsid w:val="00A431D1"/>
    <w:rsid w:val="00A4374D"/>
    <w:rsid w:val="00A43894"/>
    <w:rsid w:val="00A439B2"/>
    <w:rsid w:val="00A45940"/>
    <w:rsid w:val="00A47C3B"/>
    <w:rsid w:val="00A51F25"/>
    <w:rsid w:val="00A534A8"/>
    <w:rsid w:val="00A53E79"/>
    <w:rsid w:val="00A558DA"/>
    <w:rsid w:val="00A56A66"/>
    <w:rsid w:val="00A63161"/>
    <w:rsid w:val="00A63776"/>
    <w:rsid w:val="00A663DE"/>
    <w:rsid w:val="00A67C63"/>
    <w:rsid w:val="00A718BD"/>
    <w:rsid w:val="00A73741"/>
    <w:rsid w:val="00A76333"/>
    <w:rsid w:val="00A767AC"/>
    <w:rsid w:val="00A76B90"/>
    <w:rsid w:val="00A77DFD"/>
    <w:rsid w:val="00A8488B"/>
    <w:rsid w:val="00A86768"/>
    <w:rsid w:val="00A8795A"/>
    <w:rsid w:val="00A94117"/>
    <w:rsid w:val="00AA231F"/>
    <w:rsid w:val="00AA3CDE"/>
    <w:rsid w:val="00AA78AF"/>
    <w:rsid w:val="00AB6A81"/>
    <w:rsid w:val="00AB6EC5"/>
    <w:rsid w:val="00AB723C"/>
    <w:rsid w:val="00AB7CAB"/>
    <w:rsid w:val="00AC0A98"/>
    <w:rsid w:val="00AC52D9"/>
    <w:rsid w:val="00AC59A0"/>
    <w:rsid w:val="00AD10BD"/>
    <w:rsid w:val="00AD4E17"/>
    <w:rsid w:val="00AD64E5"/>
    <w:rsid w:val="00AE1FD7"/>
    <w:rsid w:val="00AE4C94"/>
    <w:rsid w:val="00AF0C40"/>
    <w:rsid w:val="00AF2019"/>
    <w:rsid w:val="00AF3948"/>
    <w:rsid w:val="00AF4E7B"/>
    <w:rsid w:val="00B01757"/>
    <w:rsid w:val="00B0273D"/>
    <w:rsid w:val="00B02E36"/>
    <w:rsid w:val="00B0376F"/>
    <w:rsid w:val="00B055E0"/>
    <w:rsid w:val="00B056B3"/>
    <w:rsid w:val="00B06C7A"/>
    <w:rsid w:val="00B07FDF"/>
    <w:rsid w:val="00B1298A"/>
    <w:rsid w:val="00B1387C"/>
    <w:rsid w:val="00B14DC7"/>
    <w:rsid w:val="00B14DE5"/>
    <w:rsid w:val="00B17978"/>
    <w:rsid w:val="00B21E0C"/>
    <w:rsid w:val="00B231C8"/>
    <w:rsid w:val="00B238FC"/>
    <w:rsid w:val="00B23C71"/>
    <w:rsid w:val="00B24EEB"/>
    <w:rsid w:val="00B25ED9"/>
    <w:rsid w:val="00B26174"/>
    <w:rsid w:val="00B27831"/>
    <w:rsid w:val="00B30A56"/>
    <w:rsid w:val="00B34DE3"/>
    <w:rsid w:val="00B36498"/>
    <w:rsid w:val="00B366D6"/>
    <w:rsid w:val="00B40D5E"/>
    <w:rsid w:val="00B42822"/>
    <w:rsid w:val="00B45FE4"/>
    <w:rsid w:val="00B46B1D"/>
    <w:rsid w:val="00B47991"/>
    <w:rsid w:val="00B500E3"/>
    <w:rsid w:val="00B64B7A"/>
    <w:rsid w:val="00B6641A"/>
    <w:rsid w:val="00B67DF0"/>
    <w:rsid w:val="00B75006"/>
    <w:rsid w:val="00B7502E"/>
    <w:rsid w:val="00B75933"/>
    <w:rsid w:val="00B803A5"/>
    <w:rsid w:val="00B825D8"/>
    <w:rsid w:val="00B82CE5"/>
    <w:rsid w:val="00B83137"/>
    <w:rsid w:val="00B84E7A"/>
    <w:rsid w:val="00B8665A"/>
    <w:rsid w:val="00B8764B"/>
    <w:rsid w:val="00B879C2"/>
    <w:rsid w:val="00B91283"/>
    <w:rsid w:val="00B9246A"/>
    <w:rsid w:val="00B93F86"/>
    <w:rsid w:val="00B96C70"/>
    <w:rsid w:val="00B96DD5"/>
    <w:rsid w:val="00BA11AF"/>
    <w:rsid w:val="00BA3033"/>
    <w:rsid w:val="00BA3593"/>
    <w:rsid w:val="00BA7D5D"/>
    <w:rsid w:val="00BB082D"/>
    <w:rsid w:val="00BB2494"/>
    <w:rsid w:val="00BB47EA"/>
    <w:rsid w:val="00BB4DD1"/>
    <w:rsid w:val="00BB5B90"/>
    <w:rsid w:val="00BC5C9D"/>
    <w:rsid w:val="00BC7CCD"/>
    <w:rsid w:val="00BD03B5"/>
    <w:rsid w:val="00BD1599"/>
    <w:rsid w:val="00BD1D34"/>
    <w:rsid w:val="00BD23D5"/>
    <w:rsid w:val="00BD3EB8"/>
    <w:rsid w:val="00BD5603"/>
    <w:rsid w:val="00BE1048"/>
    <w:rsid w:val="00BE13D6"/>
    <w:rsid w:val="00BF16BB"/>
    <w:rsid w:val="00BF1E84"/>
    <w:rsid w:val="00BF2005"/>
    <w:rsid w:val="00BF4176"/>
    <w:rsid w:val="00BF5389"/>
    <w:rsid w:val="00BF6AF2"/>
    <w:rsid w:val="00C02E76"/>
    <w:rsid w:val="00C059A3"/>
    <w:rsid w:val="00C1073F"/>
    <w:rsid w:val="00C110A2"/>
    <w:rsid w:val="00C14091"/>
    <w:rsid w:val="00C2BB8B"/>
    <w:rsid w:val="00C300D2"/>
    <w:rsid w:val="00C3334F"/>
    <w:rsid w:val="00C3560E"/>
    <w:rsid w:val="00C3678B"/>
    <w:rsid w:val="00C43D8C"/>
    <w:rsid w:val="00C46058"/>
    <w:rsid w:val="00C538D0"/>
    <w:rsid w:val="00C578A0"/>
    <w:rsid w:val="00C6147C"/>
    <w:rsid w:val="00C75E7E"/>
    <w:rsid w:val="00C76394"/>
    <w:rsid w:val="00C8261C"/>
    <w:rsid w:val="00C9095F"/>
    <w:rsid w:val="00C91748"/>
    <w:rsid w:val="00C95715"/>
    <w:rsid w:val="00CA1DED"/>
    <w:rsid w:val="00CA7604"/>
    <w:rsid w:val="00CA785E"/>
    <w:rsid w:val="00CB0678"/>
    <w:rsid w:val="00CB2632"/>
    <w:rsid w:val="00CC0D6B"/>
    <w:rsid w:val="00CC339B"/>
    <w:rsid w:val="00CC4834"/>
    <w:rsid w:val="00CC6FAF"/>
    <w:rsid w:val="00CD1270"/>
    <w:rsid w:val="00CD4EAB"/>
    <w:rsid w:val="00CE49BC"/>
    <w:rsid w:val="00CF0E03"/>
    <w:rsid w:val="00CF6A88"/>
    <w:rsid w:val="00CF7316"/>
    <w:rsid w:val="00D00799"/>
    <w:rsid w:val="00D01A59"/>
    <w:rsid w:val="00D06889"/>
    <w:rsid w:val="00D1013A"/>
    <w:rsid w:val="00D16A97"/>
    <w:rsid w:val="00D21A18"/>
    <w:rsid w:val="00D2258F"/>
    <w:rsid w:val="00D26674"/>
    <w:rsid w:val="00D34FEB"/>
    <w:rsid w:val="00D37480"/>
    <w:rsid w:val="00D414B2"/>
    <w:rsid w:val="00D42503"/>
    <w:rsid w:val="00D45845"/>
    <w:rsid w:val="00D45AB3"/>
    <w:rsid w:val="00D45B7C"/>
    <w:rsid w:val="00D50FF0"/>
    <w:rsid w:val="00D53411"/>
    <w:rsid w:val="00D56F8B"/>
    <w:rsid w:val="00D579D6"/>
    <w:rsid w:val="00D602C1"/>
    <w:rsid w:val="00D67779"/>
    <w:rsid w:val="00D72027"/>
    <w:rsid w:val="00D723B6"/>
    <w:rsid w:val="00D75634"/>
    <w:rsid w:val="00D81A51"/>
    <w:rsid w:val="00D86DC3"/>
    <w:rsid w:val="00D87BDF"/>
    <w:rsid w:val="00D91065"/>
    <w:rsid w:val="00D93292"/>
    <w:rsid w:val="00D93BC1"/>
    <w:rsid w:val="00D9795D"/>
    <w:rsid w:val="00DA4555"/>
    <w:rsid w:val="00DA68B5"/>
    <w:rsid w:val="00DB4772"/>
    <w:rsid w:val="00DB6A1D"/>
    <w:rsid w:val="00DC5178"/>
    <w:rsid w:val="00DC6B79"/>
    <w:rsid w:val="00DE2D66"/>
    <w:rsid w:val="00DE4EBD"/>
    <w:rsid w:val="00DE59EF"/>
    <w:rsid w:val="00DE6AC2"/>
    <w:rsid w:val="00DF0C5E"/>
    <w:rsid w:val="00DF232A"/>
    <w:rsid w:val="00DF2CE3"/>
    <w:rsid w:val="00DF2F81"/>
    <w:rsid w:val="00E05748"/>
    <w:rsid w:val="00E070A6"/>
    <w:rsid w:val="00E12B94"/>
    <w:rsid w:val="00E17069"/>
    <w:rsid w:val="00E20570"/>
    <w:rsid w:val="00E2098E"/>
    <w:rsid w:val="00E20CF1"/>
    <w:rsid w:val="00E254C2"/>
    <w:rsid w:val="00E27018"/>
    <w:rsid w:val="00E273DF"/>
    <w:rsid w:val="00E345A1"/>
    <w:rsid w:val="00E372CC"/>
    <w:rsid w:val="00E4199C"/>
    <w:rsid w:val="00E43F11"/>
    <w:rsid w:val="00E477DC"/>
    <w:rsid w:val="00E50B9C"/>
    <w:rsid w:val="00E50C6E"/>
    <w:rsid w:val="00E525F5"/>
    <w:rsid w:val="00E54247"/>
    <w:rsid w:val="00E66B06"/>
    <w:rsid w:val="00E735DF"/>
    <w:rsid w:val="00E74C35"/>
    <w:rsid w:val="00E8083A"/>
    <w:rsid w:val="00E83A85"/>
    <w:rsid w:val="00E84FAA"/>
    <w:rsid w:val="00E9025E"/>
    <w:rsid w:val="00E90F87"/>
    <w:rsid w:val="00E9458E"/>
    <w:rsid w:val="00E96390"/>
    <w:rsid w:val="00EA12F0"/>
    <w:rsid w:val="00EA1EDE"/>
    <w:rsid w:val="00EA3F19"/>
    <w:rsid w:val="00EA4ECF"/>
    <w:rsid w:val="00EA4FD7"/>
    <w:rsid w:val="00EA5EF5"/>
    <w:rsid w:val="00EA626F"/>
    <w:rsid w:val="00EA7D04"/>
    <w:rsid w:val="00EB5C48"/>
    <w:rsid w:val="00EB77AC"/>
    <w:rsid w:val="00EC070D"/>
    <w:rsid w:val="00EC0AB1"/>
    <w:rsid w:val="00EC0B1B"/>
    <w:rsid w:val="00EC235C"/>
    <w:rsid w:val="00EC2EFB"/>
    <w:rsid w:val="00EC3435"/>
    <w:rsid w:val="00EC4851"/>
    <w:rsid w:val="00EC551B"/>
    <w:rsid w:val="00ED3270"/>
    <w:rsid w:val="00EE23E9"/>
    <w:rsid w:val="00EE6DF6"/>
    <w:rsid w:val="00EF2892"/>
    <w:rsid w:val="00EF6597"/>
    <w:rsid w:val="00EF6B10"/>
    <w:rsid w:val="00F00F2C"/>
    <w:rsid w:val="00F0252A"/>
    <w:rsid w:val="00F03D80"/>
    <w:rsid w:val="00F1162F"/>
    <w:rsid w:val="00F144AD"/>
    <w:rsid w:val="00F15E8B"/>
    <w:rsid w:val="00F160A1"/>
    <w:rsid w:val="00F166CE"/>
    <w:rsid w:val="00F16FE9"/>
    <w:rsid w:val="00F17B1B"/>
    <w:rsid w:val="00F20403"/>
    <w:rsid w:val="00F22580"/>
    <w:rsid w:val="00F23CC9"/>
    <w:rsid w:val="00F31573"/>
    <w:rsid w:val="00F31A42"/>
    <w:rsid w:val="00F31B5B"/>
    <w:rsid w:val="00F32D36"/>
    <w:rsid w:val="00F41074"/>
    <w:rsid w:val="00F5172C"/>
    <w:rsid w:val="00F54254"/>
    <w:rsid w:val="00F544B1"/>
    <w:rsid w:val="00F600A6"/>
    <w:rsid w:val="00F6189D"/>
    <w:rsid w:val="00F61BC0"/>
    <w:rsid w:val="00F67377"/>
    <w:rsid w:val="00F75C95"/>
    <w:rsid w:val="00F77FE6"/>
    <w:rsid w:val="00F80B43"/>
    <w:rsid w:val="00F83461"/>
    <w:rsid w:val="00F92FCC"/>
    <w:rsid w:val="00F95C5E"/>
    <w:rsid w:val="00F96B2D"/>
    <w:rsid w:val="00FA09C1"/>
    <w:rsid w:val="00FA1312"/>
    <w:rsid w:val="00FA33EB"/>
    <w:rsid w:val="00FA45EC"/>
    <w:rsid w:val="00FA6452"/>
    <w:rsid w:val="00FB0034"/>
    <w:rsid w:val="00FB10BF"/>
    <w:rsid w:val="00FB344F"/>
    <w:rsid w:val="00FB6393"/>
    <w:rsid w:val="00FB7901"/>
    <w:rsid w:val="00FC47BC"/>
    <w:rsid w:val="00FC4AB6"/>
    <w:rsid w:val="00FC7A2E"/>
    <w:rsid w:val="00FD00AF"/>
    <w:rsid w:val="00FD05B2"/>
    <w:rsid w:val="00FD5617"/>
    <w:rsid w:val="00FD7BC9"/>
    <w:rsid w:val="00FE0124"/>
    <w:rsid w:val="00FE2B5B"/>
    <w:rsid w:val="00FE2DA7"/>
    <w:rsid w:val="00FE3A58"/>
    <w:rsid w:val="00FE58B6"/>
    <w:rsid w:val="00FE6982"/>
    <w:rsid w:val="00FE78F1"/>
    <w:rsid w:val="00FF0D7D"/>
    <w:rsid w:val="00FF3BE4"/>
    <w:rsid w:val="00FF5D28"/>
    <w:rsid w:val="0108F51B"/>
    <w:rsid w:val="010ECC7F"/>
    <w:rsid w:val="01172E40"/>
    <w:rsid w:val="011CC2CF"/>
    <w:rsid w:val="01269292"/>
    <w:rsid w:val="013362FA"/>
    <w:rsid w:val="013A39FB"/>
    <w:rsid w:val="013C57A9"/>
    <w:rsid w:val="01461317"/>
    <w:rsid w:val="0147D143"/>
    <w:rsid w:val="0178A6CD"/>
    <w:rsid w:val="018727CE"/>
    <w:rsid w:val="01A67E4C"/>
    <w:rsid w:val="01A809FE"/>
    <w:rsid w:val="01AD2F2A"/>
    <w:rsid w:val="01B641EC"/>
    <w:rsid w:val="01BAFB1E"/>
    <w:rsid w:val="01C02839"/>
    <w:rsid w:val="01CF0F44"/>
    <w:rsid w:val="01EE5721"/>
    <w:rsid w:val="020F45E6"/>
    <w:rsid w:val="025845D7"/>
    <w:rsid w:val="02628E57"/>
    <w:rsid w:val="026A5525"/>
    <w:rsid w:val="0271FEC5"/>
    <w:rsid w:val="02A52DBA"/>
    <w:rsid w:val="02BD22EC"/>
    <w:rsid w:val="02C5C4C5"/>
    <w:rsid w:val="02D99A7C"/>
    <w:rsid w:val="02DAC075"/>
    <w:rsid w:val="02F2A74D"/>
    <w:rsid w:val="032224FD"/>
    <w:rsid w:val="032AB240"/>
    <w:rsid w:val="032ED2DF"/>
    <w:rsid w:val="033686D6"/>
    <w:rsid w:val="033E1A4D"/>
    <w:rsid w:val="0340A54E"/>
    <w:rsid w:val="0340C848"/>
    <w:rsid w:val="034876DF"/>
    <w:rsid w:val="0350CAF8"/>
    <w:rsid w:val="0352E166"/>
    <w:rsid w:val="0356AB9A"/>
    <w:rsid w:val="03631FA5"/>
    <w:rsid w:val="03785249"/>
    <w:rsid w:val="038E2A34"/>
    <w:rsid w:val="039EF6C2"/>
    <w:rsid w:val="03DCCD85"/>
    <w:rsid w:val="03E4BBB9"/>
    <w:rsid w:val="03E5A28E"/>
    <w:rsid w:val="03F6DBBD"/>
    <w:rsid w:val="0401D931"/>
    <w:rsid w:val="040512A0"/>
    <w:rsid w:val="041091AD"/>
    <w:rsid w:val="04190EAB"/>
    <w:rsid w:val="043BBE2F"/>
    <w:rsid w:val="0450EC66"/>
    <w:rsid w:val="048F92A7"/>
    <w:rsid w:val="04B1AE01"/>
    <w:rsid w:val="04B1B715"/>
    <w:rsid w:val="04C86D10"/>
    <w:rsid w:val="04D0A11C"/>
    <w:rsid w:val="04D83463"/>
    <w:rsid w:val="04ED8928"/>
    <w:rsid w:val="04FAA029"/>
    <w:rsid w:val="04FAEEAA"/>
    <w:rsid w:val="050FF308"/>
    <w:rsid w:val="05100EC6"/>
    <w:rsid w:val="051EE61C"/>
    <w:rsid w:val="05403BE2"/>
    <w:rsid w:val="05532935"/>
    <w:rsid w:val="055E8243"/>
    <w:rsid w:val="056AFD50"/>
    <w:rsid w:val="057022BC"/>
    <w:rsid w:val="05720B9C"/>
    <w:rsid w:val="05796380"/>
    <w:rsid w:val="058AC542"/>
    <w:rsid w:val="058BC79A"/>
    <w:rsid w:val="05978BAF"/>
    <w:rsid w:val="0599477C"/>
    <w:rsid w:val="05A7406E"/>
    <w:rsid w:val="05AC97BE"/>
    <w:rsid w:val="05AF15CC"/>
    <w:rsid w:val="05B0C2C4"/>
    <w:rsid w:val="05C10E2F"/>
    <w:rsid w:val="05DE4014"/>
    <w:rsid w:val="05DEFE8A"/>
    <w:rsid w:val="05E07444"/>
    <w:rsid w:val="05E39E68"/>
    <w:rsid w:val="05E86F98"/>
    <w:rsid w:val="05EC427B"/>
    <w:rsid w:val="060954F2"/>
    <w:rsid w:val="061ED5F2"/>
    <w:rsid w:val="062A3F19"/>
    <w:rsid w:val="06574EC8"/>
    <w:rsid w:val="06630472"/>
    <w:rsid w:val="0663405C"/>
    <w:rsid w:val="0664E845"/>
    <w:rsid w:val="067D96AE"/>
    <w:rsid w:val="068B5A46"/>
    <w:rsid w:val="0696708A"/>
    <w:rsid w:val="06A581D6"/>
    <w:rsid w:val="06B795D5"/>
    <w:rsid w:val="06B8879E"/>
    <w:rsid w:val="06CAD3F7"/>
    <w:rsid w:val="06D69784"/>
    <w:rsid w:val="06D848DF"/>
    <w:rsid w:val="06EA3803"/>
    <w:rsid w:val="0702BD15"/>
    <w:rsid w:val="0721907F"/>
    <w:rsid w:val="072534DD"/>
    <w:rsid w:val="07335C10"/>
    <w:rsid w:val="074773E3"/>
    <w:rsid w:val="075060C3"/>
    <w:rsid w:val="0757682E"/>
    <w:rsid w:val="0758BA80"/>
    <w:rsid w:val="076DC27F"/>
    <w:rsid w:val="077EC539"/>
    <w:rsid w:val="078B22BA"/>
    <w:rsid w:val="0798DD55"/>
    <w:rsid w:val="07BEC57A"/>
    <w:rsid w:val="07C34FB8"/>
    <w:rsid w:val="07C785F1"/>
    <w:rsid w:val="07DDDAD2"/>
    <w:rsid w:val="07DE2C05"/>
    <w:rsid w:val="083DEC8C"/>
    <w:rsid w:val="085372BC"/>
    <w:rsid w:val="087267E5"/>
    <w:rsid w:val="0896590B"/>
    <w:rsid w:val="08A70ABD"/>
    <w:rsid w:val="08B01AB7"/>
    <w:rsid w:val="08C7CE6C"/>
    <w:rsid w:val="08CAD644"/>
    <w:rsid w:val="08D5C973"/>
    <w:rsid w:val="08E00BBD"/>
    <w:rsid w:val="08E46840"/>
    <w:rsid w:val="08F05AA9"/>
    <w:rsid w:val="08FC8B30"/>
    <w:rsid w:val="0900273B"/>
    <w:rsid w:val="090E5AB1"/>
    <w:rsid w:val="090F416E"/>
    <w:rsid w:val="09107785"/>
    <w:rsid w:val="0925D929"/>
    <w:rsid w:val="0937279F"/>
    <w:rsid w:val="09373FA9"/>
    <w:rsid w:val="0960ECE4"/>
    <w:rsid w:val="09634428"/>
    <w:rsid w:val="096A352F"/>
    <w:rsid w:val="098AF3E5"/>
    <w:rsid w:val="098AFE9A"/>
    <w:rsid w:val="098FA10F"/>
    <w:rsid w:val="09A940D9"/>
    <w:rsid w:val="09C909BE"/>
    <w:rsid w:val="09CF5D0D"/>
    <w:rsid w:val="09D3AA05"/>
    <w:rsid w:val="09DCAA39"/>
    <w:rsid w:val="09E4F1F1"/>
    <w:rsid w:val="09F31D34"/>
    <w:rsid w:val="09F66DCB"/>
    <w:rsid w:val="09FB0F64"/>
    <w:rsid w:val="09FE3506"/>
    <w:rsid w:val="0A0AD33D"/>
    <w:rsid w:val="0A0C613B"/>
    <w:rsid w:val="0A118ACC"/>
    <w:rsid w:val="0A15B860"/>
    <w:rsid w:val="0A212A1B"/>
    <w:rsid w:val="0A3590C2"/>
    <w:rsid w:val="0A373A84"/>
    <w:rsid w:val="0A50607F"/>
    <w:rsid w:val="0A5277D3"/>
    <w:rsid w:val="0A64097F"/>
    <w:rsid w:val="0A6AFCD2"/>
    <w:rsid w:val="0A6D3F8B"/>
    <w:rsid w:val="0A92762B"/>
    <w:rsid w:val="0AA4ED0B"/>
    <w:rsid w:val="0AA885F7"/>
    <w:rsid w:val="0AB20317"/>
    <w:rsid w:val="0ADBE7E7"/>
    <w:rsid w:val="0ADE9213"/>
    <w:rsid w:val="0AF19CE3"/>
    <w:rsid w:val="0B009897"/>
    <w:rsid w:val="0B058F32"/>
    <w:rsid w:val="0B15882E"/>
    <w:rsid w:val="0B1E2208"/>
    <w:rsid w:val="0B1EE6A0"/>
    <w:rsid w:val="0B282685"/>
    <w:rsid w:val="0B2CD236"/>
    <w:rsid w:val="0B379277"/>
    <w:rsid w:val="0B3D86E6"/>
    <w:rsid w:val="0B492207"/>
    <w:rsid w:val="0B4A262C"/>
    <w:rsid w:val="0B66BE86"/>
    <w:rsid w:val="0B854458"/>
    <w:rsid w:val="0B8EE46E"/>
    <w:rsid w:val="0B929775"/>
    <w:rsid w:val="0B94A3AF"/>
    <w:rsid w:val="0BA5F346"/>
    <w:rsid w:val="0BC3E270"/>
    <w:rsid w:val="0BC64F97"/>
    <w:rsid w:val="0BCBC52B"/>
    <w:rsid w:val="0BD97589"/>
    <w:rsid w:val="0C06CD33"/>
    <w:rsid w:val="0C0C8DC5"/>
    <w:rsid w:val="0C0CF871"/>
    <w:rsid w:val="0C103CB2"/>
    <w:rsid w:val="0C110EB9"/>
    <w:rsid w:val="0C1F0A12"/>
    <w:rsid w:val="0C341ADD"/>
    <w:rsid w:val="0C415A73"/>
    <w:rsid w:val="0C4BA009"/>
    <w:rsid w:val="0C60266E"/>
    <w:rsid w:val="0C769922"/>
    <w:rsid w:val="0C82B6E9"/>
    <w:rsid w:val="0C85CF32"/>
    <w:rsid w:val="0C91ED95"/>
    <w:rsid w:val="0CA24E91"/>
    <w:rsid w:val="0CC41670"/>
    <w:rsid w:val="0CCA6F3C"/>
    <w:rsid w:val="0CD09506"/>
    <w:rsid w:val="0CD4F0BD"/>
    <w:rsid w:val="0CD6031D"/>
    <w:rsid w:val="0CE426E6"/>
    <w:rsid w:val="0CF258A7"/>
    <w:rsid w:val="0D03C277"/>
    <w:rsid w:val="0D0FE09F"/>
    <w:rsid w:val="0D20DC4B"/>
    <w:rsid w:val="0D21E230"/>
    <w:rsid w:val="0D365378"/>
    <w:rsid w:val="0D3F4100"/>
    <w:rsid w:val="0D4EDE1F"/>
    <w:rsid w:val="0D56CFCC"/>
    <w:rsid w:val="0D84C95B"/>
    <w:rsid w:val="0D912EC3"/>
    <w:rsid w:val="0DBC9EC0"/>
    <w:rsid w:val="0DEBCBBD"/>
    <w:rsid w:val="0E04F760"/>
    <w:rsid w:val="0E075D38"/>
    <w:rsid w:val="0E0F9793"/>
    <w:rsid w:val="0E1E8D3F"/>
    <w:rsid w:val="0E1EF75A"/>
    <w:rsid w:val="0E1F6183"/>
    <w:rsid w:val="0E323184"/>
    <w:rsid w:val="0E35EFBE"/>
    <w:rsid w:val="0E3F7DAB"/>
    <w:rsid w:val="0E4AB464"/>
    <w:rsid w:val="0E56283A"/>
    <w:rsid w:val="0E57406D"/>
    <w:rsid w:val="0E58EB7C"/>
    <w:rsid w:val="0E7918FD"/>
    <w:rsid w:val="0EA5419E"/>
    <w:rsid w:val="0EA7F08D"/>
    <w:rsid w:val="0EB4B9A6"/>
    <w:rsid w:val="0EBDF444"/>
    <w:rsid w:val="0EC6933C"/>
    <w:rsid w:val="0F3B719C"/>
    <w:rsid w:val="0F3B7509"/>
    <w:rsid w:val="0F4C3A4C"/>
    <w:rsid w:val="0F57A290"/>
    <w:rsid w:val="0F676395"/>
    <w:rsid w:val="0F7A576E"/>
    <w:rsid w:val="0F92F85A"/>
    <w:rsid w:val="0FAB6751"/>
    <w:rsid w:val="0FB652C3"/>
    <w:rsid w:val="0FBFF784"/>
    <w:rsid w:val="0FDCE8F0"/>
    <w:rsid w:val="0FE700CF"/>
    <w:rsid w:val="0FEDF654"/>
    <w:rsid w:val="0FF5ABF1"/>
    <w:rsid w:val="0FFD8A9C"/>
    <w:rsid w:val="100BDD4C"/>
    <w:rsid w:val="1029355E"/>
    <w:rsid w:val="10354761"/>
    <w:rsid w:val="1038D57C"/>
    <w:rsid w:val="103EA0E0"/>
    <w:rsid w:val="103F7F31"/>
    <w:rsid w:val="10473CF7"/>
    <w:rsid w:val="104AA3EC"/>
    <w:rsid w:val="1053126D"/>
    <w:rsid w:val="10606554"/>
    <w:rsid w:val="10649EA5"/>
    <w:rsid w:val="10697AC1"/>
    <w:rsid w:val="106A8C23"/>
    <w:rsid w:val="106CF53D"/>
    <w:rsid w:val="108BF634"/>
    <w:rsid w:val="10914F4E"/>
    <w:rsid w:val="109289C9"/>
    <w:rsid w:val="10945206"/>
    <w:rsid w:val="1098F445"/>
    <w:rsid w:val="109D78C6"/>
    <w:rsid w:val="10A1A9C1"/>
    <w:rsid w:val="10AF59BB"/>
    <w:rsid w:val="10BEF462"/>
    <w:rsid w:val="10C17788"/>
    <w:rsid w:val="10D52DCC"/>
    <w:rsid w:val="10D5EC58"/>
    <w:rsid w:val="10DC3DDD"/>
    <w:rsid w:val="10E8F184"/>
    <w:rsid w:val="10F75BF3"/>
    <w:rsid w:val="10F8E21A"/>
    <w:rsid w:val="10F99187"/>
    <w:rsid w:val="10FBE069"/>
    <w:rsid w:val="110333F6"/>
    <w:rsid w:val="1106F7F7"/>
    <w:rsid w:val="1108D875"/>
    <w:rsid w:val="111B0D69"/>
    <w:rsid w:val="112D889F"/>
    <w:rsid w:val="115507E7"/>
    <w:rsid w:val="11586CC4"/>
    <w:rsid w:val="116207CD"/>
    <w:rsid w:val="11707B77"/>
    <w:rsid w:val="117290BA"/>
    <w:rsid w:val="11780527"/>
    <w:rsid w:val="118B800F"/>
    <w:rsid w:val="1194EF04"/>
    <w:rsid w:val="11AFD9A0"/>
    <w:rsid w:val="11B63F0D"/>
    <w:rsid w:val="11D0845C"/>
    <w:rsid w:val="11D9A507"/>
    <w:rsid w:val="11DE9117"/>
    <w:rsid w:val="11F67A3C"/>
    <w:rsid w:val="11F8E915"/>
    <w:rsid w:val="12094FE0"/>
    <w:rsid w:val="121313A3"/>
    <w:rsid w:val="1218B33C"/>
    <w:rsid w:val="122A6209"/>
    <w:rsid w:val="122A6C8D"/>
    <w:rsid w:val="12302267"/>
    <w:rsid w:val="12319C2C"/>
    <w:rsid w:val="12359E57"/>
    <w:rsid w:val="12383FEE"/>
    <w:rsid w:val="1238574A"/>
    <w:rsid w:val="1239E739"/>
    <w:rsid w:val="123CF5D5"/>
    <w:rsid w:val="1245E617"/>
    <w:rsid w:val="12474EED"/>
    <w:rsid w:val="125BA426"/>
    <w:rsid w:val="125E2663"/>
    <w:rsid w:val="128ECCB6"/>
    <w:rsid w:val="129BB43F"/>
    <w:rsid w:val="12AEFC3E"/>
    <w:rsid w:val="12B36189"/>
    <w:rsid w:val="12D4CB28"/>
    <w:rsid w:val="12F41BAC"/>
    <w:rsid w:val="12FB53A6"/>
    <w:rsid w:val="1327E902"/>
    <w:rsid w:val="1329E32E"/>
    <w:rsid w:val="133D86EA"/>
    <w:rsid w:val="1343B243"/>
    <w:rsid w:val="134FF693"/>
    <w:rsid w:val="1356370D"/>
    <w:rsid w:val="139A92F8"/>
    <w:rsid w:val="139C7110"/>
    <w:rsid w:val="13ACDF3D"/>
    <w:rsid w:val="13E1153F"/>
    <w:rsid w:val="13E7A3A8"/>
    <w:rsid w:val="13EBFEF6"/>
    <w:rsid w:val="13F40E32"/>
    <w:rsid w:val="13F782C9"/>
    <w:rsid w:val="13F7E0BC"/>
    <w:rsid w:val="142319AC"/>
    <w:rsid w:val="143E98B9"/>
    <w:rsid w:val="144ACB83"/>
    <w:rsid w:val="144AF31C"/>
    <w:rsid w:val="1451AF5F"/>
    <w:rsid w:val="1456EDB1"/>
    <w:rsid w:val="145B9F84"/>
    <w:rsid w:val="1479E687"/>
    <w:rsid w:val="148730AD"/>
    <w:rsid w:val="14953BAC"/>
    <w:rsid w:val="149A458B"/>
    <w:rsid w:val="14A14EAE"/>
    <w:rsid w:val="14A932A5"/>
    <w:rsid w:val="14AFBBC7"/>
    <w:rsid w:val="14B4D9A2"/>
    <w:rsid w:val="14B9F5E8"/>
    <w:rsid w:val="14BEDDB3"/>
    <w:rsid w:val="14C8D291"/>
    <w:rsid w:val="14C9505C"/>
    <w:rsid w:val="15074BDE"/>
    <w:rsid w:val="1515FC2E"/>
    <w:rsid w:val="151A3310"/>
    <w:rsid w:val="151E147B"/>
    <w:rsid w:val="151EE5BA"/>
    <w:rsid w:val="152075A1"/>
    <w:rsid w:val="15211B92"/>
    <w:rsid w:val="15240B61"/>
    <w:rsid w:val="1527CC94"/>
    <w:rsid w:val="152860C6"/>
    <w:rsid w:val="15403A50"/>
    <w:rsid w:val="1543A3B9"/>
    <w:rsid w:val="1580AA47"/>
    <w:rsid w:val="158A5508"/>
    <w:rsid w:val="15A00DB0"/>
    <w:rsid w:val="15ADE019"/>
    <w:rsid w:val="15B659D3"/>
    <w:rsid w:val="15BE5BFE"/>
    <w:rsid w:val="15C4DA0D"/>
    <w:rsid w:val="15C9C75E"/>
    <w:rsid w:val="15CEB37D"/>
    <w:rsid w:val="15D245FF"/>
    <w:rsid w:val="15E32256"/>
    <w:rsid w:val="15E6428A"/>
    <w:rsid w:val="15E69C53"/>
    <w:rsid w:val="15E77560"/>
    <w:rsid w:val="1604E55C"/>
    <w:rsid w:val="1628932D"/>
    <w:rsid w:val="166CBB70"/>
    <w:rsid w:val="1680BEB1"/>
    <w:rsid w:val="168B092C"/>
    <w:rsid w:val="168B220B"/>
    <w:rsid w:val="1694E968"/>
    <w:rsid w:val="16998E48"/>
    <w:rsid w:val="169FC3D5"/>
    <w:rsid w:val="16BE502C"/>
    <w:rsid w:val="16BFC2FE"/>
    <w:rsid w:val="16C7F2E1"/>
    <w:rsid w:val="16D3D3B5"/>
    <w:rsid w:val="16F05E5A"/>
    <w:rsid w:val="16F13C61"/>
    <w:rsid w:val="16F6BF7C"/>
    <w:rsid w:val="16F9ABE2"/>
    <w:rsid w:val="16FE9C4F"/>
    <w:rsid w:val="1702C9CA"/>
    <w:rsid w:val="171076CA"/>
    <w:rsid w:val="17176CDE"/>
    <w:rsid w:val="17433AA6"/>
    <w:rsid w:val="1747F506"/>
    <w:rsid w:val="174860C7"/>
    <w:rsid w:val="1749CA3C"/>
    <w:rsid w:val="174DA210"/>
    <w:rsid w:val="175CF59D"/>
    <w:rsid w:val="1776A73B"/>
    <w:rsid w:val="178A4EED"/>
    <w:rsid w:val="17914F79"/>
    <w:rsid w:val="17A21891"/>
    <w:rsid w:val="17B3EE59"/>
    <w:rsid w:val="17B68DA0"/>
    <w:rsid w:val="17C6AAB6"/>
    <w:rsid w:val="17D86E4D"/>
    <w:rsid w:val="17E84921"/>
    <w:rsid w:val="1803E0BA"/>
    <w:rsid w:val="1845630C"/>
    <w:rsid w:val="185D4D89"/>
    <w:rsid w:val="18636880"/>
    <w:rsid w:val="1867B28A"/>
    <w:rsid w:val="186B7E21"/>
    <w:rsid w:val="186B8D4B"/>
    <w:rsid w:val="187F77C4"/>
    <w:rsid w:val="188EC235"/>
    <w:rsid w:val="189FECD1"/>
    <w:rsid w:val="18A86BD9"/>
    <w:rsid w:val="18B774E6"/>
    <w:rsid w:val="18E5D429"/>
    <w:rsid w:val="18E72D35"/>
    <w:rsid w:val="18EEC866"/>
    <w:rsid w:val="18F006CA"/>
    <w:rsid w:val="18F3D690"/>
    <w:rsid w:val="190A7E53"/>
    <w:rsid w:val="1911D16C"/>
    <w:rsid w:val="192AA255"/>
    <w:rsid w:val="192CE9CE"/>
    <w:rsid w:val="193F0826"/>
    <w:rsid w:val="1942E612"/>
    <w:rsid w:val="1968DC5E"/>
    <w:rsid w:val="197B941D"/>
    <w:rsid w:val="198ED784"/>
    <w:rsid w:val="19A6EEB3"/>
    <w:rsid w:val="19AAA8C3"/>
    <w:rsid w:val="19ABC7DC"/>
    <w:rsid w:val="19AD06B1"/>
    <w:rsid w:val="19AE7861"/>
    <w:rsid w:val="19C8CC7A"/>
    <w:rsid w:val="19CA2BF5"/>
    <w:rsid w:val="19CB6E21"/>
    <w:rsid w:val="19D1FCEF"/>
    <w:rsid w:val="19DA4F51"/>
    <w:rsid w:val="19F6AD81"/>
    <w:rsid w:val="19FB10A3"/>
    <w:rsid w:val="1A00BEE7"/>
    <w:rsid w:val="1A0D1F38"/>
    <w:rsid w:val="1A25A6DA"/>
    <w:rsid w:val="1A3068C4"/>
    <w:rsid w:val="1A62C271"/>
    <w:rsid w:val="1A8257AD"/>
    <w:rsid w:val="1A88208D"/>
    <w:rsid w:val="1AACDBA4"/>
    <w:rsid w:val="1AB1F756"/>
    <w:rsid w:val="1AC56321"/>
    <w:rsid w:val="1ACEA9BD"/>
    <w:rsid w:val="1AEB373A"/>
    <w:rsid w:val="1AF6F80A"/>
    <w:rsid w:val="1AFEB1DC"/>
    <w:rsid w:val="1B004AA3"/>
    <w:rsid w:val="1B01A186"/>
    <w:rsid w:val="1B0ADBE1"/>
    <w:rsid w:val="1B272F3C"/>
    <w:rsid w:val="1B33F12C"/>
    <w:rsid w:val="1B4EA7C8"/>
    <w:rsid w:val="1B52DE2C"/>
    <w:rsid w:val="1B5B5A68"/>
    <w:rsid w:val="1B61AC6C"/>
    <w:rsid w:val="1B8919F1"/>
    <w:rsid w:val="1B9884A3"/>
    <w:rsid w:val="1BA095C1"/>
    <w:rsid w:val="1BADB9A2"/>
    <w:rsid w:val="1BB8629B"/>
    <w:rsid w:val="1BDF3A46"/>
    <w:rsid w:val="1BF9D173"/>
    <w:rsid w:val="1C02B159"/>
    <w:rsid w:val="1C058A01"/>
    <w:rsid w:val="1C198BFE"/>
    <w:rsid w:val="1C2B5785"/>
    <w:rsid w:val="1C2F943D"/>
    <w:rsid w:val="1C3706D8"/>
    <w:rsid w:val="1C3EDE42"/>
    <w:rsid w:val="1C4BC34D"/>
    <w:rsid w:val="1C532901"/>
    <w:rsid w:val="1C5AA592"/>
    <w:rsid w:val="1C747F56"/>
    <w:rsid w:val="1C7DECB1"/>
    <w:rsid w:val="1C7F50EE"/>
    <w:rsid w:val="1C8F58CD"/>
    <w:rsid w:val="1C9CF724"/>
    <w:rsid w:val="1CA1173F"/>
    <w:rsid w:val="1CA667E6"/>
    <w:rsid w:val="1CB50B91"/>
    <w:rsid w:val="1CC04F2F"/>
    <w:rsid w:val="1CD04BF3"/>
    <w:rsid w:val="1CE6C851"/>
    <w:rsid w:val="1CEEAE8D"/>
    <w:rsid w:val="1D165F00"/>
    <w:rsid w:val="1D16E242"/>
    <w:rsid w:val="1D2F2033"/>
    <w:rsid w:val="1D321761"/>
    <w:rsid w:val="1D3558CD"/>
    <w:rsid w:val="1D44BB15"/>
    <w:rsid w:val="1D4B0DA5"/>
    <w:rsid w:val="1D5857BA"/>
    <w:rsid w:val="1D5B913E"/>
    <w:rsid w:val="1D63CCA6"/>
    <w:rsid w:val="1D63FE39"/>
    <w:rsid w:val="1D6790E2"/>
    <w:rsid w:val="1D690701"/>
    <w:rsid w:val="1D8371AF"/>
    <w:rsid w:val="1D888403"/>
    <w:rsid w:val="1D9D9CDF"/>
    <w:rsid w:val="1DA0DF9B"/>
    <w:rsid w:val="1DB53920"/>
    <w:rsid w:val="1DD54BB6"/>
    <w:rsid w:val="1DD8F7AD"/>
    <w:rsid w:val="1DE1083B"/>
    <w:rsid w:val="1DE41E07"/>
    <w:rsid w:val="1DE4A79A"/>
    <w:rsid w:val="1DEA55BD"/>
    <w:rsid w:val="1E158F7C"/>
    <w:rsid w:val="1E1A88DB"/>
    <w:rsid w:val="1E24E491"/>
    <w:rsid w:val="1E2B292E"/>
    <w:rsid w:val="1E37EB65"/>
    <w:rsid w:val="1E4BC1C5"/>
    <w:rsid w:val="1E4CC688"/>
    <w:rsid w:val="1E4E51C1"/>
    <w:rsid w:val="1E5024FE"/>
    <w:rsid w:val="1E51C6B5"/>
    <w:rsid w:val="1E532A8D"/>
    <w:rsid w:val="1E7357A9"/>
    <w:rsid w:val="1EA5CFFF"/>
    <w:rsid w:val="1EAE063E"/>
    <w:rsid w:val="1EC56F1C"/>
    <w:rsid w:val="1EC5B2A7"/>
    <w:rsid w:val="1EFF038B"/>
    <w:rsid w:val="1F0746D9"/>
    <w:rsid w:val="1F1923DF"/>
    <w:rsid w:val="1F1A7DF2"/>
    <w:rsid w:val="1F1CEBF3"/>
    <w:rsid w:val="1F1CF869"/>
    <w:rsid w:val="1F331549"/>
    <w:rsid w:val="1F36CBAF"/>
    <w:rsid w:val="1F49B1DD"/>
    <w:rsid w:val="1F4EEE90"/>
    <w:rsid w:val="1F5E57A0"/>
    <w:rsid w:val="1F603CD4"/>
    <w:rsid w:val="1F606082"/>
    <w:rsid w:val="1F652B58"/>
    <w:rsid w:val="1F6CB456"/>
    <w:rsid w:val="1F6CC2E3"/>
    <w:rsid w:val="1F86EE6C"/>
    <w:rsid w:val="1F8E77B3"/>
    <w:rsid w:val="1F977BDA"/>
    <w:rsid w:val="1FCF777B"/>
    <w:rsid w:val="1FD6B838"/>
    <w:rsid w:val="1FE9D719"/>
    <w:rsid w:val="200786AE"/>
    <w:rsid w:val="20083EC9"/>
    <w:rsid w:val="2013E261"/>
    <w:rsid w:val="2021FCE9"/>
    <w:rsid w:val="202BE74B"/>
    <w:rsid w:val="2033F538"/>
    <w:rsid w:val="204402B4"/>
    <w:rsid w:val="2046278D"/>
    <w:rsid w:val="204FAAE7"/>
    <w:rsid w:val="2052D0B0"/>
    <w:rsid w:val="206432C8"/>
    <w:rsid w:val="207925D8"/>
    <w:rsid w:val="207B5E98"/>
    <w:rsid w:val="207BA01A"/>
    <w:rsid w:val="207EC477"/>
    <w:rsid w:val="2087B5D1"/>
    <w:rsid w:val="208DF1FB"/>
    <w:rsid w:val="209385BE"/>
    <w:rsid w:val="2093F1BB"/>
    <w:rsid w:val="20971D71"/>
    <w:rsid w:val="20B13576"/>
    <w:rsid w:val="20BC31CA"/>
    <w:rsid w:val="20D44E82"/>
    <w:rsid w:val="20E27E46"/>
    <w:rsid w:val="20F43358"/>
    <w:rsid w:val="20F5534D"/>
    <w:rsid w:val="21058FB5"/>
    <w:rsid w:val="2129924C"/>
    <w:rsid w:val="21303D91"/>
    <w:rsid w:val="2132C9D3"/>
    <w:rsid w:val="21353E51"/>
    <w:rsid w:val="21373AF9"/>
    <w:rsid w:val="21464F4D"/>
    <w:rsid w:val="2156AFAA"/>
    <w:rsid w:val="215C2BCE"/>
    <w:rsid w:val="21617138"/>
    <w:rsid w:val="2165C1C5"/>
    <w:rsid w:val="21666D49"/>
    <w:rsid w:val="21668758"/>
    <w:rsid w:val="216904C8"/>
    <w:rsid w:val="216A6223"/>
    <w:rsid w:val="219AED41"/>
    <w:rsid w:val="219DC854"/>
    <w:rsid w:val="21A1F5AE"/>
    <w:rsid w:val="21A36BE6"/>
    <w:rsid w:val="21B04C13"/>
    <w:rsid w:val="21C26FEE"/>
    <w:rsid w:val="21C57321"/>
    <w:rsid w:val="21CAFCB6"/>
    <w:rsid w:val="21E9FF5B"/>
    <w:rsid w:val="220E1526"/>
    <w:rsid w:val="220F271A"/>
    <w:rsid w:val="2227DE94"/>
    <w:rsid w:val="2235ED77"/>
    <w:rsid w:val="22487D97"/>
    <w:rsid w:val="2249F7FD"/>
    <w:rsid w:val="22555841"/>
    <w:rsid w:val="22AC2AF6"/>
    <w:rsid w:val="22B08D29"/>
    <w:rsid w:val="22CCADF6"/>
    <w:rsid w:val="22CD0194"/>
    <w:rsid w:val="22D2DFDA"/>
    <w:rsid w:val="22F15F63"/>
    <w:rsid w:val="22FAB7C1"/>
    <w:rsid w:val="230C7417"/>
    <w:rsid w:val="2318202A"/>
    <w:rsid w:val="231C5B6D"/>
    <w:rsid w:val="2324EB1D"/>
    <w:rsid w:val="2336AF6B"/>
    <w:rsid w:val="233F0E48"/>
    <w:rsid w:val="23450D73"/>
    <w:rsid w:val="23476C04"/>
    <w:rsid w:val="235C63C4"/>
    <w:rsid w:val="235DC0A8"/>
    <w:rsid w:val="236675DD"/>
    <w:rsid w:val="236696E3"/>
    <w:rsid w:val="2369D4F9"/>
    <w:rsid w:val="23737AF2"/>
    <w:rsid w:val="2376221A"/>
    <w:rsid w:val="237AE4EA"/>
    <w:rsid w:val="2381CABE"/>
    <w:rsid w:val="2387135C"/>
    <w:rsid w:val="23955BEE"/>
    <w:rsid w:val="239805E7"/>
    <w:rsid w:val="23A04CF9"/>
    <w:rsid w:val="23AED50C"/>
    <w:rsid w:val="23B04582"/>
    <w:rsid w:val="23DEAE28"/>
    <w:rsid w:val="23E5E3D4"/>
    <w:rsid w:val="23F3689E"/>
    <w:rsid w:val="23FB5C88"/>
    <w:rsid w:val="240091E2"/>
    <w:rsid w:val="240429E6"/>
    <w:rsid w:val="240EE3E7"/>
    <w:rsid w:val="2421F130"/>
    <w:rsid w:val="242E2603"/>
    <w:rsid w:val="242F2ACA"/>
    <w:rsid w:val="243475F9"/>
    <w:rsid w:val="245492CB"/>
    <w:rsid w:val="2457D142"/>
    <w:rsid w:val="24647965"/>
    <w:rsid w:val="24765E3E"/>
    <w:rsid w:val="24772429"/>
    <w:rsid w:val="2480AA59"/>
    <w:rsid w:val="2480DCFB"/>
    <w:rsid w:val="24825AE7"/>
    <w:rsid w:val="2487778A"/>
    <w:rsid w:val="248FAC94"/>
    <w:rsid w:val="2491C18C"/>
    <w:rsid w:val="24B2CD53"/>
    <w:rsid w:val="24B68C68"/>
    <w:rsid w:val="24B78268"/>
    <w:rsid w:val="24B90B0B"/>
    <w:rsid w:val="24C69C12"/>
    <w:rsid w:val="24E94AC8"/>
    <w:rsid w:val="2503E075"/>
    <w:rsid w:val="25128006"/>
    <w:rsid w:val="2518CCE9"/>
    <w:rsid w:val="2529E7AD"/>
    <w:rsid w:val="25436C8B"/>
    <w:rsid w:val="25470674"/>
    <w:rsid w:val="254F0312"/>
    <w:rsid w:val="255DE07A"/>
    <w:rsid w:val="2565B8CE"/>
    <w:rsid w:val="2568E5D2"/>
    <w:rsid w:val="25A7A498"/>
    <w:rsid w:val="25C8225F"/>
    <w:rsid w:val="25D2885B"/>
    <w:rsid w:val="25E020D6"/>
    <w:rsid w:val="25E2D89D"/>
    <w:rsid w:val="25ED3F8A"/>
    <w:rsid w:val="25F0632C"/>
    <w:rsid w:val="2603D40D"/>
    <w:rsid w:val="26130EAE"/>
    <w:rsid w:val="26135EFF"/>
    <w:rsid w:val="261BEA2C"/>
    <w:rsid w:val="262DC1A0"/>
    <w:rsid w:val="26549B22"/>
    <w:rsid w:val="267F4A2E"/>
    <w:rsid w:val="26885966"/>
    <w:rsid w:val="268A3EC8"/>
    <w:rsid w:val="26C45596"/>
    <w:rsid w:val="26CD9B1E"/>
    <w:rsid w:val="26D264A3"/>
    <w:rsid w:val="26F2F83E"/>
    <w:rsid w:val="26FA6207"/>
    <w:rsid w:val="2731CCDF"/>
    <w:rsid w:val="2748785D"/>
    <w:rsid w:val="274C45B2"/>
    <w:rsid w:val="27516575"/>
    <w:rsid w:val="2752AD34"/>
    <w:rsid w:val="275E1E12"/>
    <w:rsid w:val="275EE6A4"/>
    <w:rsid w:val="2763E3B5"/>
    <w:rsid w:val="2772A825"/>
    <w:rsid w:val="2772D5FB"/>
    <w:rsid w:val="27A903C6"/>
    <w:rsid w:val="27CD7F63"/>
    <w:rsid w:val="27CE2929"/>
    <w:rsid w:val="27D69949"/>
    <w:rsid w:val="27D6E1A6"/>
    <w:rsid w:val="27F9ACEA"/>
    <w:rsid w:val="2806AE7B"/>
    <w:rsid w:val="281BF53B"/>
    <w:rsid w:val="281DD0D3"/>
    <w:rsid w:val="2824BB1A"/>
    <w:rsid w:val="282A0BCE"/>
    <w:rsid w:val="284C7F11"/>
    <w:rsid w:val="284E3F37"/>
    <w:rsid w:val="285D39DD"/>
    <w:rsid w:val="28713000"/>
    <w:rsid w:val="2871885F"/>
    <w:rsid w:val="2872895F"/>
    <w:rsid w:val="2877C13F"/>
    <w:rsid w:val="28868FC6"/>
    <w:rsid w:val="2898EBEE"/>
    <w:rsid w:val="28BF3E2E"/>
    <w:rsid w:val="28E33A48"/>
    <w:rsid w:val="28F7F061"/>
    <w:rsid w:val="28F850CD"/>
    <w:rsid w:val="290DAEC6"/>
    <w:rsid w:val="2914930B"/>
    <w:rsid w:val="2915C1AB"/>
    <w:rsid w:val="299344DF"/>
    <w:rsid w:val="299C76FC"/>
    <w:rsid w:val="29AEBF0B"/>
    <w:rsid w:val="29B38B5C"/>
    <w:rsid w:val="29B9E749"/>
    <w:rsid w:val="29C14771"/>
    <w:rsid w:val="29DB1EE0"/>
    <w:rsid w:val="29F8A62A"/>
    <w:rsid w:val="2A0EC7CA"/>
    <w:rsid w:val="2A1391A0"/>
    <w:rsid w:val="2A20288D"/>
    <w:rsid w:val="2A318D5B"/>
    <w:rsid w:val="2A3F5591"/>
    <w:rsid w:val="2A40EDB4"/>
    <w:rsid w:val="2A41DF59"/>
    <w:rsid w:val="2A46903B"/>
    <w:rsid w:val="2A58F10D"/>
    <w:rsid w:val="2A5B0F29"/>
    <w:rsid w:val="2A66F522"/>
    <w:rsid w:val="2A8C3299"/>
    <w:rsid w:val="2AB4D614"/>
    <w:rsid w:val="2AB4E7D6"/>
    <w:rsid w:val="2AB5D4DE"/>
    <w:rsid w:val="2ADB08C5"/>
    <w:rsid w:val="2AF60959"/>
    <w:rsid w:val="2B208203"/>
    <w:rsid w:val="2B2D348A"/>
    <w:rsid w:val="2B3B9AD1"/>
    <w:rsid w:val="2B40EC14"/>
    <w:rsid w:val="2B4334AA"/>
    <w:rsid w:val="2B542D19"/>
    <w:rsid w:val="2B5AF958"/>
    <w:rsid w:val="2B6D458A"/>
    <w:rsid w:val="2B75A8D2"/>
    <w:rsid w:val="2B794046"/>
    <w:rsid w:val="2B88BBFA"/>
    <w:rsid w:val="2B9BCF0F"/>
    <w:rsid w:val="2BA433D6"/>
    <w:rsid w:val="2BC6ABF1"/>
    <w:rsid w:val="2BE1ACBE"/>
    <w:rsid w:val="2BE505BF"/>
    <w:rsid w:val="2BEBB990"/>
    <w:rsid w:val="2BFFF6E5"/>
    <w:rsid w:val="2C2C4EE9"/>
    <w:rsid w:val="2C4ACF90"/>
    <w:rsid w:val="2C4DE763"/>
    <w:rsid w:val="2C6C303A"/>
    <w:rsid w:val="2C7005F5"/>
    <w:rsid w:val="2C8935C3"/>
    <w:rsid w:val="2CC86B98"/>
    <w:rsid w:val="2CDC9536"/>
    <w:rsid w:val="2CFF7139"/>
    <w:rsid w:val="2D005178"/>
    <w:rsid w:val="2D0C09F9"/>
    <w:rsid w:val="2D1CF33F"/>
    <w:rsid w:val="2D21F537"/>
    <w:rsid w:val="2D2AA8F2"/>
    <w:rsid w:val="2D2C1DC2"/>
    <w:rsid w:val="2D3173C9"/>
    <w:rsid w:val="2D638B34"/>
    <w:rsid w:val="2D65925D"/>
    <w:rsid w:val="2D67A6CD"/>
    <w:rsid w:val="2D7762F0"/>
    <w:rsid w:val="2D840029"/>
    <w:rsid w:val="2D8CC643"/>
    <w:rsid w:val="2D9077A1"/>
    <w:rsid w:val="2DA15765"/>
    <w:rsid w:val="2DB19848"/>
    <w:rsid w:val="2DC3BCEA"/>
    <w:rsid w:val="2DFE7964"/>
    <w:rsid w:val="2E144E66"/>
    <w:rsid w:val="2E1E3F51"/>
    <w:rsid w:val="2E3C5C37"/>
    <w:rsid w:val="2E42D85F"/>
    <w:rsid w:val="2E4603D2"/>
    <w:rsid w:val="2E4DBF99"/>
    <w:rsid w:val="2E54EDA1"/>
    <w:rsid w:val="2E647545"/>
    <w:rsid w:val="2E651946"/>
    <w:rsid w:val="2E68A425"/>
    <w:rsid w:val="2E6FD805"/>
    <w:rsid w:val="2E75BE16"/>
    <w:rsid w:val="2E7E8396"/>
    <w:rsid w:val="2E8688F3"/>
    <w:rsid w:val="2E8BCDDB"/>
    <w:rsid w:val="2EB06257"/>
    <w:rsid w:val="2EBA7480"/>
    <w:rsid w:val="2EDA54A3"/>
    <w:rsid w:val="2EDAEFC4"/>
    <w:rsid w:val="2EF3AFB1"/>
    <w:rsid w:val="2EFAE09E"/>
    <w:rsid w:val="2F2B7E90"/>
    <w:rsid w:val="2F4020D7"/>
    <w:rsid w:val="2F4BCF0D"/>
    <w:rsid w:val="2F66F615"/>
    <w:rsid w:val="2F78AFF9"/>
    <w:rsid w:val="2F7F200E"/>
    <w:rsid w:val="2F833BEF"/>
    <w:rsid w:val="2F850B82"/>
    <w:rsid w:val="2F9E4D88"/>
    <w:rsid w:val="2FA32184"/>
    <w:rsid w:val="2FA896AC"/>
    <w:rsid w:val="2FAB4409"/>
    <w:rsid w:val="2FACA7EF"/>
    <w:rsid w:val="2FB4756C"/>
    <w:rsid w:val="2FB7FFE4"/>
    <w:rsid w:val="2FC7B8D3"/>
    <w:rsid w:val="2FD9E308"/>
    <w:rsid w:val="2FDB3336"/>
    <w:rsid w:val="2FE50ADF"/>
    <w:rsid w:val="2FEB4713"/>
    <w:rsid w:val="2FEE4F23"/>
    <w:rsid w:val="3015277F"/>
    <w:rsid w:val="301ED7EA"/>
    <w:rsid w:val="3035ECF0"/>
    <w:rsid w:val="3040B4A1"/>
    <w:rsid w:val="304812A6"/>
    <w:rsid w:val="305B2103"/>
    <w:rsid w:val="306CF2FB"/>
    <w:rsid w:val="306DF4B1"/>
    <w:rsid w:val="307209C0"/>
    <w:rsid w:val="30870727"/>
    <w:rsid w:val="3087F4B1"/>
    <w:rsid w:val="3099505E"/>
    <w:rsid w:val="30AA171E"/>
    <w:rsid w:val="30B96508"/>
    <w:rsid w:val="30CCE3B4"/>
    <w:rsid w:val="30CD0381"/>
    <w:rsid w:val="30CDDD36"/>
    <w:rsid w:val="3100BCE6"/>
    <w:rsid w:val="310C37CE"/>
    <w:rsid w:val="310FAA81"/>
    <w:rsid w:val="31127D3C"/>
    <w:rsid w:val="312197E4"/>
    <w:rsid w:val="3131FE8D"/>
    <w:rsid w:val="3136F995"/>
    <w:rsid w:val="31373512"/>
    <w:rsid w:val="3137D73F"/>
    <w:rsid w:val="31456CF2"/>
    <w:rsid w:val="3146BD4C"/>
    <w:rsid w:val="3147146A"/>
    <w:rsid w:val="3147ADE6"/>
    <w:rsid w:val="31530B65"/>
    <w:rsid w:val="3153FB29"/>
    <w:rsid w:val="315A2087"/>
    <w:rsid w:val="316292C4"/>
    <w:rsid w:val="317C59AE"/>
    <w:rsid w:val="317CDE9E"/>
    <w:rsid w:val="31908A40"/>
    <w:rsid w:val="31B06FD6"/>
    <w:rsid w:val="31B8664C"/>
    <w:rsid w:val="31C099A3"/>
    <w:rsid w:val="31C36E9D"/>
    <w:rsid w:val="31DC8502"/>
    <w:rsid w:val="31F973B2"/>
    <w:rsid w:val="3203E19C"/>
    <w:rsid w:val="3216FD19"/>
    <w:rsid w:val="322D8312"/>
    <w:rsid w:val="325E497D"/>
    <w:rsid w:val="326A20F7"/>
    <w:rsid w:val="326A5C11"/>
    <w:rsid w:val="328974EA"/>
    <w:rsid w:val="3291499D"/>
    <w:rsid w:val="3292C748"/>
    <w:rsid w:val="329CCD4D"/>
    <w:rsid w:val="32ABD812"/>
    <w:rsid w:val="32C53D00"/>
    <w:rsid w:val="32D02F40"/>
    <w:rsid w:val="32D1EA87"/>
    <w:rsid w:val="32D7262C"/>
    <w:rsid w:val="32F6F662"/>
    <w:rsid w:val="3306C718"/>
    <w:rsid w:val="33163EF7"/>
    <w:rsid w:val="334BA9AD"/>
    <w:rsid w:val="335E891C"/>
    <w:rsid w:val="336761CE"/>
    <w:rsid w:val="33785563"/>
    <w:rsid w:val="337AC81A"/>
    <w:rsid w:val="338E0203"/>
    <w:rsid w:val="33A863E8"/>
    <w:rsid w:val="33AFAF82"/>
    <w:rsid w:val="33B4B8D5"/>
    <w:rsid w:val="33B8F72C"/>
    <w:rsid w:val="33BD7879"/>
    <w:rsid w:val="33D5F4AF"/>
    <w:rsid w:val="33DB6D61"/>
    <w:rsid w:val="33DBC310"/>
    <w:rsid w:val="33E73758"/>
    <w:rsid w:val="33F1EE2B"/>
    <w:rsid w:val="33FC69D5"/>
    <w:rsid w:val="3409254A"/>
    <w:rsid w:val="340D6DEC"/>
    <w:rsid w:val="341921B5"/>
    <w:rsid w:val="341A85C1"/>
    <w:rsid w:val="34297BD5"/>
    <w:rsid w:val="34298D30"/>
    <w:rsid w:val="342FAEAC"/>
    <w:rsid w:val="34343FAD"/>
    <w:rsid w:val="34389DAE"/>
    <w:rsid w:val="34462252"/>
    <w:rsid w:val="344855A2"/>
    <w:rsid w:val="344F2979"/>
    <w:rsid w:val="34500E80"/>
    <w:rsid w:val="3450F5C9"/>
    <w:rsid w:val="3460E2C9"/>
    <w:rsid w:val="3469FF82"/>
    <w:rsid w:val="346A6EDA"/>
    <w:rsid w:val="347B4977"/>
    <w:rsid w:val="347D157B"/>
    <w:rsid w:val="34810DF7"/>
    <w:rsid w:val="349E2C6E"/>
    <w:rsid w:val="34BE046C"/>
    <w:rsid w:val="34BF198D"/>
    <w:rsid w:val="34C1B31A"/>
    <w:rsid w:val="34C84892"/>
    <w:rsid w:val="34CA85A1"/>
    <w:rsid w:val="34CE456E"/>
    <w:rsid w:val="34CF797A"/>
    <w:rsid w:val="34D1CAD2"/>
    <w:rsid w:val="34DA4256"/>
    <w:rsid w:val="34DDADFC"/>
    <w:rsid w:val="34E7A55C"/>
    <w:rsid w:val="350CDFC1"/>
    <w:rsid w:val="3513055E"/>
    <w:rsid w:val="353C7EDF"/>
    <w:rsid w:val="353E5627"/>
    <w:rsid w:val="35420F8E"/>
    <w:rsid w:val="35460164"/>
    <w:rsid w:val="35554A21"/>
    <w:rsid w:val="35724A75"/>
    <w:rsid w:val="35973E9C"/>
    <w:rsid w:val="35C01DE6"/>
    <w:rsid w:val="35C8FF8A"/>
    <w:rsid w:val="35DFBB4B"/>
    <w:rsid w:val="35F07DAA"/>
    <w:rsid w:val="35F16766"/>
    <w:rsid w:val="3601E735"/>
    <w:rsid w:val="360920FB"/>
    <w:rsid w:val="36125D15"/>
    <w:rsid w:val="363ABEAC"/>
    <w:rsid w:val="363C2025"/>
    <w:rsid w:val="3657D17A"/>
    <w:rsid w:val="365F0C63"/>
    <w:rsid w:val="3681100D"/>
    <w:rsid w:val="368A3E65"/>
    <w:rsid w:val="368F6339"/>
    <w:rsid w:val="36935BB8"/>
    <w:rsid w:val="36A5A008"/>
    <w:rsid w:val="36A60ADC"/>
    <w:rsid w:val="36B5CAD7"/>
    <w:rsid w:val="36B83710"/>
    <w:rsid w:val="36B870B9"/>
    <w:rsid w:val="36BDEE6A"/>
    <w:rsid w:val="36CE0106"/>
    <w:rsid w:val="36D096FC"/>
    <w:rsid w:val="36E601A9"/>
    <w:rsid w:val="36F5D308"/>
    <w:rsid w:val="36F6E598"/>
    <w:rsid w:val="36F71FAA"/>
    <w:rsid w:val="36FBF4A1"/>
    <w:rsid w:val="370F40FE"/>
    <w:rsid w:val="37283C50"/>
    <w:rsid w:val="372CE6AB"/>
    <w:rsid w:val="3748F57E"/>
    <w:rsid w:val="374BBC1B"/>
    <w:rsid w:val="375208CB"/>
    <w:rsid w:val="375768A0"/>
    <w:rsid w:val="375785F9"/>
    <w:rsid w:val="376A6B40"/>
    <w:rsid w:val="379AADEA"/>
    <w:rsid w:val="37B7D215"/>
    <w:rsid w:val="37BFAB0B"/>
    <w:rsid w:val="37C0D9DC"/>
    <w:rsid w:val="37C63A8F"/>
    <w:rsid w:val="37E7CCC3"/>
    <w:rsid w:val="37F40D5A"/>
    <w:rsid w:val="37F73344"/>
    <w:rsid w:val="37FEBA07"/>
    <w:rsid w:val="38066C29"/>
    <w:rsid w:val="381B1255"/>
    <w:rsid w:val="381DF94B"/>
    <w:rsid w:val="3835B182"/>
    <w:rsid w:val="3836A4C0"/>
    <w:rsid w:val="38562F8B"/>
    <w:rsid w:val="385D4693"/>
    <w:rsid w:val="3866D057"/>
    <w:rsid w:val="386D5B99"/>
    <w:rsid w:val="3879468C"/>
    <w:rsid w:val="387D6729"/>
    <w:rsid w:val="389E2C97"/>
    <w:rsid w:val="38B2F4B3"/>
    <w:rsid w:val="38B46052"/>
    <w:rsid w:val="38B71530"/>
    <w:rsid w:val="38B94A19"/>
    <w:rsid w:val="38C14A29"/>
    <w:rsid w:val="38D0AD68"/>
    <w:rsid w:val="38D84365"/>
    <w:rsid w:val="38E6A491"/>
    <w:rsid w:val="38F4CB1F"/>
    <w:rsid w:val="38F9887A"/>
    <w:rsid w:val="3902BE5B"/>
    <w:rsid w:val="39036BCA"/>
    <w:rsid w:val="390393A7"/>
    <w:rsid w:val="39225C37"/>
    <w:rsid w:val="39366C56"/>
    <w:rsid w:val="39547F1A"/>
    <w:rsid w:val="39655A1D"/>
    <w:rsid w:val="396BC2F2"/>
    <w:rsid w:val="398A0508"/>
    <w:rsid w:val="39DCB027"/>
    <w:rsid w:val="39DFAFDE"/>
    <w:rsid w:val="39E5031B"/>
    <w:rsid w:val="39E5CB6E"/>
    <w:rsid w:val="39E636DF"/>
    <w:rsid w:val="39EE3711"/>
    <w:rsid w:val="39F1358A"/>
    <w:rsid w:val="39F40524"/>
    <w:rsid w:val="3A154111"/>
    <w:rsid w:val="3A270A47"/>
    <w:rsid w:val="3A45F293"/>
    <w:rsid w:val="3A4E7DB1"/>
    <w:rsid w:val="3A52E591"/>
    <w:rsid w:val="3A6E3610"/>
    <w:rsid w:val="3A733681"/>
    <w:rsid w:val="3AA127D9"/>
    <w:rsid w:val="3AA2580E"/>
    <w:rsid w:val="3ABBBE2B"/>
    <w:rsid w:val="3AC02225"/>
    <w:rsid w:val="3AD93629"/>
    <w:rsid w:val="3AD95ACA"/>
    <w:rsid w:val="3AF61BE2"/>
    <w:rsid w:val="3AF6C3F5"/>
    <w:rsid w:val="3AFF0910"/>
    <w:rsid w:val="3B018955"/>
    <w:rsid w:val="3B057412"/>
    <w:rsid w:val="3B070D29"/>
    <w:rsid w:val="3B0A13AD"/>
    <w:rsid w:val="3B269BCC"/>
    <w:rsid w:val="3B2DD265"/>
    <w:rsid w:val="3B2F656F"/>
    <w:rsid w:val="3B3CC782"/>
    <w:rsid w:val="3B40D8BA"/>
    <w:rsid w:val="3B5553EF"/>
    <w:rsid w:val="3B5BD0BB"/>
    <w:rsid w:val="3B85CCEE"/>
    <w:rsid w:val="3B94C6FF"/>
    <w:rsid w:val="3B995994"/>
    <w:rsid w:val="3B9A5407"/>
    <w:rsid w:val="3BA806C7"/>
    <w:rsid w:val="3BAA5136"/>
    <w:rsid w:val="3BC9DBA3"/>
    <w:rsid w:val="3BE89132"/>
    <w:rsid w:val="3C07D51A"/>
    <w:rsid w:val="3C20C660"/>
    <w:rsid w:val="3C34112C"/>
    <w:rsid w:val="3C45BAC1"/>
    <w:rsid w:val="3C4B169C"/>
    <w:rsid w:val="3C506F4C"/>
    <w:rsid w:val="3C515938"/>
    <w:rsid w:val="3C55F197"/>
    <w:rsid w:val="3C599194"/>
    <w:rsid w:val="3C75FB4B"/>
    <w:rsid w:val="3C90CCAA"/>
    <w:rsid w:val="3C9F0096"/>
    <w:rsid w:val="3CA7257E"/>
    <w:rsid w:val="3CA90072"/>
    <w:rsid w:val="3CB2E6FC"/>
    <w:rsid w:val="3CC4ADEE"/>
    <w:rsid w:val="3CC85E7A"/>
    <w:rsid w:val="3CE499B3"/>
    <w:rsid w:val="3CF2348A"/>
    <w:rsid w:val="3CF72708"/>
    <w:rsid w:val="3D0A45CF"/>
    <w:rsid w:val="3D0D1FD5"/>
    <w:rsid w:val="3D12D39E"/>
    <w:rsid w:val="3D33B530"/>
    <w:rsid w:val="3D3FF70F"/>
    <w:rsid w:val="3D482DCF"/>
    <w:rsid w:val="3D58F287"/>
    <w:rsid w:val="3D74575D"/>
    <w:rsid w:val="3D7B920C"/>
    <w:rsid w:val="3D819C84"/>
    <w:rsid w:val="3D8E8004"/>
    <w:rsid w:val="3D9494EC"/>
    <w:rsid w:val="3DA63104"/>
    <w:rsid w:val="3DB05A69"/>
    <w:rsid w:val="3DCBABD8"/>
    <w:rsid w:val="3DCE103B"/>
    <w:rsid w:val="3DEDD187"/>
    <w:rsid w:val="3E1E896D"/>
    <w:rsid w:val="3E2B275E"/>
    <w:rsid w:val="3E32A276"/>
    <w:rsid w:val="3E4CC662"/>
    <w:rsid w:val="3E693D71"/>
    <w:rsid w:val="3E74A46A"/>
    <w:rsid w:val="3E78107A"/>
    <w:rsid w:val="3E7BB3D4"/>
    <w:rsid w:val="3E908413"/>
    <w:rsid w:val="3EAADD03"/>
    <w:rsid w:val="3EB0AB6A"/>
    <w:rsid w:val="3EBA3329"/>
    <w:rsid w:val="3EBF47FD"/>
    <w:rsid w:val="3EEC35EB"/>
    <w:rsid w:val="3EFA9AF4"/>
    <w:rsid w:val="3EFB87D8"/>
    <w:rsid w:val="3F122AD2"/>
    <w:rsid w:val="3F148B32"/>
    <w:rsid w:val="3F2CAD52"/>
    <w:rsid w:val="3F344B83"/>
    <w:rsid w:val="3F36992D"/>
    <w:rsid w:val="3F3B4951"/>
    <w:rsid w:val="3F3F8DC6"/>
    <w:rsid w:val="3F43B24C"/>
    <w:rsid w:val="3F469001"/>
    <w:rsid w:val="3F487174"/>
    <w:rsid w:val="3F4DEF96"/>
    <w:rsid w:val="3F5DEA24"/>
    <w:rsid w:val="3F7B781B"/>
    <w:rsid w:val="3F808B58"/>
    <w:rsid w:val="3F82AA53"/>
    <w:rsid w:val="3FA09824"/>
    <w:rsid w:val="3FAC50F3"/>
    <w:rsid w:val="3FB0270A"/>
    <w:rsid w:val="3FBA59CE"/>
    <w:rsid w:val="3FBB12D0"/>
    <w:rsid w:val="3FC2C4CC"/>
    <w:rsid w:val="3FE226B4"/>
    <w:rsid w:val="3FE4F635"/>
    <w:rsid w:val="3FE8BE4B"/>
    <w:rsid w:val="3FE99E7F"/>
    <w:rsid w:val="4005DEB6"/>
    <w:rsid w:val="40087C3F"/>
    <w:rsid w:val="401737EE"/>
    <w:rsid w:val="40337EEA"/>
    <w:rsid w:val="403A7A2B"/>
    <w:rsid w:val="405126BA"/>
    <w:rsid w:val="405DD4B0"/>
    <w:rsid w:val="405E3E21"/>
    <w:rsid w:val="407950AE"/>
    <w:rsid w:val="407F4F70"/>
    <w:rsid w:val="4088E013"/>
    <w:rsid w:val="408C570F"/>
    <w:rsid w:val="40927722"/>
    <w:rsid w:val="40B4F8DE"/>
    <w:rsid w:val="40B9969F"/>
    <w:rsid w:val="40CBCE4B"/>
    <w:rsid w:val="40E90BCE"/>
    <w:rsid w:val="40E96D99"/>
    <w:rsid w:val="40F0E13F"/>
    <w:rsid w:val="40FA6E32"/>
    <w:rsid w:val="4109B027"/>
    <w:rsid w:val="4109F38A"/>
    <w:rsid w:val="4128DC19"/>
    <w:rsid w:val="412D4FA7"/>
    <w:rsid w:val="412FC985"/>
    <w:rsid w:val="41312604"/>
    <w:rsid w:val="413C3C5B"/>
    <w:rsid w:val="41470992"/>
    <w:rsid w:val="414C3DF0"/>
    <w:rsid w:val="4159C2DC"/>
    <w:rsid w:val="4162C820"/>
    <w:rsid w:val="41693521"/>
    <w:rsid w:val="4188F05C"/>
    <w:rsid w:val="4193503E"/>
    <w:rsid w:val="419C36BC"/>
    <w:rsid w:val="41ACB6F6"/>
    <w:rsid w:val="41D7E240"/>
    <w:rsid w:val="41E86282"/>
    <w:rsid w:val="41EE3E5A"/>
    <w:rsid w:val="41F831C8"/>
    <w:rsid w:val="41F87D7E"/>
    <w:rsid w:val="42052B06"/>
    <w:rsid w:val="42074287"/>
    <w:rsid w:val="4224C019"/>
    <w:rsid w:val="42397389"/>
    <w:rsid w:val="423C63C0"/>
    <w:rsid w:val="42586572"/>
    <w:rsid w:val="42593B03"/>
    <w:rsid w:val="42599EB4"/>
    <w:rsid w:val="42654162"/>
    <w:rsid w:val="4269D453"/>
    <w:rsid w:val="4278767F"/>
    <w:rsid w:val="429A1D67"/>
    <w:rsid w:val="42ACB9FD"/>
    <w:rsid w:val="42ACFDF4"/>
    <w:rsid w:val="42D88371"/>
    <w:rsid w:val="42D948CF"/>
    <w:rsid w:val="42DE5853"/>
    <w:rsid w:val="42E33BD8"/>
    <w:rsid w:val="43041B40"/>
    <w:rsid w:val="430CED24"/>
    <w:rsid w:val="4324A884"/>
    <w:rsid w:val="4325C1C6"/>
    <w:rsid w:val="432772D0"/>
    <w:rsid w:val="4352DB14"/>
    <w:rsid w:val="4357E1BC"/>
    <w:rsid w:val="435BF8BB"/>
    <w:rsid w:val="438097A0"/>
    <w:rsid w:val="438398C9"/>
    <w:rsid w:val="43880512"/>
    <w:rsid w:val="4391B805"/>
    <w:rsid w:val="43ACE378"/>
    <w:rsid w:val="43AE9CA3"/>
    <w:rsid w:val="43B3636A"/>
    <w:rsid w:val="43B935DA"/>
    <w:rsid w:val="43BEA6DA"/>
    <w:rsid w:val="43C83DBF"/>
    <w:rsid w:val="43DA123F"/>
    <w:rsid w:val="43E46628"/>
    <w:rsid w:val="43E49588"/>
    <w:rsid w:val="43EE5B09"/>
    <w:rsid w:val="44051721"/>
    <w:rsid w:val="4406573B"/>
    <w:rsid w:val="4408F958"/>
    <w:rsid w:val="4422511E"/>
    <w:rsid w:val="4422F6F6"/>
    <w:rsid w:val="444A8AC0"/>
    <w:rsid w:val="444BA1A7"/>
    <w:rsid w:val="444F5D86"/>
    <w:rsid w:val="446214F9"/>
    <w:rsid w:val="4473158E"/>
    <w:rsid w:val="44773ABB"/>
    <w:rsid w:val="4482EB10"/>
    <w:rsid w:val="4489ECBE"/>
    <w:rsid w:val="4497A618"/>
    <w:rsid w:val="44B75151"/>
    <w:rsid w:val="44BE5258"/>
    <w:rsid w:val="44C75316"/>
    <w:rsid w:val="44D3D77E"/>
    <w:rsid w:val="44DAC97C"/>
    <w:rsid w:val="4514C18F"/>
    <w:rsid w:val="45168D6B"/>
    <w:rsid w:val="452DD0AA"/>
    <w:rsid w:val="45651D10"/>
    <w:rsid w:val="4591C353"/>
    <w:rsid w:val="45941FC9"/>
    <w:rsid w:val="459799DA"/>
    <w:rsid w:val="459E9347"/>
    <w:rsid w:val="45B233E1"/>
    <w:rsid w:val="45C706C2"/>
    <w:rsid w:val="45C85686"/>
    <w:rsid w:val="45D2D472"/>
    <w:rsid w:val="45D39A7B"/>
    <w:rsid w:val="45D665A0"/>
    <w:rsid w:val="45EE0C12"/>
    <w:rsid w:val="45F55E73"/>
    <w:rsid w:val="45F9AAEC"/>
    <w:rsid w:val="46123129"/>
    <w:rsid w:val="46131439"/>
    <w:rsid w:val="462BA05C"/>
    <w:rsid w:val="46398B19"/>
    <w:rsid w:val="466D630B"/>
    <w:rsid w:val="466DDE0C"/>
    <w:rsid w:val="4679947A"/>
    <w:rsid w:val="469CFF46"/>
    <w:rsid w:val="469FADEC"/>
    <w:rsid w:val="46A3DB09"/>
    <w:rsid w:val="46B10688"/>
    <w:rsid w:val="46C04D26"/>
    <w:rsid w:val="46E6D955"/>
    <w:rsid w:val="46F9916E"/>
    <w:rsid w:val="4712177B"/>
    <w:rsid w:val="47191333"/>
    <w:rsid w:val="47311F73"/>
    <w:rsid w:val="4757F591"/>
    <w:rsid w:val="475C9882"/>
    <w:rsid w:val="47601AAD"/>
    <w:rsid w:val="476BCBD2"/>
    <w:rsid w:val="476C08D7"/>
    <w:rsid w:val="476D4D35"/>
    <w:rsid w:val="4771E486"/>
    <w:rsid w:val="4779F0C0"/>
    <w:rsid w:val="4781029A"/>
    <w:rsid w:val="4799B11C"/>
    <w:rsid w:val="479AA35A"/>
    <w:rsid w:val="47A69F73"/>
    <w:rsid w:val="47B9ED1A"/>
    <w:rsid w:val="47BF5161"/>
    <w:rsid w:val="47C6CD86"/>
    <w:rsid w:val="47F4B064"/>
    <w:rsid w:val="47FC2FB2"/>
    <w:rsid w:val="480614FB"/>
    <w:rsid w:val="48067E21"/>
    <w:rsid w:val="48158EB9"/>
    <w:rsid w:val="4816D615"/>
    <w:rsid w:val="4817E54E"/>
    <w:rsid w:val="482803FC"/>
    <w:rsid w:val="48369535"/>
    <w:rsid w:val="483DAC3B"/>
    <w:rsid w:val="4847B483"/>
    <w:rsid w:val="484DA4EE"/>
    <w:rsid w:val="4851E128"/>
    <w:rsid w:val="4859FD13"/>
    <w:rsid w:val="485DC3E7"/>
    <w:rsid w:val="48634157"/>
    <w:rsid w:val="488ED382"/>
    <w:rsid w:val="48944CC4"/>
    <w:rsid w:val="489BEF33"/>
    <w:rsid w:val="48A56CD6"/>
    <w:rsid w:val="48AE4317"/>
    <w:rsid w:val="48B0E32A"/>
    <w:rsid w:val="48D8C8FE"/>
    <w:rsid w:val="48E896D5"/>
    <w:rsid w:val="48F172B2"/>
    <w:rsid w:val="48F626B6"/>
    <w:rsid w:val="49396512"/>
    <w:rsid w:val="494614FE"/>
    <w:rsid w:val="496A47C0"/>
    <w:rsid w:val="49721039"/>
    <w:rsid w:val="498E4101"/>
    <w:rsid w:val="498E9FE8"/>
    <w:rsid w:val="499BD470"/>
    <w:rsid w:val="49AB4001"/>
    <w:rsid w:val="49AF50E0"/>
    <w:rsid w:val="49B36480"/>
    <w:rsid w:val="49C175F8"/>
    <w:rsid w:val="49C8375E"/>
    <w:rsid w:val="49D4B092"/>
    <w:rsid w:val="49D6C21F"/>
    <w:rsid w:val="49E60557"/>
    <w:rsid w:val="49F90839"/>
    <w:rsid w:val="49F9E5A0"/>
    <w:rsid w:val="4A11FD96"/>
    <w:rsid w:val="4A18D4F6"/>
    <w:rsid w:val="4A300AB0"/>
    <w:rsid w:val="4A4E88D5"/>
    <w:rsid w:val="4A53E5FC"/>
    <w:rsid w:val="4A5614B3"/>
    <w:rsid w:val="4A75B695"/>
    <w:rsid w:val="4A863F25"/>
    <w:rsid w:val="4A8F9653"/>
    <w:rsid w:val="4A993228"/>
    <w:rsid w:val="4AA21828"/>
    <w:rsid w:val="4AACC825"/>
    <w:rsid w:val="4AB55BE6"/>
    <w:rsid w:val="4AB9532B"/>
    <w:rsid w:val="4AF75256"/>
    <w:rsid w:val="4B211F11"/>
    <w:rsid w:val="4B41BA57"/>
    <w:rsid w:val="4B5320CE"/>
    <w:rsid w:val="4B62C3DA"/>
    <w:rsid w:val="4B75812F"/>
    <w:rsid w:val="4B82FF7D"/>
    <w:rsid w:val="4BA08D2F"/>
    <w:rsid w:val="4BA98E07"/>
    <w:rsid w:val="4BAFD9F7"/>
    <w:rsid w:val="4BB1FB27"/>
    <w:rsid w:val="4BCA6EBE"/>
    <w:rsid w:val="4BCBCF2B"/>
    <w:rsid w:val="4BDCBD18"/>
    <w:rsid w:val="4BF28DA0"/>
    <w:rsid w:val="4BF354B2"/>
    <w:rsid w:val="4BFCE5D8"/>
    <w:rsid w:val="4C3435E8"/>
    <w:rsid w:val="4C372D52"/>
    <w:rsid w:val="4C3AC063"/>
    <w:rsid w:val="4C463305"/>
    <w:rsid w:val="4C592CF1"/>
    <w:rsid w:val="4C68C480"/>
    <w:rsid w:val="4C703067"/>
    <w:rsid w:val="4C70A2D9"/>
    <w:rsid w:val="4C83383C"/>
    <w:rsid w:val="4C9BFFF2"/>
    <w:rsid w:val="4CD31688"/>
    <w:rsid w:val="4CD8D2B4"/>
    <w:rsid w:val="4CE2CFCA"/>
    <w:rsid w:val="4CE9B2A4"/>
    <w:rsid w:val="4D03ACFE"/>
    <w:rsid w:val="4D09156B"/>
    <w:rsid w:val="4D2923A8"/>
    <w:rsid w:val="4D38C100"/>
    <w:rsid w:val="4D4D7170"/>
    <w:rsid w:val="4D61A0BA"/>
    <w:rsid w:val="4D675123"/>
    <w:rsid w:val="4D698B2D"/>
    <w:rsid w:val="4D7CBC59"/>
    <w:rsid w:val="4D8C1708"/>
    <w:rsid w:val="4D8F8785"/>
    <w:rsid w:val="4D9BE837"/>
    <w:rsid w:val="4DC30889"/>
    <w:rsid w:val="4DCAF929"/>
    <w:rsid w:val="4DD37BB7"/>
    <w:rsid w:val="4DD50706"/>
    <w:rsid w:val="4DE63074"/>
    <w:rsid w:val="4E088924"/>
    <w:rsid w:val="4E0B5A8C"/>
    <w:rsid w:val="4E0FEC3D"/>
    <w:rsid w:val="4E16D307"/>
    <w:rsid w:val="4E36B4C2"/>
    <w:rsid w:val="4E4011E6"/>
    <w:rsid w:val="4E5A49CD"/>
    <w:rsid w:val="4E6CAB5F"/>
    <w:rsid w:val="4EA3D162"/>
    <w:rsid w:val="4EB72E96"/>
    <w:rsid w:val="4EEADB1A"/>
    <w:rsid w:val="4EF481B1"/>
    <w:rsid w:val="4EF7956C"/>
    <w:rsid w:val="4F1B6F3D"/>
    <w:rsid w:val="4F3CB0F9"/>
    <w:rsid w:val="4F3FF207"/>
    <w:rsid w:val="4F548E28"/>
    <w:rsid w:val="4F5AE24F"/>
    <w:rsid w:val="4F6FD424"/>
    <w:rsid w:val="4F74878E"/>
    <w:rsid w:val="4F92712B"/>
    <w:rsid w:val="4F927FF0"/>
    <w:rsid w:val="4F971EB8"/>
    <w:rsid w:val="4FB34E4E"/>
    <w:rsid w:val="4FC86999"/>
    <w:rsid w:val="4FE401A0"/>
    <w:rsid w:val="4FF4A9B3"/>
    <w:rsid w:val="4FF4BD31"/>
    <w:rsid w:val="502E3DB8"/>
    <w:rsid w:val="50376604"/>
    <w:rsid w:val="5051AA72"/>
    <w:rsid w:val="50736370"/>
    <w:rsid w:val="5078A6AD"/>
    <w:rsid w:val="5079F247"/>
    <w:rsid w:val="5090D7AA"/>
    <w:rsid w:val="50AAC90B"/>
    <w:rsid w:val="50AF5DF0"/>
    <w:rsid w:val="50EA526B"/>
    <w:rsid w:val="50F791E9"/>
    <w:rsid w:val="50F96233"/>
    <w:rsid w:val="50FC62F1"/>
    <w:rsid w:val="510AD3C6"/>
    <w:rsid w:val="51279A49"/>
    <w:rsid w:val="5149AC19"/>
    <w:rsid w:val="5177A550"/>
    <w:rsid w:val="5192FFA4"/>
    <w:rsid w:val="519E3A4E"/>
    <w:rsid w:val="519F0234"/>
    <w:rsid w:val="51A3C4A3"/>
    <w:rsid w:val="51F12FCB"/>
    <w:rsid w:val="520AC3C5"/>
    <w:rsid w:val="521926D2"/>
    <w:rsid w:val="522EA9AD"/>
    <w:rsid w:val="523692F4"/>
    <w:rsid w:val="5237051F"/>
    <w:rsid w:val="523CFC50"/>
    <w:rsid w:val="524C1DE0"/>
    <w:rsid w:val="524C3706"/>
    <w:rsid w:val="524E98FF"/>
    <w:rsid w:val="528A831F"/>
    <w:rsid w:val="528ED210"/>
    <w:rsid w:val="52952736"/>
    <w:rsid w:val="52BC46E1"/>
    <w:rsid w:val="52CA3ECF"/>
    <w:rsid w:val="52DBA0B3"/>
    <w:rsid w:val="52F6D363"/>
    <w:rsid w:val="5317D290"/>
    <w:rsid w:val="5325C02C"/>
    <w:rsid w:val="53287013"/>
    <w:rsid w:val="533047E2"/>
    <w:rsid w:val="5337D1CB"/>
    <w:rsid w:val="535242A9"/>
    <w:rsid w:val="5367D4FE"/>
    <w:rsid w:val="53879F89"/>
    <w:rsid w:val="538C1A18"/>
    <w:rsid w:val="5397E465"/>
    <w:rsid w:val="53A6E6CC"/>
    <w:rsid w:val="53B294F0"/>
    <w:rsid w:val="53B3F033"/>
    <w:rsid w:val="53C0BD39"/>
    <w:rsid w:val="53C4103E"/>
    <w:rsid w:val="5403C51D"/>
    <w:rsid w:val="5407B5E9"/>
    <w:rsid w:val="540A101B"/>
    <w:rsid w:val="542BDC70"/>
    <w:rsid w:val="543D0325"/>
    <w:rsid w:val="544292C0"/>
    <w:rsid w:val="54478612"/>
    <w:rsid w:val="544E835C"/>
    <w:rsid w:val="54B320B8"/>
    <w:rsid w:val="54B3A812"/>
    <w:rsid w:val="54CFB692"/>
    <w:rsid w:val="54F850BA"/>
    <w:rsid w:val="54FE47A5"/>
    <w:rsid w:val="550C1658"/>
    <w:rsid w:val="550DD083"/>
    <w:rsid w:val="5518CDA7"/>
    <w:rsid w:val="5528D6DE"/>
    <w:rsid w:val="55291E47"/>
    <w:rsid w:val="5533EB95"/>
    <w:rsid w:val="5536F26A"/>
    <w:rsid w:val="555C14DC"/>
    <w:rsid w:val="557C8702"/>
    <w:rsid w:val="558D6EDA"/>
    <w:rsid w:val="558F9561"/>
    <w:rsid w:val="559B87D5"/>
    <w:rsid w:val="55A5E07C"/>
    <w:rsid w:val="55AAA096"/>
    <w:rsid w:val="55BAF9C1"/>
    <w:rsid w:val="55F2750A"/>
    <w:rsid w:val="56075A27"/>
    <w:rsid w:val="560E6895"/>
    <w:rsid w:val="561B7EE9"/>
    <w:rsid w:val="561EB003"/>
    <w:rsid w:val="56298C17"/>
    <w:rsid w:val="562A49AA"/>
    <w:rsid w:val="5637EB15"/>
    <w:rsid w:val="5658D7A8"/>
    <w:rsid w:val="565E86CC"/>
    <w:rsid w:val="565E9284"/>
    <w:rsid w:val="565F7144"/>
    <w:rsid w:val="5662CDB8"/>
    <w:rsid w:val="56977225"/>
    <w:rsid w:val="569E53DC"/>
    <w:rsid w:val="56A5DAFA"/>
    <w:rsid w:val="56B848BD"/>
    <w:rsid w:val="56DE331F"/>
    <w:rsid w:val="56E09767"/>
    <w:rsid w:val="56EFB4C9"/>
    <w:rsid w:val="5700B80B"/>
    <w:rsid w:val="57114CBE"/>
    <w:rsid w:val="5716EA3D"/>
    <w:rsid w:val="57329C9C"/>
    <w:rsid w:val="573A9AAB"/>
    <w:rsid w:val="574D746A"/>
    <w:rsid w:val="575322B7"/>
    <w:rsid w:val="575BA0CF"/>
    <w:rsid w:val="5762DB94"/>
    <w:rsid w:val="576FD385"/>
    <w:rsid w:val="5776BF8C"/>
    <w:rsid w:val="5794A189"/>
    <w:rsid w:val="579AAEFD"/>
    <w:rsid w:val="579EF68C"/>
    <w:rsid w:val="57A6F3EC"/>
    <w:rsid w:val="57ADC8A8"/>
    <w:rsid w:val="57BFE59A"/>
    <w:rsid w:val="57D037A6"/>
    <w:rsid w:val="57E73463"/>
    <w:rsid w:val="57EF631D"/>
    <w:rsid w:val="580298B2"/>
    <w:rsid w:val="5802C761"/>
    <w:rsid w:val="5805355A"/>
    <w:rsid w:val="5817EBB8"/>
    <w:rsid w:val="5822870E"/>
    <w:rsid w:val="582B0B00"/>
    <w:rsid w:val="58B6D515"/>
    <w:rsid w:val="58D8783D"/>
    <w:rsid w:val="58DB05F4"/>
    <w:rsid w:val="58EEB98A"/>
    <w:rsid w:val="5908F8D2"/>
    <w:rsid w:val="5909128C"/>
    <w:rsid w:val="5913A87A"/>
    <w:rsid w:val="591583DD"/>
    <w:rsid w:val="591EA80A"/>
    <w:rsid w:val="59609B96"/>
    <w:rsid w:val="5967E119"/>
    <w:rsid w:val="5967FBFC"/>
    <w:rsid w:val="596B6C99"/>
    <w:rsid w:val="598FA470"/>
    <w:rsid w:val="5A033472"/>
    <w:rsid w:val="5A13B1ED"/>
    <w:rsid w:val="5A2438B7"/>
    <w:rsid w:val="5A2B9983"/>
    <w:rsid w:val="5A460420"/>
    <w:rsid w:val="5A4E3DD0"/>
    <w:rsid w:val="5A6F0D63"/>
    <w:rsid w:val="5A777FAA"/>
    <w:rsid w:val="5A816B25"/>
    <w:rsid w:val="5A91FDDB"/>
    <w:rsid w:val="5AA071C1"/>
    <w:rsid w:val="5ABACEC3"/>
    <w:rsid w:val="5AC19998"/>
    <w:rsid w:val="5AC75754"/>
    <w:rsid w:val="5ACAD975"/>
    <w:rsid w:val="5AD5685E"/>
    <w:rsid w:val="5ADEE0CC"/>
    <w:rsid w:val="5ADF80F3"/>
    <w:rsid w:val="5AE41C71"/>
    <w:rsid w:val="5AE56FDB"/>
    <w:rsid w:val="5AFF8117"/>
    <w:rsid w:val="5B2765D0"/>
    <w:rsid w:val="5B343495"/>
    <w:rsid w:val="5B3DC040"/>
    <w:rsid w:val="5B4827E1"/>
    <w:rsid w:val="5B56679D"/>
    <w:rsid w:val="5B577761"/>
    <w:rsid w:val="5B5E5B42"/>
    <w:rsid w:val="5B6EEA08"/>
    <w:rsid w:val="5B717D79"/>
    <w:rsid w:val="5B790F0A"/>
    <w:rsid w:val="5B7FD22D"/>
    <w:rsid w:val="5B83844F"/>
    <w:rsid w:val="5B869242"/>
    <w:rsid w:val="5B96B07A"/>
    <w:rsid w:val="5BBDDA6F"/>
    <w:rsid w:val="5C12E79D"/>
    <w:rsid w:val="5C27BB1A"/>
    <w:rsid w:val="5C319FA0"/>
    <w:rsid w:val="5C39F512"/>
    <w:rsid w:val="5C531F67"/>
    <w:rsid w:val="5C558871"/>
    <w:rsid w:val="5C5656E8"/>
    <w:rsid w:val="5C5C56F2"/>
    <w:rsid w:val="5C69FA13"/>
    <w:rsid w:val="5C6C68BA"/>
    <w:rsid w:val="5C6E4DC1"/>
    <w:rsid w:val="5C82E7D9"/>
    <w:rsid w:val="5C8F8F56"/>
    <w:rsid w:val="5CA220A3"/>
    <w:rsid w:val="5CB90782"/>
    <w:rsid w:val="5CC9D036"/>
    <w:rsid w:val="5D232FA4"/>
    <w:rsid w:val="5D23A708"/>
    <w:rsid w:val="5D2FB54C"/>
    <w:rsid w:val="5D32EB8B"/>
    <w:rsid w:val="5D40F807"/>
    <w:rsid w:val="5D52076E"/>
    <w:rsid w:val="5D5338D0"/>
    <w:rsid w:val="5D59AAD0"/>
    <w:rsid w:val="5D72E76A"/>
    <w:rsid w:val="5D7FAEF7"/>
    <w:rsid w:val="5D99B16A"/>
    <w:rsid w:val="5D99E108"/>
    <w:rsid w:val="5D9AEF8C"/>
    <w:rsid w:val="5D9E9A78"/>
    <w:rsid w:val="5DA010F0"/>
    <w:rsid w:val="5DA23C22"/>
    <w:rsid w:val="5DAB68DF"/>
    <w:rsid w:val="5DB5D589"/>
    <w:rsid w:val="5DB8DFE7"/>
    <w:rsid w:val="5DBCC0BE"/>
    <w:rsid w:val="5DBECA22"/>
    <w:rsid w:val="5DDD8B7C"/>
    <w:rsid w:val="5DDED3F1"/>
    <w:rsid w:val="5DE6A0CD"/>
    <w:rsid w:val="5DE95B0F"/>
    <w:rsid w:val="5DF1E056"/>
    <w:rsid w:val="5DFE3086"/>
    <w:rsid w:val="5DFE61DB"/>
    <w:rsid w:val="5DFE87BD"/>
    <w:rsid w:val="5E0F888D"/>
    <w:rsid w:val="5E175AF5"/>
    <w:rsid w:val="5E263781"/>
    <w:rsid w:val="5E28B69B"/>
    <w:rsid w:val="5E3721D9"/>
    <w:rsid w:val="5E8B5DB7"/>
    <w:rsid w:val="5E8DBA7A"/>
    <w:rsid w:val="5E8F8C1B"/>
    <w:rsid w:val="5E9886B2"/>
    <w:rsid w:val="5EAA3ADB"/>
    <w:rsid w:val="5EB0AFCC"/>
    <w:rsid w:val="5EB8A583"/>
    <w:rsid w:val="5F1B61E9"/>
    <w:rsid w:val="5F39A4B9"/>
    <w:rsid w:val="5F40D545"/>
    <w:rsid w:val="5F4BF3E3"/>
    <w:rsid w:val="5F4DAFFF"/>
    <w:rsid w:val="5F702B26"/>
    <w:rsid w:val="5F82DEBC"/>
    <w:rsid w:val="5F95721C"/>
    <w:rsid w:val="5F95736E"/>
    <w:rsid w:val="5FA2F2E2"/>
    <w:rsid w:val="5FAF3820"/>
    <w:rsid w:val="5FB15E8F"/>
    <w:rsid w:val="5FB333AB"/>
    <w:rsid w:val="5FBA9251"/>
    <w:rsid w:val="5FBC887A"/>
    <w:rsid w:val="5FDB66A9"/>
    <w:rsid w:val="5FF14320"/>
    <w:rsid w:val="5FF920E1"/>
    <w:rsid w:val="5FFBB358"/>
    <w:rsid w:val="600B26B2"/>
    <w:rsid w:val="600E3F28"/>
    <w:rsid w:val="6016BBCF"/>
    <w:rsid w:val="602445FC"/>
    <w:rsid w:val="603B22A5"/>
    <w:rsid w:val="605AA90D"/>
    <w:rsid w:val="60781337"/>
    <w:rsid w:val="60864650"/>
    <w:rsid w:val="6086DE70"/>
    <w:rsid w:val="60885715"/>
    <w:rsid w:val="60AABDE9"/>
    <w:rsid w:val="60B14186"/>
    <w:rsid w:val="60CB6AB3"/>
    <w:rsid w:val="60D73D7B"/>
    <w:rsid w:val="60E17E21"/>
    <w:rsid w:val="60E2D83B"/>
    <w:rsid w:val="60E62EE1"/>
    <w:rsid w:val="60F21FF8"/>
    <w:rsid w:val="60FDADCE"/>
    <w:rsid w:val="6110E305"/>
    <w:rsid w:val="61193FF7"/>
    <w:rsid w:val="6121FADE"/>
    <w:rsid w:val="613614F4"/>
    <w:rsid w:val="6136D2A4"/>
    <w:rsid w:val="613DE4C7"/>
    <w:rsid w:val="61429F82"/>
    <w:rsid w:val="61460C6C"/>
    <w:rsid w:val="614640B8"/>
    <w:rsid w:val="6167E127"/>
    <w:rsid w:val="616B59ED"/>
    <w:rsid w:val="6174A9A8"/>
    <w:rsid w:val="6183639A"/>
    <w:rsid w:val="61853C97"/>
    <w:rsid w:val="618A79E8"/>
    <w:rsid w:val="61B0F915"/>
    <w:rsid w:val="61B95CDD"/>
    <w:rsid w:val="61D6102D"/>
    <w:rsid w:val="61E1E573"/>
    <w:rsid w:val="61E2CF60"/>
    <w:rsid w:val="61E85144"/>
    <w:rsid w:val="61F34410"/>
    <w:rsid w:val="61FC7206"/>
    <w:rsid w:val="620348F0"/>
    <w:rsid w:val="622D1BF3"/>
    <w:rsid w:val="6248C2BA"/>
    <w:rsid w:val="624AFD0E"/>
    <w:rsid w:val="624F6A5C"/>
    <w:rsid w:val="627350C4"/>
    <w:rsid w:val="628C510A"/>
    <w:rsid w:val="628CEC01"/>
    <w:rsid w:val="62B0FED3"/>
    <w:rsid w:val="62BCEAE8"/>
    <w:rsid w:val="62C16117"/>
    <w:rsid w:val="62D080AD"/>
    <w:rsid w:val="62D93C99"/>
    <w:rsid w:val="62D9D125"/>
    <w:rsid w:val="62DD94EC"/>
    <w:rsid w:val="62E0DCDC"/>
    <w:rsid w:val="62EA1B6C"/>
    <w:rsid w:val="62EC6263"/>
    <w:rsid w:val="62FDF87B"/>
    <w:rsid w:val="6307289E"/>
    <w:rsid w:val="630F0C57"/>
    <w:rsid w:val="632BF3A9"/>
    <w:rsid w:val="63346D17"/>
    <w:rsid w:val="63373263"/>
    <w:rsid w:val="6342C774"/>
    <w:rsid w:val="634CFC1A"/>
    <w:rsid w:val="6360A14D"/>
    <w:rsid w:val="6363562C"/>
    <w:rsid w:val="6367E2C0"/>
    <w:rsid w:val="636A007F"/>
    <w:rsid w:val="636B3FA2"/>
    <w:rsid w:val="636B8143"/>
    <w:rsid w:val="638D1744"/>
    <w:rsid w:val="63A4252C"/>
    <w:rsid w:val="63DB868A"/>
    <w:rsid w:val="63E0CC6D"/>
    <w:rsid w:val="63F4B39F"/>
    <w:rsid w:val="63FA4187"/>
    <w:rsid w:val="64001E19"/>
    <w:rsid w:val="640EE2FC"/>
    <w:rsid w:val="6423E934"/>
    <w:rsid w:val="642FFB60"/>
    <w:rsid w:val="643EDFBB"/>
    <w:rsid w:val="644376B2"/>
    <w:rsid w:val="644D3EF9"/>
    <w:rsid w:val="6451FC13"/>
    <w:rsid w:val="645ABC18"/>
    <w:rsid w:val="6461FF59"/>
    <w:rsid w:val="64694EA7"/>
    <w:rsid w:val="64781F25"/>
    <w:rsid w:val="6496B926"/>
    <w:rsid w:val="64AB73A7"/>
    <w:rsid w:val="64AF04A7"/>
    <w:rsid w:val="64BCB2C8"/>
    <w:rsid w:val="64BDE0F3"/>
    <w:rsid w:val="64BF8FD7"/>
    <w:rsid w:val="64CC790C"/>
    <w:rsid w:val="64D6EDD7"/>
    <w:rsid w:val="64DC0647"/>
    <w:rsid w:val="64DC150A"/>
    <w:rsid w:val="64DCBC3D"/>
    <w:rsid w:val="64DE97D5"/>
    <w:rsid w:val="64E34FEF"/>
    <w:rsid w:val="64EB48E0"/>
    <w:rsid w:val="64FA6A5A"/>
    <w:rsid w:val="65118C93"/>
    <w:rsid w:val="651EA07B"/>
    <w:rsid w:val="6530BAE0"/>
    <w:rsid w:val="6530D2CE"/>
    <w:rsid w:val="65358F88"/>
    <w:rsid w:val="6541A20A"/>
    <w:rsid w:val="654DB716"/>
    <w:rsid w:val="656615B1"/>
    <w:rsid w:val="6567733F"/>
    <w:rsid w:val="65692680"/>
    <w:rsid w:val="658C0CD7"/>
    <w:rsid w:val="65A22401"/>
    <w:rsid w:val="65BADA2B"/>
    <w:rsid w:val="65CBC967"/>
    <w:rsid w:val="65CD0BBA"/>
    <w:rsid w:val="65D0343A"/>
    <w:rsid w:val="65D8631D"/>
    <w:rsid w:val="65DD75B5"/>
    <w:rsid w:val="65FB2FD4"/>
    <w:rsid w:val="6605CB7F"/>
    <w:rsid w:val="660FAE98"/>
    <w:rsid w:val="66219373"/>
    <w:rsid w:val="66314DF3"/>
    <w:rsid w:val="663EEDF0"/>
    <w:rsid w:val="665DEB0B"/>
    <w:rsid w:val="669048F5"/>
    <w:rsid w:val="66AC5C67"/>
    <w:rsid w:val="66CB7D18"/>
    <w:rsid w:val="66D4D8B6"/>
    <w:rsid w:val="66DEA99B"/>
    <w:rsid w:val="66E59D68"/>
    <w:rsid w:val="66E96519"/>
    <w:rsid w:val="66EE5F5E"/>
    <w:rsid w:val="6717CD5B"/>
    <w:rsid w:val="67259E13"/>
    <w:rsid w:val="67279AF1"/>
    <w:rsid w:val="672C73AE"/>
    <w:rsid w:val="673A8EC2"/>
    <w:rsid w:val="674C840B"/>
    <w:rsid w:val="67547D2F"/>
    <w:rsid w:val="675B6624"/>
    <w:rsid w:val="675D4AD2"/>
    <w:rsid w:val="676B6306"/>
    <w:rsid w:val="67727AD9"/>
    <w:rsid w:val="6774CFBA"/>
    <w:rsid w:val="6780E36C"/>
    <w:rsid w:val="678854A1"/>
    <w:rsid w:val="6794532C"/>
    <w:rsid w:val="67967DC0"/>
    <w:rsid w:val="6799215C"/>
    <w:rsid w:val="67AE5624"/>
    <w:rsid w:val="67B134AC"/>
    <w:rsid w:val="67B69EA4"/>
    <w:rsid w:val="67D542B3"/>
    <w:rsid w:val="67DABE51"/>
    <w:rsid w:val="67FAEA00"/>
    <w:rsid w:val="6815F13C"/>
    <w:rsid w:val="6840D79A"/>
    <w:rsid w:val="684F0E7F"/>
    <w:rsid w:val="685DA217"/>
    <w:rsid w:val="6863B014"/>
    <w:rsid w:val="687AB211"/>
    <w:rsid w:val="687D96EF"/>
    <w:rsid w:val="6899DE9B"/>
    <w:rsid w:val="68AACE18"/>
    <w:rsid w:val="68C0585F"/>
    <w:rsid w:val="68CAB35A"/>
    <w:rsid w:val="68EE5424"/>
    <w:rsid w:val="68EF57E7"/>
    <w:rsid w:val="6905F356"/>
    <w:rsid w:val="690868B2"/>
    <w:rsid w:val="691A4D9F"/>
    <w:rsid w:val="693F3357"/>
    <w:rsid w:val="694BD497"/>
    <w:rsid w:val="696F7013"/>
    <w:rsid w:val="697126DE"/>
    <w:rsid w:val="697E8F45"/>
    <w:rsid w:val="6994101D"/>
    <w:rsid w:val="69C5011B"/>
    <w:rsid w:val="69CD9045"/>
    <w:rsid w:val="69EC627E"/>
    <w:rsid w:val="6A12E851"/>
    <w:rsid w:val="6A1746FB"/>
    <w:rsid w:val="6A26CCA3"/>
    <w:rsid w:val="6A382D0F"/>
    <w:rsid w:val="6A399170"/>
    <w:rsid w:val="6A602854"/>
    <w:rsid w:val="6A661F85"/>
    <w:rsid w:val="6A974CD9"/>
    <w:rsid w:val="6AA0C310"/>
    <w:rsid w:val="6AA334D8"/>
    <w:rsid w:val="6AAC6A44"/>
    <w:rsid w:val="6AAEDE28"/>
    <w:rsid w:val="6ABC56DD"/>
    <w:rsid w:val="6ABEF448"/>
    <w:rsid w:val="6AC27728"/>
    <w:rsid w:val="6AC4DB97"/>
    <w:rsid w:val="6AD797FE"/>
    <w:rsid w:val="6AD94A11"/>
    <w:rsid w:val="6AD9CA68"/>
    <w:rsid w:val="6ADFCACC"/>
    <w:rsid w:val="6AF0F764"/>
    <w:rsid w:val="6AFD18DA"/>
    <w:rsid w:val="6AFF9354"/>
    <w:rsid w:val="6B17F3CA"/>
    <w:rsid w:val="6B1F25FE"/>
    <w:rsid w:val="6B338356"/>
    <w:rsid w:val="6B33CC8C"/>
    <w:rsid w:val="6B4530BF"/>
    <w:rsid w:val="6B4E860A"/>
    <w:rsid w:val="6B60D17C"/>
    <w:rsid w:val="6B868C40"/>
    <w:rsid w:val="6B9327D2"/>
    <w:rsid w:val="6B9923EC"/>
    <w:rsid w:val="6B9CB48D"/>
    <w:rsid w:val="6B9D46A3"/>
    <w:rsid w:val="6BB6DAD3"/>
    <w:rsid w:val="6BCC93FB"/>
    <w:rsid w:val="6BD0B8A5"/>
    <w:rsid w:val="6BD1AFF3"/>
    <w:rsid w:val="6BDA840C"/>
    <w:rsid w:val="6BE1FFA5"/>
    <w:rsid w:val="6BE66ABE"/>
    <w:rsid w:val="6BF1CF29"/>
    <w:rsid w:val="6BF4ACEC"/>
    <w:rsid w:val="6BF9C1CD"/>
    <w:rsid w:val="6BFF435B"/>
    <w:rsid w:val="6C25C3AD"/>
    <w:rsid w:val="6C293721"/>
    <w:rsid w:val="6C2A909E"/>
    <w:rsid w:val="6C31273D"/>
    <w:rsid w:val="6C536A22"/>
    <w:rsid w:val="6C6D5212"/>
    <w:rsid w:val="6C6F81D2"/>
    <w:rsid w:val="6C821323"/>
    <w:rsid w:val="6C8D5C9A"/>
    <w:rsid w:val="6C992440"/>
    <w:rsid w:val="6CAAD99F"/>
    <w:rsid w:val="6CAFD6A1"/>
    <w:rsid w:val="6CCA7A7E"/>
    <w:rsid w:val="6CDF27C7"/>
    <w:rsid w:val="6CE4BA03"/>
    <w:rsid w:val="6CFBCA88"/>
    <w:rsid w:val="6CFF7856"/>
    <w:rsid w:val="6D0B70ED"/>
    <w:rsid w:val="6D152ECC"/>
    <w:rsid w:val="6D33F5D5"/>
    <w:rsid w:val="6D354F8C"/>
    <w:rsid w:val="6D405442"/>
    <w:rsid w:val="6D4E9086"/>
    <w:rsid w:val="6D560BE3"/>
    <w:rsid w:val="6D5BFDD8"/>
    <w:rsid w:val="6D761B30"/>
    <w:rsid w:val="6D793ACE"/>
    <w:rsid w:val="6D7C8206"/>
    <w:rsid w:val="6D924417"/>
    <w:rsid w:val="6DA05334"/>
    <w:rsid w:val="6DA385A2"/>
    <w:rsid w:val="6DAB54BB"/>
    <w:rsid w:val="6DB4C793"/>
    <w:rsid w:val="6DB5B8C3"/>
    <w:rsid w:val="6DB88780"/>
    <w:rsid w:val="6DC7485B"/>
    <w:rsid w:val="6DD65D96"/>
    <w:rsid w:val="6DD76235"/>
    <w:rsid w:val="6DEA18EE"/>
    <w:rsid w:val="6DF00C56"/>
    <w:rsid w:val="6DF195D5"/>
    <w:rsid w:val="6DF2B8F4"/>
    <w:rsid w:val="6DF3121F"/>
    <w:rsid w:val="6DF3FB38"/>
    <w:rsid w:val="6DF519DC"/>
    <w:rsid w:val="6E048A5F"/>
    <w:rsid w:val="6E099DC4"/>
    <w:rsid w:val="6E14F1C0"/>
    <w:rsid w:val="6E23C06F"/>
    <w:rsid w:val="6E368CB3"/>
    <w:rsid w:val="6E5A4950"/>
    <w:rsid w:val="6E5B114B"/>
    <w:rsid w:val="6E60209C"/>
    <w:rsid w:val="6E6BB990"/>
    <w:rsid w:val="6E739DB4"/>
    <w:rsid w:val="6E7A995D"/>
    <w:rsid w:val="6E7B4CAA"/>
    <w:rsid w:val="6E7EA4D6"/>
    <w:rsid w:val="6E890AEC"/>
    <w:rsid w:val="6E90DBA2"/>
    <w:rsid w:val="6EB05D1D"/>
    <w:rsid w:val="6EC5422F"/>
    <w:rsid w:val="6EDD2126"/>
    <w:rsid w:val="6EF791D9"/>
    <w:rsid w:val="6F1D347D"/>
    <w:rsid w:val="6F37C5BC"/>
    <w:rsid w:val="6F51ABB5"/>
    <w:rsid w:val="6F5D4C8E"/>
    <w:rsid w:val="6F5E4A39"/>
    <w:rsid w:val="6F606F64"/>
    <w:rsid w:val="6F6AD412"/>
    <w:rsid w:val="6F6C027C"/>
    <w:rsid w:val="6F703ABE"/>
    <w:rsid w:val="6F70BC7F"/>
    <w:rsid w:val="6F8226DD"/>
    <w:rsid w:val="6F9ABA21"/>
    <w:rsid w:val="6FA15ED5"/>
    <w:rsid w:val="6FABCAC7"/>
    <w:rsid w:val="6FB210FE"/>
    <w:rsid w:val="6FC63B29"/>
    <w:rsid w:val="6FE8683A"/>
    <w:rsid w:val="6FEC53E6"/>
    <w:rsid w:val="6FF5CD04"/>
    <w:rsid w:val="6FFF9A17"/>
    <w:rsid w:val="7015FC66"/>
    <w:rsid w:val="70361847"/>
    <w:rsid w:val="70387821"/>
    <w:rsid w:val="705159FC"/>
    <w:rsid w:val="70524DF2"/>
    <w:rsid w:val="70579A80"/>
    <w:rsid w:val="7062302C"/>
    <w:rsid w:val="7064FAD1"/>
    <w:rsid w:val="707D0E86"/>
    <w:rsid w:val="70830C35"/>
    <w:rsid w:val="7085E7BC"/>
    <w:rsid w:val="709D68D8"/>
    <w:rsid w:val="70A4ED2B"/>
    <w:rsid w:val="70B31A8B"/>
    <w:rsid w:val="70C3032C"/>
    <w:rsid w:val="70D45673"/>
    <w:rsid w:val="70D7CAC7"/>
    <w:rsid w:val="70DA6CEA"/>
    <w:rsid w:val="70E0374E"/>
    <w:rsid w:val="70EA3B3C"/>
    <w:rsid w:val="70ED9DE5"/>
    <w:rsid w:val="70F91CEF"/>
    <w:rsid w:val="711460C5"/>
    <w:rsid w:val="71191E32"/>
    <w:rsid w:val="711977AE"/>
    <w:rsid w:val="711FFCF2"/>
    <w:rsid w:val="712B77A2"/>
    <w:rsid w:val="7132C2BC"/>
    <w:rsid w:val="71371666"/>
    <w:rsid w:val="7144F8D2"/>
    <w:rsid w:val="7164E4E1"/>
    <w:rsid w:val="716ABCA8"/>
    <w:rsid w:val="718A3D8B"/>
    <w:rsid w:val="719C8B4B"/>
    <w:rsid w:val="719E0913"/>
    <w:rsid w:val="71A6E818"/>
    <w:rsid w:val="71D4D66C"/>
    <w:rsid w:val="71ECF1F9"/>
    <w:rsid w:val="71F8AA42"/>
    <w:rsid w:val="723193AE"/>
    <w:rsid w:val="723F18A4"/>
    <w:rsid w:val="72404D4D"/>
    <w:rsid w:val="724DA414"/>
    <w:rsid w:val="724F47FE"/>
    <w:rsid w:val="72507909"/>
    <w:rsid w:val="7253C74A"/>
    <w:rsid w:val="72599E06"/>
    <w:rsid w:val="726D2E17"/>
    <w:rsid w:val="7278E8DF"/>
    <w:rsid w:val="727BB465"/>
    <w:rsid w:val="72837838"/>
    <w:rsid w:val="728E350E"/>
    <w:rsid w:val="72B519EF"/>
    <w:rsid w:val="72CDBFB8"/>
    <w:rsid w:val="72DA9E65"/>
    <w:rsid w:val="731560A8"/>
    <w:rsid w:val="7315B2A7"/>
    <w:rsid w:val="733387D7"/>
    <w:rsid w:val="734B11EA"/>
    <w:rsid w:val="73529464"/>
    <w:rsid w:val="735F1F0F"/>
    <w:rsid w:val="737A3C8C"/>
    <w:rsid w:val="73928ED7"/>
    <w:rsid w:val="73B05AC2"/>
    <w:rsid w:val="73B7FCA4"/>
    <w:rsid w:val="73C29C33"/>
    <w:rsid w:val="73C6C94C"/>
    <w:rsid w:val="73DBBC01"/>
    <w:rsid w:val="73E90672"/>
    <w:rsid w:val="73F2805C"/>
    <w:rsid w:val="7408E25E"/>
    <w:rsid w:val="740E4E3F"/>
    <w:rsid w:val="74295DF0"/>
    <w:rsid w:val="74496019"/>
    <w:rsid w:val="745976EB"/>
    <w:rsid w:val="745BD1B0"/>
    <w:rsid w:val="745D705D"/>
    <w:rsid w:val="74663BFE"/>
    <w:rsid w:val="74729086"/>
    <w:rsid w:val="74878B0C"/>
    <w:rsid w:val="749D15BA"/>
    <w:rsid w:val="74B8FAC2"/>
    <w:rsid w:val="74CDE339"/>
    <w:rsid w:val="74CFC2EE"/>
    <w:rsid w:val="74E849D0"/>
    <w:rsid w:val="74F00F1D"/>
    <w:rsid w:val="74F4AAEF"/>
    <w:rsid w:val="75013DEA"/>
    <w:rsid w:val="75035B42"/>
    <w:rsid w:val="7508A488"/>
    <w:rsid w:val="750CFCB9"/>
    <w:rsid w:val="750E76FB"/>
    <w:rsid w:val="7533B07D"/>
    <w:rsid w:val="753BAB95"/>
    <w:rsid w:val="7547EE70"/>
    <w:rsid w:val="75596281"/>
    <w:rsid w:val="7565E210"/>
    <w:rsid w:val="759AA90B"/>
    <w:rsid w:val="759AD0CF"/>
    <w:rsid w:val="75AA372C"/>
    <w:rsid w:val="75AA4183"/>
    <w:rsid w:val="75C2AE32"/>
    <w:rsid w:val="75DF6254"/>
    <w:rsid w:val="75E38952"/>
    <w:rsid w:val="75EB742A"/>
    <w:rsid w:val="75F06BE6"/>
    <w:rsid w:val="75F5FBE8"/>
    <w:rsid w:val="7607F0A2"/>
    <w:rsid w:val="76263C69"/>
    <w:rsid w:val="7638649A"/>
    <w:rsid w:val="7638E291"/>
    <w:rsid w:val="7642EF12"/>
    <w:rsid w:val="764BE33A"/>
    <w:rsid w:val="7659489D"/>
    <w:rsid w:val="766ED26E"/>
    <w:rsid w:val="76769479"/>
    <w:rsid w:val="76868D81"/>
    <w:rsid w:val="76904928"/>
    <w:rsid w:val="76925050"/>
    <w:rsid w:val="76A5A0A4"/>
    <w:rsid w:val="76AA475C"/>
    <w:rsid w:val="76C8C088"/>
    <w:rsid w:val="76CB9443"/>
    <w:rsid w:val="76D6EF72"/>
    <w:rsid w:val="76D7E516"/>
    <w:rsid w:val="76EE7C55"/>
    <w:rsid w:val="76F4BD65"/>
    <w:rsid w:val="76FD4E5D"/>
    <w:rsid w:val="77088A03"/>
    <w:rsid w:val="770A3BEF"/>
    <w:rsid w:val="7720CC70"/>
    <w:rsid w:val="772867AA"/>
    <w:rsid w:val="775BE8FA"/>
    <w:rsid w:val="77728C7E"/>
    <w:rsid w:val="7779630A"/>
    <w:rsid w:val="7786B8A2"/>
    <w:rsid w:val="7798D8A8"/>
    <w:rsid w:val="779C38F1"/>
    <w:rsid w:val="779E296E"/>
    <w:rsid w:val="77B05494"/>
    <w:rsid w:val="77BAB48B"/>
    <w:rsid w:val="77C23722"/>
    <w:rsid w:val="77D76E08"/>
    <w:rsid w:val="77D7B59E"/>
    <w:rsid w:val="77DA3DF6"/>
    <w:rsid w:val="77F021C3"/>
    <w:rsid w:val="77FC81A6"/>
    <w:rsid w:val="78221B4C"/>
    <w:rsid w:val="7834CE43"/>
    <w:rsid w:val="7836C8AC"/>
    <w:rsid w:val="7839D6A2"/>
    <w:rsid w:val="783C0248"/>
    <w:rsid w:val="7840E8DD"/>
    <w:rsid w:val="78445C49"/>
    <w:rsid w:val="78451F8E"/>
    <w:rsid w:val="78504845"/>
    <w:rsid w:val="78660010"/>
    <w:rsid w:val="786A04EB"/>
    <w:rsid w:val="788D06BF"/>
    <w:rsid w:val="7891D15D"/>
    <w:rsid w:val="7899F8E1"/>
    <w:rsid w:val="78AB77A9"/>
    <w:rsid w:val="78AB8720"/>
    <w:rsid w:val="78AD9C84"/>
    <w:rsid w:val="78B9E568"/>
    <w:rsid w:val="78C656EF"/>
    <w:rsid w:val="78F291BC"/>
    <w:rsid w:val="7904D0BD"/>
    <w:rsid w:val="7907C9A4"/>
    <w:rsid w:val="79096F42"/>
    <w:rsid w:val="790CE0F8"/>
    <w:rsid w:val="79617DAE"/>
    <w:rsid w:val="797B6ADF"/>
    <w:rsid w:val="79810650"/>
    <w:rsid w:val="7986F8AA"/>
    <w:rsid w:val="7987A440"/>
    <w:rsid w:val="798D1BD7"/>
    <w:rsid w:val="798E74D3"/>
    <w:rsid w:val="7993CFF6"/>
    <w:rsid w:val="79A48272"/>
    <w:rsid w:val="79AEE41E"/>
    <w:rsid w:val="79DF13E5"/>
    <w:rsid w:val="79F2C795"/>
    <w:rsid w:val="7A08054C"/>
    <w:rsid w:val="7A0FC1DE"/>
    <w:rsid w:val="7A105811"/>
    <w:rsid w:val="7A16A756"/>
    <w:rsid w:val="7A205A51"/>
    <w:rsid w:val="7A2A5952"/>
    <w:rsid w:val="7A318FA2"/>
    <w:rsid w:val="7A3557B6"/>
    <w:rsid w:val="7A65EA3E"/>
    <w:rsid w:val="7A76DFCD"/>
    <w:rsid w:val="7A825ABF"/>
    <w:rsid w:val="7A8A751A"/>
    <w:rsid w:val="7AB35408"/>
    <w:rsid w:val="7B0BFCFB"/>
    <w:rsid w:val="7B10AA00"/>
    <w:rsid w:val="7B3F0472"/>
    <w:rsid w:val="7B541B0A"/>
    <w:rsid w:val="7B701338"/>
    <w:rsid w:val="7B766A07"/>
    <w:rsid w:val="7B768257"/>
    <w:rsid w:val="7B76C7FC"/>
    <w:rsid w:val="7B8C9655"/>
    <w:rsid w:val="7B90D863"/>
    <w:rsid w:val="7BA72C87"/>
    <w:rsid w:val="7BB112E5"/>
    <w:rsid w:val="7BECC1E1"/>
    <w:rsid w:val="7C0589AC"/>
    <w:rsid w:val="7C10FA92"/>
    <w:rsid w:val="7C14096D"/>
    <w:rsid w:val="7C14DD17"/>
    <w:rsid w:val="7C1D6083"/>
    <w:rsid w:val="7C268D52"/>
    <w:rsid w:val="7C29CBB7"/>
    <w:rsid w:val="7C2D524A"/>
    <w:rsid w:val="7C3C9919"/>
    <w:rsid w:val="7C4F9845"/>
    <w:rsid w:val="7C518D87"/>
    <w:rsid w:val="7C5F4572"/>
    <w:rsid w:val="7C6060BF"/>
    <w:rsid w:val="7C7F37D7"/>
    <w:rsid w:val="7C7FA091"/>
    <w:rsid w:val="7C852F08"/>
    <w:rsid w:val="7C88AE86"/>
    <w:rsid w:val="7C8C8260"/>
    <w:rsid w:val="7C8DAC53"/>
    <w:rsid w:val="7C924519"/>
    <w:rsid w:val="7C9AE996"/>
    <w:rsid w:val="7CADF2A5"/>
    <w:rsid w:val="7CC840D1"/>
    <w:rsid w:val="7CCBA41D"/>
    <w:rsid w:val="7CD58F54"/>
    <w:rsid w:val="7CD985E9"/>
    <w:rsid w:val="7CE9C22F"/>
    <w:rsid w:val="7D07EDCB"/>
    <w:rsid w:val="7D0F9F42"/>
    <w:rsid w:val="7D1FD010"/>
    <w:rsid w:val="7D3D6F60"/>
    <w:rsid w:val="7D59F603"/>
    <w:rsid w:val="7D5FDF56"/>
    <w:rsid w:val="7D7EBE14"/>
    <w:rsid w:val="7D84F748"/>
    <w:rsid w:val="7D8804F9"/>
    <w:rsid w:val="7D89FEEB"/>
    <w:rsid w:val="7D909317"/>
    <w:rsid w:val="7DB1376F"/>
    <w:rsid w:val="7DB145E4"/>
    <w:rsid w:val="7DC482D4"/>
    <w:rsid w:val="7DC927A7"/>
    <w:rsid w:val="7DCE1B19"/>
    <w:rsid w:val="7DCEBC36"/>
    <w:rsid w:val="7DE3C874"/>
    <w:rsid w:val="7DF3F5E7"/>
    <w:rsid w:val="7DF58E6B"/>
    <w:rsid w:val="7DFAAD79"/>
    <w:rsid w:val="7DFC178D"/>
    <w:rsid w:val="7E047074"/>
    <w:rsid w:val="7E0E827F"/>
    <w:rsid w:val="7E204E9D"/>
    <w:rsid w:val="7E38710E"/>
    <w:rsid w:val="7E6DE5E3"/>
    <w:rsid w:val="7E95A3D1"/>
    <w:rsid w:val="7EA2CDD5"/>
    <w:rsid w:val="7EA32284"/>
    <w:rsid w:val="7EB1E39B"/>
    <w:rsid w:val="7EC771B2"/>
    <w:rsid w:val="7ECD5B28"/>
    <w:rsid w:val="7ED89DA4"/>
    <w:rsid w:val="7EDEE80C"/>
    <w:rsid w:val="7EE05BAA"/>
    <w:rsid w:val="7F109EAD"/>
    <w:rsid w:val="7F2D1612"/>
    <w:rsid w:val="7F39F633"/>
    <w:rsid w:val="7F3B2792"/>
    <w:rsid w:val="7F429F60"/>
    <w:rsid w:val="7F4D1C7D"/>
    <w:rsid w:val="7F5F3672"/>
    <w:rsid w:val="7F63E586"/>
    <w:rsid w:val="7F6A8C97"/>
    <w:rsid w:val="7F6D24B9"/>
    <w:rsid w:val="7F818784"/>
    <w:rsid w:val="7F87294C"/>
    <w:rsid w:val="7FADA4C4"/>
    <w:rsid w:val="7FDF02CB"/>
    <w:rsid w:val="7FEE012E"/>
    <w:rsid w:val="7FFB0D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97A267"/>
  <w14:defaultImageDpi w14:val="300"/>
  <w15:docId w15:val="{648E8BF6-0E64-40F9-BB3E-F015428E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247"/>
    <w:pPr>
      <w:numPr>
        <w:numId w:val="8"/>
      </w:numPr>
      <w:shd w:val="clear" w:color="auto" w:fill="FFFFFF" w:themeFill="background1"/>
      <w:spacing w:after="240" w:line="36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1B4EAA"/>
    <w:pPr>
      <w:numPr>
        <w:ilvl w:val="1"/>
        <w:numId w:val="10"/>
      </w:numPr>
      <w:spacing w:after="280" w:line="240" w:lineRule="auto"/>
      <w:outlineLvl w:val="0"/>
    </w:pPr>
    <w:rPr>
      <w:b/>
      <w:sz w:val="28"/>
      <w:szCs w:val="28"/>
    </w:rPr>
  </w:style>
  <w:style w:type="paragraph" w:styleId="Heading2">
    <w:name w:val="heading 2"/>
    <w:basedOn w:val="NormalWeb"/>
    <w:link w:val="Heading2Char"/>
    <w:uiPriority w:val="9"/>
    <w:qFormat/>
    <w:rsid w:val="005F7B74"/>
    <w:pPr>
      <w:numPr>
        <w:numId w:val="0"/>
      </w:numPr>
      <w:spacing w:before="0" w:beforeAutospacing="0" w:after="240" w:afterAutospacing="0" w:line="240" w:lineRule="auto"/>
      <w:outlineLvl w:val="1"/>
    </w:pPr>
    <w:rPr>
      <w:b/>
      <w:bCs/>
      <w:sz w:val="28"/>
      <w:szCs w:val="28"/>
    </w:rPr>
  </w:style>
  <w:style w:type="paragraph" w:styleId="Heading3">
    <w:name w:val="heading 3"/>
    <w:basedOn w:val="Normal"/>
    <w:next w:val="Normal"/>
    <w:link w:val="Heading3Char"/>
    <w:uiPriority w:val="9"/>
    <w:unhideWhenUsed/>
    <w:qFormat/>
    <w:rsid w:val="00784E2B"/>
    <w:pPr>
      <w:keepNext/>
      <w:keepLines/>
      <w:numPr>
        <w:ilvl w:val="2"/>
        <w:numId w:val="10"/>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84E2B"/>
    <w:pPr>
      <w:keepNext/>
      <w:keepLines/>
      <w:numPr>
        <w:ilvl w:val="3"/>
        <w:numId w:val="10"/>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84E2B"/>
    <w:pPr>
      <w:keepNext/>
      <w:keepLines/>
      <w:numPr>
        <w:ilvl w:val="4"/>
        <w:numId w:val="1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84E2B"/>
    <w:pPr>
      <w:keepNext/>
      <w:keepLines/>
      <w:numPr>
        <w:ilvl w:val="5"/>
        <w:numId w:val="1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84E2B"/>
    <w:pPr>
      <w:keepNext/>
      <w:keepLines/>
      <w:numPr>
        <w:ilvl w:val="6"/>
        <w:numId w:val="1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84E2B"/>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4E2B"/>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60A2"/>
    <w:pPr>
      <w:spacing w:before="100" w:beforeAutospacing="1" w:after="100" w:afterAutospacing="1"/>
    </w:pPr>
    <w:rPr>
      <w:rFonts w:ascii="Times" w:hAnsi="Times"/>
    </w:rPr>
  </w:style>
  <w:style w:type="character" w:styleId="Hyperlink">
    <w:name w:val="Hyperlink"/>
    <w:basedOn w:val="DefaultParagraphFont"/>
    <w:uiPriority w:val="99"/>
    <w:unhideWhenUsed/>
    <w:rsid w:val="004D60A2"/>
    <w:rPr>
      <w:color w:val="0000FF"/>
      <w:u w:val="single"/>
    </w:rPr>
  </w:style>
  <w:style w:type="character" w:styleId="CommentReference">
    <w:name w:val="annotation reference"/>
    <w:basedOn w:val="DefaultParagraphFont"/>
    <w:uiPriority w:val="99"/>
    <w:semiHidden/>
    <w:unhideWhenUsed/>
    <w:rsid w:val="00BF16BB"/>
    <w:rPr>
      <w:sz w:val="18"/>
      <w:szCs w:val="18"/>
    </w:rPr>
  </w:style>
  <w:style w:type="paragraph" w:styleId="CommentText">
    <w:name w:val="annotation text"/>
    <w:basedOn w:val="Normal"/>
    <w:link w:val="CommentTextChar"/>
    <w:uiPriority w:val="99"/>
    <w:unhideWhenUsed/>
    <w:rsid w:val="00BF16BB"/>
  </w:style>
  <w:style w:type="character" w:customStyle="1" w:styleId="CommentTextChar">
    <w:name w:val="Comment Text Char"/>
    <w:basedOn w:val="DefaultParagraphFont"/>
    <w:link w:val="CommentText"/>
    <w:uiPriority w:val="99"/>
    <w:rsid w:val="00BF16BB"/>
  </w:style>
  <w:style w:type="paragraph" w:styleId="CommentSubject">
    <w:name w:val="annotation subject"/>
    <w:basedOn w:val="CommentText"/>
    <w:next w:val="CommentText"/>
    <w:link w:val="CommentSubjectChar"/>
    <w:uiPriority w:val="99"/>
    <w:semiHidden/>
    <w:unhideWhenUsed/>
    <w:rsid w:val="00BF16BB"/>
    <w:rPr>
      <w:b/>
      <w:bCs/>
    </w:rPr>
  </w:style>
  <w:style w:type="character" w:customStyle="1" w:styleId="CommentSubjectChar">
    <w:name w:val="Comment Subject Char"/>
    <w:basedOn w:val="CommentTextChar"/>
    <w:link w:val="CommentSubject"/>
    <w:uiPriority w:val="99"/>
    <w:semiHidden/>
    <w:rsid w:val="00BF16BB"/>
    <w:rPr>
      <w:b/>
      <w:bCs/>
      <w:sz w:val="20"/>
      <w:szCs w:val="20"/>
    </w:rPr>
  </w:style>
  <w:style w:type="paragraph" w:styleId="BalloonText">
    <w:name w:val="Balloon Text"/>
    <w:basedOn w:val="Normal"/>
    <w:link w:val="BalloonTextChar"/>
    <w:uiPriority w:val="99"/>
    <w:semiHidden/>
    <w:unhideWhenUsed/>
    <w:rsid w:val="00BF1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6BB"/>
    <w:rPr>
      <w:rFonts w:ascii="Lucida Grande" w:hAnsi="Lucida Grande" w:cs="Lucida Grande"/>
      <w:sz w:val="18"/>
      <w:szCs w:val="18"/>
    </w:rPr>
  </w:style>
  <w:style w:type="paragraph" w:styleId="FootnoteText">
    <w:name w:val="footnote text"/>
    <w:basedOn w:val="Normal"/>
    <w:link w:val="FootnoteTextChar"/>
    <w:uiPriority w:val="99"/>
    <w:unhideWhenUsed/>
    <w:rsid w:val="00AA78AF"/>
    <w:pPr>
      <w:numPr>
        <w:numId w:val="0"/>
      </w:numPr>
      <w:spacing w:after="120" w:line="240" w:lineRule="auto"/>
    </w:pPr>
  </w:style>
  <w:style w:type="character" w:customStyle="1" w:styleId="FootnoteTextChar">
    <w:name w:val="Footnote Text Char"/>
    <w:basedOn w:val="DefaultParagraphFont"/>
    <w:link w:val="FootnoteText"/>
    <w:uiPriority w:val="99"/>
    <w:rsid w:val="00AA78AF"/>
    <w:rPr>
      <w:rFonts w:ascii="Times New Roman" w:hAnsi="Times New Roman" w:cs="Times New Roman"/>
      <w:sz w:val="20"/>
      <w:szCs w:val="20"/>
      <w:shd w:val="clear" w:color="auto" w:fill="FFFFFF" w:themeFill="background1"/>
    </w:rPr>
  </w:style>
  <w:style w:type="character" w:styleId="FootnoteReference">
    <w:name w:val="footnote reference"/>
    <w:basedOn w:val="DefaultParagraphFont"/>
    <w:uiPriority w:val="99"/>
    <w:unhideWhenUsed/>
    <w:rsid w:val="00644D46"/>
    <w:rPr>
      <w:vertAlign w:val="superscript"/>
    </w:rPr>
  </w:style>
  <w:style w:type="character" w:styleId="FollowedHyperlink">
    <w:name w:val="FollowedHyperlink"/>
    <w:basedOn w:val="DefaultParagraphFont"/>
    <w:uiPriority w:val="99"/>
    <w:semiHidden/>
    <w:unhideWhenUsed/>
    <w:rsid w:val="00074F70"/>
    <w:rPr>
      <w:color w:val="800080" w:themeColor="followedHyperlink"/>
      <w:u w:val="single"/>
    </w:rPr>
  </w:style>
  <w:style w:type="character" w:styleId="Emphasis">
    <w:name w:val="Emphasis"/>
    <w:basedOn w:val="DefaultParagraphFont"/>
    <w:uiPriority w:val="20"/>
    <w:qFormat/>
    <w:rsid w:val="006419E8"/>
    <w:rPr>
      <w:i/>
      <w:iCs/>
    </w:rPr>
  </w:style>
  <w:style w:type="character" w:customStyle="1" w:styleId="hide">
    <w:name w:val="hide"/>
    <w:basedOn w:val="DefaultParagraphFont"/>
    <w:rsid w:val="006419E8"/>
  </w:style>
  <w:style w:type="paragraph" w:styleId="ListParagraph">
    <w:name w:val="List Paragraph"/>
    <w:basedOn w:val="Normal"/>
    <w:uiPriority w:val="34"/>
    <w:qFormat/>
    <w:rsid w:val="00BB4DD1"/>
    <w:pPr>
      <w:contextualSpacing/>
    </w:pPr>
  </w:style>
  <w:style w:type="character" w:customStyle="1" w:styleId="Heading2Char">
    <w:name w:val="Heading 2 Char"/>
    <w:basedOn w:val="DefaultParagraphFont"/>
    <w:link w:val="Heading2"/>
    <w:uiPriority w:val="9"/>
    <w:rsid w:val="005F7B74"/>
    <w:rPr>
      <w:rFonts w:ascii="Times" w:hAnsi="Times" w:cs="Times New Roman"/>
      <w:b/>
      <w:bCs/>
      <w:sz w:val="28"/>
      <w:szCs w:val="28"/>
      <w:shd w:val="clear" w:color="auto" w:fill="FFFFFF" w:themeFill="background1"/>
    </w:rPr>
  </w:style>
  <w:style w:type="paragraph" w:customStyle="1" w:styleId="component-root-0-2-59">
    <w:name w:val="component-root-0-2-59"/>
    <w:basedOn w:val="Normal"/>
    <w:rsid w:val="00291DB4"/>
    <w:pPr>
      <w:spacing w:before="100" w:beforeAutospacing="1" w:after="100" w:afterAutospacing="1"/>
    </w:pPr>
    <w:rPr>
      <w:rFonts w:ascii="Times" w:hAnsi="Times"/>
    </w:rPr>
  </w:style>
  <w:style w:type="paragraph" w:styleId="Header">
    <w:name w:val="header"/>
    <w:basedOn w:val="Normal"/>
    <w:link w:val="HeaderChar"/>
    <w:uiPriority w:val="99"/>
    <w:unhideWhenUsed/>
    <w:rsid w:val="00012D40"/>
    <w:pPr>
      <w:tabs>
        <w:tab w:val="center" w:pos="4680"/>
        <w:tab w:val="right" w:pos="9360"/>
      </w:tabs>
    </w:pPr>
  </w:style>
  <w:style w:type="character" w:customStyle="1" w:styleId="HeaderChar">
    <w:name w:val="Header Char"/>
    <w:basedOn w:val="DefaultParagraphFont"/>
    <w:link w:val="Header"/>
    <w:uiPriority w:val="99"/>
    <w:rsid w:val="00012D40"/>
  </w:style>
  <w:style w:type="paragraph" w:styleId="Footer">
    <w:name w:val="footer"/>
    <w:basedOn w:val="Normal"/>
    <w:link w:val="FooterChar"/>
    <w:uiPriority w:val="99"/>
    <w:unhideWhenUsed/>
    <w:rsid w:val="00012D40"/>
    <w:pPr>
      <w:tabs>
        <w:tab w:val="center" w:pos="4680"/>
        <w:tab w:val="right" w:pos="9360"/>
      </w:tabs>
    </w:pPr>
  </w:style>
  <w:style w:type="character" w:customStyle="1" w:styleId="FooterChar">
    <w:name w:val="Footer Char"/>
    <w:basedOn w:val="DefaultParagraphFont"/>
    <w:link w:val="Footer"/>
    <w:uiPriority w:val="99"/>
    <w:rsid w:val="00012D40"/>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2B68F9"/>
  </w:style>
  <w:style w:type="character" w:customStyle="1" w:styleId="UnresolvedMention1">
    <w:name w:val="Unresolved Mention1"/>
    <w:basedOn w:val="DefaultParagraphFont"/>
    <w:uiPriority w:val="99"/>
    <w:semiHidden/>
    <w:unhideWhenUsed/>
    <w:rsid w:val="00A431D1"/>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632401"/>
    <w:rPr>
      <w:color w:val="605E5C"/>
      <w:shd w:val="clear" w:color="auto" w:fill="E1DFDD"/>
    </w:rPr>
  </w:style>
  <w:style w:type="character" w:customStyle="1" w:styleId="Heading1Char">
    <w:name w:val="Heading 1 Char"/>
    <w:basedOn w:val="DefaultParagraphFont"/>
    <w:link w:val="Heading1"/>
    <w:uiPriority w:val="9"/>
    <w:rsid w:val="001B4EAA"/>
    <w:rPr>
      <w:rFonts w:ascii="Times New Roman" w:hAnsi="Times New Roman" w:cs="Times New Roman"/>
      <w:b/>
      <w:sz w:val="28"/>
      <w:szCs w:val="28"/>
      <w:shd w:val="clear" w:color="auto" w:fill="FFFFFF" w:themeFill="background1"/>
    </w:rPr>
  </w:style>
  <w:style w:type="paragraph" w:styleId="TOC1">
    <w:name w:val="toc 1"/>
    <w:basedOn w:val="Normal"/>
    <w:next w:val="Normal"/>
    <w:autoRedefine/>
    <w:uiPriority w:val="39"/>
    <w:unhideWhenUsed/>
    <w:rsid w:val="004905B4"/>
    <w:pPr>
      <w:numPr>
        <w:numId w:val="0"/>
      </w:numPr>
      <w:tabs>
        <w:tab w:val="right" w:leader="dot" w:pos="8630"/>
      </w:tabs>
      <w:spacing w:before="120" w:after="120"/>
      <w:jc w:val="center"/>
    </w:pPr>
    <w:rPr>
      <w:b/>
      <w:bCs/>
      <w:caps/>
      <w:noProof/>
      <w:szCs w:val="24"/>
    </w:rPr>
  </w:style>
  <w:style w:type="paragraph" w:styleId="TOC2">
    <w:name w:val="toc 2"/>
    <w:basedOn w:val="Normal"/>
    <w:next w:val="Normal"/>
    <w:autoRedefine/>
    <w:uiPriority w:val="39"/>
    <w:unhideWhenUsed/>
    <w:rsid w:val="00B825D8"/>
    <w:pPr>
      <w:numPr>
        <w:numId w:val="0"/>
      </w:numPr>
      <w:tabs>
        <w:tab w:val="right" w:leader="dot" w:pos="8630"/>
      </w:tabs>
      <w:spacing w:after="0"/>
      <w:ind w:left="360"/>
      <w:jc w:val="both"/>
    </w:pPr>
    <w:rPr>
      <w:rFonts w:asciiTheme="minorHAnsi" w:hAnsiTheme="minorHAnsi"/>
      <w:smallCaps/>
      <w:szCs w:val="24"/>
    </w:rPr>
  </w:style>
  <w:style w:type="paragraph" w:styleId="TOC3">
    <w:name w:val="toc 3"/>
    <w:basedOn w:val="Normal"/>
    <w:next w:val="Normal"/>
    <w:autoRedefine/>
    <w:uiPriority w:val="39"/>
    <w:unhideWhenUsed/>
    <w:rsid w:val="00FF0D7D"/>
    <w:pPr>
      <w:spacing w:after="0"/>
      <w:ind w:left="400"/>
    </w:pPr>
    <w:rPr>
      <w:rFonts w:asciiTheme="minorHAnsi" w:hAnsiTheme="minorHAnsi"/>
      <w:i/>
      <w:iCs/>
      <w:szCs w:val="24"/>
    </w:rPr>
  </w:style>
  <w:style w:type="paragraph" w:styleId="TOC4">
    <w:name w:val="toc 4"/>
    <w:basedOn w:val="Normal"/>
    <w:next w:val="Normal"/>
    <w:autoRedefine/>
    <w:uiPriority w:val="39"/>
    <w:unhideWhenUsed/>
    <w:rsid w:val="00FF0D7D"/>
    <w:pPr>
      <w:spacing w:after="0"/>
      <w:ind w:left="600"/>
    </w:pPr>
    <w:rPr>
      <w:rFonts w:asciiTheme="minorHAnsi" w:hAnsiTheme="minorHAnsi"/>
      <w:sz w:val="18"/>
      <w:szCs w:val="21"/>
    </w:rPr>
  </w:style>
  <w:style w:type="paragraph" w:styleId="TOC5">
    <w:name w:val="toc 5"/>
    <w:basedOn w:val="Normal"/>
    <w:next w:val="Normal"/>
    <w:autoRedefine/>
    <w:uiPriority w:val="39"/>
    <w:unhideWhenUsed/>
    <w:rsid w:val="00FF0D7D"/>
    <w:pPr>
      <w:spacing w:after="0"/>
      <w:ind w:left="800"/>
    </w:pPr>
    <w:rPr>
      <w:rFonts w:asciiTheme="minorHAnsi" w:hAnsiTheme="minorHAnsi"/>
      <w:sz w:val="18"/>
      <w:szCs w:val="21"/>
    </w:rPr>
  </w:style>
  <w:style w:type="paragraph" w:styleId="TOC6">
    <w:name w:val="toc 6"/>
    <w:basedOn w:val="Normal"/>
    <w:next w:val="Normal"/>
    <w:autoRedefine/>
    <w:uiPriority w:val="39"/>
    <w:unhideWhenUsed/>
    <w:rsid w:val="00FF0D7D"/>
    <w:pPr>
      <w:spacing w:after="0"/>
      <w:ind w:left="1000"/>
    </w:pPr>
    <w:rPr>
      <w:rFonts w:asciiTheme="minorHAnsi" w:hAnsiTheme="minorHAnsi"/>
      <w:sz w:val="18"/>
      <w:szCs w:val="21"/>
    </w:rPr>
  </w:style>
  <w:style w:type="paragraph" w:styleId="TOC7">
    <w:name w:val="toc 7"/>
    <w:basedOn w:val="Normal"/>
    <w:next w:val="Normal"/>
    <w:autoRedefine/>
    <w:uiPriority w:val="39"/>
    <w:unhideWhenUsed/>
    <w:rsid w:val="00FF0D7D"/>
    <w:pPr>
      <w:spacing w:after="0"/>
      <w:ind w:left="1200"/>
    </w:pPr>
    <w:rPr>
      <w:rFonts w:asciiTheme="minorHAnsi" w:hAnsiTheme="minorHAnsi"/>
      <w:sz w:val="18"/>
      <w:szCs w:val="21"/>
    </w:rPr>
  </w:style>
  <w:style w:type="paragraph" w:styleId="TOC8">
    <w:name w:val="toc 8"/>
    <w:basedOn w:val="Normal"/>
    <w:next w:val="Normal"/>
    <w:autoRedefine/>
    <w:uiPriority w:val="39"/>
    <w:unhideWhenUsed/>
    <w:rsid w:val="00FF0D7D"/>
    <w:pPr>
      <w:spacing w:after="0"/>
      <w:ind w:left="1400"/>
    </w:pPr>
    <w:rPr>
      <w:rFonts w:asciiTheme="minorHAnsi" w:hAnsiTheme="minorHAnsi"/>
      <w:sz w:val="18"/>
      <w:szCs w:val="21"/>
    </w:rPr>
  </w:style>
  <w:style w:type="paragraph" w:styleId="TOC9">
    <w:name w:val="toc 9"/>
    <w:basedOn w:val="Normal"/>
    <w:next w:val="Normal"/>
    <w:autoRedefine/>
    <w:uiPriority w:val="39"/>
    <w:unhideWhenUsed/>
    <w:rsid w:val="00FF0D7D"/>
    <w:pPr>
      <w:spacing w:after="0"/>
      <w:ind w:left="1600"/>
    </w:pPr>
    <w:rPr>
      <w:rFonts w:asciiTheme="minorHAnsi" w:hAnsiTheme="minorHAnsi"/>
      <w:sz w:val="18"/>
      <w:szCs w:val="21"/>
    </w:rPr>
  </w:style>
  <w:style w:type="character" w:customStyle="1" w:styleId="Heading3Char">
    <w:name w:val="Heading 3 Char"/>
    <w:basedOn w:val="DefaultParagraphFont"/>
    <w:link w:val="Heading3"/>
    <w:uiPriority w:val="9"/>
    <w:rsid w:val="00784E2B"/>
    <w:rPr>
      <w:rFonts w:asciiTheme="majorHAnsi" w:eastAsiaTheme="majorEastAsia" w:hAnsiTheme="majorHAnsi" w:cstheme="majorBidi"/>
      <w:color w:val="243F60" w:themeColor="accent1" w:themeShade="7F"/>
      <w:shd w:val="clear" w:color="auto" w:fill="FFFFFF" w:themeFill="background1"/>
    </w:rPr>
  </w:style>
  <w:style w:type="character" w:customStyle="1" w:styleId="Heading4Char">
    <w:name w:val="Heading 4 Char"/>
    <w:basedOn w:val="DefaultParagraphFont"/>
    <w:link w:val="Heading4"/>
    <w:uiPriority w:val="9"/>
    <w:semiHidden/>
    <w:rsid w:val="00784E2B"/>
    <w:rPr>
      <w:rFonts w:asciiTheme="majorHAnsi" w:eastAsiaTheme="majorEastAsia" w:hAnsiTheme="majorHAnsi" w:cstheme="majorBidi"/>
      <w:i/>
      <w:iCs/>
      <w:color w:val="365F91" w:themeColor="accent1" w:themeShade="BF"/>
      <w:sz w:val="20"/>
      <w:szCs w:val="20"/>
      <w:shd w:val="clear" w:color="auto" w:fill="FFFFFF" w:themeFill="background1"/>
    </w:rPr>
  </w:style>
  <w:style w:type="character" w:customStyle="1" w:styleId="Heading5Char">
    <w:name w:val="Heading 5 Char"/>
    <w:basedOn w:val="DefaultParagraphFont"/>
    <w:link w:val="Heading5"/>
    <w:uiPriority w:val="9"/>
    <w:semiHidden/>
    <w:rsid w:val="00784E2B"/>
    <w:rPr>
      <w:rFonts w:asciiTheme="majorHAnsi" w:eastAsiaTheme="majorEastAsia" w:hAnsiTheme="majorHAnsi" w:cstheme="majorBidi"/>
      <w:color w:val="365F91" w:themeColor="accent1" w:themeShade="BF"/>
      <w:sz w:val="20"/>
      <w:szCs w:val="20"/>
      <w:shd w:val="clear" w:color="auto" w:fill="FFFFFF" w:themeFill="background1"/>
    </w:rPr>
  </w:style>
  <w:style w:type="character" w:customStyle="1" w:styleId="Heading6Char">
    <w:name w:val="Heading 6 Char"/>
    <w:basedOn w:val="DefaultParagraphFont"/>
    <w:link w:val="Heading6"/>
    <w:uiPriority w:val="9"/>
    <w:semiHidden/>
    <w:rsid w:val="00784E2B"/>
    <w:rPr>
      <w:rFonts w:asciiTheme="majorHAnsi" w:eastAsiaTheme="majorEastAsia" w:hAnsiTheme="majorHAnsi" w:cstheme="majorBidi"/>
      <w:color w:val="243F60" w:themeColor="accent1" w:themeShade="7F"/>
      <w:sz w:val="20"/>
      <w:szCs w:val="20"/>
      <w:shd w:val="clear" w:color="auto" w:fill="FFFFFF" w:themeFill="background1"/>
    </w:rPr>
  </w:style>
  <w:style w:type="character" w:customStyle="1" w:styleId="Heading7Char">
    <w:name w:val="Heading 7 Char"/>
    <w:basedOn w:val="DefaultParagraphFont"/>
    <w:link w:val="Heading7"/>
    <w:uiPriority w:val="9"/>
    <w:semiHidden/>
    <w:rsid w:val="00784E2B"/>
    <w:rPr>
      <w:rFonts w:asciiTheme="majorHAnsi" w:eastAsiaTheme="majorEastAsia" w:hAnsiTheme="majorHAnsi" w:cstheme="majorBidi"/>
      <w:i/>
      <w:iCs/>
      <w:color w:val="243F60" w:themeColor="accent1" w:themeShade="7F"/>
      <w:sz w:val="20"/>
      <w:szCs w:val="20"/>
      <w:shd w:val="clear" w:color="auto" w:fill="FFFFFF" w:themeFill="background1"/>
    </w:rPr>
  </w:style>
  <w:style w:type="character" w:customStyle="1" w:styleId="Heading8Char">
    <w:name w:val="Heading 8 Char"/>
    <w:basedOn w:val="DefaultParagraphFont"/>
    <w:link w:val="Heading8"/>
    <w:uiPriority w:val="9"/>
    <w:semiHidden/>
    <w:rsid w:val="00784E2B"/>
    <w:rPr>
      <w:rFonts w:asciiTheme="majorHAnsi" w:eastAsiaTheme="majorEastAsia" w:hAnsiTheme="majorHAnsi" w:cstheme="majorBidi"/>
      <w:color w:val="272727" w:themeColor="text1" w:themeTint="D8"/>
      <w:sz w:val="21"/>
      <w:szCs w:val="21"/>
      <w:shd w:val="clear" w:color="auto" w:fill="FFFFFF" w:themeFill="background1"/>
    </w:rPr>
  </w:style>
  <w:style w:type="character" w:customStyle="1" w:styleId="Heading9Char">
    <w:name w:val="Heading 9 Char"/>
    <w:basedOn w:val="DefaultParagraphFont"/>
    <w:link w:val="Heading9"/>
    <w:uiPriority w:val="9"/>
    <w:semiHidden/>
    <w:rsid w:val="00784E2B"/>
    <w:rPr>
      <w:rFonts w:asciiTheme="majorHAnsi" w:eastAsiaTheme="majorEastAsia" w:hAnsiTheme="majorHAnsi" w:cstheme="majorBidi"/>
      <w:i/>
      <w:iCs/>
      <w:color w:val="272727" w:themeColor="text1" w:themeTint="D8"/>
      <w:sz w:val="21"/>
      <w:szCs w:val="21"/>
      <w:shd w:val="clear" w:color="auto" w:fill="FFFFFF" w:themeFill="background1"/>
    </w:rPr>
  </w:style>
  <w:style w:type="paragraph" w:customStyle="1" w:styleId="HeadingA-2">
    <w:name w:val="Heading A-2"/>
    <w:basedOn w:val="Normal"/>
    <w:rsid w:val="00784E2B"/>
    <w:pPr>
      <w:numPr>
        <w:numId w:val="0"/>
      </w:numPr>
    </w:pPr>
  </w:style>
  <w:style w:type="paragraph" w:styleId="Quote">
    <w:name w:val="Quote"/>
    <w:basedOn w:val="Normal"/>
    <w:next w:val="Normal"/>
    <w:link w:val="QuoteChar"/>
    <w:uiPriority w:val="29"/>
    <w:qFormat/>
    <w:rsid w:val="001079CA"/>
    <w:pPr>
      <w:numPr>
        <w:numId w:val="0"/>
      </w:numPr>
      <w:spacing w:after="0" w:line="240" w:lineRule="auto"/>
      <w:ind w:left="360"/>
    </w:pPr>
  </w:style>
  <w:style w:type="character" w:customStyle="1" w:styleId="QuoteChar">
    <w:name w:val="Quote Char"/>
    <w:basedOn w:val="DefaultParagraphFont"/>
    <w:link w:val="Quote"/>
    <w:uiPriority w:val="29"/>
    <w:rsid w:val="001079CA"/>
    <w:rPr>
      <w:rFonts w:ascii="Times New Roman" w:hAnsi="Times New Roman" w:cs="Times New Roman"/>
      <w:sz w:val="20"/>
      <w:szCs w:val="20"/>
      <w:shd w:val="clear" w:color="auto" w:fill="FFFFFF" w:themeFill="background1"/>
    </w:rPr>
  </w:style>
  <w:style w:type="numbering" w:customStyle="1" w:styleId="CurrentList1">
    <w:name w:val="Current List1"/>
    <w:uiPriority w:val="99"/>
    <w:rsid w:val="00A03A2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043">
      <w:bodyDiv w:val="1"/>
      <w:marLeft w:val="0"/>
      <w:marRight w:val="0"/>
      <w:marTop w:val="0"/>
      <w:marBottom w:val="0"/>
      <w:divBdr>
        <w:top w:val="none" w:sz="0" w:space="0" w:color="auto"/>
        <w:left w:val="none" w:sz="0" w:space="0" w:color="auto"/>
        <w:bottom w:val="none" w:sz="0" w:space="0" w:color="auto"/>
        <w:right w:val="none" w:sz="0" w:space="0" w:color="auto"/>
      </w:divBdr>
    </w:div>
    <w:div w:id="52703352">
      <w:bodyDiv w:val="1"/>
      <w:marLeft w:val="0"/>
      <w:marRight w:val="0"/>
      <w:marTop w:val="0"/>
      <w:marBottom w:val="0"/>
      <w:divBdr>
        <w:top w:val="none" w:sz="0" w:space="0" w:color="auto"/>
        <w:left w:val="none" w:sz="0" w:space="0" w:color="auto"/>
        <w:bottom w:val="none" w:sz="0" w:space="0" w:color="auto"/>
        <w:right w:val="none" w:sz="0" w:space="0" w:color="auto"/>
      </w:divBdr>
    </w:div>
    <w:div w:id="91170592">
      <w:bodyDiv w:val="1"/>
      <w:marLeft w:val="0"/>
      <w:marRight w:val="0"/>
      <w:marTop w:val="0"/>
      <w:marBottom w:val="0"/>
      <w:divBdr>
        <w:top w:val="none" w:sz="0" w:space="0" w:color="auto"/>
        <w:left w:val="none" w:sz="0" w:space="0" w:color="auto"/>
        <w:bottom w:val="none" w:sz="0" w:space="0" w:color="auto"/>
        <w:right w:val="none" w:sz="0" w:space="0" w:color="auto"/>
      </w:divBdr>
    </w:div>
    <w:div w:id="158084148">
      <w:bodyDiv w:val="1"/>
      <w:marLeft w:val="0"/>
      <w:marRight w:val="0"/>
      <w:marTop w:val="0"/>
      <w:marBottom w:val="0"/>
      <w:divBdr>
        <w:top w:val="none" w:sz="0" w:space="0" w:color="auto"/>
        <w:left w:val="none" w:sz="0" w:space="0" w:color="auto"/>
        <w:bottom w:val="none" w:sz="0" w:space="0" w:color="auto"/>
        <w:right w:val="none" w:sz="0" w:space="0" w:color="auto"/>
      </w:divBdr>
    </w:div>
    <w:div w:id="180050465">
      <w:bodyDiv w:val="1"/>
      <w:marLeft w:val="0"/>
      <w:marRight w:val="0"/>
      <w:marTop w:val="0"/>
      <w:marBottom w:val="0"/>
      <w:divBdr>
        <w:top w:val="none" w:sz="0" w:space="0" w:color="auto"/>
        <w:left w:val="none" w:sz="0" w:space="0" w:color="auto"/>
        <w:bottom w:val="none" w:sz="0" w:space="0" w:color="auto"/>
        <w:right w:val="none" w:sz="0" w:space="0" w:color="auto"/>
      </w:divBdr>
    </w:div>
    <w:div w:id="213978119">
      <w:bodyDiv w:val="1"/>
      <w:marLeft w:val="0"/>
      <w:marRight w:val="0"/>
      <w:marTop w:val="0"/>
      <w:marBottom w:val="0"/>
      <w:divBdr>
        <w:top w:val="none" w:sz="0" w:space="0" w:color="auto"/>
        <w:left w:val="none" w:sz="0" w:space="0" w:color="auto"/>
        <w:bottom w:val="none" w:sz="0" w:space="0" w:color="auto"/>
        <w:right w:val="none" w:sz="0" w:space="0" w:color="auto"/>
      </w:divBdr>
    </w:div>
    <w:div w:id="247470928">
      <w:bodyDiv w:val="1"/>
      <w:marLeft w:val="0"/>
      <w:marRight w:val="0"/>
      <w:marTop w:val="0"/>
      <w:marBottom w:val="0"/>
      <w:divBdr>
        <w:top w:val="none" w:sz="0" w:space="0" w:color="auto"/>
        <w:left w:val="none" w:sz="0" w:space="0" w:color="auto"/>
        <w:bottom w:val="none" w:sz="0" w:space="0" w:color="auto"/>
        <w:right w:val="none" w:sz="0" w:space="0" w:color="auto"/>
      </w:divBdr>
    </w:div>
    <w:div w:id="258952976">
      <w:bodyDiv w:val="1"/>
      <w:marLeft w:val="0"/>
      <w:marRight w:val="0"/>
      <w:marTop w:val="0"/>
      <w:marBottom w:val="0"/>
      <w:divBdr>
        <w:top w:val="none" w:sz="0" w:space="0" w:color="auto"/>
        <w:left w:val="none" w:sz="0" w:space="0" w:color="auto"/>
        <w:bottom w:val="none" w:sz="0" w:space="0" w:color="auto"/>
        <w:right w:val="none" w:sz="0" w:space="0" w:color="auto"/>
      </w:divBdr>
    </w:div>
    <w:div w:id="269514100">
      <w:bodyDiv w:val="1"/>
      <w:marLeft w:val="0"/>
      <w:marRight w:val="0"/>
      <w:marTop w:val="0"/>
      <w:marBottom w:val="0"/>
      <w:divBdr>
        <w:top w:val="none" w:sz="0" w:space="0" w:color="auto"/>
        <w:left w:val="none" w:sz="0" w:space="0" w:color="auto"/>
        <w:bottom w:val="none" w:sz="0" w:space="0" w:color="auto"/>
        <w:right w:val="none" w:sz="0" w:space="0" w:color="auto"/>
      </w:divBdr>
    </w:div>
    <w:div w:id="315643614">
      <w:bodyDiv w:val="1"/>
      <w:marLeft w:val="0"/>
      <w:marRight w:val="0"/>
      <w:marTop w:val="0"/>
      <w:marBottom w:val="0"/>
      <w:divBdr>
        <w:top w:val="none" w:sz="0" w:space="0" w:color="auto"/>
        <w:left w:val="none" w:sz="0" w:space="0" w:color="auto"/>
        <w:bottom w:val="none" w:sz="0" w:space="0" w:color="auto"/>
        <w:right w:val="none" w:sz="0" w:space="0" w:color="auto"/>
      </w:divBdr>
    </w:div>
    <w:div w:id="356199972">
      <w:bodyDiv w:val="1"/>
      <w:marLeft w:val="0"/>
      <w:marRight w:val="0"/>
      <w:marTop w:val="0"/>
      <w:marBottom w:val="0"/>
      <w:divBdr>
        <w:top w:val="none" w:sz="0" w:space="0" w:color="auto"/>
        <w:left w:val="none" w:sz="0" w:space="0" w:color="auto"/>
        <w:bottom w:val="none" w:sz="0" w:space="0" w:color="auto"/>
        <w:right w:val="none" w:sz="0" w:space="0" w:color="auto"/>
      </w:divBdr>
    </w:div>
    <w:div w:id="420178859">
      <w:bodyDiv w:val="1"/>
      <w:marLeft w:val="0"/>
      <w:marRight w:val="0"/>
      <w:marTop w:val="0"/>
      <w:marBottom w:val="0"/>
      <w:divBdr>
        <w:top w:val="none" w:sz="0" w:space="0" w:color="auto"/>
        <w:left w:val="none" w:sz="0" w:space="0" w:color="auto"/>
        <w:bottom w:val="none" w:sz="0" w:space="0" w:color="auto"/>
        <w:right w:val="none" w:sz="0" w:space="0" w:color="auto"/>
      </w:divBdr>
    </w:div>
    <w:div w:id="475876233">
      <w:bodyDiv w:val="1"/>
      <w:marLeft w:val="0"/>
      <w:marRight w:val="0"/>
      <w:marTop w:val="0"/>
      <w:marBottom w:val="0"/>
      <w:divBdr>
        <w:top w:val="none" w:sz="0" w:space="0" w:color="auto"/>
        <w:left w:val="none" w:sz="0" w:space="0" w:color="auto"/>
        <w:bottom w:val="none" w:sz="0" w:space="0" w:color="auto"/>
        <w:right w:val="none" w:sz="0" w:space="0" w:color="auto"/>
      </w:divBdr>
    </w:div>
    <w:div w:id="664432730">
      <w:bodyDiv w:val="1"/>
      <w:marLeft w:val="0"/>
      <w:marRight w:val="0"/>
      <w:marTop w:val="0"/>
      <w:marBottom w:val="0"/>
      <w:divBdr>
        <w:top w:val="none" w:sz="0" w:space="0" w:color="auto"/>
        <w:left w:val="none" w:sz="0" w:space="0" w:color="auto"/>
        <w:bottom w:val="none" w:sz="0" w:space="0" w:color="auto"/>
        <w:right w:val="none" w:sz="0" w:space="0" w:color="auto"/>
      </w:divBdr>
    </w:div>
    <w:div w:id="738673140">
      <w:bodyDiv w:val="1"/>
      <w:marLeft w:val="0"/>
      <w:marRight w:val="0"/>
      <w:marTop w:val="0"/>
      <w:marBottom w:val="0"/>
      <w:divBdr>
        <w:top w:val="none" w:sz="0" w:space="0" w:color="auto"/>
        <w:left w:val="none" w:sz="0" w:space="0" w:color="auto"/>
        <w:bottom w:val="none" w:sz="0" w:space="0" w:color="auto"/>
        <w:right w:val="none" w:sz="0" w:space="0" w:color="auto"/>
      </w:divBdr>
    </w:div>
    <w:div w:id="754983749">
      <w:bodyDiv w:val="1"/>
      <w:marLeft w:val="0"/>
      <w:marRight w:val="0"/>
      <w:marTop w:val="0"/>
      <w:marBottom w:val="0"/>
      <w:divBdr>
        <w:top w:val="none" w:sz="0" w:space="0" w:color="auto"/>
        <w:left w:val="none" w:sz="0" w:space="0" w:color="auto"/>
        <w:bottom w:val="none" w:sz="0" w:space="0" w:color="auto"/>
        <w:right w:val="none" w:sz="0" w:space="0" w:color="auto"/>
      </w:divBdr>
    </w:div>
    <w:div w:id="776021956">
      <w:bodyDiv w:val="1"/>
      <w:marLeft w:val="0"/>
      <w:marRight w:val="0"/>
      <w:marTop w:val="0"/>
      <w:marBottom w:val="0"/>
      <w:divBdr>
        <w:top w:val="none" w:sz="0" w:space="0" w:color="auto"/>
        <w:left w:val="none" w:sz="0" w:space="0" w:color="auto"/>
        <w:bottom w:val="none" w:sz="0" w:space="0" w:color="auto"/>
        <w:right w:val="none" w:sz="0" w:space="0" w:color="auto"/>
      </w:divBdr>
    </w:div>
    <w:div w:id="788857680">
      <w:bodyDiv w:val="1"/>
      <w:marLeft w:val="0"/>
      <w:marRight w:val="0"/>
      <w:marTop w:val="0"/>
      <w:marBottom w:val="0"/>
      <w:divBdr>
        <w:top w:val="none" w:sz="0" w:space="0" w:color="auto"/>
        <w:left w:val="none" w:sz="0" w:space="0" w:color="auto"/>
        <w:bottom w:val="none" w:sz="0" w:space="0" w:color="auto"/>
        <w:right w:val="none" w:sz="0" w:space="0" w:color="auto"/>
      </w:divBdr>
    </w:div>
    <w:div w:id="804662937">
      <w:bodyDiv w:val="1"/>
      <w:marLeft w:val="0"/>
      <w:marRight w:val="0"/>
      <w:marTop w:val="0"/>
      <w:marBottom w:val="0"/>
      <w:divBdr>
        <w:top w:val="none" w:sz="0" w:space="0" w:color="auto"/>
        <w:left w:val="none" w:sz="0" w:space="0" w:color="auto"/>
        <w:bottom w:val="none" w:sz="0" w:space="0" w:color="auto"/>
        <w:right w:val="none" w:sz="0" w:space="0" w:color="auto"/>
      </w:divBdr>
    </w:div>
    <w:div w:id="807553255">
      <w:bodyDiv w:val="1"/>
      <w:marLeft w:val="0"/>
      <w:marRight w:val="0"/>
      <w:marTop w:val="0"/>
      <w:marBottom w:val="0"/>
      <w:divBdr>
        <w:top w:val="none" w:sz="0" w:space="0" w:color="auto"/>
        <w:left w:val="none" w:sz="0" w:space="0" w:color="auto"/>
        <w:bottom w:val="none" w:sz="0" w:space="0" w:color="auto"/>
        <w:right w:val="none" w:sz="0" w:space="0" w:color="auto"/>
      </w:divBdr>
    </w:div>
    <w:div w:id="852719437">
      <w:bodyDiv w:val="1"/>
      <w:marLeft w:val="0"/>
      <w:marRight w:val="0"/>
      <w:marTop w:val="0"/>
      <w:marBottom w:val="0"/>
      <w:divBdr>
        <w:top w:val="none" w:sz="0" w:space="0" w:color="auto"/>
        <w:left w:val="none" w:sz="0" w:space="0" w:color="auto"/>
        <w:bottom w:val="none" w:sz="0" w:space="0" w:color="auto"/>
        <w:right w:val="none" w:sz="0" w:space="0" w:color="auto"/>
      </w:divBdr>
    </w:div>
    <w:div w:id="973683323">
      <w:bodyDiv w:val="1"/>
      <w:marLeft w:val="0"/>
      <w:marRight w:val="0"/>
      <w:marTop w:val="0"/>
      <w:marBottom w:val="0"/>
      <w:divBdr>
        <w:top w:val="none" w:sz="0" w:space="0" w:color="auto"/>
        <w:left w:val="none" w:sz="0" w:space="0" w:color="auto"/>
        <w:bottom w:val="none" w:sz="0" w:space="0" w:color="auto"/>
        <w:right w:val="none" w:sz="0" w:space="0" w:color="auto"/>
      </w:divBdr>
    </w:div>
    <w:div w:id="1043602959">
      <w:bodyDiv w:val="1"/>
      <w:marLeft w:val="0"/>
      <w:marRight w:val="0"/>
      <w:marTop w:val="0"/>
      <w:marBottom w:val="0"/>
      <w:divBdr>
        <w:top w:val="none" w:sz="0" w:space="0" w:color="auto"/>
        <w:left w:val="none" w:sz="0" w:space="0" w:color="auto"/>
        <w:bottom w:val="none" w:sz="0" w:space="0" w:color="auto"/>
        <w:right w:val="none" w:sz="0" w:space="0" w:color="auto"/>
      </w:divBdr>
    </w:div>
    <w:div w:id="1058818993">
      <w:bodyDiv w:val="1"/>
      <w:marLeft w:val="0"/>
      <w:marRight w:val="0"/>
      <w:marTop w:val="0"/>
      <w:marBottom w:val="0"/>
      <w:divBdr>
        <w:top w:val="none" w:sz="0" w:space="0" w:color="auto"/>
        <w:left w:val="none" w:sz="0" w:space="0" w:color="auto"/>
        <w:bottom w:val="none" w:sz="0" w:space="0" w:color="auto"/>
        <w:right w:val="none" w:sz="0" w:space="0" w:color="auto"/>
      </w:divBdr>
    </w:div>
    <w:div w:id="1198079971">
      <w:bodyDiv w:val="1"/>
      <w:marLeft w:val="0"/>
      <w:marRight w:val="0"/>
      <w:marTop w:val="0"/>
      <w:marBottom w:val="0"/>
      <w:divBdr>
        <w:top w:val="none" w:sz="0" w:space="0" w:color="auto"/>
        <w:left w:val="none" w:sz="0" w:space="0" w:color="auto"/>
        <w:bottom w:val="none" w:sz="0" w:space="0" w:color="auto"/>
        <w:right w:val="none" w:sz="0" w:space="0" w:color="auto"/>
      </w:divBdr>
    </w:div>
    <w:div w:id="1299801102">
      <w:bodyDiv w:val="1"/>
      <w:marLeft w:val="0"/>
      <w:marRight w:val="0"/>
      <w:marTop w:val="0"/>
      <w:marBottom w:val="0"/>
      <w:divBdr>
        <w:top w:val="none" w:sz="0" w:space="0" w:color="auto"/>
        <w:left w:val="none" w:sz="0" w:space="0" w:color="auto"/>
        <w:bottom w:val="none" w:sz="0" w:space="0" w:color="auto"/>
        <w:right w:val="none" w:sz="0" w:space="0" w:color="auto"/>
      </w:divBdr>
    </w:div>
    <w:div w:id="1319263353">
      <w:bodyDiv w:val="1"/>
      <w:marLeft w:val="0"/>
      <w:marRight w:val="0"/>
      <w:marTop w:val="0"/>
      <w:marBottom w:val="0"/>
      <w:divBdr>
        <w:top w:val="none" w:sz="0" w:space="0" w:color="auto"/>
        <w:left w:val="none" w:sz="0" w:space="0" w:color="auto"/>
        <w:bottom w:val="none" w:sz="0" w:space="0" w:color="auto"/>
        <w:right w:val="none" w:sz="0" w:space="0" w:color="auto"/>
      </w:divBdr>
    </w:div>
    <w:div w:id="1329865355">
      <w:bodyDiv w:val="1"/>
      <w:marLeft w:val="0"/>
      <w:marRight w:val="0"/>
      <w:marTop w:val="0"/>
      <w:marBottom w:val="0"/>
      <w:divBdr>
        <w:top w:val="none" w:sz="0" w:space="0" w:color="auto"/>
        <w:left w:val="none" w:sz="0" w:space="0" w:color="auto"/>
        <w:bottom w:val="none" w:sz="0" w:space="0" w:color="auto"/>
        <w:right w:val="none" w:sz="0" w:space="0" w:color="auto"/>
      </w:divBdr>
    </w:div>
    <w:div w:id="1410495058">
      <w:bodyDiv w:val="1"/>
      <w:marLeft w:val="0"/>
      <w:marRight w:val="0"/>
      <w:marTop w:val="0"/>
      <w:marBottom w:val="0"/>
      <w:divBdr>
        <w:top w:val="none" w:sz="0" w:space="0" w:color="auto"/>
        <w:left w:val="none" w:sz="0" w:space="0" w:color="auto"/>
        <w:bottom w:val="none" w:sz="0" w:space="0" w:color="auto"/>
        <w:right w:val="none" w:sz="0" w:space="0" w:color="auto"/>
      </w:divBdr>
    </w:div>
    <w:div w:id="1425343414">
      <w:bodyDiv w:val="1"/>
      <w:marLeft w:val="0"/>
      <w:marRight w:val="0"/>
      <w:marTop w:val="0"/>
      <w:marBottom w:val="0"/>
      <w:divBdr>
        <w:top w:val="none" w:sz="0" w:space="0" w:color="auto"/>
        <w:left w:val="none" w:sz="0" w:space="0" w:color="auto"/>
        <w:bottom w:val="none" w:sz="0" w:space="0" w:color="auto"/>
        <w:right w:val="none" w:sz="0" w:space="0" w:color="auto"/>
      </w:divBdr>
    </w:div>
    <w:div w:id="1505197155">
      <w:bodyDiv w:val="1"/>
      <w:marLeft w:val="0"/>
      <w:marRight w:val="0"/>
      <w:marTop w:val="0"/>
      <w:marBottom w:val="0"/>
      <w:divBdr>
        <w:top w:val="none" w:sz="0" w:space="0" w:color="auto"/>
        <w:left w:val="none" w:sz="0" w:space="0" w:color="auto"/>
        <w:bottom w:val="none" w:sz="0" w:space="0" w:color="auto"/>
        <w:right w:val="none" w:sz="0" w:space="0" w:color="auto"/>
      </w:divBdr>
    </w:div>
    <w:div w:id="1542937056">
      <w:bodyDiv w:val="1"/>
      <w:marLeft w:val="0"/>
      <w:marRight w:val="0"/>
      <w:marTop w:val="0"/>
      <w:marBottom w:val="0"/>
      <w:divBdr>
        <w:top w:val="none" w:sz="0" w:space="0" w:color="auto"/>
        <w:left w:val="none" w:sz="0" w:space="0" w:color="auto"/>
        <w:bottom w:val="none" w:sz="0" w:space="0" w:color="auto"/>
        <w:right w:val="none" w:sz="0" w:space="0" w:color="auto"/>
      </w:divBdr>
    </w:div>
    <w:div w:id="1669942588">
      <w:bodyDiv w:val="1"/>
      <w:marLeft w:val="0"/>
      <w:marRight w:val="0"/>
      <w:marTop w:val="0"/>
      <w:marBottom w:val="0"/>
      <w:divBdr>
        <w:top w:val="none" w:sz="0" w:space="0" w:color="auto"/>
        <w:left w:val="none" w:sz="0" w:space="0" w:color="auto"/>
        <w:bottom w:val="none" w:sz="0" w:space="0" w:color="auto"/>
        <w:right w:val="none" w:sz="0" w:space="0" w:color="auto"/>
      </w:divBdr>
    </w:div>
    <w:div w:id="1742170652">
      <w:bodyDiv w:val="1"/>
      <w:marLeft w:val="0"/>
      <w:marRight w:val="0"/>
      <w:marTop w:val="0"/>
      <w:marBottom w:val="0"/>
      <w:divBdr>
        <w:top w:val="none" w:sz="0" w:space="0" w:color="auto"/>
        <w:left w:val="none" w:sz="0" w:space="0" w:color="auto"/>
        <w:bottom w:val="none" w:sz="0" w:space="0" w:color="auto"/>
        <w:right w:val="none" w:sz="0" w:space="0" w:color="auto"/>
      </w:divBdr>
    </w:div>
    <w:div w:id="1888250287">
      <w:bodyDiv w:val="1"/>
      <w:marLeft w:val="0"/>
      <w:marRight w:val="0"/>
      <w:marTop w:val="0"/>
      <w:marBottom w:val="0"/>
      <w:divBdr>
        <w:top w:val="none" w:sz="0" w:space="0" w:color="auto"/>
        <w:left w:val="none" w:sz="0" w:space="0" w:color="auto"/>
        <w:bottom w:val="none" w:sz="0" w:space="0" w:color="auto"/>
        <w:right w:val="none" w:sz="0" w:space="0" w:color="auto"/>
      </w:divBdr>
    </w:div>
    <w:div w:id="1901556470">
      <w:bodyDiv w:val="1"/>
      <w:marLeft w:val="0"/>
      <w:marRight w:val="0"/>
      <w:marTop w:val="0"/>
      <w:marBottom w:val="0"/>
      <w:divBdr>
        <w:top w:val="none" w:sz="0" w:space="0" w:color="auto"/>
        <w:left w:val="none" w:sz="0" w:space="0" w:color="auto"/>
        <w:bottom w:val="none" w:sz="0" w:space="0" w:color="auto"/>
        <w:right w:val="none" w:sz="0" w:space="0" w:color="auto"/>
      </w:divBdr>
    </w:div>
    <w:div w:id="1913157563">
      <w:bodyDiv w:val="1"/>
      <w:marLeft w:val="0"/>
      <w:marRight w:val="0"/>
      <w:marTop w:val="0"/>
      <w:marBottom w:val="0"/>
      <w:divBdr>
        <w:top w:val="none" w:sz="0" w:space="0" w:color="auto"/>
        <w:left w:val="none" w:sz="0" w:space="0" w:color="auto"/>
        <w:bottom w:val="none" w:sz="0" w:space="0" w:color="auto"/>
        <w:right w:val="none" w:sz="0" w:space="0" w:color="auto"/>
      </w:divBdr>
    </w:div>
    <w:div w:id="1918900270">
      <w:bodyDiv w:val="1"/>
      <w:marLeft w:val="0"/>
      <w:marRight w:val="0"/>
      <w:marTop w:val="0"/>
      <w:marBottom w:val="0"/>
      <w:divBdr>
        <w:top w:val="none" w:sz="0" w:space="0" w:color="auto"/>
        <w:left w:val="none" w:sz="0" w:space="0" w:color="auto"/>
        <w:bottom w:val="none" w:sz="0" w:space="0" w:color="auto"/>
        <w:right w:val="none" w:sz="0" w:space="0" w:color="auto"/>
      </w:divBdr>
    </w:div>
    <w:div w:id="2033727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hs.gov/CCHT" TargetMode="External"/><Relationship Id="rId18" Type="http://schemas.openxmlformats.org/officeDocument/2006/relationships/hyperlink" Target="https://www.justice.gov/criminal-vns" TargetMode="External"/><Relationship Id="rId26" Type="http://schemas.openxmlformats.org/officeDocument/2006/relationships/hyperlink" Target="https://www.state.gov/report-to-congress-on-an-analysis-of-anti-money-laundering-efforts-related-to-human-trafficking/" TargetMode="External"/><Relationship Id="rId39" Type="http://schemas.openxmlformats.org/officeDocument/2006/relationships/customXml" Target="../customXml/item2.xml"/><Relationship Id="rId21" Type="http://schemas.openxmlformats.org/officeDocument/2006/relationships/hyperlink" Target="https://home.treasury.gov/news/featured-stories/combating-human-trafficking"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cf.hhs.gov/opre/report/human-trafficking-policy-and-research-analysis-project-comprehensive-review-prior" TargetMode="External"/><Relationship Id="rId20" Type="http://schemas.openxmlformats.org/officeDocument/2006/relationships/hyperlink" Target="https://www.state.gov/u-s-advisory-council-on-human-trafficking/" TargetMode="External"/><Relationship Id="rId29" Type="http://schemas.openxmlformats.org/officeDocument/2006/relationships/hyperlink" Target="https://optn.transplant.hrsa.gov/about/history-nota/"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e.gov/report/2021-trafficking-in-persons-report/" TargetMode="External"/><Relationship Id="rId24" Type="http://schemas.openxmlformats.org/officeDocument/2006/relationships/hyperlink" Target="https://www.fincen.gov/sites/default/files/advisory/2020-10-15/Advisory%20Human%20Trafficking%20508%20FINAL_0.pdf" TargetMode="External"/><Relationship Id="rId32" Type="http://schemas.openxmlformats.org/officeDocument/2006/relationships/hyperlink" Target="https://www.ncsl.org/Portals/1/Documents/cj/SafeHarbor_v06.pdf" TargetMode="Externa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acf.hhs.gov/opre/report/evaluation-domestic-victims-human-trafficking-program-final-report" TargetMode="External"/><Relationship Id="rId23" Type="http://schemas.openxmlformats.org/officeDocument/2006/relationships/hyperlink" Target="https://www.fincen.gov/sites/default/files/advisory/2020-10-15/Advisory%20Human%20Trafficking%20508%20FINAL_0.pdf" TargetMode="External"/><Relationship Id="rId28" Type="http://schemas.openxmlformats.org/officeDocument/2006/relationships/hyperlink" Target="https://www.usaid.gov/sites/default/files/documents/USAID_Digital_Strategy.pdf" TargetMode="External"/><Relationship Id="rId36" Type="http://schemas.openxmlformats.org/officeDocument/2006/relationships/fontTable" Target="fontTable.xml"/><Relationship Id="R770c18b06de04edb" Type="http://schemas.microsoft.com/office/2019/09/relationships/intelligence" Target="intelligence.xml"/><Relationship Id="rId10" Type="http://schemas.openxmlformats.org/officeDocument/2006/relationships/hyperlink" Target="https://www.justice.gov/humantrafficking/page/file/1276166/download" TargetMode="External"/><Relationship Id="rId19" Type="http://schemas.openxmlformats.org/officeDocument/2006/relationships/hyperlink" Target="https://www.acf.hhs.gov/ana/mmna-framework" TargetMode="External"/><Relationship Id="rId31" Type="http://schemas.openxmlformats.org/officeDocument/2006/relationships/hyperlink" Target="https://www.scf.hhs.gov/otip/victim-assistance" TargetMode="External"/><Relationship Id="rId4" Type="http://schemas.openxmlformats.org/officeDocument/2006/relationships/settings" Target="settings.xml"/><Relationship Id="rId9" Type="http://schemas.openxmlformats.org/officeDocument/2006/relationships/hyperlink" Target="https://www.acf.hhs.gov/sites/default/files/documents/cb/cm2019.pdf" TargetMode="External"/><Relationship Id="rId14" Type="http://schemas.openxmlformats.org/officeDocument/2006/relationships/hyperlink" Target="https://www.acf.hhs.gov/opre/report/examining-link-foster-care-runaway-episodes-and-human-trafficking" TargetMode="External"/><Relationship Id="rId22" Type="http://schemas.openxmlformats.org/officeDocument/2006/relationships/hyperlink" Target="https://www.fatf-gafi.org/media/fatf/content/images/Human-Trafficking-2018.pdf" TargetMode="External"/><Relationship Id="rId27" Type="http://schemas.openxmlformats.org/officeDocument/2006/relationships/hyperlink" Target="https://www.acf.hhs.gov/orr/programs/ucs/about" TargetMode="External"/><Relationship Id="rId30" Type="http://schemas.openxmlformats.org/officeDocument/2006/relationships/hyperlink" Target="https://www.acf.hhs.gov/otip/victim-assistance/child-eligibility-letters/resources" TargetMode="External"/><Relationship Id="rId35" Type="http://schemas.openxmlformats.org/officeDocument/2006/relationships/footer" Target="footer1.xml"/><Relationship Id="rId8" Type="http://schemas.openxmlformats.org/officeDocument/2006/relationships/hyperlink" Target="https://www.ovcttac.gov/downloads/views/HowWeCanHelp/HT/OVC_TTAC_Human_Trafficking_Action_Research_Toolkit_Revised_Dec2020_FINAL_508c_011921_JE.pdf" TargetMode="External"/><Relationship Id="rId3" Type="http://schemas.openxmlformats.org/officeDocument/2006/relationships/styles" Target="styles.xml"/><Relationship Id="rId12" Type="http://schemas.openxmlformats.org/officeDocument/2006/relationships/hyperlink" Target="https://www.justice.gov/humantrafficking/reports-and-publications" TargetMode="External"/><Relationship Id="rId17" Type="http://schemas.openxmlformats.org/officeDocument/2006/relationships/hyperlink" Target="http://www.justice.gov/humantrafficking/page/file/1276166/download" TargetMode="External"/><Relationship Id="rId25" Type="http://schemas.openxmlformats.org/officeDocument/2006/relationships/hyperlink" Target="https://www.fincen.gov/sites/default/files/shared/FinCEN%20OCSE%20Notice%20508C.pdf" TargetMode="External"/><Relationship Id="rId33" Type="http://schemas.openxmlformats.org/officeDocument/2006/relationships/hyperlink" Target="https://www.ojp.gov/pdffiles1/nij/grants/248578.pdf" TargetMode="External"/><Relationship Id="rId38"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1" Type="http://schemas.openxmlformats.org/officeDocument/2006/relationships/hyperlink" Target="https://www.state.gov/acknowledging-historical-and-ongoing-harm-the-connections-between-systemic-racism-and-human-trafficking/" TargetMode="External"/></Relationships>
</file>

<file path=word/documenttasks/documenttasks1.xml><?xml version="1.0" encoding="utf-8"?>
<t:Tasks xmlns:t="http://schemas.microsoft.com/office/tasks/2019/documenttasks" xmlns:oel="http://schemas.microsoft.com/office/2019/extlst">
  <t:Task id="{842E3735-C6D4-4A01-AAC9-7C5849E97352}">
    <t:Anchor>
      <t:Comment id="2132047420"/>
    </t:Anchor>
    <t:History>
      <t:Event id="{C5E3915A-707D-4348-8274-11604DACC88C}" time="2021-10-22T21:15:26.878Z">
        <t:Attribution userId="S::briggsjm2@state.gov::fa1b86e6-d02d-4631-982c-69e094803ecc" userProvider="AD" userName="Briggs, Jamie M"/>
        <t:Anchor>
          <t:Comment id="2132047420"/>
        </t:Anchor>
        <t:Create/>
      </t:Event>
      <t:Event id="{E3974823-DA68-4750-8FD7-877537648DC3}" time="2021-10-22T21:15:26.878Z">
        <t:Attribution userId="S::briggsjm2@state.gov::fa1b86e6-d02d-4631-982c-69e094803ecc" userProvider="AD" userName="Briggs, Jamie M"/>
        <t:Anchor>
          <t:Comment id="2132047420"/>
        </t:Anchor>
        <t:Assign userId="S::PickeringMS@state.gov::5e24c5be-2543-4e8c-8837-36806a356d14" userProvider="AD" userName="Pickering, Margaret S"/>
      </t:Event>
      <t:Event id="{40D17B63-E6C4-4469-8534-9712C9040E41}" time="2021-10-22T21:15:26.878Z">
        <t:Attribution userId="S::briggsjm2@state.gov::fa1b86e6-d02d-4631-982c-69e094803ecc" userProvider="AD" userName="Briggs, Jamie M"/>
        <t:Anchor>
          <t:Comment id="2132047420"/>
        </t:Anchor>
        <t:SetTitle title="@Pickering, Margaret S should review this paragraph. Should forced labor be part of this periodic report? I guess it could technically fall under &quot;sale of children&quot; in some circumstances of forced labor but that would be slavery, right? @Kelly, Brian M …"/>
      </t:Event>
      <t:Event id="{C25111B5-98B8-458E-AE78-D67883986464}" time="2021-10-27T22:12:03.691Z">
        <t:Attribution userId="S::kellybm@state.gov::16a3f443-c62d-4f9c-b0d7-c1ad3bf7a557" userProvider="AD" userName="Kelly, Brian M"/>
        <t:Progress percentComplete="100"/>
      </t:Event>
    </t:History>
  </t:Task>
  <t:Task id="{3F5A8E6B-3E36-4C05-A210-49DA1FEF4336}">
    <t:Anchor>
      <t:Comment id="1029352535"/>
    </t:Anchor>
    <t:History>
      <t:Event id="{11727E49-8ED6-438B-8F36-E6962A061A24}" time="2021-10-25T16:56:57.647Z">
        <t:Attribution userId="S::schoune@state.gov::970034b9-4654-464e-8792-0c9ea7901e29" userProvider="AD" userName="Schou, Nina E"/>
        <t:Anchor>
          <t:Comment id="1512291165"/>
        </t:Anchor>
        <t:Create/>
      </t:Event>
      <t:Event id="{C6CD5AD0-21A8-41A3-A818-29C643A6E64A}" time="2021-10-25T16:56:57.647Z">
        <t:Attribution userId="S::schoune@state.gov::970034b9-4654-464e-8792-0c9ea7901e29" userProvider="AD" userName="Schou, Nina E"/>
        <t:Anchor>
          <t:Comment id="1512291165"/>
        </t:Anchor>
        <t:Assign userId="S::VogelL@state.gov::b0738320-4f9b-450d-855a-683537347673" userProvider="AD" userName="Vogel, Lisa"/>
      </t:Event>
      <t:Event id="{15DCF34F-A167-4EA1-8DCB-A295D754BB80}" time="2021-10-25T16:56:57.647Z">
        <t:Attribution userId="S::schoune@state.gov::970034b9-4654-464e-8792-0c9ea7901e29" userProvider="AD" userName="Schou, Nina E"/>
        <t:Anchor>
          <t:Comment id="1512291165"/>
        </t:Anchor>
        <t:SetTitle title="@Vogel, Lisa Lisa - please review and add language if there are any significant updates on this that are worth reporting to the UN. I would think it could suffice."/>
      </t:Event>
      <t:Event id="{4EA44AC8-D06B-4F56-85B7-B6C33709B08B}" time="2021-10-28T17:18:28.533Z">
        <t:Attribution userId="S::kellybm@state.gov::16a3f443-c62d-4f9c-b0d7-c1ad3bf7a557" userProvider="AD" userName="Kelly, Brian M"/>
        <t:Progress percentComplete="100"/>
      </t:Event>
    </t:History>
  </t:Task>
  <t:Task id="{98CDCD5D-86C0-48EA-AA1E-7225C5F3B587}">
    <t:Anchor>
      <t:Comment id="1490033763"/>
    </t:Anchor>
    <t:History>
      <t:Event id="{20209B0D-E128-40F9-A4BD-42ECBE256541}" time="2021-10-25T17:03:03.602Z">
        <t:Attribution userId="S::schoune@state.gov::970034b9-4654-464e-8792-0c9ea7901e29" userProvider="AD" userName="Schou, Nina E"/>
        <t:Anchor>
          <t:Comment id="1156913073"/>
        </t:Anchor>
        <t:Create/>
      </t:Event>
      <t:Event id="{C31E6EBA-C8F7-45DB-9910-66C84DF81163}" time="2021-10-25T17:03:03.602Z">
        <t:Attribution userId="S::schoune@state.gov::970034b9-4654-464e-8792-0c9ea7901e29" userProvider="AD" userName="Schou, Nina E"/>
        <t:Anchor>
          <t:Comment id="1156913073"/>
        </t:Anchor>
        <t:Assign userId="S::McNerneyPX@state.gov::d4ebdd42-f21c-4369-a34d-4bb68b77990b" userProvider="AD" userName="McNerney, Patricia X"/>
      </t:Event>
      <t:Event id="{B89AF1DD-044B-4C37-93D8-73082D2A4FD7}" time="2021-10-25T17:03:03.602Z">
        <t:Attribution userId="S::schoune@state.gov::970034b9-4654-464e-8792-0c9ea7901e29" userProvider="AD" userName="Schou, Nina E"/>
        <t:Anchor>
          <t:Comment id="1156913073"/>
        </t:Anchor>
        <t:SetTitle title="@McNerney, Patricia X Patti - if this isn't your's can you assign it to the right poc?"/>
      </t:Event>
      <t:Event id="{E67691E3-C2BB-4A5F-86B2-0AB94AA40873}" time="2021-10-28T14:05:08.592Z">
        <t:Attribution userId="S::kellybm@state.gov::16a3f443-c62d-4f9c-b0d7-c1ad3bf7a557" userProvider="AD" userName="Kelly, Brian M"/>
        <t:Progress percentComplete="100"/>
      </t:Event>
    </t:History>
  </t:Task>
  <t:Task id="{70001871-7EBF-485F-964C-3547F4C7E6AA}">
    <t:Anchor>
      <t:Comment id="753136139"/>
    </t:Anchor>
    <t:History>
      <t:Event id="{A4166AAB-2A2B-472D-8D35-94D54073126F}" time="2021-12-13T22:54:10.419Z">
        <t:Attribution userId="S::briggsjm2@state.gov::fa1b86e6-d02d-4631-982c-69e094803ecc" userProvider="AD" userName="Briggs, Jamie M"/>
        <t:Anchor>
          <t:Comment id="753136139"/>
        </t:Anchor>
        <t:Create/>
      </t:Event>
      <t:Event id="{38236B59-763A-4C54-B070-A8367E93FC5C}" time="2021-12-13T22:54:10.419Z">
        <t:Attribution userId="S::briggsjm2@state.gov::fa1b86e6-d02d-4631-982c-69e094803ecc" userProvider="AD" userName="Briggs, Jamie M"/>
        <t:Anchor>
          <t:Comment id="753136139"/>
        </t:Anchor>
        <t:Assign userId="S::GitauRF@state.gov::8cec5c2d-050f-47d9-9eb8-1fc36b7c1aba" userProvider="AD" userName="Gitau, Rukayya F"/>
      </t:Event>
      <t:Event id="{383B85F5-76D8-46D4-8F8B-983937B4A145}" time="2021-12-13T22:54:10.419Z">
        <t:Attribution userId="S::briggsjm2@state.gov::fa1b86e6-d02d-4631-982c-69e094803ecc" userProvider="AD" userName="Briggs, Jamie M"/>
        <t:Anchor>
          <t:Comment id="753136139"/>
        </t:Anchor>
        <t:SetTitle title="@Gitau, Rukayya F to review this paragraph on U and T visas, in particular, is CA and L/CA ok with using nonimmigrant status and visa interchangeably here?"/>
      </t:Event>
    </t:History>
  </t:Task>
  <t:Task id="{9778C0E6-7115-4A61-9270-5684BF6350D8}">
    <t:Anchor>
      <t:Comment id="512329624"/>
    </t:Anchor>
    <t:History>
      <t:Event id="{6225D31D-4D0E-4E7F-AE6E-6B7AAE23D3EF}" time="2021-12-13T23:03:41.647Z">
        <t:Attribution userId="S::briggsjm2@state.gov::fa1b86e6-d02d-4631-982c-69e094803ecc" userProvider="AD" userName="Briggs, Jamie M"/>
        <t:Anchor>
          <t:Comment id="512329624"/>
        </t:Anchor>
        <t:Create/>
      </t:Event>
      <t:Event id="{B924C787-4707-4EEC-A1E9-F3F49DBB0F3B}" time="2021-12-13T23:03:41.647Z">
        <t:Attribution userId="S::briggsjm2@state.gov::fa1b86e6-d02d-4631-982c-69e094803ecc" userProvider="AD" userName="Briggs, Jamie M"/>
        <t:Anchor>
          <t:Comment id="512329624"/>
        </t:Anchor>
        <t:Assign userId="S::RosaliaCL@state.gov::83429104-8abf-45ae-a5f9-2990eaeb2529" userProvider="AD" userName="Rosalia, Carine L"/>
      </t:Event>
      <t:Event id="{1317C468-F1EA-4520-995D-BA5E8327C841}" time="2021-12-13T23:03:41.647Z">
        <t:Attribution userId="S::briggsjm2@state.gov::fa1b86e6-d02d-4631-982c-69e094803ecc" userProvider="AD" userName="Briggs, Jamie M"/>
        <t:Anchor>
          <t:Comment id="512329624"/>
        </t:Anchor>
        <t:SetTitle title="@Rosalia, Carine L"/>
      </t:Event>
    </t:History>
  </t:Task>
  <t:Task id="{94A04434-F50E-4328-99CD-A25BC5443B9A}">
    <t:Anchor>
      <t:Comment id="943462263"/>
    </t:Anchor>
    <t:History>
      <t:Event id="{BF68179A-8898-4151-A8CD-20AF5DCB0A08}" time="2021-12-15T21:10:42.898Z">
        <t:Attribution userId="S::snydersl2@state.gov::6a4588e6-cd4d-4eb3-aee3-3f83e33da8ee" userProvider="AD" userName="Snyder, Susan L"/>
        <t:Anchor>
          <t:Comment id="30056591"/>
        </t:Anchor>
        <t:Create/>
      </t:Event>
      <t:Event id="{C82BDC9F-6ACF-4112-BD56-613C2BE8CFA6}" time="2021-12-15T21:10:42.898Z">
        <t:Attribution userId="S::snydersl2@state.gov::6a4588e6-cd4d-4eb3-aee3-3f83e33da8ee" userProvider="AD" userName="Snyder, Susan L"/>
        <t:Anchor>
          <t:Comment id="30056591"/>
        </t:Anchor>
        <t:Assign userId="S::BuryCM@state.gov::faf6e979-c8bb-4ea8-a9ec-202052bfc88b" userProvider="AD" userName="Bury, Carla Menares"/>
      </t:Event>
      <t:Event id="{41CADECB-D4CF-4D3B-B33F-2213E51E405B}" time="2021-12-15T21:10:42.898Z">
        <t:Attribution userId="S::snydersl2@state.gov::6a4588e6-cd4d-4eb3-aee3-3f83e33da8ee" userProvider="AD" userName="Snyder, Susan L"/>
        <t:Anchor>
          <t:Comment id="30056591"/>
        </t:Anchor>
        <t:SetTitle title="@Bury, Carla Menares Let's not here, this section is on evaluation and coordination and our covid fund are mostly going to all TIP victims, not necessarily childre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5859C75F2D0D46BD2FCD7E0443139D" ma:contentTypeVersion="0" ma:contentTypeDescription="Create a new document." ma:contentTypeScope="" ma:versionID="93f6911fe142d5adf96167b38b5fed6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669B75-65F6-4314-A56D-9F3602A2FC75}">
  <ds:schemaRefs>
    <ds:schemaRef ds:uri="http://schemas.openxmlformats.org/officeDocument/2006/bibliography"/>
  </ds:schemaRefs>
</ds:datastoreItem>
</file>

<file path=customXml/itemProps2.xml><?xml version="1.0" encoding="utf-8"?>
<ds:datastoreItem xmlns:ds="http://schemas.openxmlformats.org/officeDocument/2006/customXml" ds:itemID="{38214480-2E29-4C11-AAEB-25B32EDCC6AB}"/>
</file>

<file path=customXml/itemProps3.xml><?xml version="1.0" encoding="utf-8"?>
<ds:datastoreItem xmlns:ds="http://schemas.openxmlformats.org/officeDocument/2006/customXml" ds:itemID="{8CA4F603-A102-4EAD-9B19-670B5841396A}"/>
</file>

<file path=customXml/itemProps4.xml><?xml version="1.0" encoding="utf-8"?>
<ds:datastoreItem xmlns:ds="http://schemas.openxmlformats.org/officeDocument/2006/customXml" ds:itemID="{B9DD7106-B82A-48CE-914E-037551329817}"/>
</file>

<file path=docProps/app.xml><?xml version="1.0" encoding="utf-8"?>
<Properties xmlns="http://schemas.openxmlformats.org/officeDocument/2006/extended-properties" xmlns:vt="http://schemas.openxmlformats.org/officeDocument/2006/docPropsVTypes">
  <Template>Normal.dotm</Template>
  <TotalTime>1</TotalTime>
  <Pages>45</Pages>
  <Words>19944</Words>
  <Characters>116872</Characters>
  <Application>Microsoft Office Word</Application>
  <DocSecurity>4</DocSecurity>
  <Lines>1855</Lines>
  <Paragraphs>545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Bethary  West</dc:creator>
  <cp:keywords/>
  <dc:description/>
  <cp:lastModifiedBy>BOIT James</cp:lastModifiedBy>
  <cp:revision>2</cp:revision>
  <cp:lastPrinted>2022-01-19T19:02:00Z</cp:lastPrinted>
  <dcterms:created xsi:type="dcterms:W3CDTF">2022-01-24T10:47:00Z</dcterms:created>
  <dcterms:modified xsi:type="dcterms:W3CDTF">2022-01-24T10:47:00Z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2022-01-18T22:25:32Z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37fc9814-45b5-4099-ab83-334a33499fcd</vt:lpwstr>
  </property>
  <property fmtid="{D5CDD505-2E9C-101B-9397-08002B2CF9AE}" pid="8" name="MSIP_Label_1665d9ee-429a-4d5f-97cc-cfb56e044a6e_ContentBits">
    <vt:lpwstr>0</vt:lpwstr>
  </property>
  <property fmtid="{D5CDD505-2E9C-101B-9397-08002B2CF9AE}" pid="9" name="ContentTypeId">
    <vt:lpwstr>0x010100165859C75F2D0D46BD2FCD7E0443139D</vt:lpwstr>
  </property>
</Properties>
</file>