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72F6D" w14:textId="50968F7B" w:rsidR="00B002AA" w:rsidRPr="000F175F" w:rsidRDefault="005021A6" w:rsidP="005021A6">
      <w:pPr>
        <w:pStyle w:val="Default"/>
        <w:tabs>
          <w:tab w:val="left" w:pos="10490"/>
          <w:tab w:val="left" w:pos="10632"/>
        </w:tabs>
        <w:jc w:val="center"/>
        <w:rPr>
          <w:rFonts w:asciiTheme="majorBidi" w:hAnsiTheme="majorBidi" w:cstheme="majorBidi"/>
          <w:color w:val="auto"/>
          <w:sz w:val="22"/>
          <w:szCs w:val="22"/>
          <w:lang w:val="en-US"/>
        </w:rPr>
      </w:pPr>
      <w:r w:rsidRPr="000F175F">
        <w:rPr>
          <w:rFonts w:asciiTheme="majorBidi" w:hAnsiTheme="majorBidi" w:cstheme="majorBidi"/>
          <w:noProof/>
          <w:color w:val="auto"/>
          <w:sz w:val="22"/>
          <w:szCs w:val="22"/>
          <w:lang w:val="en-US" w:eastAsia="fr-FR"/>
        </w:rPr>
        <w:drawing>
          <wp:inline distT="0" distB="0" distL="0" distR="0" wp14:anchorId="4193CC3F" wp14:editId="182BC8EE">
            <wp:extent cx="1723390" cy="914400"/>
            <wp:effectExtent l="0" t="0" r="0" b="0"/>
            <wp:docPr id="1" name="Image 1" descr="C:\Users\k.ramli\Desktop\2019\MISCE\CND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amli\Desktop\2019\MISCE\CNDH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6911" cy="916268"/>
                    </a:xfrm>
                    <a:prstGeom prst="rect">
                      <a:avLst/>
                    </a:prstGeom>
                    <a:noFill/>
                    <a:ln>
                      <a:noFill/>
                    </a:ln>
                  </pic:spPr>
                </pic:pic>
              </a:graphicData>
            </a:graphic>
          </wp:inline>
        </w:drawing>
      </w:r>
    </w:p>
    <w:p w14:paraId="79FC73AF" w14:textId="77777777" w:rsidR="005021A6" w:rsidRPr="000F175F" w:rsidRDefault="005021A6" w:rsidP="005021A6">
      <w:pPr>
        <w:autoSpaceDE w:val="0"/>
        <w:autoSpaceDN w:val="0"/>
        <w:adjustRightInd w:val="0"/>
        <w:spacing w:line="240" w:lineRule="auto"/>
        <w:rPr>
          <w:rFonts w:asciiTheme="majorBidi" w:eastAsiaTheme="minorHAnsi" w:hAnsiTheme="majorBidi" w:cstheme="majorBidi"/>
          <w:lang w:val="en-US" w:eastAsia="en-US"/>
        </w:rPr>
      </w:pPr>
    </w:p>
    <w:p w14:paraId="64EEFBAE" w14:textId="77777777" w:rsidR="005021A6" w:rsidRPr="000F175F" w:rsidRDefault="005021A6" w:rsidP="005021A6">
      <w:pPr>
        <w:autoSpaceDE w:val="0"/>
        <w:autoSpaceDN w:val="0"/>
        <w:adjustRightInd w:val="0"/>
        <w:spacing w:line="240" w:lineRule="auto"/>
        <w:rPr>
          <w:rFonts w:asciiTheme="majorBidi" w:eastAsiaTheme="minorHAnsi" w:hAnsiTheme="majorBidi" w:cstheme="majorBidi"/>
          <w:lang w:val="en-US" w:eastAsia="en-US"/>
        </w:rPr>
      </w:pPr>
    </w:p>
    <w:p w14:paraId="779BFA05"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35D38043"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0DEC5A4B"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3F509B74"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1268916D"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509FC5BC"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1C718D8C"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4B4FFBF1"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56811C59"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32296D55"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7A54180A"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072B2063"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1C86270C"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6194A9DC" w14:textId="77777777"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b/>
          <w:bCs/>
          <w:lang w:val="en-US" w:eastAsia="en-US"/>
        </w:rPr>
      </w:pPr>
    </w:p>
    <w:p w14:paraId="3F3A2CD6" w14:textId="6AF80ACA" w:rsidR="005021A6" w:rsidRPr="000F175F" w:rsidRDefault="008C0C99" w:rsidP="005021A6">
      <w:pPr>
        <w:autoSpaceDE w:val="0"/>
        <w:autoSpaceDN w:val="0"/>
        <w:adjustRightInd w:val="0"/>
        <w:spacing w:line="240" w:lineRule="auto"/>
        <w:jc w:val="center"/>
        <w:rPr>
          <w:rFonts w:asciiTheme="majorBidi" w:eastAsiaTheme="minorHAnsi" w:hAnsiTheme="majorBidi" w:cstheme="majorBidi"/>
          <w:lang w:val="en-US" w:eastAsia="en-US"/>
        </w:rPr>
      </w:pPr>
      <w:r>
        <w:rPr>
          <w:rFonts w:asciiTheme="majorBidi" w:eastAsiaTheme="minorHAnsi" w:hAnsiTheme="majorBidi" w:cstheme="majorBidi"/>
          <w:b/>
          <w:bCs/>
          <w:lang w:val="en-US" w:eastAsia="en-US"/>
        </w:rPr>
        <w:t xml:space="preserve">PARALLEL </w:t>
      </w:r>
      <w:r w:rsidR="005021A6" w:rsidRPr="000F175F">
        <w:rPr>
          <w:rFonts w:asciiTheme="majorBidi" w:eastAsiaTheme="minorHAnsi" w:hAnsiTheme="majorBidi" w:cstheme="majorBidi"/>
          <w:b/>
          <w:bCs/>
          <w:lang w:val="en-US" w:eastAsia="en-US"/>
        </w:rPr>
        <w:t>OF THE NATIONAL HUMAN RIGHTS COUNCIL OF MOROCCO</w:t>
      </w:r>
    </w:p>
    <w:p w14:paraId="35D6D36D" w14:textId="1518E87F" w:rsidR="005021A6" w:rsidRPr="000F175F" w:rsidRDefault="005021A6" w:rsidP="005021A6">
      <w:pPr>
        <w:autoSpaceDE w:val="0"/>
        <w:autoSpaceDN w:val="0"/>
        <w:adjustRightInd w:val="0"/>
        <w:spacing w:line="240" w:lineRule="auto"/>
        <w:jc w:val="center"/>
        <w:rPr>
          <w:rFonts w:asciiTheme="majorBidi" w:eastAsiaTheme="minorHAnsi" w:hAnsiTheme="majorBidi" w:cstheme="majorBidi"/>
          <w:lang w:val="en-US" w:eastAsia="en-US"/>
        </w:rPr>
      </w:pPr>
      <w:r w:rsidRPr="000F175F">
        <w:rPr>
          <w:rFonts w:asciiTheme="majorBidi" w:eastAsiaTheme="minorHAnsi" w:hAnsiTheme="majorBidi" w:cstheme="majorBidi"/>
          <w:b/>
          <w:bCs/>
          <w:lang w:val="en-US" w:eastAsia="en-US"/>
        </w:rPr>
        <w:t>TO</w:t>
      </w:r>
    </w:p>
    <w:p w14:paraId="17B474AE" w14:textId="76C23055" w:rsidR="005021A6" w:rsidRPr="000F175F" w:rsidRDefault="005021A6" w:rsidP="008C0C99">
      <w:pPr>
        <w:jc w:val="center"/>
        <w:rPr>
          <w:rFonts w:asciiTheme="majorBidi" w:eastAsiaTheme="minorHAnsi" w:hAnsiTheme="majorBidi" w:cstheme="majorBidi"/>
          <w:b/>
          <w:bCs/>
          <w:lang w:val="en-US" w:eastAsia="en-US"/>
        </w:rPr>
      </w:pPr>
      <w:r w:rsidRPr="000F175F">
        <w:rPr>
          <w:rFonts w:asciiTheme="majorBidi" w:eastAsiaTheme="minorHAnsi" w:hAnsiTheme="majorBidi" w:cstheme="majorBidi"/>
          <w:b/>
          <w:bCs/>
          <w:lang w:val="en-US" w:eastAsia="en-US"/>
        </w:rPr>
        <w:t xml:space="preserve">THE COMMITTEE ON THE ELIMINATION OF ALL FORMS OF DISCRIMINATION AGAINST WOMEN </w:t>
      </w:r>
    </w:p>
    <w:p w14:paraId="1F454719" w14:textId="77777777" w:rsidR="005021A6" w:rsidRPr="000F175F" w:rsidRDefault="005021A6" w:rsidP="005021A6">
      <w:pPr>
        <w:jc w:val="center"/>
        <w:rPr>
          <w:rFonts w:asciiTheme="majorBidi" w:eastAsiaTheme="minorHAnsi" w:hAnsiTheme="majorBidi" w:cstheme="majorBidi"/>
          <w:b/>
          <w:bCs/>
          <w:lang w:val="en-US" w:eastAsia="en-US"/>
        </w:rPr>
      </w:pPr>
    </w:p>
    <w:p w14:paraId="3FC54C52" w14:textId="77777777" w:rsidR="005021A6" w:rsidRPr="000F175F" w:rsidRDefault="005021A6" w:rsidP="005021A6">
      <w:pPr>
        <w:jc w:val="center"/>
        <w:rPr>
          <w:rFonts w:asciiTheme="majorBidi" w:eastAsiaTheme="minorHAnsi" w:hAnsiTheme="majorBidi" w:cstheme="majorBidi"/>
          <w:b/>
          <w:bCs/>
          <w:lang w:val="en-US" w:eastAsia="en-US"/>
        </w:rPr>
      </w:pPr>
    </w:p>
    <w:p w14:paraId="0F0DAF26" w14:textId="77777777" w:rsidR="005021A6" w:rsidRPr="000F175F" w:rsidRDefault="005021A6" w:rsidP="005021A6">
      <w:pPr>
        <w:jc w:val="center"/>
        <w:rPr>
          <w:rFonts w:asciiTheme="majorBidi" w:eastAsiaTheme="minorHAnsi" w:hAnsiTheme="majorBidi" w:cstheme="majorBidi"/>
          <w:b/>
          <w:bCs/>
          <w:lang w:val="en-US" w:eastAsia="en-US"/>
        </w:rPr>
      </w:pPr>
    </w:p>
    <w:p w14:paraId="1B04F19D" w14:textId="77777777" w:rsidR="005021A6" w:rsidRPr="000F175F" w:rsidRDefault="005021A6" w:rsidP="005021A6">
      <w:pPr>
        <w:jc w:val="center"/>
        <w:rPr>
          <w:rFonts w:asciiTheme="majorBidi" w:eastAsiaTheme="minorHAnsi" w:hAnsiTheme="majorBidi" w:cstheme="majorBidi"/>
          <w:b/>
          <w:bCs/>
          <w:lang w:val="en-US" w:eastAsia="en-US"/>
        </w:rPr>
      </w:pPr>
    </w:p>
    <w:p w14:paraId="27B5DF57" w14:textId="77777777" w:rsidR="005021A6" w:rsidRPr="000F175F" w:rsidRDefault="005021A6" w:rsidP="005021A6">
      <w:pPr>
        <w:jc w:val="center"/>
        <w:rPr>
          <w:rFonts w:asciiTheme="majorBidi" w:eastAsiaTheme="minorHAnsi" w:hAnsiTheme="majorBidi" w:cstheme="majorBidi"/>
          <w:b/>
          <w:bCs/>
          <w:lang w:val="en-US" w:eastAsia="en-US"/>
        </w:rPr>
      </w:pPr>
    </w:p>
    <w:p w14:paraId="0745D524" w14:textId="77777777" w:rsidR="005021A6" w:rsidRPr="000F175F" w:rsidRDefault="005021A6" w:rsidP="005021A6">
      <w:pPr>
        <w:jc w:val="center"/>
        <w:rPr>
          <w:rFonts w:asciiTheme="majorBidi" w:eastAsiaTheme="minorHAnsi" w:hAnsiTheme="majorBidi" w:cstheme="majorBidi"/>
          <w:b/>
          <w:bCs/>
          <w:lang w:val="en-US" w:eastAsia="en-US"/>
        </w:rPr>
      </w:pPr>
    </w:p>
    <w:p w14:paraId="1D0E72F6" w14:textId="77777777" w:rsidR="005021A6" w:rsidRPr="000F175F" w:rsidRDefault="005021A6" w:rsidP="005021A6">
      <w:pPr>
        <w:jc w:val="center"/>
        <w:rPr>
          <w:rFonts w:asciiTheme="majorBidi" w:eastAsiaTheme="minorHAnsi" w:hAnsiTheme="majorBidi" w:cstheme="majorBidi"/>
          <w:b/>
          <w:bCs/>
          <w:lang w:val="en-US" w:eastAsia="en-US"/>
        </w:rPr>
      </w:pPr>
    </w:p>
    <w:p w14:paraId="4E5D19A3" w14:textId="77777777" w:rsidR="005021A6" w:rsidRPr="000F175F" w:rsidRDefault="005021A6" w:rsidP="005021A6">
      <w:pPr>
        <w:jc w:val="center"/>
        <w:rPr>
          <w:rFonts w:asciiTheme="majorBidi" w:eastAsiaTheme="minorHAnsi" w:hAnsiTheme="majorBidi" w:cstheme="majorBidi"/>
          <w:b/>
          <w:bCs/>
          <w:lang w:val="en-US" w:eastAsia="en-US"/>
        </w:rPr>
      </w:pPr>
    </w:p>
    <w:p w14:paraId="64AD6CFC" w14:textId="77777777" w:rsidR="005021A6" w:rsidRPr="000F175F" w:rsidRDefault="005021A6" w:rsidP="005021A6">
      <w:pPr>
        <w:jc w:val="center"/>
        <w:rPr>
          <w:rFonts w:asciiTheme="majorBidi" w:eastAsiaTheme="minorHAnsi" w:hAnsiTheme="majorBidi" w:cstheme="majorBidi"/>
          <w:b/>
          <w:bCs/>
          <w:lang w:val="en-US" w:eastAsia="en-US"/>
        </w:rPr>
      </w:pPr>
    </w:p>
    <w:p w14:paraId="6C3AF987" w14:textId="77777777" w:rsidR="005021A6" w:rsidRPr="000F175F" w:rsidRDefault="005021A6" w:rsidP="005021A6">
      <w:pPr>
        <w:jc w:val="center"/>
        <w:rPr>
          <w:rFonts w:asciiTheme="majorBidi" w:eastAsiaTheme="minorHAnsi" w:hAnsiTheme="majorBidi" w:cstheme="majorBidi"/>
          <w:b/>
          <w:bCs/>
          <w:lang w:val="en-US" w:eastAsia="en-US"/>
        </w:rPr>
      </w:pPr>
    </w:p>
    <w:p w14:paraId="2D83A528" w14:textId="77777777" w:rsidR="005021A6" w:rsidRPr="000F175F" w:rsidRDefault="005021A6" w:rsidP="005021A6">
      <w:pPr>
        <w:jc w:val="center"/>
        <w:rPr>
          <w:rFonts w:asciiTheme="majorBidi" w:eastAsiaTheme="minorHAnsi" w:hAnsiTheme="majorBidi" w:cstheme="majorBidi"/>
          <w:b/>
          <w:bCs/>
          <w:lang w:val="en-US" w:eastAsia="en-US"/>
        </w:rPr>
      </w:pPr>
    </w:p>
    <w:p w14:paraId="2E63C5C6" w14:textId="77777777" w:rsidR="005021A6" w:rsidRPr="000F175F" w:rsidRDefault="005021A6" w:rsidP="005021A6">
      <w:pPr>
        <w:jc w:val="center"/>
        <w:rPr>
          <w:rFonts w:asciiTheme="majorBidi" w:eastAsiaTheme="minorHAnsi" w:hAnsiTheme="majorBidi" w:cstheme="majorBidi"/>
          <w:b/>
          <w:bCs/>
          <w:lang w:val="en-US" w:eastAsia="en-US"/>
        </w:rPr>
      </w:pPr>
    </w:p>
    <w:p w14:paraId="44A71964" w14:textId="77777777" w:rsidR="005021A6" w:rsidRPr="000F175F" w:rsidRDefault="005021A6" w:rsidP="005021A6">
      <w:pPr>
        <w:jc w:val="center"/>
        <w:rPr>
          <w:rFonts w:asciiTheme="majorBidi" w:eastAsiaTheme="minorHAnsi" w:hAnsiTheme="majorBidi" w:cstheme="majorBidi"/>
          <w:b/>
          <w:bCs/>
          <w:lang w:val="en-US" w:eastAsia="en-US"/>
        </w:rPr>
      </w:pPr>
    </w:p>
    <w:p w14:paraId="5985F0B6" w14:textId="77777777" w:rsidR="005021A6" w:rsidRPr="000F175F" w:rsidRDefault="005021A6" w:rsidP="005021A6">
      <w:pPr>
        <w:jc w:val="center"/>
        <w:rPr>
          <w:rFonts w:asciiTheme="majorBidi" w:eastAsiaTheme="minorHAnsi" w:hAnsiTheme="majorBidi" w:cstheme="majorBidi"/>
          <w:b/>
          <w:bCs/>
          <w:lang w:val="en-US" w:eastAsia="en-US"/>
        </w:rPr>
      </w:pPr>
    </w:p>
    <w:p w14:paraId="027058BA" w14:textId="77777777" w:rsidR="005021A6" w:rsidRPr="000F175F" w:rsidRDefault="005021A6" w:rsidP="005021A6">
      <w:pPr>
        <w:jc w:val="center"/>
        <w:rPr>
          <w:rFonts w:asciiTheme="majorBidi" w:eastAsiaTheme="minorHAnsi" w:hAnsiTheme="majorBidi" w:cstheme="majorBidi"/>
          <w:b/>
          <w:bCs/>
          <w:lang w:val="en-US" w:eastAsia="en-US"/>
        </w:rPr>
      </w:pPr>
    </w:p>
    <w:p w14:paraId="2B088C8C" w14:textId="77777777" w:rsidR="005021A6" w:rsidRPr="000F175F" w:rsidRDefault="005021A6" w:rsidP="005021A6">
      <w:pPr>
        <w:jc w:val="center"/>
        <w:rPr>
          <w:rFonts w:asciiTheme="majorBidi" w:eastAsiaTheme="minorHAnsi" w:hAnsiTheme="majorBidi" w:cstheme="majorBidi"/>
          <w:b/>
          <w:bCs/>
          <w:lang w:val="en-US" w:eastAsia="en-US"/>
        </w:rPr>
      </w:pPr>
    </w:p>
    <w:p w14:paraId="287D03C7" w14:textId="77777777" w:rsidR="005021A6" w:rsidRPr="000F175F" w:rsidRDefault="005021A6" w:rsidP="005021A6">
      <w:pPr>
        <w:autoSpaceDE w:val="0"/>
        <w:autoSpaceDN w:val="0"/>
        <w:adjustRightInd w:val="0"/>
        <w:spacing w:line="240" w:lineRule="auto"/>
        <w:rPr>
          <w:rFonts w:asciiTheme="majorBidi" w:eastAsiaTheme="minorHAnsi" w:hAnsiTheme="majorBidi" w:cstheme="majorBidi"/>
          <w:lang w:val="en-US" w:eastAsia="en-US"/>
        </w:rPr>
      </w:pPr>
    </w:p>
    <w:p w14:paraId="5F06C108" w14:textId="77777777" w:rsidR="005021A6" w:rsidRPr="000F175F" w:rsidRDefault="005021A6" w:rsidP="005021A6">
      <w:pPr>
        <w:autoSpaceDE w:val="0"/>
        <w:autoSpaceDN w:val="0"/>
        <w:adjustRightInd w:val="0"/>
        <w:spacing w:line="240" w:lineRule="auto"/>
        <w:rPr>
          <w:rFonts w:asciiTheme="majorBidi" w:eastAsiaTheme="minorHAnsi" w:hAnsiTheme="majorBidi" w:cstheme="majorBidi"/>
          <w:lang w:val="en-US" w:eastAsia="en-US"/>
        </w:rPr>
      </w:pPr>
    </w:p>
    <w:p w14:paraId="02049A73" w14:textId="746CB23D" w:rsidR="005021A6" w:rsidRPr="000F175F" w:rsidRDefault="005021A6" w:rsidP="005021A6">
      <w:pPr>
        <w:jc w:val="center"/>
        <w:rPr>
          <w:rFonts w:asciiTheme="majorBidi" w:eastAsiaTheme="minorHAnsi" w:hAnsiTheme="majorBidi" w:cstheme="majorBidi"/>
          <w:b/>
          <w:bCs/>
          <w:lang w:val="en-US" w:eastAsia="en-US"/>
        </w:rPr>
      </w:pPr>
      <w:r w:rsidRPr="000F175F">
        <w:rPr>
          <w:rFonts w:asciiTheme="majorBidi" w:eastAsiaTheme="minorHAnsi" w:hAnsiTheme="majorBidi" w:cstheme="majorBidi"/>
          <w:lang w:val="en-US" w:eastAsia="en-US"/>
        </w:rPr>
        <w:t xml:space="preserve"> </w:t>
      </w:r>
      <w:r w:rsidRPr="000F175F">
        <w:rPr>
          <w:rFonts w:asciiTheme="majorBidi" w:eastAsiaTheme="minorHAnsi" w:hAnsiTheme="majorBidi" w:cstheme="majorBidi"/>
          <w:b/>
          <w:bCs/>
          <w:lang w:val="en-US" w:eastAsia="en-US"/>
        </w:rPr>
        <w:t>May 2022</w:t>
      </w:r>
    </w:p>
    <w:p w14:paraId="65B2CD25" w14:textId="77777777" w:rsidR="00BF00FE" w:rsidRPr="000F175F" w:rsidRDefault="00BF00FE" w:rsidP="00BF00FE">
      <w:pPr>
        <w:autoSpaceDE w:val="0"/>
        <w:autoSpaceDN w:val="0"/>
        <w:adjustRightInd w:val="0"/>
        <w:spacing w:line="240" w:lineRule="auto"/>
        <w:rPr>
          <w:rFonts w:asciiTheme="majorBidi" w:eastAsiaTheme="minorHAnsi" w:hAnsiTheme="majorBidi" w:cstheme="majorBidi"/>
          <w:lang w:val="en-US" w:eastAsia="en-US"/>
        </w:rPr>
      </w:pPr>
    </w:p>
    <w:p w14:paraId="1774FD4E" w14:textId="77777777" w:rsidR="00BF00FE" w:rsidRPr="000F175F" w:rsidRDefault="00BF00FE" w:rsidP="00BF00FE">
      <w:pPr>
        <w:autoSpaceDE w:val="0"/>
        <w:autoSpaceDN w:val="0"/>
        <w:adjustRightInd w:val="0"/>
        <w:spacing w:line="240" w:lineRule="auto"/>
        <w:rPr>
          <w:rFonts w:asciiTheme="majorBidi" w:eastAsiaTheme="minorHAnsi" w:hAnsiTheme="majorBidi" w:cstheme="majorBidi"/>
          <w:lang w:val="en-US" w:eastAsia="en-US"/>
        </w:rPr>
      </w:pPr>
    </w:p>
    <w:p w14:paraId="30959E3C" w14:textId="77777777" w:rsidR="00204C7F" w:rsidRPr="000F175F" w:rsidRDefault="00204C7F" w:rsidP="00204C7F">
      <w:pPr>
        <w:autoSpaceDE w:val="0"/>
        <w:autoSpaceDN w:val="0"/>
        <w:adjustRightInd w:val="0"/>
        <w:spacing w:line="240" w:lineRule="auto"/>
        <w:jc w:val="both"/>
        <w:rPr>
          <w:rFonts w:asciiTheme="majorBidi" w:eastAsiaTheme="minorHAnsi" w:hAnsiTheme="majorBidi" w:cstheme="majorBidi"/>
          <w:rtl/>
          <w:lang w:val="en-US" w:eastAsia="en-US"/>
        </w:rPr>
      </w:pPr>
    </w:p>
    <w:p w14:paraId="76E44187" w14:textId="315933EF" w:rsidR="00204C7F" w:rsidRPr="000F175F" w:rsidRDefault="00204C7F" w:rsidP="00204C7F">
      <w:pPr>
        <w:pStyle w:val="Paragraphedeliste"/>
        <w:numPr>
          <w:ilvl w:val="0"/>
          <w:numId w:val="4"/>
        </w:numPr>
        <w:autoSpaceDE w:val="0"/>
        <w:autoSpaceDN w:val="0"/>
        <w:adjustRightInd w:val="0"/>
        <w:spacing w:line="240" w:lineRule="auto"/>
        <w:jc w:val="both"/>
        <w:rPr>
          <w:rFonts w:asciiTheme="majorBidi" w:eastAsiaTheme="minorHAnsi" w:hAnsiTheme="majorBidi" w:cstheme="majorBidi"/>
          <w:b/>
          <w:bCs/>
          <w:lang w:val="en-US" w:eastAsia="en-US"/>
        </w:rPr>
      </w:pPr>
      <w:r w:rsidRPr="000F175F">
        <w:rPr>
          <w:rFonts w:asciiTheme="majorBidi" w:eastAsiaTheme="minorHAnsi" w:hAnsiTheme="majorBidi" w:cstheme="majorBidi"/>
          <w:b/>
          <w:bCs/>
          <w:lang w:val="en-US" w:eastAsia="en-US"/>
        </w:rPr>
        <w:lastRenderedPageBreak/>
        <w:t xml:space="preserve">Overview </w:t>
      </w:r>
    </w:p>
    <w:p w14:paraId="088FC8BF" w14:textId="77777777" w:rsidR="00204C7F" w:rsidRPr="000F175F" w:rsidRDefault="00204C7F" w:rsidP="00204C7F">
      <w:pPr>
        <w:autoSpaceDE w:val="0"/>
        <w:autoSpaceDN w:val="0"/>
        <w:adjustRightInd w:val="0"/>
        <w:spacing w:line="240" w:lineRule="auto"/>
        <w:jc w:val="both"/>
        <w:rPr>
          <w:rFonts w:asciiTheme="majorBidi" w:eastAsiaTheme="minorHAnsi" w:hAnsiTheme="majorBidi" w:cstheme="majorBidi"/>
          <w:lang w:val="en-US" w:eastAsia="en-US"/>
        </w:rPr>
      </w:pPr>
    </w:p>
    <w:p w14:paraId="7E264C49" w14:textId="496FF9E2" w:rsidR="00BF00FE" w:rsidRPr="000F175F" w:rsidRDefault="00BF00FE" w:rsidP="001955AD">
      <w:pPr>
        <w:pStyle w:val="Paragraphedeliste"/>
        <w:numPr>
          <w:ilvl w:val="0"/>
          <w:numId w:val="2"/>
        </w:numPr>
        <w:autoSpaceDE w:val="0"/>
        <w:autoSpaceDN w:val="0"/>
        <w:adjustRightInd w:val="0"/>
        <w:spacing w:line="240" w:lineRule="auto"/>
        <w:jc w:val="both"/>
        <w:rPr>
          <w:rFonts w:asciiTheme="majorBidi" w:eastAsiaTheme="minorHAnsi" w:hAnsiTheme="majorBidi" w:cstheme="majorBidi"/>
          <w:lang w:val="en-US" w:eastAsia="en-US"/>
        </w:rPr>
      </w:pPr>
      <w:r w:rsidRPr="000F175F">
        <w:rPr>
          <w:rFonts w:asciiTheme="majorBidi" w:eastAsiaTheme="minorHAnsi" w:hAnsiTheme="majorBidi" w:cstheme="majorBidi"/>
          <w:lang w:val="en-US" w:eastAsia="en-US"/>
        </w:rPr>
        <w:t>The National Human Rights Council of Morocco</w:t>
      </w:r>
      <w:r w:rsidR="00F55F87" w:rsidRPr="000F175F">
        <w:rPr>
          <w:rFonts w:asciiTheme="majorBidi" w:eastAsiaTheme="minorHAnsi" w:hAnsiTheme="majorBidi" w:cstheme="majorBidi"/>
          <w:lang w:val="en-US" w:eastAsia="en-US"/>
        </w:rPr>
        <w:t xml:space="preserve"> (CNDH)</w:t>
      </w:r>
      <w:r w:rsidRPr="000F175F">
        <w:rPr>
          <w:rFonts w:asciiTheme="majorBidi" w:eastAsiaTheme="minorHAnsi" w:hAnsiTheme="majorBidi" w:cstheme="majorBidi"/>
          <w:lang w:val="en-US" w:eastAsia="en-US"/>
        </w:rPr>
        <w:t xml:space="preserve"> welcomes the opportunity to make this submission to the </w:t>
      </w:r>
      <w:r w:rsidRPr="000F175F">
        <w:rPr>
          <w:rFonts w:asciiTheme="majorBidi" w:hAnsiTheme="majorBidi" w:cstheme="majorBidi"/>
          <w:shd w:val="clear" w:color="auto" w:fill="FFFFFF"/>
          <w:lang w:val="en-US"/>
        </w:rPr>
        <w:t>Committee on the Elimination of Discrimination against Women</w:t>
      </w:r>
      <w:r w:rsidRPr="000F175F">
        <w:rPr>
          <w:rFonts w:asciiTheme="majorBidi" w:eastAsiaTheme="minorHAnsi" w:hAnsiTheme="majorBidi" w:cstheme="majorBidi"/>
          <w:lang w:val="en-US" w:eastAsia="en-US"/>
        </w:rPr>
        <w:t xml:space="preserve"> (CEDAW)</w:t>
      </w:r>
      <w:r w:rsidR="0028566A" w:rsidRPr="000F175F">
        <w:rPr>
          <w:rFonts w:asciiTheme="majorBidi" w:eastAsiaTheme="minorHAnsi" w:hAnsiTheme="majorBidi" w:cstheme="majorBidi"/>
          <w:lang w:val="en-US" w:eastAsia="en-US"/>
        </w:rPr>
        <w:t>. It is intended to complement</w:t>
      </w:r>
      <w:r w:rsidRPr="000F175F">
        <w:rPr>
          <w:rFonts w:asciiTheme="majorBidi" w:eastAsiaTheme="minorHAnsi" w:hAnsiTheme="majorBidi" w:cstheme="majorBidi"/>
          <w:lang w:val="en-US" w:eastAsia="en-US"/>
        </w:rPr>
        <w:t xml:space="preserve"> the parallel report it submitted in October 2020</w:t>
      </w:r>
      <w:r w:rsidRPr="000F175F">
        <w:rPr>
          <w:rStyle w:val="Appelnotedebasdep"/>
          <w:rFonts w:asciiTheme="majorBidi" w:eastAsiaTheme="minorHAnsi" w:hAnsiTheme="majorBidi" w:cstheme="majorBidi"/>
          <w:lang w:val="en-US" w:eastAsia="en-US"/>
        </w:rPr>
        <w:footnoteReference w:id="1"/>
      </w:r>
      <w:r w:rsidRPr="000F175F">
        <w:rPr>
          <w:rFonts w:asciiTheme="majorBidi" w:eastAsiaTheme="minorHAnsi" w:hAnsiTheme="majorBidi" w:cstheme="majorBidi"/>
          <w:lang w:val="en-US" w:eastAsia="en-US"/>
        </w:rPr>
        <w:t xml:space="preserve"> and the dialogue it has with CEDAW in </w:t>
      </w:r>
      <w:r w:rsidR="0028566A" w:rsidRPr="000F175F">
        <w:rPr>
          <w:rFonts w:asciiTheme="majorBidi" w:eastAsiaTheme="minorHAnsi" w:hAnsiTheme="majorBidi" w:cstheme="majorBidi"/>
          <w:lang w:val="en-US" w:eastAsia="en-US"/>
        </w:rPr>
        <w:t>November 2020</w:t>
      </w:r>
      <w:r w:rsidRPr="000F175F">
        <w:rPr>
          <w:rFonts w:asciiTheme="majorBidi" w:eastAsiaTheme="minorHAnsi" w:hAnsiTheme="majorBidi" w:cstheme="majorBidi"/>
          <w:lang w:val="en-US" w:eastAsia="en-US"/>
        </w:rPr>
        <w:t xml:space="preserve"> with a view to adopting the list of issues (</w:t>
      </w:r>
      <w:proofErr w:type="spellStart"/>
      <w:r w:rsidRPr="000F175F">
        <w:rPr>
          <w:rFonts w:asciiTheme="majorBidi" w:eastAsiaTheme="minorHAnsi" w:hAnsiTheme="majorBidi" w:cstheme="majorBidi"/>
          <w:lang w:val="en-US" w:eastAsia="en-US"/>
        </w:rPr>
        <w:t>LoI</w:t>
      </w:r>
      <w:proofErr w:type="spellEnd"/>
      <w:r w:rsidRPr="000F175F">
        <w:rPr>
          <w:rFonts w:asciiTheme="majorBidi" w:eastAsiaTheme="minorHAnsi" w:hAnsiTheme="majorBidi" w:cstheme="majorBidi"/>
          <w:lang w:val="en-US" w:eastAsia="en-US"/>
        </w:rPr>
        <w:t xml:space="preserve">). In this submission, the CNDH formulates recommendations that the Committee may wish to include in its concluding observations and makes comments on the replies provided by the Government and issues raised by the Committee. </w:t>
      </w:r>
    </w:p>
    <w:p w14:paraId="42C6BCCE" w14:textId="77777777" w:rsidR="007E380B" w:rsidRPr="000F175F" w:rsidRDefault="007E380B" w:rsidP="007E380B">
      <w:pPr>
        <w:pStyle w:val="Paragraphedeliste"/>
        <w:shd w:val="clear" w:color="auto" w:fill="FFFFFF"/>
        <w:spacing w:before="100" w:beforeAutospacing="1" w:after="100" w:afterAutospacing="1"/>
        <w:ind w:left="360"/>
        <w:jc w:val="both"/>
        <w:rPr>
          <w:rFonts w:asciiTheme="majorBidi" w:eastAsia="Times New Roman" w:hAnsiTheme="majorBidi" w:cstheme="majorBidi"/>
          <w:lang w:val="en-US"/>
        </w:rPr>
      </w:pPr>
    </w:p>
    <w:p w14:paraId="1D214765" w14:textId="610EFBCF" w:rsidR="0003711D" w:rsidRPr="000F175F" w:rsidRDefault="0003711D" w:rsidP="0003711D">
      <w:pPr>
        <w:pStyle w:val="Paragraphedeliste"/>
        <w:numPr>
          <w:ilvl w:val="0"/>
          <w:numId w:val="2"/>
        </w:numPr>
        <w:shd w:val="clear" w:color="auto" w:fill="FFFFFF"/>
        <w:spacing w:before="100" w:beforeAutospacing="1" w:after="100" w:afterAutospacing="1"/>
        <w:jc w:val="both"/>
        <w:rPr>
          <w:rFonts w:asciiTheme="majorBidi" w:eastAsia="Times New Roman" w:hAnsiTheme="majorBidi" w:cstheme="majorBidi"/>
          <w:lang w:val="en-US"/>
        </w:rPr>
      </w:pPr>
      <w:r w:rsidRPr="000F175F">
        <w:rPr>
          <w:rFonts w:asciiTheme="majorBidi" w:eastAsia="Times New Roman" w:hAnsiTheme="majorBidi" w:cstheme="majorBidi"/>
          <w:lang w:val="en-US"/>
        </w:rPr>
        <w:t>The CNDH is a constitutionally mandated, independent and pluralistic national human rights institution (NHRI), working for the promotion and protection of human rights and freedoms throughout Morocco. It was established in 1990 and has been accredited since 1999 to an “A” status NHRI by the Global Alliance of National Human Rights Institutions (GANHRI), whose secretariat is ensured by the Office of the United Nations High Commissioner for Human Rights. Status “A” testifies that the CNDH functions in full compliance with the United Nations Paris Principles of 1993.</w:t>
      </w:r>
    </w:p>
    <w:p w14:paraId="5D46020D" w14:textId="77777777" w:rsidR="007E380B" w:rsidRPr="000F175F" w:rsidRDefault="007E380B" w:rsidP="007E380B">
      <w:pPr>
        <w:pStyle w:val="Paragraphedeliste"/>
        <w:shd w:val="clear" w:color="auto" w:fill="FFFFFF"/>
        <w:spacing w:before="100" w:beforeAutospacing="1" w:after="100" w:afterAutospacing="1"/>
        <w:ind w:left="360"/>
        <w:jc w:val="both"/>
        <w:rPr>
          <w:rFonts w:asciiTheme="majorBidi" w:eastAsia="Times New Roman" w:hAnsiTheme="majorBidi" w:cstheme="majorBidi"/>
          <w:lang w:val="en-US"/>
        </w:rPr>
      </w:pPr>
    </w:p>
    <w:p w14:paraId="20BCBB65" w14:textId="77777777" w:rsidR="0003711D" w:rsidRPr="000F175F" w:rsidRDefault="0003711D" w:rsidP="0003711D">
      <w:pPr>
        <w:pStyle w:val="Paragraphedeliste"/>
        <w:numPr>
          <w:ilvl w:val="0"/>
          <w:numId w:val="2"/>
        </w:numPr>
        <w:shd w:val="clear" w:color="auto" w:fill="FFFFFF"/>
        <w:spacing w:before="100" w:beforeAutospacing="1" w:after="100" w:afterAutospacing="1"/>
        <w:jc w:val="both"/>
        <w:rPr>
          <w:rFonts w:asciiTheme="majorBidi" w:eastAsia="Times New Roman" w:hAnsiTheme="majorBidi" w:cstheme="majorBidi"/>
          <w:lang w:val="en-US"/>
        </w:rPr>
      </w:pPr>
      <w:r w:rsidRPr="000F175F">
        <w:rPr>
          <w:rFonts w:asciiTheme="majorBidi" w:eastAsia="Times New Roman" w:hAnsiTheme="majorBidi" w:cstheme="majorBidi"/>
          <w:lang w:val="en-US"/>
        </w:rPr>
        <w:t xml:space="preserve">The CNDH has 12 regional human rights commissions, which cover the entire national territory and whose members, composed mainly of civil society representatives and human rights defenders, have been installed in September and October 2020.  </w:t>
      </w:r>
    </w:p>
    <w:p w14:paraId="61C9970B" w14:textId="77777777" w:rsidR="007E380B" w:rsidRPr="000F175F" w:rsidRDefault="007E380B" w:rsidP="007E380B">
      <w:pPr>
        <w:pStyle w:val="Paragraphedeliste"/>
        <w:shd w:val="clear" w:color="auto" w:fill="FFFFFF"/>
        <w:spacing w:before="100" w:beforeAutospacing="1" w:after="100" w:afterAutospacing="1"/>
        <w:ind w:left="360"/>
        <w:jc w:val="both"/>
        <w:rPr>
          <w:rFonts w:asciiTheme="majorBidi" w:eastAsia="Times New Roman" w:hAnsiTheme="majorBidi" w:cstheme="majorBidi"/>
          <w:lang w:val="en-US"/>
        </w:rPr>
      </w:pPr>
    </w:p>
    <w:p w14:paraId="6E607337" w14:textId="0DE8129C" w:rsidR="00F55F87" w:rsidRPr="000F175F" w:rsidRDefault="0003711D" w:rsidP="00F55F87">
      <w:pPr>
        <w:pStyle w:val="Paragraphedeliste"/>
        <w:numPr>
          <w:ilvl w:val="0"/>
          <w:numId w:val="2"/>
        </w:numPr>
        <w:shd w:val="clear" w:color="auto" w:fill="FFFFFF"/>
        <w:spacing w:before="100" w:beforeAutospacing="1" w:after="100" w:afterAutospacing="1"/>
        <w:jc w:val="both"/>
        <w:rPr>
          <w:rFonts w:asciiTheme="majorBidi" w:eastAsia="Times New Roman" w:hAnsiTheme="majorBidi" w:cstheme="majorBidi"/>
          <w:lang w:val="en-US"/>
        </w:rPr>
      </w:pPr>
      <w:r w:rsidRPr="000F175F">
        <w:rPr>
          <w:rFonts w:asciiTheme="majorBidi" w:eastAsia="Times New Roman" w:hAnsiTheme="majorBidi" w:cstheme="majorBidi"/>
          <w:lang w:val="en-US"/>
        </w:rPr>
        <w:t>A new law 76.15 reforming the CNDH was adopted unanimously by the Parliament in February 2018. This law considerably broadens the protection mandate of the CNDH, particularly by entrusting it with three mechanisms provided for by international human rights standards. These are the National Preventive Mechanism against Torture (NPM), in line with OPCAT</w:t>
      </w:r>
      <w:r w:rsidRPr="000F175F">
        <w:rPr>
          <w:rStyle w:val="Appelnotedebasdep"/>
          <w:rFonts w:asciiTheme="majorBidi" w:eastAsia="Times New Roman" w:hAnsiTheme="majorBidi" w:cstheme="majorBidi"/>
          <w:lang w:val="en-US"/>
        </w:rPr>
        <w:footnoteReference w:id="2"/>
      </w:r>
      <w:r w:rsidRPr="000F175F">
        <w:rPr>
          <w:rFonts w:asciiTheme="majorBidi" w:eastAsia="Times New Roman" w:hAnsiTheme="majorBidi" w:cstheme="majorBidi"/>
          <w:lang w:val="en-US"/>
        </w:rPr>
        <w:t>, the National Child Redress Mechanism, in line with General Comment 2 of the Committee on the Rights of the Child</w:t>
      </w:r>
      <w:r w:rsidRPr="000F175F">
        <w:rPr>
          <w:rStyle w:val="Appelnotedebasdep"/>
          <w:rFonts w:asciiTheme="majorBidi" w:eastAsia="Times New Roman" w:hAnsiTheme="majorBidi" w:cstheme="majorBidi"/>
          <w:lang w:val="en-US"/>
        </w:rPr>
        <w:footnoteReference w:id="3"/>
      </w:r>
      <w:r w:rsidRPr="000F175F">
        <w:rPr>
          <w:rFonts w:asciiTheme="majorBidi" w:eastAsia="Times New Roman" w:hAnsiTheme="majorBidi" w:cstheme="majorBidi"/>
          <w:lang w:val="en-US"/>
        </w:rPr>
        <w:t>, and the National Monitoring Mechanism for Persons with Disabilities, in line with Article 33</w:t>
      </w:r>
      <w:r w:rsidR="000F175F">
        <w:rPr>
          <w:rFonts w:asciiTheme="majorBidi" w:eastAsia="Times New Roman" w:hAnsiTheme="majorBidi" w:cstheme="majorBidi"/>
          <w:lang w:val="en-US"/>
        </w:rPr>
        <w:t>.2</w:t>
      </w:r>
      <w:r w:rsidRPr="000F175F">
        <w:rPr>
          <w:rFonts w:asciiTheme="majorBidi" w:eastAsia="Times New Roman" w:hAnsiTheme="majorBidi" w:cstheme="majorBidi"/>
          <w:lang w:val="en-US"/>
        </w:rPr>
        <w:t xml:space="preserve"> of the Convention on the Rights of Persons with Disabilities</w:t>
      </w:r>
      <w:r w:rsidRPr="000F175F">
        <w:rPr>
          <w:rStyle w:val="Appelnotedebasdep"/>
          <w:rFonts w:asciiTheme="majorBidi" w:eastAsia="Times New Roman" w:hAnsiTheme="majorBidi" w:cstheme="majorBidi"/>
          <w:lang w:val="en-US"/>
        </w:rPr>
        <w:footnoteReference w:id="4"/>
      </w:r>
      <w:r w:rsidRPr="000F175F">
        <w:rPr>
          <w:rFonts w:asciiTheme="majorBidi" w:eastAsia="Times New Roman" w:hAnsiTheme="majorBidi" w:cstheme="majorBidi"/>
          <w:lang w:val="en-US"/>
        </w:rPr>
        <w:t>.</w:t>
      </w:r>
    </w:p>
    <w:p w14:paraId="45B6132D" w14:textId="77777777" w:rsidR="00F55F87" w:rsidRPr="000F175F" w:rsidRDefault="00F55F87" w:rsidP="00F55F87">
      <w:pPr>
        <w:pStyle w:val="Paragraphedeliste"/>
        <w:rPr>
          <w:rFonts w:asciiTheme="majorBidi" w:eastAsiaTheme="minorHAnsi" w:hAnsiTheme="majorBidi" w:cstheme="majorBidi"/>
          <w:b/>
          <w:bCs/>
          <w:lang w:val="en-US" w:eastAsia="en-US"/>
        </w:rPr>
      </w:pPr>
    </w:p>
    <w:p w14:paraId="672DF80A" w14:textId="05486778" w:rsidR="0028566A" w:rsidRPr="000F175F" w:rsidRDefault="001955AD" w:rsidP="00204C7F">
      <w:pPr>
        <w:pStyle w:val="Paragraphedeliste"/>
        <w:numPr>
          <w:ilvl w:val="0"/>
          <w:numId w:val="4"/>
        </w:numPr>
        <w:rPr>
          <w:rFonts w:asciiTheme="majorBidi" w:eastAsiaTheme="minorHAnsi" w:hAnsiTheme="majorBidi" w:cstheme="majorBidi"/>
          <w:b/>
          <w:bCs/>
          <w:lang w:val="en-US" w:eastAsia="en-US"/>
        </w:rPr>
      </w:pPr>
      <w:r w:rsidRPr="000F175F">
        <w:rPr>
          <w:rFonts w:asciiTheme="majorBidi" w:eastAsiaTheme="minorHAnsi" w:hAnsiTheme="majorBidi" w:cstheme="majorBidi"/>
          <w:b/>
          <w:bCs/>
          <w:lang w:val="en-US" w:eastAsia="en-US"/>
        </w:rPr>
        <w:t>Recent</w:t>
      </w:r>
      <w:r w:rsidR="0028566A" w:rsidRPr="000F175F">
        <w:rPr>
          <w:rFonts w:asciiTheme="majorBidi" w:eastAsiaTheme="minorHAnsi" w:hAnsiTheme="majorBidi" w:cstheme="majorBidi"/>
          <w:b/>
          <w:bCs/>
          <w:lang w:val="en-US" w:eastAsia="en-US"/>
        </w:rPr>
        <w:t xml:space="preserve"> key developments</w:t>
      </w:r>
      <w:r w:rsidR="002001D9" w:rsidRPr="000F175F">
        <w:rPr>
          <w:rFonts w:asciiTheme="majorBidi" w:eastAsiaTheme="minorHAnsi" w:hAnsiTheme="majorBidi" w:cstheme="majorBidi"/>
          <w:b/>
          <w:bCs/>
          <w:lang w:val="en-US" w:eastAsia="en-US"/>
        </w:rPr>
        <w:t xml:space="preserve"> regarding women’s rights </w:t>
      </w:r>
      <w:r w:rsidR="0028566A" w:rsidRPr="000F175F">
        <w:rPr>
          <w:rFonts w:asciiTheme="majorBidi" w:eastAsiaTheme="minorHAnsi" w:hAnsiTheme="majorBidi" w:cstheme="majorBidi"/>
          <w:b/>
          <w:bCs/>
          <w:lang w:val="en-US" w:eastAsia="en-US"/>
        </w:rPr>
        <w:t xml:space="preserve"> </w:t>
      </w:r>
    </w:p>
    <w:p w14:paraId="7D1FA119" w14:textId="77777777" w:rsidR="0099196B" w:rsidRPr="000F175F" w:rsidRDefault="0099196B" w:rsidP="0099196B">
      <w:pPr>
        <w:pStyle w:val="Paragraphedeliste"/>
        <w:autoSpaceDE w:val="0"/>
        <w:autoSpaceDN w:val="0"/>
        <w:adjustRightInd w:val="0"/>
        <w:spacing w:line="240" w:lineRule="auto"/>
        <w:ind w:left="360"/>
        <w:jc w:val="both"/>
        <w:rPr>
          <w:rFonts w:asciiTheme="majorBidi" w:hAnsiTheme="majorBidi" w:cstheme="majorBidi"/>
          <w:lang w:val="en-US"/>
        </w:rPr>
      </w:pPr>
    </w:p>
    <w:p w14:paraId="00EC8F28" w14:textId="4C686410" w:rsidR="00AF018A" w:rsidRPr="000F175F" w:rsidRDefault="00C01471" w:rsidP="00AF018A">
      <w:pPr>
        <w:pStyle w:val="Paragraphedeliste"/>
        <w:numPr>
          <w:ilvl w:val="0"/>
          <w:numId w:val="2"/>
        </w:numPr>
        <w:autoSpaceDE w:val="0"/>
        <w:autoSpaceDN w:val="0"/>
        <w:adjustRightInd w:val="0"/>
        <w:spacing w:line="240" w:lineRule="auto"/>
        <w:jc w:val="both"/>
        <w:rPr>
          <w:rFonts w:asciiTheme="majorBidi" w:hAnsiTheme="majorBidi" w:cstheme="majorBidi"/>
          <w:lang w:val="en-US"/>
        </w:rPr>
      </w:pPr>
      <w:r w:rsidRPr="000F175F">
        <w:rPr>
          <w:rFonts w:asciiTheme="majorBidi" w:hAnsiTheme="majorBidi" w:cstheme="majorBidi"/>
          <w:lang w:val="en-US"/>
        </w:rPr>
        <w:t xml:space="preserve">With regard to </w:t>
      </w:r>
      <w:r w:rsidRPr="000F175F">
        <w:rPr>
          <w:rFonts w:asciiTheme="majorBidi" w:hAnsiTheme="majorBidi" w:cstheme="majorBidi"/>
          <w:b/>
          <w:bCs/>
          <w:lang w:val="en-US"/>
        </w:rPr>
        <w:t>treaty practice</w:t>
      </w:r>
      <w:r w:rsidRPr="000F175F">
        <w:rPr>
          <w:rFonts w:asciiTheme="majorBidi" w:hAnsiTheme="majorBidi" w:cstheme="majorBidi"/>
          <w:lang w:val="en-US"/>
        </w:rPr>
        <w:t>, t</w:t>
      </w:r>
      <w:r w:rsidR="0028566A" w:rsidRPr="000F175F">
        <w:rPr>
          <w:rFonts w:asciiTheme="majorBidi" w:hAnsiTheme="majorBidi" w:cstheme="majorBidi"/>
          <w:lang w:val="en-US"/>
        </w:rPr>
        <w:t>he CNDH notes with satisfaction Morocco’s ratification of</w:t>
      </w:r>
      <w:r w:rsidR="006525FA" w:rsidRPr="000F175F">
        <w:rPr>
          <w:rFonts w:asciiTheme="majorBidi" w:hAnsiTheme="majorBidi" w:cstheme="majorBidi"/>
          <w:lang w:val="en-US"/>
        </w:rPr>
        <w:t xml:space="preserve"> the </w:t>
      </w:r>
      <w:r w:rsidR="0028566A" w:rsidRPr="000F175F">
        <w:rPr>
          <w:rFonts w:asciiTheme="majorBidi" w:hAnsiTheme="majorBidi" w:cstheme="majorBidi"/>
          <w:lang w:val="en-US"/>
        </w:rPr>
        <w:t>Optional Protocol</w:t>
      </w:r>
      <w:r w:rsidR="006525FA" w:rsidRPr="000F175F">
        <w:rPr>
          <w:rFonts w:asciiTheme="majorBidi" w:hAnsiTheme="majorBidi" w:cstheme="majorBidi"/>
          <w:lang w:val="en-US"/>
        </w:rPr>
        <w:t xml:space="preserve"> to</w:t>
      </w:r>
      <w:r w:rsidR="0028566A" w:rsidRPr="000F175F">
        <w:rPr>
          <w:rFonts w:asciiTheme="majorBidi" w:hAnsiTheme="majorBidi" w:cstheme="majorBidi"/>
          <w:lang w:val="en-US"/>
        </w:rPr>
        <w:t xml:space="preserve"> </w:t>
      </w:r>
      <w:r w:rsidR="006525FA" w:rsidRPr="000F175F">
        <w:rPr>
          <w:rFonts w:asciiTheme="majorBidi" w:hAnsiTheme="majorBidi" w:cstheme="majorBidi"/>
          <w:lang w:val="en-US"/>
        </w:rPr>
        <w:t xml:space="preserve">CEDAW </w:t>
      </w:r>
      <w:r w:rsidR="00F55F87" w:rsidRPr="000F175F">
        <w:rPr>
          <w:rFonts w:asciiTheme="majorBidi" w:hAnsiTheme="majorBidi" w:cstheme="majorBidi"/>
          <w:lang w:val="en-US"/>
        </w:rPr>
        <w:t xml:space="preserve">as well as the Optional Protocol to ICCPR </w:t>
      </w:r>
      <w:r w:rsidR="0028566A" w:rsidRPr="000F175F">
        <w:rPr>
          <w:rFonts w:asciiTheme="majorBidi" w:hAnsiTheme="majorBidi" w:cstheme="majorBidi"/>
          <w:lang w:val="en-US"/>
        </w:rPr>
        <w:t xml:space="preserve">in April 2022. This is a response to </w:t>
      </w:r>
      <w:r w:rsidR="001955AD" w:rsidRPr="000F175F">
        <w:rPr>
          <w:rFonts w:asciiTheme="majorBidi" w:hAnsiTheme="majorBidi" w:cstheme="majorBidi"/>
          <w:lang w:val="en-US"/>
        </w:rPr>
        <w:t>one of the CNDH structuring recommendation</w:t>
      </w:r>
      <w:r w:rsidR="002001D9" w:rsidRPr="000F175F">
        <w:rPr>
          <w:rFonts w:asciiTheme="majorBidi" w:hAnsiTheme="majorBidi" w:cstheme="majorBidi"/>
          <w:lang w:val="en-US"/>
        </w:rPr>
        <w:t>s</w:t>
      </w:r>
      <w:r w:rsidR="0028566A" w:rsidRPr="000F175F">
        <w:rPr>
          <w:rFonts w:asciiTheme="majorBidi" w:hAnsiTheme="majorBidi" w:cstheme="majorBidi"/>
          <w:lang w:val="en-US"/>
        </w:rPr>
        <w:t xml:space="preserve"> provided in its last three annual reports</w:t>
      </w:r>
      <w:r w:rsidR="001955AD" w:rsidRPr="000F175F">
        <w:rPr>
          <w:rFonts w:asciiTheme="majorBidi" w:hAnsiTheme="majorBidi" w:cstheme="majorBidi"/>
          <w:lang w:val="en-US"/>
        </w:rPr>
        <w:t>, including its annual report of 2021</w:t>
      </w:r>
      <w:r w:rsidR="001955AD" w:rsidRPr="000F175F">
        <w:rPr>
          <w:rStyle w:val="Appelnotedebasdep"/>
          <w:rFonts w:asciiTheme="majorBidi" w:hAnsiTheme="majorBidi" w:cstheme="majorBidi"/>
          <w:lang w:val="en-US"/>
        </w:rPr>
        <w:footnoteReference w:id="5"/>
      </w:r>
      <w:r w:rsidR="001955AD" w:rsidRPr="000F175F">
        <w:rPr>
          <w:rFonts w:asciiTheme="majorBidi" w:hAnsiTheme="majorBidi" w:cstheme="majorBidi"/>
          <w:lang w:val="en-US"/>
        </w:rPr>
        <w:t>.</w:t>
      </w:r>
      <w:r w:rsidR="000E7B30" w:rsidRPr="000F175F">
        <w:rPr>
          <w:rFonts w:asciiTheme="majorBidi" w:hAnsiTheme="majorBidi" w:cstheme="majorBidi"/>
          <w:lang w:val="en-US"/>
        </w:rPr>
        <w:t xml:space="preserve"> </w:t>
      </w:r>
    </w:p>
    <w:p w14:paraId="0095166D" w14:textId="77777777" w:rsidR="0086375A" w:rsidRPr="000F175F" w:rsidRDefault="0086375A" w:rsidP="001B6456">
      <w:pPr>
        <w:rPr>
          <w:rFonts w:asciiTheme="majorBidi" w:hAnsiTheme="majorBidi" w:cstheme="majorBidi"/>
          <w:lang w:val="en-US"/>
        </w:rPr>
      </w:pPr>
    </w:p>
    <w:p w14:paraId="6FAFD2C3" w14:textId="1C4BEE34" w:rsidR="00924803" w:rsidRPr="000F175F" w:rsidRDefault="006B5A6C" w:rsidP="001B6456">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principles of equality and parity between women and men are entrenched under the Preamble of the Constitution. In addition, the constitution comes up with the principle of the </w:t>
      </w:r>
      <w:r w:rsidRPr="000F175F">
        <w:rPr>
          <w:rFonts w:asciiTheme="majorBidi" w:hAnsiTheme="majorBidi" w:cstheme="majorBidi"/>
          <w:b/>
          <w:bCs/>
          <w:lang w:val="en-US"/>
        </w:rPr>
        <w:t>primacy of international conventions</w:t>
      </w:r>
      <w:r w:rsidRPr="000F175F">
        <w:rPr>
          <w:rFonts w:asciiTheme="majorBidi" w:hAnsiTheme="majorBidi" w:cstheme="majorBidi"/>
          <w:lang w:val="en-US"/>
        </w:rPr>
        <w:t xml:space="preserve"> duly ratified by Morocco over domestic laws. Ms. Amina </w:t>
      </w:r>
      <w:proofErr w:type="spellStart"/>
      <w:r w:rsidRPr="000F175F">
        <w:rPr>
          <w:rFonts w:asciiTheme="majorBidi" w:hAnsiTheme="majorBidi" w:cstheme="majorBidi"/>
          <w:lang w:val="en-US"/>
        </w:rPr>
        <w:t>Bouayach</w:t>
      </w:r>
      <w:proofErr w:type="spellEnd"/>
      <w:r w:rsidRPr="000F175F">
        <w:rPr>
          <w:rFonts w:asciiTheme="majorBidi" w:hAnsiTheme="majorBidi" w:cstheme="majorBidi"/>
          <w:lang w:val="en-US"/>
        </w:rPr>
        <w:t xml:space="preserve">, president of the CNDH, and Ms. Amina El </w:t>
      </w:r>
      <w:proofErr w:type="spellStart"/>
      <w:r w:rsidRPr="000F175F">
        <w:rPr>
          <w:rFonts w:asciiTheme="majorBidi" w:hAnsiTheme="majorBidi" w:cstheme="majorBidi"/>
          <w:lang w:val="en-US"/>
        </w:rPr>
        <w:t>Messaoudi</w:t>
      </w:r>
      <w:proofErr w:type="spellEnd"/>
      <w:r w:rsidRPr="000F175F">
        <w:rPr>
          <w:rFonts w:asciiTheme="majorBidi" w:hAnsiTheme="majorBidi" w:cstheme="majorBidi"/>
          <w:lang w:val="en-US"/>
        </w:rPr>
        <w:t>, a CNDH member, were members of the Constitutional Review Commission.</w:t>
      </w:r>
      <w:r w:rsidR="002001D9" w:rsidRPr="000F175F">
        <w:rPr>
          <w:rFonts w:asciiTheme="majorBidi" w:hAnsiTheme="majorBidi" w:cstheme="majorBidi"/>
          <w:lang w:val="en-US"/>
        </w:rPr>
        <w:t xml:space="preserve"> This principle of </w:t>
      </w:r>
      <w:r w:rsidR="001B6456" w:rsidRPr="000F175F">
        <w:rPr>
          <w:rFonts w:asciiTheme="majorBidi" w:hAnsiTheme="majorBidi" w:cstheme="majorBidi"/>
          <w:lang w:val="en-US"/>
        </w:rPr>
        <w:t>primacy</w:t>
      </w:r>
      <w:r w:rsidR="002001D9" w:rsidRPr="000F175F">
        <w:rPr>
          <w:rFonts w:asciiTheme="majorBidi" w:hAnsiTheme="majorBidi" w:cstheme="majorBidi"/>
          <w:lang w:val="en-US"/>
        </w:rPr>
        <w:t xml:space="preserve"> </w:t>
      </w:r>
      <w:r w:rsidR="0086375A" w:rsidRPr="000F175F">
        <w:rPr>
          <w:rFonts w:asciiTheme="majorBidi" w:hAnsiTheme="majorBidi" w:cstheme="majorBidi"/>
          <w:lang w:val="en-US"/>
        </w:rPr>
        <w:t xml:space="preserve">paves the way for courts to </w:t>
      </w:r>
      <w:r w:rsidR="002001D9" w:rsidRPr="000F175F">
        <w:rPr>
          <w:rFonts w:asciiTheme="majorBidi" w:hAnsiTheme="majorBidi" w:cstheme="majorBidi"/>
          <w:lang w:val="en-US"/>
        </w:rPr>
        <w:t>mainstream</w:t>
      </w:r>
      <w:r w:rsidR="0086375A" w:rsidRPr="000F175F">
        <w:rPr>
          <w:rFonts w:asciiTheme="majorBidi" w:hAnsiTheme="majorBidi" w:cstheme="majorBidi"/>
          <w:lang w:val="en-US"/>
        </w:rPr>
        <w:t xml:space="preserve"> international norms</w:t>
      </w:r>
      <w:r w:rsidR="002001D9" w:rsidRPr="000F175F">
        <w:rPr>
          <w:rFonts w:asciiTheme="majorBidi" w:hAnsiTheme="majorBidi" w:cstheme="majorBidi"/>
          <w:lang w:val="en-US"/>
        </w:rPr>
        <w:t xml:space="preserve"> in their judgments and decisions</w:t>
      </w:r>
      <w:r w:rsidR="0086375A" w:rsidRPr="000F175F">
        <w:rPr>
          <w:rFonts w:asciiTheme="majorBidi" w:hAnsiTheme="majorBidi" w:cstheme="majorBidi"/>
          <w:lang w:val="en-US"/>
        </w:rPr>
        <w:t xml:space="preserve">. In this regard, the CNDH reported in 2021 the </w:t>
      </w:r>
      <w:r w:rsidR="0086375A" w:rsidRPr="000F175F">
        <w:rPr>
          <w:rFonts w:asciiTheme="majorBidi" w:hAnsiTheme="majorBidi" w:cstheme="majorBidi"/>
          <w:lang w:val="en-US"/>
        </w:rPr>
        <w:lastRenderedPageBreak/>
        <w:t xml:space="preserve">criminalization </w:t>
      </w:r>
      <w:r w:rsidR="00AC52A6" w:rsidRPr="000F175F">
        <w:rPr>
          <w:rFonts w:asciiTheme="majorBidi" w:hAnsiTheme="majorBidi" w:cstheme="majorBidi"/>
          <w:lang w:val="en-US"/>
        </w:rPr>
        <w:t xml:space="preserve">of psychological violence as a distinct act by virtue of </w:t>
      </w:r>
      <w:r w:rsidR="006525FA" w:rsidRPr="000F175F">
        <w:rPr>
          <w:rFonts w:asciiTheme="majorBidi" w:hAnsiTheme="majorBidi" w:cstheme="majorBidi"/>
          <w:lang w:val="en-US"/>
        </w:rPr>
        <w:t xml:space="preserve">a </w:t>
      </w:r>
      <w:r w:rsidR="00AC52A6" w:rsidRPr="000F175F">
        <w:rPr>
          <w:rFonts w:asciiTheme="majorBidi" w:hAnsiTheme="majorBidi" w:cstheme="majorBidi"/>
          <w:lang w:val="en-US"/>
        </w:rPr>
        <w:t>judicial ruling</w:t>
      </w:r>
      <w:r w:rsidR="006525FA" w:rsidRPr="000F175F">
        <w:rPr>
          <w:rFonts w:asciiTheme="majorBidi" w:hAnsiTheme="majorBidi" w:cstheme="majorBidi"/>
          <w:lang w:val="en-US"/>
        </w:rPr>
        <w:t xml:space="preserve">, the </w:t>
      </w:r>
      <w:proofErr w:type="gramStart"/>
      <w:r w:rsidR="006525FA" w:rsidRPr="000F175F">
        <w:rPr>
          <w:rFonts w:asciiTheme="majorBidi" w:hAnsiTheme="majorBidi" w:cstheme="majorBidi"/>
          <w:lang w:val="en-US"/>
        </w:rPr>
        <w:t xml:space="preserve">first </w:t>
      </w:r>
      <w:r w:rsidR="00AC52A6" w:rsidRPr="000F175F">
        <w:rPr>
          <w:rFonts w:asciiTheme="majorBidi" w:hAnsiTheme="majorBidi" w:cstheme="majorBidi"/>
          <w:lang w:val="en-US"/>
        </w:rPr>
        <w:t xml:space="preserve"> of</w:t>
      </w:r>
      <w:proofErr w:type="gramEnd"/>
      <w:r w:rsidR="00AC52A6" w:rsidRPr="000F175F">
        <w:rPr>
          <w:rFonts w:asciiTheme="majorBidi" w:hAnsiTheme="majorBidi" w:cstheme="majorBidi"/>
          <w:lang w:val="en-US"/>
        </w:rPr>
        <w:t xml:space="preserve"> its kind</w:t>
      </w:r>
      <w:r w:rsidR="00AC52A6" w:rsidRPr="000F175F">
        <w:rPr>
          <w:rStyle w:val="Appelnotedebasdep"/>
          <w:rFonts w:asciiTheme="majorBidi" w:hAnsiTheme="majorBidi" w:cstheme="majorBidi"/>
          <w:lang w:val="en-US"/>
        </w:rPr>
        <w:footnoteReference w:id="6"/>
      </w:r>
      <w:r w:rsidR="00AC52A6" w:rsidRPr="000F175F">
        <w:rPr>
          <w:rFonts w:asciiTheme="majorBidi" w:hAnsiTheme="majorBidi" w:cstheme="majorBidi"/>
          <w:lang w:val="en-US"/>
        </w:rPr>
        <w:t>.</w:t>
      </w:r>
      <w:r w:rsidR="008A124E" w:rsidRPr="000F175F">
        <w:rPr>
          <w:rFonts w:asciiTheme="majorBidi" w:hAnsiTheme="majorBidi" w:cstheme="majorBidi"/>
          <w:lang w:val="en-US"/>
        </w:rPr>
        <w:t xml:space="preserve"> In addition, the CNDH welcomed a decision rendered by the Court of Cassation</w:t>
      </w:r>
      <w:r w:rsidR="008A124E" w:rsidRPr="000F175F">
        <w:rPr>
          <w:rStyle w:val="Appelnotedebasdep"/>
          <w:rFonts w:asciiTheme="majorBidi" w:hAnsiTheme="majorBidi" w:cstheme="majorBidi"/>
          <w:lang w:val="en-US"/>
        </w:rPr>
        <w:footnoteReference w:id="7"/>
      </w:r>
      <w:r w:rsidR="008A124E" w:rsidRPr="000F175F">
        <w:rPr>
          <w:rFonts w:asciiTheme="majorBidi" w:hAnsiTheme="majorBidi" w:cstheme="majorBidi"/>
          <w:lang w:val="en-US"/>
        </w:rPr>
        <w:t xml:space="preserve">, considering that “a minor wife who has been involved in an illegal relationship with an adult person” is a victim of a crime of indecent assault according to </w:t>
      </w:r>
      <w:r w:rsidR="006525FA" w:rsidRPr="000F175F">
        <w:rPr>
          <w:rFonts w:asciiTheme="majorBidi" w:hAnsiTheme="majorBidi" w:cstheme="majorBidi"/>
          <w:lang w:val="en-US"/>
        </w:rPr>
        <w:t>Article</w:t>
      </w:r>
      <w:r w:rsidR="008A124E" w:rsidRPr="000F175F">
        <w:rPr>
          <w:rFonts w:asciiTheme="majorBidi" w:hAnsiTheme="majorBidi" w:cstheme="majorBidi"/>
          <w:lang w:val="en-US"/>
        </w:rPr>
        <w:t xml:space="preserve"> 484 of the Criminal Code. The Court added that she enjoys a criminal protection appropriate to the condition of the minor child, consistent with the Convention on the Rights of the Child.</w:t>
      </w:r>
      <w:r w:rsidR="00CB39FE" w:rsidRPr="000F175F">
        <w:rPr>
          <w:rFonts w:asciiTheme="majorBidi" w:hAnsiTheme="majorBidi" w:cstheme="majorBidi"/>
          <w:lang w:val="en-US"/>
        </w:rPr>
        <w:t xml:space="preserve"> </w:t>
      </w:r>
    </w:p>
    <w:p w14:paraId="241E1241" w14:textId="77777777" w:rsidR="002F56EE" w:rsidRPr="000F175F" w:rsidRDefault="002F56EE" w:rsidP="002F56EE">
      <w:pPr>
        <w:pStyle w:val="Paragraphedeliste"/>
        <w:spacing w:after="160" w:line="259" w:lineRule="auto"/>
        <w:ind w:left="360"/>
        <w:jc w:val="both"/>
        <w:rPr>
          <w:rFonts w:asciiTheme="majorBidi" w:hAnsiTheme="majorBidi" w:cstheme="majorBidi"/>
          <w:lang w:val="en-US"/>
        </w:rPr>
      </w:pPr>
    </w:p>
    <w:p w14:paraId="09303D63" w14:textId="5689679C" w:rsidR="00CB39FE" w:rsidRPr="000F175F" w:rsidRDefault="00CB39FE" w:rsidP="001B6456">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The CNDH addressed in its various reports</w:t>
      </w:r>
      <w:r w:rsidRPr="000F175F">
        <w:rPr>
          <w:rStyle w:val="Appelnotedebasdep"/>
          <w:rFonts w:asciiTheme="majorBidi" w:hAnsiTheme="majorBidi" w:cstheme="majorBidi"/>
          <w:lang w:val="en-US"/>
        </w:rPr>
        <w:footnoteReference w:id="8"/>
      </w:r>
      <w:r w:rsidRPr="000F175F">
        <w:rPr>
          <w:rFonts w:asciiTheme="majorBidi" w:hAnsiTheme="majorBidi" w:cstheme="majorBidi"/>
          <w:lang w:val="en-US"/>
        </w:rPr>
        <w:t xml:space="preserve"> </w:t>
      </w:r>
      <w:r w:rsidR="00633D18" w:rsidRPr="000F175F">
        <w:rPr>
          <w:rFonts w:asciiTheme="majorBidi" w:hAnsiTheme="majorBidi" w:cstheme="majorBidi"/>
          <w:lang w:val="en-US"/>
        </w:rPr>
        <w:t xml:space="preserve">recommendations to courts, with a view to </w:t>
      </w:r>
      <w:r w:rsidRPr="000F175F">
        <w:rPr>
          <w:rFonts w:asciiTheme="majorBidi" w:hAnsiTheme="majorBidi" w:cstheme="majorBidi"/>
          <w:lang w:val="en-US"/>
        </w:rPr>
        <w:t>entrench</w:t>
      </w:r>
      <w:r w:rsidR="00633D18" w:rsidRPr="000F175F">
        <w:rPr>
          <w:rFonts w:asciiTheme="majorBidi" w:hAnsiTheme="majorBidi" w:cstheme="majorBidi"/>
          <w:lang w:val="en-US"/>
        </w:rPr>
        <w:t>ing</w:t>
      </w:r>
      <w:r w:rsidRPr="000F175F">
        <w:rPr>
          <w:rFonts w:asciiTheme="majorBidi" w:hAnsiTheme="majorBidi" w:cstheme="majorBidi"/>
          <w:lang w:val="en-US"/>
        </w:rPr>
        <w:t xml:space="preserve"> the mainstreaming of international human rights instruments duly ratified by Morocco and apply</w:t>
      </w:r>
      <w:r w:rsidR="00633D18" w:rsidRPr="000F175F">
        <w:rPr>
          <w:rFonts w:asciiTheme="majorBidi" w:hAnsiTheme="majorBidi" w:cstheme="majorBidi"/>
          <w:lang w:val="en-US"/>
        </w:rPr>
        <w:t>ing</w:t>
      </w:r>
      <w:r w:rsidRPr="000F175F">
        <w:rPr>
          <w:rFonts w:asciiTheme="majorBidi" w:hAnsiTheme="majorBidi" w:cstheme="majorBidi"/>
          <w:lang w:val="en-US"/>
        </w:rPr>
        <w:t xml:space="preserve"> the principle of </w:t>
      </w:r>
      <w:r w:rsidR="001B6456" w:rsidRPr="000F175F">
        <w:rPr>
          <w:rFonts w:asciiTheme="majorBidi" w:hAnsiTheme="majorBidi" w:cstheme="majorBidi"/>
          <w:lang w:val="en-US"/>
        </w:rPr>
        <w:t>primacy</w:t>
      </w:r>
      <w:r w:rsidRPr="000F175F">
        <w:rPr>
          <w:rFonts w:asciiTheme="majorBidi" w:hAnsiTheme="majorBidi" w:cstheme="majorBidi"/>
          <w:lang w:val="en-US"/>
        </w:rPr>
        <w:t xml:space="preserve"> of these norms over domestic legislation in application of the preamble of the constitution.</w:t>
      </w:r>
    </w:p>
    <w:p w14:paraId="32FB14A4" w14:textId="77777777" w:rsidR="00AC52A6" w:rsidRPr="000F175F" w:rsidRDefault="00AC52A6" w:rsidP="00AC52A6">
      <w:pPr>
        <w:pStyle w:val="Paragraphedeliste"/>
        <w:rPr>
          <w:rFonts w:asciiTheme="majorBidi" w:hAnsiTheme="majorBidi" w:cstheme="majorBidi"/>
          <w:lang w:val="en-US"/>
        </w:rPr>
      </w:pPr>
    </w:p>
    <w:p w14:paraId="3D4A52A7" w14:textId="6339AC82" w:rsidR="001B6456" w:rsidRPr="000F175F" w:rsidRDefault="002001D9" w:rsidP="001B6456">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w:t>
      </w:r>
      <w:r w:rsidRPr="000F175F">
        <w:rPr>
          <w:rFonts w:asciiTheme="majorBidi" w:hAnsiTheme="majorBidi" w:cstheme="majorBidi"/>
          <w:b/>
          <w:bCs/>
          <w:lang w:val="en-US"/>
        </w:rPr>
        <w:t>legal arsenal</w:t>
      </w:r>
      <w:r w:rsidRPr="000F175F">
        <w:rPr>
          <w:rFonts w:asciiTheme="majorBidi" w:hAnsiTheme="majorBidi" w:cstheme="majorBidi"/>
          <w:lang w:val="en-US"/>
        </w:rPr>
        <w:t xml:space="preserve"> in Morocco also saw a significant progress related to the provisions of CEDAW. Thus, a series of laws have been adopted in the field, as mentioned in the national report. Despite this legislative development, some laws need to be brought into compliance with international standards. Thus, Organic law </w:t>
      </w:r>
      <w:r w:rsidR="000F175F">
        <w:rPr>
          <w:rFonts w:asciiTheme="majorBidi" w:hAnsiTheme="majorBidi" w:cstheme="majorBidi"/>
          <w:lang w:val="en-US"/>
        </w:rPr>
        <w:t>02.12</w:t>
      </w:r>
      <w:r w:rsidRPr="000F175F">
        <w:rPr>
          <w:rFonts w:asciiTheme="majorBidi" w:hAnsiTheme="majorBidi" w:cstheme="majorBidi"/>
          <w:lang w:val="en-US"/>
        </w:rPr>
        <w:t xml:space="preserve"> (2012) relating to the appointment to senior posts does not provide for provisions relating to parity. Law No. </w:t>
      </w:r>
      <w:r w:rsidR="000F175F">
        <w:rPr>
          <w:rFonts w:asciiTheme="majorBidi" w:hAnsiTheme="majorBidi" w:cstheme="majorBidi"/>
          <w:lang w:val="en-US"/>
        </w:rPr>
        <w:t>103.13</w:t>
      </w:r>
      <w:r w:rsidRPr="000F175F">
        <w:rPr>
          <w:rFonts w:asciiTheme="majorBidi" w:hAnsiTheme="majorBidi" w:cstheme="majorBidi"/>
          <w:lang w:val="en-US"/>
        </w:rPr>
        <w:t xml:space="preserve"> relating to combating violence against women </w:t>
      </w:r>
      <w:r w:rsidR="00633D18" w:rsidRPr="000F175F">
        <w:rPr>
          <w:rFonts w:asciiTheme="majorBidi" w:hAnsiTheme="majorBidi" w:cstheme="majorBidi"/>
          <w:lang w:val="en-US"/>
        </w:rPr>
        <w:t>(</w:t>
      </w:r>
      <w:r w:rsidRPr="000F175F">
        <w:rPr>
          <w:rFonts w:asciiTheme="majorBidi" w:hAnsiTheme="majorBidi" w:cstheme="majorBidi"/>
          <w:lang w:val="en-US"/>
        </w:rPr>
        <w:t>2018</w:t>
      </w:r>
      <w:r w:rsidR="00633D18" w:rsidRPr="000F175F">
        <w:rPr>
          <w:rFonts w:asciiTheme="majorBidi" w:hAnsiTheme="majorBidi" w:cstheme="majorBidi"/>
          <w:lang w:val="en-US"/>
        </w:rPr>
        <w:t>)</w:t>
      </w:r>
      <w:r w:rsidRPr="000F175F">
        <w:rPr>
          <w:rFonts w:asciiTheme="majorBidi" w:hAnsiTheme="majorBidi" w:cstheme="majorBidi"/>
          <w:lang w:val="en-US"/>
        </w:rPr>
        <w:t>,</w:t>
      </w:r>
      <w:r w:rsidR="00633D18" w:rsidRPr="000F175F">
        <w:rPr>
          <w:rFonts w:asciiTheme="majorBidi" w:hAnsiTheme="majorBidi" w:cstheme="majorBidi"/>
          <w:lang w:val="en-US"/>
        </w:rPr>
        <w:t xml:space="preserve"> which is a positive step towards the fight against impunity, </w:t>
      </w:r>
      <w:r w:rsidRPr="000F175F">
        <w:rPr>
          <w:rFonts w:asciiTheme="majorBidi" w:hAnsiTheme="majorBidi" w:cstheme="majorBidi"/>
          <w:lang w:val="en-US"/>
        </w:rPr>
        <w:t xml:space="preserve">does not provide for provisions relating to the criminalization of marital rape. </w:t>
      </w:r>
    </w:p>
    <w:p w14:paraId="53567D65" w14:textId="77777777" w:rsidR="00001383" w:rsidRPr="000F175F" w:rsidRDefault="00001383" w:rsidP="00001383">
      <w:pPr>
        <w:pStyle w:val="Paragraphedeliste"/>
        <w:rPr>
          <w:rFonts w:asciiTheme="majorBidi" w:hAnsiTheme="majorBidi" w:cstheme="majorBidi"/>
          <w:lang w:val="en-US"/>
        </w:rPr>
      </w:pPr>
    </w:p>
    <w:p w14:paraId="72AC0C08" w14:textId="77777777" w:rsidR="0093300C" w:rsidRPr="000F175F" w:rsidRDefault="00001383" w:rsidP="00001383">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b/>
          <w:bCs/>
          <w:lang w:val="en-US"/>
        </w:rPr>
        <w:t>On the institutional level</w:t>
      </w:r>
      <w:r w:rsidRPr="000F175F">
        <w:rPr>
          <w:rFonts w:asciiTheme="majorBidi" w:hAnsiTheme="majorBidi" w:cstheme="majorBidi"/>
          <w:lang w:val="en-US"/>
        </w:rPr>
        <w:t xml:space="preserve">, two constitutional bodies dealing with women’s rights </w:t>
      </w:r>
      <w:r w:rsidR="00274D36" w:rsidRPr="000F175F">
        <w:rPr>
          <w:rFonts w:asciiTheme="majorBidi" w:hAnsiTheme="majorBidi" w:cstheme="majorBidi"/>
          <w:lang w:val="en-US"/>
        </w:rPr>
        <w:t>have not been</w:t>
      </w:r>
      <w:r w:rsidRPr="000F175F">
        <w:rPr>
          <w:rFonts w:asciiTheme="majorBidi" w:hAnsiTheme="majorBidi" w:cstheme="majorBidi"/>
          <w:lang w:val="en-US"/>
        </w:rPr>
        <w:t xml:space="preserve"> operational</w:t>
      </w:r>
      <w:r w:rsidR="00274D36" w:rsidRPr="000F175F">
        <w:rPr>
          <w:rFonts w:asciiTheme="majorBidi" w:hAnsiTheme="majorBidi" w:cstheme="majorBidi"/>
          <w:lang w:val="en-US"/>
        </w:rPr>
        <w:t xml:space="preserve"> since the adoption of their respective founding laws in 2017 and 2016</w:t>
      </w:r>
      <w:r w:rsidRPr="000F175F">
        <w:rPr>
          <w:rFonts w:asciiTheme="majorBidi" w:hAnsiTheme="majorBidi" w:cstheme="majorBidi"/>
          <w:lang w:val="en-US"/>
        </w:rPr>
        <w:t xml:space="preserve">. These are the Authority for Parity and Fight against All Forms of Discrimination (APALD) and Advisory Council for Family and Children (CCFE). The CNDH highlights that these bodies should be provided with adequate human and material resources. </w:t>
      </w:r>
    </w:p>
    <w:p w14:paraId="4D568F42" w14:textId="77777777" w:rsidR="0093300C" w:rsidRPr="000F175F" w:rsidRDefault="0093300C" w:rsidP="0093300C">
      <w:pPr>
        <w:pStyle w:val="Paragraphedeliste"/>
        <w:rPr>
          <w:rFonts w:asciiTheme="majorBidi" w:hAnsiTheme="majorBidi" w:cstheme="majorBidi"/>
          <w:lang w:val="en-US"/>
        </w:rPr>
      </w:pPr>
    </w:p>
    <w:p w14:paraId="146A76A6" w14:textId="4FAE036E" w:rsidR="00001383" w:rsidRPr="000F175F" w:rsidRDefault="0093300C" w:rsidP="00001383">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Concerning</w:t>
      </w:r>
      <w:r w:rsidR="00001383" w:rsidRPr="000F175F">
        <w:rPr>
          <w:rFonts w:asciiTheme="majorBidi" w:hAnsiTheme="majorBidi" w:cstheme="majorBidi"/>
          <w:lang w:val="en-US"/>
        </w:rPr>
        <w:t xml:space="preserve"> the family solidarity fund</w:t>
      </w:r>
      <w:r w:rsidRPr="000F175F">
        <w:rPr>
          <w:rFonts w:asciiTheme="majorBidi" w:hAnsiTheme="majorBidi" w:cstheme="majorBidi"/>
          <w:lang w:val="en-US"/>
        </w:rPr>
        <w:t>, the CNDH highlights that its benefits</w:t>
      </w:r>
      <w:r w:rsidR="00001383" w:rsidRPr="000F175F">
        <w:rPr>
          <w:rFonts w:asciiTheme="majorBidi" w:hAnsiTheme="majorBidi" w:cstheme="majorBidi"/>
          <w:lang w:val="en-US"/>
        </w:rPr>
        <w:t xml:space="preserve"> should be extended to children born out of wedlock. The CNDH is also a member of several national institutions, which enables it to integrate the gender perspective in their work. These include the Higher Council for Judicial Power, National Press Council, National Commission for the Fight against and Prevention of Trafficking in Human Beings and Right to Information Access Commission. </w:t>
      </w:r>
    </w:p>
    <w:p w14:paraId="3AD47106" w14:textId="77777777" w:rsidR="002D0391" w:rsidRPr="000F175F" w:rsidRDefault="002D0391" w:rsidP="002D0391">
      <w:pPr>
        <w:pStyle w:val="Paragraphedeliste"/>
        <w:spacing w:after="160" w:line="259" w:lineRule="auto"/>
        <w:ind w:left="360"/>
        <w:jc w:val="both"/>
        <w:rPr>
          <w:rFonts w:asciiTheme="majorBidi" w:hAnsiTheme="majorBidi" w:cstheme="majorBidi"/>
          <w:lang w:val="en-US"/>
        </w:rPr>
      </w:pPr>
    </w:p>
    <w:p w14:paraId="12F835C1" w14:textId="77777777" w:rsidR="00E17476" w:rsidRPr="000F175F" w:rsidRDefault="002001D9" w:rsidP="0089094F">
      <w:pPr>
        <w:pStyle w:val="Paragraphedeliste"/>
        <w:numPr>
          <w:ilvl w:val="0"/>
          <w:numId w:val="2"/>
        </w:numPr>
        <w:shd w:val="clear" w:color="auto" w:fill="FFFFFF"/>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CNDH remains concerned that the </w:t>
      </w:r>
      <w:r w:rsidRPr="000F175F">
        <w:rPr>
          <w:rFonts w:asciiTheme="majorBidi" w:hAnsiTheme="majorBidi" w:cstheme="majorBidi"/>
          <w:b/>
          <w:bCs/>
          <w:lang w:val="en-US"/>
        </w:rPr>
        <w:t>rates of violence against</w:t>
      </w:r>
      <w:r w:rsidRPr="000F175F">
        <w:rPr>
          <w:rFonts w:asciiTheme="majorBidi" w:hAnsiTheme="majorBidi" w:cstheme="majorBidi"/>
          <w:lang w:val="en-US"/>
        </w:rPr>
        <w:t xml:space="preserve"> women is still high and impunity persists, due to</w:t>
      </w:r>
      <w:r w:rsidR="000D3EF7" w:rsidRPr="000F175F">
        <w:rPr>
          <w:rFonts w:asciiTheme="majorBidi" w:hAnsiTheme="majorBidi" w:cstheme="majorBidi"/>
          <w:lang w:val="en-US"/>
        </w:rPr>
        <w:t xml:space="preserve"> cultural patterns as well as</w:t>
      </w:r>
      <w:r w:rsidRPr="000F175F">
        <w:rPr>
          <w:rFonts w:asciiTheme="majorBidi" w:hAnsiTheme="majorBidi" w:cstheme="majorBidi"/>
          <w:lang w:val="en-US"/>
        </w:rPr>
        <w:t xml:space="preserve"> challenges related to the burden of proof</w:t>
      </w:r>
      <w:r w:rsidR="003D3669" w:rsidRPr="000F175F">
        <w:rPr>
          <w:rFonts w:asciiTheme="majorBidi" w:hAnsiTheme="majorBidi" w:cstheme="majorBidi"/>
          <w:lang w:val="en-US"/>
        </w:rPr>
        <w:t xml:space="preserve">, which rests with victims, </w:t>
      </w:r>
      <w:r w:rsidRPr="000F175F">
        <w:rPr>
          <w:rFonts w:asciiTheme="majorBidi" w:hAnsiTheme="majorBidi" w:cstheme="majorBidi"/>
          <w:lang w:val="en-US"/>
        </w:rPr>
        <w:t>and non-reporting of cases to the competen</w:t>
      </w:r>
      <w:r w:rsidR="005B4502" w:rsidRPr="000F175F">
        <w:rPr>
          <w:rFonts w:asciiTheme="majorBidi" w:hAnsiTheme="majorBidi" w:cstheme="majorBidi"/>
          <w:lang w:val="en-US"/>
        </w:rPr>
        <w:t>t institutions. According to statistics made public by the National Police Department (Know</w:t>
      </w:r>
      <w:r w:rsidR="001B6456" w:rsidRPr="000F175F">
        <w:rPr>
          <w:rFonts w:asciiTheme="majorBidi" w:hAnsiTheme="majorBidi" w:cstheme="majorBidi"/>
          <w:lang w:val="en-US"/>
        </w:rPr>
        <w:t>n</w:t>
      </w:r>
      <w:r w:rsidR="005B4502" w:rsidRPr="000F175F">
        <w:rPr>
          <w:rFonts w:asciiTheme="majorBidi" w:hAnsiTheme="majorBidi" w:cstheme="majorBidi"/>
          <w:lang w:val="en-US"/>
        </w:rPr>
        <w:t xml:space="preserve"> under its French acronym DGSN)</w:t>
      </w:r>
      <w:r w:rsidR="005B4502" w:rsidRPr="000F175F">
        <w:rPr>
          <w:rStyle w:val="Appelnotedebasdep"/>
          <w:rFonts w:asciiTheme="majorBidi" w:hAnsiTheme="majorBidi" w:cstheme="majorBidi"/>
          <w:lang w:val="en-US"/>
        </w:rPr>
        <w:footnoteReference w:id="9"/>
      </w:r>
      <w:r w:rsidR="005B4502" w:rsidRPr="000F175F">
        <w:rPr>
          <w:rFonts w:asciiTheme="majorBidi" w:hAnsiTheme="majorBidi" w:cstheme="majorBidi"/>
          <w:lang w:val="en-US"/>
        </w:rPr>
        <w:t xml:space="preserve">, since the beginning of 2021 to 25 November 2021, a total of 61,388 cases of violence against women and girls in all its forms have been recorded, involving 62,383 victims, 7% of whom </w:t>
      </w:r>
      <w:r w:rsidR="00E17476" w:rsidRPr="000F175F">
        <w:rPr>
          <w:rFonts w:asciiTheme="majorBidi" w:hAnsiTheme="majorBidi" w:cstheme="majorBidi"/>
          <w:lang w:val="en-US"/>
        </w:rPr>
        <w:t xml:space="preserve">are </w:t>
      </w:r>
      <w:r w:rsidR="005B4502" w:rsidRPr="000F175F">
        <w:rPr>
          <w:rFonts w:asciiTheme="majorBidi" w:hAnsiTheme="majorBidi" w:cstheme="majorBidi"/>
          <w:lang w:val="en-US"/>
        </w:rPr>
        <w:t xml:space="preserve">minors. </w:t>
      </w:r>
    </w:p>
    <w:p w14:paraId="5732E10A" w14:textId="77777777" w:rsidR="00E17476" w:rsidRPr="000F175F" w:rsidRDefault="00E17476" w:rsidP="00E17476">
      <w:pPr>
        <w:pStyle w:val="Paragraphedeliste"/>
        <w:rPr>
          <w:rFonts w:asciiTheme="majorBidi" w:hAnsiTheme="majorBidi" w:cstheme="majorBidi"/>
          <w:lang w:val="en-US"/>
        </w:rPr>
      </w:pPr>
    </w:p>
    <w:p w14:paraId="5CE2068D" w14:textId="5CE5088B" w:rsidR="0099196B" w:rsidRPr="000F175F" w:rsidRDefault="006D18C9" w:rsidP="0089094F">
      <w:pPr>
        <w:pStyle w:val="Paragraphedeliste"/>
        <w:numPr>
          <w:ilvl w:val="0"/>
          <w:numId w:val="2"/>
        </w:numPr>
        <w:shd w:val="clear" w:color="auto" w:fill="FFFFFF"/>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CNDH </w:t>
      </w:r>
      <w:r w:rsidR="000D5D68" w:rsidRPr="000F175F">
        <w:rPr>
          <w:rFonts w:asciiTheme="majorBidi" w:hAnsiTheme="majorBidi" w:cstheme="majorBidi"/>
          <w:lang w:val="en-US"/>
        </w:rPr>
        <w:t>launched a national campaign to combat violence against women</w:t>
      </w:r>
      <w:r w:rsidR="00E17476" w:rsidRPr="000F175F">
        <w:rPr>
          <w:rFonts w:asciiTheme="majorBidi" w:hAnsiTheme="majorBidi" w:cstheme="majorBidi"/>
          <w:lang w:val="en-US"/>
        </w:rPr>
        <w:t xml:space="preserve">, </w:t>
      </w:r>
      <w:r w:rsidRPr="000F175F">
        <w:rPr>
          <w:rFonts w:asciiTheme="majorBidi" w:hAnsiTheme="majorBidi" w:cstheme="majorBidi"/>
          <w:lang w:val="en-US"/>
        </w:rPr>
        <w:t xml:space="preserve">from November 25, 2021 to November 25, 2022, with the aim of encouraging victims of violence to report violence and combat impunity. </w:t>
      </w:r>
      <w:r w:rsidR="000D5D68" w:rsidRPr="000F175F">
        <w:rPr>
          <w:rFonts w:asciiTheme="majorBidi" w:hAnsiTheme="majorBidi" w:cstheme="majorBidi"/>
          <w:lang w:val="en-US"/>
        </w:rPr>
        <w:t>The</w:t>
      </w:r>
      <w:r w:rsidRPr="000F175F">
        <w:rPr>
          <w:rFonts w:asciiTheme="majorBidi" w:hAnsiTheme="majorBidi" w:cstheme="majorBidi"/>
          <w:lang w:val="en-US"/>
        </w:rPr>
        <w:t xml:space="preserve"> campaign </w:t>
      </w:r>
      <w:r w:rsidR="000D5D68" w:rsidRPr="000F175F">
        <w:rPr>
          <w:rFonts w:asciiTheme="majorBidi" w:hAnsiTheme="majorBidi" w:cstheme="majorBidi"/>
          <w:lang w:val="en-US"/>
        </w:rPr>
        <w:t>contained</w:t>
      </w:r>
      <w:r w:rsidRPr="000F175F">
        <w:rPr>
          <w:rFonts w:asciiTheme="majorBidi" w:hAnsiTheme="majorBidi" w:cstheme="majorBidi"/>
          <w:lang w:val="en-US"/>
        </w:rPr>
        <w:t xml:space="preserve"> testimonies documenting the suffering of survivors of violence. The CNDH and its regional commissions </w:t>
      </w:r>
      <w:r w:rsidR="001B6456" w:rsidRPr="000F175F">
        <w:rPr>
          <w:rFonts w:asciiTheme="majorBidi" w:hAnsiTheme="majorBidi" w:cstheme="majorBidi"/>
          <w:lang w:val="en-US"/>
        </w:rPr>
        <w:t xml:space="preserve">also </w:t>
      </w:r>
      <w:r w:rsidRPr="000F175F">
        <w:rPr>
          <w:rFonts w:asciiTheme="majorBidi" w:hAnsiTheme="majorBidi" w:cstheme="majorBidi"/>
          <w:lang w:val="en-US"/>
        </w:rPr>
        <w:t xml:space="preserve">launched a series of discussions on the </w:t>
      </w:r>
      <w:r w:rsidR="001B6456" w:rsidRPr="000F175F">
        <w:rPr>
          <w:rFonts w:asciiTheme="majorBidi" w:hAnsiTheme="majorBidi" w:cstheme="majorBidi"/>
          <w:lang w:val="en-US"/>
        </w:rPr>
        <w:t>effectiveness</w:t>
      </w:r>
      <w:r w:rsidRPr="000F175F">
        <w:rPr>
          <w:rFonts w:asciiTheme="majorBidi" w:hAnsiTheme="majorBidi" w:cstheme="majorBidi"/>
          <w:lang w:val="en-US"/>
        </w:rPr>
        <w:t xml:space="preserve"> of the </w:t>
      </w:r>
      <w:r w:rsidRPr="000F175F">
        <w:rPr>
          <w:rFonts w:asciiTheme="majorBidi" w:hAnsiTheme="majorBidi" w:cstheme="majorBidi"/>
          <w:lang w:val="en-US"/>
        </w:rPr>
        <w:lastRenderedPageBreak/>
        <w:t xml:space="preserve">right to remedy for survivors of violence and the fight against impunity, </w:t>
      </w:r>
      <w:r w:rsidR="000D5D68" w:rsidRPr="000F175F">
        <w:rPr>
          <w:rFonts w:asciiTheme="majorBidi" w:hAnsiTheme="majorBidi" w:cstheme="majorBidi"/>
          <w:lang w:val="en-US"/>
        </w:rPr>
        <w:t>attended by</w:t>
      </w:r>
      <w:r w:rsidRPr="000F175F">
        <w:rPr>
          <w:rFonts w:asciiTheme="majorBidi" w:hAnsiTheme="majorBidi" w:cstheme="majorBidi"/>
          <w:lang w:val="en-US"/>
        </w:rPr>
        <w:t xml:space="preserve"> relevant authorities, including universities, media and law enforcement officials.</w:t>
      </w:r>
      <w:r w:rsidR="0089094F" w:rsidRPr="000F175F">
        <w:rPr>
          <w:rFonts w:asciiTheme="majorBidi" w:hAnsiTheme="majorBidi" w:cstheme="majorBidi"/>
          <w:lang w:val="en-US"/>
        </w:rPr>
        <w:t xml:space="preserve"> The CNDH and its regional commissions have also engaged with the public prosecutors in various regions of Morocco in order to ensure the protection of victims of violence in all its forms. </w:t>
      </w:r>
    </w:p>
    <w:p w14:paraId="791282CD" w14:textId="77777777" w:rsidR="00E17476" w:rsidRPr="000F175F" w:rsidRDefault="00E17476" w:rsidP="00E17476">
      <w:pPr>
        <w:pStyle w:val="Paragraphedeliste"/>
        <w:rPr>
          <w:rFonts w:asciiTheme="majorBidi" w:hAnsiTheme="majorBidi" w:cstheme="majorBidi"/>
          <w:lang w:val="en-US"/>
        </w:rPr>
      </w:pPr>
    </w:p>
    <w:p w14:paraId="5985B235" w14:textId="78FFC256" w:rsidR="00E17476" w:rsidRPr="000F175F" w:rsidRDefault="00E17476" w:rsidP="00E17476">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CNDH and its National Mechanism for the Protection of the Rights of Persons with Disabilities launched </w:t>
      </w:r>
      <w:r w:rsidR="00B411C9" w:rsidRPr="000F175F">
        <w:rPr>
          <w:rFonts w:asciiTheme="majorBidi" w:hAnsiTheme="majorBidi" w:cstheme="majorBidi"/>
          <w:lang w:val="en-US"/>
        </w:rPr>
        <w:t>two</w:t>
      </w:r>
      <w:r w:rsidRPr="000F175F">
        <w:rPr>
          <w:rFonts w:asciiTheme="majorBidi" w:hAnsiTheme="majorBidi" w:cstheme="majorBidi"/>
          <w:b/>
          <w:bCs/>
          <w:lang w:val="en-US"/>
        </w:rPr>
        <w:t xml:space="preserve"> online campaign</w:t>
      </w:r>
      <w:r w:rsidR="00B411C9" w:rsidRPr="000F175F">
        <w:rPr>
          <w:rFonts w:asciiTheme="majorBidi" w:hAnsiTheme="majorBidi" w:cstheme="majorBidi"/>
          <w:b/>
          <w:bCs/>
          <w:lang w:val="en-US"/>
        </w:rPr>
        <w:t>s</w:t>
      </w:r>
      <w:r w:rsidRPr="000F175F">
        <w:rPr>
          <w:rStyle w:val="Appelnotedebasdep"/>
          <w:rFonts w:asciiTheme="majorBidi" w:hAnsiTheme="majorBidi" w:cstheme="majorBidi"/>
          <w:lang w:val="en-US"/>
        </w:rPr>
        <w:footnoteReference w:id="10"/>
      </w:r>
      <w:r w:rsidR="00AA532E" w:rsidRPr="000F175F">
        <w:rPr>
          <w:rFonts w:asciiTheme="majorBidi" w:hAnsiTheme="majorBidi" w:cstheme="majorBidi"/>
          <w:b/>
          <w:bCs/>
          <w:lang w:val="en-US"/>
        </w:rPr>
        <w:t xml:space="preserve">, </w:t>
      </w:r>
      <w:r w:rsidR="00AA532E" w:rsidRPr="000F175F">
        <w:rPr>
          <w:rFonts w:asciiTheme="majorBidi" w:hAnsiTheme="majorBidi" w:cstheme="majorBidi"/>
          <w:lang w:val="en-US"/>
        </w:rPr>
        <w:t>lasting eight weeks for each</w:t>
      </w:r>
      <w:r w:rsidR="00B411C9" w:rsidRPr="000F175F">
        <w:rPr>
          <w:rFonts w:asciiTheme="majorBidi" w:hAnsiTheme="majorBidi" w:cstheme="majorBidi"/>
          <w:lang w:val="en-US"/>
        </w:rPr>
        <w:t>. The first</w:t>
      </w:r>
      <w:r w:rsidR="00BF6799" w:rsidRPr="000F175F">
        <w:rPr>
          <w:rFonts w:asciiTheme="majorBidi" w:hAnsiTheme="majorBidi" w:cstheme="majorBidi"/>
          <w:lang w:val="en-US"/>
        </w:rPr>
        <w:t xml:space="preserve"> one was carried out in 2020 to combat</w:t>
      </w:r>
      <w:r w:rsidRPr="000F175F">
        <w:rPr>
          <w:rFonts w:asciiTheme="majorBidi" w:hAnsiTheme="majorBidi" w:cstheme="majorBidi"/>
          <w:lang w:val="en-US"/>
        </w:rPr>
        <w:t xml:space="preserve"> all forms of discrimination against women and girls with disabilities. This campaign is a response to the recommendation made by the United Nations Committee on the Rights of Persons with Disabilities (CRPD) to conduct public awareness-raising campaigns to combat stereotypes, prejudices and myths about women and girls with disabilities. </w:t>
      </w:r>
      <w:r w:rsidR="00BF6799" w:rsidRPr="000F175F">
        <w:rPr>
          <w:rFonts w:asciiTheme="majorBidi" w:hAnsiTheme="majorBidi" w:cstheme="majorBidi"/>
          <w:lang w:val="en-US"/>
        </w:rPr>
        <w:t>The second one was held in 2021 on the participation of women with disabilities in political and social spheres.</w:t>
      </w:r>
      <w:r w:rsidR="002E10B3" w:rsidRPr="000F175F">
        <w:rPr>
          <w:rFonts w:asciiTheme="majorBidi" w:hAnsiTheme="majorBidi" w:cstheme="majorBidi"/>
          <w:lang w:val="en-US"/>
        </w:rPr>
        <w:t xml:space="preserve"> Arabic, Amazigh and sign languages were used in these campaigns.</w:t>
      </w:r>
    </w:p>
    <w:p w14:paraId="3A84D41A" w14:textId="77777777" w:rsidR="00600CDA" w:rsidRPr="000F175F" w:rsidRDefault="00600CDA" w:rsidP="00600CDA">
      <w:pPr>
        <w:pStyle w:val="Paragraphedeliste"/>
        <w:shd w:val="clear" w:color="auto" w:fill="FFFFFF"/>
        <w:spacing w:after="160" w:line="259" w:lineRule="auto"/>
        <w:ind w:left="360"/>
        <w:jc w:val="both"/>
        <w:rPr>
          <w:rFonts w:asciiTheme="majorBidi" w:hAnsiTheme="majorBidi" w:cstheme="majorBidi"/>
          <w:lang w:val="en-US"/>
        </w:rPr>
      </w:pPr>
    </w:p>
    <w:p w14:paraId="117A79D3" w14:textId="05D91DFA" w:rsidR="005E2A9E" w:rsidRPr="000F175F" w:rsidRDefault="005E2A9E" w:rsidP="002251A8">
      <w:pPr>
        <w:pStyle w:val="Paragraphedeliste"/>
        <w:numPr>
          <w:ilvl w:val="0"/>
          <w:numId w:val="2"/>
        </w:numPr>
        <w:shd w:val="clear" w:color="auto" w:fill="FFFFFF"/>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In its memorandum to the Parliament on Bill No. </w:t>
      </w:r>
      <w:r w:rsidR="00393530">
        <w:rPr>
          <w:rFonts w:asciiTheme="majorBidi" w:hAnsiTheme="majorBidi" w:cstheme="majorBidi"/>
          <w:lang w:val="en-US"/>
        </w:rPr>
        <w:t>10.16</w:t>
      </w:r>
      <w:r w:rsidRPr="000F175F">
        <w:rPr>
          <w:rFonts w:asciiTheme="majorBidi" w:hAnsiTheme="majorBidi" w:cstheme="majorBidi"/>
          <w:lang w:val="en-US"/>
        </w:rPr>
        <w:t xml:space="preserve"> amending and supplementing the penal </w:t>
      </w:r>
      <w:r w:rsidR="008C0C99">
        <w:rPr>
          <w:rFonts w:asciiTheme="majorBidi" w:hAnsiTheme="majorBidi" w:cstheme="majorBidi"/>
          <w:lang w:val="en-US"/>
        </w:rPr>
        <w:t>Law</w:t>
      </w:r>
      <w:r w:rsidRPr="000F175F">
        <w:rPr>
          <w:rFonts w:asciiTheme="majorBidi" w:hAnsiTheme="majorBidi" w:cstheme="majorBidi"/>
          <w:lang w:val="en-US"/>
        </w:rPr>
        <w:t xml:space="preserve"> corpus</w:t>
      </w:r>
      <w:r w:rsidR="00AA641E" w:rsidRPr="000F175F">
        <w:rPr>
          <w:rStyle w:val="Appelnotedebasdep"/>
          <w:rFonts w:asciiTheme="majorBidi" w:hAnsiTheme="majorBidi" w:cstheme="majorBidi"/>
          <w:lang w:val="en-US"/>
        </w:rPr>
        <w:footnoteReference w:id="11"/>
      </w:r>
      <w:r w:rsidRPr="000F175F">
        <w:rPr>
          <w:rFonts w:asciiTheme="majorBidi" w:hAnsiTheme="majorBidi" w:cstheme="majorBidi"/>
          <w:lang w:val="en-US"/>
        </w:rPr>
        <w:t xml:space="preserve">, the CNDH noted the importance of recommendations made by treaty bodies, </w:t>
      </w:r>
      <w:r w:rsidR="002251A8" w:rsidRPr="000F175F">
        <w:rPr>
          <w:rFonts w:asciiTheme="majorBidi" w:hAnsiTheme="majorBidi" w:cstheme="majorBidi"/>
          <w:lang w:val="en-US"/>
        </w:rPr>
        <w:t>including CEDAW</w:t>
      </w:r>
      <w:r w:rsidR="00600CDA" w:rsidRPr="000F175F">
        <w:rPr>
          <w:rFonts w:asciiTheme="majorBidi" w:hAnsiTheme="majorBidi" w:cstheme="majorBidi"/>
          <w:lang w:val="en-US"/>
        </w:rPr>
        <w:t xml:space="preserve"> and the Human Rights Committee</w:t>
      </w:r>
      <w:r w:rsidR="002251A8" w:rsidRPr="000F175F">
        <w:rPr>
          <w:rFonts w:asciiTheme="majorBidi" w:hAnsiTheme="majorBidi" w:cstheme="majorBidi"/>
          <w:lang w:val="en-US"/>
        </w:rPr>
        <w:t xml:space="preserve">, and recommended that </w:t>
      </w:r>
      <w:r w:rsidRPr="000F175F">
        <w:rPr>
          <w:rFonts w:asciiTheme="majorBidi" w:hAnsiTheme="majorBidi" w:cstheme="majorBidi"/>
          <w:lang w:val="en-US"/>
        </w:rPr>
        <w:t>marital rape</w:t>
      </w:r>
      <w:r w:rsidR="002251A8" w:rsidRPr="000F175F">
        <w:rPr>
          <w:rFonts w:asciiTheme="majorBidi" w:hAnsiTheme="majorBidi" w:cstheme="majorBidi"/>
          <w:lang w:val="en-US"/>
        </w:rPr>
        <w:t xml:space="preserve"> be criminalized</w:t>
      </w:r>
      <w:r w:rsidRPr="000F175F">
        <w:rPr>
          <w:rFonts w:asciiTheme="majorBidi" w:hAnsiTheme="majorBidi" w:cstheme="majorBidi"/>
          <w:lang w:val="en-US"/>
        </w:rPr>
        <w:t xml:space="preserve">. </w:t>
      </w:r>
    </w:p>
    <w:p w14:paraId="6953EFE8" w14:textId="77777777" w:rsidR="00D46E2D" w:rsidRPr="000F175F" w:rsidRDefault="00D46E2D" w:rsidP="00D46E2D">
      <w:pPr>
        <w:pStyle w:val="Paragraphedeliste"/>
        <w:spacing w:after="160" w:line="259" w:lineRule="auto"/>
        <w:ind w:left="360"/>
        <w:jc w:val="both"/>
        <w:rPr>
          <w:rFonts w:asciiTheme="majorBidi" w:hAnsiTheme="majorBidi" w:cstheme="majorBidi"/>
          <w:lang w:val="en-US"/>
        </w:rPr>
      </w:pPr>
    </w:p>
    <w:p w14:paraId="3AB973C4" w14:textId="6F881BFA" w:rsidR="005E2A9E" w:rsidRPr="000F175F" w:rsidRDefault="00D46E2D" w:rsidP="005E2A9E">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Following cases of sexual harassment in some colleges, universities and higher-education institutes, </w:t>
      </w:r>
      <w:r w:rsidR="00AA641E" w:rsidRPr="000F175F">
        <w:rPr>
          <w:rFonts w:asciiTheme="majorBidi" w:hAnsiTheme="majorBidi" w:cstheme="majorBidi"/>
          <w:lang w:val="en-US"/>
        </w:rPr>
        <w:t>CNDH r</w:t>
      </w:r>
      <w:r w:rsidRPr="000F175F">
        <w:rPr>
          <w:rFonts w:asciiTheme="majorBidi" w:hAnsiTheme="majorBidi" w:cstheme="majorBidi"/>
          <w:lang w:val="en-US"/>
        </w:rPr>
        <w:t xml:space="preserve">egional </w:t>
      </w:r>
      <w:r w:rsidR="00AA641E" w:rsidRPr="000F175F">
        <w:rPr>
          <w:rFonts w:asciiTheme="majorBidi" w:hAnsiTheme="majorBidi" w:cstheme="majorBidi"/>
          <w:lang w:val="en-US"/>
        </w:rPr>
        <w:t>c</w:t>
      </w:r>
      <w:r w:rsidRPr="000F175F">
        <w:rPr>
          <w:rFonts w:asciiTheme="majorBidi" w:hAnsiTheme="majorBidi" w:cstheme="majorBidi"/>
          <w:lang w:val="en-US"/>
        </w:rPr>
        <w:t>ommissions held hearings with several women student victims as well as meetings with student associations and several professors. The CNDH notes the immediate measures taken by the Ministry of National Education, Vocational Training, Higher Education and Scientific Research to conduct the necessary administrative investigations with subsequent disciplinary measures. Also, several investigations were launched by the public prosecutor and prison sentences were rendered by courts.</w:t>
      </w:r>
      <w:r w:rsidR="006D1228" w:rsidRPr="000F175F">
        <w:rPr>
          <w:rFonts w:asciiTheme="majorBidi" w:hAnsiTheme="majorBidi" w:cstheme="majorBidi"/>
          <w:lang w:val="en-US"/>
        </w:rPr>
        <w:t xml:space="preserve"> The CNDH reported on these cases of sexual harassment in its Annual Report of 2021</w:t>
      </w:r>
      <w:r w:rsidR="006D1228" w:rsidRPr="000F175F">
        <w:rPr>
          <w:rStyle w:val="Appelnotedebasdep"/>
          <w:rFonts w:asciiTheme="majorBidi" w:hAnsiTheme="majorBidi" w:cstheme="majorBidi"/>
          <w:lang w:val="en-US"/>
        </w:rPr>
        <w:footnoteReference w:id="12"/>
      </w:r>
      <w:r w:rsidR="006D1228" w:rsidRPr="000F175F">
        <w:rPr>
          <w:rFonts w:asciiTheme="majorBidi" w:hAnsiTheme="majorBidi" w:cstheme="majorBidi"/>
          <w:lang w:val="en-US"/>
        </w:rPr>
        <w:t xml:space="preserve"> and in its website</w:t>
      </w:r>
      <w:r w:rsidR="006D1228" w:rsidRPr="000F175F">
        <w:rPr>
          <w:rStyle w:val="Appelnotedebasdep"/>
          <w:rFonts w:asciiTheme="majorBidi" w:hAnsiTheme="majorBidi" w:cstheme="majorBidi"/>
          <w:lang w:val="en-US"/>
        </w:rPr>
        <w:footnoteReference w:id="13"/>
      </w:r>
      <w:r w:rsidR="006D1228" w:rsidRPr="000F175F">
        <w:rPr>
          <w:rFonts w:asciiTheme="majorBidi" w:hAnsiTheme="majorBidi" w:cstheme="majorBidi"/>
          <w:lang w:val="en-US"/>
        </w:rPr>
        <w:t>.</w:t>
      </w:r>
    </w:p>
    <w:p w14:paraId="58CB7CAA" w14:textId="77777777" w:rsidR="005E2A9E" w:rsidRPr="000F175F" w:rsidRDefault="005E2A9E" w:rsidP="005E2A9E">
      <w:pPr>
        <w:pStyle w:val="Paragraphedeliste"/>
        <w:spacing w:after="160" w:line="259" w:lineRule="auto"/>
        <w:ind w:left="360"/>
        <w:jc w:val="both"/>
        <w:rPr>
          <w:rFonts w:asciiTheme="majorBidi" w:hAnsiTheme="majorBidi" w:cstheme="majorBidi"/>
          <w:lang w:val="en-US"/>
        </w:rPr>
      </w:pPr>
    </w:p>
    <w:p w14:paraId="081D80D9" w14:textId="380E7B69" w:rsidR="000D5D68" w:rsidRPr="000F175F" w:rsidRDefault="000D5D68" w:rsidP="000D5D68">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CNDH also continued to monitor the phenomenon of </w:t>
      </w:r>
      <w:r w:rsidRPr="000F175F">
        <w:rPr>
          <w:rFonts w:asciiTheme="majorBidi" w:hAnsiTheme="majorBidi" w:cstheme="majorBidi"/>
          <w:b/>
          <w:bCs/>
          <w:lang w:val="en-US"/>
        </w:rPr>
        <w:t>child marriage</w:t>
      </w:r>
      <w:r w:rsidRPr="000F175F">
        <w:rPr>
          <w:rFonts w:asciiTheme="majorBidi" w:hAnsiTheme="majorBidi" w:cstheme="majorBidi"/>
          <w:lang w:val="en-US"/>
        </w:rPr>
        <w:t xml:space="preserve">. Official statistics confirmed a decrease in the number of marriage contracts for minors registered in courts, from 33,489 contracts in 2014, to 12,600 contracts in 2020, which constitutes 6.48% of the total concluded marriage contracts. However, serious concerns persist that these marriages take other ambiguous forms, such as </w:t>
      </w:r>
      <w:r w:rsidRPr="000F175F">
        <w:rPr>
          <w:rFonts w:asciiTheme="majorBidi" w:hAnsiTheme="majorBidi" w:cstheme="majorBidi"/>
          <w:i/>
          <w:iCs/>
          <w:lang w:val="en-US"/>
        </w:rPr>
        <w:t>Al-</w:t>
      </w:r>
      <w:proofErr w:type="spellStart"/>
      <w:r w:rsidRPr="000F175F">
        <w:rPr>
          <w:rFonts w:asciiTheme="majorBidi" w:hAnsiTheme="majorBidi" w:cstheme="majorBidi"/>
          <w:i/>
          <w:iCs/>
          <w:lang w:val="en-US"/>
        </w:rPr>
        <w:t>Fatiha</w:t>
      </w:r>
      <w:proofErr w:type="spellEnd"/>
      <w:r w:rsidRPr="000F175F">
        <w:rPr>
          <w:rFonts w:asciiTheme="majorBidi" w:hAnsiTheme="majorBidi" w:cstheme="majorBidi"/>
          <w:lang w:val="en-US"/>
        </w:rPr>
        <w:t xml:space="preserve"> marriage</w:t>
      </w:r>
      <w:r w:rsidRPr="000F175F">
        <w:rPr>
          <w:rStyle w:val="Appelnotedebasdep"/>
          <w:rFonts w:asciiTheme="majorBidi" w:hAnsiTheme="majorBidi" w:cstheme="majorBidi"/>
          <w:lang w:val="en-US"/>
        </w:rPr>
        <w:footnoteReference w:id="14"/>
      </w:r>
      <w:r w:rsidRPr="000F175F">
        <w:rPr>
          <w:rFonts w:asciiTheme="majorBidi" w:hAnsiTheme="majorBidi" w:cstheme="majorBidi"/>
          <w:lang w:val="en-US"/>
        </w:rPr>
        <w:t>, which constitutes legal violence against girls.</w:t>
      </w:r>
    </w:p>
    <w:p w14:paraId="00D1E998" w14:textId="77777777" w:rsidR="001B6456" w:rsidRPr="000F175F" w:rsidRDefault="001B6456" w:rsidP="001B6456">
      <w:pPr>
        <w:pStyle w:val="Paragraphedeliste"/>
        <w:rPr>
          <w:rFonts w:asciiTheme="majorBidi" w:hAnsiTheme="majorBidi" w:cstheme="majorBidi"/>
          <w:lang w:val="en-US"/>
        </w:rPr>
      </w:pPr>
    </w:p>
    <w:p w14:paraId="45878C74" w14:textId="77777777" w:rsidR="001B6456" w:rsidRPr="000F175F" w:rsidRDefault="001B6456" w:rsidP="001B6456">
      <w:pPr>
        <w:pStyle w:val="Paragraphedeliste"/>
        <w:numPr>
          <w:ilvl w:val="0"/>
          <w:numId w:val="2"/>
        </w:numPr>
        <w:autoSpaceDE w:val="0"/>
        <w:autoSpaceDN w:val="0"/>
        <w:adjustRightInd w:val="0"/>
        <w:spacing w:line="240" w:lineRule="auto"/>
        <w:jc w:val="both"/>
        <w:rPr>
          <w:rFonts w:asciiTheme="majorBidi" w:hAnsiTheme="majorBidi" w:cstheme="majorBidi"/>
          <w:lang w:val="en-US"/>
        </w:rPr>
      </w:pPr>
      <w:r w:rsidRPr="000F175F">
        <w:rPr>
          <w:rFonts w:asciiTheme="majorBidi" w:hAnsiTheme="majorBidi" w:cstheme="majorBidi"/>
          <w:lang w:val="en-US"/>
        </w:rPr>
        <w:t xml:space="preserve">Concerning </w:t>
      </w:r>
      <w:r w:rsidRPr="000F175F">
        <w:rPr>
          <w:rFonts w:asciiTheme="majorBidi" w:hAnsiTheme="majorBidi" w:cstheme="majorBidi"/>
          <w:b/>
          <w:bCs/>
          <w:lang w:val="en-US"/>
        </w:rPr>
        <w:t>political participation</w:t>
      </w:r>
      <w:r w:rsidRPr="000F175F">
        <w:rPr>
          <w:rFonts w:asciiTheme="majorBidi" w:hAnsiTheme="majorBidi" w:cstheme="majorBidi"/>
          <w:lang w:val="en-US"/>
        </w:rPr>
        <w:t xml:space="preserve">, ahead of the national elections of September 2021, the CNDH led a nationwide campaign to promote the political participation of women. In this regard, it organized six regional meetings and an international meeting on the topic. These meetings aimed mainly at analyzing the reality of parity in the light of electoral laws as well as social, economic and cultural data. </w:t>
      </w:r>
    </w:p>
    <w:p w14:paraId="7C241820" w14:textId="77777777" w:rsidR="001B6456" w:rsidRPr="000F175F" w:rsidRDefault="001B6456" w:rsidP="001B6456">
      <w:pPr>
        <w:pStyle w:val="Paragraphedeliste"/>
        <w:rPr>
          <w:rFonts w:asciiTheme="majorBidi" w:hAnsiTheme="majorBidi" w:cstheme="majorBidi"/>
          <w:lang w:val="en-US"/>
        </w:rPr>
      </w:pPr>
    </w:p>
    <w:p w14:paraId="04176BE9" w14:textId="522C58C1" w:rsidR="001B6456" w:rsidRPr="000F175F" w:rsidRDefault="001B6456" w:rsidP="0089094F">
      <w:pPr>
        <w:pStyle w:val="Paragraphedeliste"/>
        <w:numPr>
          <w:ilvl w:val="0"/>
          <w:numId w:val="2"/>
        </w:numPr>
        <w:autoSpaceDE w:val="0"/>
        <w:autoSpaceDN w:val="0"/>
        <w:adjustRightInd w:val="0"/>
        <w:spacing w:line="240" w:lineRule="auto"/>
        <w:jc w:val="both"/>
        <w:rPr>
          <w:rFonts w:asciiTheme="majorBidi" w:hAnsiTheme="majorBidi" w:cstheme="majorBidi"/>
          <w:lang w:val="en-US"/>
        </w:rPr>
      </w:pPr>
      <w:r w:rsidRPr="000F175F">
        <w:rPr>
          <w:rFonts w:asciiTheme="majorBidi" w:hAnsiTheme="majorBidi" w:cstheme="majorBidi"/>
          <w:lang w:val="en-US"/>
        </w:rPr>
        <w:t xml:space="preserve">The CNDH is </w:t>
      </w:r>
      <w:r w:rsidR="00B15075" w:rsidRPr="000F175F">
        <w:rPr>
          <w:rFonts w:asciiTheme="majorBidi" w:hAnsiTheme="majorBidi" w:cstheme="majorBidi"/>
          <w:lang w:val="en-US"/>
        </w:rPr>
        <w:t>a</w:t>
      </w:r>
      <w:r w:rsidRPr="000F175F">
        <w:rPr>
          <w:rFonts w:asciiTheme="majorBidi" w:hAnsiTheme="majorBidi" w:cstheme="majorBidi"/>
          <w:lang w:val="en-US"/>
        </w:rPr>
        <w:t xml:space="preserve"> legally-mandated institution that observes </w:t>
      </w:r>
      <w:r w:rsidRPr="000F175F">
        <w:rPr>
          <w:rFonts w:asciiTheme="majorBidi" w:hAnsiTheme="majorBidi" w:cstheme="majorBidi"/>
          <w:b/>
          <w:bCs/>
          <w:lang w:val="en-US"/>
        </w:rPr>
        <w:t>elections</w:t>
      </w:r>
      <w:r w:rsidRPr="000F175F">
        <w:rPr>
          <w:rFonts w:asciiTheme="majorBidi" w:hAnsiTheme="majorBidi" w:cstheme="majorBidi"/>
          <w:lang w:val="en-US"/>
        </w:rPr>
        <w:t>. In this respect, the CNDH made a gender-based observation of elections and published a relevant report</w:t>
      </w:r>
      <w:r w:rsidRPr="000F175F">
        <w:rPr>
          <w:rStyle w:val="Appelnotedebasdep"/>
          <w:rFonts w:asciiTheme="majorBidi" w:hAnsiTheme="majorBidi" w:cstheme="majorBidi"/>
          <w:lang w:val="en-US"/>
        </w:rPr>
        <w:footnoteReference w:id="15"/>
      </w:r>
      <w:r w:rsidRPr="000F175F">
        <w:rPr>
          <w:rFonts w:asciiTheme="majorBidi" w:hAnsiTheme="majorBidi" w:cstheme="majorBidi"/>
          <w:lang w:val="en-US"/>
        </w:rPr>
        <w:t xml:space="preserve">. Legal developments regarding Communal, Regional and Legislative Elections of 2021 enhanced women’s political </w:t>
      </w:r>
      <w:r w:rsidRPr="000F175F">
        <w:rPr>
          <w:rFonts w:asciiTheme="majorBidi" w:hAnsiTheme="majorBidi" w:cstheme="majorBidi"/>
          <w:lang w:val="en-US"/>
        </w:rPr>
        <w:lastRenderedPageBreak/>
        <w:t xml:space="preserve">participation </w:t>
      </w:r>
      <w:r w:rsidR="00B15075" w:rsidRPr="000F175F">
        <w:rPr>
          <w:rFonts w:asciiTheme="majorBidi" w:hAnsiTheme="majorBidi" w:cstheme="majorBidi"/>
          <w:lang w:val="en-US"/>
        </w:rPr>
        <w:t>(</w:t>
      </w:r>
      <w:r w:rsidRPr="000F175F">
        <w:rPr>
          <w:rFonts w:asciiTheme="majorBidi" w:hAnsiTheme="majorBidi" w:cstheme="majorBidi"/>
          <w:lang w:val="en-US"/>
        </w:rPr>
        <w:t>allocation of regional lists to women in legislative elections, creation of lists for women and supplementary seats in communes where uninominal suffrage is applied</w:t>
      </w:r>
      <w:r w:rsidR="00B15075" w:rsidRPr="000F175F">
        <w:rPr>
          <w:rFonts w:asciiTheme="majorBidi" w:hAnsiTheme="majorBidi" w:cstheme="majorBidi"/>
          <w:lang w:val="en-US"/>
        </w:rPr>
        <w:t>)</w:t>
      </w:r>
      <w:r w:rsidRPr="000F175F">
        <w:rPr>
          <w:rFonts w:asciiTheme="majorBidi" w:hAnsiTheme="majorBidi" w:cstheme="majorBidi"/>
          <w:lang w:val="en-US"/>
        </w:rPr>
        <w:t xml:space="preserve">. </w:t>
      </w:r>
      <w:r w:rsidR="00B15075" w:rsidRPr="000F175F">
        <w:rPr>
          <w:rFonts w:asciiTheme="majorBidi" w:hAnsiTheme="majorBidi" w:cstheme="majorBidi"/>
          <w:lang w:val="en-US"/>
        </w:rPr>
        <w:t>Statistical</w:t>
      </w:r>
      <w:r w:rsidR="00B15075" w:rsidRPr="000F175F">
        <w:rPr>
          <w:rFonts w:asciiTheme="majorBidi" w:eastAsia="Alegreya" w:hAnsiTheme="majorBidi" w:cstheme="majorBidi"/>
          <w:lang w:val="en-US"/>
        </w:rPr>
        <w:t xml:space="preserve"> data also reflect the relative progress of women’s </w:t>
      </w:r>
      <w:r w:rsidR="00B15075" w:rsidRPr="000F175F">
        <w:rPr>
          <w:rFonts w:asciiTheme="majorBidi" w:eastAsia="Alegreya" w:hAnsiTheme="majorBidi" w:cstheme="majorBidi"/>
          <w:b/>
          <w:bCs/>
          <w:lang w:val="en-US"/>
        </w:rPr>
        <w:t>political participation</w:t>
      </w:r>
      <w:r w:rsidR="00B15075" w:rsidRPr="000F175F">
        <w:rPr>
          <w:rFonts w:asciiTheme="majorBidi" w:eastAsia="Alegreya" w:hAnsiTheme="majorBidi" w:cstheme="majorBidi"/>
          <w:lang w:val="en-US"/>
        </w:rPr>
        <w:t xml:space="preserve">. The percentage of women elected to the councils of territorial collectivities moved up from 21% in 2015 to 26% in 2021, while that of women representation in the House of Representatives increased from 20% in the legislative elections of 2016 to 24% in the legislative elections of 2021. </w:t>
      </w:r>
      <w:r w:rsidR="00B15075" w:rsidRPr="000F175F">
        <w:rPr>
          <w:rFonts w:asciiTheme="majorBidi" w:hAnsiTheme="majorBidi" w:cstheme="majorBidi"/>
          <w:lang w:val="en-US"/>
        </w:rPr>
        <w:t xml:space="preserve">However, </w:t>
      </w:r>
      <w:r w:rsidR="00BD3940" w:rsidRPr="000F175F">
        <w:rPr>
          <w:rFonts w:asciiTheme="majorBidi" w:hAnsiTheme="majorBidi" w:cstheme="majorBidi"/>
          <w:lang w:val="en-US"/>
        </w:rPr>
        <w:t xml:space="preserve">this </w:t>
      </w:r>
      <w:r w:rsidRPr="000F175F">
        <w:rPr>
          <w:rFonts w:asciiTheme="majorBidi" w:hAnsiTheme="majorBidi" w:cstheme="majorBidi"/>
          <w:lang w:val="en-US"/>
        </w:rPr>
        <w:t>data confirm</w:t>
      </w:r>
      <w:r w:rsidR="00BD3940" w:rsidRPr="000F175F">
        <w:rPr>
          <w:rFonts w:asciiTheme="majorBidi" w:hAnsiTheme="majorBidi" w:cstheme="majorBidi"/>
          <w:lang w:val="en-US"/>
        </w:rPr>
        <w:t>s</w:t>
      </w:r>
      <w:r w:rsidRPr="000F175F">
        <w:rPr>
          <w:rFonts w:asciiTheme="majorBidi" w:hAnsiTheme="majorBidi" w:cstheme="majorBidi"/>
          <w:lang w:val="en-US"/>
        </w:rPr>
        <w:t xml:space="preserve"> a persistent gap between </w:t>
      </w:r>
      <w:r w:rsidR="00B15075" w:rsidRPr="000F175F">
        <w:rPr>
          <w:rFonts w:asciiTheme="majorBidi" w:hAnsiTheme="majorBidi" w:cstheme="majorBidi"/>
          <w:lang w:val="en-US"/>
        </w:rPr>
        <w:t>legal</w:t>
      </w:r>
      <w:r w:rsidRPr="000F175F">
        <w:rPr>
          <w:rFonts w:asciiTheme="majorBidi" w:hAnsiTheme="majorBidi" w:cstheme="majorBidi"/>
          <w:lang w:val="en-US"/>
        </w:rPr>
        <w:t xml:space="preserve"> development</w:t>
      </w:r>
      <w:r w:rsidR="00B15075" w:rsidRPr="000F175F">
        <w:rPr>
          <w:rFonts w:asciiTheme="majorBidi" w:hAnsiTheme="majorBidi" w:cstheme="majorBidi"/>
          <w:lang w:val="en-US"/>
        </w:rPr>
        <w:t>s</w:t>
      </w:r>
      <w:r w:rsidRPr="000F175F">
        <w:rPr>
          <w:rFonts w:asciiTheme="majorBidi" w:hAnsiTheme="majorBidi" w:cstheme="majorBidi"/>
          <w:lang w:val="en-US"/>
        </w:rPr>
        <w:t xml:space="preserve"> and mindsets in society. This is evidenced by the weakness of women</w:t>
      </w:r>
      <w:r w:rsidR="00B15075" w:rsidRPr="000F175F">
        <w:rPr>
          <w:rFonts w:asciiTheme="majorBidi" w:hAnsiTheme="majorBidi" w:cstheme="majorBidi"/>
          <w:lang w:val="en-US"/>
        </w:rPr>
        <w:t>’</w:t>
      </w:r>
      <w:r w:rsidRPr="000F175F">
        <w:rPr>
          <w:rFonts w:asciiTheme="majorBidi" w:hAnsiTheme="majorBidi" w:cstheme="majorBidi"/>
          <w:lang w:val="en-US"/>
        </w:rPr>
        <w:t xml:space="preserve">s nominations outside the regional lists designated exclusively for women. The CNDH also expressed its deep concern on the unprecedented event concerning the images of women, which were blocked on election posters: “faceless candidates”. </w:t>
      </w:r>
    </w:p>
    <w:p w14:paraId="328F1D13" w14:textId="77777777" w:rsidR="00FD79E3" w:rsidRPr="000F175F" w:rsidRDefault="00FD79E3" w:rsidP="00FD79E3">
      <w:pPr>
        <w:pStyle w:val="Paragraphedeliste"/>
        <w:autoSpaceDE w:val="0"/>
        <w:autoSpaceDN w:val="0"/>
        <w:adjustRightInd w:val="0"/>
        <w:spacing w:line="240" w:lineRule="auto"/>
        <w:ind w:left="360"/>
        <w:jc w:val="both"/>
        <w:rPr>
          <w:rFonts w:asciiTheme="majorBidi" w:hAnsiTheme="majorBidi" w:cstheme="majorBidi"/>
          <w:lang w:val="en-US"/>
        </w:rPr>
      </w:pPr>
    </w:p>
    <w:p w14:paraId="5E738BC1" w14:textId="7DB0BDEB" w:rsidR="0089094F" w:rsidRPr="000F175F" w:rsidRDefault="00FD79E3" w:rsidP="00FD79E3">
      <w:pPr>
        <w:pStyle w:val="Paragraphedeliste"/>
        <w:numPr>
          <w:ilvl w:val="0"/>
          <w:numId w:val="2"/>
        </w:numPr>
        <w:autoSpaceDE w:val="0"/>
        <w:autoSpaceDN w:val="0"/>
        <w:adjustRightInd w:val="0"/>
        <w:spacing w:line="240" w:lineRule="auto"/>
        <w:jc w:val="both"/>
        <w:rPr>
          <w:rFonts w:asciiTheme="majorBidi" w:hAnsiTheme="majorBidi" w:cstheme="majorBidi"/>
          <w:lang w:val="en-US"/>
        </w:rPr>
      </w:pPr>
      <w:r w:rsidRPr="000F175F">
        <w:rPr>
          <w:rFonts w:asciiTheme="majorBidi" w:hAnsiTheme="majorBidi" w:cstheme="majorBidi"/>
          <w:lang w:val="en-US"/>
        </w:rPr>
        <w:t>The CNDH reinforced the capacities of 25 NGOs, including those working on women’s rights in order to observe the 2021 elections. Indeed, it organized capacity-building sessions for 2500 observers</w:t>
      </w:r>
      <w:r w:rsidR="00600CDA" w:rsidRPr="000F175F">
        <w:rPr>
          <w:rFonts w:asciiTheme="majorBidi" w:hAnsiTheme="majorBidi" w:cstheme="majorBidi"/>
          <w:lang w:val="en-US"/>
        </w:rPr>
        <w:t xml:space="preserve"> of both sexes,</w:t>
      </w:r>
      <w:r w:rsidRPr="000F175F">
        <w:rPr>
          <w:rFonts w:asciiTheme="majorBidi" w:hAnsiTheme="majorBidi" w:cstheme="majorBidi"/>
          <w:lang w:val="en-US"/>
        </w:rPr>
        <w:t xml:space="preserve"> on reporting as well as independent and neutral observation. It also</w:t>
      </w:r>
      <w:r w:rsidR="00DE4F05" w:rsidRPr="000F175F">
        <w:rPr>
          <w:rFonts w:asciiTheme="majorBidi" w:hAnsiTheme="majorBidi" w:cstheme="majorBidi"/>
          <w:lang w:val="en-US"/>
        </w:rPr>
        <w:t xml:space="preserve"> provided</w:t>
      </w:r>
      <w:r w:rsidRPr="000F175F">
        <w:rPr>
          <w:rFonts w:asciiTheme="majorBidi" w:hAnsiTheme="majorBidi" w:cstheme="majorBidi"/>
          <w:lang w:val="en-US"/>
        </w:rPr>
        <w:t xml:space="preserve"> financial support to some of these NGOs to conduct the observation. To be noted that all these NGOs developed relevant reports.</w:t>
      </w:r>
    </w:p>
    <w:p w14:paraId="11938E5B" w14:textId="77777777" w:rsidR="001B6456" w:rsidRPr="000F175F" w:rsidRDefault="001B6456" w:rsidP="001B6456">
      <w:pPr>
        <w:pStyle w:val="Paragraphedeliste"/>
        <w:autoSpaceDE w:val="0"/>
        <w:autoSpaceDN w:val="0"/>
        <w:adjustRightInd w:val="0"/>
        <w:spacing w:line="240" w:lineRule="auto"/>
        <w:ind w:left="360"/>
        <w:jc w:val="both"/>
        <w:rPr>
          <w:rFonts w:asciiTheme="majorBidi" w:hAnsiTheme="majorBidi" w:cstheme="majorBidi"/>
          <w:lang w:val="en-US"/>
        </w:rPr>
      </w:pPr>
    </w:p>
    <w:p w14:paraId="7B0DD659" w14:textId="1737E1BC" w:rsidR="00E17476" w:rsidRPr="000F175F" w:rsidRDefault="001B6456" w:rsidP="000E7529">
      <w:pPr>
        <w:pStyle w:val="Paragraphedeliste"/>
        <w:numPr>
          <w:ilvl w:val="0"/>
          <w:numId w:val="2"/>
        </w:numPr>
        <w:autoSpaceDE w:val="0"/>
        <w:autoSpaceDN w:val="0"/>
        <w:adjustRightInd w:val="0"/>
        <w:spacing w:line="240" w:lineRule="auto"/>
        <w:jc w:val="both"/>
        <w:rPr>
          <w:rFonts w:asciiTheme="majorBidi" w:hAnsiTheme="majorBidi" w:cstheme="majorBidi"/>
          <w:lang w:val="en-US"/>
        </w:rPr>
      </w:pPr>
      <w:r w:rsidRPr="000F175F">
        <w:rPr>
          <w:rFonts w:asciiTheme="majorBidi" w:hAnsiTheme="majorBidi" w:cstheme="majorBidi"/>
          <w:lang w:val="en-US"/>
        </w:rPr>
        <w:t xml:space="preserve">While </w:t>
      </w:r>
      <w:r w:rsidRPr="000F175F">
        <w:rPr>
          <w:rFonts w:asciiTheme="majorBidi" w:hAnsiTheme="majorBidi" w:cstheme="majorBidi"/>
          <w:b/>
          <w:bCs/>
          <w:lang w:val="en-US"/>
        </w:rPr>
        <w:t>access to justice</w:t>
      </w:r>
      <w:r w:rsidRPr="000F175F">
        <w:rPr>
          <w:rFonts w:asciiTheme="majorBidi" w:hAnsiTheme="majorBidi" w:cstheme="majorBidi"/>
          <w:lang w:val="en-US"/>
        </w:rPr>
        <w:t xml:space="preserve"> is guaranteed to all, the CNDH notes the persistence of several challenges, including the lack of a law governing legal assistance that can be applied in all stages of litigation and on all types of appeal as well as the burden of proof which should be borne by women survivors of violence. Due to cultural patterns, women hesitate to file cases of violence with the public prosecutor.</w:t>
      </w:r>
    </w:p>
    <w:p w14:paraId="678CCD68" w14:textId="77777777" w:rsidR="000E7529" w:rsidRPr="000F175F" w:rsidRDefault="000E7529" w:rsidP="000E7529">
      <w:pPr>
        <w:pStyle w:val="Paragraphedeliste"/>
        <w:spacing w:after="160" w:line="259" w:lineRule="auto"/>
        <w:ind w:left="360"/>
        <w:jc w:val="both"/>
        <w:rPr>
          <w:rFonts w:asciiTheme="majorBidi" w:hAnsiTheme="majorBidi" w:cstheme="majorBidi"/>
          <w:lang w:val="en-US"/>
        </w:rPr>
      </w:pPr>
    </w:p>
    <w:p w14:paraId="2077A6DB" w14:textId="6A40154D" w:rsidR="00924803" w:rsidRPr="000F175F" w:rsidRDefault="00924803" w:rsidP="002F56EE">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Regarding the national human rights </w:t>
      </w:r>
      <w:r w:rsidRPr="000F175F">
        <w:rPr>
          <w:rFonts w:asciiTheme="majorBidi" w:hAnsiTheme="majorBidi" w:cstheme="majorBidi"/>
          <w:b/>
          <w:bCs/>
          <w:lang w:val="en-US"/>
        </w:rPr>
        <w:t>policy framework</w:t>
      </w:r>
      <w:r w:rsidRPr="000F175F">
        <w:rPr>
          <w:rFonts w:asciiTheme="majorBidi" w:hAnsiTheme="majorBidi" w:cstheme="majorBidi"/>
          <w:lang w:val="en-US"/>
        </w:rPr>
        <w:t>, the new government committed itself</w:t>
      </w:r>
      <w:r w:rsidR="00297DF5" w:rsidRPr="000F175F">
        <w:rPr>
          <w:rFonts w:asciiTheme="majorBidi" w:hAnsiTheme="majorBidi" w:cstheme="majorBidi"/>
          <w:lang w:val="en-US"/>
        </w:rPr>
        <w:t xml:space="preserve"> in 2021</w:t>
      </w:r>
      <w:r w:rsidRPr="000F175F">
        <w:rPr>
          <w:rFonts w:asciiTheme="majorBidi" w:hAnsiTheme="majorBidi" w:cstheme="majorBidi"/>
          <w:lang w:val="en-US"/>
        </w:rPr>
        <w:t xml:space="preserve"> to updating the National Plan of Action on Democracy and Human Rights. The CNDH believes that this plan constitutes an appropriate framework for advancing human rights in general and women’s rights in particular. The CNDH hopes that the plan will respond to its recommendations on women’s rights as well as the recommendations that the CEDAW will make.</w:t>
      </w:r>
      <w:r w:rsidR="002F56EE" w:rsidRPr="000F175F">
        <w:rPr>
          <w:rFonts w:asciiTheme="majorBidi" w:hAnsiTheme="majorBidi" w:cstheme="majorBidi"/>
          <w:lang w:val="en-US"/>
        </w:rPr>
        <w:t xml:space="preserve"> </w:t>
      </w:r>
      <w:r w:rsidR="002F56EE" w:rsidRPr="000F175F">
        <w:rPr>
          <w:rFonts w:asciiTheme="majorBidi" w:hAnsiTheme="majorBidi" w:cstheme="majorBidi"/>
          <w:lang w:val="en-US" w:bidi="ar-MA"/>
        </w:rPr>
        <w:t>The CNDH addressed a letter in October 2021 to the Chief of Government containing recommendations that would advance human rights, including women’s rights.</w:t>
      </w:r>
    </w:p>
    <w:p w14:paraId="62F49AC3" w14:textId="77777777" w:rsidR="0099196B" w:rsidRPr="000F175F" w:rsidRDefault="0099196B" w:rsidP="0099196B">
      <w:pPr>
        <w:pStyle w:val="Paragraphedeliste"/>
        <w:spacing w:after="160" w:line="259" w:lineRule="auto"/>
        <w:ind w:left="360"/>
        <w:jc w:val="both"/>
        <w:rPr>
          <w:rFonts w:asciiTheme="majorBidi" w:hAnsiTheme="majorBidi" w:cstheme="majorBidi"/>
          <w:lang w:val="en-US"/>
        </w:rPr>
      </w:pPr>
    </w:p>
    <w:p w14:paraId="3B0AD509" w14:textId="651EB3FD" w:rsidR="0003711D" w:rsidRPr="000F175F" w:rsidRDefault="0003711D" w:rsidP="000D3EF7">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With a view to contributing to the dialogue on the </w:t>
      </w:r>
      <w:r w:rsidRPr="000F175F">
        <w:rPr>
          <w:rFonts w:asciiTheme="majorBidi" w:hAnsiTheme="majorBidi" w:cstheme="majorBidi"/>
          <w:b/>
          <w:bCs/>
          <w:lang w:val="en-US"/>
        </w:rPr>
        <w:t>new development model</w:t>
      </w:r>
      <w:r w:rsidRPr="000F175F">
        <w:rPr>
          <w:rFonts w:asciiTheme="majorBidi" w:hAnsiTheme="majorBidi" w:cstheme="majorBidi"/>
          <w:lang w:val="en-US"/>
        </w:rPr>
        <w:t>, the CNDH submitted, in August 2020, a memorandum entitled “</w:t>
      </w:r>
      <w:r w:rsidRPr="000F175F">
        <w:rPr>
          <w:rFonts w:asciiTheme="majorBidi" w:hAnsiTheme="majorBidi" w:cstheme="majorBidi"/>
          <w:i/>
          <w:iCs/>
          <w:lang w:val="en-US"/>
        </w:rPr>
        <w:t>Effectiveness of Rights and Freedoms in Morocco: for a New Social Contract</w:t>
      </w:r>
      <w:r w:rsidRPr="000F175F">
        <w:rPr>
          <w:rFonts w:asciiTheme="majorBidi" w:hAnsiTheme="majorBidi" w:cstheme="majorBidi"/>
          <w:lang w:val="en-US"/>
        </w:rPr>
        <w:t>” to the Development Model Committee</w:t>
      </w:r>
      <w:r w:rsidRPr="000F175F">
        <w:rPr>
          <w:rStyle w:val="Appelnotedebasdep"/>
          <w:rFonts w:asciiTheme="majorBidi" w:hAnsiTheme="majorBidi" w:cstheme="majorBidi"/>
          <w:lang w:val="en-US"/>
        </w:rPr>
        <w:footnoteReference w:id="16"/>
      </w:r>
      <w:r w:rsidRPr="000F175F">
        <w:rPr>
          <w:rFonts w:asciiTheme="majorBidi" w:hAnsiTheme="majorBidi" w:cstheme="majorBidi"/>
          <w:lang w:val="en-US"/>
        </w:rPr>
        <w:t>. In this memorandum, the CNDH called for the territorial implementation of human rights policy measures, such as the fight against sexual harassment, stereotypes in media and school curricula and violence against women</w:t>
      </w:r>
      <w:r w:rsidRPr="000F175F">
        <w:rPr>
          <w:rStyle w:val="Appelnotedebasdep"/>
          <w:rFonts w:asciiTheme="majorBidi" w:hAnsiTheme="majorBidi" w:cstheme="majorBidi"/>
          <w:lang w:val="en-US"/>
        </w:rPr>
        <w:footnoteReference w:id="17"/>
      </w:r>
      <w:r w:rsidRPr="000F175F">
        <w:rPr>
          <w:rFonts w:asciiTheme="majorBidi" w:hAnsiTheme="majorBidi" w:cstheme="majorBidi"/>
          <w:lang w:val="en-US"/>
        </w:rPr>
        <w:t>.The</w:t>
      </w:r>
      <w:r w:rsidR="00FB56E2" w:rsidRPr="000F175F">
        <w:rPr>
          <w:rFonts w:asciiTheme="majorBidi" w:hAnsiTheme="majorBidi" w:cstheme="majorBidi"/>
          <w:lang w:val="en-US"/>
        </w:rPr>
        <w:t xml:space="preserve"> annual reports of the CNDH </w:t>
      </w:r>
      <w:r w:rsidRPr="000F175F">
        <w:rPr>
          <w:rFonts w:asciiTheme="majorBidi" w:hAnsiTheme="majorBidi" w:cstheme="majorBidi"/>
          <w:lang w:val="en-US"/>
        </w:rPr>
        <w:t>underlined issues that still compromise women's rights in Morocco. The outstanding concerns include the marriage of minors, the difficulty of women’s access to legal guardianship, divorce for discord (</w:t>
      </w:r>
      <w:proofErr w:type="spellStart"/>
      <w:r w:rsidRPr="000F175F">
        <w:rPr>
          <w:rFonts w:asciiTheme="majorBidi" w:hAnsiTheme="majorBidi" w:cstheme="majorBidi"/>
          <w:i/>
          <w:iCs/>
          <w:lang w:val="en-US"/>
        </w:rPr>
        <w:t>chikak</w:t>
      </w:r>
      <w:proofErr w:type="spellEnd"/>
      <w:r w:rsidRPr="000F175F">
        <w:rPr>
          <w:rFonts w:asciiTheme="majorBidi" w:hAnsiTheme="majorBidi" w:cstheme="majorBidi"/>
          <w:lang w:val="en-US"/>
        </w:rPr>
        <w:t>)</w:t>
      </w:r>
      <w:r w:rsidRPr="000F175F">
        <w:rPr>
          <w:rStyle w:val="Appelnotedebasdep"/>
          <w:rFonts w:asciiTheme="majorBidi" w:hAnsiTheme="majorBidi" w:cstheme="majorBidi"/>
          <w:lang w:val="en-US"/>
        </w:rPr>
        <w:footnoteReference w:id="18"/>
      </w:r>
      <w:r w:rsidR="000D3EF7" w:rsidRPr="000F175F">
        <w:rPr>
          <w:rFonts w:asciiTheme="majorBidi" w:hAnsiTheme="majorBidi" w:cstheme="majorBidi"/>
          <w:lang w:val="en-US"/>
        </w:rPr>
        <w:t xml:space="preserve"> and</w:t>
      </w:r>
      <w:r w:rsidRPr="000F175F">
        <w:rPr>
          <w:rFonts w:asciiTheme="majorBidi" w:hAnsiTheme="majorBidi" w:cstheme="majorBidi"/>
          <w:lang w:val="en-US"/>
        </w:rPr>
        <w:t xml:space="preserve"> unequal inheritance legislation. </w:t>
      </w:r>
    </w:p>
    <w:p w14:paraId="1D0F5272" w14:textId="77777777" w:rsidR="00462E5C" w:rsidRPr="000F175F" w:rsidRDefault="00462E5C" w:rsidP="00462E5C">
      <w:pPr>
        <w:pStyle w:val="Paragraphedeliste"/>
        <w:spacing w:after="160" w:line="259" w:lineRule="auto"/>
        <w:ind w:left="360"/>
        <w:jc w:val="both"/>
        <w:rPr>
          <w:rFonts w:asciiTheme="majorBidi" w:hAnsiTheme="majorBidi" w:cstheme="majorBidi"/>
          <w:lang w:val="en-US"/>
        </w:rPr>
      </w:pPr>
    </w:p>
    <w:p w14:paraId="299B8889" w14:textId="2EF48350" w:rsidR="0003711D" w:rsidRPr="000F175F" w:rsidRDefault="0003711D" w:rsidP="00213C60">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phenomenon of </w:t>
      </w:r>
      <w:r w:rsidRPr="000F175F">
        <w:rPr>
          <w:rFonts w:asciiTheme="majorBidi" w:hAnsiTheme="majorBidi" w:cstheme="majorBidi"/>
          <w:b/>
          <w:bCs/>
          <w:lang w:val="en-US"/>
        </w:rPr>
        <w:t>unsafe abortion</w:t>
      </w:r>
      <w:r w:rsidRPr="000F175F">
        <w:rPr>
          <w:rFonts w:asciiTheme="majorBidi" w:hAnsiTheme="majorBidi" w:cstheme="majorBidi"/>
          <w:lang w:val="en-US"/>
        </w:rPr>
        <w:t xml:space="preserve"> poses risks to the life as well as the physical and psychological health of women</w:t>
      </w:r>
      <w:r w:rsidRPr="000F175F">
        <w:rPr>
          <w:rStyle w:val="Appelnotedebasdep"/>
          <w:rFonts w:asciiTheme="majorBidi" w:hAnsiTheme="majorBidi" w:cstheme="majorBidi"/>
          <w:lang w:val="en-US"/>
        </w:rPr>
        <w:footnoteReference w:id="19"/>
      </w:r>
      <w:r w:rsidRPr="000F175F">
        <w:rPr>
          <w:rFonts w:asciiTheme="majorBidi" w:hAnsiTheme="majorBidi" w:cstheme="majorBidi"/>
          <w:lang w:val="en-US"/>
        </w:rPr>
        <w:t xml:space="preserve">. In its memorandum to the Parliament on Bill No. </w:t>
      </w:r>
      <w:r w:rsidR="00393530">
        <w:rPr>
          <w:rFonts w:asciiTheme="majorBidi" w:hAnsiTheme="majorBidi" w:cstheme="majorBidi"/>
          <w:lang w:val="en-US"/>
        </w:rPr>
        <w:t>10.16</w:t>
      </w:r>
      <w:r w:rsidRPr="000F175F">
        <w:rPr>
          <w:rFonts w:asciiTheme="majorBidi" w:hAnsiTheme="majorBidi" w:cstheme="majorBidi"/>
          <w:lang w:val="en-US"/>
        </w:rPr>
        <w:t xml:space="preserve"> amending and supplementing the penal </w:t>
      </w:r>
      <w:r w:rsidR="008C0C99">
        <w:rPr>
          <w:rFonts w:asciiTheme="majorBidi" w:hAnsiTheme="majorBidi" w:cstheme="majorBidi"/>
          <w:lang w:val="en-US"/>
        </w:rPr>
        <w:t>Law</w:t>
      </w:r>
      <w:r w:rsidRPr="000F175F">
        <w:rPr>
          <w:rFonts w:asciiTheme="majorBidi" w:hAnsiTheme="majorBidi" w:cstheme="majorBidi"/>
          <w:lang w:val="en-US"/>
        </w:rPr>
        <w:t xml:space="preserve"> corpus, the CNDH recommended, among other things, that the legal text relating to abortion should be based on the concept of health, as defined by the Constitution of the World Health Organization: “</w:t>
      </w:r>
      <w:r w:rsidRPr="000F175F">
        <w:rPr>
          <w:rFonts w:asciiTheme="majorBidi" w:hAnsiTheme="majorBidi" w:cstheme="majorBidi"/>
          <w:i/>
          <w:iCs/>
          <w:lang w:val="en-US"/>
        </w:rPr>
        <w:t xml:space="preserve">Health is a state of complete physical, mental and social well-being and </w:t>
      </w:r>
      <w:r w:rsidRPr="000F175F">
        <w:rPr>
          <w:rFonts w:asciiTheme="majorBidi" w:hAnsiTheme="majorBidi" w:cstheme="majorBidi"/>
          <w:i/>
          <w:iCs/>
          <w:lang w:val="en-US"/>
        </w:rPr>
        <w:lastRenderedPageBreak/>
        <w:t>not merely the absence of disease or infirmity</w:t>
      </w:r>
      <w:r w:rsidRPr="000F175F">
        <w:rPr>
          <w:rFonts w:asciiTheme="majorBidi" w:hAnsiTheme="majorBidi" w:cstheme="majorBidi"/>
          <w:lang w:val="en-US"/>
        </w:rPr>
        <w:t>”.</w:t>
      </w:r>
      <w:r w:rsidRPr="000F175F">
        <w:rPr>
          <w:rStyle w:val="Appelnotedebasdep"/>
          <w:rFonts w:asciiTheme="majorBidi" w:hAnsiTheme="majorBidi" w:cstheme="majorBidi"/>
          <w:lang w:val="en-US"/>
        </w:rPr>
        <w:footnoteReference w:id="20"/>
      </w:r>
      <w:r w:rsidR="00213C60" w:rsidRPr="000F175F">
        <w:rPr>
          <w:rFonts w:asciiTheme="majorBidi" w:hAnsiTheme="majorBidi" w:cstheme="majorBidi"/>
          <w:lang w:val="en-US"/>
        </w:rPr>
        <w:t xml:space="preserve"> Concerning the rights to </w:t>
      </w:r>
      <w:r w:rsidR="00213C60" w:rsidRPr="000F175F">
        <w:rPr>
          <w:rFonts w:asciiTheme="majorBidi" w:hAnsiTheme="majorBidi" w:cstheme="majorBidi"/>
          <w:b/>
          <w:bCs/>
          <w:lang w:val="en-US"/>
        </w:rPr>
        <w:t>sexual and reproductive health</w:t>
      </w:r>
      <w:r w:rsidR="00213C60" w:rsidRPr="000F175F">
        <w:rPr>
          <w:rFonts w:asciiTheme="majorBidi" w:hAnsiTheme="majorBidi" w:cstheme="majorBidi"/>
          <w:lang w:val="en-US"/>
        </w:rPr>
        <w:t xml:space="preserve"> </w:t>
      </w:r>
      <w:r w:rsidR="00213C60" w:rsidRPr="000F175F">
        <w:rPr>
          <w:rFonts w:asciiTheme="majorBidi" w:hAnsiTheme="majorBidi" w:cstheme="majorBidi"/>
          <w:b/>
          <w:bCs/>
          <w:lang w:val="en-US"/>
        </w:rPr>
        <w:t>of women and girls</w:t>
      </w:r>
      <w:r w:rsidR="00213C60" w:rsidRPr="000F175F">
        <w:rPr>
          <w:rFonts w:asciiTheme="majorBidi" w:hAnsiTheme="majorBidi" w:cstheme="majorBidi"/>
          <w:lang w:val="en-US"/>
        </w:rPr>
        <w:t>, the CNDH worked to strengthen the capacities of its members, staff and civil society associations in this field, especially in monitoring aspects of discrimination related to this right. In this context, the Council, in partnership with the United Nations Population Fund, organized several training sessions in 2021, including for young women on the Universal Periodic Review and the mainstreaming of women’s rights in reporting.</w:t>
      </w:r>
    </w:p>
    <w:p w14:paraId="0E368C12" w14:textId="77777777" w:rsidR="00FB56E2" w:rsidRPr="000F175F" w:rsidRDefault="00FB56E2" w:rsidP="00FB56E2">
      <w:pPr>
        <w:pStyle w:val="Paragraphedeliste"/>
        <w:spacing w:after="160" w:line="259" w:lineRule="auto"/>
        <w:ind w:left="360"/>
        <w:jc w:val="both"/>
        <w:rPr>
          <w:rFonts w:asciiTheme="majorBidi" w:hAnsiTheme="majorBidi" w:cstheme="majorBidi"/>
          <w:lang w:val="en-US"/>
        </w:rPr>
      </w:pPr>
    </w:p>
    <w:p w14:paraId="7B53D12A" w14:textId="495A83F1" w:rsidR="005536D2" w:rsidRPr="000F175F" w:rsidRDefault="0003711D" w:rsidP="005536D2">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CNDH followed up on the issue of </w:t>
      </w:r>
      <w:r w:rsidRPr="000F175F">
        <w:rPr>
          <w:rFonts w:asciiTheme="majorBidi" w:hAnsiTheme="majorBidi" w:cstheme="majorBidi"/>
          <w:b/>
          <w:bCs/>
          <w:lang w:val="en-US"/>
        </w:rPr>
        <w:t>consensual sexual relationships</w:t>
      </w:r>
      <w:r w:rsidRPr="000F175F">
        <w:rPr>
          <w:rFonts w:asciiTheme="majorBidi" w:hAnsiTheme="majorBidi" w:cstheme="majorBidi"/>
          <w:lang w:val="en-US"/>
        </w:rPr>
        <w:t xml:space="preserve"> between adults. The CNDH recommended amending the </w:t>
      </w:r>
      <w:r w:rsidR="00650DB9" w:rsidRPr="000F175F">
        <w:rPr>
          <w:rFonts w:asciiTheme="majorBidi" w:hAnsiTheme="majorBidi" w:cstheme="majorBidi"/>
          <w:lang w:val="en-US"/>
        </w:rPr>
        <w:t>Criminal</w:t>
      </w:r>
      <w:r w:rsidRPr="000F175F">
        <w:rPr>
          <w:rFonts w:asciiTheme="majorBidi" w:hAnsiTheme="majorBidi" w:cstheme="majorBidi"/>
          <w:lang w:val="en-US"/>
        </w:rPr>
        <w:t xml:space="preserve"> Law in a way that ensures the decriminalization of all consensual sexual relationships. The CNDH specifies that the reform of the </w:t>
      </w:r>
      <w:r w:rsidR="00650DB9" w:rsidRPr="000F175F">
        <w:rPr>
          <w:rFonts w:asciiTheme="majorBidi" w:hAnsiTheme="majorBidi" w:cstheme="majorBidi"/>
          <w:lang w:val="en-US"/>
        </w:rPr>
        <w:t>Criminal</w:t>
      </w:r>
      <w:r w:rsidRPr="000F175F">
        <w:rPr>
          <w:rFonts w:asciiTheme="majorBidi" w:hAnsiTheme="majorBidi" w:cstheme="majorBidi"/>
          <w:lang w:val="en-US"/>
        </w:rPr>
        <w:t xml:space="preserve"> </w:t>
      </w:r>
      <w:r w:rsidR="00650DB9" w:rsidRPr="000F175F">
        <w:rPr>
          <w:rFonts w:asciiTheme="majorBidi" w:hAnsiTheme="majorBidi" w:cstheme="majorBidi"/>
          <w:lang w:val="en-US"/>
        </w:rPr>
        <w:t>Law</w:t>
      </w:r>
      <w:r w:rsidRPr="000F175F">
        <w:rPr>
          <w:rFonts w:asciiTheme="majorBidi" w:hAnsiTheme="majorBidi" w:cstheme="majorBidi"/>
          <w:lang w:val="en-US"/>
        </w:rPr>
        <w:t xml:space="preserve"> should, however, maintain the penalization of all forms of sexual exploitation.</w:t>
      </w:r>
    </w:p>
    <w:p w14:paraId="7319DBB7" w14:textId="77777777" w:rsidR="005536D2" w:rsidRPr="000F175F" w:rsidRDefault="005536D2" w:rsidP="005536D2">
      <w:pPr>
        <w:pStyle w:val="Paragraphedeliste"/>
        <w:rPr>
          <w:rFonts w:asciiTheme="majorBidi" w:hAnsiTheme="majorBidi" w:cstheme="majorBidi"/>
          <w:lang w:val="en-US"/>
        </w:rPr>
      </w:pPr>
    </w:p>
    <w:p w14:paraId="19510ECD" w14:textId="31429212" w:rsidR="00001383" w:rsidRPr="000F175F" w:rsidRDefault="00001383" w:rsidP="005536D2">
      <w:pPr>
        <w:pStyle w:val="Paragraphedeliste"/>
        <w:numPr>
          <w:ilvl w:val="0"/>
          <w:numId w:val="2"/>
        </w:numPr>
        <w:spacing w:after="160" w:line="259" w:lineRule="auto"/>
        <w:jc w:val="both"/>
        <w:rPr>
          <w:rFonts w:asciiTheme="majorBidi" w:hAnsiTheme="majorBidi" w:cstheme="majorBidi"/>
          <w:rtl/>
          <w:lang w:val="en-US"/>
        </w:rPr>
      </w:pPr>
      <w:r w:rsidRPr="000F175F">
        <w:rPr>
          <w:rFonts w:asciiTheme="majorBidi" w:hAnsiTheme="majorBidi" w:cstheme="majorBidi"/>
          <w:lang w:val="en-US"/>
        </w:rPr>
        <w:t xml:space="preserve">Regarding women’s </w:t>
      </w:r>
      <w:r w:rsidRPr="000F175F">
        <w:rPr>
          <w:rFonts w:asciiTheme="majorBidi" w:hAnsiTheme="majorBidi" w:cstheme="majorBidi"/>
          <w:b/>
          <w:bCs/>
          <w:lang w:val="en-US"/>
        </w:rPr>
        <w:t>right to education</w:t>
      </w:r>
      <w:r w:rsidRPr="000F175F">
        <w:rPr>
          <w:rFonts w:asciiTheme="majorBidi" w:hAnsiTheme="majorBidi" w:cstheme="majorBidi"/>
          <w:lang w:val="en-US"/>
        </w:rPr>
        <w:t>, despite the efforts made by the government in recent years, illiteracy continues to prevail among women with 42.1%, as against 2</w:t>
      </w:r>
      <w:r w:rsidRPr="000F175F">
        <w:rPr>
          <w:rFonts w:asciiTheme="majorBidi" w:hAnsiTheme="majorBidi" w:cstheme="majorBidi"/>
          <w:rtl/>
          <w:lang w:val="en-US"/>
        </w:rPr>
        <w:t>2</w:t>
      </w:r>
      <w:r w:rsidRPr="000F175F">
        <w:rPr>
          <w:rFonts w:asciiTheme="majorBidi" w:hAnsiTheme="majorBidi" w:cstheme="majorBidi"/>
          <w:lang w:val="en-US"/>
        </w:rPr>
        <w:t>.</w:t>
      </w:r>
      <w:r w:rsidRPr="000F175F">
        <w:rPr>
          <w:rFonts w:asciiTheme="majorBidi" w:hAnsiTheme="majorBidi" w:cstheme="majorBidi"/>
          <w:rtl/>
          <w:lang w:val="en-US"/>
        </w:rPr>
        <w:t>2</w:t>
      </w:r>
      <w:r w:rsidRPr="000F175F">
        <w:rPr>
          <w:rFonts w:asciiTheme="majorBidi" w:hAnsiTheme="majorBidi" w:cstheme="majorBidi"/>
          <w:lang w:val="en-US"/>
        </w:rPr>
        <w:t xml:space="preserve"> for men</w:t>
      </w:r>
      <w:r w:rsidRPr="000F175F">
        <w:rPr>
          <w:rStyle w:val="Appelnotedebasdep"/>
          <w:rFonts w:asciiTheme="majorBidi" w:hAnsiTheme="majorBidi" w:cstheme="majorBidi"/>
          <w:lang w:val="en-US"/>
        </w:rPr>
        <w:footnoteReference w:id="21"/>
      </w:r>
      <w:r w:rsidRPr="000F175F">
        <w:rPr>
          <w:rFonts w:asciiTheme="majorBidi" w:hAnsiTheme="majorBidi" w:cstheme="majorBidi"/>
          <w:lang w:val="en-US"/>
        </w:rPr>
        <w:t xml:space="preserve">. The education of girls is still a key challenge, especially in rural areas. According to government statistics, the enrolment rate for children aged between 6 and 11 stood at 99.7% during the </w:t>
      </w:r>
      <w:r w:rsidR="00650DB9" w:rsidRPr="000F175F">
        <w:rPr>
          <w:rFonts w:asciiTheme="majorBidi" w:hAnsiTheme="majorBidi" w:cstheme="majorBidi"/>
          <w:lang w:val="en-US"/>
        </w:rPr>
        <w:t>school</w:t>
      </w:r>
      <w:r w:rsidRPr="000F175F">
        <w:rPr>
          <w:rFonts w:asciiTheme="majorBidi" w:hAnsiTheme="majorBidi" w:cstheme="majorBidi"/>
          <w:lang w:val="en-US"/>
        </w:rPr>
        <w:t xml:space="preserve"> year 2018-2019. This high rate is partly attributed to the financial support provided by the government to vulnerable families. However, t</w:t>
      </w:r>
      <w:r w:rsidR="00BB5AD4" w:rsidRPr="000F175F">
        <w:rPr>
          <w:rFonts w:asciiTheme="majorBidi" w:hAnsiTheme="majorBidi" w:cstheme="majorBidi"/>
          <w:lang w:val="en-US"/>
        </w:rPr>
        <w:t xml:space="preserve">he CNDH expresses its deep concern about the continued school dropout in public education, moving up from 304,545 students in the 2019-2020 school year to 331,558 in the 2020-2021 school year, especially in the primary school, which saw an increase of 2.9%. </w:t>
      </w:r>
      <w:r w:rsidR="00650DB9" w:rsidRPr="000F175F">
        <w:rPr>
          <w:rFonts w:asciiTheme="majorBidi" w:hAnsiTheme="majorBidi" w:cstheme="majorBidi"/>
          <w:lang w:val="en-US"/>
        </w:rPr>
        <w:t xml:space="preserve">School dropouts affect girls more than boys, and this is primarily due to cultural considerations. </w:t>
      </w:r>
      <w:r w:rsidR="00BB5AD4" w:rsidRPr="000F175F">
        <w:rPr>
          <w:rFonts w:asciiTheme="majorBidi" w:hAnsiTheme="majorBidi" w:cstheme="majorBidi"/>
          <w:lang w:val="en-US"/>
        </w:rPr>
        <w:t xml:space="preserve">These </w:t>
      </w:r>
      <w:r w:rsidR="00CD7E28" w:rsidRPr="000F175F">
        <w:rPr>
          <w:rFonts w:asciiTheme="majorBidi" w:hAnsiTheme="majorBidi" w:cstheme="majorBidi"/>
          <w:lang w:val="en-US"/>
        </w:rPr>
        <w:t>figures</w:t>
      </w:r>
      <w:r w:rsidR="00BB5AD4" w:rsidRPr="000F175F">
        <w:rPr>
          <w:rFonts w:asciiTheme="majorBidi" w:hAnsiTheme="majorBidi" w:cstheme="majorBidi"/>
          <w:lang w:val="en-US"/>
        </w:rPr>
        <w:t xml:space="preserve"> are recorded in light of the efforts made at the social level to encourage the continuation of schooling, especially </w:t>
      </w:r>
      <w:r w:rsidR="00204C7F" w:rsidRPr="000F175F">
        <w:rPr>
          <w:rFonts w:asciiTheme="majorBidi" w:hAnsiTheme="majorBidi" w:cstheme="majorBidi"/>
          <w:lang w:val="en-US"/>
        </w:rPr>
        <w:t xml:space="preserve">the provision of transportation, </w:t>
      </w:r>
      <w:r w:rsidR="0002552F" w:rsidRPr="000F175F">
        <w:rPr>
          <w:rFonts w:asciiTheme="majorBidi" w:hAnsiTheme="majorBidi" w:cstheme="majorBidi"/>
          <w:lang w:val="en-US"/>
        </w:rPr>
        <w:t>food</w:t>
      </w:r>
      <w:r w:rsidR="00204C7F" w:rsidRPr="000F175F">
        <w:rPr>
          <w:rFonts w:asciiTheme="majorBidi" w:hAnsiTheme="majorBidi" w:cstheme="majorBidi"/>
          <w:lang w:val="en-US"/>
        </w:rPr>
        <w:t xml:space="preserve"> and financial assistance</w:t>
      </w:r>
      <w:r w:rsidR="00BB5AD4" w:rsidRPr="000F175F">
        <w:rPr>
          <w:rFonts w:asciiTheme="majorBidi" w:hAnsiTheme="majorBidi" w:cstheme="majorBidi"/>
          <w:lang w:val="en-US"/>
        </w:rPr>
        <w:t xml:space="preserve">, including in rural </w:t>
      </w:r>
      <w:r w:rsidR="0002552F" w:rsidRPr="000F175F">
        <w:rPr>
          <w:rFonts w:asciiTheme="majorBidi" w:hAnsiTheme="majorBidi" w:cstheme="majorBidi"/>
          <w:lang w:val="en-US"/>
        </w:rPr>
        <w:t>areas</w:t>
      </w:r>
      <w:r w:rsidR="00BB5AD4" w:rsidRPr="000F175F">
        <w:rPr>
          <w:rFonts w:asciiTheme="majorBidi" w:hAnsiTheme="majorBidi" w:cstheme="majorBidi"/>
          <w:lang w:val="en-US"/>
        </w:rPr>
        <w:t xml:space="preserve">, </w:t>
      </w:r>
      <w:r w:rsidR="00650DB9" w:rsidRPr="000F175F">
        <w:rPr>
          <w:rFonts w:asciiTheme="majorBidi" w:hAnsiTheme="majorBidi" w:cstheme="majorBidi"/>
          <w:lang w:val="en-US"/>
        </w:rPr>
        <w:t xml:space="preserve">and </w:t>
      </w:r>
      <w:r w:rsidR="00BB5AD4" w:rsidRPr="000F175F">
        <w:rPr>
          <w:rFonts w:asciiTheme="majorBidi" w:hAnsiTheme="majorBidi" w:cstheme="majorBidi"/>
          <w:lang w:val="en-US"/>
        </w:rPr>
        <w:t xml:space="preserve">the One Million </w:t>
      </w:r>
      <w:r w:rsidR="00204C7F" w:rsidRPr="000F175F">
        <w:rPr>
          <w:rFonts w:asciiTheme="majorBidi" w:hAnsiTheme="majorBidi" w:cstheme="majorBidi"/>
          <w:lang w:val="en-US"/>
        </w:rPr>
        <w:t>School Bag Initiative</w:t>
      </w:r>
      <w:r w:rsidR="00BB5AD4" w:rsidRPr="000F175F">
        <w:rPr>
          <w:rFonts w:asciiTheme="majorBidi" w:hAnsiTheme="majorBidi" w:cstheme="majorBidi"/>
          <w:lang w:val="en-US"/>
        </w:rPr>
        <w:t xml:space="preserve">. </w:t>
      </w:r>
    </w:p>
    <w:p w14:paraId="176866B8" w14:textId="77777777" w:rsidR="00001383" w:rsidRPr="000F175F" w:rsidRDefault="00001383" w:rsidP="00001383">
      <w:pPr>
        <w:pStyle w:val="Paragraphedeliste"/>
        <w:ind w:left="360"/>
        <w:jc w:val="both"/>
        <w:rPr>
          <w:rFonts w:asciiTheme="majorBidi" w:hAnsiTheme="majorBidi" w:cstheme="majorBidi"/>
          <w:lang w:val="en-US"/>
        </w:rPr>
      </w:pPr>
    </w:p>
    <w:p w14:paraId="646E2F12" w14:textId="2799E58C" w:rsidR="005536D2" w:rsidRPr="000F175F" w:rsidRDefault="0089094F" w:rsidP="0089094F">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In its annual reports, the </w:t>
      </w:r>
      <w:r w:rsidR="00001383" w:rsidRPr="000F175F">
        <w:rPr>
          <w:rFonts w:asciiTheme="majorBidi" w:hAnsiTheme="majorBidi" w:cstheme="majorBidi"/>
          <w:lang w:val="en-US"/>
        </w:rPr>
        <w:t xml:space="preserve">CNDH reported that many challenges still prevent the women’s enjoyment of </w:t>
      </w:r>
      <w:r w:rsidR="00001383" w:rsidRPr="000F175F">
        <w:rPr>
          <w:rFonts w:asciiTheme="majorBidi" w:hAnsiTheme="majorBidi" w:cstheme="majorBidi"/>
          <w:b/>
          <w:bCs/>
          <w:lang w:val="en-US"/>
        </w:rPr>
        <w:t>the right to employment</w:t>
      </w:r>
      <w:r w:rsidR="00001383" w:rsidRPr="000F175F">
        <w:rPr>
          <w:rFonts w:asciiTheme="majorBidi" w:hAnsiTheme="majorBidi" w:cstheme="majorBidi"/>
          <w:lang w:val="en-US"/>
        </w:rPr>
        <w:t xml:space="preserve">. In the second quarter of 2020, Morocco has 18 million women (50.3%), of </w:t>
      </w:r>
      <w:r w:rsidR="005536D2" w:rsidRPr="000F175F">
        <w:rPr>
          <w:rFonts w:asciiTheme="majorBidi" w:hAnsiTheme="majorBidi" w:cstheme="majorBidi"/>
          <w:lang w:val="en-US"/>
        </w:rPr>
        <w:t>whom</w:t>
      </w:r>
      <w:r w:rsidR="00001383" w:rsidRPr="000F175F">
        <w:rPr>
          <w:rFonts w:asciiTheme="majorBidi" w:hAnsiTheme="majorBidi" w:cstheme="majorBidi"/>
          <w:lang w:val="en-US"/>
        </w:rPr>
        <w:t xml:space="preserve"> 13.6 million are at working age (15 years and over). Analysis of the situation of women in the labor market reveals a low participation of women in economic activity. Indeed, their participation rate is only 20.8% in October 2020, well below that of men (69.7%). The labor market is less feminized, as out of an employed labor force of around 10.5 million, the number of women employed reached around 2.4 million in the second quarter of 2020 (</w:t>
      </w:r>
      <w:proofErr w:type="gramStart"/>
      <w:r w:rsidR="00001383" w:rsidRPr="000F175F">
        <w:rPr>
          <w:rFonts w:asciiTheme="majorBidi" w:hAnsiTheme="majorBidi" w:cstheme="majorBidi"/>
          <w:lang w:val="en-US"/>
        </w:rPr>
        <w:t>i.e.</w:t>
      </w:r>
      <w:proofErr w:type="gramEnd"/>
      <w:r w:rsidR="00001383" w:rsidRPr="000F175F">
        <w:rPr>
          <w:rFonts w:asciiTheme="majorBidi" w:hAnsiTheme="majorBidi" w:cstheme="majorBidi"/>
          <w:lang w:val="en-US"/>
        </w:rPr>
        <w:t xml:space="preserve"> a feminization rate of 22.7%).</w:t>
      </w:r>
      <w:r w:rsidR="00001383" w:rsidRPr="000F175F">
        <w:rPr>
          <w:rStyle w:val="Appelnotedebasdep"/>
          <w:rFonts w:asciiTheme="majorBidi" w:hAnsiTheme="majorBidi" w:cstheme="majorBidi"/>
          <w:lang w:val="en-US"/>
        </w:rPr>
        <w:footnoteReference w:id="22"/>
      </w:r>
      <w:r w:rsidR="00001383" w:rsidRPr="000F175F">
        <w:rPr>
          <w:rFonts w:asciiTheme="majorBidi" w:hAnsiTheme="majorBidi" w:cstheme="majorBidi"/>
          <w:lang w:val="en-US"/>
        </w:rPr>
        <w:t xml:space="preserve"> Likewise, the rate of women entrepreneurs is remarkably very low. </w:t>
      </w:r>
    </w:p>
    <w:p w14:paraId="052EE1DA" w14:textId="77777777" w:rsidR="005536D2" w:rsidRPr="000F175F" w:rsidRDefault="005536D2" w:rsidP="005536D2">
      <w:pPr>
        <w:pStyle w:val="Paragraphedeliste"/>
        <w:rPr>
          <w:rFonts w:asciiTheme="majorBidi" w:hAnsiTheme="majorBidi" w:cstheme="majorBidi"/>
          <w:lang w:val="en-US"/>
        </w:rPr>
      </w:pPr>
    </w:p>
    <w:p w14:paraId="3D66DB35" w14:textId="7BF6B7DE" w:rsidR="009E0352" w:rsidRPr="000F175F" w:rsidRDefault="005536D2" w:rsidP="009E0352">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The CNDH welcomes the importance that the government has given in its program to </w:t>
      </w:r>
      <w:r w:rsidRPr="000F175F">
        <w:rPr>
          <w:rFonts w:asciiTheme="majorBidi" w:hAnsiTheme="majorBidi" w:cstheme="majorBidi"/>
          <w:b/>
          <w:bCs/>
          <w:lang w:val="en-US"/>
        </w:rPr>
        <w:t>social security</w:t>
      </w:r>
      <w:r w:rsidRPr="000F175F">
        <w:rPr>
          <w:rFonts w:asciiTheme="majorBidi" w:hAnsiTheme="majorBidi" w:cstheme="majorBidi"/>
          <w:lang w:val="en-US"/>
        </w:rPr>
        <w:t xml:space="preserve">, by generalizing </w:t>
      </w:r>
      <w:r w:rsidR="00213C60" w:rsidRPr="000F175F">
        <w:rPr>
          <w:rFonts w:asciiTheme="majorBidi" w:hAnsiTheme="majorBidi" w:cstheme="majorBidi"/>
          <w:lang w:val="en-US"/>
        </w:rPr>
        <w:t>it</w:t>
      </w:r>
      <w:r w:rsidRPr="000F175F">
        <w:rPr>
          <w:rFonts w:asciiTheme="majorBidi" w:hAnsiTheme="majorBidi" w:cstheme="majorBidi"/>
          <w:lang w:val="en-US"/>
        </w:rPr>
        <w:t xml:space="preserve"> to all workers and extending health coverage to the inactive persons, including women. Implementing these measures would further enhance and protect the right to social security for women. Also, the CNDH issued a </w:t>
      </w:r>
      <w:r w:rsidR="009E0352" w:rsidRPr="000F175F">
        <w:rPr>
          <w:rFonts w:asciiTheme="majorBidi" w:hAnsiTheme="majorBidi" w:cstheme="majorBidi"/>
          <w:lang w:val="en-US"/>
        </w:rPr>
        <w:t xml:space="preserve">thematic </w:t>
      </w:r>
      <w:r w:rsidRPr="000F175F">
        <w:rPr>
          <w:rFonts w:asciiTheme="majorBidi" w:hAnsiTheme="majorBidi" w:cstheme="majorBidi"/>
          <w:lang w:val="en-US"/>
        </w:rPr>
        <w:t xml:space="preserve">report on </w:t>
      </w:r>
      <w:r w:rsidR="009E0352" w:rsidRPr="000F175F">
        <w:rPr>
          <w:rFonts w:asciiTheme="majorBidi" w:hAnsiTheme="majorBidi" w:cstheme="majorBidi"/>
          <w:lang w:val="en-US"/>
        </w:rPr>
        <w:t xml:space="preserve">the effectiveness of the </w:t>
      </w:r>
      <w:r w:rsidR="009E0352" w:rsidRPr="000F175F">
        <w:rPr>
          <w:rFonts w:asciiTheme="majorBidi" w:hAnsiTheme="majorBidi" w:cstheme="majorBidi"/>
          <w:b/>
          <w:bCs/>
          <w:lang w:val="en-US"/>
        </w:rPr>
        <w:t>right to health</w:t>
      </w:r>
      <w:r w:rsidR="009E0352" w:rsidRPr="000F175F">
        <w:rPr>
          <w:rStyle w:val="Appelnotedebasdep"/>
          <w:rFonts w:asciiTheme="majorBidi" w:hAnsiTheme="majorBidi" w:cstheme="majorBidi"/>
          <w:lang w:val="en-US"/>
        </w:rPr>
        <w:footnoteReference w:id="23"/>
      </w:r>
      <w:r w:rsidR="009E0352" w:rsidRPr="000F175F">
        <w:rPr>
          <w:rFonts w:asciiTheme="majorBidi" w:hAnsiTheme="majorBidi" w:cstheme="majorBidi"/>
          <w:lang w:val="en-US"/>
        </w:rPr>
        <w:t xml:space="preserve">, which presents the obstacles faced by citizens to access their right to health. It also proposes recommendations that guarantee the right to health for all, including </w:t>
      </w:r>
      <w:r w:rsidR="00213C60" w:rsidRPr="000F175F">
        <w:rPr>
          <w:rFonts w:asciiTheme="majorBidi" w:hAnsiTheme="majorBidi" w:cstheme="majorBidi"/>
          <w:lang w:val="en-US"/>
        </w:rPr>
        <w:t>the right to sexual and reproductive health</w:t>
      </w:r>
      <w:r w:rsidR="009E0352" w:rsidRPr="000F175F">
        <w:rPr>
          <w:rFonts w:asciiTheme="majorBidi" w:hAnsiTheme="majorBidi" w:cstheme="majorBidi"/>
          <w:lang w:val="en-US"/>
        </w:rPr>
        <w:t xml:space="preserve">. </w:t>
      </w:r>
    </w:p>
    <w:p w14:paraId="11E4AE80" w14:textId="77777777" w:rsidR="009E0352" w:rsidRPr="000F175F" w:rsidRDefault="009E0352" w:rsidP="009E0352">
      <w:pPr>
        <w:pStyle w:val="Paragraphedeliste"/>
        <w:spacing w:after="160" w:line="259" w:lineRule="auto"/>
        <w:ind w:left="360"/>
        <w:jc w:val="both"/>
        <w:rPr>
          <w:rFonts w:asciiTheme="majorBidi" w:hAnsiTheme="majorBidi" w:cstheme="majorBidi"/>
          <w:lang w:val="en-US"/>
        </w:rPr>
      </w:pPr>
    </w:p>
    <w:p w14:paraId="4A6FC0C7" w14:textId="2F3A7A71" w:rsidR="00001383" w:rsidRPr="000F175F" w:rsidRDefault="0003711D" w:rsidP="00213C60">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b/>
          <w:bCs/>
          <w:lang w:val="en-US"/>
        </w:rPr>
        <w:lastRenderedPageBreak/>
        <w:t>Women human rights defenders</w:t>
      </w:r>
      <w:r w:rsidRPr="000F175F">
        <w:rPr>
          <w:rFonts w:asciiTheme="majorBidi" w:hAnsiTheme="majorBidi" w:cstheme="majorBidi"/>
          <w:lang w:val="en-US"/>
        </w:rPr>
        <w:t xml:space="preserve"> have been playing a key role in advancing women’s rights and gender equality in Morocco. The CNDH has been cooperating with them, especially in terms of capacity building. In this context, the CNDH and the Embassy of Canada in Morocco signed, in January 2020, a Memorandum of Understanding concerning a project entitled “</w:t>
      </w:r>
      <w:r w:rsidRPr="000F175F">
        <w:rPr>
          <w:rFonts w:asciiTheme="majorBidi" w:hAnsiTheme="majorBidi" w:cstheme="majorBidi"/>
          <w:i/>
          <w:iCs/>
          <w:lang w:val="en-US"/>
        </w:rPr>
        <w:t>Voice and Leadership of Women in Morocco</w:t>
      </w:r>
      <w:r w:rsidRPr="000F175F">
        <w:rPr>
          <w:rFonts w:asciiTheme="majorBidi" w:hAnsiTheme="majorBidi" w:cstheme="majorBidi"/>
          <w:lang w:val="en-US"/>
        </w:rPr>
        <w:t xml:space="preserve">”. The objective of this project </w:t>
      </w:r>
      <w:r w:rsidR="00213C60" w:rsidRPr="000F175F">
        <w:rPr>
          <w:rFonts w:asciiTheme="majorBidi" w:hAnsiTheme="majorBidi" w:cstheme="majorBidi"/>
          <w:lang w:val="en-US"/>
        </w:rPr>
        <w:t xml:space="preserve">is </w:t>
      </w:r>
      <w:r w:rsidRPr="000F175F">
        <w:rPr>
          <w:rFonts w:asciiTheme="majorBidi" w:hAnsiTheme="majorBidi" w:cstheme="majorBidi"/>
          <w:lang w:val="en-US"/>
        </w:rPr>
        <w:t xml:space="preserve">to strengthen the capacities of women NGOs. </w:t>
      </w:r>
    </w:p>
    <w:p w14:paraId="6A43871A" w14:textId="77777777" w:rsidR="00213C60" w:rsidRPr="000F175F" w:rsidRDefault="00213C60" w:rsidP="00213C60">
      <w:pPr>
        <w:pStyle w:val="Paragraphedeliste"/>
        <w:spacing w:after="160" w:line="259" w:lineRule="auto"/>
        <w:ind w:left="360"/>
        <w:jc w:val="both"/>
        <w:rPr>
          <w:rFonts w:asciiTheme="majorBidi" w:hAnsiTheme="majorBidi" w:cstheme="majorBidi"/>
          <w:lang w:val="en-US"/>
        </w:rPr>
      </w:pPr>
    </w:p>
    <w:p w14:paraId="749DE995" w14:textId="3790A08E" w:rsidR="00001383" w:rsidRPr="000F175F" w:rsidRDefault="00001383" w:rsidP="00213C60">
      <w:pPr>
        <w:pStyle w:val="Paragraphedeliste"/>
        <w:numPr>
          <w:ilvl w:val="0"/>
          <w:numId w:val="2"/>
        </w:numPr>
        <w:spacing w:after="160" w:line="259" w:lineRule="auto"/>
        <w:jc w:val="both"/>
        <w:rPr>
          <w:rFonts w:asciiTheme="majorBidi" w:hAnsiTheme="majorBidi" w:cstheme="majorBidi"/>
          <w:lang w:val="en-US"/>
        </w:rPr>
      </w:pPr>
      <w:r w:rsidRPr="000F175F">
        <w:rPr>
          <w:rFonts w:asciiTheme="majorBidi" w:hAnsiTheme="majorBidi" w:cstheme="majorBidi"/>
          <w:lang w:val="en-US"/>
        </w:rPr>
        <w:t xml:space="preserve">CNDH and </w:t>
      </w:r>
      <w:r w:rsidR="00213C60" w:rsidRPr="000F175F">
        <w:rPr>
          <w:rFonts w:asciiTheme="majorBidi" w:hAnsiTheme="majorBidi" w:cstheme="majorBidi"/>
          <w:lang w:val="en-US"/>
        </w:rPr>
        <w:t>UNFPA</w:t>
      </w:r>
      <w:r w:rsidRPr="000F175F">
        <w:rPr>
          <w:rFonts w:asciiTheme="majorBidi" w:hAnsiTheme="majorBidi" w:cstheme="majorBidi"/>
          <w:lang w:val="en-US"/>
        </w:rPr>
        <w:t xml:space="preserve"> signed, in April 2020, a partnership agreement for the period 2020-2021</w:t>
      </w:r>
      <w:r w:rsidR="00B13DD4" w:rsidRPr="000F175F">
        <w:rPr>
          <w:rFonts w:asciiTheme="majorBidi" w:hAnsiTheme="majorBidi" w:cstheme="majorBidi"/>
          <w:lang w:val="en-US"/>
        </w:rPr>
        <w:t xml:space="preserve">, </w:t>
      </w:r>
      <w:r w:rsidRPr="000F175F">
        <w:rPr>
          <w:rFonts w:asciiTheme="majorBidi" w:hAnsiTheme="majorBidi" w:cstheme="majorBidi"/>
          <w:lang w:val="en-US"/>
        </w:rPr>
        <w:t xml:space="preserve">to strengthen advocacy to </w:t>
      </w:r>
      <w:r w:rsidR="0065347C" w:rsidRPr="000F175F">
        <w:rPr>
          <w:rFonts w:asciiTheme="majorBidi" w:hAnsiTheme="majorBidi" w:cstheme="majorBidi"/>
          <w:lang w:val="en-US"/>
        </w:rPr>
        <w:t>combat</w:t>
      </w:r>
      <w:r w:rsidRPr="000F175F">
        <w:rPr>
          <w:rFonts w:asciiTheme="majorBidi" w:hAnsiTheme="majorBidi" w:cstheme="majorBidi"/>
          <w:lang w:val="en-US"/>
        </w:rPr>
        <w:t xml:space="preserve"> the marriage of minors, promote rights to sexual and reproductive health, and strengthen mobilization for the implementation of the recommendations of international human rights mechanisms in this area.</w:t>
      </w:r>
    </w:p>
    <w:p w14:paraId="2CA05E9D" w14:textId="77777777" w:rsidR="00213C60" w:rsidRPr="000F175F" w:rsidRDefault="00213C60" w:rsidP="00213C60">
      <w:pPr>
        <w:pStyle w:val="Paragraphedeliste"/>
        <w:spacing w:after="160" w:line="259" w:lineRule="auto"/>
        <w:ind w:left="360"/>
        <w:jc w:val="both"/>
        <w:rPr>
          <w:rFonts w:asciiTheme="majorBidi" w:hAnsiTheme="majorBidi" w:cstheme="majorBidi"/>
          <w:lang w:val="en-US"/>
        </w:rPr>
      </w:pPr>
    </w:p>
    <w:p w14:paraId="0E3079CD" w14:textId="69533BF5" w:rsidR="00204C7F" w:rsidRPr="000F175F" w:rsidRDefault="00204C7F" w:rsidP="008E7483">
      <w:pPr>
        <w:pStyle w:val="Paragraphedeliste"/>
        <w:numPr>
          <w:ilvl w:val="0"/>
          <w:numId w:val="4"/>
        </w:numPr>
        <w:rPr>
          <w:rFonts w:asciiTheme="majorBidi" w:eastAsiaTheme="minorHAnsi" w:hAnsiTheme="majorBidi" w:cstheme="majorBidi"/>
          <w:b/>
          <w:bCs/>
          <w:rtl/>
          <w:lang w:val="en-US" w:eastAsia="en-US"/>
        </w:rPr>
      </w:pPr>
      <w:r w:rsidRPr="000F175F">
        <w:rPr>
          <w:rFonts w:asciiTheme="majorBidi" w:eastAsiaTheme="minorHAnsi" w:hAnsiTheme="majorBidi" w:cstheme="majorBidi"/>
          <w:b/>
          <w:bCs/>
          <w:lang w:val="en-US" w:eastAsia="en-US"/>
        </w:rPr>
        <w:t>Key recommendations that the Committee may wish to address to the government in the concluding observations:</w:t>
      </w:r>
    </w:p>
    <w:p w14:paraId="64AC686D" w14:textId="77777777" w:rsidR="00204C7F" w:rsidRPr="000F175F" w:rsidRDefault="00204C7F" w:rsidP="00204C7F">
      <w:pPr>
        <w:rPr>
          <w:rFonts w:asciiTheme="majorBidi" w:eastAsiaTheme="minorHAnsi" w:hAnsiTheme="majorBidi" w:cstheme="majorBidi"/>
          <w:b/>
          <w:bCs/>
          <w:i/>
          <w:iCs/>
          <w:lang w:val="en-US" w:eastAsia="en-US"/>
        </w:rPr>
      </w:pPr>
    </w:p>
    <w:p w14:paraId="7B5D0F51" w14:textId="0C95EA70" w:rsidR="00CC332C" w:rsidRPr="000F175F" w:rsidRDefault="00CC332C" w:rsidP="00CC332C">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 xml:space="preserve">Adhere to the Council of Europe Convention on Preventing and Combating Violence against Women and Domestic Violence (Istanbul Convention); </w:t>
      </w:r>
    </w:p>
    <w:p w14:paraId="3C219C9F" w14:textId="69B23C89" w:rsidR="00CC332C" w:rsidRPr="000F175F" w:rsidRDefault="003F0AF5" w:rsidP="00CC332C">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Ratify</w:t>
      </w:r>
      <w:r w:rsidR="00CC332C" w:rsidRPr="000F175F">
        <w:rPr>
          <w:rFonts w:asciiTheme="majorBidi" w:eastAsia="Alegreya" w:hAnsiTheme="majorBidi" w:cstheme="majorBidi"/>
          <w:lang w:val="en-US"/>
        </w:rPr>
        <w:t xml:space="preserve"> the </w:t>
      </w:r>
      <w:r w:rsidR="0065347C" w:rsidRPr="000F175F">
        <w:rPr>
          <w:rFonts w:asciiTheme="majorBidi" w:eastAsia="Alegreya" w:hAnsiTheme="majorBidi" w:cstheme="majorBidi"/>
          <w:lang w:val="en-US"/>
        </w:rPr>
        <w:t>ILO</w:t>
      </w:r>
      <w:r w:rsidR="00CC332C" w:rsidRPr="000F175F">
        <w:rPr>
          <w:rFonts w:asciiTheme="majorBidi" w:eastAsia="Alegreya" w:hAnsiTheme="majorBidi" w:cstheme="majorBidi"/>
          <w:lang w:val="en-US"/>
        </w:rPr>
        <w:t xml:space="preserve"> Convention No. 190 on the elimination of violence and harassment in the workplace; </w:t>
      </w:r>
    </w:p>
    <w:p w14:paraId="708265E3" w14:textId="415C6801" w:rsidR="00CC332C" w:rsidRPr="000F175F" w:rsidRDefault="003F0AF5" w:rsidP="003F0AF5">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 xml:space="preserve">Operationalize </w:t>
      </w:r>
      <w:r w:rsidRPr="000F175F">
        <w:rPr>
          <w:rFonts w:asciiTheme="majorBidi" w:hAnsiTheme="majorBidi" w:cstheme="majorBidi"/>
          <w:lang w:val="en-US"/>
        </w:rPr>
        <w:t>Authority for Parity and Fight against All Forms of Discrimination (APALD) and Advisory Council for Family and Children (CCFE)</w:t>
      </w:r>
      <w:r w:rsidR="00CC332C" w:rsidRPr="000F175F">
        <w:rPr>
          <w:rFonts w:asciiTheme="majorBidi" w:eastAsia="Alegreya" w:hAnsiTheme="majorBidi" w:cstheme="majorBidi"/>
          <w:lang w:val="en-US"/>
        </w:rPr>
        <w:t>;</w:t>
      </w:r>
    </w:p>
    <w:p w14:paraId="558BA568" w14:textId="52917A75" w:rsidR="00CC332C" w:rsidRPr="000F175F" w:rsidRDefault="003F0AF5" w:rsidP="00CC332C">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Amend</w:t>
      </w:r>
      <w:r w:rsidR="00CC332C" w:rsidRPr="000F175F">
        <w:rPr>
          <w:rFonts w:asciiTheme="majorBidi" w:eastAsia="Alegreya" w:hAnsiTheme="majorBidi" w:cstheme="majorBidi"/>
          <w:lang w:val="en-US"/>
        </w:rPr>
        <w:t xml:space="preserve"> the Family Code, particular</w:t>
      </w:r>
      <w:r w:rsidR="0065347C" w:rsidRPr="000F175F">
        <w:rPr>
          <w:rFonts w:asciiTheme="majorBidi" w:eastAsia="Alegreya" w:hAnsiTheme="majorBidi" w:cstheme="majorBidi"/>
          <w:lang w:val="en-US"/>
        </w:rPr>
        <w:t>ly</w:t>
      </w:r>
      <w:r w:rsidR="00CC332C" w:rsidRPr="000F175F">
        <w:rPr>
          <w:rFonts w:asciiTheme="majorBidi" w:eastAsia="Alegreya" w:hAnsiTheme="majorBidi" w:cstheme="majorBidi"/>
          <w:lang w:val="en-US"/>
        </w:rPr>
        <w:t xml:space="preserve"> </w:t>
      </w:r>
      <w:r w:rsidR="00330DCF" w:rsidRPr="000F175F">
        <w:rPr>
          <w:rFonts w:asciiTheme="majorBidi" w:eastAsia="Alegreya" w:hAnsiTheme="majorBidi" w:cstheme="majorBidi"/>
          <w:lang w:val="en-US"/>
        </w:rPr>
        <w:t xml:space="preserve">by </w:t>
      </w:r>
      <w:r w:rsidR="00CC332C" w:rsidRPr="000F175F">
        <w:rPr>
          <w:rFonts w:asciiTheme="majorBidi" w:eastAsia="Alegreya" w:hAnsiTheme="majorBidi" w:cstheme="majorBidi"/>
          <w:lang w:val="en-US"/>
        </w:rPr>
        <w:t>repealing the exception</w:t>
      </w:r>
      <w:r w:rsidR="00330DCF" w:rsidRPr="000F175F">
        <w:rPr>
          <w:rFonts w:asciiTheme="majorBidi" w:eastAsia="Alegreya" w:hAnsiTheme="majorBidi" w:cstheme="majorBidi"/>
          <w:lang w:val="en-US"/>
        </w:rPr>
        <w:t xml:space="preserve"> provided for</w:t>
      </w:r>
      <w:r w:rsidR="00CC332C" w:rsidRPr="000F175F">
        <w:rPr>
          <w:rFonts w:asciiTheme="majorBidi" w:eastAsia="Alegreya" w:hAnsiTheme="majorBidi" w:cstheme="majorBidi"/>
          <w:lang w:val="en-US"/>
        </w:rPr>
        <w:t xml:space="preserve"> in Article 20 that allows child marriage;</w:t>
      </w:r>
    </w:p>
    <w:p w14:paraId="69556F01" w14:textId="64539639" w:rsidR="00CC332C" w:rsidRPr="000F175F" w:rsidRDefault="00CC332C" w:rsidP="00330DCF">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 xml:space="preserve">Revise the provisions of the </w:t>
      </w:r>
      <w:r w:rsidR="00330DCF" w:rsidRPr="000F175F">
        <w:rPr>
          <w:rFonts w:asciiTheme="majorBidi" w:eastAsia="Alegreya" w:hAnsiTheme="majorBidi" w:cstheme="majorBidi"/>
          <w:lang w:val="en-US"/>
        </w:rPr>
        <w:t xml:space="preserve">Criminal Procedure </w:t>
      </w:r>
      <w:r w:rsidRPr="000F175F">
        <w:rPr>
          <w:rFonts w:asciiTheme="majorBidi" w:eastAsia="Alegreya" w:hAnsiTheme="majorBidi" w:cstheme="majorBidi"/>
          <w:lang w:val="en-US"/>
        </w:rPr>
        <w:t xml:space="preserve">Code, the Civil Procedure Code and the Legal Aid Law by incorporating provisions that guarantee the right of women and girls, especially in vulnerable situations, to obtain legal and judicial assistance; </w:t>
      </w:r>
    </w:p>
    <w:p w14:paraId="581E9727" w14:textId="601F66F2" w:rsidR="001E7F1D" w:rsidRPr="000F175F" w:rsidRDefault="001E7F1D" w:rsidP="001E7F1D">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 xml:space="preserve">Adopt a gender-based approach in a crosscutting manner in the development, implementation and evaluation of national policies, while taking into account the most vulnerable women; </w:t>
      </w:r>
    </w:p>
    <w:p w14:paraId="2FBD339F" w14:textId="3213C5F4" w:rsidR="0058495B" w:rsidRPr="000F175F" w:rsidRDefault="0058495B" w:rsidP="001E7F1D">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Accelerate the adoption of a national strategy to combat and prevent trafficking in human beings, with a focus on women and based on a participatory approach;</w:t>
      </w:r>
    </w:p>
    <w:p w14:paraId="01748252" w14:textId="7C9FA641" w:rsidR="00743C56" w:rsidRPr="000F175F" w:rsidRDefault="00743C56" w:rsidP="001E7F1D">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 xml:space="preserve">Mobilize all stakeholders, including </w:t>
      </w:r>
      <w:r w:rsidR="0065347C" w:rsidRPr="000F175F">
        <w:rPr>
          <w:rFonts w:asciiTheme="majorBidi" w:eastAsia="Alegreya" w:hAnsiTheme="majorBidi" w:cstheme="majorBidi"/>
          <w:lang w:val="en-US"/>
        </w:rPr>
        <w:t>CSO</w:t>
      </w:r>
      <w:r w:rsidRPr="000F175F">
        <w:rPr>
          <w:rFonts w:asciiTheme="majorBidi" w:eastAsia="Alegreya" w:hAnsiTheme="majorBidi" w:cstheme="majorBidi"/>
          <w:lang w:val="en-US"/>
        </w:rPr>
        <w:t xml:space="preserve">, to raise awareness among families to fight against school dropout; </w:t>
      </w:r>
    </w:p>
    <w:p w14:paraId="0D906C9B" w14:textId="7EDEEBAF" w:rsidR="00CC332C" w:rsidRPr="000F175F" w:rsidRDefault="00330DCF" w:rsidP="00CC332C">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Establish</w:t>
      </w:r>
      <w:r w:rsidR="00CC332C" w:rsidRPr="000F175F">
        <w:rPr>
          <w:rFonts w:asciiTheme="majorBidi" w:eastAsia="Alegreya" w:hAnsiTheme="majorBidi" w:cstheme="majorBidi"/>
          <w:lang w:val="en-US"/>
        </w:rPr>
        <w:t xml:space="preserve"> a state-financed fund to compensate victims of gender-based violence in the event that the perpetrator is unable to pay compensation, in order to consolidate the right of victims to obtain redress and reparation; </w:t>
      </w:r>
    </w:p>
    <w:p w14:paraId="78A337B8" w14:textId="5803675E" w:rsidR="00CC332C" w:rsidRPr="000F175F" w:rsidRDefault="00CC332C" w:rsidP="00330DCF">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 xml:space="preserve">Promote women’s political participation and take </w:t>
      </w:r>
      <w:r w:rsidR="00330DCF" w:rsidRPr="000F175F">
        <w:rPr>
          <w:rFonts w:asciiTheme="majorBidi" w:eastAsia="Alegreya" w:hAnsiTheme="majorBidi" w:cstheme="majorBidi"/>
          <w:lang w:val="en-US"/>
        </w:rPr>
        <w:t>concrete</w:t>
      </w:r>
      <w:r w:rsidRPr="000F175F">
        <w:rPr>
          <w:rFonts w:asciiTheme="majorBidi" w:eastAsia="Alegreya" w:hAnsiTheme="majorBidi" w:cstheme="majorBidi"/>
          <w:lang w:val="en-US"/>
        </w:rPr>
        <w:t xml:space="preserve"> measures to ensure women’s access to </w:t>
      </w:r>
      <w:r w:rsidR="00330DCF" w:rsidRPr="000F175F">
        <w:rPr>
          <w:rFonts w:asciiTheme="majorBidi" w:eastAsia="Alegreya" w:hAnsiTheme="majorBidi" w:cstheme="majorBidi"/>
          <w:lang w:val="en-US"/>
        </w:rPr>
        <w:t>senior positions</w:t>
      </w:r>
      <w:r w:rsidRPr="000F175F">
        <w:rPr>
          <w:rFonts w:asciiTheme="majorBidi" w:eastAsia="Alegreya" w:hAnsiTheme="majorBidi" w:cstheme="majorBidi"/>
          <w:lang w:val="en-US"/>
        </w:rPr>
        <w:t xml:space="preserve">; </w:t>
      </w:r>
    </w:p>
    <w:p w14:paraId="66524E0F" w14:textId="0514A334" w:rsidR="00CE5CC2" w:rsidRPr="000F175F" w:rsidRDefault="00CF1C54" w:rsidP="00CF1C54">
      <w:pPr>
        <w:numPr>
          <w:ilvl w:val="0"/>
          <w:numId w:val="1"/>
        </w:numPr>
        <w:jc w:val="both"/>
        <w:rPr>
          <w:rFonts w:asciiTheme="majorBidi" w:eastAsia="Alegreya" w:hAnsiTheme="majorBidi" w:cstheme="majorBidi"/>
          <w:lang w:val="en-US"/>
        </w:rPr>
      </w:pPr>
      <w:r w:rsidRPr="000F175F">
        <w:rPr>
          <w:rFonts w:asciiTheme="majorBidi" w:eastAsia="Alegreya" w:hAnsiTheme="majorBidi" w:cstheme="majorBidi"/>
          <w:lang w:val="en-US"/>
        </w:rPr>
        <w:t>Ensure that l</w:t>
      </w:r>
      <w:r w:rsidR="00CC332C" w:rsidRPr="000F175F">
        <w:rPr>
          <w:rFonts w:asciiTheme="majorBidi" w:eastAsia="Alegreya" w:hAnsiTheme="majorBidi" w:cstheme="majorBidi"/>
          <w:lang w:val="en-US"/>
        </w:rPr>
        <w:t xml:space="preserve">aw enforcement authorities take measures for the protection and respect of confidentiality and privacy of survivors of violence in general, and survivors of digital violence in particular, </w:t>
      </w:r>
      <w:r w:rsidRPr="000F175F">
        <w:rPr>
          <w:rFonts w:asciiTheme="majorBidi" w:eastAsia="Alegreya" w:hAnsiTheme="majorBidi" w:cstheme="majorBidi"/>
          <w:lang w:val="en-US"/>
        </w:rPr>
        <w:t xml:space="preserve">so that they are encouraged </w:t>
      </w:r>
      <w:r w:rsidR="00CC332C" w:rsidRPr="000F175F">
        <w:rPr>
          <w:rFonts w:asciiTheme="majorBidi" w:eastAsia="Alegreya" w:hAnsiTheme="majorBidi" w:cstheme="majorBidi"/>
          <w:lang w:val="en-US"/>
        </w:rPr>
        <w:t>to report and to ensure that whist</w:t>
      </w:r>
      <w:r w:rsidRPr="000F175F">
        <w:rPr>
          <w:rFonts w:asciiTheme="majorBidi" w:eastAsia="Alegreya" w:hAnsiTheme="majorBidi" w:cstheme="majorBidi"/>
          <w:lang w:val="en-US"/>
        </w:rPr>
        <w:t xml:space="preserve">le-blowers are not criminalized; </w:t>
      </w:r>
    </w:p>
    <w:p w14:paraId="5A157ACB" w14:textId="01A2DDDB" w:rsidR="00CF1C54" w:rsidRPr="000F175F" w:rsidRDefault="00CF1C54" w:rsidP="00CF1C54">
      <w:pPr>
        <w:numPr>
          <w:ilvl w:val="0"/>
          <w:numId w:val="1"/>
        </w:numPr>
        <w:jc w:val="both"/>
        <w:rPr>
          <w:rFonts w:asciiTheme="majorBidi" w:eastAsia="Alegreya" w:hAnsiTheme="majorBidi" w:cstheme="majorBidi"/>
          <w:lang w:val="en-US"/>
        </w:rPr>
      </w:pPr>
      <w:r w:rsidRPr="000F175F">
        <w:rPr>
          <w:rFonts w:asciiTheme="majorBidi" w:hAnsiTheme="majorBidi" w:cstheme="majorBidi"/>
          <w:lang w:val="en-US"/>
        </w:rPr>
        <w:t>The legal text relating to abortion should be based on the concept of health, as defined by the Constitution of the World Health Organization: “</w:t>
      </w:r>
      <w:r w:rsidRPr="000F175F">
        <w:rPr>
          <w:rFonts w:asciiTheme="majorBidi" w:hAnsiTheme="majorBidi" w:cstheme="majorBidi"/>
          <w:i/>
          <w:iCs/>
          <w:lang w:val="en-US"/>
        </w:rPr>
        <w:t>Health is a state of complete physical, mental and social well-being and not merely the absence of disease or infirmity</w:t>
      </w:r>
      <w:r w:rsidRPr="000F175F">
        <w:rPr>
          <w:rFonts w:asciiTheme="majorBidi" w:hAnsiTheme="majorBidi" w:cstheme="majorBidi"/>
          <w:lang w:val="en-US"/>
        </w:rPr>
        <w:t>”</w:t>
      </w:r>
      <w:r w:rsidR="00F838D5" w:rsidRPr="000F175F">
        <w:rPr>
          <w:rFonts w:asciiTheme="majorBidi" w:hAnsiTheme="majorBidi" w:cstheme="majorBidi"/>
          <w:lang w:val="en-US"/>
        </w:rPr>
        <w:t>.</w:t>
      </w:r>
    </w:p>
    <w:sectPr w:rsidR="00CF1C54" w:rsidRPr="000F175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BBC02" w14:textId="77777777" w:rsidR="00650186" w:rsidRDefault="00650186">
      <w:pPr>
        <w:spacing w:line="240" w:lineRule="auto"/>
      </w:pPr>
      <w:r>
        <w:separator/>
      </w:r>
    </w:p>
  </w:endnote>
  <w:endnote w:type="continuationSeparator" w:id="0">
    <w:p w14:paraId="2D22AAB6" w14:textId="77777777" w:rsidR="00650186" w:rsidRDefault="006501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egrey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1F38C" w14:textId="77777777" w:rsidR="00650186" w:rsidRDefault="00650186">
      <w:pPr>
        <w:spacing w:line="240" w:lineRule="auto"/>
      </w:pPr>
      <w:r>
        <w:separator/>
      </w:r>
    </w:p>
  </w:footnote>
  <w:footnote w:type="continuationSeparator" w:id="0">
    <w:p w14:paraId="276F73C4" w14:textId="77777777" w:rsidR="00650186" w:rsidRDefault="00650186">
      <w:pPr>
        <w:spacing w:line="240" w:lineRule="auto"/>
      </w:pPr>
      <w:r>
        <w:continuationSeparator/>
      </w:r>
    </w:p>
  </w:footnote>
  <w:footnote w:id="1">
    <w:p w14:paraId="0F134541" w14:textId="199E4A03" w:rsidR="005E2A9E" w:rsidRPr="00AA641E" w:rsidRDefault="005E2A9E">
      <w:pPr>
        <w:pStyle w:val="Notedebasdepage"/>
        <w:rPr>
          <w:rFonts w:asciiTheme="majorBidi" w:hAnsiTheme="majorBidi" w:cstheme="majorBidi"/>
          <w:sz w:val="16"/>
          <w:szCs w:val="16"/>
          <w:lang w:val="fr-FR"/>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w:t>
      </w:r>
      <w:hyperlink r:id="rId1" w:history="1">
        <w:r w:rsidRPr="00AA641E">
          <w:rPr>
            <w:rStyle w:val="Lienhypertexte"/>
            <w:rFonts w:asciiTheme="majorBidi" w:hAnsiTheme="majorBidi" w:cstheme="majorBidi"/>
            <w:sz w:val="16"/>
            <w:szCs w:val="16"/>
          </w:rPr>
          <w:t>https://tbinternet.ohchr.org/_layouts/15/treatybodyexternal/Download.aspx?symbolno=INT%2fCEDAW%2fIFL%2fMAR%2f43614&amp;Lang=en</w:t>
        </w:r>
      </w:hyperlink>
      <w:r w:rsidRPr="00AA641E">
        <w:rPr>
          <w:rFonts w:asciiTheme="majorBidi" w:hAnsiTheme="majorBidi" w:cstheme="majorBidi"/>
          <w:sz w:val="16"/>
          <w:szCs w:val="16"/>
        </w:rPr>
        <w:t xml:space="preserve"> </w:t>
      </w:r>
    </w:p>
  </w:footnote>
  <w:footnote w:id="2">
    <w:p w14:paraId="11F2A2F4" w14:textId="77777777" w:rsidR="005E2A9E" w:rsidRPr="00AA641E" w:rsidRDefault="005E2A9E" w:rsidP="0003711D">
      <w:pPr>
        <w:pStyle w:val="Notedebasdepage"/>
        <w:rPr>
          <w:rFonts w:asciiTheme="majorBidi" w:hAnsiTheme="majorBidi" w:cstheme="majorBidi"/>
          <w:sz w:val="16"/>
          <w:szCs w:val="16"/>
          <w:lang w:val="fr-FR"/>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lang w:val="fr-FR"/>
        </w:rPr>
        <w:t xml:space="preserve"> </w:t>
      </w:r>
      <w:hyperlink r:id="rId2" w:history="1">
        <w:r w:rsidRPr="00AA641E">
          <w:rPr>
            <w:rStyle w:val="Lienhypertexte"/>
            <w:rFonts w:asciiTheme="majorBidi" w:hAnsiTheme="majorBidi" w:cstheme="majorBidi"/>
            <w:sz w:val="16"/>
            <w:szCs w:val="16"/>
            <w:lang w:val="fr-FR"/>
          </w:rPr>
          <w:t>https://treaties.un.org/doc/Treaties/2002/12/20021218%2002-38%20AM/Ch_IV_9_bp.pdf</w:t>
        </w:r>
      </w:hyperlink>
      <w:r w:rsidRPr="00AA641E">
        <w:rPr>
          <w:rFonts w:asciiTheme="majorBidi" w:hAnsiTheme="majorBidi" w:cstheme="majorBidi"/>
          <w:sz w:val="16"/>
          <w:szCs w:val="16"/>
          <w:lang w:val="fr-FR"/>
        </w:rPr>
        <w:t xml:space="preserve"> </w:t>
      </w:r>
    </w:p>
  </w:footnote>
  <w:footnote w:id="3">
    <w:p w14:paraId="24623712" w14:textId="77777777" w:rsidR="005E2A9E" w:rsidRPr="00AA641E" w:rsidRDefault="005E2A9E" w:rsidP="0003711D">
      <w:pPr>
        <w:pStyle w:val="Notedebasdepage"/>
        <w:rPr>
          <w:rFonts w:asciiTheme="majorBidi" w:hAnsiTheme="majorBidi" w:cstheme="majorBidi"/>
          <w:sz w:val="16"/>
          <w:szCs w:val="16"/>
          <w:lang w:val="fr-FR"/>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lang w:val="fr-FR"/>
        </w:rPr>
        <w:t xml:space="preserve"> </w:t>
      </w:r>
      <w:hyperlink r:id="rId3" w:history="1">
        <w:r w:rsidRPr="00AA641E">
          <w:rPr>
            <w:rStyle w:val="Lienhypertexte"/>
            <w:rFonts w:asciiTheme="majorBidi" w:hAnsiTheme="majorBidi" w:cstheme="majorBidi"/>
            <w:sz w:val="16"/>
            <w:szCs w:val="16"/>
            <w:lang w:val="fr-FR"/>
          </w:rPr>
          <w:t>https://www.refworld.org/docid/4538834e4.html</w:t>
        </w:r>
      </w:hyperlink>
      <w:r w:rsidRPr="00AA641E">
        <w:rPr>
          <w:rFonts w:asciiTheme="majorBidi" w:hAnsiTheme="majorBidi" w:cstheme="majorBidi"/>
          <w:sz w:val="16"/>
          <w:szCs w:val="16"/>
          <w:lang w:val="fr-FR"/>
        </w:rPr>
        <w:t xml:space="preserve"> </w:t>
      </w:r>
    </w:p>
  </w:footnote>
  <w:footnote w:id="4">
    <w:p w14:paraId="66E76B81" w14:textId="77777777" w:rsidR="005E2A9E" w:rsidRPr="00AA641E" w:rsidRDefault="005E2A9E" w:rsidP="0003711D">
      <w:pPr>
        <w:pStyle w:val="Notedebasdepage"/>
        <w:rPr>
          <w:rFonts w:asciiTheme="majorBidi" w:hAnsiTheme="majorBidi" w:cstheme="majorBidi"/>
          <w:sz w:val="16"/>
          <w:szCs w:val="16"/>
          <w:lang w:val="fr-FR"/>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lang w:val="fr-FR"/>
        </w:rPr>
        <w:t xml:space="preserve"> </w:t>
      </w:r>
      <w:hyperlink r:id="rId4" w:anchor="article-33" w:history="1">
        <w:r w:rsidRPr="00AA641E">
          <w:rPr>
            <w:rStyle w:val="Lienhypertexte"/>
            <w:rFonts w:asciiTheme="majorBidi" w:hAnsiTheme="majorBidi" w:cstheme="majorBidi"/>
            <w:sz w:val="16"/>
            <w:szCs w:val="16"/>
            <w:lang w:val="fr-FR"/>
          </w:rPr>
          <w:t>https://www.ohchr.org/en/instruments-mechanisms/instruments/convention-rights-persons-disabilities#article-33</w:t>
        </w:r>
      </w:hyperlink>
      <w:r w:rsidRPr="00AA641E">
        <w:rPr>
          <w:rFonts w:asciiTheme="majorBidi" w:hAnsiTheme="majorBidi" w:cstheme="majorBidi"/>
          <w:sz w:val="16"/>
          <w:szCs w:val="16"/>
          <w:lang w:val="fr-FR"/>
        </w:rPr>
        <w:t xml:space="preserve"> </w:t>
      </w:r>
    </w:p>
  </w:footnote>
  <w:footnote w:id="5">
    <w:p w14:paraId="336D13F7" w14:textId="36125A1D" w:rsidR="005E2A9E" w:rsidRPr="00AA641E" w:rsidRDefault="005E2A9E">
      <w:pPr>
        <w:pStyle w:val="Notedebasdepage"/>
        <w:rPr>
          <w:rFonts w:asciiTheme="majorBidi" w:hAnsiTheme="majorBidi" w:cstheme="majorBidi"/>
          <w:sz w:val="16"/>
          <w:szCs w:val="16"/>
          <w:lang w:val="en-US"/>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lang w:val="en-US"/>
        </w:rPr>
        <w:t xml:space="preserve"> See page 303 of the 2021 Annual Report available </w:t>
      </w:r>
      <w:proofErr w:type="gramStart"/>
      <w:r w:rsidRPr="00AA641E">
        <w:rPr>
          <w:rFonts w:asciiTheme="majorBidi" w:hAnsiTheme="majorBidi" w:cstheme="majorBidi"/>
          <w:sz w:val="16"/>
          <w:szCs w:val="16"/>
          <w:lang w:val="en-US"/>
        </w:rPr>
        <w:t>here :</w:t>
      </w:r>
      <w:proofErr w:type="gramEnd"/>
      <w:r w:rsidRPr="00AA641E">
        <w:rPr>
          <w:rFonts w:asciiTheme="majorBidi" w:hAnsiTheme="majorBidi" w:cstheme="majorBidi"/>
          <w:sz w:val="16"/>
          <w:szCs w:val="16"/>
          <w:lang w:val="en-US"/>
        </w:rPr>
        <w:t xml:space="preserve">  </w:t>
      </w:r>
      <w:hyperlink r:id="rId5" w:history="1">
        <w:r w:rsidRPr="00AA641E">
          <w:rPr>
            <w:rStyle w:val="Lienhypertexte"/>
            <w:rFonts w:asciiTheme="majorBidi" w:hAnsiTheme="majorBidi" w:cstheme="majorBidi"/>
            <w:sz w:val="16"/>
            <w:szCs w:val="16"/>
            <w:lang w:val="en-US"/>
          </w:rPr>
          <w:t>https://www.cndh.org.ma/ar/rubriques/ltwthyq/lsdrt/tqryr-snwy</w:t>
        </w:r>
      </w:hyperlink>
      <w:r w:rsidRPr="00AA641E">
        <w:rPr>
          <w:rFonts w:asciiTheme="majorBidi" w:hAnsiTheme="majorBidi" w:cstheme="majorBidi"/>
          <w:sz w:val="16"/>
          <w:szCs w:val="16"/>
          <w:lang w:val="en-US"/>
        </w:rPr>
        <w:t xml:space="preserve"> </w:t>
      </w:r>
    </w:p>
  </w:footnote>
  <w:footnote w:id="6">
    <w:p w14:paraId="2AF307F5" w14:textId="71290812" w:rsidR="005E2A9E" w:rsidRPr="00AA641E" w:rsidRDefault="005E2A9E">
      <w:pPr>
        <w:pStyle w:val="Notedebasdepage"/>
        <w:rPr>
          <w:rFonts w:asciiTheme="majorBidi" w:hAnsiTheme="majorBidi" w:cstheme="majorBidi"/>
          <w:sz w:val="16"/>
          <w:szCs w:val="16"/>
          <w:lang w:val="en-US"/>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w:t>
      </w:r>
      <w:r w:rsidRPr="00AA641E">
        <w:rPr>
          <w:rFonts w:asciiTheme="majorBidi" w:hAnsiTheme="majorBidi" w:cstheme="majorBidi"/>
          <w:sz w:val="16"/>
          <w:szCs w:val="16"/>
          <w:lang w:val="en-US"/>
        </w:rPr>
        <w:t>Judgment by the Court of First Instance of Fez, File N. 3936, dated 17 November 2020.</w:t>
      </w:r>
    </w:p>
  </w:footnote>
  <w:footnote w:id="7">
    <w:p w14:paraId="7D136052" w14:textId="588ACE1B" w:rsidR="005E2A9E" w:rsidRPr="00AA641E" w:rsidRDefault="005E2A9E">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Decision N. 1006/3 dated 16 June 2021, Criminal file N. 20823/2019.</w:t>
      </w:r>
    </w:p>
  </w:footnote>
  <w:footnote w:id="8">
    <w:p w14:paraId="1554D625" w14:textId="0AD9319D" w:rsidR="005E2A9E" w:rsidRPr="00AA641E" w:rsidRDefault="005E2A9E">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See page 34 of the Annual Report of 2019, available </w:t>
      </w:r>
      <w:proofErr w:type="gramStart"/>
      <w:r w:rsidRPr="00AA641E">
        <w:rPr>
          <w:rFonts w:asciiTheme="majorBidi" w:hAnsiTheme="majorBidi" w:cstheme="majorBidi"/>
          <w:sz w:val="16"/>
          <w:szCs w:val="16"/>
        </w:rPr>
        <w:t>here :</w:t>
      </w:r>
      <w:proofErr w:type="gramEnd"/>
      <w:r w:rsidRPr="00AA641E">
        <w:rPr>
          <w:rFonts w:asciiTheme="majorBidi" w:hAnsiTheme="majorBidi" w:cstheme="majorBidi"/>
          <w:sz w:val="16"/>
          <w:szCs w:val="16"/>
        </w:rPr>
        <w:t xml:space="preserve"> https://www.cndh.org.ma/sites/default/files/cndh_-_rapport_annuel_2019.pdf</w:t>
      </w:r>
    </w:p>
  </w:footnote>
  <w:footnote w:id="9">
    <w:p w14:paraId="618E8799" w14:textId="0AF8716D" w:rsidR="005E2A9E" w:rsidRPr="00AA641E" w:rsidRDefault="005E2A9E" w:rsidP="005B4502">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See article available on the website of MAP, Morocco’s official news agency, seen in May 2022, </w:t>
      </w:r>
      <w:hyperlink r:id="rId6" w:history="1">
        <w:r w:rsidRPr="00AA641E">
          <w:rPr>
            <w:rStyle w:val="Lienhypertexte"/>
            <w:rFonts w:asciiTheme="majorBidi" w:hAnsiTheme="majorBidi" w:cstheme="majorBidi"/>
            <w:sz w:val="16"/>
            <w:szCs w:val="16"/>
          </w:rPr>
          <w:t>www.mapnews.ma</w:t>
        </w:r>
      </w:hyperlink>
      <w:r w:rsidRPr="00AA641E">
        <w:rPr>
          <w:rFonts w:asciiTheme="majorBidi" w:hAnsiTheme="majorBidi" w:cstheme="majorBidi"/>
          <w:sz w:val="16"/>
          <w:szCs w:val="16"/>
        </w:rPr>
        <w:t xml:space="preserve">  </w:t>
      </w:r>
    </w:p>
  </w:footnote>
  <w:footnote w:id="10">
    <w:p w14:paraId="4F36D006" w14:textId="5689B365" w:rsidR="00E17476" w:rsidRPr="00AA641E" w:rsidRDefault="00E17476" w:rsidP="00E17476">
      <w:pPr>
        <w:pStyle w:val="Notedebasdepage"/>
        <w:rPr>
          <w:rFonts w:asciiTheme="majorBidi" w:hAnsiTheme="majorBidi" w:cstheme="majorBidi"/>
          <w:sz w:val="16"/>
          <w:szCs w:val="16"/>
          <w:lang w:val="en-US"/>
        </w:rPr>
      </w:pPr>
      <w:r w:rsidRPr="00AA641E">
        <w:rPr>
          <w:rStyle w:val="Appelnotedebasdep"/>
          <w:rFonts w:asciiTheme="majorBidi" w:hAnsiTheme="majorBidi" w:cstheme="majorBidi"/>
          <w:sz w:val="16"/>
          <w:szCs w:val="16"/>
        </w:rPr>
        <w:footnoteRef/>
      </w:r>
      <w:r w:rsidR="00AA641E" w:rsidRPr="00AA641E">
        <w:rPr>
          <w:rFonts w:asciiTheme="majorBidi" w:hAnsiTheme="majorBidi" w:cstheme="majorBidi"/>
          <w:sz w:val="16"/>
          <w:szCs w:val="16"/>
          <w:lang w:val="en-US"/>
        </w:rPr>
        <w:t xml:space="preserve"> Available here:</w:t>
      </w:r>
      <w:r w:rsidRPr="00AA641E">
        <w:rPr>
          <w:rFonts w:asciiTheme="majorBidi" w:hAnsiTheme="majorBidi" w:cstheme="majorBidi"/>
          <w:sz w:val="16"/>
          <w:szCs w:val="16"/>
          <w:lang w:val="en-US"/>
        </w:rPr>
        <w:t xml:space="preserve"> </w:t>
      </w:r>
      <w:hyperlink r:id="rId7" w:history="1">
        <w:r w:rsidRPr="00AA641E">
          <w:rPr>
            <w:rStyle w:val="Lienhypertexte"/>
            <w:rFonts w:asciiTheme="majorBidi" w:hAnsiTheme="majorBidi" w:cstheme="majorBidi"/>
            <w:sz w:val="16"/>
            <w:szCs w:val="16"/>
            <w:lang w:val="en-US"/>
          </w:rPr>
          <w:t>https://www.youtube.com/watch?v=isaWxFfO2c0&amp;feature=youtu.be</w:t>
        </w:r>
      </w:hyperlink>
      <w:r w:rsidRPr="00AA641E">
        <w:rPr>
          <w:rFonts w:asciiTheme="majorBidi" w:hAnsiTheme="majorBidi" w:cstheme="majorBidi"/>
          <w:sz w:val="16"/>
          <w:szCs w:val="16"/>
          <w:lang w:val="en-US"/>
        </w:rPr>
        <w:t xml:space="preserve"> </w:t>
      </w:r>
    </w:p>
  </w:footnote>
  <w:footnote w:id="11">
    <w:p w14:paraId="4A177AA3" w14:textId="54CEFFB6" w:rsidR="00AA641E" w:rsidRPr="00AA641E" w:rsidRDefault="00AA641E">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Available here: </w:t>
      </w:r>
      <w:hyperlink r:id="rId8" w:history="1">
        <w:r w:rsidRPr="00AA641E">
          <w:rPr>
            <w:rStyle w:val="Lienhypertexte"/>
            <w:rFonts w:asciiTheme="majorBidi" w:hAnsiTheme="majorBidi" w:cstheme="majorBidi"/>
            <w:sz w:val="16"/>
            <w:szCs w:val="16"/>
          </w:rPr>
          <w:t>https://cndh.ma/sites/default/files/cndh_-_web_code_pena</w:t>
        </w:r>
        <w:r w:rsidRPr="00AA641E">
          <w:rPr>
            <w:rStyle w:val="Lienhypertexte"/>
            <w:rFonts w:asciiTheme="majorBidi" w:hAnsiTheme="majorBidi" w:cstheme="majorBidi"/>
            <w:sz w:val="16"/>
            <w:szCs w:val="16"/>
          </w:rPr>
          <w:t>l</w:t>
        </w:r>
        <w:r w:rsidRPr="00AA641E">
          <w:rPr>
            <w:rStyle w:val="Lienhypertexte"/>
            <w:rFonts w:asciiTheme="majorBidi" w:hAnsiTheme="majorBidi" w:cstheme="majorBidi"/>
            <w:sz w:val="16"/>
            <w:szCs w:val="16"/>
          </w:rPr>
          <w:t>_va.pdf</w:t>
        </w:r>
      </w:hyperlink>
    </w:p>
  </w:footnote>
  <w:footnote w:id="12">
    <w:p w14:paraId="12A07008" w14:textId="3D215E18" w:rsidR="005E2A9E" w:rsidRPr="00AA641E" w:rsidRDefault="005E2A9E">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See page 120, paragraph 288, of the Annual Report of 2021 available </w:t>
      </w:r>
      <w:proofErr w:type="gramStart"/>
      <w:r w:rsidRPr="00AA641E">
        <w:rPr>
          <w:rFonts w:asciiTheme="majorBidi" w:hAnsiTheme="majorBidi" w:cstheme="majorBidi"/>
          <w:sz w:val="16"/>
          <w:szCs w:val="16"/>
        </w:rPr>
        <w:t>here :</w:t>
      </w:r>
      <w:proofErr w:type="gramEnd"/>
      <w:r w:rsidRPr="00AA641E">
        <w:rPr>
          <w:rFonts w:asciiTheme="majorBidi" w:hAnsiTheme="majorBidi" w:cstheme="majorBidi"/>
          <w:sz w:val="16"/>
          <w:szCs w:val="16"/>
        </w:rPr>
        <w:t xml:space="preserve"> </w:t>
      </w:r>
      <w:hyperlink r:id="rId9" w:history="1">
        <w:r w:rsidRPr="00AA641E">
          <w:rPr>
            <w:rStyle w:val="Lienhypertexte"/>
            <w:rFonts w:asciiTheme="majorBidi" w:hAnsiTheme="majorBidi" w:cstheme="majorBidi"/>
            <w:sz w:val="16"/>
            <w:szCs w:val="16"/>
          </w:rPr>
          <w:t>https://www.cndh.org.ma/sites/default/files/cndh_-_rapport_annuel_2021_va.pdf</w:t>
        </w:r>
      </w:hyperlink>
      <w:r w:rsidRPr="00AA641E">
        <w:rPr>
          <w:rFonts w:asciiTheme="majorBidi" w:hAnsiTheme="majorBidi" w:cstheme="majorBidi"/>
          <w:sz w:val="16"/>
          <w:szCs w:val="16"/>
        </w:rPr>
        <w:t xml:space="preserve"> </w:t>
      </w:r>
    </w:p>
  </w:footnote>
  <w:footnote w:id="13">
    <w:p w14:paraId="22954F29" w14:textId="59C248DC" w:rsidR="005E2A9E" w:rsidRPr="00AA641E" w:rsidRDefault="005E2A9E">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See communiqué by the CNDH dated 4 January 2022 available </w:t>
      </w:r>
      <w:proofErr w:type="gramStart"/>
      <w:r w:rsidRPr="00AA641E">
        <w:rPr>
          <w:rFonts w:asciiTheme="majorBidi" w:hAnsiTheme="majorBidi" w:cstheme="majorBidi"/>
          <w:sz w:val="16"/>
          <w:szCs w:val="16"/>
        </w:rPr>
        <w:t>here :</w:t>
      </w:r>
      <w:proofErr w:type="gramEnd"/>
      <w:r w:rsidRPr="00AA641E">
        <w:rPr>
          <w:rFonts w:asciiTheme="majorBidi" w:hAnsiTheme="majorBidi" w:cstheme="majorBidi"/>
          <w:sz w:val="16"/>
          <w:szCs w:val="16"/>
        </w:rPr>
        <w:t xml:space="preserve"> </w:t>
      </w:r>
      <w:hyperlink r:id="rId10" w:history="1">
        <w:r w:rsidRPr="00AA641E">
          <w:rPr>
            <w:rStyle w:val="Lienhypertexte"/>
            <w:rFonts w:asciiTheme="majorBidi" w:hAnsiTheme="majorBidi" w:cstheme="majorBidi"/>
            <w:sz w:val="16"/>
            <w:szCs w:val="16"/>
          </w:rPr>
          <w:t>http://www.cndh.ma/an/article/sexual-extortion-against-women-students-supporting-reporting-abuse-civil-action-against</w:t>
        </w:r>
      </w:hyperlink>
      <w:r w:rsidRPr="00AA641E">
        <w:rPr>
          <w:rFonts w:asciiTheme="majorBidi" w:hAnsiTheme="majorBidi" w:cstheme="majorBidi"/>
          <w:sz w:val="16"/>
          <w:szCs w:val="16"/>
        </w:rPr>
        <w:t xml:space="preserve"> </w:t>
      </w:r>
    </w:p>
  </w:footnote>
  <w:footnote w:id="14">
    <w:p w14:paraId="1EA14EA7" w14:textId="5B9C3D32" w:rsidR="005E2A9E" w:rsidRPr="00AA641E" w:rsidRDefault="005E2A9E">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w:t>
      </w:r>
      <w:r w:rsidRPr="00AA641E">
        <w:rPr>
          <w:rFonts w:asciiTheme="majorBidi" w:hAnsiTheme="majorBidi" w:cstheme="majorBidi"/>
          <w:color w:val="212529"/>
          <w:sz w:val="16"/>
          <w:szCs w:val="16"/>
          <w:shd w:val="clear" w:color="auto" w:fill="FFFFFF"/>
        </w:rPr>
        <w:t>A religious marriage ceremony conducted without a written contract</w:t>
      </w:r>
      <w:r w:rsidR="00B15075">
        <w:rPr>
          <w:rFonts w:asciiTheme="majorBidi" w:hAnsiTheme="majorBidi" w:cstheme="majorBidi"/>
          <w:color w:val="212529"/>
          <w:sz w:val="16"/>
          <w:szCs w:val="16"/>
          <w:shd w:val="clear" w:color="auto" w:fill="FFFFFF"/>
        </w:rPr>
        <w:t>.</w:t>
      </w:r>
    </w:p>
  </w:footnote>
  <w:footnote w:id="15">
    <w:p w14:paraId="0E65D012" w14:textId="77777777" w:rsidR="005E2A9E" w:rsidRPr="00AA641E" w:rsidRDefault="005E2A9E" w:rsidP="001B6456">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Report on elections available </w:t>
      </w:r>
      <w:proofErr w:type="gramStart"/>
      <w:r w:rsidRPr="00AA641E">
        <w:rPr>
          <w:rFonts w:asciiTheme="majorBidi" w:hAnsiTheme="majorBidi" w:cstheme="majorBidi"/>
          <w:sz w:val="16"/>
          <w:szCs w:val="16"/>
        </w:rPr>
        <w:t>here :</w:t>
      </w:r>
      <w:proofErr w:type="gramEnd"/>
      <w:r w:rsidRPr="00AA641E">
        <w:rPr>
          <w:rFonts w:asciiTheme="majorBidi" w:hAnsiTheme="majorBidi" w:cstheme="majorBidi"/>
          <w:sz w:val="16"/>
          <w:szCs w:val="16"/>
        </w:rPr>
        <w:t xml:space="preserve"> </w:t>
      </w:r>
      <w:hyperlink r:id="rId11" w:history="1">
        <w:r w:rsidRPr="00AA641E">
          <w:rPr>
            <w:rStyle w:val="Lienhypertexte"/>
            <w:rFonts w:asciiTheme="majorBidi" w:hAnsiTheme="majorBidi" w:cstheme="majorBidi"/>
            <w:sz w:val="16"/>
            <w:szCs w:val="16"/>
          </w:rPr>
          <w:t>https://www.cndh.org.ma/sites/default/files/cndh_-_exe_rapport_election_-.pdf</w:t>
        </w:r>
      </w:hyperlink>
      <w:r w:rsidRPr="00AA641E">
        <w:rPr>
          <w:rFonts w:asciiTheme="majorBidi" w:hAnsiTheme="majorBidi" w:cstheme="majorBidi"/>
          <w:sz w:val="16"/>
          <w:szCs w:val="16"/>
        </w:rPr>
        <w:t xml:space="preserve"> </w:t>
      </w:r>
    </w:p>
  </w:footnote>
  <w:footnote w:id="16">
    <w:p w14:paraId="2403AB27" w14:textId="77777777" w:rsidR="005E2A9E" w:rsidRPr="00AA641E" w:rsidRDefault="005E2A9E" w:rsidP="0003711D">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https://www.cndh.ma/sites/default/files/mdhkr_lmjls-_lnmwdhj_ltnmwy_ljdyd_2.pdf</w:t>
      </w:r>
    </w:p>
  </w:footnote>
  <w:footnote w:id="17">
    <w:p w14:paraId="3BC9AD91" w14:textId="77777777" w:rsidR="005E2A9E" w:rsidRPr="00AA641E" w:rsidRDefault="005E2A9E" w:rsidP="0003711D">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w:t>
      </w:r>
      <w:hyperlink r:id="rId12" w:history="1">
        <w:r w:rsidRPr="00AA641E">
          <w:rPr>
            <w:rStyle w:val="Lienhypertexte"/>
            <w:rFonts w:asciiTheme="majorBidi" w:hAnsiTheme="majorBidi" w:cstheme="majorBidi"/>
            <w:sz w:val="16"/>
            <w:szCs w:val="16"/>
          </w:rPr>
          <w:t>https://www.cndh.ma/sites/default/files/mdhkr_lmjls-_lnmwdhj_ltnmwy_ljdyd_2.pdf</w:t>
        </w:r>
      </w:hyperlink>
      <w:r w:rsidRPr="00AA641E">
        <w:rPr>
          <w:rFonts w:asciiTheme="majorBidi" w:hAnsiTheme="majorBidi" w:cstheme="majorBidi"/>
          <w:sz w:val="16"/>
          <w:szCs w:val="16"/>
        </w:rPr>
        <w:t xml:space="preserve"> </w:t>
      </w:r>
    </w:p>
  </w:footnote>
  <w:footnote w:id="18">
    <w:p w14:paraId="00FC7B2A" w14:textId="77777777" w:rsidR="005E2A9E" w:rsidRPr="00AA641E" w:rsidRDefault="005E2A9E" w:rsidP="0003711D">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A procedure intended to facilitate women's access to divorce without the obligation to establish proof of harm.</w:t>
      </w:r>
    </w:p>
  </w:footnote>
  <w:footnote w:id="19">
    <w:p w14:paraId="710DB0BA" w14:textId="77777777" w:rsidR="005E2A9E" w:rsidRPr="00AA641E" w:rsidRDefault="005E2A9E" w:rsidP="0003711D">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More details are available on the CNDH Annual Report of 2019, para. 163, p. 42.</w:t>
      </w:r>
    </w:p>
  </w:footnote>
  <w:footnote w:id="20">
    <w:p w14:paraId="3541D1CC" w14:textId="7A28FB61" w:rsidR="005E2A9E" w:rsidRPr="00AA641E" w:rsidRDefault="005E2A9E" w:rsidP="0003711D">
      <w:pPr>
        <w:pStyle w:val="Notedebasdepage"/>
        <w:rPr>
          <w:rFonts w:asciiTheme="majorBidi" w:hAnsiTheme="majorBidi" w:cstheme="majorBidi"/>
          <w:sz w:val="16"/>
          <w:szCs w:val="16"/>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w:t>
      </w:r>
      <w:r w:rsidR="00AA641E" w:rsidRPr="00AA641E">
        <w:rPr>
          <w:rFonts w:asciiTheme="majorBidi" w:hAnsiTheme="majorBidi" w:cstheme="majorBidi"/>
          <w:sz w:val="16"/>
          <w:szCs w:val="16"/>
        </w:rPr>
        <w:t xml:space="preserve">Available </w:t>
      </w:r>
      <w:proofErr w:type="gramStart"/>
      <w:r w:rsidR="00AA641E" w:rsidRPr="00AA641E">
        <w:rPr>
          <w:rFonts w:asciiTheme="majorBidi" w:hAnsiTheme="majorBidi" w:cstheme="majorBidi"/>
          <w:sz w:val="16"/>
          <w:szCs w:val="16"/>
        </w:rPr>
        <w:t>here :</w:t>
      </w:r>
      <w:proofErr w:type="gramEnd"/>
      <w:r w:rsidR="00AA641E" w:rsidRPr="00AA641E">
        <w:rPr>
          <w:rFonts w:asciiTheme="majorBidi" w:hAnsiTheme="majorBidi" w:cstheme="majorBidi"/>
          <w:sz w:val="16"/>
          <w:szCs w:val="16"/>
        </w:rPr>
        <w:t xml:space="preserve"> </w:t>
      </w:r>
      <w:r w:rsidRPr="00AA641E">
        <w:rPr>
          <w:rFonts w:asciiTheme="majorBidi" w:hAnsiTheme="majorBidi" w:cstheme="majorBidi"/>
          <w:sz w:val="16"/>
          <w:szCs w:val="16"/>
        </w:rPr>
        <w:t xml:space="preserve">PP. 29-32 : </w:t>
      </w:r>
      <w:hyperlink r:id="rId13" w:history="1">
        <w:r w:rsidRPr="00AA641E">
          <w:rPr>
            <w:rStyle w:val="Lienhypertexte"/>
            <w:rFonts w:asciiTheme="majorBidi" w:hAnsiTheme="majorBidi" w:cstheme="majorBidi"/>
            <w:sz w:val="16"/>
            <w:szCs w:val="16"/>
          </w:rPr>
          <w:t>https://cndh.ma/sites/default/files/cndh_-_web_code_penal_va.pdf</w:t>
        </w:r>
      </w:hyperlink>
      <w:r w:rsidRPr="00AA641E">
        <w:rPr>
          <w:rFonts w:asciiTheme="majorBidi" w:hAnsiTheme="majorBidi" w:cstheme="majorBidi"/>
          <w:sz w:val="16"/>
          <w:szCs w:val="16"/>
        </w:rPr>
        <w:t xml:space="preserve"> </w:t>
      </w:r>
    </w:p>
  </w:footnote>
  <w:footnote w:id="21">
    <w:p w14:paraId="243E27AD" w14:textId="77777777" w:rsidR="005E2A9E" w:rsidRPr="00AA641E" w:rsidRDefault="005E2A9E" w:rsidP="00001383">
      <w:pPr>
        <w:pStyle w:val="Notedebasdepage"/>
        <w:rPr>
          <w:rFonts w:asciiTheme="majorBidi" w:hAnsiTheme="majorBidi" w:cstheme="majorBidi"/>
          <w:sz w:val="16"/>
          <w:szCs w:val="16"/>
          <w:lang w:val="en-US"/>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lang w:val="en-US"/>
        </w:rPr>
        <w:t xml:space="preserve"> According to the general census of population and housing of 2014.</w:t>
      </w:r>
    </w:p>
  </w:footnote>
  <w:footnote w:id="22">
    <w:p w14:paraId="3D3205E5" w14:textId="77777777" w:rsidR="005E2A9E" w:rsidRPr="00AA641E" w:rsidRDefault="005E2A9E" w:rsidP="00001383">
      <w:pPr>
        <w:pStyle w:val="Notedebasdepage"/>
        <w:rPr>
          <w:rFonts w:asciiTheme="majorBidi" w:hAnsiTheme="majorBidi" w:cstheme="majorBidi"/>
          <w:sz w:val="16"/>
          <w:szCs w:val="16"/>
          <w:lang w:val="en-US"/>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lang w:val="en-US"/>
        </w:rPr>
        <w:t xml:space="preserve"> According to information published in October 2020 by the High Commission for Planning : </w:t>
      </w:r>
      <w:hyperlink r:id="rId14" w:history="1">
        <w:r w:rsidRPr="00AA641E">
          <w:rPr>
            <w:rStyle w:val="Lienhypertexte"/>
            <w:rFonts w:asciiTheme="majorBidi" w:hAnsiTheme="majorBidi" w:cstheme="majorBidi"/>
            <w:sz w:val="16"/>
            <w:szCs w:val="16"/>
            <w:lang w:val="en-US"/>
          </w:rPr>
          <w:t>https://www.hcp.ma/Note-d-information-du-Haut-Commissariat-au-Plan-a-l-occasion-de-La-journee-nationale-de-la-femme-du-10-octobre-2020_a2602.html</w:t>
        </w:r>
      </w:hyperlink>
      <w:r w:rsidRPr="00AA641E">
        <w:rPr>
          <w:rFonts w:asciiTheme="majorBidi" w:hAnsiTheme="majorBidi" w:cstheme="majorBidi"/>
          <w:sz w:val="16"/>
          <w:szCs w:val="16"/>
          <w:lang w:val="en-US"/>
        </w:rPr>
        <w:t xml:space="preserve"> </w:t>
      </w:r>
    </w:p>
  </w:footnote>
  <w:footnote w:id="23">
    <w:p w14:paraId="197A8617" w14:textId="0F7F5706" w:rsidR="005E2A9E" w:rsidRPr="00AA641E" w:rsidRDefault="005E2A9E">
      <w:pPr>
        <w:pStyle w:val="Notedebasdepage"/>
        <w:rPr>
          <w:rFonts w:asciiTheme="majorBidi" w:hAnsiTheme="majorBidi" w:cstheme="majorBidi"/>
          <w:sz w:val="16"/>
          <w:szCs w:val="16"/>
          <w:lang w:val="en-US"/>
        </w:rPr>
      </w:pPr>
      <w:r w:rsidRPr="00AA641E">
        <w:rPr>
          <w:rStyle w:val="Appelnotedebasdep"/>
          <w:rFonts w:asciiTheme="majorBidi" w:hAnsiTheme="majorBidi" w:cstheme="majorBidi"/>
          <w:sz w:val="16"/>
          <w:szCs w:val="16"/>
        </w:rPr>
        <w:footnoteRef/>
      </w:r>
      <w:r w:rsidRPr="00AA641E">
        <w:rPr>
          <w:rFonts w:asciiTheme="majorBidi" w:hAnsiTheme="majorBidi" w:cstheme="majorBidi"/>
          <w:sz w:val="16"/>
          <w:szCs w:val="16"/>
        </w:rPr>
        <w:t xml:space="preserve"> https://www.cndh.org.ma/an/article/cndh-presents-its-report-effectiveness-right-health-morocco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4FB0A" w14:textId="77777777" w:rsidR="005E2A9E" w:rsidRDefault="005E2A9E">
    <w:pPr>
      <w:pStyle w:val="En-tte"/>
      <w:rPr>
        <w:rFonts w:ascii="Calibri" w:eastAsia="Calibri" w:hAnsi="Calibri"/>
        <w:noProof/>
      </w:rPr>
    </w:pPr>
  </w:p>
  <w:p w14:paraId="5A4F699A" w14:textId="77777777" w:rsidR="005E2A9E" w:rsidRDefault="005E2A9E">
    <w:pPr>
      <w:pStyle w:val="En-tte"/>
      <w:rPr>
        <w:rFonts w:ascii="Calibri" w:eastAsia="Calibri" w:hAnsi="Calibri"/>
        <w:noProof/>
      </w:rPr>
    </w:pPr>
  </w:p>
  <w:p w14:paraId="339310EA" w14:textId="77777777" w:rsidR="005E2A9E" w:rsidRDefault="005E2A9E">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7AAD6EE"/>
    <w:lvl w:ilvl="0">
      <w:start w:val="1"/>
      <w:numFmt w:val="decimal"/>
      <w:lvlText w:val="%1."/>
      <w:lvlJc w:val="left"/>
      <w:pPr>
        <w:ind w:left="360" w:hanging="360"/>
      </w:pPr>
      <w:rPr>
        <w:rFonts w:hint="default"/>
        <w:b w:val="0"/>
        <w:bCs w:val="0"/>
        <w:color w:val="auto"/>
      </w:rPr>
    </w:lvl>
  </w:abstractNum>
  <w:abstractNum w:abstractNumId="1" w15:restartNumberingAfterBreak="0">
    <w:nsid w:val="09E42759"/>
    <w:multiLevelType w:val="hybridMultilevel"/>
    <w:tmpl w:val="7806E098"/>
    <w:lvl w:ilvl="0" w:tplc="040C000F">
      <w:start w:val="1"/>
      <w:numFmt w:val="decimal"/>
      <w:lvlText w:val="%1."/>
      <w:lvlJc w:val="left"/>
      <w:pPr>
        <w:ind w:left="360" w:hanging="360"/>
      </w:pPr>
      <w:rPr>
        <w:rFonts w:hint="default"/>
      </w:rPr>
    </w:lvl>
    <w:lvl w:ilvl="1" w:tplc="A13616AE">
      <w:start w:val="2"/>
      <w:numFmt w:val="bullet"/>
      <w:lvlText w:val="-"/>
      <w:lvlJc w:val="left"/>
      <w:pPr>
        <w:ind w:left="720" w:hanging="360"/>
      </w:pPr>
      <w:rPr>
        <w:rFonts w:ascii="Arial" w:eastAsiaTheme="minorHAnsi" w:hAnsi="Arial" w:cs="Arial" w:hint="default"/>
      </w:r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46295B49"/>
    <w:multiLevelType w:val="hybridMultilevel"/>
    <w:tmpl w:val="BA94546C"/>
    <w:lvl w:ilvl="0" w:tplc="9A7E441E">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15:restartNumberingAfterBreak="0">
    <w:nsid w:val="7B037159"/>
    <w:multiLevelType w:val="multilevel"/>
    <w:tmpl w:val="5DF4D2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C2D1E6C"/>
    <w:multiLevelType w:val="hybridMultilevel"/>
    <w:tmpl w:val="1BB08892"/>
    <w:lvl w:ilvl="0" w:tplc="CE5892B6">
      <w:start w:val="1"/>
      <w:numFmt w:val="decimal"/>
      <w:lvlText w:val="%1."/>
      <w:lvlJc w:val="left"/>
      <w:pPr>
        <w:ind w:left="360" w:hanging="360"/>
      </w:pPr>
      <w:rPr>
        <w:rFonts w:asciiTheme="majorBidi" w:hAnsiTheme="majorBidi" w:cstheme="majorBidi" w:hint="default"/>
        <w:sz w:val="22"/>
        <w:szCs w:val="22"/>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16cid:durableId="1926569838">
    <w:abstractNumId w:val="3"/>
  </w:num>
  <w:num w:numId="2" w16cid:durableId="1310135936">
    <w:abstractNumId w:val="4"/>
  </w:num>
  <w:num w:numId="3" w16cid:durableId="805968711">
    <w:abstractNumId w:val="1"/>
  </w:num>
  <w:num w:numId="4" w16cid:durableId="1789157929">
    <w:abstractNumId w:val="2"/>
  </w:num>
  <w:num w:numId="5" w16cid:durableId="9685844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02AA"/>
    <w:rsid w:val="00001383"/>
    <w:rsid w:val="0002552F"/>
    <w:rsid w:val="0003711D"/>
    <w:rsid w:val="00076891"/>
    <w:rsid w:val="000B75EC"/>
    <w:rsid w:val="000D3EF7"/>
    <w:rsid w:val="000D5D68"/>
    <w:rsid w:val="000E7529"/>
    <w:rsid w:val="000E7B30"/>
    <w:rsid w:val="000F175F"/>
    <w:rsid w:val="001955AD"/>
    <w:rsid w:val="001B6456"/>
    <w:rsid w:val="001E6D60"/>
    <w:rsid w:val="001E7F1D"/>
    <w:rsid w:val="002001D9"/>
    <w:rsid w:val="00204C7F"/>
    <w:rsid w:val="00213C60"/>
    <w:rsid w:val="002251A8"/>
    <w:rsid w:val="00274D36"/>
    <w:rsid w:val="0028566A"/>
    <w:rsid w:val="00297DF5"/>
    <w:rsid w:val="002A3E4D"/>
    <w:rsid w:val="002D0391"/>
    <w:rsid w:val="002D386D"/>
    <w:rsid w:val="002E10B3"/>
    <w:rsid w:val="002F56EE"/>
    <w:rsid w:val="003022E4"/>
    <w:rsid w:val="00330DCF"/>
    <w:rsid w:val="00393530"/>
    <w:rsid w:val="003A45BC"/>
    <w:rsid w:val="003B296B"/>
    <w:rsid w:val="003D3669"/>
    <w:rsid w:val="003F0AF5"/>
    <w:rsid w:val="00400E96"/>
    <w:rsid w:val="00422E6A"/>
    <w:rsid w:val="00462E5C"/>
    <w:rsid w:val="004A33FE"/>
    <w:rsid w:val="004F5853"/>
    <w:rsid w:val="005021A6"/>
    <w:rsid w:val="00511580"/>
    <w:rsid w:val="0053023F"/>
    <w:rsid w:val="00536AD4"/>
    <w:rsid w:val="005536D2"/>
    <w:rsid w:val="00554B2F"/>
    <w:rsid w:val="0058495B"/>
    <w:rsid w:val="005B4502"/>
    <w:rsid w:val="005D0008"/>
    <w:rsid w:val="005E2A9E"/>
    <w:rsid w:val="00600CDA"/>
    <w:rsid w:val="00633D18"/>
    <w:rsid w:val="00650186"/>
    <w:rsid w:val="00650DB9"/>
    <w:rsid w:val="006525FA"/>
    <w:rsid w:val="0065347C"/>
    <w:rsid w:val="00670551"/>
    <w:rsid w:val="006B5A6C"/>
    <w:rsid w:val="006D1228"/>
    <w:rsid w:val="006D18C9"/>
    <w:rsid w:val="00742503"/>
    <w:rsid w:val="00743C56"/>
    <w:rsid w:val="00772F2B"/>
    <w:rsid w:val="007B43D4"/>
    <w:rsid w:val="007E380B"/>
    <w:rsid w:val="008428FF"/>
    <w:rsid w:val="0086375A"/>
    <w:rsid w:val="0089094F"/>
    <w:rsid w:val="008A124E"/>
    <w:rsid w:val="008C0C99"/>
    <w:rsid w:val="008E7483"/>
    <w:rsid w:val="00924803"/>
    <w:rsid w:val="0093300C"/>
    <w:rsid w:val="00942492"/>
    <w:rsid w:val="0097092C"/>
    <w:rsid w:val="0099196B"/>
    <w:rsid w:val="009E0352"/>
    <w:rsid w:val="00A13B7D"/>
    <w:rsid w:val="00A57715"/>
    <w:rsid w:val="00AA532E"/>
    <w:rsid w:val="00AA641E"/>
    <w:rsid w:val="00AB3985"/>
    <w:rsid w:val="00AC1AFC"/>
    <w:rsid w:val="00AC52A6"/>
    <w:rsid w:val="00AF018A"/>
    <w:rsid w:val="00B002AA"/>
    <w:rsid w:val="00B13DD4"/>
    <w:rsid w:val="00B15075"/>
    <w:rsid w:val="00B2758E"/>
    <w:rsid w:val="00B411C9"/>
    <w:rsid w:val="00B856CD"/>
    <w:rsid w:val="00BB5AD4"/>
    <w:rsid w:val="00BD3940"/>
    <w:rsid w:val="00BF00FE"/>
    <w:rsid w:val="00BF6799"/>
    <w:rsid w:val="00C01471"/>
    <w:rsid w:val="00C56B72"/>
    <w:rsid w:val="00CB36D5"/>
    <w:rsid w:val="00CB39FE"/>
    <w:rsid w:val="00CC332C"/>
    <w:rsid w:val="00CD7E28"/>
    <w:rsid w:val="00CE0C0F"/>
    <w:rsid w:val="00CE5CC2"/>
    <w:rsid w:val="00CF1C54"/>
    <w:rsid w:val="00D172C9"/>
    <w:rsid w:val="00D46E2D"/>
    <w:rsid w:val="00DB3F19"/>
    <w:rsid w:val="00DE4F05"/>
    <w:rsid w:val="00E17476"/>
    <w:rsid w:val="00EE006B"/>
    <w:rsid w:val="00EF1E95"/>
    <w:rsid w:val="00F20979"/>
    <w:rsid w:val="00F301AD"/>
    <w:rsid w:val="00F55F87"/>
    <w:rsid w:val="00F6668E"/>
    <w:rsid w:val="00F838D5"/>
    <w:rsid w:val="00FB56E2"/>
    <w:rsid w:val="00FD79E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D1860"/>
  <w15:chartTrackingRefBased/>
  <w15:docId w15:val="{64DEA0F9-DFD1-4616-BC8C-6CB985F23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02AA"/>
    <w:pPr>
      <w:spacing w:after="0" w:line="276" w:lineRule="auto"/>
    </w:pPr>
    <w:rPr>
      <w:rFonts w:ascii="Arial" w:eastAsia="Arial" w:hAnsi="Arial" w:cs="Arial"/>
      <w:lang w:val="en"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B002AA"/>
    <w:pPr>
      <w:autoSpaceDE w:val="0"/>
      <w:autoSpaceDN w:val="0"/>
      <w:adjustRightInd w:val="0"/>
      <w:spacing w:after="0" w:line="240" w:lineRule="auto"/>
    </w:pPr>
    <w:rPr>
      <w:rFonts w:ascii="Times New Roman" w:hAnsi="Times New Roman" w:cs="Times New Roman"/>
      <w:color w:val="000000"/>
      <w:sz w:val="24"/>
      <w:szCs w:val="24"/>
    </w:rPr>
  </w:style>
  <w:style w:type="paragraph" w:styleId="En-tte">
    <w:name w:val="header"/>
    <w:basedOn w:val="Normal"/>
    <w:link w:val="En-tteCar"/>
    <w:uiPriority w:val="99"/>
    <w:unhideWhenUsed/>
    <w:rsid w:val="00B002AA"/>
    <w:pPr>
      <w:tabs>
        <w:tab w:val="center" w:pos="4680"/>
        <w:tab w:val="right" w:pos="9360"/>
      </w:tabs>
      <w:spacing w:line="240" w:lineRule="auto"/>
    </w:pPr>
  </w:style>
  <w:style w:type="character" w:customStyle="1" w:styleId="En-tteCar">
    <w:name w:val="En-tête Car"/>
    <w:basedOn w:val="Policepardfaut"/>
    <w:link w:val="En-tte"/>
    <w:uiPriority w:val="99"/>
    <w:rsid w:val="00B002AA"/>
    <w:rPr>
      <w:rFonts w:ascii="Arial" w:eastAsia="Arial" w:hAnsi="Arial" w:cs="Arial"/>
      <w:lang w:val="en" w:eastAsia="fr-FR"/>
    </w:rPr>
  </w:style>
  <w:style w:type="paragraph" w:styleId="NormalWeb">
    <w:name w:val="Normal (Web)"/>
    <w:basedOn w:val="Normal"/>
    <w:uiPriority w:val="99"/>
    <w:unhideWhenUsed/>
    <w:rsid w:val="00B002AA"/>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customStyle="1" w:styleId="H1">
    <w:name w:val="_ H_1"/>
    <w:basedOn w:val="Normal"/>
    <w:next w:val="Normal"/>
    <w:rsid w:val="00B002A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asciiTheme="minorHAnsi" w:eastAsiaTheme="minorHAnsi" w:hAnsiTheme="minorHAnsi" w:cstheme="minorBidi"/>
      <w:b/>
      <w:sz w:val="24"/>
      <w:szCs w:val="24"/>
      <w:lang w:eastAsia="en-US"/>
    </w:rPr>
  </w:style>
  <w:style w:type="character" w:styleId="Marquedecommentaire">
    <w:name w:val="annotation reference"/>
    <w:basedOn w:val="Policepardfaut"/>
    <w:uiPriority w:val="99"/>
    <w:semiHidden/>
    <w:unhideWhenUsed/>
    <w:rsid w:val="00B002AA"/>
    <w:rPr>
      <w:sz w:val="16"/>
      <w:szCs w:val="16"/>
    </w:rPr>
  </w:style>
  <w:style w:type="paragraph" w:styleId="Commentaire">
    <w:name w:val="annotation text"/>
    <w:basedOn w:val="Normal"/>
    <w:link w:val="CommentaireCar"/>
    <w:uiPriority w:val="99"/>
    <w:semiHidden/>
    <w:unhideWhenUsed/>
    <w:rsid w:val="00B002AA"/>
    <w:pPr>
      <w:spacing w:line="240" w:lineRule="auto"/>
    </w:pPr>
    <w:rPr>
      <w:sz w:val="20"/>
      <w:szCs w:val="20"/>
    </w:rPr>
  </w:style>
  <w:style w:type="character" w:customStyle="1" w:styleId="CommentaireCar">
    <w:name w:val="Commentaire Car"/>
    <w:basedOn w:val="Policepardfaut"/>
    <w:link w:val="Commentaire"/>
    <w:uiPriority w:val="99"/>
    <w:semiHidden/>
    <w:rsid w:val="00B002AA"/>
    <w:rPr>
      <w:rFonts w:ascii="Arial" w:eastAsia="Arial" w:hAnsi="Arial" w:cs="Arial"/>
      <w:sz w:val="20"/>
      <w:szCs w:val="20"/>
      <w:lang w:val="en" w:eastAsia="fr-FR"/>
    </w:rPr>
  </w:style>
  <w:style w:type="paragraph" w:styleId="Textedebulles">
    <w:name w:val="Balloon Text"/>
    <w:basedOn w:val="Normal"/>
    <w:link w:val="TextedebullesCar"/>
    <w:uiPriority w:val="99"/>
    <w:semiHidden/>
    <w:unhideWhenUsed/>
    <w:rsid w:val="005D0008"/>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5D0008"/>
    <w:rPr>
      <w:rFonts w:ascii="Segoe UI" w:eastAsia="Arial" w:hAnsi="Segoe UI" w:cs="Segoe UI"/>
      <w:sz w:val="18"/>
      <w:szCs w:val="18"/>
      <w:lang w:val="en" w:eastAsia="fr-FR"/>
    </w:rPr>
  </w:style>
  <w:style w:type="paragraph" w:styleId="Notedebasdepage">
    <w:name w:val="footnote text"/>
    <w:aliases w:val="FA Fu,Footnote Text Char Char Char Char Char,Footnote Text Char Char Char Char,Footnote reference, Char,Char,ALTS FOOTNOTE,ADB,single space,fn,ft,Footnote Text Char1,Footnote Text Char Char,FOOTNOTES,Footnote Text Char2,FA"/>
    <w:basedOn w:val="Normal"/>
    <w:link w:val="NotedebasdepageCar"/>
    <w:uiPriority w:val="99"/>
    <w:unhideWhenUsed/>
    <w:rsid w:val="00BF00FE"/>
    <w:pPr>
      <w:spacing w:line="240" w:lineRule="auto"/>
    </w:pPr>
    <w:rPr>
      <w:sz w:val="20"/>
      <w:szCs w:val="20"/>
    </w:rPr>
  </w:style>
  <w:style w:type="character" w:customStyle="1" w:styleId="NotedebasdepageCar">
    <w:name w:val="Note de bas de page Car"/>
    <w:aliases w:val="FA Fu Car,Footnote Text Char Char Char Char Char Car,Footnote Text Char Char Char Char Car,Footnote reference Car, Char Car,Char Car,ALTS FOOTNOTE Car,ADB Car,single space Car,fn Car,ft Car,Footnote Text Char1 Car,FOOTNOTES Car"/>
    <w:basedOn w:val="Policepardfaut"/>
    <w:link w:val="Notedebasdepage"/>
    <w:uiPriority w:val="99"/>
    <w:rsid w:val="00BF00FE"/>
    <w:rPr>
      <w:rFonts w:ascii="Arial" w:eastAsia="Arial" w:hAnsi="Arial" w:cs="Arial"/>
      <w:sz w:val="20"/>
      <w:szCs w:val="20"/>
      <w:lang w:val="en" w:eastAsia="fr-FR"/>
    </w:rPr>
  </w:style>
  <w:style w:type="character" w:styleId="Appelnotedebasdep">
    <w:name w:val="footnote reference"/>
    <w:aliases w:val="ftref,List Bullet Char1,Footnote Reference Char,List Bullet Char Char, Car Car Char Car Char Car Car Char Char, Car Car Car Car Car Car Car Car Char Car Car Char Car Car Car Char Char,Footnote Reference Char1 Char Char1,4,4_GA"/>
    <w:basedOn w:val="Policepardfaut"/>
    <w:uiPriority w:val="99"/>
    <w:unhideWhenUsed/>
    <w:qFormat/>
    <w:rsid w:val="00BF00FE"/>
    <w:rPr>
      <w:vertAlign w:val="superscript"/>
    </w:rPr>
  </w:style>
  <w:style w:type="character" w:styleId="Lienhypertexte">
    <w:name w:val="Hyperlink"/>
    <w:basedOn w:val="Policepardfaut"/>
    <w:uiPriority w:val="99"/>
    <w:unhideWhenUsed/>
    <w:rsid w:val="00BF00FE"/>
    <w:rPr>
      <w:color w:val="0563C1" w:themeColor="hyperlink"/>
      <w:u w:val="single"/>
    </w:rPr>
  </w:style>
  <w:style w:type="paragraph" w:styleId="Paragraphedeliste">
    <w:name w:val="List Paragraph"/>
    <w:aliases w:val="Evidence on Demand bullet points,CEIL PEAKS bullet points,Scriptoria bullet points,Dot pt,F5 List Paragraph,List Paragraph1,No Spacing1,List Paragraph Char Char Char,Indicator Text,Numbered Para 1,MAIN CONTENT,Bullets"/>
    <w:basedOn w:val="Normal"/>
    <w:link w:val="ParagraphedelisteCar"/>
    <w:uiPriority w:val="34"/>
    <w:qFormat/>
    <w:rsid w:val="001955AD"/>
    <w:pPr>
      <w:ind w:left="720"/>
      <w:contextualSpacing/>
    </w:pPr>
  </w:style>
  <w:style w:type="paragraph" w:customStyle="1" w:styleId="SingleTxt">
    <w:name w:val="__Single Txt"/>
    <w:basedOn w:val="Normal"/>
    <w:rsid w:val="00A5771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rPr>
      <w:rFonts w:asciiTheme="minorHAnsi" w:eastAsiaTheme="minorHAnsi" w:hAnsiTheme="minorHAnsi" w:cstheme="minorBidi"/>
      <w:lang w:val="fr-FR" w:eastAsia="en-US"/>
    </w:rPr>
  </w:style>
  <w:style w:type="character" w:customStyle="1" w:styleId="ParagraphedelisteCar">
    <w:name w:val="Paragraphe de liste Car"/>
    <w:aliases w:val="Evidence on Demand bullet points Car,CEIL PEAKS bullet points Car,Scriptoria bullet points Car,Dot pt Car,F5 List Paragraph Car,List Paragraph1 Car,No Spacing1 Car,List Paragraph Char Char Char Car,Indicator Text Car,Bullets Car"/>
    <w:link w:val="Paragraphedeliste"/>
    <w:uiPriority w:val="34"/>
    <w:qFormat/>
    <w:locked/>
    <w:rsid w:val="000D3EF7"/>
    <w:rPr>
      <w:rFonts w:ascii="Arial" w:eastAsia="Arial" w:hAnsi="Arial" w:cs="Arial"/>
      <w:lang w:val="en" w:eastAsia="fr-FR"/>
    </w:rPr>
  </w:style>
  <w:style w:type="character" w:styleId="Lienhypertextesuivivisit">
    <w:name w:val="FollowedHyperlink"/>
    <w:basedOn w:val="Policepardfaut"/>
    <w:uiPriority w:val="99"/>
    <w:semiHidden/>
    <w:unhideWhenUsed/>
    <w:rsid w:val="003935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863889">
      <w:bodyDiv w:val="1"/>
      <w:marLeft w:val="0"/>
      <w:marRight w:val="0"/>
      <w:marTop w:val="0"/>
      <w:marBottom w:val="0"/>
      <w:divBdr>
        <w:top w:val="none" w:sz="0" w:space="0" w:color="auto"/>
        <w:left w:val="none" w:sz="0" w:space="0" w:color="auto"/>
        <w:bottom w:val="none" w:sz="0" w:space="0" w:color="auto"/>
        <w:right w:val="none" w:sz="0" w:space="0" w:color="auto"/>
      </w:divBdr>
    </w:div>
    <w:div w:id="172020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cndh.ma/sites/default/files/cndh_-_web_code_penal_va.pdf" TargetMode="External"/><Relationship Id="rId13" Type="http://schemas.openxmlformats.org/officeDocument/2006/relationships/hyperlink" Target="https://cndh.ma/sites/default/files/cndh_-_web_code_penal_va.pdf" TargetMode="External"/><Relationship Id="rId3" Type="http://schemas.openxmlformats.org/officeDocument/2006/relationships/hyperlink" Target="https://www.refworld.org/docid/4538834e4.html" TargetMode="External"/><Relationship Id="rId7" Type="http://schemas.openxmlformats.org/officeDocument/2006/relationships/hyperlink" Target="https://www.youtube.com/watch?v=isaWxFfO2c0&amp;feature=youtu.be" TargetMode="External"/><Relationship Id="rId12" Type="http://schemas.openxmlformats.org/officeDocument/2006/relationships/hyperlink" Target="https://www.cndh.ma/sites/default/files/mdhkr_lmjls-_lnmwdhj_ltnmwy_ljdyd_2.pdf" TargetMode="External"/><Relationship Id="rId2" Type="http://schemas.openxmlformats.org/officeDocument/2006/relationships/hyperlink" Target="https://treaties.un.org/doc/Treaties/2002/12/20021218%2002-38%20AM/Ch_IV_9_bp.pdf" TargetMode="External"/><Relationship Id="rId1" Type="http://schemas.openxmlformats.org/officeDocument/2006/relationships/hyperlink" Target="https://tbinternet.ohchr.org/_layouts/15/treatybodyexternal/Download.aspx?symbolno=INT%2fCEDAW%2fIFL%2fMAR%2f43614&amp;Lang=en" TargetMode="External"/><Relationship Id="rId6" Type="http://schemas.openxmlformats.org/officeDocument/2006/relationships/hyperlink" Target="http://www.mapnews.ma" TargetMode="External"/><Relationship Id="rId11" Type="http://schemas.openxmlformats.org/officeDocument/2006/relationships/hyperlink" Target="https://www.cndh.org.ma/sites/default/files/cndh_-_exe_rapport_election_-.pdf" TargetMode="External"/><Relationship Id="rId5" Type="http://schemas.openxmlformats.org/officeDocument/2006/relationships/hyperlink" Target="https://www.cndh.org.ma/ar/rubriques/ltwthyq/lsdrt/tqryr-snwy" TargetMode="External"/><Relationship Id="rId10" Type="http://schemas.openxmlformats.org/officeDocument/2006/relationships/hyperlink" Target="http://www.cndh.ma/an/article/sexual-extortion-against-women-students-supporting-reporting-abuse-civil-action-against" TargetMode="External"/><Relationship Id="rId4" Type="http://schemas.openxmlformats.org/officeDocument/2006/relationships/hyperlink" Target="https://www.ohchr.org/en/instruments-mechanisms/instruments/convention-rights-persons-disabilities" TargetMode="External"/><Relationship Id="rId9" Type="http://schemas.openxmlformats.org/officeDocument/2006/relationships/hyperlink" Target="https://www.cndh.org.ma/sites/default/files/cndh_-_rapport_annuel_2021_va.pdf" TargetMode="External"/><Relationship Id="rId14" Type="http://schemas.openxmlformats.org/officeDocument/2006/relationships/hyperlink" Target="https://www.hcp.ma/Note-d-information-du-Haut-Commissariat-au-Plan-a-l-occasion-de-La-journee-nationale-de-la-femme-du-10-octobre-2020_a2602.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668D08-8390-4017-BF2B-05BBA7BDF526}">
  <ds:schemaRefs>
    <ds:schemaRef ds:uri="http://schemas.openxmlformats.org/officeDocument/2006/bibliography"/>
  </ds:schemaRefs>
</ds:datastoreItem>
</file>

<file path=customXml/itemProps2.xml><?xml version="1.0" encoding="utf-8"?>
<ds:datastoreItem xmlns:ds="http://schemas.openxmlformats.org/officeDocument/2006/customXml" ds:itemID="{D60DD496-C9EC-450E-A4A7-DE52A5E86CE2}"/>
</file>

<file path=customXml/itemProps3.xml><?xml version="1.0" encoding="utf-8"?>
<ds:datastoreItem xmlns:ds="http://schemas.openxmlformats.org/officeDocument/2006/customXml" ds:itemID="{0F41D6D4-0896-415D-92F0-92275C046795}"/>
</file>

<file path=customXml/itemProps4.xml><?xml version="1.0" encoding="utf-8"?>
<ds:datastoreItem xmlns:ds="http://schemas.openxmlformats.org/officeDocument/2006/customXml" ds:itemID="{1F560570-04D1-4518-BBDF-04F001EB2B7F}"/>
</file>

<file path=docProps/app.xml><?xml version="1.0" encoding="utf-8"?>
<Properties xmlns="http://schemas.openxmlformats.org/officeDocument/2006/extended-properties" xmlns:vt="http://schemas.openxmlformats.org/officeDocument/2006/docPropsVTypes">
  <Template>Normal</Template>
  <TotalTime>11</TotalTime>
  <Pages>7</Pages>
  <Words>3045</Words>
  <Characters>16751</Characters>
  <Application>Microsoft Office Word</Application>
  <DocSecurity>0</DocSecurity>
  <Lines>139</Lines>
  <Paragraphs>39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Malak Benseghir</dc:creator>
  <cp:keywords/>
  <dc:description/>
  <cp:lastModifiedBy>Malak Benseghir</cp:lastModifiedBy>
  <cp:revision>2</cp:revision>
  <dcterms:created xsi:type="dcterms:W3CDTF">2022-06-06T18:56:00Z</dcterms:created>
  <dcterms:modified xsi:type="dcterms:W3CDTF">2022-06-06T18:56:00Z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