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D7D31" w:themeFill="accent2"/>
        <w:tblLook w:val="04A0" w:firstRow="1" w:lastRow="0" w:firstColumn="1" w:lastColumn="0" w:noHBand="0" w:noVBand="1"/>
      </w:tblPr>
      <w:tblGrid>
        <w:gridCol w:w="8494"/>
      </w:tblGrid>
      <w:tr w:rsidR="00DB0582" w:rsidRPr="008473BE" w14:paraId="4601A4A9" w14:textId="77777777" w:rsidTr="008473BE">
        <w:trPr>
          <w:trHeight w:val="119"/>
        </w:trPr>
        <w:tc>
          <w:tcPr>
            <w:tcW w:w="8494" w:type="dxa"/>
            <w:shd w:val="clear" w:color="auto" w:fill="ED7D31" w:themeFill="accent2"/>
          </w:tcPr>
          <w:p w14:paraId="5890CC7C" w14:textId="77777777" w:rsidR="00DB0582" w:rsidRPr="008473BE" w:rsidRDefault="00DB0582" w:rsidP="00BA7CA7">
            <w:pPr>
              <w:pStyle w:val="Title"/>
              <w:jc w:val="center"/>
              <w:rPr>
                <w:rFonts w:cstheme="majorHAnsi"/>
                <w:b/>
                <w:bCs/>
                <w:sz w:val="48"/>
                <w:szCs w:val="48"/>
                <w:lang w:val="es-ES"/>
              </w:rPr>
            </w:pPr>
            <w:r w:rsidRPr="008473BE">
              <w:rPr>
                <w:rFonts w:cstheme="majorHAnsi"/>
                <w:b/>
                <w:bCs/>
                <w:color w:val="FFFFFF" w:themeColor="background1"/>
                <w:sz w:val="48"/>
                <w:szCs w:val="48"/>
                <w:lang w:val="es-ES"/>
              </w:rPr>
              <w:t>Aportaciones de la Fundación Secretariado Gitano en el marco del procedimiento de seguimiento de las novenas observaciones finales del Comité CEDAW a España (CEDAW/C/ESP/FCO/9)</w:t>
            </w:r>
          </w:p>
        </w:tc>
      </w:tr>
    </w:tbl>
    <w:p w14:paraId="029B8059" w14:textId="5072BE75" w:rsidR="001D72BB" w:rsidRPr="008473BE" w:rsidRDefault="003B2599" w:rsidP="00D018C5">
      <w:pPr>
        <w:pStyle w:val="Heading1"/>
        <w:rPr>
          <w:rFonts w:cstheme="majorHAnsi"/>
          <w:color w:val="ED7D31" w:themeColor="accent2"/>
          <w:lang w:val="es-ES"/>
        </w:rPr>
      </w:pPr>
      <w:r w:rsidRPr="008473BE">
        <w:rPr>
          <w:rFonts w:cstheme="majorHAnsi"/>
          <w:color w:val="ED7D31" w:themeColor="accent2"/>
          <w:lang w:val="es-ES"/>
        </w:rPr>
        <w:t>Introducción</w:t>
      </w:r>
    </w:p>
    <w:p w14:paraId="6F1AD9C5" w14:textId="7B302F82" w:rsidR="001D72BB" w:rsidRPr="008473BE" w:rsidRDefault="001D72BB" w:rsidP="001D72BB">
      <w:pPr>
        <w:spacing w:line="276" w:lineRule="auto"/>
        <w:jc w:val="both"/>
        <w:rPr>
          <w:rFonts w:asciiTheme="majorHAnsi" w:hAnsiTheme="majorHAnsi" w:cstheme="majorHAnsi"/>
          <w:lang w:val="es-ES"/>
        </w:rPr>
      </w:pPr>
      <w:r w:rsidRPr="008473BE">
        <w:rPr>
          <w:rFonts w:asciiTheme="majorHAnsi" w:hAnsiTheme="majorHAnsi" w:cstheme="majorHAnsi"/>
          <w:lang w:val="es-ES"/>
        </w:rPr>
        <w:t xml:space="preserve">La </w:t>
      </w:r>
      <w:r w:rsidRPr="008473BE">
        <w:rPr>
          <w:rFonts w:asciiTheme="majorHAnsi" w:hAnsiTheme="majorHAnsi" w:cstheme="majorHAnsi"/>
          <w:b/>
          <w:bCs/>
          <w:lang w:val="es-ES"/>
        </w:rPr>
        <w:t>Fundación Secretariado Gitano</w:t>
      </w:r>
      <w:r w:rsidRPr="008473BE">
        <w:rPr>
          <w:rFonts w:asciiTheme="majorHAnsi" w:hAnsiTheme="majorHAnsi" w:cstheme="majorHAnsi"/>
          <w:lang w:val="es-ES"/>
        </w:rPr>
        <w:t xml:space="preserve"> (FSG) es una entidad intercultural que lleva más de 40 años trabajando por la promoción social, la defensa de derechos y la igualdad de oportunidades de la comunidad gitana en el conjunto del territorio español y con una fuerte dimensión europea. Nuestros principales ejes de intervención para promover el cambio y la transformación social son el empleo y la educación, pero trabajamos desde una perspectiva integral, abordando también la lucha contra la pobreza y la exclusión social, el acceso a una vivienda digna y la lucha contra la discriminación. Contamos con una plantilla de unas 1.200 personas y tenemos una gran implantación territorial, estamos presentes con nuestros equipos en más de 70 localidades de 15 CCAA, y en 2024 trabajamos con más de 38.000 personas (el 58% mujeres) a través de nuestros programas y servicios (</w:t>
      </w:r>
      <w:hyperlink r:id="rId8" w:history="1">
        <w:r w:rsidRPr="008473BE">
          <w:rPr>
            <w:rStyle w:val="Hyperlink"/>
            <w:rFonts w:asciiTheme="majorHAnsi" w:hAnsiTheme="majorHAnsi" w:cstheme="majorHAnsi"/>
            <w:lang w:val="es-ES"/>
          </w:rPr>
          <w:t>Informe anual 2024</w:t>
        </w:r>
      </w:hyperlink>
      <w:r w:rsidRPr="008473BE">
        <w:rPr>
          <w:rFonts w:asciiTheme="majorHAnsi" w:hAnsiTheme="majorHAnsi" w:cstheme="majorHAnsi"/>
          <w:lang w:val="es-ES"/>
        </w:rPr>
        <w:t>).</w:t>
      </w:r>
    </w:p>
    <w:p w14:paraId="276CB7E6" w14:textId="07696F96" w:rsidR="003B2599" w:rsidRPr="008473BE" w:rsidRDefault="006354E3" w:rsidP="006354E3">
      <w:pPr>
        <w:rPr>
          <w:rFonts w:asciiTheme="majorHAnsi" w:hAnsiTheme="majorHAnsi" w:cstheme="majorHAnsi"/>
          <w:lang w:val="es-ES"/>
        </w:rPr>
      </w:pPr>
      <w:r w:rsidRPr="008473BE">
        <w:rPr>
          <w:rFonts w:asciiTheme="majorHAnsi" w:hAnsiTheme="majorHAnsi" w:cstheme="majorHAnsi"/>
          <w:lang w:val="es-ES"/>
        </w:rPr>
        <w:t xml:space="preserve">La Fundación Secretariado Gitano </w:t>
      </w:r>
      <w:r w:rsidR="00097CF2" w:rsidRPr="008473BE">
        <w:rPr>
          <w:rFonts w:asciiTheme="majorHAnsi" w:hAnsiTheme="majorHAnsi" w:cstheme="majorHAnsi"/>
          <w:lang w:val="es-ES"/>
        </w:rPr>
        <w:t>valora muy positivame</w:t>
      </w:r>
      <w:r w:rsidR="00922F36" w:rsidRPr="008473BE">
        <w:rPr>
          <w:rFonts w:asciiTheme="majorHAnsi" w:hAnsiTheme="majorHAnsi" w:cstheme="majorHAnsi"/>
          <w:lang w:val="es-ES"/>
        </w:rPr>
        <w:t>nte el papel y la contribución del Comité CEDAW, participamos de manera regular y activa en los procesos, y, en este caso, hacemos aportaciones al</w:t>
      </w:r>
      <w:r w:rsidR="007F331A" w:rsidRPr="008473BE">
        <w:rPr>
          <w:rFonts w:asciiTheme="majorHAnsi" w:hAnsiTheme="majorHAnsi" w:cstheme="majorHAnsi"/>
          <w:lang w:val="es-ES"/>
        </w:rPr>
        <w:t xml:space="preserve"> </w:t>
      </w:r>
      <w:r w:rsidR="0056198E" w:rsidRPr="008473BE">
        <w:rPr>
          <w:rFonts w:asciiTheme="majorHAnsi" w:hAnsiTheme="majorHAnsi" w:cstheme="majorHAnsi"/>
          <w:lang w:val="es-ES"/>
        </w:rPr>
        <w:t>seguimiento</w:t>
      </w:r>
      <w:r w:rsidR="003B2599" w:rsidRPr="008473BE">
        <w:rPr>
          <w:rFonts w:asciiTheme="majorHAnsi" w:hAnsiTheme="majorHAnsi" w:cstheme="majorHAnsi"/>
          <w:lang w:val="es-ES"/>
        </w:rPr>
        <w:t xml:space="preserve"> del examen anterior, en el que ya participamos con un informe alternativo, y en las que se hizo visible la preocupación en relación con la situación de las mujeres </w:t>
      </w:r>
      <w:r w:rsidR="007F331A" w:rsidRPr="008473BE">
        <w:rPr>
          <w:rFonts w:asciiTheme="majorHAnsi" w:hAnsiTheme="majorHAnsi" w:cstheme="majorHAnsi"/>
          <w:lang w:val="es-ES"/>
        </w:rPr>
        <w:t xml:space="preserve">gitanas, especialmente en determinados ámbitos. </w:t>
      </w:r>
    </w:p>
    <w:p w14:paraId="52B392BD" w14:textId="77777777" w:rsidR="009C34A4" w:rsidRPr="008473BE" w:rsidRDefault="009C34A4" w:rsidP="009C34A4">
      <w:pPr>
        <w:spacing w:line="276" w:lineRule="auto"/>
        <w:jc w:val="both"/>
        <w:rPr>
          <w:rFonts w:asciiTheme="majorHAnsi" w:hAnsiTheme="majorHAnsi" w:cstheme="majorHAnsi"/>
          <w:lang w:val="es-ES"/>
        </w:rPr>
      </w:pPr>
      <w:r w:rsidRPr="008473BE">
        <w:rPr>
          <w:rFonts w:asciiTheme="majorHAnsi" w:hAnsiTheme="majorHAnsi" w:cstheme="majorHAnsi"/>
          <w:lang w:val="es-ES"/>
        </w:rPr>
        <w:t>En la actualidad se calcula</w:t>
      </w:r>
      <w:r w:rsidRPr="008473BE">
        <w:rPr>
          <w:rStyle w:val="FootnoteReference"/>
          <w:rFonts w:asciiTheme="majorHAnsi" w:hAnsiTheme="majorHAnsi" w:cstheme="majorHAnsi"/>
        </w:rPr>
        <w:footnoteReference w:id="1"/>
      </w:r>
      <w:r w:rsidRPr="008473BE">
        <w:rPr>
          <w:rFonts w:asciiTheme="majorHAnsi" w:hAnsiTheme="majorHAnsi" w:cstheme="majorHAnsi"/>
          <w:lang w:val="es-ES"/>
        </w:rPr>
        <w:t xml:space="preserve"> que la población gitana española es de </w:t>
      </w:r>
      <w:r w:rsidRPr="008473BE">
        <w:rPr>
          <w:rFonts w:asciiTheme="majorHAnsi" w:hAnsiTheme="majorHAnsi" w:cstheme="majorHAnsi"/>
          <w:b/>
          <w:bCs/>
          <w:lang w:val="es-ES"/>
        </w:rPr>
        <w:t>1 a 1,3 millones de personas</w:t>
      </w:r>
      <w:r w:rsidRPr="008473BE">
        <w:rPr>
          <w:rFonts w:asciiTheme="majorHAnsi" w:hAnsiTheme="majorHAnsi" w:cstheme="majorHAnsi"/>
          <w:lang w:val="es-ES"/>
        </w:rPr>
        <w:t>, representando aproximadamente el 2,5% de la población total y siendo una de las minorías gitanas más numerosas en Europa.</w:t>
      </w:r>
    </w:p>
    <w:p w14:paraId="50882636" w14:textId="2CD0A1CB" w:rsidR="009C34A4" w:rsidRPr="008473BE" w:rsidRDefault="009C34A4" w:rsidP="007704ED">
      <w:pPr>
        <w:spacing w:line="276" w:lineRule="auto"/>
        <w:jc w:val="both"/>
        <w:rPr>
          <w:rFonts w:asciiTheme="majorHAnsi" w:hAnsiTheme="majorHAnsi" w:cstheme="majorHAnsi"/>
          <w:lang w:val="es-ES"/>
        </w:rPr>
      </w:pPr>
      <w:r w:rsidRPr="008473BE">
        <w:rPr>
          <w:rFonts w:asciiTheme="majorHAnsi" w:hAnsiTheme="majorHAnsi" w:cstheme="majorHAnsi"/>
          <w:lang w:val="es-ES"/>
        </w:rPr>
        <w:t xml:space="preserve">La </w:t>
      </w:r>
      <w:r w:rsidRPr="008473BE">
        <w:rPr>
          <w:rFonts w:asciiTheme="majorHAnsi" w:hAnsiTheme="majorHAnsi" w:cstheme="majorHAnsi"/>
          <w:b/>
          <w:bCs/>
          <w:lang w:val="es-ES"/>
        </w:rPr>
        <w:t>falta de</w:t>
      </w:r>
      <w:r w:rsidRPr="008473BE">
        <w:rPr>
          <w:rFonts w:asciiTheme="majorHAnsi" w:hAnsiTheme="majorHAnsi" w:cstheme="majorHAnsi"/>
          <w:lang w:val="es-ES"/>
        </w:rPr>
        <w:t xml:space="preserve"> </w:t>
      </w:r>
      <w:r w:rsidRPr="008473BE">
        <w:rPr>
          <w:rFonts w:asciiTheme="majorHAnsi" w:hAnsiTheme="majorHAnsi" w:cstheme="majorHAnsi"/>
          <w:b/>
          <w:bCs/>
          <w:lang w:val="es-ES"/>
        </w:rPr>
        <w:t>datos desagregados</w:t>
      </w:r>
      <w:r w:rsidRPr="008473BE">
        <w:rPr>
          <w:rFonts w:asciiTheme="majorHAnsi" w:hAnsiTheme="majorHAnsi" w:cstheme="majorHAnsi"/>
          <w:lang w:val="es-ES"/>
        </w:rPr>
        <w:t xml:space="preserve"> en los indicadores generales de situación social invisibiliza la realidad de las personas gitanas, y de las mujeres gitanas en concreto, y eso implica que en muchas ocasiones no se perciba la situación de grave desigualdad y discriminación estructural que les afecta y, en consecuencia, no se dé una respuesta adecuada a su situación específica desde las políticas públicas. </w:t>
      </w:r>
    </w:p>
    <w:p w14:paraId="294DBAC5" w14:textId="23E87E6F" w:rsidR="00E013EE" w:rsidRPr="008473BE" w:rsidRDefault="009C34A4" w:rsidP="006354E3">
      <w:pPr>
        <w:rPr>
          <w:rFonts w:asciiTheme="majorHAnsi" w:hAnsiTheme="majorHAnsi" w:cstheme="majorHAnsi"/>
          <w:lang w:val="es-ES"/>
        </w:rPr>
      </w:pPr>
      <w:r w:rsidRPr="008473BE">
        <w:rPr>
          <w:rFonts w:asciiTheme="majorHAnsi" w:hAnsiTheme="majorHAnsi" w:cstheme="majorHAnsi"/>
          <w:lang w:val="es-ES"/>
        </w:rPr>
        <w:t>Por otra parte</w:t>
      </w:r>
      <w:r w:rsidR="00FC330D" w:rsidRPr="008473BE">
        <w:rPr>
          <w:rFonts w:asciiTheme="majorHAnsi" w:hAnsiTheme="majorHAnsi" w:cstheme="majorHAnsi"/>
          <w:lang w:val="es-ES"/>
        </w:rPr>
        <w:t xml:space="preserve">, percibimos una tendencia creciente </w:t>
      </w:r>
      <w:r w:rsidR="000D12EB" w:rsidRPr="008473BE">
        <w:rPr>
          <w:rFonts w:asciiTheme="majorHAnsi" w:hAnsiTheme="majorHAnsi" w:cstheme="majorHAnsi"/>
          <w:lang w:val="es-ES"/>
        </w:rPr>
        <w:t xml:space="preserve">a </w:t>
      </w:r>
      <w:r w:rsidR="00E97873" w:rsidRPr="008473BE">
        <w:rPr>
          <w:rFonts w:asciiTheme="majorHAnsi" w:hAnsiTheme="majorHAnsi" w:cstheme="majorHAnsi"/>
          <w:b/>
          <w:bCs/>
          <w:lang w:val="es-ES"/>
        </w:rPr>
        <w:t>cuestionar</w:t>
      </w:r>
      <w:r w:rsidR="000D12EB" w:rsidRPr="008473BE">
        <w:rPr>
          <w:rFonts w:asciiTheme="majorHAnsi" w:hAnsiTheme="majorHAnsi" w:cstheme="majorHAnsi"/>
          <w:b/>
          <w:bCs/>
          <w:lang w:val="es-ES"/>
        </w:rPr>
        <w:t xml:space="preserve"> </w:t>
      </w:r>
      <w:r w:rsidR="00BD2503" w:rsidRPr="008473BE">
        <w:rPr>
          <w:rFonts w:asciiTheme="majorHAnsi" w:hAnsiTheme="majorHAnsi" w:cstheme="majorHAnsi"/>
          <w:b/>
          <w:bCs/>
          <w:lang w:val="es-ES"/>
        </w:rPr>
        <w:t xml:space="preserve">la igualdad </w:t>
      </w:r>
      <w:r w:rsidR="000D12EB" w:rsidRPr="008473BE">
        <w:rPr>
          <w:rFonts w:asciiTheme="majorHAnsi" w:hAnsiTheme="majorHAnsi" w:cstheme="majorHAnsi"/>
          <w:b/>
          <w:bCs/>
          <w:lang w:val="es-ES"/>
        </w:rPr>
        <w:t>de género</w:t>
      </w:r>
      <w:r w:rsidR="000D12EB" w:rsidRPr="008473BE">
        <w:rPr>
          <w:rFonts w:asciiTheme="majorHAnsi" w:hAnsiTheme="majorHAnsi" w:cstheme="majorHAnsi"/>
          <w:lang w:val="es-ES"/>
        </w:rPr>
        <w:t xml:space="preserve"> </w:t>
      </w:r>
      <w:r w:rsidR="00BD2503" w:rsidRPr="008473BE">
        <w:rPr>
          <w:rFonts w:asciiTheme="majorHAnsi" w:hAnsiTheme="majorHAnsi" w:cstheme="majorHAnsi"/>
          <w:lang w:val="es-ES"/>
        </w:rPr>
        <w:t>como una prioridad social que genera cohesión</w:t>
      </w:r>
      <w:r w:rsidR="00E97873" w:rsidRPr="008473BE">
        <w:rPr>
          <w:rFonts w:asciiTheme="majorHAnsi" w:hAnsiTheme="majorHAnsi" w:cstheme="majorHAnsi"/>
          <w:lang w:val="es-ES"/>
        </w:rPr>
        <w:t xml:space="preserve">. </w:t>
      </w:r>
      <w:r w:rsidR="00307E37" w:rsidRPr="008473BE">
        <w:rPr>
          <w:rFonts w:asciiTheme="majorHAnsi" w:hAnsiTheme="majorHAnsi" w:cstheme="majorHAnsi"/>
          <w:lang w:val="es-ES"/>
        </w:rPr>
        <w:t xml:space="preserve">La narrativa que cuestiona el valor de la igualdad entre hombres y mujeres, o que no reconoce la violencia de género, se traduce en la práctica en </w:t>
      </w:r>
      <w:r w:rsidR="001B4DC2" w:rsidRPr="008473BE">
        <w:rPr>
          <w:rFonts w:asciiTheme="majorHAnsi" w:hAnsiTheme="majorHAnsi" w:cstheme="majorHAnsi"/>
          <w:lang w:val="es-ES"/>
        </w:rPr>
        <w:t xml:space="preserve">su ausencia de la agenda política, y en la falta de inversiones, lo que supone un riesgo alto </w:t>
      </w:r>
      <w:r w:rsidR="00BD341A" w:rsidRPr="008473BE">
        <w:rPr>
          <w:rFonts w:asciiTheme="majorHAnsi" w:hAnsiTheme="majorHAnsi" w:cstheme="majorHAnsi"/>
          <w:lang w:val="es-ES"/>
        </w:rPr>
        <w:t xml:space="preserve">en materia de derechos de las mujeres, especialmente de las más vulnerables. Por eso </w:t>
      </w:r>
      <w:r w:rsidR="00BD341A" w:rsidRPr="008473BE">
        <w:rPr>
          <w:rFonts w:asciiTheme="majorHAnsi" w:hAnsiTheme="majorHAnsi" w:cstheme="majorHAnsi"/>
          <w:lang w:val="es-ES"/>
        </w:rPr>
        <w:lastRenderedPageBreak/>
        <w:t xml:space="preserve">entendemos que el papel de este Comité es muy relevante dando voz y defendiendo los derechos de las mujeres, también de las mujeres gitanas. </w:t>
      </w:r>
    </w:p>
    <w:p w14:paraId="29473BDF" w14:textId="7B86B00E" w:rsidR="007704ED" w:rsidRPr="008473BE" w:rsidRDefault="007704ED" w:rsidP="007704ED">
      <w:pPr>
        <w:pStyle w:val="Heading1"/>
        <w:tabs>
          <w:tab w:val="left" w:pos="2865"/>
        </w:tabs>
        <w:rPr>
          <w:rFonts w:cstheme="majorHAnsi"/>
          <w:color w:val="ED7D31" w:themeColor="accent2"/>
          <w:lang w:val="es-ES"/>
        </w:rPr>
      </w:pPr>
      <w:r w:rsidRPr="008473BE">
        <w:rPr>
          <w:rFonts w:cstheme="majorHAnsi"/>
          <w:color w:val="ED7D31" w:themeColor="accent2"/>
          <w:lang w:val="es-ES"/>
        </w:rPr>
        <w:t>Objeto de la presente contribución: valoración de la recomendación de seguimiento prioritario</w:t>
      </w:r>
      <w:r w:rsidR="003A44FD" w:rsidRPr="008473BE">
        <w:rPr>
          <w:rFonts w:cstheme="majorHAnsi"/>
          <w:color w:val="ED7D31" w:themeColor="accent2"/>
          <w:lang w:val="es-ES"/>
        </w:rPr>
        <w:t xml:space="preserve"> del párrafo</w:t>
      </w:r>
      <w:r w:rsidRPr="008473BE">
        <w:rPr>
          <w:rFonts w:cstheme="majorHAnsi"/>
          <w:color w:val="ED7D31" w:themeColor="accent2"/>
          <w:lang w:val="es-ES"/>
        </w:rPr>
        <w:t xml:space="preserve"> 39.a)</w:t>
      </w:r>
    </w:p>
    <w:p w14:paraId="04E97B70" w14:textId="0A7D6536" w:rsidR="007704ED" w:rsidRPr="008473BE" w:rsidRDefault="007704ED" w:rsidP="007704ED">
      <w:pPr>
        <w:rPr>
          <w:rFonts w:asciiTheme="majorHAnsi" w:hAnsiTheme="majorHAnsi" w:cstheme="majorHAnsi"/>
          <w:lang w:val="es-ES"/>
        </w:rPr>
      </w:pPr>
      <w:r w:rsidRPr="008473BE">
        <w:rPr>
          <w:rFonts w:asciiTheme="majorHAnsi" w:hAnsiTheme="majorHAnsi" w:cstheme="majorHAnsi"/>
          <w:lang w:val="es-ES"/>
        </w:rPr>
        <w:t>Entre las recomendaciones de seguimiento prioritario</w:t>
      </w:r>
      <w:r w:rsidR="003A44FD" w:rsidRPr="008473BE">
        <w:rPr>
          <w:rFonts w:asciiTheme="majorHAnsi" w:hAnsiTheme="majorHAnsi" w:cstheme="majorHAnsi"/>
          <w:lang w:val="es-ES"/>
        </w:rPr>
        <w:t>,</w:t>
      </w:r>
      <w:r w:rsidRPr="008473BE">
        <w:rPr>
          <w:rFonts w:asciiTheme="majorHAnsi" w:hAnsiTheme="majorHAnsi" w:cstheme="majorHAnsi"/>
          <w:lang w:val="es-ES"/>
        </w:rPr>
        <w:t xml:space="preserve"> de conformidad con el párrafo 47 de las novenas observaciones finales del Comité sobre España</w:t>
      </w:r>
      <w:r w:rsidR="003A44FD" w:rsidRPr="008473BE">
        <w:rPr>
          <w:rFonts w:asciiTheme="majorHAnsi" w:hAnsiTheme="majorHAnsi" w:cstheme="majorHAnsi"/>
          <w:lang w:val="es-ES"/>
        </w:rPr>
        <w:t>, figura la contenida en el párrafo 39.a), en la que se insta a las autoridades nacionales a aprobar “</w:t>
      </w:r>
      <w:r w:rsidR="003A44FD" w:rsidRPr="008473BE">
        <w:rPr>
          <w:rFonts w:asciiTheme="majorHAnsi" w:hAnsiTheme="majorHAnsi" w:cstheme="majorHAnsi"/>
          <w:b/>
          <w:bCs/>
          <w:lang w:val="es-ES"/>
        </w:rPr>
        <w:t>una ley orgánica nacional en consulta con representantes de la comunidad romaní, garantizando que mujeres y hombres estén representados por igual en estas consultas</w:t>
      </w:r>
      <w:r w:rsidR="003A44FD" w:rsidRPr="008473BE">
        <w:rPr>
          <w:rFonts w:asciiTheme="majorHAnsi" w:hAnsiTheme="majorHAnsi" w:cstheme="majorHAnsi"/>
          <w:lang w:val="es-ES"/>
        </w:rPr>
        <w:t>”. Esta recomendación obedecía a la “preocupación del comité de la falta de legislación específica y las diferencias que siguen existiendo entre las mujeres romaníes y las demás, en todos los ámbitos, como la educación, el empleo, la sanidad, la protección social y la participación”.</w:t>
      </w:r>
    </w:p>
    <w:p w14:paraId="07A08CCE" w14:textId="2A9CB06A" w:rsidR="003A44FD" w:rsidRPr="008473BE" w:rsidRDefault="003A44FD" w:rsidP="007704ED">
      <w:pPr>
        <w:rPr>
          <w:rFonts w:asciiTheme="majorHAnsi" w:hAnsiTheme="majorHAnsi" w:cstheme="majorHAnsi"/>
          <w:lang w:val="es-ES"/>
        </w:rPr>
      </w:pPr>
      <w:r w:rsidRPr="008473BE">
        <w:rPr>
          <w:rFonts w:asciiTheme="majorHAnsi" w:hAnsiTheme="majorHAnsi" w:cstheme="majorHAnsi"/>
          <w:lang w:val="es-ES"/>
        </w:rPr>
        <w:t xml:space="preserve">Al respecto de esto debe decirse que </w:t>
      </w:r>
      <w:r w:rsidRPr="008473BE">
        <w:rPr>
          <w:rFonts w:asciiTheme="majorHAnsi" w:hAnsiTheme="majorHAnsi" w:cstheme="majorHAnsi"/>
          <w:b/>
          <w:bCs/>
          <w:lang w:val="es-ES"/>
        </w:rPr>
        <w:t>no se ha aprobado dicha legislación, ni tampoco se han iniciado los trabajos preparatorios oportunos para propiciar su aprobación</w:t>
      </w:r>
      <w:r w:rsidRPr="008473BE">
        <w:rPr>
          <w:rFonts w:asciiTheme="majorHAnsi" w:hAnsiTheme="majorHAnsi" w:cstheme="majorHAnsi"/>
          <w:lang w:val="es-ES"/>
        </w:rPr>
        <w:t xml:space="preserve">. </w:t>
      </w:r>
    </w:p>
    <w:p w14:paraId="5828A1A2" w14:textId="0B115028" w:rsidR="003A44FD" w:rsidRPr="008473BE" w:rsidRDefault="003A44FD" w:rsidP="007704ED">
      <w:pPr>
        <w:rPr>
          <w:rFonts w:asciiTheme="majorHAnsi" w:hAnsiTheme="majorHAnsi" w:cstheme="majorHAnsi"/>
          <w:lang w:val="es-ES"/>
        </w:rPr>
      </w:pPr>
      <w:r w:rsidRPr="008473BE">
        <w:rPr>
          <w:rFonts w:asciiTheme="majorHAnsi" w:hAnsiTheme="majorHAnsi" w:cstheme="majorHAnsi"/>
          <w:lang w:val="es-ES"/>
        </w:rPr>
        <w:t>En efecto, una de las principales reivindicaciones que lanzamos desde la Fundación Secretariado Gitano en el marco del 600º aniversario de la llegada del pueblo gitano a España en 2025 es la aprobación de una</w:t>
      </w:r>
      <w:r w:rsidRPr="008473BE">
        <w:rPr>
          <w:rFonts w:asciiTheme="majorHAnsi" w:hAnsiTheme="majorHAnsi" w:cstheme="majorHAnsi"/>
          <w:b/>
          <w:bCs/>
          <w:lang w:val="es-ES"/>
        </w:rPr>
        <w:t xml:space="preserve"> </w:t>
      </w:r>
      <w:bookmarkStart w:id="0" w:name="_Hlk231461271"/>
      <w:r w:rsidRPr="008473BE">
        <w:rPr>
          <w:rFonts w:asciiTheme="majorHAnsi" w:hAnsiTheme="majorHAnsi" w:cstheme="majorHAnsi"/>
          <w:b/>
          <w:bCs/>
          <w:lang w:val="es-ES"/>
        </w:rPr>
        <w:t>Ley integral para el Reconocimiento, la Igualdad y la Promoción del Pueblo Gitano</w:t>
      </w:r>
      <w:bookmarkEnd w:id="0"/>
      <w:r w:rsidRPr="008473BE">
        <w:rPr>
          <w:rFonts w:asciiTheme="majorHAnsi" w:hAnsiTheme="majorHAnsi" w:cstheme="majorHAnsi"/>
          <w:b/>
          <w:bCs/>
          <w:lang w:val="es-ES"/>
        </w:rPr>
        <w:t>,</w:t>
      </w:r>
      <w:r w:rsidRPr="008473BE">
        <w:rPr>
          <w:rFonts w:asciiTheme="majorHAnsi" w:hAnsiTheme="majorHAnsi" w:cstheme="majorHAnsi"/>
          <w:lang w:val="es-ES"/>
        </w:rPr>
        <w:t xml:space="preserve"> dado que, al igual que el Comité CEDAW, tenemos la firme convicción de que</w:t>
      </w:r>
      <w:r w:rsidR="00713ABB" w:rsidRPr="008473BE">
        <w:rPr>
          <w:rFonts w:asciiTheme="majorHAnsi" w:hAnsiTheme="majorHAnsi" w:cstheme="majorHAnsi"/>
          <w:lang w:val="es-ES"/>
        </w:rPr>
        <w:t xml:space="preserve"> esta iniciativa aceleraría el cambio social y estructural necesario para que las personas gitanas, incluidas las mujeres y las niñas, puedan disfrutar de sus derechos humanos, en condiciones de igualdad con el resto de la ciudadanía.</w:t>
      </w:r>
    </w:p>
    <w:tbl>
      <w:tblPr>
        <w:tblStyle w:val="TableGrid"/>
        <w:tblW w:w="0" w:type="auto"/>
        <w:tblLook w:val="04A0" w:firstRow="1" w:lastRow="0" w:firstColumn="1" w:lastColumn="0" w:noHBand="0" w:noVBand="1"/>
      </w:tblPr>
      <w:tblGrid>
        <w:gridCol w:w="8494"/>
      </w:tblGrid>
      <w:tr w:rsidR="00D018C5" w:rsidRPr="008473BE" w14:paraId="273210E9" w14:textId="77777777" w:rsidTr="00D018C5">
        <w:tc>
          <w:tcPr>
            <w:tcW w:w="8494" w:type="dxa"/>
          </w:tcPr>
          <w:p w14:paraId="05910323" w14:textId="77777777" w:rsidR="00D018C5" w:rsidRPr="008473BE" w:rsidRDefault="00D018C5" w:rsidP="002042C7">
            <w:pPr>
              <w:rPr>
                <w:rFonts w:asciiTheme="majorHAnsi" w:hAnsiTheme="majorHAnsi" w:cstheme="majorHAnsi"/>
                <w:b/>
                <w:bCs/>
                <w:lang w:val="es-ES"/>
              </w:rPr>
            </w:pPr>
            <w:r w:rsidRPr="008473BE">
              <w:rPr>
                <w:rFonts w:asciiTheme="majorHAnsi" w:hAnsiTheme="majorHAnsi" w:cstheme="majorHAnsi"/>
                <w:lang w:val="es-ES"/>
              </w:rPr>
              <w:t xml:space="preserve">Desde la Fundación Secretariado Gitano hemos podido comprobar, en nuestras actuaciones para promocionar la aprobación de esta Ley integral, que en principio existe un amplio consenso político, entre los distintos grupos con representación parlamentaria, para aprobar esta normativa. </w:t>
            </w:r>
            <w:r w:rsidRPr="008473BE">
              <w:rPr>
                <w:rFonts w:asciiTheme="majorHAnsi" w:hAnsiTheme="majorHAnsi" w:cstheme="majorHAnsi"/>
                <w:b/>
                <w:bCs/>
                <w:lang w:val="es-ES"/>
              </w:rPr>
              <w:t>Por todo ello, consideramos que las autoridades nacionales deberían ser animadas a acelerar los trabajos preparatorios para la aprobación de esta Ley integral para el Reconocimiento, la Igualdad y la Promoción del Pueblo Gitano.</w:t>
            </w:r>
          </w:p>
        </w:tc>
      </w:tr>
    </w:tbl>
    <w:p w14:paraId="3F3E1E4D" w14:textId="77777777" w:rsidR="00C37D1C" w:rsidRPr="008473BE" w:rsidRDefault="00C37D1C" w:rsidP="00C37D1C">
      <w:pPr>
        <w:rPr>
          <w:rFonts w:asciiTheme="majorHAnsi" w:hAnsiTheme="majorHAnsi" w:cstheme="majorHAnsi"/>
          <w:lang w:val="es-ES"/>
        </w:rPr>
      </w:pPr>
    </w:p>
    <w:p w14:paraId="5E8D5741" w14:textId="569C24D7" w:rsidR="00766382" w:rsidRPr="008473BE" w:rsidRDefault="003A44FD" w:rsidP="00766382">
      <w:pPr>
        <w:pStyle w:val="Heading1"/>
        <w:tabs>
          <w:tab w:val="left" w:pos="2865"/>
        </w:tabs>
        <w:rPr>
          <w:rFonts w:cstheme="majorHAnsi"/>
          <w:color w:val="ED7D31" w:themeColor="accent2"/>
          <w:lang w:val="es-ES"/>
        </w:rPr>
      </w:pPr>
      <w:r w:rsidRPr="008473BE">
        <w:rPr>
          <w:rFonts w:cstheme="majorHAnsi"/>
          <w:color w:val="ED7D31" w:themeColor="accent2"/>
          <w:lang w:val="es-ES"/>
        </w:rPr>
        <w:t xml:space="preserve">Impacto de la ausencia de una </w:t>
      </w:r>
      <w:r w:rsidR="00D018C5" w:rsidRPr="008473BE">
        <w:rPr>
          <w:rFonts w:cstheme="majorHAnsi"/>
          <w:color w:val="ED7D31" w:themeColor="accent2"/>
          <w:lang w:val="es-ES"/>
        </w:rPr>
        <w:t xml:space="preserve">Ley integral para el Reconocimiento, la Igualdad y la Promoción del Pueblo Gitano </w:t>
      </w:r>
      <w:r w:rsidRPr="008473BE">
        <w:rPr>
          <w:rFonts w:cstheme="majorHAnsi"/>
          <w:color w:val="ED7D31" w:themeColor="accent2"/>
          <w:lang w:val="es-ES"/>
        </w:rPr>
        <w:t>en los derechos de las mujeres y de las niñas gitanas</w:t>
      </w:r>
    </w:p>
    <w:p w14:paraId="4902139F" w14:textId="59DAAFD5" w:rsidR="00713ABB" w:rsidRPr="008473BE" w:rsidRDefault="00713ABB" w:rsidP="00713ABB">
      <w:pPr>
        <w:rPr>
          <w:rFonts w:asciiTheme="majorHAnsi" w:hAnsiTheme="majorHAnsi" w:cstheme="majorHAnsi"/>
          <w:lang w:val="es-ES"/>
        </w:rPr>
      </w:pPr>
      <w:r w:rsidRPr="008473BE">
        <w:rPr>
          <w:rFonts w:asciiTheme="majorHAnsi" w:hAnsiTheme="majorHAnsi" w:cstheme="majorHAnsi"/>
          <w:lang w:val="es-ES"/>
        </w:rPr>
        <w:t>Consideramos muy relevante hacer un breve repaso en eta contribución sobre el impacto de la ausencia de esta normativa en lo que respecta a los derechos contenidos en la Convención CEDAW por parte de las niñas y mujeres gitanas que, por serlo, enfrentan una discriminación interseccional, debido a su origen étnico y su género.</w:t>
      </w:r>
    </w:p>
    <w:p w14:paraId="35985B84" w14:textId="3ECA2E89" w:rsidR="00D80F47" w:rsidRPr="003A3E4B" w:rsidRDefault="00D80F47" w:rsidP="00D80F47">
      <w:pPr>
        <w:pStyle w:val="Heading2"/>
        <w:rPr>
          <w:rFonts w:cstheme="majorHAnsi"/>
          <w:color w:val="ED7D31" w:themeColor="accent2"/>
          <w:lang w:val="es-ES"/>
        </w:rPr>
      </w:pPr>
      <w:r w:rsidRPr="003A3E4B">
        <w:rPr>
          <w:rFonts w:cstheme="majorHAnsi"/>
          <w:color w:val="ED7D31" w:themeColor="accent2"/>
          <w:lang w:val="es-ES"/>
        </w:rPr>
        <w:t>Educación</w:t>
      </w:r>
    </w:p>
    <w:p w14:paraId="47D387B3" w14:textId="41181080" w:rsidR="00D80F47" w:rsidRPr="00D80F47" w:rsidRDefault="00D018C5" w:rsidP="00D80F47">
      <w:pPr>
        <w:rPr>
          <w:rFonts w:asciiTheme="majorHAnsi" w:hAnsiTheme="majorHAnsi" w:cstheme="majorHAnsi"/>
          <w:lang w:val="es-ES"/>
        </w:rPr>
      </w:pPr>
      <w:r w:rsidRPr="008473BE">
        <w:rPr>
          <w:rFonts w:asciiTheme="majorHAnsi" w:hAnsiTheme="majorHAnsi" w:cstheme="majorHAnsi"/>
          <w:lang w:val="es-ES"/>
        </w:rPr>
        <w:t>Lamentamos</w:t>
      </w:r>
      <w:r w:rsidR="00D80F47" w:rsidRPr="00D80F47">
        <w:rPr>
          <w:rFonts w:asciiTheme="majorHAnsi" w:hAnsiTheme="majorHAnsi" w:cstheme="majorHAnsi"/>
          <w:lang w:val="es-ES"/>
        </w:rPr>
        <w:t xml:space="preserve"> la falta de avances reales; la situación de las niñas gitanas sigue siendo muy similar a la observada por el Comité en sus anteriores observaciones finales. Persisten elevadas tasas de absentismo y abandono escolar temprano, especialmente en las etapas de educación </w:t>
      </w:r>
      <w:r w:rsidR="00D80F47" w:rsidRPr="00D80F47">
        <w:rPr>
          <w:rFonts w:asciiTheme="majorHAnsi" w:hAnsiTheme="majorHAnsi" w:cstheme="majorHAnsi"/>
          <w:lang w:val="es-ES"/>
        </w:rPr>
        <w:lastRenderedPageBreak/>
        <w:t>secundaria, así como importantes desigualdades en el acceso y permanencia en el sistema educativo en condiciones de igualdad.</w:t>
      </w:r>
    </w:p>
    <w:p w14:paraId="1909AC1B" w14:textId="77777777" w:rsidR="00D80F47" w:rsidRPr="00D80F47" w:rsidRDefault="00D80F47" w:rsidP="00D80F47">
      <w:pPr>
        <w:rPr>
          <w:rFonts w:asciiTheme="majorHAnsi" w:hAnsiTheme="majorHAnsi" w:cstheme="majorHAnsi"/>
          <w:lang w:val="es-ES"/>
        </w:rPr>
      </w:pPr>
      <w:r w:rsidRPr="00D80F47">
        <w:rPr>
          <w:rFonts w:asciiTheme="majorHAnsi" w:hAnsiTheme="majorHAnsi" w:cstheme="majorHAnsi"/>
          <w:lang w:val="es-ES"/>
        </w:rPr>
        <w:t>Asimismo, continúa observándose una insuficiente implementación de medidas específicas y sostenidas dirigidas a combatir las causas estructurales que afectan a las niñas gitanas, entre ellas la pobreza y exclusión social, la segregación escolar, la discriminación interseccional y la persistencia de estereotipos de género y antigitanos.</w:t>
      </w:r>
    </w:p>
    <w:p w14:paraId="231C45A0" w14:textId="46311035" w:rsidR="00D80F47" w:rsidRPr="008473BE" w:rsidRDefault="00D80F47" w:rsidP="00D80F47">
      <w:pPr>
        <w:rPr>
          <w:rFonts w:asciiTheme="majorHAnsi" w:hAnsiTheme="majorHAnsi" w:cstheme="majorHAnsi"/>
          <w:lang w:val="es-ES"/>
        </w:rPr>
      </w:pPr>
      <w:r w:rsidRPr="00D80F47">
        <w:rPr>
          <w:rFonts w:asciiTheme="majorHAnsi" w:hAnsiTheme="majorHAnsi" w:cstheme="majorHAnsi"/>
          <w:lang w:val="es-ES"/>
        </w:rPr>
        <w:t>Si bien existen algunos programas y actuaciones públicas orientadas a fomentar la inclusión educativa, estos resultan insuficientes y carecen, en muchos casos, de financiación estable, mecanismos de evaluación y enfoque específico de género y etnia. Del mismo modo, preocupa la ausencia de datos desagregados actualizados que permitan evaluar adecuadamente el impacto de las políticas implementadas sobre la escolarización y permanencia educativa de las niñas gitanas.</w:t>
      </w:r>
    </w:p>
    <w:tbl>
      <w:tblPr>
        <w:tblStyle w:val="TableGrid"/>
        <w:tblW w:w="0" w:type="auto"/>
        <w:tblLook w:val="04A0" w:firstRow="1" w:lastRow="0" w:firstColumn="1" w:lastColumn="0" w:noHBand="0" w:noVBand="1"/>
      </w:tblPr>
      <w:tblGrid>
        <w:gridCol w:w="8494"/>
      </w:tblGrid>
      <w:tr w:rsidR="00D018C5" w:rsidRPr="008473BE" w14:paraId="32F065C3" w14:textId="77777777" w:rsidTr="00D018C5">
        <w:tc>
          <w:tcPr>
            <w:tcW w:w="8494" w:type="dxa"/>
          </w:tcPr>
          <w:p w14:paraId="18453AE0" w14:textId="58EBB9F3" w:rsidR="00D018C5" w:rsidRPr="008473BE" w:rsidRDefault="00D018C5" w:rsidP="00D80F47">
            <w:pPr>
              <w:rPr>
                <w:rFonts w:asciiTheme="majorHAnsi" w:hAnsiTheme="majorHAnsi" w:cstheme="majorHAnsi"/>
                <w:lang w:val="es-ES"/>
              </w:rPr>
            </w:pPr>
            <w:r w:rsidRPr="008473BE">
              <w:rPr>
                <w:rFonts w:asciiTheme="majorHAnsi" w:hAnsiTheme="majorHAnsi" w:cstheme="majorHAnsi"/>
                <w:lang w:val="es-ES"/>
              </w:rPr>
              <w:t xml:space="preserve">La Ley integral para el Reconocimiento, la Igualdad y la Promoción del Pueblo Gitano sería una oportunidad para dar rango de ley a </w:t>
            </w:r>
            <w:r w:rsidRPr="00D80F47">
              <w:rPr>
                <w:rFonts w:asciiTheme="majorHAnsi" w:hAnsiTheme="majorHAnsi" w:cstheme="majorHAnsi"/>
                <w:b/>
                <w:bCs/>
                <w:lang w:val="es-ES"/>
              </w:rPr>
              <w:t>medidas efectivas y adaptadas para fomentar el éxito educativo de las niñas, adolescentes y mujeres gitanas</w:t>
            </w:r>
            <w:r w:rsidRPr="008473BE">
              <w:rPr>
                <w:rFonts w:asciiTheme="majorHAnsi" w:hAnsiTheme="majorHAnsi" w:cstheme="majorHAnsi"/>
                <w:lang w:val="es-ES"/>
              </w:rPr>
              <w:t xml:space="preserve">, tales como: (i) </w:t>
            </w:r>
            <w:r w:rsidRPr="00D80F47">
              <w:rPr>
                <w:rFonts w:asciiTheme="majorHAnsi" w:hAnsiTheme="majorHAnsi" w:cstheme="majorHAnsi"/>
                <w:lang w:val="es-ES"/>
              </w:rPr>
              <w:t xml:space="preserve">la aprobación y puesta en marcha de un Plan de Choque frente al Fracaso Escolar con medidas específicas para el alumnado gitano y, en concreto para las niñas y adolescentes gitanas; </w:t>
            </w:r>
            <w:r w:rsidRPr="008473BE">
              <w:rPr>
                <w:rFonts w:asciiTheme="majorHAnsi" w:hAnsiTheme="majorHAnsi" w:cstheme="majorHAnsi"/>
                <w:lang w:val="es-ES"/>
              </w:rPr>
              <w:t>(ii)</w:t>
            </w:r>
            <w:r w:rsidRPr="00D80F47">
              <w:rPr>
                <w:rFonts w:asciiTheme="majorHAnsi" w:hAnsiTheme="majorHAnsi" w:cstheme="majorHAnsi"/>
                <w:lang w:val="es-ES"/>
              </w:rPr>
              <w:t xml:space="preserve"> la prohibición efectiva de todas las formas de discriminación en el ámbito escolar, entre las que se encuentra la segregación;</w:t>
            </w:r>
            <w:r w:rsidR="008473BE">
              <w:rPr>
                <w:rFonts w:asciiTheme="majorHAnsi" w:hAnsiTheme="majorHAnsi" w:cstheme="majorHAnsi"/>
                <w:lang w:val="es-ES"/>
              </w:rPr>
              <w:t xml:space="preserve"> y</w:t>
            </w:r>
            <w:r w:rsidRPr="00D80F47">
              <w:rPr>
                <w:rFonts w:asciiTheme="majorHAnsi" w:hAnsiTheme="majorHAnsi" w:cstheme="majorHAnsi"/>
                <w:lang w:val="es-ES"/>
              </w:rPr>
              <w:t xml:space="preserve"> </w:t>
            </w:r>
            <w:r w:rsidRPr="008473BE">
              <w:rPr>
                <w:rFonts w:asciiTheme="majorHAnsi" w:hAnsiTheme="majorHAnsi" w:cstheme="majorHAnsi"/>
                <w:lang w:val="es-ES"/>
              </w:rPr>
              <w:t>(iii)</w:t>
            </w:r>
            <w:r w:rsidRPr="00D80F47">
              <w:rPr>
                <w:rFonts w:asciiTheme="majorHAnsi" w:hAnsiTheme="majorHAnsi" w:cstheme="majorHAnsi"/>
                <w:lang w:val="es-ES"/>
              </w:rPr>
              <w:t xml:space="preserve"> la capacitación y sensibilización sobre educación inclusiva para el profesorado</w:t>
            </w:r>
            <w:r w:rsidR="008473BE">
              <w:rPr>
                <w:rFonts w:asciiTheme="majorHAnsi" w:hAnsiTheme="majorHAnsi" w:cstheme="majorHAnsi"/>
                <w:lang w:val="es-ES"/>
              </w:rPr>
              <w:t>.</w:t>
            </w:r>
          </w:p>
        </w:tc>
      </w:tr>
    </w:tbl>
    <w:p w14:paraId="6347A189" w14:textId="77777777" w:rsidR="00D018C5" w:rsidRPr="00D80F47" w:rsidRDefault="00D018C5" w:rsidP="008473BE">
      <w:pPr>
        <w:rPr>
          <w:rFonts w:asciiTheme="majorHAnsi" w:hAnsiTheme="majorHAnsi" w:cstheme="majorHAnsi"/>
          <w:color w:val="ED7D31" w:themeColor="accent2"/>
          <w:lang w:val="es-ES"/>
        </w:rPr>
      </w:pPr>
    </w:p>
    <w:p w14:paraId="6D680519" w14:textId="6CAC2534" w:rsidR="00D80F47" w:rsidRPr="008473BE" w:rsidRDefault="00D018C5" w:rsidP="00D018C5">
      <w:pPr>
        <w:pStyle w:val="Heading2"/>
        <w:rPr>
          <w:rFonts w:cstheme="majorHAnsi"/>
          <w:color w:val="ED7D31" w:themeColor="accent2"/>
          <w:lang w:val="es-ES"/>
        </w:rPr>
      </w:pPr>
      <w:r w:rsidRPr="008473BE">
        <w:rPr>
          <w:rFonts w:cstheme="majorHAnsi"/>
          <w:color w:val="ED7D31" w:themeColor="accent2"/>
          <w:lang w:val="es-ES"/>
        </w:rPr>
        <w:t>Empleo</w:t>
      </w:r>
    </w:p>
    <w:p w14:paraId="0C9B839B" w14:textId="60C417EE" w:rsidR="00D018C5" w:rsidRPr="008473BE" w:rsidRDefault="00D018C5" w:rsidP="00D018C5">
      <w:pPr>
        <w:rPr>
          <w:rFonts w:asciiTheme="majorHAnsi" w:hAnsiTheme="majorHAnsi" w:cstheme="majorHAnsi"/>
          <w:lang w:val="es-ES"/>
        </w:rPr>
      </w:pPr>
      <w:r w:rsidRPr="008473BE">
        <w:rPr>
          <w:rFonts w:asciiTheme="majorHAnsi" w:hAnsiTheme="majorHAnsi" w:cstheme="majorHAnsi"/>
          <w:lang w:val="es-ES"/>
        </w:rPr>
        <w:t xml:space="preserve">En este ámbito celebramos la aprobación de la </w:t>
      </w:r>
      <w:r w:rsidRPr="008473BE">
        <w:rPr>
          <w:rFonts w:asciiTheme="majorHAnsi" w:hAnsiTheme="majorHAnsi" w:cstheme="majorHAnsi"/>
          <w:i/>
          <w:iCs/>
          <w:lang w:val="es-ES"/>
        </w:rPr>
        <w:t>Ley 3/2023, de 28 de febrero, de Empleo</w:t>
      </w:r>
      <w:r w:rsidRPr="008473BE">
        <w:rPr>
          <w:rFonts w:asciiTheme="majorHAnsi" w:hAnsiTheme="majorHAnsi" w:cstheme="majorHAnsi"/>
          <w:lang w:val="es-ES"/>
        </w:rPr>
        <w:t xml:space="preserve"> en la que, por primera vez, se considera a la población gitana, así como a las mujeres con baja cualificación, como colectivos de atención prioritaria para la política de empleo.</w:t>
      </w:r>
    </w:p>
    <w:p w14:paraId="45148B3A" w14:textId="18553D6E" w:rsidR="00D018C5" w:rsidRPr="008473BE" w:rsidRDefault="00D018C5" w:rsidP="00D018C5">
      <w:pPr>
        <w:rPr>
          <w:rFonts w:asciiTheme="majorHAnsi" w:hAnsiTheme="majorHAnsi" w:cstheme="majorHAnsi"/>
          <w:lang w:val="es-ES"/>
        </w:rPr>
      </w:pPr>
      <w:r w:rsidRPr="008473BE">
        <w:rPr>
          <w:rFonts w:asciiTheme="majorHAnsi" w:hAnsiTheme="majorHAnsi" w:cstheme="majorHAnsi"/>
          <w:lang w:val="es-ES"/>
        </w:rPr>
        <w:t xml:space="preserve">Además, y enmarcada en esta ley, la </w:t>
      </w:r>
      <w:r w:rsidRPr="008473BE">
        <w:rPr>
          <w:rFonts w:asciiTheme="majorHAnsi" w:hAnsiTheme="majorHAnsi" w:cstheme="majorHAnsi"/>
          <w:i/>
          <w:iCs/>
          <w:lang w:val="es-ES"/>
        </w:rPr>
        <w:t xml:space="preserve">Estrategia Española de Apoyo Activo al Empleo 2025-2028 </w:t>
      </w:r>
      <w:r w:rsidRPr="008473BE">
        <w:rPr>
          <w:rFonts w:asciiTheme="majorHAnsi" w:hAnsiTheme="majorHAnsi" w:cstheme="majorHAnsi"/>
          <w:lang w:val="es-ES"/>
        </w:rPr>
        <w:t xml:space="preserve">incorpora el primer </w:t>
      </w:r>
      <w:r w:rsidRPr="008473BE">
        <w:rPr>
          <w:rFonts w:asciiTheme="majorHAnsi" w:hAnsiTheme="majorHAnsi" w:cstheme="majorHAnsi"/>
          <w:i/>
          <w:iCs/>
          <w:lang w:val="es-ES"/>
        </w:rPr>
        <w:t>Plan de actuación para la mejora de la empleabilidad de la población gitana (2025-2028)</w:t>
      </w:r>
      <w:r w:rsidRPr="008473BE">
        <w:rPr>
          <w:rFonts w:asciiTheme="majorHAnsi" w:hAnsiTheme="majorHAnsi" w:cstheme="majorHAnsi"/>
          <w:lang w:val="es-ES"/>
        </w:rPr>
        <w:t xml:space="preserve">, aprobado en junio de 2025, una iniciativa orientada a garantizar la igualdad de oportunidades y compensar la grave desigualdad en el ámbito laboral de la población gitana y que incorpora medidas de apoyo integral a las mujeres gitanas con actuaciones de formación y asesoramiento para favorecer su empleabilidad. </w:t>
      </w:r>
    </w:p>
    <w:p w14:paraId="402E1992" w14:textId="77777777" w:rsidR="00D018C5" w:rsidRPr="008473BE" w:rsidRDefault="00D018C5" w:rsidP="00D018C5">
      <w:pPr>
        <w:rPr>
          <w:rFonts w:asciiTheme="majorHAnsi" w:hAnsiTheme="majorHAnsi" w:cstheme="majorHAnsi"/>
          <w:lang w:val="es-ES"/>
        </w:rPr>
      </w:pPr>
      <w:r w:rsidRPr="008473BE">
        <w:rPr>
          <w:rFonts w:asciiTheme="majorHAnsi" w:hAnsiTheme="majorHAnsi" w:cstheme="majorHAnsi"/>
          <w:lang w:val="es-ES"/>
        </w:rPr>
        <w:t>Aun reconociendo los pasos legislativos que se han llevado a cabo con el fin de favorecer la participación de las mujeres gitanas en el ámbito del empleo, es necesario recalcar que su situación sigue siendo muy desigual, con una tasa de paro que llega al 60% y tasas de temporalidad de casi el 70%, lo que implica no solo una débil protección en el empleo sino en el acceso posterior a las prestaciones por desempleo y jubilaciones.</w:t>
      </w:r>
    </w:p>
    <w:p w14:paraId="4397C64A" w14:textId="1FC29B30" w:rsidR="00D018C5" w:rsidRPr="008473BE" w:rsidRDefault="00D018C5" w:rsidP="00D018C5">
      <w:pPr>
        <w:pBdr>
          <w:top w:val="single" w:sz="4" w:space="4" w:color="auto"/>
          <w:left w:val="single" w:sz="4" w:space="4" w:color="auto"/>
          <w:bottom w:val="single" w:sz="4" w:space="4" w:color="auto"/>
          <w:right w:val="single" w:sz="4" w:space="4" w:color="auto"/>
        </w:pBdr>
        <w:rPr>
          <w:rFonts w:asciiTheme="majorHAnsi" w:hAnsiTheme="majorHAnsi" w:cstheme="majorHAnsi"/>
          <w:lang w:val="es-ES"/>
        </w:rPr>
      </w:pPr>
      <w:r w:rsidRPr="008473BE">
        <w:rPr>
          <w:rFonts w:asciiTheme="majorHAnsi" w:hAnsiTheme="majorHAnsi" w:cstheme="majorHAnsi"/>
          <w:lang w:val="es-ES"/>
        </w:rPr>
        <w:t xml:space="preserve">En este ámbito </w:t>
      </w:r>
      <w:r w:rsidR="00932657" w:rsidRPr="008473BE">
        <w:rPr>
          <w:rFonts w:asciiTheme="majorHAnsi" w:hAnsiTheme="majorHAnsi" w:cstheme="majorHAnsi"/>
          <w:lang w:val="es-ES"/>
        </w:rPr>
        <w:t>la Ley integral para el Reconocimiento, la Igualdad y la Promoción del Pueblo Gitano podría reforzar las</w:t>
      </w:r>
      <w:r w:rsidRPr="008473BE">
        <w:rPr>
          <w:rFonts w:asciiTheme="majorHAnsi" w:hAnsiTheme="majorHAnsi" w:cstheme="majorHAnsi"/>
          <w:lang w:val="es-ES"/>
        </w:rPr>
        <w:t xml:space="preserve"> medidas ya mencionadas</w:t>
      </w:r>
      <w:r w:rsidR="00932657" w:rsidRPr="008473BE">
        <w:rPr>
          <w:rFonts w:asciiTheme="majorHAnsi" w:hAnsiTheme="majorHAnsi" w:cstheme="majorHAnsi"/>
          <w:lang w:val="es-ES"/>
        </w:rPr>
        <w:t xml:space="preserve">, puesto que podría </w:t>
      </w:r>
      <w:r w:rsidR="00932657" w:rsidRPr="008473BE">
        <w:rPr>
          <w:rFonts w:asciiTheme="majorHAnsi" w:hAnsiTheme="majorHAnsi" w:cstheme="majorHAnsi"/>
          <w:b/>
          <w:bCs/>
          <w:lang w:val="es-ES"/>
        </w:rPr>
        <w:t xml:space="preserve">establecer un </w:t>
      </w:r>
      <w:r w:rsidRPr="008473BE">
        <w:rPr>
          <w:rFonts w:asciiTheme="majorHAnsi" w:hAnsiTheme="majorHAnsi" w:cstheme="majorHAnsi"/>
          <w:b/>
          <w:bCs/>
          <w:lang w:val="es-ES"/>
        </w:rPr>
        <w:t>sistema de co-gobernanza eficiente y en estrecha colaboración con las autoridades competentes</w:t>
      </w:r>
      <w:r w:rsidRPr="008473BE">
        <w:rPr>
          <w:rFonts w:asciiTheme="majorHAnsi" w:hAnsiTheme="majorHAnsi" w:cstheme="majorHAnsi"/>
          <w:lang w:val="es-ES"/>
        </w:rPr>
        <w:t xml:space="preserve"> en empleo de las Comunidades Autónomas, que son quienes tienen la responsabilidad última de la aplicación de las políticas de empleo. </w:t>
      </w:r>
    </w:p>
    <w:p w14:paraId="2ED2CC36" w14:textId="77777777" w:rsidR="00DB0582" w:rsidRPr="00BE7132" w:rsidRDefault="00DB0582" w:rsidP="00DB0582">
      <w:pPr>
        <w:pStyle w:val="Heading2"/>
        <w:rPr>
          <w:rFonts w:cstheme="majorHAnsi"/>
          <w:color w:val="ED7D31" w:themeColor="accent2"/>
          <w:lang w:val="es-ES"/>
        </w:rPr>
      </w:pPr>
      <w:r w:rsidRPr="00BE7132">
        <w:rPr>
          <w:rFonts w:cstheme="majorHAnsi"/>
          <w:color w:val="ED7D31" w:themeColor="accent2"/>
          <w:lang w:val="es-ES"/>
        </w:rPr>
        <w:t>Discriminación interseccional</w:t>
      </w:r>
    </w:p>
    <w:p w14:paraId="67F0FA59" w14:textId="176F6F71" w:rsidR="00DB0582" w:rsidRPr="00BE7132" w:rsidRDefault="00DB0582" w:rsidP="00DB0582">
      <w:pPr>
        <w:jc w:val="both"/>
        <w:rPr>
          <w:rFonts w:asciiTheme="majorHAnsi" w:hAnsiTheme="majorHAnsi" w:cstheme="majorHAnsi"/>
          <w:lang w:val="es-ES"/>
        </w:rPr>
      </w:pPr>
      <w:r w:rsidRPr="008473BE">
        <w:rPr>
          <w:rFonts w:asciiTheme="majorHAnsi" w:hAnsiTheme="majorHAnsi" w:cstheme="majorHAnsi"/>
          <w:lang w:val="es-ES"/>
        </w:rPr>
        <w:t xml:space="preserve">Como ya tuvimos ocasión de explicar en nuestro informe paralelo, las </w:t>
      </w:r>
      <w:r w:rsidRPr="00BE7132">
        <w:rPr>
          <w:rFonts w:asciiTheme="majorHAnsi" w:hAnsiTheme="majorHAnsi" w:cstheme="majorHAnsi"/>
          <w:lang w:val="es-ES"/>
        </w:rPr>
        <w:t>mujeres gitanas sufren una discriminación interseccional, que puede agravarse si se dan otros factores como la orientación sexual, la situación económica, la condición de migrantes (mujeres gitanas del Este de Europa) o algún tipo de discapacidad. En efecto, las mujeres y niñas gitanas enfrentan situaciones que no afectan en la misma medida a los varones gitanos o a las mujeres que no son gitanas, tales como la persecución en supermercados y centros comerciales, la denegación de pensión de viudedad por haberse casado por el rito gitano, la falta de expectativas en el sistema educativo o la falta de protección de las mujeres víctimas de violencia de género</w:t>
      </w:r>
      <w:r w:rsidRPr="00BE7132">
        <w:rPr>
          <w:rFonts w:asciiTheme="majorHAnsi" w:hAnsiTheme="majorHAnsi" w:cstheme="majorHAnsi"/>
          <w:vertAlign w:val="superscript"/>
          <w:lang w:val="es-ES"/>
        </w:rPr>
        <w:footnoteReference w:id="2"/>
      </w:r>
      <w:r w:rsidRPr="00BE7132">
        <w:rPr>
          <w:rFonts w:asciiTheme="majorHAnsi" w:hAnsiTheme="majorHAnsi" w:cstheme="majorHAnsi"/>
          <w:lang w:val="es-ES"/>
        </w:rPr>
        <w:t>. Si bien la Ley Integral de Igualdad de Trato y no Discriminación</w:t>
      </w:r>
      <w:r w:rsidRPr="00BE7132">
        <w:rPr>
          <w:rFonts w:asciiTheme="majorHAnsi" w:hAnsiTheme="majorHAnsi" w:cstheme="majorHAnsi"/>
          <w:vertAlign w:val="superscript"/>
          <w:lang w:val="es-ES"/>
        </w:rPr>
        <w:footnoteReference w:id="3"/>
      </w:r>
      <w:r w:rsidRPr="00BE7132">
        <w:rPr>
          <w:rFonts w:asciiTheme="majorHAnsi" w:hAnsiTheme="majorHAnsi" w:cstheme="majorHAnsi"/>
          <w:lang w:val="es-ES"/>
        </w:rPr>
        <w:t xml:space="preserve"> contempla la discriminación múltiple o interseccional, lo cierto es que todavía no se está aplicando dicha Ley, ni se está teniendo en cuenta esta forma de discriminación en el diseño de políticas públicas.</w:t>
      </w:r>
    </w:p>
    <w:tbl>
      <w:tblPr>
        <w:tblStyle w:val="TableGrid"/>
        <w:tblW w:w="0" w:type="auto"/>
        <w:shd w:val="clear" w:color="auto" w:fill="FFFFFF" w:themeFill="background1"/>
        <w:tblLook w:val="04A0" w:firstRow="1" w:lastRow="0" w:firstColumn="1" w:lastColumn="0" w:noHBand="0" w:noVBand="1"/>
      </w:tblPr>
      <w:tblGrid>
        <w:gridCol w:w="8488"/>
      </w:tblGrid>
      <w:tr w:rsidR="00DB0582" w:rsidRPr="00BE7132" w14:paraId="642F049E" w14:textId="77777777" w:rsidTr="00DB0582">
        <w:tc>
          <w:tcPr>
            <w:tcW w:w="8488" w:type="dxa"/>
            <w:shd w:val="clear" w:color="auto" w:fill="FFFFFF" w:themeFill="background1"/>
            <w:hideMark/>
          </w:tcPr>
          <w:p w14:paraId="22C11428" w14:textId="561D8872" w:rsidR="00DB0582" w:rsidRPr="00BE7132" w:rsidRDefault="00DB0582" w:rsidP="00E83033">
            <w:pPr>
              <w:spacing w:after="160" w:line="259" w:lineRule="auto"/>
              <w:jc w:val="both"/>
              <w:rPr>
                <w:rFonts w:asciiTheme="majorHAnsi" w:hAnsiTheme="majorHAnsi" w:cstheme="majorHAnsi"/>
                <w:lang w:val="es-ES"/>
              </w:rPr>
            </w:pPr>
            <w:r w:rsidRPr="008473BE">
              <w:rPr>
                <w:rFonts w:asciiTheme="majorHAnsi" w:hAnsiTheme="majorHAnsi" w:cstheme="majorHAnsi"/>
                <w:b/>
                <w:bCs/>
                <w:lang w:val="es-ES"/>
              </w:rPr>
              <w:t>La Ley Integral para el Reconocimiento, la Igualdad y la Promoción del Pueblo Gitano contribuiría enormemente a</w:t>
            </w:r>
            <w:r w:rsidRPr="00BE7132">
              <w:rPr>
                <w:rFonts w:asciiTheme="majorHAnsi" w:hAnsiTheme="majorHAnsi" w:cstheme="majorHAnsi"/>
                <w:b/>
                <w:bCs/>
                <w:lang w:val="es-ES"/>
              </w:rPr>
              <w:t xml:space="preserve"> </w:t>
            </w:r>
            <w:r w:rsidRPr="008473BE">
              <w:rPr>
                <w:rFonts w:asciiTheme="majorHAnsi" w:hAnsiTheme="majorHAnsi" w:cstheme="majorHAnsi"/>
                <w:b/>
                <w:bCs/>
                <w:lang w:val="es-ES"/>
              </w:rPr>
              <w:t>prevenir, sancionar y reparar todos los incidentes discriminatorios</w:t>
            </w:r>
            <w:r w:rsidRPr="00BE7132">
              <w:rPr>
                <w:rFonts w:asciiTheme="majorHAnsi" w:hAnsiTheme="majorHAnsi" w:cstheme="majorHAnsi"/>
                <w:lang w:val="es-ES"/>
              </w:rPr>
              <w:t xml:space="preserve"> y </w:t>
            </w:r>
            <w:r w:rsidRPr="008473BE">
              <w:rPr>
                <w:rFonts w:asciiTheme="majorHAnsi" w:hAnsiTheme="majorHAnsi" w:cstheme="majorHAnsi"/>
                <w:lang w:val="es-ES"/>
              </w:rPr>
              <w:t>a</w:t>
            </w:r>
            <w:r w:rsidRPr="00BE7132">
              <w:rPr>
                <w:rFonts w:asciiTheme="majorHAnsi" w:hAnsiTheme="majorHAnsi" w:cstheme="majorHAnsi"/>
                <w:lang w:val="es-ES"/>
              </w:rPr>
              <w:t xml:space="preserve"> proteger a las víctimas de </w:t>
            </w:r>
            <w:r w:rsidRPr="008473BE">
              <w:rPr>
                <w:rFonts w:asciiTheme="majorHAnsi" w:hAnsiTheme="majorHAnsi" w:cstheme="majorHAnsi"/>
                <w:lang w:val="es-ES"/>
              </w:rPr>
              <w:t xml:space="preserve">discriminación interseccional de </w:t>
            </w:r>
            <w:r w:rsidRPr="00BE7132">
              <w:rPr>
                <w:rFonts w:asciiTheme="majorHAnsi" w:hAnsiTheme="majorHAnsi" w:cstheme="majorHAnsi"/>
                <w:lang w:val="es-ES"/>
              </w:rPr>
              <w:t xml:space="preserve">manera adecuada, </w:t>
            </w:r>
            <w:r w:rsidRPr="008473BE">
              <w:rPr>
                <w:rFonts w:asciiTheme="majorHAnsi" w:hAnsiTheme="majorHAnsi" w:cstheme="majorHAnsi"/>
                <w:lang w:val="es-ES"/>
              </w:rPr>
              <w:t>esto es,</w:t>
            </w:r>
            <w:r w:rsidRPr="00BE7132">
              <w:rPr>
                <w:rFonts w:asciiTheme="majorHAnsi" w:hAnsiTheme="majorHAnsi" w:cstheme="majorHAnsi"/>
                <w:lang w:val="es-ES"/>
              </w:rPr>
              <w:t xml:space="preserve"> de una forma proporcional a </w:t>
            </w:r>
            <w:r w:rsidRPr="008473BE">
              <w:rPr>
                <w:rFonts w:asciiTheme="majorHAnsi" w:hAnsiTheme="majorHAnsi" w:cstheme="majorHAnsi"/>
                <w:lang w:val="es-ES"/>
              </w:rPr>
              <w:t>su mayor impacto dada la vulnerabilidad de las víctimas</w:t>
            </w:r>
            <w:r w:rsidRPr="00BE7132">
              <w:rPr>
                <w:rFonts w:asciiTheme="majorHAnsi" w:hAnsiTheme="majorHAnsi" w:cstheme="majorHAnsi"/>
                <w:lang w:val="es-ES"/>
              </w:rPr>
              <w:t xml:space="preserve">. </w:t>
            </w:r>
          </w:p>
        </w:tc>
      </w:tr>
    </w:tbl>
    <w:p w14:paraId="2AE336FC" w14:textId="77777777" w:rsidR="00932657" w:rsidRPr="008473BE" w:rsidRDefault="00932657" w:rsidP="00932657">
      <w:pPr>
        <w:rPr>
          <w:rFonts w:asciiTheme="majorHAnsi" w:hAnsiTheme="majorHAnsi" w:cstheme="majorHAnsi"/>
          <w:lang w:val="es-ES"/>
        </w:rPr>
      </w:pPr>
    </w:p>
    <w:p w14:paraId="626FBFDE" w14:textId="07C8514A" w:rsidR="00D80F47" w:rsidRPr="008473BE" w:rsidRDefault="00D018C5" w:rsidP="00D018C5">
      <w:pPr>
        <w:pStyle w:val="Heading2"/>
        <w:rPr>
          <w:rFonts w:cstheme="majorHAnsi"/>
          <w:color w:val="ED7D31" w:themeColor="accent2"/>
          <w:lang w:val="es-ES"/>
        </w:rPr>
      </w:pPr>
      <w:r w:rsidRPr="008473BE">
        <w:rPr>
          <w:rFonts w:cstheme="majorHAnsi"/>
          <w:color w:val="ED7D31" w:themeColor="accent2"/>
          <w:lang w:val="es-ES"/>
        </w:rPr>
        <w:t>Violencia contra la mujer</w:t>
      </w:r>
    </w:p>
    <w:p w14:paraId="504846FF" w14:textId="2C525B79" w:rsidR="00D018C5" w:rsidRPr="00D018C5" w:rsidRDefault="00932657" w:rsidP="00D018C5">
      <w:pPr>
        <w:rPr>
          <w:rFonts w:asciiTheme="majorHAnsi" w:hAnsiTheme="majorHAnsi" w:cstheme="majorHAnsi"/>
          <w:lang w:val="es-ES"/>
        </w:rPr>
      </w:pPr>
      <w:r w:rsidRPr="008473BE">
        <w:rPr>
          <w:rFonts w:asciiTheme="majorHAnsi" w:hAnsiTheme="majorHAnsi" w:cstheme="majorHAnsi"/>
          <w:lang w:val="es-ES"/>
        </w:rPr>
        <w:t>En el ámbito de la violencia contra las mujeres gitanas nos</w:t>
      </w:r>
      <w:r w:rsidR="00D018C5" w:rsidRPr="00D018C5">
        <w:rPr>
          <w:rFonts w:asciiTheme="majorHAnsi" w:hAnsiTheme="majorHAnsi" w:cstheme="majorHAnsi"/>
          <w:lang w:val="es-ES"/>
        </w:rPr>
        <w:t xml:space="preserve"> parece muy relevante subrayar, como un avance positivo desde que se realizó el anterior examen, el nuevo Pacto de Estado contra la Violencia de Género aprobado en 2025 incorporando, por primera vez de manera expresa, el reconocimiento de la situación específica de las mujeres gitanas y de las formas interseccionales de discriminación que enfrentan por razón de género y pertenencia étnica. El nuevo texto amplía el enfoque del Pacto de 2017 e incluye medidas orientadas a garantizar una respuesta institucional adaptada a las necesidades de las mujeres gitanas víctimas de violencia de género. </w:t>
      </w:r>
    </w:p>
    <w:p w14:paraId="7FD87E06" w14:textId="77777777" w:rsidR="00D018C5" w:rsidRPr="00D018C5" w:rsidRDefault="00D018C5" w:rsidP="00D018C5">
      <w:pPr>
        <w:rPr>
          <w:rFonts w:asciiTheme="majorHAnsi" w:hAnsiTheme="majorHAnsi" w:cstheme="majorHAnsi"/>
          <w:lang w:val="es-ES"/>
        </w:rPr>
      </w:pPr>
      <w:r w:rsidRPr="00D018C5">
        <w:rPr>
          <w:rFonts w:asciiTheme="majorHAnsi" w:hAnsiTheme="majorHAnsi" w:cstheme="majorHAnsi"/>
          <w:lang w:val="es-ES"/>
        </w:rPr>
        <w:t>Entre las principales medidas destacan:</w:t>
      </w:r>
    </w:p>
    <w:p w14:paraId="2F67A0C5" w14:textId="77777777" w:rsidR="00D018C5" w:rsidRPr="008473BE" w:rsidRDefault="00D018C5" w:rsidP="00932657">
      <w:pPr>
        <w:pStyle w:val="ListParagraph"/>
        <w:numPr>
          <w:ilvl w:val="0"/>
          <w:numId w:val="5"/>
        </w:numPr>
        <w:rPr>
          <w:rFonts w:asciiTheme="majorHAnsi" w:hAnsiTheme="majorHAnsi" w:cstheme="majorHAnsi"/>
        </w:rPr>
      </w:pPr>
      <w:r w:rsidRPr="008473BE">
        <w:rPr>
          <w:rFonts w:asciiTheme="majorHAnsi" w:hAnsiTheme="majorHAnsi" w:cstheme="majorHAnsi"/>
        </w:rPr>
        <w:t xml:space="preserve">El reconocimiento institucional de la discriminación interseccional y del antigitanismo como factores que dificultan el acceso de las mujeres gitanas a la protección, la justicia y los recursos especializados. </w:t>
      </w:r>
    </w:p>
    <w:p w14:paraId="358F7152" w14:textId="460867E3" w:rsidR="00D018C5" w:rsidRPr="008473BE" w:rsidRDefault="00D018C5" w:rsidP="00932657">
      <w:pPr>
        <w:pStyle w:val="ListParagraph"/>
        <w:numPr>
          <w:ilvl w:val="0"/>
          <w:numId w:val="5"/>
        </w:numPr>
        <w:rPr>
          <w:rFonts w:asciiTheme="majorHAnsi" w:hAnsiTheme="majorHAnsi" w:cstheme="majorHAnsi"/>
        </w:rPr>
      </w:pPr>
      <w:r w:rsidRPr="008473BE">
        <w:rPr>
          <w:rFonts w:asciiTheme="majorHAnsi" w:hAnsiTheme="majorHAnsi" w:cstheme="majorHAnsi"/>
        </w:rPr>
        <w:t xml:space="preserve">La incorporación de actuaciones específicas de sensibilización y prevención culturalmente adaptadas. </w:t>
      </w:r>
    </w:p>
    <w:p w14:paraId="5AFB22C4" w14:textId="4B864D93" w:rsidR="00D018C5" w:rsidRPr="008473BE" w:rsidRDefault="00D018C5" w:rsidP="00932657">
      <w:pPr>
        <w:pStyle w:val="ListParagraph"/>
        <w:numPr>
          <w:ilvl w:val="0"/>
          <w:numId w:val="5"/>
        </w:numPr>
        <w:rPr>
          <w:rFonts w:asciiTheme="majorHAnsi" w:hAnsiTheme="majorHAnsi" w:cstheme="majorHAnsi"/>
        </w:rPr>
      </w:pPr>
      <w:r w:rsidRPr="008473BE">
        <w:rPr>
          <w:rFonts w:asciiTheme="majorHAnsi" w:hAnsiTheme="majorHAnsi" w:cstheme="majorHAnsi"/>
        </w:rPr>
        <w:t xml:space="preserve">El refuerzo de la formación especializada de profesionales de servicios sociales, sanitarios, policiales y judiciales. </w:t>
      </w:r>
    </w:p>
    <w:p w14:paraId="6F719A15" w14:textId="0B4244E3" w:rsidR="00D018C5" w:rsidRPr="008473BE" w:rsidRDefault="00D018C5" w:rsidP="00932657">
      <w:pPr>
        <w:pStyle w:val="ListParagraph"/>
        <w:numPr>
          <w:ilvl w:val="0"/>
          <w:numId w:val="5"/>
        </w:numPr>
        <w:rPr>
          <w:rFonts w:asciiTheme="majorHAnsi" w:hAnsiTheme="majorHAnsi" w:cstheme="majorHAnsi"/>
        </w:rPr>
      </w:pPr>
      <w:r w:rsidRPr="008473BE">
        <w:rPr>
          <w:rFonts w:asciiTheme="majorHAnsi" w:hAnsiTheme="majorHAnsi" w:cstheme="majorHAnsi"/>
        </w:rPr>
        <w:t>El impulso de medidas destinadas a mejorar el acceso efectivo de las mujeres gitanas a los servicios de atención integral, protección, asistencia jurídica, apoyo psicológico y recursos habitacionales</w:t>
      </w:r>
      <w:r w:rsidR="00DB0582" w:rsidRPr="008473BE">
        <w:rPr>
          <w:rFonts w:asciiTheme="majorHAnsi" w:hAnsiTheme="majorHAnsi" w:cstheme="majorHAnsi"/>
        </w:rPr>
        <w:t>.</w:t>
      </w:r>
      <w:r w:rsidRPr="008473BE">
        <w:rPr>
          <w:rFonts w:asciiTheme="majorHAnsi" w:hAnsiTheme="majorHAnsi" w:cstheme="majorHAnsi"/>
        </w:rPr>
        <w:t xml:space="preserve"> </w:t>
      </w:r>
    </w:p>
    <w:p w14:paraId="74311282" w14:textId="654668F9" w:rsidR="00D018C5" w:rsidRPr="008473BE" w:rsidRDefault="00D018C5" w:rsidP="00932657">
      <w:pPr>
        <w:pStyle w:val="ListParagraph"/>
        <w:numPr>
          <w:ilvl w:val="0"/>
          <w:numId w:val="5"/>
        </w:numPr>
        <w:rPr>
          <w:rFonts w:asciiTheme="majorHAnsi" w:hAnsiTheme="majorHAnsi" w:cstheme="majorHAnsi"/>
          <w:b/>
          <w:bCs/>
        </w:rPr>
      </w:pPr>
      <w:r w:rsidRPr="008473BE">
        <w:rPr>
          <w:rFonts w:asciiTheme="majorHAnsi" w:hAnsiTheme="majorHAnsi" w:cstheme="majorHAnsi"/>
        </w:rPr>
        <w:t xml:space="preserve">La promoción de mecanismos de participación de entidades representativas del pueblo gitano en el seguimiento y evaluación de </w:t>
      </w:r>
      <w:r w:rsidR="008473BE">
        <w:rPr>
          <w:rFonts w:asciiTheme="majorHAnsi" w:hAnsiTheme="majorHAnsi" w:cstheme="majorHAnsi"/>
        </w:rPr>
        <w:t xml:space="preserve">estas </w:t>
      </w:r>
      <w:r w:rsidRPr="008473BE">
        <w:rPr>
          <w:rFonts w:asciiTheme="majorHAnsi" w:hAnsiTheme="majorHAnsi" w:cstheme="majorHAnsi"/>
        </w:rPr>
        <w:t xml:space="preserve">políticas públicas. </w:t>
      </w:r>
    </w:p>
    <w:tbl>
      <w:tblPr>
        <w:tblStyle w:val="TableGrid"/>
        <w:tblW w:w="0" w:type="auto"/>
        <w:tblLook w:val="04A0" w:firstRow="1" w:lastRow="0" w:firstColumn="1" w:lastColumn="0" w:noHBand="0" w:noVBand="1"/>
      </w:tblPr>
      <w:tblGrid>
        <w:gridCol w:w="8494"/>
      </w:tblGrid>
      <w:tr w:rsidR="00BC6FCF" w:rsidRPr="008473BE" w14:paraId="7C7FCA53" w14:textId="77777777" w:rsidTr="00BC6FCF">
        <w:tc>
          <w:tcPr>
            <w:tcW w:w="8494" w:type="dxa"/>
          </w:tcPr>
          <w:p w14:paraId="062CB747" w14:textId="77777777" w:rsidR="00BC6FCF" w:rsidRPr="008473BE" w:rsidRDefault="00BC6FCF" w:rsidP="002B0CB4">
            <w:pPr>
              <w:rPr>
                <w:rFonts w:asciiTheme="majorHAnsi" w:hAnsiTheme="majorHAnsi" w:cstheme="majorHAnsi"/>
                <w:lang w:val="es-ES"/>
              </w:rPr>
            </w:pPr>
            <w:r w:rsidRPr="00D018C5">
              <w:rPr>
                <w:rFonts w:asciiTheme="majorHAnsi" w:hAnsiTheme="majorHAnsi" w:cstheme="majorHAnsi"/>
                <w:lang w:val="es-ES"/>
              </w:rPr>
              <w:t xml:space="preserve">No obstante, </w:t>
            </w:r>
            <w:r w:rsidRPr="00D018C5">
              <w:rPr>
                <w:rFonts w:asciiTheme="majorHAnsi" w:hAnsiTheme="majorHAnsi" w:cstheme="majorHAnsi"/>
                <w:b/>
                <w:bCs/>
                <w:lang w:val="es-ES"/>
              </w:rPr>
              <w:t>persisten desafíos relevantes en relación con la implementación efectiva de estas medidas</w:t>
            </w:r>
            <w:r w:rsidRPr="008473BE">
              <w:rPr>
                <w:rFonts w:asciiTheme="majorHAnsi" w:hAnsiTheme="majorHAnsi" w:cstheme="majorHAnsi"/>
                <w:b/>
                <w:bCs/>
                <w:lang w:val="es-ES"/>
              </w:rPr>
              <w:t>, que también podrían superarse con la aprobación de la Ley integral para el Reconocimiento, la Igualdad y la Promoción del Pueblo Gitano</w:t>
            </w:r>
            <w:r w:rsidRPr="008473BE">
              <w:rPr>
                <w:rFonts w:asciiTheme="majorHAnsi" w:hAnsiTheme="majorHAnsi" w:cstheme="majorHAnsi"/>
                <w:lang w:val="es-ES"/>
              </w:rPr>
              <w:t xml:space="preserve">: </w:t>
            </w:r>
            <w:r w:rsidRPr="00D018C5">
              <w:rPr>
                <w:rFonts w:asciiTheme="majorHAnsi" w:hAnsiTheme="majorHAnsi" w:cstheme="majorHAnsi"/>
                <w:lang w:val="es-ES"/>
              </w:rPr>
              <w:t>la ausencia de indicadores específicos y de datos desagregados que permitan evaluar el impacto real de las políticas sobre las mujeres gitanas</w:t>
            </w:r>
            <w:r w:rsidRPr="008473BE">
              <w:rPr>
                <w:rFonts w:asciiTheme="majorHAnsi" w:hAnsiTheme="majorHAnsi" w:cstheme="majorHAnsi"/>
                <w:lang w:val="es-ES"/>
              </w:rPr>
              <w:t>, l</w:t>
            </w:r>
            <w:r w:rsidRPr="00D018C5">
              <w:rPr>
                <w:rFonts w:asciiTheme="majorHAnsi" w:hAnsiTheme="majorHAnsi" w:cstheme="majorHAnsi"/>
                <w:lang w:val="es-ES"/>
              </w:rPr>
              <w:t>a insuficiente financiación estructural de programas especializados desarrollados por organizaciones sociales específica</w:t>
            </w:r>
            <w:r w:rsidRPr="008473BE">
              <w:rPr>
                <w:rFonts w:asciiTheme="majorHAnsi" w:hAnsiTheme="majorHAnsi" w:cstheme="majorHAnsi"/>
                <w:lang w:val="es-ES"/>
              </w:rPr>
              <w:t>s y</w:t>
            </w:r>
            <w:r w:rsidRPr="00D018C5">
              <w:rPr>
                <w:rFonts w:asciiTheme="majorHAnsi" w:hAnsiTheme="majorHAnsi" w:cstheme="majorHAnsi"/>
                <w:lang w:val="es-ES"/>
              </w:rPr>
              <w:t xml:space="preserve"> los mecanismos de coordinación entre administraciones públicas y garantizar que el enfoque interseccional se traduzca en protocolos operativos concretos en todos los niveles territoriales. </w:t>
            </w:r>
          </w:p>
        </w:tc>
      </w:tr>
    </w:tbl>
    <w:p w14:paraId="5D11645E" w14:textId="77777777" w:rsidR="00D018C5" w:rsidRPr="008473BE" w:rsidRDefault="00D018C5" w:rsidP="00D80F47">
      <w:pPr>
        <w:rPr>
          <w:rFonts w:asciiTheme="majorHAnsi" w:hAnsiTheme="majorHAnsi" w:cstheme="majorHAnsi"/>
          <w:lang w:val="es-ES"/>
        </w:rPr>
      </w:pPr>
    </w:p>
    <w:p w14:paraId="737C2532" w14:textId="05123EA8" w:rsidR="00D018C5" w:rsidRPr="008473BE" w:rsidRDefault="00D018C5" w:rsidP="00D018C5">
      <w:pPr>
        <w:pStyle w:val="Heading2"/>
        <w:rPr>
          <w:rFonts w:cstheme="majorHAnsi"/>
          <w:color w:val="ED7D31" w:themeColor="accent2"/>
          <w:lang w:val="es-ES"/>
        </w:rPr>
      </w:pPr>
      <w:r w:rsidRPr="008473BE">
        <w:rPr>
          <w:rFonts w:cstheme="majorHAnsi"/>
          <w:color w:val="ED7D31" w:themeColor="accent2"/>
          <w:lang w:val="es-ES"/>
        </w:rPr>
        <w:t>Estereotipos antigitanos y de género</w:t>
      </w:r>
      <w:r w:rsidR="002C0B15" w:rsidRPr="008473BE">
        <w:rPr>
          <w:rFonts w:cstheme="majorHAnsi"/>
          <w:color w:val="ED7D31" w:themeColor="accent2"/>
          <w:lang w:val="es-ES"/>
        </w:rPr>
        <w:t xml:space="preserve"> en casos de agresiones sexuales</w:t>
      </w:r>
    </w:p>
    <w:p w14:paraId="0F6C1796" w14:textId="6F3C4D71" w:rsidR="008473BE" w:rsidRPr="008473BE" w:rsidRDefault="008473BE" w:rsidP="008473BE">
      <w:pPr>
        <w:rPr>
          <w:rFonts w:asciiTheme="majorHAnsi" w:hAnsiTheme="majorHAnsi" w:cstheme="majorHAnsi"/>
          <w:lang w:val="es-ES"/>
        </w:rPr>
      </w:pPr>
      <w:r w:rsidRPr="008473BE">
        <w:rPr>
          <w:rFonts w:asciiTheme="majorHAnsi" w:hAnsiTheme="majorHAnsi" w:cstheme="majorHAnsi"/>
          <w:lang w:val="es-ES"/>
        </w:rPr>
        <w:t>Como ya señalamos en el informe alternativo presentado junto con Save the Children durante el último examen de España ante el Comité de los Derechos del Niño</w:t>
      </w:r>
      <w:r w:rsidRPr="008473BE">
        <w:rPr>
          <w:rStyle w:val="FootnoteReference"/>
          <w:rFonts w:asciiTheme="majorHAnsi" w:hAnsiTheme="majorHAnsi" w:cstheme="majorHAnsi"/>
          <w:lang w:val="es-ES"/>
        </w:rPr>
        <w:footnoteReference w:id="4"/>
      </w:r>
      <w:r w:rsidRPr="008473BE">
        <w:rPr>
          <w:rFonts w:asciiTheme="majorHAnsi" w:hAnsiTheme="majorHAnsi" w:cstheme="majorHAnsi"/>
          <w:lang w:val="es-ES"/>
        </w:rPr>
        <w:t>, en los últimos años se han dictado sentencias que aplican esta exención o reducción de la responsabilidad penal en casos en los que la víctima era una niña gitana, incluso de 12 años, y el agresor, también gitano, tenía entre 18 y 24 años. La diferencia de edad oscilaba entre 5 y 12 años.</w:t>
      </w:r>
    </w:p>
    <w:p w14:paraId="56EF50AD" w14:textId="7773DF55" w:rsidR="008473BE" w:rsidRDefault="008473BE" w:rsidP="003B71EA">
      <w:pPr>
        <w:rPr>
          <w:rFonts w:asciiTheme="majorHAnsi" w:hAnsiTheme="majorHAnsi" w:cstheme="majorHAnsi"/>
          <w:lang w:val="es-ES"/>
        </w:rPr>
      </w:pPr>
      <w:r w:rsidRPr="008473BE">
        <w:rPr>
          <w:rFonts w:asciiTheme="majorHAnsi" w:hAnsiTheme="majorHAnsi" w:cstheme="majorHAnsi"/>
          <w:lang w:val="es-ES"/>
        </w:rPr>
        <w:t>Además de la gravedad que supone esta interpretación, estas resoluciones incorporan un elemento adicional de discriminación. En ellas se sostiene, de forma errónea y basada en estereotipos antigitanos, que las relaciones de pareja, los matrimonios y las relaciones sexuales a edades tempranas, así como las diferencias de edad entre mujeres y hombres, son habituales entre la población gitana. Sobre la base de este supuesto componente cultural, los tribunales justifican la aplicación de la exención de responsabilidad penal. En algunos casos, esta se aplica de forma completa y, en otros, como circunstancia atenuante, reduciendo la pena impuesta.</w:t>
      </w:r>
    </w:p>
    <w:p w14:paraId="2D306574" w14:textId="2526DF5D" w:rsidR="003B2599" w:rsidRPr="008473BE" w:rsidRDefault="00C71727" w:rsidP="001D6CF9">
      <w:pPr>
        <w:rPr>
          <w:rFonts w:asciiTheme="majorHAnsi" w:hAnsiTheme="majorHAnsi" w:cstheme="majorHAnsi"/>
          <w:lang w:val="es-ES"/>
        </w:rPr>
      </w:pPr>
      <w:r w:rsidRPr="008473BE">
        <w:rPr>
          <w:rFonts w:asciiTheme="majorHAnsi" w:hAnsiTheme="majorHAnsi" w:cstheme="majorHAnsi"/>
          <w:lang w:val="es-ES"/>
        </w:rPr>
        <w:t xml:space="preserve">Se trata, en definitiva, de estereotipos judiciales que, además de partir de una concepción prejuiciosa y falsa sobre la comunidad gitana, incurren en una desprotección de niñas y adolescentes </w:t>
      </w:r>
      <w:r w:rsidR="006D0324" w:rsidRPr="008473BE">
        <w:rPr>
          <w:rFonts w:asciiTheme="majorHAnsi" w:hAnsiTheme="majorHAnsi" w:cstheme="majorHAnsi"/>
          <w:lang w:val="es-ES"/>
        </w:rPr>
        <w:t>víctimas de violencia sexual</w:t>
      </w:r>
      <w:r w:rsidR="008473BE">
        <w:rPr>
          <w:rFonts w:asciiTheme="majorHAnsi" w:hAnsiTheme="majorHAnsi" w:cstheme="majorHAnsi"/>
          <w:lang w:val="es-ES"/>
        </w:rPr>
        <w:t>.</w:t>
      </w:r>
    </w:p>
    <w:tbl>
      <w:tblPr>
        <w:tblStyle w:val="TableGrid"/>
        <w:tblW w:w="0" w:type="auto"/>
        <w:tblLook w:val="04A0" w:firstRow="1" w:lastRow="0" w:firstColumn="1" w:lastColumn="0" w:noHBand="0" w:noVBand="1"/>
      </w:tblPr>
      <w:tblGrid>
        <w:gridCol w:w="8494"/>
      </w:tblGrid>
      <w:tr w:rsidR="00B75C82" w:rsidRPr="008473BE" w14:paraId="62743948" w14:textId="77777777" w:rsidTr="00B75C82">
        <w:tc>
          <w:tcPr>
            <w:tcW w:w="8494" w:type="dxa"/>
          </w:tcPr>
          <w:p w14:paraId="76F34D96" w14:textId="42DE738A" w:rsidR="00B75C82" w:rsidRPr="008473BE" w:rsidRDefault="00785F88" w:rsidP="009A3B0D">
            <w:pPr>
              <w:rPr>
                <w:rFonts w:asciiTheme="majorHAnsi" w:hAnsiTheme="majorHAnsi" w:cstheme="majorHAnsi"/>
                <w:lang w:val="es-ES"/>
              </w:rPr>
            </w:pPr>
            <w:r w:rsidRPr="008473BE">
              <w:rPr>
                <w:rFonts w:asciiTheme="majorHAnsi" w:hAnsiTheme="majorHAnsi" w:cstheme="majorHAnsi"/>
                <w:lang w:val="es-ES"/>
              </w:rPr>
              <w:t xml:space="preserve">En este ámbito también consideramos que </w:t>
            </w:r>
            <w:r w:rsidR="00C37D1C" w:rsidRPr="008473BE">
              <w:rPr>
                <w:rFonts w:asciiTheme="majorHAnsi" w:hAnsiTheme="majorHAnsi" w:cstheme="majorHAnsi"/>
                <w:b/>
                <w:bCs/>
                <w:lang w:val="es-ES"/>
              </w:rPr>
              <w:t>la Ley integral para el Reconocimiento, la Igualdad y la Promoción del Pueblo Gitano también puede contribuir a superar estos estereotipos que están en la base de vulneración de derechos de las niñas y adolescentes gitanas víctimas de violencia sexual</w:t>
            </w:r>
            <w:r w:rsidR="00C37D1C" w:rsidRPr="008473BE">
              <w:rPr>
                <w:rFonts w:asciiTheme="majorHAnsi" w:hAnsiTheme="majorHAnsi" w:cstheme="majorHAnsi"/>
                <w:lang w:val="es-ES"/>
              </w:rPr>
              <w:t>:</w:t>
            </w:r>
          </w:p>
          <w:p w14:paraId="1471A97B" w14:textId="77777777" w:rsidR="00B75C82" w:rsidRPr="008473BE" w:rsidRDefault="00B75C82" w:rsidP="009A3B0D">
            <w:pPr>
              <w:rPr>
                <w:rFonts w:asciiTheme="majorHAnsi" w:hAnsiTheme="majorHAnsi" w:cstheme="majorHAnsi"/>
                <w:lang w:val="es-ES"/>
              </w:rPr>
            </w:pPr>
          </w:p>
          <w:p w14:paraId="26031871" w14:textId="2706B0C7" w:rsidR="00B75C82" w:rsidRPr="008473BE" w:rsidRDefault="00C37D1C" w:rsidP="00B75C82">
            <w:pPr>
              <w:numPr>
                <w:ilvl w:val="0"/>
                <w:numId w:val="2"/>
              </w:numPr>
              <w:rPr>
                <w:rFonts w:asciiTheme="majorHAnsi" w:hAnsiTheme="majorHAnsi" w:cstheme="majorHAnsi"/>
                <w:lang w:val="es-ES"/>
              </w:rPr>
            </w:pPr>
            <w:r w:rsidRPr="008473BE">
              <w:rPr>
                <w:rFonts w:asciiTheme="majorHAnsi" w:hAnsiTheme="majorHAnsi" w:cstheme="majorHAnsi"/>
                <w:lang w:val="es-ES"/>
              </w:rPr>
              <w:t>Impulsando la capacitación de</w:t>
            </w:r>
            <w:r w:rsidR="00B75C82" w:rsidRPr="008473BE">
              <w:rPr>
                <w:rFonts w:asciiTheme="majorHAnsi" w:hAnsiTheme="majorHAnsi" w:cstheme="majorHAnsi"/>
                <w:lang w:val="es-ES"/>
              </w:rPr>
              <w:t xml:space="preserve"> todos los operadores jurídicos para evitar el uso de estereotipos antigitanos de género y</w:t>
            </w:r>
            <w:r w:rsidRPr="008473BE">
              <w:rPr>
                <w:rFonts w:asciiTheme="majorHAnsi" w:hAnsiTheme="majorHAnsi" w:cstheme="majorHAnsi"/>
                <w:lang w:val="es-ES"/>
              </w:rPr>
              <w:t xml:space="preserve"> la aplicación</w:t>
            </w:r>
            <w:r w:rsidR="00B75C82" w:rsidRPr="008473BE">
              <w:rPr>
                <w:rFonts w:asciiTheme="majorHAnsi" w:hAnsiTheme="majorHAnsi" w:cstheme="majorHAnsi"/>
                <w:lang w:val="es-ES"/>
              </w:rPr>
              <w:t>, sin discriminación y con rigor, los estándares de derechos humanos en lo que respecta a la protección a la infancia en casos de violencia sexual.</w:t>
            </w:r>
          </w:p>
          <w:p w14:paraId="1F3B5A2C" w14:textId="77777777" w:rsidR="00B75C82" w:rsidRPr="008473BE" w:rsidRDefault="00B75C82" w:rsidP="00B75C82">
            <w:pPr>
              <w:ind w:left="720"/>
              <w:rPr>
                <w:rFonts w:asciiTheme="majorHAnsi" w:hAnsiTheme="majorHAnsi" w:cstheme="majorHAnsi"/>
                <w:lang w:val="es-ES"/>
              </w:rPr>
            </w:pPr>
          </w:p>
          <w:p w14:paraId="637F57F7" w14:textId="6047638B" w:rsidR="00B75C82" w:rsidRPr="008473BE" w:rsidRDefault="00B75C82" w:rsidP="00B75C82">
            <w:pPr>
              <w:numPr>
                <w:ilvl w:val="0"/>
                <w:numId w:val="2"/>
              </w:numPr>
              <w:rPr>
                <w:rFonts w:asciiTheme="majorHAnsi" w:hAnsiTheme="majorHAnsi" w:cstheme="majorHAnsi"/>
                <w:lang w:val="es-ES"/>
              </w:rPr>
            </w:pPr>
            <w:r w:rsidRPr="008473BE">
              <w:rPr>
                <w:rFonts w:asciiTheme="majorHAnsi" w:hAnsiTheme="majorHAnsi" w:cstheme="majorHAnsi"/>
                <w:lang w:val="es-ES"/>
              </w:rPr>
              <w:t>Garantiza</w:t>
            </w:r>
            <w:r w:rsidR="00C37D1C" w:rsidRPr="008473BE">
              <w:rPr>
                <w:rFonts w:asciiTheme="majorHAnsi" w:hAnsiTheme="majorHAnsi" w:cstheme="majorHAnsi"/>
                <w:lang w:val="es-ES"/>
              </w:rPr>
              <w:t>ndo</w:t>
            </w:r>
            <w:r w:rsidRPr="008473BE">
              <w:rPr>
                <w:rFonts w:asciiTheme="majorHAnsi" w:hAnsiTheme="majorHAnsi" w:cstheme="majorHAnsi"/>
                <w:lang w:val="es-ES"/>
              </w:rPr>
              <w:t xml:space="preserve"> que todas las administraciones competentes activen los mecanismos de protección a la infancia siempre que se detecten casos de agresiones sexuales a menores gitanas, proporcionando también la formación necesaria a todos sus integrantes.</w:t>
            </w:r>
          </w:p>
          <w:p w14:paraId="4B0F2C62" w14:textId="77777777" w:rsidR="00B75C82" w:rsidRPr="008473BE" w:rsidRDefault="00B75C82" w:rsidP="00B75C82">
            <w:pPr>
              <w:ind w:left="720"/>
              <w:rPr>
                <w:rFonts w:asciiTheme="majorHAnsi" w:hAnsiTheme="majorHAnsi" w:cstheme="majorHAnsi"/>
                <w:lang w:val="es-ES"/>
              </w:rPr>
            </w:pPr>
          </w:p>
          <w:p w14:paraId="42AC2E2C" w14:textId="4C99352F" w:rsidR="00B75C82" w:rsidRPr="008473BE" w:rsidRDefault="00B75C82" w:rsidP="009A3B0D">
            <w:pPr>
              <w:numPr>
                <w:ilvl w:val="0"/>
                <w:numId w:val="2"/>
              </w:numPr>
              <w:rPr>
                <w:rFonts w:asciiTheme="majorHAnsi" w:hAnsiTheme="majorHAnsi" w:cstheme="majorHAnsi"/>
                <w:lang w:val="es-ES"/>
              </w:rPr>
            </w:pPr>
            <w:r w:rsidRPr="008473BE">
              <w:rPr>
                <w:rFonts w:asciiTheme="majorHAnsi" w:hAnsiTheme="majorHAnsi" w:cstheme="majorHAnsi"/>
                <w:lang w:val="es-ES"/>
              </w:rPr>
              <w:t>Fomenta</w:t>
            </w:r>
            <w:r w:rsidR="00C37D1C" w:rsidRPr="008473BE">
              <w:rPr>
                <w:rFonts w:asciiTheme="majorHAnsi" w:hAnsiTheme="majorHAnsi" w:cstheme="majorHAnsi"/>
                <w:lang w:val="es-ES"/>
              </w:rPr>
              <w:t xml:space="preserve">ndo </w:t>
            </w:r>
            <w:r w:rsidRPr="008473BE">
              <w:rPr>
                <w:rFonts w:asciiTheme="majorHAnsi" w:hAnsiTheme="majorHAnsi" w:cstheme="majorHAnsi"/>
                <w:lang w:val="es-ES"/>
              </w:rPr>
              <w:t>que los medios de comunicación apliquen el rigor periodístico en el tratamiento informativo sobre estos casos.</w:t>
            </w:r>
          </w:p>
        </w:tc>
      </w:tr>
    </w:tbl>
    <w:p w14:paraId="7ED6F909" w14:textId="77777777" w:rsidR="00D018C5" w:rsidRPr="008473BE" w:rsidRDefault="00D018C5" w:rsidP="0054378C">
      <w:pPr>
        <w:rPr>
          <w:rFonts w:asciiTheme="majorHAnsi" w:hAnsiTheme="majorHAnsi" w:cstheme="majorHAnsi"/>
          <w:lang w:val="es-ES"/>
        </w:rPr>
      </w:pPr>
    </w:p>
    <w:p w14:paraId="76C3FED4" w14:textId="353AE07D" w:rsidR="000A45EB" w:rsidRPr="008473BE" w:rsidRDefault="00B5152C" w:rsidP="00D018C5">
      <w:pPr>
        <w:pStyle w:val="Heading2"/>
        <w:rPr>
          <w:rFonts w:cstheme="majorHAnsi"/>
          <w:color w:val="ED7D31" w:themeColor="accent2"/>
          <w:lang w:val="es-ES"/>
        </w:rPr>
      </w:pPr>
      <w:r w:rsidRPr="008473BE">
        <w:rPr>
          <w:rFonts w:cstheme="majorHAnsi"/>
          <w:color w:val="ED7D31" w:themeColor="accent2"/>
          <w:lang w:val="es-ES"/>
        </w:rPr>
        <w:t xml:space="preserve">Participación en la vida política y pública </w:t>
      </w:r>
    </w:p>
    <w:p w14:paraId="17501119" w14:textId="0F810CFD" w:rsidR="00827100" w:rsidRPr="008473BE" w:rsidRDefault="00876B7F" w:rsidP="00B5152C">
      <w:pPr>
        <w:rPr>
          <w:rFonts w:asciiTheme="majorHAnsi" w:hAnsiTheme="majorHAnsi" w:cstheme="majorHAnsi"/>
          <w:lang w:val="es-ES"/>
        </w:rPr>
      </w:pPr>
      <w:r w:rsidRPr="008473BE">
        <w:rPr>
          <w:rFonts w:asciiTheme="majorHAnsi" w:hAnsiTheme="majorHAnsi" w:cstheme="majorHAnsi"/>
          <w:lang w:val="es-ES"/>
        </w:rPr>
        <w:t>Observamos</w:t>
      </w:r>
      <w:r w:rsidR="0BDF426A" w:rsidRPr="008473BE">
        <w:rPr>
          <w:rFonts w:asciiTheme="majorHAnsi" w:hAnsiTheme="majorHAnsi" w:cstheme="majorHAnsi"/>
          <w:lang w:val="es-ES"/>
        </w:rPr>
        <w:t xml:space="preserve"> que continúan existiendo importantes barreras estructurales e interseccionales que limitan su participación plena y efectiva en la vida política y pública. Las mujeres gitanas siguen estando infrarrepresentadas en espacios institucionales, órganos de decisión política, administraciones públicas</w:t>
      </w:r>
      <w:r w:rsidRPr="008473BE">
        <w:rPr>
          <w:rFonts w:asciiTheme="majorHAnsi" w:hAnsiTheme="majorHAnsi" w:cstheme="majorHAnsi"/>
          <w:lang w:val="es-ES"/>
        </w:rPr>
        <w:t>, órganos de gobierno de las empresas</w:t>
      </w:r>
      <w:r w:rsidR="0BDF426A" w:rsidRPr="008473BE">
        <w:rPr>
          <w:rFonts w:asciiTheme="majorHAnsi" w:hAnsiTheme="majorHAnsi" w:cstheme="majorHAnsi"/>
          <w:lang w:val="es-ES"/>
        </w:rPr>
        <w:t xml:space="preserve"> y estructuras de representación social y comunitaria.</w:t>
      </w:r>
    </w:p>
    <w:p w14:paraId="2AA24224" w14:textId="2D692E3E" w:rsidR="0BDF426A" w:rsidRPr="008473BE" w:rsidRDefault="00BE7132" w:rsidP="0BDF426A">
      <w:pPr>
        <w:pBdr>
          <w:top w:val="single" w:sz="4" w:space="4" w:color="auto"/>
          <w:left w:val="single" w:sz="4" w:space="4" w:color="auto"/>
          <w:bottom w:val="single" w:sz="4" w:space="4" w:color="auto"/>
          <w:right w:val="single" w:sz="4" w:space="4" w:color="auto"/>
        </w:pBdr>
        <w:rPr>
          <w:rFonts w:asciiTheme="majorHAnsi" w:hAnsiTheme="majorHAnsi" w:cstheme="majorHAnsi"/>
          <w:lang w:val="es-ES"/>
        </w:rPr>
      </w:pPr>
      <w:r w:rsidRPr="008473BE">
        <w:rPr>
          <w:rFonts w:asciiTheme="majorHAnsi" w:eastAsiaTheme="minorEastAsia" w:hAnsiTheme="majorHAnsi" w:cstheme="majorHAnsi"/>
          <w:b/>
          <w:bCs/>
          <w:lang w:val="es-ES"/>
        </w:rPr>
        <w:t xml:space="preserve">La Ley integral para el Reconocimiento, la Igualdad y la Promoción del Pueblo Gitano también representaría una muy buena oportunidad para fomentar </w:t>
      </w:r>
      <w:r w:rsidR="0BDF426A" w:rsidRPr="008473BE">
        <w:rPr>
          <w:rFonts w:asciiTheme="majorHAnsi" w:eastAsiaTheme="minorEastAsia" w:hAnsiTheme="majorHAnsi" w:cstheme="majorHAnsi"/>
          <w:b/>
          <w:bCs/>
          <w:lang w:val="es-ES"/>
        </w:rPr>
        <w:t>la ciudadanía acti</w:t>
      </w:r>
      <w:r w:rsidRPr="008473BE">
        <w:rPr>
          <w:rFonts w:asciiTheme="majorHAnsi" w:eastAsiaTheme="minorEastAsia" w:hAnsiTheme="majorHAnsi" w:cstheme="majorHAnsi"/>
          <w:b/>
          <w:bCs/>
          <w:lang w:val="es-ES"/>
        </w:rPr>
        <w:t xml:space="preserve">va </w:t>
      </w:r>
      <w:r w:rsidR="0BDF426A" w:rsidRPr="008473BE">
        <w:rPr>
          <w:rFonts w:asciiTheme="majorHAnsi" w:eastAsiaTheme="minorEastAsia" w:hAnsiTheme="majorHAnsi" w:cstheme="majorHAnsi"/>
          <w:lang w:val="es-ES"/>
        </w:rPr>
        <w:t>mediante la promoción de la participación social, económica, política, cultural y cívica de las mujeres y niñas gitanas, fundamentalmente mediante el desarrollo de capacidades y liderazgo</w:t>
      </w:r>
      <w:r w:rsidRPr="008473BE">
        <w:rPr>
          <w:rFonts w:asciiTheme="majorHAnsi" w:eastAsiaTheme="minorEastAsia" w:hAnsiTheme="majorHAnsi" w:cstheme="majorHAnsi"/>
          <w:lang w:val="es-ES"/>
        </w:rPr>
        <w:t>.</w:t>
      </w:r>
    </w:p>
    <w:p w14:paraId="51B16E8F" w14:textId="6343372D" w:rsidR="0BDF426A" w:rsidRPr="008473BE" w:rsidRDefault="0BDF426A" w:rsidP="0BDF426A">
      <w:pPr>
        <w:rPr>
          <w:rFonts w:asciiTheme="majorHAnsi" w:hAnsiTheme="majorHAnsi" w:cstheme="majorHAnsi"/>
          <w:lang w:val="es-ES"/>
        </w:rPr>
      </w:pPr>
    </w:p>
    <w:p w14:paraId="715F3CC6" w14:textId="2501213D" w:rsidR="00F5636C" w:rsidRPr="008473BE" w:rsidRDefault="00D018C5" w:rsidP="00D018C5">
      <w:pPr>
        <w:pStyle w:val="Heading2"/>
        <w:rPr>
          <w:rFonts w:cstheme="majorHAnsi"/>
          <w:color w:val="ED7D31" w:themeColor="accent2"/>
          <w:lang w:val="es-ES"/>
        </w:rPr>
      </w:pPr>
      <w:r w:rsidRPr="008473BE">
        <w:rPr>
          <w:rFonts w:cstheme="majorHAnsi"/>
          <w:color w:val="ED7D31" w:themeColor="accent2"/>
          <w:lang w:val="es-ES"/>
        </w:rPr>
        <w:t>Pobreza</w:t>
      </w:r>
    </w:p>
    <w:p w14:paraId="744146A0" w14:textId="2AD485D8" w:rsidR="00BE7132" w:rsidRPr="008473BE" w:rsidRDefault="00BE7132" w:rsidP="0BDF426A">
      <w:pPr>
        <w:jc w:val="both"/>
        <w:rPr>
          <w:rFonts w:asciiTheme="majorHAnsi" w:hAnsiTheme="majorHAnsi" w:cstheme="majorHAnsi"/>
          <w:lang w:val="es-ES"/>
        </w:rPr>
      </w:pPr>
      <w:r w:rsidRPr="008473BE">
        <w:rPr>
          <w:rFonts w:asciiTheme="majorHAnsi" w:hAnsiTheme="majorHAnsi" w:cstheme="majorHAnsi"/>
          <w:lang w:val="es-ES"/>
        </w:rPr>
        <w:t>Se observan</w:t>
      </w:r>
      <w:r w:rsidR="0BDF426A" w:rsidRPr="008473BE">
        <w:rPr>
          <w:rFonts w:asciiTheme="majorHAnsi" w:hAnsiTheme="majorHAnsi" w:cstheme="majorHAnsi"/>
          <w:lang w:val="es-ES"/>
        </w:rPr>
        <w:t xml:space="preserve"> importantes déficits estructurales y una ausencia de avances sustanciales en la mejora de las condiciones de vida y del acceso efectivo a derechos por parte de las mujeres gitanas. </w:t>
      </w:r>
      <w:r w:rsidRPr="008473BE">
        <w:rPr>
          <w:rFonts w:asciiTheme="majorHAnsi" w:hAnsiTheme="majorHAnsi" w:cstheme="majorHAnsi"/>
          <w:lang w:val="es-ES"/>
        </w:rPr>
        <w:t>En efecto, la tasa de pobreza y exclusión en la población gitana en 2018 era de más del 80%</w:t>
      </w:r>
      <w:r w:rsidRPr="008473BE">
        <w:rPr>
          <w:rFonts w:asciiTheme="majorHAnsi" w:hAnsiTheme="majorHAnsi" w:cstheme="majorHAnsi"/>
          <w:vertAlign w:val="superscript"/>
          <w:lang w:val="es-ES"/>
        </w:rPr>
        <w:footnoteReference w:id="5"/>
      </w:r>
      <w:r w:rsidRPr="008473BE">
        <w:rPr>
          <w:rFonts w:asciiTheme="majorHAnsi" w:hAnsiTheme="majorHAnsi" w:cstheme="majorHAnsi"/>
          <w:lang w:val="es-ES"/>
        </w:rPr>
        <w:t>, frente al 21,5%</w:t>
      </w:r>
      <w:r w:rsidRPr="008473BE">
        <w:rPr>
          <w:rFonts w:asciiTheme="majorHAnsi" w:hAnsiTheme="majorHAnsi" w:cstheme="majorHAnsi"/>
          <w:vertAlign w:val="superscript"/>
          <w:lang w:val="es-ES"/>
        </w:rPr>
        <w:footnoteReference w:id="6"/>
      </w:r>
      <w:r w:rsidRPr="008473BE">
        <w:rPr>
          <w:rFonts w:asciiTheme="majorHAnsi" w:hAnsiTheme="majorHAnsi" w:cstheme="majorHAnsi"/>
          <w:lang w:val="es-ES"/>
        </w:rPr>
        <w:t xml:space="preserve"> que hay entre la población general española. Por otro lado, la tasa de pobreza infantil es del 89% frente a un 30,7% de pobreza infantil que se da entre la población general</w:t>
      </w:r>
      <w:r w:rsidRPr="008473BE">
        <w:rPr>
          <w:rFonts w:asciiTheme="majorHAnsi" w:hAnsiTheme="majorHAnsi" w:cstheme="majorHAnsi"/>
          <w:vertAlign w:val="superscript"/>
          <w:lang w:val="es-ES"/>
        </w:rPr>
        <w:footnoteReference w:id="7"/>
      </w:r>
      <w:r w:rsidRPr="008473BE">
        <w:rPr>
          <w:rFonts w:asciiTheme="majorHAnsi" w:hAnsiTheme="majorHAnsi" w:cstheme="majorHAnsi"/>
          <w:lang w:val="es-ES"/>
        </w:rPr>
        <w:t>.</w:t>
      </w:r>
    </w:p>
    <w:p w14:paraId="0679D73B" w14:textId="5A1860AA" w:rsidR="0BDF426A" w:rsidRPr="008473BE" w:rsidRDefault="0BDF426A" w:rsidP="0BDF426A">
      <w:pPr>
        <w:jc w:val="both"/>
        <w:rPr>
          <w:rFonts w:asciiTheme="majorHAnsi" w:hAnsiTheme="majorHAnsi" w:cstheme="majorHAnsi"/>
          <w:lang w:val="es-ES"/>
        </w:rPr>
      </w:pPr>
      <w:r w:rsidRPr="008473BE">
        <w:rPr>
          <w:rFonts w:asciiTheme="majorHAnsi" w:hAnsiTheme="majorHAnsi" w:cstheme="majorHAnsi"/>
          <w:lang w:val="es-ES"/>
        </w:rPr>
        <w:t>Si bien en los últimos años se han aprobado instrumentos políticos y estratégicos que incorporan referencias al enfoque interseccional y a la inclusión de la población gitana, la implementación práctica de dichas medidas sigue siendo limitada y desigual.</w:t>
      </w:r>
    </w:p>
    <w:p w14:paraId="50F4D656" w14:textId="66305A24" w:rsidR="0BDF426A" w:rsidRPr="008473BE" w:rsidRDefault="00BE7132" w:rsidP="0BDF426A">
      <w:pPr>
        <w:jc w:val="both"/>
        <w:rPr>
          <w:rFonts w:asciiTheme="majorHAnsi" w:hAnsiTheme="majorHAnsi" w:cstheme="majorHAnsi"/>
          <w:lang w:val="es-ES"/>
        </w:rPr>
      </w:pPr>
      <w:r w:rsidRPr="008473BE">
        <w:rPr>
          <w:rFonts w:asciiTheme="majorHAnsi" w:hAnsiTheme="majorHAnsi" w:cstheme="majorHAnsi"/>
          <w:lang w:val="es-ES"/>
        </w:rPr>
        <w:t xml:space="preserve">En este sentido, persiste </w:t>
      </w:r>
      <w:r w:rsidR="0BDF426A" w:rsidRPr="008473BE">
        <w:rPr>
          <w:rFonts w:asciiTheme="majorHAnsi" w:hAnsiTheme="majorHAnsi" w:cstheme="majorHAnsi"/>
          <w:lang w:val="es-ES"/>
        </w:rPr>
        <w:t>una insuficiente asignación presupuestaria destinada a programas específicos dirigidos a mujeres gitanas, particularmente en materia de igualdad, prevención de violencia de género, inclusión social y lucha contra la discriminación. Las organizaciones detectamos precariedad e inestabilidad de la financiación pública, basada principalmente en convocatorias temporales y proyectos de corta duración, lo que dificulta la sostenibilidad de las intervenciones y el desarrollo de políticas públicas estructurales.</w:t>
      </w:r>
    </w:p>
    <w:p w14:paraId="47F59497" w14:textId="76F0F0AD" w:rsidR="00BE7132" w:rsidRPr="008473BE" w:rsidRDefault="00BE7132" w:rsidP="00BE7132">
      <w:pPr>
        <w:jc w:val="both"/>
        <w:rPr>
          <w:rFonts w:asciiTheme="majorHAnsi" w:hAnsiTheme="majorHAnsi" w:cstheme="majorHAnsi"/>
          <w:lang w:val="es-ES"/>
        </w:rPr>
      </w:pPr>
      <w:r w:rsidRPr="008473BE">
        <w:rPr>
          <w:rFonts w:asciiTheme="majorHAnsi" w:hAnsiTheme="majorHAnsi" w:cstheme="majorHAnsi"/>
          <w:lang w:val="es-ES"/>
        </w:rPr>
        <w:t>Asimismo, y aunque</w:t>
      </w:r>
      <w:r w:rsidR="0BDF426A" w:rsidRPr="008473BE">
        <w:rPr>
          <w:rFonts w:asciiTheme="majorHAnsi" w:hAnsiTheme="majorHAnsi" w:cstheme="majorHAnsi"/>
          <w:lang w:val="es-ES"/>
        </w:rPr>
        <w:t xml:space="preserve"> España ha adoptado diferentes estrategias nacionales en materia de igualdad y lucha contra la pobreza, las mujeres gitanas continúan enfrentando tasas desproporcionadas de desempleo, abandono escolar, pobreza y exclusión residencial. </w:t>
      </w:r>
    </w:p>
    <w:p w14:paraId="33524A16" w14:textId="77777777" w:rsidR="00BE7132" w:rsidRPr="008473BE" w:rsidRDefault="00BE7132" w:rsidP="00BE7132">
      <w:pPr>
        <w:pBdr>
          <w:top w:val="single" w:sz="4" w:space="4" w:color="auto"/>
          <w:left w:val="single" w:sz="4" w:space="4" w:color="auto"/>
          <w:bottom w:val="single" w:sz="4" w:space="4" w:color="auto"/>
          <w:right w:val="single" w:sz="4" w:space="4" w:color="auto"/>
        </w:pBdr>
        <w:rPr>
          <w:rFonts w:asciiTheme="majorHAnsi" w:hAnsiTheme="majorHAnsi" w:cstheme="majorHAnsi"/>
          <w:lang w:val="es-ES"/>
        </w:rPr>
      </w:pPr>
      <w:r w:rsidRPr="008473BE">
        <w:rPr>
          <w:rFonts w:asciiTheme="majorHAnsi" w:hAnsiTheme="majorHAnsi" w:cstheme="majorHAnsi"/>
          <w:b/>
          <w:bCs/>
          <w:lang w:val="es-ES"/>
        </w:rPr>
        <w:t>La Ley integral para el Reconocimiento, la Igualdad y la Promoción del Pueblo Gitano podría tener un impacto muy positivo en el abordaje de esta brecha de desigualdad</w:t>
      </w:r>
      <w:r w:rsidRPr="008473BE">
        <w:rPr>
          <w:rFonts w:asciiTheme="majorHAnsi" w:hAnsiTheme="majorHAnsi" w:cstheme="majorHAnsi"/>
          <w:lang w:val="es-ES"/>
        </w:rPr>
        <w:t xml:space="preserve">, garantizando una financiación estable suficiente y plurianual para programas dirigidos específicamente a mujeres gitanas, desarrollados tanto por administraciones públicas como por organizaciones sociales. </w:t>
      </w:r>
    </w:p>
    <w:p w14:paraId="7A597D62" w14:textId="77777777" w:rsidR="008473BE" w:rsidRDefault="008473BE" w:rsidP="008473BE">
      <w:pPr>
        <w:jc w:val="both"/>
        <w:rPr>
          <w:rFonts w:cstheme="majorHAnsi"/>
          <w:color w:val="ED7D31" w:themeColor="accent2"/>
          <w:lang w:val="es-ES"/>
        </w:rPr>
      </w:pPr>
    </w:p>
    <w:p w14:paraId="14D55D40" w14:textId="3911C904" w:rsidR="0BDF426A" w:rsidRPr="008473BE" w:rsidRDefault="00BE7132" w:rsidP="00BE7132">
      <w:pPr>
        <w:pStyle w:val="Heading2"/>
        <w:rPr>
          <w:rFonts w:cstheme="majorHAnsi"/>
          <w:color w:val="ED7D31" w:themeColor="accent2"/>
          <w:lang w:val="es-ES"/>
        </w:rPr>
      </w:pPr>
      <w:r w:rsidRPr="008473BE">
        <w:rPr>
          <w:rFonts w:cstheme="majorHAnsi"/>
          <w:color w:val="ED7D31" w:themeColor="accent2"/>
          <w:lang w:val="es-ES"/>
        </w:rPr>
        <w:t>Vivienda</w:t>
      </w:r>
    </w:p>
    <w:p w14:paraId="1F2E78E1" w14:textId="3D8E4066" w:rsidR="00DB0582" w:rsidRPr="00DB0582" w:rsidRDefault="00DB0582" w:rsidP="00DB0582">
      <w:pPr>
        <w:jc w:val="both"/>
        <w:rPr>
          <w:rFonts w:asciiTheme="majorHAnsi" w:hAnsiTheme="majorHAnsi" w:cstheme="majorHAnsi"/>
          <w:lang w:val="es-ES"/>
        </w:rPr>
      </w:pPr>
      <w:r w:rsidRPr="00DB0582">
        <w:rPr>
          <w:rFonts w:asciiTheme="majorHAnsi" w:hAnsiTheme="majorHAnsi" w:cstheme="majorHAnsi"/>
          <w:lang w:val="es-ES"/>
        </w:rPr>
        <w:t>Las mujeres gitanas también se enfrentan al problema de acceso a una vivienda digna, recogido en el artículo 14 apartado 2.h de la Convención. Según datos de un estudio de la FSG pendiente de publicación, las personas gitanas representan el 77% de la población residente en asentamientos de infravivienda y chabolistas que hay en España (esto es, unas 18.000 personas de las 24.000), lo que demuestra que la existencia de estos asentamientos son el fruto de una situación de antigitanismo estructural</w:t>
      </w:r>
      <w:r w:rsidRPr="00DB0582">
        <w:rPr>
          <w:rFonts w:asciiTheme="majorHAnsi" w:hAnsiTheme="majorHAnsi" w:cstheme="majorHAnsi"/>
          <w:vertAlign w:val="superscript"/>
          <w:lang w:val="es-ES"/>
        </w:rPr>
        <w:footnoteReference w:id="8"/>
      </w:r>
      <w:r w:rsidRPr="00DB0582">
        <w:rPr>
          <w:rFonts w:asciiTheme="majorHAnsi" w:hAnsiTheme="majorHAnsi" w:cstheme="majorHAnsi"/>
          <w:lang w:val="es-ES"/>
        </w:rPr>
        <w:t>. Asimismo, muchas familias gitanas, aun no viviendo en infraviviendas, residen en zonas muy desfavorecidas en las que el acceso a servicios sociales y sanitarios básicos no está garantizado. Así, se han documentado situaciones de especial vulnerabilidad relacionadas con altos niveles de desempleo y de problemáticas sociales presentes en un 36,5% de los barrios en los que viven las personas gitanas, así como graves problemas en el estado de los edificios en un 22,64% de los barrios</w:t>
      </w:r>
      <w:r w:rsidRPr="00DB0582">
        <w:rPr>
          <w:rFonts w:asciiTheme="majorHAnsi" w:hAnsiTheme="majorHAnsi" w:cstheme="majorHAnsi"/>
          <w:vertAlign w:val="superscript"/>
          <w:lang w:val="es-ES"/>
        </w:rPr>
        <w:footnoteReference w:id="9"/>
      </w:r>
      <w:r w:rsidRPr="00DB0582">
        <w:rPr>
          <w:rFonts w:asciiTheme="majorHAnsi" w:hAnsiTheme="majorHAnsi" w:cstheme="majorHAnsi"/>
          <w:lang w:val="es-ES"/>
        </w:rPr>
        <w:t>.</w:t>
      </w:r>
    </w:p>
    <w:tbl>
      <w:tblPr>
        <w:tblStyle w:val="TableGrid"/>
        <w:tblW w:w="0" w:type="auto"/>
        <w:shd w:val="clear" w:color="auto" w:fill="FFFFFF" w:themeFill="background1"/>
        <w:tblLook w:val="04A0" w:firstRow="1" w:lastRow="0" w:firstColumn="1" w:lastColumn="0" w:noHBand="0" w:noVBand="1"/>
      </w:tblPr>
      <w:tblGrid>
        <w:gridCol w:w="8488"/>
      </w:tblGrid>
      <w:tr w:rsidR="00DB0582" w:rsidRPr="00DB0582" w14:paraId="34467FDB" w14:textId="77777777" w:rsidTr="00DB0582">
        <w:tc>
          <w:tcPr>
            <w:tcW w:w="8488" w:type="dxa"/>
            <w:shd w:val="clear" w:color="auto" w:fill="FFFFFF" w:themeFill="background1"/>
            <w:hideMark/>
          </w:tcPr>
          <w:p w14:paraId="54E019B1" w14:textId="7C01B294" w:rsidR="00DB0582" w:rsidRPr="00DB0582" w:rsidRDefault="00DB0582" w:rsidP="00DB0582">
            <w:pPr>
              <w:spacing w:after="160" w:line="259" w:lineRule="auto"/>
              <w:jc w:val="both"/>
              <w:rPr>
                <w:rFonts w:asciiTheme="majorHAnsi" w:hAnsiTheme="majorHAnsi" w:cstheme="majorHAnsi"/>
                <w:lang w:val="es-ES"/>
              </w:rPr>
            </w:pPr>
            <w:r w:rsidRPr="008473BE">
              <w:rPr>
                <w:rFonts w:asciiTheme="majorHAnsi" w:hAnsiTheme="majorHAnsi" w:cstheme="majorHAnsi"/>
                <w:b/>
                <w:bCs/>
                <w:lang w:val="es-ES"/>
              </w:rPr>
              <w:t>La Ley Integral para el Reconocimiento, la Igualdad y la Promoción del Pueblo Gitano contribuiría a</w:t>
            </w:r>
            <w:r w:rsidRPr="00DB0582">
              <w:rPr>
                <w:rFonts w:asciiTheme="majorHAnsi" w:hAnsiTheme="majorHAnsi" w:cstheme="majorHAnsi"/>
                <w:b/>
                <w:bCs/>
                <w:lang w:val="es-ES"/>
              </w:rPr>
              <w:t xml:space="preserve"> erradicar las situaciones de chabolismo e infravivienda</w:t>
            </w:r>
            <w:r w:rsidRPr="00DB0582">
              <w:rPr>
                <w:rFonts w:asciiTheme="majorHAnsi" w:hAnsiTheme="majorHAnsi" w:cstheme="majorHAnsi"/>
                <w:lang w:val="es-ES"/>
              </w:rPr>
              <w:t>, que afectan de manera específica y diferenciada a la comunidad gitana</w:t>
            </w:r>
            <w:r w:rsidRPr="008473BE">
              <w:rPr>
                <w:rFonts w:asciiTheme="majorHAnsi" w:hAnsiTheme="majorHAnsi" w:cstheme="majorHAnsi"/>
                <w:lang w:val="es-ES"/>
              </w:rPr>
              <w:t>, fijando las responsabilidades en este ámbito de todas las administraciones competentes</w:t>
            </w:r>
            <w:r w:rsidRPr="00DB0582">
              <w:rPr>
                <w:rFonts w:asciiTheme="majorHAnsi" w:hAnsiTheme="majorHAnsi" w:cstheme="majorHAnsi"/>
                <w:lang w:val="es-ES"/>
              </w:rPr>
              <w:t>.</w:t>
            </w:r>
          </w:p>
        </w:tc>
      </w:tr>
    </w:tbl>
    <w:p w14:paraId="3963B38C" w14:textId="40EBE6F0" w:rsidR="00DB0582" w:rsidRPr="008473BE" w:rsidRDefault="00DB0582" w:rsidP="0BDF426A">
      <w:pPr>
        <w:jc w:val="both"/>
        <w:rPr>
          <w:rFonts w:asciiTheme="majorHAnsi" w:hAnsiTheme="majorHAnsi" w:cstheme="majorHAnsi"/>
          <w:lang w:val="es-ES"/>
        </w:rPr>
      </w:pPr>
    </w:p>
    <w:sectPr w:rsidR="00DB0582" w:rsidRPr="008473BE">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E311F" w14:textId="77777777" w:rsidR="00B27010" w:rsidRDefault="00B27010" w:rsidP="003B2599">
      <w:pPr>
        <w:spacing w:after="0" w:line="240" w:lineRule="auto"/>
      </w:pPr>
      <w:r>
        <w:separator/>
      </w:r>
    </w:p>
  </w:endnote>
  <w:endnote w:type="continuationSeparator" w:id="0">
    <w:p w14:paraId="6B5FC738" w14:textId="77777777" w:rsidR="00B27010" w:rsidRDefault="00B27010" w:rsidP="003B25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8CE18" w14:textId="77777777" w:rsidR="00B27010" w:rsidRDefault="00B27010" w:rsidP="003B2599">
      <w:pPr>
        <w:spacing w:after="0" w:line="240" w:lineRule="auto"/>
      </w:pPr>
      <w:r>
        <w:separator/>
      </w:r>
    </w:p>
  </w:footnote>
  <w:footnote w:type="continuationSeparator" w:id="0">
    <w:p w14:paraId="38DC32DB" w14:textId="77777777" w:rsidR="00B27010" w:rsidRDefault="00B27010" w:rsidP="003B2599">
      <w:pPr>
        <w:spacing w:after="0" w:line="240" w:lineRule="auto"/>
      </w:pPr>
      <w:r>
        <w:continuationSeparator/>
      </w:r>
    </w:p>
  </w:footnote>
  <w:footnote w:id="1">
    <w:p w14:paraId="4C5284AF" w14:textId="77777777" w:rsidR="009C34A4" w:rsidRPr="009C34A4" w:rsidRDefault="009C34A4" w:rsidP="009C34A4">
      <w:pPr>
        <w:pStyle w:val="FootnoteText"/>
        <w:rPr>
          <w:lang w:val="es-ES"/>
        </w:rPr>
      </w:pPr>
      <w:r>
        <w:rPr>
          <w:rStyle w:val="FootnoteReference"/>
        </w:rPr>
        <w:footnoteRef/>
      </w:r>
      <w:r w:rsidRPr="009C34A4">
        <w:rPr>
          <w:lang w:val="es-ES"/>
        </w:rPr>
        <w:t xml:space="preserve"> </w:t>
      </w:r>
      <w:r w:rsidRPr="009C34A4">
        <w:rPr>
          <w:i/>
          <w:iCs/>
          <w:sz w:val="18"/>
          <w:szCs w:val="18"/>
          <w:lang w:val="es-ES"/>
        </w:rPr>
        <w:t xml:space="preserve">Informe </w:t>
      </w:r>
      <w:hyperlink r:id="rId1" w:history="1">
        <w:r w:rsidRPr="009C34A4">
          <w:rPr>
            <w:rStyle w:val="Hyperlink"/>
            <w:i/>
            <w:iCs/>
            <w:sz w:val="18"/>
            <w:szCs w:val="18"/>
            <w:lang w:val="es-ES"/>
          </w:rPr>
          <w:t>FOESSA</w:t>
        </w:r>
      </w:hyperlink>
      <w:r w:rsidRPr="009C34A4">
        <w:rPr>
          <w:i/>
          <w:iCs/>
          <w:sz w:val="18"/>
          <w:szCs w:val="18"/>
          <w:lang w:val="es-ES"/>
        </w:rPr>
        <w:t xml:space="preserve"> 2024.</w:t>
      </w:r>
    </w:p>
  </w:footnote>
  <w:footnote w:id="2">
    <w:p w14:paraId="3F73D720" w14:textId="77777777" w:rsidR="00DB0582" w:rsidRDefault="00DB0582" w:rsidP="00DB0582">
      <w:pPr>
        <w:pStyle w:val="FootnoteText"/>
        <w:rPr>
          <w:rFonts w:asciiTheme="majorHAnsi" w:hAnsiTheme="majorHAnsi" w:cstheme="majorHAnsi"/>
        </w:rPr>
      </w:pPr>
      <w:r>
        <w:rPr>
          <w:rStyle w:val="FootnoteReference"/>
          <w:rFonts w:asciiTheme="majorHAnsi" w:hAnsiTheme="majorHAnsi" w:cstheme="majorHAnsi"/>
        </w:rPr>
        <w:footnoteRef/>
      </w:r>
      <w:r>
        <w:rPr>
          <w:rFonts w:asciiTheme="majorHAnsi" w:hAnsiTheme="majorHAnsi" w:cstheme="majorHAnsi"/>
        </w:rPr>
        <w:t xml:space="preserve"> Para más información, consultar los informes anuales de la FSG sobre discriminación y comunidad gitana en https://informesdiscriminacion.gitanos.org/, así como nuestra </w:t>
      </w:r>
      <w:r>
        <w:rPr>
          <w:rFonts w:asciiTheme="majorHAnsi" w:hAnsiTheme="majorHAnsi" w:cstheme="majorHAnsi"/>
          <w:i/>
        </w:rPr>
        <w:t xml:space="preserve">Guía sobre Discriminación Interseccional. El caso de las mujeres gitanas, </w:t>
      </w:r>
      <w:r>
        <w:rPr>
          <w:rFonts w:asciiTheme="majorHAnsi" w:hAnsiTheme="majorHAnsi" w:cstheme="majorHAnsi"/>
        </w:rPr>
        <w:t xml:space="preserve">disponible en: </w:t>
      </w:r>
      <w:hyperlink r:id="rId2" w:history="1">
        <w:r>
          <w:rPr>
            <w:rStyle w:val="Hyperlink"/>
            <w:rFonts w:asciiTheme="majorHAnsi" w:hAnsiTheme="majorHAnsi" w:cstheme="majorHAnsi"/>
          </w:rPr>
          <w:t>https://www.gitanos.org/upload/18/56/GUIA_DISCRIMINACION_INTERSECCIONAL_FSG.pdf</w:t>
        </w:r>
      </w:hyperlink>
      <w:r>
        <w:rPr>
          <w:rFonts w:asciiTheme="majorHAnsi" w:hAnsiTheme="majorHAnsi" w:cstheme="majorHAnsi"/>
        </w:rPr>
        <w:t xml:space="preserve"> </w:t>
      </w:r>
    </w:p>
  </w:footnote>
  <w:footnote w:id="3">
    <w:p w14:paraId="5A10B12D" w14:textId="77777777" w:rsidR="00DB0582" w:rsidRDefault="00DB0582" w:rsidP="00DB0582">
      <w:pPr>
        <w:pStyle w:val="FootnoteText"/>
        <w:rPr>
          <w:rFonts w:asciiTheme="majorHAnsi" w:hAnsiTheme="majorHAnsi" w:cstheme="majorHAnsi"/>
        </w:rPr>
      </w:pPr>
      <w:r>
        <w:rPr>
          <w:rStyle w:val="FootnoteReference"/>
          <w:rFonts w:asciiTheme="majorHAnsi" w:hAnsiTheme="majorHAnsi" w:cstheme="majorHAnsi"/>
        </w:rPr>
        <w:footnoteRef/>
      </w:r>
      <w:r>
        <w:rPr>
          <w:rFonts w:asciiTheme="majorHAnsi" w:hAnsiTheme="majorHAnsi" w:cstheme="majorHAnsi"/>
        </w:rPr>
        <w:t xml:space="preserve"> Disponible en: </w:t>
      </w:r>
      <w:hyperlink r:id="rId3" w:history="1">
        <w:r>
          <w:rPr>
            <w:rStyle w:val="Hyperlink"/>
            <w:rFonts w:asciiTheme="majorHAnsi" w:hAnsiTheme="majorHAnsi" w:cstheme="majorHAnsi"/>
          </w:rPr>
          <w:t>https://www.boe.es/buscar/act.php?id=BOE-A-2022-11589</w:t>
        </w:r>
      </w:hyperlink>
      <w:r>
        <w:rPr>
          <w:rFonts w:asciiTheme="majorHAnsi" w:hAnsiTheme="majorHAnsi" w:cstheme="majorHAnsi"/>
        </w:rPr>
        <w:t xml:space="preserve"> </w:t>
      </w:r>
    </w:p>
  </w:footnote>
  <w:footnote w:id="4">
    <w:p w14:paraId="04CE0902" w14:textId="77777777" w:rsidR="008473BE" w:rsidRPr="00562ED3" w:rsidRDefault="008473BE" w:rsidP="008473BE">
      <w:pPr>
        <w:pStyle w:val="FootnoteText"/>
        <w:rPr>
          <w:lang w:val="es-ES"/>
        </w:rPr>
      </w:pPr>
      <w:r>
        <w:rPr>
          <w:rStyle w:val="FootnoteReference"/>
        </w:rPr>
        <w:footnoteRef/>
      </w:r>
      <w:r w:rsidRPr="006354E3">
        <w:rPr>
          <w:lang w:val="es-ES"/>
        </w:rPr>
        <w:t xml:space="preserve"> FSG y Save The Children, Desprotrección de Niñas Gitanas en Casos de Agresiones Sexuales en España, </w:t>
      </w:r>
      <w:r>
        <w:rPr>
          <w:lang w:val="es-ES"/>
        </w:rPr>
        <w:t xml:space="preserve">disponible en: </w:t>
      </w:r>
      <w:hyperlink r:id="rId4" w:history="1">
        <w:r w:rsidRPr="006354E3">
          <w:rPr>
            <w:rStyle w:val="Hyperlink"/>
            <w:lang w:val="es-ES"/>
          </w:rPr>
          <w:t>tbinternet.ohchr.org/_layouts/15/treatybodyexternal/Download.aspx?symbolno=INT%2FCRC%2FNGO%2FESP%2F66574&amp;Lang=es</w:t>
        </w:r>
      </w:hyperlink>
    </w:p>
  </w:footnote>
  <w:footnote w:id="5">
    <w:p w14:paraId="4B5F9D3E" w14:textId="657B5BED" w:rsidR="00BE7132" w:rsidRDefault="00BE7132" w:rsidP="00BE7132">
      <w:pPr>
        <w:pStyle w:val="FootnoteText"/>
        <w:jc w:val="both"/>
        <w:rPr>
          <w:rFonts w:asciiTheme="majorHAnsi" w:hAnsiTheme="majorHAnsi" w:cstheme="majorHAnsi"/>
        </w:rPr>
      </w:pPr>
      <w:r>
        <w:rPr>
          <w:rStyle w:val="FootnoteReference"/>
          <w:rFonts w:asciiTheme="majorHAnsi" w:hAnsiTheme="majorHAnsi" w:cstheme="majorHAnsi"/>
        </w:rPr>
        <w:footnoteRef/>
      </w:r>
      <w:r>
        <w:rPr>
          <w:rStyle w:val="FootnoteReference"/>
          <w:rFonts w:asciiTheme="majorHAnsi" w:hAnsiTheme="majorHAnsi" w:cstheme="majorHAnsi"/>
        </w:rPr>
        <w:t xml:space="preserve"> </w:t>
      </w:r>
      <w:r w:rsidRPr="00BE7132">
        <w:rPr>
          <w:rFonts w:asciiTheme="majorHAnsi" w:hAnsiTheme="majorHAnsi" w:cstheme="majorHAnsi"/>
        </w:rPr>
        <w:t>Fundación Secretariado Gitano (2019), “Estudio comparado sobre la situación de la población gitana en España en relación al empleo y la pobreza 2018”, p. 1</w:t>
      </w:r>
      <w:r>
        <w:rPr>
          <w:rFonts w:asciiTheme="majorHAnsi" w:hAnsiTheme="majorHAnsi" w:cstheme="majorHAnsi"/>
        </w:rPr>
        <w:t>2</w:t>
      </w:r>
      <w:r w:rsidRPr="00BE7132">
        <w:rPr>
          <w:rFonts w:asciiTheme="majorHAnsi" w:hAnsiTheme="majorHAnsi" w:cstheme="majorHAnsi"/>
        </w:rPr>
        <w:t xml:space="preserve">5. Disponible en: https://www.gitanos.org/centro_documentacion/publicaciones/fichas/129378.html.es  </w:t>
      </w:r>
    </w:p>
  </w:footnote>
  <w:footnote w:id="6">
    <w:p w14:paraId="2E2027E5" w14:textId="77777777" w:rsidR="00BE7132" w:rsidRDefault="00BE7132" w:rsidP="00BE7132">
      <w:pPr>
        <w:pStyle w:val="FootnoteText"/>
        <w:jc w:val="both"/>
        <w:rPr>
          <w:rFonts w:asciiTheme="majorHAnsi" w:hAnsiTheme="majorHAnsi" w:cstheme="majorHAnsi"/>
        </w:rPr>
      </w:pPr>
      <w:r>
        <w:rPr>
          <w:rStyle w:val="FootnoteReference"/>
          <w:rFonts w:asciiTheme="majorHAnsi" w:hAnsiTheme="majorHAnsi" w:cstheme="majorHAnsi"/>
        </w:rPr>
        <w:footnoteRef/>
      </w:r>
      <w:r>
        <w:rPr>
          <w:rStyle w:val="FootnoteReference"/>
          <w:rFonts w:asciiTheme="majorHAnsi" w:hAnsiTheme="majorHAnsi" w:cstheme="majorHAnsi"/>
        </w:rPr>
        <w:t xml:space="preserve"> </w:t>
      </w:r>
      <w:r>
        <w:rPr>
          <w:rFonts w:asciiTheme="majorHAnsi" w:hAnsiTheme="majorHAnsi" w:cstheme="majorHAnsi"/>
        </w:rPr>
        <w:t>Fuente: Instituto Nacional de Estadística. Tasa de riesgo de pobreza en España en 2018.</w:t>
      </w:r>
    </w:p>
  </w:footnote>
  <w:footnote w:id="7">
    <w:p w14:paraId="22A743E6" w14:textId="77777777" w:rsidR="00BE7132" w:rsidRDefault="00BE7132" w:rsidP="00BE7132">
      <w:pPr>
        <w:pStyle w:val="FootnoteText"/>
        <w:jc w:val="both"/>
        <w:rPr>
          <w:rFonts w:asciiTheme="majorHAnsi" w:hAnsiTheme="majorHAnsi" w:cstheme="majorHAnsi"/>
        </w:rPr>
      </w:pPr>
      <w:r>
        <w:rPr>
          <w:rStyle w:val="FootnoteReference"/>
          <w:rFonts w:asciiTheme="majorHAnsi" w:hAnsiTheme="majorHAnsi" w:cstheme="majorHAnsi"/>
        </w:rPr>
        <w:footnoteRef/>
      </w:r>
      <w:r>
        <w:rPr>
          <w:rStyle w:val="FootnoteReference"/>
          <w:rFonts w:asciiTheme="majorHAnsi" w:hAnsiTheme="majorHAnsi" w:cstheme="majorHAnsi"/>
        </w:rPr>
        <w:t xml:space="preserve"> </w:t>
      </w:r>
      <w:r>
        <w:rPr>
          <w:rFonts w:asciiTheme="majorHAnsi" w:hAnsiTheme="majorHAnsi" w:cstheme="majorHAnsi"/>
        </w:rPr>
        <w:t>Fundación Secretariado Gitano (2019), op.cit, p. 125.</w:t>
      </w:r>
    </w:p>
  </w:footnote>
  <w:footnote w:id="8">
    <w:p w14:paraId="0FA3C542" w14:textId="77777777" w:rsidR="00DB0582" w:rsidRDefault="00DB0582" w:rsidP="00DB0582">
      <w:pPr>
        <w:pStyle w:val="FootnoteText"/>
        <w:jc w:val="both"/>
        <w:rPr>
          <w:rFonts w:asciiTheme="majorHAnsi" w:hAnsiTheme="majorHAnsi" w:cstheme="majorHAnsi"/>
        </w:rPr>
      </w:pPr>
      <w:r>
        <w:rPr>
          <w:rStyle w:val="FootnoteReference"/>
        </w:rPr>
        <w:footnoteRef/>
      </w:r>
      <w:r>
        <w:t xml:space="preserve"> </w:t>
      </w:r>
      <w:r>
        <w:rPr>
          <w:rFonts w:asciiTheme="majorHAnsi" w:hAnsiTheme="majorHAnsi" w:cstheme="majorHAnsi"/>
        </w:rPr>
        <w:t>Fundación Secretariado Gitano (2023) “Estudio sobre el perfil y la situación de las personas en los asentamientos chabolistas y la infravivienda en España”, pendiente de publicar.</w:t>
      </w:r>
    </w:p>
  </w:footnote>
  <w:footnote w:id="9">
    <w:p w14:paraId="18D34082" w14:textId="77777777" w:rsidR="00DB0582" w:rsidRDefault="00DB0582" w:rsidP="00DB0582">
      <w:pPr>
        <w:pStyle w:val="FootnoteText"/>
        <w:jc w:val="both"/>
        <w:rPr>
          <w:rFonts w:asciiTheme="majorHAnsi" w:hAnsiTheme="majorHAnsi" w:cstheme="majorHAnsi"/>
        </w:rPr>
      </w:pPr>
      <w:r>
        <w:rPr>
          <w:rFonts w:asciiTheme="majorHAnsi" w:hAnsiTheme="majorHAnsi" w:cstheme="majorHAnsi"/>
        </w:rPr>
        <w:footnoteRef/>
      </w:r>
      <w:r>
        <w:rPr>
          <w:rFonts w:asciiTheme="majorHAnsi" w:hAnsiTheme="majorHAnsi" w:cstheme="majorHAnsi"/>
        </w:rP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60A16" w14:textId="7A6EC2B8" w:rsidR="003B2599" w:rsidRDefault="00AC1930" w:rsidP="003B2599">
    <w:pPr>
      <w:pStyle w:val="Header"/>
      <w:jc w:val="center"/>
    </w:pPr>
    <w:r w:rsidRPr="00AC1930">
      <w:rPr>
        <w:noProof/>
      </w:rPr>
      <w:drawing>
        <wp:inline distT="0" distB="0" distL="0" distR="0" wp14:anchorId="0631015C" wp14:editId="4BAA629C">
          <wp:extent cx="1885950" cy="734128"/>
          <wp:effectExtent l="0" t="0" r="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903120" cy="740812"/>
                  </a:xfrm>
                  <a:prstGeom prst="rect">
                    <a:avLst/>
                  </a:prstGeom>
                </pic:spPr>
              </pic:pic>
            </a:graphicData>
          </a:graphic>
        </wp:inline>
      </w:drawing>
    </w:r>
  </w:p>
  <w:p w14:paraId="62AAB867" w14:textId="77777777" w:rsidR="003B2599" w:rsidRDefault="003B2599" w:rsidP="003B259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747F7"/>
    <w:multiLevelType w:val="multilevel"/>
    <w:tmpl w:val="BDD633FC"/>
    <w:lvl w:ilvl="0">
      <w:start w:val="1"/>
      <w:numFmt w:val="decimal"/>
      <w:lvlText w:val="%1."/>
      <w:lvlJc w:val="left"/>
      <w:pPr>
        <w:ind w:left="360" w:hanging="360"/>
      </w:pPr>
    </w:lvl>
    <w:lvl w:ilvl="1">
      <w:start w:val="1"/>
      <w:numFmt w:val="bullet"/>
      <w:lvlText w:val=""/>
      <w:lvlJc w:val="left"/>
      <w:pPr>
        <w:ind w:left="360" w:hanging="360"/>
      </w:pPr>
      <w:rPr>
        <w:rFonts w:ascii="Wingdings" w:hAnsi="Wingdings" w:hint="default"/>
        <w:b/>
        <w:color w:val="000000" w:themeColor="text1"/>
        <w:sz w:val="26"/>
      </w:rPr>
    </w:lvl>
    <w:lvl w:ilvl="2">
      <w:start w:val="1"/>
      <w:numFmt w:val="decimal"/>
      <w:isLgl/>
      <w:lvlText w:val="%1.%2.%3"/>
      <w:lvlJc w:val="left"/>
      <w:pPr>
        <w:ind w:left="720" w:hanging="720"/>
      </w:pPr>
      <w:rPr>
        <w:rFonts w:eastAsiaTheme="majorEastAsia" w:cstheme="majorBidi"/>
        <w:b/>
        <w:color w:val="2F5496" w:themeColor="accent1" w:themeShade="BF"/>
        <w:sz w:val="26"/>
      </w:rPr>
    </w:lvl>
    <w:lvl w:ilvl="3">
      <w:start w:val="1"/>
      <w:numFmt w:val="decimal"/>
      <w:isLgl/>
      <w:lvlText w:val="%1.%2.%3.%4"/>
      <w:lvlJc w:val="left"/>
      <w:pPr>
        <w:ind w:left="1080" w:hanging="1080"/>
      </w:pPr>
      <w:rPr>
        <w:rFonts w:eastAsiaTheme="majorEastAsia" w:cstheme="majorBidi"/>
        <w:b/>
        <w:color w:val="2F5496" w:themeColor="accent1" w:themeShade="BF"/>
        <w:sz w:val="26"/>
      </w:rPr>
    </w:lvl>
    <w:lvl w:ilvl="4">
      <w:start w:val="1"/>
      <w:numFmt w:val="decimal"/>
      <w:isLgl/>
      <w:lvlText w:val="%1.%2.%3.%4.%5"/>
      <w:lvlJc w:val="left"/>
      <w:pPr>
        <w:ind w:left="1440" w:hanging="1440"/>
      </w:pPr>
      <w:rPr>
        <w:rFonts w:eastAsiaTheme="majorEastAsia" w:cstheme="majorBidi"/>
        <w:b/>
        <w:color w:val="2F5496" w:themeColor="accent1" w:themeShade="BF"/>
        <w:sz w:val="26"/>
      </w:rPr>
    </w:lvl>
    <w:lvl w:ilvl="5">
      <w:start w:val="1"/>
      <w:numFmt w:val="decimal"/>
      <w:isLgl/>
      <w:lvlText w:val="%1.%2.%3.%4.%5.%6"/>
      <w:lvlJc w:val="left"/>
      <w:pPr>
        <w:ind w:left="1440" w:hanging="1440"/>
      </w:pPr>
      <w:rPr>
        <w:rFonts w:eastAsiaTheme="majorEastAsia" w:cstheme="majorBidi"/>
        <w:b/>
        <w:color w:val="2F5496" w:themeColor="accent1" w:themeShade="BF"/>
        <w:sz w:val="26"/>
      </w:rPr>
    </w:lvl>
    <w:lvl w:ilvl="6">
      <w:start w:val="1"/>
      <w:numFmt w:val="decimal"/>
      <w:isLgl/>
      <w:lvlText w:val="%1.%2.%3.%4.%5.%6.%7"/>
      <w:lvlJc w:val="left"/>
      <w:pPr>
        <w:ind w:left="1800" w:hanging="1800"/>
      </w:pPr>
      <w:rPr>
        <w:rFonts w:eastAsiaTheme="majorEastAsia" w:cstheme="majorBidi"/>
        <w:b/>
        <w:color w:val="2F5496" w:themeColor="accent1" w:themeShade="BF"/>
        <w:sz w:val="26"/>
      </w:rPr>
    </w:lvl>
    <w:lvl w:ilvl="7">
      <w:start w:val="1"/>
      <w:numFmt w:val="decimal"/>
      <w:isLgl/>
      <w:lvlText w:val="%1.%2.%3.%4.%5.%6.%7.%8"/>
      <w:lvlJc w:val="left"/>
      <w:pPr>
        <w:ind w:left="2160" w:hanging="2160"/>
      </w:pPr>
      <w:rPr>
        <w:rFonts w:eastAsiaTheme="majorEastAsia" w:cstheme="majorBidi"/>
        <w:b/>
        <w:color w:val="2F5496" w:themeColor="accent1" w:themeShade="BF"/>
        <w:sz w:val="26"/>
      </w:rPr>
    </w:lvl>
    <w:lvl w:ilvl="8">
      <w:start w:val="1"/>
      <w:numFmt w:val="decimal"/>
      <w:isLgl/>
      <w:lvlText w:val="%1.%2.%3.%4.%5.%6.%7.%8.%9"/>
      <w:lvlJc w:val="left"/>
      <w:pPr>
        <w:ind w:left="2160" w:hanging="2160"/>
      </w:pPr>
      <w:rPr>
        <w:rFonts w:eastAsiaTheme="majorEastAsia" w:cstheme="majorBidi"/>
        <w:b/>
        <w:color w:val="2F5496" w:themeColor="accent1" w:themeShade="BF"/>
        <w:sz w:val="26"/>
      </w:rPr>
    </w:lvl>
  </w:abstractNum>
  <w:abstractNum w:abstractNumId="1" w15:restartNumberingAfterBreak="0">
    <w:nsid w:val="11EC4110"/>
    <w:multiLevelType w:val="hybridMultilevel"/>
    <w:tmpl w:val="607AC354"/>
    <w:lvl w:ilvl="0" w:tplc="0C0A000F">
      <w:start w:val="1"/>
      <w:numFmt w:val="decimal"/>
      <w:lvlText w:val="%1."/>
      <w:lvlJc w:val="left"/>
      <w:pPr>
        <w:ind w:left="3196" w:hanging="360"/>
      </w:pPr>
      <w:rPr>
        <w:rFonts w:hint="default"/>
      </w:rPr>
    </w:lvl>
    <w:lvl w:ilvl="1" w:tplc="0C0A0019" w:tentative="1">
      <w:start w:val="1"/>
      <w:numFmt w:val="lowerLetter"/>
      <w:lvlText w:val="%2."/>
      <w:lvlJc w:val="left"/>
      <w:pPr>
        <w:ind w:left="3916" w:hanging="360"/>
      </w:pPr>
    </w:lvl>
    <w:lvl w:ilvl="2" w:tplc="0C0A001B" w:tentative="1">
      <w:start w:val="1"/>
      <w:numFmt w:val="lowerRoman"/>
      <w:lvlText w:val="%3."/>
      <w:lvlJc w:val="right"/>
      <w:pPr>
        <w:ind w:left="4636" w:hanging="180"/>
      </w:pPr>
    </w:lvl>
    <w:lvl w:ilvl="3" w:tplc="0C0A000F" w:tentative="1">
      <w:start w:val="1"/>
      <w:numFmt w:val="decimal"/>
      <w:lvlText w:val="%4."/>
      <w:lvlJc w:val="left"/>
      <w:pPr>
        <w:ind w:left="5356" w:hanging="360"/>
      </w:pPr>
    </w:lvl>
    <w:lvl w:ilvl="4" w:tplc="0C0A0019" w:tentative="1">
      <w:start w:val="1"/>
      <w:numFmt w:val="lowerLetter"/>
      <w:lvlText w:val="%5."/>
      <w:lvlJc w:val="left"/>
      <w:pPr>
        <w:ind w:left="6076" w:hanging="360"/>
      </w:pPr>
    </w:lvl>
    <w:lvl w:ilvl="5" w:tplc="0C0A001B" w:tentative="1">
      <w:start w:val="1"/>
      <w:numFmt w:val="lowerRoman"/>
      <w:lvlText w:val="%6."/>
      <w:lvlJc w:val="right"/>
      <w:pPr>
        <w:ind w:left="6796" w:hanging="180"/>
      </w:pPr>
    </w:lvl>
    <w:lvl w:ilvl="6" w:tplc="0C0A000F" w:tentative="1">
      <w:start w:val="1"/>
      <w:numFmt w:val="decimal"/>
      <w:lvlText w:val="%7."/>
      <w:lvlJc w:val="left"/>
      <w:pPr>
        <w:ind w:left="7516" w:hanging="360"/>
      </w:pPr>
    </w:lvl>
    <w:lvl w:ilvl="7" w:tplc="0C0A0019" w:tentative="1">
      <w:start w:val="1"/>
      <w:numFmt w:val="lowerLetter"/>
      <w:lvlText w:val="%8."/>
      <w:lvlJc w:val="left"/>
      <w:pPr>
        <w:ind w:left="8236" w:hanging="360"/>
      </w:pPr>
    </w:lvl>
    <w:lvl w:ilvl="8" w:tplc="0C0A001B" w:tentative="1">
      <w:start w:val="1"/>
      <w:numFmt w:val="lowerRoman"/>
      <w:lvlText w:val="%9."/>
      <w:lvlJc w:val="right"/>
      <w:pPr>
        <w:ind w:left="8956" w:hanging="180"/>
      </w:pPr>
    </w:lvl>
  </w:abstractNum>
  <w:abstractNum w:abstractNumId="2" w15:restartNumberingAfterBreak="0">
    <w:nsid w:val="25A30B53"/>
    <w:multiLevelType w:val="hybridMultilevel"/>
    <w:tmpl w:val="62A0F67A"/>
    <w:lvl w:ilvl="0" w:tplc="007837E0">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8340FDB"/>
    <w:multiLevelType w:val="hybridMultilevel"/>
    <w:tmpl w:val="192C1E90"/>
    <w:lvl w:ilvl="0" w:tplc="007837E0">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002789A"/>
    <w:multiLevelType w:val="hybridMultilevel"/>
    <w:tmpl w:val="DF80C6C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6E8B0A90"/>
    <w:multiLevelType w:val="hybridMultilevel"/>
    <w:tmpl w:val="AEAEED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56373578">
    <w:abstractNumId w:val="3"/>
  </w:num>
  <w:num w:numId="2" w16cid:durableId="277295140">
    <w:abstractNumId w:val="2"/>
  </w:num>
  <w:num w:numId="3" w16cid:durableId="1073545965">
    <w:abstractNumId w:val="1"/>
  </w:num>
  <w:num w:numId="4" w16cid:durableId="102499368">
    <w:abstractNumId w:val="4"/>
  </w:num>
  <w:num w:numId="5" w16cid:durableId="1469326066">
    <w:abstractNumId w:val="5"/>
  </w:num>
  <w:num w:numId="6" w16cid:durableId="1830293115">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599"/>
    <w:rsid w:val="00020D6C"/>
    <w:rsid w:val="00023B8C"/>
    <w:rsid w:val="000859EB"/>
    <w:rsid w:val="00087DED"/>
    <w:rsid w:val="00097CF2"/>
    <w:rsid w:val="000A45EB"/>
    <w:rsid w:val="000D12EB"/>
    <w:rsid w:val="000D2286"/>
    <w:rsid w:val="00141287"/>
    <w:rsid w:val="00195BE1"/>
    <w:rsid w:val="001A2DB4"/>
    <w:rsid w:val="001B4DC2"/>
    <w:rsid w:val="001C3207"/>
    <w:rsid w:val="001C6423"/>
    <w:rsid w:val="001D6CF9"/>
    <w:rsid w:val="001D72BB"/>
    <w:rsid w:val="002022CA"/>
    <w:rsid w:val="002177B9"/>
    <w:rsid w:val="00232B4D"/>
    <w:rsid w:val="00251421"/>
    <w:rsid w:val="00265BE5"/>
    <w:rsid w:val="0029081E"/>
    <w:rsid w:val="002C0B15"/>
    <w:rsid w:val="002D34BC"/>
    <w:rsid w:val="002F1B70"/>
    <w:rsid w:val="002F30F8"/>
    <w:rsid w:val="00307E37"/>
    <w:rsid w:val="0033649C"/>
    <w:rsid w:val="003700A7"/>
    <w:rsid w:val="00397E11"/>
    <w:rsid w:val="003A3E4B"/>
    <w:rsid w:val="003A44FD"/>
    <w:rsid w:val="003B0A1F"/>
    <w:rsid w:val="003B2599"/>
    <w:rsid w:val="003B71EA"/>
    <w:rsid w:val="003C701B"/>
    <w:rsid w:val="003E4BDB"/>
    <w:rsid w:val="003E516A"/>
    <w:rsid w:val="003E6314"/>
    <w:rsid w:val="003F3C87"/>
    <w:rsid w:val="0040463B"/>
    <w:rsid w:val="0048116B"/>
    <w:rsid w:val="004858F2"/>
    <w:rsid w:val="00486D0B"/>
    <w:rsid w:val="00492C19"/>
    <w:rsid w:val="004B1059"/>
    <w:rsid w:val="0052457F"/>
    <w:rsid w:val="0054378C"/>
    <w:rsid w:val="0056198E"/>
    <w:rsid w:val="00561F2A"/>
    <w:rsid w:val="00562ED3"/>
    <w:rsid w:val="00566626"/>
    <w:rsid w:val="0059744F"/>
    <w:rsid w:val="005C5FB8"/>
    <w:rsid w:val="005D696B"/>
    <w:rsid w:val="00610965"/>
    <w:rsid w:val="00615759"/>
    <w:rsid w:val="006354E3"/>
    <w:rsid w:val="006D0324"/>
    <w:rsid w:val="006D7332"/>
    <w:rsid w:val="00713ABB"/>
    <w:rsid w:val="00714942"/>
    <w:rsid w:val="007547AF"/>
    <w:rsid w:val="00756AE0"/>
    <w:rsid w:val="00766382"/>
    <w:rsid w:val="007704ED"/>
    <w:rsid w:val="00785F88"/>
    <w:rsid w:val="007A12F1"/>
    <w:rsid w:val="007A795A"/>
    <w:rsid w:val="007B0B52"/>
    <w:rsid w:val="007D10BA"/>
    <w:rsid w:val="007F331A"/>
    <w:rsid w:val="00801AF8"/>
    <w:rsid w:val="00812447"/>
    <w:rsid w:val="00827100"/>
    <w:rsid w:val="008473BE"/>
    <w:rsid w:val="00851794"/>
    <w:rsid w:val="00856811"/>
    <w:rsid w:val="00876B7F"/>
    <w:rsid w:val="008A6C18"/>
    <w:rsid w:val="008C3077"/>
    <w:rsid w:val="008F3EC0"/>
    <w:rsid w:val="0090661D"/>
    <w:rsid w:val="00922F36"/>
    <w:rsid w:val="00930FFA"/>
    <w:rsid w:val="00932657"/>
    <w:rsid w:val="009934AD"/>
    <w:rsid w:val="009C33EA"/>
    <w:rsid w:val="009C34A4"/>
    <w:rsid w:val="009C77D6"/>
    <w:rsid w:val="009D0FE1"/>
    <w:rsid w:val="00A55D0E"/>
    <w:rsid w:val="00A7038A"/>
    <w:rsid w:val="00A85790"/>
    <w:rsid w:val="00AA049D"/>
    <w:rsid w:val="00AC1930"/>
    <w:rsid w:val="00B2119E"/>
    <w:rsid w:val="00B27010"/>
    <w:rsid w:val="00B34F23"/>
    <w:rsid w:val="00B5152C"/>
    <w:rsid w:val="00B550D3"/>
    <w:rsid w:val="00B55AEF"/>
    <w:rsid w:val="00B75C82"/>
    <w:rsid w:val="00BB6EAE"/>
    <w:rsid w:val="00BC6FCF"/>
    <w:rsid w:val="00BD2503"/>
    <w:rsid w:val="00BD2BB0"/>
    <w:rsid w:val="00BD341A"/>
    <w:rsid w:val="00BE7132"/>
    <w:rsid w:val="00C3589A"/>
    <w:rsid w:val="00C37252"/>
    <w:rsid w:val="00C37D1C"/>
    <w:rsid w:val="00C71727"/>
    <w:rsid w:val="00C8639D"/>
    <w:rsid w:val="00C97BB7"/>
    <w:rsid w:val="00CA0AB7"/>
    <w:rsid w:val="00CA241E"/>
    <w:rsid w:val="00CC5703"/>
    <w:rsid w:val="00CF3816"/>
    <w:rsid w:val="00D018C5"/>
    <w:rsid w:val="00D07835"/>
    <w:rsid w:val="00D10645"/>
    <w:rsid w:val="00D80F47"/>
    <w:rsid w:val="00D90CC8"/>
    <w:rsid w:val="00D965CA"/>
    <w:rsid w:val="00DA4DD2"/>
    <w:rsid w:val="00DB0582"/>
    <w:rsid w:val="00DB10BE"/>
    <w:rsid w:val="00DC4D3A"/>
    <w:rsid w:val="00DF6243"/>
    <w:rsid w:val="00E013EE"/>
    <w:rsid w:val="00E20CCC"/>
    <w:rsid w:val="00E93AC5"/>
    <w:rsid w:val="00E97873"/>
    <w:rsid w:val="00EA34B0"/>
    <w:rsid w:val="00ED2D8F"/>
    <w:rsid w:val="00F14934"/>
    <w:rsid w:val="00F415B4"/>
    <w:rsid w:val="00F41C58"/>
    <w:rsid w:val="00F4710C"/>
    <w:rsid w:val="00F5636C"/>
    <w:rsid w:val="00FB5585"/>
    <w:rsid w:val="00FC330D"/>
    <w:rsid w:val="0BDF426A"/>
    <w:rsid w:val="0D42E0F5"/>
    <w:rsid w:val="1848884B"/>
    <w:rsid w:val="278E2B78"/>
    <w:rsid w:val="42F3F890"/>
    <w:rsid w:val="49EA3AC5"/>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51B17A"/>
  <w15:chartTrackingRefBased/>
  <w15:docId w15:val="{E6E6EF38-2E71-4318-B71E-2770E78A0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A24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80F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2599"/>
    <w:pPr>
      <w:tabs>
        <w:tab w:val="center" w:pos="4252"/>
        <w:tab w:val="right" w:pos="8504"/>
      </w:tabs>
      <w:spacing w:after="0" w:line="240" w:lineRule="auto"/>
    </w:pPr>
  </w:style>
  <w:style w:type="character" w:customStyle="1" w:styleId="HeaderChar">
    <w:name w:val="Header Char"/>
    <w:basedOn w:val="DefaultParagraphFont"/>
    <w:link w:val="Header"/>
    <w:uiPriority w:val="99"/>
    <w:rsid w:val="003B2599"/>
    <w:rPr>
      <w:lang w:val="en-GB"/>
    </w:rPr>
  </w:style>
  <w:style w:type="paragraph" w:styleId="Footer">
    <w:name w:val="footer"/>
    <w:basedOn w:val="Normal"/>
    <w:link w:val="FooterChar"/>
    <w:uiPriority w:val="99"/>
    <w:unhideWhenUsed/>
    <w:rsid w:val="003B2599"/>
    <w:pPr>
      <w:tabs>
        <w:tab w:val="center" w:pos="4252"/>
        <w:tab w:val="right" w:pos="8504"/>
      </w:tabs>
      <w:spacing w:after="0" w:line="240" w:lineRule="auto"/>
    </w:pPr>
  </w:style>
  <w:style w:type="character" w:customStyle="1" w:styleId="FooterChar">
    <w:name w:val="Footer Char"/>
    <w:basedOn w:val="DefaultParagraphFont"/>
    <w:link w:val="Footer"/>
    <w:uiPriority w:val="99"/>
    <w:rsid w:val="003B2599"/>
    <w:rPr>
      <w:lang w:val="en-GB"/>
    </w:rPr>
  </w:style>
  <w:style w:type="character" w:styleId="CommentReference">
    <w:name w:val="annotation reference"/>
    <w:basedOn w:val="DefaultParagraphFont"/>
    <w:uiPriority w:val="99"/>
    <w:semiHidden/>
    <w:unhideWhenUsed/>
    <w:rsid w:val="003B2599"/>
    <w:rPr>
      <w:sz w:val="16"/>
      <w:szCs w:val="16"/>
    </w:rPr>
  </w:style>
  <w:style w:type="paragraph" w:styleId="CommentText">
    <w:name w:val="annotation text"/>
    <w:basedOn w:val="Normal"/>
    <w:link w:val="CommentTextChar"/>
    <w:uiPriority w:val="99"/>
    <w:semiHidden/>
    <w:unhideWhenUsed/>
    <w:rsid w:val="003B2599"/>
    <w:pPr>
      <w:spacing w:line="240" w:lineRule="auto"/>
    </w:pPr>
    <w:rPr>
      <w:sz w:val="20"/>
      <w:szCs w:val="20"/>
    </w:rPr>
  </w:style>
  <w:style w:type="character" w:customStyle="1" w:styleId="CommentTextChar">
    <w:name w:val="Comment Text Char"/>
    <w:basedOn w:val="DefaultParagraphFont"/>
    <w:link w:val="CommentText"/>
    <w:uiPriority w:val="99"/>
    <w:semiHidden/>
    <w:rsid w:val="003B2599"/>
    <w:rPr>
      <w:sz w:val="20"/>
      <w:szCs w:val="20"/>
      <w:lang w:val="en-GB"/>
    </w:rPr>
  </w:style>
  <w:style w:type="paragraph" w:styleId="CommentSubject">
    <w:name w:val="annotation subject"/>
    <w:basedOn w:val="CommentText"/>
    <w:next w:val="CommentText"/>
    <w:link w:val="CommentSubjectChar"/>
    <w:uiPriority w:val="99"/>
    <w:semiHidden/>
    <w:unhideWhenUsed/>
    <w:rsid w:val="003B2599"/>
    <w:rPr>
      <w:b/>
      <w:bCs/>
    </w:rPr>
  </w:style>
  <w:style w:type="character" w:customStyle="1" w:styleId="CommentSubjectChar">
    <w:name w:val="Comment Subject Char"/>
    <w:basedOn w:val="CommentTextChar"/>
    <w:link w:val="CommentSubject"/>
    <w:uiPriority w:val="99"/>
    <w:semiHidden/>
    <w:rsid w:val="003B2599"/>
    <w:rPr>
      <w:b/>
      <w:bCs/>
      <w:sz w:val="20"/>
      <w:szCs w:val="20"/>
      <w:lang w:val="en-GB"/>
    </w:rPr>
  </w:style>
  <w:style w:type="paragraph" w:styleId="Title">
    <w:name w:val="Title"/>
    <w:basedOn w:val="Normal"/>
    <w:next w:val="Normal"/>
    <w:link w:val="TitleChar"/>
    <w:uiPriority w:val="10"/>
    <w:qFormat/>
    <w:rsid w:val="00CA241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241E"/>
    <w:rPr>
      <w:rFonts w:asciiTheme="majorHAnsi" w:eastAsiaTheme="majorEastAsia" w:hAnsiTheme="majorHAnsi" w:cstheme="majorBidi"/>
      <w:spacing w:val="-10"/>
      <w:kern w:val="28"/>
      <w:sz w:val="56"/>
      <w:szCs w:val="56"/>
      <w:lang w:val="en-GB"/>
    </w:rPr>
  </w:style>
  <w:style w:type="character" w:customStyle="1" w:styleId="Heading1Char">
    <w:name w:val="Heading 1 Char"/>
    <w:basedOn w:val="DefaultParagraphFont"/>
    <w:link w:val="Heading1"/>
    <w:uiPriority w:val="9"/>
    <w:rsid w:val="00CA241E"/>
    <w:rPr>
      <w:rFonts w:asciiTheme="majorHAnsi" w:eastAsiaTheme="majorEastAsia" w:hAnsiTheme="majorHAnsi" w:cstheme="majorBidi"/>
      <w:color w:val="2F5496" w:themeColor="accent1" w:themeShade="BF"/>
      <w:sz w:val="32"/>
      <w:szCs w:val="32"/>
      <w:lang w:val="en-GB"/>
    </w:rPr>
  </w:style>
  <w:style w:type="paragraph" w:styleId="ListParagraph">
    <w:name w:val="List Paragraph"/>
    <w:basedOn w:val="Normal"/>
    <w:uiPriority w:val="34"/>
    <w:qFormat/>
    <w:rsid w:val="000859EB"/>
    <w:pPr>
      <w:spacing w:after="200" w:line="276" w:lineRule="auto"/>
      <w:ind w:left="720"/>
      <w:contextualSpacing/>
    </w:pPr>
    <w:rPr>
      <w:lang w:val="es-ES"/>
    </w:rPr>
  </w:style>
  <w:style w:type="table" w:styleId="TableGrid">
    <w:name w:val="Table Grid"/>
    <w:basedOn w:val="TableNormal"/>
    <w:uiPriority w:val="39"/>
    <w:rsid w:val="00B75C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D7332"/>
    <w:pPr>
      <w:spacing w:after="0" w:line="240" w:lineRule="auto"/>
    </w:pPr>
    <w:rPr>
      <w:lang w:val="en-GB"/>
    </w:rPr>
  </w:style>
  <w:style w:type="paragraph" w:styleId="FootnoteText">
    <w:name w:val="footnote text"/>
    <w:basedOn w:val="Normal"/>
    <w:link w:val="FootnoteTextChar"/>
    <w:uiPriority w:val="99"/>
    <w:semiHidden/>
    <w:unhideWhenUsed/>
    <w:rsid w:val="00562ED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62ED3"/>
    <w:rPr>
      <w:sz w:val="20"/>
      <w:szCs w:val="20"/>
      <w:lang w:val="en-GB"/>
    </w:rPr>
  </w:style>
  <w:style w:type="character" w:styleId="FootnoteReference">
    <w:name w:val="footnote reference"/>
    <w:basedOn w:val="DefaultParagraphFont"/>
    <w:uiPriority w:val="99"/>
    <w:semiHidden/>
    <w:unhideWhenUsed/>
    <w:rsid w:val="00562ED3"/>
    <w:rPr>
      <w:vertAlign w:val="superscript"/>
    </w:rPr>
  </w:style>
  <w:style w:type="character" w:styleId="Hyperlink">
    <w:name w:val="Hyperlink"/>
    <w:basedOn w:val="DefaultParagraphFont"/>
    <w:uiPriority w:val="99"/>
    <w:semiHidden/>
    <w:unhideWhenUsed/>
    <w:rsid w:val="00562ED3"/>
    <w:rPr>
      <w:color w:val="0000FF"/>
      <w:u w:val="single"/>
    </w:rPr>
  </w:style>
  <w:style w:type="character" w:customStyle="1" w:styleId="Heading2Char">
    <w:name w:val="Heading 2 Char"/>
    <w:basedOn w:val="DefaultParagraphFont"/>
    <w:link w:val="Heading2"/>
    <w:uiPriority w:val="9"/>
    <w:rsid w:val="00D80F47"/>
    <w:rPr>
      <w:rFonts w:asciiTheme="majorHAnsi" w:eastAsiaTheme="majorEastAsia" w:hAnsiTheme="majorHAnsi" w:cstheme="majorBidi"/>
      <w:color w:val="2F5496" w:themeColor="accent1" w:themeShade="BF"/>
      <w:sz w:val="26"/>
      <w:szCs w:val="26"/>
      <w:lang w:val="en-GB"/>
    </w:rPr>
  </w:style>
  <w:style w:type="paragraph" w:styleId="EndnoteText">
    <w:name w:val="endnote text"/>
    <w:basedOn w:val="Normal"/>
    <w:link w:val="EndnoteTextChar"/>
    <w:uiPriority w:val="99"/>
    <w:semiHidden/>
    <w:unhideWhenUsed/>
    <w:rsid w:val="00BE7132"/>
    <w:pPr>
      <w:spacing w:after="0" w:line="240" w:lineRule="auto"/>
    </w:pPr>
    <w:rPr>
      <w:sz w:val="20"/>
      <w:szCs w:val="20"/>
      <w:lang w:val="es-ES"/>
    </w:rPr>
  </w:style>
  <w:style w:type="character" w:customStyle="1" w:styleId="EndnoteTextChar">
    <w:name w:val="Endnote Text Char"/>
    <w:basedOn w:val="DefaultParagraphFont"/>
    <w:link w:val="EndnoteText"/>
    <w:uiPriority w:val="99"/>
    <w:semiHidden/>
    <w:rsid w:val="00BE7132"/>
    <w:rPr>
      <w:sz w:val="20"/>
      <w:szCs w:val="20"/>
    </w:rPr>
  </w:style>
  <w:style w:type="character" w:styleId="EndnoteReference">
    <w:name w:val="endnote reference"/>
    <w:basedOn w:val="DefaultParagraphFont"/>
    <w:uiPriority w:val="99"/>
    <w:semiHidden/>
    <w:unhideWhenUsed/>
    <w:rsid w:val="00BE713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796114">
      <w:bodyDiv w:val="1"/>
      <w:marLeft w:val="0"/>
      <w:marRight w:val="0"/>
      <w:marTop w:val="0"/>
      <w:marBottom w:val="0"/>
      <w:divBdr>
        <w:top w:val="none" w:sz="0" w:space="0" w:color="auto"/>
        <w:left w:val="none" w:sz="0" w:space="0" w:color="auto"/>
        <w:bottom w:val="none" w:sz="0" w:space="0" w:color="auto"/>
        <w:right w:val="none" w:sz="0" w:space="0" w:color="auto"/>
      </w:divBdr>
    </w:div>
    <w:div w:id="955450281">
      <w:bodyDiv w:val="1"/>
      <w:marLeft w:val="0"/>
      <w:marRight w:val="0"/>
      <w:marTop w:val="0"/>
      <w:marBottom w:val="0"/>
      <w:divBdr>
        <w:top w:val="none" w:sz="0" w:space="0" w:color="auto"/>
        <w:left w:val="none" w:sz="0" w:space="0" w:color="auto"/>
        <w:bottom w:val="none" w:sz="0" w:space="0" w:color="auto"/>
        <w:right w:val="none" w:sz="0" w:space="0" w:color="auto"/>
      </w:divBdr>
    </w:div>
    <w:div w:id="1175415556">
      <w:bodyDiv w:val="1"/>
      <w:marLeft w:val="0"/>
      <w:marRight w:val="0"/>
      <w:marTop w:val="0"/>
      <w:marBottom w:val="0"/>
      <w:divBdr>
        <w:top w:val="none" w:sz="0" w:space="0" w:color="auto"/>
        <w:left w:val="none" w:sz="0" w:space="0" w:color="auto"/>
        <w:bottom w:val="none" w:sz="0" w:space="0" w:color="auto"/>
        <w:right w:val="none" w:sz="0" w:space="0" w:color="auto"/>
      </w:divBdr>
    </w:div>
    <w:div w:id="1229074930">
      <w:bodyDiv w:val="1"/>
      <w:marLeft w:val="0"/>
      <w:marRight w:val="0"/>
      <w:marTop w:val="0"/>
      <w:marBottom w:val="0"/>
      <w:divBdr>
        <w:top w:val="none" w:sz="0" w:space="0" w:color="auto"/>
        <w:left w:val="none" w:sz="0" w:space="0" w:color="auto"/>
        <w:bottom w:val="none" w:sz="0" w:space="0" w:color="auto"/>
        <w:right w:val="none" w:sz="0" w:space="0" w:color="auto"/>
      </w:divBdr>
    </w:div>
    <w:div w:id="1369991573">
      <w:bodyDiv w:val="1"/>
      <w:marLeft w:val="0"/>
      <w:marRight w:val="0"/>
      <w:marTop w:val="0"/>
      <w:marBottom w:val="0"/>
      <w:divBdr>
        <w:top w:val="none" w:sz="0" w:space="0" w:color="auto"/>
        <w:left w:val="none" w:sz="0" w:space="0" w:color="auto"/>
        <w:bottom w:val="none" w:sz="0" w:space="0" w:color="auto"/>
        <w:right w:val="none" w:sz="0" w:space="0" w:color="auto"/>
      </w:divBdr>
    </w:div>
    <w:div w:id="1431001435">
      <w:bodyDiv w:val="1"/>
      <w:marLeft w:val="0"/>
      <w:marRight w:val="0"/>
      <w:marTop w:val="0"/>
      <w:marBottom w:val="0"/>
      <w:divBdr>
        <w:top w:val="none" w:sz="0" w:space="0" w:color="auto"/>
        <w:left w:val="none" w:sz="0" w:space="0" w:color="auto"/>
        <w:bottom w:val="none" w:sz="0" w:space="0" w:color="auto"/>
        <w:right w:val="none" w:sz="0" w:space="0" w:color="auto"/>
      </w:divBdr>
    </w:div>
    <w:div w:id="1479686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itanos.org/actualidad/el_exito_educativo__el_acceso_al_empleo_y_la_lucha_contra_la_discriminacion__han_sido_las_prioridades_para_la_fundacion_secretariado_gitano_en_202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boe.es/buscar/act.php?id=BOE-A-2022-11589" TargetMode="External"/><Relationship Id="rId2" Type="http://schemas.openxmlformats.org/officeDocument/2006/relationships/hyperlink" Target="https://www.gitanos.org/upload/18/56/GUIA_DISCRIMINACION_INTERSECCIONAL_FSG.pdf" TargetMode="External"/><Relationship Id="rId1" Type="http://schemas.openxmlformats.org/officeDocument/2006/relationships/hyperlink" Target="https://www.caritas.es/main-files/uploads/2024/11/CARITAS-analisis-y-persectivas-2024-digital-diciembre-2024.pdf" TargetMode="External"/><Relationship Id="rId4" Type="http://schemas.openxmlformats.org/officeDocument/2006/relationships/hyperlink" Target="https://tbinternet.ohchr.org/_layouts/15/treatybodyexternal/Download.aspx?symbolno=INT%2FCRC%2FNGO%2FESP%2F66574&amp;Lang=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033FC-4C84-41E3-93E4-7C186759EA76}">
  <ds:schemaRefs>
    <ds:schemaRef ds:uri="http://schemas.openxmlformats.org/officeDocument/2006/bibliography"/>
  </ds:schemaRefs>
</ds:datastoreItem>
</file>

<file path=docMetadata/LabelInfo.xml><?xml version="1.0" encoding="utf-8"?>
<clbl:labelList xmlns:clbl="http://schemas.microsoft.com/office/2020/mipLabelMetadata">
  <clbl:label id="{7eb58d0f-f804-411f-a20e-09ebfae62b4c}"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3</Pages>
  <Words>2887</Words>
  <Characters>16116</Characters>
  <Application>Microsoft Office Word</Application>
  <DocSecurity>4</DocSecurity>
  <Lines>251</Lines>
  <Paragraphs>68</Paragraphs>
  <ScaleCrop>false</ScaleCrop>
  <HeadingPairs>
    <vt:vector size="2" baseType="variant">
      <vt:variant>
        <vt:lpstr>Título</vt:lpstr>
      </vt:variant>
      <vt:variant>
        <vt:i4>1</vt:i4>
      </vt:variant>
    </vt:vector>
  </HeadingPairs>
  <TitlesOfParts>
    <vt:vector size="1" baseType="lpstr">
      <vt:lpstr/>
    </vt:vector>
  </TitlesOfParts>
  <Company>FSG</Company>
  <LinksUpToDate>false</LinksUpToDate>
  <CharactersWithSpaces>18935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CSS. de la Serna Sandoval</dc:creator>
  <cp:keywords/>
  <dc:description/>
  <cp:lastModifiedBy>Alejandra Ines Alvite Pose</cp:lastModifiedBy>
  <cp:revision>2</cp:revision>
  <dcterms:created xsi:type="dcterms:W3CDTF">2026-06-05T14:51:00Z</dcterms:created>
  <dcterms:modified xsi:type="dcterms:W3CDTF">2026-06-05T14:51:00Z</dcterms:modified>
</cp:coreProperties>
</file>