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588C28" w14:textId="77777777" w:rsidR="0001275F" w:rsidRDefault="0001275F" w:rsidP="0001275F">
      <w:pPr>
        <w:jc w:val="center"/>
        <w:rPr>
          <w:b/>
          <w:bCs/>
          <w:sz w:val="28"/>
          <w:szCs w:val="28"/>
        </w:rPr>
      </w:pPr>
      <w:r w:rsidRPr="0001275F">
        <w:rPr>
          <w:rFonts w:ascii="Calibri" w:eastAsia="Calibri" w:hAnsi="Calibri" w:cs="Arial"/>
          <w:noProof/>
          <w14:ligatures w14:val="standardContextual"/>
        </w:rPr>
        <w:drawing>
          <wp:inline distT="0" distB="0" distL="0" distR="0" wp14:anchorId="7414B2D6" wp14:editId="591DB978">
            <wp:extent cx="1079500" cy="107950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079500" cy="1079500"/>
                    </a:xfrm>
                    <a:prstGeom prst="rect">
                      <a:avLst/>
                    </a:prstGeom>
                  </pic:spPr>
                </pic:pic>
              </a:graphicData>
            </a:graphic>
          </wp:inline>
        </w:drawing>
      </w:r>
    </w:p>
    <w:p w14:paraId="5E9B0C91" w14:textId="77777777" w:rsidR="0001275F" w:rsidRDefault="0001275F" w:rsidP="00000944">
      <w:pPr>
        <w:rPr>
          <w:b/>
          <w:bCs/>
          <w:sz w:val="28"/>
          <w:szCs w:val="28"/>
        </w:rPr>
      </w:pPr>
    </w:p>
    <w:p w14:paraId="15B77C52" w14:textId="6705A515" w:rsidR="00000944" w:rsidRPr="005E258E" w:rsidRDefault="00000944" w:rsidP="005E258E">
      <w:pPr>
        <w:jc w:val="center"/>
        <w:rPr>
          <w:b/>
          <w:bCs/>
        </w:rPr>
      </w:pPr>
      <w:r w:rsidRPr="005E258E">
        <w:rPr>
          <w:b/>
          <w:bCs/>
        </w:rPr>
        <w:t>Canada: Submission to the UN Committee on the Rights of Persons with Disabilities</w:t>
      </w:r>
    </w:p>
    <w:p w14:paraId="3BDA29B7" w14:textId="431CD64B" w:rsidR="00000944" w:rsidRPr="005E258E" w:rsidRDefault="00000944" w:rsidP="005E258E">
      <w:pPr>
        <w:jc w:val="center"/>
        <w:rPr>
          <w:b/>
          <w:bCs/>
        </w:rPr>
      </w:pPr>
      <w:r w:rsidRPr="005E258E">
        <w:rPr>
          <w:b/>
          <w:bCs/>
        </w:rPr>
        <w:t>32nd Session</w:t>
      </w:r>
    </w:p>
    <w:p w14:paraId="0C4420E9" w14:textId="4A51E3A5" w:rsidR="00000944" w:rsidRPr="005E258E" w:rsidRDefault="007D31D2" w:rsidP="005E258E">
      <w:pPr>
        <w:jc w:val="center"/>
        <w:rPr>
          <w:b/>
          <w:bCs/>
        </w:rPr>
      </w:pPr>
      <w:r>
        <w:rPr>
          <w:b/>
          <w:bCs/>
        </w:rPr>
        <w:t>January</w:t>
      </w:r>
      <w:r w:rsidR="00000944" w:rsidRPr="005E258E">
        <w:rPr>
          <w:b/>
          <w:bCs/>
        </w:rPr>
        <w:t xml:space="preserve"> 2025</w:t>
      </w:r>
    </w:p>
    <w:p w14:paraId="5EF82555" w14:textId="77777777" w:rsidR="00E1766B" w:rsidRPr="00E1766B" w:rsidRDefault="00E1766B" w:rsidP="00000944">
      <w:pPr>
        <w:rPr>
          <w:sz w:val="24"/>
          <w:szCs w:val="24"/>
        </w:rPr>
      </w:pPr>
    </w:p>
    <w:p w14:paraId="3ACD2263" w14:textId="01E1E61B" w:rsidR="00000944" w:rsidRPr="00F07877" w:rsidRDefault="00000944" w:rsidP="00000944">
      <w:pPr>
        <w:rPr>
          <w:bCs/>
        </w:rPr>
      </w:pPr>
      <w:r w:rsidRPr="00F07877">
        <w:t>Human Rights Watch</w:t>
      </w:r>
      <w:r w:rsidRPr="00F07877">
        <w:rPr>
          <w:rStyle w:val="FootnoteReference"/>
          <w:rFonts w:ascii="MetaPro-Norm" w:hAnsi="MetaPro-Norm"/>
        </w:rPr>
        <w:footnoteReference w:id="2"/>
      </w:r>
      <w:r w:rsidRPr="00F07877">
        <w:t xml:space="preserve"> welcomes the opportunity to provide input to the Committee on the Rights of Persons with Disabilities (the “Committee”) in advance of its upcoming review of Canada. This submission highlights areas of concern that Human Rights Watch hopes will inform the Committee’s consideration of Canada’s compliance with the Convention on the Rights of Persons with Disabilities (CRPD). It focuses on </w:t>
      </w:r>
      <w:r w:rsidR="00096AD2" w:rsidRPr="00F07877">
        <w:t xml:space="preserve">how Canada’s immigration detention system routinely discriminates against people with disabilities, including through widespread violations of their legal capacity rights that strip them of their ability to make crucial decisions about their own lives. The submission </w:t>
      </w:r>
      <w:r w:rsidRPr="00F07877">
        <w:rPr>
          <w:bCs/>
        </w:rPr>
        <w:t>relates to Canada’s overall obligations toward the CRPD, specifically article 12</w:t>
      </w:r>
      <w:r w:rsidR="00395C53" w:rsidRPr="00F07877">
        <w:rPr>
          <w:bCs/>
        </w:rPr>
        <w:t xml:space="preserve"> (but also articles 5, 13</w:t>
      </w:r>
      <w:r w:rsidR="001F13C1" w:rsidRPr="00F07877">
        <w:rPr>
          <w:bCs/>
        </w:rPr>
        <w:t>,</w:t>
      </w:r>
      <w:r w:rsidR="00395C53" w:rsidRPr="00F07877">
        <w:rPr>
          <w:bCs/>
        </w:rPr>
        <w:t xml:space="preserve"> 14</w:t>
      </w:r>
      <w:r w:rsidR="001F13C1" w:rsidRPr="00F07877">
        <w:rPr>
          <w:bCs/>
        </w:rPr>
        <w:t xml:space="preserve"> and 15</w:t>
      </w:r>
      <w:r w:rsidR="00395C53" w:rsidRPr="00F07877">
        <w:rPr>
          <w:bCs/>
        </w:rPr>
        <w:t>)</w:t>
      </w:r>
      <w:r w:rsidRPr="00F07877">
        <w:rPr>
          <w:bCs/>
        </w:rPr>
        <w:t>.</w:t>
      </w:r>
    </w:p>
    <w:p w14:paraId="32338514" w14:textId="1F9CF6D0" w:rsidR="00000944" w:rsidRPr="00F07877" w:rsidRDefault="00000944" w:rsidP="00034904">
      <w:pPr>
        <w:rPr>
          <w:bCs/>
        </w:rPr>
      </w:pPr>
      <w:r w:rsidRPr="00F07877">
        <w:rPr>
          <w:bCs/>
        </w:rPr>
        <w:t>Human Rights Watch has documented abuses against persons with psychosocial disabilities in immigration detention in Canada since 2019 and continues to monitor the situation.</w:t>
      </w:r>
      <w:r w:rsidR="00096AD2" w:rsidRPr="00F07877">
        <w:rPr>
          <w:rStyle w:val="FootnoteReference"/>
          <w:rFonts w:ascii="MetaPro-Norm" w:hAnsi="MetaPro-Norm"/>
          <w:bCs/>
        </w:rPr>
        <w:footnoteReference w:id="3"/>
      </w:r>
      <w:r w:rsidRPr="00F07877">
        <w:rPr>
          <w:bCs/>
        </w:rPr>
        <w:t xml:space="preserve"> </w:t>
      </w:r>
      <w:r w:rsidR="00096AD2" w:rsidRPr="00F07877">
        <w:rPr>
          <w:bCs/>
        </w:rPr>
        <w:t xml:space="preserve">In </w:t>
      </w:r>
      <w:r w:rsidR="00E1766B" w:rsidRPr="00F07877">
        <w:rPr>
          <w:bCs/>
        </w:rPr>
        <w:t>December</w:t>
      </w:r>
      <w:r w:rsidR="00096AD2" w:rsidRPr="00F07877">
        <w:rPr>
          <w:bCs/>
        </w:rPr>
        <w:t xml:space="preserve"> 20</w:t>
      </w:r>
      <w:r w:rsidR="00E1766B" w:rsidRPr="00F07877">
        <w:rPr>
          <w:bCs/>
        </w:rPr>
        <w:t>24</w:t>
      </w:r>
      <w:r w:rsidR="00096AD2" w:rsidRPr="00F07877">
        <w:rPr>
          <w:bCs/>
        </w:rPr>
        <w:t>, Human Rights Watch published a 40-page report,</w:t>
      </w:r>
      <w:r w:rsidR="001159DA" w:rsidRPr="00F07877">
        <w:rPr>
          <w:bCs/>
        </w:rPr>
        <w:t xml:space="preserve"> “</w:t>
      </w:r>
      <w:bookmarkStart w:id="1" w:name="_Hlk182917872"/>
      <w:r w:rsidR="00096AD2" w:rsidRPr="00F07877">
        <w:rPr>
          <w:bCs/>
        </w:rPr>
        <w:fldChar w:fldCharType="begin"/>
      </w:r>
      <w:r w:rsidR="00096AD2" w:rsidRPr="00F07877">
        <w:rPr>
          <w:bCs/>
        </w:rPr>
        <w:instrText>HYPERLINK "https://www.hrw.org/node/389563"</w:instrText>
      </w:r>
      <w:r w:rsidR="00096AD2" w:rsidRPr="00F07877">
        <w:rPr>
          <w:bCs/>
        </w:rPr>
      </w:r>
      <w:r w:rsidR="00096AD2" w:rsidRPr="00F07877">
        <w:rPr>
          <w:bCs/>
        </w:rPr>
        <w:fldChar w:fldCharType="separate"/>
      </w:r>
      <w:r w:rsidR="0096528A" w:rsidRPr="00F07877">
        <w:rPr>
          <w:rStyle w:val="Hyperlink"/>
          <w:bCs/>
        </w:rPr>
        <w:t>‘I</w:t>
      </w:r>
      <w:r w:rsidR="00096AD2" w:rsidRPr="00F07877">
        <w:rPr>
          <w:rStyle w:val="Hyperlink"/>
          <w:bCs/>
        </w:rPr>
        <w:t>t Felt Like Everything in Life Stopped’: Legal Capacity Rights Violations Against People with Disabilities in Canada’s Immigration Detention System</w:t>
      </w:r>
      <w:r w:rsidR="00096AD2" w:rsidRPr="00F07877">
        <w:rPr>
          <w:bCs/>
        </w:rPr>
        <w:fldChar w:fldCharType="end"/>
      </w:r>
      <w:bookmarkEnd w:id="1"/>
      <w:r w:rsidR="00096AD2" w:rsidRPr="00F07877">
        <w:rPr>
          <w:bCs/>
        </w:rPr>
        <w:t xml:space="preserve">,” which documented how the use of designated representatives undermines the </w:t>
      </w:r>
      <w:r w:rsidR="00096AD2" w:rsidRPr="00F07877">
        <w:rPr>
          <w:bCs/>
        </w:rPr>
        <w:lastRenderedPageBreak/>
        <w:t>rights of immigration detainees with disabilities to make their own decisions, often with life-altering or even life-endangering consequences. </w:t>
      </w:r>
    </w:p>
    <w:p w14:paraId="5F93B23F" w14:textId="3DD829A9" w:rsidR="00C37A3B" w:rsidRPr="00F07877" w:rsidRDefault="00034904">
      <w:pPr>
        <w:rPr>
          <w:i/>
          <w:iCs/>
        </w:rPr>
      </w:pPr>
      <w:r w:rsidRPr="00F07877">
        <w:rPr>
          <w:i/>
          <w:iCs/>
        </w:rPr>
        <w:t>Background</w:t>
      </w:r>
    </w:p>
    <w:p w14:paraId="5188103D" w14:textId="56B998A4" w:rsidR="006D3600" w:rsidRPr="00F07877" w:rsidRDefault="00E1766B" w:rsidP="00034904">
      <w:r w:rsidRPr="00F07877">
        <w:t xml:space="preserve">Since 2016, Canada </w:t>
      </w:r>
      <w:r w:rsidR="00385FB0" w:rsidRPr="00F07877">
        <w:t xml:space="preserve">has </w:t>
      </w:r>
      <w:r w:rsidRPr="00F07877">
        <w:t>placed approximately 45,000 people in immigration detention, including refugee claimants, children, persons with disabilities, pregnant persons, and permanent residents.</w:t>
      </w:r>
      <w:r w:rsidRPr="00F07877">
        <w:rPr>
          <w:vertAlign w:val="superscript"/>
        </w:rPr>
        <w:footnoteReference w:id="4"/>
      </w:r>
      <w:r w:rsidRPr="00F07877">
        <w:t xml:space="preserve"> </w:t>
      </w:r>
      <w:r w:rsidR="005674EF" w:rsidRPr="00F07877">
        <w:t>O</w:t>
      </w:r>
      <w:r w:rsidRPr="00F07877">
        <w:t xml:space="preserve">ver 90 percent of </w:t>
      </w:r>
      <w:r w:rsidR="005674EF" w:rsidRPr="00F07877">
        <w:t xml:space="preserve">those people </w:t>
      </w:r>
      <w:r w:rsidRPr="00F07877">
        <w:t>were held on grounds unrelated to public safety: they were detained because authorities suspected they may not appear for an immigration or refugee status determination proceeding, because authorities were not satisfied with their identity documents, or for the purposes of an examination upon entering Canada.</w:t>
      </w:r>
      <w:r w:rsidRPr="00F07877">
        <w:rPr>
          <w:vertAlign w:val="superscript"/>
        </w:rPr>
        <w:footnoteReference w:id="5"/>
      </w:r>
      <w:r w:rsidRPr="00F07877">
        <w:t xml:space="preserve"> For some people detained on public safety grounds, previous interactions with the criminal justice system may be the sole reason they are alleged to be a danger to the public.</w:t>
      </w:r>
      <w:r w:rsidRPr="00F07877">
        <w:rPr>
          <w:vertAlign w:val="superscript"/>
        </w:rPr>
        <w:footnoteReference w:id="6"/>
      </w:r>
      <w:r w:rsidRPr="00F07877">
        <w:t xml:space="preserve"> </w:t>
      </w:r>
    </w:p>
    <w:p w14:paraId="55D24495" w14:textId="7C687544" w:rsidR="006D3600" w:rsidRPr="00F07877" w:rsidRDefault="00034904" w:rsidP="00034904">
      <w:r w:rsidRPr="00F07877">
        <w:t>Immigration detention can have devastating effects on mental health. Many people in detention develop suicidal ideation as they lose hope, particularly those fleeing traumatic experiences and persecution in search of safety and protection in Canada. People in immigration detention can develop anxiety, depression, despair, psychological distress, psychosis, and catatonic withdrawal.</w:t>
      </w:r>
      <w:r w:rsidR="00395C53" w:rsidRPr="00F07877">
        <w:rPr>
          <w:vertAlign w:val="superscript"/>
        </w:rPr>
        <w:footnoteReference w:id="7"/>
      </w:r>
    </w:p>
    <w:p w14:paraId="0A1BD99A" w14:textId="20906960" w:rsidR="00034904" w:rsidRPr="00F07877" w:rsidRDefault="00034904" w:rsidP="00034904">
      <w:r w:rsidRPr="00F07877">
        <w:t>Individuals with disabilities, including intellectual and psychosocial disabilities, experience discrimination throughout the immigration detention process, in breach of international human rights law:</w:t>
      </w:r>
      <w:r w:rsidR="00395C53" w:rsidRPr="00F07877">
        <w:rPr>
          <w:rStyle w:val="FootnoteReference"/>
          <w:rFonts w:ascii="MetaPro-Norm" w:hAnsi="MetaPro-Norm"/>
        </w:rPr>
        <w:footnoteReference w:id="8"/>
      </w:r>
    </w:p>
    <w:p w14:paraId="4EEDABFB" w14:textId="6209CC26" w:rsidR="00B12668" w:rsidRPr="00F07877" w:rsidRDefault="00034904" w:rsidP="00B12668">
      <w:pPr>
        <w:pStyle w:val="ListParagraph"/>
        <w:numPr>
          <w:ilvl w:val="0"/>
          <w:numId w:val="1"/>
        </w:numPr>
      </w:pPr>
      <w:r w:rsidRPr="00F07877">
        <w:t xml:space="preserve">People’s disabilities may play a role in </w:t>
      </w:r>
      <w:proofErr w:type="gramStart"/>
      <w:r w:rsidRPr="00F07877">
        <w:t>authorities</w:t>
      </w:r>
      <w:proofErr w:type="gramEnd"/>
      <w:r w:rsidRPr="00F07877">
        <w:t>’ decision to detain them, as they are deemed ‘unreliable’ or ‘uncooperative’</w:t>
      </w:r>
      <w:r w:rsidR="002402F4" w:rsidRPr="00F07877">
        <w:t xml:space="preserve">. People’s disabilities may also lead to detention in correctional facilities to facilitate access to “specialized care,” as per Canada Border </w:t>
      </w:r>
      <w:r w:rsidR="002402F4" w:rsidRPr="00F07877">
        <w:lastRenderedPageBreak/>
        <w:t>Services Agency (CBSA) policy. Article 14(1) of the CRPD states that “the existence of a disability shall in no case justify a deprivation of liberty.”</w:t>
      </w:r>
      <w:r w:rsidR="002402F4" w:rsidRPr="00F07877">
        <w:rPr>
          <w:vertAlign w:val="superscript"/>
        </w:rPr>
        <w:footnoteReference w:id="9"/>
      </w:r>
    </w:p>
    <w:p w14:paraId="0EC07474" w14:textId="7BB9C7E1" w:rsidR="00034904" w:rsidRPr="00F07877" w:rsidRDefault="00034904" w:rsidP="00B12668">
      <w:pPr>
        <w:pStyle w:val="ListParagraph"/>
        <w:numPr>
          <w:ilvl w:val="0"/>
          <w:numId w:val="1"/>
        </w:numPr>
      </w:pPr>
      <w:r w:rsidRPr="00F07877">
        <w:t>In some provincial jails, authorities have placed persons with mental health conditions or those who express suicidal ideation in solitary confinement</w:t>
      </w:r>
      <w:r w:rsidR="002402F4" w:rsidRPr="00F07877">
        <w:t xml:space="preserve"> (also referred to as segregation, isolation, or separation)</w:t>
      </w:r>
      <w:r w:rsidR="001443D6" w:rsidRPr="00F07877">
        <w:t>. This practice</w:t>
      </w:r>
      <w:r w:rsidR="002402F4" w:rsidRPr="00F07877">
        <w:t xml:space="preserve"> </w:t>
      </w:r>
      <w:r w:rsidR="00B12668" w:rsidRPr="00F07877">
        <w:t>could</w:t>
      </w:r>
      <w:r w:rsidR="006E4EA6" w:rsidRPr="00F07877">
        <w:t xml:space="preserve"> amount to </w:t>
      </w:r>
      <w:r w:rsidR="00B12668" w:rsidRPr="00F07877">
        <w:t>a violation of</w:t>
      </w:r>
      <w:r w:rsidR="006E4EA6" w:rsidRPr="00F07877">
        <w:t xml:space="preserve"> </w:t>
      </w:r>
      <w:r w:rsidR="002402F4" w:rsidRPr="00F07877">
        <w:t>article 15 of the CRPD,</w:t>
      </w:r>
      <w:r w:rsidR="002402F4" w:rsidRPr="00F07877">
        <w:rPr>
          <w:rFonts w:ascii="Arial" w:hAnsi="Arial" w:cs="Arial"/>
          <w:color w:val="001D35"/>
          <w:shd w:val="clear" w:color="auto" w:fill="FFFFFF"/>
        </w:rPr>
        <w:t xml:space="preserve"> </w:t>
      </w:r>
      <w:r w:rsidR="002402F4" w:rsidRPr="00F07877">
        <w:t xml:space="preserve">which states that no one should be subjected to torture, </w:t>
      </w:r>
      <w:proofErr w:type="gramStart"/>
      <w:r w:rsidR="002402F4" w:rsidRPr="00F07877">
        <w:t>cruel</w:t>
      </w:r>
      <w:proofErr w:type="gramEnd"/>
      <w:r w:rsidR="002402F4" w:rsidRPr="00F07877">
        <w:t>, inhuman, or degrading treatment or punishment</w:t>
      </w:r>
      <w:r w:rsidR="00B12668" w:rsidRPr="00F07877">
        <w:t>.</w:t>
      </w:r>
      <w:r w:rsidR="002402F4" w:rsidRPr="00F07877">
        <w:rPr>
          <w:rStyle w:val="FootnoteReference"/>
          <w:rFonts w:ascii="MetaPro-Norm" w:hAnsi="MetaPro-Norm"/>
        </w:rPr>
        <w:footnoteReference w:id="10"/>
      </w:r>
      <w:r w:rsidRPr="00F07877">
        <w:t xml:space="preserve"> </w:t>
      </w:r>
    </w:p>
    <w:p w14:paraId="2C2C9FE8" w14:textId="1BE1C047" w:rsidR="005961FD" w:rsidRPr="00F07877" w:rsidRDefault="00034904" w:rsidP="005961FD">
      <w:pPr>
        <w:pStyle w:val="ListParagraph"/>
        <w:numPr>
          <w:ilvl w:val="0"/>
          <w:numId w:val="1"/>
        </w:numPr>
      </w:pPr>
      <w:proofErr w:type="gramStart"/>
      <w:r w:rsidRPr="00F07877">
        <w:t>Persons</w:t>
      </w:r>
      <w:proofErr w:type="gramEnd"/>
      <w:r w:rsidRPr="00F07877">
        <w:t xml:space="preserve"> with disabilities also face significant barriers to release from immigration detention, including onerous release conditions in the community.</w:t>
      </w:r>
      <w:r w:rsidRPr="00F07877">
        <w:rPr>
          <w:vertAlign w:val="superscript"/>
        </w:rPr>
        <w:footnoteReference w:id="11"/>
      </w:r>
      <w:r w:rsidRPr="00F07877">
        <w:t xml:space="preserve"> </w:t>
      </w:r>
      <w:r w:rsidR="005961FD" w:rsidRPr="00F07877">
        <w:t>Release from detention may depend on them enrolling in residential treatment facilities, which have limited spots. This situation raises concerns that immigration detention is simply being substituted for nonvoluntary medical confinement and forced treatment in violation of their rights, including to privacy and bodily integrity.</w:t>
      </w:r>
      <w:r w:rsidR="005961FD" w:rsidRPr="00F07877">
        <w:rPr>
          <w:rStyle w:val="FootnoteReference"/>
          <w:rFonts w:ascii="MetaPro-Norm" w:hAnsi="MetaPro-Norm"/>
        </w:rPr>
        <w:footnoteReference w:id="12"/>
      </w:r>
      <w:r w:rsidR="005961FD" w:rsidRPr="00F07877">
        <w:t xml:space="preserve">  </w:t>
      </w:r>
      <w:r w:rsidR="00023CCC" w:rsidRPr="00F07877">
        <w:t>CBSA o</w:t>
      </w:r>
      <w:r w:rsidR="005961FD" w:rsidRPr="00F07877">
        <w:t>fficials have indicated that detainees must be “stable” before they can be released into community supervision programs,</w:t>
      </w:r>
      <w:r w:rsidR="005961FD" w:rsidRPr="00F07877">
        <w:rPr>
          <w:rFonts w:ascii="Georgia" w:hAnsi="Georgia"/>
          <w:color w:val="444444"/>
        </w:rPr>
        <w:t xml:space="preserve"> </w:t>
      </w:r>
      <w:r w:rsidR="005961FD" w:rsidRPr="00F07877">
        <w:t xml:space="preserve">and </w:t>
      </w:r>
      <w:r w:rsidR="00023CCC" w:rsidRPr="00F07877">
        <w:t>CBSA</w:t>
      </w:r>
      <w:r w:rsidR="005961FD" w:rsidRPr="00F07877">
        <w:t xml:space="preserve"> also acknowledged that </w:t>
      </w:r>
      <w:r w:rsidR="00023CCC" w:rsidRPr="00F07877">
        <w:t>it tries</w:t>
      </w:r>
      <w:r w:rsidR="005961FD" w:rsidRPr="00F07877">
        <w:t xml:space="preserve"> to “work with medication to ensure stability” in detention prior to release.</w:t>
      </w:r>
      <w:r w:rsidR="005961FD" w:rsidRPr="00F07877">
        <w:rPr>
          <w:rStyle w:val="FootnoteReference"/>
          <w:rFonts w:ascii="MetaPro-Norm" w:hAnsi="MetaPro-Norm"/>
        </w:rPr>
        <w:footnoteReference w:id="13"/>
      </w:r>
    </w:p>
    <w:p w14:paraId="2F6EBEE6" w14:textId="77777777" w:rsidR="00B331BC" w:rsidRPr="00F07877" w:rsidRDefault="00034904" w:rsidP="00B331BC">
      <w:pPr>
        <w:pStyle w:val="ListParagraph"/>
        <w:numPr>
          <w:ilvl w:val="0"/>
          <w:numId w:val="1"/>
        </w:numPr>
      </w:pPr>
      <w:r w:rsidRPr="00F07877">
        <w:t xml:space="preserve">As further detailed below, </w:t>
      </w:r>
      <w:proofErr w:type="gramStart"/>
      <w:r w:rsidRPr="00F07877">
        <w:t>persons</w:t>
      </w:r>
      <w:proofErr w:type="gramEnd"/>
      <w:r w:rsidRPr="00F07877">
        <w:t xml:space="preserve"> with disabilities in immigration detention may also be stripped of their legal capacity rights to make decisions about their legal matters, which may lead to continued deprivation of liberty, or even deportation. </w:t>
      </w:r>
      <w:bookmarkStart w:id="2" w:name="_Toc179974069"/>
    </w:p>
    <w:p w14:paraId="3F6F7EB2" w14:textId="77777777" w:rsidR="00B331BC" w:rsidRDefault="00B331BC" w:rsidP="00B331BC">
      <w:pPr>
        <w:rPr>
          <w:b/>
          <w:i/>
          <w:iCs/>
        </w:rPr>
      </w:pPr>
    </w:p>
    <w:p w14:paraId="7404EB3D" w14:textId="77777777" w:rsidR="00A61A4B" w:rsidRPr="00F07877" w:rsidRDefault="00A61A4B" w:rsidP="00B331BC">
      <w:pPr>
        <w:rPr>
          <w:b/>
          <w:i/>
          <w:iCs/>
        </w:rPr>
      </w:pPr>
    </w:p>
    <w:p w14:paraId="6079765C" w14:textId="77777777" w:rsidR="001F13C1" w:rsidRPr="00F07877" w:rsidRDefault="001F13C1" w:rsidP="001F13C1">
      <w:pPr>
        <w:tabs>
          <w:tab w:val="num" w:pos="0"/>
        </w:tabs>
        <w:rPr>
          <w:bCs/>
          <w:i/>
          <w:iCs/>
        </w:rPr>
      </w:pPr>
      <w:bookmarkStart w:id="3" w:name="_Toc177999239"/>
      <w:bookmarkStart w:id="4" w:name="_Toc179974074"/>
      <w:r w:rsidRPr="00F07877">
        <w:rPr>
          <w:bCs/>
          <w:i/>
          <w:iCs/>
        </w:rPr>
        <w:lastRenderedPageBreak/>
        <w:t>Substitute Decision-Making Under International Law</w:t>
      </w:r>
      <w:bookmarkEnd w:id="3"/>
      <w:bookmarkEnd w:id="4"/>
    </w:p>
    <w:p w14:paraId="60F57088" w14:textId="2D38EA9C" w:rsidR="001F13C1" w:rsidRPr="00F07877" w:rsidRDefault="001F13C1" w:rsidP="001F13C1">
      <w:r w:rsidRPr="00F07877">
        <w:t>Legal capacity is a fundamental human right enshrined in core United Nations human rights treaties.</w:t>
      </w:r>
      <w:r w:rsidRPr="00F07877">
        <w:rPr>
          <w:vertAlign w:val="superscript"/>
        </w:rPr>
        <w:footnoteReference w:id="14"/>
      </w:r>
      <w:r w:rsidRPr="00F07877">
        <w:t xml:space="preserve"> Under the CRPD</w:t>
      </w:r>
      <w:r w:rsidR="00B12668" w:rsidRPr="00F07877">
        <w:t>,</w:t>
      </w:r>
      <w:r w:rsidRPr="00F07877">
        <w:t xml:space="preserve"> persons with disabilities have the right to recognition everywhere as persons before the law. The CRPD rejects the notion that </w:t>
      </w:r>
      <w:proofErr w:type="gramStart"/>
      <w:r w:rsidRPr="00F07877">
        <w:t>persons</w:t>
      </w:r>
      <w:proofErr w:type="gramEnd"/>
      <w:r w:rsidRPr="00F07877">
        <w:t xml:space="preserve"> with disabilities are unfit to exercise </w:t>
      </w:r>
      <w:proofErr w:type="gramStart"/>
      <w:r w:rsidRPr="00F07877">
        <w:t>agency, and</w:t>
      </w:r>
      <w:proofErr w:type="gramEnd"/>
      <w:r w:rsidRPr="00F07877">
        <w:t xml:space="preserve"> makes it clear that their will and preferences should always be respected.</w:t>
      </w:r>
      <w:r w:rsidRPr="00F07877">
        <w:rPr>
          <w:vertAlign w:val="superscript"/>
        </w:rPr>
        <w:footnoteReference w:id="15"/>
      </w:r>
      <w:r w:rsidRPr="00F07877">
        <w:t xml:space="preserve"> </w:t>
      </w:r>
    </w:p>
    <w:p w14:paraId="4B692960" w14:textId="65F29FC1" w:rsidR="001F13C1" w:rsidRPr="00F07877" w:rsidRDefault="001F13C1" w:rsidP="001F13C1">
      <w:bookmarkStart w:id="5" w:name="_Hlk178082588"/>
      <w:r w:rsidRPr="00F07877">
        <w:t>Importantly, mental capacity and legal capacity should not be conflated. Although a person’s mental capacity can vary depending on environmental or social factors, this does not, at any point, negate their legal capacity. The Committee on the Rights of Persons with Disabilities, an independent expert body created under the CRPD to oversee its implementation, has instead stressed the importance of ensuring that persons can exercise legal capacity by putting the right decision-making supports in place.</w:t>
      </w:r>
      <w:r w:rsidRPr="00F07877">
        <w:rPr>
          <w:vertAlign w:val="superscript"/>
        </w:rPr>
        <w:footnoteReference w:id="16"/>
      </w:r>
      <w:r w:rsidRPr="00F07877">
        <w:t xml:space="preserve"> To this effect, Article 12(3) of the CRPD requires states party to “take appropriate measures” to provide persons with disabilities access to “support they may require in exercising their legal capacity,” including through “supported decision-making.”</w:t>
      </w:r>
      <w:r w:rsidRPr="00F07877">
        <w:rPr>
          <w:vertAlign w:val="superscript"/>
        </w:rPr>
        <w:footnoteReference w:id="17"/>
      </w:r>
      <w:r w:rsidRPr="00F07877">
        <w:t xml:space="preserve"> Importantly, the CRPD Committee makes clear that “support in the exercise of legal capacity</w:t>
      </w:r>
      <w:r w:rsidR="009E27E1">
        <w:t xml:space="preserve"> </w:t>
      </w:r>
      <w:r w:rsidRPr="00F07877">
        <w:t>… should never amount to substitute decision-making.”</w:t>
      </w:r>
      <w:r w:rsidRPr="00F07877">
        <w:rPr>
          <w:vertAlign w:val="superscript"/>
        </w:rPr>
        <w:footnoteReference w:id="18"/>
      </w:r>
      <w:r w:rsidRPr="00F07877">
        <w:t xml:space="preserve">   </w:t>
      </w:r>
      <w:bookmarkEnd w:id="5"/>
    </w:p>
    <w:p w14:paraId="6E38A1BF" w14:textId="741AE1FA" w:rsidR="001F13C1" w:rsidRPr="00F07877" w:rsidRDefault="001F13C1" w:rsidP="001F13C1">
      <w:r w:rsidRPr="00F07877">
        <w:t>Canada ratified the CRPD but made a reservation and interpretative declaration to Article 12.</w:t>
      </w:r>
      <w:r w:rsidRPr="00F07877">
        <w:rPr>
          <w:vertAlign w:val="superscript"/>
        </w:rPr>
        <w:footnoteReference w:id="19"/>
      </w:r>
      <w:r w:rsidRPr="00F07877">
        <w:t xml:space="preserve"> According to several legal scholars, given the CRPD’s mandate of “affirming maximum independence, equality, and participation of persons with disabilities in society,” Canada’s </w:t>
      </w:r>
      <w:r w:rsidRPr="00F07877">
        <w:lastRenderedPageBreak/>
        <w:t>reservation on the legal capacity of persons with psychosocial disabilities “severely interferes with the Convention’s object and purpose.”</w:t>
      </w:r>
      <w:r w:rsidRPr="00F07877">
        <w:rPr>
          <w:vertAlign w:val="superscript"/>
        </w:rPr>
        <w:footnoteReference w:id="20"/>
      </w:r>
    </w:p>
    <w:p w14:paraId="0DA20823" w14:textId="34E3A8D4" w:rsidR="001F13C1" w:rsidRPr="00F07877" w:rsidRDefault="001F13C1" w:rsidP="001F13C1">
      <w:r w:rsidRPr="00F07877">
        <w:t>CRPD arts. 5 and 13 also obligate governments to take all appropriate steps to ensure reasonable and procedural accommodation is provided.</w:t>
      </w:r>
      <w:bookmarkStart w:id="6" w:name="_ftnref117"/>
      <w:r w:rsidRPr="00F07877">
        <w:rPr>
          <w:vertAlign w:val="superscript"/>
        </w:rPr>
        <w:footnoteReference w:id="21"/>
      </w:r>
      <w:bookmarkEnd w:id="6"/>
      <w:r w:rsidRPr="00F07877">
        <w:t xml:space="preserve"> This includes situations in which </w:t>
      </w:r>
      <w:proofErr w:type="gramStart"/>
      <w:r w:rsidRPr="00F07877">
        <w:t>persons</w:t>
      </w:r>
      <w:proofErr w:type="gramEnd"/>
      <w:r w:rsidRPr="00F07877">
        <w:t xml:space="preserve"> with disabilities have been deprived of their liberty in a prison or other legally mandated detention facility.</w:t>
      </w:r>
      <w:r w:rsidRPr="00F07877">
        <w:rPr>
          <w:vertAlign w:val="superscript"/>
        </w:rPr>
        <w:footnoteReference w:id="22"/>
      </w:r>
    </w:p>
    <w:p w14:paraId="511E8252" w14:textId="77777777" w:rsidR="003A64D7" w:rsidRPr="00F07877" w:rsidRDefault="003A64D7" w:rsidP="00B331BC">
      <w:pPr>
        <w:rPr>
          <w:i/>
          <w:iCs/>
        </w:rPr>
      </w:pPr>
    </w:p>
    <w:p w14:paraId="3E71ACBD" w14:textId="469E3BF8" w:rsidR="00B331BC" w:rsidRPr="00F07877" w:rsidRDefault="00B331BC" w:rsidP="00B331BC">
      <w:pPr>
        <w:rPr>
          <w:i/>
          <w:iCs/>
        </w:rPr>
      </w:pPr>
      <w:r w:rsidRPr="00F07877">
        <w:rPr>
          <w:bCs/>
          <w:i/>
          <w:iCs/>
        </w:rPr>
        <w:t>Violations of Legal Capacity Rights</w:t>
      </w:r>
      <w:bookmarkEnd w:id="2"/>
    </w:p>
    <w:p w14:paraId="5FD62A99" w14:textId="64E256A2" w:rsidR="00B331BC" w:rsidRPr="00F07877" w:rsidRDefault="00B331BC" w:rsidP="00B331BC">
      <w:r w:rsidRPr="00F07877">
        <w:t xml:space="preserve">Under </w:t>
      </w:r>
      <w:r w:rsidR="001F13C1" w:rsidRPr="00F07877">
        <w:t>Canada’s</w:t>
      </w:r>
      <w:r w:rsidRPr="00F07877">
        <w:t xml:space="preserve"> </w:t>
      </w:r>
      <w:r w:rsidR="00D2721F" w:rsidRPr="00F07877">
        <w:t>Immigration and Refugee Protection Act (</w:t>
      </w:r>
      <w:r w:rsidRPr="00F07877">
        <w:t>IRPA</w:t>
      </w:r>
      <w:r w:rsidR="00D2721F" w:rsidRPr="00F07877">
        <w:t>)</w:t>
      </w:r>
      <w:r w:rsidRPr="00F07877">
        <w:t>, in cases where a person in detention is “unable, in the opinion of the [tribunal], to appreciate the nature of the proceedings, the [tribunal] shall designate a person to represent the person.”</w:t>
      </w:r>
      <w:r w:rsidRPr="00F07877">
        <w:rPr>
          <w:vertAlign w:val="superscript"/>
        </w:rPr>
        <w:footnoteReference w:id="23"/>
      </w:r>
      <w:r w:rsidRPr="00F07877">
        <w:t xml:space="preserve"> In practice, </w:t>
      </w:r>
      <w:r w:rsidR="00D2721F" w:rsidRPr="00F07877">
        <w:rPr>
          <w:rFonts w:cs="Calibri"/>
        </w:rPr>
        <w:t xml:space="preserve">Immigration and </w:t>
      </w:r>
      <w:r w:rsidR="00D2721F" w:rsidRPr="00F07877">
        <w:rPr>
          <w:rFonts w:cs="Calibri"/>
        </w:rPr>
        <w:lastRenderedPageBreak/>
        <w:t>Refugee Board (</w:t>
      </w:r>
      <w:r w:rsidRPr="00F07877">
        <w:t>IRB</w:t>
      </w:r>
      <w:r w:rsidR="00D2721F" w:rsidRPr="00F07877">
        <w:t>)</w:t>
      </w:r>
      <w:r w:rsidRPr="00F07877">
        <w:t xml:space="preserve"> adjudicators appoint “designated representatives” for people in detention who have a diagnosed or suspected mental health condition.</w:t>
      </w:r>
      <w:r w:rsidRPr="00F07877">
        <w:rPr>
          <w:vertAlign w:val="superscript"/>
        </w:rPr>
        <w:footnoteReference w:id="24"/>
      </w:r>
      <w:r w:rsidRPr="00F07877">
        <w:t xml:space="preserve"> In such cases, the tribunal selects, appoints, and pays a designated representative, typically from a roster of contracted individuals, to “protect and advance the interests” of the person in detention.</w:t>
      </w:r>
      <w:r w:rsidRPr="00F07877">
        <w:rPr>
          <w:vertAlign w:val="superscript"/>
        </w:rPr>
        <w:footnoteReference w:id="25"/>
      </w:r>
      <w:r w:rsidRPr="00F07877">
        <w:t xml:space="preserve"> Designated representatives must be at least 18 years old, they must “understand the nature of the proceedings,” and “be willing and able to act in the best interests” of the person in detention and not have a conflict of interest with them.</w:t>
      </w:r>
      <w:r w:rsidRPr="00F07877">
        <w:rPr>
          <w:vertAlign w:val="superscript"/>
        </w:rPr>
        <w:footnoteReference w:id="26"/>
      </w:r>
      <w:r w:rsidRPr="00F07877">
        <w:t xml:space="preserve"> </w:t>
      </w:r>
    </w:p>
    <w:p w14:paraId="336F57DA" w14:textId="17B0DC69" w:rsidR="001C4052" w:rsidRPr="00F07877" w:rsidRDefault="001A7B31" w:rsidP="001C4052">
      <w:r w:rsidRPr="00F07877">
        <w:t>D</w:t>
      </w:r>
      <w:r w:rsidR="00B331BC" w:rsidRPr="00F07877">
        <w:t xml:space="preserve">esignated representatives are legally empowered to </w:t>
      </w:r>
      <w:r w:rsidR="00B331BC" w:rsidRPr="00F07877">
        <w:rPr>
          <w:i/>
          <w:iCs/>
        </w:rPr>
        <w:t>make decisions on behalf</w:t>
      </w:r>
      <w:r w:rsidRPr="00F07877">
        <w:t xml:space="preserve"> of individuals in detention.</w:t>
      </w:r>
      <w:r w:rsidR="00D2721F" w:rsidRPr="00F07877">
        <w:rPr>
          <w:i/>
          <w:iCs/>
        </w:rPr>
        <w:t xml:space="preserve"> </w:t>
      </w:r>
      <w:r w:rsidR="00D2721F" w:rsidRPr="00F07877">
        <w:t xml:space="preserve"> Designated representatives can make these decisions without proper communication, consent, or understanding of the unique accommodation requirements of people with psychosocial disabilities in detention. This substitute decision-making practice undermines the rights and dignity of detainees with </w:t>
      </w:r>
      <w:r w:rsidR="0009771C" w:rsidRPr="00F07877">
        <w:t xml:space="preserve">psychosocial disabilities </w:t>
      </w:r>
      <w:r w:rsidR="00D2721F" w:rsidRPr="00F07877">
        <w:t>and other disabilities.</w:t>
      </w:r>
    </w:p>
    <w:p w14:paraId="518A2355" w14:textId="7EA5194C" w:rsidR="001C4052" w:rsidRPr="00F07877" w:rsidRDefault="00DC2B30" w:rsidP="001C4052">
      <w:r w:rsidRPr="00F07877">
        <w:t>Immigration l</w:t>
      </w:r>
      <w:r w:rsidR="001C4052" w:rsidRPr="00F07877">
        <w:t>awyers</w:t>
      </w:r>
      <w:r w:rsidR="001C4052" w:rsidRPr="00F07877" w:rsidDel="00F01EDA">
        <w:t xml:space="preserve"> </w:t>
      </w:r>
      <w:r w:rsidR="00CB2739" w:rsidRPr="00F07877">
        <w:t xml:space="preserve">interviewed by HRW </w:t>
      </w:r>
      <w:r w:rsidR="001C4052" w:rsidRPr="00F07877">
        <w:t>confirmed that designated representatives routinely make substitute decisions on behalf of people in detention. One lawyer noted, “designated representatives are the voice of the [person in detention], replacing them.”</w:t>
      </w:r>
      <w:r w:rsidR="001C4052" w:rsidRPr="00F07877">
        <w:rPr>
          <w:vertAlign w:val="superscript"/>
        </w:rPr>
        <w:footnoteReference w:id="27"/>
      </w:r>
      <w:r w:rsidR="001C4052" w:rsidRPr="00F07877">
        <w:t xml:space="preserve"> When a person in detention refuses to attend their hearing out of protest, the hearings proceed and “run roughshod over the [person in detention],” and the presence of the designated representatives “superficially makes things move forward.”</w:t>
      </w:r>
      <w:r w:rsidR="001C4052" w:rsidRPr="00F07877">
        <w:rPr>
          <w:vertAlign w:val="superscript"/>
        </w:rPr>
        <w:footnoteReference w:id="28"/>
      </w:r>
      <w:r w:rsidR="001C4052" w:rsidRPr="00F07877">
        <w:t xml:space="preserve"> </w:t>
      </w:r>
    </w:p>
    <w:p w14:paraId="42B99FD2" w14:textId="54D354ED" w:rsidR="001C4052" w:rsidRPr="00F07877" w:rsidRDefault="00B331BC" w:rsidP="00B331BC">
      <w:r w:rsidRPr="00F07877">
        <w:t>Lawyers interviewed said the impact of a designated representative on their cases depended entirely on the specific individual selected.</w:t>
      </w:r>
      <w:r w:rsidRPr="00F07877">
        <w:rPr>
          <w:vertAlign w:val="superscript"/>
        </w:rPr>
        <w:footnoteReference w:id="29"/>
      </w:r>
      <w:r w:rsidRPr="00F07877">
        <w:t xml:space="preserve"> This is largely because the scope of legal authority and role of designated representatives is broad and inadequately defined. </w:t>
      </w:r>
      <w:r w:rsidR="001C4052" w:rsidRPr="00F07877">
        <w:t xml:space="preserve">The inconsistency in the roles and effectiveness of designated representatives, coupled with the lack of support and clear limitations on designated representatives’ authority, continues to exacerbate the plight of persons with </w:t>
      </w:r>
      <w:r w:rsidR="002F07BC" w:rsidRPr="00F07877">
        <w:t>psychosocial disabilities</w:t>
      </w:r>
      <w:r w:rsidR="001C4052" w:rsidRPr="00F07877">
        <w:t xml:space="preserve"> in immigration detention across Canada. </w:t>
      </w:r>
    </w:p>
    <w:p w14:paraId="5BD5DBFF" w14:textId="3DD2BC45" w:rsidR="002F07BC" w:rsidRPr="00F07877" w:rsidRDefault="001C4052" w:rsidP="00B331BC">
      <w:r w:rsidRPr="00F07877">
        <w:lastRenderedPageBreak/>
        <w:t xml:space="preserve">Systemic flaws within this </w:t>
      </w:r>
      <w:r w:rsidR="00DE4790" w:rsidRPr="00F07877">
        <w:t>framework</w:t>
      </w:r>
      <w:r w:rsidRPr="00F07877">
        <w:t>—including lack of proper assessment in appointing designated representatives; the sweeping, unclear, and contested scope of designated representatives’ role; incompetence and inadequate training; and designated representatives’ power to make substitute decisions—underscore the urgent need for comprehensive reform</w:t>
      </w:r>
      <w:r w:rsidR="00423CED" w:rsidRPr="00F07877">
        <w:t>.</w:t>
      </w:r>
      <w:r w:rsidR="002F07BC" w:rsidRPr="00F07877">
        <w:t xml:space="preserve"> Through such </w:t>
      </w:r>
      <w:proofErr w:type="gramStart"/>
      <w:r w:rsidR="002F07BC" w:rsidRPr="00F07877">
        <w:t>reform</w:t>
      </w:r>
      <w:proofErr w:type="gramEnd"/>
      <w:r w:rsidR="002F07BC" w:rsidRPr="00F07877">
        <w:t xml:space="preserve">, designated representatives </w:t>
      </w:r>
      <w:r w:rsidR="005961FD" w:rsidRPr="00F07877">
        <w:t>w</w:t>
      </w:r>
      <w:r w:rsidR="00423CED" w:rsidRPr="00F07877">
        <w:t>ould</w:t>
      </w:r>
      <w:r w:rsidR="005961FD" w:rsidRPr="00F07877">
        <w:t xml:space="preserve"> be able to</w:t>
      </w:r>
      <w:r w:rsidR="002F07BC" w:rsidRPr="00F07877">
        <w:t xml:space="preserve"> continue provid</w:t>
      </w:r>
      <w:r w:rsidR="005961FD" w:rsidRPr="00F07877">
        <w:t>ing</w:t>
      </w:r>
      <w:r w:rsidR="002F07BC" w:rsidRPr="00F07877">
        <w:t xml:space="preserve"> invaluable support for persons in detention. As one immigration lawyer indicated, “anyone stuck in detention is limited in collecting evidence,” and designated representatives can act as “essentially an extension of the client on the outside who has more liberty to build a case for release.”</w:t>
      </w:r>
      <w:r w:rsidR="002F07BC" w:rsidRPr="00F07877">
        <w:rPr>
          <w:vertAlign w:val="superscript"/>
        </w:rPr>
        <w:footnoteReference w:id="30"/>
      </w:r>
      <w:r w:rsidR="002F07BC" w:rsidRPr="00F07877">
        <w:t xml:space="preserve"> According to another lawyer, detention review hearings “can be so adversarial and traumatic for people in detention,” and designated representatives can act as a “buffer” to make the experience “less harsh.””</w:t>
      </w:r>
      <w:r w:rsidR="002F07BC" w:rsidRPr="00F07877">
        <w:rPr>
          <w:vertAlign w:val="superscript"/>
        </w:rPr>
        <w:footnoteReference w:id="31"/>
      </w:r>
      <w:r w:rsidR="002F07BC" w:rsidRPr="00F07877">
        <w:t xml:space="preserve"> </w:t>
      </w:r>
    </w:p>
    <w:p w14:paraId="3CD3DA76" w14:textId="17E4EADB" w:rsidR="00B331BC" w:rsidRPr="00F07877" w:rsidRDefault="00B331BC" w:rsidP="00B331BC">
      <w:r w:rsidRPr="00F07877">
        <w:t xml:space="preserve">In May 2024, the federal government attempted to introduce legislative amendments to expand the scope of designated representatives </w:t>
      </w:r>
      <w:r w:rsidRPr="00F07877">
        <w:rPr>
          <w:i/>
          <w:iCs/>
        </w:rPr>
        <w:t>beyond</w:t>
      </w:r>
      <w:r w:rsidRPr="00F07877">
        <w:t xml:space="preserve"> the realm of tribunal hearings, whereby CBSA would be able to appoint designated representatives in contexts where people may be isolated in immigration detention without access to legal advice, interpretation services, or other vital supports. This could have empowered designated representatives to waive people’s rights to make refugee claims or other legal applications preventing refoulement, with potentially life-endangering consequences. While this legislative amendment was subsequently withdrawn, the government has indicated its intention to re-introduce it in the future.  </w:t>
      </w:r>
    </w:p>
    <w:p w14:paraId="24731E7E" w14:textId="77777777" w:rsidR="00D2721F" w:rsidRPr="00F07877" w:rsidRDefault="00D2721F" w:rsidP="00450439"/>
    <w:p w14:paraId="245E0E4B" w14:textId="79AC27A0" w:rsidR="00D22C47" w:rsidRPr="00F07877" w:rsidRDefault="00D22C47" w:rsidP="00450439">
      <w:pPr>
        <w:rPr>
          <w:i/>
          <w:iCs/>
        </w:rPr>
      </w:pPr>
      <w:r w:rsidRPr="00F07877">
        <w:rPr>
          <w:i/>
          <w:iCs/>
        </w:rPr>
        <w:t>Human Rights Watch recommends that the Committee ask the government of Canada:</w:t>
      </w:r>
    </w:p>
    <w:p w14:paraId="2F4EF131" w14:textId="65F0DAA4" w:rsidR="00D22C47" w:rsidRPr="00F07877" w:rsidRDefault="00237B60" w:rsidP="00D22C47">
      <w:pPr>
        <w:pStyle w:val="ListParagraph"/>
        <w:numPr>
          <w:ilvl w:val="0"/>
          <w:numId w:val="3"/>
        </w:numPr>
      </w:pPr>
      <w:bookmarkStart w:id="7" w:name="_Hlk187860887"/>
      <w:r w:rsidRPr="00F07877">
        <w:t>How does the government plan to address concerns regarding its reservation to Article 12 of the CRPD, and is it considering withdrawing its reservation?</w:t>
      </w:r>
      <w:bookmarkEnd w:id="7"/>
    </w:p>
    <w:p w14:paraId="4088ED5C" w14:textId="27D0643D" w:rsidR="00D22C47" w:rsidRPr="00F07877" w:rsidRDefault="00D22C47" w:rsidP="00D22C47">
      <w:pPr>
        <w:pStyle w:val="ListParagraph"/>
        <w:numPr>
          <w:ilvl w:val="0"/>
          <w:numId w:val="3"/>
        </w:numPr>
      </w:pPr>
      <w:r w:rsidRPr="00F07877">
        <w:t>What steps</w:t>
      </w:r>
      <w:r w:rsidR="00A7362C" w:rsidRPr="00F07877">
        <w:t>, if any,</w:t>
      </w:r>
      <w:r w:rsidRPr="00F07877">
        <w:t xml:space="preserve"> </w:t>
      </w:r>
      <w:r w:rsidR="00C04A66" w:rsidRPr="00F07877">
        <w:t xml:space="preserve">is </w:t>
      </w:r>
      <w:r w:rsidRPr="00F07877">
        <w:t>the government tak</w:t>
      </w:r>
      <w:r w:rsidR="00C04A66" w:rsidRPr="00F07877">
        <w:t>ing</w:t>
      </w:r>
      <w:r w:rsidRPr="00F07877">
        <w:t xml:space="preserve"> to </w:t>
      </w:r>
      <w:r w:rsidRPr="00F07877">
        <w:rPr>
          <w:rFonts w:cs="Calibri"/>
        </w:rPr>
        <w:t xml:space="preserve">ensure the right to legal capacity and due process of all </w:t>
      </w:r>
      <w:proofErr w:type="gramStart"/>
      <w:r w:rsidRPr="00F07877">
        <w:rPr>
          <w:rFonts w:cs="Calibri"/>
        </w:rPr>
        <w:t>persons</w:t>
      </w:r>
      <w:proofErr w:type="gramEnd"/>
      <w:r w:rsidRPr="00F07877">
        <w:rPr>
          <w:rFonts w:cs="Calibri"/>
        </w:rPr>
        <w:t xml:space="preserve"> with disabilities in immigration detention?</w:t>
      </w:r>
    </w:p>
    <w:p w14:paraId="4AC44B86" w14:textId="147B64BF" w:rsidR="009D57EC" w:rsidRPr="00F07877" w:rsidRDefault="009D57EC" w:rsidP="00D22C47">
      <w:pPr>
        <w:pStyle w:val="ListParagraph"/>
        <w:numPr>
          <w:ilvl w:val="0"/>
          <w:numId w:val="3"/>
        </w:numPr>
      </w:pPr>
      <w:r w:rsidRPr="00F07877">
        <w:rPr>
          <w:rFonts w:cs="Calibri"/>
        </w:rPr>
        <w:t>What steps</w:t>
      </w:r>
      <w:r w:rsidR="00A7362C" w:rsidRPr="00F07877">
        <w:rPr>
          <w:rFonts w:cs="Calibri"/>
        </w:rPr>
        <w:t>, if any,</w:t>
      </w:r>
      <w:r w:rsidRPr="00F07877">
        <w:rPr>
          <w:rFonts w:cs="Calibri"/>
        </w:rPr>
        <w:t xml:space="preserve"> is the government taking to </w:t>
      </w:r>
      <w:r w:rsidR="00753218" w:rsidRPr="00F07877">
        <w:rPr>
          <w:rFonts w:cs="Calibri"/>
        </w:rPr>
        <w:t xml:space="preserve">assess, </w:t>
      </w:r>
      <w:r w:rsidRPr="00F07877">
        <w:rPr>
          <w:rFonts w:cs="Calibri"/>
        </w:rPr>
        <w:t>address</w:t>
      </w:r>
      <w:r w:rsidR="00753218" w:rsidRPr="00F07877">
        <w:rPr>
          <w:rFonts w:cs="Calibri"/>
        </w:rPr>
        <w:t>, and remedy</w:t>
      </w:r>
      <w:r w:rsidRPr="00F07877">
        <w:rPr>
          <w:rFonts w:cs="Calibri"/>
        </w:rPr>
        <w:t xml:space="preserve"> the </w:t>
      </w:r>
      <w:proofErr w:type="gramStart"/>
      <w:r w:rsidRPr="00F07877">
        <w:rPr>
          <w:rFonts w:cs="Calibri"/>
        </w:rPr>
        <w:t>widespread rights</w:t>
      </w:r>
      <w:proofErr w:type="gramEnd"/>
      <w:r w:rsidRPr="00F07877">
        <w:rPr>
          <w:rFonts w:cs="Calibri"/>
        </w:rPr>
        <w:t xml:space="preserve"> violations in immigration detention, particularly against persons with disabilities</w:t>
      </w:r>
      <w:r w:rsidR="00E75486" w:rsidRPr="00F07877">
        <w:rPr>
          <w:rFonts w:cs="Calibri"/>
        </w:rPr>
        <w:t xml:space="preserve">, </w:t>
      </w:r>
      <w:r w:rsidR="00BC7906" w:rsidRPr="00F07877">
        <w:rPr>
          <w:rFonts w:cs="Calibri"/>
        </w:rPr>
        <w:t xml:space="preserve">including detention </w:t>
      </w:r>
      <w:proofErr w:type="gramStart"/>
      <w:r w:rsidR="00BC7906" w:rsidRPr="00F07877">
        <w:rPr>
          <w:rFonts w:cs="Calibri"/>
        </w:rPr>
        <w:t>on the basis of</w:t>
      </w:r>
      <w:proofErr w:type="gramEnd"/>
      <w:r w:rsidR="00BC7906" w:rsidRPr="00F07877">
        <w:rPr>
          <w:rFonts w:cs="Calibri"/>
        </w:rPr>
        <w:t xml:space="preserve"> disability, </w:t>
      </w:r>
      <w:r w:rsidR="007B2476" w:rsidRPr="00F07877">
        <w:rPr>
          <w:rFonts w:cs="Calibri"/>
        </w:rPr>
        <w:t xml:space="preserve">and probable </w:t>
      </w:r>
      <w:r w:rsidR="002326B6" w:rsidRPr="00F07877">
        <w:rPr>
          <w:rFonts w:cs="Calibri"/>
        </w:rPr>
        <w:t>cruel, inhuman and degrading treatment</w:t>
      </w:r>
      <w:r w:rsidRPr="00F07877">
        <w:rPr>
          <w:rFonts w:cs="Calibri"/>
        </w:rPr>
        <w:t xml:space="preserve">? </w:t>
      </w:r>
    </w:p>
    <w:p w14:paraId="39F23836" w14:textId="509A8AF7" w:rsidR="00D8019D" w:rsidRPr="00F07877" w:rsidRDefault="002A4C9E" w:rsidP="00423CED">
      <w:pPr>
        <w:pStyle w:val="ListParagraph"/>
        <w:numPr>
          <w:ilvl w:val="0"/>
          <w:numId w:val="3"/>
        </w:numPr>
      </w:pPr>
      <w:r w:rsidRPr="00F07877">
        <w:t>What steps</w:t>
      </w:r>
      <w:r w:rsidR="00A7362C" w:rsidRPr="00F07877">
        <w:t>, if any,</w:t>
      </w:r>
      <w:r w:rsidRPr="00F07877">
        <w:t xml:space="preserve"> is the Canadian government taking to modify procedures in its immigration </w:t>
      </w:r>
      <w:r w:rsidR="00B12668" w:rsidRPr="00F07877">
        <w:t xml:space="preserve">detention </w:t>
      </w:r>
      <w:r w:rsidRPr="00F07877">
        <w:t>system to ensure that persons with disabilities can participate meaningfully on an equal basis with others?</w:t>
      </w:r>
    </w:p>
    <w:p w14:paraId="6EB7DEB5" w14:textId="6E9F87AE" w:rsidR="00D22C47" w:rsidRPr="00F07877" w:rsidRDefault="00114547" w:rsidP="00D22C47">
      <w:pPr>
        <w:pStyle w:val="ListParagraph"/>
        <w:numPr>
          <w:ilvl w:val="0"/>
          <w:numId w:val="3"/>
        </w:numPr>
      </w:pPr>
      <w:r w:rsidRPr="00F07877">
        <w:lastRenderedPageBreak/>
        <w:t>What steps</w:t>
      </w:r>
      <w:r w:rsidR="00A7362C" w:rsidRPr="00F07877">
        <w:t>, if any,</w:t>
      </w:r>
      <w:r w:rsidRPr="00F07877">
        <w:t xml:space="preserve"> has the government taken to expand community-based alternatives to detention that provide support rather than surveillance?</w:t>
      </w:r>
    </w:p>
    <w:p w14:paraId="466CA09C" w14:textId="01B809C1" w:rsidR="00D22C47" w:rsidRPr="00F07877" w:rsidRDefault="00D22C47" w:rsidP="00D2721F">
      <w:pPr>
        <w:pStyle w:val="ListParagraph"/>
        <w:numPr>
          <w:ilvl w:val="0"/>
          <w:numId w:val="3"/>
        </w:numPr>
      </w:pPr>
      <w:r w:rsidRPr="00F07877">
        <w:t>What steps</w:t>
      </w:r>
      <w:r w:rsidR="00A7362C" w:rsidRPr="00F07877">
        <w:t>, if any,</w:t>
      </w:r>
      <w:r w:rsidRPr="00F07877">
        <w:t xml:space="preserve"> has the government taken to ensure meaningful consultation with people with disabilities</w:t>
      </w:r>
      <w:r w:rsidR="007B37F3" w:rsidRPr="00F07877">
        <w:t xml:space="preserve"> </w:t>
      </w:r>
      <w:r w:rsidR="001A7B31" w:rsidRPr="00F07877">
        <w:t>with respect to</w:t>
      </w:r>
      <w:r w:rsidR="007B37F3" w:rsidRPr="00F07877">
        <w:t xml:space="preserve"> Canada’s immigration </w:t>
      </w:r>
      <w:r w:rsidR="001A7B31" w:rsidRPr="00F07877">
        <w:t xml:space="preserve">detention </w:t>
      </w:r>
      <w:r w:rsidR="007B37F3" w:rsidRPr="00F07877">
        <w:t>system</w:t>
      </w:r>
      <w:r w:rsidRPr="00F07877">
        <w:t>?</w:t>
      </w:r>
    </w:p>
    <w:p w14:paraId="1AB73B4C" w14:textId="77777777" w:rsidR="008526CC" w:rsidRPr="00F07877" w:rsidRDefault="008526CC" w:rsidP="00B331BC"/>
    <w:p w14:paraId="5B1BA1F2" w14:textId="1853F49B" w:rsidR="00034904" w:rsidRPr="00F07877" w:rsidRDefault="00114547" w:rsidP="00B331BC">
      <w:r w:rsidRPr="00F07877">
        <w:rPr>
          <w:i/>
          <w:iCs/>
        </w:rPr>
        <w:t>Human Rights Watch recommends that the Committee call on the government of Canada to:</w:t>
      </w:r>
    </w:p>
    <w:p w14:paraId="170657D0" w14:textId="1F3ABBBE" w:rsidR="00E1766B" w:rsidRPr="00F07877" w:rsidRDefault="00E1766B" w:rsidP="00E1766B">
      <w:pPr>
        <w:pStyle w:val="bulleted"/>
      </w:pPr>
      <w:r w:rsidRPr="00F07877">
        <w:t>Withdraw Canada’s declaration and reservation to Article 12 of the CRPD.</w:t>
      </w:r>
    </w:p>
    <w:p w14:paraId="6FCF2ABB" w14:textId="2E8748F3" w:rsidR="00E1766B" w:rsidRPr="00F07877" w:rsidRDefault="00E1766B" w:rsidP="00E1766B">
      <w:pPr>
        <w:pStyle w:val="bulleted"/>
      </w:pPr>
      <w:r w:rsidRPr="00F07877">
        <w:t>Gradually abolish immigration detention, starting with the immediate end to the use of correctional facilities for immigration detention.</w:t>
      </w:r>
    </w:p>
    <w:p w14:paraId="39E30CC0" w14:textId="41B66DCA" w:rsidR="00911D42" w:rsidRPr="00F07877" w:rsidRDefault="00911D42" w:rsidP="00E1766B">
      <w:pPr>
        <w:pStyle w:val="bulleted"/>
      </w:pPr>
      <w:r w:rsidRPr="00F07877">
        <w:t>Immediately prohibit all forms of solitary confinement</w:t>
      </w:r>
      <w:r w:rsidR="00A96278" w:rsidRPr="00F07877">
        <w:t xml:space="preserve"> </w:t>
      </w:r>
      <w:r w:rsidR="001A7B31" w:rsidRPr="00F07877">
        <w:t>f</w:t>
      </w:r>
      <w:r w:rsidR="00A96278" w:rsidRPr="00F07877">
        <w:t xml:space="preserve">or people with intellectual, </w:t>
      </w:r>
      <w:r w:rsidR="00EF0F3F" w:rsidRPr="00F07877">
        <w:t>psychosocial</w:t>
      </w:r>
      <w:r w:rsidR="00F82E2C" w:rsidRPr="00F07877">
        <w:t xml:space="preserve"> or developmental disabilities.</w:t>
      </w:r>
    </w:p>
    <w:p w14:paraId="6CED736D" w14:textId="77777777" w:rsidR="00E1766B" w:rsidRPr="00F07877" w:rsidRDefault="00E1766B" w:rsidP="00E1766B">
      <w:pPr>
        <w:pStyle w:val="bulleted"/>
      </w:pPr>
      <w:r w:rsidRPr="00F07877">
        <w:t>Expand localized programs of community-based alternatives to detention that provide support rather than surveillance and are operated by local nonprofit organizations independently from CBSA. Support services should take a holistic view of a person’s requirements, including housing, healthcare, mental health services, education, employment, children’s needs, and legal representation.</w:t>
      </w:r>
    </w:p>
    <w:p w14:paraId="6C7218FA" w14:textId="500CC43A" w:rsidR="00E1766B" w:rsidRPr="00F07877" w:rsidRDefault="00E1766B" w:rsidP="00E1766B">
      <w:pPr>
        <w:pStyle w:val="bulleted"/>
      </w:pPr>
      <w:r w:rsidRPr="00F07877">
        <w:t xml:space="preserve">Maintain effective, supportive, voluntary, and </w:t>
      </w:r>
      <w:proofErr w:type="gramStart"/>
      <w:r w:rsidRPr="00F07877">
        <w:t>culturally-appropriate</w:t>
      </w:r>
      <w:proofErr w:type="gramEnd"/>
      <w:r w:rsidRPr="00F07877">
        <w:t xml:space="preserve"> mental health services in the community that are available and accessible to </w:t>
      </w:r>
      <w:r w:rsidR="00B84B76" w:rsidRPr="00F07877">
        <w:t xml:space="preserve">Canadian </w:t>
      </w:r>
      <w:r w:rsidRPr="00F07877">
        <w:t>and non-</w:t>
      </w:r>
      <w:r w:rsidR="00B84B76" w:rsidRPr="00F07877">
        <w:t xml:space="preserve">Canadian </w:t>
      </w:r>
      <w:r w:rsidRPr="00F07877">
        <w:t>citizens alike. Consider reallocating funding from CBSA’s budget to support community-based health services and alternatives to detention.</w:t>
      </w:r>
    </w:p>
    <w:p w14:paraId="0A5A8346" w14:textId="5B39407C" w:rsidR="00034E72" w:rsidRPr="00F07877" w:rsidRDefault="00E1766B" w:rsidP="00034E72">
      <w:pPr>
        <w:pStyle w:val="bulleted"/>
      </w:pPr>
      <w:r w:rsidRPr="00F07877">
        <w:t xml:space="preserve">In line with the guidance of the UN Working Group on Arbitrary Detention, stop </w:t>
      </w:r>
      <w:r w:rsidR="00034E72" w:rsidRPr="00F07877">
        <w:t xml:space="preserve">detaining </w:t>
      </w:r>
      <w:r w:rsidRPr="00F07877">
        <w:t xml:space="preserve">persons with physical or psychosocial disabilities in immigration detention. </w:t>
      </w:r>
      <w:proofErr w:type="gramStart"/>
      <w:r w:rsidRPr="00F07877">
        <w:t>Persons’</w:t>
      </w:r>
      <w:proofErr w:type="gramEnd"/>
      <w:r w:rsidRPr="00F07877">
        <w:t xml:space="preserve"> disabilities should also be </w:t>
      </w:r>
      <w:proofErr w:type="gramStart"/>
      <w:r w:rsidRPr="00F07877">
        <w:t>taken into account</w:t>
      </w:r>
      <w:proofErr w:type="gramEnd"/>
      <w:r w:rsidRPr="00F07877">
        <w:t xml:space="preserve"> when determining the legality, necessity, and proportionality of any non-custodial immigration enforcement measure.</w:t>
      </w:r>
    </w:p>
    <w:p w14:paraId="4B12879B" w14:textId="31634191" w:rsidR="00E1766B" w:rsidRPr="00F07877" w:rsidRDefault="00E1766B" w:rsidP="00034E72">
      <w:pPr>
        <w:pStyle w:val="bulleted"/>
      </w:pPr>
      <w:r w:rsidRPr="00F07877">
        <w:t xml:space="preserve">Ensure the right to legal capacity and due process of all </w:t>
      </w:r>
      <w:proofErr w:type="gramStart"/>
      <w:r w:rsidRPr="00F07877">
        <w:t>persons</w:t>
      </w:r>
      <w:proofErr w:type="gramEnd"/>
      <w:r w:rsidRPr="00F07877">
        <w:t xml:space="preserve"> with disabilities in immigration detention</w:t>
      </w:r>
      <w:r w:rsidR="00423CED" w:rsidRPr="00F07877">
        <w:t>.</w:t>
      </w:r>
    </w:p>
    <w:sectPr w:rsidR="00E1766B" w:rsidRPr="00F07877" w:rsidSect="00653FD2">
      <w:footerReference w:type="default" r:id="rId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FEA04" w14:textId="77777777" w:rsidR="00D31CD4" w:rsidRDefault="00D31CD4" w:rsidP="00000944">
      <w:pPr>
        <w:spacing w:after="0" w:line="240" w:lineRule="auto"/>
      </w:pPr>
      <w:r>
        <w:separator/>
      </w:r>
    </w:p>
  </w:endnote>
  <w:endnote w:type="continuationSeparator" w:id="0">
    <w:p w14:paraId="5E6587A4" w14:textId="77777777" w:rsidR="00D31CD4" w:rsidRDefault="00D31CD4" w:rsidP="00000944">
      <w:pPr>
        <w:spacing w:after="0" w:line="240" w:lineRule="auto"/>
      </w:pPr>
      <w:r>
        <w:continuationSeparator/>
      </w:r>
    </w:p>
  </w:endnote>
  <w:endnote w:type="continuationNotice" w:id="1">
    <w:p w14:paraId="51EC2B0B" w14:textId="77777777" w:rsidR="00D31CD4" w:rsidRDefault="00D31CD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etaPro-Norm">
    <w:panose1 w:val="020B0504030101020102"/>
    <w:charset w:val="00"/>
    <w:family w:val="swiss"/>
    <w:notTrueType/>
    <w:pitch w:val="variable"/>
    <w:sig w:usb0="A00002FF" w:usb1="4000207B" w:usb2="00000000" w:usb3="00000000" w:csb0="0000009F" w:csb1="00000000"/>
  </w:font>
  <w:font w:name="Aptos Display">
    <w:charset w:val="00"/>
    <w:family w:val="swiss"/>
    <w:pitch w:val="variable"/>
    <w:sig w:usb0="20000287" w:usb1="00000003" w:usb2="00000000" w:usb3="00000000" w:csb0="0000019F" w:csb1="00000000"/>
  </w:font>
  <w:font w:name="MetaPro-Medi">
    <w:panose1 w:val="020B06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1631773"/>
      <w:docPartObj>
        <w:docPartGallery w:val="Page Numbers (Bottom of Page)"/>
        <w:docPartUnique/>
      </w:docPartObj>
    </w:sdtPr>
    <w:sdtEndPr>
      <w:rPr>
        <w:noProof/>
      </w:rPr>
    </w:sdtEndPr>
    <w:sdtContent>
      <w:p w14:paraId="251580E7" w14:textId="71910C14" w:rsidR="00CB4967" w:rsidRDefault="00CB49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4BD1EE" w14:textId="77777777" w:rsidR="00CB4967" w:rsidRDefault="00CB49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3353C" w14:textId="77777777" w:rsidR="00D31CD4" w:rsidRDefault="00D31CD4" w:rsidP="00000944">
      <w:pPr>
        <w:spacing w:after="0" w:line="240" w:lineRule="auto"/>
      </w:pPr>
      <w:r>
        <w:separator/>
      </w:r>
    </w:p>
  </w:footnote>
  <w:footnote w:type="continuationSeparator" w:id="0">
    <w:p w14:paraId="12DDF6D5" w14:textId="77777777" w:rsidR="00D31CD4" w:rsidRDefault="00D31CD4" w:rsidP="00000944">
      <w:pPr>
        <w:spacing w:after="0" w:line="240" w:lineRule="auto"/>
      </w:pPr>
      <w:r>
        <w:continuationSeparator/>
      </w:r>
    </w:p>
  </w:footnote>
  <w:footnote w:type="continuationNotice" w:id="1">
    <w:p w14:paraId="55BAACB3" w14:textId="77777777" w:rsidR="00D31CD4" w:rsidRDefault="00D31CD4">
      <w:pPr>
        <w:spacing w:after="0" w:line="240" w:lineRule="auto"/>
      </w:pPr>
    </w:p>
  </w:footnote>
  <w:footnote w:id="2">
    <w:p w14:paraId="7CDEEC9B" w14:textId="4D4FF026" w:rsidR="00000944" w:rsidRPr="0001275F" w:rsidRDefault="00000944" w:rsidP="0001275F">
      <w:pPr>
        <w:pStyle w:val="FootnoteText"/>
        <w:rPr>
          <w:szCs w:val="16"/>
        </w:rPr>
      </w:pPr>
      <w:r w:rsidRPr="0001275F">
        <w:rPr>
          <w:rStyle w:val="FootnoteReference"/>
          <w:szCs w:val="22"/>
        </w:rPr>
        <w:footnoteRef/>
      </w:r>
      <w:r w:rsidRPr="0001275F">
        <w:t xml:space="preserve"> </w:t>
      </w:r>
      <w:r w:rsidRPr="0001275F">
        <w:rPr>
          <w:szCs w:val="16"/>
        </w:rPr>
        <w:t>Human Rights Watch is an independent, international human rights organization that monitors, reports, and conducts advocacy on human rights in more than 90 countries globally. In 2013, Human Rights Watch became the world’s first international human rights organization</w:t>
      </w:r>
      <w:r w:rsidRPr="0001275F">
        <w:rPr>
          <w:b/>
          <w:bCs/>
          <w:szCs w:val="16"/>
        </w:rPr>
        <w:t> </w:t>
      </w:r>
      <w:r w:rsidRPr="0001275F">
        <w:rPr>
          <w:szCs w:val="16"/>
        </w:rPr>
        <w:t>to create a dedicated team to investigate and expose abuses against people with disabilities around the world, and advocate for change to improve their lives. Partnering with people with disabilities and their organizations across the globe, we work to ensure that the voices of people with disabilities are heard, in line with the disability movement’s motto “Nothing About Us, Without Us.”</w:t>
      </w:r>
    </w:p>
  </w:footnote>
  <w:footnote w:id="3">
    <w:p w14:paraId="14EAD14E" w14:textId="1DB11F38" w:rsidR="00096AD2" w:rsidRDefault="00096AD2">
      <w:pPr>
        <w:pStyle w:val="FootnoteText"/>
      </w:pPr>
      <w:r>
        <w:rPr>
          <w:rStyle w:val="FootnoteReference"/>
        </w:rPr>
        <w:footnoteRef/>
      </w:r>
      <w:r>
        <w:t xml:space="preserve"> See, for example, </w:t>
      </w:r>
      <w:bookmarkStart w:id="0" w:name="_Hlk187150817"/>
      <w:r w:rsidRPr="007E0F54">
        <w:t xml:space="preserve">Human Rights Watch and Amnesty International, </w:t>
      </w:r>
      <w:r w:rsidRPr="007E0F54">
        <w:rPr>
          <w:i/>
          <w:iCs/>
        </w:rPr>
        <w:t>“I Didn’t Feel Like a Human in There”: Immigration Detention in Canada and its Impact on Mental Health</w:t>
      </w:r>
      <w:r w:rsidRPr="007E0F54">
        <w:t xml:space="preserve">, </w:t>
      </w:r>
      <w:r>
        <w:t xml:space="preserve">(New York: Human Rights Watch, </w:t>
      </w:r>
      <w:r w:rsidRPr="007E0F54">
        <w:t>2021</w:t>
      </w:r>
      <w:r>
        <w:t>)</w:t>
      </w:r>
      <w:r w:rsidRPr="007E0F54">
        <w:t xml:space="preserve">, </w:t>
      </w:r>
      <w:r w:rsidRPr="00314511">
        <w:t>https://www.hrw.org/report/2021/06/17/i-didnt-feel-human-there/immigration-detention-canada-and-its-impact-mental</w:t>
      </w:r>
      <w:r>
        <w:t>.</w:t>
      </w:r>
      <w:bookmarkEnd w:id="0"/>
    </w:p>
  </w:footnote>
  <w:footnote w:id="4">
    <w:p w14:paraId="7F1FCF29" w14:textId="0AE29188" w:rsidR="00E1766B" w:rsidRPr="007E0F54" w:rsidRDefault="00E1766B" w:rsidP="00E1766B">
      <w:pPr>
        <w:pStyle w:val="FootnoteText"/>
      </w:pPr>
      <w:r w:rsidRPr="007E0F54">
        <w:rPr>
          <w:rStyle w:val="FootnoteReference"/>
          <w:szCs w:val="16"/>
        </w:rPr>
        <w:footnoteRef/>
      </w:r>
      <w:r w:rsidRPr="007E0F54">
        <w:t xml:space="preserve"> Canada Border Services Agency [CBSA], “Annual detention statistics: 2012-2024,” June 21, 2024, https://www.cbsa-asfc.gc.ca/security-securite/detent/stat-2012-2024-eng.html (</w:t>
      </w:r>
      <w:r w:rsidR="00F44196" w:rsidRPr="00F44196">
        <w:t>accessed January 20, 2025</w:t>
      </w:r>
      <w:r w:rsidRPr="007E0F54">
        <w:t>); IRPA, section 55. CBSA officers do not need an arrest warrant, except with respect to “protected persons,” who are individuals granted refugee protection (which is not subsequently revoked, as per section 95 of the IRPA).</w:t>
      </w:r>
    </w:p>
  </w:footnote>
  <w:footnote w:id="5">
    <w:p w14:paraId="025B6271" w14:textId="77777777" w:rsidR="00E1766B" w:rsidRPr="007E0F54" w:rsidRDefault="00E1766B" w:rsidP="00E1766B">
      <w:pPr>
        <w:pStyle w:val="FootnoteText"/>
      </w:pPr>
      <w:r w:rsidRPr="007E0F54">
        <w:rPr>
          <w:rStyle w:val="FootnoteReference"/>
          <w:szCs w:val="16"/>
        </w:rPr>
        <w:footnoteRef/>
      </w:r>
      <w:r w:rsidRPr="007E0F54">
        <w:t xml:space="preserve"> </w:t>
      </w:r>
      <w:r>
        <w:t>CBSA</w:t>
      </w:r>
      <w:r w:rsidRPr="007E0F54">
        <w:t>, “Annual detention statistics: 2012-2024</w:t>
      </w:r>
      <w:r>
        <w:t>.</w:t>
      </w:r>
      <w:r w:rsidRPr="007E0F54">
        <w:t>”</w:t>
      </w:r>
    </w:p>
  </w:footnote>
  <w:footnote w:id="6">
    <w:p w14:paraId="06DC36FC" w14:textId="77777777" w:rsidR="00E1766B" w:rsidRPr="007E0F54" w:rsidRDefault="00E1766B" w:rsidP="00E1766B">
      <w:pPr>
        <w:pStyle w:val="FootnoteText"/>
      </w:pPr>
      <w:r w:rsidRPr="007E0F54">
        <w:rPr>
          <w:rStyle w:val="FootnoteReference"/>
          <w:szCs w:val="16"/>
        </w:rPr>
        <w:footnoteRef/>
      </w:r>
      <w:r w:rsidRPr="007E0F54">
        <w:rPr>
          <w:i/>
          <w:iCs/>
        </w:rPr>
        <w:t xml:space="preserve"> </w:t>
      </w:r>
      <w:r w:rsidRPr="007E0F54">
        <w:t>Importantly, individuals who had previous interactions with the criminal justice system can only be transferred into CBSA’s custody for immigration detention after criminal justice authorities have determined they need not be incarcerated (that is, after receiving bail, after criminal charges are dropped, or after a criminal sentence is completed).</w:t>
      </w:r>
    </w:p>
  </w:footnote>
  <w:footnote w:id="7">
    <w:p w14:paraId="4E67B128" w14:textId="77777777" w:rsidR="00395C53" w:rsidRDefault="00395C53" w:rsidP="00395C53">
      <w:pPr>
        <w:pStyle w:val="FootnoteText"/>
      </w:pPr>
      <w:r>
        <w:rPr>
          <w:rStyle w:val="FootnoteReference"/>
        </w:rPr>
        <w:footnoteRef/>
      </w:r>
      <w:r>
        <w:t xml:space="preserve"> </w:t>
      </w:r>
      <w:r w:rsidRPr="00395C53">
        <w:t>Human Rights Watch and Amnesty International, “I Didn’t Feel Like a Human in There”: Immigration Detention in Canada and its Impact on Mental Health, (New York: Human Rights Watch, 2021), https://www.hrw.org/report/2021/06/17/i-didnt-feel-human-there/immigration-detention-canada-and-its-impact-mental.</w:t>
      </w:r>
    </w:p>
  </w:footnote>
  <w:footnote w:id="8">
    <w:p w14:paraId="5F275E1E" w14:textId="4B6A8318" w:rsidR="00395C53" w:rsidRDefault="00395C53">
      <w:pPr>
        <w:pStyle w:val="FootnoteText"/>
      </w:pPr>
      <w:r>
        <w:rPr>
          <w:rStyle w:val="FootnoteReference"/>
        </w:rPr>
        <w:footnoteRef/>
      </w:r>
      <w:r>
        <w:t xml:space="preserve"> </w:t>
      </w:r>
      <w:r w:rsidR="009B5DFA">
        <w:t>Ibid.</w:t>
      </w:r>
    </w:p>
  </w:footnote>
  <w:footnote w:id="9">
    <w:p w14:paraId="7EE2D0DD" w14:textId="30B1DB80" w:rsidR="002402F4" w:rsidRDefault="002402F4" w:rsidP="002402F4">
      <w:pPr>
        <w:pStyle w:val="FootnoteText"/>
      </w:pPr>
      <w:r>
        <w:rPr>
          <w:rStyle w:val="FootnoteReference"/>
        </w:rPr>
        <w:footnoteRef/>
      </w:r>
      <w:r>
        <w:t xml:space="preserve"> </w:t>
      </w:r>
      <w:r w:rsidR="00B12668" w:rsidRPr="00B12668">
        <w:t xml:space="preserve">According to the UN Office of the High Commissioner for Human Rights, the jurisprudence of the CRPD committee makes clear that having a perceived or actual disability can never be used as a basis to deprive a person of liberty: “It is contrary to article 14 to allow for the detention of persons with disabilities based on the perceived danger of persons to themselves or to others. The involuntary detention of persons with disabilities based on presumptions of risk or dangerousness tied to disability labels is contrary to the right to liberty.”  </w:t>
      </w:r>
      <w:r w:rsidRPr="00395C53">
        <w:t>Office of the UN High Commissioner for Human Rights, “Statement on article 14 of the Convention on the Rights of Persons with Disabilities,” Geneva, September 2014, http://www.ohchr.org/EN/NewsEvents/Pages/DisplayNews.aspx?NewsID=15183&amp;LangID=E#sthash.La0fXcOB.dpuf.</w:t>
      </w:r>
    </w:p>
  </w:footnote>
  <w:footnote w:id="10">
    <w:p w14:paraId="39CB123B" w14:textId="1E734EC3" w:rsidR="002402F4" w:rsidRDefault="002402F4">
      <w:pPr>
        <w:pStyle w:val="FootnoteText"/>
      </w:pPr>
      <w:r>
        <w:rPr>
          <w:rStyle w:val="FootnoteReference"/>
        </w:rPr>
        <w:footnoteRef/>
      </w:r>
      <w:r>
        <w:t xml:space="preserve"> </w:t>
      </w:r>
      <w:r w:rsidRPr="002402F4">
        <w:t>According to the UN special rapporteur on torture, “any imposition of solitary confinement beyond 15 days constitutes torture or cruel, inhuman, or degrading treatment or punishment depending on the circumstances.” United Nations General Assembly, Interim report of the Special Rapporteur of the Human Rights Council on torture and other cruel, inhuman or degrading treatment or punishment, Juan Mendez, UN Doc. A/66/268, August 5, 2011, para 76.</w:t>
      </w:r>
      <w:r w:rsidR="006F0E7F" w:rsidRPr="006F0E7F">
        <w:rPr>
          <w:rFonts w:ascii="Georgia" w:hAnsi="Georgia"/>
          <w:color w:val="444444"/>
          <w:sz w:val="30"/>
          <w:szCs w:val="30"/>
        </w:rPr>
        <w:t xml:space="preserve"> </w:t>
      </w:r>
      <w:r w:rsidR="006F0E7F" w:rsidRPr="006F0E7F">
        <w:t>The special rapporteur also noted that detainees with mental health conditions “deteriorate dramatically in isolation” and solitary confinement “often results in severe exacerbation of a previously existing mental health condition.”</w:t>
      </w:r>
      <w:r w:rsidR="006F0E7F" w:rsidRPr="006F0E7F">
        <w:rPr>
          <w:rFonts w:ascii="Georgia" w:hAnsi="Georgia"/>
          <w:color w:val="444444"/>
          <w:sz w:val="21"/>
          <w:szCs w:val="21"/>
          <w:shd w:val="clear" w:color="auto" w:fill="FFFFFF"/>
        </w:rPr>
        <w:t xml:space="preserve"> </w:t>
      </w:r>
      <w:r w:rsidR="006F0E7F" w:rsidRPr="006F0E7F">
        <w:t>Ibid., para 68</w:t>
      </w:r>
      <w:r w:rsidR="006F0E7F">
        <w:t xml:space="preserve">. </w:t>
      </w:r>
      <w:r w:rsidR="006F0E7F" w:rsidRPr="006F0E7F">
        <w:t>And the special rapporteur has emphasized that “solitary confinement of any duration must never be imposed on … persons with mental or physical disabilities.”</w:t>
      </w:r>
      <w:r w:rsidR="006F0E7F" w:rsidRPr="006F0E7F">
        <w:rPr>
          <w:rFonts w:ascii="Georgia" w:hAnsi="Georgia"/>
          <w:color w:val="444444"/>
          <w:sz w:val="21"/>
          <w:szCs w:val="21"/>
          <w:shd w:val="clear" w:color="auto" w:fill="FFFFFF"/>
        </w:rPr>
        <w:t xml:space="preserve"> </w:t>
      </w:r>
      <w:r w:rsidR="006F0E7F" w:rsidRPr="006F0E7F">
        <w:t>UN Human Rights Council, Report of the Special Rapporteur on torture and other cruel, inhuman or degrading treatment or punishment, UN Doc. A/HRC/31/57, January 5, 2016, para 22.</w:t>
      </w:r>
    </w:p>
  </w:footnote>
  <w:footnote w:id="11">
    <w:p w14:paraId="3E397509" w14:textId="05EA8F83" w:rsidR="00034904" w:rsidRPr="007E0F54" w:rsidRDefault="00034904" w:rsidP="00034904">
      <w:pPr>
        <w:pStyle w:val="FootnoteText"/>
      </w:pPr>
      <w:r w:rsidRPr="007E0F54">
        <w:rPr>
          <w:rStyle w:val="FootnoteReference"/>
          <w:szCs w:val="16"/>
        </w:rPr>
        <w:footnoteRef/>
      </w:r>
      <w:r w:rsidRPr="007E0F54">
        <w:t xml:space="preserve"> Human Rights Watch and Amnesty International, </w:t>
      </w:r>
      <w:r w:rsidRPr="007E0F54">
        <w:rPr>
          <w:i/>
          <w:iCs/>
        </w:rPr>
        <w:t xml:space="preserve">“I Didn’t Feel Like a Human in There” </w:t>
      </w:r>
      <w:r w:rsidRPr="007E0F54">
        <w:t>(2021)</w:t>
      </w:r>
      <w:r w:rsidR="005961FD">
        <w:t>, p</w:t>
      </w:r>
      <w:r w:rsidR="002B1CCF">
        <w:t>.</w:t>
      </w:r>
      <w:r w:rsidR="005961FD">
        <w:t xml:space="preserve"> 89</w:t>
      </w:r>
      <w:r w:rsidRPr="007E0F54">
        <w:t>.</w:t>
      </w:r>
    </w:p>
  </w:footnote>
  <w:footnote w:id="12">
    <w:p w14:paraId="5EE86034" w14:textId="6432B6FA" w:rsidR="005961FD" w:rsidRDefault="005961FD">
      <w:pPr>
        <w:pStyle w:val="FootnoteText"/>
      </w:pPr>
      <w:r>
        <w:rPr>
          <w:rStyle w:val="FootnoteReference"/>
        </w:rPr>
        <w:footnoteRef/>
      </w:r>
      <w:r>
        <w:t xml:space="preserve"> Ibid</w:t>
      </w:r>
      <w:r w:rsidR="0057155A">
        <w:t>.</w:t>
      </w:r>
    </w:p>
  </w:footnote>
  <w:footnote w:id="13">
    <w:p w14:paraId="4E04ACB8" w14:textId="38D95DA7" w:rsidR="005961FD" w:rsidRDefault="005961FD">
      <w:pPr>
        <w:pStyle w:val="FootnoteText"/>
      </w:pPr>
      <w:r>
        <w:rPr>
          <w:rStyle w:val="FootnoteReference"/>
        </w:rPr>
        <w:footnoteRef/>
      </w:r>
      <w:r>
        <w:t xml:space="preserve"> Ibid</w:t>
      </w:r>
      <w:r w:rsidR="002B1CCF">
        <w:t>.</w:t>
      </w:r>
      <w:r>
        <w:t>, p</w:t>
      </w:r>
      <w:r w:rsidR="002B1CCF">
        <w:t>.</w:t>
      </w:r>
      <w:r>
        <w:t xml:space="preserve"> 91.</w:t>
      </w:r>
    </w:p>
  </w:footnote>
  <w:footnote w:id="14">
    <w:p w14:paraId="67D04E05" w14:textId="77777777" w:rsidR="001F13C1" w:rsidRPr="007E0F54" w:rsidRDefault="001F13C1" w:rsidP="001F13C1">
      <w:pPr>
        <w:pStyle w:val="FootnoteText"/>
      </w:pPr>
      <w:r w:rsidRPr="007E0F54">
        <w:rPr>
          <w:rStyle w:val="FootnoteReference"/>
          <w:szCs w:val="16"/>
        </w:rPr>
        <w:footnoteRef/>
      </w:r>
      <w:r w:rsidRPr="007E0F54">
        <w:t xml:space="preserve"> Legal capacity is the right of an individual to hold rights and duties, and to be an actor under the law, on an equal basis with others. The concept of legal capacity encompasses the right to personhood, being recognized as a person before the law, and legal agency, i.e., the capacity to act and exercise those rights</w:t>
      </w:r>
      <w:r>
        <w:t>.</w:t>
      </w:r>
      <w:r w:rsidRPr="007E0F54">
        <w:t xml:space="preserve"> CRPD Committee, General </w:t>
      </w:r>
      <w:r>
        <w:t>C</w:t>
      </w:r>
      <w:r w:rsidRPr="007E0F54">
        <w:t xml:space="preserve">omment No. 1, Article 12: Equal recognition before the law, UN Doc. CRPD/C/GC/1 (2014), </w:t>
      </w:r>
      <w:r w:rsidRPr="00314511">
        <w:t>https://daccess-ods.un.org/access.nsf/Get?OpenAgent&amp;DS=CRPD/C/GC/1&amp;Lang=E</w:t>
      </w:r>
      <w:r w:rsidRPr="007E0F54">
        <w:t>, para. 14</w:t>
      </w:r>
      <w:r>
        <w:t>;</w:t>
      </w:r>
      <w:r w:rsidRPr="007E0F54">
        <w:t xml:space="preserve"> International Disability Alliance, “Legal Opinion on Article 12 of CRPD,” </w:t>
      </w:r>
      <w:r>
        <w:t>2010</w:t>
      </w:r>
      <w:r w:rsidRPr="007E0F54">
        <w:t>, https://www.internationaldisabilityalliance.org/resources/legal-opinion-article-12-crpd.</w:t>
      </w:r>
    </w:p>
  </w:footnote>
  <w:footnote w:id="15">
    <w:p w14:paraId="3D4E0EFA" w14:textId="77777777" w:rsidR="001F13C1" w:rsidRPr="007E0F54" w:rsidRDefault="001F13C1" w:rsidP="001F13C1">
      <w:pPr>
        <w:pStyle w:val="FootnoteText"/>
      </w:pPr>
      <w:r w:rsidRPr="007E0F54">
        <w:rPr>
          <w:rStyle w:val="FootnoteReference"/>
          <w:szCs w:val="16"/>
        </w:rPr>
        <w:footnoteRef/>
      </w:r>
      <w:r w:rsidRPr="007E0F54">
        <w:t xml:space="preserve"> CRPD Committee, General </w:t>
      </w:r>
      <w:r>
        <w:t>C</w:t>
      </w:r>
      <w:r w:rsidRPr="007E0F54">
        <w:t>omment No. 1, para. 18</w:t>
      </w:r>
      <w:r>
        <w:t>.</w:t>
      </w:r>
      <w:r w:rsidRPr="007E0F54">
        <w:t xml:space="preserve"> </w:t>
      </w:r>
    </w:p>
  </w:footnote>
  <w:footnote w:id="16">
    <w:p w14:paraId="76A15BA4" w14:textId="77777777" w:rsidR="001F13C1" w:rsidRPr="007E0F54" w:rsidRDefault="001F13C1" w:rsidP="001F13C1">
      <w:pPr>
        <w:pStyle w:val="FootnoteText"/>
      </w:pPr>
      <w:r w:rsidRPr="007E0F54">
        <w:rPr>
          <w:rStyle w:val="FootnoteReference"/>
          <w:szCs w:val="16"/>
        </w:rPr>
        <w:footnoteRef/>
      </w:r>
      <w:r w:rsidRPr="007E0F54">
        <w:t xml:space="preserve"> According to the CRPD Committee, where a person’s “disability and/or </w:t>
      </w:r>
      <w:proofErr w:type="gramStart"/>
      <w:r w:rsidRPr="007E0F54">
        <w:t>decision making</w:t>
      </w:r>
      <w:proofErr w:type="gramEnd"/>
      <w:r w:rsidRPr="007E0F54">
        <w:t xml:space="preserve"> skills are taken as legitimate grounds for denying his or her legal capacity and lowering his or her status as a person before the law,” this constitutes “discriminatory denial of legal capacity</w:t>
      </w:r>
      <w:r>
        <w:t>.</w:t>
      </w:r>
      <w:r w:rsidRPr="007E0F54">
        <w:t xml:space="preserve">” </w:t>
      </w:r>
      <w:r>
        <w:t>I</w:t>
      </w:r>
      <w:r w:rsidRPr="007E0F54">
        <w:t>bid, para 15.</w:t>
      </w:r>
    </w:p>
  </w:footnote>
  <w:footnote w:id="17">
    <w:p w14:paraId="2745A614" w14:textId="77777777" w:rsidR="001F13C1" w:rsidRPr="007E0F54" w:rsidRDefault="001F13C1" w:rsidP="001F13C1">
      <w:pPr>
        <w:pStyle w:val="FootnoteText"/>
      </w:pPr>
      <w:r w:rsidRPr="007E0F54">
        <w:rPr>
          <w:rStyle w:val="FootnoteReference"/>
          <w:szCs w:val="16"/>
        </w:rPr>
        <w:footnoteRef/>
      </w:r>
      <w:r w:rsidRPr="007E0F54">
        <w:t xml:space="preserve"> CRPD, art. 12(3); CRPD Committee, General </w:t>
      </w:r>
      <w:r>
        <w:t>C</w:t>
      </w:r>
      <w:r w:rsidRPr="007E0F54">
        <w:t>omment No. 1, para. 17 and 26</w:t>
      </w:r>
      <w:hyperlink w:history="1"/>
      <w:hyperlink r:id="rId1" w:history="1">
        <w:r>
          <w:t>.</w:t>
        </w:r>
      </w:hyperlink>
      <w:r w:rsidRPr="007E0F54">
        <w:t xml:space="preserve"> </w:t>
      </w:r>
    </w:p>
  </w:footnote>
  <w:footnote w:id="18">
    <w:p w14:paraId="36011EB7" w14:textId="77777777" w:rsidR="001F13C1" w:rsidRPr="007E0F54" w:rsidRDefault="001F13C1" w:rsidP="001F13C1">
      <w:pPr>
        <w:pStyle w:val="FootnoteText"/>
      </w:pPr>
      <w:r w:rsidRPr="007E0F54">
        <w:rPr>
          <w:rStyle w:val="FootnoteReference"/>
          <w:szCs w:val="16"/>
        </w:rPr>
        <w:footnoteRef/>
      </w:r>
      <w:r w:rsidRPr="007E0F54">
        <w:t xml:space="preserve"> CRPD Committee, General </w:t>
      </w:r>
      <w:r>
        <w:t>C</w:t>
      </w:r>
      <w:r w:rsidRPr="007E0F54">
        <w:t>omment No. 1, para. 17.</w:t>
      </w:r>
    </w:p>
  </w:footnote>
  <w:footnote w:id="19">
    <w:p w14:paraId="640416F7" w14:textId="7D6CDEA5" w:rsidR="001F13C1" w:rsidRPr="007E0F54" w:rsidRDefault="001F13C1" w:rsidP="001F13C1">
      <w:pPr>
        <w:pStyle w:val="FootnoteText"/>
      </w:pPr>
      <w:r w:rsidRPr="00B50CF7">
        <w:rPr>
          <w:rStyle w:val="FootnoteReference"/>
        </w:rPr>
        <w:footnoteRef/>
      </w:r>
      <w:r w:rsidRPr="007E0F54">
        <w:t xml:space="preserve"> United Nations Treaty Series, “15. Convention on the Rights of Persons with Disabilities,” vol. 2515, https://treaties.un.org/doc/Publication/MTDSG/Volume%20I/Chapter%20IV/IV-15.en.pdf (</w:t>
      </w:r>
      <w:r w:rsidR="00F44196" w:rsidRPr="00F44196">
        <w:t>accessed January 20, 2025</w:t>
      </w:r>
      <w:r w:rsidRPr="007E0F54">
        <w:t xml:space="preserve">), p. 4. Canada specifically reserved the right to continue the use of substitute decision-making arrangements </w:t>
      </w:r>
      <w:r>
        <w:t>“</w:t>
      </w:r>
      <w:r w:rsidRPr="007E0F54">
        <w:t>in appropriate circumstances and subject to appropriate and effective safeguards.</w:t>
      </w:r>
      <w:r>
        <w:t>”</w:t>
      </w:r>
    </w:p>
  </w:footnote>
  <w:footnote w:id="20">
    <w:p w14:paraId="0BF1DC53" w14:textId="794A281E" w:rsidR="001F13C1" w:rsidRPr="007E0F54" w:rsidRDefault="001F13C1" w:rsidP="001F13C1">
      <w:pPr>
        <w:pStyle w:val="FootnoteText"/>
      </w:pPr>
      <w:r w:rsidRPr="007E0F54">
        <w:rPr>
          <w:rStyle w:val="FootnoteReference"/>
          <w:szCs w:val="16"/>
        </w:rPr>
        <w:footnoteRef/>
      </w:r>
      <w:r>
        <w:t xml:space="preserve"> </w:t>
      </w:r>
      <w:r w:rsidRPr="007E0F54">
        <w:t>Steven J.</w:t>
      </w:r>
      <w:r>
        <w:t xml:space="preserve"> </w:t>
      </w:r>
      <w:r w:rsidRPr="007E0F54">
        <w:t xml:space="preserve">Hoffman, Lathika Sritharan, and Ali </w:t>
      </w:r>
      <w:proofErr w:type="spellStart"/>
      <w:r w:rsidRPr="007E0F54">
        <w:t>Tejpar</w:t>
      </w:r>
      <w:proofErr w:type="spellEnd"/>
      <w:r w:rsidRPr="007E0F54">
        <w:t>, “Is the UN Convention on the Rights of Persons with Disabilities Impacting Mental Health Laws and Policies in High-Income Countries? A Case Study of Implementation in Canada,” BMC International Health and Human Rights, vol. 16 (2016),</w:t>
      </w:r>
      <w:r>
        <w:t xml:space="preserve"> </w:t>
      </w:r>
      <w:proofErr w:type="spellStart"/>
      <w:r>
        <w:t>doi</w:t>
      </w:r>
      <w:proofErr w:type="spellEnd"/>
      <w:r>
        <w:t xml:space="preserve">: </w:t>
      </w:r>
      <w:r w:rsidRPr="003D671F">
        <w:t>10.1186/s12914-016-0103-1</w:t>
      </w:r>
      <w:r>
        <w:t xml:space="preserve"> (</w:t>
      </w:r>
      <w:r w:rsidR="00F44196" w:rsidRPr="00F44196">
        <w:t>accessed January 20, 2025</w:t>
      </w:r>
      <w:r>
        <w:t>).</w:t>
      </w:r>
    </w:p>
  </w:footnote>
  <w:footnote w:id="21">
    <w:p w14:paraId="589E006B" w14:textId="46648E27" w:rsidR="001F13C1" w:rsidRPr="007E0F54" w:rsidRDefault="001F13C1" w:rsidP="002504FE">
      <w:pPr>
        <w:pStyle w:val="FootnoteText"/>
      </w:pPr>
      <w:r w:rsidRPr="007E0F54">
        <w:rPr>
          <w:rStyle w:val="FootnoteReference"/>
          <w:szCs w:val="16"/>
        </w:rPr>
        <w:footnoteRef/>
      </w:r>
      <w:r w:rsidRPr="007E0F54">
        <w:t xml:space="preserve"> Under the International Principles and Guidelines on Access to Justice for Persons with Disabilities, procedural accommodation is defined as: “all necessary and appropriate modifications and adjustments in the context of access to justice, where needed in a particular case, to ensure the participation of persons with disabilities on an equal basis with others. Unlike reasonable accommodations, procedural accommodations are not limited by the concept of ‘disproportionate or undue burden.’” </w:t>
      </w:r>
      <w:r>
        <w:t xml:space="preserve">United Nations Human Rights Special Procedures, </w:t>
      </w:r>
      <w:r w:rsidRPr="007E0F54">
        <w:t xml:space="preserve">“International Principles and Guidelines on Access to Justice for Persons with Disabilities,” August 2020, </w:t>
      </w:r>
      <w:r w:rsidRPr="00314511">
        <w:t>www.un.org/development/desa/disabilities/wp-content/uploads/sites/15/2020/10/Access-to-Justice-EN.pdf</w:t>
      </w:r>
      <w:r w:rsidRPr="007E0F54">
        <w:t xml:space="preserve"> (</w:t>
      </w:r>
      <w:r w:rsidR="00F44196" w:rsidRPr="00F44196">
        <w:t>accessed January 20, 2025</w:t>
      </w:r>
      <w:r w:rsidRPr="007E0F54">
        <w:t>), p.</w:t>
      </w:r>
      <w:r>
        <w:t xml:space="preserve"> </w:t>
      </w:r>
      <w:r w:rsidRPr="007E0F54">
        <w:t xml:space="preserve">9. The Committee on the Rights of Persons with Disabilities stated that: “Persons with disabilities must also be granted legal capacity to testify on an equal basis with others. Article 12 of the Convention guarantees support in the exercise of legal capacity, including the capacity to testify in judicial, administrative and other legal proceedings. Such support could take various forms, including recognition of diverse communication methods, allowing video testimony in certain situations, procedural accommodation, the provision of professional sign language interpretation and other assistive methods. The judiciary must also be trained and made aware of their obligation to respect the legal capacity of persons with disabilities, including legal agency and standing.” </w:t>
      </w:r>
      <w:r>
        <w:t>CRPD Committee</w:t>
      </w:r>
      <w:r w:rsidRPr="007E0F54">
        <w:t>, General Comment No. 1, para 39</w:t>
      </w:r>
      <w:r>
        <w:t>;</w:t>
      </w:r>
      <w:r w:rsidRPr="007E0F54">
        <w:t xml:space="preserve"> According to the United Nations High Commissioner for Human Rights: “reasonable accommodation should not be confused with procedural accommodations in the context of access to justice, as this would fall short of the full provisions enshrined in the right. During the negotiations on the Convention, the term ‘reasonable’ was intentionally left aside in the framing of article 13. Article 13 requires ‘procedural accommodations’, which are not limited by the concept of ‘disproportionate or undue burden’. This differentiation is fundamental, because the right of access to justice acts as the guarantor for the effective enjoyment and exercise of all rights. Failure to provide a procedural accommodation therefore constitutes a form of discrimination </w:t>
      </w:r>
      <w:proofErr w:type="gramStart"/>
      <w:r w:rsidRPr="007E0F54">
        <w:t>on the basis of</w:t>
      </w:r>
      <w:proofErr w:type="gramEnd"/>
      <w:r w:rsidRPr="007E0F54">
        <w:t xml:space="preserve"> disability in connection with the right of access to justice.” Human Rights Council, “Equity and non-discrimination under article 5 of the Convention on the Rights of Persons with Disabilities: Report of the Office of the United Nations High Commissioner for Human Rights,” </w:t>
      </w:r>
      <w:r>
        <w:t xml:space="preserve">U.N. Doc </w:t>
      </w:r>
      <w:r w:rsidRPr="00EC76CC">
        <w:t>A/HRC/34/26</w:t>
      </w:r>
      <w:r>
        <w:t xml:space="preserve"> (</w:t>
      </w:r>
      <w:r w:rsidRPr="007E0F54">
        <w:t>2016</w:t>
      </w:r>
      <w:r>
        <w:t>)</w:t>
      </w:r>
      <w:r w:rsidRPr="007E0F54">
        <w:t>, para. 35</w:t>
      </w:r>
      <w:r>
        <w:t>;</w:t>
      </w:r>
      <w:r w:rsidRPr="007E0F54">
        <w:t xml:space="preserve"> See also Human Rights Council, “Right to access to justice under article 13 of the Convention on the Rights of Persons with Disabilities: Report of the Office of the United Nations High Commissioner for Human Rights,” UN Doc. A/HRC/37/25</w:t>
      </w:r>
      <w:r>
        <w:t xml:space="preserve"> (</w:t>
      </w:r>
      <w:r w:rsidRPr="007E0F54">
        <w:t>2017</w:t>
      </w:r>
      <w:r>
        <w:t>)</w:t>
      </w:r>
      <w:r w:rsidRPr="007E0F54">
        <w:t>, paras. 25-26).</w:t>
      </w:r>
    </w:p>
  </w:footnote>
  <w:footnote w:id="22">
    <w:p w14:paraId="4082DF6A" w14:textId="77777777" w:rsidR="001F13C1" w:rsidRPr="007E0F54" w:rsidRDefault="001F13C1" w:rsidP="001F13C1">
      <w:pPr>
        <w:pStyle w:val="FootnoteText"/>
      </w:pPr>
      <w:r w:rsidRPr="007E0F54">
        <w:rPr>
          <w:rStyle w:val="FootnoteReference"/>
          <w:szCs w:val="16"/>
        </w:rPr>
        <w:footnoteRef/>
      </w:r>
      <w:r w:rsidRPr="007E0F54">
        <w:t xml:space="preserve"> CRPD, art. 14 (2): “States Parties shall ensure that if persons with disabilities are deprived of their liberty through any process, they are, on an equal basis with others, entitled to guarantees in accordance with international human rights law and shall be treated in compliance with the objectives and principles of this Convention, including by provision of reasonable accommodation.”</w:t>
      </w:r>
    </w:p>
  </w:footnote>
  <w:footnote w:id="23">
    <w:p w14:paraId="6BBD372F" w14:textId="77777777" w:rsidR="00B331BC" w:rsidRPr="007E0F54" w:rsidRDefault="00B331BC" w:rsidP="00B331BC">
      <w:pPr>
        <w:pStyle w:val="FootnoteText"/>
      </w:pPr>
      <w:r w:rsidRPr="007E0F54">
        <w:rPr>
          <w:rStyle w:val="FootnoteReference"/>
          <w:szCs w:val="16"/>
        </w:rPr>
        <w:footnoteRef/>
      </w:r>
      <w:r w:rsidRPr="007E0F54">
        <w:t xml:space="preserve"> IRPA, section 167(2). Notably, while detention review hearings may proceed without a legal representative appearing on behalf of the detained individual, in cases where the tribunal determines the individual is “unable to appreciate the nature of the proceedings,” a designated representative is required.  </w:t>
      </w:r>
    </w:p>
  </w:footnote>
  <w:footnote w:id="24">
    <w:p w14:paraId="54FB07A0" w14:textId="77777777" w:rsidR="00B331BC" w:rsidRPr="007E0F54" w:rsidRDefault="00B331BC" w:rsidP="00B331BC">
      <w:pPr>
        <w:pStyle w:val="FootnoteText"/>
      </w:pPr>
      <w:r w:rsidRPr="007E0F54">
        <w:rPr>
          <w:rStyle w:val="FootnoteReference"/>
          <w:szCs w:val="16"/>
        </w:rPr>
        <w:footnoteRef/>
      </w:r>
      <w:r w:rsidRPr="007E0F54">
        <w:t xml:space="preserve"> Interviews with 11 immigration and refugee lawyers (names withheld), in the eastern, central</w:t>
      </w:r>
      <w:r>
        <w:t>,</w:t>
      </w:r>
      <w:r w:rsidRPr="007E0F54">
        <w:t xml:space="preserve"> and western regions, April and May 2024.</w:t>
      </w:r>
    </w:p>
  </w:footnote>
  <w:footnote w:id="25">
    <w:p w14:paraId="3D606136" w14:textId="77777777" w:rsidR="00B331BC" w:rsidRPr="007E0F54" w:rsidRDefault="00B331BC" w:rsidP="00B331BC">
      <w:pPr>
        <w:pStyle w:val="FootnoteText"/>
      </w:pPr>
      <w:r w:rsidRPr="007E0F54">
        <w:rPr>
          <w:rStyle w:val="FootnoteReference"/>
          <w:szCs w:val="16"/>
        </w:rPr>
        <w:footnoteRef/>
      </w:r>
      <w:r w:rsidRPr="007E0F54">
        <w:t xml:space="preserve"> IRB, “Designated representative guide</w:t>
      </w:r>
      <w:r>
        <w:t>.</w:t>
      </w:r>
      <w:r w:rsidRPr="007E0F54">
        <w:t xml:space="preserve">” </w:t>
      </w:r>
    </w:p>
  </w:footnote>
  <w:footnote w:id="26">
    <w:p w14:paraId="357E3786" w14:textId="6FA819F3" w:rsidR="00B331BC" w:rsidRPr="007E0F54" w:rsidRDefault="00B331BC" w:rsidP="00B331BC">
      <w:pPr>
        <w:pStyle w:val="FootnoteText"/>
      </w:pPr>
      <w:r w:rsidRPr="007E0F54">
        <w:rPr>
          <w:rStyle w:val="FootnoteReference"/>
          <w:szCs w:val="16"/>
        </w:rPr>
        <w:footnoteRef/>
      </w:r>
      <w:r w:rsidRPr="007E0F54">
        <w:t xml:space="preserve"> Ibid.</w:t>
      </w:r>
      <w:r w:rsidR="009462C2">
        <w:t>,</w:t>
      </w:r>
      <w:r w:rsidRPr="007E0F54">
        <w:t xml:space="preserve"> Contracted designated representatives must also hold a “valid reliability status” (such as a police records check), they must complete a “physical security and information technology security assessment” to handle or store protected information, and they should also “ideally live in the vicinity of the location where the proceedings are held.” Some designated representatives are also lawyers by profession, but </w:t>
      </w:r>
      <w:proofErr w:type="gramStart"/>
      <w:r w:rsidRPr="007E0F54">
        <w:t>in the course of</w:t>
      </w:r>
      <w:proofErr w:type="gramEnd"/>
      <w:r w:rsidRPr="007E0F54">
        <w:t xml:space="preserve"> detention review hearings, they may only represent a given client as either a designated representative or a lawyer</w:t>
      </w:r>
      <w:r>
        <w:t xml:space="preserve">, </w:t>
      </w:r>
      <w:r w:rsidRPr="007E0F54">
        <w:t xml:space="preserve">not both. </w:t>
      </w:r>
    </w:p>
  </w:footnote>
  <w:footnote w:id="27">
    <w:p w14:paraId="5CBF8C21" w14:textId="77777777" w:rsidR="001C4052" w:rsidRPr="007E0F54" w:rsidRDefault="001C4052" w:rsidP="001C4052">
      <w:pPr>
        <w:pStyle w:val="FootnoteText"/>
      </w:pPr>
      <w:r w:rsidRPr="007E0F54">
        <w:rPr>
          <w:rStyle w:val="FootnoteReference"/>
          <w:szCs w:val="16"/>
        </w:rPr>
        <w:footnoteRef/>
      </w:r>
      <w:r w:rsidRPr="007E0F54">
        <w:t xml:space="preserve"> Interview with immigration and refugee lawyer (name withheld), eastern region, April 2024.</w:t>
      </w:r>
    </w:p>
  </w:footnote>
  <w:footnote w:id="28">
    <w:p w14:paraId="3B6FACB3" w14:textId="77777777" w:rsidR="001C4052" w:rsidRPr="007E0F54" w:rsidRDefault="001C4052" w:rsidP="001C4052">
      <w:pPr>
        <w:pStyle w:val="FootnoteText"/>
      </w:pPr>
      <w:r w:rsidRPr="007E0F54">
        <w:rPr>
          <w:rStyle w:val="FootnoteReference"/>
          <w:szCs w:val="16"/>
        </w:rPr>
        <w:footnoteRef/>
      </w:r>
      <w:r w:rsidRPr="007E0F54">
        <w:t xml:space="preserve"> Interviews with </w:t>
      </w:r>
      <w:r>
        <w:t>three</w:t>
      </w:r>
      <w:r w:rsidRPr="007E0F54">
        <w:t xml:space="preserve"> immigration and refugee lawyers (names withheld), in the central and western regions, April and May 2024.</w:t>
      </w:r>
    </w:p>
  </w:footnote>
  <w:footnote w:id="29">
    <w:p w14:paraId="4B70746B" w14:textId="77777777" w:rsidR="00B331BC" w:rsidRPr="007E0F54" w:rsidRDefault="00B331BC" w:rsidP="00B331BC">
      <w:pPr>
        <w:pStyle w:val="FootnoteText"/>
      </w:pPr>
      <w:r w:rsidRPr="007E0F54">
        <w:rPr>
          <w:rStyle w:val="FootnoteReference"/>
          <w:szCs w:val="16"/>
        </w:rPr>
        <w:footnoteRef/>
      </w:r>
      <w:r w:rsidRPr="007E0F54">
        <w:t xml:space="preserve"> Interviews with 11 immigration and refugee lawyers (names withheld), in the eastern, central</w:t>
      </w:r>
      <w:r>
        <w:t>,</w:t>
      </w:r>
      <w:r w:rsidRPr="007E0F54">
        <w:t xml:space="preserve"> and western regions, April and May 2024.  </w:t>
      </w:r>
    </w:p>
  </w:footnote>
  <w:footnote w:id="30">
    <w:p w14:paraId="721B1CEA" w14:textId="77777777" w:rsidR="002F07BC" w:rsidRPr="007E0F54" w:rsidRDefault="002F07BC" w:rsidP="002F07BC">
      <w:pPr>
        <w:pStyle w:val="FootnoteText"/>
      </w:pPr>
      <w:r w:rsidRPr="007E0F54">
        <w:rPr>
          <w:rStyle w:val="FootnoteReference"/>
          <w:szCs w:val="16"/>
        </w:rPr>
        <w:footnoteRef/>
      </w:r>
      <w:r w:rsidRPr="007E0F54">
        <w:t xml:space="preserve"> Interview with immigration and refugee lawyer (name withheld), central region, May 2024.</w:t>
      </w:r>
    </w:p>
  </w:footnote>
  <w:footnote w:id="31">
    <w:p w14:paraId="15312B01" w14:textId="77777777" w:rsidR="002F07BC" w:rsidRPr="007E0F54" w:rsidRDefault="002F07BC" w:rsidP="002F07BC">
      <w:pPr>
        <w:pStyle w:val="FootnoteText"/>
      </w:pPr>
      <w:r w:rsidRPr="007E0F54">
        <w:rPr>
          <w:rStyle w:val="FootnoteReference"/>
          <w:szCs w:val="16"/>
        </w:rPr>
        <w:footnoteRef/>
      </w:r>
      <w:r w:rsidRPr="007E0F54">
        <w:t xml:space="preserve"> Interview with immigration and refugee lawyer (name withheld), central region, April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745BC"/>
    <w:multiLevelType w:val="hybridMultilevel"/>
    <w:tmpl w:val="2346A3D4"/>
    <w:lvl w:ilvl="0" w:tplc="AEE61BC0">
      <w:start w:val="1"/>
      <w:numFmt w:val="bullet"/>
      <w:lvlText w:val=""/>
      <w:lvlJc w:val="left"/>
      <w:pPr>
        <w:ind w:left="1080" w:hanging="360"/>
      </w:pPr>
      <w:rPr>
        <w:rFonts w:ascii="Symbol" w:hAnsi="Symbol"/>
      </w:rPr>
    </w:lvl>
    <w:lvl w:ilvl="1" w:tplc="DE505806">
      <w:start w:val="1"/>
      <w:numFmt w:val="bullet"/>
      <w:lvlText w:val=""/>
      <w:lvlJc w:val="left"/>
      <w:pPr>
        <w:ind w:left="1080" w:hanging="360"/>
      </w:pPr>
      <w:rPr>
        <w:rFonts w:ascii="Symbol" w:hAnsi="Symbol"/>
      </w:rPr>
    </w:lvl>
    <w:lvl w:ilvl="2" w:tplc="3ED60CA4">
      <w:start w:val="1"/>
      <w:numFmt w:val="bullet"/>
      <w:lvlText w:val=""/>
      <w:lvlJc w:val="left"/>
      <w:pPr>
        <w:ind w:left="1080" w:hanging="360"/>
      </w:pPr>
      <w:rPr>
        <w:rFonts w:ascii="Symbol" w:hAnsi="Symbol"/>
      </w:rPr>
    </w:lvl>
    <w:lvl w:ilvl="3" w:tplc="5BAAE326">
      <w:start w:val="1"/>
      <w:numFmt w:val="bullet"/>
      <w:lvlText w:val=""/>
      <w:lvlJc w:val="left"/>
      <w:pPr>
        <w:ind w:left="1080" w:hanging="360"/>
      </w:pPr>
      <w:rPr>
        <w:rFonts w:ascii="Symbol" w:hAnsi="Symbol"/>
      </w:rPr>
    </w:lvl>
    <w:lvl w:ilvl="4" w:tplc="A5647BF4">
      <w:start w:val="1"/>
      <w:numFmt w:val="bullet"/>
      <w:lvlText w:val=""/>
      <w:lvlJc w:val="left"/>
      <w:pPr>
        <w:ind w:left="1080" w:hanging="360"/>
      </w:pPr>
      <w:rPr>
        <w:rFonts w:ascii="Symbol" w:hAnsi="Symbol"/>
      </w:rPr>
    </w:lvl>
    <w:lvl w:ilvl="5" w:tplc="D12E6BC4">
      <w:start w:val="1"/>
      <w:numFmt w:val="bullet"/>
      <w:lvlText w:val=""/>
      <w:lvlJc w:val="left"/>
      <w:pPr>
        <w:ind w:left="1080" w:hanging="360"/>
      </w:pPr>
      <w:rPr>
        <w:rFonts w:ascii="Symbol" w:hAnsi="Symbol"/>
      </w:rPr>
    </w:lvl>
    <w:lvl w:ilvl="6" w:tplc="BC6C1964">
      <w:start w:val="1"/>
      <w:numFmt w:val="bullet"/>
      <w:lvlText w:val=""/>
      <w:lvlJc w:val="left"/>
      <w:pPr>
        <w:ind w:left="1080" w:hanging="360"/>
      </w:pPr>
      <w:rPr>
        <w:rFonts w:ascii="Symbol" w:hAnsi="Symbol"/>
      </w:rPr>
    </w:lvl>
    <w:lvl w:ilvl="7" w:tplc="92F07AFE">
      <w:start w:val="1"/>
      <w:numFmt w:val="bullet"/>
      <w:lvlText w:val=""/>
      <w:lvlJc w:val="left"/>
      <w:pPr>
        <w:ind w:left="1080" w:hanging="360"/>
      </w:pPr>
      <w:rPr>
        <w:rFonts w:ascii="Symbol" w:hAnsi="Symbol"/>
      </w:rPr>
    </w:lvl>
    <w:lvl w:ilvl="8" w:tplc="09266E26">
      <w:start w:val="1"/>
      <w:numFmt w:val="bullet"/>
      <w:lvlText w:val=""/>
      <w:lvlJc w:val="left"/>
      <w:pPr>
        <w:ind w:left="1080" w:hanging="360"/>
      </w:pPr>
      <w:rPr>
        <w:rFonts w:ascii="Symbol" w:hAnsi="Symbol"/>
      </w:rPr>
    </w:lvl>
  </w:abstractNum>
  <w:abstractNum w:abstractNumId="1" w15:restartNumberingAfterBreak="0">
    <w:nsid w:val="13991263"/>
    <w:multiLevelType w:val="hybridMultilevel"/>
    <w:tmpl w:val="01602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E62DE2"/>
    <w:multiLevelType w:val="hybridMultilevel"/>
    <w:tmpl w:val="CFAEE3E2"/>
    <w:lvl w:ilvl="0" w:tplc="0C3CB1AC">
      <w:start w:val="1"/>
      <w:numFmt w:val="bullet"/>
      <w:lvlText w:val=""/>
      <w:lvlJc w:val="left"/>
      <w:pPr>
        <w:ind w:left="720" w:hanging="360"/>
      </w:pPr>
      <w:rPr>
        <w:rFonts w:ascii="Symbol" w:hAnsi="Symbol"/>
      </w:rPr>
    </w:lvl>
    <w:lvl w:ilvl="1" w:tplc="A4D4E228">
      <w:start w:val="1"/>
      <w:numFmt w:val="bullet"/>
      <w:lvlText w:val=""/>
      <w:lvlJc w:val="left"/>
      <w:pPr>
        <w:ind w:left="720" w:hanging="360"/>
      </w:pPr>
      <w:rPr>
        <w:rFonts w:ascii="Symbol" w:hAnsi="Symbol"/>
      </w:rPr>
    </w:lvl>
    <w:lvl w:ilvl="2" w:tplc="BF70BF74">
      <w:start w:val="1"/>
      <w:numFmt w:val="bullet"/>
      <w:lvlText w:val=""/>
      <w:lvlJc w:val="left"/>
      <w:pPr>
        <w:ind w:left="720" w:hanging="360"/>
      </w:pPr>
      <w:rPr>
        <w:rFonts w:ascii="Symbol" w:hAnsi="Symbol"/>
      </w:rPr>
    </w:lvl>
    <w:lvl w:ilvl="3" w:tplc="59F0D0E6">
      <w:start w:val="1"/>
      <w:numFmt w:val="bullet"/>
      <w:lvlText w:val=""/>
      <w:lvlJc w:val="left"/>
      <w:pPr>
        <w:ind w:left="720" w:hanging="360"/>
      </w:pPr>
      <w:rPr>
        <w:rFonts w:ascii="Symbol" w:hAnsi="Symbol"/>
      </w:rPr>
    </w:lvl>
    <w:lvl w:ilvl="4" w:tplc="98322E56">
      <w:start w:val="1"/>
      <w:numFmt w:val="bullet"/>
      <w:lvlText w:val=""/>
      <w:lvlJc w:val="left"/>
      <w:pPr>
        <w:ind w:left="720" w:hanging="360"/>
      </w:pPr>
      <w:rPr>
        <w:rFonts w:ascii="Symbol" w:hAnsi="Symbol"/>
      </w:rPr>
    </w:lvl>
    <w:lvl w:ilvl="5" w:tplc="F13C15E6">
      <w:start w:val="1"/>
      <w:numFmt w:val="bullet"/>
      <w:lvlText w:val=""/>
      <w:lvlJc w:val="left"/>
      <w:pPr>
        <w:ind w:left="720" w:hanging="360"/>
      </w:pPr>
      <w:rPr>
        <w:rFonts w:ascii="Symbol" w:hAnsi="Symbol"/>
      </w:rPr>
    </w:lvl>
    <w:lvl w:ilvl="6" w:tplc="9826637A">
      <w:start w:val="1"/>
      <w:numFmt w:val="bullet"/>
      <w:lvlText w:val=""/>
      <w:lvlJc w:val="left"/>
      <w:pPr>
        <w:ind w:left="720" w:hanging="360"/>
      </w:pPr>
      <w:rPr>
        <w:rFonts w:ascii="Symbol" w:hAnsi="Symbol"/>
      </w:rPr>
    </w:lvl>
    <w:lvl w:ilvl="7" w:tplc="BAD616AA">
      <w:start w:val="1"/>
      <w:numFmt w:val="bullet"/>
      <w:lvlText w:val=""/>
      <w:lvlJc w:val="left"/>
      <w:pPr>
        <w:ind w:left="720" w:hanging="360"/>
      </w:pPr>
      <w:rPr>
        <w:rFonts w:ascii="Symbol" w:hAnsi="Symbol"/>
      </w:rPr>
    </w:lvl>
    <w:lvl w:ilvl="8" w:tplc="E968BF7E">
      <w:start w:val="1"/>
      <w:numFmt w:val="bullet"/>
      <w:lvlText w:val=""/>
      <w:lvlJc w:val="left"/>
      <w:pPr>
        <w:ind w:left="720" w:hanging="360"/>
      </w:pPr>
      <w:rPr>
        <w:rFonts w:ascii="Symbol" w:hAnsi="Symbol"/>
      </w:rPr>
    </w:lvl>
  </w:abstractNum>
  <w:abstractNum w:abstractNumId="3" w15:restartNumberingAfterBreak="0">
    <w:nsid w:val="60817704"/>
    <w:multiLevelType w:val="hybridMultilevel"/>
    <w:tmpl w:val="1D0CC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B27630"/>
    <w:multiLevelType w:val="hybridMultilevel"/>
    <w:tmpl w:val="79808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C12FB4"/>
    <w:multiLevelType w:val="multilevel"/>
    <w:tmpl w:val="63447F9C"/>
    <w:lvl w:ilvl="0">
      <w:start w:val="1"/>
      <w:numFmt w:val="bullet"/>
      <w:pStyle w:val="bulleted"/>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D6D0B31"/>
    <w:multiLevelType w:val="hybridMultilevel"/>
    <w:tmpl w:val="FA1ED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6268218">
    <w:abstractNumId w:val="4"/>
  </w:num>
  <w:num w:numId="2" w16cid:durableId="560292592">
    <w:abstractNumId w:val="3"/>
  </w:num>
  <w:num w:numId="3" w16cid:durableId="1425612250">
    <w:abstractNumId w:val="6"/>
  </w:num>
  <w:num w:numId="4" w16cid:durableId="718362539">
    <w:abstractNumId w:val="1"/>
  </w:num>
  <w:num w:numId="5" w16cid:durableId="1282802635">
    <w:abstractNumId w:val="5"/>
  </w:num>
  <w:num w:numId="6" w16cid:durableId="536312216">
    <w:abstractNumId w:val="0"/>
  </w:num>
  <w:num w:numId="7" w16cid:durableId="1711684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22587013-9CC3-4BED-938D-3497DA5EE6A0}"/>
    <w:docVar w:name="dgnword-eventsink" w:val="2999983784464"/>
    <w:docVar w:name="dgnword-lastRevisionsView" w:val="0"/>
  </w:docVars>
  <w:rsids>
    <w:rsidRoot w:val="00000944"/>
    <w:rsid w:val="00000944"/>
    <w:rsid w:val="00012703"/>
    <w:rsid w:val="0001275F"/>
    <w:rsid w:val="00022991"/>
    <w:rsid w:val="00023CCC"/>
    <w:rsid w:val="00034904"/>
    <w:rsid w:val="00034E72"/>
    <w:rsid w:val="00057E24"/>
    <w:rsid w:val="00096AD2"/>
    <w:rsid w:val="0009771C"/>
    <w:rsid w:val="00097885"/>
    <w:rsid w:val="000A501C"/>
    <w:rsid w:val="00114547"/>
    <w:rsid w:val="001148AE"/>
    <w:rsid w:val="001159DA"/>
    <w:rsid w:val="00117848"/>
    <w:rsid w:val="001443D6"/>
    <w:rsid w:val="0018042B"/>
    <w:rsid w:val="0018639F"/>
    <w:rsid w:val="00193019"/>
    <w:rsid w:val="001A7B31"/>
    <w:rsid w:val="001C4052"/>
    <w:rsid w:val="001D6C93"/>
    <w:rsid w:val="001E08F2"/>
    <w:rsid w:val="001F13C1"/>
    <w:rsid w:val="00205032"/>
    <w:rsid w:val="00206BDD"/>
    <w:rsid w:val="002326B6"/>
    <w:rsid w:val="00233AE9"/>
    <w:rsid w:val="00237B60"/>
    <w:rsid w:val="002402F4"/>
    <w:rsid w:val="00241452"/>
    <w:rsid w:val="002504FE"/>
    <w:rsid w:val="00264354"/>
    <w:rsid w:val="00273B86"/>
    <w:rsid w:val="002A4C9E"/>
    <w:rsid w:val="002B1CCF"/>
    <w:rsid w:val="002F07BC"/>
    <w:rsid w:val="002F740C"/>
    <w:rsid w:val="00385FB0"/>
    <w:rsid w:val="003948D1"/>
    <w:rsid w:val="00395C53"/>
    <w:rsid w:val="003A0354"/>
    <w:rsid w:val="003A64D7"/>
    <w:rsid w:val="00422C1F"/>
    <w:rsid w:val="00423CED"/>
    <w:rsid w:val="00434583"/>
    <w:rsid w:val="00450439"/>
    <w:rsid w:val="00451EC9"/>
    <w:rsid w:val="00491B85"/>
    <w:rsid w:val="00563890"/>
    <w:rsid w:val="005674EF"/>
    <w:rsid w:val="0057155A"/>
    <w:rsid w:val="005961FD"/>
    <w:rsid w:val="005A435A"/>
    <w:rsid w:val="005E258E"/>
    <w:rsid w:val="006461B8"/>
    <w:rsid w:val="00653FD2"/>
    <w:rsid w:val="00687ED8"/>
    <w:rsid w:val="006D3600"/>
    <w:rsid w:val="006E1E23"/>
    <w:rsid w:val="006E4EA6"/>
    <w:rsid w:val="006F0E7F"/>
    <w:rsid w:val="00704302"/>
    <w:rsid w:val="007208A7"/>
    <w:rsid w:val="00752E07"/>
    <w:rsid w:val="00753218"/>
    <w:rsid w:val="00764233"/>
    <w:rsid w:val="007744A9"/>
    <w:rsid w:val="0078358A"/>
    <w:rsid w:val="007A56C6"/>
    <w:rsid w:val="007B051A"/>
    <w:rsid w:val="007B2476"/>
    <w:rsid w:val="007B297C"/>
    <w:rsid w:val="007B37F3"/>
    <w:rsid w:val="007D31D2"/>
    <w:rsid w:val="007D4814"/>
    <w:rsid w:val="007E6DF4"/>
    <w:rsid w:val="008526CC"/>
    <w:rsid w:val="00886E3F"/>
    <w:rsid w:val="008B4E30"/>
    <w:rsid w:val="00901CF9"/>
    <w:rsid w:val="00911D42"/>
    <w:rsid w:val="00920F31"/>
    <w:rsid w:val="009462C2"/>
    <w:rsid w:val="0096528A"/>
    <w:rsid w:val="009B5DFA"/>
    <w:rsid w:val="009D3A80"/>
    <w:rsid w:val="009D57EC"/>
    <w:rsid w:val="009E27E1"/>
    <w:rsid w:val="00A00E23"/>
    <w:rsid w:val="00A36591"/>
    <w:rsid w:val="00A61A4B"/>
    <w:rsid w:val="00A7362C"/>
    <w:rsid w:val="00A808C6"/>
    <w:rsid w:val="00A81959"/>
    <w:rsid w:val="00A87D40"/>
    <w:rsid w:val="00A96278"/>
    <w:rsid w:val="00AB1845"/>
    <w:rsid w:val="00AF2002"/>
    <w:rsid w:val="00B12668"/>
    <w:rsid w:val="00B26298"/>
    <w:rsid w:val="00B331BC"/>
    <w:rsid w:val="00B35BC0"/>
    <w:rsid w:val="00B41349"/>
    <w:rsid w:val="00B6400F"/>
    <w:rsid w:val="00B84B76"/>
    <w:rsid w:val="00BA5E6E"/>
    <w:rsid w:val="00BC7906"/>
    <w:rsid w:val="00BE284E"/>
    <w:rsid w:val="00BF1ECB"/>
    <w:rsid w:val="00C04A66"/>
    <w:rsid w:val="00C04CA7"/>
    <w:rsid w:val="00C37A3B"/>
    <w:rsid w:val="00C52059"/>
    <w:rsid w:val="00C84B6B"/>
    <w:rsid w:val="00C97810"/>
    <w:rsid w:val="00CB13FE"/>
    <w:rsid w:val="00CB2739"/>
    <w:rsid w:val="00CB4967"/>
    <w:rsid w:val="00CC196C"/>
    <w:rsid w:val="00CC4029"/>
    <w:rsid w:val="00D22C47"/>
    <w:rsid w:val="00D2721F"/>
    <w:rsid w:val="00D31CD4"/>
    <w:rsid w:val="00D4383A"/>
    <w:rsid w:val="00D8019D"/>
    <w:rsid w:val="00D879EA"/>
    <w:rsid w:val="00DC2B30"/>
    <w:rsid w:val="00DE33D0"/>
    <w:rsid w:val="00DE4546"/>
    <w:rsid w:val="00DE4790"/>
    <w:rsid w:val="00DE79EC"/>
    <w:rsid w:val="00DF2E22"/>
    <w:rsid w:val="00E1345B"/>
    <w:rsid w:val="00E13B86"/>
    <w:rsid w:val="00E152B5"/>
    <w:rsid w:val="00E1766B"/>
    <w:rsid w:val="00E41E1F"/>
    <w:rsid w:val="00E75486"/>
    <w:rsid w:val="00E77BC1"/>
    <w:rsid w:val="00E8088B"/>
    <w:rsid w:val="00ED15B2"/>
    <w:rsid w:val="00EF0F3F"/>
    <w:rsid w:val="00EF6928"/>
    <w:rsid w:val="00F07877"/>
    <w:rsid w:val="00F32833"/>
    <w:rsid w:val="00F44196"/>
    <w:rsid w:val="00F54B9D"/>
    <w:rsid w:val="00F82E2C"/>
    <w:rsid w:val="00F906EE"/>
    <w:rsid w:val="00F90E4B"/>
    <w:rsid w:val="3F4A0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83B90"/>
  <w15:chartTrackingRefBased/>
  <w15:docId w15:val="{1F706558-BC9B-4EBE-A1F6-B3EF1DB71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5E6E"/>
    <w:rPr>
      <w:rFonts w:ascii="MetaPro-Norm" w:hAnsi="MetaPro-Norm"/>
    </w:rPr>
  </w:style>
  <w:style w:type="paragraph" w:styleId="Heading1">
    <w:name w:val="heading 1"/>
    <w:basedOn w:val="Normal"/>
    <w:next w:val="Normal"/>
    <w:link w:val="Heading1Char"/>
    <w:uiPriority w:val="9"/>
    <w:qFormat/>
    <w:rsid w:val="000009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09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09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09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09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09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09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09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09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9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09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09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09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09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09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09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09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0944"/>
    <w:rPr>
      <w:rFonts w:eastAsiaTheme="majorEastAsia" w:cstheme="majorBidi"/>
      <w:color w:val="272727" w:themeColor="text1" w:themeTint="D8"/>
    </w:rPr>
  </w:style>
  <w:style w:type="paragraph" w:styleId="Title">
    <w:name w:val="Title"/>
    <w:basedOn w:val="Normal"/>
    <w:next w:val="Normal"/>
    <w:link w:val="TitleChar"/>
    <w:uiPriority w:val="10"/>
    <w:qFormat/>
    <w:rsid w:val="000009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09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09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09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0944"/>
    <w:pPr>
      <w:spacing w:before="160"/>
      <w:jc w:val="center"/>
    </w:pPr>
    <w:rPr>
      <w:i/>
      <w:iCs/>
      <w:color w:val="404040" w:themeColor="text1" w:themeTint="BF"/>
    </w:rPr>
  </w:style>
  <w:style w:type="character" w:customStyle="1" w:styleId="QuoteChar">
    <w:name w:val="Quote Char"/>
    <w:basedOn w:val="DefaultParagraphFont"/>
    <w:link w:val="Quote"/>
    <w:uiPriority w:val="29"/>
    <w:rsid w:val="00000944"/>
    <w:rPr>
      <w:i/>
      <w:iCs/>
      <w:color w:val="404040" w:themeColor="text1" w:themeTint="BF"/>
    </w:rPr>
  </w:style>
  <w:style w:type="paragraph" w:styleId="ListParagraph">
    <w:name w:val="List Paragraph"/>
    <w:basedOn w:val="Normal"/>
    <w:uiPriority w:val="34"/>
    <w:qFormat/>
    <w:rsid w:val="00000944"/>
    <w:pPr>
      <w:ind w:left="720"/>
      <w:contextualSpacing/>
    </w:pPr>
  </w:style>
  <w:style w:type="character" w:styleId="IntenseEmphasis">
    <w:name w:val="Intense Emphasis"/>
    <w:basedOn w:val="DefaultParagraphFont"/>
    <w:uiPriority w:val="21"/>
    <w:qFormat/>
    <w:rsid w:val="00000944"/>
    <w:rPr>
      <w:i/>
      <w:iCs/>
      <w:color w:val="0F4761" w:themeColor="accent1" w:themeShade="BF"/>
    </w:rPr>
  </w:style>
  <w:style w:type="paragraph" w:styleId="IntenseQuote">
    <w:name w:val="Intense Quote"/>
    <w:basedOn w:val="Normal"/>
    <w:next w:val="Normal"/>
    <w:link w:val="IntenseQuoteChar"/>
    <w:uiPriority w:val="30"/>
    <w:qFormat/>
    <w:rsid w:val="000009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0944"/>
    <w:rPr>
      <w:i/>
      <w:iCs/>
      <w:color w:val="0F4761" w:themeColor="accent1" w:themeShade="BF"/>
    </w:rPr>
  </w:style>
  <w:style w:type="character" w:styleId="IntenseReference">
    <w:name w:val="Intense Reference"/>
    <w:basedOn w:val="DefaultParagraphFont"/>
    <w:uiPriority w:val="32"/>
    <w:qFormat/>
    <w:rsid w:val="00000944"/>
    <w:rPr>
      <w:b/>
      <w:bCs/>
      <w:smallCaps/>
      <w:color w:val="0F4761" w:themeColor="accent1" w:themeShade="BF"/>
      <w:spacing w:val="5"/>
    </w:rPr>
  </w:style>
  <w:style w:type="character" w:styleId="Hyperlink">
    <w:name w:val="Hyperlink"/>
    <w:basedOn w:val="DefaultParagraphFont"/>
    <w:uiPriority w:val="99"/>
    <w:unhideWhenUsed/>
    <w:rsid w:val="00000944"/>
    <w:rPr>
      <w:color w:val="467886" w:themeColor="hyperlink"/>
      <w:u w:val="single"/>
    </w:rPr>
  </w:style>
  <w:style w:type="character" w:styleId="UnresolvedMention">
    <w:name w:val="Unresolved Mention"/>
    <w:basedOn w:val="DefaultParagraphFont"/>
    <w:uiPriority w:val="99"/>
    <w:semiHidden/>
    <w:unhideWhenUsed/>
    <w:rsid w:val="00000944"/>
    <w:rPr>
      <w:color w:val="605E5C"/>
      <w:shd w:val="clear" w:color="auto" w:fill="E1DFDD"/>
    </w:rPr>
  </w:style>
  <w:style w:type="paragraph" w:styleId="FootnoteText">
    <w:name w:val="footnote text"/>
    <w:basedOn w:val="Normal"/>
    <w:link w:val="FootnoteTextChar"/>
    <w:uiPriority w:val="99"/>
    <w:unhideWhenUsed/>
    <w:qFormat/>
    <w:rsid w:val="0001275F"/>
    <w:pPr>
      <w:spacing w:after="0" w:line="240" w:lineRule="auto"/>
    </w:pPr>
    <w:rPr>
      <w:sz w:val="16"/>
      <w:szCs w:val="20"/>
    </w:rPr>
  </w:style>
  <w:style w:type="character" w:customStyle="1" w:styleId="FootnoteTextChar">
    <w:name w:val="Footnote Text Char"/>
    <w:basedOn w:val="DefaultParagraphFont"/>
    <w:link w:val="FootnoteText"/>
    <w:uiPriority w:val="99"/>
    <w:rsid w:val="0001275F"/>
    <w:rPr>
      <w:rFonts w:ascii="MetaPro-Norm" w:hAnsi="MetaPro-Norm"/>
      <w:sz w:val="16"/>
      <w:szCs w:val="20"/>
    </w:rPr>
  </w:style>
  <w:style w:type="character" w:styleId="FootnoteReference">
    <w:name w:val="footnote reference"/>
    <w:basedOn w:val="DefaultParagraphFont"/>
    <w:uiPriority w:val="99"/>
    <w:unhideWhenUsed/>
    <w:qFormat/>
    <w:rsid w:val="0001275F"/>
    <w:rPr>
      <w:rFonts w:ascii="MetaPro-Medi" w:hAnsi="MetaPro-Medi"/>
      <w:sz w:val="22"/>
      <w:vertAlign w:val="superscript"/>
    </w:rPr>
  </w:style>
  <w:style w:type="paragraph" w:customStyle="1" w:styleId="bulleted">
    <w:name w:val="bulleted"/>
    <w:basedOn w:val="Normal"/>
    <w:qFormat/>
    <w:rsid w:val="00E1766B"/>
    <w:pPr>
      <w:widowControl w:val="0"/>
      <w:numPr>
        <w:numId w:val="5"/>
      </w:numPr>
      <w:autoSpaceDE w:val="0"/>
      <w:autoSpaceDN w:val="0"/>
      <w:adjustRightInd w:val="0"/>
      <w:spacing w:before="60" w:after="60" w:line="264" w:lineRule="auto"/>
    </w:pPr>
    <w:rPr>
      <w:rFonts w:eastAsia="SimSun" w:cs="Times New Roman"/>
      <w:lang w:eastAsia="zh-CN"/>
    </w:rPr>
  </w:style>
  <w:style w:type="paragraph" w:styleId="Revision">
    <w:name w:val="Revision"/>
    <w:hidden/>
    <w:uiPriority w:val="99"/>
    <w:semiHidden/>
    <w:rsid w:val="00563890"/>
    <w:pPr>
      <w:spacing w:after="0" w:line="240" w:lineRule="auto"/>
    </w:pPr>
  </w:style>
  <w:style w:type="character" w:styleId="CommentReference">
    <w:name w:val="annotation reference"/>
    <w:basedOn w:val="DefaultParagraphFont"/>
    <w:uiPriority w:val="99"/>
    <w:semiHidden/>
    <w:unhideWhenUsed/>
    <w:rsid w:val="00057E24"/>
    <w:rPr>
      <w:sz w:val="16"/>
      <w:szCs w:val="16"/>
    </w:rPr>
  </w:style>
  <w:style w:type="paragraph" w:styleId="CommentText">
    <w:name w:val="annotation text"/>
    <w:basedOn w:val="Normal"/>
    <w:link w:val="CommentTextChar"/>
    <w:uiPriority w:val="99"/>
    <w:unhideWhenUsed/>
    <w:rsid w:val="00057E24"/>
    <w:pPr>
      <w:spacing w:line="240" w:lineRule="auto"/>
    </w:pPr>
    <w:rPr>
      <w:sz w:val="20"/>
      <w:szCs w:val="20"/>
    </w:rPr>
  </w:style>
  <w:style w:type="character" w:customStyle="1" w:styleId="CommentTextChar">
    <w:name w:val="Comment Text Char"/>
    <w:basedOn w:val="DefaultParagraphFont"/>
    <w:link w:val="CommentText"/>
    <w:uiPriority w:val="99"/>
    <w:rsid w:val="00057E24"/>
    <w:rPr>
      <w:sz w:val="20"/>
      <w:szCs w:val="20"/>
    </w:rPr>
  </w:style>
  <w:style w:type="paragraph" w:styleId="CommentSubject">
    <w:name w:val="annotation subject"/>
    <w:basedOn w:val="CommentText"/>
    <w:next w:val="CommentText"/>
    <w:link w:val="CommentSubjectChar"/>
    <w:uiPriority w:val="99"/>
    <w:semiHidden/>
    <w:unhideWhenUsed/>
    <w:rsid w:val="00057E24"/>
    <w:rPr>
      <w:b/>
      <w:bCs/>
    </w:rPr>
  </w:style>
  <w:style w:type="character" w:customStyle="1" w:styleId="CommentSubjectChar">
    <w:name w:val="Comment Subject Char"/>
    <w:basedOn w:val="CommentTextChar"/>
    <w:link w:val="CommentSubject"/>
    <w:uiPriority w:val="99"/>
    <w:semiHidden/>
    <w:rsid w:val="00057E24"/>
    <w:rPr>
      <w:b/>
      <w:bCs/>
      <w:sz w:val="20"/>
      <w:szCs w:val="20"/>
    </w:rPr>
  </w:style>
  <w:style w:type="paragraph" w:styleId="Header">
    <w:name w:val="header"/>
    <w:basedOn w:val="Normal"/>
    <w:link w:val="HeaderChar"/>
    <w:uiPriority w:val="99"/>
    <w:unhideWhenUsed/>
    <w:rsid w:val="00CB49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967"/>
    <w:rPr>
      <w:rFonts w:ascii="MetaPro-Norm" w:hAnsi="MetaPro-Norm"/>
    </w:rPr>
  </w:style>
  <w:style w:type="paragraph" w:styleId="Footer">
    <w:name w:val="footer"/>
    <w:basedOn w:val="Normal"/>
    <w:link w:val="FooterChar"/>
    <w:uiPriority w:val="99"/>
    <w:unhideWhenUsed/>
    <w:rsid w:val="00CB49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967"/>
    <w:rPr>
      <w:rFonts w:ascii="MetaPro-Norm" w:hAnsi="MetaPro-Nor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83794">
      <w:bodyDiv w:val="1"/>
      <w:marLeft w:val="0"/>
      <w:marRight w:val="0"/>
      <w:marTop w:val="0"/>
      <w:marBottom w:val="0"/>
      <w:divBdr>
        <w:top w:val="none" w:sz="0" w:space="0" w:color="auto"/>
        <w:left w:val="none" w:sz="0" w:space="0" w:color="auto"/>
        <w:bottom w:val="none" w:sz="0" w:space="0" w:color="auto"/>
        <w:right w:val="none" w:sz="0" w:space="0" w:color="auto"/>
      </w:divBdr>
    </w:div>
    <w:div w:id="274365725">
      <w:bodyDiv w:val="1"/>
      <w:marLeft w:val="0"/>
      <w:marRight w:val="0"/>
      <w:marTop w:val="0"/>
      <w:marBottom w:val="0"/>
      <w:divBdr>
        <w:top w:val="none" w:sz="0" w:space="0" w:color="auto"/>
        <w:left w:val="none" w:sz="0" w:space="0" w:color="auto"/>
        <w:bottom w:val="none" w:sz="0" w:space="0" w:color="auto"/>
        <w:right w:val="none" w:sz="0" w:space="0" w:color="auto"/>
      </w:divBdr>
    </w:div>
    <w:div w:id="330909826">
      <w:bodyDiv w:val="1"/>
      <w:marLeft w:val="0"/>
      <w:marRight w:val="0"/>
      <w:marTop w:val="0"/>
      <w:marBottom w:val="0"/>
      <w:divBdr>
        <w:top w:val="none" w:sz="0" w:space="0" w:color="auto"/>
        <w:left w:val="none" w:sz="0" w:space="0" w:color="auto"/>
        <w:bottom w:val="none" w:sz="0" w:space="0" w:color="auto"/>
        <w:right w:val="none" w:sz="0" w:space="0" w:color="auto"/>
      </w:divBdr>
    </w:div>
    <w:div w:id="429815995">
      <w:bodyDiv w:val="1"/>
      <w:marLeft w:val="0"/>
      <w:marRight w:val="0"/>
      <w:marTop w:val="0"/>
      <w:marBottom w:val="0"/>
      <w:divBdr>
        <w:top w:val="none" w:sz="0" w:space="0" w:color="auto"/>
        <w:left w:val="none" w:sz="0" w:space="0" w:color="auto"/>
        <w:bottom w:val="none" w:sz="0" w:space="0" w:color="auto"/>
        <w:right w:val="none" w:sz="0" w:space="0" w:color="auto"/>
      </w:divBdr>
    </w:div>
    <w:div w:id="856390845">
      <w:bodyDiv w:val="1"/>
      <w:marLeft w:val="0"/>
      <w:marRight w:val="0"/>
      <w:marTop w:val="0"/>
      <w:marBottom w:val="0"/>
      <w:divBdr>
        <w:top w:val="none" w:sz="0" w:space="0" w:color="auto"/>
        <w:left w:val="none" w:sz="0" w:space="0" w:color="auto"/>
        <w:bottom w:val="none" w:sz="0" w:space="0" w:color="auto"/>
        <w:right w:val="none" w:sz="0" w:space="0" w:color="auto"/>
      </w:divBdr>
    </w:div>
    <w:div w:id="1152214161">
      <w:bodyDiv w:val="1"/>
      <w:marLeft w:val="0"/>
      <w:marRight w:val="0"/>
      <w:marTop w:val="0"/>
      <w:marBottom w:val="0"/>
      <w:divBdr>
        <w:top w:val="none" w:sz="0" w:space="0" w:color="auto"/>
        <w:left w:val="none" w:sz="0" w:space="0" w:color="auto"/>
        <w:bottom w:val="none" w:sz="0" w:space="0" w:color="auto"/>
        <w:right w:val="none" w:sz="0" w:space="0" w:color="auto"/>
      </w:divBdr>
    </w:div>
    <w:div w:id="1231774017">
      <w:bodyDiv w:val="1"/>
      <w:marLeft w:val="0"/>
      <w:marRight w:val="0"/>
      <w:marTop w:val="0"/>
      <w:marBottom w:val="0"/>
      <w:divBdr>
        <w:top w:val="none" w:sz="0" w:space="0" w:color="auto"/>
        <w:left w:val="none" w:sz="0" w:space="0" w:color="auto"/>
        <w:bottom w:val="none" w:sz="0" w:space="0" w:color="auto"/>
        <w:right w:val="none" w:sz="0" w:space="0" w:color="auto"/>
      </w:divBdr>
    </w:div>
    <w:div w:id="1278833551">
      <w:bodyDiv w:val="1"/>
      <w:marLeft w:val="0"/>
      <w:marRight w:val="0"/>
      <w:marTop w:val="0"/>
      <w:marBottom w:val="0"/>
      <w:divBdr>
        <w:top w:val="none" w:sz="0" w:space="0" w:color="auto"/>
        <w:left w:val="none" w:sz="0" w:space="0" w:color="auto"/>
        <w:bottom w:val="none" w:sz="0" w:space="0" w:color="auto"/>
        <w:right w:val="none" w:sz="0" w:space="0" w:color="auto"/>
      </w:divBdr>
    </w:div>
    <w:div w:id="1325010908">
      <w:bodyDiv w:val="1"/>
      <w:marLeft w:val="0"/>
      <w:marRight w:val="0"/>
      <w:marTop w:val="0"/>
      <w:marBottom w:val="0"/>
      <w:divBdr>
        <w:top w:val="none" w:sz="0" w:space="0" w:color="auto"/>
        <w:left w:val="none" w:sz="0" w:space="0" w:color="auto"/>
        <w:bottom w:val="none" w:sz="0" w:space="0" w:color="auto"/>
        <w:right w:val="none" w:sz="0" w:space="0" w:color="auto"/>
      </w:divBdr>
    </w:div>
    <w:div w:id="1599413478">
      <w:bodyDiv w:val="1"/>
      <w:marLeft w:val="0"/>
      <w:marRight w:val="0"/>
      <w:marTop w:val="0"/>
      <w:marBottom w:val="0"/>
      <w:divBdr>
        <w:top w:val="none" w:sz="0" w:space="0" w:color="auto"/>
        <w:left w:val="none" w:sz="0" w:space="0" w:color="auto"/>
        <w:bottom w:val="none" w:sz="0" w:space="0" w:color="auto"/>
        <w:right w:val="none" w:sz="0" w:space="0" w:color="auto"/>
      </w:divBdr>
    </w:div>
    <w:div w:id="208032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daccess-ods.un.org/access.nsf/Get?OpenAgent&amp;DS=CRPD/C/GC/1&amp;Lan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2025-01-22T08:44:24+00:00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2CB656D-9D68-4DC7-AADD-297D7AA4CB8D}">
  <ds:schemaRefs>
    <ds:schemaRef ds:uri="http://schemas.openxmlformats.org/officeDocument/2006/bibliography"/>
  </ds:schemaRefs>
</ds:datastoreItem>
</file>

<file path=customXml/itemProps2.xml><?xml version="1.0" encoding="utf-8"?>
<ds:datastoreItem xmlns:ds="http://schemas.openxmlformats.org/officeDocument/2006/customXml" ds:itemID="{5FA9FCEA-C77D-4ADC-B8A3-152B83B50568}"/>
</file>

<file path=customXml/itemProps3.xml><?xml version="1.0" encoding="utf-8"?>
<ds:datastoreItem xmlns:ds="http://schemas.openxmlformats.org/officeDocument/2006/customXml" ds:itemID="{0118A569-208E-4758-98AF-CB3A4DEF710A}"/>
</file>

<file path=customXml/itemProps4.xml><?xml version="1.0" encoding="utf-8"?>
<ds:datastoreItem xmlns:ds="http://schemas.openxmlformats.org/officeDocument/2006/customXml" ds:itemID="{ACF251B7-12C2-44AC-A20B-4D2E708EE726}"/>
</file>

<file path=docProps/app.xml><?xml version="1.0" encoding="utf-8"?>
<Properties xmlns="http://schemas.openxmlformats.org/officeDocument/2006/extended-properties" xmlns:vt="http://schemas.openxmlformats.org/officeDocument/2006/docPropsVTypes">
  <Template>Normal</Template>
  <TotalTime>44</TotalTime>
  <Pages>8</Pages>
  <Words>2031</Words>
  <Characters>11581</Characters>
  <Application>Microsoft Office Word</Application>
  <DocSecurity>0</DocSecurity>
  <Lines>96</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Samer Muscati</dc:creator>
  <cp:keywords/>
  <dc:description/>
  <cp:lastModifiedBy>Federica Nucita</cp:lastModifiedBy>
  <cp:revision>25</cp:revision>
  <dcterms:created xsi:type="dcterms:W3CDTF">2025-01-16T11:10:00Z</dcterms:created>
  <dcterms:modified xsi:type="dcterms:W3CDTF">2025-01-21T09:00:00Z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