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2464" w:rsidRDefault="00DF2464" w:rsidP="00DF2464">
      <w:pPr>
        <w:spacing w:line="264" w:lineRule="auto"/>
        <w:rPr>
          <w:sz w:val="40"/>
          <w:szCs w:val="40"/>
        </w:rPr>
      </w:pPr>
    </w:p>
    <w:p w:rsidR="00DF2464" w:rsidRDefault="00DF2464" w:rsidP="00DF2464">
      <w:pPr>
        <w:spacing w:line="264" w:lineRule="auto"/>
        <w:rPr>
          <w:sz w:val="40"/>
          <w:szCs w:val="40"/>
        </w:rPr>
      </w:pPr>
    </w:p>
    <w:p w:rsidR="00DF2464" w:rsidRDefault="00DF2464" w:rsidP="00DF2464">
      <w:pPr>
        <w:spacing w:line="264" w:lineRule="auto"/>
        <w:rPr>
          <w:sz w:val="40"/>
          <w:szCs w:val="40"/>
        </w:rPr>
      </w:pPr>
    </w:p>
    <w:p w:rsidR="008D3E42" w:rsidRPr="00AD2C1A" w:rsidRDefault="008D3E42" w:rsidP="00AD2C1A">
      <w:pPr>
        <w:pStyle w:val="6TtolPortada"/>
        <w:jc w:val="both"/>
        <w:rPr>
          <w:sz w:val="44"/>
        </w:rPr>
      </w:pPr>
      <w:r w:rsidRPr="00AD2C1A">
        <w:rPr>
          <w:sz w:val="44"/>
        </w:rPr>
        <w:t>INFORME ALTERNATIVO AL Séptimo informe periódico que España debía presentar en 202</w:t>
      </w:r>
      <w:r w:rsidR="00AD2C1A">
        <w:rPr>
          <w:sz w:val="44"/>
        </w:rPr>
        <w:t>0</w:t>
      </w:r>
      <w:r w:rsidRPr="00AD2C1A">
        <w:rPr>
          <w:sz w:val="44"/>
        </w:rPr>
        <w:t xml:space="preserve"> en virtud del artículo 4</w:t>
      </w:r>
      <w:r w:rsidR="00AD2C1A">
        <w:rPr>
          <w:sz w:val="44"/>
        </w:rPr>
        <w:t>0</w:t>
      </w:r>
      <w:r w:rsidRPr="00AD2C1A">
        <w:rPr>
          <w:sz w:val="44"/>
        </w:rPr>
        <w:t xml:space="preserve"> del</w:t>
      </w:r>
      <w:r w:rsidR="00AD2C1A">
        <w:rPr>
          <w:sz w:val="44"/>
        </w:rPr>
        <w:t xml:space="preserve"> Pacto internacional de derechos civiles y políticos</w:t>
      </w:r>
    </w:p>
    <w:p w:rsidR="00DF2464" w:rsidRDefault="00DF2464" w:rsidP="00CD0A74">
      <w:pPr>
        <w:pStyle w:val="1TextCos"/>
      </w:pPr>
    </w:p>
    <w:p w:rsidR="00AD2C1A" w:rsidRDefault="00AD2C1A" w:rsidP="00CD0A74">
      <w:pPr>
        <w:pStyle w:val="1TextCos"/>
        <w:rPr>
          <w:rFonts w:ascii="Trispace" w:hAnsi="Trispace"/>
          <w:bCs/>
          <w:caps/>
          <w:color w:val="000BD6"/>
          <w:spacing w:val="0"/>
          <w:sz w:val="18"/>
          <w:szCs w:val="18"/>
        </w:rPr>
      </w:pPr>
      <w:r w:rsidRPr="00AD2C1A">
        <w:rPr>
          <w:rFonts w:ascii="Trispace" w:hAnsi="Trispace"/>
          <w:bCs/>
          <w:caps/>
          <w:color w:val="000BD6"/>
          <w:spacing w:val="0"/>
          <w:sz w:val="18"/>
          <w:szCs w:val="18"/>
        </w:rPr>
        <w:t>IDENTIFICACIÓNES POR PERFIL ETNICO-RACIAL</w:t>
      </w:r>
    </w:p>
    <w:p w:rsidR="00AD2C1A" w:rsidRDefault="00AD2C1A" w:rsidP="00CD0A74">
      <w:pPr>
        <w:pStyle w:val="1TextCos"/>
        <w:rPr>
          <w:rFonts w:ascii="Trispace" w:hAnsi="Trispace"/>
          <w:bCs/>
          <w:caps/>
          <w:color w:val="000BD6"/>
          <w:spacing w:val="0"/>
          <w:sz w:val="18"/>
          <w:szCs w:val="18"/>
        </w:rPr>
      </w:pPr>
      <w:r w:rsidRPr="00AD2C1A">
        <w:rPr>
          <w:rFonts w:ascii="Trispace" w:hAnsi="Trispace"/>
          <w:bCs/>
          <w:caps/>
          <w:color w:val="000BD6"/>
          <w:spacing w:val="0"/>
          <w:sz w:val="18"/>
          <w:szCs w:val="18"/>
        </w:rPr>
        <w:t xml:space="preserve">DETENCIÓN EN CENTROS DE INTERNAMIENTO DE EXTRANJEROS </w:t>
      </w:r>
    </w:p>
    <w:p w:rsidR="00CD0A74" w:rsidRPr="00AD2C1A" w:rsidRDefault="00AD2C1A" w:rsidP="00CD0A74">
      <w:pPr>
        <w:pStyle w:val="1TextCos"/>
        <w:rPr>
          <w:sz w:val="18"/>
          <w:szCs w:val="18"/>
        </w:rPr>
      </w:pPr>
      <w:r>
        <w:rPr>
          <w:rFonts w:ascii="Trispace" w:hAnsi="Trispace"/>
          <w:bCs/>
          <w:caps/>
          <w:color w:val="000BD6"/>
          <w:spacing w:val="0"/>
          <w:sz w:val="18"/>
          <w:szCs w:val="18"/>
        </w:rPr>
        <w:t>REGULACIÓN DE LA I</w:t>
      </w:r>
      <w:r w:rsidRPr="00AD2C1A">
        <w:rPr>
          <w:rFonts w:ascii="Trispace" w:hAnsi="Trispace"/>
          <w:bCs/>
          <w:caps/>
          <w:color w:val="000BD6"/>
          <w:spacing w:val="0"/>
          <w:sz w:val="18"/>
          <w:szCs w:val="18"/>
        </w:rPr>
        <w:t>NTELIGENCIA ARTIFICIAL</w:t>
      </w:r>
    </w:p>
    <w:p w:rsidR="00CD0A74" w:rsidRDefault="00CD0A74" w:rsidP="00CD0A74">
      <w:pPr>
        <w:pStyle w:val="1TextCos"/>
      </w:pPr>
    </w:p>
    <w:p w:rsidR="00CD0A74" w:rsidRDefault="00AD2C1A" w:rsidP="00CD0A74">
      <w:pPr>
        <w:pStyle w:val="1TextCos"/>
      </w:pPr>
      <w:r w:rsidRPr="00AD2C1A">
        <w:rPr>
          <w:rFonts w:ascii="Trispace" w:hAnsi="Trispace"/>
          <w:bCs/>
          <w:caps/>
          <w:color w:val="000BD6"/>
          <w:spacing w:val="0"/>
          <w:sz w:val="18"/>
          <w:szCs w:val="18"/>
          <w:lang w:val="es-ES" w:eastAsia="es-ES"/>
        </w:rPr>
        <mc:AlternateContent>
          <mc:Choice Requires="wps">
            <w:drawing>
              <wp:anchor distT="0" distB="0" distL="114300" distR="114300" simplePos="0" relativeHeight="251659264" behindDoc="0" locked="0" layoutInCell="1" allowOverlap="1" wp14:anchorId="33DBDEE1" wp14:editId="15021C62">
                <wp:simplePos x="0" y="0"/>
                <wp:positionH relativeFrom="margin">
                  <wp:posOffset>-546735</wp:posOffset>
                </wp:positionH>
                <wp:positionV relativeFrom="paragraph">
                  <wp:posOffset>23495</wp:posOffset>
                </wp:positionV>
                <wp:extent cx="6479540" cy="0"/>
                <wp:effectExtent l="0" t="0" r="16510" b="19050"/>
                <wp:wrapNone/>
                <wp:docPr id="11" name="Conector recto 11"/>
                <wp:cNvGraphicFramePr/>
                <a:graphic xmlns:a="http://schemas.openxmlformats.org/drawingml/2006/main">
                  <a:graphicData uri="http://schemas.microsoft.com/office/word/2010/wordprocessingShape">
                    <wps:wsp>
                      <wps:cNvCnPr/>
                      <wps:spPr>
                        <a:xfrm>
                          <a:off x="0" y="0"/>
                          <a:ext cx="6479540" cy="0"/>
                        </a:xfrm>
                        <a:prstGeom prst="line">
                          <a:avLst/>
                        </a:prstGeom>
                        <a:ln w="9525">
                          <a:solidFill>
                            <a:srgbClr val="000BD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ector recto 11"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3.05pt,1.85pt" to="467.1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" strokecolor="#000bd6">
                <v:stroke joinstyle="miter"/>
                <w10:wrap anchorx="margin"/>
              </v:line>
            </w:pict>
          </mc:Fallback>
        </mc:AlternateContent>
      </w:r>
    </w:p>
    <w:p w:rsidR="00CD0A74" w:rsidRDefault="00CD0A74" w:rsidP="00CD0A74">
      <w:pPr>
        <w:pStyle w:val="1TextCos"/>
      </w:pPr>
    </w:p>
    <w:p w:rsidR="00CD0A74" w:rsidRDefault="00CD0A74" w:rsidP="00CD0A74">
      <w:pPr>
        <w:pStyle w:val="1TextCos"/>
      </w:pPr>
    </w:p>
    <w:p w:rsidR="00CD0A74" w:rsidRDefault="00CD0A74" w:rsidP="00CD0A74">
      <w:pPr>
        <w:pStyle w:val="1TextCos"/>
      </w:pPr>
    </w:p>
    <w:p w:rsidR="00B621B4" w:rsidRDefault="00B621B4" w:rsidP="00CD0A74">
      <w:pPr>
        <w:pStyle w:val="1TextCos"/>
      </w:pPr>
    </w:p>
    <w:p w:rsidR="00B621B4" w:rsidRDefault="00B621B4" w:rsidP="00CD0A74">
      <w:pPr>
        <w:pStyle w:val="1TextCos"/>
      </w:pPr>
    </w:p>
    <w:p w:rsidR="00B621B4" w:rsidRDefault="00B621B4" w:rsidP="00CD0A74">
      <w:pPr>
        <w:pStyle w:val="1TextCos"/>
      </w:pPr>
    </w:p>
    <w:p w:rsidR="00B621B4" w:rsidRDefault="00B621B4" w:rsidP="00CD0A74">
      <w:pPr>
        <w:pStyle w:val="1TextCos"/>
      </w:pPr>
    </w:p>
    <w:p w:rsidR="00B621B4" w:rsidRDefault="00B621B4" w:rsidP="00CD0A74">
      <w:pPr>
        <w:pStyle w:val="1TextCos"/>
      </w:pPr>
    </w:p>
    <w:p w:rsidR="00B621B4" w:rsidRDefault="00B621B4" w:rsidP="00CD0A74">
      <w:pPr>
        <w:pStyle w:val="1TextCos"/>
      </w:pPr>
    </w:p>
    <w:p w:rsidR="00A05049" w:rsidRDefault="00A05049" w:rsidP="00CD0A74">
      <w:pPr>
        <w:pStyle w:val="1TextCos"/>
      </w:pPr>
    </w:p>
    <w:p w:rsidR="00A05049" w:rsidRDefault="00A05049" w:rsidP="00CD0A74">
      <w:pPr>
        <w:pStyle w:val="1TextCos"/>
      </w:pPr>
    </w:p>
    <w:p w:rsidR="00A05049" w:rsidRDefault="00A05049" w:rsidP="00CD0A74">
      <w:pPr>
        <w:pStyle w:val="1TextCos"/>
      </w:pPr>
      <w:r>
        <w:rPr>
          <w:sz w:val="16"/>
          <w:szCs w:val="16"/>
          <w:lang w:val="es-ES" w:eastAsia="es-ES"/>
        </w:rPr>
        <mc:AlternateContent>
          <mc:Choice Requires="wps">
            <w:drawing>
              <wp:anchor distT="0" distB="0" distL="114300" distR="114300" simplePos="0" relativeHeight="251661312" behindDoc="0" locked="0" layoutInCell="1" allowOverlap="1" wp14:anchorId="0C6D640E" wp14:editId="5BA4182B">
                <wp:simplePos x="0" y="0"/>
                <wp:positionH relativeFrom="column">
                  <wp:posOffset>-635</wp:posOffset>
                </wp:positionH>
                <wp:positionV relativeFrom="paragraph">
                  <wp:posOffset>173990</wp:posOffset>
                </wp:positionV>
                <wp:extent cx="5041900" cy="774700"/>
                <wp:effectExtent l="0" t="0" r="0" b="0"/>
                <wp:wrapNone/>
                <wp:docPr id="17" name="Cuadro de texto 17"/>
                <wp:cNvGraphicFramePr/>
                <a:graphic xmlns:a="http://schemas.openxmlformats.org/drawingml/2006/main">
                  <a:graphicData uri="http://schemas.microsoft.com/office/word/2010/wordprocessingShape">
                    <wps:wsp>
                      <wps:cNvSpPr txBox="1"/>
                      <wps:spPr>
                        <a:xfrm>
                          <a:off x="0" y="0"/>
                          <a:ext cx="5041900" cy="774700"/>
                        </a:xfrm>
                        <a:prstGeom prst="rect">
                          <a:avLst/>
                        </a:prstGeom>
                        <a:noFill/>
                        <a:ln w="6350">
                          <a:noFill/>
                        </a:ln>
                      </wps:spPr>
                      <wps:txbx>
                        <w:txbxContent>
                          <w:p w:rsidR="004D3FF5" w:rsidRPr="00AD3B86" w:rsidRDefault="004D3FF5" w:rsidP="00A05049">
                            <w:pPr>
                              <w:pStyle w:val="1TextCos"/>
                            </w:pPr>
                          </w:p>
                          <w:p w:rsidR="004D3FF5" w:rsidRPr="00A05049" w:rsidRDefault="004D3FF5" w:rsidP="00404C6C">
                            <w:pPr>
                              <w:pStyle w:val="1TextCos"/>
                              <w:jc w:val="right"/>
                            </w:pPr>
                            <w:r>
                              <w:t>Barcelona, 25 de mayo de 2025</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17" o:spid="_x0000_s1026" type="#_x0000_t202" style="position:absolute;left:0;text-align:left;margin-left:-.05pt;margin-top:13.7pt;width:397pt;height:6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" filled="f" stroked="f" strokeweight=".5pt">
                <v:textbox inset="0,,0">
                  <w:txbxContent>
                    <w:p w:rsidR="004D3FF5" w:rsidRPr="00AD3B86" w:rsidRDefault="004D3FF5" w:rsidP="00A05049">
                      <w:pPr>
                        <w:pStyle w:val="1TextCos"/>
                      </w:pPr>
                    </w:p>
                    <w:p w:rsidR="004D3FF5" w:rsidRPr="00A05049" w:rsidRDefault="004D3FF5" w:rsidP="00404C6C">
                      <w:pPr>
                        <w:pStyle w:val="1TextCos"/>
                        <w:jc w:val="right"/>
                      </w:pPr>
                      <w:r>
                        <w:t>Barcelona, 25 de mayo de 2025</w:t>
                      </w:r>
                    </w:p>
                  </w:txbxContent>
                </v:textbox>
              </v:shape>
            </w:pict>
          </mc:Fallback>
        </mc:AlternateContent>
      </w:r>
    </w:p>
    <w:p w:rsidR="00A05049" w:rsidRDefault="00A05049" w:rsidP="00CD0A74">
      <w:pPr>
        <w:pStyle w:val="1TextCos"/>
      </w:pPr>
    </w:p>
    <w:p w:rsidR="00B621B4" w:rsidRDefault="00B621B4" w:rsidP="00CD0A74">
      <w:pPr>
        <w:pStyle w:val="1TextCos"/>
      </w:pPr>
    </w:p>
    <w:p w:rsidR="00065F5F" w:rsidRDefault="00065F5F" w:rsidP="00104CC1">
      <w:pPr>
        <w:pStyle w:val="7ndex"/>
        <w:sectPr w:rsidR="00065F5F" w:rsidSect="00065F5F">
          <w:headerReference w:type="default" r:id="rId9"/>
          <w:footerReference w:type="even" r:id="rId10"/>
          <w:footerReference w:type="default" r:id="rId11"/>
          <w:headerReference w:type="first" r:id="rId12"/>
          <w:footerReference w:type="first" r:id="rId13"/>
          <w:pgSz w:w="11900" w:h="16840"/>
          <w:pgMar w:top="2268" w:right="1701" w:bottom="1985" w:left="1701" w:header="709" w:footer="709" w:gutter="0"/>
          <w:cols w:space="708"/>
          <w:titlePg/>
          <w:docGrid w:linePitch="360"/>
        </w:sectPr>
      </w:pPr>
    </w:p>
    <w:p w:rsidR="00E97E4C" w:rsidRDefault="00E97E4C">
      <w:bookmarkStart w:id="0" w:name="_Toc133522863"/>
      <w:bookmarkStart w:id="1" w:name="_Toc133523554"/>
    </w:p>
    <w:p w:rsidR="00F20559" w:rsidRPr="00F20559" w:rsidRDefault="00F20559" w:rsidP="00F20559">
      <w:pPr>
        <w:pStyle w:val="1TextCos"/>
      </w:pPr>
    </w:p>
    <w:p w:rsidR="00475392" w:rsidRDefault="00E97E4C">
      <w:pPr>
        <w:pStyle w:val="TDC1"/>
        <w:tabs>
          <w:tab w:val="right" w:leader="underscore" w:pos="8488"/>
        </w:tabs>
        <w:rPr>
          <w:rFonts w:asciiTheme="minorHAnsi" w:eastAsiaTheme="minorEastAsia" w:hAnsiTheme="minorHAnsi" w:cstheme="minorBidi"/>
          <w:spacing w:val="0"/>
          <w:sz w:val="22"/>
          <w:szCs w:val="22"/>
          <w:lang w:val="es-ES" w:eastAsia="es-ES"/>
        </w:rPr>
      </w:pPr>
      <w:r>
        <w:fldChar w:fldCharType="begin"/>
      </w:r>
      <w:r>
        <w:instrText xml:space="preserve"> TOC \o "1-3" \h \z \t "3 — Títol / Mig;2;2 — Títol / Gran;1;4 — Títol / Petit;3" </w:instrText>
      </w:r>
      <w:r>
        <w:fldChar w:fldCharType="separate"/>
      </w:r>
      <w:hyperlink w:anchor="_Toc199156289" w:history="1">
        <w:r w:rsidR="00475392" w:rsidRPr="004D2609">
          <w:rPr>
            <w:rStyle w:val="Hipervnculo"/>
          </w:rPr>
          <w:t>Presentación</w:t>
        </w:r>
        <w:r w:rsidR="00475392">
          <w:rPr>
            <w:webHidden/>
          </w:rPr>
          <w:tab/>
        </w:r>
        <w:r w:rsidR="00475392">
          <w:rPr>
            <w:webHidden/>
          </w:rPr>
          <w:fldChar w:fldCharType="begin"/>
        </w:r>
        <w:r w:rsidR="00475392">
          <w:rPr>
            <w:webHidden/>
          </w:rPr>
          <w:instrText xml:space="preserve"> PAGEREF _Toc199156289 \h </w:instrText>
        </w:r>
        <w:r w:rsidR="00475392">
          <w:rPr>
            <w:webHidden/>
          </w:rPr>
        </w:r>
        <w:r w:rsidR="00475392">
          <w:rPr>
            <w:webHidden/>
          </w:rPr>
          <w:fldChar w:fldCharType="separate"/>
        </w:r>
        <w:r w:rsidR="00475392">
          <w:rPr>
            <w:webHidden/>
          </w:rPr>
          <w:t>3</w:t>
        </w:r>
        <w:r w:rsidR="00475392">
          <w:rPr>
            <w:webHidden/>
          </w:rPr>
          <w:fldChar w:fldCharType="end"/>
        </w:r>
      </w:hyperlink>
    </w:p>
    <w:p w:rsidR="00475392" w:rsidRDefault="00475392">
      <w:pPr>
        <w:pStyle w:val="TDC1"/>
        <w:tabs>
          <w:tab w:val="left" w:pos="480"/>
          <w:tab w:val="right" w:leader="underscore" w:pos="8488"/>
        </w:tabs>
        <w:rPr>
          <w:rFonts w:asciiTheme="minorHAnsi" w:eastAsiaTheme="minorEastAsia" w:hAnsiTheme="minorHAnsi" w:cstheme="minorBidi"/>
          <w:spacing w:val="0"/>
          <w:sz w:val="22"/>
          <w:szCs w:val="22"/>
          <w:lang w:val="es-ES" w:eastAsia="es-ES"/>
        </w:rPr>
      </w:pPr>
      <w:hyperlink w:anchor="_Toc199156290" w:history="1">
        <w:r w:rsidRPr="004D2609">
          <w:rPr>
            <w:rStyle w:val="Hipervnculo"/>
          </w:rPr>
          <w:t>1.</w:t>
        </w:r>
        <w:r>
          <w:rPr>
            <w:rFonts w:asciiTheme="minorHAnsi" w:eastAsiaTheme="minorEastAsia" w:hAnsiTheme="minorHAnsi" w:cstheme="minorBidi"/>
            <w:spacing w:val="0"/>
            <w:sz w:val="22"/>
            <w:szCs w:val="22"/>
            <w:lang w:val="es-ES" w:eastAsia="es-ES"/>
          </w:rPr>
          <w:tab/>
        </w:r>
        <w:r w:rsidRPr="004D2609">
          <w:rPr>
            <w:rStyle w:val="Hipervnculo"/>
          </w:rPr>
          <w:t>Identificaciones por perfil étnico-racial (Informe del Estado, párrs. 32 a 39)</w:t>
        </w:r>
        <w:r>
          <w:rPr>
            <w:webHidden/>
          </w:rPr>
          <w:tab/>
        </w:r>
        <w:r>
          <w:rPr>
            <w:webHidden/>
          </w:rPr>
          <w:fldChar w:fldCharType="begin"/>
        </w:r>
        <w:r>
          <w:rPr>
            <w:webHidden/>
          </w:rPr>
          <w:instrText xml:space="preserve"> PAGEREF _Toc199156290 \h </w:instrText>
        </w:r>
        <w:r>
          <w:rPr>
            <w:webHidden/>
          </w:rPr>
        </w:r>
        <w:r>
          <w:rPr>
            <w:webHidden/>
          </w:rPr>
          <w:fldChar w:fldCharType="separate"/>
        </w:r>
        <w:r>
          <w:rPr>
            <w:webHidden/>
          </w:rPr>
          <w:t>4</w:t>
        </w:r>
        <w:r>
          <w:rPr>
            <w:webHidden/>
          </w:rPr>
          <w:fldChar w:fldCharType="end"/>
        </w:r>
      </w:hyperlink>
    </w:p>
    <w:p w:rsidR="00475392" w:rsidRDefault="00475392">
      <w:pPr>
        <w:pStyle w:val="TDC3"/>
        <w:tabs>
          <w:tab w:val="left" w:pos="960"/>
          <w:tab w:val="right" w:leader="underscore" w:pos="8488"/>
        </w:tabs>
        <w:rPr>
          <w:rFonts w:asciiTheme="minorHAnsi" w:eastAsiaTheme="minorEastAsia" w:hAnsiTheme="minorHAnsi" w:cstheme="minorBidi"/>
          <w:spacing w:val="0"/>
          <w:sz w:val="22"/>
          <w:szCs w:val="22"/>
          <w:lang w:val="es-ES" w:eastAsia="es-ES"/>
        </w:rPr>
      </w:pPr>
      <w:hyperlink w:anchor="_Toc199156291" w:history="1">
        <w:r w:rsidRPr="004D2609">
          <w:rPr>
            <w:rStyle w:val="Hipervnculo"/>
          </w:rPr>
          <w:t>a.</w:t>
        </w:r>
        <w:r>
          <w:rPr>
            <w:rFonts w:asciiTheme="minorHAnsi" w:eastAsiaTheme="minorEastAsia" w:hAnsiTheme="minorHAnsi" w:cstheme="minorBidi"/>
            <w:spacing w:val="0"/>
            <w:sz w:val="22"/>
            <w:szCs w:val="22"/>
            <w:lang w:val="es-ES" w:eastAsia="es-ES"/>
          </w:rPr>
          <w:tab/>
        </w:r>
        <w:r w:rsidRPr="004D2609">
          <w:rPr>
            <w:rStyle w:val="Hipervnculo"/>
          </w:rPr>
          <w:t>Cataluña: el único ejemplo… insuficiente</w:t>
        </w:r>
        <w:r>
          <w:rPr>
            <w:webHidden/>
          </w:rPr>
          <w:tab/>
        </w:r>
        <w:r>
          <w:rPr>
            <w:webHidden/>
          </w:rPr>
          <w:fldChar w:fldCharType="begin"/>
        </w:r>
        <w:r>
          <w:rPr>
            <w:webHidden/>
          </w:rPr>
          <w:instrText xml:space="preserve"> PAGEREF _Toc199156291 \h </w:instrText>
        </w:r>
        <w:r>
          <w:rPr>
            <w:webHidden/>
          </w:rPr>
        </w:r>
        <w:r>
          <w:rPr>
            <w:webHidden/>
          </w:rPr>
          <w:fldChar w:fldCharType="separate"/>
        </w:r>
        <w:r>
          <w:rPr>
            <w:webHidden/>
          </w:rPr>
          <w:t>6</w:t>
        </w:r>
        <w:r>
          <w:rPr>
            <w:webHidden/>
          </w:rPr>
          <w:fldChar w:fldCharType="end"/>
        </w:r>
      </w:hyperlink>
    </w:p>
    <w:p w:rsidR="00475392" w:rsidRDefault="00475392">
      <w:pPr>
        <w:pStyle w:val="TDC3"/>
        <w:tabs>
          <w:tab w:val="left" w:pos="960"/>
          <w:tab w:val="right" w:leader="underscore" w:pos="8488"/>
        </w:tabs>
        <w:rPr>
          <w:rFonts w:asciiTheme="minorHAnsi" w:eastAsiaTheme="minorEastAsia" w:hAnsiTheme="minorHAnsi" w:cstheme="minorBidi"/>
          <w:spacing w:val="0"/>
          <w:sz w:val="22"/>
          <w:szCs w:val="22"/>
          <w:lang w:val="es-ES" w:eastAsia="es-ES"/>
        </w:rPr>
      </w:pPr>
      <w:hyperlink w:anchor="_Toc199156292" w:history="1">
        <w:r w:rsidRPr="004D2609">
          <w:rPr>
            <w:rStyle w:val="Hipervnculo"/>
          </w:rPr>
          <w:t>b.</w:t>
        </w:r>
        <w:r>
          <w:rPr>
            <w:rFonts w:asciiTheme="minorHAnsi" w:eastAsiaTheme="minorEastAsia" w:hAnsiTheme="minorHAnsi" w:cstheme="minorBidi"/>
            <w:spacing w:val="0"/>
            <w:sz w:val="22"/>
            <w:szCs w:val="22"/>
            <w:lang w:val="es-ES" w:eastAsia="es-ES"/>
          </w:rPr>
          <w:tab/>
        </w:r>
        <w:r w:rsidRPr="004D2609">
          <w:rPr>
            <w:rStyle w:val="Hipervnculo"/>
          </w:rPr>
          <w:t>Discrecionalidad, ausencia de control y falta de datos</w:t>
        </w:r>
        <w:r>
          <w:rPr>
            <w:webHidden/>
          </w:rPr>
          <w:tab/>
        </w:r>
        <w:r>
          <w:rPr>
            <w:webHidden/>
          </w:rPr>
          <w:fldChar w:fldCharType="begin"/>
        </w:r>
        <w:r>
          <w:rPr>
            <w:webHidden/>
          </w:rPr>
          <w:instrText xml:space="preserve"> PAGEREF _Toc199156292 \h </w:instrText>
        </w:r>
        <w:r>
          <w:rPr>
            <w:webHidden/>
          </w:rPr>
        </w:r>
        <w:r>
          <w:rPr>
            <w:webHidden/>
          </w:rPr>
          <w:fldChar w:fldCharType="separate"/>
        </w:r>
        <w:r>
          <w:rPr>
            <w:webHidden/>
          </w:rPr>
          <w:t>7</w:t>
        </w:r>
        <w:r>
          <w:rPr>
            <w:webHidden/>
          </w:rPr>
          <w:fldChar w:fldCharType="end"/>
        </w:r>
      </w:hyperlink>
    </w:p>
    <w:p w:rsidR="00475392" w:rsidRDefault="00475392">
      <w:pPr>
        <w:pStyle w:val="TDC3"/>
        <w:tabs>
          <w:tab w:val="left" w:pos="960"/>
          <w:tab w:val="right" w:leader="underscore" w:pos="8488"/>
        </w:tabs>
        <w:rPr>
          <w:rFonts w:asciiTheme="minorHAnsi" w:eastAsiaTheme="minorEastAsia" w:hAnsiTheme="minorHAnsi" w:cstheme="minorBidi"/>
          <w:spacing w:val="0"/>
          <w:sz w:val="22"/>
          <w:szCs w:val="22"/>
          <w:lang w:val="es-ES" w:eastAsia="es-ES"/>
        </w:rPr>
      </w:pPr>
      <w:hyperlink w:anchor="_Toc199156293" w:history="1">
        <w:r w:rsidRPr="004D2609">
          <w:rPr>
            <w:rStyle w:val="Hipervnculo"/>
          </w:rPr>
          <w:t>c.</w:t>
        </w:r>
        <w:r>
          <w:rPr>
            <w:rFonts w:asciiTheme="minorHAnsi" w:eastAsiaTheme="minorEastAsia" w:hAnsiTheme="minorHAnsi" w:cstheme="minorBidi"/>
            <w:spacing w:val="0"/>
            <w:sz w:val="22"/>
            <w:szCs w:val="22"/>
            <w:lang w:val="es-ES" w:eastAsia="es-ES"/>
          </w:rPr>
          <w:tab/>
        </w:r>
        <w:r w:rsidRPr="004D2609">
          <w:rPr>
            <w:rStyle w:val="Hipervnculo"/>
          </w:rPr>
          <w:t>Conclusión y recomendaciones</w:t>
        </w:r>
        <w:r>
          <w:rPr>
            <w:webHidden/>
          </w:rPr>
          <w:tab/>
        </w:r>
        <w:r>
          <w:rPr>
            <w:webHidden/>
          </w:rPr>
          <w:fldChar w:fldCharType="begin"/>
        </w:r>
        <w:r>
          <w:rPr>
            <w:webHidden/>
          </w:rPr>
          <w:instrText xml:space="preserve"> PAGEREF _Toc199156293 \h </w:instrText>
        </w:r>
        <w:r>
          <w:rPr>
            <w:webHidden/>
          </w:rPr>
        </w:r>
        <w:r>
          <w:rPr>
            <w:webHidden/>
          </w:rPr>
          <w:fldChar w:fldCharType="separate"/>
        </w:r>
        <w:r>
          <w:rPr>
            <w:webHidden/>
          </w:rPr>
          <w:t>8</w:t>
        </w:r>
        <w:r>
          <w:rPr>
            <w:webHidden/>
          </w:rPr>
          <w:fldChar w:fldCharType="end"/>
        </w:r>
      </w:hyperlink>
    </w:p>
    <w:p w:rsidR="00475392" w:rsidRDefault="00475392">
      <w:pPr>
        <w:pStyle w:val="TDC1"/>
        <w:tabs>
          <w:tab w:val="left" w:pos="480"/>
          <w:tab w:val="right" w:leader="underscore" w:pos="8488"/>
        </w:tabs>
        <w:rPr>
          <w:rFonts w:asciiTheme="minorHAnsi" w:eastAsiaTheme="minorEastAsia" w:hAnsiTheme="minorHAnsi" w:cstheme="minorBidi"/>
          <w:spacing w:val="0"/>
          <w:sz w:val="22"/>
          <w:szCs w:val="22"/>
          <w:lang w:val="es-ES" w:eastAsia="es-ES"/>
        </w:rPr>
      </w:pPr>
      <w:hyperlink w:anchor="_Toc199156294" w:history="1">
        <w:r w:rsidRPr="004D2609">
          <w:rPr>
            <w:rStyle w:val="Hipervnculo"/>
          </w:rPr>
          <w:t>2.</w:t>
        </w:r>
        <w:r>
          <w:rPr>
            <w:rFonts w:asciiTheme="minorHAnsi" w:eastAsiaTheme="minorEastAsia" w:hAnsiTheme="minorHAnsi" w:cstheme="minorBidi"/>
            <w:spacing w:val="0"/>
            <w:sz w:val="22"/>
            <w:szCs w:val="22"/>
            <w:lang w:val="es-ES" w:eastAsia="es-ES"/>
          </w:rPr>
          <w:tab/>
        </w:r>
        <w:r w:rsidRPr="004D2609">
          <w:rPr>
            <w:rStyle w:val="Hipervnculo"/>
          </w:rPr>
          <w:t>Detención migratoria en Centros de Internamiento (Informe del Estado, párrs. 144 a 146 y 190 a 191)</w:t>
        </w:r>
        <w:r>
          <w:rPr>
            <w:webHidden/>
          </w:rPr>
          <w:tab/>
        </w:r>
        <w:r>
          <w:rPr>
            <w:webHidden/>
          </w:rPr>
          <w:fldChar w:fldCharType="begin"/>
        </w:r>
        <w:r>
          <w:rPr>
            <w:webHidden/>
          </w:rPr>
          <w:instrText xml:space="preserve"> PAGEREF _Toc199156294 \h </w:instrText>
        </w:r>
        <w:r>
          <w:rPr>
            <w:webHidden/>
          </w:rPr>
        </w:r>
        <w:r>
          <w:rPr>
            <w:webHidden/>
          </w:rPr>
          <w:fldChar w:fldCharType="separate"/>
        </w:r>
        <w:r>
          <w:rPr>
            <w:webHidden/>
          </w:rPr>
          <w:t>10</w:t>
        </w:r>
        <w:r>
          <w:rPr>
            <w:webHidden/>
          </w:rPr>
          <w:fldChar w:fldCharType="end"/>
        </w:r>
      </w:hyperlink>
    </w:p>
    <w:p w:rsidR="00475392" w:rsidRDefault="00475392">
      <w:pPr>
        <w:pStyle w:val="TDC3"/>
        <w:tabs>
          <w:tab w:val="left" w:pos="960"/>
          <w:tab w:val="right" w:leader="underscore" w:pos="8488"/>
        </w:tabs>
        <w:rPr>
          <w:rFonts w:asciiTheme="minorHAnsi" w:eastAsiaTheme="minorEastAsia" w:hAnsiTheme="minorHAnsi" w:cstheme="minorBidi"/>
          <w:spacing w:val="0"/>
          <w:sz w:val="22"/>
          <w:szCs w:val="22"/>
          <w:lang w:val="es-ES" w:eastAsia="es-ES"/>
        </w:rPr>
      </w:pPr>
      <w:hyperlink w:anchor="_Toc199156295" w:history="1">
        <w:r w:rsidRPr="004D2609">
          <w:rPr>
            <w:rStyle w:val="Hipervnculo"/>
          </w:rPr>
          <w:t>a.</w:t>
        </w:r>
        <w:r>
          <w:rPr>
            <w:rFonts w:asciiTheme="minorHAnsi" w:eastAsiaTheme="minorEastAsia" w:hAnsiTheme="minorHAnsi" w:cstheme="minorBidi"/>
            <w:spacing w:val="0"/>
            <w:sz w:val="22"/>
            <w:szCs w:val="22"/>
            <w:lang w:val="es-ES" w:eastAsia="es-ES"/>
          </w:rPr>
          <w:tab/>
        </w:r>
        <w:r w:rsidRPr="004D2609">
          <w:rPr>
            <w:rStyle w:val="Hipervnculo"/>
          </w:rPr>
          <w:t>Desproporcionalidad en la duración del internamiento en un CIE</w:t>
        </w:r>
        <w:r>
          <w:rPr>
            <w:webHidden/>
          </w:rPr>
          <w:tab/>
        </w:r>
        <w:r>
          <w:rPr>
            <w:webHidden/>
          </w:rPr>
          <w:fldChar w:fldCharType="begin"/>
        </w:r>
        <w:r>
          <w:rPr>
            <w:webHidden/>
          </w:rPr>
          <w:instrText xml:space="preserve"> PAGEREF _Toc199156295 \h </w:instrText>
        </w:r>
        <w:r>
          <w:rPr>
            <w:webHidden/>
          </w:rPr>
        </w:r>
        <w:r>
          <w:rPr>
            <w:webHidden/>
          </w:rPr>
          <w:fldChar w:fldCharType="separate"/>
        </w:r>
        <w:r>
          <w:rPr>
            <w:webHidden/>
          </w:rPr>
          <w:t>10</w:t>
        </w:r>
        <w:r>
          <w:rPr>
            <w:webHidden/>
          </w:rPr>
          <w:fldChar w:fldCharType="end"/>
        </w:r>
      </w:hyperlink>
    </w:p>
    <w:p w:rsidR="00475392" w:rsidRDefault="00475392">
      <w:pPr>
        <w:pStyle w:val="TDC3"/>
        <w:tabs>
          <w:tab w:val="left" w:pos="960"/>
          <w:tab w:val="right" w:leader="underscore" w:pos="8488"/>
        </w:tabs>
        <w:rPr>
          <w:rFonts w:asciiTheme="minorHAnsi" w:eastAsiaTheme="minorEastAsia" w:hAnsiTheme="minorHAnsi" w:cstheme="minorBidi"/>
          <w:spacing w:val="0"/>
          <w:sz w:val="22"/>
          <w:szCs w:val="22"/>
          <w:lang w:val="es-ES" w:eastAsia="es-ES"/>
        </w:rPr>
      </w:pPr>
      <w:hyperlink w:anchor="_Toc199156296" w:history="1">
        <w:r w:rsidRPr="004D2609">
          <w:rPr>
            <w:rStyle w:val="Hipervnculo"/>
          </w:rPr>
          <w:t>b.</w:t>
        </w:r>
        <w:r>
          <w:rPr>
            <w:rFonts w:asciiTheme="minorHAnsi" w:eastAsiaTheme="minorEastAsia" w:hAnsiTheme="minorHAnsi" w:cstheme="minorBidi"/>
            <w:spacing w:val="0"/>
            <w:sz w:val="22"/>
            <w:szCs w:val="22"/>
            <w:lang w:val="es-ES" w:eastAsia="es-ES"/>
          </w:rPr>
          <w:tab/>
        </w:r>
        <w:r w:rsidRPr="004D2609">
          <w:rPr>
            <w:rStyle w:val="Hipervnculo"/>
          </w:rPr>
          <w:t>Aplicación sin garantías efectivas</w:t>
        </w:r>
        <w:r>
          <w:rPr>
            <w:webHidden/>
          </w:rPr>
          <w:tab/>
        </w:r>
        <w:r>
          <w:rPr>
            <w:webHidden/>
          </w:rPr>
          <w:fldChar w:fldCharType="begin"/>
        </w:r>
        <w:r>
          <w:rPr>
            <w:webHidden/>
          </w:rPr>
          <w:instrText xml:space="preserve"> PAGEREF _Toc199156296 \h </w:instrText>
        </w:r>
        <w:r>
          <w:rPr>
            <w:webHidden/>
          </w:rPr>
        </w:r>
        <w:r>
          <w:rPr>
            <w:webHidden/>
          </w:rPr>
          <w:fldChar w:fldCharType="separate"/>
        </w:r>
        <w:r>
          <w:rPr>
            <w:webHidden/>
          </w:rPr>
          <w:t>12</w:t>
        </w:r>
        <w:r>
          <w:rPr>
            <w:webHidden/>
          </w:rPr>
          <w:fldChar w:fldCharType="end"/>
        </w:r>
      </w:hyperlink>
    </w:p>
    <w:p w:rsidR="00475392" w:rsidRDefault="00475392">
      <w:pPr>
        <w:pStyle w:val="TDC3"/>
        <w:tabs>
          <w:tab w:val="left" w:pos="960"/>
          <w:tab w:val="right" w:leader="underscore" w:pos="8488"/>
        </w:tabs>
        <w:rPr>
          <w:rFonts w:asciiTheme="minorHAnsi" w:eastAsiaTheme="minorEastAsia" w:hAnsiTheme="minorHAnsi" w:cstheme="minorBidi"/>
          <w:spacing w:val="0"/>
          <w:sz w:val="22"/>
          <w:szCs w:val="22"/>
          <w:lang w:val="es-ES" w:eastAsia="es-ES"/>
        </w:rPr>
      </w:pPr>
      <w:hyperlink w:anchor="_Toc199156297" w:history="1">
        <w:r w:rsidRPr="004D2609">
          <w:rPr>
            <w:rStyle w:val="Hipervnculo"/>
          </w:rPr>
          <w:t>c.</w:t>
        </w:r>
        <w:r>
          <w:rPr>
            <w:rFonts w:asciiTheme="minorHAnsi" w:eastAsiaTheme="minorEastAsia" w:hAnsiTheme="minorHAnsi" w:cstheme="minorBidi"/>
            <w:spacing w:val="0"/>
            <w:sz w:val="22"/>
            <w:szCs w:val="22"/>
            <w:lang w:val="es-ES" w:eastAsia="es-ES"/>
          </w:rPr>
          <w:tab/>
        </w:r>
        <w:r w:rsidRPr="004D2609">
          <w:rPr>
            <w:rStyle w:val="Hipervnculo"/>
          </w:rPr>
          <w:t>Infraestructuras adecuadas no son todo dentro de un CIE</w:t>
        </w:r>
        <w:r>
          <w:rPr>
            <w:webHidden/>
          </w:rPr>
          <w:tab/>
        </w:r>
        <w:r>
          <w:rPr>
            <w:webHidden/>
          </w:rPr>
          <w:fldChar w:fldCharType="begin"/>
        </w:r>
        <w:r>
          <w:rPr>
            <w:webHidden/>
          </w:rPr>
          <w:instrText xml:space="preserve"> PAGEREF _Toc199156297 \h </w:instrText>
        </w:r>
        <w:r>
          <w:rPr>
            <w:webHidden/>
          </w:rPr>
        </w:r>
        <w:r>
          <w:rPr>
            <w:webHidden/>
          </w:rPr>
          <w:fldChar w:fldCharType="separate"/>
        </w:r>
        <w:r>
          <w:rPr>
            <w:webHidden/>
          </w:rPr>
          <w:t>13</w:t>
        </w:r>
        <w:r>
          <w:rPr>
            <w:webHidden/>
          </w:rPr>
          <w:fldChar w:fldCharType="end"/>
        </w:r>
      </w:hyperlink>
    </w:p>
    <w:p w:rsidR="00475392" w:rsidRDefault="00475392">
      <w:pPr>
        <w:pStyle w:val="TDC3"/>
        <w:tabs>
          <w:tab w:val="left" w:pos="960"/>
          <w:tab w:val="right" w:leader="underscore" w:pos="8488"/>
        </w:tabs>
        <w:rPr>
          <w:rFonts w:asciiTheme="minorHAnsi" w:eastAsiaTheme="minorEastAsia" w:hAnsiTheme="minorHAnsi" w:cstheme="minorBidi"/>
          <w:spacing w:val="0"/>
          <w:sz w:val="22"/>
          <w:szCs w:val="22"/>
          <w:lang w:val="es-ES" w:eastAsia="es-ES"/>
        </w:rPr>
      </w:pPr>
      <w:hyperlink w:anchor="_Toc199156298" w:history="1">
        <w:r w:rsidRPr="004D2609">
          <w:rPr>
            <w:rStyle w:val="Hipervnculo"/>
          </w:rPr>
          <w:t>d.</w:t>
        </w:r>
        <w:r>
          <w:rPr>
            <w:rFonts w:asciiTheme="minorHAnsi" w:eastAsiaTheme="minorEastAsia" w:hAnsiTheme="minorHAnsi" w:cstheme="minorBidi"/>
            <w:spacing w:val="0"/>
            <w:sz w:val="22"/>
            <w:szCs w:val="22"/>
            <w:lang w:val="es-ES" w:eastAsia="es-ES"/>
          </w:rPr>
          <w:tab/>
        </w:r>
        <w:r w:rsidRPr="004D2609">
          <w:rPr>
            <w:rStyle w:val="Hipervnculo"/>
          </w:rPr>
          <w:t>Ausencia de alternativas reales al internamiento</w:t>
        </w:r>
        <w:r>
          <w:rPr>
            <w:webHidden/>
          </w:rPr>
          <w:tab/>
        </w:r>
        <w:r>
          <w:rPr>
            <w:webHidden/>
          </w:rPr>
          <w:fldChar w:fldCharType="begin"/>
        </w:r>
        <w:r>
          <w:rPr>
            <w:webHidden/>
          </w:rPr>
          <w:instrText xml:space="preserve"> PAGEREF _Toc199156298 \h </w:instrText>
        </w:r>
        <w:r>
          <w:rPr>
            <w:webHidden/>
          </w:rPr>
        </w:r>
        <w:r>
          <w:rPr>
            <w:webHidden/>
          </w:rPr>
          <w:fldChar w:fldCharType="separate"/>
        </w:r>
        <w:r>
          <w:rPr>
            <w:webHidden/>
          </w:rPr>
          <w:t>17</w:t>
        </w:r>
        <w:r>
          <w:rPr>
            <w:webHidden/>
          </w:rPr>
          <w:fldChar w:fldCharType="end"/>
        </w:r>
      </w:hyperlink>
    </w:p>
    <w:p w:rsidR="00475392" w:rsidRDefault="00475392">
      <w:pPr>
        <w:pStyle w:val="TDC3"/>
        <w:tabs>
          <w:tab w:val="left" w:pos="960"/>
          <w:tab w:val="right" w:leader="underscore" w:pos="8488"/>
        </w:tabs>
        <w:rPr>
          <w:rFonts w:asciiTheme="minorHAnsi" w:eastAsiaTheme="minorEastAsia" w:hAnsiTheme="minorHAnsi" w:cstheme="minorBidi"/>
          <w:spacing w:val="0"/>
          <w:sz w:val="22"/>
          <w:szCs w:val="22"/>
          <w:lang w:val="es-ES" w:eastAsia="es-ES"/>
        </w:rPr>
      </w:pPr>
      <w:hyperlink w:anchor="_Toc199156299" w:history="1">
        <w:r w:rsidRPr="004D2609">
          <w:rPr>
            <w:rStyle w:val="Hipervnculo"/>
          </w:rPr>
          <w:t>e.</w:t>
        </w:r>
        <w:r>
          <w:rPr>
            <w:rFonts w:asciiTheme="minorHAnsi" w:eastAsiaTheme="minorEastAsia" w:hAnsiTheme="minorHAnsi" w:cstheme="minorBidi"/>
            <w:spacing w:val="0"/>
            <w:sz w:val="22"/>
            <w:szCs w:val="22"/>
            <w:lang w:val="es-ES" w:eastAsia="es-ES"/>
          </w:rPr>
          <w:tab/>
        </w:r>
        <w:r w:rsidRPr="004D2609">
          <w:rPr>
            <w:rStyle w:val="Hipervnculo"/>
          </w:rPr>
          <w:t>Conclusión y recomendaciones</w:t>
        </w:r>
        <w:r>
          <w:rPr>
            <w:webHidden/>
          </w:rPr>
          <w:tab/>
        </w:r>
        <w:r>
          <w:rPr>
            <w:webHidden/>
          </w:rPr>
          <w:fldChar w:fldCharType="begin"/>
        </w:r>
        <w:r>
          <w:rPr>
            <w:webHidden/>
          </w:rPr>
          <w:instrText xml:space="preserve"> PAGEREF _Toc199156299 \h </w:instrText>
        </w:r>
        <w:r>
          <w:rPr>
            <w:webHidden/>
          </w:rPr>
        </w:r>
        <w:r>
          <w:rPr>
            <w:webHidden/>
          </w:rPr>
          <w:fldChar w:fldCharType="separate"/>
        </w:r>
        <w:r>
          <w:rPr>
            <w:webHidden/>
          </w:rPr>
          <w:t>17</w:t>
        </w:r>
        <w:r>
          <w:rPr>
            <w:webHidden/>
          </w:rPr>
          <w:fldChar w:fldCharType="end"/>
        </w:r>
      </w:hyperlink>
    </w:p>
    <w:p w:rsidR="00475392" w:rsidRDefault="00475392">
      <w:pPr>
        <w:pStyle w:val="TDC1"/>
        <w:tabs>
          <w:tab w:val="left" w:pos="480"/>
          <w:tab w:val="right" w:leader="underscore" w:pos="8488"/>
        </w:tabs>
        <w:rPr>
          <w:rFonts w:asciiTheme="minorHAnsi" w:eastAsiaTheme="minorEastAsia" w:hAnsiTheme="minorHAnsi" w:cstheme="minorBidi"/>
          <w:spacing w:val="0"/>
          <w:sz w:val="22"/>
          <w:szCs w:val="22"/>
          <w:lang w:val="es-ES" w:eastAsia="es-ES"/>
        </w:rPr>
      </w:pPr>
      <w:hyperlink w:anchor="_Toc199156300" w:history="1">
        <w:r w:rsidRPr="004D2609">
          <w:rPr>
            <w:rStyle w:val="Hipervnculo"/>
          </w:rPr>
          <w:t>3.</w:t>
        </w:r>
        <w:r>
          <w:rPr>
            <w:rFonts w:asciiTheme="minorHAnsi" w:eastAsiaTheme="minorEastAsia" w:hAnsiTheme="minorHAnsi" w:cstheme="minorBidi"/>
            <w:spacing w:val="0"/>
            <w:sz w:val="22"/>
            <w:szCs w:val="22"/>
            <w:lang w:val="es-ES" w:eastAsia="es-ES"/>
          </w:rPr>
          <w:tab/>
        </w:r>
        <w:r w:rsidRPr="004D2609">
          <w:rPr>
            <w:rStyle w:val="Hipervnculo"/>
          </w:rPr>
          <w:t>Inteligencia artificial y derechos humanos</w:t>
        </w:r>
        <w:r>
          <w:rPr>
            <w:webHidden/>
          </w:rPr>
          <w:tab/>
        </w:r>
        <w:r>
          <w:rPr>
            <w:webHidden/>
          </w:rPr>
          <w:fldChar w:fldCharType="begin"/>
        </w:r>
        <w:r>
          <w:rPr>
            <w:webHidden/>
          </w:rPr>
          <w:instrText xml:space="preserve"> PAGEREF _Toc199156300 \h </w:instrText>
        </w:r>
        <w:r>
          <w:rPr>
            <w:webHidden/>
          </w:rPr>
        </w:r>
        <w:r>
          <w:rPr>
            <w:webHidden/>
          </w:rPr>
          <w:fldChar w:fldCharType="separate"/>
        </w:r>
        <w:r>
          <w:rPr>
            <w:webHidden/>
          </w:rPr>
          <w:t>18</w:t>
        </w:r>
        <w:r>
          <w:rPr>
            <w:webHidden/>
          </w:rPr>
          <w:fldChar w:fldCharType="end"/>
        </w:r>
      </w:hyperlink>
    </w:p>
    <w:p w:rsidR="00475392" w:rsidRDefault="00475392">
      <w:pPr>
        <w:pStyle w:val="TDC3"/>
        <w:tabs>
          <w:tab w:val="left" w:pos="960"/>
          <w:tab w:val="right" w:leader="underscore" w:pos="8488"/>
        </w:tabs>
        <w:rPr>
          <w:rFonts w:asciiTheme="minorHAnsi" w:eastAsiaTheme="minorEastAsia" w:hAnsiTheme="minorHAnsi" w:cstheme="minorBidi"/>
          <w:spacing w:val="0"/>
          <w:sz w:val="22"/>
          <w:szCs w:val="22"/>
          <w:lang w:val="es-ES" w:eastAsia="es-ES"/>
        </w:rPr>
      </w:pPr>
      <w:hyperlink w:anchor="_Toc199156301" w:history="1">
        <w:r w:rsidRPr="004D2609">
          <w:rPr>
            <w:rStyle w:val="Hipervnculo"/>
          </w:rPr>
          <w:t>a.</w:t>
        </w:r>
        <w:r>
          <w:rPr>
            <w:rFonts w:asciiTheme="minorHAnsi" w:eastAsiaTheme="minorEastAsia" w:hAnsiTheme="minorHAnsi" w:cstheme="minorBidi"/>
            <w:spacing w:val="0"/>
            <w:sz w:val="22"/>
            <w:szCs w:val="22"/>
            <w:lang w:val="es-ES" w:eastAsia="es-ES"/>
          </w:rPr>
          <w:tab/>
        </w:r>
        <w:r w:rsidRPr="004D2609">
          <w:rPr>
            <w:rStyle w:val="Hipervnculo"/>
          </w:rPr>
          <w:t>IA como amenaza transversal a derechos protegidos por el Pacto y su protección en la futura legislación nacional en la materia.</w:t>
        </w:r>
        <w:r>
          <w:rPr>
            <w:webHidden/>
          </w:rPr>
          <w:tab/>
        </w:r>
        <w:r>
          <w:rPr>
            <w:webHidden/>
          </w:rPr>
          <w:fldChar w:fldCharType="begin"/>
        </w:r>
        <w:r>
          <w:rPr>
            <w:webHidden/>
          </w:rPr>
          <w:instrText xml:space="preserve"> PAGEREF _Toc199156301 \h </w:instrText>
        </w:r>
        <w:r>
          <w:rPr>
            <w:webHidden/>
          </w:rPr>
        </w:r>
        <w:r>
          <w:rPr>
            <w:webHidden/>
          </w:rPr>
          <w:fldChar w:fldCharType="separate"/>
        </w:r>
        <w:r>
          <w:rPr>
            <w:webHidden/>
          </w:rPr>
          <w:t>18</w:t>
        </w:r>
        <w:r>
          <w:rPr>
            <w:webHidden/>
          </w:rPr>
          <w:fldChar w:fldCharType="end"/>
        </w:r>
      </w:hyperlink>
    </w:p>
    <w:p w:rsidR="00475392" w:rsidRDefault="00475392">
      <w:pPr>
        <w:pStyle w:val="TDC3"/>
        <w:tabs>
          <w:tab w:val="left" w:pos="960"/>
          <w:tab w:val="right" w:leader="underscore" w:pos="8488"/>
        </w:tabs>
        <w:rPr>
          <w:rFonts w:asciiTheme="minorHAnsi" w:eastAsiaTheme="minorEastAsia" w:hAnsiTheme="minorHAnsi" w:cstheme="minorBidi"/>
          <w:spacing w:val="0"/>
          <w:sz w:val="22"/>
          <w:szCs w:val="22"/>
          <w:lang w:val="es-ES" w:eastAsia="es-ES"/>
        </w:rPr>
      </w:pPr>
      <w:hyperlink w:anchor="_Toc199156302" w:history="1">
        <w:r w:rsidRPr="004D2609">
          <w:rPr>
            <w:rStyle w:val="Hipervnculo"/>
          </w:rPr>
          <w:t>b.</w:t>
        </w:r>
        <w:r>
          <w:rPr>
            <w:rFonts w:asciiTheme="minorHAnsi" w:eastAsiaTheme="minorEastAsia" w:hAnsiTheme="minorHAnsi" w:cstheme="minorBidi"/>
            <w:spacing w:val="0"/>
            <w:sz w:val="22"/>
            <w:szCs w:val="22"/>
            <w:lang w:val="es-ES" w:eastAsia="es-ES"/>
          </w:rPr>
          <w:tab/>
        </w:r>
        <w:r w:rsidRPr="004D2609">
          <w:rPr>
            <w:rStyle w:val="Hipervnculo"/>
          </w:rPr>
          <w:t>Ética un marco insuficiente</w:t>
        </w:r>
        <w:r>
          <w:rPr>
            <w:webHidden/>
          </w:rPr>
          <w:tab/>
        </w:r>
        <w:r>
          <w:rPr>
            <w:webHidden/>
          </w:rPr>
          <w:fldChar w:fldCharType="begin"/>
        </w:r>
        <w:r>
          <w:rPr>
            <w:webHidden/>
          </w:rPr>
          <w:instrText xml:space="preserve"> PAGEREF _Toc199156302 \h </w:instrText>
        </w:r>
        <w:r>
          <w:rPr>
            <w:webHidden/>
          </w:rPr>
        </w:r>
        <w:r>
          <w:rPr>
            <w:webHidden/>
          </w:rPr>
          <w:fldChar w:fldCharType="separate"/>
        </w:r>
        <w:r>
          <w:rPr>
            <w:webHidden/>
          </w:rPr>
          <w:t>22</w:t>
        </w:r>
        <w:r>
          <w:rPr>
            <w:webHidden/>
          </w:rPr>
          <w:fldChar w:fldCharType="end"/>
        </w:r>
      </w:hyperlink>
    </w:p>
    <w:p w:rsidR="00475392" w:rsidRDefault="00475392">
      <w:pPr>
        <w:pStyle w:val="TDC3"/>
        <w:tabs>
          <w:tab w:val="left" w:pos="960"/>
          <w:tab w:val="right" w:leader="underscore" w:pos="8488"/>
        </w:tabs>
        <w:rPr>
          <w:rFonts w:asciiTheme="minorHAnsi" w:eastAsiaTheme="minorEastAsia" w:hAnsiTheme="minorHAnsi" w:cstheme="minorBidi"/>
          <w:spacing w:val="0"/>
          <w:sz w:val="22"/>
          <w:szCs w:val="22"/>
          <w:lang w:val="es-ES" w:eastAsia="es-ES"/>
        </w:rPr>
      </w:pPr>
      <w:hyperlink w:anchor="_Toc199156303" w:history="1">
        <w:r w:rsidRPr="004D2609">
          <w:rPr>
            <w:rStyle w:val="Hipervnculo"/>
          </w:rPr>
          <w:t>c.</w:t>
        </w:r>
        <w:r>
          <w:rPr>
            <w:rFonts w:asciiTheme="minorHAnsi" w:eastAsiaTheme="minorEastAsia" w:hAnsiTheme="minorHAnsi" w:cstheme="minorBidi"/>
            <w:spacing w:val="0"/>
            <w:sz w:val="22"/>
            <w:szCs w:val="22"/>
            <w:lang w:val="es-ES" w:eastAsia="es-ES"/>
          </w:rPr>
          <w:tab/>
        </w:r>
        <w:r w:rsidRPr="004D2609">
          <w:rPr>
            <w:rStyle w:val="Hipervnculo"/>
          </w:rPr>
          <w:t>IA en los DDHH: no siempre necesaria, pero siempre regulada</w:t>
        </w:r>
        <w:r>
          <w:rPr>
            <w:webHidden/>
          </w:rPr>
          <w:tab/>
        </w:r>
        <w:r>
          <w:rPr>
            <w:webHidden/>
          </w:rPr>
          <w:fldChar w:fldCharType="begin"/>
        </w:r>
        <w:r>
          <w:rPr>
            <w:webHidden/>
          </w:rPr>
          <w:instrText xml:space="preserve"> PAGEREF _Toc199156303 \h </w:instrText>
        </w:r>
        <w:r>
          <w:rPr>
            <w:webHidden/>
          </w:rPr>
        </w:r>
        <w:r>
          <w:rPr>
            <w:webHidden/>
          </w:rPr>
          <w:fldChar w:fldCharType="separate"/>
        </w:r>
        <w:r>
          <w:rPr>
            <w:webHidden/>
          </w:rPr>
          <w:t>23</w:t>
        </w:r>
        <w:r>
          <w:rPr>
            <w:webHidden/>
          </w:rPr>
          <w:fldChar w:fldCharType="end"/>
        </w:r>
      </w:hyperlink>
    </w:p>
    <w:p w:rsidR="00475392" w:rsidRDefault="00475392">
      <w:pPr>
        <w:pStyle w:val="TDC3"/>
        <w:tabs>
          <w:tab w:val="left" w:pos="960"/>
          <w:tab w:val="right" w:leader="underscore" w:pos="8488"/>
        </w:tabs>
        <w:rPr>
          <w:rFonts w:asciiTheme="minorHAnsi" w:eastAsiaTheme="minorEastAsia" w:hAnsiTheme="minorHAnsi" w:cstheme="minorBidi"/>
          <w:spacing w:val="0"/>
          <w:sz w:val="22"/>
          <w:szCs w:val="22"/>
          <w:lang w:val="es-ES" w:eastAsia="es-ES"/>
        </w:rPr>
      </w:pPr>
      <w:hyperlink w:anchor="_Toc199156304" w:history="1">
        <w:r w:rsidRPr="004D2609">
          <w:rPr>
            <w:rStyle w:val="Hipervnculo"/>
          </w:rPr>
          <w:t>d.</w:t>
        </w:r>
        <w:r>
          <w:rPr>
            <w:rFonts w:asciiTheme="minorHAnsi" w:eastAsiaTheme="minorEastAsia" w:hAnsiTheme="minorHAnsi" w:cstheme="minorBidi"/>
            <w:spacing w:val="0"/>
            <w:sz w:val="22"/>
            <w:szCs w:val="22"/>
            <w:lang w:val="es-ES" w:eastAsia="es-ES"/>
          </w:rPr>
          <w:tab/>
        </w:r>
        <w:r w:rsidRPr="004D2609">
          <w:rPr>
            <w:rStyle w:val="Hipervnculo"/>
          </w:rPr>
          <w:t>Conclusión y recomendaciones</w:t>
        </w:r>
        <w:r>
          <w:rPr>
            <w:webHidden/>
          </w:rPr>
          <w:tab/>
        </w:r>
        <w:r>
          <w:rPr>
            <w:webHidden/>
          </w:rPr>
          <w:fldChar w:fldCharType="begin"/>
        </w:r>
        <w:r>
          <w:rPr>
            <w:webHidden/>
          </w:rPr>
          <w:instrText xml:space="preserve"> PAGEREF _Toc199156304 \h </w:instrText>
        </w:r>
        <w:r>
          <w:rPr>
            <w:webHidden/>
          </w:rPr>
        </w:r>
        <w:r>
          <w:rPr>
            <w:webHidden/>
          </w:rPr>
          <w:fldChar w:fldCharType="separate"/>
        </w:r>
        <w:r>
          <w:rPr>
            <w:webHidden/>
          </w:rPr>
          <w:t>24</w:t>
        </w:r>
        <w:r>
          <w:rPr>
            <w:webHidden/>
          </w:rPr>
          <w:fldChar w:fldCharType="end"/>
        </w:r>
      </w:hyperlink>
    </w:p>
    <w:p w:rsidR="00475392" w:rsidRDefault="00475392">
      <w:pPr>
        <w:pStyle w:val="TDC1"/>
        <w:tabs>
          <w:tab w:val="left" w:pos="480"/>
          <w:tab w:val="right" w:leader="underscore" w:pos="8488"/>
        </w:tabs>
        <w:rPr>
          <w:rFonts w:asciiTheme="minorHAnsi" w:eastAsiaTheme="minorEastAsia" w:hAnsiTheme="minorHAnsi" w:cstheme="minorBidi"/>
          <w:spacing w:val="0"/>
          <w:sz w:val="22"/>
          <w:szCs w:val="22"/>
          <w:lang w:val="es-ES" w:eastAsia="es-ES"/>
        </w:rPr>
      </w:pPr>
      <w:hyperlink w:anchor="_Toc199156305" w:history="1">
        <w:r w:rsidRPr="004D2609">
          <w:rPr>
            <w:rStyle w:val="Hipervnculo"/>
          </w:rPr>
          <w:t>4.</w:t>
        </w:r>
        <w:r>
          <w:rPr>
            <w:rFonts w:asciiTheme="minorHAnsi" w:eastAsiaTheme="minorEastAsia" w:hAnsiTheme="minorHAnsi" w:cstheme="minorBidi"/>
            <w:spacing w:val="0"/>
            <w:sz w:val="22"/>
            <w:szCs w:val="22"/>
            <w:lang w:val="es-ES" w:eastAsia="es-ES"/>
          </w:rPr>
          <w:tab/>
        </w:r>
        <w:r w:rsidRPr="004D2609">
          <w:rPr>
            <w:rStyle w:val="Hipervnculo"/>
          </w:rPr>
          <w:t>Conclusión general</w:t>
        </w:r>
        <w:r>
          <w:rPr>
            <w:webHidden/>
          </w:rPr>
          <w:tab/>
        </w:r>
        <w:r>
          <w:rPr>
            <w:webHidden/>
          </w:rPr>
          <w:fldChar w:fldCharType="begin"/>
        </w:r>
        <w:r>
          <w:rPr>
            <w:webHidden/>
          </w:rPr>
          <w:instrText xml:space="preserve"> PAGEREF _Toc199156305 \h </w:instrText>
        </w:r>
        <w:r>
          <w:rPr>
            <w:webHidden/>
          </w:rPr>
        </w:r>
        <w:r>
          <w:rPr>
            <w:webHidden/>
          </w:rPr>
          <w:fldChar w:fldCharType="separate"/>
        </w:r>
        <w:r>
          <w:rPr>
            <w:webHidden/>
          </w:rPr>
          <w:t>26</w:t>
        </w:r>
        <w:r>
          <w:rPr>
            <w:webHidden/>
          </w:rPr>
          <w:fldChar w:fldCharType="end"/>
        </w:r>
      </w:hyperlink>
    </w:p>
    <w:p w:rsidR="00026351" w:rsidRDefault="00E97E4C">
      <w:pPr>
        <w:rPr>
          <w:b/>
          <w:bCs/>
          <w:spacing w:val="10"/>
          <w:sz w:val="44"/>
          <w:szCs w:val="44"/>
        </w:rPr>
      </w:pPr>
      <w:r>
        <w:fldChar w:fldCharType="end"/>
      </w:r>
      <w:r w:rsidR="00026351">
        <w:br w:type="page"/>
      </w:r>
    </w:p>
    <w:p w:rsidR="00F163B6" w:rsidRPr="00104CC1" w:rsidRDefault="00F163B6" w:rsidP="00F163B6">
      <w:pPr>
        <w:pStyle w:val="2TtolGran"/>
      </w:pPr>
      <w:bookmarkStart w:id="2" w:name="_Toc199156289"/>
      <w:bookmarkEnd w:id="0"/>
      <w:bookmarkEnd w:id="1"/>
      <w:r>
        <w:lastRenderedPageBreak/>
        <w:t>Presentación</w:t>
      </w:r>
      <w:bookmarkEnd w:id="2"/>
      <w:r>
        <w:t xml:space="preserve"> </w:t>
      </w:r>
    </w:p>
    <w:p w:rsidR="009F5729" w:rsidRDefault="009F5729" w:rsidP="00F163B6">
      <w:pPr>
        <w:pStyle w:val="1TextCos"/>
        <w:rPr>
          <w:b/>
        </w:rPr>
      </w:pPr>
    </w:p>
    <w:p w:rsidR="009F5729" w:rsidRDefault="009F5729" w:rsidP="00F163B6">
      <w:pPr>
        <w:pStyle w:val="1TextCos"/>
        <w:rPr>
          <w:b/>
        </w:rPr>
      </w:pPr>
    </w:p>
    <w:p w:rsidR="009F5729" w:rsidRDefault="009F5729" w:rsidP="00F163B6">
      <w:pPr>
        <w:pStyle w:val="1TextCos"/>
        <w:rPr>
          <w:b/>
        </w:rPr>
      </w:pPr>
    </w:p>
    <w:p w:rsidR="00F163B6" w:rsidRDefault="00F163B6" w:rsidP="00F163B6">
      <w:pPr>
        <w:pStyle w:val="1TextCos"/>
        <w:rPr>
          <w:b/>
        </w:rPr>
      </w:pPr>
      <w:r>
        <w:rPr>
          <w:b/>
        </w:rPr>
        <w:t>Integrantes del Comité de De</w:t>
      </w:r>
      <w:r w:rsidR="00CF4049">
        <w:rPr>
          <w:b/>
        </w:rPr>
        <w:t>rechos H</w:t>
      </w:r>
      <w:r w:rsidR="00925535">
        <w:rPr>
          <w:b/>
        </w:rPr>
        <w:t>u</w:t>
      </w:r>
      <w:r w:rsidR="00CF4049">
        <w:rPr>
          <w:b/>
        </w:rPr>
        <w:t>manos</w:t>
      </w:r>
    </w:p>
    <w:p w:rsidR="00F163B6" w:rsidRPr="00F163B6" w:rsidRDefault="00F163B6" w:rsidP="00F163B6">
      <w:pPr>
        <w:pStyle w:val="1TextCos"/>
        <w:rPr>
          <w:b/>
        </w:rPr>
      </w:pPr>
      <w:r>
        <w:rPr>
          <w:b/>
        </w:rPr>
        <w:t>Organización</w:t>
      </w:r>
      <w:r w:rsidR="00925535">
        <w:rPr>
          <w:b/>
        </w:rPr>
        <w:t xml:space="preserve"> </w:t>
      </w:r>
      <w:r>
        <w:rPr>
          <w:b/>
        </w:rPr>
        <w:t>de las Naciones Unidas</w:t>
      </w:r>
    </w:p>
    <w:p w:rsidR="00F163B6" w:rsidRDefault="00F163B6" w:rsidP="00F163B6">
      <w:pPr>
        <w:pStyle w:val="1TextCos"/>
      </w:pPr>
    </w:p>
    <w:p w:rsidR="00F163B6" w:rsidRDefault="00F163B6" w:rsidP="00F163B6">
      <w:pPr>
        <w:pStyle w:val="1TextCos"/>
      </w:pPr>
    </w:p>
    <w:p w:rsidR="00F163B6" w:rsidRDefault="00F163B6" w:rsidP="00F163B6">
      <w:pPr>
        <w:pStyle w:val="1TextCos"/>
      </w:pPr>
      <w:r w:rsidRPr="00F163B6">
        <w:t>El Institut de Drets Humans de Catalunya (IDHC) es una organización no gubernamental con estatus consultivo ante el Conse</w:t>
      </w:r>
      <w:r w:rsidR="00CF4049">
        <w:t>jo Económico y Social desde 2016</w:t>
      </w:r>
      <w:r w:rsidRPr="00F163B6">
        <w:t>.</w:t>
      </w:r>
      <w:r>
        <w:t xml:space="preserve"> Somos</w:t>
      </w:r>
      <w:r w:rsidRPr="00F163B6">
        <w:t xml:space="preserve"> un centro de estudio y reflexión de referencia para la generación de herramientas y propuestas que permitan avanzar en la realización efectiva de los derechos humanos, a escala local, nacional e internacional.</w:t>
      </w:r>
    </w:p>
    <w:p w:rsidR="00F163B6" w:rsidRDefault="00F163B6" w:rsidP="00F163B6">
      <w:pPr>
        <w:pStyle w:val="1TextCos"/>
      </w:pPr>
    </w:p>
    <w:p w:rsidR="00F163B6" w:rsidRDefault="00F163B6" w:rsidP="00F163B6">
      <w:pPr>
        <w:pStyle w:val="1TextCos"/>
      </w:pPr>
      <w:r>
        <w:t>Con el fin de aportar información que no ha sido proporcionada por el Estado español dentro del contenido de su Séptimo informe periódico que debía presentar en 202</w:t>
      </w:r>
      <w:r w:rsidR="00CF4049">
        <w:t>0</w:t>
      </w:r>
      <w:r>
        <w:t xml:space="preserve"> en virtud del artículo 4</w:t>
      </w:r>
      <w:r w:rsidR="00CF4049">
        <w:t>0</w:t>
      </w:r>
      <w:r w:rsidR="009F5729">
        <w:t xml:space="preserve"> </w:t>
      </w:r>
      <w:r>
        <w:t>de</w:t>
      </w:r>
      <w:r w:rsidR="00CF4049">
        <w:t>l Pacto Internacional de Derechos Civiles y Políticos</w:t>
      </w:r>
      <w:r w:rsidR="009F5729">
        <w:t>, así como aportar elementos que le permitan a ese Comité formular recomendaciones concretas al Estado español, presentamos este informe alternativo.</w:t>
      </w:r>
    </w:p>
    <w:p w:rsidR="009F5729" w:rsidRDefault="009F5729" w:rsidP="00F163B6">
      <w:pPr>
        <w:pStyle w:val="1TextCos"/>
      </w:pPr>
    </w:p>
    <w:p w:rsidR="00CF4049" w:rsidRDefault="009F5729" w:rsidP="00F163B6">
      <w:pPr>
        <w:pStyle w:val="1TextCos"/>
      </w:pPr>
      <w:r>
        <w:t xml:space="preserve">El informe se divide en tres partes. </w:t>
      </w:r>
      <w:r w:rsidR="00CF4049">
        <w:t>L</w:t>
      </w:r>
      <w:r w:rsidR="00CF4049" w:rsidRPr="00CF4049">
        <w:t>as identificaciones por perfil étnico-racial, la detención administrativa de personas migrantes y el impacto de la inteligencia artificial (IA) en derechos humanos</w:t>
      </w:r>
      <w:r w:rsidR="00CF4049">
        <w:t>. Temas que</w:t>
      </w:r>
      <w:r w:rsidR="00CF4049" w:rsidRPr="00CF4049">
        <w:t xml:space="preserve"> por su actualidad, gravedad</w:t>
      </w:r>
      <w:r w:rsidR="00CF4049">
        <w:t xml:space="preserve"> por permanencia a los largo de los años</w:t>
      </w:r>
      <w:r w:rsidR="00CF4049" w:rsidRPr="00CF4049">
        <w:t xml:space="preserve"> y por el riesgo que representan en el contexto español para la garantía efectiva de los derechos </w:t>
      </w:r>
      <w:r w:rsidR="00CF4049">
        <w:t>reconocidos en</w:t>
      </w:r>
      <w:r w:rsidR="00CF4049" w:rsidRPr="00CF4049">
        <w:t xml:space="preserve"> el Pacto. Dos de ellos han sido incluidos, aunque de manera limitada, en el informe del Estado (identificaciones y detención migratoria), mientras que el tercero, el uso de inteligencia artificial, no ha sido incluido, </w:t>
      </w:r>
      <w:r w:rsidR="00CF4049">
        <w:t>pero consideramos de gran relevanvia que se tome en cuenta por este Comité</w:t>
      </w:r>
      <w:r w:rsidR="00CF4049" w:rsidRPr="00CF4049">
        <w:t>.</w:t>
      </w:r>
    </w:p>
    <w:p w:rsidR="00CF4049" w:rsidRDefault="00CF4049" w:rsidP="00F163B6">
      <w:pPr>
        <w:pStyle w:val="1TextCos"/>
      </w:pPr>
    </w:p>
    <w:p w:rsidR="009F5729" w:rsidRDefault="00CF4049" w:rsidP="00F163B6">
      <w:pPr>
        <w:pStyle w:val="1TextCos"/>
      </w:pPr>
      <w:r>
        <w:t>En los tres temas analizamos, en primer lugar,</w:t>
      </w:r>
      <w:r w:rsidR="009F5729">
        <w:t xml:space="preserve"> la información proporcionada por el Estado</w:t>
      </w:r>
      <w:r>
        <w:t xml:space="preserve">. En segundo lugar, se </w:t>
      </w:r>
      <w:r w:rsidR="009F5729">
        <w:t>desarrolla el análisis que consideramos fue omitido por el Estado español y la necesidad de su inclusión. F</w:t>
      </w:r>
      <w:r>
        <w:t>i</w:t>
      </w:r>
      <w:r w:rsidR="009F5729">
        <w:t>nalmente, aportamos algunas propuestas que podrían ser consideradas por ese Comité para formular recomendaciones al Estado español.</w:t>
      </w:r>
    </w:p>
    <w:p w:rsidR="00E8182C" w:rsidRDefault="00E8182C" w:rsidP="00AD0E1C">
      <w:pPr>
        <w:pStyle w:val="1TextCos"/>
      </w:pPr>
    </w:p>
    <w:p w:rsidR="00E8182C" w:rsidRDefault="00E8182C" w:rsidP="00AD0E1C">
      <w:pPr>
        <w:pStyle w:val="1TextCos"/>
      </w:pPr>
    </w:p>
    <w:p w:rsidR="00E8182C" w:rsidRDefault="00E8182C" w:rsidP="00AD0E1C">
      <w:pPr>
        <w:pStyle w:val="1TextCos"/>
      </w:pPr>
    </w:p>
    <w:p w:rsidR="00E8182C" w:rsidRDefault="00E8182C" w:rsidP="00AD0E1C">
      <w:pPr>
        <w:pStyle w:val="1TextCos"/>
      </w:pPr>
    </w:p>
    <w:p w:rsidR="00E8182C" w:rsidRDefault="00E8182C" w:rsidP="00AD0E1C">
      <w:pPr>
        <w:pStyle w:val="1TextCos"/>
      </w:pPr>
    </w:p>
    <w:p w:rsidR="0020514E" w:rsidRDefault="001C50E1" w:rsidP="00C7234C">
      <w:pPr>
        <w:pStyle w:val="2TtolGran"/>
        <w:numPr>
          <w:ilvl w:val="0"/>
          <w:numId w:val="36"/>
        </w:numPr>
        <w:jc w:val="both"/>
      </w:pPr>
      <w:bookmarkStart w:id="3" w:name="_Toc199156290"/>
      <w:r w:rsidRPr="001C50E1">
        <w:lastRenderedPageBreak/>
        <w:t xml:space="preserve">Identificaciones por perfil étnico-racial </w:t>
      </w:r>
      <w:r w:rsidRPr="001C50E1">
        <w:rPr>
          <w:sz w:val="20"/>
          <w:szCs w:val="20"/>
        </w:rPr>
        <w:t>(Informe del Estado, párrs. 32 a 39)</w:t>
      </w:r>
      <w:bookmarkEnd w:id="3"/>
    </w:p>
    <w:p w:rsidR="00925535" w:rsidRDefault="00925535" w:rsidP="008B038C">
      <w:pPr>
        <w:spacing w:line="360" w:lineRule="auto"/>
        <w:jc w:val="both"/>
        <w:rPr>
          <w:sz w:val="22"/>
          <w:szCs w:val="22"/>
        </w:rPr>
      </w:pPr>
      <w:r w:rsidRPr="00BE70E9">
        <w:rPr>
          <w:sz w:val="22"/>
          <w:szCs w:val="22"/>
        </w:rPr>
        <w:t>En los párrafos 32 a 39 del informe presentado por el Estado español ante e</w:t>
      </w:r>
      <w:r w:rsidR="00EE65F0" w:rsidRPr="00BE70E9">
        <w:rPr>
          <w:sz w:val="22"/>
          <w:szCs w:val="22"/>
        </w:rPr>
        <w:t>se</w:t>
      </w:r>
      <w:r w:rsidRPr="00BE70E9">
        <w:rPr>
          <w:sz w:val="22"/>
          <w:szCs w:val="22"/>
        </w:rPr>
        <w:t xml:space="preserve"> Comité </w:t>
      </w:r>
      <w:r w:rsidR="00EE65F0" w:rsidRPr="00BE70E9">
        <w:rPr>
          <w:sz w:val="22"/>
          <w:szCs w:val="22"/>
        </w:rPr>
        <w:t>de Derechos Humanos</w:t>
      </w:r>
      <w:r w:rsidRPr="00BE70E9">
        <w:rPr>
          <w:sz w:val="22"/>
          <w:szCs w:val="22"/>
        </w:rPr>
        <w:t xml:space="preserve">, se afirma que las identificaciones por perfil étnico-racial están prohibidas en su ordenamiento jurídico. Sin embargo, </w:t>
      </w:r>
      <w:r w:rsidRPr="00BE70E9">
        <w:rPr>
          <w:b/>
          <w:sz w:val="22"/>
          <w:szCs w:val="22"/>
        </w:rPr>
        <w:t>esta afirmación carece de fundamento normativo expreso</w:t>
      </w:r>
      <w:r w:rsidRPr="00BE70E9">
        <w:rPr>
          <w:sz w:val="22"/>
          <w:szCs w:val="22"/>
        </w:rPr>
        <w:t>. En ninguna parte del informe se cita una disposición legal que prohíba explícitamente esta práctica, ni se proporciona información concreta sobre protocolos operativos u órganos de control que garanticen su erradicación.</w:t>
      </w:r>
    </w:p>
    <w:p w:rsidR="008B038C" w:rsidRPr="008B038C" w:rsidRDefault="008B038C" w:rsidP="008B038C">
      <w:pPr>
        <w:pStyle w:val="1TextCos"/>
      </w:pPr>
    </w:p>
    <w:p w:rsidR="00925535" w:rsidRDefault="00925535" w:rsidP="008B038C">
      <w:pPr>
        <w:spacing w:line="360" w:lineRule="auto"/>
        <w:jc w:val="both"/>
        <w:rPr>
          <w:sz w:val="22"/>
          <w:szCs w:val="22"/>
        </w:rPr>
      </w:pPr>
      <w:r w:rsidRPr="00BE70E9">
        <w:rPr>
          <w:sz w:val="22"/>
          <w:szCs w:val="22"/>
        </w:rPr>
        <w:t xml:space="preserve">Por el contrario, los únicos marcos normativos mencionables son: la </w:t>
      </w:r>
      <w:r w:rsidRPr="00BE70E9">
        <w:rPr>
          <w:rStyle w:val="Textoennegrita"/>
          <w:b w:val="0"/>
          <w:sz w:val="22"/>
          <w:szCs w:val="22"/>
        </w:rPr>
        <w:t>Ley Orgánica 4/2015</w:t>
      </w:r>
      <w:r w:rsidRPr="00BE70E9">
        <w:rPr>
          <w:sz w:val="22"/>
          <w:szCs w:val="22"/>
        </w:rPr>
        <w:t xml:space="preserve">, de 30 de marzo, de protección de la seguridad ciudadana, y la </w:t>
      </w:r>
      <w:r w:rsidRPr="00BE70E9">
        <w:rPr>
          <w:rStyle w:val="Textoennegrita"/>
          <w:b w:val="0"/>
          <w:sz w:val="22"/>
          <w:szCs w:val="22"/>
        </w:rPr>
        <w:t>Ley 15/2022</w:t>
      </w:r>
      <w:r w:rsidRPr="00BE70E9">
        <w:rPr>
          <w:sz w:val="22"/>
          <w:szCs w:val="22"/>
        </w:rPr>
        <w:t>, de 12 de julio, integral para la igualdad de trato y la no discriminación</w:t>
      </w:r>
      <w:r w:rsidR="008D6D56" w:rsidRPr="00BE70E9">
        <w:rPr>
          <w:sz w:val="22"/>
          <w:szCs w:val="22"/>
        </w:rPr>
        <w:t>, que</w:t>
      </w:r>
      <w:r w:rsidRPr="00BE70E9">
        <w:rPr>
          <w:sz w:val="22"/>
          <w:szCs w:val="22"/>
        </w:rPr>
        <w:t xml:space="preserve"> contienen referencias </w:t>
      </w:r>
      <w:r w:rsidR="008D6D56" w:rsidRPr="00BE70E9">
        <w:rPr>
          <w:sz w:val="22"/>
          <w:szCs w:val="22"/>
        </w:rPr>
        <w:t>ambiguas</w:t>
      </w:r>
      <w:r w:rsidRPr="00BE70E9">
        <w:rPr>
          <w:sz w:val="22"/>
          <w:szCs w:val="22"/>
        </w:rPr>
        <w:t xml:space="preserve">, </w:t>
      </w:r>
      <w:r w:rsidR="008D6D56" w:rsidRPr="00BE70E9">
        <w:rPr>
          <w:sz w:val="22"/>
          <w:szCs w:val="22"/>
        </w:rPr>
        <w:t>al</w:t>
      </w:r>
      <w:r w:rsidRPr="00BE70E9">
        <w:rPr>
          <w:sz w:val="22"/>
          <w:szCs w:val="22"/>
        </w:rPr>
        <w:t xml:space="preserve"> emplea</w:t>
      </w:r>
      <w:r w:rsidR="008D6D56" w:rsidRPr="00BE70E9">
        <w:rPr>
          <w:sz w:val="22"/>
          <w:szCs w:val="22"/>
        </w:rPr>
        <w:t>r</w:t>
      </w:r>
      <w:r w:rsidRPr="00BE70E9">
        <w:rPr>
          <w:sz w:val="22"/>
          <w:szCs w:val="22"/>
        </w:rPr>
        <w:t xml:space="preserve"> expresiones como “evitar” el uso de perfiles discriminatorios (art. 18 de la Ley 15/2022) o “actuar con proporcionalidad” en controles policiales (art. 16 de la LO 4/2015), lo que mantiene intacta la </w:t>
      </w:r>
      <w:r w:rsidRPr="00BE70E9">
        <w:rPr>
          <w:rStyle w:val="Textoennegrita"/>
          <w:sz w:val="22"/>
          <w:szCs w:val="22"/>
        </w:rPr>
        <w:t>discrecionalidad policial</w:t>
      </w:r>
      <w:r w:rsidRPr="00BE70E9">
        <w:rPr>
          <w:sz w:val="22"/>
          <w:szCs w:val="22"/>
        </w:rPr>
        <w:t xml:space="preserve"> y </w:t>
      </w:r>
      <w:r w:rsidRPr="00BE70E9">
        <w:rPr>
          <w:b/>
          <w:sz w:val="22"/>
          <w:szCs w:val="22"/>
        </w:rPr>
        <w:t>no satisface el estándar jurídico de prohibición expresa</w:t>
      </w:r>
      <w:r w:rsidRPr="00BE70E9">
        <w:rPr>
          <w:sz w:val="22"/>
          <w:szCs w:val="22"/>
        </w:rPr>
        <w:t>, como han recomendado diversos órganos internacionales</w:t>
      </w:r>
      <w:r w:rsidR="008D6D56" w:rsidRPr="00BE70E9">
        <w:rPr>
          <w:sz w:val="22"/>
          <w:szCs w:val="22"/>
        </w:rPr>
        <w:t>, incluido este Comité</w:t>
      </w:r>
      <w:r w:rsidRPr="00BE70E9">
        <w:rPr>
          <w:sz w:val="22"/>
          <w:szCs w:val="22"/>
        </w:rPr>
        <w:t>.</w:t>
      </w:r>
    </w:p>
    <w:p w:rsidR="008B038C" w:rsidRPr="008B038C" w:rsidRDefault="008B038C" w:rsidP="008B038C">
      <w:pPr>
        <w:pStyle w:val="1TextCos"/>
      </w:pPr>
    </w:p>
    <w:p w:rsidR="00925535" w:rsidRDefault="00925535" w:rsidP="008B038C">
      <w:pPr>
        <w:spacing w:line="360" w:lineRule="auto"/>
        <w:jc w:val="both"/>
        <w:rPr>
          <w:sz w:val="22"/>
          <w:szCs w:val="22"/>
        </w:rPr>
      </w:pPr>
      <w:r w:rsidRPr="00BE70E9">
        <w:rPr>
          <w:sz w:val="22"/>
          <w:szCs w:val="22"/>
        </w:rPr>
        <w:t>Este vacío normativo ha sido reiteradamente señalado, tanto por organizaciones de la sociedad civil como en el marco del Examen Periódico Universal (EPU). En el tercer ciclo del EPU (2020), el Estado español aceptó cuatro recomendaciones específicas sobre el perfilamiento racial (recomendaciones 150.41, 150.49, 150.50 y 150.51), comprometiéndose a:</w:t>
      </w:r>
    </w:p>
    <w:p w:rsidR="008B038C" w:rsidRPr="008B038C" w:rsidRDefault="008B038C" w:rsidP="008B038C">
      <w:pPr>
        <w:pStyle w:val="1TextCos"/>
      </w:pPr>
    </w:p>
    <w:p w:rsidR="00925535" w:rsidRPr="00BE70E9" w:rsidRDefault="00925535" w:rsidP="008B038C">
      <w:pPr>
        <w:numPr>
          <w:ilvl w:val="0"/>
          <w:numId w:val="19"/>
        </w:numPr>
        <w:spacing w:line="360" w:lineRule="auto"/>
        <w:ind w:left="714" w:hanging="357"/>
        <w:jc w:val="both"/>
        <w:rPr>
          <w:sz w:val="22"/>
          <w:szCs w:val="22"/>
        </w:rPr>
      </w:pPr>
      <w:r w:rsidRPr="00BE70E9">
        <w:rPr>
          <w:sz w:val="22"/>
          <w:szCs w:val="22"/>
        </w:rPr>
        <w:t>Adoptar medidas eficaces para poner fin a los controles de identidad basados en perfiles étnicos y raciales.</w:t>
      </w:r>
    </w:p>
    <w:p w:rsidR="00925535" w:rsidRPr="00BE70E9" w:rsidRDefault="00925535" w:rsidP="008B038C">
      <w:pPr>
        <w:numPr>
          <w:ilvl w:val="0"/>
          <w:numId w:val="19"/>
        </w:numPr>
        <w:spacing w:line="360" w:lineRule="auto"/>
        <w:ind w:left="714" w:hanging="357"/>
        <w:jc w:val="both"/>
        <w:rPr>
          <w:sz w:val="22"/>
          <w:szCs w:val="22"/>
        </w:rPr>
      </w:pPr>
      <w:r w:rsidRPr="00BE70E9">
        <w:rPr>
          <w:sz w:val="22"/>
          <w:szCs w:val="22"/>
        </w:rPr>
        <w:t>Incorporar en su legislación una prohibición expresa sobre el uso de perfiles raciales por parte de las fuerzas de seguridad.</w:t>
      </w:r>
    </w:p>
    <w:p w:rsidR="00925535" w:rsidRDefault="00925535" w:rsidP="008B038C">
      <w:pPr>
        <w:numPr>
          <w:ilvl w:val="0"/>
          <w:numId w:val="19"/>
        </w:numPr>
        <w:spacing w:line="360" w:lineRule="auto"/>
        <w:ind w:left="714" w:hanging="357"/>
        <w:jc w:val="both"/>
        <w:rPr>
          <w:sz w:val="22"/>
          <w:szCs w:val="22"/>
        </w:rPr>
      </w:pPr>
      <w:r w:rsidRPr="00BE70E9">
        <w:rPr>
          <w:sz w:val="22"/>
          <w:szCs w:val="22"/>
        </w:rPr>
        <w:lastRenderedPageBreak/>
        <w:t>Considerar la aprobación de una ley específica contra la discriminación racial.</w:t>
      </w:r>
    </w:p>
    <w:p w:rsidR="008B038C" w:rsidRPr="008B038C" w:rsidRDefault="008B038C" w:rsidP="008B038C">
      <w:pPr>
        <w:pStyle w:val="1TextCos"/>
      </w:pPr>
    </w:p>
    <w:p w:rsidR="00925535" w:rsidRDefault="00925535" w:rsidP="008B038C">
      <w:pPr>
        <w:spacing w:line="360" w:lineRule="auto"/>
        <w:jc w:val="both"/>
        <w:rPr>
          <w:sz w:val="22"/>
          <w:szCs w:val="22"/>
        </w:rPr>
      </w:pPr>
      <w:r w:rsidRPr="00BE70E9">
        <w:rPr>
          <w:sz w:val="22"/>
          <w:szCs w:val="22"/>
        </w:rPr>
        <w:t>No obstante, en el informe que presentamos como Institut de Drets Humans de Catalunya en el marco del EPU 2025, señalamos que estas recomendaciones solo pueden considerarse “parcialmente cumplidas”, ya que el Estado no ha adoptado ninguna medida legislativa a nivel estatal que prohíba de forma expresa los controles de identidad basados en perfil étnico-racial.</w:t>
      </w:r>
    </w:p>
    <w:p w:rsidR="008B038C" w:rsidRPr="008B038C" w:rsidRDefault="008B038C" w:rsidP="008B038C">
      <w:pPr>
        <w:pStyle w:val="1TextCos"/>
      </w:pPr>
    </w:p>
    <w:p w:rsidR="00B230E7" w:rsidRPr="00BE70E9" w:rsidRDefault="00B230E7" w:rsidP="008B038C">
      <w:pPr>
        <w:pStyle w:val="1TextCos"/>
        <w:spacing w:line="360" w:lineRule="auto"/>
        <w:rPr>
          <w:sz w:val="22"/>
          <w:szCs w:val="22"/>
        </w:rPr>
      </w:pPr>
      <w:r w:rsidRPr="00BE70E9">
        <w:rPr>
          <w:sz w:val="22"/>
          <w:szCs w:val="22"/>
        </w:rPr>
        <w:t>Todo lo cual ha sido confirmado en el EPU 2025, ya que al menos 12 Estados le hicieron nuevamente recomendaciones en este ámbito, en el sentido siguiente:</w:t>
      </w:r>
    </w:p>
    <w:p w:rsidR="00B230E7" w:rsidRPr="00BE70E9" w:rsidRDefault="00B230E7" w:rsidP="008B038C">
      <w:pPr>
        <w:pStyle w:val="1TextCos"/>
        <w:spacing w:line="360" w:lineRule="auto"/>
        <w:rPr>
          <w:sz w:val="22"/>
          <w:szCs w:val="22"/>
        </w:rPr>
      </w:pPr>
    </w:p>
    <w:p w:rsidR="00B230E7" w:rsidRPr="00BE70E9" w:rsidRDefault="00B230E7" w:rsidP="008B038C">
      <w:pPr>
        <w:pStyle w:val="1TextCos"/>
        <w:spacing w:before="120" w:after="120" w:line="240" w:lineRule="auto"/>
        <w:ind w:left="851" w:right="561"/>
        <w:rPr>
          <w:sz w:val="22"/>
          <w:szCs w:val="22"/>
        </w:rPr>
      </w:pPr>
      <w:r w:rsidRPr="00BE70E9">
        <w:rPr>
          <w:sz w:val="22"/>
          <w:szCs w:val="22"/>
        </w:rPr>
        <w:t xml:space="preserve">50.27 Proseguir los esfuerzos para </w:t>
      </w:r>
      <w:r w:rsidRPr="00BE70E9">
        <w:rPr>
          <w:b/>
          <w:sz w:val="22"/>
          <w:szCs w:val="22"/>
        </w:rPr>
        <w:t>combatir eficazmente</w:t>
      </w:r>
      <w:r w:rsidRPr="00BE70E9">
        <w:rPr>
          <w:sz w:val="22"/>
          <w:szCs w:val="22"/>
        </w:rPr>
        <w:t xml:space="preserve"> la elaboración de perfiles raciales o étnicos por parte de la policía y adoptar disposiciones legales que prohíban los controles de identidad basados ​​en dichos criterios (Yibuti);</w:t>
      </w:r>
    </w:p>
    <w:p w:rsidR="00B230E7" w:rsidRPr="00BE70E9" w:rsidRDefault="00B230E7" w:rsidP="008B038C">
      <w:pPr>
        <w:pStyle w:val="1TextCos"/>
        <w:spacing w:before="120" w:after="120" w:line="240" w:lineRule="auto"/>
        <w:ind w:left="851" w:right="561"/>
        <w:rPr>
          <w:sz w:val="22"/>
          <w:szCs w:val="22"/>
        </w:rPr>
      </w:pPr>
      <w:r w:rsidRPr="00BE70E9">
        <w:rPr>
          <w:sz w:val="22"/>
          <w:szCs w:val="22"/>
        </w:rPr>
        <w:t xml:space="preserve">50.28 </w:t>
      </w:r>
      <w:r w:rsidRPr="00BE70E9">
        <w:rPr>
          <w:b/>
          <w:sz w:val="22"/>
          <w:szCs w:val="22"/>
        </w:rPr>
        <w:t>Garantizar</w:t>
      </w:r>
      <w:r w:rsidRPr="00BE70E9">
        <w:rPr>
          <w:sz w:val="22"/>
          <w:szCs w:val="22"/>
        </w:rPr>
        <w:t xml:space="preserve"> que las autoridades encargadas de hacer cumplir la ley </w:t>
      </w:r>
      <w:r w:rsidRPr="00BE70E9">
        <w:rPr>
          <w:b/>
          <w:sz w:val="22"/>
          <w:szCs w:val="22"/>
        </w:rPr>
        <w:t>no utilicen prácticas</w:t>
      </w:r>
      <w:r w:rsidRPr="00BE70E9">
        <w:rPr>
          <w:sz w:val="22"/>
          <w:szCs w:val="22"/>
        </w:rPr>
        <w:t xml:space="preserve"> de elaboración de perfiles raciales y adoptar medidas concretas para poner fin a dichas prácticas (Egipto);</w:t>
      </w:r>
    </w:p>
    <w:p w:rsidR="00B230E7" w:rsidRPr="00BE70E9" w:rsidRDefault="00B230E7" w:rsidP="008B038C">
      <w:pPr>
        <w:pStyle w:val="1TextCos"/>
        <w:spacing w:before="120" w:after="120" w:line="240" w:lineRule="auto"/>
        <w:ind w:left="851" w:right="561"/>
        <w:rPr>
          <w:sz w:val="22"/>
          <w:szCs w:val="22"/>
        </w:rPr>
      </w:pPr>
      <w:r w:rsidRPr="00BE70E9">
        <w:rPr>
          <w:sz w:val="22"/>
          <w:szCs w:val="22"/>
        </w:rPr>
        <w:t xml:space="preserve">50.29 Mantener los esfuerzos para combatir eficazmente el racismo, la xenofobia y la discriminación </w:t>
      </w:r>
      <w:r w:rsidRPr="00BE70E9">
        <w:rPr>
          <w:b/>
          <w:sz w:val="22"/>
          <w:szCs w:val="22"/>
        </w:rPr>
        <w:t>y prohibir el uso</w:t>
      </w:r>
      <w:r w:rsidRPr="00BE70E9">
        <w:rPr>
          <w:sz w:val="22"/>
          <w:szCs w:val="22"/>
        </w:rPr>
        <w:t xml:space="preserve"> de perfiles raciales y étnicos por parte de las fuerzas del orden (Rumania);</w:t>
      </w:r>
    </w:p>
    <w:p w:rsidR="00B230E7" w:rsidRPr="00BE70E9" w:rsidRDefault="00B230E7" w:rsidP="008B038C">
      <w:pPr>
        <w:pStyle w:val="1TextCos"/>
        <w:spacing w:before="120" w:after="120" w:line="240" w:lineRule="auto"/>
        <w:ind w:left="851" w:right="561"/>
        <w:rPr>
          <w:sz w:val="22"/>
          <w:szCs w:val="22"/>
        </w:rPr>
      </w:pPr>
      <w:r w:rsidRPr="00BE70E9">
        <w:rPr>
          <w:sz w:val="22"/>
          <w:szCs w:val="22"/>
        </w:rPr>
        <w:t xml:space="preserve">50.30 Considerar la posibilidad de </w:t>
      </w:r>
      <w:r w:rsidRPr="00BE70E9">
        <w:rPr>
          <w:b/>
          <w:sz w:val="22"/>
          <w:szCs w:val="22"/>
        </w:rPr>
        <w:t>adoptar medidas eficaces</w:t>
      </w:r>
      <w:r w:rsidRPr="00BE70E9">
        <w:rPr>
          <w:sz w:val="22"/>
          <w:szCs w:val="22"/>
        </w:rPr>
        <w:t xml:space="preserve"> para combatir la práctica de la elaboración de perfiles raciales (Namibia);</w:t>
      </w:r>
    </w:p>
    <w:p w:rsidR="00B230E7" w:rsidRDefault="00B230E7" w:rsidP="008B038C">
      <w:pPr>
        <w:pStyle w:val="1TextCos"/>
        <w:spacing w:before="120" w:after="120" w:line="240" w:lineRule="auto"/>
        <w:ind w:left="851" w:right="561"/>
        <w:rPr>
          <w:sz w:val="22"/>
          <w:szCs w:val="22"/>
        </w:rPr>
      </w:pPr>
      <w:r w:rsidRPr="00BE70E9">
        <w:rPr>
          <w:sz w:val="22"/>
          <w:szCs w:val="22"/>
        </w:rPr>
        <w:t xml:space="preserve">50.31 Combatir la discriminación y el discurso de odio, tanto en la esfera política como en la pública, incluyendo </w:t>
      </w:r>
      <w:r w:rsidRPr="00BE70E9">
        <w:rPr>
          <w:b/>
          <w:sz w:val="22"/>
          <w:szCs w:val="22"/>
        </w:rPr>
        <w:t>estrategias para erradicar</w:t>
      </w:r>
      <w:r w:rsidRPr="00BE70E9">
        <w:rPr>
          <w:sz w:val="22"/>
          <w:szCs w:val="22"/>
        </w:rPr>
        <w:t xml:space="preserve"> la elaboración de perfiles raciales por parte de las fue</w:t>
      </w:r>
      <w:r w:rsidR="008B038C">
        <w:rPr>
          <w:sz w:val="22"/>
          <w:szCs w:val="22"/>
        </w:rPr>
        <w:t>rzas de seguridad (México).</w:t>
      </w:r>
    </w:p>
    <w:p w:rsidR="008B038C" w:rsidRPr="00BE70E9" w:rsidRDefault="008B038C" w:rsidP="008B038C">
      <w:pPr>
        <w:pStyle w:val="1TextCos"/>
        <w:spacing w:before="120" w:after="120" w:line="240" w:lineRule="auto"/>
        <w:ind w:left="851" w:right="561"/>
        <w:rPr>
          <w:sz w:val="22"/>
          <w:szCs w:val="22"/>
        </w:rPr>
      </w:pPr>
    </w:p>
    <w:p w:rsidR="00B230E7" w:rsidRDefault="008F1FD8" w:rsidP="008B038C">
      <w:pPr>
        <w:spacing w:line="360" w:lineRule="auto"/>
        <w:jc w:val="both"/>
        <w:rPr>
          <w:sz w:val="22"/>
          <w:szCs w:val="22"/>
        </w:rPr>
      </w:pPr>
      <w:r w:rsidRPr="00BE70E9">
        <w:rPr>
          <w:sz w:val="22"/>
          <w:szCs w:val="22"/>
        </w:rPr>
        <w:t>Recomendaciones que confirman</w:t>
      </w:r>
      <w:r w:rsidR="00BE70E9" w:rsidRPr="00BE70E9">
        <w:rPr>
          <w:sz w:val="22"/>
          <w:szCs w:val="22"/>
        </w:rPr>
        <w:t>, por una parte,</w:t>
      </w:r>
      <w:r w:rsidRPr="00BE70E9">
        <w:rPr>
          <w:sz w:val="22"/>
          <w:szCs w:val="22"/>
        </w:rPr>
        <w:t xml:space="preserve"> la falta de prohibición expresa en normas con impacto en todo el país</w:t>
      </w:r>
      <w:r w:rsidR="00BE70E9" w:rsidRPr="00BE70E9">
        <w:rPr>
          <w:sz w:val="22"/>
          <w:szCs w:val="22"/>
        </w:rPr>
        <w:t xml:space="preserve"> y la ineficacia de las medidas </w:t>
      </w:r>
      <w:r w:rsidR="00BE70E9" w:rsidRPr="00BE70E9">
        <w:rPr>
          <w:sz w:val="22"/>
          <w:szCs w:val="22"/>
        </w:rPr>
        <w:lastRenderedPageBreak/>
        <w:t xml:space="preserve">que ahora existen y, por otra parte, que </w:t>
      </w:r>
      <w:r w:rsidR="00BE70E9" w:rsidRPr="00BE70E9">
        <w:rPr>
          <w:b/>
          <w:sz w:val="22"/>
          <w:szCs w:val="22"/>
        </w:rPr>
        <w:t>el Estado proporciona información inexacta en este ámbito a ese Comité</w:t>
      </w:r>
      <w:r w:rsidR="00BE70E9" w:rsidRPr="00BE70E9">
        <w:rPr>
          <w:sz w:val="22"/>
          <w:szCs w:val="22"/>
        </w:rPr>
        <w:t>.</w:t>
      </w:r>
    </w:p>
    <w:p w:rsidR="008B038C" w:rsidRPr="008B038C" w:rsidRDefault="008B038C" w:rsidP="008B038C">
      <w:pPr>
        <w:pStyle w:val="1TextCos"/>
      </w:pPr>
    </w:p>
    <w:p w:rsidR="00925535" w:rsidRDefault="00925535" w:rsidP="008B038C">
      <w:pPr>
        <w:spacing w:line="360" w:lineRule="auto"/>
        <w:jc w:val="both"/>
        <w:rPr>
          <w:sz w:val="22"/>
          <w:szCs w:val="22"/>
        </w:rPr>
      </w:pPr>
      <w:r w:rsidRPr="00BE70E9">
        <w:rPr>
          <w:sz w:val="22"/>
          <w:szCs w:val="22"/>
        </w:rPr>
        <w:t>Más allá de la afectación individual que suponen estas identificaciones, su práctica sistemática genera un efecto estructural sobre el acceso a derechos y a la ciudadanía en igualdad de condiciones. La reiteración de controles en función del fenotipo o el origen percibido afecta de forma desproporcionada a personas migrantes, afrodescendientes y pertenecientes a minorías étnicas, debilitando su confianza en las instituciones y desincentivando la interacción con los servicios públicos, como el acceso a la salud, la educación o la justicia. De este modo, se perpetúa un ciclo de exclusión institucional que tiene implicaciones directas sobre el principio de no discriminación y sobre la obligación del Estado de garantizar que ninguna persona sea objeto de tratos diferenciados injustificados por parte de autoridades públicas.</w:t>
      </w:r>
    </w:p>
    <w:p w:rsidR="00C857C2" w:rsidRPr="00C857C2" w:rsidRDefault="00C857C2" w:rsidP="00C857C2">
      <w:pPr>
        <w:pStyle w:val="1TextCos"/>
      </w:pPr>
    </w:p>
    <w:p w:rsidR="00EA517A" w:rsidRPr="00EA517A" w:rsidRDefault="00EA517A" w:rsidP="00EA517A">
      <w:pPr>
        <w:pStyle w:val="1TextCos"/>
      </w:pPr>
    </w:p>
    <w:p w:rsidR="00925535" w:rsidRDefault="00925535" w:rsidP="00C7234C">
      <w:pPr>
        <w:pStyle w:val="Ttulo3"/>
        <w:numPr>
          <w:ilvl w:val="0"/>
          <w:numId w:val="35"/>
        </w:numPr>
        <w:jc w:val="both"/>
        <w:rPr>
          <w:rFonts w:ascii="Inter" w:hAnsi="Inter"/>
          <w:sz w:val="24"/>
        </w:rPr>
      </w:pPr>
      <w:bookmarkStart w:id="4" w:name="_Toc199156291"/>
      <w:r w:rsidRPr="00EA517A">
        <w:rPr>
          <w:rFonts w:ascii="Inter" w:hAnsi="Inter"/>
          <w:sz w:val="24"/>
        </w:rPr>
        <w:t>Cataluña: el único ejemplo… insuficiente</w:t>
      </w:r>
      <w:bookmarkEnd w:id="4"/>
    </w:p>
    <w:p w:rsidR="00C857C2" w:rsidRPr="00C857C2" w:rsidRDefault="00C857C2" w:rsidP="00C857C2"/>
    <w:p w:rsidR="00925535" w:rsidRPr="00EA517A" w:rsidRDefault="00B4593A" w:rsidP="008B038C">
      <w:pPr>
        <w:spacing w:line="360" w:lineRule="auto"/>
        <w:jc w:val="both"/>
        <w:rPr>
          <w:sz w:val="22"/>
          <w:szCs w:val="22"/>
        </w:rPr>
      </w:pPr>
      <w:r>
        <w:rPr>
          <w:sz w:val="22"/>
          <w:szCs w:val="22"/>
        </w:rPr>
        <w:t xml:space="preserve">El Estado español </w:t>
      </w:r>
      <w:r w:rsidRPr="00B4593A">
        <w:rPr>
          <w:b/>
          <w:sz w:val="22"/>
          <w:szCs w:val="22"/>
        </w:rPr>
        <w:t>no lo menciona en su informe</w:t>
      </w:r>
      <w:r>
        <w:rPr>
          <w:sz w:val="22"/>
          <w:szCs w:val="22"/>
        </w:rPr>
        <w:t>, pero actualmente e</w:t>
      </w:r>
      <w:r w:rsidR="00925535" w:rsidRPr="00EA517A">
        <w:rPr>
          <w:sz w:val="22"/>
          <w:szCs w:val="22"/>
        </w:rPr>
        <w:t xml:space="preserve">l </w:t>
      </w:r>
      <w:r w:rsidR="00925535" w:rsidRPr="00EA517A">
        <w:rPr>
          <w:b/>
          <w:sz w:val="22"/>
          <w:szCs w:val="22"/>
        </w:rPr>
        <w:t>único avance</w:t>
      </w:r>
      <w:r w:rsidR="00925535" w:rsidRPr="00EA517A">
        <w:rPr>
          <w:sz w:val="22"/>
          <w:szCs w:val="22"/>
        </w:rPr>
        <w:t xml:space="preserve"> legal concreto se encuentra en el </w:t>
      </w:r>
      <w:r w:rsidR="00925535" w:rsidRPr="00EA517A">
        <w:rPr>
          <w:rStyle w:val="Textoennegrita"/>
          <w:b w:val="0"/>
          <w:sz w:val="22"/>
          <w:szCs w:val="22"/>
        </w:rPr>
        <w:t>artículo 21.4 a) de la Ley 19/2020, de 30 de diciembre, de igualdad de trato y no discriminación de Catalunya</w:t>
      </w:r>
      <w:r w:rsidR="00925535" w:rsidRPr="00EA517A">
        <w:rPr>
          <w:sz w:val="22"/>
          <w:szCs w:val="22"/>
        </w:rPr>
        <w:t xml:space="preserve">, </w:t>
      </w:r>
      <w:r w:rsidR="00925535" w:rsidRPr="00EA517A">
        <w:rPr>
          <w:b/>
          <w:sz w:val="22"/>
          <w:szCs w:val="22"/>
        </w:rPr>
        <w:t>que prohíbe expresamente el uso de criterios raciales</w:t>
      </w:r>
      <w:r w:rsidR="00925535" w:rsidRPr="00EA517A">
        <w:rPr>
          <w:sz w:val="22"/>
          <w:szCs w:val="22"/>
        </w:rPr>
        <w:t xml:space="preserve"> (color de piel, facciones, pertenencia étnica, etc.) en actuaciones policiales como controles de identidad, detenciones, registros e interrogatorios.</w:t>
      </w:r>
    </w:p>
    <w:p w:rsidR="00925535" w:rsidRDefault="00925535" w:rsidP="008B038C">
      <w:pPr>
        <w:spacing w:line="360" w:lineRule="auto"/>
        <w:jc w:val="both"/>
        <w:rPr>
          <w:sz w:val="22"/>
          <w:szCs w:val="22"/>
        </w:rPr>
      </w:pPr>
      <w:r w:rsidRPr="00EA517A">
        <w:rPr>
          <w:sz w:val="22"/>
          <w:szCs w:val="22"/>
        </w:rPr>
        <w:t>Sin embargo, esta norma:</w:t>
      </w:r>
    </w:p>
    <w:p w:rsidR="008B038C" w:rsidRPr="008B038C" w:rsidRDefault="008B038C" w:rsidP="008B038C">
      <w:pPr>
        <w:pStyle w:val="1TextCos"/>
      </w:pPr>
    </w:p>
    <w:p w:rsidR="00925535" w:rsidRPr="00EA517A" w:rsidRDefault="00925535" w:rsidP="008B038C">
      <w:pPr>
        <w:numPr>
          <w:ilvl w:val="0"/>
          <w:numId w:val="20"/>
        </w:numPr>
        <w:spacing w:before="120" w:after="120" w:line="360" w:lineRule="auto"/>
        <w:ind w:left="714" w:hanging="357"/>
        <w:jc w:val="both"/>
        <w:rPr>
          <w:sz w:val="22"/>
          <w:szCs w:val="22"/>
        </w:rPr>
      </w:pPr>
      <w:r w:rsidRPr="00EA517A">
        <w:rPr>
          <w:rStyle w:val="Textoennegrita"/>
          <w:sz w:val="22"/>
          <w:szCs w:val="22"/>
        </w:rPr>
        <w:t>No tiene aplicación nacional</w:t>
      </w:r>
      <w:r w:rsidRPr="00EA517A">
        <w:rPr>
          <w:sz w:val="22"/>
          <w:szCs w:val="22"/>
        </w:rPr>
        <w:t>: se limita al ámbito territorial de Catalunya.</w:t>
      </w:r>
    </w:p>
    <w:p w:rsidR="00925535" w:rsidRPr="00EA517A" w:rsidRDefault="00925535" w:rsidP="008B038C">
      <w:pPr>
        <w:numPr>
          <w:ilvl w:val="0"/>
          <w:numId w:val="20"/>
        </w:numPr>
        <w:spacing w:before="120" w:after="120" w:line="360" w:lineRule="auto"/>
        <w:ind w:left="714" w:hanging="357"/>
        <w:jc w:val="both"/>
        <w:rPr>
          <w:sz w:val="22"/>
          <w:szCs w:val="22"/>
        </w:rPr>
      </w:pPr>
      <w:r w:rsidRPr="00EA517A">
        <w:rPr>
          <w:rStyle w:val="Textoennegrita"/>
          <w:sz w:val="22"/>
          <w:szCs w:val="22"/>
        </w:rPr>
        <w:t>No se implementa adecuadamente</w:t>
      </w:r>
      <w:r w:rsidRPr="00EA517A">
        <w:rPr>
          <w:sz w:val="22"/>
          <w:szCs w:val="22"/>
        </w:rPr>
        <w:t>: tras casi cuatro años de vigencia,</w:t>
      </w:r>
      <w:r w:rsidRPr="00EA517A">
        <w:rPr>
          <w:b/>
          <w:sz w:val="22"/>
          <w:szCs w:val="22"/>
        </w:rPr>
        <w:t xml:space="preserve"> </w:t>
      </w:r>
      <w:r w:rsidRPr="00EA517A">
        <w:rPr>
          <w:rStyle w:val="Textoennegrita"/>
          <w:b w:val="0"/>
          <w:sz w:val="22"/>
          <w:szCs w:val="22"/>
        </w:rPr>
        <w:t>no se han desarrollado mecanismos institucionales para hacerla efectiva</w:t>
      </w:r>
      <w:r w:rsidR="00EA517A" w:rsidRPr="00EA517A">
        <w:rPr>
          <w:rStyle w:val="Textoennegrita"/>
          <w:b w:val="0"/>
          <w:sz w:val="22"/>
          <w:szCs w:val="22"/>
        </w:rPr>
        <w:t>, ni aplicado sanciones por su incumplimiento</w:t>
      </w:r>
      <w:r w:rsidRPr="00EA517A">
        <w:rPr>
          <w:b/>
          <w:sz w:val="22"/>
          <w:szCs w:val="22"/>
        </w:rPr>
        <w:t>.</w:t>
      </w:r>
    </w:p>
    <w:p w:rsidR="00925535" w:rsidRDefault="00925535" w:rsidP="008B038C">
      <w:pPr>
        <w:numPr>
          <w:ilvl w:val="0"/>
          <w:numId w:val="20"/>
        </w:numPr>
        <w:spacing w:before="120" w:after="120" w:line="360" w:lineRule="auto"/>
        <w:ind w:left="714" w:hanging="357"/>
        <w:jc w:val="both"/>
        <w:rPr>
          <w:b/>
          <w:sz w:val="22"/>
          <w:szCs w:val="22"/>
        </w:rPr>
      </w:pPr>
      <w:r w:rsidRPr="00EA517A">
        <w:rPr>
          <w:rStyle w:val="Textoennegrita"/>
          <w:sz w:val="22"/>
          <w:szCs w:val="22"/>
        </w:rPr>
        <w:lastRenderedPageBreak/>
        <w:t>Ha sido debilitada por la propia administración catalana</w:t>
      </w:r>
      <w:r w:rsidRPr="00EA517A">
        <w:rPr>
          <w:sz w:val="22"/>
          <w:szCs w:val="22"/>
        </w:rPr>
        <w:t xml:space="preserve">: en el Plan contra el Racismo aprobado en octubre de 2023, el Govern evitó reafirmar el carácter obligatorio de esta norma, limitándose a medidas ambiguas como “mejorar las herramientas para prevenir sesgos discriminatorios”, lo cual </w:t>
      </w:r>
      <w:r w:rsidRPr="00EA517A">
        <w:rPr>
          <w:rStyle w:val="Textoennegrita"/>
          <w:b w:val="0"/>
          <w:sz w:val="22"/>
          <w:szCs w:val="22"/>
        </w:rPr>
        <w:t>desnaturaliza su fuerza jurídica vinculante</w:t>
      </w:r>
      <w:r w:rsidRPr="00EA517A">
        <w:rPr>
          <w:b/>
          <w:sz w:val="22"/>
          <w:szCs w:val="22"/>
        </w:rPr>
        <w:t>.</w:t>
      </w:r>
    </w:p>
    <w:p w:rsidR="002974D2" w:rsidRDefault="002974D2" w:rsidP="008B038C">
      <w:pPr>
        <w:pStyle w:val="1TextCos"/>
        <w:spacing w:line="360" w:lineRule="auto"/>
      </w:pPr>
    </w:p>
    <w:p w:rsidR="002974D2" w:rsidRDefault="002974D2" w:rsidP="008B038C">
      <w:pPr>
        <w:pStyle w:val="1TextCos"/>
        <w:spacing w:line="360" w:lineRule="auto"/>
        <w:rPr>
          <w:sz w:val="22"/>
          <w:szCs w:val="22"/>
        </w:rPr>
      </w:pPr>
      <w:r>
        <w:rPr>
          <w:sz w:val="22"/>
          <w:szCs w:val="22"/>
        </w:rPr>
        <w:t xml:space="preserve">Lo anterior, </w:t>
      </w:r>
      <w:r w:rsidRPr="002974D2">
        <w:rPr>
          <w:b/>
          <w:sz w:val="22"/>
          <w:szCs w:val="22"/>
        </w:rPr>
        <w:t>no es el único incumplimiento</w:t>
      </w:r>
      <w:r w:rsidRPr="002974D2">
        <w:rPr>
          <w:sz w:val="22"/>
          <w:szCs w:val="22"/>
        </w:rPr>
        <w:t xml:space="preserve"> en este ámbito del Gobierno de Catalunya, ya que el artículo 30.5 de la referida Ley 19/2020, obliga a las administraciones públicas a </w:t>
      </w:r>
      <w:r w:rsidRPr="002974D2">
        <w:rPr>
          <w:b/>
          <w:sz w:val="22"/>
          <w:szCs w:val="22"/>
        </w:rPr>
        <w:t>recopilar datos</w:t>
      </w:r>
      <w:r w:rsidRPr="002974D2">
        <w:rPr>
          <w:sz w:val="22"/>
          <w:szCs w:val="22"/>
        </w:rPr>
        <w:t xml:space="preserve"> que permitan identificar los patrones de discriminación de todos los cuerpos de seguridad que operan en Cataluña, y en particular el uso de perfiles raciales en las tareas de investigación y vigilancia policiales. Sin embargo, a más de 4 años de vigencia de dicha Ley, no se han llevado acciones tendiendientes al cumplimiento de este mandato legal. Por lo que, no es efectiv</w:t>
      </w:r>
      <w:r w:rsidR="0023494B">
        <w:rPr>
          <w:sz w:val="22"/>
          <w:szCs w:val="22"/>
        </w:rPr>
        <w:t>o</w:t>
      </w:r>
      <w:r w:rsidRPr="002974D2">
        <w:rPr>
          <w:sz w:val="22"/>
          <w:szCs w:val="22"/>
        </w:rPr>
        <w:t xml:space="preserve"> ni real en la práctica el trabajo para com</w:t>
      </w:r>
      <w:r w:rsidR="0023494B">
        <w:rPr>
          <w:sz w:val="22"/>
          <w:szCs w:val="22"/>
        </w:rPr>
        <w:t>batir</w:t>
      </w:r>
      <w:r w:rsidRPr="002974D2">
        <w:rPr>
          <w:sz w:val="22"/>
          <w:szCs w:val="22"/>
        </w:rPr>
        <w:t xml:space="preserve"> el uso de la perfilación racial</w:t>
      </w:r>
      <w:r w:rsidR="0023494B">
        <w:rPr>
          <w:sz w:val="22"/>
          <w:szCs w:val="22"/>
        </w:rPr>
        <w:t xml:space="preserve"> dentro del Estado español</w:t>
      </w:r>
      <w:r w:rsidRPr="002974D2">
        <w:rPr>
          <w:sz w:val="22"/>
          <w:szCs w:val="22"/>
        </w:rPr>
        <w:t>.</w:t>
      </w:r>
    </w:p>
    <w:p w:rsidR="00C857C2" w:rsidRPr="002974D2" w:rsidRDefault="00C857C2" w:rsidP="008B038C">
      <w:pPr>
        <w:pStyle w:val="1TextCos"/>
        <w:spacing w:line="360" w:lineRule="auto"/>
        <w:rPr>
          <w:sz w:val="22"/>
          <w:szCs w:val="22"/>
        </w:rPr>
      </w:pPr>
    </w:p>
    <w:p w:rsidR="00EA517A" w:rsidRPr="00EA517A" w:rsidRDefault="00EA517A" w:rsidP="00EA517A">
      <w:pPr>
        <w:pStyle w:val="1TextCos"/>
      </w:pPr>
    </w:p>
    <w:p w:rsidR="00925535" w:rsidRDefault="00925535" w:rsidP="00C7234C">
      <w:pPr>
        <w:pStyle w:val="Ttulo3"/>
        <w:numPr>
          <w:ilvl w:val="0"/>
          <w:numId w:val="35"/>
        </w:numPr>
        <w:jc w:val="both"/>
        <w:rPr>
          <w:rFonts w:ascii="Inter" w:hAnsi="Inter"/>
          <w:sz w:val="24"/>
        </w:rPr>
      </w:pPr>
      <w:bookmarkStart w:id="5" w:name="_Toc199156292"/>
      <w:r w:rsidRPr="00EA517A">
        <w:rPr>
          <w:rFonts w:ascii="Inter" w:hAnsi="Inter"/>
          <w:sz w:val="24"/>
        </w:rPr>
        <w:t>Discrecionalidad, ausencia de control y falta de datos</w:t>
      </w:r>
      <w:bookmarkEnd w:id="5"/>
    </w:p>
    <w:p w:rsidR="00C857C2" w:rsidRPr="00C857C2" w:rsidRDefault="00C857C2" w:rsidP="00C857C2"/>
    <w:p w:rsidR="00C857C2" w:rsidRDefault="00016160" w:rsidP="008B038C">
      <w:pPr>
        <w:spacing w:line="360" w:lineRule="auto"/>
        <w:jc w:val="both"/>
        <w:rPr>
          <w:sz w:val="22"/>
          <w:szCs w:val="22"/>
        </w:rPr>
      </w:pPr>
      <w:r w:rsidRPr="00016160">
        <w:rPr>
          <w:rStyle w:val="Textoennegrita"/>
          <w:sz w:val="22"/>
          <w:szCs w:val="22"/>
        </w:rPr>
        <w:t>L</w:t>
      </w:r>
      <w:r w:rsidR="00925535" w:rsidRPr="00016160">
        <w:rPr>
          <w:rStyle w:val="Textoennegrita"/>
          <w:sz w:val="22"/>
          <w:szCs w:val="22"/>
        </w:rPr>
        <w:t>as identificaciones basadas en perfil étnico persisten gracias a un marco normativo ambiguo</w:t>
      </w:r>
      <w:r w:rsidR="00925535" w:rsidRPr="00016160">
        <w:rPr>
          <w:sz w:val="22"/>
          <w:szCs w:val="22"/>
        </w:rPr>
        <w:t xml:space="preserve">, que permite a los cuerpos de seguridad justificar controles bajo la noción de “indicios” sin requerir una base objetiva verificable. </w:t>
      </w:r>
    </w:p>
    <w:p w:rsidR="00C857C2" w:rsidRDefault="00C857C2" w:rsidP="008B038C">
      <w:pPr>
        <w:spacing w:line="360" w:lineRule="auto"/>
        <w:jc w:val="both"/>
        <w:rPr>
          <w:sz w:val="22"/>
          <w:szCs w:val="22"/>
        </w:rPr>
      </w:pPr>
    </w:p>
    <w:p w:rsidR="00925535" w:rsidRPr="00016160" w:rsidRDefault="00925535" w:rsidP="008B038C">
      <w:pPr>
        <w:spacing w:line="360" w:lineRule="auto"/>
        <w:jc w:val="both"/>
        <w:rPr>
          <w:sz w:val="22"/>
          <w:szCs w:val="22"/>
        </w:rPr>
      </w:pPr>
      <w:r w:rsidRPr="00016160">
        <w:rPr>
          <w:sz w:val="22"/>
          <w:szCs w:val="22"/>
        </w:rPr>
        <w:t>Esta ambigüedad normativa:</w:t>
      </w:r>
    </w:p>
    <w:p w:rsidR="00951870" w:rsidRDefault="00951870" w:rsidP="008B038C">
      <w:pPr>
        <w:numPr>
          <w:ilvl w:val="0"/>
          <w:numId w:val="21"/>
        </w:numPr>
        <w:spacing w:line="360" w:lineRule="auto"/>
        <w:ind w:left="714" w:hanging="357"/>
        <w:jc w:val="both"/>
        <w:rPr>
          <w:sz w:val="22"/>
          <w:szCs w:val="22"/>
        </w:rPr>
      </w:pPr>
      <w:r>
        <w:rPr>
          <w:sz w:val="22"/>
          <w:szCs w:val="22"/>
        </w:rPr>
        <w:t>Mantiene la discrecionalidad que refuerza sesgos racistas en las identificaciones.</w:t>
      </w:r>
    </w:p>
    <w:p w:rsidR="00925535" w:rsidRPr="00016160" w:rsidRDefault="00925535" w:rsidP="008B038C">
      <w:pPr>
        <w:numPr>
          <w:ilvl w:val="0"/>
          <w:numId w:val="21"/>
        </w:numPr>
        <w:spacing w:line="360" w:lineRule="auto"/>
        <w:ind w:left="714" w:hanging="357"/>
        <w:jc w:val="both"/>
        <w:rPr>
          <w:sz w:val="22"/>
          <w:szCs w:val="22"/>
        </w:rPr>
      </w:pPr>
      <w:r w:rsidRPr="00016160">
        <w:rPr>
          <w:sz w:val="22"/>
          <w:szCs w:val="22"/>
        </w:rPr>
        <w:t>Impide el control judicial efectivo.</w:t>
      </w:r>
    </w:p>
    <w:p w:rsidR="00925535" w:rsidRPr="00016160" w:rsidRDefault="00925535" w:rsidP="008B038C">
      <w:pPr>
        <w:numPr>
          <w:ilvl w:val="0"/>
          <w:numId w:val="21"/>
        </w:numPr>
        <w:spacing w:line="360" w:lineRule="auto"/>
        <w:ind w:left="714" w:hanging="357"/>
        <w:jc w:val="both"/>
        <w:rPr>
          <w:sz w:val="22"/>
          <w:szCs w:val="22"/>
        </w:rPr>
      </w:pPr>
      <w:r w:rsidRPr="00016160">
        <w:rPr>
          <w:sz w:val="22"/>
          <w:szCs w:val="22"/>
        </w:rPr>
        <w:t>Permite actuaciones discriminatorias amparadas en criterios subjetivos.</w:t>
      </w:r>
    </w:p>
    <w:p w:rsidR="00925535" w:rsidRDefault="00925535" w:rsidP="008B038C">
      <w:pPr>
        <w:numPr>
          <w:ilvl w:val="0"/>
          <w:numId w:val="21"/>
        </w:numPr>
        <w:spacing w:line="360" w:lineRule="auto"/>
        <w:ind w:left="714" w:hanging="357"/>
        <w:jc w:val="both"/>
        <w:rPr>
          <w:sz w:val="22"/>
          <w:szCs w:val="22"/>
        </w:rPr>
      </w:pPr>
      <w:r w:rsidRPr="00016160">
        <w:rPr>
          <w:sz w:val="22"/>
          <w:szCs w:val="22"/>
        </w:rPr>
        <w:t>Obstaculiza la reparación de derechos vulnerados.</w:t>
      </w:r>
    </w:p>
    <w:p w:rsidR="00C857C2" w:rsidRPr="00C857C2" w:rsidRDefault="00C857C2" w:rsidP="00C857C2">
      <w:pPr>
        <w:pStyle w:val="1TextCos"/>
      </w:pPr>
    </w:p>
    <w:p w:rsidR="00925535" w:rsidRDefault="00925535" w:rsidP="008B038C">
      <w:pPr>
        <w:spacing w:line="360" w:lineRule="auto"/>
        <w:jc w:val="both"/>
        <w:rPr>
          <w:sz w:val="22"/>
          <w:szCs w:val="22"/>
        </w:rPr>
      </w:pPr>
      <w:r w:rsidRPr="00016160">
        <w:rPr>
          <w:sz w:val="22"/>
          <w:szCs w:val="22"/>
        </w:rPr>
        <w:lastRenderedPageBreak/>
        <w:t xml:space="preserve">A esto se suma un elemento estructural: </w:t>
      </w:r>
      <w:r w:rsidRPr="00016160">
        <w:rPr>
          <w:rStyle w:val="Textoennegrita"/>
          <w:sz w:val="22"/>
          <w:szCs w:val="22"/>
        </w:rPr>
        <w:t>no existen datos oficiales desglosados por origen étnico o racial en las actuaciones policiales</w:t>
      </w:r>
      <w:r w:rsidRPr="00016160">
        <w:rPr>
          <w:sz w:val="22"/>
          <w:szCs w:val="22"/>
        </w:rPr>
        <w:t>. La ausencia de estos registros impide identificar patrones discriminatorios, evaluar el impacto real de las identificaciones y diseñar políticas públicas basadas en evidencia.</w:t>
      </w:r>
    </w:p>
    <w:p w:rsidR="00C857C2" w:rsidRPr="00C857C2" w:rsidRDefault="00C857C2" w:rsidP="00C857C2">
      <w:pPr>
        <w:pStyle w:val="1TextCos"/>
      </w:pPr>
    </w:p>
    <w:p w:rsidR="00925535" w:rsidRDefault="00925535" w:rsidP="008B038C">
      <w:pPr>
        <w:spacing w:line="360" w:lineRule="auto"/>
        <w:jc w:val="both"/>
        <w:rPr>
          <w:sz w:val="22"/>
          <w:szCs w:val="22"/>
        </w:rPr>
      </w:pPr>
      <w:r w:rsidRPr="00016160">
        <w:rPr>
          <w:sz w:val="22"/>
          <w:szCs w:val="22"/>
        </w:rPr>
        <w:t>Asimismo, no se ha creado ningún mecanismo accesible y eficaz para que las personas afectadas puedan impugnar las identificaciones arbitrarias. La ausencia de recursos efectivos, tanto judiciales como administrativos, deja a las víctimas de estas prácticas sin posibilidades reales de protección, en contradicción con lo establecido en el artículo 2.3 del Pacto Internacional de Derechos Civiles y Políticos, que obliga a los Estados a garantizar el acceso a recursos adecuados ante cualquier violación de los derechos reconocidos por el Pacto.</w:t>
      </w:r>
    </w:p>
    <w:p w:rsidR="00C857C2" w:rsidRPr="00C857C2" w:rsidRDefault="00C857C2" w:rsidP="00C857C2">
      <w:pPr>
        <w:pStyle w:val="1TextCos"/>
      </w:pPr>
    </w:p>
    <w:p w:rsidR="00951870" w:rsidRPr="00951870" w:rsidRDefault="00951870" w:rsidP="00951870">
      <w:pPr>
        <w:pStyle w:val="1TextCos"/>
      </w:pPr>
    </w:p>
    <w:p w:rsidR="00925535" w:rsidRDefault="00951870" w:rsidP="00C7234C">
      <w:pPr>
        <w:pStyle w:val="Ttulo3"/>
        <w:numPr>
          <w:ilvl w:val="0"/>
          <w:numId w:val="35"/>
        </w:numPr>
        <w:jc w:val="both"/>
        <w:rPr>
          <w:rFonts w:ascii="Inter" w:hAnsi="Inter"/>
          <w:sz w:val="24"/>
        </w:rPr>
      </w:pPr>
      <w:bookmarkStart w:id="6" w:name="_Toc199156293"/>
      <w:r>
        <w:rPr>
          <w:rFonts w:ascii="Inter" w:hAnsi="Inter"/>
          <w:sz w:val="24"/>
        </w:rPr>
        <w:t>Conclusión y recomendaciones</w:t>
      </w:r>
      <w:bookmarkEnd w:id="6"/>
    </w:p>
    <w:p w:rsidR="00C857C2" w:rsidRPr="00C857C2" w:rsidRDefault="00C857C2" w:rsidP="00C857C2"/>
    <w:p w:rsidR="00925535" w:rsidRPr="0011433D" w:rsidRDefault="00925535" w:rsidP="008B038C">
      <w:pPr>
        <w:spacing w:line="360" w:lineRule="auto"/>
        <w:jc w:val="both"/>
        <w:rPr>
          <w:sz w:val="22"/>
          <w:szCs w:val="22"/>
        </w:rPr>
      </w:pPr>
      <w:r w:rsidRPr="0011433D">
        <w:rPr>
          <w:sz w:val="22"/>
          <w:szCs w:val="22"/>
        </w:rPr>
        <w:t xml:space="preserve">La afirmación del Estado en el párrafo 32 de su informe, según la cual las identificaciones por perfil étnico-racial están prohibidas, </w:t>
      </w:r>
      <w:r w:rsidRPr="0011433D">
        <w:rPr>
          <w:rStyle w:val="Textoennegrita"/>
          <w:sz w:val="22"/>
          <w:szCs w:val="22"/>
        </w:rPr>
        <w:t>no se sostiene jurídicamente</w:t>
      </w:r>
      <w:r w:rsidR="00951870" w:rsidRPr="0011433D">
        <w:rPr>
          <w:rStyle w:val="Textoennegrita"/>
          <w:sz w:val="22"/>
          <w:szCs w:val="22"/>
        </w:rPr>
        <w:t>, ni en la práctica</w:t>
      </w:r>
      <w:r w:rsidRPr="0011433D">
        <w:rPr>
          <w:sz w:val="22"/>
          <w:szCs w:val="22"/>
        </w:rPr>
        <w:t xml:space="preserve">. </w:t>
      </w:r>
      <w:r w:rsidR="00951870" w:rsidRPr="0011433D">
        <w:rPr>
          <w:sz w:val="22"/>
          <w:szCs w:val="22"/>
        </w:rPr>
        <w:t>La prohibición no existe para todo el país y l</w:t>
      </w:r>
      <w:r w:rsidRPr="0011433D">
        <w:rPr>
          <w:sz w:val="22"/>
          <w:szCs w:val="22"/>
        </w:rPr>
        <w:t xml:space="preserve">a práctica continúa siendo sistémica y está habilitada por normas imprecisas, marcos regionales sin eficacia y una </w:t>
      </w:r>
      <w:r w:rsidRPr="0011433D">
        <w:rPr>
          <w:rStyle w:val="Textoennegrita"/>
          <w:sz w:val="22"/>
          <w:szCs w:val="22"/>
        </w:rPr>
        <w:t>ausencia total de prohibición expresa a nivel nacional</w:t>
      </w:r>
      <w:r w:rsidRPr="0011433D">
        <w:rPr>
          <w:sz w:val="22"/>
          <w:szCs w:val="22"/>
        </w:rPr>
        <w:t>.</w:t>
      </w:r>
    </w:p>
    <w:p w:rsidR="0011433D" w:rsidRPr="0011433D" w:rsidRDefault="0011433D" w:rsidP="008B038C">
      <w:pPr>
        <w:pStyle w:val="1TextCos"/>
        <w:spacing w:line="360" w:lineRule="auto"/>
        <w:rPr>
          <w:sz w:val="22"/>
          <w:szCs w:val="22"/>
        </w:rPr>
      </w:pPr>
    </w:p>
    <w:p w:rsidR="00925535" w:rsidRPr="0011433D" w:rsidRDefault="00925535" w:rsidP="008B038C">
      <w:pPr>
        <w:spacing w:line="360" w:lineRule="auto"/>
        <w:jc w:val="both"/>
        <w:rPr>
          <w:sz w:val="22"/>
          <w:szCs w:val="22"/>
        </w:rPr>
      </w:pPr>
      <w:r w:rsidRPr="0011433D">
        <w:rPr>
          <w:sz w:val="22"/>
          <w:szCs w:val="22"/>
        </w:rPr>
        <w:t>Frente a ello, se propone que el Comité de Derechos Humanos recomiende al Estado español:</w:t>
      </w:r>
    </w:p>
    <w:p w:rsidR="00925535" w:rsidRDefault="00925535" w:rsidP="00C857C2">
      <w:pPr>
        <w:numPr>
          <w:ilvl w:val="0"/>
          <w:numId w:val="22"/>
        </w:numPr>
        <w:spacing w:before="120" w:after="120" w:line="360" w:lineRule="auto"/>
        <w:jc w:val="both"/>
        <w:rPr>
          <w:sz w:val="22"/>
          <w:szCs w:val="22"/>
        </w:rPr>
      </w:pPr>
      <w:r w:rsidRPr="0011433D">
        <w:rPr>
          <w:rStyle w:val="Textoennegrita"/>
          <w:sz w:val="22"/>
          <w:szCs w:val="22"/>
        </w:rPr>
        <w:t xml:space="preserve">Incluir expresamente en la Ley 15/2022 </w:t>
      </w:r>
      <w:r w:rsidR="0011433D">
        <w:rPr>
          <w:rStyle w:val="Textoennegrita"/>
          <w:sz w:val="22"/>
          <w:szCs w:val="22"/>
        </w:rPr>
        <w:t xml:space="preserve">y/o en la </w:t>
      </w:r>
      <w:r w:rsidR="0011433D" w:rsidRPr="0011433D">
        <w:rPr>
          <w:rStyle w:val="Textoennegrita"/>
          <w:sz w:val="22"/>
          <w:szCs w:val="22"/>
        </w:rPr>
        <w:t>Ley Orgánica 4/2015</w:t>
      </w:r>
      <w:r w:rsidR="0011433D">
        <w:rPr>
          <w:rStyle w:val="Textoennegrita"/>
          <w:sz w:val="22"/>
          <w:szCs w:val="22"/>
        </w:rPr>
        <w:t xml:space="preserve"> </w:t>
      </w:r>
      <w:r w:rsidRPr="0011433D">
        <w:rPr>
          <w:rStyle w:val="Textoennegrita"/>
          <w:sz w:val="22"/>
          <w:szCs w:val="22"/>
        </w:rPr>
        <w:t>una prohibición del uso de perfiles étnico-raciales</w:t>
      </w:r>
      <w:r w:rsidRPr="0011433D">
        <w:rPr>
          <w:sz w:val="22"/>
          <w:szCs w:val="22"/>
        </w:rPr>
        <w:t xml:space="preserve"> en controles de identidad, en los términos del artículo 21.4 a) de la Ley catalana 19/2020.</w:t>
      </w:r>
    </w:p>
    <w:p w:rsidR="0011433D" w:rsidRPr="0011433D" w:rsidRDefault="0011433D" w:rsidP="00C857C2">
      <w:pPr>
        <w:pStyle w:val="1TextCos"/>
        <w:spacing w:before="120" w:after="120" w:line="360" w:lineRule="auto"/>
      </w:pPr>
    </w:p>
    <w:p w:rsidR="00925535" w:rsidRDefault="00925535" w:rsidP="00C857C2">
      <w:pPr>
        <w:numPr>
          <w:ilvl w:val="0"/>
          <w:numId w:val="22"/>
        </w:numPr>
        <w:spacing w:before="120" w:after="120" w:line="360" w:lineRule="auto"/>
        <w:jc w:val="both"/>
        <w:rPr>
          <w:sz w:val="22"/>
          <w:szCs w:val="22"/>
        </w:rPr>
      </w:pPr>
      <w:r w:rsidRPr="0011433D">
        <w:rPr>
          <w:rStyle w:val="Textoennegrita"/>
          <w:sz w:val="22"/>
          <w:szCs w:val="22"/>
        </w:rPr>
        <w:t>Adoptar medidas normativas y operativas para garantizar la aplicación efectiva de esta prohibición</w:t>
      </w:r>
      <w:r w:rsidRPr="0011433D">
        <w:rPr>
          <w:sz w:val="22"/>
          <w:szCs w:val="22"/>
        </w:rPr>
        <w:t>, incluyendo sanciones ante su incumplimiento.</w:t>
      </w:r>
    </w:p>
    <w:p w:rsidR="0011433D" w:rsidRPr="0011433D" w:rsidRDefault="0011433D" w:rsidP="00C857C2">
      <w:pPr>
        <w:pStyle w:val="1TextCos"/>
        <w:spacing w:before="120" w:after="120" w:line="360" w:lineRule="auto"/>
      </w:pPr>
    </w:p>
    <w:p w:rsidR="00925535" w:rsidRDefault="00925535" w:rsidP="00C857C2">
      <w:pPr>
        <w:numPr>
          <w:ilvl w:val="0"/>
          <w:numId w:val="22"/>
        </w:numPr>
        <w:spacing w:before="120" w:after="120" w:line="360" w:lineRule="auto"/>
        <w:jc w:val="both"/>
        <w:rPr>
          <w:sz w:val="22"/>
          <w:szCs w:val="22"/>
        </w:rPr>
      </w:pPr>
      <w:r w:rsidRPr="0011433D">
        <w:rPr>
          <w:rStyle w:val="Textoennegrita"/>
          <w:sz w:val="22"/>
          <w:szCs w:val="22"/>
        </w:rPr>
        <w:t>Elaborar registros oficiales desglosados por perfil étnico y racial en las actuaciones policiales</w:t>
      </w:r>
      <w:r w:rsidRPr="0011433D">
        <w:rPr>
          <w:sz w:val="22"/>
          <w:szCs w:val="22"/>
        </w:rPr>
        <w:t>, respetando los principios de protección de datos, para permitir una evaluación empírica del fenómeno.</w:t>
      </w:r>
    </w:p>
    <w:p w:rsidR="0011433D" w:rsidRPr="0011433D" w:rsidRDefault="0011433D" w:rsidP="00C857C2">
      <w:pPr>
        <w:pStyle w:val="1TextCos"/>
        <w:spacing w:before="120" w:after="120" w:line="360" w:lineRule="auto"/>
      </w:pPr>
    </w:p>
    <w:p w:rsidR="00925535" w:rsidRDefault="00925535" w:rsidP="00C857C2">
      <w:pPr>
        <w:numPr>
          <w:ilvl w:val="0"/>
          <w:numId w:val="22"/>
        </w:numPr>
        <w:spacing w:before="120" w:after="120" w:line="360" w:lineRule="auto"/>
        <w:jc w:val="both"/>
        <w:rPr>
          <w:sz w:val="22"/>
          <w:szCs w:val="22"/>
        </w:rPr>
      </w:pPr>
      <w:r w:rsidRPr="0011433D">
        <w:rPr>
          <w:rStyle w:val="Textoennegrita"/>
          <w:sz w:val="22"/>
          <w:szCs w:val="22"/>
        </w:rPr>
        <w:t>Establecer mecanismos independientes de denuncia y reparación</w:t>
      </w:r>
      <w:r w:rsidRPr="0011433D">
        <w:rPr>
          <w:sz w:val="22"/>
          <w:szCs w:val="22"/>
        </w:rPr>
        <w:t>, accesibles para personas que sufran identificaciones discriminatorias, con garantías efectivas de investigación y sanción.</w:t>
      </w:r>
    </w:p>
    <w:p w:rsidR="0011433D" w:rsidRPr="0011433D" w:rsidRDefault="0011433D" w:rsidP="00C857C2">
      <w:pPr>
        <w:pStyle w:val="1TextCos"/>
        <w:spacing w:before="120" w:after="120" w:line="360" w:lineRule="auto"/>
      </w:pPr>
    </w:p>
    <w:p w:rsidR="00925535" w:rsidRPr="0011433D" w:rsidRDefault="00925535" w:rsidP="00C857C2">
      <w:pPr>
        <w:numPr>
          <w:ilvl w:val="0"/>
          <w:numId w:val="22"/>
        </w:numPr>
        <w:spacing w:before="120" w:after="120" w:line="360" w:lineRule="auto"/>
        <w:jc w:val="both"/>
        <w:rPr>
          <w:sz w:val="22"/>
          <w:szCs w:val="22"/>
        </w:rPr>
      </w:pPr>
      <w:r w:rsidRPr="0011433D">
        <w:rPr>
          <w:rStyle w:val="Textoennegrita"/>
          <w:sz w:val="22"/>
          <w:szCs w:val="22"/>
        </w:rPr>
        <w:t>Capacitar de manera obligatoria y periódica a los Cuerpos y Fuerzas de Seguridad del Estado</w:t>
      </w:r>
      <w:r w:rsidRPr="0011433D">
        <w:rPr>
          <w:sz w:val="22"/>
          <w:szCs w:val="22"/>
        </w:rPr>
        <w:t xml:space="preserve"> en el enfoque de no discriminación y prevención del racismo institucional, como medida de garantía de no repetición.</w:t>
      </w:r>
    </w:p>
    <w:p w:rsidR="001C50E1" w:rsidRDefault="001C50E1" w:rsidP="00DF1DF6">
      <w:pPr>
        <w:pStyle w:val="2TtolGran"/>
        <w:jc w:val="both"/>
        <w:rPr>
          <w:sz w:val="22"/>
          <w:szCs w:val="22"/>
        </w:rPr>
      </w:pPr>
    </w:p>
    <w:p w:rsidR="00876119" w:rsidRDefault="00876119" w:rsidP="00DF1DF6">
      <w:pPr>
        <w:pStyle w:val="2TtolGran"/>
        <w:jc w:val="both"/>
        <w:rPr>
          <w:sz w:val="22"/>
          <w:szCs w:val="22"/>
        </w:rPr>
      </w:pPr>
    </w:p>
    <w:p w:rsidR="00876119" w:rsidRDefault="00876119" w:rsidP="00DF1DF6">
      <w:pPr>
        <w:pStyle w:val="2TtolGran"/>
        <w:jc w:val="both"/>
        <w:rPr>
          <w:sz w:val="22"/>
          <w:szCs w:val="22"/>
        </w:rPr>
      </w:pPr>
    </w:p>
    <w:p w:rsidR="00876119" w:rsidRDefault="00876119" w:rsidP="00DF1DF6">
      <w:pPr>
        <w:pStyle w:val="2TtolGran"/>
        <w:jc w:val="both"/>
        <w:rPr>
          <w:sz w:val="22"/>
          <w:szCs w:val="22"/>
        </w:rPr>
      </w:pPr>
    </w:p>
    <w:p w:rsidR="00876119" w:rsidRDefault="00876119" w:rsidP="00DF1DF6">
      <w:pPr>
        <w:pStyle w:val="2TtolGran"/>
        <w:jc w:val="both"/>
        <w:rPr>
          <w:sz w:val="22"/>
          <w:szCs w:val="22"/>
        </w:rPr>
      </w:pPr>
    </w:p>
    <w:p w:rsidR="00876119" w:rsidRDefault="00876119" w:rsidP="00DF1DF6">
      <w:pPr>
        <w:pStyle w:val="2TtolGran"/>
        <w:jc w:val="both"/>
        <w:rPr>
          <w:sz w:val="22"/>
          <w:szCs w:val="22"/>
        </w:rPr>
      </w:pPr>
    </w:p>
    <w:p w:rsidR="00876119" w:rsidRPr="0011433D" w:rsidRDefault="00876119" w:rsidP="00DF1DF6">
      <w:pPr>
        <w:pStyle w:val="2TtolGran"/>
        <w:jc w:val="both"/>
        <w:rPr>
          <w:sz w:val="22"/>
          <w:szCs w:val="22"/>
        </w:rPr>
      </w:pPr>
    </w:p>
    <w:p w:rsidR="00DF1DF6" w:rsidRDefault="001C50E1" w:rsidP="00B821C0">
      <w:pPr>
        <w:pStyle w:val="2TtolGran"/>
        <w:numPr>
          <w:ilvl w:val="0"/>
          <w:numId w:val="36"/>
        </w:numPr>
        <w:jc w:val="both"/>
        <w:rPr>
          <w:sz w:val="20"/>
          <w:szCs w:val="20"/>
        </w:rPr>
      </w:pPr>
      <w:bookmarkStart w:id="7" w:name="_Toc199156294"/>
      <w:r w:rsidRPr="001C50E1">
        <w:lastRenderedPageBreak/>
        <w:t xml:space="preserve">Detención migratoria </w:t>
      </w:r>
      <w:r>
        <w:t xml:space="preserve">en Centros de Internamiento </w:t>
      </w:r>
      <w:r w:rsidRPr="001C50E1">
        <w:rPr>
          <w:sz w:val="20"/>
          <w:szCs w:val="20"/>
        </w:rPr>
        <w:t>(Informe del Estado, párrs. 144 a 146 y 190 a 191)</w:t>
      </w:r>
      <w:bookmarkEnd w:id="7"/>
    </w:p>
    <w:p w:rsidR="00925535" w:rsidRDefault="00925535" w:rsidP="00410822">
      <w:pPr>
        <w:spacing w:line="360" w:lineRule="auto"/>
        <w:jc w:val="both"/>
        <w:rPr>
          <w:sz w:val="22"/>
          <w:szCs w:val="22"/>
        </w:rPr>
      </w:pPr>
      <w:r w:rsidRPr="00C7234C">
        <w:rPr>
          <w:sz w:val="22"/>
          <w:szCs w:val="22"/>
        </w:rPr>
        <w:t>En los párrafos 144 a 146 del informe presentado por el Estado español ante e</w:t>
      </w:r>
      <w:r w:rsidR="00C7234C" w:rsidRPr="00C7234C">
        <w:rPr>
          <w:sz w:val="22"/>
          <w:szCs w:val="22"/>
        </w:rPr>
        <w:t>ste Comité de Derechos Humanos</w:t>
      </w:r>
      <w:r w:rsidRPr="00C7234C">
        <w:rPr>
          <w:sz w:val="22"/>
          <w:szCs w:val="22"/>
        </w:rPr>
        <w:t xml:space="preserve">, se ofrece </w:t>
      </w:r>
      <w:r w:rsidR="00A871FE">
        <w:rPr>
          <w:sz w:val="22"/>
          <w:szCs w:val="22"/>
        </w:rPr>
        <w:t>información</w:t>
      </w:r>
      <w:r w:rsidRPr="00C7234C">
        <w:rPr>
          <w:sz w:val="22"/>
          <w:szCs w:val="22"/>
        </w:rPr>
        <w:t xml:space="preserve"> limitada al aspecto infraestructural de los Centros de Internamiento de Extranjeros (CIE), señalando reformas arquitectónicas, acceso a asistencia letrada y la implementación de servicios básicos. Asimismo, en los párrafos 190 y 191, el Estado afirma que las garantías procesales se cumplen en los procedimientos de devolución, denegación de entrada y expulsión</w:t>
      </w:r>
      <w:r w:rsidR="00A871FE">
        <w:rPr>
          <w:sz w:val="22"/>
          <w:szCs w:val="22"/>
        </w:rPr>
        <w:t>. Sin embargo, esa información</w:t>
      </w:r>
      <w:r w:rsidRPr="00C7234C">
        <w:rPr>
          <w:sz w:val="22"/>
          <w:szCs w:val="22"/>
        </w:rPr>
        <w:t xml:space="preserve"> </w:t>
      </w:r>
      <w:r w:rsidRPr="00C7234C">
        <w:rPr>
          <w:rStyle w:val="Textoennegrita"/>
          <w:sz w:val="22"/>
          <w:szCs w:val="22"/>
        </w:rPr>
        <w:t>omite los elementos estructurales que permiten que la detención migratoria en España, en la práctica, vulnere derechos fundamentales</w:t>
      </w:r>
      <w:r w:rsidRPr="00C7234C">
        <w:rPr>
          <w:sz w:val="22"/>
          <w:szCs w:val="22"/>
        </w:rPr>
        <w:t xml:space="preserve"> protegidos por el </w:t>
      </w:r>
      <w:r w:rsidR="00A871FE">
        <w:rPr>
          <w:sz w:val="22"/>
          <w:szCs w:val="22"/>
        </w:rPr>
        <w:t>Pacto Internacional de Derechos Civiles y Políticos</w:t>
      </w:r>
      <w:r w:rsidRPr="00C7234C">
        <w:rPr>
          <w:sz w:val="22"/>
          <w:szCs w:val="22"/>
        </w:rPr>
        <w:t>.</w:t>
      </w:r>
    </w:p>
    <w:p w:rsidR="00876119" w:rsidRPr="00876119" w:rsidRDefault="00876119" w:rsidP="00876119">
      <w:pPr>
        <w:pStyle w:val="1TextCos"/>
      </w:pPr>
    </w:p>
    <w:p w:rsidR="001C1BE7" w:rsidRPr="001C1BE7" w:rsidRDefault="001C1BE7" w:rsidP="001C1BE7">
      <w:pPr>
        <w:pStyle w:val="1TextCos"/>
      </w:pPr>
    </w:p>
    <w:p w:rsidR="00925535" w:rsidRDefault="001C1BE7" w:rsidP="00FB3140">
      <w:pPr>
        <w:pStyle w:val="Ttulo3"/>
        <w:numPr>
          <w:ilvl w:val="0"/>
          <w:numId w:val="38"/>
        </w:numPr>
        <w:jc w:val="both"/>
        <w:rPr>
          <w:rFonts w:ascii="Inter" w:hAnsi="Inter"/>
          <w:sz w:val="24"/>
        </w:rPr>
      </w:pPr>
      <w:bookmarkStart w:id="8" w:name="_Toc199156295"/>
      <w:r>
        <w:rPr>
          <w:rFonts w:ascii="Inter" w:hAnsi="Inter"/>
          <w:sz w:val="24"/>
        </w:rPr>
        <w:t>Desproporcionalidad en la duración del internamiento en un CIE</w:t>
      </w:r>
      <w:bookmarkEnd w:id="8"/>
    </w:p>
    <w:p w:rsidR="00876119" w:rsidRPr="00876119" w:rsidRDefault="00876119" w:rsidP="00876119"/>
    <w:p w:rsidR="00410822" w:rsidRDefault="00925535" w:rsidP="00410822">
      <w:pPr>
        <w:spacing w:line="360" w:lineRule="auto"/>
        <w:jc w:val="both"/>
        <w:rPr>
          <w:sz w:val="22"/>
          <w:szCs w:val="22"/>
        </w:rPr>
      </w:pPr>
      <w:r w:rsidRPr="00A871FE">
        <w:rPr>
          <w:sz w:val="22"/>
          <w:szCs w:val="22"/>
        </w:rPr>
        <w:t xml:space="preserve">A pesar de su denominación como </w:t>
      </w:r>
      <w:r w:rsidRPr="001C1BE7">
        <w:rPr>
          <w:b/>
          <w:sz w:val="22"/>
          <w:szCs w:val="22"/>
        </w:rPr>
        <w:t>medida cautelar</w:t>
      </w:r>
      <w:r w:rsidR="001C1BE7">
        <w:rPr>
          <w:sz w:val="22"/>
          <w:szCs w:val="22"/>
        </w:rPr>
        <w:t xml:space="preserve"> del internamiento en los CIE</w:t>
      </w:r>
      <w:r w:rsidRPr="00A871FE">
        <w:rPr>
          <w:sz w:val="22"/>
          <w:szCs w:val="22"/>
        </w:rPr>
        <w:t xml:space="preserve">, su uso contradice </w:t>
      </w:r>
      <w:r w:rsidR="001C1BE7">
        <w:rPr>
          <w:sz w:val="22"/>
          <w:szCs w:val="22"/>
        </w:rPr>
        <w:t>esta</w:t>
      </w:r>
      <w:r w:rsidRPr="00A871FE">
        <w:rPr>
          <w:sz w:val="22"/>
          <w:szCs w:val="22"/>
        </w:rPr>
        <w:t xml:space="preserve"> naturaleza jurídica. </w:t>
      </w:r>
      <w:r w:rsidR="00410822" w:rsidRPr="00410822">
        <w:rPr>
          <w:sz w:val="22"/>
          <w:szCs w:val="22"/>
        </w:rPr>
        <w:t xml:space="preserve">Formalmente es </w:t>
      </w:r>
      <w:r w:rsidR="00410822">
        <w:rPr>
          <w:sz w:val="22"/>
          <w:szCs w:val="22"/>
        </w:rPr>
        <w:t>una medida cautelar</w:t>
      </w:r>
      <w:r w:rsidR="00410822" w:rsidRPr="00410822">
        <w:rPr>
          <w:sz w:val="22"/>
          <w:szCs w:val="22"/>
        </w:rPr>
        <w:t xml:space="preserve">, pero no en la práctica. Si se tratase de una medida cautelar, ésta solo podría durar el tiempo que dura el procedimiento principal del cual depende. Si el llamado internamiento sólo puede aplicarse si el expediente de expulsión se tramita por un procedimiento preferente y éste de acuerdo con el Reglamento de la Ley de Extranjería (artículos 234 a 237) se debe desarrollar en un máximo de 8 días; el </w:t>
      </w:r>
      <w:r w:rsidR="00410822" w:rsidRPr="00410822">
        <w:rPr>
          <w:b/>
          <w:sz w:val="22"/>
          <w:szCs w:val="22"/>
        </w:rPr>
        <w:t>plazo máximo de 60 días o cualquier otro superior a esos 8 días se muestra como desproporcional</w:t>
      </w:r>
      <w:r w:rsidR="00410822" w:rsidRPr="00410822">
        <w:rPr>
          <w:sz w:val="22"/>
          <w:szCs w:val="22"/>
        </w:rPr>
        <w:t xml:space="preserve"> y, por tanto, se configura </w:t>
      </w:r>
      <w:r w:rsidR="00410822" w:rsidRPr="00410822">
        <w:rPr>
          <w:sz w:val="22"/>
          <w:szCs w:val="22"/>
        </w:rPr>
        <w:lastRenderedPageBreak/>
        <w:t>una detención arbitraria</w:t>
      </w:r>
      <w:r w:rsidR="00410822" w:rsidRPr="00642775">
        <w:rPr>
          <w:rStyle w:val="Refdenotaalpie"/>
          <w:sz w:val="22"/>
          <w:szCs w:val="22"/>
        </w:rPr>
        <w:footnoteReference w:id="1"/>
      </w:r>
      <w:r w:rsidR="00410822">
        <w:rPr>
          <w:sz w:val="22"/>
          <w:szCs w:val="22"/>
        </w:rPr>
        <w:t>, que contraviene claramente el artículo 9 del Pacto Internacional de Derechos Civiles y Políticos.</w:t>
      </w:r>
    </w:p>
    <w:p w:rsidR="00642775" w:rsidRPr="00642775" w:rsidRDefault="00642775" w:rsidP="00642775">
      <w:pPr>
        <w:pStyle w:val="1TextCos"/>
      </w:pPr>
    </w:p>
    <w:p w:rsidR="00410822" w:rsidRDefault="00410822" w:rsidP="00410822">
      <w:pPr>
        <w:pStyle w:val="SingleTxtG"/>
        <w:spacing w:after="0" w:line="360" w:lineRule="auto"/>
        <w:ind w:left="0" w:right="-1"/>
        <w:rPr>
          <w:rFonts w:ascii="Inter" w:hAnsi="Inter"/>
          <w:sz w:val="22"/>
          <w:szCs w:val="22"/>
        </w:rPr>
      </w:pPr>
      <w:r w:rsidRPr="00410822">
        <w:rPr>
          <w:rFonts w:ascii="Inter" w:hAnsi="Inter"/>
          <w:sz w:val="22"/>
          <w:szCs w:val="22"/>
        </w:rPr>
        <w:t xml:space="preserve">Si atendemos a los criterios establecidos por el </w:t>
      </w:r>
      <w:r w:rsidR="00642775">
        <w:rPr>
          <w:rFonts w:ascii="Inter" w:hAnsi="Inter"/>
          <w:sz w:val="22"/>
          <w:szCs w:val="22"/>
        </w:rPr>
        <w:t>Tribunal Europeo de Derechos Humanos (</w:t>
      </w:r>
      <w:r w:rsidRPr="00410822">
        <w:rPr>
          <w:rFonts w:ascii="Inter" w:hAnsi="Inter"/>
          <w:sz w:val="22"/>
          <w:szCs w:val="22"/>
        </w:rPr>
        <w:t>TEDH</w:t>
      </w:r>
      <w:r w:rsidR="00642775">
        <w:rPr>
          <w:rFonts w:ascii="Inter" w:hAnsi="Inter"/>
          <w:sz w:val="22"/>
          <w:szCs w:val="22"/>
        </w:rPr>
        <w:t>)</w:t>
      </w:r>
      <w:r w:rsidRPr="00410822">
        <w:rPr>
          <w:rFonts w:ascii="Inter" w:hAnsi="Inter"/>
          <w:sz w:val="22"/>
          <w:szCs w:val="22"/>
        </w:rPr>
        <w:t xml:space="preserve"> en relación a que la detención sólo se justificará por el tiempo que dure el proceso; que  la duración de esta medida no debe exceder el plazo razonable necesario para alcanzar el objetivo perseguido y; que el principio de proporcionalidad es especialmente importante y la duración de la detención es un factor relevante en el aná</w:t>
      </w:r>
      <w:r w:rsidR="00642775">
        <w:rPr>
          <w:rFonts w:ascii="Inter" w:hAnsi="Inter"/>
          <w:sz w:val="22"/>
          <w:szCs w:val="22"/>
        </w:rPr>
        <w:t>lisis de dicha proporcionalidad;</w:t>
      </w:r>
      <w:r w:rsidRPr="00410822">
        <w:rPr>
          <w:rFonts w:ascii="Inter" w:hAnsi="Inter"/>
          <w:sz w:val="22"/>
          <w:szCs w:val="22"/>
        </w:rPr>
        <w:t xml:space="preserve"> es fácil determinar que el plazo máximo de 60 días o su promedio según cifras oficiales (26-45 días) hace a esta </w:t>
      </w:r>
      <w:r w:rsidRPr="00410822">
        <w:rPr>
          <w:rFonts w:ascii="Inter" w:hAnsi="Inter"/>
          <w:b/>
          <w:sz w:val="22"/>
          <w:szCs w:val="22"/>
        </w:rPr>
        <w:t>medida desproporcional y, por tanto, arbitraria</w:t>
      </w:r>
      <w:r w:rsidRPr="00410822">
        <w:rPr>
          <w:rFonts w:ascii="Inter" w:hAnsi="Inter"/>
          <w:sz w:val="22"/>
          <w:szCs w:val="22"/>
        </w:rPr>
        <w:t xml:space="preserve">. </w:t>
      </w:r>
    </w:p>
    <w:p w:rsidR="00642775" w:rsidRPr="00410822" w:rsidRDefault="00642775" w:rsidP="00410822">
      <w:pPr>
        <w:pStyle w:val="SingleTxtG"/>
        <w:spacing w:after="0" w:line="360" w:lineRule="auto"/>
        <w:ind w:left="0" w:right="-1"/>
        <w:rPr>
          <w:rFonts w:ascii="Inter" w:hAnsi="Inter"/>
          <w:sz w:val="22"/>
          <w:szCs w:val="22"/>
        </w:rPr>
      </w:pPr>
    </w:p>
    <w:p w:rsidR="00410822" w:rsidRDefault="00410822" w:rsidP="00410822">
      <w:pPr>
        <w:pStyle w:val="SingleTxtG"/>
        <w:spacing w:after="0" w:line="360" w:lineRule="auto"/>
        <w:ind w:left="0" w:right="-1"/>
        <w:rPr>
          <w:rFonts w:ascii="Inter" w:hAnsi="Inter"/>
          <w:sz w:val="22"/>
          <w:szCs w:val="22"/>
        </w:rPr>
      </w:pPr>
      <w:r w:rsidRPr="00410822">
        <w:rPr>
          <w:rFonts w:ascii="Inter" w:hAnsi="Inter"/>
          <w:sz w:val="22"/>
          <w:szCs w:val="22"/>
        </w:rPr>
        <w:t xml:space="preserve">Con lo que la formalmente “medida cautelar”, en la práctica, </w:t>
      </w:r>
      <w:r w:rsidRPr="00410822">
        <w:rPr>
          <w:rFonts w:ascii="Inter" w:hAnsi="Inter"/>
          <w:b/>
          <w:sz w:val="22"/>
          <w:szCs w:val="22"/>
        </w:rPr>
        <w:t>se utiliza como</w:t>
      </w:r>
      <w:r w:rsidRPr="00410822">
        <w:rPr>
          <w:rFonts w:ascii="Inter" w:hAnsi="Inter"/>
          <w:sz w:val="22"/>
          <w:szCs w:val="22"/>
        </w:rPr>
        <w:t xml:space="preserve"> mecanismo de </w:t>
      </w:r>
      <w:r w:rsidRPr="00410822">
        <w:rPr>
          <w:rFonts w:ascii="Inter" w:hAnsi="Inter"/>
          <w:b/>
          <w:sz w:val="22"/>
          <w:szCs w:val="22"/>
        </w:rPr>
        <w:t>sanción, estigmatización</w:t>
      </w:r>
      <w:r w:rsidRPr="00410822">
        <w:rPr>
          <w:rFonts w:ascii="Inter" w:hAnsi="Inter"/>
          <w:sz w:val="22"/>
          <w:szCs w:val="22"/>
        </w:rPr>
        <w:t xml:space="preserve"> y</w:t>
      </w:r>
      <w:r w:rsidRPr="00410822">
        <w:rPr>
          <w:rFonts w:ascii="Inter" w:hAnsi="Inter"/>
          <w:b/>
          <w:sz w:val="22"/>
          <w:szCs w:val="22"/>
        </w:rPr>
        <w:t xml:space="preserve"> afectación de la integridad</w:t>
      </w:r>
      <w:r w:rsidRPr="00410822">
        <w:rPr>
          <w:rFonts w:ascii="Inter" w:hAnsi="Inter"/>
          <w:sz w:val="22"/>
          <w:szCs w:val="22"/>
        </w:rPr>
        <w:t xml:space="preserve"> física y psicológica de las personas migrantes que deben pasar un largo tiempo privadas de libertad. Esto se confirma por el hecho de que la propia Fiscalía General del Estado </w:t>
      </w:r>
      <w:r w:rsidR="00642775">
        <w:rPr>
          <w:rFonts w:ascii="Inter" w:hAnsi="Inter"/>
          <w:sz w:val="22"/>
          <w:szCs w:val="22"/>
        </w:rPr>
        <w:t>ha reconocido desde hace años atrás</w:t>
      </w:r>
      <w:r w:rsidRPr="00410822">
        <w:rPr>
          <w:rFonts w:ascii="Inter" w:hAnsi="Inter"/>
          <w:sz w:val="22"/>
          <w:szCs w:val="22"/>
        </w:rPr>
        <w:t xml:space="preserve"> que “se sigue constatando una importante diferencia entre el número de personas ingresadas (6.473) y las efectivamente expulsadas (3.871)”</w:t>
      </w:r>
      <w:r w:rsidRPr="00410822">
        <w:rPr>
          <w:rStyle w:val="Refdenotaalpie"/>
          <w:rFonts w:ascii="Inter" w:hAnsi="Inter"/>
          <w:sz w:val="22"/>
          <w:szCs w:val="22"/>
        </w:rPr>
        <w:footnoteReference w:id="2"/>
      </w:r>
      <w:r w:rsidR="0020513B">
        <w:rPr>
          <w:rFonts w:ascii="Inter" w:hAnsi="Inter"/>
          <w:sz w:val="22"/>
          <w:szCs w:val="22"/>
        </w:rPr>
        <w:t>; mientras que acepta que “l</w:t>
      </w:r>
      <w:r w:rsidR="0020513B" w:rsidRPr="0020513B">
        <w:rPr>
          <w:rFonts w:ascii="Inter" w:hAnsi="Inter"/>
          <w:sz w:val="22"/>
          <w:szCs w:val="22"/>
        </w:rPr>
        <w:t>a mayor parte de las peticiones de internamiento han sido acogidas favorablemente</w:t>
      </w:r>
      <w:r w:rsidR="0020513B">
        <w:rPr>
          <w:rFonts w:ascii="Inter" w:hAnsi="Inter"/>
          <w:sz w:val="22"/>
          <w:szCs w:val="22"/>
        </w:rPr>
        <w:t>”</w:t>
      </w:r>
      <w:r w:rsidR="0020513B">
        <w:rPr>
          <w:rStyle w:val="Refdenotaalpie"/>
          <w:rFonts w:ascii="Inter" w:hAnsi="Inter"/>
          <w:sz w:val="22"/>
          <w:szCs w:val="22"/>
        </w:rPr>
        <w:footnoteReference w:id="3"/>
      </w:r>
      <w:r w:rsidR="0020513B">
        <w:rPr>
          <w:rFonts w:ascii="Inter" w:hAnsi="Inter"/>
          <w:sz w:val="22"/>
          <w:szCs w:val="22"/>
        </w:rPr>
        <w:t xml:space="preserve">. </w:t>
      </w:r>
      <w:r w:rsidRPr="00410822">
        <w:rPr>
          <w:rFonts w:ascii="Inter" w:hAnsi="Inter"/>
          <w:sz w:val="22"/>
          <w:szCs w:val="22"/>
        </w:rPr>
        <w:t>Demostrándose que ni es una medida cautelar, ni cumple con su finalidad legal. Por lo que se convierte en un claro trato degradante de las personas migrantes.</w:t>
      </w:r>
    </w:p>
    <w:p w:rsidR="00642775" w:rsidRPr="00410822" w:rsidRDefault="00642775" w:rsidP="00410822">
      <w:pPr>
        <w:pStyle w:val="SingleTxtG"/>
        <w:spacing w:after="0" w:line="360" w:lineRule="auto"/>
        <w:ind w:left="0" w:right="-1"/>
        <w:rPr>
          <w:rFonts w:ascii="Inter" w:hAnsi="Inter"/>
          <w:sz w:val="22"/>
          <w:szCs w:val="22"/>
        </w:rPr>
      </w:pPr>
    </w:p>
    <w:p w:rsidR="00410822" w:rsidRDefault="00410822" w:rsidP="00410822">
      <w:pPr>
        <w:pStyle w:val="SingleTxtG"/>
        <w:spacing w:after="0" w:line="360" w:lineRule="auto"/>
        <w:ind w:left="0" w:right="-1"/>
        <w:rPr>
          <w:rFonts w:ascii="Inter" w:hAnsi="Inter"/>
          <w:sz w:val="22"/>
          <w:szCs w:val="22"/>
        </w:rPr>
      </w:pPr>
      <w:r w:rsidRPr="00410822">
        <w:rPr>
          <w:rFonts w:ascii="Inter" w:hAnsi="Inter"/>
          <w:sz w:val="22"/>
          <w:szCs w:val="22"/>
        </w:rPr>
        <w:t>Con esa base, todo lo que pasa en los CIE ya lleva una base de arbitrariedad.</w:t>
      </w:r>
      <w:r w:rsidR="00204A0A">
        <w:rPr>
          <w:rFonts w:ascii="Inter" w:hAnsi="Inter"/>
          <w:sz w:val="22"/>
          <w:szCs w:val="22"/>
        </w:rPr>
        <w:t xml:space="preserve"> </w:t>
      </w:r>
    </w:p>
    <w:p w:rsidR="00204A0A" w:rsidRDefault="00204A0A" w:rsidP="00410822">
      <w:pPr>
        <w:pStyle w:val="SingleTxtG"/>
        <w:spacing w:after="0" w:line="360" w:lineRule="auto"/>
        <w:ind w:left="0" w:right="-1"/>
        <w:rPr>
          <w:rFonts w:ascii="Inter" w:hAnsi="Inter"/>
          <w:sz w:val="22"/>
          <w:szCs w:val="22"/>
        </w:rPr>
      </w:pPr>
      <w:r w:rsidRPr="00204A0A">
        <w:rPr>
          <w:rFonts w:ascii="Inter" w:hAnsi="Inter"/>
          <w:sz w:val="22"/>
          <w:szCs w:val="22"/>
        </w:rPr>
        <w:lastRenderedPageBreak/>
        <w:t>Estas deficiencias en la aplicación del internamiento se agravan cuando se considera el perfil de muchas de las personas afectadas. Se han documentado internamientos de personas con enfermedades crónicas, con diagnósticos de salud mental no tratados adecuadamente dentro de los CIE, o mujeres víctimas de trata a quienes no se identifica debidamente como tales, a pesar de los indicios. En algunos casos, también se han internado personas menores de edad cuya edad fue incorrectamente determinada sin aplicar las garantías previstas para estos procedimientos. Este tipo de situaciones evidencia la ausencia de un sistema eficaz de evaluación de vulnerabilidades antes del ingreso en los CIE, así como una falta de respeto al principio de no discriminación y al deber de protección reforzada en el caso de personas en situación de especial riesgo.</w:t>
      </w:r>
    </w:p>
    <w:p w:rsidR="00204A0A" w:rsidRPr="00410822" w:rsidRDefault="00204A0A" w:rsidP="00410822">
      <w:pPr>
        <w:pStyle w:val="SingleTxtG"/>
        <w:spacing w:after="0" w:line="360" w:lineRule="auto"/>
        <w:ind w:left="0" w:right="-1"/>
        <w:rPr>
          <w:rFonts w:ascii="Inter" w:hAnsi="Inter"/>
          <w:sz w:val="22"/>
          <w:szCs w:val="22"/>
        </w:rPr>
      </w:pPr>
    </w:p>
    <w:p w:rsidR="00925535" w:rsidRPr="00FB3140" w:rsidRDefault="00925535" w:rsidP="00FB3140">
      <w:pPr>
        <w:pStyle w:val="Ttulo3"/>
        <w:numPr>
          <w:ilvl w:val="0"/>
          <w:numId w:val="38"/>
        </w:numPr>
        <w:jc w:val="both"/>
        <w:rPr>
          <w:rFonts w:ascii="Inter" w:hAnsi="Inter"/>
          <w:sz w:val="24"/>
        </w:rPr>
      </w:pPr>
      <w:bookmarkStart w:id="9" w:name="_Toc199156296"/>
      <w:r w:rsidRPr="00FB3140">
        <w:rPr>
          <w:rFonts w:ascii="Inter" w:hAnsi="Inter"/>
          <w:bCs w:val="0"/>
          <w:sz w:val="24"/>
        </w:rPr>
        <w:t>Aplicación sin garantías efectivas</w:t>
      </w:r>
      <w:bookmarkEnd w:id="9"/>
    </w:p>
    <w:p w:rsidR="00925535" w:rsidRPr="00A871FE" w:rsidRDefault="00925535" w:rsidP="00925535">
      <w:pPr>
        <w:spacing w:before="100" w:beforeAutospacing="1" w:after="100" w:afterAutospacing="1"/>
        <w:jc w:val="both"/>
        <w:rPr>
          <w:sz w:val="22"/>
          <w:szCs w:val="22"/>
        </w:rPr>
      </w:pPr>
      <w:r w:rsidRPr="00A871FE">
        <w:rPr>
          <w:sz w:val="22"/>
          <w:szCs w:val="22"/>
        </w:rPr>
        <w:t xml:space="preserve">El Estado sostiene que el procedimiento de internamiento cumple con las garantías procesales, incluyendo la autorización judicial y el control por parte de jueces de instrucción. Sin embargo, múltiples informes (incluido el nuestro al EPU 2025) han demostrado que estas garantías son </w:t>
      </w:r>
      <w:r w:rsidRPr="00A871FE">
        <w:rPr>
          <w:rStyle w:val="Textoennegrita"/>
          <w:sz w:val="22"/>
          <w:szCs w:val="22"/>
        </w:rPr>
        <w:t>insuficientes en la práctica</w:t>
      </w:r>
      <w:r w:rsidRPr="00A871FE">
        <w:rPr>
          <w:sz w:val="22"/>
          <w:szCs w:val="22"/>
        </w:rPr>
        <w:t>:</w:t>
      </w:r>
    </w:p>
    <w:p w:rsidR="00540AF3" w:rsidRPr="00540AF3" w:rsidRDefault="00540AF3" w:rsidP="00540AF3">
      <w:pPr>
        <w:numPr>
          <w:ilvl w:val="0"/>
          <w:numId w:val="25"/>
        </w:numPr>
        <w:spacing w:before="120" w:after="120" w:line="240" w:lineRule="auto"/>
        <w:ind w:left="714" w:hanging="357"/>
        <w:jc w:val="both"/>
        <w:rPr>
          <w:rStyle w:val="Textoennegrita"/>
          <w:b w:val="0"/>
          <w:bCs w:val="0"/>
          <w:sz w:val="22"/>
          <w:szCs w:val="22"/>
        </w:rPr>
      </w:pPr>
      <w:r>
        <w:rPr>
          <w:rStyle w:val="Textoennegrita"/>
          <w:bCs w:val="0"/>
          <w:sz w:val="22"/>
          <w:szCs w:val="22"/>
        </w:rPr>
        <w:t xml:space="preserve">Intervención de juez penal y no uno especializado en migración o extranjería. </w:t>
      </w:r>
      <w:r>
        <w:rPr>
          <w:rStyle w:val="Textoennegrita"/>
          <w:b w:val="0"/>
          <w:bCs w:val="0"/>
          <w:sz w:val="22"/>
          <w:szCs w:val="22"/>
        </w:rPr>
        <w:t>Es cierto que es un órgano jurisdiccional el que determina el internamiento (juez de instrucción penal), pero no es un juez natural ni formado en temas de extranjería y/o migración.</w:t>
      </w:r>
    </w:p>
    <w:p w:rsidR="00925535" w:rsidRPr="00A871FE" w:rsidRDefault="00925535" w:rsidP="00540AF3">
      <w:pPr>
        <w:numPr>
          <w:ilvl w:val="0"/>
          <w:numId w:val="25"/>
        </w:numPr>
        <w:spacing w:before="120" w:after="120" w:line="240" w:lineRule="auto"/>
        <w:ind w:left="714" w:hanging="357"/>
        <w:jc w:val="both"/>
        <w:rPr>
          <w:sz w:val="22"/>
          <w:szCs w:val="22"/>
        </w:rPr>
      </w:pPr>
      <w:r w:rsidRPr="00A871FE">
        <w:rPr>
          <w:rStyle w:val="Textoennegrita"/>
          <w:sz w:val="22"/>
          <w:szCs w:val="22"/>
        </w:rPr>
        <w:t>No se asegura una defensa letrada efectiva</w:t>
      </w:r>
      <w:r w:rsidRPr="00A871FE">
        <w:rPr>
          <w:sz w:val="22"/>
          <w:szCs w:val="22"/>
        </w:rPr>
        <w:t xml:space="preserve"> desde el primer momento, especialmente cuando se produce la detención en frontera o durante redadas.</w:t>
      </w:r>
    </w:p>
    <w:p w:rsidR="00925535" w:rsidRPr="00A871FE" w:rsidRDefault="00925535" w:rsidP="00540AF3">
      <w:pPr>
        <w:numPr>
          <w:ilvl w:val="0"/>
          <w:numId w:val="25"/>
        </w:numPr>
        <w:spacing w:before="120" w:after="120" w:line="240" w:lineRule="auto"/>
        <w:ind w:left="714" w:hanging="357"/>
        <w:jc w:val="both"/>
        <w:rPr>
          <w:sz w:val="22"/>
          <w:szCs w:val="22"/>
        </w:rPr>
      </w:pPr>
      <w:r w:rsidRPr="00A871FE">
        <w:rPr>
          <w:rStyle w:val="Textoennegrita"/>
          <w:sz w:val="22"/>
          <w:szCs w:val="22"/>
        </w:rPr>
        <w:t>No existen intérpretes permanentes</w:t>
      </w:r>
      <w:r w:rsidRPr="00A871FE">
        <w:rPr>
          <w:sz w:val="22"/>
          <w:szCs w:val="22"/>
        </w:rPr>
        <w:t>, dificultando la comprensión del procedimiento a personas extranjeras.</w:t>
      </w:r>
    </w:p>
    <w:p w:rsidR="00925535" w:rsidRDefault="00925535" w:rsidP="00540AF3">
      <w:pPr>
        <w:numPr>
          <w:ilvl w:val="0"/>
          <w:numId w:val="25"/>
        </w:numPr>
        <w:spacing w:before="120" w:after="120" w:line="240" w:lineRule="auto"/>
        <w:ind w:left="714" w:hanging="357"/>
        <w:jc w:val="both"/>
        <w:rPr>
          <w:sz w:val="22"/>
          <w:szCs w:val="22"/>
        </w:rPr>
      </w:pPr>
      <w:r w:rsidRPr="00A871FE">
        <w:rPr>
          <w:sz w:val="22"/>
          <w:szCs w:val="22"/>
        </w:rPr>
        <w:t xml:space="preserve">En la mayoría de los casos, </w:t>
      </w:r>
      <w:r w:rsidRPr="00A871FE">
        <w:rPr>
          <w:rStyle w:val="Textoennegrita"/>
          <w:sz w:val="22"/>
          <w:szCs w:val="22"/>
        </w:rPr>
        <w:t>la decisión judicial no se basa en un análisis individualizado del riesgo de fuga</w:t>
      </w:r>
      <w:r w:rsidRPr="00A871FE">
        <w:rPr>
          <w:sz w:val="22"/>
          <w:szCs w:val="22"/>
        </w:rPr>
        <w:t>, sino que se fundamenta en fórmulas estandarizadas que no examinan alternativas.</w:t>
      </w:r>
    </w:p>
    <w:p w:rsidR="00925535" w:rsidRDefault="00925535" w:rsidP="00925535">
      <w:pPr>
        <w:spacing w:before="100" w:beforeAutospacing="1" w:after="100" w:afterAutospacing="1"/>
        <w:jc w:val="both"/>
        <w:rPr>
          <w:sz w:val="22"/>
          <w:szCs w:val="22"/>
        </w:rPr>
      </w:pPr>
      <w:r w:rsidRPr="00A871FE">
        <w:rPr>
          <w:sz w:val="22"/>
          <w:szCs w:val="22"/>
        </w:rPr>
        <w:t xml:space="preserve">Estas deficiencias </w:t>
      </w:r>
      <w:r w:rsidRPr="00A871FE">
        <w:rPr>
          <w:rStyle w:val="Textoennegrita"/>
          <w:sz w:val="22"/>
          <w:szCs w:val="22"/>
        </w:rPr>
        <w:t xml:space="preserve">se traducen en privaciones de libertad sin base material suficiente ni control judicial </w:t>
      </w:r>
      <w:r w:rsidR="00540AF3">
        <w:rPr>
          <w:rStyle w:val="Textoennegrita"/>
          <w:sz w:val="22"/>
          <w:szCs w:val="22"/>
        </w:rPr>
        <w:t>efectivo a las razones migratorias</w:t>
      </w:r>
      <w:r w:rsidRPr="00A871FE">
        <w:rPr>
          <w:sz w:val="22"/>
          <w:szCs w:val="22"/>
        </w:rPr>
        <w:t xml:space="preserve">, vulnerando </w:t>
      </w:r>
      <w:r w:rsidRPr="00A871FE">
        <w:rPr>
          <w:sz w:val="22"/>
          <w:szCs w:val="22"/>
        </w:rPr>
        <w:lastRenderedPageBreak/>
        <w:t xml:space="preserve">el </w:t>
      </w:r>
      <w:r w:rsidR="00871B4F">
        <w:rPr>
          <w:sz w:val="22"/>
          <w:szCs w:val="22"/>
        </w:rPr>
        <w:t>contenido de los artículos 14 y 26 del Pacto Internacional de Derechos Civiles y Políticos</w:t>
      </w:r>
      <w:r w:rsidRPr="00A871FE">
        <w:rPr>
          <w:sz w:val="22"/>
          <w:szCs w:val="22"/>
        </w:rPr>
        <w:t>.</w:t>
      </w:r>
    </w:p>
    <w:p w:rsidR="00925535" w:rsidRDefault="00925535" w:rsidP="00925535">
      <w:pPr>
        <w:spacing w:before="100" w:beforeAutospacing="1" w:after="100" w:afterAutospacing="1"/>
        <w:jc w:val="both"/>
      </w:pPr>
    </w:p>
    <w:p w:rsidR="00925535" w:rsidRPr="00FB3140" w:rsidRDefault="00204A0A" w:rsidP="00FB3140">
      <w:pPr>
        <w:pStyle w:val="Ttulo3"/>
        <w:numPr>
          <w:ilvl w:val="0"/>
          <w:numId w:val="38"/>
        </w:numPr>
        <w:jc w:val="both"/>
        <w:rPr>
          <w:rFonts w:ascii="Inter" w:hAnsi="Inter"/>
          <w:sz w:val="24"/>
        </w:rPr>
      </w:pPr>
      <w:bookmarkStart w:id="10" w:name="_Toc199156297"/>
      <w:r>
        <w:rPr>
          <w:rFonts w:ascii="Inter" w:hAnsi="Inter"/>
          <w:bCs w:val="0"/>
          <w:sz w:val="24"/>
        </w:rPr>
        <w:t>Infraestructuras adecuadas no son todo dentro de un CIE</w:t>
      </w:r>
      <w:bookmarkEnd w:id="10"/>
    </w:p>
    <w:p w:rsidR="00925535" w:rsidRPr="00A871FE" w:rsidRDefault="00925535" w:rsidP="00925535">
      <w:pPr>
        <w:spacing w:before="100" w:beforeAutospacing="1" w:after="100" w:afterAutospacing="1"/>
        <w:jc w:val="both"/>
        <w:rPr>
          <w:sz w:val="22"/>
          <w:szCs w:val="22"/>
        </w:rPr>
      </w:pPr>
      <w:r w:rsidRPr="00A871FE">
        <w:rPr>
          <w:sz w:val="22"/>
          <w:szCs w:val="22"/>
        </w:rPr>
        <w:t>El Estado español centra su</w:t>
      </w:r>
      <w:r w:rsidR="00204A0A">
        <w:rPr>
          <w:sz w:val="22"/>
          <w:szCs w:val="22"/>
        </w:rPr>
        <w:t>s argumentos</w:t>
      </w:r>
      <w:r w:rsidRPr="00A871FE">
        <w:rPr>
          <w:sz w:val="22"/>
          <w:szCs w:val="22"/>
        </w:rPr>
        <w:t xml:space="preserve"> en</w:t>
      </w:r>
      <w:r w:rsidR="00204A0A">
        <w:rPr>
          <w:sz w:val="22"/>
          <w:szCs w:val="22"/>
        </w:rPr>
        <w:t xml:space="preserve"> las</w:t>
      </w:r>
      <w:r w:rsidRPr="00A871FE">
        <w:rPr>
          <w:sz w:val="22"/>
          <w:szCs w:val="22"/>
        </w:rPr>
        <w:t xml:space="preserve"> mejoras de infraestructura en los CIE (párr. 144), pero evita reconocer que, incluso con dichas mejoras, las condiciones materiales son incompatibles con un estándar mínimo de dignidad</w:t>
      </w:r>
      <w:r w:rsidR="00204A0A">
        <w:rPr>
          <w:sz w:val="22"/>
          <w:szCs w:val="22"/>
        </w:rPr>
        <w:t>, ya que</w:t>
      </w:r>
      <w:r w:rsidRPr="00A871FE">
        <w:rPr>
          <w:sz w:val="22"/>
          <w:szCs w:val="22"/>
        </w:rPr>
        <w:t>:</w:t>
      </w:r>
    </w:p>
    <w:p w:rsidR="00925535" w:rsidRPr="00A871FE" w:rsidRDefault="00925535" w:rsidP="00204A0A">
      <w:pPr>
        <w:numPr>
          <w:ilvl w:val="0"/>
          <w:numId w:val="27"/>
        </w:numPr>
        <w:spacing w:before="120" w:after="120" w:line="240" w:lineRule="auto"/>
        <w:ind w:left="714" w:hanging="357"/>
        <w:jc w:val="both"/>
        <w:rPr>
          <w:sz w:val="22"/>
          <w:szCs w:val="22"/>
        </w:rPr>
      </w:pPr>
      <w:r w:rsidRPr="00A871FE">
        <w:rPr>
          <w:rStyle w:val="Textoennegrita"/>
          <w:sz w:val="22"/>
          <w:szCs w:val="22"/>
        </w:rPr>
        <w:t xml:space="preserve">La atención médica </w:t>
      </w:r>
      <w:r w:rsidR="00204A0A">
        <w:rPr>
          <w:rStyle w:val="Textoennegrita"/>
          <w:sz w:val="22"/>
          <w:szCs w:val="22"/>
        </w:rPr>
        <w:t xml:space="preserve">continua siendo </w:t>
      </w:r>
      <w:r w:rsidRPr="00A871FE">
        <w:rPr>
          <w:rStyle w:val="Textoennegrita"/>
          <w:sz w:val="22"/>
          <w:szCs w:val="22"/>
        </w:rPr>
        <w:t>insuficiente y deficiente</w:t>
      </w:r>
      <w:r w:rsidRPr="00A871FE">
        <w:rPr>
          <w:sz w:val="22"/>
          <w:szCs w:val="22"/>
        </w:rPr>
        <w:t>.</w:t>
      </w:r>
    </w:p>
    <w:p w:rsidR="00925535" w:rsidRPr="00A871FE" w:rsidRDefault="00925535" w:rsidP="00204A0A">
      <w:pPr>
        <w:numPr>
          <w:ilvl w:val="0"/>
          <w:numId w:val="27"/>
        </w:numPr>
        <w:spacing w:before="120" w:after="120" w:line="240" w:lineRule="auto"/>
        <w:ind w:left="714" w:hanging="357"/>
        <w:jc w:val="both"/>
        <w:rPr>
          <w:sz w:val="22"/>
          <w:szCs w:val="22"/>
        </w:rPr>
      </w:pPr>
      <w:r w:rsidRPr="00A871FE">
        <w:rPr>
          <w:sz w:val="22"/>
          <w:szCs w:val="22"/>
        </w:rPr>
        <w:t xml:space="preserve">Las personas internadas </w:t>
      </w:r>
      <w:r w:rsidRPr="00A871FE">
        <w:rPr>
          <w:rStyle w:val="Textoennegrita"/>
          <w:sz w:val="22"/>
          <w:szCs w:val="22"/>
        </w:rPr>
        <w:t>no cuentan con actividades ocupacionales</w:t>
      </w:r>
      <w:r w:rsidRPr="00A871FE">
        <w:rPr>
          <w:sz w:val="22"/>
          <w:szCs w:val="22"/>
        </w:rPr>
        <w:t>, lo que agrava el deterioro psicológico de su estancia.</w:t>
      </w:r>
    </w:p>
    <w:p w:rsidR="00925535" w:rsidRDefault="00925535" w:rsidP="00204A0A">
      <w:pPr>
        <w:numPr>
          <w:ilvl w:val="0"/>
          <w:numId w:val="27"/>
        </w:numPr>
        <w:spacing w:before="120" w:after="120" w:line="240" w:lineRule="auto"/>
        <w:ind w:left="714" w:hanging="357"/>
        <w:jc w:val="both"/>
        <w:rPr>
          <w:sz w:val="22"/>
          <w:szCs w:val="22"/>
        </w:rPr>
      </w:pPr>
      <w:r w:rsidRPr="00A871FE">
        <w:rPr>
          <w:sz w:val="22"/>
          <w:szCs w:val="22"/>
        </w:rPr>
        <w:t xml:space="preserve">En algunos casos, </w:t>
      </w:r>
      <w:r w:rsidRPr="00A871FE">
        <w:rPr>
          <w:rStyle w:val="Textoennegrita"/>
          <w:sz w:val="22"/>
          <w:szCs w:val="22"/>
        </w:rPr>
        <w:t>personas con problemas de salud mental han sido internadas sin acceso a tratamiento adecuado</w:t>
      </w:r>
      <w:r w:rsidRPr="00A871FE">
        <w:rPr>
          <w:sz w:val="22"/>
          <w:szCs w:val="22"/>
        </w:rPr>
        <w:t>.</w:t>
      </w:r>
    </w:p>
    <w:p w:rsidR="00204A0A" w:rsidRDefault="00204A0A" w:rsidP="00204A0A">
      <w:pPr>
        <w:pStyle w:val="1TextCos"/>
      </w:pPr>
    </w:p>
    <w:p w:rsidR="00204A0A" w:rsidRDefault="00204A0A" w:rsidP="00204A0A">
      <w:pPr>
        <w:pStyle w:val="SingleTxtG"/>
        <w:spacing w:after="0" w:line="360" w:lineRule="auto"/>
        <w:ind w:left="0" w:right="-1"/>
        <w:rPr>
          <w:rFonts w:ascii="Inter" w:hAnsi="Inter"/>
          <w:sz w:val="22"/>
          <w:szCs w:val="22"/>
        </w:rPr>
      </w:pPr>
      <w:r>
        <w:rPr>
          <w:rFonts w:ascii="Inter" w:hAnsi="Inter"/>
          <w:sz w:val="22"/>
          <w:szCs w:val="22"/>
        </w:rPr>
        <w:t>Así, aunque el Estado español informa de cambios en la infraestructura de los CIE, omite hacer referencia a los</w:t>
      </w:r>
      <w:r w:rsidRPr="00410822">
        <w:rPr>
          <w:rFonts w:ascii="Inter" w:hAnsi="Inter"/>
          <w:sz w:val="22"/>
          <w:szCs w:val="22"/>
        </w:rPr>
        <w:t xml:space="preserve"> mecanismos de control, queja, supervisión y registro</w:t>
      </w:r>
      <w:r>
        <w:rPr>
          <w:rFonts w:ascii="Inter" w:hAnsi="Inter"/>
          <w:sz w:val="22"/>
          <w:szCs w:val="22"/>
        </w:rPr>
        <w:t>.</w:t>
      </w:r>
      <w:r w:rsidRPr="00410822">
        <w:rPr>
          <w:rFonts w:ascii="Inter" w:hAnsi="Inter"/>
          <w:sz w:val="22"/>
          <w:szCs w:val="22"/>
        </w:rPr>
        <w:t xml:space="preserve"> </w:t>
      </w:r>
      <w:r>
        <w:rPr>
          <w:rFonts w:ascii="Inter" w:hAnsi="Inter"/>
          <w:sz w:val="22"/>
          <w:szCs w:val="22"/>
        </w:rPr>
        <w:t>E</w:t>
      </w:r>
      <w:r w:rsidRPr="00410822">
        <w:rPr>
          <w:rFonts w:ascii="Inter" w:hAnsi="Inter"/>
          <w:sz w:val="22"/>
          <w:szCs w:val="22"/>
        </w:rPr>
        <w:t xml:space="preserve">s cierto que </w:t>
      </w:r>
      <w:r>
        <w:rPr>
          <w:rFonts w:ascii="Inter" w:hAnsi="Inter"/>
          <w:sz w:val="22"/>
          <w:szCs w:val="22"/>
        </w:rPr>
        <w:t xml:space="preserve">todos esos mecanismos </w:t>
      </w:r>
      <w:r w:rsidRPr="00410822">
        <w:rPr>
          <w:rFonts w:ascii="Inter" w:hAnsi="Inter"/>
          <w:sz w:val="22"/>
          <w:szCs w:val="22"/>
        </w:rPr>
        <w:t xml:space="preserve">existen en las normas, pero en la práctica </w:t>
      </w:r>
      <w:r w:rsidRPr="00410822">
        <w:rPr>
          <w:rFonts w:ascii="Inter" w:hAnsi="Inter"/>
          <w:b/>
          <w:sz w:val="22"/>
          <w:szCs w:val="22"/>
        </w:rPr>
        <w:t xml:space="preserve">no hay transparencia </w:t>
      </w:r>
      <w:r w:rsidRPr="00410822">
        <w:rPr>
          <w:rFonts w:ascii="Inter" w:hAnsi="Inter"/>
          <w:sz w:val="22"/>
          <w:szCs w:val="22"/>
        </w:rPr>
        <w:t xml:space="preserve">en la </w:t>
      </w:r>
      <w:r w:rsidRPr="00410822">
        <w:rPr>
          <w:rFonts w:ascii="Inter" w:hAnsi="Inter"/>
          <w:b/>
          <w:sz w:val="22"/>
          <w:szCs w:val="22"/>
        </w:rPr>
        <w:t xml:space="preserve">gestión, trámite </w:t>
      </w:r>
      <w:r w:rsidRPr="00410822">
        <w:rPr>
          <w:rFonts w:ascii="Inter" w:hAnsi="Inter"/>
          <w:sz w:val="22"/>
          <w:szCs w:val="22"/>
        </w:rPr>
        <w:t>y</w:t>
      </w:r>
      <w:r w:rsidRPr="00410822">
        <w:rPr>
          <w:rFonts w:ascii="Inter" w:hAnsi="Inter"/>
          <w:b/>
          <w:sz w:val="22"/>
          <w:szCs w:val="22"/>
        </w:rPr>
        <w:t xml:space="preserve"> resultados</w:t>
      </w:r>
      <w:r w:rsidRPr="00410822">
        <w:rPr>
          <w:rFonts w:ascii="Inter" w:hAnsi="Inter"/>
          <w:sz w:val="22"/>
          <w:szCs w:val="22"/>
        </w:rPr>
        <w:t xml:space="preserve"> que dan esos mecanismos. Por lo que el Estado debería informar de todas las situaciones que se han atendido y sus resultados</w:t>
      </w:r>
      <w:r>
        <w:rPr>
          <w:rFonts w:ascii="Inter" w:hAnsi="Inter"/>
          <w:sz w:val="22"/>
          <w:szCs w:val="22"/>
        </w:rPr>
        <w:t>, no sólo de la infraestructura de los CIE</w:t>
      </w:r>
      <w:r w:rsidRPr="00410822">
        <w:rPr>
          <w:rFonts w:ascii="Inter" w:hAnsi="Inter"/>
          <w:sz w:val="22"/>
          <w:szCs w:val="22"/>
        </w:rPr>
        <w:t>.</w:t>
      </w:r>
      <w:r>
        <w:rPr>
          <w:rFonts w:ascii="Inter" w:hAnsi="Inter"/>
          <w:sz w:val="22"/>
          <w:szCs w:val="22"/>
        </w:rPr>
        <w:t xml:space="preserve"> Porque, aunque la “jaula sea de oro, jaula es”.</w:t>
      </w:r>
    </w:p>
    <w:p w:rsidR="00204A0A" w:rsidRPr="00410822" w:rsidRDefault="00204A0A" w:rsidP="00204A0A">
      <w:pPr>
        <w:pStyle w:val="SingleTxtG"/>
        <w:spacing w:after="0" w:line="360" w:lineRule="auto"/>
        <w:ind w:left="0" w:right="-1"/>
        <w:rPr>
          <w:rFonts w:ascii="Inter" w:hAnsi="Inter"/>
          <w:sz w:val="22"/>
          <w:szCs w:val="22"/>
        </w:rPr>
      </w:pPr>
    </w:p>
    <w:p w:rsidR="00204A0A" w:rsidRDefault="00204A0A" w:rsidP="00204A0A">
      <w:pPr>
        <w:pStyle w:val="SingleTxtG"/>
        <w:spacing w:after="0" w:line="360" w:lineRule="auto"/>
        <w:ind w:left="0" w:right="-1"/>
        <w:rPr>
          <w:rFonts w:ascii="Inter" w:hAnsi="Inter"/>
          <w:sz w:val="22"/>
          <w:szCs w:val="22"/>
        </w:rPr>
      </w:pPr>
      <w:r w:rsidRPr="00410822">
        <w:rPr>
          <w:rFonts w:ascii="Inter" w:hAnsi="Inter"/>
          <w:sz w:val="22"/>
          <w:szCs w:val="22"/>
        </w:rPr>
        <w:t xml:space="preserve">De la </w:t>
      </w:r>
      <w:r w:rsidRPr="00410822">
        <w:rPr>
          <w:rFonts w:ascii="Inter" w:hAnsi="Inter"/>
          <w:b/>
          <w:sz w:val="22"/>
          <w:szCs w:val="22"/>
        </w:rPr>
        <w:t>información oficial</w:t>
      </w:r>
      <w:r w:rsidRPr="00410822">
        <w:rPr>
          <w:rFonts w:ascii="Inter" w:hAnsi="Inter"/>
          <w:sz w:val="22"/>
          <w:szCs w:val="22"/>
        </w:rPr>
        <w:t xml:space="preserve"> pública disponible</w:t>
      </w:r>
      <w:r>
        <w:rPr>
          <w:rFonts w:ascii="Inter" w:hAnsi="Inter"/>
          <w:sz w:val="22"/>
          <w:szCs w:val="22"/>
        </w:rPr>
        <w:t xml:space="preserve"> que abarca el periodo que se evalúa en este examen al Estado español</w:t>
      </w:r>
      <w:r w:rsidRPr="00410822">
        <w:rPr>
          <w:rFonts w:ascii="Inter" w:hAnsi="Inter"/>
          <w:sz w:val="22"/>
          <w:szCs w:val="22"/>
        </w:rPr>
        <w:t xml:space="preserve">, se </w:t>
      </w:r>
      <w:r w:rsidRPr="00410822">
        <w:rPr>
          <w:rFonts w:ascii="Inter" w:hAnsi="Inter"/>
          <w:b/>
          <w:sz w:val="22"/>
          <w:szCs w:val="22"/>
        </w:rPr>
        <w:t>constata</w:t>
      </w:r>
      <w:r w:rsidRPr="00410822">
        <w:rPr>
          <w:rFonts w:ascii="Inter" w:hAnsi="Inter"/>
          <w:sz w:val="22"/>
          <w:szCs w:val="22"/>
        </w:rPr>
        <w:t xml:space="preserve"> que:</w:t>
      </w:r>
    </w:p>
    <w:p w:rsidR="00204A0A" w:rsidRPr="00410822" w:rsidRDefault="00204A0A" w:rsidP="00204A0A">
      <w:pPr>
        <w:pStyle w:val="SingleTxtG"/>
        <w:numPr>
          <w:ilvl w:val="0"/>
          <w:numId w:val="39"/>
        </w:numPr>
        <w:spacing w:before="120" w:line="240" w:lineRule="auto"/>
        <w:ind w:left="425" w:hanging="207"/>
        <w:rPr>
          <w:rFonts w:ascii="Inter" w:hAnsi="Inter"/>
          <w:sz w:val="22"/>
          <w:szCs w:val="22"/>
        </w:rPr>
      </w:pPr>
      <w:r w:rsidRPr="00410822">
        <w:rPr>
          <w:rFonts w:ascii="Inter" w:hAnsi="Inter"/>
          <w:sz w:val="22"/>
          <w:szCs w:val="22"/>
        </w:rPr>
        <w:t xml:space="preserve">La mayor parte de las peticiones, quejas o reclamaciones efectuadas han venido referidas al servicio médico, habiéndose </w:t>
      </w:r>
      <w:r w:rsidRPr="00410822">
        <w:rPr>
          <w:rFonts w:ascii="Inter" w:hAnsi="Inter"/>
          <w:sz w:val="22"/>
          <w:szCs w:val="22"/>
        </w:rPr>
        <w:lastRenderedPageBreak/>
        <w:t>denunciado también en varias ocasiones maltrato por parte de algún funcionario</w:t>
      </w:r>
      <w:r w:rsidRPr="00410822">
        <w:rPr>
          <w:rStyle w:val="Refdenotaalpie"/>
          <w:rFonts w:ascii="Inter" w:hAnsi="Inter"/>
          <w:sz w:val="22"/>
          <w:szCs w:val="22"/>
        </w:rPr>
        <w:footnoteReference w:id="4"/>
      </w:r>
      <w:r w:rsidRPr="00410822">
        <w:rPr>
          <w:rFonts w:ascii="Inter" w:hAnsi="Inter"/>
          <w:sz w:val="22"/>
          <w:szCs w:val="22"/>
        </w:rPr>
        <w:t>.</w:t>
      </w:r>
    </w:p>
    <w:p w:rsidR="00204A0A" w:rsidRPr="00410822" w:rsidRDefault="00204A0A" w:rsidP="00204A0A">
      <w:pPr>
        <w:pStyle w:val="SingleTxtG"/>
        <w:numPr>
          <w:ilvl w:val="0"/>
          <w:numId w:val="39"/>
        </w:numPr>
        <w:spacing w:before="120" w:line="240" w:lineRule="auto"/>
        <w:ind w:left="425" w:hanging="218"/>
        <w:rPr>
          <w:rFonts w:ascii="Inter" w:hAnsi="Inter"/>
          <w:sz w:val="22"/>
          <w:szCs w:val="22"/>
        </w:rPr>
      </w:pPr>
      <w:r w:rsidRPr="00410822">
        <w:rPr>
          <w:rFonts w:ascii="Inter" w:hAnsi="Inter"/>
          <w:sz w:val="22"/>
          <w:szCs w:val="22"/>
        </w:rPr>
        <w:t>La Sala de observación si algún interno precisa un seguimiento específico, […] resulta insuficiente y no cuenta con los medios adecuados para su correcta función</w:t>
      </w:r>
      <w:r w:rsidRPr="00410822">
        <w:rPr>
          <w:rStyle w:val="Refdenotaalpie"/>
          <w:rFonts w:ascii="Inter" w:hAnsi="Inter"/>
          <w:sz w:val="22"/>
          <w:szCs w:val="22"/>
        </w:rPr>
        <w:footnoteReference w:id="5"/>
      </w:r>
      <w:r w:rsidRPr="00410822">
        <w:rPr>
          <w:rFonts w:ascii="Inter" w:hAnsi="Inter"/>
          <w:sz w:val="22"/>
          <w:szCs w:val="22"/>
        </w:rPr>
        <w:t>.</w:t>
      </w:r>
    </w:p>
    <w:p w:rsidR="00204A0A" w:rsidRPr="00410822" w:rsidRDefault="00204A0A" w:rsidP="00204A0A">
      <w:pPr>
        <w:pStyle w:val="SingleTxtG"/>
        <w:numPr>
          <w:ilvl w:val="0"/>
          <w:numId w:val="39"/>
        </w:numPr>
        <w:spacing w:before="120" w:line="240" w:lineRule="auto"/>
        <w:ind w:left="425" w:hanging="207"/>
        <w:rPr>
          <w:rFonts w:ascii="Inter" w:hAnsi="Inter"/>
          <w:sz w:val="22"/>
          <w:szCs w:val="22"/>
        </w:rPr>
      </w:pPr>
      <w:r w:rsidRPr="00410822">
        <w:rPr>
          <w:rFonts w:ascii="Inter" w:hAnsi="Inter"/>
          <w:sz w:val="22"/>
          <w:szCs w:val="22"/>
        </w:rPr>
        <w:t>Junto a internos procedentes de las costas del Mediterráneo sometidos a procedimientos de devolución y sin antecedentes penales conviven internos con amplio historial delictivo, objeto del art. 89 del Código Penal o procedentes de centros penitenciarios</w:t>
      </w:r>
      <w:r w:rsidRPr="00410822">
        <w:rPr>
          <w:rStyle w:val="Refdenotaalpie"/>
          <w:rFonts w:ascii="Inter" w:hAnsi="Inter"/>
          <w:sz w:val="22"/>
          <w:szCs w:val="22"/>
        </w:rPr>
        <w:footnoteReference w:id="6"/>
      </w:r>
      <w:r w:rsidRPr="00410822">
        <w:rPr>
          <w:rFonts w:ascii="Inter" w:hAnsi="Inter"/>
          <w:sz w:val="22"/>
          <w:szCs w:val="22"/>
        </w:rPr>
        <w:t>.</w:t>
      </w:r>
    </w:p>
    <w:p w:rsidR="00204A0A" w:rsidRPr="00410822" w:rsidRDefault="00204A0A" w:rsidP="00204A0A">
      <w:pPr>
        <w:pStyle w:val="SingleTxtG"/>
        <w:numPr>
          <w:ilvl w:val="0"/>
          <w:numId w:val="39"/>
        </w:numPr>
        <w:spacing w:before="120" w:line="240" w:lineRule="auto"/>
        <w:ind w:left="425" w:hanging="207"/>
        <w:rPr>
          <w:rFonts w:ascii="Inter" w:hAnsi="Inter"/>
          <w:sz w:val="22"/>
          <w:szCs w:val="22"/>
        </w:rPr>
      </w:pPr>
      <w:r w:rsidRPr="00410822">
        <w:rPr>
          <w:rFonts w:ascii="Inter" w:hAnsi="Inter"/>
          <w:sz w:val="22"/>
          <w:szCs w:val="22"/>
        </w:rPr>
        <w:t>A pesar de las mejoras estructurales del CIE, se observaron deficiencias como la falta de mobiliario, defectos en la previsión de las funciones que han de desempeñarse en el CIE y su adecuación a la arquitectura del edificio, manteniéndose la ya crónica deficiencia en la asistencia letrada de los internos como se viene exponiendo en las memorias anteriores</w:t>
      </w:r>
      <w:r w:rsidRPr="00410822">
        <w:rPr>
          <w:rStyle w:val="Refdenotaalpie"/>
          <w:rFonts w:ascii="Inter" w:hAnsi="Inter"/>
          <w:sz w:val="22"/>
          <w:szCs w:val="22"/>
        </w:rPr>
        <w:footnoteReference w:id="7"/>
      </w:r>
      <w:r w:rsidRPr="00410822">
        <w:rPr>
          <w:rFonts w:ascii="Inter" w:hAnsi="Inter"/>
          <w:sz w:val="22"/>
          <w:szCs w:val="22"/>
        </w:rPr>
        <w:t>.</w:t>
      </w:r>
    </w:p>
    <w:p w:rsidR="00204A0A" w:rsidRPr="00410822" w:rsidRDefault="00204A0A" w:rsidP="00204A0A">
      <w:pPr>
        <w:pStyle w:val="SingleTxtG"/>
        <w:numPr>
          <w:ilvl w:val="0"/>
          <w:numId w:val="39"/>
        </w:numPr>
        <w:spacing w:before="120" w:line="240" w:lineRule="auto"/>
        <w:ind w:left="425" w:hanging="207"/>
        <w:rPr>
          <w:rFonts w:ascii="Inter" w:hAnsi="Inter"/>
          <w:sz w:val="22"/>
          <w:szCs w:val="22"/>
        </w:rPr>
      </w:pPr>
      <w:r w:rsidRPr="00410822">
        <w:rPr>
          <w:rFonts w:ascii="Inter" w:hAnsi="Inter"/>
          <w:sz w:val="22"/>
          <w:szCs w:val="22"/>
        </w:rPr>
        <w:t xml:space="preserve">Se observó </w:t>
      </w:r>
      <w:proofErr w:type="spellStart"/>
      <w:r w:rsidRPr="00410822">
        <w:rPr>
          <w:rFonts w:ascii="Inter" w:hAnsi="Inter"/>
          <w:sz w:val="22"/>
          <w:szCs w:val="22"/>
        </w:rPr>
        <w:t>como</w:t>
      </w:r>
      <w:proofErr w:type="spellEnd"/>
      <w:r w:rsidRPr="00410822">
        <w:rPr>
          <w:rFonts w:ascii="Inter" w:hAnsi="Inter"/>
          <w:sz w:val="22"/>
          <w:szCs w:val="22"/>
        </w:rPr>
        <w:t xml:space="preserve"> deficiencia que no se les informa sobre las posibilidades que nuestra legislación ofrece a las víctimas de trata, obviando quizás que los hombres también pueden ser víctimas de este delito y no es un delito exclusivamente femenino</w:t>
      </w:r>
      <w:r w:rsidRPr="00410822">
        <w:rPr>
          <w:rStyle w:val="Refdenotaalpie"/>
          <w:rFonts w:ascii="Inter" w:hAnsi="Inter"/>
          <w:sz w:val="22"/>
          <w:szCs w:val="22"/>
        </w:rPr>
        <w:footnoteReference w:id="8"/>
      </w:r>
      <w:r w:rsidRPr="00410822">
        <w:rPr>
          <w:rFonts w:ascii="Inter" w:hAnsi="Inter"/>
          <w:sz w:val="22"/>
          <w:szCs w:val="22"/>
        </w:rPr>
        <w:t>.</w:t>
      </w:r>
    </w:p>
    <w:p w:rsidR="00204A0A" w:rsidRPr="00410822" w:rsidRDefault="00204A0A" w:rsidP="00204A0A">
      <w:pPr>
        <w:pStyle w:val="SingleTxtG"/>
        <w:numPr>
          <w:ilvl w:val="0"/>
          <w:numId w:val="39"/>
        </w:numPr>
        <w:spacing w:before="120" w:line="240" w:lineRule="auto"/>
        <w:ind w:left="425" w:hanging="207"/>
        <w:rPr>
          <w:rFonts w:ascii="Inter" w:hAnsi="Inter"/>
          <w:sz w:val="22"/>
          <w:szCs w:val="22"/>
        </w:rPr>
      </w:pPr>
      <w:r w:rsidRPr="00410822">
        <w:rPr>
          <w:rFonts w:ascii="Inter" w:hAnsi="Inter"/>
          <w:sz w:val="22"/>
          <w:szCs w:val="22"/>
        </w:rPr>
        <w:t>La preocupante insuficiencia de personal, fue ya advertida en las previas actas de visita, indicándose que tal situación generaría graves problemas de seguridad</w:t>
      </w:r>
      <w:r w:rsidRPr="00410822">
        <w:rPr>
          <w:rStyle w:val="Refdenotaalpie"/>
          <w:rFonts w:ascii="Inter" w:hAnsi="Inter"/>
          <w:sz w:val="22"/>
          <w:szCs w:val="22"/>
        </w:rPr>
        <w:footnoteReference w:id="9"/>
      </w:r>
      <w:r w:rsidRPr="00410822">
        <w:rPr>
          <w:rFonts w:ascii="Inter" w:hAnsi="Inter"/>
          <w:sz w:val="22"/>
          <w:szCs w:val="22"/>
        </w:rPr>
        <w:t>.</w:t>
      </w:r>
    </w:p>
    <w:p w:rsidR="00204A0A" w:rsidRPr="00410822" w:rsidRDefault="00204A0A" w:rsidP="00204A0A">
      <w:pPr>
        <w:pStyle w:val="SingleTxtG"/>
        <w:numPr>
          <w:ilvl w:val="0"/>
          <w:numId w:val="39"/>
        </w:numPr>
        <w:spacing w:before="120" w:line="240" w:lineRule="auto"/>
        <w:ind w:left="425" w:hanging="207"/>
        <w:rPr>
          <w:rFonts w:ascii="Inter" w:hAnsi="Inter"/>
          <w:sz w:val="22"/>
          <w:szCs w:val="22"/>
        </w:rPr>
      </w:pPr>
      <w:r w:rsidRPr="00410822">
        <w:rPr>
          <w:rFonts w:ascii="Inter" w:hAnsi="Inter"/>
          <w:sz w:val="22"/>
          <w:szCs w:val="22"/>
        </w:rPr>
        <w:t>Conviene poner de relieve que, si bien es cierto, que algunas de las deficiencias observadas en pasados años han sido al menos disminuidas, persisten algunas importantes: especialmente, la falta de calefacción tanto para internos y funcionarios la ausencia de un cierre centralizado para las habitaciones de los internos; y, la escasez de mobiliario de las habitaciones</w:t>
      </w:r>
      <w:r w:rsidRPr="00410822">
        <w:rPr>
          <w:rStyle w:val="Refdenotaalpie"/>
          <w:rFonts w:ascii="Inter" w:hAnsi="Inter"/>
          <w:sz w:val="22"/>
          <w:szCs w:val="22"/>
        </w:rPr>
        <w:footnoteReference w:id="10"/>
      </w:r>
      <w:r w:rsidRPr="00410822">
        <w:rPr>
          <w:rFonts w:ascii="Inter" w:hAnsi="Inter"/>
          <w:sz w:val="22"/>
          <w:szCs w:val="22"/>
        </w:rPr>
        <w:t>.</w:t>
      </w:r>
    </w:p>
    <w:p w:rsidR="00204A0A" w:rsidRPr="00410822" w:rsidRDefault="00204A0A" w:rsidP="00204A0A">
      <w:pPr>
        <w:pStyle w:val="SingleTxtG"/>
        <w:numPr>
          <w:ilvl w:val="0"/>
          <w:numId w:val="39"/>
        </w:numPr>
        <w:spacing w:before="120" w:line="240" w:lineRule="auto"/>
        <w:ind w:left="425" w:hanging="207"/>
        <w:rPr>
          <w:rFonts w:ascii="Inter" w:hAnsi="Inter"/>
          <w:sz w:val="22"/>
          <w:szCs w:val="22"/>
        </w:rPr>
      </w:pPr>
      <w:r w:rsidRPr="00410822">
        <w:rPr>
          <w:rFonts w:ascii="Inter" w:hAnsi="Inter"/>
          <w:sz w:val="22"/>
          <w:szCs w:val="22"/>
        </w:rPr>
        <w:lastRenderedPageBreak/>
        <w:t>Hay algunas quejas en el orden sanitario producidas fundamentalmente por el ingreso de internos en un mal estado de salud para los que el centro no puede arbitrar una correcta solución</w:t>
      </w:r>
      <w:r w:rsidRPr="00410822">
        <w:rPr>
          <w:rStyle w:val="Refdenotaalpie"/>
          <w:rFonts w:ascii="Inter" w:hAnsi="Inter"/>
          <w:sz w:val="22"/>
          <w:szCs w:val="22"/>
        </w:rPr>
        <w:footnoteReference w:id="11"/>
      </w:r>
      <w:r w:rsidRPr="00410822">
        <w:rPr>
          <w:rFonts w:ascii="Inter" w:hAnsi="Inter"/>
          <w:sz w:val="22"/>
          <w:szCs w:val="22"/>
        </w:rPr>
        <w:t>.</w:t>
      </w:r>
    </w:p>
    <w:p w:rsidR="00204A0A" w:rsidRPr="00410822" w:rsidRDefault="00204A0A" w:rsidP="00204A0A">
      <w:pPr>
        <w:pStyle w:val="SingleTxtG"/>
        <w:numPr>
          <w:ilvl w:val="0"/>
          <w:numId w:val="39"/>
        </w:numPr>
        <w:spacing w:before="120" w:line="240" w:lineRule="auto"/>
        <w:ind w:left="425" w:hanging="207"/>
        <w:rPr>
          <w:rFonts w:ascii="Inter" w:hAnsi="Inter"/>
          <w:sz w:val="22"/>
          <w:szCs w:val="22"/>
        </w:rPr>
      </w:pPr>
      <w:r w:rsidRPr="00410822">
        <w:rPr>
          <w:rFonts w:ascii="Inter" w:hAnsi="Inter"/>
          <w:sz w:val="22"/>
          <w:szCs w:val="22"/>
        </w:rPr>
        <w:t>Quejas también por las esperas que en ocasiones se producen para ser vistos por el médico y que según el facultativo que presta sus servicios allí son sólo en ocasiones puntuales y únicamente cuando se demanda por un gran número de internos</w:t>
      </w:r>
      <w:r w:rsidRPr="00410822">
        <w:rPr>
          <w:rStyle w:val="Refdenotaalpie"/>
          <w:rFonts w:ascii="Inter" w:hAnsi="Inter"/>
          <w:sz w:val="22"/>
          <w:szCs w:val="22"/>
        </w:rPr>
        <w:footnoteReference w:id="12"/>
      </w:r>
      <w:r w:rsidRPr="00410822">
        <w:rPr>
          <w:rFonts w:ascii="Inter" w:hAnsi="Inter"/>
          <w:sz w:val="22"/>
          <w:szCs w:val="22"/>
        </w:rPr>
        <w:t>.</w:t>
      </w:r>
    </w:p>
    <w:p w:rsidR="00204A0A" w:rsidRPr="00410822" w:rsidRDefault="00204A0A" w:rsidP="00204A0A">
      <w:pPr>
        <w:pStyle w:val="SingleTxtG"/>
        <w:numPr>
          <w:ilvl w:val="0"/>
          <w:numId w:val="39"/>
        </w:numPr>
        <w:spacing w:before="120" w:line="240" w:lineRule="auto"/>
        <w:ind w:left="425" w:hanging="207"/>
        <w:rPr>
          <w:rFonts w:ascii="Inter" w:hAnsi="Inter"/>
          <w:sz w:val="22"/>
          <w:szCs w:val="22"/>
        </w:rPr>
      </w:pPr>
      <w:r w:rsidRPr="00410822">
        <w:rPr>
          <w:rFonts w:ascii="Inter" w:hAnsi="Inter"/>
          <w:sz w:val="22"/>
          <w:szCs w:val="22"/>
        </w:rPr>
        <w:t>Siguen sin existir intérpretes fijos y falta también un convenio con el Colegio de Abogados de Murcia para la asistencia letrada permanente</w:t>
      </w:r>
      <w:r w:rsidRPr="00410822">
        <w:rPr>
          <w:rStyle w:val="Refdenotaalpie"/>
          <w:rFonts w:ascii="Inter" w:hAnsi="Inter"/>
          <w:sz w:val="22"/>
          <w:szCs w:val="22"/>
        </w:rPr>
        <w:footnoteReference w:id="13"/>
      </w:r>
      <w:r w:rsidRPr="00410822">
        <w:rPr>
          <w:rFonts w:ascii="Inter" w:hAnsi="Inter"/>
          <w:sz w:val="22"/>
          <w:szCs w:val="22"/>
        </w:rPr>
        <w:t>.</w:t>
      </w:r>
    </w:p>
    <w:p w:rsidR="00204A0A" w:rsidRPr="00410822" w:rsidRDefault="00204A0A" w:rsidP="00204A0A">
      <w:pPr>
        <w:pStyle w:val="SingleTxtG"/>
        <w:numPr>
          <w:ilvl w:val="0"/>
          <w:numId w:val="39"/>
        </w:numPr>
        <w:spacing w:before="120" w:line="240" w:lineRule="auto"/>
        <w:ind w:left="425" w:hanging="207"/>
        <w:rPr>
          <w:rFonts w:ascii="Inter" w:hAnsi="Inter"/>
          <w:sz w:val="22"/>
          <w:szCs w:val="22"/>
        </w:rPr>
      </w:pPr>
      <w:r w:rsidRPr="00410822">
        <w:rPr>
          <w:rFonts w:ascii="Inter" w:hAnsi="Inter"/>
          <w:sz w:val="22"/>
          <w:szCs w:val="22"/>
        </w:rPr>
        <w:t>Se han registrado varias quejas contra letrados que asisten al Centro de Internamiento y que según refieren los internos tras cobrarles determinadas cantidades de dinero no logran los resultados prometidos</w:t>
      </w:r>
      <w:r w:rsidRPr="00410822">
        <w:rPr>
          <w:rStyle w:val="Refdenotaalpie"/>
          <w:rFonts w:ascii="Inter" w:hAnsi="Inter"/>
          <w:sz w:val="22"/>
          <w:szCs w:val="22"/>
        </w:rPr>
        <w:footnoteReference w:id="14"/>
      </w:r>
      <w:r w:rsidRPr="00410822">
        <w:rPr>
          <w:rFonts w:ascii="Inter" w:hAnsi="Inter"/>
          <w:sz w:val="22"/>
          <w:szCs w:val="22"/>
        </w:rPr>
        <w:t>.</w:t>
      </w:r>
    </w:p>
    <w:p w:rsidR="00204A0A" w:rsidRDefault="00204A0A" w:rsidP="00204A0A">
      <w:pPr>
        <w:pStyle w:val="SingleTxtG"/>
        <w:numPr>
          <w:ilvl w:val="0"/>
          <w:numId w:val="39"/>
        </w:numPr>
        <w:spacing w:before="120" w:line="240" w:lineRule="auto"/>
        <w:ind w:left="425" w:hanging="207"/>
        <w:rPr>
          <w:rFonts w:ascii="Inter" w:hAnsi="Inter"/>
          <w:sz w:val="22"/>
          <w:szCs w:val="22"/>
        </w:rPr>
      </w:pPr>
      <w:r w:rsidRPr="00410822">
        <w:rPr>
          <w:rFonts w:ascii="Inter" w:hAnsi="Inter"/>
          <w:sz w:val="22"/>
          <w:szCs w:val="22"/>
        </w:rPr>
        <w:t>A veces los problemas surgen por el tiempo medio de estancia que los internos pasan en el Centro antes de que se materialice su expulsión. Dicho tiempo parece excesivo ya que rondaría al parecer una estancia media de 40 días para llevarse a cabo</w:t>
      </w:r>
      <w:r w:rsidRPr="00410822">
        <w:rPr>
          <w:rStyle w:val="Refdenotaalpie"/>
          <w:rFonts w:ascii="Inter" w:hAnsi="Inter"/>
          <w:sz w:val="22"/>
          <w:szCs w:val="22"/>
        </w:rPr>
        <w:footnoteReference w:id="15"/>
      </w:r>
      <w:r w:rsidRPr="00410822">
        <w:rPr>
          <w:rFonts w:ascii="Inter" w:hAnsi="Inter"/>
          <w:sz w:val="22"/>
          <w:szCs w:val="22"/>
        </w:rPr>
        <w:t>.</w:t>
      </w:r>
    </w:p>
    <w:p w:rsidR="00616F86" w:rsidRPr="00410822" w:rsidRDefault="00616F86" w:rsidP="00616F86">
      <w:pPr>
        <w:pStyle w:val="SingleTxtG"/>
        <w:spacing w:before="120" w:line="240" w:lineRule="auto"/>
        <w:ind w:left="425"/>
        <w:rPr>
          <w:rFonts w:ascii="Inter" w:hAnsi="Inter"/>
          <w:sz w:val="22"/>
          <w:szCs w:val="22"/>
        </w:rPr>
      </w:pPr>
    </w:p>
    <w:p w:rsidR="00616F86" w:rsidRDefault="00616F86" w:rsidP="00204A0A">
      <w:pPr>
        <w:pStyle w:val="SingleTxtG"/>
        <w:spacing w:after="0" w:line="360" w:lineRule="auto"/>
        <w:ind w:left="0" w:right="-7"/>
        <w:rPr>
          <w:rFonts w:ascii="Inter" w:hAnsi="Inter"/>
          <w:sz w:val="22"/>
          <w:szCs w:val="22"/>
        </w:rPr>
      </w:pPr>
      <w:r>
        <w:rPr>
          <w:rFonts w:ascii="Inter" w:hAnsi="Inter"/>
          <w:sz w:val="22"/>
          <w:szCs w:val="22"/>
        </w:rPr>
        <w:t xml:space="preserve">Estas deficiencias de funcionamiento se confirman en el informe de la Fiscalía del Estado del año 2024, ya que a pesar de que hay diversas medidas previstas legalmente, sólo </w:t>
      </w:r>
      <w:r w:rsidRPr="00616F86">
        <w:rPr>
          <w:rFonts w:ascii="Inter" w:hAnsi="Inter"/>
          <w:i/>
          <w:sz w:val="22"/>
          <w:szCs w:val="22"/>
        </w:rPr>
        <w:t>“a instancia de la Fiscal, se colocó en el centro un buzón de quejas y sugerencias a nombre de Fiscalía por si algún interno quería plantear alguna cuestión en relación con su situación personal</w:t>
      </w:r>
      <w:r>
        <w:rPr>
          <w:rFonts w:ascii="Inter" w:hAnsi="Inter"/>
          <w:i/>
          <w:sz w:val="22"/>
          <w:szCs w:val="22"/>
        </w:rPr>
        <w:t>”</w:t>
      </w:r>
      <w:r>
        <w:rPr>
          <w:rStyle w:val="Refdenotaalpie"/>
          <w:rFonts w:ascii="Inter" w:hAnsi="Inter"/>
          <w:i/>
          <w:sz w:val="22"/>
          <w:szCs w:val="22"/>
        </w:rPr>
        <w:footnoteReference w:id="16"/>
      </w:r>
      <w:r w:rsidRPr="00616F86">
        <w:rPr>
          <w:rFonts w:ascii="Inter" w:hAnsi="Inter"/>
          <w:sz w:val="22"/>
          <w:szCs w:val="22"/>
        </w:rPr>
        <w:t>.</w:t>
      </w:r>
      <w:r>
        <w:rPr>
          <w:rFonts w:ascii="Inter" w:hAnsi="Inter"/>
          <w:sz w:val="22"/>
          <w:szCs w:val="22"/>
        </w:rPr>
        <w:t xml:space="preserve"> Es decir, que no hay un cumplimiento ordinario de los mandatos legales, por más que estén previstos y, solo se cumplen, si hay una intervención activa. Por lo que en todos aquellos casos que por el desconocimiento de la Ley o situación en que se encuentran las </w:t>
      </w:r>
      <w:r>
        <w:rPr>
          <w:rFonts w:ascii="Inter" w:hAnsi="Inter"/>
          <w:sz w:val="22"/>
          <w:szCs w:val="22"/>
        </w:rPr>
        <w:lastRenderedPageBreak/>
        <w:t>personas migrantes, no puede activar ningún medio para que se cumpla la Ley, se mantiene la discrecionalidad y arbitrariedad en el cumplimiento de ésta.</w:t>
      </w:r>
    </w:p>
    <w:p w:rsidR="007B244F" w:rsidRPr="00A871FE" w:rsidRDefault="007B244F" w:rsidP="007B244F">
      <w:pPr>
        <w:spacing w:before="100" w:beforeAutospacing="1" w:after="100" w:afterAutospacing="1"/>
        <w:jc w:val="both"/>
        <w:rPr>
          <w:sz w:val="22"/>
          <w:szCs w:val="22"/>
        </w:rPr>
      </w:pPr>
      <w:r w:rsidRPr="00A871FE">
        <w:rPr>
          <w:sz w:val="22"/>
          <w:szCs w:val="22"/>
        </w:rPr>
        <w:t xml:space="preserve">El propio </w:t>
      </w:r>
      <w:r w:rsidRPr="00A871FE">
        <w:rPr>
          <w:rStyle w:val="Textoennegrita"/>
          <w:sz w:val="22"/>
          <w:szCs w:val="22"/>
        </w:rPr>
        <w:t>Reglamento de funcionamiento de los CIE (Real Decreto 162/2014)</w:t>
      </w:r>
      <w:r w:rsidRPr="00A871FE">
        <w:rPr>
          <w:sz w:val="22"/>
          <w:szCs w:val="22"/>
        </w:rPr>
        <w:t xml:space="preserve"> ha sido duramente cuestionado por limitar derechos de manera no prevista por la Ley y fue objeto de varias anulaciones por el Tribunal Supremo (por ejemplo, artículos 7.3, 16.2.k, 21.3 y 55.2)​.</w:t>
      </w:r>
    </w:p>
    <w:p w:rsidR="00204A0A" w:rsidRPr="00C61804" w:rsidRDefault="00204A0A" w:rsidP="00204A0A">
      <w:pPr>
        <w:pStyle w:val="SingleTxtG"/>
        <w:spacing w:after="0" w:line="360" w:lineRule="auto"/>
        <w:ind w:left="0" w:right="-7"/>
        <w:rPr>
          <w:rFonts w:ascii="Inter" w:hAnsi="Inter"/>
          <w:sz w:val="22"/>
          <w:szCs w:val="22"/>
        </w:rPr>
      </w:pPr>
      <w:r>
        <w:rPr>
          <w:rFonts w:ascii="Inter" w:hAnsi="Inter"/>
          <w:sz w:val="22"/>
          <w:szCs w:val="22"/>
        </w:rPr>
        <w:t xml:space="preserve">Con lo que resulta evidente que </w:t>
      </w:r>
      <w:r>
        <w:rPr>
          <w:rFonts w:ascii="Inter" w:hAnsi="Inter"/>
          <w:b/>
          <w:sz w:val="22"/>
          <w:szCs w:val="22"/>
        </w:rPr>
        <w:t>las infraestructuras son sólo una parte y no todas</w:t>
      </w:r>
      <w:r>
        <w:rPr>
          <w:rFonts w:ascii="Inter" w:hAnsi="Inter"/>
          <w:sz w:val="22"/>
          <w:szCs w:val="22"/>
        </w:rPr>
        <w:t xml:space="preserve"> </w:t>
      </w:r>
      <w:r w:rsidRPr="00616F86">
        <w:rPr>
          <w:rFonts w:ascii="Inter" w:hAnsi="Inter"/>
          <w:b/>
          <w:sz w:val="22"/>
          <w:szCs w:val="22"/>
        </w:rPr>
        <w:t>las ineficiencias e ineficacias que generan vulneraciones de derechos humanos</w:t>
      </w:r>
      <w:r>
        <w:rPr>
          <w:rFonts w:ascii="Inter" w:hAnsi="Inter"/>
          <w:sz w:val="22"/>
          <w:szCs w:val="22"/>
        </w:rPr>
        <w:t xml:space="preserve"> reconocidos en el Pacto, dentro de un CIE. Sin embargo, el Estado español solo informa a ese Comité de la parte ornamental</w:t>
      </w:r>
      <w:r w:rsidR="00616F86">
        <w:rPr>
          <w:rFonts w:ascii="Inter" w:hAnsi="Inter"/>
          <w:sz w:val="22"/>
          <w:szCs w:val="22"/>
        </w:rPr>
        <w:t xml:space="preserve"> en la que sí se muestran mejoras</w:t>
      </w:r>
      <w:r>
        <w:rPr>
          <w:rFonts w:ascii="Inter" w:hAnsi="Inter"/>
          <w:sz w:val="22"/>
          <w:szCs w:val="22"/>
        </w:rPr>
        <w:t>.</w:t>
      </w:r>
    </w:p>
    <w:p w:rsidR="00204A0A" w:rsidRDefault="00204A0A" w:rsidP="00204A0A">
      <w:pPr>
        <w:pStyle w:val="SingleTxtG"/>
        <w:spacing w:after="0" w:line="360" w:lineRule="auto"/>
        <w:ind w:left="0" w:right="-1"/>
        <w:rPr>
          <w:rFonts w:ascii="Inter" w:hAnsi="Inter"/>
          <w:sz w:val="22"/>
          <w:szCs w:val="22"/>
        </w:rPr>
      </w:pPr>
    </w:p>
    <w:p w:rsidR="00204A0A" w:rsidRDefault="00616F86" w:rsidP="00204A0A">
      <w:pPr>
        <w:pStyle w:val="SingleTxtG"/>
        <w:spacing w:after="0" w:line="360" w:lineRule="auto"/>
        <w:ind w:left="0" w:right="-1"/>
        <w:rPr>
          <w:rFonts w:ascii="Inter" w:hAnsi="Inter"/>
          <w:sz w:val="22"/>
          <w:szCs w:val="22"/>
        </w:rPr>
      </w:pPr>
      <w:r>
        <w:rPr>
          <w:rFonts w:ascii="Inter" w:hAnsi="Inter"/>
          <w:sz w:val="22"/>
          <w:szCs w:val="22"/>
        </w:rPr>
        <w:t>A</w:t>
      </w:r>
      <w:r w:rsidR="00204A0A">
        <w:rPr>
          <w:rFonts w:ascii="Inter" w:hAnsi="Inter"/>
          <w:sz w:val="22"/>
          <w:szCs w:val="22"/>
        </w:rPr>
        <w:t xml:space="preserve"> pesar de que el Estado español quiere demostrar que ha solucionado los problemas de infraestructuras en centros de detención migratoria, en el informe de la Fiscalía del Estado 2024 se desmiente parte de eso, ya que ahí se señala que: “</w:t>
      </w:r>
      <w:r w:rsidR="00204A0A" w:rsidRPr="00C61804">
        <w:rPr>
          <w:rFonts w:ascii="Inter" w:hAnsi="Inter"/>
          <w:i/>
          <w:sz w:val="22"/>
          <w:szCs w:val="22"/>
        </w:rPr>
        <w:t>La principal deficiencia detectada en las dos inspecciones realizadas en el año 2023 es la provisionalidad ya endémica del CATE de Lanzarote, no reuniendo éste las condiciones necesarias para una primera acogida (se trata de un solar en el que se han instalado tiendas de campaña, sin sombra, sin pavimentar y que, con una capacidad para 300 personas, es normal que supere su capacidad)</w:t>
      </w:r>
      <w:r w:rsidR="00204A0A">
        <w:rPr>
          <w:rFonts w:ascii="Inter" w:hAnsi="Inter"/>
          <w:i/>
          <w:sz w:val="22"/>
          <w:szCs w:val="22"/>
        </w:rPr>
        <w:t>”</w:t>
      </w:r>
      <w:r w:rsidR="00204A0A">
        <w:rPr>
          <w:rStyle w:val="Refdenotaalpie"/>
          <w:rFonts w:ascii="Inter" w:hAnsi="Inter"/>
          <w:i/>
          <w:sz w:val="22"/>
          <w:szCs w:val="22"/>
        </w:rPr>
        <w:footnoteReference w:id="17"/>
      </w:r>
      <w:r w:rsidR="00204A0A" w:rsidRPr="00C61804">
        <w:rPr>
          <w:rFonts w:ascii="Inter" w:hAnsi="Inter"/>
          <w:i/>
          <w:sz w:val="22"/>
          <w:szCs w:val="22"/>
        </w:rPr>
        <w:t>.</w:t>
      </w:r>
    </w:p>
    <w:p w:rsidR="00204A0A" w:rsidRDefault="00204A0A" w:rsidP="00204A0A">
      <w:pPr>
        <w:pStyle w:val="SingleTxtG"/>
        <w:spacing w:after="0" w:line="360" w:lineRule="auto"/>
        <w:ind w:left="0" w:right="-1"/>
        <w:rPr>
          <w:rFonts w:ascii="Inter" w:hAnsi="Inter"/>
          <w:sz w:val="22"/>
          <w:szCs w:val="22"/>
        </w:rPr>
      </w:pPr>
    </w:p>
    <w:p w:rsidR="00204A0A" w:rsidRPr="00410822" w:rsidRDefault="00204A0A" w:rsidP="00204A0A">
      <w:pPr>
        <w:pStyle w:val="SingleTxtG"/>
        <w:spacing w:after="0" w:line="360" w:lineRule="auto"/>
        <w:ind w:left="0" w:right="-1"/>
        <w:rPr>
          <w:rFonts w:ascii="Inter" w:hAnsi="Inter"/>
          <w:sz w:val="22"/>
          <w:szCs w:val="22"/>
        </w:rPr>
      </w:pPr>
      <w:r w:rsidRPr="00410822">
        <w:rPr>
          <w:rFonts w:ascii="Inter" w:hAnsi="Inter"/>
          <w:sz w:val="22"/>
          <w:szCs w:val="22"/>
        </w:rPr>
        <w:t xml:space="preserve">Todo lo anterior, es constatado por </w:t>
      </w:r>
      <w:r>
        <w:rPr>
          <w:rFonts w:ascii="Inter" w:hAnsi="Inter"/>
          <w:sz w:val="22"/>
          <w:szCs w:val="22"/>
        </w:rPr>
        <w:t>organizaciones de la sociedad civil q</w:t>
      </w:r>
      <w:r w:rsidRPr="00410822">
        <w:rPr>
          <w:rFonts w:ascii="Inter" w:hAnsi="Inter"/>
          <w:sz w:val="22"/>
          <w:szCs w:val="22"/>
        </w:rPr>
        <w:t xml:space="preserve">ue, enfrentando muchas </w:t>
      </w:r>
      <w:r w:rsidRPr="00410822">
        <w:rPr>
          <w:rFonts w:ascii="Inter" w:hAnsi="Inter"/>
          <w:b/>
          <w:sz w:val="22"/>
          <w:szCs w:val="22"/>
        </w:rPr>
        <w:t>dificultades</w:t>
      </w:r>
      <w:r w:rsidRPr="00410822">
        <w:rPr>
          <w:rFonts w:ascii="Inter" w:hAnsi="Inter"/>
          <w:sz w:val="22"/>
          <w:szCs w:val="22"/>
        </w:rPr>
        <w:t xml:space="preserve"> para llevar a cabo </w:t>
      </w:r>
      <w:r w:rsidRPr="00410822">
        <w:rPr>
          <w:rFonts w:ascii="Inter" w:hAnsi="Inter"/>
          <w:b/>
          <w:sz w:val="22"/>
          <w:szCs w:val="22"/>
        </w:rPr>
        <w:t>visitas en los CIE</w:t>
      </w:r>
      <w:r w:rsidRPr="00410822">
        <w:rPr>
          <w:rFonts w:ascii="Inter" w:hAnsi="Inter"/>
          <w:sz w:val="22"/>
          <w:szCs w:val="22"/>
        </w:rPr>
        <w:t xml:space="preserve"> a pesar de la previsión reglamentaria de la autorización, han podido documentar esas y más situaciones. Por lo que, lo que afirma el Estado en su informe </w:t>
      </w:r>
      <w:r>
        <w:rPr>
          <w:rFonts w:ascii="Inter" w:hAnsi="Inter"/>
          <w:sz w:val="22"/>
          <w:szCs w:val="22"/>
        </w:rPr>
        <w:t>no da cuenta de todo lo que implica estar en un CIE o CATE,</w:t>
      </w:r>
      <w:r w:rsidRPr="00410822">
        <w:rPr>
          <w:rFonts w:ascii="Inter" w:hAnsi="Inter"/>
          <w:sz w:val="22"/>
          <w:szCs w:val="22"/>
        </w:rPr>
        <w:t xml:space="preserve"> como ha quedado demostrado.</w:t>
      </w:r>
    </w:p>
    <w:p w:rsidR="00925535" w:rsidRPr="00FB3140" w:rsidRDefault="00925535" w:rsidP="00FB3140">
      <w:pPr>
        <w:pStyle w:val="Ttulo3"/>
        <w:numPr>
          <w:ilvl w:val="0"/>
          <w:numId w:val="38"/>
        </w:numPr>
        <w:jc w:val="both"/>
        <w:rPr>
          <w:rFonts w:ascii="Inter" w:hAnsi="Inter"/>
          <w:bCs w:val="0"/>
          <w:sz w:val="24"/>
        </w:rPr>
      </w:pPr>
      <w:bookmarkStart w:id="11" w:name="_Toc199156298"/>
      <w:r w:rsidRPr="00FB3140">
        <w:rPr>
          <w:rFonts w:ascii="Inter" w:hAnsi="Inter"/>
          <w:sz w:val="24"/>
        </w:rPr>
        <w:lastRenderedPageBreak/>
        <w:t>Ausencia de alternativas reales al internamiento</w:t>
      </w:r>
      <w:bookmarkEnd w:id="11"/>
    </w:p>
    <w:p w:rsidR="00925535" w:rsidRPr="00A871FE" w:rsidRDefault="00925535" w:rsidP="00925535">
      <w:pPr>
        <w:spacing w:before="100" w:beforeAutospacing="1" w:after="100" w:afterAutospacing="1"/>
        <w:jc w:val="both"/>
        <w:rPr>
          <w:sz w:val="22"/>
          <w:szCs w:val="22"/>
        </w:rPr>
      </w:pPr>
      <w:r w:rsidRPr="00A871FE">
        <w:rPr>
          <w:sz w:val="22"/>
          <w:szCs w:val="22"/>
        </w:rPr>
        <w:t xml:space="preserve">Aunque el artículo 61.1 de la Ley de Extranjería contempla </w:t>
      </w:r>
      <w:r w:rsidRPr="00A871FE">
        <w:rPr>
          <w:rStyle w:val="Textoennegrita"/>
          <w:sz w:val="22"/>
          <w:szCs w:val="22"/>
        </w:rPr>
        <w:t>medidas alternativas menos lesivas</w:t>
      </w:r>
      <w:r w:rsidRPr="00A871FE">
        <w:rPr>
          <w:sz w:val="22"/>
          <w:szCs w:val="22"/>
        </w:rPr>
        <w:t>, el Estado no informa sobre su implementación real</w:t>
      </w:r>
      <w:r w:rsidR="009C56D1">
        <w:rPr>
          <w:sz w:val="22"/>
          <w:szCs w:val="22"/>
        </w:rPr>
        <w:t>, que sería una buena forma de mostrar que el internamiento es efectivamente una medida excepcional</w:t>
      </w:r>
      <w:r w:rsidRPr="00A871FE">
        <w:rPr>
          <w:sz w:val="22"/>
          <w:szCs w:val="22"/>
        </w:rPr>
        <w:t xml:space="preserve">. </w:t>
      </w:r>
      <w:r w:rsidR="009C56D1" w:rsidRPr="009C56D1">
        <w:rPr>
          <w:b/>
          <w:sz w:val="22"/>
          <w:szCs w:val="22"/>
        </w:rPr>
        <w:t>N</w:t>
      </w:r>
      <w:r w:rsidRPr="00A871FE">
        <w:rPr>
          <w:rStyle w:val="Textoennegrita"/>
          <w:sz w:val="22"/>
          <w:szCs w:val="22"/>
        </w:rPr>
        <w:t>o existe una política pública que promueva activamente su uso</w:t>
      </w:r>
      <w:r w:rsidRPr="00A871FE">
        <w:rPr>
          <w:sz w:val="22"/>
          <w:szCs w:val="22"/>
        </w:rPr>
        <w:t>, ni hay datos disponibles sobre su aplicación.</w:t>
      </w:r>
    </w:p>
    <w:p w:rsidR="00925535" w:rsidRDefault="00925535" w:rsidP="00925535">
      <w:pPr>
        <w:spacing w:before="100" w:beforeAutospacing="1" w:after="100" w:afterAutospacing="1"/>
        <w:jc w:val="both"/>
        <w:rPr>
          <w:sz w:val="22"/>
          <w:szCs w:val="22"/>
        </w:rPr>
      </w:pPr>
      <w:r w:rsidRPr="00A871FE">
        <w:rPr>
          <w:sz w:val="22"/>
          <w:szCs w:val="22"/>
        </w:rPr>
        <w:t xml:space="preserve">La falta de desarrollo reglamentario de estas alternativas evidencia una </w:t>
      </w:r>
      <w:r w:rsidRPr="00A871FE">
        <w:rPr>
          <w:rStyle w:val="Textoennegrita"/>
          <w:sz w:val="22"/>
          <w:szCs w:val="22"/>
        </w:rPr>
        <w:t>omisión deliberada</w:t>
      </w:r>
      <w:r w:rsidRPr="00A871FE">
        <w:rPr>
          <w:sz w:val="22"/>
          <w:szCs w:val="22"/>
        </w:rPr>
        <w:t xml:space="preserve"> que refuerza el uso del internamiento como norma y no c</w:t>
      </w:r>
      <w:r w:rsidR="009C56D1">
        <w:rPr>
          <w:sz w:val="22"/>
          <w:szCs w:val="22"/>
        </w:rPr>
        <w:t>omo excepción, contraviniendo tanto la propia Ley de Extranjería como la</w:t>
      </w:r>
      <w:r w:rsidRPr="00A871FE">
        <w:rPr>
          <w:sz w:val="22"/>
          <w:szCs w:val="22"/>
        </w:rPr>
        <w:t xml:space="preserve"> Directiva 2008/115/CE que solo permite el internamiento cuando no existan “medidas suficientes de carácter menos coercitivo”.</w:t>
      </w:r>
    </w:p>
    <w:p w:rsidR="009C56D1" w:rsidRPr="009C56D1" w:rsidRDefault="009C56D1" w:rsidP="009C56D1">
      <w:pPr>
        <w:pStyle w:val="1TextCos"/>
      </w:pPr>
    </w:p>
    <w:p w:rsidR="00925535" w:rsidRPr="00FB3140" w:rsidRDefault="00925535" w:rsidP="00FB3140">
      <w:pPr>
        <w:pStyle w:val="Ttulo3"/>
        <w:numPr>
          <w:ilvl w:val="0"/>
          <w:numId w:val="38"/>
        </w:numPr>
        <w:jc w:val="both"/>
        <w:rPr>
          <w:rFonts w:ascii="Inter" w:hAnsi="Inter"/>
          <w:sz w:val="24"/>
        </w:rPr>
      </w:pPr>
      <w:bookmarkStart w:id="12" w:name="_Toc199156299"/>
      <w:r w:rsidRPr="00FB3140">
        <w:rPr>
          <w:rFonts w:ascii="Inter" w:hAnsi="Inter"/>
          <w:sz w:val="24"/>
        </w:rPr>
        <w:t>Conclusión y recomendaciones</w:t>
      </w:r>
      <w:bookmarkEnd w:id="12"/>
    </w:p>
    <w:p w:rsidR="00925535" w:rsidRDefault="00925535" w:rsidP="00925535">
      <w:pPr>
        <w:spacing w:before="100" w:beforeAutospacing="1" w:after="100" w:afterAutospacing="1"/>
        <w:jc w:val="both"/>
        <w:rPr>
          <w:sz w:val="22"/>
          <w:szCs w:val="22"/>
        </w:rPr>
      </w:pPr>
      <w:r w:rsidRPr="00A871FE">
        <w:rPr>
          <w:sz w:val="22"/>
          <w:szCs w:val="22"/>
        </w:rPr>
        <w:t>El Estado español presenta el internamiento como una medida cautelar con garantías suficientes y condiciones aceptables. Sin embargo, el análisis de su base normativa</w:t>
      </w:r>
      <w:r w:rsidR="00013856">
        <w:rPr>
          <w:sz w:val="22"/>
          <w:szCs w:val="22"/>
        </w:rPr>
        <w:t xml:space="preserve"> y aplicación práctica, se </w:t>
      </w:r>
      <w:r w:rsidRPr="00A871FE">
        <w:rPr>
          <w:sz w:val="22"/>
          <w:szCs w:val="22"/>
        </w:rPr>
        <w:t xml:space="preserve">demuestran </w:t>
      </w:r>
      <w:r w:rsidR="00013856">
        <w:rPr>
          <w:sz w:val="22"/>
          <w:szCs w:val="22"/>
        </w:rPr>
        <w:t>diveras</w:t>
      </w:r>
      <w:r w:rsidRPr="00A871FE">
        <w:rPr>
          <w:sz w:val="22"/>
          <w:szCs w:val="22"/>
        </w:rPr>
        <w:t xml:space="preserve"> vulneraci</w:t>
      </w:r>
      <w:r w:rsidR="00013856">
        <w:rPr>
          <w:sz w:val="22"/>
          <w:szCs w:val="22"/>
        </w:rPr>
        <w:t>ones a</w:t>
      </w:r>
      <w:r w:rsidRPr="00A871FE">
        <w:rPr>
          <w:sz w:val="22"/>
          <w:szCs w:val="22"/>
        </w:rPr>
        <w:t xml:space="preserve"> los derechos </w:t>
      </w:r>
      <w:r w:rsidR="00013856">
        <w:rPr>
          <w:sz w:val="22"/>
          <w:szCs w:val="22"/>
        </w:rPr>
        <w:t xml:space="preserve">reconcoidos </w:t>
      </w:r>
      <w:r w:rsidRPr="00A871FE">
        <w:rPr>
          <w:sz w:val="22"/>
          <w:szCs w:val="22"/>
        </w:rPr>
        <w:t xml:space="preserve">por el </w:t>
      </w:r>
      <w:r w:rsidR="00013856">
        <w:rPr>
          <w:sz w:val="22"/>
          <w:szCs w:val="22"/>
        </w:rPr>
        <w:t>Pacto</w:t>
      </w:r>
      <w:r w:rsidRPr="00A871FE">
        <w:rPr>
          <w:sz w:val="22"/>
          <w:szCs w:val="22"/>
        </w:rPr>
        <w:t>.</w:t>
      </w:r>
    </w:p>
    <w:p w:rsidR="00412E0D" w:rsidRPr="00412E0D" w:rsidRDefault="00412E0D" w:rsidP="00412E0D">
      <w:pPr>
        <w:pStyle w:val="1TextCos"/>
      </w:pPr>
    </w:p>
    <w:p w:rsidR="00925535" w:rsidRPr="00A871FE" w:rsidRDefault="00925535" w:rsidP="00925535">
      <w:pPr>
        <w:spacing w:before="100" w:beforeAutospacing="1" w:after="100" w:afterAutospacing="1"/>
        <w:jc w:val="both"/>
        <w:rPr>
          <w:sz w:val="22"/>
          <w:szCs w:val="22"/>
        </w:rPr>
      </w:pPr>
      <w:r w:rsidRPr="00A871FE">
        <w:rPr>
          <w:sz w:val="22"/>
          <w:szCs w:val="22"/>
        </w:rPr>
        <w:t>El Comité de Derechos Humanos debería recomendar al Estado español</w:t>
      </w:r>
      <w:r w:rsidR="00013856">
        <w:rPr>
          <w:sz w:val="22"/>
          <w:szCs w:val="22"/>
        </w:rPr>
        <w:t>, en esta materia, que</w:t>
      </w:r>
      <w:r w:rsidRPr="00A871FE">
        <w:rPr>
          <w:sz w:val="22"/>
          <w:szCs w:val="22"/>
        </w:rPr>
        <w:t>:</w:t>
      </w:r>
    </w:p>
    <w:p w:rsidR="00013856" w:rsidRPr="00013856" w:rsidRDefault="00013856" w:rsidP="00013856">
      <w:pPr>
        <w:numPr>
          <w:ilvl w:val="0"/>
          <w:numId w:val="28"/>
        </w:numPr>
        <w:spacing w:before="240" w:after="240" w:line="240" w:lineRule="auto"/>
        <w:ind w:left="714" w:hanging="357"/>
        <w:jc w:val="both"/>
        <w:rPr>
          <w:rStyle w:val="Textoennegrita"/>
          <w:b w:val="0"/>
          <w:bCs w:val="0"/>
          <w:sz w:val="22"/>
          <w:szCs w:val="22"/>
        </w:rPr>
      </w:pPr>
      <w:r>
        <w:rPr>
          <w:rStyle w:val="Textoennegrita"/>
          <w:bCs w:val="0"/>
          <w:sz w:val="22"/>
          <w:szCs w:val="22"/>
        </w:rPr>
        <w:t xml:space="preserve">Reforme su legislación nacional </w:t>
      </w:r>
      <w:r>
        <w:rPr>
          <w:rStyle w:val="Textoennegrita"/>
          <w:b w:val="0"/>
          <w:bCs w:val="0"/>
          <w:sz w:val="22"/>
          <w:szCs w:val="22"/>
        </w:rPr>
        <w:t>a fin de que la medida cautelar de internamiento cumpla con su naturaleza y no sea una privación arbitraria de libertad como lo es actualmente.</w:t>
      </w:r>
    </w:p>
    <w:p w:rsidR="00925535" w:rsidRPr="00A871FE" w:rsidRDefault="00013856" w:rsidP="00013856">
      <w:pPr>
        <w:numPr>
          <w:ilvl w:val="0"/>
          <w:numId w:val="28"/>
        </w:numPr>
        <w:spacing w:before="240" w:after="240" w:line="240" w:lineRule="auto"/>
        <w:ind w:left="714" w:hanging="357"/>
        <w:jc w:val="both"/>
        <w:rPr>
          <w:sz w:val="22"/>
          <w:szCs w:val="22"/>
        </w:rPr>
      </w:pPr>
      <w:r>
        <w:rPr>
          <w:rStyle w:val="Textoennegrita"/>
          <w:sz w:val="22"/>
          <w:szCs w:val="22"/>
        </w:rPr>
        <w:t>Desarrolle reglamentariamente e implemente las</w:t>
      </w:r>
      <w:r w:rsidR="00925535" w:rsidRPr="00A871FE">
        <w:rPr>
          <w:rStyle w:val="Textoennegrita"/>
          <w:sz w:val="22"/>
          <w:szCs w:val="22"/>
        </w:rPr>
        <w:t>medidas alternativas al internamiento</w:t>
      </w:r>
      <w:r w:rsidR="00925535" w:rsidRPr="00A871FE">
        <w:rPr>
          <w:sz w:val="22"/>
          <w:szCs w:val="22"/>
        </w:rPr>
        <w:t>, como la comparecencia periódica o la obligación de residencia</w:t>
      </w:r>
      <w:r>
        <w:rPr>
          <w:sz w:val="22"/>
          <w:szCs w:val="22"/>
        </w:rPr>
        <w:t xml:space="preserve"> que ya tiene establecidas en la Ley Orgánica de Extranjería</w:t>
      </w:r>
      <w:r w:rsidR="00925535" w:rsidRPr="00A871FE">
        <w:rPr>
          <w:sz w:val="22"/>
          <w:szCs w:val="22"/>
        </w:rPr>
        <w:t>.</w:t>
      </w:r>
    </w:p>
    <w:p w:rsidR="00925535" w:rsidRPr="00A871FE" w:rsidRDefault="00925535" w:rsidP="00013856">
      <w:pPr>
        <w:numPr>
          <w:ilvl w:val="0"/>
          <w:numId w:val="28"/>
        </w:numPr>
        <w:spacing w:before="240" w:after="240" w:line="240" w:lineRule="auto"/>
        <w:ind w:left="714" w:hanging="357"/>
        <w:jc w:val="both"/>
        <w:rPr>
          <w:sz w:val="22"/>
          <w:szCs w:val="22"/>
        </w:rPr>
      </w:pPr>
      <w:r w:rsidRPr="00A871FE">
        <w:rPr>
          <w:rStyle w:val="Textoennegrita"/>
          <w:sz w:val="22"/>
          <w:szCs w:val="22"/>
        </w:rPr>
        <w:t>Asegurar condiciones materiales</w:t>
      </w:r>
      <w:r w:rsidR="00013856">
        <w:rPr>
          <w:rStyle w:val="Textoennegrita"/>
          <w:sz w:val="22"/>
          <w:szCs w:val="22"/>
        </w:rPr>
        <w:t xml:space="preserve"> y de garantía de derechos humanos</w:t>
      </w:r>
      <w:r w:rsidRPr="00A871FE">
        <w:rPr>
          <w:rStyle w:val="Textoennegrita"/>
          <w:sz w:val="22"/>
          <w:szCs w:val="22"/>
        </w:rPr>
        <w:t xml:space="preserve"> </w:t>
      </w:r>
      <w:r w:rsidRPr="00013856">
        <w:rPr>
          <w:rStyle w:val="Textoennegrita"/>
          <w:b w:val="0"/>
          <w:sz w:val="22"/>
          <w:szCs w:val="22"/>
        </w:rPr>
        <w:t>que respeten la dignidad de las personas internada</w:t>
      </w:r>
      <w:r w:rsidR="00013856" w:rsidRPr="00013856">
        <w:rPr>
          <w:rStyle w:val="Textoennegrita"/>
          <w:b w:val="0"/>
          <w:sz w:val="22"/>
          <w:szCs w:val="22"/>
        </w:rPr>
        <w:t>s en los CIE, CATE o cualquier otro lugar que se utilice como</w:t>
      </w:r>
      <w:r w:rsidR="00013856">
        <w:rPr>
          <w:rStyle w:val="Textoennegrita"/>
          <w:b w:val="0"/>
          <w:sz w:val="22"/>
          <w:szCs w:val="22"/>
        </w:rPr>
        <w:t xml:space="preserve"> centro de detención migratoria</w:t>
      </w:r>
      <w:r w:rsidRPr="00013856">
        <w:rPr>
          <w:b/>
          <w:sz w:val="22"/>
          <w:szCs w:val="22"/>
        </w:rPr>
        <w:t>.</w:t>
      </w:r>
    </w:p>
    <w:p w:rsidR="00277E32" w:rsidRDefault="00277E32" w:rsidP="00277E32">
      <w:pPr>
        <w:pStyle w:val="1TextCos"/>
      </w:pPr>
    </w:p>
    <w:p w:rsidR="0050348B" w:rsidRDefault="001C50E1" w:rsidP="00277E32">
      <w:pPr>
        <w:pStyle w:val="2TtolGran"/>
        <w:numPr>
          <w:ilvl w:val="0"/>
          <w:numId w:val="36"/>
        </w:numPr>
      </w:pPr>
      <w:bookmarkStart w:id="13" w:name="_Toc199156300"/>
      <w:r w:rsidRPr="001C50E1">
        <w:t>Inteligencia artificial y derechos humanos</w:t>
      </w:r>
      <w:bookmarkEnd w:id="13"/>
    </w:p>
    <w:p w:rsidR="00925535" w:rsidRDefault="00925535" w:rsidP="00277E32">
      <w:pPr>
        <w:spacing w:line="360" w:lineRule="auto"/>
        <w:jc w:val="both"/>
        <w:rPr>
          <w:sz w:val="22"/>
          <w:szCs w:val="22"/>
        </w:rPr>
      </w:pPr>
      <w:r w:rsidRPr="00DA6F93">
        <w:rPr>
          <w:sz w:val="22"/>
          <w:szCs w:val="22"/>
        </w:rPr>
        <w:t xml:space="preserve">El informe presentado por el Estado español </w:t>
      </w:r>
      <w:r w:rsidRPr="00DA6F93">
        <w:rPr>
          <w:rStyle w:val="Textoennegrita"/>
          <w:sz w:val="22"/>
          <w:szCs w:val="22"/>
        </w:rPr>
        <w:t xml:space="preserve">no incluye ningún apartado relativo al impacto de la inteligencia artificial (IA) en </w:t>
      </w:r>
      <w:r w:rsidR="00DA6F93">
        <w:rPr>
          <w:rStyle w:val="Textoennegrita"/>
          <w:sz w:val="22"/>
          <w:szCs w:val="22"/>
        </w:rPr>
        <w:t>los derechos protegidos por el P</w:t>
      </w:r>
      <w:r w:rsidRPr="00DA6F93">
        <w:rPr>
          <w:rStyle w:val="Textoennegrita"/>
          <w:sz w:val="22"/>
          <w:szCs w:val="22"/>
        </w:rPr>
        <w:t>acto</w:t>
      </w:r>
      <w:r w:rsidRPr="00DA6F93">
        <w:rPr>
          <w:sz w:val="22"/>
          <w:szCs w:val="22"/>
        </w:rPr>
        <w:t>, a pesar de que su uso en múltiples ámbitos de la administración pública, incluida la gestión migratoria, la seguridad y la justicia, ya plantea serios desafíos a principios fundamentales como la no discriminación, la igualdad ante la ley, la tutela judicial efectiva y la prohibición de tratos crueles, inhumanos o degradantes.</w:t>
      </w:r>
    </w:p>
    <w:p w:rsidR="00DA6F93" w:rsidRPr="00DA6F93" w:rsidRDefault="00DA6F93" w:rsidP="00DA6F93">
      <w:pPr>
        <w:pStyle w:val="1TextCos"/>
      </w:pPr>
    </w:p>
    <w:p w:rsidR="00925535" w:rsidRPr="00DA6F93" w:rsidRDefault="00925535" w:rsidP="00277E32">
      <w:pPr>
        <w:spacing w:line="360" w:lineRule="auto"/>
        <w:jc w:val="both"/>
        <w:rPr>
          <w:sz w:val="22"/>
          <w:szCs w:val="22"/>
        </w:rPr>
      </w:pPr>
      <w:r w:rsidRPr="00DA6F93">
        <w:rPr>
          <w:sz w:val="22"/>
          <w:szCs w:val="22"/>
        </w:rPr>
        <w:t xml:space="preserve">La ausencia de referencia alguna a la IA en el informe del Estado </w:t>
      </w:r>
      <w:r w:rsidRPr="00DA6F93">
        <w:rPr>
          <w:rStyle w:val="Textoennegrita"/>
          <w:sz w:val="22"/>
          <w:szCs w:val="22"/>
        </w:rPr>
        <w:t>omite reconocer un fenómeno tecnológico que ya incide de forma directa o indirecta en el ejercicio de varios derechos humanos</w:t>
      </w:r>
      <w:r w:rsidRPr="00DA6F93">
        <w:rPr>
          <w:sz w:val="22"/>
          <w:szCs w:val="22"/>
        </w:rPr>
        <w:t>, tal como se ha documentado en el informe que presentamos como Institut de Drets Humans de Catalunya al Examen Periódico Universal (2025</w:t>
      </w:r>
      <w:r w:rsidR="00DA6F93">
        <w:rPr>
          <w:sz w:val="22"/>
          <w:szCs w:val="22"/>
        </w:rPr>
        <w:t>)</w:t>
      </w:r>
      <w:r w:rsidRPr="00DA6F93">
        <w:rPr>
          <w:sz w:val="22"/>
          <w:szCs w:val="22"/>
        </w:rPr>
        <w:t>.</w:t>
      </w:r>
    </w:p>
    <w:p w:rsidR="00277E32" w:rsidRDefault="00277E32" w:rsidP="00277E32">
      <w:pPr>
        <w:pStyle w:val="1TextCos"/>
      </w:pPr>
    </w:p>
    <w:p w:rsidR="00DA6F93" w:rsidRPr="00277E32" w:rsidRDefault="00DA6F93" w:rsidP="00277E32">
      <w:pPr>
        <w:pStyle w:val="1TextCos"/>
      </w:pPr>
    </w:p>
    <w:p w:rsidR="00925535" w:rsidRDefault="00925535" w:rsidP="00277E32">
      <w:pPr>
        <w:pStyle w:val="Ttulo3"/>
        <w:numPr>
          <w:ilvl w:val="0"/>
          <w:numId w:val="40"/>
        </w:numPr>
        <w:jc w:val="both"/>
        <w:rPr>
          <w:rFonts w:ascii="Inter" w:hAnsi="Inter"/>
          <w:bCs w:val="0"/>
          <w:sz w:val="24"/>
        </w:rPr>
      </w:pPr>
      <w:bookmarkStart w:id="14" w:name="_Toc199156301"/>
      <w:r w:rsidRPr="00277E32">
        <w:rPr>
          <w:rFonts w:ascii="Inter" w:hAnsi="Inter"/>
          <w:bCs w:val="0"/>
          <w:sz w:val="24"/>
        </w:rPr>
        <w:t xml:space="preserve">IA como amenaza transversal a derechos protegidos por el </w:t>
      </w:r>
      <w:r w:rsidR="00DA6F93">
        <w:rPr>
          <w:rFonts w:ascii="Inter" w:hAnsi="Inter"/>
          <w:bCs w:val="0"/>
          <w:sz w:val="24"/>
        </w:rPr>
        <w:t>Pacto</w:t>
      </w:r>
      <w:r w:rsidR="00D1517C">
        <w:rPr>
          <w:rFonts w:ascii="Inter" w:hAnsi="Inter"/>
          <w:bCs w:val="0"/>
          <w:sz w:val="24"/>
        </w:rPr>
        <w:t xml:space="preserve"> y su protección en la futura legislación nacional en la materia.</w:t>
      </w:r>
      <w:bookmarkEnd w:id="14"/>
    </w:p>
    <w:p w:rsidR="00DA6F93" w:rsidRPr="00DA6F93" w:rsidRDefault="00DA6F93" w:rsidP="00DA6F93"/>
    <w:p w:rsidR="00925535" w:rsidRDefault="00925535" w:rsidP="00925535">
      <w:pPr>
        <w:jc w:val="both"/>
        <w:rPr>
          <w:sz w:val="22"/>
          <w:szCs w:val="22"/>
          <w:lang w:val="nl-NL"/>
        </w:rPr>
      </w:pPr>
      <w:r w:rsidRPr="00DA6F93">
        <w:rPr>
          <w:sz w:val="22"/>
          <w:szCs w:val="22"/>
        </w:rPr>
        <w:t xml:space="preserve">Aunque la regulación estatal aún no reconoce a la IA como un factor de riesgo relevante para los derechos humanos, en la práctica, </w:t>
      </w:r>
      <w:r w:rsidRPr="00DA6F93">
        <w:rPr>
          <w:rStyle w:val="Textoennegrita"/>
          <w:b w:val="0"/>
          <w:sz w:val="22"/>
          <w:szCs w:val="22"/>
        </w:rPr>
        <w:t>el despliegue de tecnologías como el reconocimiento facial, los sistemas de puntuación automatizada</w:t>
      </w:r>
      <w:r w:rsidR="00DA6F93" w:rsidRPr="00DA6F93">
        <w:rPr>
          <w:rStyle w:val="Textoennegrita"/>
          <w:b w:val="0"/>
          <w:sz w:val="22"/>
          <w:szCs w:val="22"/>
        </w:rPr>
        <w:t xml:space="preserve">, </w:t>
      </w:r>
      <w:r w:rsidR="00D1517C">
        <w:rPr>
          <w:rStyle w:val="Textoennegrita"/>
          <w:b w:val="0"/>
          <w:sz w:val="22"/>
          <w:szCs w:val="22"/>
        </w:rPr>
        <w:t xml:space="preserve">sistemas </w:t>
      </w:r>
      <w:r w:rsidR="00DA6F93" w:rsidRPr="00DA6F93">
        <w:rPr>
          <w:rStyle w:val="Textoennegrita"/>
          <w:b w:val="0"/>
          <w:sz w:val="22"/>
          <w:szCs w:val="22"/>
        </w:rPr>
        <w:t>de valoración y validación de documentos, los procedimientos para el acceso a la justicia u otros derechos</w:t>
      </w:r>
      <w:r w:rsidRPr="00DA6F93">
        <w:rPr>
          <w:sz w:val="22"/>
          <w:szCs w:val="22"/>
        </w:rPr>
        <w:t>, ya está</w:t>
      </w:r>
      <w:r w:rsidR="00DA6F93">
        <w:rPr>
          <w:sz w:val="22"/>
          <w:szCs w:val="22"/>
        </w:rPr>
        <w:t>n poniendo en riesgo o</w:t>
      </w:r>
      <w:r w:rsidRPr="00DA6F93">
        <w:rPr>
          <w:sz w:val="22"/>
          <w:szCs w:val="22"/>
        </w:rPr>
        <w:t xml:space="preserve"> afectand</w:t>
      </w:r>
      <w:r w:rsidR="00DA6F93">
        <w:rPr>
          <w:sz w:val="22"/>
          <w:szCs w:val="22"/>
        </w:rPr>
        <w:t>o principios consagrados en el P</w:t>
      </w:r>
      <w:r w:rsidRPr="00DA6F93">
        <w:rPr>
          <w:sz w:val="22"/>
          <w:szCs w:val="22"/>
        </w:rPr>
        <w:t xml:space="preserve">acto </w:t>
      </w:r>
      <w:r w:rsidR="00DA6F93">
        <w:rPr>
          <w:sz w:val="22"/>
          <w:szCs w:val="22"/>
        </w:rPr>
        <w:t>I</w:t>
      </w:r>
      <w:r w:rsidRPr="00DA6F93">
        <w:rPr>
          <w:sz w:val="22"/>
          <w:szCs w:val="22"/>
        </w:rPr>
        <w:t xml:space="preserve">nternacional de </w:t>
      </w:r>
      <w:r w:rsidR="00DA6F93">
        <w:rPr>
          <w:sz w:val="22"/>
          <w:szCs w:val="22"/>
        </w:rPr>
        <w:t>Derechos C</w:t>
      </w:r>
      <w:r w:rsidRPr="00DA6F93">
        <w:rPr>
          <w:sz w:val="22"/>
          <w:szCs w:val="22"/>
        </w:rPr>
        <w:t xml:space="preserve">iviles y </w:t>
      </w:r>
      <w:r w:rsidRPr="00DA6F93">
        <w:rPr>
          <w:sz w:val="22"/>
          <w:szCs w:val="22"/>
          <w:lang w:val="nl-NL"/>
        </w:rPr>
        <w:t>Políticos.</w:t>
      </w:r>
    </w:p>
    <w:p w:rsidR="00DA6F93" w:rsidRPr="00B11876" w:rsidRDefault="00DA6F93" w:rsidP="00B11876">
      <w:pPr>
        <w:pStyle w:val="1TextCos"/>
        <w:spacing w:line="360" w:lineRule="auto"/>
        <w:rPr>
          <w:sz w:val="22"/>
          <w:szCs w:val="22"/>
          <w:lang w:val="nl-NL"/>
        </w:rPr>
      </w:pPr>
    </w:p>
    <w:p w:rsidR="00DA6F93" w:rsidRPr="00B11876" w:rsidRDefault="00D1517C" w:rsidP="00B11876">
      <w:pPr>
        <w:pStyle w:val="1TextCos"/>
        <w:spacing w:line="360" w:lineRule="auto"/>
        <w:rPr>
          <w:sz w:val="22"/>
          <w:szCs w:val="22"/>
          <w:lang w:val="nl-NL"/>
        </w:rPr>
      </w:pPr>
      <w:r w:rsidRPr="00B11876">
        <w:rPr>
          <w:sz w:val="22"/>
          <w:szCs w:val="22"/>
          <w:lang w:val="nl-NL"/>
        </w:rPr>
        <w:lastRenderedPageBreak/>
        <w:t xml:space="preserve">En estos momentos en el Estado español se está desarrollando la legislación nacional que busca transponer el </w:t>
      </w:r>
      <w:r w:rsidRPr="00B11876">
        <w:rPr>
          <w:b/>
          <w:sz w:val="22"/>
          <w:szCs w:val="22"/>
          <w:lang w:val="nl-NL"/>
        </w:rPr>
        <w:t>Reglamento Europeo de Inteligencia Artificial</w:t>
      </w:r>
      <w:r w:rsidR="00E44693">
        <w:rPr>
          <w:b/>
          <w:sz w:val="22"/>
          <w:szCs w:val="22"/>
          <w:lang w:val="nl-NL"/>
        </w:rPr>
        <w:t xml:space="preserve"> </w:t>
      </w:r>
      <w:r w:rsidR="00E44693" w:rsidRPr="00E44693">
        <w:rPr>
          <w:sz w:val="22"/>
          <w:szCs w:val="22"/>
          <w:lang w:val="nl-NL"/>
        </w:rPr>
        <w:t>(</w:t>
      </w:r>
      <w:r w:rsidR="00E44693">
        <w:rPr>
          <w:sz w:val="22"/>
          <w:szCs w:val="22"/>
          <w:lang w:val="nl-NL"/>
        </w:rPr>
        <w:t>Reglamento IA)</w:t>
      </w:r>
      <w:r w:rsidRPr="00B11876">
        <w:rPr>
          <w:sz w:val="22"/>
          <w:szCs w:val="22"/>
          <w:lang w:val="nl-NL"/>
        </w:rPr>
        <w:t xml:space="preserve">. En ese sentido, es importante que en todo su trámite estén presentes las obligaciones internacionales derivadas del Pacto Internacional de Derechos Civiles y Políticos. </w:t>
      </w:r>
    </w:p>
    <w:p w:rsidR="00D1517C" w:rsidRPr="00B11876" w:rsidRDefault="00D1517C" w:rsidP="00B11876">
      <w:pPr>
        <w:pStyle w:val="1TextCos"/>
        <w:spacing w:line="360" w:lineRule="auto"/>
        <w:rPr>
          <w:sz w:val="22"/>
          <w:szCs w:val="22"/>
          <w:lang w:val="nl-NL"/>
        </w:rPr>
      </w:pPr>
    </w:p>
    <w:p w:rsidR="00D1517C" w:rsidRPr="00B11876" w:rsidRDefault="00D1517C" w:rsidP="00B11876">
      <w:pPr>
        <w:pStyle w:val="1TextCos"/>
        <w:spacing w:line="360" w:lineRule="auto"/>
        <w:rPr>
          <w:sz w:val="22"/>
          <w:szCs w:val="22"/>
          <w:lang w:val="nl-NL"/>
        </w:rPr>
      </w:pPr>
      <w:r w:rsidRPr="00B11876">
        <w:rPr>
          <w:sz w:val="22"/>
          <w:szCs w:val="22"/>
          <w:lang w:val="nl-NL"/>
        </w:rPr>
        <w:t xml:space="preserve">Así, por ejemplo, en el </w:t>
      </w:r>
      <w:r w:rsidR="0006462E" w:rsidRPr="0006462E">
        <w:rPr>
          <w:b/>
          <w:sz w:val="22"/>
          <w:szCs w:val="22"/>
          <w:lang w:val="nl-NL"/>
        </w:rPr>
        <w:t xml:space="preserve">ANTEPROYECTO DE LEY PARA EL BUEN USO Y LA GOBERNANZA DE LA INTELIGENCIA ARTIFICIAL </w:t>
      </w:r>
      <w:r w:rsidR="00E44693">
        <w:rPr>
          <w:sz w:val="22"/>
          <w:szCs w:val="22"/>
          <w:lang w:val="nl-NL"/>
        </w:rPr>
        <w:t xml:space="preserve">(APL buen uso y gobernanza IA) </w:t>
      </w:r>
      <w:r w:rsidRPr="00B11876">
        <w:rPr>
          <w:sz w:val="22"/>
          <w:szCs w:val="22"/>
          <w:lang w:val="nl-NL"/>
        </w:rPr>
        <w:t>que se encuentra en trámite, se pone un énfasis especial en la protección de los derechos fundamentales de los ciudadanos de manera que sus disposiciones buscan garantizar que el uso de la IA respete los derechos de privacidad, protección de datos, no discriminación y acceso a la justicia.</w:t>
      </w:r>
    </w:p>
    <w:p w:rsidR="00D1517C" w:rsidRPr="00B11876" w:rsidRDefault="00D1517C" w:rsidP="00B11876">
      <w:pPr>
        <w:pStyle w:val="1TextCos"/>
        <w:spacing w:line="360" w:lineRule="auto"/>
        <w:rPr>
          <w:sz w:val="22"/>
          <w:szCs w:val="22"/>
          <w:lang w:val="nl-NL"/>
        </w:rPr>
      </w:pPr>
    </w:p>
    <w:p w:rsidR="00D1517C" w:rsidRPr="00B11876" w:rsidRDefault="00D1517C" w:rsidP="00B11876">
      <w:pPr>
        <w:pStyle w:val="1TextCos"/>
        <w:spacing w:line="360" w:lineRule="auto"/>
        <w:rPr>
          <w:sz w:val="22"/>
          <w:szCs w:val="22"/>
          <w:lang w:val="nl-NL"/>
        </w:rPr>
      </w:pPr>
      <w:r w:rsidRPr="00B11876">
        <w:rPr>
          <w:sz w:val="22"/>
          <w:szCs w:val="22"/>
          <w:lang w:val="nl-NL"/>
        </w:rPr>
        <w:t xml:space="preserve">Si bien, es cierto que en el Reglamento IA hace énfasis o enumera algunos derechos fundamentales específicos, consideramos que es útil y no es contrario a la transposición o desarrollo nacional del Reglamento el poder </w:t>
      </w:r>
      <w:r w:rsidRPr="00B11876">
        <w:rPr>
          <w:b/>
          <w:sz w:val="22"/>
          <w:szCs w:val="22"/>
          <w:lang w:val="nl-NL"/>
        </w:rPr>
        <w:t>incluir de manera más clara qué “derechos fundamentales” se refiere</w:t>
      </w:r>
      <w:r w:rsidRPr="00B11876">
        <w:rPr>
          <w:sz w:val="22"/>
          <w:szCs w:val="22"/>
          <w:lang w:val="nl-NL"/>
        </w:rPr>
        <w:t xml:space="preserve"> tanto a los contenidos en la Carta de Derechos Fundamentales de la Unión Europea como a los reconocidos en la Constitución española y el </w:t>
      </w:r>
      <w:r w:rsidRPr="005A64A9">
        <w:rPr>
          <w:b/>
          <w:sz w:val="22"/>
          <w:szCs w:val="22"/>
          <w:lang w:val="nl-NL"/>
        </w:rPr>
        <w:t>Pacto Internacional de Derechos Civiles y Políticos.</w:t>
      </w:r>
      <w:r w:rsidRPr="00B11876">
        <w:rPr>
          <w:sz w:val="22"/>
          <w:szCs w:val="22"/>
          <w:lang w:val="nl-NL"/>
        </w:rPr>
        <w:t xml:space="preserve"> Esto es relevante, para que quede expreso en esta norma nacional que la protección no es ni será sólo de derechos específicos, sino que cualquier afectación a un derecho fundamental reconocido en la Unión Europea</w:t>
      </w:r>
      <w:r w:rsidR="00BB288D" w:rsidRPr="00B11876">
        <w:rPr>
          <w:sz w:val="22"/>
          <w:szCs w:val="22"/>
          <w:lang w:val="nl-NL"/>
        </w:rPr>
        <w:t>, el Pacto</w:t>
      </w:r>
      <w:r w:rsidRPr="00B11876">
        <w:rPr>
          <w:sz w:val="22"/>
          <w:szCs w:val="22"/>
          <w:lang w:val="nl-NL"/>
        </w:rPr>
        <w:t xml:space="preserve"> y España puede dar lugar a sanciones para su protección. </w:t>
      </w:r>
    </w:p>
    <w:p w:rsidR="00D1517C" w:rsidRPr="00B11876" w:rsidRDefault="00D1517C" w:rsidP="00B11876">
      <w:pPr>
        <w:pStyle w:val="1TextCos"/>
        <w:spacing w:line="360" w:lineRule="auto"/>
        <w:rPr>
          <w:sz w:val="22"/>
          <w:szCs w:val="22"/>
          <w:lang w:val="nl-NL"/>
        </w:rPr>
      </w:pPr>
    </w:p>
    <w:p w:rsidR="00D1517C" w:rsidRPr="00B11876" w:rsidRDefault="00D1517C" w:rsidP="00B11876">
      <w:pPr>
        <w:pStyle w:val="1TextCos"/>
        <w:spacing w:line="360" w:lineRule="auto"/>
        <w:rPr>
          <w:sz w:val="22"/>
          <w:szCs w:val="22"/>
          <w:lang w:val="nl-NL"/>
        </w:rPr>
      </w:pPr>
      <w:r w:rsidRPr="00B11876">
        <w:rPr>
          <w:sz w:val="22"/>
          <w:szCs w:val="22"/>
          <w:lang w:val="nl-NL"/>
        </w:rPr>
        <w:t xml:space="preserve">Esto especialmente ya que en, al menos, los artículos 8.2.d, 27.1, 33.1 se utilizan porciones normativas como la siguiente “considerando especialmente su repercusión y su trascendencia por lo que respecta a la salud y seguridad de las personas y a sus derechos fundamentales”. Con esta formulación, de hecho, además se dejan fuera de manera expresa derechos específicos de gran relevancia como los derechos de privacidad, protección de datos, no </w:t>
      </w:r>
      <w:r w:rsidRPr="00B11876">
        <w:rPr>
          <w:sz w:val="22"/>
          <w:szCs w:val="22"/>
          <w:lang w:val="nl-NL"/>
        </w:rPr>
        <w:lastRenderedPageBreak/>
        <w:t>discriminación y acceso a la justicia</w:t>
      </w:r>
      <w:r w:rsidR="004D7A07">
        <w:rPr>
          <w:sz w:val="22"/>
          <w:szCs w:val="22"/>
          <w:lang w:val="nl-NL"/>
        </w:rPr>
        <w:t>, reconocidos todos en el Pacto internacional de Derechos Civiles y Políticos</w:t>
      </w:r>
      <w:r w:rsidRPr="00B11876">
        <w:rPr>
          <w:sz w:val="22"/>
          <w:szCs w:val="22"/>
          <w:lang w:val="nl-NL"/>
        </w:rPr>
        <w:t>.</w:t>
      </w:r>
    </w:p>
    <w:p w:rsidR="00D1517C" w:rsidRPr="00B11876" w:rsidRDefault="00D1517C" w:rsidP="00B11876">
      <w:pPr>
        <w:pStyle w:val="1TextCos"/>
        <w:spacing w:line="360" w:lineRule="auto"/>
        <w:rPr>
          <w:sz w:val="22"/>
          <w:szCs w:val="22"/>
          <w:lang w:val="nl-NL"/>
        </w:rPr>
      </w:pPr>
      <w:r w:rsidRPr="00B11876">
        <w:rPr>
          <w:sz w:val="22"/>
          <w:szCs w:val="22"/>
          <w:lang w:val="nl-NL"/>
        </w:rPr>
        <w:t>Si en todos esos artículos y otros que hablan de derechos fundamentales, así como en la exposición de motivos se incluye que son todos los derechos fundamentales y amplía el listado de derechos con especial relevancia contenidos en el Reglamento IA, ayudaría a dar claridad y garantizaría una mejor transposición o desarrollo del Reglamento IA, máxime cuando en el Reglamento sí se señala más de una vez de la Carta de Derechos Fundamentales de la Unión Europea</w:t>
      </w:r>
      <w:r w:rsidR="00BB288D" w:rsidRPr="00B11876">
        <w:rPr>
          <w:sz w:val="22"/>
          <w:szCs w:val="22"/>
          <w:lang w:val="nl-NL"/>
        </w:rPr>
        <w:t xml:space="preserve"> y que, el Estado español, además tiene obligaciones internacionales en esta materia como las contenidas en el Pacto Internacional de Derechos Civiles y Políticos</w:t>
      </w:r>
      <w:r w:rsidRPr="00B11876">
        <w:rPr>
          <w:sz w:val="22"/>
          <w:szCs w:val="22"/>
          <w:lang w:val="nl-NL"/>
        </w:rPr>
        <w:t>.</w:t>
      </w:r>
    </w:p>
    <w:p w:rsidR="00D1517C" w:rsidRPr="00B11876" w:rsidRDefault="00D1517C" w:rsidP="00B11876">
      <w:pPr>
        <w:pStyle w:val="1TextCos"/>
        <w:spacing w:line="360" w:lineRule="auto"/>
        <w:rPr>
          <w:sz w:val="22"/>
          <w:szCs w:val="22"/>
          <w:lang w:val="nl-NL"/>
        </w:rPr>
      </w:pPr>
    </w:p>
    <w:p w:rsidR="00D1517C" w:rsidRPr="00B11876" w:rsidRDefault="00D1517C" w:rsidP="00B11876">
      <w:pPr>
        <w:pStyle w:val="1TextCos"/>
        <w:spacing w:line="360" w:lineRule="auto"/>
        <w:rPr>
          <w:sz w:val="22"/>
          <w:szCs w:val="22"/>
          <w:lang w:val="nl-NL"/>
        </w:rPr>
      </w:pPr>
      <w:r w:rsidRPr="00B11876">
        <w:rPr>
          <w:sz w:val="22"/>
          <w:szCs w:val="22"/>
          <w:lang w:val="nl-NL"/>
        </w:rPr>
        <w:t>Por lo anterior, se proponen dos opciones de redacción para los artículos antes indicados, la exposición de motivos y otros similares:</w:t>
      </w:r>
    </w:p>
    <w:p w:rsidR="00D1517C" w:rsidRPr="00B11876" w:rsidRDefault="00D1517C" w:rsidP="00B11876">
      <w:pPr>
        <w:pStyle w:val="1TextCos"/>
        <w:spacing w:line="360" w:lineRule="auto"/>
        <w:rPr>
          <w:sz w:val="22"/>
          <w:szCs w:val="22"/>
          <w:lang w:val="nl-NL"/>
        </w:rPr>
      </w:pPr>
    </w:p>
    <w:p w:rsidR="00D1517C" w:rsidRPr="00B11876" w:rsidRDefault="00D1517C" w:rsidP="00B11876">
      <w:pPr>
        <w:pStyle w:val="1TextCos"/>
        <w:spacing w:line="360" w:lineRule="auto"/>
        <w:ind w:left="567" w:right="843"/>
        <w:rPr>
          <w:sz w:val="22"/>
          <w:szCs w:val="22"/>
          <w:lang w:val="nl-NL"/>
        </w:rPr>
      </w:pPr>
      <w:r w:rsidRPr="00B11876">
        <w:rPr>
          <w:sz w:val="22"/>
          <w:szCs w:val="22"/>
          <w:lang w:val="nl-NL"/>
        </w:rPr>
        <w:t>a)</w:t>
      </w:r>
      <w:r w:rsidRPr="00B11876">
        <w:rPr>
          <w:sz w:val="22"/>
          <w:szCs w:val="22"/>
          <w:lang w:val="nl-NL"/>
        </w:rPr>
        <w:tab/>
        <w:t>… por lo que respecta a la salud, seguridad, privacidad, protección de datos, no discriminación y acceso a la justicia de las personas u otros derechos fundamentales reconocidos en la Carta de Derechos Fundamentales de la Unión Europea</w:t>
      </w:r>
      <w:r w:rsidR="00B11876" w:rsidRPr="00B11876">
        <w:rPr>
          <w:sz w:val="22"/>
          <w:szCs w:val="22"/>
          <w:lang w:val="nl-NL"/>
        </w:rPr>
        <w:t>, el Pacto Internacional de Derechos Civiles y Políticos,</w:t>
      </w:r>
      <w:r w:rsidRPr="00B11876">
        <w:rPr>
          <w:sz w:val="22"/>
          <w:szCs w:val="22"/>
          <w:lang w:val="nl-NL"/>
        </w:rPr>
        <w:t xml:space="preserve"> y en la Constitución española.</w:t>
      </w:r>
    </w:p>
    <w:p w:rsidR="00D1517C" w:rsidRPr="00B11876" w:rsidRDefault="00D1517C" w:rsidP="00B11876">
      <w:pPr>
        <w:pStyle w:val="1TextCos"/>
        <w:spacing w:line="360" w:lineRule="auto"/>
        <w:ind w:left="567" w:right="843"/>
        <w:rPr>
          <w:sz w:val="22"/>
          <w:szCs w:val="22"/>
          <w:lang w:val="nl-NL"/>
        </w:rPr>
      </w:pPr>
    </w:p>
    <w:p w:rsidR="00D1517C" w:rsidRPr="00B11876" w:rsidRDefault="00D1517C" w:rsidP="00B11876">
      <w:pPr>
        <w:pStyle w:val="1TextCos"/>
        <w:spacing w:line="360" w:lineRule="auto"/>
        <w:ind w:left="567" w:right="843"/>
        <w:rPr>
          <w:sz w:val="22"/>
          <w:szCs w:val="22"/>
          <w:lang w:val="nl-NL"/>
        </w:rPr>
      </w:pPr>
      <w:r w:rsidRPr="00B11876">
        <w:rPr>
          <w:sz w:val="22"/>
          <w:szCs w:val="22"/>
          <w:lang w:val="nl-NL"/>
        </w:rPr>
        <w:t>b)</w:t>
      </w:r>
      <w:r w:rsidRPr="00B11876">
        <w:rPr>
          <w:sz w:val="22"/>
          <w:szCs w:val="22"/>
          <w:lang w:val="nl-NL"/>
        </w:rPr>
        <w:tab/>
        <w:t>… por lo que respecta sus/los derechos fundamentales reconocidos en la Carta de Derechos Fundamentales de la Unión Europea</w:t>
      </w:r>
      <w:r w:rsidR="00B11876" w:rsidRPr="00B11876">
        <w:rPr>
          <w:sz w:val="22"/>
          <w:szCs w:val="22"/>
          <w:lang w:val="nl-NL"/>
        </w:rPr>
        <w:t>,</w:t>
      </w:r>
      <w:r w:rsidR="00B11876" w:rsidRPr="00B11876">
        <w:rPr>
          <w:sz w:val="22"/>
          <w:szCs w:val="22"/>
        </w:rPr>
        <w:t xml:space="preserve"> </w:t>
      </w:r>
      <w:r w:rsidR="00B11876" w:rsidRPr="00B11876">
        <w:rPr>
          <w:sz w:val="22"/>
          <w:szCs w:val="22"/>
          <w:lang w:val="nl-NL"/>
        </w:rPr>
        <w:t>el Pacto Internacional de Derechos Civiles y Políticos,</w:t>
      </w:r>
      <w:r w:rsidRPr="00B11876">
        <w:rPr>
          <w:sz w:val="22"/>
          <w:szCs w:val="22"/>
          <w:lang w:val="nl-NL"/>
        </w:rPr>
        <w:t xml:space="preserve"> y en la Constitución española, como la salud, seguridad, privacidad, protección de datos, no discriminación y acceso a la justicia.</w:t>
      </w:r>
    </w:p>
    <w:p w:rsidR="00D1517C" w:rsidRPr="00B11876" w:rsidRDefault="00D1517C" w:rsidP="00B11876">
      <w:pPr>
        <w:pStyle w:val="1TextCos"/>
        <w:spacing w:line="360" w:lineRule="auto"/>
        <w:rPr>
          <w:sz w:val="22"/>
          <w:szCs w:val="22"/>
          <w:lang w:val="nl-NL"/>
        </w:rPr>
      </w:pPr>
    </w:p>
    <w:p w:rsidR="00D1517C" w:rsidRPr="00B11876" w:rsidRDefault="00B11876" w:rsidP="00B11876">
      <w:pPr>
        <w:pStyle w:val="1TextCos"/>
        <w:spacing w:line="360" w:lineRule="auto"/>
        <w:rPr>
          <w:sz w:val="22"/>
          <w:szCs w:val="22"/>
          <w:lang w:val="nl-NL"/>
        </w:rPr>
      </w:pPr>
      <w:r w:rsidRPr="00B11876">
        <w:rPr>
          <w:sz w:val="22"/>
          <w:szCs w:val="22"/>
          <w:lang w:val="nl-NL"/>
        </w:rPr>
        <w:t>Otro ejemplo, es cuando s</w:t>
      </w:r>
      <w:r w:rsidR="00D1517C" w:rsidRPr="00B11876">
        <w:rPr>
          <w:sz w:val="22"/>
          <w:szCs w:val="22"/>
          <w:lang w:val="nl-NL"/>
        </w:rPr>
        <w:t xml:space="preserve">e dice que “el proyecto propuesto promueve dicha igualdad eliminado cualquier sesgo o discriminación directa o indirecta, </w:t>
      </w:r>
      <w:r w:rsidR="00D1517C" w:rsidRPr="00B11876">
        <w:rPr>
          <w:sz w:val="22"/>
          <w:szCs w:val="22"/>
          <w:lang w:val="nl-NL"/>
        </w:rPr>
        <w:lastRenderedPageBreak/>
        <w:t>entendiéndose por tal situación la que se produce cuando una norma, una política o una práctica, aparentemente neutral, tiene un impacto desproporcionadamente adverso sobre las personas de un sexo u otro, por lo que el impacto por razón de género, edad, o sobre colectivos vulnerables puede considerarse positivo y no se prevé que se modifique esta situación.”</w:t>
      </w:r>
    </w:p>
    <w:p w:rsidR="00D1517C" w:rsidRPr="00B11876" w:rsidRDefault="00D1517C" w:rsidP="00B11876">
      <w:pPr>
        <w:pStyle w:val="1TextCos"/>
        <w:spacing w:line="360" w:lineRule="auto"/>
        <w:rPr>
          <w:sz w:val="22"/>
          <w:szCs w:val="22"/>
          <w:lang w:val="nl-NL"/>
        </w:rPr>
      </w:pPr>
    </w:p>
    <w:p w:rsidR="00D1517C" w:rsidRPr="00B11876" w:rsidRDefault="00D1517C" w:rsidP="00B11876">
      <w:pPr>
        <w:pStyle w:val="1TextCos"/>
        <w:spacing w:line="360" w:lineRule="auto"/>
        <w:rPr>
          <w:sz w:val="22"/>
          <w:szCs w:val="22"/>
          <w:lang w:val="nl-NL"/>
        </w:rPr>
      </w:pPr>
      <w:r w:rsidRPr="00B11876">
        <w:rPr>
          <w:sz w:val="22"/>
          <w:szCs w:val="22"/>
          <w:lang w:val="nl-NL"/>
        </w:rPr>
        <w:t xml:space="preserve">No obstante eso nos llama la atención que </w:t>
      </w:r>
      <w:r w:rsidRPr="009E7BBC">
        <w:rPr>
          <w:b/>
          <w:sz w:val="22"/>
          <w:szCs w:val="22"/>
          <w:lang w:val="nl-NL"/>
        </w:rPr>
        <w:t>nada se dice nada respecto a una norma vigente en España</w:t>
      </w:r>
      <w:r w:rsidRPr="00B11876">
        <w:rPr>
          <w:sz w:val="22"/>
          <w:szCs w:val="22"/>
          <w:lang w:val="nl-NL"/>
        </w:rPr>
        <w:t xml:space="preserve"> que ya busca ocuparse de temas de igualdad-no discriminación en la inteligencia artificial. Es decir, del artículo 23 de la Ley 15/2022, de 12 de julio, integral para la igualdad de trato y la no discriminación.</w:t>
      </w:r>
    </w:p>
    <w:p w:rsidR="00D1517C" w:rsidRPr="00B11876" w:rsidRDefault="00D1517C" w:rsidP="00B11876">
      <w:pPr>
        <w:pStyle w:val="1TextCos"/>
        <w:spacing w:line="360" w:lineRule="auto"/>
        <w:rPr>
          <w:sz w:val="22"/>
          <w:szCs w:val="22"/>
          <w:lang w:val="nl-NL"/>
        </w:rPr>
      </w:pPr>
    </w:p>
    <w:p w:rsidR="00D1517C" w:rsidRPr="00B11876" w:rsidRDefault="00D1517C" w:rsidP="00B11876">
      <w:pPr>
        <w:pStyle w:val="1TextCos"/>
        <w:spacing w:line="360" w:lineRule="auto"/>
        <w:rPr>
          <w:sz w:val="22"/>
          <w:szCs w:val="22"/>
          <w:lang w:val="nl-NL"/>
        </w:rPr>
      </w:pPr>
      <w:r w:rsidRPr="00B11876">
        <w:rPr>
          <w:sz w:val="22"/>
          <w:szCs w:val="22"/>
          <w:lang w:val="nl-NL"/>
        </w:rPr>
        <w:t>Al tratarse de una norma vigente, resulta de gran utilidad que se establezca cómo se relacionará en este ámbito concreto con la APL buen uso y gobernanza IA y, de manera concreta, cuál será la relación de esa norma vigente con, al menos, las autoridades de vigilancia y la autoridad nacional competente responsable del establecimiento del espacio controlado de pruebas de IA.</w:t>
      </w:r>
    </w:p>
    <w:p w:rsidR="00D1517C" w:rsidRPr="00B11876" w:rsidRDefault="00D1517C" w:rsidP="00B11876">
      <w:pPr>
        <w:pStyle w:val="1TextCos"/>
        <w:spacing w:line="360" w:lineRule="auto"/>
        <w:rPr>
          <w:sz w:val="22"/>
          <w:szCs w:val="22"/>
          <w:lang w:val="nl-NL"/>
        </w:rPr>
      </w:pPr>
    </w:p>
    <w:p w:rsidR="00D1517C" w:rsidRDefault="00D1517C" w:rsidP="00B11876">
      <w:pPr>
        <w:pStyle w:val="1TextCos"/>
        <w:spacing w:line="360" w:lineRule="auto"/>
        <w:rPr>
          <w:sz w:val="22"/>
          <w:szCs w:val="22"/>
          <w:lang w:val="nl-NL"/>
        </w:rPr>
      </w:pPr>
      <w:r w:rsidRPr="00B11876">
        <w:rPr>
          <w:sz w:val="22"/>
          <w:szCs w:val="22"/>
          <w:lang w:val="nl-NL"/>
        </w:rPr>
        <w:t>No hacer esta precisión, aun conociendo la primacía y efecto directo del Derecho de la Unión Europea, al tratarse la Ley 15/2022 de una norma vigente, especializada, que contiene obligaciones y contará con una autoridad que puede sancionar, podrían generar duplicidad y contradicción de criterios, vigilancia, obligaciones y procedimientos en un ámbito tan relevante como la igualdad y no discriminación en la inteligencia artificial.</w:t>
      </w:r>
    </w:p>
    <w:p w:rsidR="009E7BBC" w:rsidRPr="00B11876" w:rsidRDefault="009E7BBC" w:rsidP="00B11876">
      <w:pPr>
        <w:pStyle w:val="1TextCos"/>
        <w:spacing w:line="360" w:lineRule="auto"/>
        <w:rPr>
          <w:sz w:val="22"/>
          <w:szCs w:val="22"/>
          <w:lang w:val="nl-NL"/>
        </w:rPr>
      </w:pPr>
    </w:p>
    <w:p w:rsidR="00925535" w:rsidRPr="00DA6F93" w:rsidRDefault="00E233DA" w:rsidP="009E7BBC">
      <w:pPr>
        <w:spacing w:line="360" w:lineRule="auto"/>
        <w:jc w:val="both"/>
        <w:rPr>
          <w:sz w:val="22"/>
          <w:szCs w:val="22"/>
        </w:rPr>
      </w:pPr>
      <w:r>
        <w:rPr>
          <w:sz w:val="22"/>
          <w:szCs w:val="22"/>
        </w:rPr>
        <w:t>Esto a pesar de que</w:t>
      </w:r>
      <w:r w:rsidR="00B11876">
        <w:rPr>
          <w:sz w:val="22"/>
          <w:szCs w:val="22"/>
        </w:rPr>
        <w:t>, t</w:t>
      </w:r>
      <w:r w:rsidR="00925535" w:rsidRPr="00DA6F93">
        <w:rPr>
          <w:sz w:val="22"/>
          <w:szCs w:val="22"/>
        </w:rPr>
        <w:t xml:space="preserve">al como señalamos en el EPU, </w:t>
      </w:r>
      <w:r w:rsidR="00925535" w:rsidRPr="00DA6F93">
        <w:rPr>
          <w:rStyle w:val="Textoennegrita"/>
          <w:sz w:val="22"/>
          <w:szCs w:val="22"/>
        </w:rPr>
        <w:t>la Ley 15/2022</w:t>
      </w:r>
      <w:r w:rsidR="00925535" w:rsidRPr="00DA6F93">
        <w:rPr>
          <w:sz w:val="22"/>
          <w:szCs w:val="22"/>
        </w:rPr>
        <w:t xml:space="preserve">, de 12 de julio, integral para la igualdad de trato y la no discriminación, </w:t>
      </w:r>
      <w:r w:rsidR="00925535" w:rsidRPr="00DA6F93">
        <w:rPr>
          <w:rStyle w:val="Textoennegrita"/>
          <w:sz w:val="22"/>
          <w:szCs w:val="22"/>
        </w:rPr>
        <w:t>es insuficiente desde el punto de vista del derecho internacional de los derechos humanos</w:t>
      </w:r>
      <w:r w:rsidR="00925535" w:rsidRPr="00DA6F93">
        <w:rPr>
          <w:sz w:val="22"/>
          <w:szCs w:val="22"/>
        </w:rPr>
        <w:t>, por al menos tres razones:</w:t>
      </w:r>
    </w:p>
    <w:p w:rsidR="00925535" w:rsidRPr="00DA6F93" w:rsidRDefault="00925535" w:rsidP="007473BB">
      <w:pPr>
        <w:numPr>
          <w:ilvl w:val="0"/>
          <w:numId w:val="30"/>
        </w:numPr>
        <w:spacing w:before="120" w:after="120" w:line="360" w:lineRule="auto"/>
        <w:ind w:left="714" w:hanging="357"/>
        <w:jc w:val="both"/>
        <w:rPr>
          <w:sz w:val="22"/>
          <w:szCs w:val="22"/>
        </w:rPr>
      </w:pPr>
      <w:r w:rsidRPr="00DA6F93">
        <w:rPr>
          <w:rStyle w:val="Textoennegrita"/>
          <w:sz w:val="22"/>
          <w:szCs w:val="22"/>
        </w:rPr>
        <w:lastRenderedPageBreak/>
        <w:t>No tiene carácter vinculante</w:t>
      </w:r>
      <w:r w:rsidR="007473BB">
        <w:rPr>
          <w:rStyle w:val="Textoennegrita"/>
          <w:sz w:val="22"/>
          <w:szCs w:val="22"/>
        </w:rPr>
        <w:t xml:space="preserve"> para sus destinatarios</w:t>
      </w:r>
      <w:r w:rsidRPr="00DA6F93">
        <w:rPr>
          <w:sz w:val="22"/>
          <w:szCs w:val="22"/>
        </w:rPr>
        <w:t>: el precepto habla de “favorecer” y “promover” buenas prácticas, sin establecer obligaciones concretas ni mecanismos de cumplimiento.</w:t>
      </w:r>
    </w:p>
    <w:p w:rsidR="00925535" w:rsidRPr="00DA6F93" w:rsidRDefault="00925535" w:rsidP="007473BB">
      <w:pPr>
        <w:numPr>
          <w:ilvl w:val="0"/>
          <w:numId w:val="30"/>
        </w:numPr>
        <w:spacing w:before="120" w:after="120" w:line="360" w:lineRule="auto"/>
        <w:ind w:left="714" w:hanging="357"/>
        <w:jc w:val="both"/>
        <w:rPr>
          <w:sz w:val="22"/>
          <w:szCs w:val="22"/>
        </w:rPr>
      </w:pPr>
      <w:r w:rsidRPr="00DA6F93">
        <w:rPr>
          <w:rStyle w:val="Textoennegrita"/>
          <w:sz w:val="22"/>
          <w:szCs w:val="22"/>
        </w:rPr>
        <w:t>No se ha creado la autoridad encargada de supervisar su aplicación</w:t>
      </w:r>
      <w:r w:rsidRPr="00DA6F93">
        <w:rPr>
          <w:sz w:val="22"/>
          <w:szCs w:val="22"/>
        </w:rPr>
        <w:t>, a más de dos años de su entrada en vigor, lo que impide su implementación efectiva.</w:t>
      </w:r>
    </w:p>
    <w:p w:rsidR="00925535" w:rsidRPr="00DA6F93" w:rsidRDefault="00925535" w:rsidP="007473BB">
      <w:pPr>
        <w:numPr>
          <w:ilvl w:val="0"/>
          <w:numId w:val="30"/>
        </w:numPr>
        <w:spacing w:before="120" w:after="120" w:line="360" w:lineRule="auto"/>
        <w:ind w:left="714" w:hanging="357"/>
        <w:jc w:val="both"/>
        <w:rPr>
          <w:sz w:val="22"/>
          <w:szCs w:val="22"/>
        </w:rPr>
      </w:pPr>
      <w:r w:rsidRPr="00DA6F93">
        <w:rPr>
          <w:rStyle w:val="Textoennegrita"/>
          <w:sz w:val="22"/>
          <w:szCs w:val="22"/>
        </w:rPr>
        <w:t>No adopta un enfoque de derechos humanos</w:t>
      </w:r>
      <w:r w:rsidRPr="00DA6F93">
        <w:rPr>
          <w:sz w:val="22"/>
          <w:szCs w:val="22"/>
        </w:rPr>
        <w:t>, sino uno puramente ético, dejando en manos del desarrollador o la entidad usuaria la determinación del grado de impacto y del marco de actuación.</w:t>
      </w:r>
    </w:p>
    <w:p w:rsidR="00DA6F93" w:rsidRPr="00DA6F93" w:rsidRDefault="00DA6F93" w:rsidP="00DA6F93">
      <w:pPr>
        <w:pStyle w:val="1TextCos"/>
      </w:pPr>
    </w:p>
    <w:p w:rsidR="00925535" w:rsidRPr="00277E32" w:rsidRDefault="00925535" w:rsidP="00277E32">
      <w:pPr>
        <w:pStyle w:val="Ttulo3"/>
        <w:numPr>
          <w:ilvl w:val="0"/>
          <w:numId w:val="40"/>
        </w:numPr>
        <w:jc w:val="both"/>
        <w:rPr>
          <w:rFonts w:ascii="Inter" w:hAnsi="Inter"/>
          <w:bCs w:val="0"/>
          <w:sz w:val="24"/>
        </w:rPr>
      </w:pPr>
      <w:bookmarkStart w:id="15" w:name="_Toc199156302"/>
      <w:r w:rsidRPr="00277E32">
        <w:rPr>
          <w:rFonts w:ascii="Inter" w:hAnsi="Inter"/>
          <w:sz w:val="24"/>
        </w:rPr>
        <w:t xml:space="preserve">Ética </w:t>
      </w:r>
      <w:r w:rsidR="00D25968">
        <w:rPr>
          <w:rFonts w:ascii="Inter" w:hAnsi="Inter"/>
          <w:sz w:val="24"/>
        </w:rPr>
        <w:t>un</w:t>
      </w:r>
      <w:r w:rsidRPr="00277E32">
        <w:rPr>
          <w:rFonts w:ascii="Inter" w:hAnsi="Inter"/>
          <w:sz w:val="24"/>
        </w:rPr>
        <w:t xml:space="preserve"> marco insuficiente</w:t>
      </w:r>
      <w:bookmarkEnd w:id="15"/>
    </w:p>
    <w:p w:rsidR="007473BB" w:rsidRDefault="007473BB" w:rsidP="007473BB">
      <w:pPr>
        <w:spacing w:line="360" w:lineRule="auto"/>
        <w:jc w:val="both"/>
        <w:rPr>
          <w:rStyle w:val="Textoennegrita"/>
          <w:sz w:val="22"/>
          <w:szCs w:val="22"/>
        </w:rPr>
      </w:pPr>
    </w:p>
    <w:p w:rsidR="00925535" w:rsidRDefault="007473BB" w:rsidP="007473BB">
      <w:pPr>
        <w:spacing w:line="360" w:lineRule="auto"/>
        <w:jc w:val="both"/>
        <w:rPr>
          <w:sz w:val="22"/>
          <w:szCs w:val="22"/>
          <w:lang w:val="nl-NL"/>
        </w:rPr>
      </w:pPr>
      <w:r w:rsidRPr="007473BB">
        <w:rPr>
          <w:rStyle w:val="Textoennegrita"/>
          <w:sz w:val="22"/>
          <w:szCs w:val="22"/>
        </w:rPr>
        <w:t>L</w:t>
      </w:r>
      <w:r w:rsidR="00925535" w:rsidRPr="007473BB">
        <w:rPr>
          <w:rStyle w:val="Textoennegrita"/>
          <w:sz w:val="22"/>
          <w:szCs w:val="22"/>
        </w:rPr>
        <w:t>a gobernanza</w:t>
      </w:r>
      <w:r w:rsidRPr="007473BB">
        <w:rPr>
          <w:rStyle w:val="Textoennegrita"/>
          <w:sz w:val="22"/>
          <w:szCs w:val="22"/>
        </w:rPr>
        <w:t xml:space="preserve"> y regulación</w:t>
      </w:r>
      <w:r w:rsidR="00925535" w:rsidRPr="007473BB">
        <w:rPr>
          <w:rStyle w:val="Textoennegrita"/>
          <w:sz w:val="22"/>
          <w:szCs w:val="22"/>
        </w:rPr>
        <w:t xml:space="preserve"> de la IA debe centrarse en principios jurídicos</w:t>
      </w:r>
      <w:r w:rsidRPr="007473BB">
        <w:rPr>
          <w:rStyle w:val="Textoennegrita"/>
          <w:sz w:val="22"/>
          <w:szCs w:val="22"/>
        </w:rPr>
        <w:t xml:space="preserve"> de derechos humanos</w:t>
      </w:r>
      <w:r w:rsidR="00925535" w:rsidRPr="007473BB">
        <w:rPr>
          <w:rStyle w:val="Textoennegrita"/>
          <w:sz w:val="22"/>
          <w:szCs w:val="22"/>
        </w:rPr>
        <w:t xml:space="preserve"> y no en códigos éticos voluntarios</w:t>
      </w:r>
      <w:r w:rsidR="00925535" w:rsidRPr="007473BB">
        <w:rPr>
          <w:sz w:val="22"/>
          <w:szCs w:val="22"/>
        </w:rPr>
        <w:t xml:space="preserve">, especialmente cuando su implementación puede conllevar la afectación de derechos protegidos por  el </w:t>
      </w:r>
      <w:r>
        <w:rPr>
          <w:sz w:val="22"/>
          <w:szCs w:val="22"/>
        </w:rPr>
        <w:t>Pacto Internacional de Derechos C</w:t>
      </w:r>
      <w:r w:rsidR="00925535" w:rsidRPr="007473BB">
        <w:rPr>
          <w:sz w:val="22"/>
          <w:szCs w:val="22"/>
        </w:rPr>
        <w:t xml:space="preserve">iviles y </w:t>
      </w:r>
      <w:r w:rsidR="00925535" w:rsidRPr="007473BB">
        <w:rPr>
          <w:sz w:val="22"/>
          <w:szCs w:val="22"/>
          <w:lang w:val="nl-NL"/>
        </w:rPr>
        <w:t>Políticos.</w:t>
      </w:r>
    </w:p>
    <w:p w:rsidR="007473BB" w:rsidRDefault="007473BB" w:rsidP="007473BB">
      <w:pPr>
        <w:pStyle w:val="1TextCos"/>
        <w:rPr>
          <w:lang w:val="nl-NL"/>
        </w:rPr>
      </w:pPr>
    </w:p>
    <w:p w:rsidR="007473BB" w:rsidRPr="007473BB" w:rsidRDefault="007473BB" w:rsidP="007473BB">
      <w:pPr>
        <w:pStyle w:val="1TextCos"/>
        <w:rPr>
          <w:sz w:val="22"/>
          <w:szCs w:val="22"/>
        </w:rPr>
      </w:pPr>
      <w:r w:rsidRPr="007473BB">
        <w:rPr>
          <w:sz w:val="22"/>
          <w:szCs w:val="22"/>
          <w:lang w:val="nl-NL"/>
        </w:rPr>
        <w:t xml:space="preserve">Esto es así, porque </w:t>
      </w:r>
      <w:r w:rsidRPr="007473BB">
        <w:rPr>
          <w:sz w:val="22"/>
          <w:szCs w:val="22"/>
        </w:rPr>
        <w:t>la ética como enfoque regulador de la IA es</w:t>
      </w:r>
      <w:r>
        <w:rPr>
          <w:rStyle w:val="Refdenotaalpie"/>
          <w:sz w:val="22"/>
          <w:szCs w:val="22"/>
        </w:rPr>
        <w:footnoteReference w:id="18"/>
      </w:r>
      <w:r w:rsidRPr="007473BB">
        <w:rPr>
          <w:sz w:val="22"/>
          <w:szCs w:val="22"/>
        </w:rPr>
        <w:t>:</w:t>
      </w:r>
    </w:p>
    <w:p w:rsidR="007473BB" w:rsidRPr="007473BB" w:rsidRDefault="007473BB" w:rsidP="007473BB">
      <w:pPr>
        <w:numPr>
          <w:ilvl w:val="0"/>
          <w:numId w:val="31"/>
        </w:numPr>
        <w:spacing w:before="120" w:after="120" w:line="240" w:lineRule="auto"/>
        <w:ind w:left="714" w:hanging="357"/>
        <w:jc w:val="both"/>
        <w:rPr>
          <w:sz w:val="22"/>
          <w:szCs w:val="22"/>
        </w:rPr>
      </w:pPr>
      <w:r w:rsidRPr="007473BB">
        <w:rPr>
          <w:sz w:val="22"/>
          <w:szCs w:val="22"/>
        </w:rPr>
        <w:t>Cambiante y maleable.</w:t>
      </w:r>
    </w:p>
    <w:p w:rsidR="007473BB" w:rsidRPr="007473BB" w:rsidRDefault="007473BB" w:rsidP="007473BB">
      <w:pPr>
        <w:numPr>
          <w:ilvl w:val="0"/>
          <w:numId w:val="31"/>
        </w:numPr>
        <w:spacing w:before="120" w:after="120" w:line="240" w:lineRule="auto"/>
        <w:ind w:left="714" w:hanging="357"/>
        <w:jc w:val="both"/>
        <w:rPr>
          <w:sz w:val="22"/>
          <w:szCs w:val="22"/>
        </w:rPr>
      </w:pPr>
      <w:r w:rsidRPr="007473BB">
        <w:rPr>
          <w:sz w:val="22"/>
          <w:szCs w:val="22"/>
        </w:rPr>
        <w:t>Parcial e incierta.</w:t>
      </w:r>
    </w:p>
    <w:p w:rsidR="007473BB" w:rsidRDefault="007473BB" w:rsidP="007473BB">
      <w:pPr>
        <w:numPr>
          <w:ilvl w:val="0"/>
          <w:numId w:val="31"/>
        </w:numPr>
        <w:spacing w:before="120" w:after="120" w:line="240" w:lineRule="auto"/>
        <w:ind w:left="714" w:hanging="357"/>
        <w:jc w:val="both"/>
        <w:rPr>
          <w:sz w:val="22"/>
          <w:szCs w:val="22"/>
        </w:rPr>
      </w:pPr>
      <w:r w:rsidRPr="007473BB">
        <w:rPr>
          <w:sz w:val="22"/>
          <w:szCs w:val="22"/>
        </w:rPr>
        <w:t>Impune en caso de vulneración.</w:t>
      </w:r>
    </w:p>
    <w:p w:rsidR="007473BB" w:rsidRPr="007473BB" w:rsidRDefault="007473BB" w:rsidP="007473BB">
      <w:pPr>
        <w:pStyle w:val="1TextCos"/>
      </w:pPr>
    </w:p>
    <w:p w:rsidR="007473BB" w:rsidRDefault="007473BB" w:rsidP="007473BB">
      <w:pPr>
        <w:spacing w:line="360" w:lineRule="auto"/>
        <w:jc w:val="both"/>
        <w:rPr>
          <w:sz w:val="22"/>
          <w:szCs w:val="22"/>
        </w:rPr>
      </w:pPr>
      <w:r w:rsidRPr="007473BB">
        <w:rPr>
          <w:sz w:val="22"/>
          <w:szCs w:val="22"/>
        </w:rPr>
        <w:t xml:space="preserve">Mantener referencias éticas solo se explica porque, en la práctica, </w:t>
      </w:r>
      <w:r w:rsidRPr="007473BB">
        <w:rPr>
          <w:rStyle w:val="Textoennegrita"/>
          <w:sz w:val="22"/>
          <w:szCs w:val="22"/>
        </w:rPr>
        <w:t>la IA es desarrollada y promovida mayoritariamente por grandes empresas privadas</w:t>
      </w:r>
      <w:r w:rsidRPr="007473BB">
        <w:rPr>
          <w:sz w:val="22"/>
          <w:szCs w:val="22"/>
        </w:rPr>
        <w:t xml:space="preserve">, que determinan sus propios códigos éticos sin estar sujetas a controles externos ni vinculaciones jurídicas claras. Esta autorregulación </w:t>
      </w:r>
      <w:r w:rsidRPr="007473BB">
        <w:rPr>
          <w:sz w:val="22"/>
          <w:szCs w:val="22"/>
        </w:rPr>
        <w:lastRenderedPageBreak/>
        <w:t xml:space="preserve">aceptada por omisión por parte de los Estados, </w:t>
      </w:r>
      <w:r w:rsidRPr="007473BB">
        <w:rPr>
          <w:rStyle w:val="Textoennegrita"/>
          <w:sz w:val="22"/>
          <w:szCs w:val="22"/>
        </w:rPr>
        <w:t>no garantiza la protección de los derechos humanos</w:t>
      </w:r>
      <w:r w:rsidRPr="007473BB">
        <w:rPr>
          <w:sz w:val="22"/>
          <w:szCs w:val="22"/>
        </w:rPr>
        <w:t>, en especial de colectivos en situación de vulnerabilidad como personas migrantes, minorías raciales, mujeres, infancia o personas en situación de pobreza.</w:t>
      </w:r>
    </w:p>
    <w:p w:rsidR="004D3FF5" w:rsidRPr="004D3FF5" w:rsidRDefault="004D3FF5" w:rsidP="004D3FF5">
      <w:pPr>
        <w:pStyle w:val="1TextCos"/>
      </w:pPr>
    </w:p>
    <w:p w:rsidR="007473BB" w:rsidRPr="004D3FF5" w:rsidRDefault="007473BB" w:rsidP="004D3FF5">
      <w:pPr>
        <w:spacing w:line="360" w:lineRule="auto"/>
        <w:jc w:val="both"/>
        <w:rPr>
          <w:sz w:val="22"/>
          <w:szCs w:val="22"/>
        </w:rPr>
      </w:pPr>
      <w:r w:rsidRPr="004D3FF5">
        <w:rPr>
          <w:sz w:val="22"/>
          <w:szCs w:val="22"/>
        </w:rPr>
        <w:t>Frente a esto, los derechos humanos</w:t>
      </w:r>
      <w:r w:rsidR="004D3FF5" w:rsidRPr="004D3FF5">
        <w:rPr>
          <w:sz w:val="22"/>
          <w:szCs w:val="22"/>
        </w:rPr>
        <w:t xml:space="preserve"> son  la opción, ya que</w:t>
      </w:r>
      <w:r w:rsidRPr="004D3FF5">
        <w:rPr>
          <w:sz w:val="22"/>
          <w:szCs w:val="22"/>
        </w:rPr>
        <w:t>:</w:t>
      </w:r>
    </w:p>
    <w:p w:rsidR="007473BB" w:rsidRPr="004D3FF5" w:rsidRDefault="007473BB" w:rsidP="004D3FF5">
      <w:pPr>
        <w:numPr>
          <w:ilvl w:val="0"/>
          <w:numId w:val="32"/>
        </w:numPr>
        <w:spacing w:before="120" w:after="120" w:line="360" w:lineRule="auto"/>
        <w:ind w:left="714" w:hanging="357"/>
        <w:jc w:val="both"/>
        <w:rPr>
          <w:sz w:val="22"/>
          <w:szCs w:val="22"/>
        </w:rPr>
      </w:pPr>
      <w:r w:rsidRPr="004D3FF5">
        <w:rPr>
          <w:sz w:val="22"/>
          <w:szCs w:val="22"/>
        </w:rPr>
        <w:t xml:space="preserve">Representan </w:t>
      </w:r>
      <w:r w:rsidRPr="004D3FF5">
        <w:rPr>
          <w:rStyle w:val="Textoennegrita"/>
          <w:sz w:val="22"/>
          <w:szCs w:val="22"/>
        </w:rPr>
        <w:t>acuerdos normativos universales</w:t>
      </w:r>
      <w:r w:rsidRPr="004D3FF5">
        <w:rPr>
          <w:sz w:val="22"/>
          <w:szCs w:val="22"/>
        </w:rPr>
        <w:t xml:space="preserve"> con reconocimiento nacional e internacional.</w:t>
      </w:r>
    </w:p>
    <w:p w:rsidR="007473BB" w:rsidRPr="004D3FF5" w:rsidRDefault="007473BB" w:rsidP="004D3FF5">
      <w:pPr>
        <w:numPr>
          <w:ilvl w:val="0"/>
          <w:numId w:val="32"/>
        </w:numPr>
        <w:spacing w:before="120" w:after="120" w:line="360" w:lineRule="auto"/>
        <w:ind w:left="714" w:hanging="357"/>
        <w:jc w:val="both"/>
        <w:rPr>
          <w:sz w:val="22"/>
          <w:szCs w:val="22"/>
        </w:rPr>
      </w:pPr>
      <w:r w:rsidRPr="004D3FF5">
        <w:rPr>
          <w:sz w:val="22"/>
          <w:szCs w:val="22"/>
        </w:rPr>
        <w:t xml:space="preserve">Establecen </w:t>
      </w:r>
      <w:r w:rsidRPr="004D3FF5">
        <w:rPr>
          <w:rStyle w:val="Textoennegrita"/>
          <w:sz w:val="22"/>
          <w:szCs w:val="22"/>
        </w:rPr>
        <w:t>responsabilidades claras y exigibles</w:t>
      </w:r>
      <w:r w:rsidRPr="004D3FF5">
        <w:rPr>
          <w:sz w:val="22"/>
          <w:szCs w:val="22"/>
        </w:rPr>
        <w:t>, también a empresas, conforme a los Principios Rectores de Naciones Unidas sobre Empresas y Derechos Humanos.</w:t>
      </w:r>
    </w:p>
    <w:p w:rsidR="007473BB" w:rsidRPr="004D3FF5" w:rsidRDefault="007473BB" w:rsidP="004D3FF5">
      <w:pPr>
        <w:numPr>
          <w:ilvl w:val="0"/>
          <w:numId w:val="32"/>
        </w:numPr>
        <w:spacing w:before="120" w:after="120" w:line="360" w:lineRule="auto"/>
        <w:ind w:left="714" w:hanging="357"/>
        <w:jc w:val="both"/>
        <w:rPr>
          <w:sz w:val="22"/>
          <w:szCs w:val="22"/>
        </w:rPr>
      </w:pPr>
      <w:r w:rsidRPr="004D3FF5">
        <w:rPr>
          <w:sz w:val="22"/>
          <w:szCs w:val="22"/>
        </w:rPr>
        <w:t xml:space="preserve">Tienen un </w:t>
      </w:r>
      <w:r w:rsidRPr="004D3FF5">
        <w:rPr>
          <w:rStyle w:val="Textoennegrita"/>
          <w:sz w:val="22"/>
          <w:szCs w:val="22"/>
        </w:rPr>
        <w:t>contenido definido y verificable</w:t>
      </w:r>
      <w:r w:rsidRPr="004D3FF5">
        <w:rPr>
          <w:sz w:val="22"/>
          <w:szCs w:val="22"/>
        </w:rPr>
        <w:t>, a diferencia de los estándares éticos que varían según el contexto, la empresa o el interés comercial.</w:t>
      </w:r>
    </w:p>
    <w:p w:rsidR="007473BB" w:rsidRDefault="00C15EDA" w:rsidP="004D3FF5">
      <w:pPr>
        <w:pStyle w:val="1TextCos"/>
        <w:spacing w:line="360" w:lineRule="auto"/>
        <w:rPr>
          <w:sz w:val="22"/>
          <w:szCs w:val="22"/>
        </w:rPr>
      </w:pPr>
      <w:r>
        <w:rPr>
          <w:sz w:val="22"/>
          <w:szCs w:val="22"/>
        </w:rPr>
        <w:t>En este sentido, el Estado español debe impulsar que todas las regulaciones, controles, vigilancia y monitoreo de la IA se base en normas, parámetros y estándares de derechos humanos y no en sistémas éticos. En Estado español en su Segundo Plan de Derechos Humanos ya reconoce en parte esa importancia, por lo que debe actuar en congruencia.</w:t>
      </w:r>
    </w:p>
    <w:p w:rsidR="00C15EDA" w:rsidRPr="004D3FF5" w:rsidRDefault="00C15EDA" w:rsidP="004D3FF5">
      <w:pPr>
        <w:pStyle w:val="1TextCos"/>
        <w:spacing w:line="360" w:lineRule="auto"/>
        <w:rPr>
          <w:sz w:val="22"/>
          <w:szCs w:val="22"/>
        </w:rPr>
      </w:pPr>
    </w:p>
    <w:p w:rsidR="00925535" w:rsidRPr="00277E32" w:rsidRDefault="00925535" w:rsidP="00277E32">
      <w:pPr>
        <w:pStyle w:val="Ttulo3"/>
        <w:numPr>
          <w:ilvl w:val="0"/>
          <w:numId w:val="40"/>
        </w:numPr>
        <w:jc w:val="both"/>
        <w:rPr>
          <w:rFonts w:ascii="Inter" w:hAnsi="Inter"/>
          <w:bCs w:val="0"/>
          <w:sz w:val="24"/>
        </w:rPr>
      </w:pPr>
      <w:bookmarkStart w:id="16" w:name="_Toc199156303"/>
      <w:r w:rsidRPr="00277E32">
        <w:rPr>
          <w:rFonts w:ascii="Inter" w:hAnsi="Inter"/>
          <w:sz w:val="24"/>
        </w:rPr>
        <w:t>IA en los DDHH: no siempre necesaria, pero siempre regulada</w:t>
      </w:r>
      <w:bookmarkEnd w:id="16"/>
    </w:p>
    <w:p w:rsidR="00652E45" w:rsidRDefault="00652E45" w:rsidP="00652E45">
      <w:pPr>
        <w:jc w:val="both"/>
      </w:pPr>
    </w:p>
    <w:p w:rsidR="00652E45" w:rsidRPr="00652E45" w:rsidRDefault="00652E45" w:rsidP="00652E45">
      <w:pPr>
        <w:jc w:val="both"/>
        <w:rPr>
          <w:sz w:val="22"/>
          <w:szCs w:val="22"/>
        </w:rPr>
      </w:pPr>
      <w:r w:rsidRPr="00652E45">
        <w:rPr>
          <w:sz w:val="22"/>
          <w:szCs w:val="22"/>
        </w:rPr>
        <w:t>¿E</w:t>
      </w:r>
      <w:r w:rsidRPr="00652E45">
        <w:rPr>
          <w:sz w:val="22"/>
          <w:szCs w:val="22"/>
        </w:rPr>
        <w:t>s necesaria la IA para el ejercicio de algunos o</w:t>
      </w:r>
      <w:r w:rsidRPr="00652E45">
        <w:rPr>
          <w:sz w:val="22"/>
          <w:szCs w:val="22"/>
        </w:rPr>
        <w:t xml:space="preserve"> </w:t>
      </w:r>
      <w:r w:rsidRPr="00652E45">
        <w:rPr>
          <w:sz w:val="22"/>
          <w:szCs w:val="22"/>
        </w:rPr>
        <w:t>de todos nuestros derechos humanos?</w:t>
      </w:r>
      <w:r w:rsidR="00035382">
        <w:rPr>
          <w:rStyle w:val="Refdenotaalpie"/>
          <w:sz w:val="22"/>
          <w:szCs w:val="22"/>
        </w:rPr>
        <w:footnoteReference w:id="19"/>
      </w:r>
      <w:r w:rsidRPr="00652E45">
        <w:rPr>
          <w:sz w:val="22"/>
          <w:szCs w:val="22"/>
        </w:rPr>
        <w:t xml:space="preserve"> </w:t>
      </w:r>
      <w:r w:rsidRPr="00652E45">
        <w:rPr>
          <w:sz w:val="22"/>
          <w:szCs w:val="22"/>
        </w:rPr>
        <w:t>Si tomamos en consideración el hecho de que, en su origen, los derechos humanos no</w:t>
      </w:r>
      <w:r w:rsidRPr="00652E45">
        <w:rPr>
          <w:sz w:val="22"/>
          <w:szCs w:val="22"/>
        </w:rPr>
        <w:t xml:space="preserve"> </w:t>
      </w:r>
      <w:r w:rsidRPr="00652E45">
        <w:rPr>
          <w:sz w:val="22"/>
          <w:szCs w:val="22"/>
        </w:rPr>
        <w:t>necesitaron la inteligencia artificial para su ejercicio, garantía y protección, en 202</w:t>
      </w:r>
      <w:r w:rsidRPr="00652E45">
        <w:rPr>
          <w:sz w:val="22"/>
          <w:szCs w:val="22"/>
        </w:rPr>
        <w:t>5</w:t>
      </w:r>
      <w:r w:rsidRPr="00652E45">
        <w:rPr>
          <w:sz w:val="22"/>
          <w:szCs w:val="22"/>
        </w:rPr>
        <w:t>, y de</w:t>
      </w:r>
      <w:r w:rsidRPr="00652E45">
        <w:rPr>
          <w:sz w:val="22"/>
          <w:szCs w:val="22"/>
        </w:rPr>
        <w:t xml:space="preserve"> </w:t>
      </w:r>
      <w:r w:rsidRPr="00652E45">
        <w:rPr>
          <w:sz w:val="22"/>
          <w:szCs w:val="22"/>
        </w:rPr>
        <w:t>cara al futuro, no parece imprescindible el uso de esta tecnología para estos fines, salvo</w:t>
      </w:r>
      <w:r w:rsidRPr="00652E45">
        <w:rPr>
          <w:sz w:val="22"/>
          <w:szCs w:val="22"/>
        </w:rPr>
        <w:t xml:space="preserve"> </w:t>
      </w:r>
      <w:r w:rsidRPr="00652E45">
        <w:rPr>
          <w:sz w:val="22"/>
          <w:szCs w:val="22"/>
        </w:rPr>
        <w:t xml:space="preserve">que la inteligencia artificial </w:t>
      </w:r>
      <w:r w:rsidRPr="00652E45">
        <w:rPr>
          <w:sz w:val="22"/>
          <w:szCs w:val="22"/>
        </w:rPr>
        <w:lastRenderedPageBreak/>
        <w:t>permita asegurar la pretendida universalidad de los derechos</w:t>
      </w:r>
      <w:r w:rsidRPr="00652E45">
        <w:rPr>
          <w:sz w:val="22"/>
          <w:szCs w:val="22"/>
        </w:rPr>
        <w:t xml:space="preserve"> </w:t>
      </w:r>
      <w:r w:rsidRPr="00652E45">
        <w:rPr>
          <w:sz w:val="22"/>
          <w:szCs w:val="22"/>
        </w:rPr>
        <w:t>humanos que, 75 años después de la aprobación de la Declaración Universal de los</w:t>
      </w:r>
      <w:r w:rsidRPr="00652E45">
        <w:rPr>
          <w:sz w:val="22"/>
          <w:szCs w:val="22"/>
        </w:rPr>
        <w:t xml:space="preserve"> </w:t>
      </w:r>
      <w:r w:rsidRPr="00652E45">
        <w:rPr>
          <w:sz w:val="22"/>
          <w:szCs w:val="22"/>
        </w:rPr>
        <w:t>Derechos Humanos, sigue siendo un tema pendiente en todas las regiones del mundo.</w:t>
      </w:r>
    </w:p>
    <w:p w:rsidR="00652E45" w:rsidRPr="00652E45" w:rsidRDefault="00652E45" w:rsidP="00652E45">
      <w:pPr>
        <w:pStyle w:val="1TextCos"/>
        <w:rPr>
          <w:sz w:val="22"/>
          <w:szCs w:val="22"/>
        </w:rPr>
      </w:pPr>
    </w:p>
    <w:p w:rsidR="00C15EDA" w:rsidRDefault="00652E45" w:rsidP="00652E45">
      <w:pPr>
        <w:pStyle w:val="1TextCos"/>
        <w:rPr>
          <w:sz w:val="22"/>
          <w:szCs w:val="22"/>
        </w:rPr>
      </w:pPr>
      <w:r w:rsidRPr="00652E45">
        <w:rPr>
          <w:sz w:val="22"/>
          <w:szCs w:val="22"/>
        </w:rPr>
        <w:t>En cualquier caso, determinar si la inteligencia artificial es necesaria para el ejercicio,</w:t>
      </w:r>
      <w:r w:rsidRPr="00652E45">
        <w:rPr>
          <w:sz w:val="22"/>
          <w:szCs w:val="22"/>
        </w:rPr>
        <w:t xml:space="preserve"> </w:t>
      </w:r>
      <w:r w:rsidRPr="00652E45">
        <w:rPr>
          <w:sz w:val="22"/>
          <w:szCs w:val="22"/>
        </w:rPr>
        <w:t>garantía y protección de los derechos humanos no puede partir de una conclusión general</w:t>
      </w:r>
      <w:r>
        <w:rPr>
          <w:sz w:val="22"/>
          <w:szCs w:val="22"/>
        </w:rPr>
        <w:t xml:space="preserve"> </w:t>
      </w:r>
      <w:r w:rsidRPr="00652E45">
        <w:rPr>
          <w:sz w:val="22"/>
          <w:szCs w:val="22"/>
        </w:rPr>
        <w:t>para todos los derechos, sino que requiere el análisis de cada uno de los derechos</w:t>
      </w:r>
      <w:r w:rsidRPr="00652E45">
        <w:rPr>
          <w:sz w:val="22"/>
          <w:szCs w:val="22"/>
        </w:rPr>
        <w:t xml:space="preserve"> </w:t>
      </w:r>
      <w:r w:rsidRPr="00652E45">
        <w:rPr>
          <w:sz w:val="22"/>
          <w:szCs w:val="22"/>
        </w:rPr>
        <w:t>reconocidos a nivel nacional e internacional para determinar, a partir de sus elementos y</w:t>
      </w:r>
      <w:r>
        <w:rPr>
          <w:sz w:val="22"/>
          <w:szCs w:val="22"/>
        </w:rPr>
        <w:t xml:space="preserve"> </w:t>
      </w:r>
      <w:r w:rsidRPr="00652E45">
        <w:rPr>
          <w:sz w:val="22"/>
          <w:szCs w:val="22"/>
        </w:rPr>
        <w:t xml:space="preserve">caracterización, si la IA es necesaria o útil. </w:t>
      </w:r>
    </w:p>
    <w:p w:rsidR="00652E45" w:rsidRDefault="00652E45" w:rsidP="00652E45">
      <w:pPr>
        <w:pStyle w:val="1TextCos"/>
        <w:rPr>
          <w:sz w:val="22"/>
          <w:szCs w:val="22"/>
        </w:rPr>
      </w:pPr>
    </w:p>
    <w:p w:rsidR="00652E45" w:rsidRDefault="00652E45" w:rsidP="00652E45">
      <w:pPr>
        <w:pStyle w:val="1TextCos"/>
        <w:rPr>
          <w:sz w:val="22"/>
          <w:szCs w:val="22"/>
        </w:rPr>
      </w:pPr>
      <w:r w:rsidRPr="00652E45">
        <w:rPr>
          <w:sz w:val="22"/>
          <w:szCs w:val="22"/>
        </w:rPr>
        <w:t>Ante esta situación, es importante decidir el uso de la inteligencia artificial pensando en los</w:t>
      </w:r>
      <w:r>
        <w:rPr>
          <w:sz w:val="22"/>
          <w:szCs w:val="22"/>
        </w:rPr>
        <w:t xml:space="preserve"> </w:t>
      </w:r>
      <w:r w:rsidRPr="00652E45">
        <w:rPr>
          <w:sz w:val="22"/>
          <w:szCs w:val="22"/>
        </w:rPr>
        <w:t>derechos humanos, para valorar si la IA aporta o no algo mejor a lo que ya existe en el</w:t>
      </w:r>
      <w:r>
        <w:rPr>
          <w:sz w:val="22"/>
          <w:szCs w:val="22"/>
        </w:rPr>
        <w:t xml:space="preserve"> </w:t>
      </w:r>
      <w:r w:rsidRPr="00652E45">
        <w:rPr>
          <w:sz w:val="22"/>
          <w:szCs w:val="22"/>
        </w:rPr>
        <w:t>mundo analógico para su ejercicio, garantía y protección. Es decir, no hay que tener miedo</w:t>
      </w:r>
      <w:r>
        <w:rPr>
          <w:sz w:val="22"/>
          <w:szCs w:val="22"/>
        </w:rPr>
        <w:t xml:space="preserve"> </w:t>
      </w:r>
      <w:r w:rsidRPr="00652E45">
        <w:rPr>
          <w:sz w:val="22"/>
          <w:szCs w:val="22"/>
        </w:rPr>
        <w:t>a decir que no a una aparente modernidad que no aportará nada positivo a los derechos</w:t>
      </w:r>
      <w:r>
        <w:rPr>
          <w:sz w:val="22"/>
          <w:szCs w:val="22"/>
        </w:rPr>
        <w:t xml:space="preserve"> </w:t>
      </w:r>
      <w:r w:rsidRPr="00652E45">
        <w:rPr>
          <w:sz w:val="22"/>
          <w:szCs w:val="22"/>
        </w:rPr>
        <w:t>humanos, y mucho menos cuando quien lo ofrece son empresas a las que importa su</w:t>
      </w:r>
      <w:r>
        <w:rPr>
          <w:sz w:val="22"/>
          <w:szCs w:val="22"/>
        </w:rPr>
        <w:t xml:space="preserve"> </w:t>
      </w:r>
      <w:r w:rsidRPr="00652E45">
        <w:rPr>
          <w:sz w:val="22"/>
          <w:szCs w:val="22"/>
        </w:rPr>
        <w:t>negocio y no la universalidad de los derechos humanos.</w:t>
      </w:r>
    </w:p>
    <w:p w:rsidR="00652E45" w:rsidRDefault="00652E45" w:rsidP="00652E45">
      <w:pPr>
        <w:pStyle w:val="1TextCos"/>
        <w:rPr>
          <w:sz w:val="22"/>
          <w:szCs w:val="22"/>
        </w:rPr>
      </w:pPr>
    </w:p>
    <w:p w:rsidR="00652E45" w:rsidRPr="00652E45" w:rsidRDefault="00652E45" w:rsidP="00652E45">
      <w:pPr>
        <w:pStyle w:val="1TextCos"/>
        <w:rPr>
          <w:sz w:val="22"/>
          <w:szCs w:val="22"/>
        </w:rPr>
      </w:pPr>
      <w:r>
        <w:rPr>
          <w:sz w:val="22"/>
          <w:szCs w:val="22"/>
        </w:rPr>
        <w:t>En ese sentido, el Estado español debe tomar todas las medidas necesarias para que ninguna IA ponga en riesgo el efectivo ejercicio y garantía de los derechos humanos, especialmente los contenidos en el Pacto Internacional de Derechos Civiles y Políticos.</w:t>
      </w:r>
    </w:p>
    <w:p w:rsidR="00652E45" w:rsidRPr="00652E45" w:rsidRDefault="00652E45" w:rsidP="00652E45">
      <w:pPr>
        <w:pStyle w:val="1TextCos"/>
        <w:rPr>
          <w:sz w:val="22"/>
          <w:szCs w:val="22"/>
        </w:rPr>
      </w:pPr>
    </w:p>
    <w:p w:rsidR="00652E45" w:rsidRPr="00C15EDA" w:rsidRDefault="00652E45" w:rsidP="00652E45">
      <w:pPr>
        <w:pStyle w:val="1TextCos"/>
      </w:pPr>
    </w:p>
    <w:p w:rsidR="00925535" w:rsidRPr="00DD791B" w:rsidRDefault="00925535" w:rsidP="00DD791B">
      <w:pPr>
        <w:pStyle w:val="Ttulo3"/>
        <w:numPr>
          <w:ilvl w:val="0"/>
          <w:numId w:val="40"/>
        </w:numPr>
        <w:jc w:val="both"/>
        <w:rPr>
          <w:rFonts w:ascii="Inter" w:hAnsi="Inter"/>
          <w:sz w:val="24"/>
        </w:rPr>
      </w:pPr>
      <w:bookmarkStart w:id="17" w:name="_Toc199156304"/>
      <w:r w:rsidRPr="00DD791B">
        <w:rPr>
          <w:rFonts w:ascii="Inter" w:hAnsi="Inter"/>
          <w:bCs w:val="0"/>
          <w:sz w:val="24"/>
        </w:rPr>
        <w:t>Conclusión y recomendaciones</w:t>
      </w:r>
      <w:bookmarkEnd w:id="17"/>
    </w:p>
    <w:p w:rsidR="00035382" w:rsidRDefault="00035382" w:rsidP="00035382">
      <w:pPr>
        <w:spacing w:line="360" w:lineRule="auto"/>
        <w:jc w:val="both"/>
        <w:rPr>
          <w:sz w:val="22"/>
          <w:szCs w:val="22"/>
        </w:rPr>
      </w:pPr>
    </w:p>
    <w:p w:rsidR="00925535" w:rsidRDefault="00925535" w:rsidP="00035382">
      <w:pPr>
        <w:spacing w:line="360" w:lineRule="auto"/>
        <w:jc w:val="both"/>
        <w:rPr>
          <w:sz w:val="22"/>
          <w:szCs w:val="22"/>
        </w:rPr>
      </w:pPr>
      <w:r w:rsidRPr="00035382">
        <w:rPr>
          <w:sz w:val="22"/>
          <w:szCs w:val="22"/>
        </w:rPr>
        <w:t xml:space="preserve">La omisión del tema de la inteligencia artificial en el informe del Estado español ante el Comité de Derechos Humanos </w:t>
      </w:r>
      <w:r w:rsidRPr="00035382">
        <w:rPr>
          <w:rStyle w:val="Textoennegrita"/>
          <w:sz w:val="22"/>
          <w:szCs w:val="22"/>
        </w:rPr>
        <w:t>revela una grave falta de actualización frente a una tecnología que ya está afectando el goce y ejercicio de derechos fundamentales</w:t>
      </w:r>
      <w:r w:rsidRPr="00035382">
        <w:rPr>
          <w:sz w:val="22"/>
          <w:szCs w:val="22"/>
        </w:rPr>
        <w:t>, en ámbitos directamente relacionados con el mandato de</w:t>
      </w:r>
      <w:r w:rsidR="00035382">
        <w:rPr>
          <w:sz w:val="22"/>
          <w:szCs w:val="22"/>
        </w:rPr>
        <w:t xml:space="preserve"> este</w:t>
      </w:r>
      <w:r w:rsidRPr="00035382">
        <w:rPr>
          <w:sz w:val="22"/>
          <w:szCs w:val="22"/>
        </w:rPr>
        <w:t xml:space="preserve"> Comité.</w:t>
      </w:r>
    </w:p>
    <w:p w:rsidR="00035382" w:rsidRPr="00035382" w:rsidRDefault="00035382" w:rsidP="00035382">
      <w:pPr>
        <w:pStyle w:val="1TextCos"/>
      </w:pPr>
    </w:p>
    <w:p w:rsidR="00925535" w:rsidRDefault="00925535" w:rsidP="00035382">
      <w:pPr>
        <w:spacing w:line="360" w:lineRule="auto"/>
        <w:jc w:val="both"/>
        <w:rPr>
          <w:sz w:val="22"/>
          <w:szCs w:val="22"/>
        </w:rPr>
      </w:pPr>
      <w:r w:rsidRPr="00035382">
        <w:rPr>
          <w:sz w:val="22"/>
          <w:szCs w:val="22"/>
        </w:rPr>
        <w:lastRenderedPageBreak/>
        <w:t xml:space="preserve">En este sentido, se </w:t>
      </w:r>
      <w:r w:rsidR="00035382">
        <w:rPr>
          <w:sz w:val="22"/>
          <w:szCs w:val="22"/>
        </w:rPr>
        <w:t>sugiere a ese</w:t>
      </w:r>
      <w:r w:rsidRPr="00035382">
        <w:rPr>
          <w:sz w:val="22"/>
          <w:szCs w:val="22"/>
        </w:rPr>
        <w:t xml:space="preserve"> Comité de Derechos Humanos</w:t>
      </w:r>
      <w:r w:rsidR="00035382">
        <w:rPr>
          <w:sz w:val="22"/>
          <w:szCs w:val="22"/>
        </w:rPr>
        <w:t>, que recomiende al Estado español en esta materia</w:t>
      </w:r>
      <w:r w:rsidRPr="00035382">
        <w:rPr>
          <w:sz w:val="22"/>
          <w:szCs w:val="22"/>
        </w:rPr>
        <w:t xml:space="preserve">: </w:t>
      </w:r>
    </w:p>
    <w:p w:rsidR="00035382" w:rsidRPr="00035382" w:rsidRDefault="00035382" w:rsidP="00035382">
      <w:pPr>
        <w:pStyle w:val="1TextCos"/>
      </w:pPr>
    </w:p>
    <w:p w:rsidR="00035382" w:rsidRPr="00035382" w:rsidRDefault="00035382" w:rsidP="00035382">
      <w:pPr>
        <w:numPr>
          <w:ilvl w:val="0"/>
          <w:numId w:val="34"/>
        </w:numPr>
        <w:spacing w:before="120" w:after="120" w:line="360" w:lineRule="auto"/>
        <w:jc w:val="both"/>
        <w:rPr>
          <w:rStyle w:val="Textoennegrita"/>
          <w:b w:val="0"/>
          <w:bCs w:val="0"/>
          <w:sz w:val="22"/>
          <w:szCs w:val="22"/>
        </w:rPr>
      </w:pPr>
      <w:r w:rsidRPr="00035382">
        <w:rPr>
          <w:rStyle w:val="Textoennegrita"/>
          <w:bCs w:val="0"/>
          <w:sz w:val="22"/>
          <w:szCs w:val="22"/>
        </w:rPr>
        <w:t>Incluir en su próximo informe</w:t>
      </w:r>
      <w:r>
        <w:rPr>
          <w:rStyle w:val="Textoennegrita"/>
          <w:b w:val="0"/>
          <w:bCs w:val="0"/>
          <w:sz w:val="22"/>
          <w:szCs w:val="22"/>
        </w:rPr>
        <w:t xml:space="preserve"> toda la información relacionada con los impacto de la inteigencia artificial en los derechos reconocidoe en el Pacto.</w:t>
      </w:r>
    </w:p>
    <w:p w:rsidR="00925535" w:rsidRDefault="00035382" w:rsidP="00035382">
      <w:pPr>
        <w:numPr>
          <w:ilvl w:val="0"/>
          <w:numId w:val="34"/>
        </w:numPr>
        <w:spacing w:before="120" w:after="120" w:line="360" w:lineRule="auto"/>
        <w:jc w:val="both"/>
        <w:rPr>
          <w:sz w:val="22"/>
          <w:szCs w:val="22"/>
        </w:rPr>
      </w:pPr>
      <w:r>
        <w:rPr>
          <w:rStyle w:val="Textoennegrita"/>
          <w:sz w:val="22"/>
          <w:szCs w:val="22"/>
        </w:rPr>
        <w:t>I</w:t>
      </w:r>
      <w:r w:rsidR="00925535" w:rsidRPr="00035382">
        <w:rPr>
          <w:rStyle w:val="Textoennegrita"/>
          <w:sz w:val="22"/>
          <w:szCs w:val="22"/>
        </w:rPr>
        <w:t>ncorporar un enfoque de derechos humanos, y no solo ético, en la legislación y regulación de la inteligencia artificial</w:t>
      </w:r>
      <w:r w:rsidR="00925535" w:rsidRPr="00035382">
        <w:rPr>
          <w:sz w:val="22"/>
          <w:szCs w:val="22"/>
        </w:rPr>
        <w:t>, especialmente en ámbitos de vigilancia, control migratorio y seguridad.</w:t>
      </w:r>
    </w:p>
    <w:p w:rsidR="00035382" w:rsidRPr="00035382" w:rsidRDefault="00035382" w:rsidP="00035382">
      <w:pPr>
        <w:pStyle w:val="1TextCos"/>
        <w:spacing w:before="120" w:after="120"/>
      </w:pPr>
    </w:p>
    <w:p w:rsidR="00925535" w:rsidRDefault="00035382" w:rsidP="00035382">
      <w:pPr>
        <w:numPr>
          <w:ilvl w:val="0"/>
          <w:numId w:val="34"/>
        </w:numPr>
        <w:spacing w:before="120" w:after="120" w:line="360" w:lineRule="auto"/>
        <w:jc w:val="both"/>
        <w:rPr>
          <w:sz w:val="22"/>
          <w:szCs w:val="22"/>
        </w:rPr>
      </w:pPr>
      <w:r>
        <w:rPr>
          <w:rStyle w:val="Textoennegrita"/>
          <w:sz w:val="22"/>
          <w:szCs w:val="22"/>
        </w:rPr>
        <w:t xml:space="preserve">Implementar de forma </w:t>
      </w:r>
      <w:r w:rsidR="00925535" w:rsidRPr="00035382">
        <w:rPr>
          <w:rStyle w:val="Textoennegrita"/>
          <w:sz w:val="22"/>
          <w:szCs w:val="22"/>
        </w:rPr>
        <w:t>efectiva el artículo 23 de la Ley 15/2022</w:t>
      </w:r>
      <w:r w:rsidR="00925535" w:rsidRPr="00035382">
        <w:rPr>
          <w:sz w:val="22"/>
          <w:szCs w:val="22"/>
        </w:rPr>
        <w:t>, mediante la creación de una autoridad supervisora con competencias reales de fiscalización, sanción y reparación.</w:t>
      </w:r>
    </w:p>
    <w:p w:rsidR="00035382" w:rsidRPr="00035382" w:rsidRDefault="00035382" w:rsidP="00035382">
      <w:pPr>
        <w:pStyle w:val="1TextCos"/>
        <w:spacing w:before="120" w:after="120"/>
      </w:pPr>
    </w:p>
    <w:p w:rsidR="00925535" w:rsidRDefault="00035382" w:rsidP="00035382">
      <w:pPr>
        <w:numPr>
          <w:ilvl w:val="0"/>
          <w:numId w:val="34"/>
        </w:numPr>
        <w:spacing w:before="120" w:after="120" w:line="360" w:lineRule="auto"/>
        <w:jc w:val="both"/>
        <w:rPr>
          <w:sz w:val="22"/>
          <w:szCs w:val="22"/>
        </w:rPr>
      </w:pPr>
      <w:r>
        <w:rPr>
          <w:rStyle w:val="Textoennegrita"/>
          <w:sz w:val="22"/>
          <w:szCs w:val="22"/>
        </w:rPr>
        <w:t xml:space="preserve">Prohibir expresamente </w:t>
      </w:r>
      <w:r w:rsidR="00925535" w:rsidRPr="00035382">
        <w:rPr>
          <w:rStyle w:val="Textoennegrita"/>
          <w:sz w:val="22"/>
          <w:szCs w:val="22"/>
        </w:rPr>
        <w:t>el uso de tecnologías de IA en contextos de riesgo elevado o inaceptable para los derechos humanos</w:t>
      </w:r>
      <w:r w:rsidR="00925535" w:rsidRPr="00035382">
        <w:rPr>
          <w:sz w:val="22"/>
          <w:szCs w:val="22"/>
        </w:rPr>
        <w:t>, tales como el reconocimiento facial masivo, la categorización biométrica por criterios sensibles o la predicción de comportamiento delictivo.</w:t>
      </w:r>
    </w:p>
    <w:p w:rsidR="00035382" w:rsidRPr="00035382" w:rsidRDefault="00035382" w:rsidP="00035382">
      <w:pPr>
        <w:pStyle w:val="1TextCos"/>
        <w:spacing w:before="120" w:after="120"/>
      </w:pPr>
    </w:p>
    <w:p w:rsidR="00925535" w:rsidRDefault="00035382" w:rsidP="00035382">
      <w:pPr>
        <w:numPr>
          <w:ilvl w:val="0"/>
          <w:numId w:val="34"/>
        </w:numPr>
        <w:spacing w:before="120" w:after="120" w:line="360" w:lineRule="auto"/>
        <w:jc w:val="both"/>
        <w:rPr>
          <w:sz w:val="22"/>
          <w:szCs w:val="22"/>
        </w:rPr>
      </w:pPr>
      <w:r>
        <w:rPr>
          <w:rStyle w:val="Textoennegrita"/>
          <w:sz w:val="22"/>
          <w:szCs w:val="22"/>
        </w:rPr>
        <w:t>Evaluar el</w:t>
      </w:r>
      <w:r w:rsidR="00925535" w:rsidRPr="00035382">
        <w:rPr>
          <w:rStyle w:val="Textoennegrita"/>
          <w:sz w:val="22"/>
          <w:szCs w:val="22"/>
        </w:rPr>
        <w:t xml:space="preserve"> impacto en derechos humanos de todo sistema de IA</w:t>
      </w:r>
      <w:r w:rsidR="00925535" w:rsidRPr="00035382">
        <w:rPr>
          <w:sz w:val="22"/>
          <w:szCs w:val="22"/>
        </w:rPr>
        <w:t xml:space="preserve"> utilizado por autoridades públicas, con participación de sociedad civil y garantía de transparencia.</w:t>
      </w:r>
    </w:p>
    <w:p w:rsidR="00035382" w:rsidRPr="00035382" w:rsidRDefault="00035382" w:rsidP="00035382">
      <w:pPr>
        <w:pStyle w:val="1TextCos"/>
        <w:spacing w:before="120" w:after="120"/>
      </w:pPr>
    </w:p>
    <w:p w:rsidR="00925535" w:rsidRPr="00035382" w:rsidRDefault="00035382" w:rsidP="00035382">
      <w:pPr>
        <w:numPr>
          <w:ilvl w:val="0"/>
          <w:numId w:val="34"/>
        </w:numPr>
        <w:spacing w:before="120" w:after="120" w:line="360" w:lineRule="auto"/>
        <w:jc w:val="both"/>
        <w:rPr>
          <w:sz w:val="22"/>
          <w:szCs w:val="22"/>
        </w:rPr>
      </w:pPr>
      <w:r>
        <w:rPr>
          <w:rStyle w:val="Textoennegrita"/>
          <w:sz w:val="22"/>
          <w:szCs w:val="22"/>
        </w:rPr>
        <w:t>Adoptar</w:t>
      </w:r>
      <w:r w:rsidR="00925535" w:rsidRPr="00035382">
        <w:rPr>
          <w:rStyle w:val="Textoennegrita"/>
          <w:sz w:val="22"/>
          <w:szCs w:val="22"/>
        </w:rPr>
        <w:t xml:space="preserve"> medidas específicas para evitar el impacto negativo de la inteligencia artificial en grupos vulnerables</w:t>
      </w:r>
      <w:r w:rsidR="00925535" w:rsidRPr="00035382">
        <w:rPr>
          <w:sz w:val="22"/>
          <w:szCs w:val="22"/>
        </w:rPr>
        <w:t xml:space="preserve">, incluyendo personas migrantes, menores, personas con discapacidad y minorías étnicas o raciales. </w:t>
      </w:r>
    </w:p>
    <w:p w:rsidR="001C50E1" w:rsidRPr="00035382" w:rsidRDefault="001C50E1" w:rsidP="00035382">
      <w:pPr>
        <w:pStyle w:val="1TextCos"/>
        <w:spacing w:line="360" w:lineRule="auto"/>
        <w:rPr>
          <w:sz w:val="22"/>
          <w:szCs w:val="22"/>
        </w:rPr>
      </w:pPr>
    </w:p>
    <w:p w:rsidR="001C50E1" w:rsidRDefault="001C50E1" w:rsidP="00084025">
      <w:pPr>
        <w:pStyle w:val="1TextCos"/>
      </w:pPr>
    </w:p>
    <w:p w:rsidR="001C50E1" w:rsidRPr="00DD791B" w:rsidRDefault="001C50E1" w:rsidP="00DD791B">
      <w:pPr>
        <w:pStyle w:val="2TtolGran"/>
        <w:numPr>
          <w:ilvl w:val="0"/>
          <w:numId w:val="30"/>
        </w:numPr>
      </w:pPr>
      <w:bookmarkStart w:id="18" w:name="_Toc199156305"/>
      <w:r w:rsidRPr="00DD791B">
        <w:lastRenderedPageBreak/>
        <w:t>Conclusión general</w:t>
      </w:r>
      <w:bookmarkEnd w:id="18"/>
    </w:p>
    <w:p w:rsidR="001C50E1" w:rsidRDefault="001C50E1" w:rsidP="001C50E1">
      <w:pPr>
        <w:pStyle w:val="1TextCos"/>
      </w:pPr>
    </w:p>
    <w:p w:rsidR="00925535" w:rsidRDefault="00925535" w:rsidP="00035382">
      <w:pPr>
        <w:pStyle w:val="NormalWeb"/>
        <w:spacing w:before="0" w:beforeAutospacing="0" w:after="0" w:afterAutospacing="0" w:line="360" w:lineRule="auto"/>
        <w:jc w:val="both"/>
        <w:rPr>
          <w:rFonts w:ascii="Inter" w:hAnsi="Inter"/>
          <w:sz w:val="22"/>
          <w:szCs w:val="22"/>
        </w:rPr>
      </w:pPr>
      <w:r w:rsidRPr="00035382">
        <w:rPr>
          <w:rFonts w:ascii="Inter" w:hAnsi="Inter"/>
          <w:sz w:val="22"/>
          <w:szCs w:val="22"/>
        </w:rPr>
        <w:t xml:space="preserve">El análisis realizado </w:t>
      </w:r>
      <w:r w:rsidR="00035382">
        <w:rPr>
          <w:rFonts w:ascii="Inter" w:hAnsi="Inter"/>
          <w:sz w:val="22"/>
          <w:szCs w:val="22"/>
        </w:rPr>
        <w:t xml:space="preserve">en este </w:t>
      </w:r>
      <w:r w:rsidR="00035382">
        <w:rPr>
          <w:rFonts w:ascii="Inter" w:hAnsi="Inter"/>
          <w:i/>
          <w:sz w:val="22"/>
          <w:szCs w:val="22"/>
        </w:rPr>
        <w:t xml:space="preserve">informe alternativo </w:t>
      </w:r>
      <w:r w:rsidR="00035382">
        <w:rPr>
          <w:rFonts w:ascii="Inter" w:hAnsi="Inter"/>
          <w:sz w:val="22"/>
          <w:szCs w:val="22"/>
        </w:rPr>
        <w:t xml:space="preserve">pone en </w:t>
      </w:r>
      <w:r w:rsidRPr="00035382">
        <w:rPr>
          <w:rFonts w:ascii="Inter" w:hAnsi="Inter"/>
          <w:sz w:val="22"/>
          <w:szCs w:val="22"/>
        </w:rPr>
        <w:t>evidencia que el marco normativo e institucional del Estado español presenta deficiencias estructurales que dificultan la garantía plena de los derechos protegidos por el Pacto Internacional de Derechos Civiles y Políticos. Las prácticas discriminatorias basadas en perfil étnico-racial, el uso el internamiento migratorio</w:t>
      </w:r>
      <w:r w:rsidR="00035382">
        <w:rPr>
          <w:rFonts w:ascii="Inter" w:hAnsi="Inter"/>
          <w:sz w:val="22"/>
          <w:szCs w:val="22"/>
        </w:rPr>
        <w:t xml:space="preserve"> sin las debidas garantías</w:t>
      </w:r>
      <w:r w:rsidRPr="00035382">
        <w:rPr>
          <w:rFonts w:ascii="Inter" w:hAnsi="Inter"/>
          <w:sz w:val="22"/>
          <w:szCs w:val="22"/>
        </w:rPr>
        <w:t xml:space="preserve"> y la ausencia de regulación efectiva en el uso de inteligencia artificial generan un patrón que afecta especialmente a personas en situación de vulnerabilidad.</w:t>
      </w:r>
    </w:p>
    <w:p w:rsidR="00035382" w:rsidRPr="00035382" w:rsidRDefault="00035382" w:rsidP="00035382">
      <w:pPr>
        <w:pStyle w:val="NormalWeb"/>
        <w:spacing w:before="0" w:beforeAutospacing="0" w:after="0" w:afterAutospacing="0" w:line="360" w:lineRule="auto"/>
        <w:jc w:val="both"/>
        <w:rPr>
          <w:rFonts w:ascii="Inter" w:hAnsi="Inter"/>
          <w:sz w:val="22"/>
          <w:szCs w:val="22"/>
        </w:rPr>
      </w:pPr>
    </w:p>
    <w:p w:rsidR="00925535" w:rsidRDefault="00475392" w:rsidP="00035382">
      <w:pPr>
        <w:pStyle w:val="NormalWeb"/>
        <w:spacing w:before="0" w:beforeAutospacing="0" w:after="0" w:afterAutospacing="0" w:line="360" w:lineRule="auto"/>
        <w:jc w:val="both"/>
        <w:rPr>
          <w:rFonts w:ascii="Inter" w:hAnsi="Inter"/>
          <w:sz w:val="22"/>
          <w:szCs w:val="22"/>
        </w:rPr>
      </w:pPr>
      <w:r>
        <w:rPr>
          <w:rFonts w:ascii="Inter" w:hAnsi="Inter"/>
          <w:sz w:val="22"/>
          <w:szCs w:val="22"/>
        </w:rPr>
        <w:t>Así, de forma clara como se ha demostrado en este informe</w:t>
      </w:r>
      <w:r w:rsidR="00925535" w:rsidRPr="00035382">
        <w:rPr>
          <w:rFonts w:ascii="Inter" w:hAnsi="Inter"/>
          <w:sz w:val="22"/>
          <w:szCs w:val="22"/>
        </w:rPr>
        <w:t>, la falta de prohibición exp</w:t>
      </w:r>
      <w:r w:rsidR="00B97A3D">
        <w:rPr>
          <w:rFonts w:ascii="Inter" w:hAnsi="Inter"/>
          <w:sz w:val="22"/>
          <w:szCs w:val="22"/>
        </w:rPr>
        <w:t>resa</w:t>
      </w:r>
      <w:r w:rsidR="00925535" w:rsidRPr="00035382">
        <w:rPr>
          <w:rFonts w:ascii="Inter" w:hAnsi="Inter"/>
          <w:sz w:val="22"/>
          <w:szCs w:val="22"/>
        </w:rPr>
        <w:t xml:space="preserve"> y mecanismos de control sobre las identificaciones por perfil </w:t>
      </w:r>
      <w:r w:rsidR="00035382">
        <w:rPr>
          <w:rFonts w:ascii="Inter" w:hAnsi="Inter"/>
          <w:sz w:val="22"/>
          <w:szCs w:val="22"/>
        </w:rPr>
        <w:t>étnico-</w:t>
      </w:r>
      <w:r w:rsidR="00925535" w:rsidRPr="00035382">
        <w:rPr>
          <w:rFonts w:ascii="Inter" w:hAnsi="Inter"/>
          <w:sz w:val="22"/>
          <w:szCs w:val="22"/>
        </w:rPr>
        <w:t xml:space="preserve">racial permite la continuidad de prácticas discriminatorias. La detención en Centros de Internamiento de Extranjeros se mantiene como una medida habitual, con condiciones y garantías insuficientes que vulneran la dignidad de las personas migrantes. Asimismo, la regulación sobre inteligencia artificial es insuficiente y carece de mecanismos vinculantes que eviten violaciones a derechos </w:t>
      </w:r>
      <w:r w:rsidR="00035382">
        <w:rPr>
          <w:rFonts w:ascii="Inter" w:hAnsi="Inter"/>
          <w:sz w:val="22"/>
          <w:szCs w:val="22"/>
        </w:rPr>
        <w:t>humanos</w:t>
      </w:r>
      <w:r w:rsidR="00925535" w:rsidRPr="00035382">
        <w:rPr>
          <w:rFonts w:ascii="Inter" w:hAnsi="Inter"/>
          <w:sz w:val="22"/>
          <w:szCs w:val="22"/>
        </w:rPr>
        <w:t>.</w:t>
      </w:r>
    </w:p>
    <w:p w:rsidR="00B97A3D" w:rsidRDefault="00B97A3D" w:rsidP="00035382">
      <w:pPr>
        <w:pStyle w:val="NormalWeb"/>
        <w:spacing w:before="0" w:beforeAutospacing="0" w:after="0" w:afterAutospacing="0" w:line="360" w:lineRule="auto"/>
        <w:jc w:val="both"/>
        <w:rPr>
          <w:rFonts w:ascii="Inter" w:hAnsi="Inter"/>
          <w:sz w:val="22"/>
          <w:szCs w:val="22"/>
        </w:rPr>
      </w:pPr>
    </w:p>
    <w:p w:rsidR="00B97A3D" w:rsidRDefault="00475392" w:rsidP="00035382">
      <w:pPr>
        <w:pStyle w:val="NormalWeb"/>
        <w:spacing w:before="0" w:beforeAutospacing="0" w:after="0" w:afterAutospacing="0" w:line="360" w:lineRule="auto"/>
        <w:jc w:val="both"/>
        <w:rPr>
          <w:rFonts w:ascii="Inter" w:hAnsi="Inter"/>
          <w:sz w:val="22"/>
          <w:szCs w:val="22"/>
        </w:rPr>
      </w:pPr>
      <w:r>
        <w:rPr>
          <w:rFonts w:ascii="Inter" w:hAnsi="Inter"/>
          <w:sz w:val="22"/>
          <w:szCs w:val="22"/>
        </w:rPr>
        <w:t>Por lo que, a</w:t>
      </w:r>
      <w:r w:rsidR="00B97A3D" w:rsidRPr="00B97A3D">
        <w:rPr>
          <w:rFonts w:ascii="Inter" w:hAnsi="Inter"/>
          <w:sz w:val="22"/>
          <w:szCs w:val="22"/>
        </w:rPr>
        <w:t xml:space="preserve"> partir del contenido de este informe alternativo, se puede concluir que el Estado español mantiene el incumplimiento de parte de sus obligaciones internacionales contenidas en los artículos 2, 9, 10, </w:t>
      </w:r>
      <w:r w:rsidR="00B97A3D">
        <w:rPr>
          <w:rFonts w:ascii="Inter" w:hAnsi="Inter"/>
          <w:sz w:val="22"/>
          <w:szCs w:val="22"/>
        </w:rPr>
        <w:t>12, 13, 14</w:t>
      </w:r>
      <w:r w:rsidR="00B97A3D" w:rsidRPr="00B97A3D">
        <w:rPr>
          <w:rFonts w:ascii="Inter" w:hAnsi="Inter"/>
          <w:sz w:val="22"/>
          <w:szCs w:val="22"/>
        </w:rPr>
        <w:t xml:space="preserve"> 26 del Pacto Internacional de Derechos Civiles y Políticos.</w:t>
      </w:r>
    </w:p>
    <w:p w:rsidR="00035382" w:rsidRPr="00035382" w:rsidRDefault="00035382" w:rsidP="00035382">
      <w:pPr>
        <w:pStyle w:val="NormalWeb"/>
        <w:spacing w:before="0" w:beforeAutospacing="0" w:after="0" w:afterAutospacing="0" w:line="360" w:lineRule="auto"/>
        <w:jc w:val="both"/>
        <w:rPr>
          <w:rFonts w:ascii="Inter" w:hAnsi="Inter"/>
          <w:sz w:val="22"/>
          <w:szCs w:val="22"/>
        </w:rPr>
      </w:pPr>
    </w:p>
    <w:p w:rsidR="00925535" w:rsidRPr="00035382" w:rsidRDefault="00925535" w:rsidP="00035382">
      <w:pPr>
        <w:pStyle w:val="NormalWeb"/>
        <w:spacing w:before="0" w:beforeAutospacing="0" w:after="0" w:afterAutospacing="0" w:line="360" w:lineRule="auto"/>
        <w:jc w:val="both"/>
        <w:rPr>
          <w:rFonts w:ascii="Inter" w:hAnsi="Inter"/>
          <w:sz w:val="22"/>
          <w:szCs w:val="22"/>
        </w:rPr>
      </w:pPr>
      <w:r w:rsidRPr="00035382">
        <w:rPr>
          <w:rFonts w:ascii="Inter" w:hAnsi="Inter"/>
          <w:sz w:val="22"/>
          <w:szCs w:val="22"/>
        </w:rPr>
        <w:t xml:space="preserve">Por todo ello, solicitamos al Comité de Derechos Humanos que formule recomendaciones claras al Estado español para superar estas deficiencias, </w:t>
      </w:r>
      <w:proofErr w:type="gramStart"/>
      <w:r w:rsidRPr="00035382">
        <w:rPr>
          <w:rFonts w:ascii="Inter" w:hAnsi="Inter"/>
          <w:sz w:val="22"/>
          <w:szCs w:val="22"/>
        </w:rPr>
        <w:t>mediante</w:t>
      </w:r>
      <w:proofErr w:type="gramEnd"/>
      <w:r w:rsidRPr="00035382">
        <w:rPr>
          <w:rFonts w:ascii="Inter" w:hAnsi="Inter"/>
          <w:sz w:val="22"/>
          <w:szCs w:val="22"/>
        </w:rPr>
        <w:t xml:space="preserve"> reformas legislativas, control independiente, recopilación de datos desagregados y garantía de acceso a recursos efectivos para las personas afectadas.</w:t>
      </w:r>
      <w:bookmarkStart w:id="19" w:name="_GoBack"/>
      <w:bookmarkEnd w:id="19"/>
    </w:p>
    <w:p w:rsidR="00084025" w:rsidRPr="00925535" w:rsidRDefault="00084025" w:rsidP="00084025">
      <w:pPr>
        <w:pStyle w:val="1TextCos"/>
        <w:rPr>
          <w:lang w:val="es-CO"/>
        </w:rPr>
      </w:pPr>
    </w:p>
    <w:p w:rsidR="00084025" w:rsidRDefault="00084025" w:rsidP="00084025">
      <w:pPr>
        <w:pStyle w:val="1TextCos"/>
      </w:pPr>
    </w:p>
    <w:sectPr w:rsidR="00084025" w:rsidSect="00774CB6">
      <w:headerReference w:type="first" r:id="rId14"/>
      <w:footerReference w:type="first" r:id="rId15"/>
      <w:pgSz w:w="11900" w:h="16840"/>
      <w:pgMar w:top="2552" w:right="170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C84" w:rsidRDefault="00BB4C84" w:rsidP="00257292">
      <w:r>
        <w:separator/>
      </w:r>
    </w:p>
    <w:p w:rsidR="00BB4C84" w:rsidRDefault="00BB4C84"/>
    <w:p w:rsidR="00BB4C84" w:rsidRDefault="00BB4C84"/>
  </w:endnote>
  <w:endnote w:type="continuationSeparator" w:id="0">
    <w:p w:rsidR="00BB4C84" w:rsidRDefault="00BB4C84" w:rsidP="00257292">
      <w:r>
        <w:continuationSeparator/>
      </w:r>
    </w:p>
    <w:p w:rsidR="00BB4C84" w:rsidRDefault="00BB4C84"/>
    <w:p w:rsidR="00BB4C84" w:rsidRDefault="00BB4C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ter">
    <w:panose1 w:val="02000503000000020004"/>
    <w:charset w:val="00"/>
    <w:family w:val="auto"/>
    <w:pitch w:val="variable"/>
    <w:sig w:usb0="E00002FF" w:usb1="1200A1FF" w:usb2="00000001" w:usb3="00000000" w:csb0="0000019F" w:csb1="00000000"/>
    <w:embedRegular r:id="rId1" w:fontKey="{D12DD120-DD94-46BC-ADB9-DA48942E04A6}"/>
    <w:embedBold r:id="rId2" w:fontKey="{ACE8DDDB-2169-4492-BB04-ADFB563D1041}"/>
    <w:embedItalic r:id="rId3" w:fontKey="{56CACD03-B19E-42CB-8564-3D1A2EF72719}"/>
  </w:font>
  <w:font w:name="Calibri">
    <w:panose1 w:val="020F0502020204030204"/>
    <w:charset w:val="00"/>
    <w:family w:val="swiss"/>
    <w:pitch w:val="variable"/>
    <w:sig w:usb0="E4002EFF" w:usb1="C200247B" w:usb2="00000009" w:usb3="00000000" w:csb0="000001FF" w:csb1="00000000"/>
    <w:embedRegular r:id="rId4" w:fontKey="{1B61719C-B9E0-41E6-AA47-E3902C16BEC4}"/>
    <w:embedBold r:id="rId5" w:fontKey="{AC6EF884-DB83-431E-A253-5F362D3D7CF3}"/>
    <w:embedItalic r:id="rId6" w:fontKey="{EBA48675-4879-4DAA-962B-3E025FEB37F5}"/>
  </w:font>
  <w:font w:name="Times New Roman (Cuerpo en alfa">
    <w:altName w:val="Times New Roman"/>
    <w:panose1 w:val="00000000000000000000"/>
    <w:charset w:val="00"/>
    <w:family w:val="roman"/>
    <w:notTrueType/>
    <w:pitch w:val="default"/>
  </w:font>
  <w:font w:name="Trispace">
    <w:panose1 w:val="00000000000000000000"/>
    <w:charset w:val="00"/>
    <w:family w:val="auto"/>
    <w:pitch w:val="variable"/>
    <w:sig w:usb0="A000007F" w:usb1="4000207B" w:usb2="00000000" w:usb3="00000000" w:csb0="00000193" w:csb1="00000000"/>
    <w:embedRegular r:id="rId7" w:fontKey="{2C73EAE4-79C0-40EF-83F2-8BB6191BBB0E}"/>
    <w:embedBold r:id="rId8" w:fontKey="{AF33F02A-A2F0-41F7-8412-89BBE39ECCA1}"/>
  </w:font>
  <w:font w:name="Inter Medium">
    <w:panose1 w:val="02000503000000020004"/>
    <w:charset w:val="00"/>
    <w:family w:val="auto"/>
    <w:pitch w:val="variable"/>
    <w:sig w:usb0="E00002FF" w:usb1="1200A1FF" w:usb2="00000001" w:usb3="00000000" w:csb0="0000019F" w:csb1="00000000"/>
    <w:embedRegular r:id="rId9" w:fontKey="{4A41F9EC-EAB0-4C4E-89A9-082242F00C35}"/>
    <w:embedBold r:id="rId10" w:fontKey="{C499F4F2-5DB7-4B1E-ACEF-315724677840}"/>
  </w:font>
  <w:font w:name="Calibri Light">
    <w:panose1 w:val="020F0302020204030204"/>
    <w:charset w:val="00"/>
    <w:family w:val="swiss"/>
    <w:pitch w:val="variable"/>
    <w:sig w:usb0="E4002EFF" w:usb1="C200247B" w:usb2="00000009" w:usb3="00000000" w:csb0="000001FF" w:csb1="00000000"/>
    <w:embedRegular r:id="rId11" w:fontKey="{AA99447D-6DF3-4715-9B97-951359CF4F08}"/>
    <w:embedBold r:id="rId12" w:fontKey="{DEA2ED33-6B19-4190-891C-42C9CA340BFC}"/>
  </w:font>
  <w:font w:name="Trispace Light">
    <w:panose1 w:val="00000000000000000000"/>
    <w:charset w:val="00"/>
    <w:family w:val="auto"/>
    <w:pitch w:val="variable"/>
    <w:sig w:usb0="A000007F" w:usb1="4000207B" w:usb2="00000000" w:usb3="00000000" w:csb0="00000193" w:csb1="00000000"/>
    <w:embedRegular r:id="rId13" w:fontKey="{583F322F-6104-4A1C-84D7-9136FD855AE4}"/>
  </w:font>
  <w:font w:name="Inter SemiBold">
    <w:panose1 w:val="02000503000000020004"/>
    <w:charset w:val="00"/>
    <w:family w:val="auto"/>
    <w:pitch w:val="variable"/>
    <w:sig w:usb0="E00002FF" w:usb1="1200A1FF" w:usb2="00000001" w:usb3="00000000" w:csb0="0000019F" w:csb1="00000000"/>
    <w:embedBold r:id="rId14" w:fontKey="{8C175ADB-6557-4DFA-AD54-4BE955A36140}"/>
  </w:font>
  <w:font w:name="Inter Italic">
    <w:charset w:val="00"/>
    <w:family w:val="auto"/>
    <w:pitch w:val="variable"/>
    <w:sig w:usb0="E00002FF" w:usb1="1200A1FF" w:usb2="00000001" w:usb3="00000000" w:csb0="0000019F" w:csb1="00000000"/>
    <w:embedRegular r:id="rId15" w:fontKey="{AD34BE89-AC07-41BB-9084-DF81EA54FD6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Nmerodepgina"/>
      </w:rPr>
      <w:id w:val="1422834673"/>
      <w:docPartObj>
        <w:docPartGallery w:val="Page Numbers (Bottom of Page)"/>
        <w:docPartUnique/>
      </w:docPartObj>
    </w:sdtPr>
    <w:sdtContent>
      <w:p w:rsidR="004D3FF5" w:rsidRDefault="004D3FF5" w:rsidP="009F5729">
        <w:pPr>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w:t>
        </w:r>
        <w:r>
          <w:rPr>
            <w:rStyle w:val="Nmerodepgina"/>
          </w:rPr>
          <w:fldChar w:fldCharType="end"/>
        </w:r>
      </w:p>
    </w:sdtContent>
  </w:sdt>
  <w:p w:rsidR="004D3FF5" w:rsidRDefault="004D3FF5" w:rsidP="00FA314B">
    <w:pPr>
      <w:ind w:right="360"/>
    </w:pPr>
  </w:p>
  <w:p w:rsidR="004D3FF5" w:rsidRDefault="004D3FF5"/>
  <w:p w:rsidR="004D3FF5" w:rsidRDefault="004D3FF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FF5" w:rsidRPr="00744B07" w:rsidRDefault="004D3FF5" w:rsidP="000C4694">
    <w:pPr>
      <w:rPr>
        <w:sz w:val="16"/>
        <w:szCs w:val="16"/>
      </w:rPr>
    </w:pPr>
    <w:r>
      <w:rPr>
        <w:sz w:val="16"/>
        <w:szCs w:val="16"/>
        <w:lang w:val="es-ES" w:eastAsia="es-ES"/>
      </w:rPr>
      <mc:AlternateContent>
        <mc:Choice Requires="wps">
          <w:drawing>
            <wp:anchor distT="0" distB="0" distL="114300" distR="114300" simplePos="0" relativeHeight="251662336" behindDoc="0" locked="0" layoutInCell="1" allowOverlap="1">
              <wp:simplePos x="0" y="0"/>
              <wp:positionH relativeFrom="margin">
                <wp:posOffset>-546735</wp:posOffset>
              </wp:positionH>
              <wp:positionV relativeFrom="paragraph">
                <wp:posOffset>232410</wp:posOffset>
              </wp:positionV>
              <wp:extent cx="6479540" cy="0"/>
              <wp:effectExtent l="0" t="0" r="10160" b="12700"/>
              <wp:wrapNone/>
              <wp:docPr id="5" name="Conector recto 5"/>
              <wp:cNvGraphicFramePr/>
              <a:graphic xmlns:a="http://schemas.openxmlformats.org/drawingml/2006/main">
                <a:graphicData uri="http://schemas.microsoft.com/office/word/2010/wordprocessingShape">
                  <wps:wsp>
                    <wps:cNvCnPr/>
                    <wps:spPr>
                      <a:xfrm>
                        <a:off x="0" y="0"/>
                        <a:ext cx="6479540" cy="0"/>
                      </a:xfrm>
                      <a:prstGeom prst="line">
                        <a:avLst/>
                      </a:prstGeom>
                      <a:ln w="9525">
                        <a:solidFill>
                          <a:srgbClr val="000BD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66DC4F9" id="Conector recto 5" o:spid="_x0000_s1026" style="position:absolute;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3.05pt,18.3pt" to="467.15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" strokecolor="#000bd6">
              <v:stroke joinstyle="miter"/>
              <w10:wrap anchorx="margin"/>
            </v:line>
          </w:pict>
        </mc:Fallback>
      </mc:AlternateContent>
    </w:r>
  </w:p>
  <w:p w:rsidR="004D3FF5" w:rsidRPr="00257292" w:rsidRDefault="004D3FF5" w:rsidP="00FA314B">
    <w:pPr>
      <w:ind w:right="360"/>
    </w:pPr>
    <w:r>
      <w:rPr>
        <w:lang w:val="es-ES" w:eastAsia="es-ES"/>
      </w:rPr>
      <mc:AlternateContent>
        <mc:Choice Requires="wps">
          <w:drawing>
            <wp:anchor distT="0" distB="0" distL="114300" distR="114300" simplePos="0" relativeHeight="251659264" behindDoc="0" locked="0" layoutInCell="1" allowOverlap="1">
              <wp:simplePos x="0" y="0"/>
              <wp:positionH relativeFrom="margin">
                <wp:posOffset>2226310</wp:posOffset>
              </wp:positionH>
              <wp:positionV relativeFrom="paragraph">
                <wp:posOffset>216535</wp:posOffset>
              </wp:positionV>
              <wp:extent cx="945515" cy="240665"/>
              <wp:effectExtent l="0" t="0" r="0" b="635"/>
              <wp:wrapNone/>
              <wp:docPr id="2" name="Cuadro de texto 2"/>
              <wp:cNvGraphicFramePr/>
              <a:graphic xmlns:a="http://schemas.openxmlformats.org/drawingml/2006/main">
                <a:graphicData uri="http://schemas.microsoft.com/office/word/2010/wordprocessingShape">
                  <wps:wsp>
                    <wps:cNvSpPr txBox="1"/>
                    <wps:spPr>
                      <a:xfrm>
                        <a:off x="0" y="0"/>
                        <a:ext cx="945515" cy="240665"/>
                      </a:xfrm>
                      <a:prstGeom prst="rect">
                        <a:avLst/>
                      </a:prstGeom>
                      <a:solidFill>
                        <a:schemeClr val="lt1"/>
                      </a:solidFill>
                      <a:ln w="6350">
                        <a:noFill/>
                      </a:ln>
                    </wps:spPr>
                    <wps:txbx>
                      <w:txbxContent>
                        <w:p w:rsidR="004D3FF5" w:rsidRPr="00270572" w:rsidRDefault="004D3FF5" w:rsidP="00270572">
                          <w:pPr>
                            <w:pStyle w:val="1TextCos"/>
                            <w:jc w:val="center"/>
                            <w:rPr>
                              <w:color w:val="000BD6"/>
                              <w:spacing w:val="10"/>
                              <w:sz w:val="16"/>
                              <w:szCs w:val="16"/>
                            </w:rPr>
                          </w:pPr>
                          <w:hyperlink r:id="rId1" w:history="1">
                            <w:r w:rsidRPr="00270572">
                              <w:rPr>
                                <w:rStyle w:val="Hipervnculo"/>
                                <w:sz w:val="16"/>
                                <w:szCs w:val="16"/>
                              </w:rPr>
                              <w:t>www.idhc.org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8" type="#_x0000_t202" style="position:absolute;margin-left:175.3pt;margin-top:17.05pt;width:74.45pt;height:18.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" fillcolor="white [3201]" stroked="f" strokeweight=".5pt">
              <v:textbox>
                <w:txbxContent>
                  <w:p w:rsidR="004D3FF5" w:rsidRPr="00270572" w:rsidRDefault="004D3FF5" w:rsidP="00270572">
                    <w:pPr>
                      <w:pStyle w:val="1TextCos"/>
                      <w:jc w:val="center"/>
                      <w:rPr>
                        <w:color w:val="000BD6"/>
                        <w:spacing w:val="10"/>
                        <w:sz w:val="16"/>
                        <w:szCs w:val="16"/>
                      </w:rPr>
                    </w:pPr>
                    <w:hyperlink r:id="rId2" w:history="1">
                      <w:r w:rsidRPr="00270572">
                        <w:rPr>
                          <w:rStyle w:val="Hipervnculo"/>
                          <w:sz w:val="16"/>
                          <w:szCs w:val="16"/>
                        </w:rPr>
                        <w:t>www.idhc.org</w:t>
                      </w:r>
                    </w:hyperlink>
                  </w:p>
                </w:txbxContent>
              </v:textbox>
              <w10:wrap anchorx="margin"/>
            </v:shape>
          </w:pict>
        </mc:Fallback>
      </mc:AlternateContent>
    </w:r>
    <w:r>
      <w:rPr>
        <w:lang w:val="es-ES" w:eastAsia="es-ES"/>
      </w:rPr>
      <mc:AlternateContent>
        <mc:Choice Requires="wps">
          <w:drawing>
            <wp:anchor distT="0" distB="0" distL="114300" distR="114300" simplePos="0" relativeHeight="251664384" behindDoc="0" locked="0" layoutInCell="1" allowOverlap="1" wp14:anchorId="00AB90B6" wp14:editId="50DB3F1A">
              <wp:simplePos x="0" y="0"/>
              <wp:positionH relativeFrom="column">
                <wp:posOffset>5450840</wp:posOffset>
              </wp:positionH>
              <wp:positionV relativeFrom="paragraph">
                <wp:posOffset>241935</wp:posOffset>
              </wp:positionV>
              <wp:extent cx="584835" cy="210820"/>
              <wp:effectExtent l="0" t="0" r="0" b="0"/>
              <wp:wrapSquare wrapText="bothSides"/>
              <wp:docPr id="1" name="Cuadro de texto 1"/>
              <wp:cNvGraphicFramePr/>
              <a:graphic xmlns:a="http://schemas.openxmlformats.org/drawingml/2006/main">
                <a:graphicData uri="http://schemas.microsoft.com/office/word/2010/wordprocessingShape">
                  <wps:wsp>
                    <wps:cNvSpPr txBox="1"/>
                    <wps:spPr>
                      <a:xfrm>
                        <a:off x="0" y="0"/>
                        <a:ext cx="584835" cy="210820"/>
                      </a:xfrm>
                      <a:prstGeom prst="rect">
                        <a:avLst/>
                      </a:prstGeom>
                      <a:noFill/>
                      <a:ln w="6350">
                        <a:noFill/>
                      </a:ln>
                    </wps:spPr>
                    <wps:txbx>
                      <w:txbxContent>
                        <w:p w:rsidR="004D3FF5" w:rsidRPr="00FE6F7F" w:rsidRDefault="004D3FF5" w:rsidP="009F5729">
                          <w:pPr>
                            <w:jc w:val="right"/>
                            <w:rPr>
                              <w:color w:val="000BD6"/>
                              <w:sz w:val="14"/>
                              <w:szCs w:val="14"/>
                            </w:rPr>
                          </w:pPr>
                          <w:sdt>
                            <w:sdtPr>
                              <w:rPr>
                                <w:color w:val="000BD6"/>
                                <w:sz w:val="14"/>
                                <w:szCs w:val="14"/>
                              </w:rPr>
                              <w:id w:val="674462828"/>
                              <w:docPartObj>
                                <w:docPartGallery w:val="Page Numbers (Bottom of Page)"/>
                                <w:docPartUnique/>
                              </w:docPartObj>
                            </w:sdtPr>
                            <w:sdtContent>
                              <w:r w:rsidRPr="00FE6F7F">
                                <w:rPr>
                                  <w:color w:val="000BD6"/>
                                  <w:sz w:val="14"/>
                                  <w:szCs w:val="14"/>
                                </w:rPr>
                                <w:fldChar w:fldCharType="begin"/>
                              </w:r>
                              <w:r w:rsidRPr="00FE6F7F">
                                <w:rPr>
                                  <w:color w:val="000BD6"/>
                                  <w:sz w:val="14"/>
                                  <w:szCs w:val="14"/>
                                </w:rPr>
                                <w:instrText xml:space="preserve"> PAGE </w:instrText>
                              </w:r>
                              <w:r w:rsidRPr="00FE6F7F">
                                <w:rPr>
                                  <w:color w:val="000BD6"/>
                                  <w:sz w:val="14"/>
                                  <w:szCs w:val="14"/>
                                </w:rPr>
                                <w:fldChar w:fldCharType="separate"/>
                              </w:r>
                              <w:r w:rsidR="00475392">
                                <w:rPr>
                                  <w:color w:val="000BD6"/>
                                  <w:sz w:val="14"/>
                                  <w:szCs w:val="14"/>
                                </w:rPr>
                                <w:t>27</w:t>
                              </w:r>
                              <w:r w:rsidRPr="00FE6F7F">
                                <w:rPr>
                                  <w:color w:val="000BD6"/>
                                  <w:sz w:val="14"/>
                                  <w:szCs w:val="14"/>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adro de texto 1" o:spid="_x0000_s1029" type="#_x0000_t202" style="position:absolute;margin-left:429.2pt;margin-top:19.05pt;width:46.05pt;height:16.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" filled="f" stroked="f" strokeweight=".5pt">
              <v:textbox>
                <w:txbxContent>
                  <w:p w:rsidR="004D3FF5" w:rsidRPr="00FE6F7F" w:rsidRDefault="004D3FF5" w:rsidP="009F5729">
                    <w:pPr>
                      <w:jc w:val="right"/>
                      <w:rPr>
                        <w:color w:val="000BD6"/>
                        <w:sz w:val="14"/>
                        <w:szCs w:val="14"/>
                      </w:rPr>
                    </w:pPr>
                    <w:sdt>
                      <w:sdtPr>
                        <w:rPr>
                          <w:color w:val="000BD6"/>
                          <w:sz w:val="14"/>
                          <w:szCs w:val="14"/>
                        </w:rPr>
                        <w:id w:val="674462828"/>
                        <w:docPartObj>
                          <w:docPartGallery w:val="Page Numbers (Bottom of Page)"/>
                          <w:docPartUnique/>
                        </w:docPartObj>
                      </w:sdtPr>
                      <w:sdtContent>
                        <w:r w:rsidRPr="00FE6F7F">
                          <w:rPr>
                            <w:color w:val="000BD6"/>
                            <w:sz w:val="14"/>
                            <w:szCs w:val="14"/>
                          </w:rPr>
                          <w:fldChar w:fldCharType="begin"/>
                        </w:r>
                        <w:r w:rsidRPr="00FE6F7F">
                          <w:rPr>
                            <w:color w:val="000BD6"/>
                            <w:sz w:val="14"/>
                            <w:szCs w:val="14"/>
                          </w:rPr>
                          <w:instrText xml:space="preserve"> PAGE </w:instrText>
                        </w:r>
                        <w:r w:rsidRPr="00FE6F7F">
                          <w:rPr>
                            <w:color w:val="000BD6"/>
                            <w:sz w:val="14"/>
                            <w:szCs w:val="14"/>
                          </w:rPr>
                          <w:fldChar w:fldCharType="separate"/>
                        </w:r>
                        <w:r w:rsidR="00475392">
                          <w:rPr>
                            <w:color w:val="000BD6"/>
                            <w:sz w:val="14"/>
                            <w:szCs w:val="14"/>
                          </w:rPr>
                          <w:t>27</w:t>
                        </w:r>
                        <w:r w:rsidRPr="00FE6F7F">
                          <w:rPr>
                            <w:color w:val="000BD6"/>
                            <w:sz w:val="14"/>
                            <w:szCs w:val="14"/>
                          </w:rPr>
                          <w:fldChar w:fldCharType="end"/>
                        </w:r>
                      </w:sdtContent>
                    </w:sdt>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FF5" w:rsidRDefault="004D3FF5">
    <w:pPr>
      <w:pStyle w:val="Piedepgina"/>
    </w:pPr>
    <w:r>
      <w:rPr>
        <w:lang w:val="es-ES" w:eastAsia="es-ES"/>
      </w:rPr>
      <w:drawing>
        <wp:anchor distT="0" distB="0" distL="114300" distR="114300" simplePos="0" relativeHeight="251679744" behindDoc="1" locked="0" layoutInCell="1" allowOverlap="1">
          <wp:simplePos x="0" y="0"/>
          <wp:positionH relativeFrom="column">
            <wp:posOffset>-661035</wp:posOffset>
          </wp:positionH>
          <wp:positionV relativeFrom="paragraph">
            <wp:posOffset>-534035</wp:posOffset>
          </wp:positionV>
          <wp:extent cx="2054225" cy="71437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a:xfrm>
                    <a:off x="0" y="0"/>
                    <a:ext cx="2054225" cy="714375"/>
                  </a:xfrm>
                  <a:prstGeom prst="rect">
                    <a:avLst/>
                  </a:prstGeom>
                </pic:spPr>
              </pic:pic>
            </a:graphicData>
          </a:graphic>
          <wp14:sizeRelH relativeFrom="page">
            <wp14:pctWidth>0</wp14:pctWidth>
          </wp14:sizeRelH>
          <wp14:sizeRelV relativeFrom="page">
            <wp14:pctHeight>0</wp14:pctHeight>
          </wp14:sizeRelV>
        </wp:anchor>
      </w:drawing>
    </w:r>
    <w:r>
      <w:rPr>
        <w:sz w:val="16"/>
        <w:szCs w:val="16"/>
        <w:lang w:val="es-ES" w:eastAsia="es-ES"/>
      </w:rPr>
      <mc:AlternateContent>
        <mc:Choice Requires="wps">
          <w:drawing>
            <wp:anchor distT="0" distB="0" distL="114300" distR="114300" simplePos="0" relativeHeight="251683840" behindDoc="0" locked="0" layoutInCell="1" allowOverlap="1" wp14:anchorId="546ACB2A" wp14:editId="2000F4F5">
              <wp:simplePos x="0" y="0"/>
              <wp:positionH relativeFrom="margin">
                <wp:posOffset>-546735</wp:posOffset>
              </wp:positionH>
              <wp:positionV relativeFrom="paragraph">
                <wp:posOffset>-850900</wp:posOffset>
              </wp:positionV>
              <wp:extent cx="6479540" cy="0"/>
              <wp:effectExtent l="0" t="0" r="10160" b="12700"/>
              <wp:wrapNone/>
              <wp:docPr id="13" name="Conector recto 13"/>
              <wp:cNvGraphicFramePr/>
              <a:graphic xmlns:a="http://schemas.openxmlformats.org/drawingml/2006/main">
                <a:graphicData uri="http://schemas.microsoft.com/office/word/2010/wordprocessingShape">
                  <wps:wsp>
                    <wps:cNvCnPr/>
                    <wps:spPr>
                      <a:xfrm>
                        <a:off x="0" y="0"/>
                        <a:ext cx="6479540" cy="0"/>
                      </a:xfrm>
                      <a:prstGeom prst="line">
                        <a:avLst/>
                      </a:prstGeom>
                      <a:ln w="9525">
                        <a:solidFill>
                          <a:srgbClr val="000BD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77E89F3" id="Conector recto 13" o:spid="_x0000_s1026" style="position:absolute;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3.05pt,-67pt" to="467.1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" strokecolor="#000bd6">
              <v:stroke joinstyle="miter"/>
              <w10:wrap anchorx="margin"/>
            </v:lin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FF5" w:rsidRDefault="004D3FF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C84" w:rsidRDefault="00BB4C84" w:rsidP="00257292">
      <w:r>
        <w:separator/>
      </w:r>
    </w:p>
    <w:p w:rsidR="00BB4C84" w:rsidRDefault="00BB4C84"/>
    <w:p w:rsidR="00BB4C84" w:rsidRDefault="00BB4C84"/>
  </w:footnote>
  <w:footnote w:type="continuationSeparator" w:id="0">
    <w:p w:rsidR="00BB4C84" w:rsidRDefault="00BB4C84" w:rsidP="00257292">
      <w:r>
        <w:continuationSeparator/>
      </w:r>
    </w:p>
    <w:p w:rsidR="00BB4C84" w:rsidRDefault="00BB4C84"/>
    <w:p w:rsidR="00BB4C84" w:rsidRDefault="00BB4C84"/>
  </w:footnote>
  <w:footnote w:id="1">
    <w:p w:rsidR="004D3FF5" w:rsidRPr="00412E0D" w:rsidRDefault="004D3FF5" w:rsidP="00412E0D">
      <w:pPr>
        <w:pStyle w:val="Textonotapie"/>
        <w:spacing w:before="120" w:after="120" w:line="240" w:lineRule="auto"/>
        <w:jc w:val="both"/>
        <w:rPr>
          <w:rFonts w:cs="Times New Roman"/>
          <w:sz w:val="18"/>
          <w:szCs w:val="18"/>
        </w:rPr>
      </w:pPr>
      <w:r w:rsidRPr="00412E0D">
        <w:rPr>
          <w:rStyle w:val="Refdenotaalpie"/>
          <w:rFonts w:cs="Times New Roman"/>
          <w:sz w:val="18"/>
          <w:szCs w:val="18"/>
        </w:rPr>
        <w:footnoteRef/>
      </w:r>
      <w:r w:rsidRPr="00412E0D">
        <w:rPr>
          <w:rFonts w:cs="Times New Roman"/>
          <w:sz w:val="18"/>
          <w:szCs w:val="18"/>
        </w:rPr>
        <w:t xml:space="preserve"> Castilla Juárez, Karlos, </w:t>
      </w:r>
      <w:r w:rsidRPr="00412E0D">
        <w:rPr>
          <w:rFonts w:cs="Times New Roman"/>
          <w:i/>
          <w:sz w:val="18"/>
          <w:szCs w:val="18"/>
        </w:rPr>
        <w:t xml:space="preserve">¿Detención por motivos migratorios? Respuestas de los derechos humanos para España y México, </w:t>
      </w:r>
      <w:r w:rsidRPr="00412E0D">
        <w:rPr>
          <w:rFonts w:cs="Times New Roman"/>
          <w:sz w:val="18"/>
          <w:szCs w:val="18"/>
        </w:rPr>
        <w:t>Trirant lo Blanch, 2018, pp. 244-245.</w:t>
      </w:r>
    </w:p>
  </w:footnote>
  <w:footnote w:id="2">
    <w:p w:rsidR="004D3FF5" w:rsidRPr="00412E0D" w:rsidRDefault="004D3FF5" w:rsidP="00412E0D">
      <w:pPr>
        <w:pStyle w:val="Textonotapie"/>
        <w:spacing w:before="120" w:after="120" w:line="240" w:lineRule="auto"/>
        <w:jc w:val="both"/>
        <w:rPr>
          <w:rFonts w:cs="Times New Roman"/>
          <w:sz w:val="18"/>
          <w:szCs w:val="18"/>
        </w:rPr>
      </w:pPr>
      <w:r w:rsidRPr="00412E0D">
        <w:rPr>
          <w:rStyle w:val="Refdenotaalpie"/>
          <w:rFonts w:cs="Times New Roman"/>
          <w:sz w:val="18"/>
          <w:szCs w:val="18"/>
        </w:rPr>
        <w:footnoteRef/>
      </w:r>
      <w:r w:rsidRPr="00412E0D">
        <w:rPr>
          <w:rFonts w:cs="Times New Roman"/>
          <w:sz w:val="18"/>
          <w:szCs w:val="18"/>
        </w:rPr>
        <w:t xml:space="preserve"> </w:t>
      </w:r>
      <w:r w:rsidRPr="00412E0D">
        <w:rPr>
          <w:rFonts w:cs="Times New Roman"/>
          <w:sz w:val="18"/>
          <w:szCs w:val="18"/>
        </w:rPr>
        <w:t xml:space="preserve">Unidad de Extranjería, FGE, </w:t>
      </w:r>
      <w:r w:rsidRPr="00412E0D">
        <w:rPr>
          <w:rFonts w:cs="Times New Roman"/>
          <w:i/>
          <w:sz w:val="18"/>
          <w:szCs w:val="18"/>
        </w:rPr>
        <w:t xml:space="preserve">Memoria 2020, </w:t>
      </w:r>
      <w:r w:rsidRPr="00412E0D">
        <w:rPr>
          <w:rFonts w:cs="Times New Roman"/>
          <w:sz w:val="18"/>
          <w:szCs w:val="18"/>
        </w:rPr>
        <w:t xml:space="preserve">p. 12. Disponible en: </w:t>
      </w:r>
      <w:hyperlink r:id="rId1" w:history="1">
        <w:r w:rsidRPr="00412E0D">
          <w:rPr>
            <w:rStyle w:val="Hipervnculo"/>
            <w:rFonts w:cs="Times New Roman"/>
            <w:sz w:val="18"/>
            <w:szCs w:val="18"/>
          </w:rPr>
          <w:t>https://www.fiscal.es/-/extranjeria</w:t>
        </w:r>
      </w:hyperlink>
      <w:r w:rsidRPr="00412E0D">
        <w:rPr>
          <w:rFonts w:cs="Times New Roman"/>
          <w:sz w:val="18"/>
          <w:szCs w:val="18"/>
        </w:rPr>
        <w:t xml:space="preserve"> </w:t>
      </w:r>
    </w:p>
  </w:footnote>
  <w:footnote w:id="3">
    <w:p w:rsidR="004D3FF5" w:rsidRPr="00412E0D" w:rsidRDefault="004D3FF5" w:rsidP="00412E0D">
      <w:pPr>
        <w:pStyle w:val="Textonotapie"/>
        <w:spacing w:before="120" w:after="120" w:line="240" w:lineRule="auto"/>
        <w:jc w:val="both"/>
        <w:rPr>
          <w:sz w:val="18"/>
          <w:szCs w:val="18"/>
        </w:rPr>
      </w:pPr>
      <w:r w:rsidRPr="00412E0D">
        <w:rPr>
          <w:rStyle w:val="Refdenotaalpie"/>
          <w:sz w:val="18"/>
          <w:szCs w:val="18"/>
        </w:rPr>
        <w:footnoteRef/>
      </w:r>
      <w:r w:rsidRPr="00412E0D">
        <w:rPr>
          <w:sz w:val="18"/>
          <w:szCs w:val="18"/>
        </w:rPr>
        <w:t xml:space="preserve"> </w:t>
      </w:r>
      <w:r w:rsidRPr="00412E0D">
        <w:rPr>
          <w:sz w:val="18"/>
          <w:szCs w:val="18"/>
        </w:rPr>
        <w:t xml:space="preserve">Unidad de Extranjería, FGE, Memoria 2024. Disponible en: </w:t>
      </w:r>
      <w:hyperlink r:id="rId2" w:history="1">
        <w:r w:rsidRPr="00412E0D">
          <w:rPr>
            <w:rStyle w:val="Hipervnculo"/>
            <w:sz w:val="18"/>
            <w:szCs w:val="18"/>
          </w:rPr>
          <w:t>https://www.fiscal.es/memorias/memoria2024/FISCALIA_SITE/index.html</w:t>
        </w:r>
      </w:hyperlink>
      <w:r w:rsidRPr="00412E0D">
        <w:rPr>
          <w:sz w:val="18"/>
          <w:szCs w:val="18"/>
        </w:rPr>
        <w:t xml:space="preserve"> </w:t>
      </w:r>
    </w:p>
  </w:footnote>
  <w:footnote w:id="4">
    <w:p w:rsidR="004D3FF5" w:rsidRPr="00412E0D" w:rsidRDefault="004D3FF5" w:rsidP="00412E0D">
      <w:pPr>
        <w:pStyle w:val="Textonotapie"/>
        <w:spacing w:before="120" w:after="120" w:line="240" w:lineRule="auto"/>
        <w:jc w:val="both"/>
        <w:rPr>
          <w:rFonts w:cs="Times New Roman"/>
          <w:sz w:val="18"/>
          <w:szCs w:val="18"/>
        </w:rPr>
      </w:pPr>
      <w:r w:rsidRPr="00412E0D">
        <w:rPr>
          <w:rStyle w:val="Refdenotaalpie"/>
          <w:rFonts w:cs="Times New Roman"/>
          <w:sz w:val="18"/>
          <w:szCs w:val="18"/>
        </w:rPr>
        <w:footnoteRef/>
      </w:r>
      <w:r w:rsidRPr="00412E0D">
        <w:rPr>
          <w:rFonts w:cs="Times New Roman"/>
          <w:sz w:val="18"/>
          <w:szCs w:val="18"/>
        </w:rPr>
        <w:t xml:space="preserve"> </w:t>
      </w:r>
      <w:r w:rsidRPr="00412E0D">
        <w:rPr>
          <w:rFonts w:cs="Times New Roman"/>
          <w:sz w:val="18"/>
          <w:szCs w:val="18"/>
        </w:rPr>
        <w:t xml:space="preserve">Unidad de Extranjería, FGE, Memoria 2020, p. 14. Disponible en: </w:t>
      </w:r>
      <w:hyperlink r:id="rId3" w:history="1">
        <w:r w:rsidRPr="00412E0D">
          <w:rPr>
            <w:rStyle w:val="Hipervnculo"/>
            <w:rFonts w:cs="Times New Roman"/>
            <w:sz w:val="18"/>
            <w:szCs w:val="18"/>
          </w:rPr>
          <w:t>https://www.fiscal.es/-/extranjeria</w:t>
        </w:r>
      </w:hyperlink>
    </w:p>
  </w:footnote>
  <w:footnote w:id="5">
    <w:p w:rsidR="004D3FF5" w:rsidRPr="00412E0D" w:rsidRDefault="004D3FF5" w:rsidP="00412E0D">
      <w:pPr>
        <w:pStyle w:val="Textonotapie"/>
        <w:spacing w:before="120" w:after="120" w:line="240" w:lineRule="auto"/>
        <w:jc w:val="both"/>
        <w:rPr>
          <w:rFonts w:cs="Times New Roman"/>
          <w:i/>
          <w:sz w:val="18"/>
          <w:szCs w:val="18"/>
        </w:rPr>
      </w:pPr>
      <w:r w:rsidRPr="00412E0D">
        <w:rPr>
          <w:rStyle w:val="Refdenotaalpie"/>
          <w:rFonts w:cs="Times New Roman"/>
          <w:sz w:val="18"/>
          <w:szCs w:val="18"/>
        </w:rPr>
        <w:footnoteRef/>
      </w:r>
      <w:r w:rsidRPr="00412E0D">
        <w:rPr>
          <w:rFonts w:cs="Times New Roman"/>
          <w:sz w:val="18"/>
          <w:szCs w:val="18"/>
        </w:rPr>
        <w:t xml:space="preserve"> </w:t>
      </w:r>
      <w:r w:rsidRPr="00412E0D">
        <w:rPr>
          <w:rFonts w:cs="Times New Roman"/>
          <w:i/>
          <w:sz w:val="18"/>
          <w:szCs w:val="18"/>
        </w:rPr>
        <w:t xml:space="preserve">Idem. </w:t>
      </w:r>
    </w:p>
  </w:footnote>
  <w:footnote w:id="6">
    <w:p w:rsidR="004D3FF5" w:rsidRPr="00412E0D" w:rsidRDefault="004D3FF5" w:rsidP="00412E0D">
      <w:pPr>
        <w:pStyle w:val="Textonotapie"/>
        <w:spacing w:before="120" w:after="120" w:line="240" w:lineRule="auto"/>
        <w:jc w:val="both"/>
        <w:rPr>
          <w:rFonts w:cs="Times New Roman"/>
          <w:sz w:val="18"/>
          <w:szCs w:val="18"/>
        </w:rPr>
      </w:pPr>
      <w:r w:rsidRPr="00412E0D">
        <w:rPr>
          <w:rStyle w:val="Refdenotaalpie"/>
          <w:rFonts w:cs="Times New Roman"/>
          <w:sz w:val="18"/>
          <w:szCs w:val="18"/>
        </w:rPr>
        <w:footnoteRef/>
      </w:r>
      <w:r w:rsidRPr="00412E0D">
        <w:rPr>
          <w:rFonts w:cs="Times New Roman"/>
          <w:sz w:val="18"/>
          <w:szCs w:val="18"/>
        </w:rPr>
        <w:t xml:space="preserve"> </w:t>
      </w:r>
      <w:r w:rsidRPr="00412E0D">
        <w:rPr>
          <w:rFonts w:cs="Times New Roman"/>
          <w:i/>
          <w:sz w:val="18"/>
          <w:szCs w:val="18"/>
        </w:rPr>
        <w:t>Ibidem</w:t>
      </w:r>
      <w:r w:rsidRPr="00412E0D">
        <w:rPr>
          <w:rFonts w:cs="Times New Roman"/>
          <w:sz w:val="18"/>
          <w:szCs w:val="18"/>
        </w:rPr>
        <w:t>, p. 15.</w:t>
      </w:r>
    </w:p>
  </w:footnote>
  <w:footnote w:id="7">
    <w:p w:rsidR="004D3FF5" w:rsidRPr="00412E0D" w:rsidRDefault="004D3FF5" w:rsidP="00412E0D">
      <w:pPr>
        <w:pStyle w:val="Textonotapie"/>
        <w:spacing w:before="120" w:after="120" w:line="240" w:lineRule="auto"/>
        <w:jc w:val="both"/>
        <w:rPr>
          <w:rFonts w:cs="Times New Roman"/>
          <w:sz w:val="18"/>
          <w:szCs w:val="18"/>
          <w:lang w:val="en-US"/>
        </w:rPr>
      </w:pPr>
      <w:r w:rsidRPr="00412E0D">
        <w:rPr>
          <w:rStyle w:val="Refdenotaalpie"/>
          <w:rFonts w:cs="Times New Roman"/>
          <w:sz w:val="18"/>
          <w:szCs w:val="18"/>
        </w:rPr>
        <w:footnoteRef/>
      </w:r>
      <w:r w:rsidRPr="00412E0D">
        <w:rPr>
          <w:rFonts w:cs="Times New Roman"/>
          <w:sz w:val="18"/>
          <w:szCs w:val="18"/>
          <w:lang w:val="en-US"/>
        </w:rPr>
        <w:t xml:space="preserve"> </w:t>
      </w:r>
      <w:r w:rsidRPr="00412E0D">
        <w:rPr>
          <w:rFonts w:cs="Times New Roman"/>
          <w:i/>
          <w:sz w:val="18"/>
          <w:szCs w:val="18"/>
          <w:lang w:val="en-US"/>
        </w:rPr>
        <w:t>Idem.</w:t>
      </w:r>
    </w:p>
  </w:footnote>
  <w:footnote w:id="8">
    <w:p w:rsidR="004D3FF5" w:rsidRPr="00412E0D" w:rsidRDefault="004D3FF5" w:rsidP="00412E0D">
      <w:pPr>
        <w:pStyle w:val="Textonotapie"/>
        <w:spacing w:before="120" w:after="120" w:line="240" w:lineRule="auto"/>
        <w:jc w:val="both"/>
        <w:rPr>
          <w:rFonts w:cs="Times New Roman"/>
          <w:sz w:val="18"/>
          <w:szCs w:val="18"/>
          <w:lang w:val="en-US"/>
        </w:rPr>
      </w:pPr>
      <w:r w:rsidRPr="00412E0D">
        <w:rPr>
          <w:rStyle w:val="Refdenotaalpie"/>
          <w:rFonts w:cs="Times New Roman"/>
          <w:sz w:val="18"/>
          <w:szCs w:val="18"/>
        </w:rPr>
        <w:footnoteRef/>
      </w:r>
      <w:r w:rsidRPr="00412E0D">
        <w:rPr>
          <w:rFonts w:cs="Times New Roman"/>
          <w:sz w:val="18"/>
          <w:szCs w:val="18"/>
          <w:lang w:val="en-US"/>
        </w:rPr>
        <w:t xml:space="preserve"> </w:t>
      </w:r>
      <w:r w:rsidRPr="00412E0D">
        <w:rPr>
          <w:rFonts w:cs="Times New Roman"/>
          <w:i/>
          <w:sz w:val="18"/>
          <w:szCs w:val="18"/>
          <w:lang w:val="en-US"/>
        </w:rPr>
        <w:t>Idem.</w:t>
      </w:r>
    </w:p>
  </w:footnote>
  <w:footnote w:id="9">
    <w:p w:rsidR="004D3FF5" w:rsidRPr="00412E0D" w:rsidRDefault="004D3FF5" w:rsidP="00412E0D">
      <w:pPr>
        <w:pStyle w:val="Textonotapie"/>
        <w:spacing w:before="120" w:after="120" w:line="240" w:lineRule="auto"/>
        <w:jc w:val="both"/>
        <w:rPr>
          <w:rFonts w:cs="Times New Roman"/>
          <w:sz w:val="18"/>
          <w:szCs w:val="18"/>
          <w:lang w:val="es-ES"/>
        </w:rPr>
      </w:pPr>
      <w:r w:rsidRPr="00412E0D">
        <w:rPr>
          <w:rStyle w:val="Refdenotaalpie"/>
          <w:rFonts w:cs="Times New Roman"/>
          <w:sz w:val="18"/>
          <w:szCs w:val="18"/>
        </w:rPr>
        <w:footnoteRef/>
      </w:r>
      <w:r w:rsidRPr="00412E0D">
        <w:rPr>
          <w:rFonts w:cs="Times New Roman"/>
          <w:sz w:val="18"/>
          <w:szCs w:val="18"/>
          <w:lang w:val="es-ES"/>
        </w:rPr>
        <w:t xml:space="preserve"> </w:t>
      </w:r>
      <w:r w:rsidRPr="00412E0D">
        <w:rPr>
          <w:rFonts w:cs="Times New Roman"/>
          <w:i/>
          <w:sz w:val="18"/>
          <w:szCs w:val="18"/>
          <w:lang w:val="es-ES"/>
        </w:rPr>
        <w:t>Idem.</w:t>
      </w:r>
    </w:p>
  </w:footnote>
  <w:footnote w:id="10">
    <w:p w:rsidR="004D3FF5" w:rsidRPr="00412E0D" w:rsidRDefault="004D3FF5" w:rsidP="00412E0D">
      <w:pPr>
        <w:pStyle w:val="Textonotapie"/>
        <w:spacing w:before="120" w:after="120" w:line="240" w:lineRule="auto"/>
        <w:jc w:val="both"/>
        <w:rPr>
          <w:rFonts w:cs="Times New Roman"/>
          <w:sz w:val="18"/>
          <w:szCs w:val="18"/>
          <w:lang w:val="es-ES"/>
        </w:rPr>
      </w:pPr>
      <w:r w:rsidRPr="00412E0D">
        <w:rPr>
          <w:rStyle w:val="Refdenotaalpie"/>
          <w:rFonts w:cs="Times New Roman"/>
          <w:sz w:val="18"/>
          <w:szCs w:val="18"/>
        </w:rPr>
        <w:footnoteRef/>
      </w:r>
      <w:r w:rsidRPr="00412E0D">
        <w:rPr>
          <w:rFonts w:cs="Times New Roman"/>
          <w:sz w:val="18"/>
          <w:szCs w:val="18"/>
          <w:lang w:val="es-ES"/>
        </w:rPr>
        <w:t xml:space="preserve"> </w:t>
      </w:r>
      <w:r w:rsidRPr="00412E0D">
        <w:rPr>
          <w:rFonts w:cs="Times New Roman"/>
          <w:i/>
          <w:sz w:val="18"/>
          <w:szCs w:val="18"/>
          <w:lang w:val="es-ES"/>
        </w:rPr>
        <w:t>Ibidem</w:t>
      </w:r>
      <w:r w:rsidRPr="00412E0D">
        <w:rPr>
          <w:rFonts w:cs="Times New Roman"/>
          <w:sz w:val="18"/>
          <w:szCs w:val="18"/>
          <w:lang w:val="es-ES"/>
        </w:rPr>
        <w:t>, p. 16.</w:t>
      </w:r>
    </w:p>
  </w:footnote>
  <w:footnote w:id="11">
    <w:p w:rsidR="004D3FF5" w:rsidRPr="00412E0D" w:rsidRDefault="004D3FF5" w:rsidP="00412E0D">
      <w:pPr>
        <w:pStyle w:val="Textonotapie"/>
        <w:spacing w:before="120" w:after="120" w:line="240" w:lineRule="auto"/>
        <w:jc w:val="both"/>
        <w:rPr>
          <w:rFonts w:cs="Times New Roman"/>
          <w:sz w:val="18"/>
          <w:szCs w:val="18"/>
          <w:lang w:val="es-ES"/>
        </w:rPr>
      </w:pPr>
      <w:r w:rsidRPr="00412E0D">
        <w:rPr>
          <w:rStyle w:val="Refdenotaalpie"/>
          <w:rFonts w:cs="Times New Roman"/>
          <w:sz w:val="18"/>
          <w:szCs w:val="18"/>
        </w:rPr>
        <w:footnoteRef/>
      </w:r>
      <w:r w:rsidRPr="00412E0D">
        <w:rPr>
          <w:rFonts w:cs="Times New Roman"/>
          <w:sz w:val="18"/>
          <w:szCs w:val="18"/>
          <w:lang w:val="es-ES"/>
        </w:rPr>
        <w:t xml:space="preserve"> </w:t>
      </w:r>
      <w:r w:rsidRPr="00412E0D">
        <w:rPr>
          <w:rFonts w:cs="Times New Roman"/>
          <w:i/>
          <w:sz w:val="18"/>
          <w:szCs w:val="18"/>
          <w:lang w:val="es-ES"/>
        </w:rPr>
        <w:t>Ibidem</w:t>
      </w:r>
      <w:r w:rsidRPr="00412E0D">
        <w:rPr>
          <w:rFonts w:cs="Times New Roman"/>
          <w:sz w:val="18"/>
          <w:szCs w:val="18"/>
          <w:lang w:val="es-ES"/>
        </w:rPr>
        <w:t>, p. 17.</w:t>
      </w:r>
    </w:p>
  </w:footnote>
  <w:footnote w:id="12">
    <w:p w:rsidR="004D3FF5" w:rsidRPr="00412E0D" w:rsidRDefault="004D3FF5" w:rsidP="00412E0D">
      <w:pPr>
        <w:pStyle w:val="Textonotapie"/>
        <w:spacing w:before="120" w:after="120" w:line="240" w:lineRule="auto"/>
        <w:jc w:val="both"/>
        <w:rPr>
          <w:rFonts w:cs="Times New Roman"/>
          <w:sz w:val="18"/>
          <w:szCs w:val="18"/>
          <w:lang w:val="en-US"/>
        </w:rPr>
      </w:pPr>
      <w:r w:rsidRPr="00412E0D">
        <w:rPr>
          <w:rStyle w:val="Refdenotaalpie"/>
          <w:rFonts w:cs="Times New Roman"/>
          <w:sz w:val="18"/>
          <w:szCs w:val="18"/>
        </w:rPr>
        <w:footnoteRef/>
      </w:r>
      <w:r w:rsidRPr="00412E0D">
        <w:rPr>
          <w:rFonts w:cs="Times New Roman"/>
          <w:sz w:val="18"/>
          <w:szCs w:val="18"/>
          <w:lang w:val="en-US"/>
        </w:rPr>
        <w:t xml:space="preserve"> </w:t>
      </w:r>
      <w:r w:rsidRPr="00412E0D">
        <w:rPr>
          <w:rFonts w:cs="Times New Roman"/>
          <w:i/>
          <w:sz w:val="18"/>
          <w:szCs w:val="18"/>
          <w:lang w:val="en-US"/>
        </w:rPr>
        <w:t>Idem.</w:t>
      </w:r>
    </w:p>
  </w:footnote>
  <w:footnote w:id="13">
    <w:p w:rsidR="004D3FF5" w:rsidRPr="00412E0D" w:rsidRDefault="004D3FF5" w:rsidP="00412E0D">
      <w:pPr>
        <w:pStyle w:val="Textonotapie"/>
        <w:spacing w:before="120" w:after="120" w:line="240" w:lineRule="auto"/>
        <w:jc w:val="both"/>
        <w:rPr>
          <w:rFonts w:cs="Times New Roman"/>
          <w:sz w:val="18"/>
          <w:szCs w:val="18"/>
          <w:lang w:val="en-US"/>
        </w:rPr>
      </w:pPr>
      <w:r w:rsidRPr="00412E0D">
        <w:rPr>
          <w:rStyle w:val="Refdenotaalpie"/>
          <w:rFonts w:cs="Times New Roman"/>
          <w:sz w:val="18"/>
          <w:szCs w:val="18"/>
        </w:rPr>
        <w:footnoteRef/>
      </w:r>
      <w:r w:rsidRPr="00412E0D">
        <w:rPr>
          <w:rFonts w:cs="Times New Roman"/>
          <w:sz w:val="18"/>
          <w:szCs w:val="18"/>
          <w:lang w:val="en-US"/>
        </w:rPr>
        <w:t xml:space="preserve"> </w:t>
      </w:r>
      <w:r w:rsidRPr="00412E0D">
        <w:rPr>
          <w:rFonts w:cs="Times New Roman"/>
          <w:i/>
          <w:sz w:val="18"/>
          <w:szCs w:val="18"/>
          <w:lang w:val="en-US"/>
        </w:rPr>
        <w:t>Idem.</w:t>
      </w:r>
    </w:p>
  </w:footnote>
  <w:footnote w:id="14">
    <w:p w:rsidR="004D3FF5" w:rsidRPr="00412E0D" w:rsidRDefault="004D3FF5" w:rsidP="00412E0D">
      <w:pPr>
        <w:pStyle w:val="Textonotapie"/>
        <w:spacing w:before="120" w:after="120" w:line="240" w:lineRule="auto"/>
        <w:jc w:val="both"/>
        <w:rPr>
          <w:rFonts w:cs="Times New Roman"/>
          <w:sz w:val="18"/>
          <w:szCs w:val="18"/>
          <w:lang w:val="en-US"/>
        </w:rPr>
      </w:pPr>
      <w:r w:rsidRPr="00412E0D">
        <w:rPr>
          <w:rStyle w:val="Refdenotaalpie"/>
          <w:rFonts w:cs="Times New Roman"/>
          <w:sz w:val="18"/>
          <w:szCs w:val="18"/>
        </w:rPr>
        <w:footnoteRef/>
      </w:r>
      <w:r w:rsidRPr="00412E0D">
        <w:rPr>
          <w:rFonts w:cs="Times New Roman"/>
          <w:sz w:val="18"/>
          <w:szCs w:val="18"/>
          <w:lang w:val="en-US"/>
        </w:rPr>
        <w:t xml:space="preserve"> </w:t>
      </w:r>
      <w:r w:rsidRPr="00412E0D">
        <w:rPr>
          <w:rFonts w:cs="Times New Roman"/>
          <w:i/>
          <w:sz w:val="18"/>
          <w:szCs w:val="18"/>
          <w:lang w:val="en-US"/>
        </w:rPr>
        <w:t>Idem.</w:t>
      </w:r>
    </w:p>
  </w:footnote>
  <w:footnote w:id="15">
    <w:p w:rsidR="004D3FF5" w:rsidRPr="00412E0D" w:rsidRDefault="004D3FF5" w:rsidP="00412E0D">
      <w:pPr>
        <w:pStyle w:val="Textonotapie"/>
        <w:spacing w:before="120" w:after="120" w:line="240" w:lineRule="auto"/>
        <w:jc w:val="both"/>
        <w:rPr>
          <w:sz w:val="18"/>
          <w:szCs w:val="18"/>
        </w:rPr>
      </w:pPr>
      <w:r w:rsidRPr="00412E0D">
        <w:rPr>
          <w:rStyle w:val="Refdenotaalpie"/>
          <w:rFonts w:cs="Times New Roman"/>
          <w:sz w:val="18"/>
          <w:szCs w:val="18"/>
        </w:rPr>
        <w:footnoteRef/>
      </w:r>
      <w:r w:rsidRPr="00412E0D">
        <w:rPr>
          <w:rFonts w:cs="Times New Roman"/>
          <w:sz w:val="18"/>
          <w:szCs w:val="18"/>
        </w:rPr>
        <w:t xml:space="preserve"> </w:t>
      </w:r>
      <w:r w:rsidRPr="00412E0D">
        <w:rPr>
          <w:rFonts w:cs="Times New Roman"/>
          <w:i/>
          <w:sz w:val="18"/>
          <w:szCs w:val="18"/>
        </w:rPr>
        <w:t>Ibidem</w:t>
      </w:r>
      <w:r w:rsidRPr="00412E0D">
        <w:rPr>
          <w:rFonts w:cs="Times New Roman"/>
          <w:sz w:val="18"/>
          <w:szCs w:val="18"/>
        </w:rPr>
        <w:t>, p. 18.</w:t>
      </w:r>
    </w:p>
  </w:footnote>
  <w:footnote w:id="16">
    <w:p w:rsidR="004D3FF5" w:rsidRPr="00412E0D" w:rsidRDefault="004D3FF5" w:rsidP="00412E0D">
      <w:pPr>
        <w:pStyle w:val="Textonotapie"/>
        <w:spacing w:before="120" w:after="120" w:line="240" w:lineRule="auto"/>
        <w:rPr>
          <w:sz w:val="18"/>
          <w:szCs w:val="18"/>
        </w:rPr>
      </w:pPr>
      <w:r w:rsidRPr="00412E0D">
        <w:rPr>
          <w:rStyle w:val="Refdenotaalpie"/>
          <w:sz w:val="18"/>
          <w:szCs w:val="18"/>
        </w:rPr>
        <w:footnoteRef/>
      </w:r>
      <w:r w:rsidRPr="00412E0D">
        <w:rPr>
          <w:sz w:val="18"/>
          <w:szCs w:val="18"/>
        </w:rPr>
        <w:t xml:space="preserve"> </w:t>
      </w:r>
      <w:r w:rsidRPr="00412E0D">
        <w:rPr>
          <w:sz w:val="18"/>
          <w:szCs w:val="18"/>
        </w:rPr>
        <w:t xml:space="preserve">Unidad de Extranjería, FGE, Memoria 2024. Disponible en: </w:t>
      </w:r>
      <w:hyperlink r:id="rId4" w:history="1">
        <w:r w:rsidRPr="00412E0D">
          <w:rPr>
            <w:rStyle w:val="Hipervnculo"/>
            <w:sz w:val="18"/>
            <w:szCs w:val="18"/>
          </w:rPr>
          <w:t>https://www.fiscal.es/memorias/memoria2024/FISCALIA_SITE/index.html</w:t>
        </w:r>
      </w:hyperlink>
    </w:p>
  </w:footnote>
  <w:footnote w:id="17">
    <w:p w:rsidR="004D3FF5" w:rsidRPr="00412E0D" w:rsidRDefault="004D3FF5" w:rsidP="00412E0D">
      <w:pPr>
        <w:pStyle w:val="Textonotapie"/>
        <w:spacing w:before="120" w:after="120" w:line="240" w:lineRule="auto"/>
        <w:rPr>
          <w:sz w:val="18"/>
          <w:szCs w:val="18"/>
          <w:lang w:val="es-ES"/>
        </w:rPr>
      </w:pPr>
      <w:r w:rsidRPr="00412E0D">
        <w:rPr>
          <w:rStyle w:val="Refdenotaalpie"/>
          <w:sz w:val="18"/>
          <w:szCs w:val="18"/>
        </w:rPr>
        <w:footnoteRef/>
      </w:r>
      <w:r w:rsidRPr="00412E0D">
        <w:rPr>
          <w:sz w:val="18"/>
          <w:szCs w:val="18"/>
        </w:rPr>
        <w:t xml:space="preserve"> </w:t>
      </w:r>
      <w:r w:rsidRPr="00412E0D">
        <w:rPr>
          <w:sz w:val="18"/>
          <w:szCs w:val="18"/>
        </w:rPr>
        <w:t xml:space="preserve">Unidad de Extranjería, FGE, Memoria 2024. Disponible en: </w:t>
      </w:r>
      <w:hyperlink r:id="rId5" w:history="1">
        <w:r w:rsidRPr="00412E0D">
          <w:rPr>
            <w:rStyle w:val="Hipervnculo"/>
            <w:sz w:val="18"/>
            <w:szCs w:val="18"/>
          </w:rPr>
          <w:t>https://www.fiscal.es/memorias/memoria2024/FISCALIA_SITE/index.html</w:t>
        </w:r>
      </w:hyperlink>
      <w:r w:rsidRPr="00412E0D">
        <w:rPr>
          <w:sz w:val="18"/>
          <w:szCs w:val="18"/>
        </w:rPr>
        <w:t xml:space="preserve"> </w:t>
      </w:r>
    </w:p>
  </w:footnote>
  <w:footnote w:id="18">
    <w:p w:rsidR="004D3FF5" w:rsidRPr="00412E0D" w:rsidRDefault="004D3FF5" w:rsidP="00412E0D">
      <w:pPr>
        <w:pStyle w:val="Textonotapie"/>
        <w:spacing w:before="120" w:after="120" w:line="240" w:lineRule="auto"/>
        <w:jc w:val="both"/>
        <w:rPr>
          <w:sz w:val="18"/>
          <w:szCs w:val="18"/>
        </w:rPr>
      </w:pPr>
      <w:r w:rsidRPr="00412E0D">
        <w:rPr>
          <w:rStyle w:val="Refdenotaalpie"/>
          <w:sz w:val="18"/>
          <w:szCs w:val="18"/>
        </w:rPr>
        <w:footnoteRef/>
      </w:r>
      <w:r w:rsidRPr="00412E0D">
        <w:rPr>
          <w:sz w:val="18"/>
          <w:szCs w:val="18"/>
        </w:rPr>
        <w:t xml:space="preserve"> </w:t>
      </w:r>
      <w:r w:rsidR="00412E0D">
        <w:rPr>
          <w:sz w:val="18"/>
          <w:szCs w:val="18"/>
        </w:rPr>
        <w:t xml:space="preserve">Castilla, K., </w:t>
      </w:r>
      <w:r w:rsidRPr="00412E0D">
        <w:rPr>
          <w:i/>
          <w:sz w:val="18"/>
          <w:szCs w:val="18"/>
        </w:rPr>
        <w:t>Artificial intelligence and human rights: do they need each other?</w:t>
      </w:r>
      <w:r w:rsidR="00412E0D">
        <w:rPr>
          <w:sz w:val="18"/>
          <w:szCs w:val="18"/>
        </w:rPr>
        <w:t xml:space="preserve">, </w:t>
      </w:r>
      <w:r w:rsidR="00412E0D" w:rsidRPr="00412E0D">
        <w:rPr>
          <w:sz w:val="18"/>
          <w:szCs w:val="18"/>
        </w:rPr>
        <w:t>en Revista IDEES, No. 60, 2023, pp. 110-117</w:t>
      </w:r>
      <w:r w:rsidR="00412E0D">
        <w:rPr>
          <w:sz w:val="18"/>
          <w:szCs w:val="18"/>
        </w:rPr>
        <w:t xml:space="preserve">. Disponible en: </w:t>
      </w:r>
      <w:hyperlink r:id="rId6" w:history="1">
        <w:r w:rsidRPr="00412E0D">
          <w:rPr>
            <w:rStyle w:val="Hipervnculo"/>
            <w:sz w:val="18"/>
            <w:szCs w:val="18"/>
          </w:rPr>
          <w:t>https://revistaidees.cat/en/intelligencia-artificial-i-drets-humans-es-necessiten-mutuament/</w:t>
        </w:r>
      </w:hyperlink>
      <w:r w:rsidRPr="00412E0D">
        <w:rPr>
          <w:sz w:val="18"/>
          <w:szCs w:val="18"/>
        </w:rPr>
        <w:t xml:space="preserve"> </w:t>
      </w:r>
    </w:p>
  </w:footnote>
  <w:footnote w:id="19">
    <w:p w:rsidR="00035382" w:rsidRPr="00035382" w:rsidRDefault="00035382" w:rsidP="00412E0D">
      <w:pPr>
        <w:pStyle w:val="Textonotapie"/>
        <w:spacing w:before="120" w:after="120" w:line="240" w:lineRule="auto"/>
        <w:rPr>
          <w:i/>
          <w:lang w:val="es-ES"/>
        </w:rPr>
      </w:pPr>
      <w:r w:rsidRPr="00412E0D">
        <w:rPr>
          <w:rStyle w:val="Refdenotaalpie"/>
          <w:sz w:val="18"/>
          <w:szCs w:val="18"/>
        </w:rPr>
        <w:footnoteRef/>
      </w:r>
      <w:r w:rsidRPr="00412E0D">
        <w:rPr>
          <w:sz w:val="18"/>
          <w:szCs w:val="18"/>
        </w:rPr>
        <w:t xml:space="preserve"> </w:t>
      </w:r>
      <w:r w:rsidRPr="00412E0D">
        <w:rPr>
          <w:i/>
          <w:sz w:val="18"/>
          <w:szCs w:val="18"/>
          <w:lang w:val="es-ES"/>
        </w:rPr>
        <w:t>Ibidem.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FF5" w:rsidRDefault="004D3FF5">
    <w:r>
      <w:rPr>
        <w:sz w:val="16"/>
        <w:szCs w:val="16"/>
        <w:lang w:val="es-ES" w:eastAsia="es-ES"/>
      </w:rPr>
      <mc:AlternateContent>
        <mc:Choice Requires="wps">
          <w:drawing>
            <wp:anchor distT="0" distB="0" distL="114300" distR="114300" simplePos="0" relativeHeight="251678720" behindDoc="0" locked="0" layoutInCell="1" allowOverlap="1">
              <wp:simplePos x="0" y="0"/>
              <wp:positionH relativeFrom="column">
                <wp:posOffset>1183005</wp:posOffset>
              </wp:positionH>
              <wp:positionV relativeFrom="paragraph">
                <wp:posOffset>-122555</wp:posOffset>
              </wp:positionV>
              <wp:extent cx="4752340" cy="548640"/>
              <wp:effectExtent l="0" t="0" r="0" b="3810"/>
              <wp:wrapNone/>
              <wp:docPr id="6" name="Cuadro de texto 6"/>
              <wp:cNvGraphicFramePr/>
              <a:graphic xmlns:a="http://schemas.openxmlformats.org/drawingml/2006/main">
                <a:graphicData uri="http://schemas.microsoft.com/office/word/2010/wordprocessingShape">
                  <wps:wsp>
                    <wps:cNvSpPr txBox="1"/>
                    <wps:spPr>
                      <a:xfrm>
                        <a:off x="0" y="0"/>
                        <a:ext cx="4752340" cy="548640"/>
                      </a:xfrm>
                      <a:prstGeom prst="rect">
                        <a:avLst/>
                      </a:prstGeom>
                      <a:solidFill>
                        <a:schemeClr val="lt1"/>
                      </a:solidFill>
                      <a:ln w="6350">
                        <a:noFill/>
                      </a:ln>
                    </wps:spPr>
                    <wps:txbx>
                      <w:txbxContent>
                        <w:p w:rsidR="004D3FF5" w:rsidRPr="00FE6F7F" w:rsidRDefault="004D3FF5" w:rsidP="00FE6F7F">
                          <w:pPr>
                            <w:pStyle w:val="1TextCos"/>
                            <w:spacing w:line="288" w:lineRule="auto"/>
                            <w:rPr>
                              <w:color w:val="000BD6"/>
                              <w:sz w:val="15"/>
                              <w:szCs w:val="15"/>
                            </w:rPr>
                          </w:pPr>
                          <w:r w:rsidRPr="00CF4049">
                            <w:rPr>
                              <w:color w:val="000BD6"/>
                              <w:sz w:val="15"/>
                              <w:szCs w:val="15"/>
                            </w:rPr>
                            <w:t>INFORME ALTERNATIVO AL SÉPTIMO INFORME PERIÓDICO QUE ESPAÑA DEBÍA PRESENTAR EN 2020 EN VIRTUD DEL ARTÍCULO 40 DEL PACTO INTERNACIONAL DE DERECHOS CIVILES Y POLÍTICOS</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6" o:spid="_x0000_s1027" type="#_x0000_t202" style="position:absolute;margin-left:93.15pt;margin-top:-9.65pt;width:374.2pt;height:43.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" fillcolor="white [3201]" stroked="f" strokeweight=".5pt">
              <v:textbox inset="0,,0">
                <w:txbxContent>
                  <w:p w:rsidR="004D3FF5" w:rsidRPr="00FE6F7F" w:rsidRDefault="004D3FF5" w:rsidP="00FE6F7F">
                    <w:pPr>
                      <w:pStyle w:val="1TextCos"/>
                      <w:spacing w:line="288" w:lineRule="auto"/>
                      <w:rPr>
                        <w:color w:val="000BD6"/>
                        <w:sz w:val="15"/>
                        <w:szCs w:val="15"/>
                      </w:rPr>
                    </w:pPr>
                    <w:r w:rsidRPr="00CF4049">
                      <w:rPr>
                        <w:color w:val="000BD6"/>
                        <w:sz w:val="15"/>
                        <w:szCs w:val="15"/>
                      </w:rPr>
                      <w:t>INFORME ALTERNATIVO AL SÉPTIMO INFORME PERIÓDICO QUE ESPAÑA DEBÍA PRESENTAR EN 2020 EN VIRTUD DEL ARTÍCULO 40 DEL PACTO INTERNACIONAL DE DERECHOS CIVILES Y POLÍTICOS</w:t>
                    </w:r>
                  </w:p>
                </w:txbxContent>
              </v:textbox>
            </v:shape>
          </w:pict>
        </mc:Fallback>
      </mc:AlternateContent>
    </w:r>
    <w:r>
      <w:rPr>
        <w:lang w:val="es-ES" w:eastAsia="es-ES"/>
      </w:rPr>
      <w:drawing>
        <wp:anchor distT="0" distB="0" distL="114300" distR="114300" simplePos="0" relativeHeight="251681792" behindDoc="1" locked="0" layoutInCell="1" allowOverlap="1" wp14:anchorId="5F94490C" wp14:editId="56C3305E">
          <wp:simplePos x="0" y="0"/>
          <wp:positionH relativeFrom="column">
            <wp:posOffset>-622300</wp:posOffset>
          </wp:positionH>
          <wp:positionV relativeFrom="paragraph">
            <wp:posOffset>-183515</wp:posOffset>
          </wp:positionV>
          <wp:extent cx="1397000" cy="486107"/>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a:xfrm>
                    <a:off x="0" y="0"/>
                    <a:ext cx="1397000" cy="486107"/>
                  </a:xfrm>
                  <a:prstGeom prst="rect">
                    <a:avLst/>
                  </a:prstGeom>
                </pic:spPr>
              </pic:pic>
            </a:graphicData>
          </a:graphic>
          <wp14:sizeRelH relativeFrom="page">
            <wp14:pctWidth>0</wp14:pctWidth>
          </wp14:sizeRelH>
          <wp14:sizeRelV relativeFrom="page">
            <wp14:pctHeight>0</wp14:pctHeight>
          </wp14:sizeRelV>
        </wp:anchor>
      </w:drawing>
    </w:r>
  </w:p>
  <w:p w:rsidR="004D3FF5" w:rsidRDefault="004D3FF5"/>
  <w:p w:rsidR="004D3FF5" w:rsidRDefault="004D3FF5">
    <w:r>
      <w:rPr>
        <w:sz w:val="16"/>
        <w:szCs w:val="16"/>
        <w:lang w:val="es-ES" w:eastAsia="es-ES"/>
      </w:rPr>
      <mc:AlternateContent>
        <mc:Choice Requires="wps">
          <w:drawing>
            <wp:anchor distT="0" distB="0" distL="114300" distR="114300" simplePos="0" relativeHeight="251667456" behindDoc="0" locked="0" layoutInCell="1" allowOverlap="1" wp14:anchorId="219C0ADB" wp14:editId="7A5941DB">
              <wp:simplePos x="0" y="0"/>
              <wp:positionH relativeFrom="margin">
                <wp:posOffset>-546735</wp:posOffset>
              </wp:positionH>
              <wp:positionV relativeFrom="paragraph">
                <wp:posOffset>129540</wp:posOffset>
              </wp:positionV>
              <wp:extent cx="6479540" cy="0"/>
              <wp:effectExtent l="0" t="0" r="10160" b="12700"/>
              <wp:wrapNone/>
              <wp:docPr id="9" name="Conector recto 9"/>
              <wp:cNvGraphicFramePr/>
              <a:graphic xmlns:a="http://schemas.openxmlformats.org/drawingml/2006/main">
                <a:graphicData uri="http://schemas.microsoft.com/office/word/2010/wordprocessingShape">
                  <wps:wsp>
                    <wps:cNvCnPr/>
                    <wps:spPr>
                      <a:xfrm>
                        <a:off x="0" y="0"/>
                        <a:ext cx="6479540" cy="0"/>
                      </a:xfrm>
                      <a:prstGeom prst="line">
                        <a:avLst/>
                      </a:prstGeom>
                      <a:ln w="9525">
                        <a:solidFill>
                          <a:srgbClr val="000BD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61CFA31" id="Conector recto 9"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3.05pt,10.2pt" to="467.1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" strokecolor="#000bd6">
              <v:stroke joinstyle="miter"/>
              <w10:wrap anchorx="marg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FF5" w:rsidRDefault="004D3FF5" w:rsidP="00DF2464">
    <w:pPr>
      <w:tabs>
        <w:tab w:val="left" w:pos="1709"/>
      </w:tabs>
    </w:pPr>
    <w:r>
      <w:rPr>
        <w:sz w:val="16"/>
        <w:szCs w:val="16"/>
        <w:lang w:val="es-ES" w:eastAsia="es-ES"/>
      </w:rPr>
      <mc:AlternateContent>
        <mc:Choice Requires="wps">
          <w:drawing>
            <wp:anchor distT="0" distB="0" distL="114300" distR="114300" simplePos="0" relativeHeight="251673600" behindDoc="0" locked="0" layoutInCell="1" allowOverlap="1" wp14:anchorId="5BF86384" wp14:editId="630E96FE">
              <wp:simplePos x="0" y="0"/>
              <wp:positionH relativeFrom="margin">
                <wp:posOffset>-546735</wp:posOffset>
              </wp:positionH>
              <wp:positionV relativeFrom="paragraph">
                <wp:posOffset>1546167</wp:posOffset>
              </wp:positionV>
              <wp:extent cx="6479540" cy="0"/>
              <wp:effectExtent l="0" t="0" r="10160" b="12700"/>
              <wp:wrapNone/>
              <wp:docPr id="14" name="Conector recto 14"/>
              <wp:cNvGraphicFramePr/>
              <a:graphic xmlns:a="http://schemas.openxmlformats.org/drawingml/2006/main">
                <a:graphicData uri="http://schemas.microsoft.com/office/word/2010/wordprocessingShape">
                  <wps:wsp>
                    <wps:cNvCnPr/>
                    <wps:spPr>
                      <a:xfrm>
                        <a:off x="0" y="0"/>
                        <a:ext cx="6479540" cy="0"/>
                      </a:xfrm>
                      <a:prstGeom prst="line">
                        <a:avLst/>
                      </a:prstGeom>
                      <a:ln w="9525">
                        <a:solidFill>
                          <a:srgbClr val="000BD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0023242" id="Conector recto 14" o:spid="_x0000_s1026" style="position:absolute;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3.05pt,121.75pt" to="467.15pt,1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" strokecolor="#000bd6">
              <v:stroke joinstyle="miter"/>
              <w10:wrap anchorx="margin"/>
            </v:line>
          </w:pict>
        </mc:Fallback>
      </mc:AlternateContent>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FF5" w:rsidRDefault="004D3FF5" w:rsidP="00DF2464">
    <w:pPr>
      <w:tabs>
        <w:tab w:val="left" w:pos="1709"/>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4F0D444"/>
    <w:lvl w:ilvl="0">
      <w:start w:val="1"/>
      <w:numFmt w:val="decimal"/>
      <w:lvlText w:val="%1."/>
      <w:lvlJc w:val="left"/>
      <w:pPr>
        <w:tabs>
          <w:tab w:val="num" w:pos="1492"/>
        </w:tabs>
        <w:ind w:left="1492" w:hanging="360"/>
      </w:pPr>
    </w:lvl>
  </w:abstractNum>
  <w:abstractNum w:abstractNumId="1">
    <w:nsid w:val="FFFFFF7D"/>
    <w:multiLevelType w:val="singleLevel"/>
    <w:tmpl w:val="D272D77E"/>
    <w:lvl w:ilvl="0">
      <w:start w:val="1"/>
      <w:numFmt w:val="decimal"/>
      <w:lvlText w:val="%1."/>
      <w:lvlJc w:val="left"/>
      <w:pPr>
        <w:tabs>
          <w:tab w:val="num" w:pos="1209"/>
        </w:tabs>
        <w:ind w:left="1209" w:hanging="360"/>
      </w:pPr>
    </w:lvl>
  </w:abstractNum>
  <w:abstractNum w:abstractNumId="2">
    <w:nsid w:val="FFFFFF7E"/>
    <w:multiLevelType w:val="singleLevel"/>
    <w:tmpl w:val="161EBFFA"/>
    <w:lvl w:ilvl="0">
      <w:start w:val="1"/>
      <w:numFmt w:val="decimal"/>
      <w:lvlText w:val="%1."/>
      <w:lvlJc w:val="left"/>
      <w:pPr>
        <w:tabs>
          <w:tab w:val="num" w:pos="926"/>
        </w:tabs>
        <w:ind w:left="926" w:hanging="360"/>
      </w:pPr>
    </w:lvl>
  </w:abstractNum>
  <w:abstractNum w:abstractNumId="3">
    <w:nsid w:val="FFFFFF7F"/>
    <w:multiLevelType w:val="singleLevel"/>
    <w:tmpl w:val="383481F8"/>
    <w:lvl w:ilvl="0">
      <w:start w:val="1"/>
      <w:numFmt w:val="decimal"/>
      <w:lvlText w:val="%1."/>
      <w:lvlJc w:val="left"/>
      <w:pPr>
        <w:tabs>
          <w:tab w:val="num" w:pos="643"/>
        </w:tabs>
        <w:ind w:left="643" w:hanging="360"/>
      </w:pPr>
    </w:lvl>
  </w:abstractNum>
  <w:abstractNum w:abstractNumId="4">
    <w:nsid w:val="FFFFFF80"/>
    <w:multiLevelType w:val="singleLevel"/>
    <w:tmpl w:val="E0B040F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4422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AE2009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E4A023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6267B70"/>
    <w:lvl w:ilvl="0">
      <w:start w:val="1"/>
      <w:numFmt w:val="decimal"/>
      <w:lvlText w:val="%1."/>
      <w:lvlJc w:val="left"/>
      <w:pPr>
        <w:tabs>
          <w:tab w:val="num" w:pos="360"/>
        </w:tabs>
        <w:ind w:left="360" w:hanging="360"/>
      </w:pPr>
    </w:lvl>
  </w:abstractNum>
  <w:abstractNum w:abstractNumId="9">
    <w:nsid w:val="FFFFFF89"/>
    <w:multiLevelType w:val="singleLevel"/>
    <w:tmpl w:val="2E18A58C"/>
    <w:lvl w:ilvl="0">
      <w:start w:val="1"/>
      <w:numFmt w:val="bullet"/>
      <w:lvlText w:val=""/>
      <w:lvlJc w:val="left"/>
      <w:pPr>
        <w:tabs>
          <w:tab w:val="num" w:pos="360"/>
        </w:tabs>
        <w:ind w:left="360" w:hanging="360"/>
      </w:pPr>
      <w:rPr>
        <w:rFonts w:ascii="Symbol" w:hAnsi="Symbol" w:hint="default"/>
      </w:rPr>
    </w:lvl>
  </w:abstractNum>
  <w:abstractNum w:abstractNumId="10">
    <w:nsid w:val="038248EF"/>
    <w:multiLevelType w:val="hybridMultilevel"/>
    <w:tmpl w:val="EE4699C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08F5549B"/>
    <w:multiLevelType w:val="multilevel"/>
    <w:tmpl w:val="0E2AA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B125DE1"/>
    <w:multiLevelType w:val="multilevel"/>
    <w:tmpl w:val="96D28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C677158"/>
    <w:multiLevelType w:val="hybridMultilevel"/>
    <w:tmpl w:val="EE4699C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0F600278"/>
    <w:multiLevelType w:val="multilevel"/>
    <w:tmpl w:val="BBE61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F9A3EA8"/>
    <w:multiLevelType w:val="multilevel"/>
    <w:tmpl w:val="C62C0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39B4542"/>
    <w:multiLevelType w:val="hybridMultilevel"/>
    <w:tmpl w:val="59EC21E4"/>
    <w:lvl w:ilvl="0" w:tplc="246EDFD4">
      <w:start w:val="1"/>
      <w:numFmt w:val="bullet"/>
      <w:lvlText w:val="—"/>
      <w:lvlJc w:val="left"/>
      <w:pPr>
        <w:ind w:left="720" w:hanging="360"/>
      </w:pPr>
      <w:rPr>
        <w:rFonts w:ascii="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nsid w:val="18C56393"/>
    <w:multiLevelType w:val="hybridMultilevel"/>
    <w:tmpl w:val="37DE8C9E"/>
    <w:lvl w:ilvl="0" w:tplc="3F6C9F2E">
      <w:start w:val="25"/>
      <w:numFmt w:val="bullet"/>
      <w:lvlText w:val="-"/>
      <w:lvlJc w:val="left"/>
      <w:pPr>
        <w:ind w:left="720" w:hanging="360"/>
      </w:pPr>
      <w:rPr>
        <w:rFonts w:ascii="Inter" w:eastAsiaTheme="minorHAnsi" w:hAnsi="Inter" w:cs="Times New Roman (Cuerpo en alf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1BEF51AC"/>
    <w:multiLevelType w:val="multilevel"/>
    <w:tmpl w:val="1AA0B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E246FC6"/>
    <w:multiLevelType w:val="multilevel"/>
    <w:tmpl w:val="83A4A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158683A"/>
    <w:multiLevelType w:val="hybridMultilevel"/>
    <w:tmpl w:val="A724803A"/>
    <w:lvl w:ilvl="0" w:tplc="CE784C46">
      <w:start w:val="1"/>
      <w:numFmt w:val="decimal"/>
      <w:lvlText w:val="%1."/>
      <w:lvlJc w:val="left"/>
      <w:pPr>
        <w:ind w:left="1080" w:hanging="720"/>
      </w:pPr>
      <w:rPr>
        <w:rFonts w:hint="default"/>
        <w:sz w:val="44"/>
        <w:szCs w:val="4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21EF1410"/>
    <w:multiLevelType w:val="multilevel"/>
    <w:tmpl w:val="A844B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4E113BA"/>
    <w:multiLevelType w:val="hybridMultilevel"/>
    <w:tmpl w:val="5D7485EE"/>
    <w:lvl w:ilvl="0" w:tplc="7A42B538">
      <w:start w:val="1"/>
      <w:numFmt w:val="lowerLetter"/>
      <w:pStyle w:val="8-Vinyetaabc"/>
      <w:lvlText w:val="%1."/>
      <w:lvlJc w:val="left"/>
      <w:pPr>
        <w:ind w:left="720" w:hanging="360"/>
      </w:pPr>
      <w:rPr>
        <w:rFonts w:hint="default"/>
        <w:w w:val="1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nsid w:val="268C6F95"/>
    <w:multiLevelType w:val="multilevel"/>
    <w:tmpl w:val="F9863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8AD28C5"/>
    <w:multiLevelType w:val="hybridMultilevel"/>
    <w:tmpl w:val="EBACA8EE"/>
    <w:lvl w:ilvl="0" w:tplc="1FAC8C04">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378821C0"/>
    <w:multiLevelType w:val="multilevel"/>
    <w:tmpl w:val="F52AE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8DA54F8"/>
    <w:multiLevelType w:val="multilevel"/>
    <w:tmpl w:val="EB0A6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91B7C79"/>
    <w:multiLevelType w:val="multilevel"/>
    <w:tmpl w:val="23E69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AEB771E"/>
    <w:multiLevelType w:val="hybridMultilevel"/>
    <w:tmpl w:val="EE4699C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3B4E5E15"/>
    <w:multiLevelType w:val="multilevel"/>
    <w:tmpl w:val="4622E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B770C5E"/>
    <w:multiLevelType w:val="hybridMultilevel"/>
    <w:tmpl w:val="EE4699C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48BA3882"/>
    <w:multiLevelType w:val="multilevel"/>
    <w:tmpl w:val="FF04C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48ED71F6"/>
    <w:multiLevelType w:val="hybridMultilevel"/>
    <w:tmpl w:val="231A11F8"/>
    <w:lvl w:ilvl="0" w:tplc="246EDFD4">
      <w:start w:val="1"/>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nsid w:val="51305433"/>
    <w:multiLevelType w:val="hybridMultilevel"/>
    <w:tmpl w:val="153C0298"/>
    <w:lvl w:ilvl="0" w:tplc="246EDFD4">
      <w:start w:val="1"/>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nsid w:val="542E41C1"/>
    <w:multiLevelType w:val="multilevel"/>
    <w:tmpl w:val="8C645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D553F10"/>
    <w:multiLevelType w:val="hybridMultilevel"/>
    <w:tmpl w:val="F768E3E2"/>
    <w:lvl w:ilvl="0" w:tplc="040A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6">
    <w:nsid w:val="620E75B2"/>
    <w:multiLevelType w:val="multilevel"/>
    <w:tmpl w:val="00DC3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D2B5F75"/>
    <w:multiLevelType w:val="hybridMultilevel"/>
    <w:tmpl w:val="59C8E54E"/>
    <w:lvl w:ilvl="0" w:tplc="65EA23D4">
      <w:start w:val="1"/>
      <w:numFmt w:val="bullet"/>
      <w:pStyle w:val="8-VinyetaGui"/>
      <w:lvlText w:val="—"/>
      <w:lvlJc w:val="left"/>
      <w:pPr>
        <w:ind w:left="720" w:hanging="360"/>
      </w:pPr>
      <w:rPr>
        <w:rFonts w:ascii="Times New Roman" w:hAnsi="Times New Roman" w:cs="Times New Roman" w:hint="default"/>
        <w:w w:val="8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nsid w:val="6DD97DB9"/>
    <w:multiLevelType w:val="multilevel"/>
    <w:tmpl w:val="EE2CC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3640687"/>
    <w:multiLevelType w:val="hybridMultilevel"/>
    <w:tmpl w:val="3EA81038"/>
    <w:lvl w:ilvl="0" w:tplc="7F3240D2">
      <w:start w:val="25"/>
      <w:numFmt w:val="bullet"/>
      <w:lvlText w:val="-"/>
      <w:lvlJc w:val="left"/>
      <w:pPr>
        <w:ind w:left="720" w:hanging="360"/>
      </w:pPr>
      <w:rPr>
        <w:rFonts w:ascii="Inter" w:eastAsiaTheme="minorHAnsi" w:hAnsi="Inter" w:cs="Times New Roman (Cuerpo en alf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5"/>
  </w:num>
  <w:num w:numId="2">
    <w:abstractNumId w:val="33"/>
  </w:num>
  <w:num w:numId="3">
    <w:abstractNumId w:val="16"/>
  </w:num>
  <w:num w:numId="4">
    <w:abstractNumId w:val="32"/>
  </w:num>
  <w:num w:numId="5">
    <w:abstractNumId w:val="37"/>
  </w:num>
  <w:num w:numId="6">
    <w:abstractNumId w:val="22"/>
  </w:num>
  <w:num w:numId="7">
    <w:abstractNumId w:val="4"/>
  </w:num>
  <w:num w:numId="8">
    <w:abstractNumId w:val="5"/>
  </w:num>
  <w:num w:numId="9">
    <w:abstractNumId w:val="6"/>
  </w:num>
  <w:num w:numId="10">
    <w:abstractNumId w:val="7"/>
  </w:num>
  <w:num w:numId="11">
    <w:abstractNumId w:val="9"/>
  </w:num>
  <w:num w:numId="12">
    <w:abstractNumId w:val="0"/>
  </w:num>
  <w:num w:numId="13">
    <w:abstractNumId w:val="1"/>
  </w:num>
  <w:num w:numId="14">
    <w:abstractNumId w:val="2"/>
  </w:num>
  <w:num w:numId="15">
    <w:abstractNumId w:val="3"/>
  </w:num>
  <w:num w:numId="16">
    <w:abstractNumId w:val="8"/>
  </w:num>
  <w:num w:numId="17">
    <w:abstractNumId w:val="39"/>
  </w:num>
  <w:num w:numId="18">
    <w:abstractNumId w:val="17"/>
  </w:num>
  <w:num w:numId="19">
    <w:abstractNumId w:val="38"/>
  </w:num>
  <w:num w:numId="20">
    <w:abstractNumId w:val="36"/>
  </w:num>
  <w:num w:numId="21">
    <w:abstractNumId w:val="29"/>
  </w:num>
  <w:num w:numId="22">
    <w:abstractNumId w:val="19"/>
  </w:num>
  <w:num w:numId="23">
    <w:abstractNumId w:val="26"/>
  </w:num>
  <w:num w:numId="24">
    <w:abstractNumId w:val="23"/>
  </w:num>
  <w:num w:numId="25">
    <w:abstractNumId w:val="21"/>
  </w:num>
  <w:num w:numId="26">
    <w:abstractNumId w:val="14"/>
  </w:num>
  <w:num w:numId="27">
    <w:abstractNumId w:val="27"/>
  </w:num>
  <w:num w:numId="28">
    <w:abstractNumId w:val="11"/>
  </w:num>
  <w:num w:numId="29">
    <w:abstractNumId w:val="15"/>
  </w:num>
  <w:num w:numId="30">
    <w:abstractNumId w:val="25"/>
  </w:num>
  <w:num w:numId="31">
    <w:abstractNumId w:val="34"/>
  </w:num>
  <w:num w:numId="32">
    <w:abstractNumId w:val="12"/>
  </w:num>
  <w:num w:numId="33">
    <w:abstractNumId w:val="18"/>
  </w:num>
  <w:num w:numId="34">
    <w:abstractNumId w:val="31"/>
  </w:num>
  <w:num w:numId="35">
    <w:abstractNumId w:val="28"/>
  </w:num>
  <w:num w:numId="36">
    <w:abstractNumId w:val="20"/>
  </w:num>
  <w:num w:numId="37">
    <w:abstractNumId w:val="30"/>
  </w:num>
  <w:num w:numId="38">
    <w:abstractNumId w:val="10"/>
  </w:num>
  <w:num w:numId="39">
    <w:abstractNumId w:val="24"/>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6F33"/>
    <w:rsid w:val="00013856"/>
    <w:rsid w:val="00016160"/>
    <w:rsid w:val="00017D36"/>
    <w:rsid w:val="00021B31"/>
    <w:rsid w:val="00026351"/>
    <w:rsid w:val="00035382"/>
    <w:rsid w:val="0006462E"/>
    <w:rsid w:val="00065CE8"/>
    <w:rsid w:val="00065F5F"/>
    <w:rsid w:val="00084025"/>
    <w:rsid w:val="000957C7"/>
    <w:rsid w:val="000C4694"/>
    <w:rsid w:val="000C46A9"/>
    <w:rsid w:val="0010308E"/>
    <w:rsid w:val="00104CC1"/>
    <w:rsid w:val="0011433D"/>
    <w:rsid w:val="00121254"/>
    <w:rsid w:val="001332C4"/>
    <w:rsid w:val="001B2861"/>
    <w:rsid w:val="001C1BE7"/>
    <w:rsid w:val="001C50E1"/>
    <w:rsid w:val="001D37DC"/>
    <w:rsid w:val="00204A0A"/>
    <w:rsid w:val="0020513B"/>
    <w:rsid w:val="0020514E"/>
    <w:rsid w:val="0023400D"/>
    <w:rsid w:val="0023494B"/>
    <w:rsid w:val="00241D82"/>
    <w:rsid w:val="00255C2E"/>
    <w:rsid w:val="00257292"/>
    <w:rsid w:val="0026779A"/>
    <w:rsid w:val="00270572"/>
    <w:rsid w:val="00277E32"/>
    <w:rsid w:val="00284640"/>
    <w:rsid w:val="002974D2"/>
    <w:rsid w:val="002B1BAD"/>
    <w:rsid w:val="002B245B"/>
    <w:rsid w:val="002B2707"/>
    <w:rsid w:val="002C359D"/>
    <w:rsid w:val="002D2DC1"/>
    <w:rsid w:val="00307A27"/>
    <w:rsid w:val="00316F33"/>
    <w:rsid w:val="003220DD"/>
    <w:rsid w:val="00341D46"/>
    <w:rsid w:val="00351DAC"/>
    <w:rsid w:val="00375289"/>
    <w:rsid w:val="003E47DB"/>
    <w:rsid w:val="003F0298"/>
    <w:rsid w:val="00404C6C"/>
    <w:rsid w:val="00410822"/>
    <w:rsid w:val="00412E0D"/>
    <w:rsid w:val="0041517E"/>
    <w:rsid w:val="004416BC"/>
    <w:rsid w:val="0045140F"/>
    <w:rsid w:val="00475392"/>
    <w:rsid w:val="0048427E"/>
    <w:rsid w:val="004B0754"/>
    <w:rsid w:val="004C5350"/>
    <w:rsid w:val="004D0386"/>
    <w:rsid w:val="004D3FF5"/>
    <w:rsid w:val="004D7905"/>
    <w:rsid w:val="004D7A07"/>
    <w:rsid w:val="0050348B"/>
    <w:rsid w:val="005357AE"/>
    <w:rsid w:val="00540AF3"/>
    <w:rsid w:val="00552BE9"/>
    <w:rsid w:val="00564B36"/>
    <w:rsid w:val="005A64A9"/>
    <w:rsid w:val="005B7316"/>
    <w:rsid w:val="00616513"/>
    <w:rsid w:val="00616F86"/>
    <w:rsid w:val="00632A44"/>
    <w:rsid w:val="00642775"/>
    <w:rsid w:val="00652E45"/>
    <w:rsid w:val="0066738A"/>
    <w:rsid w:val="00685C6C"/>
    <w:rsid w:val="006C4B1E"/>
    <w:rsid w:val="006E0046"/>
    <w:rsid w:val="006E4799"/>
    <w:rsid w:val="006F0155"/>
    <w:rsid w:val="00721D7B"/>
    <w:rsid w:val="00731336"/>
    <w:rsid w:val="00744B07"/>
    <w:rsid w:val="007473BB"/>
    <w:rsid w:val="00756B6F"/>
    <w:rsid w:val="007736E9"/>
    <w:rsid w:val="00774CB6"/>
    <w:rsid w:val="0077668D"/>
    <w:rsid w:val="00790B62"/>
    <w:rsid w:val="007A5362"/>
    <w:rsid w:val="007B244F"/>
    <w:rsid w:val="00871B4F"/>
    <w:rsid w:val="0087417B"/>
    <w:rsid w:val="00876119"/>
    <w:rsid w:val="008B038C"/>
    <w:rsid w:val="008C3752"/>
    <w:rsid w:val="008D31E2"/>
    <w:rsid w:val="008D3A8D"/>
    <w:rsid w:val="008D3E42"/>
    <w:rsid w:val="008D6D56"/>
    <w:rsid w:val="008F1FD8"/>
    <w:rsid w:val="008F7AEB"/>
    <w:rsid w:val="009223F3"/>
    <w:rsid w:val="00925535"/>
    <w:rsid w:val="00951870"/>
    <w:rsid w:val="009B3F12"/>
    <w:rsid w:val="009C315B"/>
    <w:rsid w:val="009C56D1"/>
    <w:rsid w:val="009E0396"/>
    <w:rsid w:val="009E0C03"/>
    <w:rsid w:val="009E7BBC"/>
    <w:rsid w:val="009F5729"/>
    <w:rsid w:val="00A05049"/>
    <w:rsid w:val="00A45A36"/>
    <w:rsid w:val="00A479EF"/>
    <w:rsid w:val="00A871FE"/>
    <w:rsid w:val="00AB2A3F"/>
    <w:rsid w:val="00AB6EFE"/>
    <w:rsid w:val="00AD0E1C"/>
    <w:rsid w:val="00AD2C1A"/>
    <w:rsid w:val="00AD3B86"/>
    <w:rsid w:val="00B11876"/>
    <w:rsid w:val="00B1414A"/>
    <w:rsid w:val="00B230E7"/>
    <w:rsid w:val="00B4593A"/>
    <w:rsid w:val="00B515B4"/>
    <w:rsid w:val="00B621B4"/>
    <w:rsid w:val="00B821C0"/>
    <w:rsid w:val="00B83781"/>
    <w:rsid w:val="00B87107"/>
    <w:rsid w:val="00B97A3D"/>
    <w:rsid w:val="00BB0B81"/>
    <w:rsid w:val="00BB288D"/>
    <w:rsid w:val="00BB4C84"/>
    <w:rsid w:val="00BB4F9F"/>
    <w:rsid w:val="00BD4F40"/>
    <w:rsid w:val="00BE70E9"/>
    <w:rsid w:val="00BE739C"/>
    <w:rsid w:val="00BF3604"/>
    <w:rsid w:val="00C15EDA"/>
    <w:rsid w:val="00C3197B"/>
    <w:rsid w:val="00C61804"/>
    <w:rsid w:val="00C65829"/>
    <w:rsid w:val="00C7234C"/>
    <w:rsid w:val="00C74ADD"/>
    <w:rsid w:val="00C857C2"/>
    <w:rsid w:val="00C933E1"/>
    <w:rsid w:val="00CA0D35"/>
    <w:rsid w:val="00CD0A74"/>
    <w:rsid w:val="00CF4049"/>
    <w:rsid w:val="00D1427D"/>
    <w:rsid w:val="00D1517C"/>
    <w:rsid w:val="00D25968"/>
    <w:rsid w:val="00D52716"/>
    <w:rsid w:val="00D56974"/>
    <w:rsid w:val="00D8032A"/>
    <w:rsid w:val="00DA6F93"/>
    <w:rsid w:val="00DD791B"/>
    <w:rsid w:val="00DF1DF6"/>
    <w:rsid w:val="00DF2464"/>
    <w:rsid w:val="00E01570"/>
    <w:rsid w:val="00E05DF9"/>
    <w:rsid w:val="00E233DA"/>
    <w:rsid w:val="00E23EEE"/>
    <w:rsid w:val="00E32092"/>
    <w:rsid w:val="00E44693"/>
    <w:rsid w:val="00E804A6"/>
    <w:rsid w:val="00E8182C"/>
    <w:rsid w:val="00E97E4C"/>
    <w:rsid w:val="00EA517A"/>
    <w:rsid w:val="00EC2034"/>
    <w:rsid w:val="00EE22D3"/>
    <w:rsid w:val="00EE2585"/>
    <w:rsid w:val="00EE65F0"/>
    <w:rsid w:val="00EE6849"/>
    <w:rsid w:val="00F12AD1"/>
    <w:rsid w:val="00F163B6"/>
    <w:rsid w:val="00F20559"/>
    <w:rsid w:val="00F24B8C"/>
    <w:rsid w:val="00F51C94"/>
    <w:rsid w:val="00F542C1"/>
    <w:rsid w:val="00F6557C"/>
    <w:rsid w:val="00F766A1"/>
    <w:rsid w:val="00FA0BB8"/>
    <w:rsid w:val="00FA314B"/>
    <w:rsid w:val="00FB3140"/>
    <w:rsid w:val="00FE6F7F"/>
    <w:rsid w:val="00FF37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1TextCos"/>
    <w:qFormat/>
    <w:rsid w:val="001D37DC"/>
    <w:pPr>
      <w:spacing w:line="312" w:lineRule="auto"/>
    </w:pPr>
    <w:rPr>
      <w:rFonts w:ascii="Inter" w:hAnsi="Inter" w:cs="Times New Roman (Cuerpo en alfa"/>
      <w:noProof/>
      <w:spacing w:val="4"/>
      <w:sz w:val="19"/>
      <w:lang w:val="ca-ES"/>
    </w:rPr>
  </w:style>
  <w:style w:type="paragraph" w:styleId="Ttulo1">
    <w:name w:val="heading 1"/>
    <w:basedOn w:val="2TtolGran"/>
    <w:next w:val="2TtolGran"/>
    <w:link w:val="Ttulo1Car"/>
    <w:uiPriority w:val="9"/>
    <w:qFormat/>
    <w:rsid w:val="001D37DC"/>
    <w:pPr>
      <w:keepNext/>
      <w:keepLines/>
      <w:spacing w:before="240"/>
      <w:outlineLvl w:val="0"/>
    </w:pPr>
    <w:rPr>
      <w:rFonts w:eastAsiaTheme="majorEastAsia" w:cstheme="majorBidi"/>
      <w:b/>
      <w:color w:val="000000" w:themeColor="text1"/>
      <w:sz w:val="32"/>
      <w:szCs w:val="32"/>
    </w:rPr>
  </w:style>
  <w:style w:type="paragraph" w:styleId="Ttulo2">
    <w:name w:val="heading 2"/>
    <w:basedOn w:val="3TtolMig"/>
    <w:next w:val="3TtolMig"/>
    <w:link w:val="Ttulo2Car"/>
    <w:uiPriority w:val="9"/>
    <w:semiHidden/>
    <w:unhideWhenUsed/>
    <w:qFormat/>
    <w:rsid w:val="001D37DC"/>
    <w:pPr>
      <w:keepNext/>
      <w:keepLines/>
      <w:spacing w:before="40"/>
      <w:outlineLvl w:val="1"/>
    </w:pPr>
    <w:rPr>
      <w:rFonts w:eastAsiaTheme="majorEastAsia" w:cstheme="majorBidi"/>
      <w:b/>
      <w:sz w:val="26"/>
      <w:szCs w:val="26"/>
    </w:rPr>
  </w:style>
  <w:style w:type="paragraph" w:styleId="Ttulo3">
    <w:name w:val="heading 3"/>
    <w:basedOn w:val="Normal"/>
    <w:next w:val="Normal"/>
    <w:link w:val="Ttulo3Car"/>
    <w:uiPriority w:val="9"/>
    <w:semiHidden/>
    <w:unhideWhenUsed/>
    <w:qFormat/>
    <w:rsid w:val="001C50E1"/>
    <w:pPr>
      <w:keepNext/>
      <w:keepLines/>
      <w:spacing w:before="20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TextCos">
    <w:name w:val="1 — Text Cos"/>
    <w:basedOn w:val="Normal"/>
    <w:qFormat/>
    <w:rsid w:val="001D37DC"/>
    <w:pPr>
      <w:jc w:val="both"/>
    </w:pPr>
    <w:rPr>
      <w:szCs w:val="19"/>
    </w:rPr>
  </w:style>
  <w:style w:type="paragraph" w:customStyle="1" w:styleId="3TtolMig">
    <w:name w:val="3 — Títol / Mig"/>
    <w:basedOn w:val="Normal"/>
    <w:qFormat/>
    <w:rsid w:val="006E0046"/>
    <w:pPr>
      <w:spacing w:after="120" w:line="288" w:lineRule="auto"/>
    </w:pPr>
    <w:rPr>
      <w:rFonts w:ascii="Inter Medium" w:hAnsi="Inter Medium"/>
      <w:bCs/>
      <w:color w:val="000000" w:themeColor="text1"/>
      <w:sz w:val="24"/>
      <w:szCs w:val="21"/>
    </w:rPr>
  </w:style>
  <w:style w:type="paragraph" w:customStyle="1" w:styleId="6TtolPortada">
    <w:name w:val="6 — Títol / Portada"/>
    <w:basedOn w:val="2TtolGran"/>
    <w:qFormat/>
    <w:rsid w:val="00AD3B86"/>
    <w:pPr>
      <w:spacing w:after="0" w:line="264" w:lineRule="auto"/>
    </w:pPr>
    <w:rPr>
      <w:caps/>
      <w:sz w:val="48"/>
    </w:rPr>
  </w:style>
  <w:style w:type="paragraph" w:customStyle="1" w:styleId="7ndex">
    <w:name w:val="7 — Índex"/>
    <w:basedOn w:val="2TtolGran"/>
    <w:qFormat/>
    <w:rsid w:val="006E0046"/>
    <w:rPr>
      <w:rFonts w:ascii="Trispace Light" w:hAnsi="Trispace Light"/>
      <w:color w:val="000000" w:themeColor="text1"/>
      <w:sz w:val="96"/>
      <w:szCs w:val="72"/>
    </w:rPr>
  </w:style>
  <w:style w:type="paragraph" w:styleId="TDC1">
    <w:name w:val="toc 1"/>
    <w:basedOn w:val="1TextCos"/>
    <w:next w:val="1TextCos"/>
    <w:autoRedefine/>
    <w:uiPriority w:val="39"/>
    <w:unhideWhenUsed/>
    <w:rsid w:val="00104CC1"/>
    <w:pPr>
      <w:spacing w:after="100"/>
      <w:jc w:val="left"/>
    </w:pPr>
  </w:style>
  <w:style w:type="paragraph" w:styleId="TDC2">
    <w:name w:val="toc 2"/>
    <w:basedOn w:val="1TextCos"/>
    <w:next w:val="1TextCos"/>
    <w:autoRedefine/>
    <w:uiPriority w:val="39"/>
    <w:unhideWhenUsed/>
    <w:rsid w:val="00104CC1"/>
    <w:pPr>
      <w:spacing w:after="100"/>
      <w:ind w:left="240"/>
    </w:pPr>
  </w:style>
  <w:style w:type="paragraph" w:customStyle="1" w:styleId="8-Vinyetaabc">
    <w:name w:val="8-Vinyeta / abc"/>
    <w:basedOn w:val="1TextCos"/>
    <w:qFormat/>
    <w:rsid w:val="00A479EF"/>
    <w:pPr>
      <w:numPr>
        <w:numId w:val="6"/>
      </w:numPr>
      <w:spacing w:line="360" w:lineRule="auto"/>
      <w:ind w:left="284" w:hanging="284"/>
    </w:pPr>
  </w:style>
  <w:style w:type="paragraph" w:customStyle="1" w:styleId="8-VinyetaGui">
    <w:name w:val="8-Vinyeta / Guió"/>
    <w:basedOn w:val="1TextCos"/>
    <w:qFormat/>
    <w:rsid w:val="00A479EF"/>
    <w:pPr>
      <w:numPr>
        <w:numId w:val="5"/>
      </w:numPr>
      <w:spacing w:line="360" w:lineRule="auto"/>
      <w:ind w:left="284" w:hanging="284"/>
    </w:pPr>
  </w:style>
  <w:style w:type="paragraph" w:styleId="TDC3">
    <w:name w:val="toc 3"/>
    <w:basedOn w:val="1TextCos"/>
    <w:next w:val="1TextCos"/>
    <w:autoRedefine/>
    <w:uiPriority w:val="39"/>
    <w:unhideWhenUsed/>
    <w:rsid w:val="00104CC1"/>
    <w:pPr>
      <w:spacing w:after="100"/>
      <w:ind w:left="480"/>
    </w:pPr>
  </w:style>
  <w:style w:type="character" w:styleId="Hipervnculo">
    <w:name w:val="Hyperlink"/>
    <w:basedOn w:val="Fuentedeprrafopredeter"/>
    <w:uiPriority w:val="99"/>
    <w:unhideWhenUsed/>
    <w:rsid w:val="00552BE9"/>
    <w:rPr>
      <w:rFonts w:ascii="Inter" w:hAnsi="Inter"/>
      <w:b w:val="0"/>
      <w:i w:val="0"/>
      <w:color w:val="000BD6"/>
      <w:spacing w:val="4"/>
      <w:sz w:val="19"/>
      <w:u w:val="none"/>
    </w:rPr>
  </w:style>
  <w:style w:type="character" w:customStyle="1" w:styleId="UnresolvedMention">
    <w:name w:val="Unresolved Mention"/>
    <w:basedOn w:val="Fuentedeprrafopredeter"/>
    <w:uiPriority w:val="99"/>
    <w:semiHidden/>
    <w:unhideWhenUsed/>
    <w:rsid w:val="00257292"/>
    <w:rPr>
      <w:color w:val="605E5C"/>
      <w:shd w:val="clear" w:color="auto" w:fill="E1DFDD"/>
    </w:rPr>
  </w:style>
  <w:style w:type="character" w:styleId="Hipervnculovisitado">
    <w:name w:val="FollowedHyperlink"/>
    <w:basedOn w:val="Fuentedeprrafopredeter"/>
    <w:uiPriority w:val="99"/>
    <w:semiHidden/>
    <w:unhideWhenUsed/>
    <w:rsid w:val="00FA314B"/>
    <w:rPr>
      <w:color w:val="954F72" w:themeColor="followedHyperlink"/>
      <w:u w:val="single"/>
    </w:rPr>
  </w:style>
  <w:style w:type="character" w:styleId="Nmerodepgina">
    <w:name w:val="page number"/>
    <w:basedOn w:val="Fuentedeprrafopredeter"/>
    <w:uiPriority w:val="99"/>
    <w:semiHidden/>
    <w:unhideWhenUsed/>
    <w:rsid w:val="00FA314B"/>
  </w:style>
  <w:style w:type="paragraph" w:customStyle="1" w:styleId="2TtolGran">
    <w:name w:val="2 — Títol / Gran"/>
    <w:basedOn w:val="3TtolMig"/>
    <w:qFormat/>
    <w:rsid w:val="00F20559"/>
    <w:pPr>
      <w:spacing w:after="360" w:line="216" w:lineRule="auto"/>
    </w:pPr>
    <w:rPr>
      <w:rFonts w:ascii="Trispace" w:hAnsi="Trispace"/>
      <w:color w:val="000BD6"/>
      <w:spacing w:val="0"/>
      <w:sz w:val="44"/>
      <w:szCs w:val="44"/>
    </w:rPr>
  </w:style>
  <w:style w:type="paragraph" w:customStyle="1" w:styleId="4TtolPetit">
    <w:name w:val="4 — Títol / Petit"/>
    <w:basedOn w:val="3TtolMig"/>
    <w:qFormat/>
    <w:rsid w:val="00021B31"/>
    <w:pPr>
      <w:spacing w:line="312" w:lineRule="auto"/>
    </w:pPr>
    <w:rPr>
      <w:rFonts w:ascii="Inter SemiBold" w:hAnsi="Inter SemiBold"/>
      <w:b/>
      <w:spacing w:val="8"/>
      <w:sz w:val="19"/>
    </w:rPr>
  </w:style>
  <w:style w:type="paragraph" w:customStyle="1" w:styleId="5TextCita">
    <w:name w:val="5 — Text / Cita"/>
    <w:basedOn w:val="Normal"/>
    <w:qFormat/>
    <w:rsid w:val="00D1427D"/>
    <w:pPr>
      <w:ind w:left="284" w:right="278"/>
      <w:jc w:val="both"/>
    </w:pPr>
    <w:rPr>
      <w:rFonts w:ascii="Inter Italic" w:hAnsi="Inter Italic"/>
      <w:iCs/>
      <w:sz w:val="18"/>
      <w:szCs w:val="18"/>
    </w:rPr>
  </w:style>
  <w:style w:type="paragraph" w:styleId="TDC4">
    <w:name w:val="toc 4"/>
    <w:basedOn w:val="1TextCos"/>
    <w:next w:val="1TextCos"/>
    <w:autoRedefine/>
    <w:uiPriority w:val="39"/>
    <w:semiHidden/>
    <w:unhideWhenUsed/>
    <w:rsid w:val="00026351"/>
    <w:pPr>
      <w:spacing w:after="100"/>
      <w:ind w:left="720"/>
    </w:pPr>
  </w:style>
  <w:style w:type="paragraph" w:styleId="TDC5">
    <w:name w:val="toc 5"/>
    <w:basedOn w:val="1TextCos"/>
    <w:next w:val="1TextCos"/>
    <w:autoRedefine/>
    <w:uiPriority w:val="39"/>
    <w:semiHidden/>
    <w:unhideWhenUsed/>
    <w:rsid w:val="00026351"/>
    <w:pPr>
      <w:spacing w:after="100"/>
      <w:ind w:left="960"/>
    </w:pPr>
  </w:style>
  <w:style w:type="paragraph" w:styleId="TDC6">
    <w:name w:val="toc 6"/>
    <w:basedOn w:val="1TextCos"/>
    <w:next w:val="Normal"/>
    <w:autoRedefine/>
    <w:uiPriority w:val="39"/>
    <w:semiHidden/>
    <w:unhideWhenUsed/>
    <w:rsid w:val="00026351"/>
    <w:pPr>
      <w:spacing w:after="100"/>
      <w:ind w:left="1200"/>
    </w:pPr>
  </w:style>
  <w:style w:type="paragraph" w:styleId="TDC7">
    <w:name w:val="toc 7"/>
    <w:basedOn w:val="1TextCos"/>
    <w:next w:val="1TextCos"/>
    <w:autoRedefine/>
    <w:uiPriority w:val="39"/>
    <w:semiHidden/>
    <w:unhideWhenUsed/>
    <w:rsid w:val="00026351"/>
    <w:pPr>
      <w:spacing w:after="100"/>
      <w:ind w:left="1440"/>
    </w:pPr>
  </w:style>
  <w:style w:type="paragraph" w:styleId="TDC8">
    <w:name w:val="toc 8"/>
    <w:basedOn w:val="1TextCos"/>
    <w:next w:val="1TextCos"/>
    <w:autoRedefine/>
    <w:uiPriority w:val="39"/>
    <w:semiHidden/>
    <w:unhideWhenUsed/>
    <w:rsid w:val="00026351"/>
    <w:pPr>
      <w:spacing w:after="100"/>
      <w:ind w:left="1678"/>
      <w:jc w:val="left"/>
    </w:pPr>
  </w:style>
  <w:style w:type="paragraph" w:styleId="TDC9">
    <w:name w:val="toc 9"/>
    <w:basedOn w:val="1TextCos"/>
    <w:next w:val="1TextCos"/>
    <w:autoRedefine/>
    <w:uiPriority w:val="39"/>
    <w:semiHidden/>
    <w:unhideWhenUsed/>
    <w:rsid w:val="00026351"/>
    <w:pPr>
      <w:spacing w:after="100"/>
      <w:ind w:left="1920"/>
    </w:pPr>
  </w:style>
  <w:style w:type="paragraph" w:styleId="Textonotapie">
    <w:name w:val="footnote text"/>
    <w:basedOn w:val="Normal"/>
    <w:link w:val="TextonotapieCar"/>
    <w:uiPriority w:val="99"/>
    <w:semiHidden/>
    <w:unhideWhenUsed/>
    <w:rsid w:val="00065F5F"/>
    <w:rPr>
      <w:sz w:val="20"/>
      <w:szCs w:val="20"/>
    </w:rPr>
  </w:style>
  <w:style w:type="character" w:customStyle="1" w:styleId="TextonotapieCar">
    <w:name w:val="Texto nota pie Car"/>
    <w:basedOn w:val="Fuentedeprrafopredeter"/>
    <w:link w:val="Textonotapie"/>
    <w:uiPriority w:val="99"/>
    <w:semiHidden/>
    <w:rsid w:val="00065F5F"/>
    <w:rPr>
      <w:noProof/>
      <w:sz w:val="20"/>
      <w:szCs w:val="20"/>
      <w:lang w:val="ca-ES"/>
    </w:rPr>
  </w:style>
  <w:style w:type="character" w:styleId="Refdenotaalpie">
    <w:name w:val="footnote reference"/>
    <w:basedOn w:val="Fuentedeprrafopredeter"/>
    <w:uiPriority w:val="99"/>
    <w:semiHidden/>
    <w:unhideWhenUsed/>
    <w:rsid w:val="00065F5F"/>
    <w:rPr>
      <w:vertAlign w:val="superscript"/>
    </w:rPr>
  </w:style>
  <w:style w:type="paragraph" w:customStyle="1" w:styleId="9TextNotaalpeu">
    <w:name w:val="9 — Text / Nota al peu"/>
    <w:basedOn w:val="1TextCos"/>
    <w:qFormat/>
    <w:rsid w:val="002B1BAD"/>
    <w:pPr>
      <w:spacing w:after="120" w:line="264" w:lineRule="auto"/>
    </w:pPr>
    <w:rPr>
      <w:color w:val="000000" w:themeColor="text1"/>
      <w:spacing w:val="6"/>
      <w:sz w:val="15"/>
      <w:szCs w:val="16"/>
    </w:rPr>
  </w:style>
  <w:style w:type="character" w:customStyle="1" w:styleId="Ttulo1Car">
    <w:name w:val="Título 1 Car"/>
    <w:basedOn w:val="Fuentedeprrafopredeter"/>
    <w:link w:val="Ttulo1"/>
    <w:uiPriority w:val="9"/>
    <w:rsid w:val="00BB4F9F"/>
    <w:rPr>
      <w:rFonts w:ascii="Trispace" w:eastAsiaTheme="majorEastAsia" w:hAnsi="Trispace" w:cstheme="majorBidi"/>
      <w:b/>
      <w:bCs/>
      <w:noProof/>
      <w:color w:val="000000" w:themeColor="text1"/>
      <w:sz w:val="32"/>
      <w:szCs w:val="32"/>
      <w:lang w:val="ca-ES"/>
    </w:rPr>
  </w:style>
  <w:style w:type="character" w:customStyle="1" w:styleId="Ttulo2Car">
    <w:name w:val="Título 2 Car"/>
    <w:basedOn w:val="Fuentedeprrafopredeter"/>
    <w:link w:val="Ttulo2"/>
    <w:uiPriority w:val="9"/>
    <w:semiHidden/>
    <w:rsid w:val="00BB4F9F"/>
    <w:rPr>
      <w:rFonts w:ascii="Inter Medium" w:eastAsiaTheme="majorEastAsia" w:hAnsi="Inter Medium" w:cstheme="majorBidi"/>
      <w:b/>
      <w:bCs/>
      <w:noProof/>
      <w:color w:val="000000" w:themeColor="text1"/>
      <w:spacing w:val="4"/>
      <w:sz w:val="26"/>
      <w:szCs w:val="26"/>
      <w:lang w:val="ca-ES"/>
    </w:rPr>
  </w:style>
  <w:style w:type="paragraph" w:styleId="Encabezado">
    <w:name w:val="header"/>
    <w:basedOn w:val="Normal"/>
    <w:link w:val="EncabezadoCar"/>
    <w:uiPriority w:val="99"/>
    <w:unhideWhenUsed/>
    <w:rsid w:val="0066738A"/>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66738A"/>
    <w:rPr>
      <w:rFonts w:ascii="Inter" w:hAnsi="Inter" w:cs="Times New Roman (Cuerpo en alfa"/>
      <w:noProof/>
      <w:spacing w:val="4"/>
      <w:sz w:val="19"/>
      <w:lang w:val="ca-ES"/>
    </w:rPr>
  </w:style>
  <w:style w:type="paragraph" w:styleId="Piedepgina">
    <w:name w:val="footer"/>
    <w:basedOn w:val="Normal"/>
    <w:link w:val="PiedepginaCar"/>
    <w:uiPriority w:val="99"/>
    <w:unhideWhenUsed/>
    <w:rsid w:val="0066738A"/>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66738A"/>
    <w:rPr>
      <w:rFonts w:ascii="Inter" w:hAnsi="Inter" w:cs="Times New Roman (Cuerpo en alfa"/>
      <w:noProof/>
      <w:spacing w:val="4"/>
      <w:sz w:val="19"/>
      <w:lang w:val="ca-ES"/>
    </w:rPr>
  </w:style>
  <w:style w:type="paragraph" w:styleId="Prrafodelista">
    <w:name w:val="List Paragraph"/>
    <w:basedOn w:val="Normal"/>
    <w:uiPriority w:val="34"/>
    <w:qFormat/>
    <w:rsid w:val="009223F3"/>
    <w:pPr>
      <w:ind w:left="720"/>
      <w:contextualSpacing/>
    </w:pPr>
  </w:style>
  <w:style w:type="character" w:customStyle="1" w:styleId="Ttulo3Car">
    <w:name w:val="Título 3 Car"/>
    <w:basedOn w:val="Fuentedeprrafopredeter"/>
    <w:link w:val="Ttulo3"/>
    <w:uiPriority w:val="9"/>
    <w:semiHidden/>
    <w:rsid w:val="001C50E1"/>
    <w:rPr>
      <w:rFonts w:asciiTheme="majorHAnsi" w:eastAsiaTheme="majorEastAsia" w:hAnsiTheme="majorHAnsi" w:cstheme="majorBidi"/>
      <w:b/>
      <w:bCs/>
      <w:noProof/>
      <w:color w:val="4472C4" w:themeColor="accent1"/>
      <w:spacing w:val="4"/>
      <w:sz w:val="19"/>
      <w:lang w:val="ca-ES"/>
    </w:rPr>
  </w:style>
  <w:style w:type="character" w:styleId="Textoennegrita">
    <w:name w:val="Strong"/>
    <w:basedOn w:val="Fuentedeprrafopredeter"/>
    <w:uiPriority w:val="22"/>
    <w:qFormat/>
    <w:rsid w:val="001C50E1"/>
    <w:rPr>
      <w:b/>
      <w:bCs/>
    </w:rPr>
  </w:style>
  <w:style w:type="character" w:styleId="nfasis">
    <w:name w:val="Emphasis"/>
    <w:basedOn w:val="Fuentedeprrafopredeter"/>
    <w:uiPriority w:val="20"/>
    <w:qFormat/>
    <w:rsid w:val="00925535"/>
    <w:rPr>
      <w:i/>
      <w:iCs/>
    </w:rPr>
  </w:style>
  <w:style w:type="paragraph" w:styleId="NormalWeb">
    <w:name w:val="Normal (Web)"/>
    <w:basedOn w:val="Normal"/>
    <w:uiPriority w:val="99"/>
    <w:semiHidden/>
    <w:unhideWhenUsed/>
    <w:rsid w:val="00925535"/>
    <w:pPr>
      <w:spacing w:before="100" w:beforeAutospacing="1" w:after="100" w:afterAutospacing="1" w:line="240" w:lineRule="auto"/>
    </w:pPr>
    <w:rPr>
      <w:rFonts w:ascii="Times New Roman" w:eastAsia="Times New Roman" w:hAnsi="Times New Roman" w:cs="Times New Roman"/>
      <w:noProof w:val="0"/>
      <w:spacing w:val="0"/>
      <w:sz w:val="24"/>
      <w:lang w:val="es-CO" w:eastAsia="es-ES_tradnl"/>
    </w:rPr>
  </w:style>
  <w:style w:type="paragraph" w:customStyle="1" w:styleId="SingleTxtG">
    <w:name w:val="_ Single Txt_G"/>
    <w:basedOn w:val="Normal"/>
    <w:qFormat/>
    <w:rsid w:val="00410822"/>
    <w:pPr>
      <w:spacing w:after="120" w:line="240" w:lineRule="atLeast"/>
      <w:ind w:left="1134" w:right="1134"/>
      <w:jc w:val="both"/>
    </w:pPr>
    <w:rPr>
      <w:rFonts w:ascii="Times New Roman" w:eastAsia="Times New Roman" w:hAnsi="Times New Roman" w:cs="Times New Roman"/>
      <w:noProof w:val="0"/>
      <w:spacing w:val="0"/>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1TextCos"/>
    <w:qFormat/>
    <w:rsid w:val="001D37DC"/>
    <w:pPr>
      <w:spacing w:line="312" w:lineRule="auto"/>
    </w:pPr>
    <w:rPr>
      <w:rFonts w:ascii="Inter" w:hAnsi="Inter" w:cs="Times New Roman (Cuerpo en alfa"/>
      <w:noProof/>
      <w:spacing w:val="4"/>
      <w:sz w:val="19"/>
      <w:lang w:val="ca-ES"/>
    </w:rPr>
  </w:style>
  <w:style w:type="paragraph" w:styleId="Ttulo1">
    <w:name w:val="heading 1"/>
    <w:basedOn w:val="2TtolGran"/>
    <w:next w:val="2TtolGran"/>
    <w:link w:val="Ttulo1Car"/>
    <w:uiPriority w:val="9"/>
    <w:qFormat/>
    <w:rsid w:val="001D37DC"/>
    <w:pPr>
      <w:keepNext/>
      <w:keepLines/>
      <w:spacing w:before="240"/>
      <w:outlineLvl w:val="0"/>
    </w:pPr>
    <w:rPr>
      <w:rFonts w:eastAsiaTheme="majorEastAsia" w:cstheme="majorBidi"/>
      <w:b/>
      <w:color w:val="000000" w:themeColor="text1"/>
      <w:sz w:val="32"/>
      <w:szCs w:val="32"/>
    </w:rPr>
  </w:style>
  <w:style w:type="paragraph" w:styleId="Ttulo2">
    <w:name w:val="heading 2"/>
    <w:basedOn w:val="3TtolMig"/>
    <w:next w:val="3TtolMig"/>
    <w:link w:val="Ttulo2Car"/>
    <w:uiPriority w:val="9"/>
    <w:semiHidden/>
    <w:unhideWhenUsed/>
    <w:qFormat/>
    <w:rsid w:val="001D37DC"/>
    <w:pPr>
      <w:keepNext/>
      <w:keepLines/>
      <w:spacing w:before="40"/>
      <w:outlineLvl w:val="1"/>
    </w:pPr>
    <w:rPr>
      <w:rFonts w:eastAsiaTheme="majorEastAsia" w:cstheme="majorBidi"/>
      <w:b/>
      <w:sz w:val="26"/>
      <w:szCs w:val="26"/>
    </w:rPr>
  </w:style>
  <w:style w:type="paragraph" w:styleId="Ttulo3">
    <w:name w:val="heading 3"/>
    <w:basedOn w:val="Normal"/>
    <w:next w:val="Normal"/>
    <w:link w:val="Ttulo3Car"/>
    <w:uiPriority w:val="9"/>
    <w:semiHidden/>
    <w:unhideWhenUsed/>
    <w:qFormat/>
    <w:rsid w:val="001C50E1"/>
    <w:pPr>
      <w:keepNext/>
      <w:keepLines/>
      <w:spacing w:before="20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TextCos">
    <w:name w:val="1 — Text Cos"/>
    <w:basedOn w:val="Normal"/>
    <w:qFormat/>
    <w:rsid w:val="001D37DC"/>
    <w:pPr>
      <w:jc w:val="both"/>
    </w:pPr>
    <w:rPr>
      <w:szCs w:val="19"/>
    </w:rPr>
  </w:style>
  <w:style w:type="paragraph" w:customStyle="1" w:styleId="3TtolMig">
    <w:name w:val="3 — Títol / Mig"/>
    <w:basedOn w:val="Normal"/>
    <w:qFormat/>
    <w:rsid w:val="006E0046"/>
    <w:pPr>
      <w:spacing w:after="120" w:line="288" w:lineRule="auto"/>
    </w:pPr>
    <w:rPr>
      <w:rFonts w:ascii="Inter Medium" w:hAnsi="Inter Medium"/>
      <w:bCs/>
      <w:color w:val="000000" w:themeColor="text1"/>
      <w:sz w:val="24"/>
      <w:szCs w:val="21"/>
    </w:rPr>
  </w:style>
  <w:style w:type="paragraph" w:customStyle="1" w:styleId="6TtolPortada">
    <w:name w:val="6 — Títol / Portada"/>
    <w:basedOn w:val="2TtolGran"/>
    <w:qFormat/>
    <w:rsid w:val="00AD3B86"/>
    <w:pPr>
      <w:spacing w:after="0" w:line="264" w:lineRule="auto"/>
    </w:pPr>
    <w:rPr>
      <w:caps/>
      <w:sz w:val="48"/>
    </w:rPr>
  </w:style>
  <w:style w:type="paragraph" w:customStyle="1" w:styleId="7ndex">
    <w:name w:val="7 — Índex"/>
    <w:basedOn w:val="2TtolGran"/>
    <w:qFormat/>
    <w:rsid w:val="006E0046"/>
    <w:rPr>
      <w:rFonts w:ascii="Trispace Light" w:hAnsi="Trispace Light"/>
      <w:color w:val="000000" w:themeColor="text1"/>
      <w:sz w:val="96"/>
      <w:szCs w:val="72"/>
    </w:rPr>
  </w:style>
  <w:style w:type="paragraph" w:styleId="TDC1">
    <w:name w:val="toc 1"/>
    <w:basedOn w:val="1TextCos"/>
    <w:next w:val="1TextCos"/>
    <w:autoRedefine/>
    <w:uiPriority w:val="39"/>
    <w:unhideWhenUsed/>
    <w:rsid w:val="00104CC1"/>
    <w:pPr>
      <w:spacing w:after="100"/>
      <w:jc w:val="left"/>
    </w:pPr>
  </w:style>
  <w:style w:type="paragraph" w:styleId="TDC2">
    <w:name w:val="toc 2"/>
    <w:basedOn w:val="1TextCos"/>
    <w:next w:val="1TextCos"/>
    <w:autoRedefine/>
    <w:uiPriority w:val="39"/>
    <w:unhideWhenUsed/>
    <w:rsid w:val="00104CC1"/>
    <w:pPr>
      <w:spacing w:after="100"/>
      <w:ind w:left="240"/>
    </w:pPr>
  </w:style>
  <w:style w:type="paragraph" w:customStyle="1" w:styleId="8-Vinyetaabc">
    <w:name w:val="8-Vinyeta / abc"/>
    <w:basedOn w:val="1TextCos"/>
    <w:qFormat/>
    <w:rsid w:val="00A479EF"/>
    <w:pPr>
      <w:numPr>
        <w:numId w:val="6"/>
      </w:numPr>
      <w:spacing w:line="360" w:lineRule="auto"/>
      <w:ind w:left="284" w:hanging="284"/>
    </w:pPr>
  </w:style>
  <w:style w:type="paragraph" w:customStyle="1" w:styleId="8-VinyetaGui">
    <w:name w:val="8-Vinyeta / Guió"/>
    <w:basedOn w:val="1TextCos"/>
    <w:qFormat/>
    <w:rsid w:val="00A479EF"/>
    <w:pPr>
      <w:numPr>
        <w:numId w:val="5"/>
      </w:numPr>
      <w:spacing w:line="360" w:lineRule="auto"/>
      <w:ind w:left="284" w:hanging="284"/>
    </w:pPr>
  </w:style>
  <w:style w:type="paragraph" w:styleId="TDC3">
    <w:name w:val="toc 3"/>
    <w:basedOn w:val="1TextCos"/>
    <w:next w:val="1TextCos"/>
    <w:autoRedefine/>
    <w:uiPriority w:val="39"/>
    <w:unhideWhenUsed/>
    <w:rsid w:val="00104CC1"/>
    <w:pPr>
      <w:spacing w:after="100"/>
      <w:ind w:left="480"/>
    </w:pPr>
  </w:style>
  <w:style w:type="character" w:styleId="Hipervnculo">
    <w:name w:val="Hyperlink"/>
    <w:basedOn w:val="Fuentedeprrafopredeter"/>
    <w:uiPriority w:val="99"/>
    <w:unhideWhenUsed/>
    <w:rsid w:val="00552BE9"/>
    <w:rPr>
      <w:rFonts w:ascii="Inter" w:hAnsi="Inter"/>
      <w:b w:val="0"/>
      <w:i w:val="0"/>
      <w:color w:val="000BD6"/>
      <w:spacing w:val="4"/>
      <w:sz w:val="19"/>
      <w:u w:val="none"/>
    </w:rPr>
  </w:style>
  <w:style w:type="character" w:customStyle="1" w:styleId="UnresolvedMention">
    <w:name w:val="Unresolved Mention"/>
    <w:basedOn w:val="Fuentedeprrafopredeter"/>
    <w:uiPriority w:val="99"/>
    <w:semiHidden/>
    <w:unhideWhenUsed/>
    <w:rsid w:val="00257292"/>
    <w:rPr>
      <w:color w:val="605E5C"/>
      <w:shd w:val="clear" w:color="auto" w:fill="E1DFDD"/>
    </w:rPr>
  </w:style>
  <w:style w:type="character" w:styleId="Hipervnculovisitado">
    <w:name w:val="FollowedHyperlink"/>
    <w:basedOn w:val="Fuentedeprrafopredeter"/>
    <w:uiPriority w:val="99"/>
    <w:semiHidden/>
    <w:unhideWhenUsed/>
    <w:rsid w:val="00FA314B"/>
    <w:rPr>
      <w:color w:val="954F72" w:themeColor="followedHyperlink"/>
      <w:u w:val="single"/>
    </w:rPr>
  </w:style>
  <w:style w:type="character" w:styleId="Nmerodepgina">
    <w:name w:val="page number"/>
    <w:basedOn w:val="Fuentedeprrafopredeter"/>
    <w:uiPriority w:val="99"/>
    <w:semiHidden/>
    <w:unhideWhenUsed/>
    <w:rsid w:val="00FA314B"/>
  </w:style>
  <w:style w:type="paragraph" w:customStyle="1" w:styleId="2TtolGran">
    <w:name w:val="2 — Títol / Gran"/>
    <w:basedOn w:val="3TtolMig"/>
    <w:qFormat/>
    <w:rsid w:val="00F20559"/>
    <w:pPr>
      <w:spacing w:after="360" w:line="216" w:lineRule="auto"/>
    </w:pPr>
    <w:rPr>
      <w:rFonts w:ascii="Trispace" w:hAnsi="Trispace"/>
      <w:color w:val="000BD6"/>
      <w:spacing w:val="0"/>
      <w:sz w:val="44"/>
      <w:szCs w:val="44"/>
    </w:rPr>
  </w:style>
  <w:style w:type="paragraph" w:customStyle="1" w:styleId="4TtolPetit">
    <w:name w:val="4 — Títol / Petit"/>
    <w:basedOn w:val="3TtolMig"/>
    <w:qFormat/>
    <w:rsid w:val="00021B31"/>
    <w:pPr>
      <w:spacing w:line="312" w:lineRule="auto"/>
    </w:pPr>
    <w:rPr>
      <w:rFonts w:ascii="Inter SemiBold" w:hAnsi="Inter SemiBold"/>
      <w:b/>
      <w:spacing w:val="8"/>
      <w:sz w:val="19"/>
    </w:rPr>
  </w:style>
  <w:style w:type="paragraph" w:customStyle="1" w:styleId="5TextCita">
    <w:name w:val="5 — Text / Cita"/>
    <w:basedOn w:val="Normal"/>
    <w:qFormat/>
    <w:rsid w:val="00D1427D"/>
    <w:pPr>
      <w:ind w:left="284" w:right="278"/>
      <w:jc w:val="both"/>
    </w:pPr>
    <w:rPr>
      <w:rFonts w:ascii="Inter Italic" w:hAnsi="Inter Italic"/>
      <w:iCs/>
      <w:sz w:val="18"/>
      <w:szCs w:val="18"/>
    </w:rPr>
  </w:style>
  <w:style w:type="paragraph" w:styleId="TDC4">
    <w:name w:val="toc 4"/>
    <w:basedOn w:val="1TextCos"/>
    <w:next w:val="1TextCos"/>
    <w:autoRedefine/>
    <w:uiPriority w:val="39"/>
    <w:semiHidden/>
    <w:unhideWhenUsed/>
    <w:rsid w:val="00026351"/>
    <w:pPr>
      <w:spacing w:after="100"/>
      <w:ind w:left="720"/>
    </w:pPr>
  </w:style>
  <w:style w:type="paragraph" w:styleId="TDC5">
    <w:name w:val="toc 5"/>
    <w:basedOn w:val="1TextCos"/>
    <w:next w:val="1TextCos"/>
    <w:autoRedefine/>
    <w:uiPriority w:val="39"/>
    <w:semiHidden/>
    <w:unhideWhenUsed/>
    <w:rsid w:val="00026351"/>
    <w:pPr>
      <w:spacing w:after="100"/>
      <w:ind w:left="960"/>
    </w:pPr>
  </w:style>
  <w:style w:type="paragraph" w:styleId="TDC6">
    <w:name w:val="toc 6"/>
    <w:basedOn w:val="1TextCos"/>
    <w:next w:val="Normal"/>
    <w:autoRedefine/>
    <w:uiPriority w:val="39"/>
    <w:semiHidden/>
    <w:unhideWhenUsed/>
    <w:rsid w:val="00026351"/>
    <w:pPr>
      <w:spacing w:after="100"/>
      <w:ind w:left="1200"/>
    </w:pPr>
  </w:style>
  <w:style w:type="paragraph" w:styleId="TDC7">
    <w:name w:val="toc 7"/>
    <w:basedOn w:val="1TextCos"/>
    <w:next w:val="1TextCos"/>
    <w:autoRedefine/>
    <w:uiPriority w:val="39"/>
    <w:semiHidden/>
    <w:unhideWhenUsed/>
    <w:rsid w:val="00026351"/>
    <w:pPr>
      <w:spacing w:after="100"/>
      <w:ind w:left="1440"/>
    </w:pPr>
  </w:style>
  <w:style w:type="paragraph" w:styleId="TDC8">
    <w:name w:val="toc 8"/>
    <w:basedOn w:val="1TextCos"/>
    <w:next w:val="1TextCos"/>
    <w:autoRedefine/>
    <w:uiPriority w:val="39"/>
    <w:semiHidden/>
    <w:unhideWhenUsed/>
    <w:rsid w:val="00026351"/>
    <w:pPr>
      <w:spacing w:after="100"/>
      <w:ind w:left="1678"/>
      <w:jc w:val="left"/>
    </w:pPr>
  </w:style>
  <w:style w:type="paragraph" w:styleId="TDC9">
    <w:name w:val="toc 9"/>
    <w:basedOn w:val="1TextCos"/>
    <w:next w:val="1TextCos"/>
    <w:autoRedefine/>
    <w:uiPriority w:val="39"/>
    <w:semiHidden/>
    <w:unhideWhenUsed/>
    <w:rsid w:val="00026351"/>
    <w:pPr>
      <w:spacing w:after="100"/>
      <w:ind w:left="1920"/>
    </w:pPr>
  </w:style>
  <w:style w:type="paragraph" w:styleId="Textonotapie">
    <w:name w:val="footnote text"/>
    <w:basedOn w:val="Normal"/>
    <w:link w:val="TextonotapieCar"/>
    <w:uiPriority w:val="99"/>
    <w:semiHidden/>
    <w:unhideWhenUsed/>
    <w:rsid w:val="00065F5F"/>
    <w:rPr>
      <w:sz w:val="20"/>
      <w:szCs w:val="20"/>
    </w:rPr>
  </w:style>
  <w:style w:type="character" w:customStyle="1" w:styleId="TextonotapieCar">
    <w:name w:val="Texto nota pie Car"/>
    <w:basedOn w:val="Fuentedeprrafopredeter"/>
    <w:link w:val="Textonotapie"/>
    <w:uiPriority w:val="99"/>
    <w:semiHidden/>
    <w:rsid w:val="00065F5F"/>
    <w:rPr>
      <w:noProof/>
      <w:sz w:val="20"/>
      <w:szCs w:val="20"/>
      <w:lang w:val="ca-ES"/>
    </w:rPr>
  </w:style>
  <w:style w:type="character" w:styleId="Refdenotaalpie">
    <w:name w:val="footnote reference"/>
    <w:basedOn w:val="Fuentedeprrafopredeter"/>
    <w:uiPriority w:val="99"/>
    <w:semiHidden/>
    <w:unhideWhenUsed/>
    <w:rsid w:val="00065F5F"/>
    <w:rPr>
      <w:vertAlign w:val="superscript"/>
    </w:rPr>
  </w:style>
  <w:style w:type="paragraph" w:customStyle="1" w:styleId="9TextNotaalpeu">
    <w:name w:val="9 — Text / Nota al peu"/>
    <w:basedOn w:val="1TextCos"/>
    <w:qFormat/>
    <w:rsid w:val="002B1BAD"/>
    <w:pPr>
      <w:spacing w:after="120" w:line="264" w:lineRule="auto"/>
    </w:pPr>
    <w:rPr>
      <w:color w:val="000000" w:themeColor="text1"/>
      <w:spacing w:val="6"/>
      <w:sz w:val="15"/>
      <w:szCs w:val="16"/>
    </w:rPr>
  </w:style>
  <w:style w:type="character" w:customStyle="1" w:styleId="Ttulo1Car">
    <w:name w:val="Título 1 Car"/>
    <w:basedOn w:val="Fuentedeprrafopredeter"/>
    <w:link w:val="Ttulo1"/>
    <w:uiPriority w:val="9"/>
    <w:rsid w:val="00BB4F9F"/>
    <w:rPr>
      <w:rFonts w:ascii="Trispace" w:eastAsiaTheme="majorEastAsia" w:hAnsi="Trispace" w:cstheme="majorBidi"/>
      <w:b/>
      <w:bCs/>
      <w:noProof/>
      <w:color w:val="000000" w:themeColor="text1"/>
      <w:sz w:val="32"/>
      <w:szCs w:val="32"/>
      <w:lang w:val="ca-ES"/>
    </w:rPr>
  </w:style>
  <w:style w:type="character" w:customStyle="1" w:styleId="Ttulo2Car">
    <w:name w:val="Título 2 Car"/>
    <w:basedOn w:val="Fuentedeprrafopredeter"/>
    <w:link w:val="Ttulo2"/>
    <w:uiPriority w:val="9"/>
    <w:semiHidden/>
    <w:rsid w:val="00BB4F9F"/>
    <w:rPr>
      <w:rFonts w:ascii="Inter Medium" w:eastAsiaTheme="majorEastAsia" w:hAnsi="Inter Medium" w:cstheme="majorBidi"/>
      <w:b/>
      <w:bCs/>
      <w:noProof/>
      <w:color w:val="000000" w:themeColor="text1"/>
      <w:spacing w:val="4"/>
      <w:sz w:val="26"/>
      <w:szCs w:val="26"/>
      <w:lang w:val="ca-ES"/>
    </w:rPr>
  </w:style>
  <w:style w:type="paragraph" w:styleId="Encabezado">
    <w:name w:val="header"/>
    <w:basedOn w:val="Normal"/>
    <w:link w:val="EncabezadoCar"/>
    <w:uiPriority w:val="99"/>
    <w:unhideWhenUsed/>
    <w:rsid w:val="0066738A"/>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66738A"/>
    <w:rPr>
      <w:rFonts w:ascii="Inter" w:hAnsi="Inter" w:cs="Times New Roman (Cuerpo en alfa"/>
      <w:noProof/>
      <w:spacing w:val="4"/>
      <w:sz w:val="19"/>
      <w:lang w:val="ca-ES"/>
    </w:rPr>
  </w:style>
  <w:style w:type="paragraph" w:styleId="Piedepgina">
    <w:name w:val="footer"/>
    <w:basedOn w:val="Normal"/>
    <w:link w:val="PiedepginaCar"/>
    <w:uiPriority w:val="99"/>
    <w:unhideWhenUsed/>
    <w:rsid w:val="0066738A"/>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66738A"/>
    <w:rPr>
      <w:rFonts w:ascii="Inter" w:hAnsi="Inter" w:cs="Times New Roman (Cuerpo en alfa"/>
      <w:noProof/>
      <w:spacing w:val="4"/>
      <w:sz w:val="19"/>
      <w:lang w:val="ca-ES"/>
    </w:rPr>
  </w:style>
  <w:style w:type="paragraph" w:styleId="Prrafodelista">
    <w:name w:val="List Paragraph"/>
    <w:basedOn w:val="Normal"/>
    <w:uiPriority w:val="34"/>
    <w:qFormat/>
    <w:rsid w:val="009223F3"/>
    <w:pPr>
      <w:ind w:left="720"/>
      <w:contextualSpacing/>
    </w:pPr>
  </w:style>
  <w:style w:type="character" w:customStyle="1" w:styleId="Ttulo3Car">
    <w:name w:val="Título 3 Car"/>
    <w:basedOn w:val="Fuentedeprrafopredeter"/>
    <w:link w:val="Ttulo3"/>
    <w:uiPriority w:val="9"/>
    <w:semiHidden/>
    <w:rsid w:val="001C50E1"/>
    <w:rPr>
      <w:rFonts w:asciiTheme="majorHAnsi" w:eastAsiaTheme="majorEastAsia" w:hAnsiTheme="majorHAnsi" w:cstheme="majorBidi"/>
      <w:b/>
      <w:bCs/>
      <w:noProof/>
      <w:color w:val="4472C4" w:themeColor="accent1"/>
      <w:spacing w:val="4"/>
      <w:sz w:val="19"/>
      <w:lang w:val="ca-ES"/>
    </w:rPr>
  </w:style>
  <w:style w:type="character" w:styleId="Textoennegrita">
    <w:name w:val="Strong"/>
    <w:basedOn w:val="Fuentedeprrafopredeter"/>
    <w:uiPriority w:val="22"/>
    <w:qFormat/>
    <w:rsid w:val="001C50E1"/>
    <w:rPr>
      <w:b/>
      <w:bCs/>
    </w:rPr>
  </w:style>
  <w:style w:type="character" w:styleId="nfasis">
    <w:name w:val="Emphasis"/>
    <w:basedOn w:val="Fuentedeprrafopredeter"/>
    <w:uiPriority w:val="20"/>
    <w:qFormat/>
    <w:rsid w:val="00925535"/>
    <w:rPr>
      <w:i/>
      <w:iCs/>
    </w:rPr>
  </w:style>
  <w:style w:type="paragraph" w:styleId="NormalWeb">
    <w:name w:val="Normal (Web)"/>
    <w:basedOn w:val="Normal"/>
    <w:uiPriority w:val="99"/>
    <w:semiHidden/>
    <w:unhideWhenUsed/>
    <w:rsid w:val="00925535"/>
    <w:pPr>
      <w:spacing w:before="100" w:beforeAutospacing="1" w:after="100" w:afterAutospacing="1" w:line="240" w:lineRule="auto"/>
    </w:pPr>
    <w:rPr>
      <w:rFonts w:ascii="Times New Roman" w:eastAsia="Times New Roman" w:hAnsi="Times New Roman" w:cs="Times New Roman"/>
      <w:noProof w:val="0"/>
      <w:spacing w:val="0"/>
      <w:sz w:val="24"/>
      <w:lang w:val="es-CO" w:eastAsia="es-ES_tradnl"/>
    </w:rPr>
  </w:style>
  <w:style w:type="paragraph" w:customStyle="1" w:styleId="SingleTxtG">
    <w:name w:val="_ Single Txt_G"/>
    <w:basedOn w:val="Normal"/>
    <w:qFormat/>
    <w:rsid w:val="00410822"/>
    <w:pPr>
      <w:spacing w:after="120" w:line="240" w:lineRule="atLeast"/>
      <w:ind w:left="1134" w:right="1134"/>
      <w:jc w:val="both"/>
    </w:pPr>
    <w:rPr>
      <w:rFonts w:ascii="Times New Roman" w:eastAsia="Times New Roman" w:hAnsi="Times New Roman" w:cs="Times New Roman"/>
      <w:noProof w:val="0"/>
      <w:spacing w:val="0"/>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229648">
      <w:bodyDiv w:val="1"/>
      <w:marLeft w:val="0"/>
      <w:marRight w:val="0"/>
      <w:marTop w:val="0"/>
      <w:marBottom w:val="0"/>
      <w:divBdr>
        <w:top w:val="none" w:sz="0" w:space="0" w:color="auto"/>
        <w:left w:val="none" w:sz="0" w:space="0" w:color="auto"/>
        <w:bottom w:val="none" w:sz="0" w:space="0" w:color="auto"/>
        <w:right w:val="none" w:sz="0" w:space="0" w:color="auto"/>
      </w:divBdr>
    </w:div>
    <w:div w:id="208437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2.xml.rels><?xml version="1.0" encoding="UTF-8" standalone="yes"?>
<Relationships xmlns="http://schemas.openxmlformats.org/package/2006/relationships"><Relationship Id="rId2" Type="http://schemas.openxmlformats.org/officeDocument/2006/relationships/hyperlink" Target="https://www.idhc.org/" TargetMode="External"/><Relationship Id="rId1" Type="http://schemas.openxmlformats.org/officeDocument/2006/relationships/hyperlink" Target="https://www.idhc.org/"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www.fiscal.es/-/extranjeria" TargetMode="External"/><Relationship Id="rId2" Type="http://schemas.openxmlformats.org/officeDocument/2006/relationships/hyperlink" Target="https://www.fiscal.es/memorias/memoria2024/FISCALIA_SITE/index.html" TargetMode="External"/><Relationship Id="rId1" Type="http://schemas.openxmlformats.org/officeDocument/2006/relationships/hyperlink" Target="https://www.fiscal.es/-/extranjeria" TargetMode="External"/><Relationship Id="rId6" Type="http://schemas.openxmlformats.org/officeDocument/2006/relationships/hyperlink" Target="https://revistaidees.cat/en/intelligencia-artificial-i-drets-humans-es-necessiten-mutuament/" TargetMode="External"/><Relationship Id="rId5" Type="http://schemas.openxmlformats.org/officeDocument/2006/relationships/hyperlink" Target="https://www.fiscal.es/memorias/memoria2024/FISCALIA_SITE/index.html" TargetMode="External"/><Relationship Id="rId4" Type="http://schemas.openxmlformats.org/officeDocument/2006/relationships/hyperlink" Target="https://www.fiscal.es/memorias/memoria2024/FISCALIA_SITE/index.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2025-05-26T13:48:21Z</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57C24D9-8075-4BE3-A025-7E902B1F98FC}">
  <ds:schemaRefs>
    <ds:schemaRef ds:uri="http://schemas.openxmlformats.org/officeDocument/2006/bibliography"/>
  </ds:schemaRefs>
</ds:datastoreItem>
</file>

<file path=customXml/itemProps2.xml><?xml version="1.0" encoding="utf-8"?>
<ds:datastoreItem xmlns:ds="http://schemas.openxmlformats.org/officeDocument/2006/customXml" ds:itemID="{2FD23D34-056E-4123-A44E-968253C1B636}"/>
</file>

<file path=customXml/itemProps3.xml><?xml version="1.0" encoding="utf-8"?>
<ds:datastoreItem xmlns:ds="http://schemas.openxmlformats.org/officeDocument/2006/customXml" ds:itemID="{9712A170-C230-4DCA-9C71-7BEC0B09672C}"/>
</file>

<file path=customXml/itemProps4.xml><?xml version="1.0" encoding="utf-8"?>
<ds:datastoreItem xmlns:ds="http://schemas.openxmlformats.org/officeDocument/2006/customXml" ds:itemID="{D5E3BB1D-B8CB-4385-A08C-BAB023234E93}"/>
</file>

<file path=docProps/app.xml><?xml version="1.0" encoding="utf-8"?>
<Properties xmlns="http://schemas.openxmlformats.org/officeDocument/2006/extended-properties" xmlns:vt="http://schemas.openxmlformats.org/officeDocument/2006/docPropsVTypes">
  <Template>Normal</Template>
  <TotalTime>244</TotalTime>
  <Pages>27</Pages>
  <Words>6372</Words>
  <Characters>35050</Characters>
  <Application>Microsoft Office Word</Application>
  <DocSecurity>0</DocSecurity>
  <Lines>292</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Karlos</cp:lastModifiedBy>
  <cp:revision>52</cp:revision>
  <cp:lastPrinted>2023-11-03T14:06:00Z</cp:lastPrinted>
  <dcterms:created xsi:type="dcterms:W3CDTF">2025-05-24T15:24:00Z</dcterms:created>
  <dcterms:modified xsi:type="dcterms:W3CDTF">2025-05-26T10:53:00Z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