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9417E9" w14:textId="37B9305C" w:rsidR="00613419" w:rsidRDefault="00613419">
      <w:pPr>
        <w:spacing w:before="120"/>
        <w:jc w:val="center"/>
        <w:rPr>
          <w:b/>
          <w:bCs/>
          <w:sz w:val="24"/>
          <w:szCs w:val="24"/>
        </w:rPr>
      </w:pPr>
      <w:r>
        <w:rPr>
          <w:noProof/>
          <w:lang w:val="ru-RU" w:eastAsia="ru-RU"/>
        </w:rPr>
        <w:drawing>
          <wp:anchor distT="0" distB="0" distL="114300" distR="114300" simplePos="0" relativeHeight="251659264" behindDoc="0" locked="0" layoutInCell="1" allowOverlap="1" wp14:anchorId="568105FF" wp14:editId="563795DD">
            <wp:simplePos x="0" y="0"/>
            <wp:positionH relativeFrom="column">
              <wp:posOffset>-171450</wp:posOffset>
            </wp:positionH>
            <wp:positionV relativeFrom="paragraph">
              <wp:posOffset>-302895</wp:posOffset>
            </wp:positionV>
            <wp:extent cx="1301750" cy="990295"/>
            <wp:effectExtent l="0" t="0" r="0" b="635"/>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01750" cy="990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5B4B3C" w14:textId="77777777" w:rsidR="00613419" w:rsidRDefault="00613419">
      <w:pPr>
        <w:spacing w:before="120"/>
        <w:jc w:val="center"/>
        <w:rPr>
          <w:b/>
          <w:bCs/>
          <w:sz w:val="24"/>
          <w:szCs w:val="24"/>
        </w:rPr>
      </w:pPr>
    </w:p>
    <w:p w14:paraId="54E0FAE5" w14:textId="5F6206AA" w:rsidR="00097C85" w:rsidRDefault="004A6C25">
      <w:pPr>
        <w:spacing w:before="120"/>
        <w:jc w:val="center"/>
        <w:rPr>
          <w:sz w:val="24"/>
          <w:szCs w:val="24"/>
        </w:rPr>
      </w:pPr>
      <w:r>
        <w:rPr>
          <w:b/>
          <w:bCs/>
          <w:sz w:val="24"/>
          <w:szCs w:val="24"/>
        </w:rPr>
        <w:t>INFORMATION</w:t>
      </w:r>
      <w:r>
        <w:rPr>
          <w:sz w:val="24"/>
          <w:szCs w:val="24"/>
        </w:rPr>
        <w:t xml:space="preserve"> </w:t>
      </w:r>
      <w:r>
        <w:rPr>
          <w:sz w:val="24"/>
          <w:szCs w:val="24"/>
        </w:rPr>
        <w:br/>
        <w:t>on measures to implement the recommendations of the UN Committee against Torture following the Fourth Periodic Report</w:t>
      </w:r>
    </w:p>
    <w:p w14:paraId="5605FB62" w14:textId="77777777" w:rsidR="00097C85" w:rsidRDefault="004A6C25">
      <w:pPr>
        <w:spacing w:before="120"/>
        <w:jc w:val="center"/>
        <w:rPr>
          <w:sz w:val="24"/>
          <w:szCs w:val="24"/>
        </w:rPr>
      </w:pPr>
      <w:r>
        <w:rPr>
          <w:sz w:val="24"/>
          <w:szCs w:val="24"/>
        </w:rPr>
        <w:t>Comments by the Kazakhstan NGO Coalition against Torture</w:t>
      </w:r>
    </w:p>
    <w:p w14:paraId="3E89C76D" w14:textId="77777777" w:rsidR="00097C85" w:rsidRPr="00EA518B" w:rsidRDefault="004A6C25">
      <w:pPr>
        <w:spacing w:before="120"/>
        <w:jc w:val="center"/>
        <w:rPr>
          <w:b/>
          <w:bCs/>
          <w:sz w:val="24"/>
          <w:szCs w:val="24"/>
        </w:rPr>
      </w:pPr>
      <w:r>
        <w:rPr>
          <w:b/>
          <w:bCs/>
          <w:sz w:val="24"/>
          <w:szCs w:val="24"/>
        </w:rPr>
        <w:t>On Point 10</w:t>
      </w:r>
    </w:p>
    <w:p w14:paraId="46B47EDB" w14:textId="77777777" w:rsidR="00097C85" w:rsidRDefault="004A6C25">
      <w:pPr>
        <w:spacing w:before="120"/>
        <w:jc w:val="both"/>
        <w:rPr>
          <w:sz w:val="24"/>
          <w:szCs w:val="24"/>
        </w:rPr>
      </w:pPr>
      <w:r>
        <w:rPr>
          <w:sz w:val="24"/>
          <w:szCs w:val="24"/>
        </w:rPr>
        <w:t>Comments by the Kazakhstan NGO Coalition against Torture (hereinafter, the “Coalition”):</w:t>
      </w:r>
    </w:p>
    <w:p w14:paraId="157384BB" w14:textId="2EA1527E" w:rsidR="00097C85" w:rsidRDefault="0086031B">
      <w:pPr>
        <w:spacing w:before="120"/>
        <w:jc w:val="both"/>
        <w:rPr>
          <w:sz w:val="24"/>
          <w:szCs w:val="24"/>
        </w:rPr>
      </w:pPr>
      <w:r>
        <w:rPr>
          <w:sz w:val="24"/>
          <w:szCs w:val="24"/>
        </w:rPr>
        <w:t>Since</w:t>
      </w:r>
      <w:r w:rsidR="004A6C25">
        <w:rPr>
          <w:sz w:val="24"/>
          <w:szCs w:val="24"/>
        </w:rPr>
        <w:t xml:space="preserve"> 1 January 2023, as a result of amendments to paragraph 12-1 of Article 193 of the Criminal Procedure Code (CPC), the investigation of torture (Part 2 of Article 146 of the Criminal Code of the Republic of Kazakhstan) has been assigned to the exclusive competence of Special Prosecutors. Under Article 146 of the Criminal Code of the Republic of Kazakhstan, crimes under part 1 — cruel treatment (a minor offense) — are now investigated by internal affairs bodies in the form of inquiry. “Enhanced” crimes — covered by parts 3 and 4 of Article 146 — unless qualified as torture, are also now investigated by internal affairs bodies. On one hand, the reforms distinguish between torture and cruel treatment and eliminate a legislative gap whereunder cruel treatment was not criminalized; however, on the other hand, cases of cruel, inhuman, degrading treatment or punishment will be investigated by law enforcement who most often are culpable of applying precisely the same types of unlawful treatment.</w:t>
      </w:r>
    </w:p>
    <w:p w14:paraId="0BB7C65D" w14:textId="3C9A9263" w:rsidR="00097C85" w:rsidRDefault="004A6C25">
      <w:pPr>
        <w:spacing w:before="120"/>
        <w:jc w:val="both"/>
        <w:rPr>
          <w:sz w:val="24"/>
          <w:szCs w:val="24"/>
        </w:rPr>
      </w:pPr>
      <w:r>
        <w:rPr>
          <w:sz w:val="24"/>
          <w:szCs w:val="24"/>
        </w:rPr>
        <w:t>With the adoption on 9 March 2023 of the law “On Amendments and Additions to Certain Legislative Acts of the Republic of Kazakhstan on Improving Law Enforcement Activities and Further Humanization of Criminal Legislation,” causing cruel, inhuman, and degrading treatment was separated from torture, which, according to those who drafted it, will allow holding “persons acting in an official capacity” accountable for causing pain or suffering in educational, upbringing, medical, and medic</w:t>
      </w:r>
      <w:r w:rsidR="0086031B">
        <w:rPr>
          <w:sz w:val="24"/>
          <w:szCs w:val="24"/>
        </w:rPr>
        <w:t xml:space="preserve">al and </w:t>
      </w:r>
      <w:r>
        <w:rPr>
          <w:sz w:val="24"/>
          <w:szCs w:val="24"/>
        </w:rPr>
        <w:t>social institutions and organizations. According to the available version of the law, “persons acting in an official capacity” will be understood as employees of the named institutions who possess authoritative and (or) administrative powers with respect to persons who have been detained, undergo treatment, study, or are being raised on a permanent, temporary, or periodic basis at such establishments.</w:t>
      </w:r>
    </w:p>
    <w:p w14:paraId="24419BC1" w14:textId="2E7546E0" w:rsidR="00097C85" w:rsidRDefault="004A6C25">
      <w:pPr>
        <w:spacing w:before="120"/>
        <w:jc w:val="both"/>
        <w:rPr>
          <w:sz w:val="24"/>
          <w:szCs w:val="24"/>
        </w:rPr>
      </w:pPr>
      <w:r>
        <w:rPr>
          <w:sz w:val="24"/>
          <w:szCs w:val="24"/>
        </w:rPr>
        <w:t>According to the amendments then made to Article 146 (Torture) of the Criminal Code, “physical and mental suffering caused as a result of lawful actions of persons acting in an official capacity, or other persons” will not be recognized as torture. This means that in Kazakhstan, the definition of torture does not coincide with the one given in the convents, as it excludes a significant number of persons. The problem lies in the provision made in Article 146 of the Criminal Code of the Republic of Kazakhstan, according to which:</w:t>
      </w:r>
      <w:r w:rsidR="0086031B">
        <w:rPr>
          <w:sz w:val="24"/>
          <w:szCs w:val="24"/>
        </w:rPr>
        <w:t xml:space="preserve"> </w:t>
      </w:r>
      <w:r>
        <w:rPr>
          <w:sz w:val="24"/>
          <w:szCs w:val="24"/>
        </w:rPr>
        <w:t>physical and mental suffering caused as a result of lawful actions of persons acting in an official capacity, or other persons” will not be recognized as torture.</w:t>
      </w:r>
    </w:p>
    <w:p w14:paraId="0400F6E9" w14:textId="77777777" w:rsidR="00097C85" w:rsidRDefault="004A6C25">
      <w:pPr>
        <w:spacing w:before="120"/>
        <w:jc w:val="both"/>
        <w:rPr>
          <w:sz w:val="24"/>
          <w:szCs w:val="24"/>
        </w:rPr>
      </w:pPr>
      <w:r>
        <w:rPr>
          <w:sz w:val="24"/>
          <w:szCs w:val="24"/>
        </w:rPr>
        <w:t xml:space="preserve">Contrary to the requirements of the Criminal Procedure Code (hereinafter, the “CPC”) for the immediate registration of any reports of committed criminal offenses, which include torture, many reports in the media (or on social networks), oral or written reports, or statements that have the features covered by “Torture” (Article 146 of the Criminal Code of the Republic of Kazakhstan) are initially recorded in the Information Registration Book (IRB) without being registered in the </w:t>
      </w:r>
      <w:r>
        <w:rPr>
          <w:sz w:val="24"/>
          <w:szCs w:val="24"/>
        </w:rPr>
        <w:lastRenderedPageBreak/>
        <w:t>Unified Register of Pre-trial Investigations (URPI). In other words, pre-trial investigations into them are often delayed; essentially, a preliminary investigation is conducted prior to the registration in the URPI, which was canceled in 2014 with the adoption of the current CPC.</w:t>
      </w:r>
    </w:p>
    <w:p w14:paraId="340CFA2C" w14:textId="77777777" w:rsidR="00097C85" w:rsidRDefault="004A6C25">
      <w:pPr>
        <w:spacing w:before="120"/>
        <w:jc w:val="both"/>
        <w:rPr>
          <w:sz w:val="24"/>
          <w:szCs w:val="24"/>
        </w:rPr>
      </w:pPr>
      <w:r>
        <w:rPr>
          <w:sz w:val="24"/>
          <w:szCs w:val="24"/>
        </w:rPr>
        <w:t>Legislation provides for the possibility of concluding two types of procedural agreements: in the form of a plea bargain — for minor, medium, or serious crimes — when the suspect or accused consents to the suspicion or accusation; or in the form of a cooperation agreement — for all categories of crimes when the suspect or accused cooperates in the disclosure and investigation of crimes committed by a criminal group, grave crimes committed by other persons, as well as extremist and terrorist crimes (Article 612 of the CPC). A plea bargain implies the suspect or accused voluntarily agrees to enter in such an agreement if they do not dispute the suspicion, accusation, available evidence, nature, and amount of harm caused, and if the victim agrees to enter into such a deal (</w:t>
      </w:r>
      <w:r>
        <w:rPr>
          <w:sz w:val="24"/>
          <w:szCs w:val="24"/>
          <w:u w:val="single"/>
        </w:rPr>
        <w:t>Article 613</w:t>
      </w:r>
      <w:r>
        <w:rPr>
          <w:sz w:val="24"/>
          <w:szCs w:val="24"/>
        </w:rPr>
        <w:t xml:space="preserve"> of the CPC). The prohibition on entering into a procedural agreement only applies to crimes involving the sexual inviolability of minors, </w:t>
      </w:r>
      <w:r>
        <w:rPr>
          <w:b/>
          <w:bCs/>
          <w:sz w:val="24"/>
          <w:szCs w:val="24"/>
        </w:rPr>
        <w:t xml:space="preserve">according to </w:t>
      </w:r>
      <w:r>
        <w:rPr>
          <w:b/>
          <w:bCs/>
          <w:sz w:val="24"/>
          <w:szCs w:val="24"/>
          <w:u w:val="single"/>
        </w:rPr>
        <w:t>Article 67</w:t>
      </w:r>
      <w:r>
        <w:rPr>
          <w:b/>
          <w:bCs/>
          <w:sz w:val="24"/>
          <w:szCs w:val="24"/>
        </w:rPr>
        <w:t xml:space="preserve"> of the Criminal Code, a person who has fulfilled all the conditions of a procedural agreement may be released from criminal liability</w:t>
      </w:r>
      <w:r>
        <w:rPr>
          <w:sz w:val="24"/>
          <w:szCs w:val="24"/>
        </w:rPr>
        <w:t>.</w:t>
      </w:r>
    </w:p>
    <w:p w14:paraId="70E6464B" w14:textId="77777777" w:rsidR="00097C85" w:rsidRDefault="004A6C25">
      <w:pPr>
        <w:spacing w:before="120"/>
        <w:jc w:val="both"/>
        <w:rPr>
          <w:sz w:val="24"/>
          <w:szCs w:val="24"/>
        </w:rPr>
      </w:pPr>
      <w:r>
        <w:rPr>
          <w:sz w:val="24"/>
          <w:szCs w:val="24"/>
        </w:rPr>
        <w:t>Considering the above, the following conclusions can be drawn:</w:t>
      </w:r>
    </w:p>
    <w:p w14:paraId="4D23A30E" w14:textId="642CCDD3" w:rsidR="00097C85" w:rsidRDefault="004A6C25">
      <w:pPr>
        <w:spacing w:before="120"/>
        <w:jc w:val="both"/>
        <w:rPr>
          <w:sz w:val="24"/>
          <w:szCs w:val="24"/>
        </w:rPr>
      </w:pPr>
      <w:r>
        <w:rPr>
          <w:sz w:val="24"/>
          <w:szCs w:val="24"/>
        </w:rPr>
        <w:t>1. Given the inconsistency in actions and approaches, i.e. different agencies may use different investigation methods, which may lead to inconsistency in the process of collection and evaluation of evidence. Therefore, it is the Coalition’s position that clear coordination procedures among internal affairs agencies and special prosecutors should be established. Regular educational programs, meetings, and information exchange among departments should help eliminate inconsistency.</w:t>
      </w:r>
    </w:p>
    <w:p w14:paraId="6B333B02" w14:textId="6D0F10FC" w:rsidR="00097C85" w:rsidRDefault="004A6C25">
      <w:pPr>
        <w:spacing w:before="120"/>
        <w:jc w:val="both"/>
        <w:rPr>
          <w:sz w:val="24"/>
          <w:szCs w:val="24"/>
        </w:rPr>
      </w:pPr>
      <w:r>
        <w:rPr>
          <w:sz w:val="24"/>
          <w:szCs w:val="24"/>
        </w:rPr>
        <w:t xml:space="preserve">2. The case referral procedure reveals difficulties associated with transferring cases between different departments, especially when in the course of an investigation it turns out that the case should be reclassified from one part of the article to another part of the same article. To eliminate the above difficulties, standardized case referral procedures should be developed and </w:t>
      </w:r>
      <w:r w:rsidR="00C46F36">
        <w:rPr>
          <w:sz w:val="24"/>
          <w:szCs w:val="24"/>
        </w:rPr>
        <w:t>implemented</w:t>
      </w:r>
      <w:r>
        <w:rPr>
          <w:sz w:val="24"/>
          <w:szCs w:val="24"/>
        </w:rPr>
        <w:t xml:space="preserve"> to minimize existing problems when </w:t>
      </w:r>
      <w:r w:rsidR="00C46F36">
        <w:rPr>
          <w:sz w:val="24"/>
          <w:szCs w:val="24"/>
        </w:rPr>
        <w:t>referring</w:t>
      </w:r>
      <w:r>
        <w:rPr>
          <w:sz w:val="24"/>
          <w:szCs w:val="24"/>
        </w:rPr>
        <w:t xml:space="preserve"> cases from one jurisdiction to another.</w:t>
      </w:r>
    </w:p>
    <w:p w14:paraId="276B9D49" w14:textId="77777777" w:rsidR="00097C85" w:rsidRDefault="004A6C25">
      <w:pPr>
        <w:spacing w:before="120"/>
        <w:jc w:val="center"/>
        <w:rPr>
          <w:b/>
          <w:bCs/>
          <w:sz w:val="24"/>
          <w:szCs w:val="24"/>
        </w:rPr>
      </w:pPr>
      <w:r>
        <w:rPr>
          <w:b/>
          <w:bCs/>
          <w:sz w:val="24"/>
          <w:szCs w:val="24"/>
        </w:rPr>
        <w:t>On Points 11 - 15</w:t>
      </w:r>
    </w:p>
    <w:p w14:paraId="667DC02D" w14:textId="77777777" w:rsidR="00097C85" w:rsidRDefault="004A6C25">
      <w:pPr>
        <w:spacing w:before="120"/>
        <w:jc w:val="both"/>
        <w:rPr>
          <w:sz w:val="24"/>
          <w:szCs w:val="24"/>
        </w:rPr>
      </w:pPr>
      <w:r>
        <w:rPr>
          <w:sz w:val="24"/>
          <w:szCs w:val="24"/>
        </w:rPr>
        <w:t xml:space="preserve">Kazakhstan has a legal framework that is supposed to ensure the rights and interests of participants in the criminal process are protected; however, in practice, its implementation is inadequate. The three-tier system of conducting the criminal process in accordance with the Criminal Procedure Code (CPC) provides that the prosecution participates at all stages of the process (pre-trial, trial, sentencing). </w:t>
      </w:r>
    </w:p>
    <w:p w14:paraId="01426335" w14:textId="77777777" w:rsidR="00097C85" w:rsidRDefault="004A6C25">
      <w:pPr>
        <w:spacing w:before="120"/>
        <w:jc w:val="both"/>
        <w:rPr>
          <w:sz w:val="24"/>
          <w:szCs w:val="24"/>
        </w:rPr>
      </w:pPr>
      <w:r>
        <w:rPr>
          <w:sz w:val="24"/>
          <w:szCs w:val="24"/>
        </w:rPr>
        <w:t>The prosecution acts as a supervisor of the observance of laws, provides support to state prosecution in court, participates in the judicial review of cases, and supervises the execution of sentences.</w:t>
      </w:r>
    </w:p>
    <w:p w14:paraId="6AE48819" w14:textId="77777777" w:rsidR="00097C85" w:rsidRDefault="004A6C25">
      <w:pPr>
        <w:spacing w:before="120"/>
        <w:jc w:val="both"/>
        <w:rPr>
          <w:sz w:val="24"/>
          <w:szCs w:val="24"/>
        </w:rPr>
      </w:pPr>
      <w:r>
        <w:rPr>
          <w:sz w:val="24"/>
          <w:szCs w:val="24"/>
        </w:rPr>
        <w:t>It should be noted that in some jurisdictions, there are no mechanisms for independent control of the prosecution’s actions; participants in the criminal process essentially have no alternative for appealing the actions (or inaction) of the prosecution, which undermines trust in the fairness of law enforcement.</w:t>
      </w:r>
    </w:p>
    <w:p w14:paraId="5C46087D" w14:textId="77777777" w:rsidR="00097C85" w:rsidRDefault="004A6C25">
      <w:pPr>
        <w:spacing w:before="120"/>
        <w:jc w:val="both"/>
        <w:rPr>
          <w:sz w:val="24"/>
          <w:szCs w:val="24"/>
        </w:rPr>
      </w:pPr>
      <w:r>
        <w:rPr>
          <w:sz w:val="24"/>
          <w:szCs w:val="24"/>
        </w:rPr>
        <w:t>As a result:</w:t>
      </w:r>
    </w:p>
    <w:p w14:paraId="05C08DE3" w14:textId="77777777" w:rsidR="00097C85" w:rsidRDefault="004A6C25">
      <w:pPr>
        <w:spacing w:before="120"/>
        <w:jc w:val="both"/>
        <w:rPr>
          <w:sz w:val="24"/>
          <w:szCs w:val="24"/>
        </w:rPr>
      </w:pPr>
      <w:r>
        <w:rPr>
          <w:sz w:val="24"/>
          <w:szCs w:val="24"/>
        </w:rPr>
        <w:t xml:space="preserve">- Participants in the criminal process who believe their rights have been violated often are unable </w:t>
      </w:r>
      <w:r>
        <w:rPr>
          <w:sz w:val="24"/>
          <w:szCs w:val="24"/>
        </w:rPr>
        <w:lastRenderedPageBreak/>
        <w:t>to achieve a state when the evidence would be recognized as inadmissible, which in turn affects the case outcome;</w:t>
      </w:r>
    </w:p>
    <w:p w14:paraId="470FF536" w14:textId="77777777" w:rsidR="00097C85" w:rsidRDefault="004A6C25">
      <w:pPr>
        <w:spacing w:before="120"/>
        <w:jc w:val="both"/>
        <w:rPr>
          <w:sz w:val="24"/>
          <w:szCs w:val="24"/>
        </w:rPr>
      </w:pPr>
      <w:r>
        <w:rPr>
          <w:sz w:val="24"/>
          <w:szCs w:val="24"/>
        </w:rPr>
        <w:t>- The level of distrust in the law enforcement system and the judiciary increases;</w:t>
      </w:r>
    </w:p>
    <w:p w14:paraId="4A3EF7DA" w14:textId="77777777" w:rsidR="00097C85" w:rsidRDefault="004A6C25">
      <w:pPr>
        <w:spacing w:before="120"/>
        <w:jc w:val="both"/>
        <w:rPr>
          <w:sz w:val="24"/>
          <w:szCs w:val="24"/>
        </w:rPr>
      </w:pPr>
      <w:r>
        <w:rPr>
          <w:sz w:val="24"/>
          <w:szCs w:val="24"/>
        </w:rPr>
        <w:t>- Legal nihilism intensifies as citizens see the discrepancies between how norms are declared and how they are actually implemented.</w:t>
      </w:r>
    </w:p>
    <w:p w14:paraId="6CB73ADD" w14:textId="77777777" w:rsidR="00097C85" w:rsidRDefault="004A6C25">
      <w:pPr>
        <w:spacing w:before="120"/>
        <w:jc w:val="both"/>
        <w:rPr>
          <w:sz w:val="24"/>
          <w:szCs w:val="24"/>
        </w:rPr>
      </w:pPr>
      <w:r>
        <w:rPr>
          <w:sz w:val="24"/>
          <w:szCs w:val="24"/>
        </w:rPr>
        <w:t>Therefore, the existing norm of the law, while expedient theoretically, is not working in practice due to the fact the prosecution is integrated into the criminal process and lacks independent control over its actions. To improve the situation, it is necessary to consider the possibility of creating independent bodies that could objectively assess the legality of actions of participants in the criminal process, including the prosecution.</w:t>
      </w:r>
    </w:p>
    <w:p w14:paraId="4C5A13DD" w14:textId="77777777" w:rsidR="00097C85" w:rsidRDefault="004A6C25">
      <w:pPr>
        <w:spacing w:before="120"/>
        <w:jc w:val="both"/>
        <w:rPr>
          <w:sz w:val="24"/>
          <w:szCs w:val="24"/>
        </w:rPr>
      </w:pPr>
      <w:r>
        <w:rPr>
          <w:sz w:val="24"/>
          <w:szCs w:val="24"/>
        </w:rPr>
        <w:t>The law does not provide for the immediate recording or registration of the moment of actual detention. The time of actual detention is registered within a three-hour window, while the detention protocol is drawn up. At the same time, the time of actual detention is recorded based on the words of the persons who carried it out, and who are inherently interested in the direction the criminal investigation takes. It is not surprising then, that the time of actual detention is often distorted in favor of law enforcement. Currently, the moment of detention, by and large, does not obligate law enforcement officers to anything. At the moment of detention and delivery, the detainee is deprived of the opportunity to inform their relatives or other persons about the fact of their detention. At that moment, they do not have a procedural status, and therefore, are deprived of their procedural rights. If the fact of detention is registered at the moment of actual detention with simultaneous notification of the detainee about their rights, that would serve as an additional guarantee against torture. Registration of actual detention can take the form of the immediate telephone notification of a third party (e.g., a supervisory body, a defender) regarding the fact of detention, as well as the planned route of the detainee’s delivery, or video recording of the process of detention using a car or body camera (a video badge) indicating the time and date of the recording, with the immediate transmission of data to the supervisory body. From a practical standpoint, suspects, particularly females, are often called for investigative actions late at night or on weekends, with an offer to solve their problems. The suspect, fearing a change in the measure of restraint and a prospect of sexual violence, experiences fear; moreover, there are usually only a few people in the building of the Department of Police, and the duty prosecutor may not always be there.</w:t>
      </w:r>
    </w:p>
    <w:p w14:paraId="36B8EE8F" w14:textId="77777777" w:rsidR="00097C85" w:rsidRDefault="004A6C25">
      <w:pPr>
        <w:spacing w:before="120"/>
        <w:jc w:val="both"/>
        <w:rPr>
          <w:sz w:val="24"/>
          <w:szCs w:val="24"/>
        </w:rPr>
      </w:pPr>
      <w:r>
        <w:rPr>
          <w:sz w:val="24"/>
          <w:szCs w:val="24"/>
        </w:rPr>
        <w:t xml:space="preserve">The Coalition notes that there is no information about law enforcement practice, and there are difficulties in small regions where there are two or three prosecutors inundated with a multitude of duties which include general supervision, support to the prosecution, supervising pre-trial investigations, higher prosecutorial supervision, etc. </w:t>
      </w:r>
    </w:p>
    <w:p w14:paraId="6FA4C5A7" w14:textId="229D8587" w:rsidR="00097C85" w:rsidRDefault="004A6C25">
      <w:pPr>
        <w:spacing w:before="120"/>
        <w:jc w:val="both"/>
        <w:rPr>
          <w:sz w:val="24"/>
          <w:szCs w:val="24"/>
        </w:rPr>
      </w:pPr>
      <w:r>
        <w:rPr>
          <w:sz w:val="24"/>
          <w:szCs w:val="24"/>
        </w:rPr>
        <w:t>The Coalition notes that in 2023, only 18 criminal cases of torture made it to the court. These data clearly illustrate the high latency of torture and significant difficulties associated with torture investigation in practice. In fact, out of 398 cases of torture reviewed by the prosecution in 2023, only 18 made it to the court, or a mere 4.52 percent of the total number of cases of torture and cruel treatment. These figures reflect the real situation, in view of which it is necessary to increase the effectiveness of investigating torture and cruel treatment in Kazakhstan.</w:t>
      </w:r>
    </w:p>
    <w:p w14:paraId="1F3F927A" w14:textId="77777777" w:rsidR="00097C85" w:rsidRDefault="004A6C25">
      <w:pPr>
        <w:spacing w:before="120"/>
        <w:jc w:val="both"/>
        <w:rPr>
          <w:sz w:val="24"/>
          <w:szCs w:val="24"/>
        </w:rPr>
      </w:pPr>
      <w:r>
        <w:rPr>
          <w:sz w:val="24"/>
          <w:szCs w:val="24"/>
        </w:rPr>
        <w:t xml:space="preserve">Currently, the Center for Forensic Expertise under the Ministry of Justice of the Republic of Kazakhstan has not adopted the methodology for </w:t>
      </w:r>
      <w:r>
        <w:rPr>
          <w:b/>
          <w:bCs/>
          <w:sz w:val="24"/>
          <w:szCs w:val="24"/>
        </w:rPr>
        <w:t xml:space="preserve">“comprehensive forensic medical and </w:t>
      </w:r>
      <w:r>
        <w:rPr>
          <w:b/>
          <w:bCs/>
          <w:sz w:val="24"/>
          <w:szCs w:val="24"/>
        </w:rPr>
        <w:lastRenderedPageBreak/>
        <w:t>psychological-psychiatric expert research in cases of torture and other cruel, inhuman, degrading types of treatment, physical and psychological evidence of torture (according to the recommendations of the Istanbul Protocol)”</w:t>
      </w:r>
      <w:r>
        <w:rPr>
          <w:sz w:val="24"/>
          <w:szCs w:val="24"/>
        </w:rPr>
        <w:t xml:space="preserve"> (specialty code 23.1, 29.1); this methodology is not in the registry of examinations, and is still being finalized.</w:t>
      </w:r>
    </w:p>
    <w:p w14:paraId="64E32111" w14:textId="7FFE1C42" w:rsidR="00097C85" w:rsidRDefault="004A6C25">
      <w:pPr>
        <w:spacing w:before="120"/>
        <w:jc w:val="both"/>
        <w:rPr>
          <w:sz w:val="24"/>
          <w:szCs w:val="24"/>
        </w:rPr>
      </w:pPr>
      <w:r>
        <w:rPr>
          <w:sz w:val="24"/>
          <w:szCs w:val="24"/>
        </w:rPr>
        <w:t>In Kazakhstan, there are a number of problems with witness protection that have many uncertainties and gaps. Legislation often does not provide for specific mechanisms for the protection of persons who have reported torture. General witness protection measures may be insufficient or inapplicable in the context of torture. This may be due to a lack of resources, insufficient professional training of law enforcement officials, and interdepartmental inefficiencies in terms of communications. Witness protection programs require significant financial costs, which are often not provided in sufficient amounts. Problems for those who reported torture and are under criminal prosecution. Persons who report torture often face threats and reprisals from law enforcement agencies and other interested parties. Those may include physical violence, psychological pressure, and falsification of new criminal cases against the reporting individuals. In the process of a criminal prosecution, it is extremely difficult to maintain the anonymity of individuals who report torture, which increases their vulnerability. The high level of corruption and abuse in law enforcement agencies undermines trust in protection and justice systems as a whole. Persons who report torture often do not have access to effective mechanisms to appeal the actions of law enforcement agencies and obtain protection. This may include limited access to lawyers, difficult interaction with independent human rights organizations, etc. The problems that exist when it comes to ensuring the safety of persons who report torture in Kazakhstan significantly undermine the effectiveness of witness protection legislation and hinder the fight against torture and cruel treatment. To improve the situation, it is necessary to amend the legislation, create specialized protection mechanisms, and ensure their practical implementation.</w:t>
      </w:r>
    </w:p>
    <w:p w14:paraId="787885B4" w14:textId="77777777" w:rsidR="00097C85" w:rsidRDefault="004A6C25">
      <w:pPr>
        <w:spacing w:before="120"/>
        <w:jc w:val="center"/>
        <w:rPr>
          <w:b/>
          <w:bCs/>
          <w:sz w:val="24"/>
          <w:szCs w:val="24"/>
        </w:rPr>
      </w:pPr>
      <w:r>
        <w:rPr>
          <w:b/>
          <w:bCs/>
          <w:sz w:val="24"/>
          <w:szCs w:val="24"/>
        </w:rPr>
        <w:t>On Point 21</w:t>
      </w:r>
    </w:p>
    <w:p w14:paraId="42AE463F" w14:textId="77777777" w:rsidR="00097C85" w:rsidRDefault="004A6C25">
      <w:pPr>
        <w:spacing w:before="120"/>
        <w:jc w:val="both"/>
        <w:rPr>
          <w:sz w:val="24"/>
          <w:szCs w:val="24"/>
        </w:rPr>
      </w:pPr>
      <w:r>
        <w:rPr>
          <w:sz w:val="24"/>
          <w:szCs w:val="24"/>
        </w:rPr>
        <w:t>The creation of a correctional center instead of an educational colony for minors by the Committee of the Penitentiaries under the Ministry of Internal Affairs of the Republic of Kazakhstan, where 45 teenagers serve their sentences, is an important step toward the humanization of the justice system for the youth. This approach contributes to the rehabilitation and social adaptation of teenagers, helping them become fully-able members of society. Educational colonies often have a repressive nature, which can negatively affect the psyche and further development of minors. Correctional centers, unlike educational colonies, focus on educational and psychological programs aimed at developing personal and social skills. This helps teenagers realize their mistakes, learn to take responsibility for their actions, and avoid repeated offenses in the future. Moreover, the creation of such a center under the auspices of the Ministry of Education of the Republic of Kazakhstan currently allows integrating educational and upbringing processes thus ensuring a more comprehensive approach to the correction and development of minor offenders.</w:t>
      </w:r>
    </w:p>
    <w:p w14:paraId="32C9C278" w14:textId="77777777" w:rsidR="00097C85" w:rsidRDefault="004A6C25">
      <w:pPr>
        <w:spacing w:before="120"/>
        <w:jc w:val="both"/>
        <w:rPr>
          <w:sz w:val="24"/>
          <w:szCs w:val="24"/>
        </w:rPr>
      </w:pPr>
      <w:r>
        <w:rPr>
          <w:sz w:val="24"/>
          <w:szCs w:val="24"/>
        </w:rPr>
        <w:t xml:space="preserve">The Coalition notes the negative practice of keeping minors in the Republican Psychiatric Hospital of a specialized type with intensive supervision. It should be noted that the RPHSTIS lacks infrastructure for keeping minors, and this medical institution does not have a license to provide medical care to children. </w:t>
      </w:r>
    </w:p>
    <w:p w14:paraId="0136386F" w14:textId="77777777" w:rsidR="00097C85" w:rsidRDefault="004A6C25">
      <w:pPr>
        <w:spacing w:before="120"/>
        <w:jc w:val="both"/>
        <w:rPr>
          <w:sz w:val="24"/>
          <w:szCs w:val="24"/>
        </w:rPr>
      </w:pPr>
      <w:r>
        <w:rPr>
          <w:sz w:val="24"/>
          <w:szCs w:val="24"/>
        </w:rPr>
        <w:t xml:space="preserve">Holding cells. In the penal system of Kazakhstan, it is necessary to start the process of convergence of the holding cell and barrack-detachment systems. This process implies the unification and integration of elements of both systems with a view to creating a more effective and humane </w:t>
      </w:r>
      <w:r>
        <w:rPr>
          <w:sz w:val="24"/>
          <w:szCs w:val="24"/>
        </w:rPr>
        <w:lastRenderedPageBreak/>
        <w:t>environment for the convicts. Currently, most institutions do not meet international standards, buildings are dilapidated, the cells are damp and humid, winter temperatures are low, and in the summer some institutions in the south of the country lack ventilation system.</w:t>
      </w:r>
    </w:p>
    <w:p w14:paraId="181FAEB4" w14:textId="77777777" w:rsidR="00097C85" w:rsidRDefault="004A6C25">
      <w:pPr>
        <w:spacing w:before="120"/>
        <w:jc w:val="center"/>
        <w:rPr>
          <w:b/>
          <w:bCs/>
          <w:sz w:val="24"/>
          <w:szCs w:val="24"/>
        </w:rPr>
      </w:pPr>
      <w:r>
        <w:rPr>
          <w:b/>
          <w:bCs/>
          <w:sz w:val="24"/>
          <w:szCs w:val="24"/>
        </w:rPr>
        <w:t>On Point 24</w:t>
      </w:r>
    </w:p>
    <w:p w14:paraId="127DE199" w14:textId="77777777" w:rsidR="00097C85" w:rsidRDefault="004A6C25">
      <w:pPr>
        <w:spacing w:before="120"/>
        <w:jc w:val="both"/>
        <w:rPr>
          <w:sz w:val="24"/>
          <w:szCs w:val="24"/>
        </w:rPr>
      </w:pPr>
      <w:r>
        <w:rPr>
          <w:sz w:val="24"/>
          <w:szCs w:val="24"/>
        </w:rPr>
        <w:t>From 2019 to Q1 2024, 450 pre-trial investigations under Article 146 of the Criminal Code (Torture) were registered in the URPI against the employees of the penitentiary system. Four criminal cases were sent to the courts, resulting in the conviction of 16 employees. All this indicates the low quality of investigations into cases of torture and cruel treatment in Kazakhstan.</w:t>
      </w:r>
    </w:p>
    <w:p w14:paraId="02445E06" w14:textId="77777777" w:rsidR="00097C85" w:rsidRDefault="004A6C25">
      <w:pPr>
        <w:spacing w:before="120"/>
        <w:jc w:val="both"/>
        <w:rPr>
          <w:sz w:val="24"/>
          <w:szCs w:val="24"/>
        </w:rPr>
      </w:pPr>
      <w:r>
        <w:rPr>
          <w:sz w:val="24"/>
          <w:szCs w:val="24"/>
        </w:rPr>
        <w:t>The participants to the National Preventive Mechanism (NPM) and the Coalition note on an annual basis that the situation with the sanitary and epidemiological condition in pre-trial detention centers in Kazakhstan does not change. The premises are not suited for their intended purpose, and even basic conditions for maintaining hygiene for persons with disabilities are lacking.</w:t>
      </w:r>
    </w:p>
    <w:p w14:paraId="13D7C730" w14:textId="77777777" w:rsidR="00097C85" w:rsidRDefault="004A6C25">
      <w:pPr>
        <w:spacing w:before="120"/>
        <w:jc w:val="both"/>
        <w:rPr>
          <w:sz w:val="24"/>
          <w:szCs w:val="24"/>
        </w:rPr>
      </w:pPr>
      <w:r>
        <w:rPr>
          <w:sz w:val="24"/>
          <w:szCs w:val="24"/>
        </w:rPr>
        <w:t>The creation of training programs on suicidology for employees of the penitentiary system of Kazakhstan is an urgent necessity. This is due to a number of factors that emphasize the importance of such programs for improving the level of safety and psychological state of convicts. The development and implementation of training programs on suicidology for employees of the penitentiary system of Kazakhstan are necessary measures to ensure the safety and protection of the lives of convicts, increase the professional level of personnel, and improve the general condition of correctional institutions.</w:t>
      </w:r>
    </w:p>
    <w:p w14:paraId="580144B5" w14:textId="77777777" w:rsidR="00097C85" w:rsidRDefault="004A6C25">
      <w:pPr>
        <w:spacing w:before="120"/>
        <w:jc w:val="both"/>
        <w:rPr>
          <w:sz w:val="24"/>
          <w:szCs w:val="24"/>
        </w:rPr>
      </w:pPr>
      <w:r>
        <w:rPr>
          <w:sz w:val="24"/>
          <w:szCs w:val="24"/>
        </w:rPr>
        <w:t>In penitentiary institutions, only one psychologist position is allocated for working with prisoners. This is not enough to cover the psychological support needed by convicts. There are problems with the level of psychologists’ salaries, their training, small numbers, and performing uncharacteristic duties in penitentiary institutions (e.g. working in the personnel department, etc.). In addition, the Coalition deems it important to organize psychological assistance at a systemic level for the staff and personnel of institutions, considering the specific nature of their work.</w:t>
      </w:r>
    </w:p>
    <w:p w14:paraId="43B5B8CB" w14:textId="77777777" w:rsidR="00097C85" w:rsidRDefault="004A6C25">
      <w:pPr>
        <w:spacing w:before="120"/>
        <w:jc w:val="both"/>
        <w:rPr>
          <w:sz w:val="24"/>
          <w:szCs w:val="24"/>
        </w:rPr>
      </w:pPr>
      <w:r>
        <w:rPr>
          <w:sz w:val="24"/>
          <w:szCs w:val="24"/>
        </w:rPr>
        <w:t>The participants of the National Preventive Mechanism have the opportunity to visit penitentiary institutions no more than once a year, which is clearly insufficient. However, after the regional representatives of the Commissioner for Human Rights were established, they have become the ones making such special visits most of the time, rather than by the NPM group.</w:t>
      </w:r>
    </w:p>
    <w:p w14:paraId="2D7F2E98" w14:textId="77777777" w:rsidR="00097C85" w:rsidRDefault="004A6C25">
      <w:pPr>
        <w:spacing w:before="120"/>
        <w:jc w:val="center"/>
        <w:rPr>
          <w:b/>
          <w:bCs/>
          <w:sz w:val="24"/>
          <w:szCs w:val="24"/>
        </w:rPr>
      </w:pPr>
      <w:r>
        <w:rPr>
          <w:b/>
          <w:bCs/>
          <w:sz w:val="24"/>
          <w:szCs w:val="24"/>
        </w:rPr>
        <w:t>On Point 28</w:t>
      </w:r>
    </w:p>
    <w:p w14:paraId="032B57D0" w14:textId="77777777" w:rsidR="00097C85" w:rsidRDefault="004A6C25">
      <w:pPr>
        <w:spacing w:before="120"/>
        <w:jc w:val="both"/>
        <w:rPr>
          <w:sz w:val="24"/>
          <w:szCs w:val="24"/>
        </w:rPr>
      </w:pPr>
      <w:r>
        <w:rPr>
          <w:sz w:val="24"/>
          <w:szCs w:val="24"/>
        </w:rPr>
        <w:t>In accordance with the Decree of the President of the Republic of Kazakhstan “On Measures for Further Improvement of Public Administration of the Republic of Kazakhstan” dated 19 July 2021, No. 622, the functions and powers of the Ministry of Internal Affairs in the area of medical support for persons held in institutions and pre-trial detention centers of the penitentiary system have been transferred to the Ministry of Health of the Republic of Kazakhstan (the “Ministry of Health”). Unfortunately, this situation did not resolve the systemic problems of healthcare in the penitentiary sphere; as demonstrated by the materials collected by the participants of the National Preventive Mechanism (NPM) of the Republic of Kazakhstan, a high turnover of medical workers, a shortage of qualified medical personnel, and a lack of medicinal products, which complicates real access for convicts to qualified medical care, are still a recurring theme. In addition, there has been no smooth transition and professional training of medical staff, who in turn lacked experience working with convicts.</w:t>
      </w:r>
    </w:p>
    <w:p w14:paraId="30D46AD4" w14:textId="77777777" w:rsidR="00097C85" w:rsidRDefault="004A6C25">
      <w:pPr>
        <w:spacing w:before="120"/>
        <w:jc w:val="both"/>
        <w:rPr>
          <w:sz w:val="24"/>
          <w:szCs w:val="24"/>
        </w:rPr>
      </w:pPr>
      <w:r>
        <w:rPr>
          <w:sz w:val="24"/>
          <w:szCs w:val="24"/>
        </w:rPr>
        <w:t xml:space="preserve">Relatives and convicts report that there is a shortage of medicinal products, and medications are </w:t>
      </w:r>
      <w:r>
        <w:rPr>
          <w:sz w:val="24"/>
          <w:szCs w:val="24"/>
        </w:rPr>
        <w:lastRenderedPageBreak/>
        <w:t xml:space="preserve">mainly purchased out of pocket, with personal money. </w:t>
      </w:r>
    </w:p>
    <w:p w14:paraId="60131D8F" w14:textId="2406DA9F" w:rsidR="00097C85" w:rsidRDefault="004A6C25">
      <w:pPr>
        <w:spacing w:before="120"/>
        <w:jc w:val="both"/>
        <w:rPr>
          <w:sz w:val="24"/>
          <w:szCs w:val="24"/>
        </w:rPr>
      </w:pPr>
      <w:r>
        <w:rPr>
          <w:sz w:val="24"/>
          <w:szCs w:val="24"/>
        </w:rPr>
        <w:t>Additionally, penitentiary institutions lack personnel (guards) to ensure all prisoners who need medical examination are properly and safely escorted to clinics.</w:t>
      </w:r>
    </w:p>
    <w:p w14:paraId="35FDC680" w14:textId="63B4F3F1" w:rsidR="00EA518B" w:rsidRDefault="00EA518B">
      <w:pPr>
        <w:spacing w:before="120"/>
        <w:jc w:val="both"/>
        <w:rPr>
          <w:sz w:val="24"/>
          <w:szCs w:val="24"/>
        </w:rPr>
      </w:pPr>
    </w:p>
    <w:p w14:paraId="2FFF3D6B" w14:textId="18579E02" w:rsidR="00EA518B" w:rsidRPr="00EA518B" w:rsidRDefault="00EA518B" w:rsidP="00EA518B">
      <w:pPr>
        <w:spacing w:before="120"/>
        <w:jc w:val="both"/>
        <w:rPr>
          <w:sz w:val="24"/>
          <w:szCs w:val="24"/>
        </w:rPr>
      </w:pPr>
      <w:r w:rsidRPr="00EA518B">
        <w:rPr>
          <w:sz w:val="24"/>
          <w:szCs w:val="24"/>
        </w:rPr>
        <w:t>Assessment of the implementation of recommendations by the State of Kazakhstan according to the Kazakhstan NGO Coalition against Torture:</w:t>
      </w:r>
    </w:p>
    <w:p w14:paraId="74555F9B" w14:textId="7E3D4872" w:rsidR="00EA518B" w:rsidRDefault="00EA518B" w:rsidP="00EA518B">
      <w:pPr>
        <w:spacing w:before="120"/>
        <w:jc w:val="both"/>
        <w:rPr>
          <w:sz w:val="24"/>
          <w:szCs w:val="24"/>
        </w:rPr>
      </w:pPr>
      <w:r w:rsidRPr="00EA518B">
        <w:rPr>
          <w:sz w:val="24"/>
          <w:szCs w:val="24"/>
        </w:rPr>
        <w:t xml:space="preserve">- </w:t>
      </w:r>
      <w:r>
        <w:rPr>
          <w:sz w:val="24"/>
          <w:szCs w:val="24"/>
        </w:rPr>
        <w:t>on point 10 – 2;</w:t>
      </w:r>
    </w:p>
    <w:p w14:paraId="14171263" w14:textId="4B52E12F" w:rsidR="00EA518B" w:rsidRDefault="00EA518B" w:rsidP="00EA518B">
      <w:pPr>
        <w:spacing w:before="120"/>
        <w:jc w:val="both"/>
        <w:rPr>
          <w:sz w:val="24"/>
          <w:szCs w:val="24"/>
        </w:rPr>
      </w:pPr>
      <w:r w:rsidRPr="00EA518B">
        <w:rPr>
          <w:sz w:val="24"/>
          <w:szCs w:val="24"/>
        </w:rPr>
        <w:t xml:space="preserve">- </w:t>
      </w:r>
      <w:r>
        <w:rPr>
          <w:sz w:val="24"/>
          <w:szCs w:val="24"/>
        </w:rPr>
        <w:t xml:space="preserve">on point </w:t>
      </w:r>
      <w:r>
        <w:rPr>
          <w:sz w:val="24"/>
          <w:szCs w:val="24"/>
        </w:rPr>
        <w:t>11</w:t>
      </w:r>
      <w:r>
        <w:rPr>
          <w:sz w:val="24"/>
          <w:szCs w:val="24"/>
        </w:rPr>
        <w:t xml:space="preserve"> –</w:t>
      </w:r>
      <w:r>
        <w:rPr>
          <w:sz w:val="24"/>
          <w:szCs w:val="24"/>
        </w:rPr>
        <w:t xml:space="preserve"> 1</w:t>
      </w:r>
      <w:r>
        <w:rPr>
          <w:sz w:val="24"/>
          <w:szCs w:val="24"/>
        </w:rPr>
        <w:t>;</w:t>
      </w:r>
    </w:p>
    <w:p w14:paraId="54290C79" w14:textId="54C38C10" w:rsidR="00EA518B" w:rsidRDefault="00EA518B" w:rsidP="00EA518B">
      <w:pPr>
        <w:spacing w:before="120"/>
        <w:jc w:val="both"/>
        <w:rPr>
          <w:sz w:val="24"/>
          <w:szCs w:val="24"/>
        </w:rPr>
      </w:pPr>
      <w:r w:rsidRPr="00EA518B">
        <w:rPr>
          <w:sz w:val="24"/>
          <w:szCs w:val="24"/>
        </w:rPr>
        <w:t xml:space="preserve">- </w:t>
      </w:r>
      <w:r>
        <w:rPr>
          <w:sz w:val="24"/>
          <w:szCs w:val="24"/>
        </w:rPr>
        <w:t xml:space="preserve">on point </w:t>
      </w:r>
      <w:r>
        <w:rPr>
          <w:sz w:val="24"/>
          <w:szCs w:val="24"/>
        </w:rPr>
        <w:t>21</w:t>
      </w:r>
      <w:r>
        <w:rPr>
          <w:sz w:val="24"/>
          <w:szCs w:val="24"/>
        </w:rPr>
        <w:t xml:space="preserve"> – </w:t>
      </w:r>
      <w:r>
        <w:rPr>
          <w:sz w:val="24"/>
          <w:szCs w:val="24"/>
        </w:rPr>
        <w:t>1</w:t>
      </w:r>
      <w:r>
        <w:rPr>
          <w:sz w:val="24"/>
          <w:szCs w:val="24"/>
        </w:rPr>
        <w:t>;</w:t>
      </w:r>
    </w:p>
    <w:p w14:paraId="45D053C0" w14:textId="5E3D1DB0" w:rsidR="00EA518B" w:rsidRDefault="00EA518B" w:rsidP="00EA518B">
      <w:pPr>
        <w:spacing w:before="120"/>
        <w:jc w:val="both"/>
        <w:rPr>
          <w:sz w:val="24"/>
          <w:szCs w:val="24"/>
        </w:rPr>
      </w:pPr>
      <w:r w:rsidRPr="00EA518B">
        <w:rPr>
          <w:sz w:val="24"/>
          <w:szCs w:val="24"/>
        </w:rPr>
        <w:t xml:space="preserve">- </w:t>
      </w:r>
      <w:r>
        <w:rPr>
          <w:sz w:val="24"/>
          <w:szCs w:val="24"/>
        </w:rPr>
        <w:t xml:space="preserve">on point </w:t>
      </w:r>
      <w:r>
        <w:rPr>
          <w:sz w:val="24"/>
          <w:szCs w:val="24"/>
        </w:rPr>
        <w:t>24</w:t>
      </w:r>
      <w:r>
        <w:rPr>
          <w:sz w:val="24"/>
          <w:szCs w:val="24"/>
        </w:rPr>
        <w:t xml:space="preserve"> – 2;</w:t>
      </w:r>
    </w:p>
    <w:p w14:paraId="6429C5C3" w14:textId="66FE31B4" w:rsidR="00EA518B" w:rsidRDefault="00EA518B" w:rsidP="00EA518B">
      <w:pPr>
        <w:spacing w:before="120"/>
        <w:jc w:val="both"/>
        <w:rPr>
          <w:sz w:val="24"/>
          <w:szCs w:val="24"/>
        </w:rPr>
      </w:pPr>
      <w:r w:rsidRPr="00EA518B">
        <w:rPr>
          <w:sz w:val="24"/>
          <w:szCs w:val="24"/>
        </w:rPr>
        <w:t xml:space="preserve">- </w:t>
      </w:r>
      <w:r>
        <w:rPr>
          <w:sz w:val="24"/>
          <w:szCs w:val="24"/>
        </w:rPr>
        <w:t xml:space="preserve">on point </w:t>
      </w:r>
      <w:r>
        <w:rPr>
          <w:sz w:val="24"/>
          <w:szCs w:val="24"/>
        </w:rPr>
        <w:t>28</w:t>
      </w:r>
      <w:r>
        <w:rPr>
          <w:sz w:val="24"/>
          <w:szCs w:val="24"/>
        </w:rPr>
        <w:t xml:space="preserve"> – 2;</w:t>
      </w:r>
    </w:p>
    <w:p w14:paraId="3194C1F3" w14:textId="2B7DF332" w:rsidR="00EA518B" w:rsidRDefault="00EA518B" w:rsidP="00EA518B">
      <w:pPr>
        <w:spacing w:before="120"/>
        <w:jc w:val="both"/>
        <w:rPr>
          <w:sz w:val="24"/>
          <w:szCs w:val="24"/>
        </w:rPr>
      </w:pPr>
      <w:r w:rsidRPr="00EA518B">
        <w:rPr>
          <w:sz w:val="24"/>
          <w:szCs w:val="24"/>
        </w:rPr>
        <w:t xml:space="preserve">- </w:t>
      </w:r>
      <w:r>
        <w:rPr>
          <w:sz w:val="24"/>
          <w:szCs w:val="24"/>
        </w:rPr>
        <w:t xml:space="preserve">on point </w:t>
      </w:r>
      <w:r>
        <w:rPr>
          <w:sz w:val="24"/>
          <w:szCs w:val="24"/>
        </w:rPr>
        <w:t>44</w:t>
      </w:r>
      <w:r>
        <w:rPr>
          <w:sz w:val="24"/>
          <w:szCs w:val="24"/>
        </w:rPr>
        <w:t xml:space="preserve"> –</w:t>
      </w:r>
      <w:r>
        <w:rPr>
          <w:sz w:val="24"/>
          <w:szCs w:val="24"/>
        </w:rPr>
        <w:t xml:space="preserve"> n</w:t>
      </w:r>
      <w:r w:rsidRPr="00EA518B">
        <w:rPr>
          <w:sz w:val="24"/>
          <w:szCs w:val="24"/>
        </w:rPr>
        <w:t>/</w:t>
      </w:r>
      <w:r>
        <w:rPr>
          <w:sz w:val="24"/>
          <w:szCs w:val="24"/>
        </w:rPr>
        <w:t>a – according to the State, it undertook all necessary measures, but the RK Defense Ministry is still closed for the both, NPM and CSO monitoring</w:t>
      </w:r>
      <w:r>
        <w:rPr>
          <w:sz w:val="24"/>
          <w:szCs w:val="24"/>
        </w:rPr>
        <w:t>;</w:t>
      </w:r>
    </w:p>
    <w:p w14:paraId="32E167A3" w14:textId="0D5788C4" w:rsidR="00EA518B" w:rsidRDefault="00EA518B" w:rsidP="00EA518B">
      <w:pPr>
        <w:spacing w:before="120"/>
        <w:jc w:val="both"/>
        <w:rPr>
          <w:sz w:val="24"/>
          <w:szCs w:val="24"/>
        </w:rPr>
      </w:pPr>
      <w:r w:rsidRPr="00EA518B">
        <w:rPr>
          <w:sz w:val="24"/>
          <w:szCs w:val="24"/>
        </w:rPr>
        <w:t xml:space="preserve">- </w:t>
      </w:r>
      <w:r>
        <w:rPr>
          <w:sz w:val="24"/>
          <w:szCs w:val="24"/>
        </w:rPr>
        <w:t xml:space="preserve">on point </w:t>
      </w:r>
      <w:r>
        <w:rPr>
          <w:sz w:val="24"/>
          <w:szCs w:val="24"/>
        </w:rPr>
        <w:t>46</w:t>
      </w:r>
      <w:r>
        <w:rPr>
          <w:sz w:val="24"/>
          <w:szCs w:val="24"/>
        </w:rPr>
        <w:t xml:space="preserve"> – </w:t>
      </w:r>
      <w:r>
        <w:rPr>
          <w:sz w:val="24"/>
          <w:szCs w:val="24"/>
        </w:rPr>
        <w:t>3</w:t>
      </w:r>
      <w:r>
        <w:rPr>
          <w:sz w:val="24"/>
          <w:szCs w:val="24"/>
        </w:rPr>
        <w:t>;</w:t>
      </w:r>
    </w:p>
    <w:p w14:paraId="0C51A253" w14:textId="751AD72B" w:rsidR="00EA518B" w:rsidRDefault="00EA518B" w:rsidP="00EA518B">
      <w:pPr>
        <w:spacing w:before="120"/>
        <w:jc w:val="both"/>
        <w:rPr>
          <w:sz w:val="24"/>
          <w:szCs w:val="24"/>
        </w:rPr>
      </w:pPr>
      <w:r w:rsidRPr="00EA518B">
        <w:rPr>
          <w:sz w:val="24"/>
          <w:szCs w:val="24"/>
        </w:rPr>
        <w:t xml:space="preserve">- </w:t>
      </w:r>
      <w:r>
        <w:rPr>
          <w:sz w:val="24"/>
          <w:szCs w:val="24"/>
        </w:rPr>
        <w:t xml:space="preserve">on point </w:t>
      </w:r>
      <w:r>
        <w:rPr>
          <w:sz w:val="24"/>
          <w:szCs w:val="24"/>
        </w:rPr>
        <w:t>47</w:t>
      </w:r>
      <w:r>
        <w:rPr>
          <w:sz w:val="24"/>
          <w:szCs w:val="24"/>
        </w:rPr>
        <w:t xml:space="preserve"> – </w:t>
      </w:r>
      <w:r>
        <w:rPr>
          <w:sz w:val="24"/>
          <w:szCs w:val="24"/>
        </w:rPr>
        <w:t>3</w:t>
      </w:r>
      <w:r>
        <w:rPr>
          <w:sz w:val="24"/>
          <w:szCs w:val="24"/>
        </w:rPr>
        <w:t>;</w:t>
      </w:r>
    </w:p>
    <w:p w14:paraId="32CCEFEB" w14:textId="311A6C41" w:rsidR="00EA518B" w:rsidRDefault="00EA518B" w:rsidP="00EA518B">
      <w:pPr>
        <w:spacing w:before="120"/>
        <w:jc w:val="both"/>
        <w:rPr>
          <w:sz w:val="24"/>
          <w:szCs w:val="24"/>
        </w:rPr>
      </w:pPr>
      <w:r w:rsidRPr="00EA518B">
        <w:rPr>
          <w:sz w:val="24"/>
          <w:szCs w:val="24"/>
        </w:rPr>
        <w:t xml:space="preserve">- </w:t>
      </w:r>
      <w:r>
        <w:rPr>
          <w:sz w:val="24"/>
          <w:szCs w:val="24"/>
        </w:rPr>
        <w:t xml:space="preserve">on point </w:t>
      </w:r>
      <w:r>
        <w:rPr>
          <w:sz w:val="24"/>
          <w:szCs w:val="24"/>
        </w:rPr>
        <w:t>48</w:t>
      </w:r>
      <w:r>
        <w:rPr>
          <w:sz w:val="24"/>
          <w:szCs w:val="24"/>
        </w:rPr>
        <w:t xml:space="preserve"> – </w:t>
      </w:r>
      <w:r>
        <w:rPr>
          <w:sz w:val="24"/>
          <w:szCs w:val="24"/>
        </w:rPr>
        <w:t>3.</w:t>
      </w:r>
      <w:bookmarkStart w:id="0" w:name="_GoBack"/>
      <w:bookmarkEnd w:id="0"/>
    </w:p>
    <w:p w14:paraId="10113740" w14:textId="77777777" w:rsidR="00EA518B" w:rsidRPr="00EA518B" w:rsidRDefault="00EA518B" w:rsidP="00EA518B">
      <w:pPr>
        <w:spacing w:before="120"/>
        <w:jc w:val="both"/>
        <w:rPr>
          <w:sz w:val="24"/>
          <w:szCs w:val="24"/>
        </w:rPr>
      </w:pPr>
    </w:p>
    <w:sectPr w:rsidR="00EA518B" w:rsidRPr="00EA518B">
      <w:type w:val="continuous"/>
      <w:pgSz w:w="12240" w:h="15840"/>
      <w:pgMar w:top="1440" w:right="1440" w:bottom="1440" w:left="1440"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897251"/>
    <w:multiLevelType w:val="singleLevel"/>
    <w:tmpl w:val="E230E21E"/>
    <w:name w:val="Bullet 2"/>
    <w:lvl w:ilvl="0">
      <w:numFmt w:val="bullet"/>
      <w:lvlText w:val=""/>
      <w:lvlJc w:val="left"/>
      <w:pPr>
        <w:ind w:left="0" w:firstLine="0"/>
      </w:pPr>
      <w:rPr>
        <w:rFonts w:ascii="Wingdings" w:eastAsia="Wingdings" w:hAnsi="Wingdings" w:cs="Wingdings"/>
      </w:rPr>
    </w:lvl>
  </w:abstractNum>
  <w:abstractNum w:abstractNumId="1" w15:restartNumberingAfterBreak="0">
    <w:nsid w:val="390F33B1"/>
    <w:multiLevelType w:val="singleLevel"/>
    <w:tmpl w:val="9A9CE706"/>
    <w:name w:val="Bullet 1"/>
    <w:lvl w:ilvl="0">
      <w:start w:val="1"/>
      <w:numFmt w:val="ordinal"/>
      <w:lvlText w:val="%1"/>
      <w:lvlJc w:val="left"/>
      <w:pPr>
        <w:ind w:left="0" w:firstLine="0"/>
      </w:pPr>
    </w:lvl>
  </w:abstractNum>
  <w:abstractNum w:abstractNumId="2" w15:restartNumberingAfterBreak="0">
    <w:nsid w:val="43584E4F"/>
    <w:multiLevelType w:val="hybridMultilevel"/>
    <w:tmpl w:val="E71237FC"/>
    <w:lvl w:ilvl="0" w:tplc="0B9808D6">
      <w:numFmt w:val="none"/>
      <w:lvlText w:val=""/>
      <w:lvlJc w:val="left"/>
      <w:pPr>
        <w:tabs>
          <w:tab w:val="num" w:pos="360"/>
        </w:tabs>
        <w:ind w:left="360" w:hanging="360"/>
      </w:pPr>
    </w:lvl>
    <w:lvl w:ilvl="1" w:tplc="4964FA10">
      <w:numFmt w:val="none"/>
      <w:lvlText w:val=""/>
      <w:lvlJc w:val="left"/>
      <w:pPr>
        <w:tabs>
          <w:tab w:val="num" w:pos="360"/>
        </w:tabs>
        <w:ind w:left="360" w:hanging="360"/>
      </w:pPr>
    </w:lvl>
    <w:lvl w:ilvl="2" w:tplc="C3007192">
      <w:numFmt w:val="none"/>
      <w:lvlText w:val=""/>
      <w:lvlJc w:val="left"/>
      <w:pPr>
        <w:tabs>
          <w:tab w:val="num" w:pos="360"/>
        </w:tabs>
        <w:ind w:left="360" w:hanging="360"/>
      </w:pPr>
    </w:lvl>
    <w:lvl w:ilvl="3" w:tplc="86F28ED6">
      <w:numFmt w:val="none"/>
      <w:lvlText w:val=""/>
      <w:lvlJc w:val="left"/>
      <w:pPr>
        <w:tabs>
          <w:tab w:val="num" w:pos="360"/>
        </w:tabs>
        <w:ind w:left="360" w:hanging="360"/>
      </w:pPr>
    </w:lvl>
    <w:lvl w:ilvl="4" w:tplc="51D60F4E">
      <w:numFmt w:val="none"/>
      <w:lvlText w:val=""/>
      <w:lvlJc w:val="left"/>
      <w:pPr>
        <w:tabs>
          <w:tab w:val="num" w:pos="360"/>
        </w:tabs>
        <w:ind w:left="360" w:hanging="360"/>
      </w:pPr>
    </w:lvl>
    <w:lvl w:ilvl="5" w:tplc="7452C70C">
      <w:numFmt w:val="none"/>
      <w:lvlText w:val=""/>
      <w:lvlJc w:val="left"/>
      <w:pPr>
        <w:tabs>
          <w:tab w:val="num" w:pos="360"/>
        </w:tabs>
        <w:ind w:left="360" w:hanging="360"/>
      </w:pPr>
    </w:lvl>
    <w:lvl w:ilvl="6" w:tplc="9DC89D8E">
      <w:numFmt w:val="none"/>
      <w:lvlText w:val=""/>
      <w:lvlJc w:val="left"/>
      <w:pPr>
        <w:tabs>
          <w:tab w:val="num" w:pos="360"/>
        </w:tabs>
        <w:ind w:left="360" w:hanging="360"/>
      </w:pPr>
    </w:lvl>
    <w:lvl w:ilvl="7" w:tplc="F8FC8A4A">
      <w:numFmt w:val="none"/>
      <w:lvlText w:val=""/>
      <w:lvlJc w:val="left"/>
      <w:pPr>
        <w:tabs>
          <w:tab w:val="num" w:pos="360"/>
        </w:tabs>
        <w:ind w:left="360" w:hanging="360"/>
      </w:pPr>
    </w:lvl>
    <w:lvl w:ilvl="8" w:tplc="DF2C327E">
      <w:numFmt w:val="none"/>
      <w:lvlText w:val=""/>
      <w:lvlJc w:val="left"/>
      <w:pPr>
        <w:tabs>
          <w:tab w:val="num" w:pos="360"/>
        </w:tabs>
        <w:ind w:left="36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rawingGridHorizontalSpacing w:val="283"/>
  <w:drawingGridVerticalSpacing w:val="283"/>
  <w:doNotShadeFormData/>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C85"/>
    <w:rsid w:val="00097C85"/>
    <w:rsid w:val="004A6C25"/>
    <w:rsid w:val="00613419"/>
    <w:rsid w:val="0086031B"/>
    <w:rsid w:val="00C46F36"/>
    <w:rsid w:val="00EA51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84CEE"/>
  <w15:docId w15:val="{F80AC803-02E8-0E43-A3D0-AA4B1ACEC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kern w:val="1"/>
        <w:lang w:val="en-US" w:eastAsia="zh-CN"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keepLines/>
      <w:spacing w:before="240" w:after="60"/>
      <w:outlineLvl w:val="0"/>
    </w:pPr>
    <w:rPr>
      <w:rFonts w:ascii="Arial" w:hAnsi="Arial" w:cs="Arial"/>
      <w:b/>
      <w:bCs/>
      <w:sz w:val="36"/>
      <w:szCs w:val="36"/>
    </w:rPr>
  </w:style>
  <w:style w:type="paragraph" w:styleId="2">
    <w:name w:val="heading 2"/>
    <w:basedOn w:val="1"/>
    <w:next w:val="a"/>
    <w:qFormat/>
    <w:pPr>
      <w:outlineLvl w:val="1"/>
    </w:pPr>
    <w:rPr>
      <w:sz w:val="32"/>
      <w:szCs w:val="32"/>
    </w:rPr>
  </w:style>
  <w:style w:type="paragraph" w:styleId="3">
    <w:name w:val="heading 3"/>
    <w:basedOn w:val="2"/>
    <w:next w:val="a"/>
    <w:qFormat/>
    <w:pPr>
      <w:outlineLvl w:val="2"/>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6</Pages>
  <Words>2856</Words>
  <Characters>16284</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Диана</cp:lastModifiedBy>
  <cp:revision>6</cp:revision>
  <dcterms:created xsi:type="dcterms:W3CDTF">2024-07-31T13:58:00Z</dcterms:created>
  <dcterms:modified xsi:type="dcterms:W3CDTF">2024-08-01T08:40:00Z</dcterms:modified>
</cp:coreProperties>
</file>