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93403" w14:textId="77777777" w:rsidR="006A6CCA" w:rsidRDefault="006A6CCA" w:rsidP="008E4728">
      <w:pPr>
        <w:rPr>
          <w:rFonts w:ascii="Palatino Linotype" w:hAnsi="Palatino Linotype"/>
          <w:sz w:val="32"/>
          <w:szCs w:val="32"/>
        </w:rPr>
      </w:pPr>
    </w:p>
    <w:p w14:paraId="2B3D1CA0" w14:textId="31541018" w:rsidR="006A6CCA" w:rsidRDefault="00AD401A" w:rsidP="006A6CCA">
      <w:pPr>
        <w:jc w:val="center"/>
        <w:rPr>
          <w:rFonts w:ascii="Palatino Linotype" w:hAnsi="Palatino Linotype"/>
          <w:b/>
          <w:sz w:val="32"/>
          <w:szCs w:val="32"/>
        </w:rPr>
      </w:pPr>
      <w:r>
        <w:rPr>
          <w:rFonts w:ascii="Palatino Linotype" w:hAnsi="Palatino Linotype"/>
          <w:b/>
          <w:sz w:val="32"/>
          <w:szCs w:val="32"/>
        </w:rPr>
        <w:t>Parallel report</w:t>
      </w:r>
      <w:r w:rsidR="006A6CCA" w:rsidRPr="00BA51D6">
        <w:rPr>
          <w:rFonts w:ascii="Palatino Linotype" w:hAnsi="Palatino Linotype"/>
          <w:b/>
          <w:sz w:val="32"/>
          <w:szCs w:val="32"/>
        </w:rPr>
        <w:t xml:space="preserve"> for consideration by the</w:t>
      </w:r>
    </w:p>
    <w:p w14:paraId="627FEF2E" w14:textId="77777777" w:rsidR="00BA51D6" w:rsidRPr="00BA51D6" w:rsidRDefault="00BA51D6" w:rsidP="006A6CCA">
      <w:pPr>
        <w:jc w:val="center"/>
        <w:rPr>
          <w:rFonts w:ascii="Palatino Linotype" w:hAnsi="Palatino Linotype"/>
          <w:b/>
          <w:sz w:val="32"/>
          <w:szCs w:val="32"/>
        </w:rPr>
      </w:pPr>
    </w:p>
    <w:p w14:paraId="6C44B0F0" w14:textId="77777777" w:rsidR="00530BB1" w:rsidRDefault="006A6CCA" w:rsidP="006A6CCA">
      <w:pPr>
        <w:jc w:val="center"/>
        <w:rPr>
          <w:rFonts w:ascii="Palatino Linotype" w:hAnsi="Palatino Linotype"/>
          <w:b/>
          <w:sz w:val="32"/>
          <w:szCs w:val="32"/>
        </w:rPr>
      </w:pPr>
      <w:r w:rsidRPr="006A6CCA">
        <w:rPr>
          <w:rFonts w:ascii="Palatino Linotype" w:hAnsi="Palatino Linotype"/>
          <w:b/>
          <w:sz w:val="32"/>
          <w:szCs w:val="32"/>
        </w:rPr>
        <w:t>Committee</w:t>
      </w:r>
      <w:r w:rsidR="00E81509">
        <w:rPr>
          <w:rFonts w:ascii="Palatino Linotype" w:hAnsi="Palatino Linotype"/>
          <w:b/>
          <w:sz w:val="32"/>
          <w:szCs w:val="32"/>
        </w:rPr>
        <w:t xml:space="preserve"> </w:t>
      </w:r>
      <w:r w:rsidR="00530BB1">
        <w:rPr>
          <w:rFonts w:ascii="Palatino Linotype" w:hAnsi="Palatino Linotype"/>
          <w:b/>
          <w:sz w:val="32"/>
          <w:szCs w:val="32"/>
        </w:rPr>
        <w:t>on Economic, Social and Cultural Rights</w:t>
      </w:r>
    </w:p>
    <w:p w14:paraId="7AFA394C" w14:textId="0E3A20E0" w:rsidR="006A6CCA" w:rsidRPr="006A6CCA" w:rsidRDefault="00530BB1" w:rsidP="006A6CCA">
      <w:pPr>
        <w:jc w:val="center"/>
        <w:rPr>
          <w:rFonts w:ascii="Palatino Linotype" w:hAnsi="Palatino Linotype"/>
          <w:i/>
          <w:sz w:val="32"/>
          <w:szCs w:val="32"/>
        </w:rPr>
      </w:pPr>
      <w:r>
        <w:rPr>
          <w:rFonts w:ascii="Palatino Linotype" w:hAnsi="Palatino Linotype"/>
          <w:i/>
          <w:sz w:val="32"/>
          <w:szCs w:val="32"/>
        </w:rPr>
        <w:t>in relation to</w:t>
      </w:r>
    </w:p>
    <w:p w14:paraId="6C750601" w14:textId="79A9EACE" w:rsidR="006A6CCA" w:rsidRPr="006A6CCA" w:rsidRDefault="006A6CCA" w:rsidP="006A6CCA">
      <w:pPr>
        <w:jc w:val="center"/>
        <w:rPr>
          <w:rFonts w:ascii="Palatino Linotype" w:hAnsi="Palatino Linotype"/>
          <w:b/>
          <w:sz w:val="32"/>
          <w:szCs w:val="32"/>
        </w:rPr>
      </w:pPr>
      <w:r w:rsidRPr="006A6CCA">
        <w:rPr>
          <w:rFonts w:ascii="Palatino Linotype" w:hAnsi="Palatino Linotype"/>
          <w:b/>
          <w:sz w:val="32"/>
          <w:szCs w:val="32"/>
        </w:rPr>
        <w:t xml:space="preserve">Canada’s </w:t>
      </w:r>
      <w:r w:rsidR="00530BB1">
        <w:rPr>
          <w:rFonts w:ascii="Palatino Linotype" w:hAnsi="Palatino Linotype"/>
          <w:b/>
          <w:sz w:val="32"/>
          <w:szCs w:val="32"/>
        </w:rPr>
        <w:t>6</w:t>
      </w:r>
      <w:r w:rsidR="00530BB1" w:rsidRPr="00530BB1">
        <w:rPr>
          <w:rFonts w:ascii="Palatino Linotype" w:hAnsi="Palatino Linotype"/>
          <w:b/>
          <w:sz w:val="32"/>
          <w:szCs w:val="32"/>
          <w:vertAlign w:val="superscript"/>
        </w:rPr>
        <w:t>th</w:t>
      </w:r>
      <w:r w:rsidR="00530BB1">
        <w:rPr>
          <w:rFonts w:ascii="Palatino Linotype" w:hAnsi="Palatino Linotype"/>
          <w:b/>
          <w:sz w:val="32"/>
          <w:szCs w:val="32"/>
        </w:rPr>
        <w:t xml:space="preserve"> periodic report</w:t>
      </w:r>
    </w:p>
    <w:p w14:paraId="607435B2" w14:textId="77777777" w:rsidR="006A6CCA" w:rsidRPr="006A6CCA" w:rsidRDefault="006A6CCA" w:rsidP="006A6CCA">
      <w:pPr>
        <w:jc w:val="center"/>
        <w:rPr>
          <w:rFonts w:ascii="Palatino Linotype" w:hAnsi="Palatino Linotype"/>
          <w:i/>
          <w:sz w:val="32"/>
          <w:szCs w:val="32"/>
        </w:rPr>
      </w:pPr>
      <w:r w:rsidRPr="006A6CCA">
        <w:rPr>
          <w:rFonts w:ascii="Palatino Linotype" w:hAnsi="Palatino Linotype"/>
          <w:i/>
          <w:sz w:val="32"/>
          <w:szCs w:val="32"/>
        </w:rPr>
        <w:t>under the</w:t>
      </w:r>
    </w:p>
    <w:p w14:paraId="677974A3" w14:textId="5CB4F129" w:rsidR="006A6CCA" w:rsidRDefault="00FF2426" w:rsidP="00530BB1">
      <w:pPr>
        <w:jc w:val="center"/>
        <w:rPr>
          <w:rFonts w:ascii="Palatino Linotype" w:hAnsi="Palatino Linotype"/>
          <w:sz w:val="24"/>
          <w:szCs w:val="24"/>
        </w:rPr>
      </w:pPr>
      <w:r>
        <w:rPr>
          <w:rFonts w:ascii="Palatino Linotype" w:hAnsi="Palatino Linotype"/>
          <w:b/>
          <w:sz w:val="32"/>
          <w:szCs w:val="32"/>
        </w:rPr>
        <w:t xml:space="preserve">International </w:t>
      </w:r>
      <w:r w:rsidR="006A6CCA" w:rsidRPr="006A6CCA">
        <w:rPr>
          <w:rFonts w:ascii="Palatino Linotype" w:hAnsi="Palatino Linotype"/>
          <w:b/>
          <w:sz w:val="32"/>
          <w:szCs w:val="32"/>
        </w:rPr>
        <w:t xml:space="preserve">Covenant on </w:t>
      </w:r>
      <w:r w:rsidR="00530BB1">
        <w:rPr>
          <w:rFonts w:ascii="Palatino Linotype" w:hAnsi="Palatino Linotype"/>
          <w:b/>
          <w:sz w:val="32"/>
          <w:szCs w:val="32"/>
        </w:rPr>
        <w:t>Economic, Social and Cultural Rights</w:t>
      </w:r>
    </w:p>
    <w:p w14:paraId="46769B8D" w14:textId="77777777" w:rsidR="008E4728" w:rsidRPr="006A6CCA" w:rsidRDefault="008E4728" w:rsidP="008E4728">
      <w:pPr>
        <w:jc w:val="center"/>
        <w:rPr>
          <w:rFonts w:ascii="Palatino Linotype" w:hAnsi="Palatino Linotype"/>
          <w:sz w:val="32"/>
          <w:szCs w:val="32"/>
        </w:rPr>
      </w:pPr>
      <w:r>
        <w:rPr>
          <w:rFonts w:ascii="Palatino Linotype" w:hAnsi="Palatino Linotype"/>
          <w:sz w:val="32"/>
          <w:szCs w:val="32"/>
        </w:rPr>
        <w:t>January 22, 2016</w:t>
      </w:r>
    </w:p>
    <w:p w14:paraId="397C80C9" w14:textId="77777777" w:rsidR="006A6CCA" w:rsidRDefault="006A6CCA" w:rsidP="00725EB7">
      <w:pPr>
        <w:rPr>
          <w:rFonts w:ascii="Palatino Linotype" w:hAnsi="Palatino Linotype"/>
          <w:sz w:val="24"/>
          <w:szCs w:val="24"/>
        </w:rPr>
      </w:pPr>
    </w:p>
    <w:p w14:paraId="5717E020" w14:textId="77777777" w:rsidR="008E4728" w:rsidRDefault="008E4728" w:rsidP="00725EB7">
      <w:pPr>
        <w:rPr>
          <w:rFonts w:ascii="Palatino Linotype" w:hAnsi="Palatino Linotype"/>
          <w:sz w:val="24"/>
          <w:szCs w:val="24"/>
        </w:rPr>
      </w:pPr>
    </w:p>
    <w:p w14:paraId="2F819FBB" w14:textId="65EB4D30" w:rsidR="007404C6" w:rsidRDefault="008E4728" w:rsidP="008E4728">
      <w:pPr>
        <w:rPr>
          <w:rFonts w:ascii="Palatino Linotype" w:hAnsi="Palatino Linotype"/>
          <w:sz w:val="24"/>
          <w:szCs w:val="24"/>
        </w:rPr>
      </w:pPr>
      <w:r>
        <w:rPr>
          <w:rFonts w:ascii="Palatino Linotype" w:hAnsi="Palatino Linotype"/>
          <w:sz w:val="24"/>
          <w:szCs w:val="24"/>
        </w:rPr>
        <w:t>Prepared by:</w:t>
      </w:r>
    </w:p>
    <w:p w14:paraId="4098CE34" w14:textId="7A83AB61" w:rsidR="007404C6" w:rsidRDefault="007404C6" w:rsidP="007404C6">
      <w:pPr>
        <w:jc w:val="center"/>
        <w:rPr>
          <w:rFonts w:ascii="Palatino Linotype" w:hAnsi="Palatino Linotype"/>
          <w:sz w:val="24"/>
          <w:szCs w:val="24"/>
        </w:rPr>
      </w:pPr>
      <w:r>
        <w:rPr>
          <w:rFonts w:ascii="Palatino Linotype" w:hAnsi="Palatino Linotype"/>
          <w:noProof/>
          <w:sz w:val="24"/>
          <w:szCs w:val="24"/>
          <w:lang w:val="en-CA" w:eastAsia="en-CA"/>
        </w:rPr>
        <w:drawing>
          <wp:inline distT="0" distB="0" distL="0" distR="0" wp14:anchorId="6510C905" wp14:editId="2BC68907">
            <wp:extent cx="2162175"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if"/>
                    <pic:cNvPicPr/>
                  </pic:nvPicPr>
                  <pic:blipFill>
                    <a:blip r:embed="rId8">
                      <a:extLst>
                        <a:ext uri="{28A0092B-C50C-407E-A947-70E740481C1C}">
                          <a14:useLocalDpi xmlns:a14="http://schemas.microsoft.com/office/drawing/2010/main" val="0"/>
                        </a:ext>
                      </a:extLst>
                    </a:blip>
                    <a:stretch>
                      <a:fillRect/>
                    </a:stretch>
                  </pic:blipFill>
                  <pic:spPr>
                    <a:xfrm>
                      <a:off x="0" y="0"/>
                      <a:ext cx="2162175" cy="1066800"/>
                    </a:xfrm>
                    <a:prstGeom prst="rect">
                      <a:avLst/>
                    </a:prstGeom>
                  </pic:spPr>
                </pic:pic>
              </a:graphicData>
            </a:graphic>
          </wp:inline>
        </w:drawing>
      </w:r>
    </w:p>
    <w:p w14:paraId="4D7E394E" w14:textId="77777777" w:rsidR="008E4728" w:rsidRPr="008E4728" w:rsidRDefault="008E4728" w:rsidP="008E4728">
      <w:pPr>
        <w:jc w:val="center"/>
        <w:rPr>
          <w:rFonts w:ascii="Palatino Linotype" w:hAnsi="Palatino Linotype"/>
          <w:sz w:val="28"/>
          <w:szCs w:val="28"/>
        </w:rPr>
      </w:pPr>
      <w:r w:rsidRPr="008E4728">
        <w:rPr>
          <w:rFonts w:ascii="Palatino Linotype" w:hAnsi="Palatino Linotype"/>
          <w:sz w:val="28"/>
          <w:szCs w:val="28"/>
        </w:rPr>
        <w:t>International Human Rights Association of American Minorities</w:t>
      </w:r>
    </w:p>
    <w:p w14:paraId="7E6941F2" w14:textId="275BBE0B" w:rsidR="008E4728" w:rsidRDefault="008E4728" w:rsidP="008E4728">
      <w:pPr>
        <w:shd w:val="clear" w:color="auto" w:fill="FFFFFF"/>
        <w:spacing w:after="0" w:line="240" w:lineRule="auto"/>
        <w:ind w:left="600"/>
        <w:jc w:val="center"/>
        <w:rPr>
          <w:rFonts w:ascii="Palatino Linotype" w:eastAsia="Times New Roman" w:hAnsi="Palatino Linotype" w:cs="Arial"/>
          <w:bCs/>
          <w:color w:val="333333"/>
          <w:sz w:val="24"/>
          <w:szCs w:val="24"/>
        </w:rPr>
      </w:pPr>
      <w:r w:rsidRPr="006A6CCA">
        <w:rPr>
          <w:rFonts w:ascii="Palatino Linotype" w:eastAsia="Times New Roman" w:hAnsi="Palatino Linotype" w:cs="Arial"/>
          <w:bCs/>
          <w:color w:val="333333"/>
          <w:sz w:val="24"/>
          <w:szCs w:val="24"/>
        </w:rPr>
        <w:t>101 - 5170 Dunster Rd., Ste. 117</w:t>
      </w:r>
      <w:r w:rsidRPr="006A6CCA">
        <w:rPr>
          <w:rFonts w:ascii="Palatino Linotype" w:eastAsia="Times New Roman" w:hAnsi="Palatino Linotype" w:cs="Arial"/>
          <w:bCs/>
          <w:color w:val="333333"/>
          <w:sz w:val="24"/>
          <w:szCs w:val="24"/>
        </w:rPr>
        <w:br/>
        <w:t>Nanaimo, BC V9T 6M4, Canada</w:t>
      </w:r>
      <w:r w:rsidRPr="006A6CCA">
        <w:rPr>
          <w:rFonts w:ascii="Palatino Linotype" w:eastAsia="Times New Roman" w:hAnsi="Palatino Linotype" w:cs="Arial"/>
          <w:bCs/>
          <w:color w:val="333333"/>
          <w:sz w:val="24"/>
          <w:szCs w:val="24"/>
        </w:rPr>
        <w:br/>
        <w:t>Fax: 877-613-7868</w:t>
      </w:r>
      <w:r w:rsidRPr="006A6CCA">
        <w:rPr>
          <w:rFonts w:ascii="Palatino Linotype" w:eastAsia="Times New Roman" w:hAnsi="Palatino Linotype" w:cs="Arial"/>
          <w:bCs/>
          <w:color w:val="333333"/>
          <w:sz w:val="24"/>
          <w:szCs w:val="24"/>
        </w:rPr>
        <w:br/>
      </w:r>
      <w:hyperlink r:id="rId9" w:history="1">
        <w:r w:rsidR="007404C6" w:rsidRPr="00936051">
          <w:rPr>
            <w:rStyle w:val="Hyperlink"/>
            <w:rFonts w:ascii="Palatino Linotype" w:eastAsia="Times New Roman" w:hAnsi="Palatino Linotype" w:cs="Arial"/>
            <w:bCs/>
            <w:sz w:val="24"/>
            <w:szCs w:val="24"/>
          </w:rPr>
          <w:t>communications@ihraam.org</w:t>
        </w:r>
      </w:hyperlink>
    </w:p>
    <w:p w14:paraId="49FE00AB" w14:textId="77777777" w:rsidR="008E4728" w:rsidRDefault="008E4728" w:rsidP="00725EB7">
      <w:pPr>
        <w:rPr>
          <w:rFonts w:ascii="Palatino Linotype" w:hAnsi="Palatino Linotype"/>
          <w:sz w:val="24"/>
          <w:szCs w:val="24"/>
        </w:rPr>
      </w:pPr>
    </w:p>
    <w:p w14:paraId="5B1E7C81" w14:textId="77777777" w:rsidR="0027780C" w:rsidRDefault="0027780C" w:rsidP="00725EB7">
      <w:pPr>
        <w:rPr>
          <w:rFonts w:ascii="Palatino Linotype" w:hAnsi="Palatino Linotype"/>
          <w:sz w:val="24"/>
          <w:szCs w:val="24"/>
        </w:rPr>
      </w:pPr>
    </w:p>
    <w:p w14:paraId="445187FB" w14:textId="77777777" w:rsidR="008E4728" w:rsidRDefault="008E4728">
      <w:pPr>
        <w:rPr>
          <w:rFonts w:ascii="Palatino Linotype" w:hAnsi="Palatino Linotype"/>
          <w:b/>
          <w:sz w:val="28"/>
          <w:szCs w:val="28"/>
        </w:rPr>
      </w:pPr>
      <w:r>
        <w:rPr>
          <w:rFonts w:ascii="Palatino Linotype" w:hAnsi="Palatino Linotype"/>
          <w:b/>
          <w:sz w:val="28"/>
          <w:szCs w:val="28"/>
        </w:rPr>
        <w:br w:type="page"/>
      </w:r>
    </w:p>
    <w:p w14:paraId="072E3892" w14:textId="77777777" w:rsidR="001E78DB" w:rsidRDefault="001E78DB" w:rsidP="001E78DB">
      <w:pPr>
        <w:rPr>
          <w:rFonts w:ascii="Palatino Linotype" w:hAnsi="Palatino Linotype"/>
          <w:b/>
          <w:sz w:val="28"/>
          <w:szCs w:val="28"/>
        </w:rPr>
      </w:pPr>
      <w:r>
        <w:rPr>
          <w:rFonts w:ascii="Palatino Linotype" w:hAnsi="Palatino Linotype"/>
          <w:b/>
          <w:sz w:val="28"/>
          <w:szCs w:val="28"/>
        </w:rPr>
        <w:lastRenderedPageBreak/>
        <w:t>Involvement of the CESCR with respect to the human rights of Indigenous Peoples and Canada</w:t>
      </w:r>
    </w:p>
    <w:p w14:paraId="133CE074" w14:textId="7C8A20D1" w:rsidR="001E78DB" w:rsidRDefault="001E78DB" w:rsidP="001E78DB">
      <w:pPr>
        <w:rPr>
          <w:rFonts w:ascii="Palatino Linotype" w:hAnsi="Palatino Linotype"/>
          <w:sz w:val="24"/>
          <w:szCs w:val="24"/>
        </w:rPr>
      </w:pPr>
      <w:r>
        <w:rPr>
          <w:rFonts w:ascii="Palatino Linotype" w:hAnsi="Palatino Linotype"/>
          <w:sz w:val="24"/>
          <w:szCs w:val="24"/>
        </w:rPr>
        <w:t>IHRAAM welcomes the work of the Committee in observing and remarking on the situation of Indigenous Peoples’ inherent rights, including the Article 1 rights to self-determination</w:t>
      </w:r>
      <w:r w:rsidR="007404C6">
        <w:rPr>
          <w:rFonts w:ascii="Palatino Linotype" w:hAnsi="Palatino Linotype"/>
          <w:sz w:val="24"/>
          <w:szCs w:val="24"/>
        </w:rPr>
        <w:t>,</w:t>
      </w:r>
      <w:r>
        <w:rPr>
          <w:rFonts w:ascii="Palatino Linotype" w:hAnsi="Palatino Linotype"/>
          <w:sz w:val="24"/>
          <w:szCs w:val="24"/>
        </w:rPr>
        <w:t xml:space="preserve"> free disposal of natural wealth and resources, and inherent indigenous treaty rights and titles. We also commend the Committee for its observations concerning the </w:t>
      </w:r>
      <w:r w:rsidR="00CA52F9">
        <w:rPr>
          <w:rFonts w:ascii="Palatino Linotype" w:hAnsi="Palatino Linotype"/>
          <w:sz w:val="24"/>
          <w:szCs w:val="24"/>
        </w:rPr>
        <w:t xml:space="preserve">right of </w:t>
      </w:r>
      <w:r>
        <w:rPr>
          <w:rFonts w:ascii="Palatino Linotype" w:hAnsi="Palatino Linotype"/>
          <w:sz w:val="24"/>
          <w:szCs w:val="24"/>
        </w:rPr>
        <w:t>free, prior and informed consent of Indigenous Peoples to developments on or nearby their lands and resources, as a matter of Article 1 relevance. Furthermore, we follow the Committee’s interest in the Innu and the Lubicon Lake Cree as regards their pursuit of title in their lands.</w:t>
      </w:r>
    </w:p>
    <w:p w14:paraId="217B8A73" w14:textId="77777777" w:rsidR="001E78DB" w:rsidRDefault="001E78DB" w:rsidP="008E4728">
      <w:pPr>
        <w:rPr>
          <w:rFonts w:ascii="Palatino Linotype" w:hAnsi="Palatino Linotype"/>
          <w:b/>
          <w:sz w:val="28"/>
          <w:szCs w:val="28"/>
        </w:rPr>
      </w:pPr>
    </w:p>
    <w:p w14:paraId="203B8029" w14:textId="6C108F9D" w:rsidR="008E4728" w:rsidRPr="00BE404E" w:rsidRDefault="008E4728" w:rsidP="008E4728">
      <w:pPr>
        <w:rPr>
          <w:rFonts w:ascii="Palatino Linotype" w:hAnsi="Palatino Linotype"/>
          <w:b/>
          <w:sz w:val="28"/>
          <w:szCs w:val="28"/>
        </w:rPr>
      </w:pPr>
      <w:r>
        <w:rPr>
          <w:rFonts w:ascii="Palatino Linotype" w:hAnsi="Palatino Linotype"/>
          <w:b/>
          <w:sz w:val="28"/>
          <w:szCs w:val="28"/>
        </w:rPr>
        <w:t>IHRAAM i</w:t>
      </w:r>
      <w:r w:rsidRPr="00BE404E">
        <w:rPr>
          <w:rFonts w:ascii="Palatino Linotype" w:hAnsi="Palatino Linotype"/>
          <w:b/>
          <w:sz w:val="28"/>
          <w:szCs w:val="28"/>
        </w:rPr>
        <w:t>nvolvement in Internati</w:t>
      </w:r>
      <w:r>
        <w:rPr>
          <w:rFonts w:ascii="Palatino Linotype" w:hAnsi="Palatino Linotype"/>
          <w:b/>
          <w:sz w:val="28"/>
          <w:szCs w:val="28"/>
        </w:rPr>
        <w:t>onal</w:t>
      </w:r>
      <w:r w:rsidRPr="00BE404E">
        <w:rPr>
          <w:rFonts w:ascii="Palatino Linotype" w:hAnsi="Palatino Linotype"/>
          <w:b/>
          <w:sz w:val="28"/>
          <w:szCs w:val="28"/>
        </w:rPr>
        <w:t xml:space="preserve"> Human Rights development </w:t>
      </w:r>
      <w:r w:rsidR="001E78DB">
        <w:rPr>
          <w:rFonts w:ascii="Palatino Linotype" w:hAnsi="Palatino Linotype"/>
          <w:b/>
          <w:sz w:val="28"/>
          <w:szCs w:val="28"/>
        </w:rPr>
        <w:t>concerning Indigenous Peoples</w:t>
      </w:r>
    </w:p>
    <w:p w14:paraId="0D46AE52" w14:textId="5992342F" w:rsidR="008E4728" w:rsidRDefault="00D11E7A">
      <w:pPr>
        <w:rPr>
          <w:rFonts w:ascii="Palatino Linotype" w:hAnsi="Palatino Linotype"/>
          <w:sz w:val="24"/>
          <w:szCs w:val="24"/>
        </w:rPr>
      </w:pPr>
      <w:r>
        <w:rPr>
          <w:rFonts w:ascii="Palatino Linotype" w:hAnsi="Palatino Linotype"/>
          <w:sz w:val="24"/>
          <w:szCs w:val="24"/>
        </w:rPr>
        <w:t xml:space="preserve">IHRAAM works with several Indigenous nations and Peoples to promote recognition of and respect for their inherent Article 1 rights as Peoples. Recently, IHRAAM has worked extensively with </w:t>
      </w:r>
      <w:r w:rsidR="004B4857">
        <w:rPr>
          <w:rFonts w:ascii="Palatino Linotype" w:hAnsi="Palatino Linotype"/>
          <w:sz w:val="24"/>
          <w:szCs w:val="24"/>
        </w:rPr>
        <w:t>Líl’wat</w:t>
      </w:r>
      <w:r>
        <w:rPr>
          <w:rFonts w:ascii="Palatino Linotype" w:hAnsi="Palatino Linotype"/>
          <w:sz w:val="24"/>
          <w:szCs w:val="24"/>
        </w:rPr>
        <w:t xml:space="preserve"> to advance a Petition, with the Inter-American </w:t>
      </w:r>
      <w:r w:rsidR="00FB3B2F">
        <w:rPr>
          <w:rFonts w:ascii="Palatino Linotype" w:hAnsi="Palatino Linotype"/>
          <w:sz w:val="24"/>
          <w:szCs w:val="24"/>
        </w:rPr>
        <w:t xml:space="preserve">Commission </w:t>
      </w:r>
      <w:r>
        <w:rPr>
          <w:rFonts w:ascii="Palatino Linotype" w:hAnsi="Palatino Linotype"/>
          <w:sz w:val="24"/>
          <w:szCs w:val="24"/>
        </w:rPr>
        <w:t>o</w:t>
      </w:r>
      <w:r w:rsidR="00FB3B2F">
        <w:rPr>
          <w:rFonts w:ascii="Palatino Linotype" w:hAnsi="Palatino Linotype"/>
          <w:sz w:val="24"/>
          <w:szCs w:val="24"/>
        </w:rPr>
        <w:t>n</w:t>
      </w:r>
      <w:r>
        <w:rPr>
          <w:rFonts w:ascii="Palatino Linotype" w:hAnsi="Palatino Linotype"/>
          <w:sz w:val="24"/>
          <w:szCs w:val="24"/>
        </w:rPr>
        <w:t xml:space="preserve"> Human Rights</w:t>
      </w:r>
      <w:r w:rsidR="00FB3B2F" w:rsidRPr="00FB3B2F">
        <w:rPr>
          <w:rFonts w:ascii="Palatino Linotype" w:hAnsi="Palatino Linotype"/>
          <w:sz w:val="24"/>
          <w:szCs w:val="24"/>
        </w:rPr>
        <w:t xml:space="preserve"> </w:t>
      </w:r>
      <w:r w:rsidR="00FB3B2F">
        <w:rPr>
          <w:rFonts w:ascii="Palatino Linotype" w:hAnsi="Palatino Linotype"/>
          <w:sz w:val="24"/>
          <w:szCs w:val="24"/>
        </w:rPr>
        <w:t xml:space="preserve">now accepted as </w:t>
      </w:r>
      <w:r w:rsidR="00FB3B2F" w:rsidRPr="008B5466">
        <w:rPr>
          <w:rFonts w:ascii="Palatino Linotype" w:hAnsi="Palatino Linotype"/>
          <w:i/>
          <w:sz w:val="24"/>
          <w:szCs w:val="24"/>
        </w:rPr>
        <w:t>Edmonds vs. Canada</w:t>
      </w:r>
      <w:r w:rsidR="00FB3B2F">
        <w:rPr>
          <w:rFonts w:ascii="Palatino Linotype" w:hAnsi="Palatino Linotype"/>
          <w:sz w:val="24"/>
          <w:szCs w:val="24"/>
        </w:rPr>
        <w:t>, IACHR Case #12.929</w:t>
      </w:r>
      <w:r>
        <w:rPr>
          <w:rFonts w:ascii="Palatino Linotype" w:hAnsi="Palatino Linotype"/>
          <w:sz w:val="24"/>
          <w:szCs w:val="24"/>
        </w:rPr>
        <w:t>.</w:t>
      </w:r>
      <w:r w:rsidR="002F4ABA">
        <w:rPr>
          <w:rFonts w:ascii="Palatino Linotype" w:hAnsi="Palatino Linotype"/>
          <w:sz w:val="24"/>
          <w:szCs w:val="24"/>
        </w:rPr>
        <w:t xml:space="preserve"> The case </w:t>
      </w:r>
      <w:r w:rsidR="00FB3B2F">
        <w:rPr>
          <w:rFonts w:ascii="Palatino Linotype" w:hAnsi="Palatino Linotype"/>
          <w:sz w:val="24"/>
          <w:szCs w:val="24"/>
        </w:rPr>
        <w:t>contests Canada’s exercise of</w:t>
      </w:r>
      <w:r w:rsidR="002F4ABA">
        <w:rPr>
          <w:rFonts w:ascii="Palatino Linotype" w:hAnsi="Palatino Linotype"/>
          <w:sz w:val="24"/>
          <w:szCs w:val="24"/>
        </w:rPr>
        <w:t xml:space="preserve"> jurisdiction over </w:t>
      </w:r>
      <w:r w:rsidR="004B4857">
        <w:rPr>
          <w:rFonts w:ascii="Palatino Linotype" w:hAnsi="Palatino Linotype"/>
          <w:sz w:val="24"/>
          <w:szCs w:val="24"/>
        </w:rPr>
        <w:t>Líl’wat</w:t>
      </w:r>
      <w:r w:rsidR="002F4ABA">
        <w:rPr>
          <w:rFonts w:ascii="Palatino Linotype" w:hAnsi="Palatino Linotype"/>
          <w:sz w:val="24"/>
          <w:szCs w:val="24"/>
        </w:rPr>
        <w:t xml:space="preserve"> people in </w:t>
      </w:r>
      <w:r w:rsidR="004B4857">
        <w:rPr>
          <w:rFonts w:ascii="Palatino Linotype" w:hAnsi="Palatino Linotype"/>
          <w:sz w:val="24"/>
          <w:szCs w:val="24"/>
        </w:rPr>
        <w:t>Líl’wat</w:t>
      </w:r>
      <w:r w:rsidR="002F4ABA">
        <w:rPr>
          <w:rFonts w:ascii="Palatino Linotype" w:hAnsi="Palatino Linotype"/>
          <w:sz w:val="24"/>
          <w:szCs w:val="24"/>
        </w:rPr>
        <w:t xml:space="preserve"> lands</w:t>
      </w:r>
      <w:r w:rsidR="00FB3B2F">
        <w:rPr>
          <w:rFonts w:ascii="Palatino Linotype" w:hAnsi="Palatino Linotype"/>
          <w:sz w:val="24"/>
          <w:szCs w:val="24"/>
        </w:rPr>
        <w:t>, insofar as Canada has no treaty with the Lil’wat, and the Lil’wat have never surrendered their sovereignty</w:t>
      </w:r>
      <w:r w:rsidR="002F4ABA">
        <w:rPr>
          <w:rFonts w:ascii="Palatino Linotype" w:hAnsi="Palatino Linotype"/>
          <w:sz w:val="24"/>
          <w:szCs w:val="24"/>
        </w:rPr>
        <w:t xml:space="preserve">. In the years </w:t>
      </w:r>
      <w:r w:rsidR="00FB3B2F">
        <w:rPr>
          <w:rFonts w:ascii="Palatino Linotype" w:hAnsi="Palatino Linotype"/>
          <w:sz w:val="24"/>
          <w:szCs w:val="24"/>
        </w:rPr>
        <w:t>following the initial submission of the Petition</w:t>
      </w:r>
      <w:r w:rsidR="002F4ABA">
        <w:rPr>
          <w:rFonts w:ascii="Palatino Linotype" w:hAnsi="Palatino Linotype"/>
          <w:sz w:val="24"/>
          <w:szCs w:val="24"/>
        </w:rPr>
        <w:t xml:space="preserve">, IHRAAM supported engagements between </w:t>
      </w:r>
      <w:r w:rsidR="004B4857">
        <w:rPr>
          <w:rFonts w:ascii="Palatino Linotype" w:hAnsi="Palatino Linotype"/>
          <w:sz w:val="24"/>
          <w:szCs w:val="24"/>
        </w:rPr>
        <w:t>Líl’wat</w:t>
      </w:r>
      <w:r w:rsidR="002F4ABA">
        <w:rPr>
          <w:rFonts w:ascii="Palatino Linotype" w:hAnsi="Palatino Linotype"/>
          <w:sz w:val="24"/>
          <w:szCs w:val="24"/>
        </w:rPr>
        <w:t xml:space="preserve"> and: </w:t>
      </w:r>
      <w:r w:rsidR="00BB3B0F">
        <w:rPr>
          <w:rFonts w:ascii="Palatino Linotype" w:hAnsi="Palatino Linotype"/>
          <w:sz w:val="24"/>
          <w:szCs w:val="24"/>
        </w:rPr>
        <w:t xml:space="preserve">the Human Rights Committee; the Special Rapporteur on the Rights of Indigenous Peoples; members of the Inter-American Commission on Human Rights; </w:t>
      </w:r>
      <w:r w:rsidR="002F4ABA">
        <w:rPr>
          <w:rFonts w:ascii="Palatino Linotype" w:hAnsi="Palatino Linotype"/>
          <w:sz w:val="24"/>
          <w:szCs w:val="24"/>
        </w:rPr>
        <w:t xml:space="preserve">the UN Permanent Forum on Indigenous Issues; </w:t>
      </w:r>
      <w:r w:rsidR="00BB3B0F">
        <w:rPr>
          <w:rFonts w:ascii="Palatino Linotype" w:hAnsi="Palatino Linotype"/>
          <w:sz w:val="24"/>
          <w:szCs w:val="24"/>
        </w:rPr>
        <w:t xml:space="preserve">and </w:t>
      </w:r>
      <w:r w:rsidR="002F4ABA">
        <w:rPr>
          <w:rFonts w:ascii="Palatino Linotype" w:hAnsi="Palatino Linotype"/>
          <w:sz w:val="24"/>
          <w:szCs w:val="24"/>
        </w:rPr>
        <w:t>the Expert Mechanism on the Ri</w:t>
      </w:r>
      <w:r w:rsidR="00BB3B0F">
        <w:rPr>
          <w:rFonts w:ascii="Palatino Linotype" w:hAnsi="Palatino Linotype"/>
          <w:sz w:val="24"/>
          <w:szCs w:val="24"/>
        </w:rPr>
        <w:t>ghts of Indigenous Peoples</w:t>
      </w:r>
      <w:r w:rsidR="002F4ABA">
        <w:rPr>
          <w:rFonts w:ascii="Palatino Linotype" w:hAnsi="Palatino Linotype"/>
          <w:sz w:val="24"/>
          <w:szCs w:val="24"/>
        </w:rPr>
        <w:t>.</w:t>
      </w:r>
    </w:p>
    <w:p w14:paraId="3D5BC558" w14:textId="75A1687A" w:rsidR="006D7F9B" w:rsidRDefault="006D7F9B">
      <w:pPr>
        <w:rPr>
          <w:rFonts w:ascii="Palatino Linotype" w:hAnsi="Palatino Linotype"/>
          <w:sz w:val="24"/>
          <w:szCs w:val="24"/>
        </w:rPr>
      </w:pPr>
      <w:r>
        <w:rPr>
          <w:rFonts w:ascii="Palatino Linotype" w:hAnsi="Palatino Linotype"/>
          <w:sz w:val="24"/>
          <w:szCs w:val="24"/>
        </w:rPr>
        <w:t>For clarification in light of this NGO’s name, IHRAAM promotes the rights of Indigenous Peoples as Peoples, not minorities.</w:t>
      </w:r>
    </w:p>
    <w:p w14:paraId="1704A9EA" w14:textId="77777777" w:rsidR="00D11E7A" w:rsidRDefault="00D11E7A">
      <w:pPr>
        <w:rPr>
          <w:rFonts w:ascii="Palatino Linotype" w:hAnsi="Palatino Linotype"/>
          <w:b/>
          <w:sz w:val="28"/>
          <w:szCs w:val="28"/>
        </w:rPr>
      </w:pPr>
    </w:p>
    <w:p w14:paraId="6515B5A1" w14:textId="77777777" w:rsidR="00BB3B0F" w:rsidRDefault="00BB3B0F" w:rsidP="00BB3B0F">
      <w:pPr>
        <w:rPr>
          <w:rFonts w:ascii="Palatino Linotype" w:hAnsi="Palatino Linotype"/>
          <w:sz w:val="24"/>
          <w:szCs w:val="24"/>
        </w:rPr>
      </w:pPr>
    </w:p>
    <w:p w14:paraId="0CE5C7EB" w14:textId="77777777" w:rsidR="00BB3B0F" w:rsidRDefault="00BB3B0F" w:rsidP="00BB3B0F">
      <w:pPr>
        <w:rPr>
          <w:rFonts w:ascii="Palatino Linotype" w:hAnsi="Palatino Linotype"/>
          <w:b/>
          <w:sz w:val="28"/>
          <w:szCs w:val="28"/>
        </w:rPr>
      </w:pPr>
    </w:p>
    <w:p w14:paraId="1154264F" w14:textId="77777777" w:rsidR="00BB3B0F" w:rsidRDefault="00BB3B0F" w:rsidP="00BB3B0F">
      <w:pPr>
        <w:rPr>
          <w:rFonts w:ascii="Palatino Linotype" w:hAnsi="Palatino Linotype"/>
          <w:b/>
          <w:sz w:val="28"/>
          <w:szCs w:val="28"/>
        </w:rPr>
      </w:pPr>
    </w:p>
    <w:p w14:paraId="644E6044" w14:textId="77777777" w:rsidR="00BB3B0F" w:rsidRDefault="00BB3B0F" w:rsidP="00BB3B0F">
      <w:pPr>
        <w:rPr>
          <w:rFonts w:ascii="Palatino Linotype" w:hAnsi="Palatino Linotype"/>
          <w:b/>
          <w:sz w:val="28"/>
          <w:szCs w:val="28"/>
        </w:rPr>
      </w:pPr>
    </w:p>
    <w:p w14:paraId="5FFC9909" w14:textId="77777777" w:rsidR="00CA52F9" w:rsidRDefault="00CA52F9">
      <w:pPr>
        <w:rPr>
          <w:rFonts w:ascii="Palatino Linotype" w:hAnsi="Palatino Linotype"/>
          <w:b/>
          <w:sz w:val="28"/>
          <w:szCs w:val="28"/>
        </w:rPr>
      </w:pPr>
    </w:p>
    <w:p w14:paraId="4968FFAE" w14:textId="2E3A10AA" w:rsidR="00A46A39" w:rsidRDefault="006D33BE">
      <w:pPr>
        <w:rPr>
          <w:rFonts w:ascii="Palatino Linotype" w:hAnsi="Palatino Linotype"/>
          <w:b/>
          <w:sz w:val="28"/>
          <w:szCs w:val="28"/>
        </w:rPr>
      </w:pPr>
      <w:r>
        <w:rPr>
          <w:rFonts w:ascii="Palatino Linotype" w:hAnsi="Palatino Linotype"/>
          <w:b/>
          <w:sz w:val="28"/>
          <w:szCs w:val="28"/>
        </w:rPr>
        <w:t>Introductory</w:t>
      </w:r>
      <w:r w:rsidR="00A46A39">
        <w:rPr>
          <w:rFonts w:ascii="Palatino Linotype" w:hAnsi="Palatino Linotype"/>
          <w:b/>
          <w:sz w:val="28"/>
          <w:szCs w:val="28"/>
        </w:rPr>
        <w:t xml:space="preserve"> Comments </w:t>
      </w:r>
    </w:p>
    <w:p w14:paraId="068C18D5" w14:textId="43CA9187" w:rsidR="006D33BE" w:rsidRDefault="008C7BD0">
      <w:pPr>
        <w:rPr>
          <w:rFonts w:ascii="Palatino Linotype" w:hAnsi="Palatino Linotype"/>
          <w:sz w:val="24"/>
          <w:szCs w:val="24"/>
        </w:rPr>
      </w:pPr>
      <w:r>
        <w:rPr>
          <w:rFonts w:ascii="Palatino Linotype" w:hAnsi="Palatino Linotype"/>
          <w:sz w:val="24"/>
          <w:szCs w:val="24"/>
        </w:rPr>
        <w:t xml:space="preserve">In this report, </w:t>
      </w:r>
      <w:r w:rsidR="006D33BE">
        <w:rPr>
          <w:rFonts w:ascii="Palatino Linotype" w:hAnsi="Palatino Linotype"/>
          <w:sz w:val="24"/>
          <w:szCs w:val="24"/>
        </w:rPr>
        <w:t xml:space="preserve">IHRAAM would like to make observations regarding the </w:t>
      </w:r>
      <w:r w:rsidR="00C33DF5">
        <w:rPr>
          <w:rFonts w:ascii="Palatino Linotype" w:hAnsi="Palatino Linotype"/>
          <w:sz w:val="24"/>
          <w:szCs w:val="24"/>
        </w:rPr>
        <w:t xml:space="preserve">general </w:t>
      </w:r>
      <w:r w:rsidR="006D33BE">
        <w:rPr>
          <w:rFonts w:ascii="Palatino Linotype" w:hAnsi="Palatino Linotype"/>
          <w:sz w:val="24"/>
          <w:szCs w:val="24"/>
        </w:rPr>
        <w:t xml:space="preserve">lack of </w:t>
      </w:r>
      <w:r w:rsidR="00687C3B">
        <w:rPr>
          <w:rFonts w:ascii="Palatino Linotype" w:hAnsi="Palatino Linotype"/>
          <w:sz w:val="24"/>
          <w:szCs w:val="24"/>
        </w:rPr>
        <w:t xml:space="preserve">mechanism for </w:t>
      </w:r>
      <w:r w:rsidR="006D33BE">
        <w:rPr>
          <w:rFonts w:ascii="Palatino Linotype" w:hAnsi="Palatino Linotype"/>
          <w:sz w:val="24"/>
          <w:szCs w:val="24"/>
        </w:rPr>
        <w:t xml:space="preserve">recognition and respect, on the part of Canada, for the economic, social and cultural rights of Indigenous Peoples. These observations will be limited to the application of Article 1 of the Covenant on Economic, Social and Cultural Rights: the right to self-determination; the right to freely dispose of natural wealth and resources; and </w:t>
      </w:r>
      <w:r w:rsidR="00C33DF5">
        <w:rPr>
          <w:rFonts w:ascii="Palatino Linotype" w:hAnsi="Palatino Linotype"/>
          <w:sz w:val="24"/>
          <w:szCs w:val="24"/>
        </w:rPr>
        <w:t xml:space="preserve">the right </w:t>
      </w:r>
      <w:r w:rsidR="004A0737">
        <w:rPr>
          <w:rFonts w:ascii="Palatino Linotype" w:hAnsi="Palatino Linotype"/>
          <w:sz w:val="24"/>
          <w:szCs w:val="24"/>
        </w:rPr>
        <w:t xml:space="preserve">of a people </w:t>
      </w:r>
      <w:r w:rsidR="00C33DF5">
        <w:rPr>
          <w:rFonts w:ascii="Palatino Linotype" w:hAnsi="Palatino Linotype"/>
          <w:sz w:val="24"/>
          <w:szCs w:val="24"/>
        </w:rPr>
        <w:t>never to be deprived of their own means of subsistence.</w:t>
      </w:r>
    </w:p>
    <w:p w14:paraId="0D473D97" w14:textId="359AD161" w:rsidR="00C33DF5" w:rsidRDefault="00A46A39">
      <w:pPr>
        <w:rPr>
          <w:rFonts w:ascii="Palatino Linotype" w:hAnsi="Palatino Linotype"/>
          <w:sz w:val="24"/>
          <w:szCs w:val="24"/>
        </w:rPr>
      </w:pPr>
      <w:r>
        <w:rPr>
          <w:rFonts w:ascii="Palatino Linotype" w:hAnsi="Palatino Linotype"/>
          <w:sz w:val="24"/>
          <w:szCs w:val="24"/>
        </w:rPr>
        <w:t>We note with concern that Canada has not reported on the Committee’s List of Issues under Article 1 of the Covenant on Economic, Social and Cultural Rights.</w:t>
      </w:r>
      <w:r w:rsidR="006D33BE">
        <w:rPr>
          <w:rFonts w:ascii="Palatino Linotype" w:hAnsi="Palatino Linotype"/>
          <w:sz w:val="24"/>
          <w:szCs w:val="24"/>
        </w:rPr>
        <w:t xml:space="preserve"> </w:t>
      </w:r>
      <w:r w:rsidR="00C33DF5">
        <w:rPr>
          <w:rFonts w:ascii="Palatino Linotype" w:hAnsi="Palatino Linotype"/>
          <w:sz w:val="24"/>
          <w:szCs w:val="24"/>
        </w:rPr>
        <w:t>It is the aim of this parallel report to observe on the situation of the rights of peoples – not on the rights of individuals who may have assimilated</w:t>
      </w:r>
      <w:r w:rsidR="00680DC8">
        <w:rPr>
          <w:rFonts w:ascii="Palatino Linotype" w:hAnsi="Palatino Linotype"/>
          <w:sz w:val="24"/>
          <w:szCs w:val="24"/>
        </w:rPr>
        <w:t>, voluntarily or otherwise,</w:t>
      </w:r>
      <w:r w:rsidR="00C33DF5">
        <w:rPr>
          <w:rFonts w:ascii="Palatino Linotype" w:hAnsi="Palatino Linotype"/>
          <w:sz w:val="24"/>
          <w:szCs w:val="24"/>
        </w:rPr>
        <w:t xml:space="preserve"> into Canadian society and consider themselves </w:t>
      </w:r>
      <w:r w:rsidR="007258B9">
        <w:rPr>
          <w:rFonts w:ascii="Palatino Linotype" w:hAnsi="Palatino Linotype"/>
          <w:sz w:val="24"/>
          <w:szCs w:val="24"/>
        </w:rPr>
        <w:t xml:space="preserve">now </w:t>
      </w:r>
      <w:r w:rsidR="00C33DF5">
        <w:rPr>
          <w:rFonts w:ascii="Palatino Linotype" w:hAnsi="Palatino Linotype"/>
          <w:sz w:val="24"/>
          <w:szCs w:val="24"/>
        </w:rPr>
        <w:t xml:space="preserve">an ethnic </w:t>
      </w:r>
      <w:r w:rsidR="00D84B4B">
        <w:rPr>
          <w:rFonts w:ascii="Palatino Linotype" w:hAnsi="Palatino Linotype"/>
          <w:sz w:val="24"/>
          <w:szCs w:val="24"/>
        </w:rPr>
        <w:t>Aboriginal</w:t>
      </w:r>
      <w:r w:rsidR="00C33DF5">
        <w:rPr>
          <w:rFonts w:ascii="Palatino Linotype" w:hAnsi="Palatino Linotype"/>
          <w:sz w:val="24"/>
          <w:szCs w:val="24"/>
        </w:rPr>
        <w:t xml:space="preserve"> minority.</w:t>
      </w:r>
    </w:p>
    <w:p w14:paraId="27399E3A" w14:textId="37CD62C2" w:rsidR="00A46A39" w:rsidRPr="006D33BE" w:rsidRDefault="007A493C">
      <w:pPr>
        <w:rPr>
          <w:rFonts w:ascii="Palatino Linotype" w:hAnsi="Palatino Linotype"/>
          <w:sz w:val="24"/>
          <w:szCs w:val="24"/>
        </w:rPr>
      </w:pPr>
      <w:r>
        <w:rPr>
          <w:rFonts w:ascii="Palatino Linotype" w:hAnsi="Palatino Linotype"/>
          <w:sz w:val="24"/>
          <w:szCs w:val="24"/>
        </w:rPr>
        <w:t xml:space="preserve">It is disconcerting that </w:t>
      </w:r>
      <w:r w:rsidR="008C7BD0">
        <w:rPr>
          <w:rFonts w:ascii="Palatino Linotype" w:hAnsi="Palatino Linotype"/>
          <w:sz w:val="24"/>
          <w:szCs w:val="24"/>
        </w:rPr>
        <w:t xml:space="preserve">Canada </w:t>
      </w:r>
      <w:r w:rsidR="006D33BE">
        <w:rPr>
          <w:rFonts w:ascii="Palatino Linotype" w:hAnsi="Palatino Linotype"/>
          <w:sz w:val="24"/>
          <w:szCs w:val="24"/>
        </w:rPr>
        <w:t xml:space="preserve">has not answered the Committee’s 2006 request for an explanation as to </w:t>
      </w:r>
      <w:r w:rsidR="008C7BD0">
        <w:rPr>
          <w:rFonts w:ascii="Palatino Linotype" w:hAnsi="Palatino Linotype"/>
          <w:sz w:val="24"/>
          <w:szCs w:val="24"/>
        </w:rPr>
        <w:t>why it has not ratif</w:t>
      </w:r>
      <w:r>
        <w:rPr>
          <w:rFonts w:ascii="Palatino Linotype" w:hAnsi="Palatino Linotype"/>
          <w:sz w:val="24"/>
          <w:szCs w:val="24"/>
        </w:rPr>
        <w:t xml:space="preserve">ied ILO 169, and </w:t>
      </w:r>
      <w:r w:rsidR="008C7BD0">
        <w:rPr>
          <w:rFonts w:ascii="Palatino Linotype" w:hAnsi="Palatino Linotype"/>
          <w:sz w:val="24"/>
          <w:szCs w:val="24"/>
        </w:rPr>
        <w:t xml:space="preserve">has not replied to the Committee’s </w:t>
      </w:r>
      <w:r w:rsidR="00334000">
        <w:rPr>
          <w:rFonts w:ascii="Palatino Linotype" w:hAnsi="Palatino Linotype"/>
          <w:sz w:val="24"/>
          <w:szCs w:val="24"/>
        </w:rPr>
        <w:t xml:space="preserve">2006 </w:t>
      </w:r>
      <w:r w:rsidR="008C7BD0">
        <w:rPr>
          <w:rFonts w:ascii="Palatino Linotype" w:hAnsi="Palatino Linotype"/>
          <w:sz w:val="24"/>
          <w:szCs w:val="24"/>
        </w:rPr>
        <w:t>request for information on approaches to Indigenous Peoples based on “recognition and coexistence of rights.”</w:t>
      </w:r>
    </w:p>
    <w:p w14:paraId="48249C30" w14:textId="77777777" w:rsidR="00A46A39" w:rsidRDefault="00A46A39">
      <w:pPr>
        <w:rPr>
          <w:rFonts w:ascii="Palatino Linotype" w:hAnsi="Palatino Linotype"/>
          <w:b/>
          <w:sz w:val="28"/>
          <w:szCs w:val="28"/>
        </w:rPr>
      </w:pPr>
    </w:p>
    <w:p w14:paraId="7816216A" w14:textId="5C258A5B" w:rsidR="008E4728" w:rsidRDefault="00BB3B0F">
      <w:pPr>
        <w:rPr>
          <w:rFonts w:ascii="Palatino Linotype" w:hAnsi="Palatino Linotype"/>
          <w:b/>
          <w:sz w:val="28"/>
          <w:szCs w:val="28"/>
        </w:rPr>
      </w:pPr>
      <w:r>
        <w:rPr>
          <w:rFonts w:ascii="Palatino Linotype" w:hAnsi="Palatino Linotype"/>
          <w:b/>
          <w:sz w:val="28"/>
          <w:szCs w:val="28"/>
        </w:rPr>
        <w:t>Observations related to the Committee’s List of Issues for Canada, March 2015</w:t>
      </w:r>
    </w:p>
    <w:p w14:paraId="3E3443B7" w14:textId="740C8F67" w:rsidR="00BB3B0F" w:rsidRDefault="00BB3B0F" w:rsidP="00BB3B0F">
      <w:pPr>
        <w:pStyle w:val="ListParagraph"/>
        <w:numPr>
          <w:ilvl w:val="0"/>
          <w:numId w:val="7"/>
        </w:numPr>
        <w:rPr>
          <w:rFonts w:ascii="Palatino Linotype" w:hAnsi="Palatino Linotype"/>
          <w:b/>
          <w:sz w:val="28"/>
          <w:szCs w:val="28"/>
        </w:rPr>
      </w:pPr>
      <w:r>
        <w:rPr>
          <w:rFonts w:ascii="Palatino Linotype" w:hAnsi="Palatino Linotype"/>
          <w:b/>
          <w:sz w:val="28"/>
          <w:szCs w:val="28"/>
        </w:rPr>
        <w:t>General Information</w:t>
      </w:r>
    </w:p>
    <w:p w14:paraId="2AF77854" w14:textId="77777777" w:rsidR="001E78DB" w:rsidRDefault="001E78DB" w:rsidP="001E78DB">
      <w:pPr>
        <w:pStyle w:val="ListParagraph"/>
        <w:ind w:left="1080"/>
        <w:rPr>
          <w:rFonts w:ascii="Palatino Linotype" w:hAnsi="Palatino Linotype"/>
          <w:b/>
          <w:sz w:val="28"/>
          <w:szCs w:val="28"/>
        </w:rPr>
      </w:pPr>
    </w:p>
    <w:p w14:paraId="6931B3E6" w14:textId="6AE47F40" w:rsidR="003E605C" w:rsidRDefault="00E83905" w:rsidP="0036323A">
      <w:pPr>
        <w:pStyle w:val="ListParagraph"/>
        <w:numPr>
          <w:ilvl w:val="0"/>
          <w:numId w:val="18"/>
        </w:numPr>
        <w:rPr>
          <w:rFonts w:ascii="Palatino Linotype" w:hAnsi="Palatino Linotype"/>
          <w:sz w:val="24"/>
          <w:szCs w:val="24"/>
        </w:rPr>
      </w:pPr>
      <w:r>
        <w:rPr>
          <w:rFonts w:ascii="Palatino Linotype" w:hAnsi="Palatino Linotype"/>
          <w:sz w:val="24"/>
          <w:szCs w:val="24"/>
        </w:rPr>
        <w:t>“legislative measures taken to give full effect to the provisions of the Covenant”</w:t>
      </w:r>
    </w:p>
    <w:p w14:paraId="5AF2B1AF" w14:textId="77777777" w:rsidR="0036323A" w:rsidRPr="0036323A" w:rsidRDefault="0036323A" w:rsidP="0036323A">
      <w:pPr>
        <w:pStyle w:val="ListParagraph"/>
        <w:ind w:left="1800"/>
        <w:rPr>
          <w:rFonts w:ascii="Palatino Linotype" w:hAnsi="Palatino Linotype"/>
          <w:sz w:val="24"/>
          <w:szCs w:val="24"/>
        </w:rPr>
      </w:pPr>
    </w:p>
    <w:p w14:paraId="2B108F48" w14:textId="7024B7CF" w:rsidR="00C947A9" w:rsidRPr="0036323A" w:rsidRDefault="00092BC3" w:rsidP="003E605C">
      <w:pPr>
        <w:pStyle w:val="ListParagraph"/>
        <w:numPr>
          <w:ilvl w:val="0"/>
          <w:numId w:val="14"/>
        </w:numPr>
        <w:rPr>
          <w:rFonts w:ascii="Palatino Linotype" w:hAnsi="Palatino Linotype"/>
          <w:b/>
          <w:sz w:val="24"/>
          <w:szCs w:val="24"/>
        </w:rPr>
      </w:pPr>
      <w:r w:rsidRPr="0036323A">
        <w:rPr>
          <w:rFonts w:ascii="Palatino Linotype" w:hAnsi="Palatino Linotype"/>
          <w:b/>
          <w:sz w:val="24"/>
          <w:szCs w:val="24"/>
        </w:rPr>
        <w:t xml:space="preserve">Specific </w:t>
      </w:r>
      <w:r w:rsidR="00E475CB" w:rsidRPr="0036323A">
        <w:rPr>
          <w:rFonts w:ascii="Palatino Linotype" w:hAnsi="Palatino Linotype"/>
          <w:b/>
          <w:sz w:val="24"/>
          <w:szCs w:val="24"/>
        </w:rPr>
        <w:t>Canadian Constitutional recognition of Indigenous Peoples’ rights</w:t>
      </w:r>
      <w:r w:rsidR="00687C3B" w:rsidRPr="0036323A">
        <w:rPr>
          <w:rStyle w:val="FootnoteReference"/>
          <w:rFonts w:ascii="Palatino Linotype" w:hAnsi="Palatino Linotype"/>
          <w:b/>
          <w:sz w:val="24"/>
          <w:szCs w:val="24"/>
        </w:rPr>
        <w:footnoteReference w:id="1"/>
      </w:r>
      <w:r w:rsidR="00E475CB" w:rsidRPr="0036323A">
        <w:rPr>
          <w:rFonts w:ascii="Palatino Linotype" w:hAnsi="Palatino Linotype"/>
          <w:b/>
          <w:sz w:val="24"/>
          <w:szCs w:val="24"/>
        </w:rPr>
        <w:t xml:space="preserve"> is superior to Canadian legislation </w:t>
      </w:r>
      <w:r w:rsidRPr="0036323A">
        <w:rPr>
          <w:rFonts w:ascii="Palatino Linotype" w:hAnsi="Palatino Linotype"/>
          <w:b/>
          <w:sz w:val="24"/>
          <w:szCs w:val="24"/>
        </w:rPr>
        <w:t xml:space="preserve">and policy, and is not </w:t>
      </w:r>
      <w:r w:rsidR="007A493C" w:rsidRPr="0036323A">
        <w:rPr>
          <w:rFonts w:ascii="Palatino Linotype" w:hAnsi="Palatino Linotype"/>
          <w:b/>
          <w:sz w:val="24"/>
          <w:szCs w:val="24"/>
        </w:rPr>
        <w:t xml:space="preserve">fully </w:t>
      </w:r>
      <w:r w:rsidRPr="0036323A">
        <w:rPr>
          <w:rFonts w:ascii="Palatino Linotype" w:hAnsi="Palatino Linotype"/>
          <w:b/>
          <w:sz w:val="24"/>
          <w:szCs w:val="24"/>
        </w:rPr>
        <w:lastRenderedPageBreak/>
        <w:t>considered in Supreme Court of Canada cases concerning “</w:t>
      </w:r>
      <w:r w:rsidR="00D84B4B">
        <w:rPr>
          <w:rFonts w:ascii="Palatino Linotype" w:hAnsi="Palatino Linotype"/>
          <w:b/>
          <w:sz w:val="24"/>
          <w:szCs w:val="24"/>
        </w:rPr>
        <w:t>Aboriginal</w:t>
      </w:r>
      <w:r w:rsidRPr="0036323A">
        <w:rPr>
          <w:rFonts w:ascii="Palatino Linotype" w:hAnsi="Palatino Linotype"/>
          <w:b/>
          <w:sz w:val="24"/>
          <w:szCs w:val="24"/>
        </w:rPr>
        <w:t xml:space="preserve"> title.” </w:t>
      </w:r>
    </w:p>
    <w:p w14:paraId="6C73F07C" w14:textId="4A632E1D" w:rsidR="0036323A" w:rsidRPr="0036323A" w:rsidRDefault="00D84B4B" w:rsidP="0036323A">
      <w:pPr>
        <w:ind w:left="720"/>
        <w:rPr>
          <w:rFonts w:ascii="Palatino Linotype" w:hAnsi="Palatino Linotype"/>
          <w:sz w:val="24"/>
          <w:szCs w:val="24"/>
        </w:rPr>
      </w:pPr>
      <w:r>
        <w:rPr>
          <w:rFonts w:ascii="Palatino Linotype" w:hAnsi="Palatino Linotype"/>
          <w:sz w:val="24"/>
          <w:szCs w:val="24"/>
        </w:rPr>
        <w:t xml:space="preserve">   </w:t>
      </w:r>
      <w:r w:rsidR="0036323A">
        <w:rPr>
          <w:rFonts w:ascii="Palatino Linotype" w:hAnsi="Palatino Linotype"/>
          <w:sz w:val="24"/>
          <w:szCs w:val="24"/>
        </w:rPr>
        <w:t>Canad</w:t>
      </w:r>
      <w:r w:rsidR="00873149">
        <w:rPr>
          <w:rFonts w:ascii="Palatino Linotype" w:hAnsi="Palatino Linotype"/>
          <w:sz w:val="24"/>
          <w:szCs w:val="24"/>
        </w:rPr>
        <w:t>ian</w:t>
      </w:r>
      <w:r w:rsidR="0036323A">
        <w:rPr>
          <w:rFonts w:ascii="Palatino Linotype" w:hAnsi="Palatino Linotype"/>
          <w:sz w:val="24"/>
          <w:szCs w:val="24"/>
        </w:rPr>
        <w:t xml:space="preserve"> </w:t>
      </w:r>
      <w:r w:rsidR="00AF7D90">
        <w:rPr>
          <w:rFonts w:ascii="Palatino Linotype" w:hAnsi="Palatino Linotype"/>
          <w:sz w:val="24"/>
          <w:szCs w:val="24"/>
        </w:rPr>
        <w:t xml:space="preserve">governments </w:t>
      </w:r>
      <w:r w:rsidR="0036323A">
        <w:rPr>
          <w:rFonts w:ascii="Palatino Linotype" w:hAnsi="Palatino Linotype"/>
          <w:sz w:val="24"/>
          <w:szCs w:val="24"/>
        </w:rPr>
        <w:t>refuse</w:t>
      </w:r>
      <w:r w:rsidR="0036323A" w:rsidRPr="0036323A">
        <w:rPr>
          <w:rFonts w:ascii="Palatino Linotype" w:hAnsi="Palatino Linotype"/>
          <w:sz w:val="24"/>
          <w:szCs w:val="24"/>
        </w:rPr>
        <w:t xml:space="preserve"> to recognize, and legislative</w:t>
      </w:r>
      <w:r w:rsidR="0036323A">
        <w:rPr>
          <w:rFonts w:ascii="Palatino Linotype" w:hAnsi="Palatino Linotype"/>
          <w:sz w:val="24"/>
          <w:szCs w:val="24"/>
        </w:rPr>
        <w:t>ly</w:t>
      </w:r>
      <w:r>
        <w:rPr>
          <w:rFonts w:ascii="Palatino Linotype" w:hAnsi="Palatino Linotype"/>
          <w:sz w:val="24"/>
          <w:szCs w:val="24"/>
        </w:rPr>
        <w:t xml:space="preserve"> undermin</w:t>
      </w:r>
      <w:r w:rsidR="0036323A">
        <w:rPr>
          <w:rFonts w:ascii="Palatino Linotype" w:hAnsi="Palatino Linotype"/>
          <w:sz w:val="24"/>
          <w:szCs w:val="24"/>
        </w:rPr>
        <w:t>e</w:t>
      </w:r>
      <w:r w:rsidR="0036323A" w:rsidRPr="0036323A">
        <w:rPr>
          <w:rFonts w:ascii="Palatino Linotype" w:hAnsi="Palatino Linotype"/>
          <w:sz w:val="24"/>
          <w:szCs w:val="24"/>
        </w:rPr>
        <w:t>, International and Constitutional protection of Indigenous Peoples’ rights not to be dispossessed of their n</w:t>
      </w:r>
      <w:r w:rsidR="0036323A">
        <w:rPr>
          <w:rFonts w:ascii="Palatino Linotype" w:hAnsi="Palatino Linotype"/>
          <w:sz w:val="24"/>
          <w:szCs w:val="24"/>
        </w:rPr>
        <w:t>atural wealth and resources; their</w:t>
      </w:r>
      <w:r w:rsidR="0036323A" w:rsidRPr="0036323A">
        <w:rPr>
          <w:rFonts w:ascii="Palatino Linotype" w:hAnsi="Palatino Linotype"/>
          <w:sz w:val="24"/>
          <w:szCs w:val="24"/>
        </w:rPr>
        <w:t xml:space="preserve"> lands.</w:t>
      </w:r>
    </w:p>
    <w:p w14:paraId="6A7B6217" w14:textId="544F77C4" w:rsidR="00843737" w:rsidRDefault="00D84B4B" w:rsidP="00843737">
      <w:pPr>
        <w:pStyle w:val="paranondepar-altn"/>
        <w:spacing w:line="276" w:lineRule="auto"/>
        <w:ind w:left="720"/>
        <w:rPr>
          <w:rFonts w:ascii="Palatino Linotype" w:hAnsi="Palatino Linotype"/>
        </w:rPr>
      </w:pPr>
      <w:r>
        <w:rPr>
          <w:rFonts w:ascii="Palatino Linotype" w:hAnsi="Palatino Linotype"/>
        </w:rPr>
        <w:t xml:space="preserve">   </w:t>
      </w:r>
      <w:r w:rsidR="00C947A9" w:rsidRPr="00C947A9">
        <w:rPr>
          <w:rFonts w:ascii="Palatino Linotype" w:hAnsi="Palatino Linotype"/>
        </w:rPr>
        <w:t>Canada’s Supreme Court</w:t>
      </w:r>
      <w:r w:rsidR="007924D1">
        <w:rPr>
          <w:rFonts w:ascii="Palatino Linotype" w:hAnsi="Palatino Linotype"/>
        </w:rPr>
        <w:t xml:space="preserve"> decisions on the nature of constitutionally protected </w:t>
      </w:r>
      <w:r>
        <w:rPr>
          <w:rFonts w:ascii="Palatino Linotype" w:hAnsi="Palatino Linotype"/>
        </w:rPr>
        <w:t>Aboriginal</w:t>
      </w:r>
      <w:r w:rsidR="007924D1">
        <w:rPr>
          <w:rFonts w:ascii="Palatino Linotype" w:hAnsi="Palatino Linotype"/>
        </w:rPr>
        <w:t xml:space="preserve"> rights are </w:t>
      </w:r>
      <w:r w:rsidR="004A0737">
        <w:rPr>
          <w:rFonts w:ascii="Palatino Linotype" w:hAnsi="Palatino Linotype"/>
        </w:rPr>
        <w:t>unsatisfactory – but too</w:t>
      </w:r>
      <w:r w:rsidR="007924D1">
        <w:rPr>
          <w:rFonts w:ascii="Palatino Linotype" w:hAnsi="Palatino Linotype"/>
        </w:rPr>
        <w:t xml:space="preserve"> cumbersome in</w:t>
      </w:r>
      <w:r w:rsidR="00C947A9" w:rsidRPr="00C947A9">
        <w:rPr>
          <w:rFonts w:ascii="Palatino Linotype" w:hAnsi="Palatino Linotype"/>
        </w:rPr>
        <w:t xml:space="preserve"> detail, variation and exceptional nature</w:t>
      </w:r>
      <w:r w:rsidR="004A0737">
        <w:rPr>
          <w:rFonts w:ascii="Palatino Linotype" w:hAnsi="Palatino Linotype"/>
        </w:rPr>
        <w:t xml:space="preserve"> to </w:t>
      </w:r>
      <w:r>
        <w:rPr>
          <w:rFonts w:ascii="Palatino Linotype" w:hAnsi="Palatino Linotype"/>
        </w:rPr>
        <w:t xml:space="preserve">effectively </w:t>
      </w:r>
      <w:r w:rsidR="004A0737">
        <w:rPr>
          <w:rFonts w:ascii="Palatino Linotype" w:hAnsi="Palatino Linotype"/>
        </w:rPr>
        <w:t>remark on in this report. A</w:t>
      </w:r>
      <w:r w:rsidR="00843737">
        <w:rPr>
          <w:rFonts w:ascii="Palatino Linotype" w:hAnsi="Palatino Linotype"/>
        </w:rPr>
        <w:t xml:space="preserve">side from the problems with Canada’s process of unilateral decision making about what </w:t>
      </w:r>
      <w:r>
        <w:rPr>
          <w:rFonts w:ascii="Palatino Linotype" w:hAnsi="Palatino Linotype"/>
        </w:rPr>
        <w:t>Aboriginal</w:t>
      </w:r>
      <w:r w:rsidR="00843737">
        <w:rPr>
          <w:rFonts w:ascii="Palatino Linotype" w:hAnsi="Palatino Linotype"/>
        </w:rPr>
        <w:t xml:space="preserve"> title is, and the interim problem of Canada legislating anything – including implementation of the UNDRIP – on Indigenous lands unceded to the Crown in right of Canada</w:t>
      </w:r>
      <w:r w:rsidR="004A0737">
        <w:rPr>
          <w:rFonts w:ascii="Palatino Linotype" w:hAnsi="Palatino Linotype"/>
        </w:rPr>
        <w:t xml:space="preserve"> where Canada does not have a treaty with a particular Indigenous nation or people expressly including the right of Canada to legislate</w:t>
      </w:r>
      <w:r w:rsidR="00843737">
        <w:rPr>
          <w:rFonts w:ascii="Palatino Linotype" w:hAnsi="Palatino Linotype"/>
        </w:rPr>
        <w:t xml:space="preserve">, IHRAAM notes that </w:t>
      </w:r>
      <w:r w:rsidR="00A91CBA">
        <w:rPr>
          <w:rFonts w:ascii="Palatino Linotype" w:hAnsi="Palatino Linotype"/>
        </w:rPr>
        <w:t>Canada only recognizes “</w:t>
      </w:r>
      <w:r>
        <w:rPr>
          <w:rFonts w:ascii="Palatino Linotype" w:hAnsi="Palatino Linotype"/>
        </w:rPr>
        <w:t>Aboriginal</w:t>
      </w:r>
      <w:r w:rsidR="00A91CBA">
        <w:rPr>
          <w:rFonts w:ascii="Palatino Linotype" w:hAnsi="Palatino Linotype"/>
        </w:rPr>
        <w:t xml:space="preserve"> groups,” not peoples, and that there is no Canadian legislation spe</w:t>
      </w:r>
      <w:r w:rsidR="004A0737">
        <w:rPr>
          <w:rFonts w:ascii="Palatino Linotype" w:hAnsi="Palatino Linotype"/>
        </w:rPr>
        <w:t>cific to the rights of peoples as identified in Article 1 of the Covenant.</w:t>
      </w:r>
    </w:p>
    <w:p w14:paraId="29178AD2" w14:textId="389F4BC5" w:rsidR="00C947A9" w:rsidRPr="000C159E" w:rsidRDefault="004A0737" w:rsidP="000C159E">
      <w:pPr>
        <w:pStyle w:val="paranondepar-altn"/>
        <w:spacing w:line="276" w:lineRule="auto"/>
        <w:ind w:left="720"/>
        <w:rPr>
          <w:rFonts w:ascii="Palatino Linotype" w:hAnsi="Palatino Linotype"/>
        </w:rPr>
      </w:pPr>
      <w:r>
        <w:rPr>
          <w:rFonts w:ascii="Palatino Linotype" w:hAnsi="Palatino Linotype"/>
        </w:rPr>
        <w:t xml:space="preserve">    </w:t>
      </w:r>
      <w:r w:rsidR="000C159E">
        <w:rPr>
          <w:rFonts w:ascii="Palatino Linotype" w:hAnsi="Palatino Linotype"/>
        </w:rPr>
        <w:t>In</w:t>
      </w:r>
      <w:r>
        <w:rPr>
          <w:rFonts w:ascii="Palatino Linotype" w:hAnsi="Palatino Linotype"/>
        </w:rPr>
        <w:t xml:space="preserve"> </w:t>
      </w:r>
      <w:r>
        <w:rPr>
          <w:rFonts w:ascii="Palatino Linotype" w:hAnsi="Palatino Linotype"/>
          <w:i/>
        </w:rPr>
        <w:t>William</w:t>
      </w:r>
      <w:r>
        <w:rPr>
          <w:rFonts w:ascii="Palatino Linotype" w:hAnsi="Palatino Linotype"/>
        </w:rPr>
        <w:t xml:space="preserve">, Supreme Court of Canada, 2014, </w:t>
      </w:r>
      <w:r w:rsidR="00D84B4B">
        <w:rPr>
          <w:rFonts w:ascii="Palatino Linotype" w:hAnsi="Palatino Linotype"/>
        </w:rPr>
        <w:t>Aboriginal</w:t>
      </w:r>
      <w:r>
        <w:rPr>
          <w:rFonts w:ascii="Palatino Linotype" w:hAnsi="Palatino Linotype"/>
        </w:rPr>
        <w:t xml:space="preserve"> </w:t>
      </w:r>
      <w:r w:rsidR="000C159E">
        <w:rPr>
          <w:rFonts w:ascii="Palatino Linotype" w:hAnsi="Palatino Linotype"/>
        </w:rPr>
        <w:t xml:space="preserve">title </w:t>
      </w:r>
      <w:r>
        <w:rPr>
          <w:rFonts w:ascii="Palatino Linotype" w:hAnsi="Palatino Linotype"/>
        </w:rPr>
        <w:t xml:space="preserve">was </w:t>
      </w:r>
      <w:r w:rsidR="000C159E">
        <w:rPr>
          <w:rFonts w:ascii="Palatino Linotype" w:hAnsi="Palatino Linotype"/>
        </w:rPr>
        <w:t>established</w:t>
      </w:r>
      <w:r>
        <w:rPr>
          <w:rFonts w:ascii="Palatino Linotype" w:hAnsi="Palatino Linotype"/>
        </w:rPr>
        <w:t xml:space="preserve"> in a Canadian court</w:t>
      </w:r>
      <w:r w:rsidR="00D84B4B">
        <w:rPr>
          <w:rFonts w:ascii="Palatino Linotype" w:hAnsi="Palatino Linotype"/>
        </w:rPr>
        <w:t xml:space="preserve"> for the first time</w:t>
      </w:r>
      <w:r w:rsidR="000C159E">
        <w:rPr>
          <w:rFonts w:ascii="Palatino Linotype" w:hAnsi="Palatino Linotype"/>
        </w:rPr>
        <w:t>.</w:t>
      </w:r>
      <w:r>
        <w:rPr>
          <w:rFonts w:ascii="Palatino Linotype" w:hAnsi="Palatino Linotype"/>
        </w:rPr>
        <w:t xml:space="preserve"> </w:t>
      </w:r>
      <w:r w:rsidR="000C159E">
        <w:rPr>
          <w:rFonts w:ascii="Palatino Linotype" w:hAnsi="Palatino Linotype"/>
        </w:rPr>
        <w:t xml:space="preserve">According to </w:t>
      </w:r>
      <w:r w:rsidR="009D2EBF">
        <w:rPr>
          <w:rFonts w:ascii="Palatino Linotype" w:hAnsi="Palatino Linotype"/>
        </w:rPr>
        <w:t xml:space="preserve">Canadian courts, </w:t>
      </w:r>
      <w:r w:rsidR="00D84B4B">
        <w:rPr>
          <w:rFonts w:ascii="Palatino Linotype" w:hAnsi="Palatino Linotype"/>
        </w:rPr>
        <w:t>Aboriginal title is an Aboriginal right held by an “Aboriginal</w:t>
      </w:r>
      <w:r w:rsidR="000C159E">
        <w:rPr>
          <w:rFonts w:ascii="Palatino Linotype" w:hAnsi="Palatino Linotype"/>
        </w:rPr>
        <w:t xml:space="preserve"> group.” The absence of the court’s consideration, in its ruling, of what </w:t>
      </w:r>
      <w:r w:rsidR="00D84B4B">
        <w:rPr>
          <w:rFonts w:ascii="Palatino Linotype" w:hAnsi="Palatino Linotype"/>
        </w:rPr>
        <w:t>Aboriginal</w:t>
      </w:r>
      <w:r w:rsidR="000C159E">
        <w:rPr>
          <w:rFonts w:ascii="Palatino Linotype" w:hAnsi="Palatino Linotype"/>
        </w:rPr>
        <w:t xml:space="preserve"> title means to the </w:t>
      </w:r>
      <w:r w:rsidR="009D2EBF">
        <w:rPr>
          <w:rFonts w:ascii="Palatino Linotype" w:hAnsi="Palatino Linotype"/>
        </w:rPr>
        <w:t xml:space="preserve">plaintiffs in </w:t>
      </w:r>
      <w:r w:rsidR="009D2EBF" w:rsidRPr="009D2EBF">
        <w:rPr>
          <w:rFonts w:ascii="Palatino Linotype" w:hAnsi="Palatino Linotype"/>
          <w:i/>
        </w:rPr>
        <w:t>William</w:t>
      </w:r>
      <w:r w:rsidR="009D2EBF">
        <w:rPr>
          <w:rFonts w:ascii="Palatino Linotype" w:hAnsi="Palatino Linotype"/>
        </w:rPr>
        <w:t xml:space="preserve">, the </w:t>
      </w:r>
      <w:r w:rsidR="000C159E" w:rsidRPr="009D2EBF">
        <w:rPr>
          <w:rFonts w:ascii="Palatino Linotype" w:hAnsi="Palatino Linotype"/>
        </w:rPr>
        <w:t>Tsilhqot’in</w:t>
      </w:r>
      <w:r w:rsidR="009D2EBF">
        <w:rPr>
          <w:rFonts w:ascii="Palatino Linotype" w:hAnsi="Palatino Linotype"/>
        </w:rPr>
        <w:t>,</w:t>
      </w:r>
      <w:r w:rsidR="000C159E">
        <w:rPr>
          <w:rFonts w:ascii="Palatino Linotype" w:hAnsi="Palatino Linotype"/>
        </w:rPr>
        <w:t xml:space="preserve"> is problematic</w:t>
      </w:r>
      <w:r w:rsidR="00EB07F8">
        <w:rPr>
          <w:rFonts w:ascii="Palatino Linotype" w:hAnsi="Palatino Linotype"/>
        </w:rPr>
        <w:t xml:space="preserve"> for the exercise and protection of the Tsilhqot’in right going forward, and shows a State approach which does not accept </w:t>
      </w:r>
      <w:r w:rsidR="00334000">
        <w:rPr>
          <w:rFonts w:ascii="Palatino Linotype" w:hAnsi="Palatino Linotype"/>
        </w:rPr>
        <w:t xml:space="preserve">the Peoples’ right to </w:t>
      </w:r>
      <w:r w:rsidR="00EB07F8">
        <w:rPr>
          <w:rFonts w:ascii="Palatino Linotype" w:hAnsi="Palatino Linotype"/>
        </w:rPr>
        <w:t>self-determination</w:t>
      </w:r>
      <w:r w:rsidR="000C159E">
        <w:rPr>
          <w:rFonts w:ascii="Palatino Linotype" w:hAnsi="Palatino Linotype"/>
        </w:rPr>
        <w:t xml:space="preserve">. The Court defined </w:t>
      </w:r>
      <w:r w:rsidR="00D84B4B">
        <w:rPr>
          <w:rFonts w:ascii="Palatino Linotype" w:hAnsi="Palatino Linotype"/>
        </w:rPr>
        <w:t>Aboriginal</w:t>
      </w:r>
      <w:r w:rsidR="000C159E">
        <w:rPr>
          <w:rFonts w:ascii="Palatino Linotype" w:hAnsi="Palatino Linotype"/>
        </w:rPr>
        <w:t xml:space="preserve"> title:</w:t>
      </w:r>
    </w:p>
    <w:p w14:paraId="4CD05B9A" w14:textId="1D3AD216" w:rsidR="00C947A9" w:rsidRPr="00A46A39" w:rsidRDefault="007924D1" w:rsidP="00A46A39">
      <w:pPr>
        <w:pStyle w:val="ListParagraph"/>
        <w:ind w:left="2160" w:firstLine="360"/>
        <w:rPr>
          <w:rFonts w:ascii="Palatino Linotype" w:hAnsi="Palatino Linotype"/>
          <w:sz w:val="24"/>
          <w:szCs w:val="24"/>
        </w:rPr>
      </w:pPr>
      <w:r w:rsidRPr="00C947A9">
        <w:rPr>
          <w:rFonts w:ascii="Palatino Linotype" w:hAnsi="Palatino Linotype"/>
          <w:sz w:val="24"/>
          <w:szCs w:val="24"/>
        </w:rPr>
        <w:t xml:space="preserve"> </w:t>
      </w:r>
      <w:r w:rsidR="00C947A9" w:rsidRPr="00C947A9">
        <w:rPr>
          <w:rFonts w:ascii="Palatino Linotype" w:hAnsi="Palatino Linotype"/>
          <w:sz w:val="24"/>
          <w:szCs w:val="24"/>
        </w:rPr>
        <w:t xml:space="preserve">[88]  In summary, </w:t>
      </w:r>
      <w:r w:rsidR="00D84B4B">
        <w:rPr>
          <w:rFonts w:ascii="Palatino Linotype" w:hAnsi="Palatino Linotype"/>
          <w:sz w:val="24"/>
          <w:szCs w:val="24"/>
        </w:rPr>
        <w:t>Aboriginal</w:t>
      </w:r>
      <w:r w:rsidR="00C947A9" w:rsidRPr="00C947A9">
        <w:rPr>
          <w:rFonts w:ascii="Palatino Linotype" w:hAnsi="Palatino Linotype"/>
          <w:sz w:val="24"/>
          <w:szCs w:val="24"/>
        </w:rPr>
        <w:t xml:space="preserve"> title confers on the group that holds it the exclusive right to decide how the land is used and the right to benefit from those uses, subject to one </w:t>
      </w:r>
      <w:r w:rsidR="00C947A9" w:rsidRPr="0011195D">
        <w:rPr>
          <w:rFonts w:ascii="Palatino Linotype" w:hAnsi="Palatino Linotype"/>
          <w:sz w:val="24"/>
          <w:szCs w:val="24"/>
        </w:rPr>
        <w:t>carve­out</w:t>
      </w:r>
      <w:r w:rsidR="00C947A9" w:rsidRPr="00C947A9">
        <w:rPr>
          <w:rFonts w:ascii="Palatino Linotype" w:hAnsi="Palatino Linotype"/>
          <w:sz w:val="24"/>
          <w:szCs w:val="24"/>
        </w:rPr>
        <w:t xml:space="preserve"> — that the uses  must be consistent with the group nature of the interest and the enjoyment of the land by future generations. Government incursions not consented to by the title­holdi</w:t>
      </w:r>
      <w:r w:rsidR="00C947A9">
        <w:rPr>
          <w:rFonts w:ascii="Palatino Linotype" w:hAnsi="Palatino Linotype"/>
          <w:sz w:val="24"/>
          <w:szCs w:val="24"/>
        </w:rPr>
        <w:t xml:space="preserve">ng group must be undertaken in </w:t>
      </w:r>
      <w:r w:rsidR="00C947A9" w:rsidRPr="00C947A9">
        <w:rPr>
          <w:rFonts w:ascii="Palatino Linotype" w:hAnsi="Palatino Linotype"/>
          <w:sz w:val="24"/>
          <w:szCs w:val="24"/>
        </w:rPr>
        <w:t>accordance with the</w:t>
      </w:r>
      <w:r w:rsidR="00C947A9">
        <w:rPr>
          <w:rFonts w:ascii="Palatino Linotype" w:hAnsi="Palatino Linotype"/>
          <w:sz w:val="24"/>
          <w:szCs w:val="24"/>
        </w:rPr>
        <w:t xml:space="preserve"> Crown’s procedural duty to con</w:t>
      </w:r>
      <w:r w:rsidR="00C947A9" w:rsidRPr="00C947A9">
        <w:rPr>
          <w:rFonts w:ascii="Palatino Linotype" w:hAnsi="Palatino Linotype"/>
          <w:sz w:val="24"/>
          <w:szCs w:val="24"/>
        </w:rPr>
        <w:t xml:space="preserve">sult and must also be </w:t>
      </w:r>
      <w:r w:rsidR="00C947A9">
        <w:rPr>
          <w:rFonts w:ascii="Palatino Linotype" w:hAnsi="Palatino Linotype"/>
          <w:sz w:val="24"/>
          <w:szCs w:val="24"/>
        </w:rPr>
        <w:t>justified on the basis of a com</w:t>
      </w:r>
      <w:r w:rsidR="00C947A9" w:rsidRPr="00C947A9">
        <w:rPr>
          <w:rFonts w:ascii="Palatino Linotype" w:hAnsi="Palatino Linotype"/>
          <w:sz w:val="24"/>
          <w:szCs w:val="24"/>
        </w:rPr>
        <w:t xml:space="preserve">pelling and substantial public interest, and must be consistent with the Crown’s fiduciary duty to the </w:t>
      </w:r>
      <w:r w:rsidR="00D84B4B">
        <w:rPr>
          <w:rFonts w:ascii="Palatino Linotype" w:hAnsi="Palatino Linotype"/>
          <w:sz w:val="24"/>
          <w:szCs w:val="24"/>
        </w:rPr>
        <w:t>Aboriginal</w:t>
      </w:r>
      <w:r w:rsidR="00C947A9" w:rsidRPr="00C947A9">
        <w:rPr>
          <w:rFonts w:ascii="Palatino Linotype" w:hAnsi="Palatino Linotype"/>
          <w:sz w:val="24"/>
          <w:szCs w:val="24"/>
        </w:rPr>
        <w:t xml:space="preserve"> group.</w:t>
      </w:r>
    </w:p>
    <w:p w14:paraId="2A687C15" w14:textId="4C919CA9" w:rsidR="000C159E" w:rsidRDefault="000C159E" w:rsidP="00A46A39">
      <w:pPr>
        <w:pStyle w:val="paranondepar-altn"/>
        <w:spacing w:line="276" w:lineRule="auto"/>
        <w:ind w:left="720"/>
        <w:rPr>
          <w:rFonts w:ascii="Palatino Linotype" w:hAnsi="Palatino Linotype"/>
        </w:rPr>
      </w:pPr>
      <w:r>
        <w:rPr>
          <w:rFonts w:ascii="Palatino Linotype" w:hAnsi="Palatino Linotype"/>
        </w:rPr>
        <w:lastRenderedPageBreak/>
        <w:t xml:space="preserve">There is no </w:t>
      </w:r>
      <w:r w:rsidR="009D2EBF">
        <w:rPr>
          <w:rFonts w:ascii="Palatino Linotype" w:hAnsi="Palatino Linotype"/>
        </w:rPr>
        <w:t xml:space="preserve">Canadian </w:t>
      </w:r>
      <w:r>
        <w:rPr>
          <w:rFonts w:ascii="Palatino Linotype" w:hAnsi="Palatino Linotype"/>
        </w:rPr>
        <w:t>legislation informing what is “the procedural duty to consult and accommodate”; only case law precedent.</w:t>
      </w:r>
      <w:r w:rsidR="00806ED0">
        <w:rPr>
          <w:rFonts w:ascii="Palatino Linotype" w:hAnsi="Palatino Linotype"/>
        </w:rPr>
        <w:t xml:space="preserve"> </w:t>
      </w:r>
      <w:r w:rsidR="0063595E">
        <w:rPr>
          <w:rFonts w:ascii="Palatino Linotype" w:hAnsi="Palatino Linotype"/>
        </w:rPr>
        <w:t xml:space="preserve">This duty has, in one recent </w:t>
      </w:r>
      <w:r w:rsidR="00EB07F8">
        <w:rPr>
          <w:rFonts w:ascii="Palatino Linotype" w:hAnsi="Palatino Linotype"/>
        </w:rPr>
        <w:t>British Columbia Court of Appeal</w:t>
      </w:r>
      <w:r w:rsidR="0063595E">
        <w:rPr>
          <w:rFonts w:ascii="Palatino Linotype" w:hAnsi="Palatino Linotype"/>
        </w:rPr>
        <w:t xml:space="preserve"> </w:t>
      </w:r>
      <w:r w:rsidR="00EB07F8">
        <w:rPr>
          <w:rFonts w:ascii="Palatino Linotype" w:hAnsi="Palatino Linotype"/>
        </w:rPr>
        <w:t xml:space="preserve">(provincial) </w:t>
      </w:r>
      <w:r w:rsidR="0063595E">
        <w:rPr>
          <w:rFonts w:ascii="Palatino Linotype" w:hAnsi="Palatino Linotype"/>
        </w:rPr>
        <w:t>case, been satisfied by unreturned phonecalls from a federal Department to an Indian Band office.</w:t>
      </w:r>
      <w:r w:rsidR="0063595E">
        <w:rPr>
          <w:rStyle w:val="FootnoteReference"/>
          <w:rFonts w:ascii="Palatino Linotype" w:hAnsi="Palatino Linotype"/>
        </w:rPr>
        <w:footnoteReference w:id="2"/>
      </w:r>
      <w:r w:rsidR="0063595E">
        <w:rPr>
          <w:rFonts w:ascii="Palatino Linotype" w:hAnsi="Palatino Linotype"/>
        </w:rPr>
        <w:t xml:space="preserve"> </w:t>
      </w:r>
      <w:r w:rsidR="009B4E22" w:rsidRPr="00397B4B">
        <w:rPr>
          <w:rFonts w:ascii="Palatino Linotype" w:hAnsi="Palatino Linotype"/>
        </w:rPr>
        <w:t>In 2011, Canada released the “Updated Guidelines for Federal Officials to Fulfil the Duty to Consult,” which include Guiding Principles and Consultation Directives and provide strategic and practical guidance for federal officials</w:t>
      </w:r>
      <w:r w:rsidR="00397B4B">
        <w:rPr>
          <w:rFonts w:ascii="Palatino Linotype" w:hAnsi="Palatino Linotype"/>
        </w:rPr>
        <w:t xml:space="preserve"> – not legislation</w:t>
      </w:r>
      <w:r w:rsidR="009B4E22" w:rsidRPr="00397B4B">
        <w:rPr>
          <w:rFonts w:ascii="Palatino Linotype" w:hAnsi="Palatino Linotype"/>
        </w:rPr>
        <w:t>.</w:t>
      </w:r>
      <w:r w:rsidR="009B4E22" w:rsidRPr="00397B4B">
        <w:rPr>
          <w:rStyle w:val="FootnoteReference"/>
          <w:rFonts w:ascii="Palatino Linotype" w:hAnsi="Palatino Linotype"/>
        </w:rPr>
        <w:footnoteReference w:id="3"/>
      </w:r>
      <w:r w:rsidR="009B4E22" w:rsidRPr="00397B4B">
        <w:rPr>
          <w:rFonts w:ascii="Palatino Linotype" w:hAnsi="Palatino Linotype"/>
        </w:rPr>
        <w:t xml:space="preserve"> </w:t>
      </w:r>
      <w:r w:rsidR="003E5EA2" w:rsidRPr="00397B4B">
        <w:rPr>
          <w:rFonts w:ascii="Palatino Linotype" w:hAnsi="Palatino Linotype"/>
        </w:rPr>
        <w:t>We</w:t>
      </w:r>
      <w:r w:rsidR="00806ED0" w:rsidRPr="00397B4B">
        <w:rPr>
          <w:rFonts w:ascii="Palatino Linotype" w:hAnsi="Palatino Linotype"/>
        </w:rPr>
        <w:t xml:space="preserve"> know that satisfaction of the Court’s justification test for </w:t>
      </w:r>
      <w:r w:rsidR="003E5EA2" w:rsidRPr="00397B4B">
        <w:rPr>
          <w:rFonts w:ascii="Palatino Linotype" w:hAnsi="Palatino Linotype"/>
        </w:rPr>
        <w:t xml:space="preserve">“government incursion” is </w:t>
      </w:r>
      <w:r w:rsidR="009D2EBF" w:rsidRPr="00397B4B">
        <w:rPr>
          <w:rFonts w:ascii="Palatino Linotype" w:hAnsi="Palatino Linotype"/>
        </w:rPr>
        <w:t>exemplified</w:t>
      </w:r>
      <w:r w:rsidR="003E5EA2" w:rsidRPr="00397B4B">
        <w:rPr>
          <w:rFonts w:ascii="Palatino Linotype" w:hAnsi="Palatino Linotype"/>
        </w:rPr>
        <w:t xml:space="preserve"> in </w:t>
      </w:r>
      <w:r w:rsidR="00806ED0" w:rsidRPr="00397B4B">
        <w:rPr>
          <w:rFonts w:ascii="Palatino Linotype" w:hAnsi="Palatino Linotype"/>
          <w:i/>
        </w:rPr>
        <w:t>Delgamuukw</w:t>
      </w:r>
      <w:r w:rsidR="009D2EBF" w:rsidRPr="00397B4B">
        <w:rPr>
          <w:rFonts w:ascii="Palatino Linotype" w:hAnsi="Palatino Linotype"/>
        </w:rPr>
        <w:t>, SCC 1997, as “The</w:t>
      </w:r>
      <w:r w:rsidR="009D2EBF">
        <w:rPr>
          <w:rFonts w:ascii="Palatino Linotype" w:hAnsi="Palatino Linotype"/>
        </w:rPr>
        <w:t xml:space="preserve"> development of agriculture, forestry, mining and hydroelectric power, the general economic development of the interior of British Columbia…</w:t>
      </w:r>
      <w:r w:rsidR="00687C3B">
        <w:rPr>
          <w:rFonts w:ascii="Palatino Linotype" w:hAnsi="Palatino Linotype"/>
        </w:rPr>
        <w:t>”</w:t>
      </w:r>
      <w:r w:rsidR="0063595E">
        <w:rPr>
          <w:rStyle w:val="FootnoteReference"/>
          <w:rFonts w:ascii="Palatino Linotype" w:hAnsi="Palatino Linotype"/>
        </w:rPr>
        <w:footnoteReference w:id="4"/>
      </w:r>
      <w:r w:rsidR="00687C3B">
        <w:rPr>
          <w:rFonts w:ascii="Palatino Linotype" w:hAnsi="Palatino Linotype"/>
        </w:rPr>
        <w:t xml:space="preserve"> among other things, like settlement of newcomers.</w:t>
      </w:r>
      <w:r w:rsidR="009D2EBF">
        <w:rPr>
          <w:rFonts w:ascii="Palatino Linotype" w:hAnsi="Palatino Linotype"/>
        </w:rPr>
        <w:t xml:space="preserve"> The Crown’s </w:t>
      </w:r>
      <w:r w:rsidR="0063595E">
        <w:rPr>
          <w:rFonts w:ascii="Palatino Linotype" w:hAnsi="Palatino Linotype"/>
        </w:rPr>
        <w:t>“</w:t>
      </w:r>
      <w:r w:rsidR="009D2EBF">
        <w:rPr>
          <w:rFonts w:ascii="Palatino Linotype" w:hAnsi="Palatino Linotype"/>
        </w:rPr>
        <w:t xml:space="preserve">fiduciary duty to the </w:t>
      </w:r>
      <w:r w:rsidR="00D84B4B">
        <w:rPr>
          <w:rFonts w:ascii="Palatino Linotype" w:hAnsi="Palatino Linotype"/>
        </w:rPr>
        <w:t>Aboriginal</w:t>
      </w:r>
      <w:r w:rsidR="009D2EBF">
        <w:rPr>
          <w:rFonts w:ascii="Palatino Linotype" w:hAnsi="Palatino Linotype"/>
        </w:rPr>
        <w:t xml:space="preserve"> group”</w:t>
      </w:r>
      <w:r w:rsidR="00B57E72">
        <w:rPr>
          <w:rFonts w:ascii="Palatino Linotype" w:hAnsi="Palatino Linotype"/>
        </w:rPr>
        <w:t xml:space="preserve"> is </w:t>
      </w:r>
      <w:r w:rsidR="00EB07F8">
        <w:rPr>
          <w:rFonts w:ascii="Palatino Linotype" w:hAnsi="Palatino Linotype"/>
        </w:rPr>
        <w:t xml:space="preserve">treated by State actors as </w:t>
      </w:r>
      <w:r w:rsidR="00B57E72">
        <w:rPr>
          <w:rFonts w:ascii="Palatino Linotype" w:hAnsi="Palatino Linotype"/>
        </w:rPr>
        <w:t>a liquid</w:t>
      </w:r>
      <w:r w:rsidR="00687C3B">
        <w:rPr>
          <w:rFonts w:ascii="Palatino Linotype" w:hAnsi="Palatino Linotype"/>
        </w:rPr>
        <w:t>, undefined quantum</w:t>
      </w:r>
      <w:r w:rsidR="0063595E">
        <w:rPr>
          <w:rStyle w:val="FootnoteReference"/>
          <w:rFonts w:ascii="Palatino Linotype" w:hAnsi="Palatino Linotype"/>
        </w:rPr>
        <w:footnoteReference w:id="5"/>
      </w:r>
      <w:r w:rsidR="00687C3B">
        <w:rPr>
          <w:rFonts w:ascii="Palatino Linotype" w:hAnsi="Palatino Linotype"/>
        </w:rPr>
        <w:t xml:space="preserve"> which therefore </w:t>
      </w:r>
      <w:r w:rsidR="00AF7D90">
        <w:rPr>
          <w:rFonts w:ascii="Palatino Linotype" w:hAnsi="Palatino Linotype"/>
        </w:rPr>
        <w:t xml:space="preserve">leads to </w:t>
      </w:r>
      <w:r w:rsidR="00687C3B">
        <w:rPr>
          <w:rFonts w:ascii="Palatino Linotype" w:hAnsi="Palatino Linotype"/>
        </w:rPr>
        <w:t>an iterative process of litigation</w:t>
      </w:r>
      <w:r w:rsidR="00EB07F8">
        <w:rPr>
          <w:rFonts w:ascii="Palatino Linotype" w:hAnsi="Palatino Linotype"/>
        </w:rPr>
        <w:t xml:space="preserve"> arising every time that duty may be applicable.</w:t>
      </w:r>
    </w:p>
    <w:p w14:paraId="712E5998" w14:textId="406158AA" w:rsidR="00A46A39" w:rsidRDefault="00D84B4B" w:rsidP="00A46A39">
      <w:pPr>
        <w:pStyle w:val="paranondepar-altn"/>
        <w:spacing w:line="276" w:lineRule="auto"/>
        <w:ind w:left="720"/>
        <w:rPr>
          <w:rFonts w:ascii="Palatino Linotype" w:hAnsi="Palatino Linotype"/>
        </w:rPr>
      </w:pPr>
      <w:r>
        <w:rPr>
          <w:rFonts w:ascii="Palatino Linotype" w:hAnsi="Palatino Linotype"/>
        </w:rPr>
        <w:t xml:space="preserve">   </w:t>
      </w:r>
      <w:r w:rsidR="006163AD">
        <w:rPr>
          <w:rFonts w:ascii="Palatino Linotype" w:hAnsi="Palatino Linotype"/>
        </w:rPr>
        <w:t>The</w:t>
      </w:r>
      <w:r w:rsidR="00A46A39">
        <w:rPr>
          <w:rFonts w:ascii="Palatino Linotype" w:hAnsi="Palatino Linotype"/>
        </w:rPr>
        <w:t xml:space="preserve"> Supreme Court’s definition </w:t>
      </w:r>
      <w:r w:rsidR="00092BC3">
        <w:rPr>
          <w:rFonts w:ascii="Palatino Linotype" w:hAnsi="Palatino Linotype"/>
        </w:rPr>
        <w:t xml:space="preserve">of </w:t>
      </w:r>
      <w:r>
        <w:rPr>
          <w:rFonts w:ascii="Palatino Linotype" w:hAnsi="Palatino Linotype"/>
        </w:rPr>
        <w:t>Aboriginal</w:t>
      </w:r>
      <w:r w:rsidR="00092BC3">
        <w:rPr>
          <w:rFonts w:ascii="Palatino Linotype" w:hAnsi="Palatino Linotype"/>
        </w:rPr>
        <w:t xml:space="preserve"> title</w:t>
      </w:r>
      <w:r w:rsidR="00CA52F9">
        <w:rPr>
          <w:rFonts w:ascii="Palatino Linotype" w:hAnsi="Palatino Linotype"/>
        </w:rPr>
        <w:t xml:space="preserve"> is</w:t>
      </w:r>
      <w:r w:rsidR="004A0737">
        <w:rPr>
          <w:rFonts w:ascii="Palatino Linotype" w:hAnsi="Palatino Linotype"/>
        </w:rPr>
        <w:t xml:space="preserve"> such that litigation is required for any exercise of </w:t>
      </w:r>
      <w:r>
        <w:rPr>
          <w:rFonts w:ascii="Palatino Linotype" w:hAnsi="Palatino Linotype"/>
        </w:rPr>
        <w:t>Aboriginal</w:t>
      </w:r>
      <w:r w:rsidR="00CA52F9">
        <w:rPr>
          <w:rFonts w:ascii="Palatino Linotype" w:hAnsi="Palatino Linotype"/>
        </w:rPr>
        <w:t xml:space="preserve"> title. </w:t>
      </w:r>
      <w:r w:rsidR="00EB07F8">
        <w:rPr>
          <w:rFonts w:ascii="Palatino Linotype" w:hAnsi="Palatino Linotype"/>
        </w:rPr>
        <w:t xml:space="preserve">Establishing </w:t>
      </w:r>
      <w:r>
        <w:rPr>
          <w:rFonts w:ascii="Palatino Linotype" w:hAnsi="Palatino Linotype"/>
        </w:rPr>
        <w:t>Aboriginal</w:t>
      </w:r>
      <w:r w:rsidR="00EB07F8">
        <w:rPr>
          <w:rFonts w:ascii="Palatino Linotype" w:hAnsi="Palatino Linotype"/>
        </w:rPr>
        <w:t xml:space="preserve"> title at the Supreme Court took the Tsilhqot’in 25 years in court and cost them and the state more than forty million dollars. </w:t>
      </w:r>
      <w:r w:rsidR="00CA52F9">
        <w:rPr>
          <w:rFonts w:ascii="Palatino Linotype" w:hAnsi="Palatino Linotype"/>
        </w:rPr>
        <w:t>This</w:t>
      </w:r>
      <w:r w:rsidR="00092BC3">
        <w:rPr>
          <w:rFonts w:ascii="Palatino Linotype" w:hAnsi="Palatino Linotype"/>
        </w:rPr>
        <w:t xml:space="preserve"> is problematic</w:t>
      </w:r>
      <w:r w:rsidR="004A0737">
        <w:rPr>
          <w:rFonts w:ascii="Palatino Linotype" w:hAnsi="Palatino Linotype"/>
        </w:rPr>
        <w:t xml:space="preserve"> to the point of open hostility to the function of </w:t>
      </w:r>
      <w:r>
        <w:rPr>
          <w:rFonts w:ascii="Palatino Linotype" w:hAnsi="Palatino Linotype"/>
        </w:rPr>
        <w:t>Aboriginal</w:t>
      </w:r>
      <w:r w:rsidR="004A0737">
        <w:rPr>
          <w:rFonts w:ascii="Palatino Linotype" w:hAnsi="Palatino Linotype"/>
        </w:rPr>
        <w:t xml:space="preserve"> title</w:t>
      </w:r>
      <w:r w:rsidR="00334000">
        <w:rPr>
          <w:rFonts w:ascii="Palatino Linotype" w:hAnsi="Palatino Linotype"/>
        </w:rPr>
        <w:t>, and outright denial of the Peoples’ rights</w:t>
      </w:r>
      <w:r w:rsidR="00092BC3">
        <w:rPr>
          <w:rFonts w:ascii="Palatino Linotype" w:hAnsi="Palatino Linotype"/>
        </w:rPr>
        <w:t xml:space="preserve">. </w:t>
      </w:r>
      <w:r w:rsidR="006163AD">
        <w:rPr>
          <w:rFonts w:ascii="Palatino Linotype" w:hAnsi="Palatino Linotype"/>
        </w:rPr>
        <w:t>T</w:t>
      </w:r>
      <w:r w:rsidR="00A46A39">
        <w:rPr>
          <w:rFonts w:ascii="Palatino Linotype" w:hAnsi="Palatino Linotype"/>
        </w:rPr>
        <w:t xml:space="preserve">he Special Rapporteur on the Rights of Indigenous Peoples </w:t>
      </w:r>
      <w:r w:rsidR="006163AD">
        <w:rPr>
          <w:rFonts w:ascii="Palatino Linotype" w:hAnsi="Palatino Linotype"/>
        </w:rPr>
        <w:t>remarked on</w:t>
      </w:r>
      <w:r w:rsidR="0011195D">
        <w:rPr>
          <w:rFonts w:ascii="Palatino Linotype" w:hAnsi="Palatino Linotype"/>
        </w:rPr>
        <w:t xml:space="preserve"> the “adversarial” nature of </w:t>
      </w:r>
      <w:r>
        <w:rPr>
          <w:rFonts w:ascii="Palatino Linotype" w:hAnsi="Palatino Linotype"/>
        </w:rPr>
        <w:t>Aboriginal</w:t>
      </w:r>
      <w:r w:rsidR="0011195D">
        <w:rPr>
          <w:rFonts w:ascii="Palatino Linotype" w:hAnsi="Palatino Linotype"/>
        </w:rPr>
        <w:t xml:space="preserve"> rights litigation in Canadian courts.</w:t>
      </w:r>
      <w:r w:rsidR="00A46A39">
        <w:rPr>
          <w:rStyle w:val="FootnoteReference"/>
          <w:rFonts w:ascii="Palatino Linotype" w:hAnsi="Palatino Linotype"/>
        </w:rPr>
        <w:footnoteReference w:id="6"/>
      </w:r>
    </w:p>
    <w:p w14:paraId="530BED11" w14:textId="3A100688" w:rsidR="00EB07F8" w:rsidRDefault="00D84B4B" w:rsidP="00D84B4B">
      <w:pPr>
        <w:pStyle w:val="paranondepar-altn"/>
        <w:spacing w:line="276" w:lineRule="auto"/>
        <w:ind w:left="720"/>
        <w:rPr>
          <w:rFonts w:ascii="Palatino Linotype" w:hAnsi="Palatino Linotype"/>
        </w:rPr>
      </w:pPr>
      <w:r>
        <w:rPr>
          <w:rFonts w:ascii="Palatino Linotype" w:hAnsi="Palatino Linotype"/>
        </w:rPr>
        <w:t xml:space="preserve">   </w:t>
      </w:r>
      <w:r w:rsidR="009D2EBF">
        <w:rPr>
          <w:rFonts w:ascii="Palatino Linotype" w:hAnsi="Palatino Linotype"/>
        </w:rPr>
        <w:t xml:space="preserve">While Canadian courts now offer a proven test to establish </w:t>
      </w:r>
      <w:r>
        <w:rPr>
          <w:rFonts w:ascii="Palatino Linotype" w:hAnsi="Palatino Linotype"/>
        </w:rPr>
        <w:t>Aboriginal</w:t>
      </w:r>
      <w:r w:rsidR="009D2EBF">
        <w:rPr>
          <w:rFonts w:ascii="Palatino Linotype" w:hAnsi="Palatino Linotype"/>
        </w:rPr>
        <w:t xml:space="preserve"> title,</w:t>
      </w:r>
      <w:r w:rsidR="000033B3">
        <w:rPr>
          <w:rFonts w:ascii="Palatino Linotype" w:hAnsi="Palatino Linotype"/>
        </w:rPr>
        <w:t xml:space="preserve"> in</w:t>
      </w:r>
      <w:r w:rsidR="009D2EBF">
        <w:rPr>
          <w:rFonts w:ascii="Palatino Linotype" w:hAnsi="Palatino Linotype"/>
        </w:rPr>
        <w:t xml:space="preserve"> </w:t>
      </w:r>
      <w:r w:rsidR="009D2EBF" w:rsidRPr="009D2EBF">
        <w:rPr>
          <w:rFonts w:ascii="Palatino Linotype" w:hAnsi="Palatino Linotype"/>
          <w:i/>
        </w:rPr>
        <w:t>William</w:t>
      </w:r>
      <w:r w:rsidR="009D2EBF">
        <w:rPr>
          <w:rFonts w:ascii="Palatino Linotype" w:hAnsi="Palatino Linotype"/>
        </w:rPr>
        <w:t xml:space="preserve">, </w:t>
      </w:r>
      <w:r w:rsidR="009D2EBF" w:rsidRPr="009D2EBF">
        <w:rPr>
          <w:rFonts w:ascii="Palatino Linotype" w:hAnsi="Palatino Linotype"/>
        </w:rPr>
        <w:t>there</w:t>
      </w:r>
      <w:r w:rsidR="009D2EBF">
        <w:rPr>
          <w:rFonts w:ascii="Palatino Linotype" w:hAnsi="Palatino Linotype"/>
        </w:rPr>
        <w:t xml:space="preserve"> is no Canadian precedent for </w:t>
      </w:r>
      <w:r w:rsidR="0063595E">
        <w:rPr>
          <w:rFonts w:ascii="Palatino Linotype" w:hAnsi="Palatino Linotype"/>
        </w:rPr>
        <w:t>recognition of</w:t>
      </w:r>
      <w:r w:rsidR="00334000">
        <w:rPr>
          <w:rFonts w:ascii="Palatino Linotype" w:hAnsi="Palatino Linotype"/>
        </w:rPr>
        <w:t>, or even application of,</w:t>
      </w:r>
      <w:r w:rsidR="0063595E">
        <w:rPr>
          <w:rFonts w:ascii="Palatino Linotype" w:hAnsi="Palatino Linotype"/>
        </w:rPr>
        <w:t xml:space="preserve"> the</w:t>
      </w:r>
      <w:r w:rsidR="00334000">
        <w:rPr>
          <w:rFonts w:ascii="Palatino Linotype" w:hAnsi="Palatino Linotype"/>
        </w:rPr>
        <w:t xml:space="preserve"> </w:t>
      </w:r>
      <w:r w:rsidR="00334000">
        <w:rPr>
          <w:rFonts w:ascii="Palatino Linotype" w:hAnsi="Palatino Linotype"/>
        </w:rPr>
        <w:lastRenderedPageBreak/>
        <w:t xml:space="preserve">internationally recognized rights of </w:t>
      </w:r>
      <w:r w:rsidR="0063595E">
        <w:rPr>
          <w:rFonts w:ascii="Palatino Linotype" w:hAnsi="Palatino Linotype"/>
        </w:rPr>
        <w:t>Indigenous P</w:t>
      </w:r>
      <w:r w:rsidR="009D2EBF">
        <w:rPr>
          <w:rFonts w:ascii="Palatino Linotype" w:hAnsi="Palatino Linotype"/>
        </w:rPr>
        <w:t>eople</w:t>
      </w:r>
      <w:r w:rsidR="00334000">
        <w:rPr>
          <w:rFonts w:ascii="Palatino Linotype" w:hAnsi="Palatino Linotype"/>
        </w:rPr>
        <w:t>s</w:t>
      </w:r>
      <w:r w:rsidR="009D2EBF">
        <w:rPr>
          <w:rFonts w:ascii="Palatino Linotype" w:hAnsi="Palatino Linotype"/>
        </w:rPr>
        <w:t xml:space="preserve">, and no implementation of the Covenant’s Article 1 rights with </w:t>
      </w:r>
      <w:r w:rsidR="00936AE6">
        <w:rPr>
          <w:rFonts w:ascii="Palatino Linotype" w:hAnsi="Palatino Linotype"/>
        </w:rPr>
        <w:t xml:space="preserve">respect to the </w:t>
      </w:r>
      <w:r w:rsidR="009D2EBF">
        <w:rPr>
          <w:rFonts w:ascii="Palatino Linotype" w:hAnsi="Palatino Linotype"/>
        </w:rPr>
        <w:t>application</w:t>
      </w:r>
      <w:r w:rsidR="00936AE6">
        <w:rPr>
          <w:rFonts w:ascii="Palatino Linotype" w:hAnsi="Palatino Linotype"/>
        </w:rPr>
        <w:t xml:space="preserve"> of the rights of peoples.</w:t>
      </w:r>
    </w:p>
    <w:p w14:paraId="2A6EEC5B" w14:textId="5947C546" w:rsidR="0036323A" w:rsidRDefault="00CA52F9" w:rsidP="00397B4B">
      <w:pPr>
        <w:pStyle w:val="paranondepar-altn"/>
        <w:spacing w:line="276" w:lineRule="auto"/>
        <w:ind w:left="720"/>
        <w:rPr>
          <w:rFonts w:ascii="Palatino Linotype" w:hAnsi="Palatino Linotype"/>
        </w:rPr>
      </w:pPr>
      <w:r w:rsidRPr="00EB07F8">
        <w:rPr>
          <w:rFonts w:ascii="Palatino Linotype" w:hAnsi="Palatino Linotype"/>
          <w:b/>
        </w:rPr>
        <w:t>Question:</w:t>
      </w:r>
      <w:r>
        <w:rPr>
          <w:rFonts w:ascii="Palatino Linotype" w:hAnsi="Palatino Linotype"/>
        </w:rPr>
        <w:t xml:space="preserve"> How could Canada </w:t>
      </w:r>
      <w:r w:rsidR="0011195D">
        <w:rPr>
          <w:rFonts w:ascii="Palatino Linotype" w:hAnsi="Palatino Linotype"/>
        </w:rPr>
        <w:t>improve the</w:t>
      </w:r>
      <w:r>
        <w:rPr>
          <w:rFonts w:ascii="Palatino Linotype" w:hAnsi="Palatino Linotype"/>
        </w:rPr>
        <w:t xml:space="preserve"> legal </w:t>
      </w:r>
      <w:r w:rsidR="000033B3">
        <w:rPr>
          <w:rFonts w:ascii="Palatino Linotype" w:hAnsi="Palatino Linotype"/>
        </w:rPr>
        <w:t>definition</w:t>
      </w:r>
      <w:r>
        <w:rPr>
          <w:rFonts w:ascii="Palatino Linotype" w:hAnsi="Palatino Linotype"/>
        </w:rPr>
        <w:t xml:space="preserve"> of “</w:t>
      </w:r>
      <w:r w:rsidR="00D84B4B">
        <w:rPr>
          <w:rFonts w:ascii="Palatino Linotype" w:hAnsi="Palatino Linotype"/>
        </w:rPr>
        <w:t>Aboriginal</w:t>
      </w:r>
      <w:r>
        <w:rPr>
          <w:rFonts w:ascii="Palatino Linotype" w:hAnsi="Palatino Linotype"/>
        </w:rPr>
        <w:t xml:space="preserve"> title” </w:t>
      </w:r>
      <w:r w:rsidR="0011195D">
        <w:rPr>
          <w:rFonts w:ascii="Palatino Linotype" w:hAnsi="Palatino Linotype"/>
        </w:rPr>
        <w:t>and “</w:t>
      </w:r>
      <w:r w:rsidR="00D84B4B">
        <w:rPr>
          <w:rFonts w:ascii="Palatino Linotype" w:hAnsi="Palatino Linotype"/>
        </w:rPr>
        <w:t>Aboriginal</w:t>
      </w:r>
      <w:r w:rsidR="0011195D">
        <w:rPr>
          <w:rFonts w:ascii="Palatino Linotype" w:hAnsi="Palatino Linotype"/>
        </w:rPr>
        <w:t xml:space="preserve"> rights” </w:t>
      </w:r>
      <w:r>
        <w:rPr>
          <w:rFonts w:ascii="Palatino Linotype" w:hAnsi="Palatino Linotype"/>
        </w:rPr>
        <w:t xml:space="preserve">such that international human rights standards </w:t>
      </w:r>
      <w:r w:rsidR="0011195D">
        <w:rPr>
          <w:rFonts w:ascii="Palatino Linotype" w:hAnsi="Palatino Linotype"/>
        </w:rPr>
        <w:t xml:space="preserve">concerning </w:t>
      </w:r>
      <w:r w:rsidR="0011195D" w:rsidRPr="0011195D">
        <w:rPr>
          <w:rFonts w:ascii="Palatino Linotype" w:hAnsi="Palatino Linotype"/>
          <w:i/>
        </w:rPr>
        <w:t>peoples</w:t>
      </w:r>
      <w:r w:rsidR="0011195D">
        <w:rPr>
          <w:rFonts w:ascii="Palatino Linotype" w:hAnsi="Palatino Linotype"/>
        </w:rPr>
        <w:t xml:space="preserve"> </w:t>
      </w:r>
      <w:r w:rsidR="00334000">
        <w:rPr>
          <w:rFonts w:ascii="Palatino Linotype" w:hAnsi="Palatino Linotype"/>
        </w:rPr>
        <w:t>and the Ca</w:t>
      </w:r>
      <w:r w:rsidR="000033B3">
        <w:rPr>
          <w:rFonts w:ascii="Palatino Linotype" w:hAnsi="Palatino Linotype"/>
        </w:rPr>
        <w:t>nadian Constitutional protection</w:t>
      </w:r>
      <w:r w:rsidR="00334000">
        <w:rPr>
          <w:rFonts w:ascii="Palatino Linotype" w:hAnsi="Palatino Linotype"/>
        </w:rPr>
        <w:t xml:space="preserve"> of the Tribal Nations </w:t>
      </w:r>
      <w:r>
        <w:rPr>
          <w:rFonts w:ascii="Palatino Linotype" w:hAnsi="Palatino Linotype"/>
        </w:rPr>
        <w:t>are satisfied?</w:t>
      </w:r>
      <w:r w:rsidR="00397B4B">
        <w:rPr>
          <w:rFonts w:ascii="Palatino Linotype" w:hAnsi="Palatino Linotype"/>
        </w:rPr>
        <w:t xml:space="preserve"> </w:t>
      </w:r>
      <w:r w:rsidR="00397B4B" w:rsidRPr="00397B4B">
        <w:rPr>
          <w:rFonts w:ascii="Palatino Linotype" w:hAnsi="Palatino Linotype"/>
          <w:b/>
          <w:i/>
        </w:rPr>
        <w:t>Question continued:</w:t>
      </w:r>
      <w:r w:rsidR="00397B4B">
        <w:rPr>
          <w:rFonts w:ascii="Palatino Linotype" w:hAnsi="Palatino Linotype"/>
          <w:b/>
        </w:rPr>
        <w:t xml:space="preserve"> </w:t>
      </w:r>
      <w:r>
        <w:rPr>
          <w:rFonts w:ascii="Palatino Linotype" w:hAnsi="Palatino Linotype"/>
        </w:rPr>
        <w:t xml:space="preserve">Including the right not to be </w:t>
      </w:r>
      <w:r w:rsidR="00334000">
        <w:rPr>
          <w:rFonts w:ascii="Palatino Linotype" w:hAnsi="Palatino Linotype"/>
        </w:rPr>
        <w:t xml:space="preserve">displaced or </w:t>
      </w:r>
      <w:r>
        <w:rPr>
          <w:rFonts w:ascii="Palatino Linotype" w:hAnsi="Palatino Linotype"/>
        </w:rPr>
        <w:t>deprived of the means of subsistence and the right to freely dispose of natural wealth and resources</w:t>
      </w:r>
      <w:r w:rsidR="0011195D">
        <w:rPr>
          <w:rFonts w:ascii="Palatino Linotype" w:hAnsi="Palatino Linotype"/>
        </w:rPr>
        <w:t>, as well as the right to self-determination</w:t>
      </w:r>
      <w:r>
        <w:rPr>
          <w:rFonts w:ascii="Palatino Linotype" w:hAnsi="Palatino Linotype"/>
        </w:rPr>
        <w:t>?</w:t>
      </w:r>
    </w:p>
    <w:p w14:paraId="0C37373A" w14:textId="77777777" w:rsidR="00397B4B" w:rsidRPr="009A32AB" w:rsidRDefault="00397B4B" w:rsidP="006163AD">
      <w:pPr>
        <w:pStyle w:val="paranondepar-altn"/>
        <w:spacing w:line="276" w:lineRule="auto"/>
        <w:ind w:left="720"/>
        <w:rPr>
          <w:rFonts w:ascii="Palatino Linotype" w:hAnsi="Palatino Linotype"/>
        </w:rPr>
      </w:pPr>
    </w:p>
    <w:p w14:paraId="259F870C" w14:textId="49EDBF72" w:rsidR="00BB3B0F" w:rsidRPr="00397B4B" w:rsidRDefault="003E605C" w:rsidP="00397B4B">
      <w:pPr>
        <w:ind w:left="1440"/>
        <w:rPr>
          <w:rFonts w:ascii="Palatino Linotype" w:hAnsi="Palatino Linotype"/>
          <w:b/>
          <w:sz w:val="24"/>
          <w:szCs w:val="24"/>
        </w:rPr>
      </w:pPr>
      <w:r w:rsidRPr="00397B4B">
        <w:rPr>
          <w:rFonts w:ascii="Palatino Linotype" w:hAnsi="Palatino Linotype"/>
          <w:b/>
          <w:sz w:val="24"/>
          <w:szCs w:val="24"/>
        </w:rPr>
        <w:t xml:space="preserve">B. </w:t>
      </w:r>
      <w:r w:rsidR="00334000" w:rsidRPr="00397B4B">
        <w:rPr>
          <w:rFonts w:ascii="Palatino Linotype" w:hAnsi="Palatino Linotype"/>
          <w:b/>
          <w:sz w:val="24"/>
          <w:szCs w:val="24"/>
        </w:rPr>
        <w:t>Canadian l</w:t>
      </w:r>
      <w:r w:rsidR="0071628F" w:rsidRPr="00397B4B">
        <w:rPr>
          <w:rFonts w:ascii="Palatino Linotype" w:hAnsi="Palatino Linotype"/>
          <w:b/>
          <w:sz w:val="24"/>
          <w:szCs w:val="24"/>
        </w:rPr>
        <w:t>egislation aimed at extin</w:t>
      </w:r>
      <w:r w:rsidRPr="00397B4B">
        <w:rPr>
          <w:rFonts w:ascii="Palatino Linotype" w:hAnsi="Palatino Linotype"/>
          <w:b/>
          <w:sz w:val="24"/>
          <w:szCs w:val="24"/>
        </w:rPr>
        <w:t>g</w:t>
      </w:r>
      <w:r w:rsidR="0071628F" w:rsidRPr="00397B4B">
        <w:rPr>
          <w:rFonts w:ascii="Palatino Linotype" w:hAnsi="Palatino Linotype"/>
          <w:b/>
          <w:sz w:val="24"/>
          <w:szCs w:val="24"/>
        </w:rPr>
        <w:t>uishment</w:t>
      </w:r>
      <w:r w:rsidR="00E475CB" w:rsidRPr="00397B4B">
        <w:rPr>
          <w:rFonts w:ascii="Palatino Linotype" w:hAnsi="Palatino Linotype"/>
          <w:b/>
          <w:sz w:val="24"/>
          <w:szCs w:val="24"/>
        </w:rPr>
        <w:t xml:space="preserve"> </w:t>
      </w:r>
      <w:r w:rsidR="001E78DB" w:rsidRPr="00397B4B">
        <w:rPr>
          <w:rFonts w:ascii="Palatino Linotype" w:hAnsi="Palatino Linotype"/>
          <w:b/>
          <w:sz w:val="24"/>
          <w:szCs w:val="24"/>
        </w:rPr>
        <w:t xml:space="preserve">of </w:t>
      </w:r>
      <w:r w:rsidR="00334000" w:rsidRPr="00397B4B">
        <w:rPr>
          <w:rFonts w:ascii="Palatino Linotype" w:hAnsi="Palatino Linotype"/>
          <w:b/>
          <w:sz w:val="24"/>
          <w:szCs w:val="24"/>
        </w:rPr>
        <w:t xml:space="preserve">Internationally recognized </w:t>
      </w:r>
      <w:r w:rsidR="0019526D" w:rsidRPr="00397B4B">
        <w:rPr>
          <w:rFonts w:ascii="Palatino Linotype" w:hAnsi="Palatino Linotype"/>
          <w:b/>
          <w:sz w:val="24"/>
          <w:szCs w:val="24"/>
        </w:rPr>
        <w:t xml:space="preserve">Indigenous Peoples’ rights </w:t>
      </w:r>
      <w:r w:rsidR="00334000" w:rsidRPr="00397B4B">
        <w:rPr>
          <w:rFonts w:ascii="Palatino Linotype" w:hAnsi="Palatino Linotype"/>
          <w:b/>
          <w:sz w:val="24"/>
          <w:szCs w:val="24"/>
        </w:rPr>
        <w:t xml:space="preserve">and Constitutionally protected </w:t>
      </w:r>
      <w:r w:rsidR="00D84B4B" w:rsidRPr="00397B4B">
        <w:rPr>
          <w:rFonts w:ascii="Palatino Linotype" w:hAnsi="Palatino Linotype"/>
          <w:b/>
          <w:sz w:val="24"/>
          <w:szCs w:val="24"/>
        </w:rPr>
        <w:t>Aboriginal</w:t>
      </w:r>
      <w:r w:rsidR="001E78DB" w:rsidRPr="00397B4B">
        <w:rPr>
          <w:rFonts w:ascii="Palatino Linotype" w:hAnsi="Palatino Linotype"/>
          <w:b/>
          <w:sz w:val="24"/>
          <w:szCs w:val="24"/>
        </w:rPr>
        <w:t xml:space="preserve"> and treaty rights</w:t>
      </w:r>
    </w:p>
    <w:p w14:paraId="7D881F3F" w14:textId="77777777" w:rsidR="00CF64DD" w:rsidRDefault="00CF64DD" w:rsidP="00CF64DD">
      <w:pPr>
        <w:pStyle w:val="ListParagraph"/>
        <w:ind w:left="1440"/>
        <w:rPr>
          <w:rFonts w:ascii="Palatino Linotype" w:hAnsi="Palatino Linotype"/>
          <w:sz w:val="24"/>
          <w:szCs w:val="24"/>
        </w:rPr>
      </w:pPr>
    </w:p>
    <w:p w14:paraId="0A25B303" w14:textId="0B459AEC" w:rsidR="002900E5" w:rsidRDefault="0011195D" w:rsidP="00334000">
      <w:pPr>
        <w:ind w:left="720"/>
        <w:rPr>
          <w:rFonts w:ascii="Palatino Linotype" w:hAnsi="Palatino Linotype"/>
          <w:sz w:val="24"/>
          <w:szCs w:val="24"/>
        </w:rPr>
      </w:pPr>
      <w:r>
        <w:rPr>
          <w:rFonts w:ascii="Palatino Linotype" w:hAnsi="Palatino Linotype"/>
          <w:sz w:val="24"/>
          <w:szCs w:val="24"/>
        </w:rPr>
        <w:t xml:space="preserve">Canada has </w:t>
      </w:r>
      <w:r w:rsidR="00980FB0">
        <w:rPr>
          <w:rFonts w:ascii="Palatino Linotype" w:hAnsi="Palatino Linotype"/>
          <w:sz w:val="24"/>
          <w:szCs w:val="24"/>
        </w:rPr>
        <w:t>legislated</w:t>
      </w:r>
      <w:r>
        <w:rPr>
          <w:rFonts w:ascii="Palatino Linotype" w:hAnsi="Palatino Linotype"/>
          <w:sz w:val="24"/>
          <w:szCs w:val="24"/>
        </w:rPr>
        <w:t xml:space="preserve"> mechanisms </w:t>
      </w:r>
      <w:r w:rsidR="00980FB0">
        <w:rPr>
          <w:rFonts w:ascii="Palatino Linotype" w:hAnsi="Palatino Linotype"/>
          <w:sz w:val="24"/>
          <w:szCs w:val="24"/>
        </w:rPr>
        <w:t>by</w:t>
      </w:r>
      <w:r>
        <w:rPr>
          <w:rFonts w:ascii="Palatino Linotype" w:hAnsi="Palatino Linotype"/>
          <w:sz w:val="24"/>
          <w:szCs w:val="24"/>
        </w:rPr>
        <w:t xml:space="preserve"> which</w:t>
      </w:r>
      <w:r w:rsidR="00980FB0">
        <w:rPr>
          <w:rFonts w:ascii="Palatino Linotype" w:hAnsi="Palatino Linotype"/>
          <w:sz w:val="24"/>
          <w:szCs w:val="24"/>
        </w:rPr>
        <w:t xml:space="preserve"> Indigenous Peoples ca</w:t>
      </w:r>
      <w:r w:rsidR="003E605C">
        <w:rPr>
          <w:rFonts w:ascii="Palatino Linotype" w:hAnsi="Palatino Linotype"/>
          <w:sz w:val="24"/>
          <w:szCs w:val="24"/>
        </w:rPr>
        <w:t>n vote to have their treaty rights</w:t>
      </w:r>
      <w:r w:rsidR="00980FB0">
        <w:rPr>
          <w:rFonts w:ascii="Palatino Linotype" w:hAnsi="Palatino Linotype"/>
          <w:sz w:val="24"/>
          <w:szCs w:val="24"/>
        </w:rPr>
        <w:t xml:space="preserve"> and inherent rights</w:t>
      </w:r>
      <w:r>
        <w:rPr>
          <w:rFonts w:ascii="Palatino Linotype" w:hAnsi="Palatino Linotype"/>
          <w:sz w:val="24"/>
          <w:szCs w:val="24"/>
        </w:rPr>
        <w:t xml:space="preserve"> wholly </w:t>
      </w:r>
      <w:r w:rsidR="003E605C">
        <w:rPr>
          <w:rFonts w:ascii="Palatino Linotype" w:hAnsi="Palatino Linotype"/>
          <w:sz w:val="24"/>
          <w:szCs w:val="24"/>
        </w:rPr>
        <w:t xml:space="preserve">dissolved and then reconstituted </w:t>
      </w:r>
      <w:r>
        <w:rPr>
          <w:rFonts w:ascii="Palatino Linotype" w:hAnsi="Palatino Linotype"/>
          <w:sz w:val="24"/>
          <w:szCs w:val="24"/>
        </w:rPr>
        <w:t>by the State</w:t>
      </w:r>
      <w:r w:rsidR="006163AD">
        <w:rPr>
          <w:rFonts w:ascii="Palatino Linotype" w:hAnsi="Palatino Linotype"/>
          <w:sz w:val="24"/>
          <w:szCs w:val="24"/>
        </w:rPr>
        <w:t>; to then receive</w:t>
      </w:r>
      <w:r w:rsidR="003E605C">
        <w:rPr>
          <w:rFonts w:ascii="Palatino Linotype" w:hAnsi="Palatino Linotype"/>
          <w:sz w:val="24"/>
          <w:szCs w:val="24"/>
        </w:rPr>
        <w:t xml:space="preserve"> rights – as if a gift – delegated to them by </w:t>
      </w:r>
      <w:r w:rsidR="000033B3">
        <w:rPr>
          <w:rFonts w:ascii="Palatino Linotype" w:hAnsi="Palatino Linotype"/>
          <w:sz w:val="24"/>
          <w:szCs w:val="24"/>
        </w:rPr>
        <w:t>the S</w:t>
      </w:r>
      <w:r w:rsidR="003E605C">
        <w:rPr>
          <w:rFonts w:ascii="Palatino Linotype" w:hAnsi="Palatino Linotype"/>
          <w:sz w:val="24"/>
          <w:szCs w:val="24"/>
        </w:rPr>
        <w:t>tate</w:t>
      </w:r>
      <w:r>
        <w:rPr>
          <w:rFonts w:ascii="Palatino Linotype" w:hAnsi="Palatino Linotype"/>
          <w:sz w:val="24"/>
          <w:szCs w:val="24"/>
        </w:rPr>
        <w:t xml:space="preserve">. </w:t>
      </w:r>
      <w:r w:rsidR="000033B3">
        <w:rPr>
          <w:rFonts w:ascii="Palatino Linotype" w:hAnsi="Palatino Linotype"/>
          <w:sz w:val="24"/>
          <w:szCs w:val="24"/>
        </w:rPr>
        <w:t>This procedure results in S</w:t>
      </w:r>
      <w:r w:rsidR="003E605C">
        <w:rPr>
          <w:rFonts w:ascii="Palatino Linotype" w:hAnsi="Palatino Linotype"/>
          <w:sz w:val="24"/>
          <w:szCs w:val="24"/>
        </w:rPr>
        <w:t xml:space="preserve">tate description and control of the </w:t>
      </w:r>
      <w:r w:rsidR="006163AD">
        <w:rPr>
          <w:rFonts w:ascii="Palatino Linotype" w:hAnsi="Palatino Linotype"/>
          <w:sz w:val="24"/>
          <w:szCs w:val="24"/>
        </w:rPr>
        <w:t xml:space="preserve">nature, extent and </w:t>
      </w:r>
      <w:r w:rsidR="003E605C">
        <w:rPr>
          <w:rFonts w:ascii="Palatino Linotype" w:hAnsi="Palatino Linotype"/>
          <w:sz w:val="24"/>
          <w:szCs w:val="24"/>
        </w:rPr>
        <w:t xml:space="preserve">exercise of those rights. </w:t>
      </w:r>
    </w:p>
    <w:p w14:paraId="464C25AC" w14:textId="13D76427" w:rsidR="001E78DB" w:rsidRDefault="00980FB0" w:rsidP="00334000">
      <w:pPr>
        <w:ind w:left="720"/>
        <w:rPr>
          <w:rFonts w:ascii="Palatino Linotype" w:hAnsi="Palatino Linotype"/>
          <w:sz w:val="24"/>
          <w:szCs w:val="24"/>
        </w:rPr>
      </w:pPr>
      <w:r>
        <w:rPr>
          <w:rFonts w:ascii="Palatino Linotype" w:hAnsi="Palatino Linotype"/>
          <w:sz w:val="24"/>
          <w:szCs w:val="24"/>
        </w:rPr>
        <w:t>Plans to achieve this objective</w:t>
      </w:r>
      <w:r w:rsidR="0011195D">
        <w:rPr>
          <w:rFonts w:ascii="Palatino Linotype" w:hAnsi="Palatino Linotype"/>
          <w:sz w:val="24"/>
          <w:szCs w:val="24"/>
        </w:rPr>
        <w:t xml:space="preserve"> </w:t>
      </w:r>
      <w:r>
        <w:rPr>
          <w:rFonts w:ascii="Palatino Linotype" w:hAnsi="Palatino Linotype"/>
          <w:sz w:val="24"/>
          <w:szCs w:val="24"/>
        </w:rPr>
        <w:t>have emerged in different incarn</w:t>
      </w:r>
      <w:r w:rsidR="0071628F">
        <w:rPr>
          <w:rFonts w:ascii="Palatino Linotype" w:hAnsi="Palatino Linotype"/>
          <w:sz w:val="24"/>
          <w:szCs w:val="24"/>
        </w:rPr>
        <w:t>ations over the past 150 years.</w:t>
      </w:r>
      <w:r w:rsidR="006163AD">
        <w:rPr>
          <w:rStyle w:val="FootnoteReference"/>
          <w:rFonts w:ascii="Palatino Linotype" w:hAnsi="Palatino Linotype"/>
          <w:sz w:val="24"/>
          <w:szCs w:val="24"/>
        </w:rPr>
        <w:footnoteReference w:id="7"/>
      </w:r>
      <w:r w:rsidR="0071628F">
        <w:rPr>
          <w:rFonts w:ascii="Palatino Linotype" w:hAnsi="Palatino Linotype"/>
          <w:sz w:val="24"/>
          <w:szCs w:val="24"/>
        </w:rPr>
        <w:t xml:space="preserve"> </w:t>
      </w:r>
      <w:r>
        <w:rPr>
          <w:rFonts w:ascii="Palatino Linotype" w:hAnsi="Palatino Linotype"/>
          <w:sz w:val="24"/>
          <w:szCs w:val="24"/>
        </w:rPr>
        <w:t xml:space="preserve">Canada imposes the Indian Act among Peoples who have no treaty or constructive arrangement with Canada, Peoples who live on their own homelands and wish to continue to live there according to their own way of life. </w:t>
      </w:r>
    </w:p>
    <w:p w14:paraId="538C7F76" w14:textId="4517E693" w:rsidR="002900E5" w:rsidRDefault="002900E5" w:rsidP="00334000">
      <w:pPr>
        <w:ind w:left="720"/>
        <w:rPr>
          <w:rFonts w:ascii="Palatino Linotype" w:hAnsi="Palatino Linotype"/>
          <w:sz w:val="24"/>
          <w:szCs w:val="24"/>
        </w:rPr>
      </w:pPr>
      <w:r>
        <w:rPr>
          <w:rFonts w:ascii="Palatino Linotype" w:hAnsi="Palatino Linotype"/>
          <w:sz w:val="24"/>
          <w:szCs w:val="24"/>
        </w:rPr>
        <w:t>Canada relies</w:t>
      </w:r>
      <w:r w:rsidR="00980FB0">
        <w:rPr>
          <w:rFonts w:ascii="Palatino Linotype" w:hAnsi="Palatino Linotype"/>
          <w:sz w:val="24"/>
          <w:szCs w:val="24"/>
        </w:rPr>
        <w:t xml:space="preserve"> on the elected Chief and Council administrations imposed in Indigenous communities by the Indian Act, </w:t>
      </w:r>
      <w:r>
        <w:rPr>
          <w:rFonts w:ascii="Palatino Linotype" w:hAnsi="Palatino Linotype"/>
          <w:sz w:val="24"/>
          <w:szCs w:val="24"/>
        </w:rPr>
        <w:t xml:space="preserve">having formally required these Councils in 1925 in every Indigenous community, through which they enforce the appearance of democracy and also distribute bare relief from the poverty caused by the </w:t>
      </w:r>
      <w:r w:rsidR="00776DC1">
        <w:rPr>
          <w:rFonts w:ascii="Palatino Linotype" w:hAnsi="Palatino Linotype"/>
          <w:sz w:val="24"/>
          <w:szCs w:val="24"/>
        </w:rPr>
        <w:t>restrictions on social, economic and cultural activities legislated in the Indian Act.</w:t>
      </w:r>
      <w:r w:rsidR="00776DC1">
        <w:rPr>
          <w:rStyle w:val="FootnoteReference"/>
          <w:rFonts w:ascii="Palatino Linotype" w:hAnsi="Palatino Linotype"/>
          <w:sz w:val="24"/>
          <w:szCs w:val="24"/>
        </w:rPr>
        <w:footnoteReference w:id="8"/>
      </w:r>
    </w:p>
    <w:p w14:paraId="0AB8CD12" w14:textId="7691FF80" w:rsidR="002328B2" w:rsidRDefault="00980FB0" w:rsidP="000033B3">
      <w:pPr>
        <w:ind w:left="720"/>
        <w:rPr>
          <w:rFonts w:ascii="Palatino Linotype" w:hAnsi="Palatino Linotype"/>
          <w:sz w:val="24"/>
          <w:szCs w:val="24"/>
        </w:rPr>
      </w:pPr>
      <w:r>
        <w:rPr>
          <w:rFonts w:ascii="Palatino Linotype" w:hAnsi="Palatino Linotype"/>
          <w:sz w:val="24"/>
          <w:szCs w:val="24"/>
        </w:rPr>
        <w:lastRenderedPageBreak/>
        <w:t xml:space="preserve">Canada </w:t>
      </w:r>
      <w:r w:rsidR="002900E5">
        <w:rPr>
          <w:rFonts w:ascii="Palatino Linotype" w:hAnsi="Palatino Linotype"/>
          <w:sz w:val="24"/>
          <w:szCs w:val="24"/>
        </w:rPr>
        <w:t xml:space="preserve">first enforces poverty by criminalization of access to natural wealth and resources owned by the Peoples and then </w:t>
      </w:r>
      <w:r>
        <w:rPr>
          <w:rFonts w:ascii="Palatino Linotype" w:hAnsi="Palatino Linotype"/>
          <w:sz w:val="24"/>
          <w:szCs w:val="24"/>
        </w:rPr>
        <w:t>offers financial incentives to communities, or Indian Bands, or First Nations, which enact Band Council Resolutions to become “Treaty First Nations,” or “Self-governing First Nations,” or other types of corporate entities</w:t>
      </w:r>
      <w:r w:rsidR="000033B3">
        <w:rPr>
          <w:rFonts w:ascii="Palatino Linotype" w:hAnsi="Palatino Linotype"/>
          <w:sz w:val="24"/>
          <w:szCs w:val="24"/>
        </w:rPr>
        <w:t xml:space="preserve"> then capable of accessing the original Peoples’ wealth and resources (or what’s left of it)</w:t>
      </w:r>
      <w:r>
        <w:rPr>
          <w:rFonts w:ascii="Palatino Linotype" w:hAnsi="Palatino Linotype"/>
          <w:sz w:val="24"/>
          <w:szCs w:val="24"/>
        </w:rPr>
        <w:t xml:space="preserve">. A </w:t>
      </w:r>
      <w:r w:rsidR="004D25A2">
        <w:rPr>
          <w:rFonts w:ascii="Palatino Linotype" w:hAnsi="Palatino Linotype"/>
          <w:sz w:val="24"/>
          <w:szCs w:val="24"/>
        </w:rPr>
        <w:t xml:space="preserve">new </w:t>
      </w:r>
      <w:r>
        <w:rPr>
          <w:rFonts w:ascii="Palatino Linotype" w:hAnsi="Palatino Linotype"/>
          <w:sz w:val="24"/>
          <w:szCs w:val="24"/>
        </w:rPr>
        <w:t xml:space="preserve">suite of legislation was rushed through Parliament in 2012 to </w:t>
      </w:r>
      <w:r w:rsidR="004D25A2">
        <w:rPr>
          <w:rFonts w:ascii="Palatino Linotype" w:hAnsi="Palatino Linotype"/>
          <w:sz w:val="24"/>
          <w:szCs w:val="24"/>
        </w:rPr>
        <w:t xml:space="preserve">further </w:t>
      </w:r>
      <w:r>
        <w:rPr>
          <w:rFonts w:ascii="Palatino Linotype" w:hAnsi="Palatino Linotype"/>
          <w:sz w:val="24"/>
          <w:szCs w:val="24"/>
        </w:rPr>
        <w:t xml:space="preserve">provide for these changes: Bill C-45, Jobs and Growth Act 2012; Bill S 207, An Act to Amend the Interpretation Act; and particularly Bill S-212, First Nations Self-Government Recognition Bill. </w:t>
      </w:r>
      <w:r w:rsidR="002328B2">
        <w:rPr>
          <w:rFonts w:ascii="Palatino Linotype" w:hAnsi="Palatino Linotype"/>
          <w:sz w:val="24"/>
          <w:szCs w:val="24"/>
        </w:rPr>
        <w:t xml:space="preserve">In 1996, British Columbia passed the Treaty Commission Act to facilitate the transformation of the constitutionally recognized “Indians” and “lands reserved for Indians” into </w:t>
      </w:r>
      <w:r w:rsidR="000033B3">
        <w:rPr>
          <w:rFonts w:ascii="Palatino Linotype" w:hAnsi="Palatino Linotype"/>
          <w:sz w:val="24"/>
          <w:szCs w:val="24"/>
        </w:rPr>
        <w:t xml:space="preserve">corporate </w:t>
      </w:r>
      <w:r w:rsidR="002328B2">
        <w:rPr>
          <w:rFonts w:ascii="Palatino Linotype" w:hAnsi="Palatino Linotype"/>
          <w:sz w:val="24"/>
          <w:szCs w:val="24"/>
        </w:rPr>
        <w:t xml:space="preserve">municipalities or “Treaty First Nations.” </w:t>
      </w:r>
    </w:p>
    <w:p w14:paraId="2668DF75" w14:textId="2A0C2B43" w:rsidR="00980FB0" w:rsidRDefault="002328B2" w:rsidP="000033B3">
      <w:pPr>
        <w:ind w:left="720"/>
        <w:rPr>
          <w:rFonts w:ascii="Palatino Linotype" w:hAnsi="Palatino Linotype"/>
          <w:sz w:val="24"/>
          <w:szCs w:val="24"/>
        </w:rPr>
      </w:pPr>
      <w:r>
        <w:rPr>
          <w:rFonts w:ascii="Palatino Linotype" w:hAnsi="Palatino Linotype"/>
          <w:sz w:val="24"/>
          <w:szCs w:val="24"/>
        </w:rPr>
        <w:t xml:space="preserve">These pieces of legislation are designed to facilitate the extinguishment of inherent </w:t>
      </w:r>
      <w:r w:rsidR="00D84B4B">
        <w:rPr>
          <w:rFonts w:ascii="Palatino Linotype" w:hAnsi="Palatino Linotype"/>
          <w:sz w:val="24"/>
          <w:szCs w:val="24"/>
        </w:rPr>
        <w:t>Aboriginal</w:t>
      </w:r>
      <w:r>
        <w:rPr>
          <w:rFonts w:ascii="Palatino Linotype" w:hAnsi="Palatino Linotype"/>
          <w:sz w:val="24"/>
          <w:szCs w:val="24"/>
        </w:rPr>
        <w:t xml:space="preserve"> rights and internationally recognized rights of Indigenous Peoples. Canada has been questioned about this legislation by this Committee before, and this Committee reported in its Concluding Observations of its 36</w:t>
      </w:r>
      <w:r w:rsidRPr="002328B2">
        <w:rPr>
          <w:rFonts w:ascii="Palatino Linotype" w:hAnsi="Palatino Linotype"/>
          <w:sz w:val="24"/>
          <w:szCs w:val="24"/>
          <w:vertAlign w:val="superscript"/>
        </w:rPr>
        <w:t>th</w:t>
      </w:r>
      <w:r>
        <w:rPr>
          <w:rFonts w:ascii="Palatino Linotype" w:hAnsi="Palatino Linotype"/>
          <w:sz w:val="24"/>
          <w:szCs w:val="24"/>
        </w:rPr>
        <w:t xml:space="preserve"> Session, in 2006, concern that the “modified rights model” and “non-assertion model” </w:t>
      </w:r>
      <w:r w:rsidR="004D25A2">
        <w:rPr>
          <w:rFonts w:ascii="Palatino Linotype" w:hAnsi="Palatino Linotype"/>
          <w:sz w:val="24"/>
          <w:szCs w:val="24"/>
        </w:rPr>
        <w:t xml:space="preserve">which Canada reported on </w:t>
      </w:r>
      <w:r>
        <w:rPr>
          <w:rFonts w:ascii="Palatino Linotype" w:hAnsi="Palatino Linotype"/>
          <w:sz w:val="24"/>
          <w:szCs w:val="24"/>
        </w:rPr>
        <w:t xml:space="preserve">do not differ significantly from </w:t>
      </w:r>
      <w:r w:rsidR="003B291D">
        <w:rPr>
          <w:rFonts w:ascii="Palatino Linotype" w:hAnsi="Palatino Linotype"/>
          <w:sz w:val="24"/>
          <w:szCs w:val="24"/>
        </w:rPr>
        <w:t xml:space="preserve">extinguishment and surrender. The Committee also expressed </w:t>
      </w:r>
      <w:r>
        <w:rPr>
          <w:rFonts w:ascii="Palatino Linotype" w:hAnsi="Palatino Linotype"/>
          <w:sz w:val="24"/>
          <w:szCs w:val="24"/>
        </w:rPr>
        <w:t xml:space="preserve">regret at having not received information about “other approaches based on recognition and coexistence of rights, which are currently under study.” </w:t>
      </w:r>
      <w:r w:rsidR="003B291D">
        <w:rPr>
          <w:rFonts w:ascii="Palatino Linotype" w:hAnsi="Palatino Linotype"/>
          <w:sz w:val="24"/>
          <w:szCs w:val="24"/>
        </w:rPr>
        <w:t xml:space="preserve">The Human Rights Committee expressed similar concerns (CCPR/CAN/CO/5) April 2006, and the Committee for the Elimination of all forms of Racial Discrimination did the same in 2007 </w:t>
      </w:r>
      <w:r w:rsidR="006B67A0">
        <w:rPr>
          <w:rFonts w:ascii="Palatino Linotype" w:hAnsi="Palatino Linotype"/>
          <w:sz w:val="24"/>
          <w:szCs w:val="24"/>
        </w:rPr>
        <w:t>by way of letter to Canada. Last summer, the Human Rights Committee’s Concluding Observations suggested the State party should</w:t>
      </w:r>
      <w:r w:rsidR="006B67A0" w:rsidRPr="006B67A0">
        <w:rPr>
          <w:rFonts w:ascii="Palatino Linotype" w:hAnsi="Palatino Linotype"/>
          <w:sz w:val="24"/>
          <w:szCs w:val="24"/>
        </w:rPr>
        <w:t xml:space="preserve"> </w:t>
      </w:r>
      <w:r w:rsidR="006B67A0">
        <w:rPr>
          <w:rFonts w:ascii="Palatino Linotype" w:hAnsi="Palatino Linotype"/>
          <w:sz w:val="24"/>
          <w:szCs w:val="24"/>
        </w:rPr>
        <w:t>“</w:t>
      </w:r>
      <w:r w:rsidR="006B67A0" w:rsidRPr="006B67A0">
        <w:rPr>
          <w:rFonts w:ascii="Palatino Linotype" w:hAnsi="Palatino Linotype"/>
          <w:sz w:val="24"/>
          <w:szCs w:val="24"/>
        </w:rPr>
        <w:t xml:space="preserve">find ways and means to establish their </w:t>
      </w:r>
      <w:r w:rsidR="005B0241">
        <w:rPr>
          <w:rFonts w:ascii="Palatino Linotype" w:hAnsi="Palatino Linotype"/>
          <w:sz w:val="24"/>
          <w:szCs w:val="24"/>
        </w:rPr>
        <w:t xml:space="preserve">[Indigenous Peoples] </w:t>
      </w:r>
      <w:r w:rsidR="006B67A0" w:rsidRPr="006B67A0">
        <w:rPr>
          <w:rFonts w:ascii="Palatino Linotype" w:hAnsi="Palatino Linotype"/>
          <w:sz w:val="24"/>
          <w:szCs w:val="24"/>
        </w:rPr>
        <w:t>titles over their lands with resp</w:t>
      </w:r>
      <w:r w:rsidR="001F2C8C">
        <w:rPr>
          <w:rFonts w:ascii="Palatino Linotype" w:hAnsi="Palatino Linotype"/>
          <w:sz w:val="24"/>
          <w:szCs w:val="24"/>
        </w:rPr>
        <w:t>e</w:t>
      </w:r>
      <w:r w:rsidR="006B67A0" w:rsidRPr="006B67A0">
        <w:rPr>
          <w:rFonts w:ascii="Palatino Linotype" w:hAnsi="Palatino Linotype"/>
          <w:sz w:val="24"/>
          <w:szCs w:val="24"/>
        </w:rPr>
        <w:t>ct to their treaty rights</w:t>
      </w:r>
      <w:r w:rsidR="006B67A0">
        <w:rPr>
          <w:rFonts w:ascii="Palatino Linotype" w:hAnsi="Palatino Linotype"/>
          <w:sz w:val="24"/>
          <w:szCs w:val="24"/>
        </w:rPr>
        <w:t>.”</w:t>
      </w:r>
      <w:r w:rsidR="006B67A0">
        <w:rPr>
          <w:rStyle w:val="FootnoteReference"/>
          <w:rFonts w:ascii="Palatino Linotype" w:hAnsi="Palatino Linotype"/>
          <w:sz w:val="24"/>
          <w:szCs w:val="24"/>
        </w:rPr>
        <w:footnoteReference w:id="9"/>
      </w:r>
    </w:p>
    <w:p w14:paraId="35AE105A" w14:textId="784E2F58" w:rsidR="004B0D9D" w:rsidRDefault="004D25A2" w:rsidP="000033B3">
      <w:pPr>
        <w:ind w:left="720"/>
        <w:rPr>
          <w:rFonts w:ascii="Palatino Linotype" w:hAnsi="Palatino Linotype"/>
          <w:sz w:val="24"/>
          <w:szCs w:val="24"/>
        </w:rPr>
      </w:pPr>
      <w:r>
        <w:rPr>
          <w:rFonts w:ascii="Palatino Linotype" w:hAnsi="Palatino Linotype"/>
          <w:sz w:val="24"/>
          <w:szCs w:val="24"/>
        </w:rPr>
        <w:t>It is our suggestion that there is no evidence of Canada exploring “other approaches based on recognition and coexistence,” particularly after the</w:t>
      </w:r>
      <w:r w:rsidR="004B0D9D">
        <w:rPr>
          <w:rFonts w:ascii="Palatino Linotype" w:hAnsi="Palatino Linotype"/>
          <w:sz w:val="24"/>
          <w:szCs w:val="24"/>
        </w:rPr>
        <w:t xml:space="preserve"> 2015</w:t>
      </w:r>
      <w:r>
        <w:rPr>
          <w:rFonts w:ascii="Palatino Linotype" w:hAnsi="Palatino Linotype"/>
          <w:sz w:val="24"/>
          <w:szCs w:val="24"/>
        </w:rPr>
        <w:t xml:space="preserve"> </w:t>
      </w:r>
      <w:r w:rsidR="004B0D9D">
        <w:rPr>
          <w:rFonts w:ascii="Palatino Linotype" w:hAnsi="Palatino Linotype"/>
          <w:sz w:val="24"/>
          <w:szCs w:val="24"/>
        </w:rPr>
        <w:t xml:space="preserve">report “A New Direction: Advancing </w:t>
      </w:r>
      <w:r w:rsidR="00D84B4B">
        <w:rPr>
          <w:rFonts w:ascii="Palatino Linotype" w:hAnsi="Palatino Linotype"/>
          <w:sz w:val="24"/>
          <w:szCs w:val="24"/>
        </w:rPr>
        <w:t>Aboriginal</w:t>
      </w:r>
      <w:r w:rsidR="004B0D9D">
        <w:rPr>
          <w:rFonts w:ascii="Palatino Linotype" w:hAnsi="Palatino Linotype"/>
          <w:sz w:val="24"/>
          <w:szCs w:val="24"/>
        </w:rPr>
        <w:t xml:space="preserve"> and Treaty Rights</w:t>
      </w:r>
      <w:r w:rsidR="004A2A33">
        <w:rPr>
          <w:rFonts w:ascii="Palatino Linotype" w:hAnsi="Palatino Linotype"/>
          <w:sz w:val="24"/>
          <w:szCs w:val="24"/>
        </w:rPr>
        <w:t>.</w:t>
      </w:r>
      <w:r w:rsidR="004B0D9D">
        <w:rPr>
          <w:rFonts w:ascii="Palatino Linotype" w:hAnsi="Palatino Linotype"/>
          <w:sz w:val="24"/>
          <w:szCs w:val="24"/>
        </w:rPr>
        <w:t>”</w:t>
      </w:r>
      <w:r w:rsidR="004A2A33">
        <w:rPr>
          <w:rStyle w:val="FootnoteReference"/>
          <w:rFonts w:ascii="Palatino Linotype" w:hAnsi="Palatino Linotype"/>
          <w:sz w:val="24"/>
          <w:szCs w:val="24"/>
        </w:rPr>
        <w:footnoteReference w:id="10"/>
      </w:r>
      <w:r w:rsidR="004B0D9D">
        <w:rPr>
          <w:rFonts w:ascii="Palatino Linotype" w:hAnsi="Palatino Linotype"/>
          <w:sz w:val="24"/>
          <w:szCs w:val="24"/>
        </w:rPr>
        <w:t xml:space="preserve"> </w:t>
      </w:r>
      <w:r w:rsidR="004B0D9D" w:rsidRPr="004B0D9D">
        <w:rPr>
          <w:rFonts w:ascii="Palatino Linotype" w:hAnsi="Palatino Linotype"/>
          <w:sz w:val="24"/>
          <w:szCs w:val="24"/>
        </w:rPr>
        <w:t xml:space="preserve">There is nothing “new” in this </w:t>
      </w:r>
      <w:r w:rsidR="004B0D9D" w:rsidRPr="004B0D9D">
        <w:rPr>
          <w:rFonts w:ascii="Palatino Linotype" w:hAnsi="Palatino Linotype"/>
          <w:sz w:val="24"/>
          <w:szCs w:val="24"/>
        </w:rPr>
        <w:lastRenderedPageBreak/>
        <w:t xml:space="preserve">report, nothing which contradicts the traditional extinguishment approach </w:t>
      </w:r>
      <w:r w:rsidR="005B0241">
        <w:rPr>
          <w:rFonts w:ascii="Palatino Linotype" w:hAnsi="Palatino Linotype"/>
          <w:sz w:val="24"/>
          <w:szCs w:val="24"/>
        </w:rPr>
        <w:t xml:space="preserve">as </w:t>
      </w:r>
      <w:r w:rsidR="004B0D9D" w:rsidRPr="004B0D9D">
        <w:rPr>
          <w:rFonts w:ascii="Palatino Linotype" w:hAnsi="Palatino Linotype"/>
          <w:sz w:val="24"/>
          <w:szCs w:val="24"/>
        </w:rPr>
        <w:t xml:space="preserve">criticized by </w:t>
      </w:r>
      <w:r w:rsidR="005B0241">
        <w:rPr>
          <w:rFonts w:ascii="Palatino Linotype" w:hAnsi="Palatino Linotype"/>
          <w:sz w:val="24"/>
          <w:szCs w:val="24"/>
        </w:rPr>
        <w:t xml:space="preserve">the </w:t>
      </w:r>
      <w:r w:rsidR="004B0D9D" w:rsidRPr="004B0D9D">
        <w:rPr>
          <w:rFonts w:ascii="Palatino Linotype" w:hAnsi="Palatino Linotype"/>
          <w:sz w:val="24"/>
          <w:szCs w:val="24"/>
        </w:rPr>
        <w:t>several UN treaty bodies.</w:t>
      </w:r>
    </w:p>
    <w:p w14:paraId="6CE786DD" w14:textId="43317C99" w:rsidR="004B0D9D" w:rsidRDefault="000033B3" w:rsidP="000B459C">
      <w:pPr>
        <w:ind w:left="720"/>
        <w:rPr>
          <w:rFonts w:ascii="Palatino Linotype" w:hAnsi="Palatino Linotype"/>
          <w:sz w:val="24"/>
          <w:szCs w:val="24"/>
        </w:rPr>
      </w:pPr>
      <w:r>
        <w:rPr>
          <w:rFonts w:ascii="Palatino Linotype" w:hAnsi="Palatino Linotype"/>
          <w:sz w:val="24"/>
          <w:szCs w:val="24"/>
        </w:rPr>
        <w:t xml:space="preserve">Furthermore, Canada’s historical enactment of a device with which to coerce </w:t>
      </w:r>
      <w:r w:rsidR="005B0241">
        <w:rPr>
          <w:rFonts w:ascii="Palatino Linotype" w:hAnsi="Palatino Linotype"/>
          <w:sz w:val="24"/>
          <w:szCs w:val="24"/>
        </w:rPr>
        <w:t xml:space="preserve">and also force </w:t>
      </w:r>
      <w:r>
        <w:rPr>
          <w:rFonts w:ascii="Palatino Linotype" w:hAnsi="Palatino Linotype"/>
          <w:sz w:val="24"/>
          <w:szCs w:val="24"/>
        </w:rPr>
        <w:t>Indigenous individuals to stop self-identifying as Tribal members of their own Indigenous Peoples</w:t>
      </w:r>
      <w:r w:rsidR="005B0241">
        <w:rPr>
          <w:rFonts w:ascii="Palatino Linotype" w:hAnsi="Palatino Linotype"/>
          <w:sz w:val="24"/>
          <w:szCs w:val="24"/>
        </w:rPr>
        <w:t>, and to prevent Indian Bands from registering those individuals as members,</w:t>
      </w:r>
      <w:r>
        <w:rPr>
          <w:rFonts w:ascii="Palatino Linotype" w:hAnsi="Palatino Linotype"/>
          <w:sz w:val="24"/>
          <w:szCs w:val="24"/>
        </w:rPr>
        <w:t xml:space="preserve"> has</w:t>
      </w:r>
      <w:r w:rsidR="00A02653">
        <w:rPr>
          <w:rFonts w:ascii="Palatino Linotype" w:hAnsi="Palatino Linotype"/>
          <w:sz w:val="24"/>
          <w:szCs w:val="24"/>
        </w:rPr>
        <w:t xml:space="preserve"> </w:t>
      </w:r>
      <w:r>
        <w:rPr>
          <w:rFonts w:ascii="Palatino Linotype" w:hAnsi="Palatino Linotype"/>
          <w:sz w:val="24"/>
          <w:szCs w:val="24"/>
        </w:rPr>
        <w:t>disrupted and displaced the right of these Peoples to determine their own membership.</w:t>
      </w:r>
      <w:r w:rsidR="00C22DB2">
        <w:rPr>
          <w:rStyle w:val="FootnoteReference"/>
          <w:rFonts w:ascii="Palatino Linotype" w:hAnsi="Palatino Linotype"/>
          <w:sz w:val="24"/>
          <w:szCs w:val="24"/>
        </w:rPr>
        <w:footnoteReference w:id="11"/>
      </w:r>
      <w:r w:rsidR="00A02653">
        <w:rPr>
          <w:rFonts w:ascii="Palatino Linotype" w:hAnsi="Palatino Linotype"/>
          <w:sz w:val="24"/>
          <w:szCs w:val="24"/>
        </w:rPr>
        <w:t xml:space="preserve"> The resulting decline in their membership </w:t>
      </w:r>
      <w:r w:rsidR="004A2A33">
        <w:rPr>
          <w:rFonts w:ascii="Palatino Linotype" w:hAnsi="Palatino Linotype"/>
          <w:sz w:val="24"/>
          <w:szCs w:val="24"/>
        </w:rPr>
        <w:t xml:space="preserve">debilitated the Peoples’ practice </w:t>
      </w:r>
      <w:r w:rsidR="005B0241">
        <w:rPr>
          <w:rFonts w:ascii="Palatino Linotype" w:hAnsi="Palatino Linotype"/>
          <w:sz w:val="24"/>
          <w:szCs w:val="24"/>
        </w:rPr>
        <w:t xml:space="preserve">of </w:t>
      </w:r>
      <w:r w:rsidR="004A2A33">
        <w:rPr>
          <w:rFonts w:ascii="Palatino Linotype" w:hAnsi="Palatino Linotype"/>
          <w:sz w:val="24"/>
          <w:szCs w:val="24"/>
        </w:rPr>
        <w:t xml:space="preserve">their social, economic and cultural rights and </w:t>
      </w:r>
      <w:r w:rsidR="005B0241">
        <w:rPr>
          <w:rFonts w:ascii="Palatino Linotype" w:hAnsi="Palatino Linotype"/>
          <w:sz w:val="24"/>
          <w:szCs w:val="24"/>
        </w:rPr>
        <w:t xml:space="preserve">Indigenous Peoples </w:t>
      </w:r>
      <w:r w:rsidR="004A2A33">
        <w:rPr>
          <w:rFonts w:ascii="Palatino Linotype" w:hAnsi="Palatino Linotype"/>
          <w:sz w:val="24"/>
          <w:szCs w:val="24"/>
        </w:rPr>
        <w:t>were therefore denied their means of subsistence</w:t>
      </w:r>
      <w:r w:rsidR="005B0241">
        <w:rPr>
          <w:rFonts w:ascii="Palatino Linotype" w:hAnsi="Palatino Linotype"/>
          <w:sz w:val="24"/>
          <w:szCs w:val="24"/>
        </w:rPr>
        <w:t xml:space="preserve"> – a result in effect today</w:t>
      </w:r>
      <w:r w:rsidR="00A02653">
        <w:rPr>
          <w:rFonts w:ascii="Palatino Linotype" w:hAnsi="Palatino Linotype"/>
          <w:sz w:val="24"/>
          <w:szCs w:val="24"/>
        </w:rPr>
        <w:t xml:space="preserve">. </w:t>
      </w:r>
      <w:r w:rsidR="004A2A33">
        <w:rPr>
          <w:rFonts w:ascii="Palatino Linotype" w:hAnsi="Palatino Linotype"/>
          <w:sz w:val="24"/>
          <w:szCs w:val="24"/>
        </w:rPr>
        <w:t>This is the main cause of the success of the ensuing extinguishment programs among some Peoples.</w:t>
      </w:r>
    </w:p>
    <w:p w14:paraId="092DB63D" w14:textId="4DC407ED" w:rsidR="004B0D9D" w:rsidRDefault="004B0D9D" w:rsidP="000033B3">
      <w:pPr>
        <w:ind w:left="720"/>
        <w:rPr>
          <w:rFonts w:ascii="Palatino Linotype" w:hAnsi="Palatino Linotype"/>
        </w:rPr>
      </w:pPr>
      <w:r w:rsidRPr="000033B3">
        <w:rPr>
          <w:rFonts w:ascii="Palatino Linotype" w:hAnsi="Palatino Linotype"/>
          <w:b/>
          <w:sz w:val="24"/>
          <w:szCs w:val="24"/>
        </w:rPr>
        <w:t>Question:</w:t>
      </w:r>
      <w:r>
        <w:rPr>
          <w:rFonts w:ascii="Palatino Linotype" w:hAnsi="Palatino Linotype"/>
          <w:sz w:val="24"/>
          <w:szCs w:val="24"/>
        </w:rPr>
        <w:t xml:space="preserve"> </w:t>
      </w:r>
      <w:r w:rsidR="001F2C8C">
        <w:rPr>
          <w:rFonts w:ascii="Palatino Linotype" w:hAnsi="Palatino Linotype"/>
          <w:sz w:val="24"/>
          <w:szCs w:val="24"/>
        </w:rPr>
        <w:t>How will Canada act to recognize Indigenous Peoples and their rights</w:t>
      </w:r>
      <w:r w:rsidR="001F2C8C">
        <w:rPr>
          <w:rFonts w:ascii="Palatino Linotype" w:hAnsi="Palatino Linotype"/>
        </w:rPr>
        <w:t xml:space="preserve"> not to be deprived of the means of subsistence and the right to freely dispose of natural wealth and resources, as well as the right to self-determination?</w:t>
      </w:r>
    </w:p>
    <w:p w14:paraId="23F240C2" w14:textId="162456E6" w:rsidR="00A02653" w:rsidRPr="00A02653" w:rsidRDefault="00A02653" w:rsidP="000033B3">
      <w:pPr>
        <w:ind w:left="720"/>
        <w:rPr>
          <w:rFonts w:ascii="Palatino Linotype" w:hAnsi="Palatino Linotype"/>
        </w:rPr>
      </w:pPr>
      <w:r w:rsidRPr="000033B3">
        <w:rPr>
          <w:rFonts w:ascii="Palatino Linotype" w:hAnsi="Palatino Linotype"/>
          <w:b/>
          <w:sz w:val="24"/>
          <w:szCs w:val="24"/>
        </w:rPr>
        <w:t>Question:</w:t>
      </w:r>
      <w:r>
        <w:rPr>
          <w:rFonts w:ascii="Palatino Linotype" w:hAnsi="Palatino Linotype"/>
          <w:b/>
          <w:sz w:val="24"/>
          <w:szCs w:val="24"/>
        </w:rPr>
        <w:t xml:space="preserve"> </w:t>
      </w:r>
      <w:r>
        <w:rPr>
          <w:rFonts w:ascii="Palatino Linotype" w:hAnsi="Palatino Linotype"/>
          <w:sz w:val="24"/>
          <w:szCs w:val="24"/>
        </w:rPr>
        <w:t>How will Canada reverse the Indian Act to delimit the State party’s powers over self-determining Peoples</w:t>
      </w:r>
      <w:r w:rsidR="00427F31">
        <w:rPr>
          <w:rFonts w:ascii="Palatino Linotype" w:hAnsi="Palatino Linotype"/>
          <w:sz w:val="24"/>
          <w:szCs w:val="24"/>
        </w:rPr>
        <w:t>, instead of interfering in their affairs and natural wealth</w:t>
      </w:r>
      <w:r>
        <w:rPr>
          <w:rFonts w:ascii="Palatino Linotype" w:hAnsi="Palatino Linotype"/>
          <w:sz w:val="24"/>
          <w:szCs w:val="24"/>
        </w:rPr>
        <w:t>?</w:t>
      </w:r>
      <w:r w:rsidR="00427F31">
        <w:rPr>
          <w:rFonts w:ascii="Palatino Linotype" w:hAnsi="Palatino Linotype"/>
          <w:sz w:val="24"/>
          <w:szCs w:val="24"/>
        </w:rPr>
        <w:t xml:space="preserve"> When will Canada accept a positive definition of Indigenous Peoples’ rights, and, instead of isolating and discriminating against Indigenous Individuals and arbitrarily administering Indian Bands, facilitate (by protection from state interference, payment of reparations, etc) restitution of Indigenous Peoples’ self-determination?</w:t>
      </w:r>
    </w:p>
    <w:p w14:paraId="2EE50528" w14:textId="0D1C1FD5" w:rsidR="000033B3" w:rsidRDefault="000033B3">
      <w:pPr>
        <w:rPr>
          <w:rFonts w:ascii="Palatino Linotype" w:hAnsi="Palatino Linotype"/>
          <w:b/>
          <w:sz w:val="24"/>
          <w:szCs w:val="24"/>
        </w:rPr>
      </w:pPr>
      <w:r>
        <w:rPr>
          <w:rFonts w:ascii="Palatino Linotype" w:hAnsi="Palatino Linotype"/>
          <w:b/>
          <w:sz w:val="24"/>
          <w:szCs w:val="24"/>
        </w:rPr>
        <w:br w:type="page"/>
      </w:r>
    </w:p>
    <w:p w14:paraId="7F1055D2" w14:textId="104D237C" w:rsidR="00BB3B0F" w:rsidRPr="00E83905" w:rsidRDefault="00BB3B0F" w:rsidP="00E83905">
      <w:pPr>
        <w:pStyle w:val="ListParagraph"/>
        <w:numPr>
          <w:ilvl w:val="0"/>
          <w:numId w:val="7"/>
        </w:numPr>
        <w:rPr>
          <w:rFonts w:ascii="Palatino Linotype" w:hAnsi="Palatino Linotype"/>
          <w:b/>
          <w:sz w:val="28"/>
          <w:szCs w:val="28"/>
        </w:rPr>
      </w:pPr>
      <w:r w:rsidRPr="00E83905">
        <w:rPr>
          <w:rFonts w:ascii="Palatino Linotype" w:hAnsi="Palatino Linotype"/>
          <w:b/>
          <w:sz w:val="28"/>
          <w:szCs w:val="28"/>
        </w:rPr>
        <w:lastRenderedPageBreak/>
        <w:t>Issues relating to Article 1 of the Covenant</w:t>
      </w:r>
      <w:r w:rsidR="00E475CB" w:rsidRPr="00E83905">
        <w:rPr>
          <w:rFonts w:ascii="Palatino Linotype" w:hAnsi="Palatino Linotype"/>
          <w:b/>
          <w:sz w:val="28"/>
          <w:szCs w:val="28"/>
        </w:rPr>
        <w:t>.</w:t>
      </w:r>
    </w:p>
    <w:p w14:paraId="6A23A4BA" w14:textId="77777777" w:rsidR="00CF64DD" w:rsidRPr="00CF64DD" w:rsidRDefault="00CF64DD" w:rsidP="00CF64DD">
      <w:pPr>
        <w:pStyle w:val="ListParagraph"/>
        <w:ind w:left="1080"/>
        <w:rPr>
          <w:rFonts w:ascii="Palatino Linotype" w:hAnsi="Palatino Linotype"/>
          <w:b/>
          <w:sz w:val="28"/>
          <w:szCs w:val="28"/>
        </w:rPr>
      </w:pPr>
    </w:p>
    <w:p w14:paraId="5CC0873E" w14:textId="0578E0C5" w:rsidR="00E83905" w:rsidRPr="00677A2B" w:rsidRDefault="00E83905" w:rsidP="00E83905">
      <w:pPr>
        <w:pStyle w:val="ListParagraph"/>
        <w:rPr>
          <w:rFonts w:ascii="Palatino Linotype" w:hAnsi="Palatino Linotype"/>
          <w:b/>
          <w:sz w:val="26"/>
          <w:szCs w:val="26"/>
        </w:rPr>
      </w:pPr>
      <w:r w:rsidRPr="00677A2B">
        <w:rPr>
          <w:rFonts w:ascii="Palatino Linotype" w:hAnsi="Palatino Linotype"/>
          <w:b/>
          <w:sz w:val="26"/>
          <w:szCs w:val="26"/>
        </w:rPr>
        <w:t>Article 1 – Free disposal of natural wealth and resources</w:t>
      </w:r>
    </w:p>
    <w:p w14:paraId="36F238C6" w14:textId="77777777" w:rsidR="00E83905" w:rsidRPr="00677A2B" w:rsidRDefault="00E83905" w:rsidP="00E83905">
      <w:pPr>
        <w:pStyle w:val="ListParagraph"/>
        <w:rPr>
          <w:rFonts w:ascii="Palatino Linotype" w:hAnsi="Palatino Linotype"/>
          <w:b/>
          <w:sz w:val="26"/>
          <w:szCs w:val="26"/>
        </w:rPr>
      </w:pPr>
    </w:p>
    <w:p w14:paraId="4ABB16B8" w14:textId="785E827A" w:rsidR="00E475CB" w:rsidRPr="00677A2B" w:rsidRDefault="00E83905" w:rsidP="00E83905">
      <w:pPr>
        <w:pStyle w:val="ListParagraph"/>
        <w:rPr>
          <w:rFonts w:ascii="Palatino Linotype" w:hAnsi="Palatino Linotype"/>
          <w:b/>
          <w:sz w:val="26"/>
          <w:szCs w:val="26"/>
        </w:rPr>
      </w:pPr>
      <w:r w:rsidRPr="00677A2B">
        <w:rPr>
          <w:rFonts w:ascii="Palatino Linotype" w:hAnsi="Palatino Linotype"/>
          <w:b/>
          <w:sz w:val="26"/>
          <w:szCs w:val="26"/>
        </w:rPr>
        <w:t xml:space="preserve">2. </w:t>
      </w:r>
      <w:r w:rsidR="00BB3B0F" w:rsidRPr="00677A2B">
        <w:rPr>
          <w:rFonts w:ascii="Palatino Linotype" w:hAnsi="Palatino Linotype"/>
          <w:b/>
          <w:sz w:val="26"/>
          <w:szCs w:val="26"/>
        </w:rPr>
        <w:t>“policies and practices initiated to ensure the full protection of inherent indigenous treaty rights and titles.”</w:t>
      </w:r>
    </w:p>
    <w:p w14:paraId="4F4AF36E" w14:textId="77777777" w:rsidR="00C72B08" w:rsidRDefault="00C72B08" w:rsidP="00C72B08">
      <w:pPr>
        <w:pStyle w:val="ListParagraph"/>
        <w:rPr>
          <w:rFonts w:ascii="Palatino Linotype" w:hAnsi="Palatino Linotype"/>
          <w:b/>
          <w:sz w:val="24"/>
          <w:szCs w:val="24"/>
        </w:rPr>
      </w:pPr>
    </w:p>
    <w:p w14:paraId="1FE3F4F4" w14:textId="76199A8C" w:rsidR="00C72B08" w:rsidRDefault="00C72B08" w:rsidP="00C72B08">
      <w:pPr>
        <w:pStyle w:val="ListParagraph"/>
        <w:numPr>
          <w:ilvl w:val="0"/>
          <w:numId w:val="11"/>
        </w:numPr>
        <w:rPr>
          <w:rFonts w:ascii="Palatino Linotype" w:hAnsi="Palatino Linotype"/>
          <w:b/>
          <w:sz w:val="24"/>
          <w:szCs w:val="24"/>
        </w:rPr>
      </w:pPr>
      <w:r>
        <w:rPr>
          <w:rFonts w:ascii="Palatino Linotype" w:hAnsi="Palatino Linotype"/>
          <w:b/>
          <w:sz w:val="24"/>
          <w:szCs w:val="24"/>
        </w:rPr>
        <w:t>Self-determination</w:t>
      </w:r>
    </w:p>
    <w:p w14:paraId="40FB2A48" w14:textId="77777777" w:rsidR="004F3075" w:rsidRPr="00C72B08" w:rsidRDefault="004F3075" w:rsidP="004F3075">
      <w:pPr>
        <w:pStyle w:val="ListParagraph"/>
        <w:ind w:left="1080"/>
        <w:rPr>
          <w:rFonts w:ascii="Palatino Linotype" w:hAnsi="Palatino Linotype"/>
          <w:b/>
          <w:sz w:val="24"/>
          <w:szCs w:val="24"/>
        </w:rPr>
      </w:pPr>
    </w:p>
    <w:p w14:paraId="6E097593" w14:textId="262EB2CC" w:rsidR="00BB3B0F" w:rsidRDefault="00BB3B0F" w:rsidP="00BB3B0F">
      <w:pPr>
        <w:pStyle w:val="ListParagraph"/>
        <w:numPr>
          <w:ilvl w:val="0"/>
          <w:numId w:val="9"/>
        </w:numPr>
        <w:rPr>
          <w:rFonts w:ascii="Palatino Linotype" w:hAnsi="Palatino Linotype"/>
          <w:sz w:val="24"/>
          <w:szCs w:val="24"/>
        </w:rPr>
      </w:pPr>
      <w:r>
        <w:rPr>
          <w:rFonts w:ascii="Palatino Linotype" w:hAnsi="Palatino Linotype"/>
          <w:sz w:val="24"/>
          <w:szCs w:val="24"/>
        </w:rPr>
        <w:t>In the course</w:t>
      </w:r>
      <w:r w:rsidR="004B4857">
        <w:rPr>
          <w:rFonts w:ascii="Palatino Linotype" w:hAnsi="Palatino Linotype"/>
          <w:sz w:val="24"/>
          <w:szCs w:val="24"/>
        </w:rPr>
        <w:t xml:space="preserve"> of exchanges between Canada, Lí</w:t>
      </w:r>
      <w:r>
        <w:rPr>
          <w:rFonts w:ascii="Palatino Linotype" w:hAnsi="Palatino Linotype"/>
          <w:sz w:val="24"/>
          <w:szCs w:val="24"/>
        </w:rPr>
        <w:t>l’wat and the Inter-American Commission on Human Rights, Petition 879-07, Canada refused to engage in a friendly settlement process. Wh</w:t>
      </w:r>
      <w:bookmarkStart w:id="1" w:name="_GoBack"/>
      <w:bookmarkEnd w:id="1"/>
      <w:r>
        <w:rPr>
          <w:rFonts w:ascii="Palatino Linotype" w:hAnsi="Palatino Linotype"/>
          <w:sz w:val="24"/>
          <w:szCs w:val="24"/>
        </w:rPr>
        <w:t xml:space="preserve">ile the Petition has now been admitted to the </w:t>
      </w:r>
      <w:r w:rsidRPr="008B5466">
        <w:rPr>
          <w:rFonts w:ascii="Palatino Linotype" w:hAnsi="Palatino Linotype"/>
          <w:sz w:val="24"/>
          <w:szCs w:val="24"/>
        </w:rPr>
        <w:t xml:space="preserve">Inter-American </w:t>
      </w:r>
      <w:r w:rsidR="008B5466" w:rsidRPr="008B5466">
        <w:rPr>
          <w:rFonts w:ascii="Palatino Linotype" w:hAnsi="Palatino Linotype"/>
          <w:sz w:val="24"/>
          <w:szCs w:val="24"/>
        </w:rPr>
        <w:t>C</w:t>
      </w:r>
      <w:r w:rsidR="008B5466">
        <w:rPr>
          <w:rFonts w:ascii="Palatino Linotype" w:hAnsi="Palatino Linotype"/>
          <w:sz w:val="24"/>
          <w:szCs w:val="24"/>
        </w:rPr>
        <w:t>ommission</w:t>
      </w:r>
      <w:r w:rsidR="008B5466">
        <w:rPr>
          <w:rFonts w:ascii="Palatino Linotype" w:hAnsi="Palatino Linotype"/>
          <w:sz w:val="24"/>
          <w:szCs w:val="24"/>
        </w:rPr>
        <w:t xml:space="preserve"> </w:t>
      </w:r>
      <w:r>
        <w:rPr>
          <w:rFonts w:ascii="Palatino Linotype" w:hAnsi="Palatino Linotype"/>
          <w:sz w:val="24"/>
          <w:szCs w:val="24"/>
        </w:rPr>
        <w:t>on Human Rights,</w:t>
      </w:r>
      <w:r w:rsidR="004F3075">
        <w:rPr>
          <w:rFonts w:ascii="Palatino Linotype" w:hAnsi="Palatino Linotype"/>
          <w:sz w:val="24"/>
          <w:szCs w:val="24"/>
        </w:rPr>
        <w:t xml:space="preserve"> (IACHR)</w:t>
      </w:r>
      <w:r>
        <w:rPr>
          <w:rFonts w:ascii="Palatino Linotype" w:hAnsi="Palatino Linotype"/>
          <w:sz w:val="24"/>
          <w:szCs w:val="24"/>
        </w:rPr>
        <w:t xml:space="preserve"> Case 12-929, Canada </w:t>
      </w:r>
      <w:r w:rsidR="00E475CB">
        <w:rPr>
          <w:rFonts w:ascii="Palatino Linotype" w:hAnsi="Palatino Linotype"/>
          <w:sz w:val="24"/>
          <w:szCs w:val="24"/>
        </w:rPr>
        <w:t>has all along refused and now continues to refuse</w:t>
      </w:r>
      <w:r>
        <w:rPr>
          <w:rFonts w:ascii="Palatino Linotype" w:hAnsi="Palatino Linotype"/>
          <w:sz w:val="24"/>
          <w:szCs w:val="24"/>
        </w:rPr>
        <w:t xml:space="preserve"> to address the instant complaint </w:t>
      </w:r>
      <w:r w:rsidR="00E475CB">
        <w:rPr>
          <w:rFonts w:ascii="Palatino Linotype" w:hAnsi="Palatino Linotype"/>
          <w:sz w:val="24"/>
          <w:szCs w:val="24"/>
        </w:rPr>
        <w:t xml:space="preserve">that Canada does not have a treaty with </w:t>
      </w:r>
      <w:r w:rsidR="004B4857">
        <w:rPr>
          <w:rFonts w:ascii="Palatino Linotype" w:hAnsi="Palatino Linotype"/>
          <w:sz w:val="24"/>
          <w:szCs w:val="24"/>
        </w:rPr>
        <w:t>Líl’wat</w:t>
      </w:r>
      <w:r w:rsidR="00E475CB">
        <w:rPr>
          <w:rFonts w:ascii="Palatino Linotype" w:hAnsi="Palatino Linotype"/>
          <w:sz w:val="24"/>
          <w:szCs w:val="24"/>
        </w:rPr>
        <w:t xml:space="preserve"> and therefore does not have jurisdiction over matters of child and family welfare. In the case at hand, a </w:t>
      </w:r>
      <w:r w:rsidR="004B4857">
        <w:rPr>
          <w:rFonts w:ascii="Palatino Linotype" w:hAnsi="Palatino Linotype"/>
          <w:sz w:val="24"/>
          <w:szCs w:val="24"/>
        </w:rPr>
        <w:t>Líl’wat</w:t>
      </w:r>
      <w:r w:rsidR="00E475CB">
        <w:rPr>
          <w:rFonts w:ascii="Palatino Linotype" w:hAnsi="Palatino Linotype"/>
          <w:sz w:val="24"/>
          <w:szCs w:val="24"/>
        </w:rPr>
        <w:t xml:space="preserve"> mother’s six children have been seized by state agents, separated, and removed to the custody of other families – some of which are not </w:t>
      </w:r>
      <w:r w:rsidR="004B4857">
        <w:rPr>
          <w:rFonts w:ascii="Palatino Linotype" w:hAnsi="Palatino Linotype"/>
          <w:sz w:val="24"/>
          <w:szCs w:val="24"/>
        </w:rPr>
        <w:t>Líl’wat</w:t>
      </w:r>
      <w:r w:rsidR="00E475CB">
        <w:rPr>
          <w:rFonts w:ascii="Palatino Linotype" w:hAnsi="Palatino Linotype"/>
          <w:sz w:val="24"/>
          <w:szCs w:val="24"/>
        </w:rPr>
        <w:t xml:space="preserve"> families and have no connection to </w:t>
      </w:r>
      <w:r w:rsidR="004B4857">
        <w:rPr>
          <w:rFonts w:ascii="Palatino Linotype" w:hAnsi="Palatino Linotype"/>
          <w:sz w:val="24"/>
          <w:szCs w:val="24"/>
        </w:rPr>
        <w:t>Líl’wat</w:t>
      </w:r>
      <w:r w:rsidR="00E475CB">
        <w:rPr>
          <w:rFonts w:ascii="Palatino Linotype" w:hAnsi="Palatino Linotype"/>
          <w:sz w:val="24"/>
          <w:szCs w:val="24"/>
        </w:rPr>
        <w:t xml:space="preserve"> culture.</w:t>
      </w:r>
    </w:p>
    <w:p w14:paraId="7E91DA74" w14:textId="77777777" w:rsidR="004F3075" w:rsidRDefault="004F3075" w:rsidP="004F3075">
      <w:pPr>
        <w:pStyle w:val="ListParagraph"/>
        <w:ind w:left="1080"/>
        <w:rPr>
          <w:rFonts w:ascii="Palatino Linotype" w:hAnsi="Palatino Linotype"/>
          <w:sz w:val="24"/>
          <w:szCs w:val="24"/>
        </w:rPr>
      </w:pPr>
    </w:p>
    <w:p w14:paraId="48D5E329" w14:textId="0C3283C3" w:rsidR="00E475CB" w:rsidRDefault="00E475CB" w:rsidP="00BB3B0F">
      <w:pPr>
        <w:pStyle w:val="ListParagraph"/>
        <w:numPr>
          <w:ilvl w:val="0"/>
          <w:numId w:val="9"/>
        </w:numPr>
        <w:rPr>
          <w:rFonts w:ascii="Palatino Linotype" w:hAnsi="Palatino Linotype"/>
          <w:sz w:val="24"/>
          <w:szCs w:val="24"/>
        </w:rPr>
      </w:pPr>
      <w:r>
        <w:rPr>
          <w:rFonts w:ascii="Palatino Linotype" w:hAnsi="Palatino Linotype"/>
          <w:sz w:val="24"/>
          <w:szCs w:val="24"/>
        </w:rPr>
        <w:t xml:space="preserve">Canada has demonstrated and explicitly outlined its total rejection of the </w:t>
      </w:r>
      <w:r w:rsidR="004B4857">
        <w:rPr>
          <w:rFonts w:ascii="Palatino Linotype" w:hAnsi="Palatino Linotype"/>
          <w:sz w:val="24"/>
          <w:szCs w:val="24"/>
        </w:rPr>
        <w:t>Líl’wat</w:t>
      </w:r>
      <w:r>
        <w:rPr>
          <w:rFonts w:ascii="Palatino Linotype" w:hAnsi="Palatino Linotype"/>
          <w:sz w:val="24"/>
          <w:szCs w:val="24"/>
        </w:rPr>
        <w:t xml:space="preserve"> right to </w:t>
      </w:r>
      <w:r w:rsidR="00C72B08">
        <w:rPr>
          <w:rFonts w:ascii="Palatino Linotype" w:hAnsi="Palatino Linotype"/>
          <w:sz w:val="24"/>
          <w:szCs w:val="24"/>
        </w:rPr>
        <w:t xml:space="preserve">self-determination and accompanying powers of practicing </w:t>
      </w:r>
      <w:r w:rsidR="004B4857">
        <w:rPr>
          <w:rFonts w:ascii="Palatino Linotype" w:hAnsi="Palatino Linotype"/>
          <w:sz w:val="24"/>
          <w:szCs w:val="24"/>
        </w:rPr>
        <w:t>Líl’wat</w:t>
      </w:r>
      <w:r w:rsidR="00C72B08">
        <w:rPr>
          <w:rFonts w:ascii="Palatino Linotype" w:hAnsi="Palatino Linotype"/>
          <w:sz w:val="24"/>
          <w:szCs w:val="24"/>
        </w:rPr>
        <w:t xml:space="preserve"> law and cultural continuity in matters of child welfare</w:t>
      </w:r>
      <w:r w:rsidR="004F3075">
        <w:rPr>
          <w:rFonts w:ascii="Palatino Linotype" w:hAnsi="Palatino Linotype"/>
          <w:sz w:val="24"/>
          <w:szCs w:val="24"/>
        </w:rPr>
        <w:t xml:space="preserve"> in its replies to the IACHR</w:t>
      </w:r>
      <w:r w:rsidR="00C72B08">
        <w:rPr>
          <w:rFonts w:ascii="Palatino Linotype" w:hAnsi="Palatino Linotype"/>
          <w:sz w:val="24"/>
          <w:szCs w:val="24"/>
        </w:rPr>
        <w:t>.</w:t>
      </w:r>
    </w:p>
    <w:p w14:paraId="6CA00ABA" w14:textId="77777777" w:rsidR="001B4858" w:rsidRPr="001B4858" w:rsidRDefault="001B4858" w:rsidP="001B4858">
      <w:pPr>
        <w:pStyle w:val="ListParagraph"/>
        <w:rPr>
          <w:rFonts w:ascii="Palatino Linotype" w:hAnsi="Palatino Linotype"/>
          <w:sz w:val="24"/>
          <w:szCs w:val="24"/>
        </w:rPr>
      </w:pPr>
    </w:p>
    <w:p w14:paraId="4F257FAE" w14:textId="6209E419" w:rsidR="001B4858" w:rsidRDefault="001B4858" w:rsidP="00BB3B0F">
      <w:pPr>
        <w:pStyle w:val="ListParagraph"/>
        <w:numPr>
          <w:ilvl w:val="0"/>
          <w:numId w:val="9"/>
        </w:numPr>
        <w:rPr>
          <w:rFonts w:ascii="Palatino Linotype" w:hAnsi="Palatino Linotype"/>
          <w:sz w:val="24"/>
          <w:szCs w:val="24"/>
        </w:rPr>
      </w:pPr>
      <w:r>
        <w:rPr>
          <w:rFonts w:ascii="Palatino Linotype" w:hAnsi="Palatino Linotype"/>
          <w:sz w:val="24"/>
          <w:szCs w:val="24"/>
        </w:rPr>
        <w:t xml:space="preserve">Furthermore, </w:t>
      </w:r>
      <w:r w:rsidR="001E0D1B">
        <w:rPr>
          <w:rFonts w:ascii="Palatino Linotype" w:hAnsi="Palatino Linotype"/>
          <w:sz w:val="24"/>
          <w:szCs w:val="24"/>
        </w:rPr>
        <w:t>Canada has demonstrated the same contempt for every other Indigenous nation and People whose homes and families have been invaded by its child apprehension Ministries, federal and provincial. The shocking incidence of Indigenous children in Canadian State guardianship or custody has been remarked upon by the Human Rights Committee in 2015 in their Concluding Observations concerning Canada, and the situation illuminates the extent of the ongoing invasion by the State Party of Indigenous Peoples’ rightful jurisdictions.</w:t>
      </w:r>
    </w:p>
    <w:p w14:paraId="5A5ED8BC" w14:textId="77777777" w:rsidR="00397B4B" w:rsidRPr="00397B4B" w:rsidRDefault="00397B4B" w:rsidP="00397B4B">
      <w:pPr>
        <w:pStyle w:val="ListParagraph"/>
        <w:rPr>
          <w:rFonts w:ascii="Palatino Linotype" w:hAnsi="Palatino Linotype"/>
          <w:sz w:val="24"/>
          <w:szCs w:val="24"/>
        </w:rPr>
      </w:pPr>
    </w:p>
    <w:p w14:paraId="6686BF1E" w14:textId="77777777" w:rsidR="00397B4B" w:rsidRDefault="00397B4B" w:rsidP="00397B4B">
      <w:pPr>
        <w:pStyle w:val="ListParagraph"/>
        <w:ind w:left="1080"/>
        <w:rPr>
          <w:rFonts w:ascii="Palatino Linotype" w:hAnsi="Palatino Linotype"/>
          <w:sz w:val="24"/>
          <w:szCs w:val="24"/>
        </w:rPr>
      </w:pPr>
    </w:p>
    <w:p w14:paraId="3CBDF7B4" w14:textId="77777777" w:rsidR="00C72B08" w:rsidRDefault="00C72B08" w:rsidP="00C72B08">
      <w:pPr>
        <w:pStyle w:val="ListParagraph"/>
        <w:ind w:left="1080"/>
        <w:rPr>
          <w:rFonts w:ascii="Palatino Linotype" w:hAnsi="Palatino Linotype"/>
          <w:sz w:val="24"/>
          <w:szCs w:val="24"/>
        </w:rPr>
      </w:pPr>
    </w:p>
    <w:p w14:paraId="2D2C697B" w14:textId="77777777" w:rsidR="00397B4B" w:rsidRDefault="00397B4B" w:rsidP="00C72B08">
      <w:pPr>
        <w:pStyle w:val="ListParagraph"/>
        <w:ind w:left="1080"/>
        <w:rPr>
          <w:rFonts w:ascii="Palatino Linotype" w:hAnsi="Palatino Linotype"/>
          <w:sz w:val="24"/>
          <w:szCs w:val="24"/>
        </w:rPr>
      </w:pPr>
    </w:p>
    <w:p w14:paraId="1BD75027" w14:textId="77777777" w:rsidR="00397B4B" w:rsidRDefault="00397B4B" w:rsidP="00C72B08">
      <w:pPr>
        <w:pStyle w:val="ListParagraph"/>
        <w:ind w:left="1080"/>
        <w:rPr>
          <w:rFonts w:ascii="Palatino Linotype" w:hAnsi="Palatino Linotype"/>
          <w:sz w:val="24"/>
          <w:szCs w:val="24"/>
        </w:rPr>
      </w:pPr>
    </w:p>
    <w:p w14:paraId="3385D4DC" w14:textId="74ECD540" w:rsidR="00C72B08" w:rsidRDefault="00C72B08" w:rsidP="00C72B08">
      <w:pPr>
        <w:pStyle w:val="ListParagraph"/>
        <w:numPr>
          <w:ilvl w:val="0"/>
          <w:numId w:val="11"/>
        </w:numPr>
        <w:rPr>
          <w:rFonts w:ascii="Palatino Linotype" w:hAnsi="Palatino Linotype"/>
          <w:b/>
          <w:sz w:val="24"/>
          <w:szCs w:val="24"/>
        </w:rPr>
      </w:pPr>
      <w:r w:rsidRPr="00C72B08">
        <w:rPr>
          <w:rFonts w:ascii="Palatino Linotype" w:hAnsi="Palatino Linotype"/>
          <w:b/>
          <w:sz w:val="24"/>
          <w:szCs w:val="24"/>
        </w:rPr>
        <w:lastRenderedPageBreak/>
        <w:t>Treaty Rights</w:t>
      </w:r>
    </w:p>
    <w:p w14:paraId="2913FEBC" w14:textId="77777777" w:rsidR="00E83905" w:rsidRDefault="00E83905" w:rsidP="00E83905">
      <w:pPr>
        <w:pStyle w:val="ListParagraph"/>
        <w:ind w:left="1080"/>
        <w:rPr>
          <w:rFonts w:ascii="Palatino Linotype" w:hAnsi="Palatino Linotype"/>
          <w:b/>
          <w:sz w:val="24"/>
          <w:szCs w:val="24"/>
        </w:rPr>
      </w:pPr>
    </w:p>
    <w:p w14:paraId="5ED48D2E" w14:textId="08F57DD9" w:rsidR="00C72B08" w:rsidRPr="004F3075" w:rsidRDefault="004B4857" w:rsidP="004B4857">
      <w:pPr>
        <w:pStyle w:val="ListParagraph"/>
        <w:numPr>
          <w:ilvl w:val="0"/>
          <w:numId w:val="17"/>
        </w:numPr>
        <w:rPr>
          <w:rFonts w:ascii="Palatino Linotype" w:hAnsi="Palatino Linotype"/>
          <w:b/>
          <w:sz w:val="24"/>
          <w:szCs w:val="24"/>
        </w:rPr>
      </w:pPr>
      <w:r>
        <w:rPr>
          <w:rFonts w:ascii="Palatino Linotype" w:hAnsi="Palatino Linotype"/>
          <w:sz w:val="24"/>
          <w:szCs w:val="24"/>
        </w:rPr>
        <w:t>The Canadian Constitution guarantees His Majesty’s Indian Allies, Indigenous Peoples, the right to remain undisturbed in their homelands. The Constitution, in the same part, Section 25 as noted above, provides internationally acceptable procedures that Indigenous Peoples may make treaty with the State party and/or sell land to the State party.</w:t>
      </w:r>
      <w:r w:rsidR="004F3075">
        <w:rPr>
          <w:rStyle w:val="FootnoteReference"/>
          <w:rFonts w:ascii="Palatino Linotype" w:hAnsi="Palatino Linotype"/>
          <w:sz w:val="24"/>
          <w:szCs w:val="24"/>
        </w:rPr>
        <w:footnoteReference w:id="12"/>
      </w:r>
      <w:r>
        <w:rPr>
          <w:rFonts w:ascii="Palatino Linotype" w:hAnsi="Palatino Linotype"/>
          <w:sz w:val="24"/>
          <w:szCs w:val="24"/>
        </w:rPr>
        <w:t xml:space="preserve"> </w:t>
      </w:r>
    </w:p>
    <w:p w14:paraId="53FAB25B" w14:textId="77777777" w:rsidR="004F3075" w:rsidRDefault="004F3075" w:rsidP="004F3075">
      <w:pPr>
        <w:pStyle w:val="ListParagraph"/>
        <w:ind w:left="1080"/>
        <w:rPr>
          <w:rFonts w:ascii="Palatino Linotype" w:hAnsi="Palatino Linotype"/>
          <w:sz w:val="24"/>
          <w:szCs w:val="24"/>
        </w:rPr>
      </w:pPr>
    </w:p>
    <w:p w14:paraId="56B8DFEF" w14:textId="3CE64274" w:rsidR="004B4857" w:rsidRDefault="004F3075" w:rsidP="004F3075">
      <w:pPr>
        <w:pStyle w:val="ListParagraph"/>
        <w:ind w:left="1080"/>
        <w:rPr>
          <w:rFonts w:ascii="Palatino Linotype" w:hAnsi="Palatino Linotype"/>
          <w:sz w:val="24"/>
          <w:szCs w:val="24"/>
        </w:rPr>
      </w:pPr>
      <w:r>
        <w:rPr>
          <w:rFonts w:ascii="Palatino Linotype" w:hAnsi="Palatino Linotype"/>
          <w:sz w:val="24"/>
          <w:szCs w:val="24"/>
        </w:rPr>
        <w:t xml:space="preserve">Today, the process of treaty making </w:t>
      </w:r>
      <w:r w:rsidR="00533BCC">
        <w:rPr>
          <w:rFonts w:ascii="Palatino Linotype" w:hAnsi="Palatino Linotype"/>
          <w:sz w:val="24"/>
          <w:szCs w:val="24"/>
        </w:rPr>
        <w:t xml:space="preserve">continues because many areas </w:t>
      </w:r>
      <w:r>
        <w:rPr>
          <w:rFonts w:ascii="Palatino Linotype" w:hAnsi="Palatino Linotype"/>
          <w:sz w:val="24"/>
          <w:szCs w:val="24"/>
        </w:rPr>
        <w:t xml:space="preserve">which Canada now </w:t>
      </w:r>
      <w:r w:rsidR="00533BCC">
        <w:rPr>
          <w:rFonts w:ascii="Palatino Linotype" w:hAnsi="Palatino Linotype"/>
          <w:sz w:val="24"/>
          <w:szCs w:val="24"/>
        </w:rPr>
        <w:t xml:space="preserve">occupies were never treated </w:t>
      </w:r>
      <w:r>
        <w:rPr>
          <w:rFonts w:ascii="Palatino Linotype" w:hAnsi="Palatino Linotype"/>
          <w:sz w:val="24"/>
          <w:szCs w:val="24"/>
        </w:rPr>
        <w:t xml:space="preserve">in the constitutionally prescribed manner. Today, </w:t>
      </w:r>
      <w:r w:rsidR="001E0D1B">
        <w:rPr>
          <w:rFonts w:ascii="Palatino Linotype" w:hAnsi="Palatino Linotype"/>
          <w:sz w:val="24"/>
          <w:szCs w:val="24"/>
        </w:rPr>
        <w:t xml:space="preserve">however, </w:t>
      </w:r>
      <w:r>
        <w:rPr>
          <w:rFonts w:ascii="Palatino Linotype" w:hAnsi="Palatino Linotype"/>
          <w:sz w:val="24"/>
          <w:szCs w:val="24"/>
        </w:rPr>
        <w:t xml:space="preserve">the </w:t>
      </w:r>
      <w:r w:rsidR="001E0D1B">
        <w:rPr>
          <w:rFonts w:ascii="Palatino Linotype" w:hAnsi="Palatino Linotype"/>
          <w:sz w:val="24"/>
          <w:szCs w:val="24"/>
        </w:rPr>
        <w:t>“</w:t>
      </w:r>
      <w:r>
        <w:rPr>
          <w:rFonts w:ascii="Palatino Linotype" w:hAnsi="Palatino Linotype"/>
          <w:sz w:val="24"/>
          <w:szCs w:val="24"/>
        </w:rPr>
        <w:t>treaty making process</w:t>
      </w:r>
      <w:r w:rsidR="001E0D1B">
        <w:rPr>
          <w:rFonts w:ascii="Palatino Linotype" w:hAnsi="Palatino Linotype"/>
          <w:sz w:val="24"/>
          <w:szCs w:val="24"/>
        </w:rPr>
        <w:t>”</w:t>
      </w:r>
      <w:r>
        <w:rPr>
          <w:rFonts w:ascii="Palatino Linotype" w:hAnsi="Palatino Linotype"/>
          <w:sz w:val="24"/>
          <w:szCs w:val="24"/>
        </w:rPr>
        <w:t xml:space="preserve"> is circumscribed by the extinguishment legislation examined above in I. 1. B. Historical treaties are being re-negotiated according to this same process.</w:t>
      </w:r>
      <w:r w:rsidR="00533BCC">
        <w:rPr>
          <w:rFonts w:ascii="Palatino Linotype" w:hAnsi="Palatino Linotype"/>
          <w:sz w:val="24"/>
          <w:szCs w:val="24"/>
        </w:rPr>
        <w:t xml:space="preserve"> There is no modern access to the constitutionally required </w:t>
      </w:r>
      <w:r>
        <w:rPr>
          <w:rFonts w:ascii="Palatino Linotype" w:hAnsi="Palatino Linotype"/>
          <w:sz w:val="24"/>
          <w:szCs w:val="24"/>
        </w:rPr>
        <w:t>fair treaty making process for Indigenous Peoples occupied by Canada.</w:t>
      </w:r>
    </w:p>
    <w:p w14:paraId="5846D144" w14:textId="77777777" w:rsidR="00C95E52" w:rsidRDefault="00C95E52" w:rsidP="004F3075">
      <w:pPr>
        <w:pStyle w:val="ListParagraph"/>
        <w:ind w:left="1080"/>
        <w:rPr>
          <w:rFonts w:ascii="Palatino Linotype" w:hAnsi="Palatino Linotype"/>
          <w:sz w:val="24"/>
          <w:szCs w:val="24"/>
        </w:rPr>
      </w:pPr>
    </w:p>
    <w:p w14:paraId="354EEE32" w14:textId="77777777" w:rsidR="004B4857" w:rsidRPr="004B4857" w:rsidRDefault="004B4857" w:rsidP="004B4857">
      <w:pPr>
        <w:pStyle w:val="ListParagraph"/>
        <w:ind w:left="1080"/>
        <w:rPr>
          <w:rFonts w:ascii="Palatino Linotype" w:hAnsi="Palatino Linotype"/>
          <w:b/>
          <w:sz w:val="24"/>
          <w:szCs w:val="24"/>
        </w:rPr>
      </w:pPr>
    </w:p>
    <w:p w14:paraId="67EE1121" w14:textId="77777777" w:rsidR="00533BCC" w:rsidRDefault="00C72B08" w:rsidP="00533BCC">
      <w:pPr>
        <w:pStyle w:val="ListParagraph"/>
        <w:numPr>
          <w:ilvl w:val="0"/>
          <w:numId w:val="11"/>
        </w:numPr>
        <w:rPr>
          <w:rFonts w:ascii="Palatino Linotype" w:hAnsi="Palatino Linotype"/>
          <w:b/>
          <w:sz w:val="24"/>
          <w:szCs w:val="24"/>
        </w:rPr>
      </w:pPr>
      <w:r w:rsidRPr="004B4857">
        <w:rPr>
          <w:rFonts w:ascii="Palatino Linotype" w:hAnsi="Palatino Linotype"/>
          <w:b/>
          <w:sz w:val="24"/>
          <w:szCs w:val="24"/>
        </w:rPr>
        <w:t>Indigenous Titles</w:t>
      </w:r>
    </w:p>
    <w:p w14:paraId="216E60FB" w14:textId="77777777" w:rsidR="00533BCC" w:rsidRDefault="00533BCC" w:rsidP="00533BCC">
      <w:pPr>
        <w:pStyle w:val="ListParagraph"/>
        <w:ind w:left="1080"/>
        <w:rPr>
          <w:rFonts w:ascii="Palatino Linotype" w:hAnsi="Palatino Linotype"/>
          <w:b/>
          <w:sz w:val="24"/>
          <w:szCs w:val="24"/>
        </w:rPr>
      </w:pPr>
    </w:p>
    <w:p w14:paraId="527EBE37" w14:textId="378EA3F8" w:rsidR="001E0D1B" w:rsidRDefault="001E0D1B" w:rsidP="001E0D1B">
      <w:pPr>
        <w:pStyle w:val="ListParagraph"/>
        <w:ind w:left="1080"/>
        <w:rPr>
          <w:rFonts w:ascii="Palatino Linotype" w:hAnsi="Palatino Linotype"/>
          <w:sz w:val="24"/>
          <w:szCs w:val="24"/>
        </w:rPr>
      </w:pPr>
      <w:r>
        <w:rPr>
          <w:rFonts w:ascii="Palatino Linotype" w:hAnsi="Palatino Linotype"/>
          <w:sz w:val="24"/>
          <w:szCs w:val="24"/>
        </w:rPr>
        <w:t>West of the Rocky Mountains to the Pacific Ocean, Canada claims that Great Britain asserted sovereignty over the entire area. Canada states in court and Canadian judges accept that, because of this, all Indigenous Peoples in that extensive area lost their title to the Crown. Today, Canada claims underlying title to the entire area, an area which is home to 30 distinct peoples who have owned their lands, the same lands, for thousands of years – their ownership and stability confirmed by oral history and linguistic and archaeological investigations. However, no part of Canada’s claim to sovereignty or the claim that Indigenous Peoples lost their titles to their lands is supportable, nor has ever been positively confirmed in a Canadian or other court.</w:t>
      </w:r>
      <w:r>
        <w:rPr>
          <w:rStyle w:val="FootnoteReference"/>
          <w:rFonts w:ascii="Palatino Linotype" w:hAnsi="Palatino Linotype"/>
          <w:sz w:val="24"/>
          <w:szCs w:val="24"/>
        </w:rPr>
        <w:footnoteReference w:id="13"/>
      </w:r>
    </w:p>
    <w:p w14:paraId="63542AA1" w14:textId="77777777" w:rsidR="001E0D1B" w:rsidRDefault="001E0D1B" w:rsidP="001E0D1B">
      <w:pPr>
        <w:pStyle w:val="ListParagraph"/>
        <w:ind w:left="1080"/>
        <w:rPr>
          <w:rFonts w:ascii="Palatino Linotype" w:hAnsi="Palatino Linotype"/>
          <w:sz w:val="24"/>
          <w:szCs w:val="24"/>
        </w:rPr>
      </w:pPr>
    </w:p>
    <w:p w14:paraId="2EF45CD9" w14:textId="7464A602" w:rsidR="001E0D1B" w:rsidRPr="004F3075" w:rsidRDefault="001E0D1B" w:rsidP="001E0D1B">
      <w:pPr>
        <w:pStyle w:val="ListParagraph"/>
        <w:ind w:left="1080"/>
        <w:rPr>
          <w:rFonts w:ascii="Palatino Linotype" w:hAnsi="Palatino Linotype"/>
          <w:sz w:val="24"/>
          <w:szCs w:val="24"/>
        </w:rPr>
      </w:pPr>
      <w:r>
        <w:rPr>
          <w:rFonts w:ascii="Palatino Linotype" w:hAnsi="Palatino Linotype"/>
          <w:sz w:val="24"/>
          <w:szCs w:val="24"/>
        </w:rPr>
        <w:t>Canadian courts concede that “Aboriginal title exists”</w:t>
      </w:r>
      <w:r>
        <w:rPr>
          <w:rStyle w:val="FootnoteReference"/>
          <w:rFonts w:ascii="Palatino Linotype" w:hAnsi="Palatino Linotype"/>
          <w:sz w:val="24"/>
          <w:szCs w:val="24"/>
        </w:rPr>
        <w:footnoteReference w:id="14"/>
      </w:r>
      <w:r>
        <w:rPr>
          <w:rFonts w:ascii="Palatino Linotype" w:hAnsi="Palatino Linotype"/>
          <w:sz w:val="24"/>
          <w:szCs w:val="24"/>
        </w:rPr>
        <w:t xml:space="preserve"> in this area, but judges </w:t>
      </w:r>
      <w:r w:rsidR="00677A2B">
        <w:rPr>
          <w:rFonts w:ascii="Palatino Linotype" w:hAnsi="Palatino Linotype"/>
          <w:sz w:val="24"/>
          <w:szCs w:val="24"/>
        </w:rPr>
        <w:t xml:space="preserve">have </w:t>
      </w:r>
      <w:r>
        <w:rPr>
          <w:rFonts w:ascii="Palatino Linotype" w:hAnsi="Palatino Linotype"/>
          <w:sz w:val="24"/>
          <w:szCs w:val="24"/>
        </w:rPr>
        <w:t xml:space="preserve">repeatedly </w:t>
      </w:r>
      <w:r w:rsidR="00677A2B">
        <w:rPr>
          <w:rFonts w:ascii="Palatino Linotype" w:hAnsi="Palatino Linotype"/>
          <w:sz w:val="24"/>
          <w:szCs w:val="24"/>
        </w:rPr>
        <w:t>ruled they we</w:t>
      </w:r>
      <w:r>
        <w:rPr>
          <w:rFonts w:ascii="Palatino Linotype" w:hAnsi="Palatino Linotype"/>
          <w:sz w:val="24"/>
          <w:szCs w:val="24"/>
        </w:rPr>
        <w:t xml:space="preserve">re unable to identify an Aboriginal title area </w:t>
      </w:r>
      <w:r w:rsidR="00677A2B">
        <w:rPr>
          <w:rFonts w:ascii="Palatino Linotype" w:hAnsi="Palatino Linotype"/>
          <w:sz w:val="24"/>
          <w:szCs w:val="24"/>
        </w:rPr>
        <w:t xml:space="preserve">– at least not now </w:t>
      </w:r>
      <w:r>
        <w:rPr>
          <w:rFonts w:ascii="Palatino Linotype" w:hAnsi="Palatino Linotype"/>
          <w:sz w:val="24"/>
          <w:szCs w:val="24"/>
        </w:rPr>
        <w:t xml:space="preserve">without the benefit of a trial </w:t>
      </w:r>
      <w:r w:rsidR="00677A2B">
        <w:rPr>
          <w:rFonts w:ascii="Palatino Linotype" w:hAnsi="Palatino Linotype"/>
          <w:sz w:val="24"/>
          <w:szCs w:val="24"/>
        </w:rPr>
        <w:t>like</w:t>
      </w:r>
      <w:r>
        <w:rPr>
          <w:rFonts w:ascii="Palatino Linotype" w:hAnsi="Palatino Linotype"/>
          <w:sz w:val="24"/>
          <w:szCs w:val="24"/>
        </w:rPr>
        <w:t xml:space="preserve"> the one endured by the Tsilhqot’in (400 days </w:t>
      </w:r>
      <w:r>
        <w:rPr>
          <w:rFonts w:ascii="Palatino Linotype" w:hAnsi="Palatino Linotype"/>
          <w:sz w:val="24"/>
          <w:szCs w:val="24"/>
        </w:rPr>
        <w:lastRenderedPageBreak/>
        <w:t>in court, for instance). Unfortunately, the State refers to Aboriginal title merely as “a burden on Crown title.”</w:t>
      </w:r>
    </w:p>
    <w:p w14:paraId="1E2D7361" w14:textId="77777777" w:rsidR="001E0D1B" w:rsidRDefault="001E0D1B" w:rsidP="0047307C">
      <w:pPr>
        <w:pStyle w:val="ListParagraph"/>
        <w:ind w:left="1080"/>
        <w:rPr>
          <w:rFonts w:ascii="Palatino Linotype" w:hAnsi="Palatino Linotype"/>
          <w:sz w:val="24"/>
          <w:szCs w:val="24"/>
        </w:rPr>
      </w:pPr>
    </w:p>
    <w:p w14:paraId="2206F02E" w14:textId="078A4513" w:rsidR="009B4E22" w:rsidRDefault="00533BCC" w:rsidP="004F3052">
      <w:pPr>
        <w:pStyle w:val="ListParagraph"/>
        <w:ind w:left="1080"/>
        <w:rPr>
          <w:rFonts w:ascii="Palatino Linotype" w:hAnsi="Palatino Linotype"/>
          <w:sz w:val="24"/>
          <w:szCs w:val="24"/>
        </w:rPr>
      </w:pPr>
      <w:r w:rsidRPr="00533BCC">
        <w:rPr>
          <w:rFonts w:ascii="Palatino Linotype" w:hAnsi="Palatino Linotype"/>
          <w:sz w:val="24"/>
          <w:szCs w:val="24"/>
        </w:rPr>
        <w:t>Canada refuses to acknowledge Indigenous Peoples</w:t>
      </w:r>
      <w:r w:rsidR="00677A2B">
        <w:rPr>
          <w:rFonts w:ascii="Palatino Linotype" w:hAnsi="Palatino Linotype"/>
          <w:sz w:val="24"/>
          <w:szCs w:val="24"/>
        </w:rPr>
        <w:t xml:space="preserve"> as such</w:t>
      </w:r>
      <w:r w:rsidRPr="00533BCC">
        <w:rPr>
          <w:rFonts w:ascii="Palatino Linotype" w:hAnsi="Palatino Linotype"/>
          <w:sz w:val="24"/>
          <w:szCs w:val="24"/>
        </w:rPr>
        <w:t>, and therefore Indigenous Peoples’ rights as described in the UN Declaration on the Rights of Indigenous Peoples, as well as their rights as Peoples described in the Covenant on Economic</w:t>
      </w:r>
      <w:r>
        <w:rPr>
          <w:rFonts w:ascii="Palatino Linotype" w:hAnsi="Palatino Linotype"/>
          <w:sz w:val="24"/>
          <w:szCs w:val="24"/>
        </w:rPr>
        <w:t>,</w:t>
      </w:r>
      <w:r w:rsidRPr="00533BCC">
        <w:rPr>
          <w:rFonts w:ascii="Palatino Linotype" w:hAnsi="Palatino Linotype"/>
          <w:sz w:val="24"/>
          <w:szCs w:val="24"/>
        </w:rPr>
        <w:t xml:space="preserve"> Social and Cultural Rights as well as the Covenant on Civil and Political Rights. </w:t>
      </w:r>
    </w:p>
    <w:p w14:paraId="05DABAA9" w14:textId="77777777" w:rsidR="000B459C" w:rsidRPr="000B459C" w:rsidRDefault="000B459C" w:rsidP="000B459C">
      <w:pPr>
        <w:pStyle w:val="ListParagraph"/>
        <w:rPr>
          <w:rFonts w:ascii="Palatino Linotype" w:hAnsi="Palatino Linotype"/>
          <w:b/>
          <w:sz w:val="24"/>
          <w:szCs w:val="24"/>
        </w:rPr>
      </w:pPr>
    </w:p>
    <w:p w14:paraId="29BAFF23" w14:textId="05BB6919" w:rsidR="000B459C" w:rsidRPr="00C72B08" w:rsidRDefault="000B459C" w:rsidP="004B4857">
      <w:pPr>
        <w:pStyle w:val="ListParagraph"/>
        <w:numPr>
          <w:ilvl w:val="0"/>
          <w:numId w:val="11"/>
        </w:numPr>
        <w:rPr>
          <w:rFonts w:ascii="Palatino Linotype" w:hAnsi="Palatino Linotype"/>
          <w:b/>
          <w:sz w:val="24"/>
          <w:szCs w:val="24"/>
        </w:rPr>
      </w:pPr>
      <w:r>
        <w:rPr>
          <w:rFonts w:ascii="Palatino Linotype" w:hAnsi="Palatino Linotype"/>
          <w:b/>
          <w:sz w:val="24"/>
          <w:szCs w:val="24"/>
        </w:rPr>
        <w:t xml:space="preserve">Truth and Reconciliation Commission: Report and Recommendations </w:t>
      </w:r>
    </w:p>
    <w:p w14:paraId="3FA45ACC" w14:textId="77777777" w:rsidR="000B459C" w:rsidRDefault="000B459C" w:rsidP="000B459C">
      <w:pPr>
        <w:pStyle w:val="ListParagraph"/>
        <w:ind w:left="1080"/>
        <w:rPr>
          <w:rFonts w:ascii="Palatino Linotype" w:hAnsi="Palatino Linotype"/>
          <w:sz w:val="24"/>
          <w:szCs w:val="24"/>
        </w:rPr>
      </w:pPr>
    </w:p>
    <w:p w14:paraId="01BB86A1" w14:textId="72AA2031" w:rsidR="000B459C" w:rsidRPr="000B459C" w:rsidRDefault="000B459C" w:rsidP="000B459C">
      <w:pPr>
        <w:pStyle w:val="ListParagraph"/>
        <w:ind w:left="1080"/>
        <w:rPr>
          <w:rFonts w:ascii="Palatino Linotype" w:hAnsi="Palatino Linotype"/>
          <w:sz w:val="24"/>
          <w:szCs w:val="24"/>
        </w:rPr>
      </w:pPr>
      <w:r w:rsidRPr="000B459C">
        <w:rPr>
          <w:rFonts w:ascii="Palatino Linotype" w:hAnsi="Palatino Linotype"/>
          <w:sz w:val="24"/>
          <w:szCs w:val="24"/>
        </w:rPr>
        <w:t xml:space="preserve">Canada’s </w:t>
      </w:r>
      <w:r w:rsidR="00677A2B">
        <w:rPr>
          <w:rFonts w:ascii="Palatino Linotype" w:hAnsi="Palatino Linotype"/>
          <w:sz w:val="24"/>
          <w:szCs w:val="24"/>
        </w:rPr>
        <w:t>half century of forcibly removing</w:t>
      </w:r>
      <w:r w:rsidRPr="000B459C">
        <w:rPr>
          <w:rFonts w:ascii="Palatino Linotype" w:hAnsi="Palatino Linotype"/>
          <w:sz w:val="24"/>
          <w:szCs w:val="24"/>
        </w:rPr>
        <w:t xml:space="preserve"> Indigenous children to Indian Residential Schools </w:t>
      </w:r>
      <w:r w:rsidR="00677A2B">
        <w:rPr>
          <w:rFonts w:ascii="Palatino Linotype" w:hAnsi="Palatino Linotype"/>
          <w:sz w:val="24"/>
          <w:szCs w:val="24"/>
        </w:rPr>
        <w:t>was described as genocidal by the 2015 report of the Truth and Reconciliation Commission, Canada.</w:t>
      </w:r>
    </w:p>
    <w:p w14:paraId="562079E6" w14:textId="77777777" w:rsidR="00C72B08" w:rsidRDefault="00C72B08" w:rsidP="00C72B08">
      <w:pPr>
        <w:pStyle w:val="ListParagraph"/>
        <w:ind w:left="1080"/>
        <w:rPr>
          <w:rFonts w:ascii="Palatino Linotype" w:hAnsi="Palatino Linotype"/>
          <w:sz w:val="24"/>
          <w:szCs w:val="24"/>
        </w:rPr>
      </w:pPr>
    </w:p>
    <w:p w14:paraId="681960A6" w14:textId="77777777" w:rsidR="00A75230" w:rsidRDefault="00A75230" w:rsidP="00C72B08">
      <w:pPr>
        <w:pStyle w:val="ListParagraph"/>
        <w:ind w:left="1080"/>
        <w:rPr>
          <w:rFonts w:ascii="Palatino Linotype" w:hAnsi="Palatino Linotype"/>
          <w:sz w:val="24"/>
          <w:szCs w:val="24"/>
        </w:rPr>
      </w:pPr>
    </w:p>
    <w:p w14:paraId="309DA84E" w14:textId="77777777" w:rsidR="00A75230" w:rsidRDefault="00A75230" w:rsidP="00C72B08">
      <w:pPr>
        <w:pStyle w:val="ListParagraph"/>
        <w:ind w:left="1080"/>
        <w:rPr>
          <w:rFonts w:ascii="Palatino Linotype" w:hAnsi="Palatino Linotype"/>
          <w:sz w:val="24"/>
          <w:szCs w:val="24"/>
        </w:rPr>
      </w:pPr>
    </w:p>
    <w:p w14:paraId="2B4E96AC" w14:textId="4DD0ACDC" w:rsidR="00A75230" w:rsidRDefault="00A75230" w:rsidP="00C72B08">
      <w:pPr>
        <w:pStyle w:val="ListParagraph"/>
        <w:ind w:left="1080"/>
        <w:rPr>
          <w:rFonts w:ascii="Palatino Linotype" w:hAnsi="Palatino Linotype"/>
          <w:sz w:val="24"/>
          <w:szCs w:val="24"/>
        </w:rPr>
      </w:pPr>
      <w:r>
        <w:rPr>
          <w:rFonts w:ascii="Palatino Linotype" w:hAnsi="Palatino Linotype"/>
          <w:b/>
          <w:sz w:val="24"/>
          <w:szCs w:val="24"/>
        </w:rPr>
        <w:t xml:space="preserve">Question: </w:t>
      </w:r>
      <w:r>
        <w:rPr>
          <w:rFonts w:ascii="Palatino Linotype" w:hAnsi="Palatino Linotype"/>
          <w:sz w:val="24"/>
          <w:szCs w:val="24"/>
        </w:rPr>
        <w:t xml:space="preserve">How will Canada respond to the </w:t>
      </w:r>
      <w:r w:rsidR="00D235DC">
        <w:rPr>
          <w:rFonts w:ascii="Palatino Linotype" w:hAnsi="Palatino Linotype"/>
          <w:sz w:val="24"/>
          <w:szCs w:val="24"/>
        </w:rPr>
        <w:t xml:space="preserve">calls for action in the </w:t>
      </w:r>
      <w:r>
        <w:rPr>
          <w:rFonts w:ascii="Palatino Linotype" w:hAnsi="Palatino Linotype"/>
          <w:sz w:val="24"/>
          <w:szCs w:val="24"/>
        </w:rPr>
        <w:t xml:space="preserve">report of the Truth and Reconciliation Commission? </w:t>
      </w:r>
    </w:p>
    <w:p w14:paraId="2F8A3FBC" w14:textId="77777777" w:rsidR="00397B4B" w:rsidRDefault="00397B4B" w:rsidP="00C72B08">
      <w:pPr>
        <w:pStyle w:val="ListParagraph"/>
        <w:ind w:left="1080"/>
        <w:rPr>
          <w:rFonts w:ascii="Palatino Linotype" w:hAnsi="Palatino Linotype"/>
          <w:sz w:val="24"/>
          <w:szCs w:val="24"/>
        </w:rPr>
      </w:pPr>
    </w:p>
    <w:p w14:paraId="15300956" w14:textId="43B37584" w:rsidR="001842B9" w:rsidRPr="001842B9" w:rsidRDefault="00397B4B" w:rsidP="001842B9">
      <w:pPr>
        <w:pStyle w:val="ListParagraph"/>
        <w:ind w:left="1080"/>
        <w:rPr>
          <w:rFonts w:ascii="Palatino Linotype" w:hAnsi="Palatino Linotype"/>
          <w:sz w:val="24"/>
          <w:szCs w:val="24"/>
        </w:rPr>
      </w:pPr>
      <w:r>
        <w:rPr>
          <w:rFonts w:ascii="Palatino Linotype" w:hAnsi="Palatino Linotype"/>
          <w:b/>
          <w:sz w:val="24"/>
          <w:szCs w:val="24"/>
        </w:rPr>
        <w:t xml:space="preserve">Question: </w:t>
      </w:r>
      <w:r>
        <w:rPr>
          <w:rFonts w:ascii="Palatino Linotype" w:hAnsi="Palatino Linotype"/>
          <w:sz w:val="24"/>
          <w:szCs w:val="24"/>
        </w:rPr>
        <w:t xml:space="preserve">How does Canada explain its refusal to recognize the Article 1 rights of the </w:t>
      </w:r>
      <w:r w:rsidRPr="001842B9">
        <w:rPr>
          <w:rFonts w:ascii="Palatino Linotype" w:hAnsi="Palatino Linotype"/>
          <w:sz w:val="24"/>
          <w:szCs w:val="24"/>
        </w:rPr>
        <w:t xml:space="preserve">St’át’imc, </w:t>
      </w:r>
      <w:r w:rsidR="00427F31">
        <w:rPr>
          <w:rFonts w:ascii="Palatino Linotype" w:hAnsi="Palatino Linotype"/>
          <w:sz w:val="24"/>
          <w:szCs w:val="24"/>
        </w:rPr>
        <w:t xml:space="preserve">Líl’wat, </w:t>
      </w:r>
      <w:r w:rsidRPr="001842B9">
        <w:rPr>
          <w:rFonts w:ascii="Palatino Linotype" w:hAnsi="Palatino Linotype"/>
          <w:sz w:val="24"/>
          <w:szCs w:val="24"/>
        </w:rPr>
        <w:t xml:space="preserve">Nlakápamux, Secwepemc, Okanagan, Kutenai, Stölo, Musqueam, Katzie, Kwikwitlem, Tsawwassen, </w:t>
      </w:r>
      <w:r w:rsidR="001842B9">
        <w:rPr>
          <w:rFonts w:ascii="Palatino Linotype" w:hAnsi="Palatino Linotype"/>
          <w:sz w:val="24"/>
          <w:szCs w:val="24"/>
        </w:rPr>
        <w:t xml:space="preserve">Squamis, </w:t>
      </w:r>
      <w:r w:rsidRPr="001842B9">
        <w:rPr>
          <w:rFonts w:ascii="Palatino Linotype" w:hAnsi="Palatino Linotype"/>
          <w:sz w:val="24"/>
          <w:szCs w:val="24"/>
        </w:rPr>
        <w:t>Haida, Nootka, Tsimshian, Nuxalk, Heltsiuk, Tlinget, Carrier, Sekani, Tahltan, Kwagiulth, Den</w:t>
      </w:r>
      <w:r w:rsidR="001842B9">
        <w:rPr>
          <w:rFonts w:ascii="Palatino Linotype" w:hAnsi="Palatino Linotype"/>
          <w:sz w:val="24"/>
          <w:szCs w:val="24"/>
        </w:rPr>
        <w:t>é</w:t>
      </w:r>
      <w:r w:rsidRPr="001842B9">
        <w:rPr>
          <w:rFonts w:ascii="Palatino Linotype" w:hAnsi="Palatino Linotype"/>
          <w:sz w:val="24"/>
          <w:szCs w:val="24"/>
        </w:rPr>
        <w:t xml:space="preserve">, Cowichan, Nisga’a, Gitsxan, Wet’su’wetn, </w:t>
      </w:r>
      <w:r w:rsidR="001842B9">
        <w:rPr>
          <w:rFonts w:ascii="Palatino Linotype" w:hAnsi="Palatino Linotype"/>
          <w:sz w:val="24"/>
          <w:szCs w:val="24"/>
        </w:rPr>
        <w:t>Ojibwe</w:t>
      </w:r>
      <w:r w:rsidRPr="001842B9">
        <w:rPr>
          <w:rFonts w:ascii="Palatino Linotype" w:hAnsi="Palatino Linotype"/>
          <w:sz w:val="24"/>
          <w:szCs w:val="24"/>
        </w:rPr>
        <w:t>, Nuu-chah-nulth, Kwak’wakawak</w:t>
      </w:r>
      <w:r w:rsidR="001842B9">
        <w:rPr>
          <w:rFonts w:ascii="Palatino Linotype" w:hAnsi="Palatino Linotype"/>
          <w:sz w:val="24"/>
          <w:szCs w:val="24"/>
        </w:rPr>
        <w:t xml:space="preserve">, </w:t>
      </w:r>
      <w:r w:rsidR="001842B9" w:rsidRPr="001842B9">
        <w:rPr>
          <w:rFonts w:ascii="Palatino Linotype" w:eastAsia="Times New Roman" w:hAnsi="Palatino Linotype" w:cs="Arial"/>
          <w:color w:val="000000"/>
          <w:sz w:val="24"/>
          <w:szCs w:val="24"/>
        </w:rPr>
        <w:t xml:space="preserve">Abnaki, </w:t>
      </w:r>
      <w:r w:rsidR="001842B9">
        <w:rPr>
          <w:rFonts w:ascii="Palatino Linotype" w:eastAsia="Times New Roman" w:hAnsi="Palatino Linotype" w:cs="Arial"/>
          <w:color w:val="000000"/>
          <w:sz w:val="24"/>
          <w:szCs w:val="24"/>
        </w:rPr>
        <w:t>Cree, Mohawk, Algonquin, Tsilhqot’in, Sliammon, K’omoks, Atikamekw, Oneida, Onondaga, Ottawa, Assiniboine, Dakota, Gwich’in, Haisla, Innu, Kaska, Lakota, Potawatomi, Mi’kmaq, Sechelt, and Tutchone?</w:t>
      </w:r>
    </w:p>
    <w:p w14:paraId="2DA44E67" w14:textId="77777777" w:rsidR="001842B9" w:rsidRPr="001842B9" w:rsidRDefault="001842B9" w:rsidP="00C72B08">
      <w:pPr>
        <w:pStyle w:val="ListParagraph"/>
        <w:ind w:left="1080"/>
        <w:rPr>
          <w:rFonts w:ascii="Palatino Linotype" w:hAnsi="Palatino Linotype"/>
          <w:sz w:val="24"/>
          <w:szCs w:val="24"/>
        </w:rPr>
      </w:pPr>
    </w:p>
    <w:p w14:paraId="00F71244" w14:textId="2904E5B6" w:rsidR="00A75230" w:rsidRDefault="00A35A50" w:rsidP="00C72B08">
      <w:pPr>
        <w:pStyle w:val="ListParagraph"/>
        <w:ind w:left="1080"/>
        <w:rPr>
          <w:rFonts w:ascii="Palatino Linotype" w:hAnsi="Palatino Linotype"/>
          <w:sz w:val="24"/>
          <w:szCs w:val="24"/>
        </w:rPr>
      </w:pPr>
      <w:r>
        <w:rPr>
          <w:rFonts w:ascii="Palatino Linotype" w:hAnsi="Palatino Linotype"/>
          <w:b/>
          <w:sz w:val="24"/>
          <w:szCs w:val="24"/>
        </w:rPr>
        <w:t xml:space="preserve">Question: </w:t>
      </w:r>
      <w:r>
        <w:rPr>
          <w:rFonts w:ascii="Palatino Linotype" w:hAnsi="Palatino Linotype"/>
          <w:sz w:val="24"/>
          <w:szCs w:val="24"/>
        </w:rPr>
        <w:t>Why did Canada refuse the IACHR a meeting for a friendly settlement over the question of child and family jurisdiction by Líl’wat over Líl’wat families in Líl’wat homelands?</w:t>
      </w:r>
    </w:p>
    <w:p w14:paraId="7D072AA3" w14:textId="77777777" w:rsidR="00D235DC" w:rsidRDefault="00D235DC" w:rsidP="00C72B08">
      <w:pPr>
        <w:pStyle w:val="ListParagraph"/>
        <w:ind w:left="1080"/>
        <w:rPr>
          <w:rFonts w:ascii="Palatino Linotype" w:hAnsi="Palatino Linotype"/>
          <w:sz w:val="24"/>
          <w:szCs w:val="24"/>
        </w:rPr>
      </w:pPr>
    </w:p>
    <w:p w14:paraId="598456FA" w14:textId="77777777" w:rsidR="00D235DC" w:rsidRPr="00A35A50" w:rsidRDefault="00D235DC" w:rsidP="00C72B08">
      <w:pPr>
        <w:pStyle w:val="ListParagraph"/>
        <w:ind w:left="1080"/>
        <w:rPr>
          <w:rFonts w:ascii="Palatino Linotype" w:hAnsi="Palatino Linotype"/>
          <w:sz w:val="24"/>
          <w:szCs w:val="24"/>
        </w:rPr>
      </w:pPr>
    </w:p>
    <w:p w14:paraId="3F2F807F" w14:textId="77777777" w:rsidR="00677A2B" w:rsidRPr="00A75230" w:rsidRDefault="00677A2B" w:rsidP="00C72B08">
      <w:pPr>
        <w:pStyle w:val="ListParagraph"/>
        <w:ind w:left="1080"/>
        <w:rPr>
          <w:rFonts w:ascii="Palatino Linotype" w:hAnsi="Palatino Linotype"/>
          <w:b/>
          <w:sz w:val="24"/>
          <w:szCs w:val="24"/>
        </w:rPr>
      </w:pPr>
    </w:p>
    <w:p w14:paraId="5F0F8200" w14:textId="4AB49801" w:rsidR="00E475CB" w:rsidRPr="00677A2B" w:rsidRDefault="00C72B08" w:rsidP="00C72B08">
      <w:pPr>
        <w:rPr>
          <w:rFonts w:ascii="Palatino Linotype" w:hAnsi="Palatino Linotype"/>
          <w:sz w:val="26"/>
          <w:szCs w:val="26"/>
        </w:rPr>
      </w:pPr>
      <w:r w:rsidRPr="00677A2B">
        <w:rPr>
          <w:rFonts w:ascii="Palatino Linotype" w:hAnsi="Palatino Linotype"/>
          <w:b/>
          <w:sz w:val="26"/>
          <w:szCs w:val="26"/>
        </w:rPr>
        <w:lastRenderedPageBreak/>
        <w:t xml:space="preserve">       </w:t>
      </w:r>
      <w:r w:rsidR="00E83905" w:rsidRPr="00677A2B">
        <w:rPr>
          <w:rFonts w:ascii="Palatino Linotype" w:hAnsi="Palatino Linotype"/>
          <w:b/>
          <w:sz w:val="26"/>
          <w:szCs w:val="26"/>
        </w:rPr>
        <w:t>3</w:t>
      </w:r>
      <w:r w:rsidRPr="00677A2B">
        <w:rPr>
          <w:rFonts w:ascii="Palatino Linotype" w:hAnsi="Palatino Linotype"/>
          <w:b/>
          <w:sz w:val="26"/>
          <w:szCs w:val="26"/>
        </w:rPr>
        <w:t>. Free, prior, informed consent</w:t>
      </w:r>
      <w:r w:rsidR="00E83905" w:rsidRPr="00677A2B">
        <w:rPr>
          <w:rFonts w:ascii="Palatino Linotype" w:hAnsi="Palatino Linotype"/>
          <w:b/>
          <w:sz w:val="26"/>
          <w:szCs w:val="26"/>
        </w:rPr>
        <w:t xml:space="preserve"> of Indigenous Peoples affected by resource </w:t>
      </w:r>
      <w:r w:rsidR="00E83905" w:rsidRPr="00677A2B">
        <w:rPr>
          <w:rFonts w:ascii="Palatino Linotype" w:hAnsi="Palatino Linotype"/>
          <w:b/>
          <w:sz w:val="26"/>
          <w:szCs w:val="26"/>
        </w:rPr>
        <w:tab/>
      </w:r>
      <w:r w:rsidR="00E83905" w:rsidRPr="00677A2B">
        <w:rPr>
          <w:rFonts w:ascii="Palatino Linotype" w:hAnsi="Palatino Linotype"/>
          <w:b/>
          <w:sz w:val="26"/>
          <w:szCs w:val="26"/>
        </w:rPr>
        <w:tab/>
        <w:t>development projects</w:t>
      </w:r>
      <w:r w:rsidR="00B21C41">
        <w:rPr>
          <w:rFonts w:ascii="Palatino Linotype" w:hAnsi="Palatino Linotype"/>
          <w:b/>
          <w:sz w:val="26"/>
          <w:szCs w:val="26"/>
        </w:rPr>
        <w:t xml:space="preserve"> on or nearby their lands</w:t>
      </w:r>
    </w:p>
    <w:p w14:paraId="363163F5" w14:textId="56B02BA2" w:rsidR="004F5B96" w:rsidRDefault="004F5B96" w:rsidP="004F5B96">
      <w:pPr>
        <w:ind w:left="720"/>
        <w:rPr>
          <w:rFonts w:ascii="Palatino Linotype" w:hAnsi="Palatino Linotype"/>
          <w:sz w:val="24"/>
          <w:szCs w:val="24"/>
        </w:rPr>
      </w:pPr>
      <w:r>
        <w:rPr>
          <w:rFonts w:ascii="Palatino Linotype" w:hAnsi="Palatino Linotype"/>
          <w:sz w:val="24"/>
          <w:szCs w:val="24"/>
        </w:rPr>
        <w:t>Extreme poverty in many Indigenous communities is a direct result of more than a century of being deprived of their Peoples’ own means of subsistence.</w:t>
      </w:r>
      <w:r w:rsidRPr="004F3052">
        <w:rPr>
          <w:rFonts w:ascii="Palatino Linotype" w:hAnsi="Palatino Linotype"/>
          <w:sz w:val="24"/>
          <w:szCs w:val="24"/>
        </w:rPr>
        <w:t xml:space="preserve"> </w:t>
      </w:r>
      <w:r>
        <w:rPr>
          <w:rFonts w:ascii="Palatino Linotype" w:hAnsi="Palatino Linotype"/>
          <w:sz w:val="24"/>
          <w:szCs w:val="24"/>
        </w:rPr>
        <w:t>This deprivation is effected</w:t>
      </w:r>
      <w:r w:rsidRPr="004F3052">
        <w:rPr>
          <w:rFonts w:ascii="Palatino Linotype" w:hAnsi="Palatino Linotype"/>
          <w:sz w:val="24"/>
          <w:szCs w:val="24"/>
        </w:rPr>
        <w:t xml:space="preserve"> by extractive industries</w:t>
      </w:r>
      <w:r>
        <w:rPr>
          <w:rFonts w:ascii="Palatino Linotype" w:hAnsi="Palatino Linotype"/>
          <w:sz w:val="24"/>
          <w:szCs w:val="24"/>
        </w:rPr>
        <w:t xml:space="preserve"> logging and mining; hunters and trappers wiping out whole populations of animals essential to socio-economic practices; decimation of fisheries</w:t>
      </w:r>
      <w:r w:rsidR="005D7039">
        <w:rPr>
          <w:rFonts w:ascii="Palatino Linotype" w:hAnsi="Palatino Linotype"/>
          <w:sz w:val="24"/>
          <w:szCs w:val="24"/>
        </w:rPr>
        <w:t>; industrial agriculture overtaking sensitive and abundant ecosystems; hydroelectric development in bread-basket mountain valleys; urban development in watersheds</w:t>
      </w:r>
      <w:r>
        <w:rPr>
          <w:rFonts w:ascii="Palatino Linotype" w:hAnsi="Palatino Linotype"/>
          <w:sz w:val="24"/>
          <w:szCs w:val="24"/>
        </w:rPr>
        <w:t xml:space="preserve"> – all with licenses issued</w:t>
      </w:r>
      <w:r w:rsidRPr="004F3052">
        <w:rPr>
          <w:rFonts w:ascii="Palatino Linotype" w:hAnsi="Palatino Linotype"/>
          <w:sz w:val="24"/>
          <w:szCs w:val="24"/>
        </w:rPr>
        <w:t xml:space="preserve"> by Canada to operate on </w:t>
      </w:r>
      <w:r>
        <w:rPr>
          <w:rFonts w:ascii="Palatino Linotype" w:hAnsi="Palatino Linotype"/>
          <w:sz w:val="24"/>
          <w:szCs w:val="24"/>
        </w:rPr>
        <w:t>Indigenous title lands and without Indigenous Peoples’</w:t>
      </w:r>
      <w:r w:rsidRPr="004F3052">
        <w:rPr>
          <w:rFonts w:ascii="Palatino Linotype" w:hAnsi="Palatino Linotype"/>
          <w:sz w:val="24"/>
          <w:szCs w:val="24"/>
        </w:rPr>
        <w:t xml:space="preserve"> consent. Also</w:t>
      </w:r>
      <w:r>
        <w:rPr>
          <w:rFonts w:ascii="Palatino Linotype" w:hAnsi="Palatino Linotype"/>
          <w:sz w:val="24"/>
          <w:szCs w:val="24"/>
        </w:rPr>
        <w:t>,</w:t>
      </w:r>
      <w:r w:rsidRPr="004F3052">
        <w:rPr>
          <w:rFonts w:ascii="Palatino Linotype" w:hAnsi="Palatino Linotype"/>
          <w:sz w:val="24"/>
          <w:szCs w:val="24"/>
        </w:rPr>
        <w:t xml:space="preserve"> </w:t>
      </w:r>
      <w:r>
        <w:rPr>
          <w:rFonts w:ascii="Palatino Linotype" w:hAnsi="Palatino Linotype"/>
          <w:sz w:val="24"/>
          <w:szCs w:val="24"/>
        </w:rPr>
        <w:t>Indigenous Peoples are</w:t>
      </w:r>
      <w:r w:rsidRPr="004F3052">
        <w:rPr>
          <w:rFonts w:ascii="Palatino Linotype" w:hAnsi="Palatino Linotype"/>
          <w:sz w:val="24"/>
          <w:szCs w:val="24"/>
        </w:rPr>
        <w:t xml:space="preserve"> not free to dispose of </w:t>
      </w:r>
      <w:r>
        <w:rPr>
          <w:rFonts w:ascii="Palatino Linotype" w:hAnsi="Palatino Linotype"/>
          <w:sz w:val="24"/>
          <w:szCs w:val="24"/>
        </w:rPr>
        <w:t>their</w:t>
      </w:r>
      <w:r w:rsidRPr="004F3052">
        <w:rPr>
          <w:rFonts w:ascii="Palatino Linotype" w:hAnsi="Palatino Linotype"/>
          <w:sz w:val="24"/>
          <w:szCs w:val="24"/>
        </w:rPr>
        <w:t xml:space="preserve"> natural wealth, as this too is mainly conserved for extractive industries </w:t>
      </w:r>
      <w:r w:rsidR="00AD401A">
        <w:rPr>
          <w:rFonts w:ascii="Palatino Linotype" w:hAnsi="Palatino Linotype"/>
          <w:sz w:val="24"/>
          <w:szCs w:val="24"/>
        </w:rPr>
        <w:t xml:space="preserve">and the concerns noted above, </w:t>
      </w:r>
      <w:r w:rsidRPr="004F3052">
        <w:rPr>
          <w:rFonts w:ascii="Palatino Linotype" w:hAnsi="Palatino Linotype"/>
          <w:sz w:val="24"/>
          <w:szCs w:val="24"/>
        </w:rPr>
        <w:t xml:space="preserve">licensed by Canada – and when </w:t>
      </w:r>
      <w:r>
        <w:rPr>
          <w:rFonts w:ascii="Palatino Linotype" w:hAnsi="Palatino Linotype"/>
          <w:sz w:val="24"/>
          <w:szCs w:val="24"/>
        </w:rPr>
        <w:t>Indigenous P</w:t>
      </w:r>
      <w:r w:rsidRPr="004F3052">
        <w:rPr>
          <w:rFonts w:ascii="Palatino Linotype" w:hAnsi="Palatino Linotype"/>
          <w:sz w:val="24"/>
          <w:szCs w:val="24"/>
        </w:rPr>
        <w:t>eople</w:t>
      </w:r>
      <w:r>
        <w:rPr>
          <w:rFonts w:ascii="Palatino Linotype" w:hAnsi="Palatino Linotype"/>
          <w:sz w:val="24"/>
          <w:szCs w:val="24"/>
        </w:rPr>
        <w:t>s</w:t>
      </w:r>
      <w:r w:rsidRPr="004F3052">
        <w:rPr>
          <w:rFonts w:ascii="Palatino Linotype" w:hAnsi="Palatino Linotype"/>
          <w:sz w:val="24"/>
          <w:szCs w:val="24"/>
        </w:rPr>
        <w:t xml:space="preserve"> attempt to use their own resources, such as trees, </w:t>
      </w:r>
      <w:r w:rsidR="00427F31">
        <w:rPr>
          <w:rFonts w:ascii="Palatino Linotype" w:hAnsi="Palatino Linotype"/>
          <w:sz w:val="24"/>
          <w:szCs w:val="24"/>
        </w:rPr>
        <w:t xml:space="preserve">minerals, </w:t>
      </w:r>
      <w:r>
        <w:rPr>
          <w:rFonts w:ascii="Palatino Linotype" w:hAnsi="Palatino Linotype"/>
          <w:sz w:val="24"/>
          <w:szCs w:val="24"/>
        </w:rPr>
        <w:t>salmon, deer or plants</w:t>
      </w:r>
      <w:r w:rsidRPr="004F3052">
        <w:rPr>
          <w:rFonts w:ascii="Palatino Linotype" w:hAnsi="Palatino Linotype"/>
          <w:sz w:val="24"/>
          <w:szCs w:val="24"/>
        </w:rPr>
        <w:t xml:space="preserve">, they are </w:t>
      </w:r>
      <w:r>
        <w:rPr>
          <w:rFonts w:ascii="Palatino Linotype" w:hAnsi="Palatino Linotype"/>
          <w:sz w:val="24"/>
          <w:szCs w:val="24"/>
        </w:rPr>
        <w:t xml:space="preserve">routinely </w:t>
      </w:r>
      <w:r w:rsidRPr="004F3052">
        <w:rPr>
          <w:rFonts w:ascii="Palatino Linotype" w:hAnsi="Palatino Linotype"/>
          <w:sz w:val="24"/>
          <w:szCs w:val="24"/>
        </w:rPr>
        <w:t>prosecuted by the state</w:t>
      </w:r>
      <w:r>
        <w:rPr>
          <w:rStyle w:val="FootnoteReference"/>
          <w:rFonts w:ascii="Palatino Linotype" w:hAnsi="Palatino Linotype"/>
          <w:sz w:val="24"/>
          <w:szCs w:val="24"/>
        </w:rPr>
        <w:footnoteReference w:id="15"/>
      </w:r>
      <w:r>
        <w:rPr>
          <w:rFonts w:ascii="Palatino Linotype" w:hAnsi="Palatino Linotype"/>
          <w:sz w:val="24"/>
          <w:szCs w:val="24"/>
        </w:rPr>
        <w:t xml:space="preserve"> unless they are harvesting according to a state-issue license</w:t>
      </w:r>
      <w:r w:rsidRPr="004F3052">
        <w:rPr>
          <w:rFonts w:ascii="Palatino Linotype" w:hAnsi="Palatino Linotype"/>
          <w:sz w:val="24"/>
          <w:szCs w:val="24"/>
        </w:rPr>
        <w:t xml:space="preserve">. </w:t>
      </w:r>
    </w:p>
    <w:p w14:paraId="1FD49050" w14:textId="02D39C5E" w:rsidR="004F5B96" w:rsidRPr="004F3052" w:rsidRDefault="004F5B96" w:rsidP="004F5B96">
      <w:pPr>
        <w:ind w:left="720"/>
        <w:rPr>
          <w:rFonts w:ascii="Palatino Linotype" w:hAnsi="Palatino Linotype"/>
          <w:sz w:val="24"/>
          <w:szCs w:val="24"/>
        </w:rPr>
      </w:pPr>
      <w:r>
        <w:rPr>
          <w:rFonts w:ascii="Palatino Linotype" w:hAnsi="Palatino Linotype"/>
          <w:sz w:val="24"/>
          <w:szCs w:val="24"/>
        </w:rPr>
        <w:t>In the context of this manufactured poverty, the state makes</w:t>
      </w:r>
      <w:r w:rsidRPr="004F3052">
        <w:rPr>
          <w:rFonts w:ascii="Palatino Linotype" w:hAnsi="Palatino Linotype"/>
          <w:sz w:val="24"/>
          <w:szCs w:val="24"/>
        </w:rPr>
        <w:t xml:space="preserve"> financial resources available </w:t>
      </w:r>
      <w:r>
        <w:rPr>
          <w:rFonts w:ascii="Palatino Linotype" w:hAnsi="Palatino Linotype"/>
          <w:sz w:val="24"/>
          <w:szCs w:val="24"/>
        </w:rPr>
        <w:t>for housing, education, food rations, welfare as</w:t>
      </w:r>
      <w:r w:rsidR="00383BF2">
        <w:rPr>
          <w:rFonts w:ascii="Palatino Linotype" w:hAnsi="Palatino Linotype"/>
          <w:sz w:val="24"/>
          <w:szCs w:val="24"/>
        </w:rPr>
        <w:t>sistance,</w:t>
      </w:r>
      <w:r>
        <w:rPr>
          <w:rFonts w:ascii="Palatino Linotype" w:hAnsi="Palatino Linotype"/>
          <w:sz w:val="24"/>
          <w:szCs w:val="24"/>
        </w:rPr>
        <w:t xml:space="preserve"> limited healthcare </w:t>
      </w:r>
      <w:r w:rsidR="00383BF2">
        <w:rPr>
          <w:rFonts w:ascii="Palatino Linotype" w:hAnsi="Palatino Linotype"/>
          <w:sz w:val="24"/>
          <w:szCs w:val="24"/>
        </w:rPr>
        <w:t xml:space="preserve">and various occasional programs </w:t>
      </w:r>
      <w:r>
        <w:rPr>
          <w:rFonts w:ascii="Palatino Linotype" w:hAnsi="Palatino Linotype"/>
          <w:sz w:val="24"/>
          <w:szCs w:val="24"/>
        </w:rPr>
        <w:t xml:space="preserve">through </w:t>
      </w:r>
      <w:r w:rsidRPr="004F3052">
        <w:rPr>
          <w:rFonts w:ascii="Palatino Linotype" w:hAnsi="Palatino Linotype"/>
          <w:sz w:val="24"/>
          <w:szCs w:val="24"/>
        </w:rPr>
        <w:t>Band Council administration</w:t>
      </w:r>
      <w:r>
        <w:rPr>
          <w:rFonts w:ascii="Palatino Linotype" w:hAnsi="Palatino Linotype"/>
          <w:sz w:val="24"/>
          <w:szCs w:val="24"/>
        </w:rPr>
        <w:t>s,</w:t>
      </w:r>
      <w:r w:rsidRPr="004F3052">
        <w:rPr>
          <w:rFonts w:ascii="Palatino Linotype" w:hAnsi="Palatino Linotype"/>
          <w:sz w:val="24"/>
          <w:szCs w:val="24"/>
        </w:rPr>
        <w:t xml:space="preserve"> according to the state’s priorities.</w:t>
      </w:r>
    </w:p>
    <w:p w14:paraId="38B10C87" w14:textId="59074B6D" w:rsidR="004F5B96" w:rsidRDefault="004F5B96" w:rsidP="004F5B96">
      <w:pPr>
        <w:ind w:left="720"/>
        <w:rPr>
          <w:rFonts w:ascii="Palatino Linotype" w:hAnsi="Palatino Linotype"/>
          <w:sz w:val="24"/>
          <w:szCs w:val="24"/>
        </w:rPr>
      </w:pPr>
      <w:r>
        <w:rPr>
          <w:rFonts w:ascii="Palatino Linotype" w:hAnsi="Palatino Linotype"/>
          <w:sz w:val="24"/>
          <w:szCs w:val="24"/>
        </w:rPr>
        <w:t xml:space="preserve">One of these funded program priorities now involves consultation and accommodation. In many, many cases, Indigenous individuals participate in and share their valuable knowledge with extractive industries and state actors in a “consultation” process and are paid to do so. Considering unemployment in many rural indigenous communities is upwards of 85%, these economic opportunities are almost always accepted. </w:t>
      </w:r>
      <w:r w:rsidR="00AD401A">
        <w:rPr>
          <w:rFonts w:ascii="Palatino Linotype" w:hAnsi="Palatino Linotype"/>
          <w:sz w:val="24"/>
          <w:szCs w:val="24"/>
        </w:rPr>
        <w:t xml:space="preserve">Consultations with Indigenous Peoples are usually the very last stage of development. </w:t>
      </w:r>
      <w:r>
        <w:rPr>
          <w:rFonts w:ascii="Palatino Linotype" w:hAnsi="Palatino Linotype"/>
          <w:sz w:val="24"/>
          <w:szCs w:val="24"/>
        </w:rPr>
        <w:t>The results of consultations, however, are often resented by the people who complied with the proceedings.</w:t>
      </w:r>
      <w:r w:rsidR="00383BF2" w:rsidRPr="00383BF2">
        <w:rPr>
          <w:rFonts w:ascii="Palatino Linotype" w:hAnsi="Palatino Linotype"/>
          <w:sz w:val="24"/>
          <w:szCs w:val="24"/>
        </w:rPr>
        <w:t xml:space="preserve"> </w:t>
      </w:r>
      <w:r w:rsidR="00383BF2">
        <w:rPr>
          <w:rFonts w:ascii="Palatino Linotype" w:hAnsi="Palatino Linotype"/>
          <w:sz w:val="24"/>
          <w:szCs w:val="24"/>
        </w:rPr>
        <w:t>Once consultation has occurred, however, an Indigenous community’s rights to recourse are limited to litigation</w:t>
      </w:r>
      <w:r w:rsidR="00383BF2">
        <w:rPr>
          <w:rStyle w:val="FootnoteReference"/>
          <w:rFonts w:ascii="Palatino Linotype" w:hAnsi="Palatino Linotype"/>
          <w:sz w:val="24"/>
          <w:szCs w:val="24"/>
        </w:rPr>
        <w:t xml:space="preserve"> </w:t>
      </w:r>
      <w:r w:rsidR="00383BF2">
        <w:rPr>
          <w:rFonts w:ascii="Palatino Linotype" w:hAnsi="Palatino Linotype"/>
          <w:sz w:val="24"/>
          <w:szCs w:val="24"/>
        </w:rPr>
        <w:t>.</w:t>
      </w:r>
      <w:r w:rsidR="0059218E">
        <w:rPr>
          <w:rStyle w:val="FootnoteReference"/>
          <w:rFonts w:ascii="Palatino Linotype" w:hAnsi="Palatino Linotype"/>
          <w:sz w:val="24"/>
          <w:szCs w:val="24"/>
        </w:rPr>
        <w:footnoteReference w:id="16"/>
      </w:r>
    </w:p>
    <w:p w14:paraId="6B2A4919" w14:textId="03D208A5" w:rsidR="00383BF2" w:rsidRDefault="00383BF2" w:rsidP="004F5B96">
      <w:pPr>
        <w:ind w:left="720"/>
        <w:rPr>
          <w:rFonts w:ascii="Palatino Linotype" w:hAnsi="Palatino Linotype"/>
          <w:sz w:val="24"/>
          <w:szCs w:val="24"/>
        </w:rPr>
      </w:pPr>
      <w:r>
        <w:rPr>
          <w:rFonts w:ascii="Palatino Linotype" w:hAnsi="Palatino Linotype"/>
          <w:sz w:val="24"/>
          <w:szCs w:val="24"/>
        </w:rPr>
        <w:lastRenderedPageBreak/>
        <w:t xml:space="preserve">Canada does not </w:t>
      </w:r>
      <w:r w:rsidR="00B21C41">
        <w:rPr>
          <w:rFonts w:ascii="Palatino Linotype" w:hAnsi="Palatino Linotype"/>
          <w:sz w:val="24"/>
          <w:szCs w:val="24"/>
        </w:rPr>
        <w:t xml:space="preserve">engage in processes characterized (literally or in effect) by free, prior and informed consent. </w:t>
      </w:r>
    </w:p>
    <w:p w14:paraId="7B3A6B1C" w14:textId="77777777" w:rsidR="004F5B96" w:rsidRPr="004F3052" w:rsidRDefault="004F5B96" w:rsidP="004F5B96">
      <w:pPr>
        <w:rPr>
          <w:rFonts w:ascii="Palatino Linotype" w:hAnsi="Palatino Linotype"/>
          <w:sz w:val="24"/>
          <w:szCs w:val="24"/>
        </w:rPr>
      </w:pPr>
    </w:p>
    <w:p w14:paraId="0B2C09BC" w14:textId="0FE4E23B" w:rsidR="004F5B96" w:rsidRDefault="004F5B96" w:rsidP="00B21C41">
      <w:pPr>
        <w:ind w:left="720"/>
        <w:rPr>
          <w:rFonts w:ascii="Palatino Linotype" w:hAnsi="Palatino Linotype"/>
          <w:sz w:val="24"/>
          <w:szCs w:val="24"/>
        </w:rPr>
      </w:pPr>
      <w:r>
        <w:rPr>
          <w:rFonts w:ascii="Palatino Linotype" w:hAnsi="Palatino Linotype"/>
          <w:b/>
          <w:sz w:val="24"/>
          <w:szCs w:val="24"/>
        </w:rPr>
        <w:t xml:space="preserve">Question: </w:t>
      </w:r>
      <w:r w:rsidRPr="00A73A73">
        <w:rPr>
          <w:rFonts w:ascii="Palatino Linotype" w:hAnsi="Palatino Linotype"/>
          <w:sz w:val="24"/>
          <w:szCs w:val="24"/>
        </w:rPr>
        <w:t>Please comment on the criminalization of Indigenous Peoples who attempt to preserve their own means of subsistence</w:t>
      </w:r>
      <w:r w:rsidR="00383BF2" w:rsidRPr="00A73A73">
        <w:rPr>
          <w:rFonts w:ascii="Palatino Linotype" w:hAnsi="Palatino Linotype"/>
          <w:sz w:val="24"/>
          <w:szCs w:val="24"/>
        </w:rPr>
        <w:t xml:space="preserve"> from destruction by state licensed industries,</w:t>
      </w:r>
      <w:r w:rsidRPr="00A73A73">
        <w:rPr>
          <w:rFonts w:ascii="Palatino Linotype" w:hAnsi="Palatino Linotype"/>
          <w:sz w:val="24"/>
          <w:szCs w:val="24"/>
        </w:rPr>
        <w:t xml:space="preserve"> and </w:t>
      </w:r>
      <w:r w:rsidR="00B21C41" w:rsidRPr="00A73A73">
        <w:rPr>
          <w:rFonts w:ascii="Palatino Linotype" w:hAnsi="Palatino Linotype"/>
          <w:sz w:val="24"/>
          <w:szCs w:val="24"/>
        </w:rPr>
        <w:t xml:space="preserve">criminalization of those </w:t>
      </w:r>
      <w:r w:rsidRPr="00A73A73">
        <w:rPr>
          <w:rFonts w:ascii="Palatino Linotype" w:hAnsi="Palatino Linotype"/>
          <w:sz w:val="24"/>
          <w:szCs w:val="24"/>
        </w:rPr>
        <w:t>who attempt to access and use their natural wealth.</w:t>
      </w:r>
    </w:p>
    <w:p w14:paraId="5AC7A26F" w14:textId="3697D242" w:rsidR="00A73A73" w:rsidRPr="00A73A73" w:rsidRDefault="00A73A73" w:rsidP="00B21C41">
      <w:pPr>
        <w:ind w:left="720"/>
        <w:rPr>
          <w:rFonts w:ascii="Palatino Linotype" w:hAnsi="Palatino Linotype"/>
          <w:sz w:val="24"/>
          <w:szCs w:val="24"/>
        </w:rPr>
      </w:pPr>
      <w:r>
        <w:rPr>
          <w:rFonts w:ascii="Palatino Linotype" w:hAnsi="Palatino Linotype"/>
          <w:b/>
          <w:sz w:val="24"/>
          <w:szCs w:val="24"/>
        </w:rPr>
        <w:t xml:space="preserve">Question: </w:t>
      </w:r>
      <w:r>
        <w:rPr>
          <w:rFonts w:ascii="Palatino Linotype" w:hAnsi="Palatino Linotype"/>
          <w:sz w:val="24"/>
          <w:szCs w:val="24"/>
        </w:rPr>
        <w:t>Please comment on Canada’s practice of licensing industry and development in lands where Canada has no treaty with the Indigenous title holders.</w:t>
      </w:r>
    </w:p>
    <w:p w14:paraId="21F103F4" w14:textId="77777777" w:rsidR="004F5B96" w:rsidRDefault="004F5B96" w:rsidP="00843B9E">
      <w:pPr>
        <w:rPr>
          <w:rFonts w:ascii="Palatino Linotype" w:hAnsi="Palatino Linotype"/>
          <w:sz w:val="24"/>
          <w:szCs w:val="24"/>
        </w:rPr>
      </w:pPr>
    </w:p>
    <w:p w14:paraId="295EDC90" w14:textId="0E9B6415" w:rsidR="00BB3B0F" w:rsidRPr="00843B9E" w:rsidRDefault="00BB3B0F" w:rsidP="00843B9E">
      <w:pPr>
        <w:rPr>
          <w:rFonts w:ascii="Palatino Linotype" w:hAnsi="Palatino Linotype"/>
          <w:sz w:val="24"/>
          <w:szCs w:val="24"/>
        </w:rPr>
      </w:pPr>
    </w:p>
    <w:p w14:paraId="358BFD6E" w14:textId="035190BD" w:rsidR="00334000" w:rsidRPr="00383BF2" w:rsidRDefault="00334000" w:rsidP="00334000">
      <w:pPr>
        <w:rPr>
          <w:rFonts w:ascii="Palatino Linotype" w:hAnsi="Palatino Linotype"/>
          <w:b/>
          <w:sz w:val="28"/>
          <w:szCs w:val="28"/>
        </w:rPr>
      </w:pPr>
    </w:p>
    <w:sectPr w:rsidR="00334000" w:rsidRPr="00383BF2" w:rsidSect="00530BB1">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0EF91" w14:textId="77777777" w:rsidR="00194A73" w:rsidRDefault="00194A73" w:rsidP="000D197C">
      <w:pPr>
        <w:spacing w:after="0" w:line="240" w:lineRule="auto"/>
      </w:pPr>
      <w:r>
        <w:separator/>
      </w:r>
    </w:p>
  </w:endnote>
  <w:endnote w:type="continuationSeparator" w:id="0">
    <w:p w14:paraId="1D0CE57A" w14:textId="77777777" w:rsidR="00194A73" w:rsidRDefault="00194A73" w:rsidP="000D1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2055908"/>
      <w:docPartObj>
        <w:docPartGallery w:val="Page Numbers (Bottom of Page)"/>
        <w:docPartUnique/>
      </w:docPartObj>
    </w:sdtPr>
    <w:sdtEndPr>
      <w:rPr>
        <w:color w:val="7F7F7F" w:themeColor="background1" w:themeShade="7F"/>
        <w:spacing w:val="60"/>
      </w:rPr>
    </w:sdtEndPr>
    <w:sdtContent>
      <w:p w14:paraId="339F70AD" w14:textId="74E11D6D" w:rsidR="004B4857" w:rsidRDefault="004B485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B5466" w:rsidRPr="008B5466">
          <w:rPr>
            <w:b/>
            <w:bCs/>
            <w:noProof/>
          </w:rPr>
          <w:t>10</w:t>
        </w:r>
        <w:r>
          <w:rPr>
            <w:b/>
            <w:bCs/>
            <w:noProof/>
          </w:rPr>
          <w:fldChar w:fldCharType="end"/>
        </w:r>
        <w:r>
          <w:rPr>
            <w:b/>
            <w:bCs/>
          </w:rPr>
          <w:t xml:space="preserve"> | </w:t>
        </w:r>
        <w:r>
          <w:rPr>
            <w:color w:val="7F7F7F" w:themeColor="background1" w:themeShade="7F"/>
            <w:spacing w:val="60"/>
          </w:rPr>
          <w:t>CESCR - Canada 2016</w:t>
        </w:r>
        <w:r w:rsidR="00397B4B">
          <w:rPr>
            <w:color w:val="7F7F7F" w:themeColor="background1" w:themeShade="7F"/>
            <w:spacing w:val="60"/>
          </w:rPr>
          <w:t xml:space="preserve">             Parallel Report prepared by IHRAAM</w:t>
        </w:r>
      </w:p>
    </w:sdtContent>
  </w:sdt>
  <w:p w14:paraId="06B260E3" w14:textId="77777777" w:rsidR="004B4857" w:rsidRDefault="004B48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48896" w14:textId="77777777" w:rsidR="00194A73" w:rsidRDefault="00194A73" w:rsidP="000D197C">
      <w:pPr>
        <w:spacing w:after="0" w:line="240" w:lineRule="auto"/>
      </w:pPr>
      <w:r>
        <w:separator/>
      </w:r>
    </w:p>
  </w:footnote>
  <w:footnote w:type="continuationSeparator" w:id="0">
    <w:p w14:paraId="10801CF0" w14:textId="77777777" w:rsidR="00194A73" w:rsidRDefault="00194A73" w:rsidP="000D197C">
      <w:pPr>
        <w:spacing w:after="0" w:line="240" w:lineRule="auto"/>
      </w:pPr>
      <w:r>
        <w:continuationSeparator/>
      </w:r>
    </w:p>
  </w:footnote>
  <w:footnote w:id="1">
    <w:p w14:paraId="6D067C4B" w14:textId="2D5B745F" w:rsidR="004B4857" w:rsidRPr="00687C3B" w:rsidRDefault="004B4857" w:rsidP="00687C3B">
      <w:pPr>
        <w:shd w:val="clear" w:color="auto" w:fill="FFFFFF"/>
        <w:ind w:left="600"/>
        <w:rPr>
          <w:rFonts w:ascii="Arial" w:eastAsia="Times New Roman" w:hAnsi="Arial" w:cs="Arial"/>
          <w:color w:val="000000"/>
          <w:sz w:val="21"/>
          <w:szCs w:val="21"/>
        </w:rPr>
      </w:pPr>
      <w:r>
        <w:rPr>
          <w:rStyle w:val="FootnoteReference"/>
        </w:rPr>
        <w:footnoteRef/>
      </w:r>
      <w:r>
        <w:t xml:space="preserve"> The right of the “Tribal Nations” or “Indian Allies” to complete autonomy on their own lands, reserved for them against Canada by Britain, is guaranteed in Section 25 of the Canadian Constitution Act, 1982: </w:t>
      </w:r>
      <w:r w:rsidRPr="00687C3B">
        <w:rPr>
          <w:sz w:val="20"/>
          <w:szCs w:val="20"/>
        </w:rPr>
        <w:t>“</w:t>
      </w:r>
      <w:r w:rsidRPr="00687C3B">
        <w:rPr>
          <w:rFonts w:eastAsia="Times New Roman" w:cs="Arial"/>
          <w:bCs/>
          <w:color w:val="000000"/>
          <w:sz w:val="20"/>
          <w:szCs w:val="20"/>
        </w:rPr>
        <w:t xml:space="preserve">The guarantee in this Charter of certain rights and freedoms shall not be construed so as to abrogate or derogate from any </w:t>
      </w:r>
      <w:r w:rsidR="00D84B4B">
        <w:rPr>
          <w:rFonts w:eastAsia="Times New Roman" w:cs="Arial"/>
          <w:bCs/>
          <w:color w:val="000000"/>
          <w:sz w:val="20"/>
          <w:szCs w:val="20"/>
        </w:rPr>
        <w:t>Aboriginal</w:t>
      </w:r>
      <w:r w:rsidRPr="00687C3B">
        <w:rPr>
          <w:rFonts w:eastAsia="Times New Roman" w:cs="Arial"/>
          <w:bCs/>
          <w:color w:val="000000"/>
          <w:sz w:val="20"/>
          <w:szCs w:val="20"/>
        </w:rPr>
        <w:t xml:space="preserve">, treaty or other rights or freedoms that pertain to the </w:t>
      </w:r>
      <w:r w:rsidR="00D84B4B">
        <w:rPr>
          <w:rFonts w:eastAsia="Times New Roman" w:cs="Arial"/>
          <w:bCs/>
          <w:color w:val="000000"/>
          <w:sz w:val="20"/>
          <w:szCs w:val="20"/>
        </w:rPr>
        <w:t>Aboriginal</w:t>
      </w:r>
      <w:r w:rsidRPr="00687C3B">
        <w:rPr>
          <w:rFonts w:eastAsia="Times New Roman" w:cs="Arial"/>
          <w:bCs/>
          <w:color w:val="000000"/>
          <w:sz w:val="20"/>
          <w:szCs w:val="20"/>
        </w:rPr>
        <w:t xml:space="preserve"> peoples of Canada </w:t>
      </w:r>
      <w:r>
        <w:rPr>
          <w:rFonts w:eastAsia="Times New Roman" w:cs="Arial"/>
          <w:bCs/>
          <w:color w:val="000000"/>
          <w:sz w:val="20"/>
          <w:szCs w:val="20"/>
        </w:rPr>
        <w:t>including</w:t>
      </w:r>
      <w:r w:rsidRPr="00687C3B">
        <w:rPr>
          <w:rFonts w:eastAsia="Times New Roman" w:cs="Arial"/>
          <w:bCs/>
          <w:color w:val="000000"/>
          <w:sz w:val="20"/>
          <w:szCs w:val="20"/>
        </w:rPr>
        <w:br/>
        <w:t>(a) any rights or freedoms that have been recognized by the Royal Proclamation of </w:t>
      </w:r>
      <w:r>
        <w:rPr>
          <w:rFonts w:eastAsia="Times New Roman" w:cs="Arial"/>
          <w:bCs/>
          <w:color w:val="000000"/>
          <w:sz w:val="20"/>
          <w:szCs w:val="20"/>
        </w:rPr>
        <w:t>October 7, 1763”</w:t>
      </w:r>
    </w:p>
    <w:p w14:paraId="365FB8CE" w14:textId="01254EA4" w:rsidR="004B4857" w:rsidRDefault="004B4857">
      <w:pPr>
        <w:pStyle w:val="FootnoteText"/>
      </w:pPr>
    </w:p>
  </w:footnote>
  <w:footnote w:id="2">
    <w:p w14:paraId="47E41F09" w14:textId="739589B0" w:rsidR="004B4857" w:rsidRPr="0063595E" w:rsidRDefault="004B4857">
      <w:pPr>
        <w:pStyle w:val="FootnoteText"/>
      </w:pPr>
      <w:r>
        <w:rPr>
          <w:rStyle w:val="FootnoteReference"/>
        </w:rPr>
        <w:footnoteRef/>
      </w:r>
      <w:r>
        <w:t xml:space="preserve"> </w:t>
      </w:r>
      <w:r>
        <w:rPr>
          <w:i/>
        </w:rPr>
        <w:t xml:space="preserve">R. v. Douglas et al, </w:t>
      </w:r>
      <w:r>
        <w:t>British Columbia Court of Appeal 265, 2007</w:t>
      </w:r>
    </w:p>
  </w:footnote>
  <w:footnote w:id="3">
    <w:p w14:paraId="2344AD0F" w14:textId="3CFAE7AA" w:rsidR="009B4E22" w:rsidRDefault="009B4E22">
      <w:pPr>
        <w:pStyle w:val="FootnoteText"/>
      </w:pPr>
      <w:r>
        <w:rPr>
          <w:rStyle w:val="FootnoteReference"/>
        </w:rPr>
        <w:footnoteRef/>
      </w:r>
      <w:r>
        <w:t xml:space="preserve"> </w:t>
      </w:r>
      <w:r w:rsidRPr="009B4E22">
        <w:t>(CCPR/C/CAN/Q/6/Add.1)</w:t>
      </w:r>
    </w:p>
  </w:footnote>
  <w:footnote w:id="4">
    <w:p w14:paraId="7A415C85" w14:textId="23770519" w:rsidR="004B4857" w:rsidRPr="0063595E" w:rsidRDefault="004B4857" w:rsidP="0063595E">
      <w:pPr>
        <w:shd w:val="clear" w:color="auto" w:fill="FFFFFF"/>
        <w:autoSpaceDE w:val="0"/>
        <w:autoSpaceDN w:val="0"/>
        <w:spacing w:after="0" w:line="240" w:lineRule="auto"/>
        <w:jc w:val="both"/>
        <w:rPr>
          <w:rFonts w:ascii="Times New Roman" w:eastAsia="Times New Roman" w:hAnsi="Times New Roman"/>
          <w:color w:val="3A3A3A"/>
          <w:sz w:val="24"/>
          <w:szCs w:val="24"/>
        </w:rPr>
      </w:pPr>
      <w:r>
        <w:rPr>
          <w:rStyle w:val="FootnoteReference"/>
        </w:rPr>
        <w:footnoteRef/>
      </w:r>
      <w:r>
        <w:t xml:space="preserve"> </w:t>
      </w:r>
      <w:r w:rsidRPr="0063595E">
        <w:rPr>
          <w:rFonts w:eastAsia="Times New Roman"/>
          <w:sz w:val="20"/>
          <w:szCs w:val="20"/>
        </w:rPr>
        <w:t xml:space="preserve">Delgamuukw </w:t>
      </w:r>
      <w:r w:rsidRPr="0063595E">
        <w:rPr>
          <w:rFonts w:eastAsia="Times New Roman"/>
          <w:i/>
          <w:iCs/>
          <w:sz w:val="20"/>
          <w:szCs w:val="20"/>
        </w:rPr>
        <w:t>v</w:t>
      </w:r>
      <w:r w:rsidRPr="0063595E">
        <w:rPr>
          <w:rFonts w:eastAsia="Times New Roman"/>
          <w:sz w:val="20"/>
          <w:szCs w:val="20"/>
        </w:rPr>
        <w:t>. British Columbia, [1997] 3 S.C.R. 1010</w:t>
      </w:r>
      <w:bookmarkStart w:id="0" w:name="QuickMark"/>
      <w:bookmarkEnd w:id="0"/>
      <w:r w:rsidRPr="0063595E">
        <w:rPr>
          <w:rFonts w:eastAsia="Times New Roman"/>
          <w:sz w:val="20"/>
          <w:szCs w:val="20"/>
        </w:rPr>
        <w:t>, page 8, “</w:t>
      </w:r>
      <w:r w:rsidRPr="0063595E">
        <w:rPr>
          <w:rFonts w:eastAsia="Times New Roman"/>
          <w:i/>
          <w:iCs/>
          <w:sz w:val="20"/>
          <w:szCs w:val="20"/>
        </w:rPr>
        <w:t xml:space="preserve">Infringements of </w:t>
      </w:r>
      <w:r w:rsidR="00D84B4B">
        <w:rPr>
          <w:rFonts w:eastAsia="Times New Roman"/>
          <w:i/>
          <w:iCs/>
          <w:sz w:val="20"/>
          <w:szCs w:val="20"/>
        </w:rPr>
        <w:t>Aboriginal</w:t>
      </w:r>
      <w:r w:rsidRPr="0063595E">
        <w:rPr>
          <w:rFonts w:eastAsia="Times New Roman"/>
          <w:i/>
          <w:iCs/>
          <w:sz w:val="20"/>
          <w:szCs w:val="20"/>
        </w:rPr>
        <w:t xml:space="preserve"> Title:  The Test of Justification”</w:t>
      </w:r>
    </w:p>
  </w:footnote>
  <w:footnote w:id="5">
    <w:p w14:paraId="7C1BBCB2" w14:textId="5605B5C5" w:rsidR="004B4857" w:rsidRDefault="004B4857">
      <w:pPr>
        <w:pStyle w:val="FootnoteText"/>
      </w:pPr>
      <w:r>
        <w:rPr>
          <w:rStyle w:val="FootnoteReference"/>
        </w:rPr>
        <w:footnoteRef/>
      </w:r>
      <w:r>
        <w:t xml:space="preserve"> </w:t>
      </w:r>
      <w:r w:rsidRPr="00B57E72">
        <w:t xml:space="preserve">See: </w:t>
      </w:r>
      <w:r>
        <w:rPr>
          <w:b/>
        </w:rPr>
        <w:t>“</w:t>
      </w:r>
      <w:r>
        <w:rPr>
          <w:rFonts w:cs="Arial"/>
          <w:color w:val="000000"/>
        </w:rPr>
        <w:t xml:space="preserve">The Crown's Fiduciary </w:t>
      </w:r>
      <w:r w:rsidRPr="0063595E">
        <w:rPr>
          <w:rFonts w:cs="Arial"/>
          <w:bCs/>
          <w:color w:val="000000"/>
        </w:rPr>
        <w:t xml:space="preserve">Relationship </w:t>
      </w:r>
      <w:r w:rsidRPr="00B57E72">
        <w:rPr>
          <w:rFonts w:cs="Arial"/>
          <w:color w:val="000000"/>
        </w:rPr>
        <w:t xml:space="preserve">with </w:t>
      </w:r>
      <w:r w:rsidR="00D84B4B">
        <w:rPr>
          <w:rFonts w:cs="Arial"/>
          <w:color w:val="000000"/>
        </w:rPr>
        <w:t>Aboriginal</w:t>
      </w:r>
      <w:r w:rsidRPr="00B57E72">
        <w:rPr>
          <w:rFonts w:cs="Arial"/>
          <w:color w:val="000000"/>
        </w:rPr>
        <w:t xml:space="preserve"> Peoples</w:t>
      </w:r>
      <w:r>
        <w:rPr>
          <w:rFonts w:cs="Arial"/>
          <w:b/>
          <w:bCs/>
          <w:color w:val="000000"/>
        </w:rPr>
        <w:t xml:space="preserve">,” </w:t>
      </w:r>
      <w:r w:rsidRPr="00B57E72">
        <w:rPr>
          <w:rFonts w:eastAsia="Times New Roman" w:cs="Arial"/>
          <w:color w:val="000000"/>
        </w:rPr>
        <w:t>Mary C. Hurley</w:t>
      </w:r>
      <w:r w:rsidRPr="0063595E">
        <w:rPr>
          <w:rFonts w:cs="Arial"/>
          <w:color w:val="000000"/>
        </w:rPr>
        <w:t>, Law and Government Division,</w:t>
      </w:r>
      <w:r>
        <w:rPr>
          <w:rFonts w:cs="Arial"/>
          <w:b/>
          <w:color w:val="000000"/>
        </w:rPr>
        <w:t xml:space="preserve"> </w:t>
      </w:r>
      <w:r w:rsidRPr="00B57E72">
        <w:rPr>
          <w:rFonts w:eastAsia="Times New Roman" w:cs="Arial"/>
          <w:color w:val="000000"/>
        </w:rPr>
        <w:t>10 August 2000</w:t>
      </w:r>
      <w:r>
        <w:rPr>
          <w:rFonts w:cs="Arial"/>
          <w:b/>
          <w:color w:val="000000"/>
        </w:rPr>
        <w:t xml:space="preserve">. </w:t>
      </w:r>
      <w:r w:rsidRPr="00B57E72">
        <w:rPr>
          <w:rFonts w:eastAsia="Times New Roman" w:cs="Arial"/>
          <w:i/>
          <w:iCs/>
          <w:color w:val="000000"/>
        </w:rPr>
        <w:t>Revised 18 December 2002</w:t>
      </w:r>
    </w:p>
  </w:footnote>
  <w:footnote w:id="6">
    <w:p w14:paraId="4454FBE8" w14:textId="738DA917" w:rsidR="004B4857" w:rsidRDefault="004B4857" w:rsidP="00A46A39">
      <w:pPr>
        <w:pStyle w:val="FootnoteText"/>
      </w:pPr>
      <w:r>
        <w:rPr>
          <w:rStyle w:val="FootnoteReference"/>
        </w:rPr>
        <w:footnoteRef/>
      </w:r>
      <w:r>
        <w:t xml:space="preserve"> Professor James Anaya, Report on the Situation of Indigenous Peoples in Canada, January 2014, Office of the Special Rapporteur on the Rights of Indigenous Peoples:</w:t>
      </w:r>
    </w:p>
    <w:p w14:paraId="16951DD3" w14:textId="13C1D8E6" w:rsidR="004B4857" w:rsidRDefault="004B4857" w:rsidP="00843B9E">
      <w:pPr>
        <w:pStyle w:val="FootnoteText"/>
        <w:ind w:left="720"/>
      </w:pPr>
      <w:r w:rsidRPr="00A07D15">
        <w:t xml:space="preserve">96. Concerted measures should be adopted to deal with the outstanding problems that have impeded progress with the treaty negotiation and claims processes. Moreover, within these processes the Government should take a less adversarial, position-based approach than the one in which it typically seeks the most restrictive interpretation of </w:t>
      </w:r>
      <w:r w:rsidR="00D84B4B">
        <w:t>Aboriginal</w:t>
      </w:r>
      <w:r w:rsidRPr="00A07D15">
        <w:t xml:space="preserve"> and treaty rights possible. </w:t>
      </w:r>
    </w:p>
    <w:p w14:paraId="325149EC" w14:textId="1238B6C9" w:rsidR="004B4857" w:rsidRDefault="004B4857" w:rsidP="00843B9E">
      <w:pPr>
        <w:pStyle w:val="FootnoteText"/>
        <w:ind w:left="720"/>
      </w:pPr>
    </w:p>
  </w:footnote>
  <w:footnote w:id="7">
    <w:p w14:paraId="3EDC5223" w14:textId="21197402" w:rsidR="006163AD" w:rsidRDefault="006163AD">
      <w:pPr>
        <w:pStyle w:val="FootnoteText"/>
      </w:pPr>
      <w:r>
        <w:rPr>
          <w:rStyle w:val="FootnoteReference"/>
        </w:rPr>
        <w:footnoteRef/>
      </w:r>
      <w:r>
        <w:t xml:space="preserve"> An Act for the Gradual Civilization of the Indian Tribes, 1857; the Indian Act, 1876; </w:t>
      </w:r>
      <w:r w:rsidR="00802844">
        <w:t xml:space="preserve">Order in Council, Canada, June, 1914: that the Indian Tribes (of British Columbia) accept the finding of the McKenna-McBride Royal Commission, agree to surrender their rights if the courts should find they have any, and take in place of them any rights the Government of Canada might see fit to give them; </w:t>
      </w:r>
      <w:r>
        <w:t>Statement of the Government o</w:t>
      </w:r>
      <w:r w:rsidR="00802844">
        <w:t>f Canada on Indian Policy, 1969; etc.</w:t>
      </w:r>
    </w:p>
  </w:footnote>
  <w:footnote w:id="8">
    <w:p w14:paraId="28A1147A" w14:textId="000E4909" w:rsidR="004B4857" w:rsidRPr="001B272F" w:rsidRDefault="004B4857">
      <w:pPr>
        <w:pStyle w:val="FootnoteText"/>
      </w:pPr>
      <w:r>
        <w:rPr>
          <w:rStyle w:val="FootnoteReference"/>
        </w:rPr>
        <w:footnoteRef/>
      </w:r>
      <w:r>
        <w:t xml:space="preserve"> Although Canada behaves as if this is not a basic fact, references to substantiate this statement are too numerous even to mention. See the Final Report of Canada’s Truth and Reconciliation Commission, 2015. See Canada’s Indian Act and amendments, 1876, 1888, 1921, 1927. See records from the exercise of Canada’s Game Wardens and Federal Fisheries Departments, 1891-present day. See Supreme Court judgments: </w:t>
      </w:r>
      <w:r>
        <w:rPr>
          <w:i/>
        </w:rPr>
        <w:t xml:space="preserve">Smokehouse; Haines; Van Der Peet; Sparrow; Jack, John and John; </w:t>
      </w:r>
      <w:r>
        <w:t xml:space="preserve">the list is extensive. See documentary books and films made by Indigenous scribes from coast to coast to coast: </w:t>
      </w:r>
      <w:r w:rsidRPr="001B272F">
        <w:rPr>
          <w:i/>
        </w:rPr>
        <w:t xml:space="preserve">The </w:t>
      </w:r>
      <w:r>
        <w:rPr>
          <w:i/>
        </w:rPr>
        <w:t>Same as Yesterday,The Lillooet Chronicle the Theft of Their Lands and Resources,</w:t>
      </w:r>
      <w:r>
        <w:t xml:space="preserve"> Joanne Drake-Terry,</w:t>
      </w:r>
      <w:r>
        <w:rPr>
          <w:i/>
        </w:rPr>
        <w:t xml:space="preserve"> </w:t>
      </w:r>
      <w:r w:rsidRPr="001B272F">
        <w:t>1989</w:t>
      </w:r>
      <w:r>
        <w:rPr>
          <w:i/>
        </w:rPr>
        <w:t xml:space="preserve">; Is the Crown at war with us?, </w:t>
      </w:r>
      <w:r>
        <w:t xml:space="preserve">National Film Board, Canada, by Alanis Obonsawin, 2002. For an exhaustive list of such documents, see </w:t>
      </w:r>
      <w:hyperlink r:id="rId1" w:history="1">
        <w:r w:rsidRPr="0051624D">
          <w:rPr>
            <w:rStyle w:val="Hyperlink"/>
          </w:rPr>
          <w:t>https://kerrycoast.wordpress.com/category/the-colonial-present/</w:t>
        </w:r>
      </w:hyperlink>
      <w:r>
        <w:t xml:space="preserve"> </w:t>
      </w:r>
    </w:p>
  </w:footnote>
  <w:footnote w:id="9">
    <w:p w14:paraId="7B1F6FE3" w14:textId="3D81FFC1" w:rsidR="004B4857" w:rsidRDefault="004B4857">
      <w:pPr>
        <w:pStyle w:val="FootnoteText"/>
      </w:pPr>
      <w:r>
        <w:rPr>
          <w:rStyle w:val="FootnoteReference"/>
        </w:rPr>
        <w:footnoteRef/>
      </w:r>
      <w:r>
        <w:t xml:space="preserve"> Human Rights Committee, Concluding Observations re. Canada, following its 114</w:t>
      </w:r>
      <w:r w:rsidRPr="006B67A0">
        <w:rPr>
          <w:vertAlign w:val="superscript"/>
        </w:rPr>
        <w:t>th</w:t>
      </w:r>
      <w:r>
        <w:t xml:space="preserve"> Session, July 2015.</w:t>
      </w:r>
    </w:p>
  </w:footnote>
  <w:footnote w:id="10">
    <w:p w14:paraId="7D5FA497" w14:textId="450EE6A1" w:rsidR="004B4857" w:rsidRDefault="004B4857">
      <w:pPr>
        <w:pStyle w:val="FootnoteText"/>
      </w:pPr>
      <w:r>
        <w:rPr>
          <w:rStyle w:val="FootnoteReference"/>
        </w:rPr>
        <w:footnoteRef/>
      </w:r>
      <w:r>
        <w:t xml:space="preserve"> C</w:t>
      </w:r>
      <w:r w:rsidRPr="004A2A33">
        <w:t xml:space="preserve">ommissioned by the Minister of </w:t>
      </w:r>
      <w:r w:rsidR="00D84B4B">
        <w:t>Aboriginal</w:t>
      </w:r>
      <w:r w:rsidRPr="004A2A33">
        <w:t xml:space="preserve"> Affairs and Northern Development, Canada,</w:t>
      </w:r>
      <w:r>
        <w:t xml:space="preserve"> prepared</w:t>
      </w:r>
      <w:r w:rsidRPr="004A2A33">
        <w:t xml:space="preserve"> by Douglas Eyford, Mini</w:t>
      </w:r>
      <w:r>
        <w:t xml:space="preserve">sterial Special Representative </w:t>
      </w:r>
      <w:r w:rsidRPr="004A2A33">
        <w:t>on Renewing the Comprehensive Land Claims Policy</w:t>
      </w:r>
      <w:r w:rsidRPr="004B0D9D">
        <w:rPr>
          <w:rFonts w:ascii="Palatino Linotype" w:hAnsi="Palatino Linotype"/>
          <w:sz w:val="24"/>
          <w:szCs w:val="24"/>
        </w:rPr>
        <w:t>.</w:t>
      </w:r>
    </w:p>
  </w:footnote>
  <w:footnote w:id="11">
    <w:p w14:paraId="222C859C" w14:textId="27865BC1" w:rsidR="004B4857" w:rsidRDefault="004B4857">
      <w:pPr>
        <w:pStyle w:val="FootnoteText"/>
      </w:pPr>
      <w:r>
        <w:rPr>
          <w:rStyle w:val="FootnoteReference"/>
        </w:rPr>
        <w:footnoteRef/>
      </w:r>
      <w:r>
        <w:t xml:space="preserve"> See Appendix A: The Device of Indian Status</w:t>
      </w:r>
    </w:p>
  </w:footnote>
  <w:footnote w:id="12">
    <w:p w14:paraId="2200437B" w14:textId="44C36B9B" w:rsidR="004F3075" w:rsidRPr="004F3075" w:rsidRDefault="004F3075">
      <w:pPr>
        <w:pStyle w:val="FootnoteText"/>
      </w:pPr>
      <w:r>
        <w:rPr>
          <w:rStyle w:val="FootnoteReference"/>
        </w:rPr>
        <w:footnoteRef/>
      </w:r>
      <w:r>
        <w:t xml:space="preserve"> </w:t>
      </w:r>
      <w:r w:rsidR="00D84B4B">
        <w:rPr>
          <w:i/>
        </w:rPr>
        <w:t>Aboriginal</w:t>
      </w:r>
      <w:r>
        <w:rPr>
          <w:i/>
        </w:rPr>
        <w:t xml:space="preserve"> Treaties, </w:t>
      </w:r>
      <w:r>
        <w:t xml:space="preserve">Professor Anthony J. Hall, </w:t>
      </w:r>
      <w:hyperlink r:id="rId2" w:history="1">
        <w:r w:rsidRPr="0051624D">
          <w:rPr>
            <w:rStyle w:val="Hyperlink"/>
          </w:rPr>
          <w:t>www.thecanadianencyclopedia.ca</w:t>
        </w:r>
      </w:hyperlink>
      <w:r>
        <w:t>, 06/06/2011</w:t>
      </w:r>
    </w:p>
  </w:footnote>
  <w:footnote w:id="13">
    <w:p w14:paraId="6F9ABC0F" w14:textId="77777777" w:rsidR="001E0D1B" w:rsidRPr="003F5C3A" w:rsidRDefault="001E0D1B" w:rsidP="001E0D1B">
      <w:pPr>
        <w:pStyle w:val="FootnoteText"/>
      </w:pPr>
      <w:r>
        <w:rPr>
          <w:rStyle w:val="FootnoteReference"/>
        </w:rPr>
        <w:footnoteRef/>
      </w:r>
      <w:r>
        <w:t xml:space="preserve"> See </w:t>
      </w:r>
      <w:r>
        <w:rPr>
          <w:i/>
        </w:rPr>
        <w:t>The Great Nothing of 1846</w:t>
      </w:r>
      <w:r>
        <w:t>, KerryCoastWordpress</w:t>
      </w:r>
    </w:p>
  </w:footnote>
  <w:footnote w:id="14">
    <w:p w14:paraId="7AA4C55F" w14:textId="7000D65E" w:rsidR="001E0D1B" w:rsidRDefault="001E0D1B">
      <w:pPr>
        <w:pStyle w:val="FootnoteText"/>
      </w:pPr>
      <w:r>
        <w:rPr>
          <w:rStyle w:val="FootnoteReference"/>
        </w:rPr>
        <w:footnoteRef/>
      </w:r>
      <w:r>
        <w:t xml:space="preserve"> </w:t>
      </w:r>
      <w:r w:rsidRPr="001E0D1B">
        <w:rPr>
          <w:i/>
        </w:rPr>
        <w:t>Delgamuukw</w:t>
      </w:r>
      <w:r w:rsidR="00C637C2">
        <w:rPr>
          <w:i/>
        </w:rPr>
        <w:t xml:space="preserve"> v. British Columbia</w:t>
      </w:r>
      <w:r w:rsidR="00C637C2">
        <w:t xml:space="preserve">, </w:t>
      </w:r>
      <w:r>
        <w:t>1997</w:t>
      </w:r>
      <w:r w:rsidR="00C637C2">
        <w:t>, 3 S.C.R. 1010</w:t>
      </w:r>
    </w:p>
  </w:footnote>
  <w:footnote w:id="15">
    <w:p w14:paraId="0AD6C047" w14:textId="001E2577" w:rsidR="004F5B96" w:rsidRPr="00A73A73" w:rsidRDefault="004F5B96" w:rsidP="00A73A73">
      <w:pPr>
        <w:spacing w:after="480" w:line="240" w:lineRule="auto"/>
        <w:rPr>
          <w:rFonts w:eastAsia="Times New Roman" w:cs="Times New Roman"/>
          <w:color w:val="000000"/>
          <w:sz w:val="20"/>
          <w:szCs w:val="20"/>
        </w:rPr>
      </w:pPr>
      <w:r w:rsidRPr="00DB394D">
        <w:rPr>
          <w:rStyle w:val="FootnoteReference"/>
          <w:sz w:val="20"/>
          <w:szCs w:val="20"/>
        </w:rPr>
        <w:footnoteRef/>
      </w:r>
      <w:r w:rsidRPr="00DB394D">
        <w:rPr>
          <w:sz w:val="20"/>
          <w:szCs w:val="20"/>
        </w:rPr>
        <w:t xml:space="preserve"> </w:t>
      </w:r>
      <w:r w:rsidRPr="004F5B96">
        <w:rPr>
          <w:sz w:val="20"/>
          <w:szCs w:val="20"/>
        </w:rPr>
        <w:t xml:space="preserve">Punishment for commercial fishing: </w:t>
      </w:r>
      <w:r w:rsidRPr="004F5B96">
        <w:rPr>
          <w:rFonts w:eastAsia="Times New Roman" w:cs="Times New Roman"/>
          <w:i/>
          <w:sz w:val="20"/>
          <w:szCs w:val="20"/>
        </w:rPr>
        <w:t>Lax Kw’alaams Indian Band </w:t>
      </w:r>
      <w:r w:rsidRPr="004F5B96">
        <w:rPr>
          <w:rFonts w:eastAsia="Times New Roman" w:cs="Times New Roman"/>
          <w:i/>
          <w:iCs/>
          <w:sz w:val="20"/>
          <w:szCs w:val="20"/>
        </w:rPr>
        <w:t>v.</w:t>
      </w:r>
      <w:r w:rsidRPr="004F5B96">
        <w:rPr>
          <w:rFonts w:eastAsia="Times New Roman" w:cs="Times New Roman"/>
          <w:i/>
          <w:sz w:val="20"/>
          <w:szCs w:val="20"/>
        </w:rPr>
        <w:t> Canada</w:t>
      </w:r>
      <w:r w:rsidRPr="004F5B96">
        <w:rPr>
          <w:rFonts w:eastAsia="Times New Roman" w:cs="Times New Roman"/>
          <w:sz w:val="20"/>
          <w:szCs w:val="20"/>
        </w:rPr>
        <w:t xml:space="preserve"> (Attorney General), 2011 SCC 56, [2011] 3 S.C.R. 535. Punishment for hunting deer</w:t>
      </w:r>
      <w:r w:rsidRPr="004F5B96">
        <w:rPr>
          <w:rFonts w:asciiTheme="majorHAnsi" w:eastAsia="Times New Roman" w:hAnsiTheme="majorHAnsi" w:cs="Times New Roman"/>
          <w:sz w:val="20"/>
          <w:szCs w:val="20"/>
        </w:rPr>
        <w:t xml:space="preserve">: </w:t>
      </w:r>
      <w:r w:rsidRPr="004F5B96">
        <w:rPr>
          <w:rFonts w:eastAsia="Times New Roman"/>
          <w:sz w:val="20"/>
          <w:szCs w:val="20"/>
        </w:rPr>
        <w:t xml:space="preserve">R. </w:t>
      </w:r>
      <w:r w:rsidRPr="004F5B96">
        <w:rPr>
          <w:rFonts w:eastAsia="Times New Roman"/>
          <w:i/>
          <w:iCs/>
          <w:sz w:val="20"/>
          <w:szCs w:val="20"/>
        </w:rPr>
        <w:t>v</w:t>
      </w:r>
      <w:r w:rsidRPr="004F5B96">
        <w:rPr>
          <w:rFonts w:eastAsia="Times New Roman"/>
          <w:sz w:val="20"/>
          <w:szCs w:val="20"/>
        </w:rPr>
        <w:t xml:space="preserve">. Morris, [2006] 2 S.C.R. 915, 2006 SCC 59. Punishment for logging trees: </w:t>
      </w:r>
      <w:r w:rsidRPr="004F5B96">
        <w:rPr>
          <w:sz w:val="20"/>
          <w:szCs w:val="20"/>
        </w:rPr>
        <w:t>British Columbia (Minister of Forests)</w:t>
      </w:r>
      <w:r w:rsidRPr="004F5B96">
        <w:rPr>
          <w:rStyle w:val="apple-converted-space"/>
          <w:sz w:val="20"/>
          <w:szCs w:val="20"/>
        </w:rPr>
        <w:t> </w:t>
      </w:r>
      <w:r w:rsidRPr="004F5B96">
        <w:rPr>
          <w:i/>
          <w:iCs/>
          <w:sz w:val="20"/>
          <w:szCs w:val="20"/>
        </w:rPr>
        <w:t>v.</w:t>
      </w:r>
      <w:r w:rsidRPr="004F5B96">
        <w:rPr>
          <w:rStyle w:val="apple-converted-space"/>
          <w:sz w:val="20"/>
          <w:szCs w:val="20"/>
        </w:rPr>
        <w:t> </w:t>
      </w:r>
      <w:r w:rsidRPr="004F5B96">
        <w:rPr>
          <w:sz w:val="20"/>
          <w:szCs w:val="20"/>
        </w:rPr>
        <w:t>Okanagan Indian Band, [2003] 3 S.C.R. 371, 2003 SCC 71.</w:t>
      </w:r>
    </w:p>
  </w:footnote>
  <w:footnote w:id="16">
    <w:p w14:paraId="1C1C7648" w14:textId="1F8FECBF" w:rsidR="0059218E" w:rsidRDefault="0059218E" w:rsidP="0059218E">
      <w:pPr>
        <w:pStyle w:val="FootnoteText"/>
      </w:pPr>
      <w:r>
        <w:rPr>
          <w:rStyle w:val="FootnoteReference"/>
        </w:rPr>
        <w:footnoteRef/>
      </w:r>
      <w:r>
        <w:t xml:space="preserve"> For example, the Halfway River Band’s suit against the provincial crown was the result of the Band’s complete dissatisfaction with the results of the consultation process they engaged in: their interests were ignored. </w:t>
      </w:r>
      <w:r w:rsidRPr="0059218E">
        <w:rPr>
          <w:i/>
        </w:rPr>
        <w:t>Halfway River First Nation v. B.C. (Min. Forests),</w:t>
      </w:r>
      <w:r w:rsidRPr="0059218E">
        <w:t xml:space="preserve"> 1999 BCCA 470</w:t>
      </w:r>
      <w:r w:rsidR="00A73A73">
        <w:t xml:space="preserve"> confirmed the result of the consultations which caused their complaint</w:t>
      </w:r>
      <w:r w:rsidR="00B21C41">
        <w:t>. T</w:t>
      </w:r>
      <w:r>
        <w:t xml:space="preserve">his case is used as an example of “meaningful consultation” in a paper titled “ABORIGINAL PRACTICE POINTS Meaningful consultation: reconciliation through an honourable process,” prepared </w:t>
      </w:r>
      <w:r w:rsidRPr="0059218E">
        <w:t xml:space="preserve">for the Continuing Legal Education Society of British Columbia, </w:t>
      </w:r>
      <w:r>
        <w:t xml:space="preserve">by Jennifer Griffith, </w:t>
      </w:r>
      <w:r w:rsidRPr="0059218E">
        <w:t>June 30, 2006.</w:t>
      </w:r>
      <w:r w:rsidR="00B21C41">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41731"/>
    <w:multiLevelType w:val="hybridMultilevel"/>
    <w:tmpl w:val="4F10848E"/>
    <w:lvl w:ilvl="0" w:tplc="7116D7C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390718"/>
    <w:multiLevelType w:val="hybridMultilevel"/>
    <w:tmpl w:val="60AC1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003006"/>
    <w:multiLevelType w:val="hybridMultilevel"/>
    <w:tmpl w:val="22B6F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C24622"/>
    <w:multiLevelType w:val="hybridMultilevel"/>
    <w:tmpl w:val="196A7208"/>
    <w:lvl w:ilvl="0" w:tplc="B85C3DFA">
      <w:start w:val="1"/>
      <w:numFmt w:val="decimal"/>
      <w:lvlText w:val="%1."/>
      <w:lvlJc w:val="left"/>
      <w:pPr>
        <w:ind w:left="720" w:hanging="360"/>
      </w:pPr>
      <w:rPr>
        <w:rFonts w:eastAsia="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3F09EB"/>
    <w:multiLevelType w:val="hybridMultilevel"/>
    <w:tmpl w:val="6032E9F6"/>
    <w:lvl w:ilvl="0" w:tplc="4BCC23DE">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2B73D9"/>
    <w:multiLevelType w:val="hybridMultilevel"/>
    <w:tmpl w:val="B7ACE738"/>
    <w:lvl w:ilvl="0" w:tplc="29085B0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AF02639"/>
    <w:multiLevelType w:val="hybridMultilevel"/>
    <w:tmpl w:val="973C3F80"/>
    <w:lvl w:ilvl="0" w:tplc="DEBA2660">
      <w:start w:val="1"/>
      <w:numFmt w:val="decimal"/>
      <w:lvlText w:val="%1.)"/>
      <w:lvlJc w:val="left"/>
      <w:pPr>
        <w:ind w:left="1440" w:hanging="360"/>
      </w:pPr>
      <w:rPr>
        <w:rFonts w:eastAsia="Times New Roman" w:cs="Times New Roman"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DDC3861"/>
    <w:multiLevelType w:val="hybridMultilevel"/>
    <w:tmpl w:val="5F7C96B6"/>
    <w:lvl w:ilvl="0" w:tplc="1A3240B8">
      <w:start w:val="2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6F3470"/>
    <w:multiLevelType w:val="hybridMultilevel"/>
    <w:tmpl w:val="0CA6A4BE"/>
    <w:lvl w:ilvl="0" w:tplc="B4B4E8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20521C"/>
    <w:multiLevelType w:val="hybridMultilevel"/>
    <w:tmpl w:val="0DF833EC"/>
    <w:lvl w:ilvl="0" w:tplc="51C2107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246A61"/>
    <w:multiLevelType w:val="hybridMultilevel"/>
    <w:tmpl w:val="3E688DD8"/>
    <w:lvl w:ilvl="0" w:tplc="02FE1C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93977F5"/>
    <w:multiLevelType w:val="multilevel"/>
    <w:tmpl w:val="AE80D6A8"/>
    <w:lvl w:ilvl="0">
      <w:start w:val="1"/>
      <w:numFmt w:val="decimal"/>
      <w:lvlText w:val="%1."/>
      <w:lvlJc w:val="left"/>
      <w:pPr>
        <w:tabs>
          <w:tab w:val="num" w:pos="990"/>
        </w:tabs>
        <w:ind w:left="990" w:hanging="360"/>
      </w:pPr>
    </w:lvl>
    <w:lvl w:ilvl="1" w:tentative="1">
      <w:start w:val="1"/>
      <w:numFmt w:val="decimal"/>
      <w:lvlText w:val="%2."/>
      <w:lvlJc w:val="left"/>
      <w:pPr>
        <w:tabs>
          <w:tab w:val="num" w:pos="1710"/>
        </w:tabs>
        <w:ind w:left="1710" w:hanging="360"/>
      </w:pPr>
    </w:lvl>
    <w:lvl w:ilvl="2" w:tentative="1">
      <w:start w:val="1"/>
      <w:numFmt w:val="decimal"/>
      <w:lvlText w:val="%3."/>
      <w:lvlJc w:val="left"/>
      <w:pPr>
        <w:tabs>
          <w:tab w:val="num" w:pos="2430"/>
        </w:tabs>
        <w:ind w:left="2430" w:hanging="360"/>
      </w:pPr>
    </w:lvl>
    <w:lvl w:ilvl="3" w:tentative="1">
      <w:start w:val="1"/>
      <w:numFmt w:val="decimal"/>
      <w:lvlText w:val="%4."/>
      <w:lvlJc w:val="left"/>
      <w:pPr>
        <w:tabs>
          <w:tab w:val="num" w:pos="3150"/>
        </w:tabs>
        <w:ind w:left="3150" w:hanging="360"/>
      </w:pPr>
    </w:lvl>
    <w:lvl w:ilvl="4" w:tentative="1">
      <w:start w:val="1"/>
      <w:numFmt w:val="decimal"/>
      <w:lvlText w:val="%5."/>
      <w:lvlJc w:val="left"/>
      <w:pPr>
        <w:tabs>
          <w:tab w:val="num" w:pos="3870"/>
        </w:tabs>
        <w:ind w:left="3870" w:hanging="360"/>
      </w:pPr>
    </w:lvl>
    <w:lvl w:ilvl="5" w:tentative="1">
      <w:start w:val="1"/>
      <w:numFmt w:val="decimal"/>
      <w:lvlText w:val="%6."/>
      <w:lvlJc w:val="left"/>
      <w:pPr>
        <w:tabs>
          <w:tab w:val="num" w:pos="4590"/>
        </w:tabs>
        <w:ind w:left="4590" w:hanging="360"/>
      </w:pPr>
    </w:lvl>
    <w:lvl w:ilvl="6" w:tentative="1">
      <w:start w:val="1"/>
      <w:numFmt w:val="decimal"/>
      <w:lvlText w:val="%7."/>
      <w:lvlJc w:val="left"/>
      <w:pPr>
        <w:tabs>
          <w:tab w:val="num" w:pos="5310"/>
        </w:tabs>
        <w:ind w:left="5310" w:hanging="360"/>
      </w:pPr>
    </w:lvl>
    <w:lvl w:ilvl="7" w:tentative="1">
      <w:start w:val="1"/>
      <w:numFmt w:val="decimal"/>
      <w:lvlText w:val="%8."/>
      <w:lvlJc w:val="left"/>
      <w:pPr>
        <w:tabs>
          <w:tab w:val="num" w:pos="6030"/>
        </w:tabs>
        <w:ind w:left="6030" w:hanging="360"/>
      </w:pPr>
    </w:lvl>
    <w:lvl w:ilvl="8" w:tentative="1">
      <w:start w:val="1"/>
      <w:numFmt w:val="decimal"/>
      <w:lvlText w:val="%9."/>
      <w:lvlJc w:val="left"/>
      <w:pPr>
        <w:tabs>
          <w:tab w:val="num" w:pos="6750"/>
        </w:tabs>
        <w:ind w:left="6750" w:hanging="360"/>
      </w:pPr>
    </w:lvl>
  </w:abstractNum>
  <w:abstractNum w:abstractNumId="12" w15:restartNumberingAfterBreak="0">
    <w:nsid w:val="696806F0"/>
    <w:multiLevelType w:val="hybridMultilevel"/>
    <w:tmpl w:val="39B2D686"/>
    <w:lvl w:ilvl="0" w:tplc="4EDCD5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4217336"/>
    <w:multiLevelType w:val="hybridMultilevel"/>
    <w:tmpl w:val="8C7E6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F42884"/>
    <w:multiLevelType w:val="hybridMultilevel"/>
    <w:tmpl w:val="7AEC53C8"/>
    <w:lvl w:ilvl="0" w:tplc="33C8EEA2">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82872F6"/>
    <w:multiLevelType w:val="hybridMultilevel"/>
    <w:tmpl w:val="0DCC9574"/>
    <w:lvl w:ilvl="0" w:tplc="B32AD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864761"/>
    <w:multiLevelType w:val="hybridMultilevel"/>
    <w:tmpl w:val="49A25AE6"/>
    <w:lvl w:ilvl="0" w:tplc="FF588E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E432D82"/>
    <w:multiLevelType w:val="hybridMultilevel"/>
    <w:tmpl w:val="973C3F80"/>
    <w:lvl w:ilvl="0" w:tplc="DEBA2660">
      <w:start w:val="1"/>
      <w:numFmt w:val="decimal"/>
      <w:lvlText w:val="%1.)"/>
      <w:lvlJc w:val="left"/>
      <w:pPr>
        <w:ind w:left="1440" w:hanging="360"/>
      </w:pPr>
      <w:rPr>
        <w:rFonts w:eastAsia="Times New Roman" w:cs="Times New Roman"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FF81852"/>
    <w:multiLevelType w:val="hybridMultilevel"/>
    <w:tmpl w:val="07B0588A"/>
    <w:lvl w:ilvl="0" w:tplc="761470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9"/>
  </w:num>
  <w:num w:numId="4">
    <w:abstractNumId w:val="13"/>
  </w:num>
  <w:num w:numId="5">
    <w:abstractNumId w:val="15"/>
  </w:num>
  <w:num w:numId="6">
    <w:abstractNumId w:val="3"/>
  </w:num>
  <w:num w:numId="7">
    <w:abstractNumId w:val="8"/>
  </w:num>
  <w:num w:numId="8">
    <w:abstractNumId w:val="6"/>
  </w:num>
  <w:num w:numId="9">
    <w:abstractNumId w:val="16"/>
  </w:num>
  <w:num w:numId="10">
    <w:abstractNumId w:val="1"/>
  </w:num>
  <w:num w:numId="11">
    <w:abstractNumId w:val="18"/>
  </w:num>
  <w:num w:numId="12">
    <w:abstractNumId w:val="0"/>
  </w:num>
  <w:num w:numId="13">
    <w:abstractNumId w:val="12"/>
  </w:num>
  <w:num w:numId="14">
    <w:abstractNumId w:val="5"/>
  </w:num>
  <w:num w:numId="15">
    <w:abstractNumId w:val="17"/>
  </w:num>
  <w:num w:numId="16">
    <w:abstractNumId w:val="14"/>
  </w:num>
  <w:num w:numId="17">
    <w:abstractNumId w:val="4"/>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59"/>
    <w:rsid w:val="00001201"/>
    <w:rsid w:val="000033B3"/>
    <w:rsid w:val="0000563E"/>
    <w:rsid w:val="000357E4"/>
    <w:rsid w:val="00077DDA"/>
    <w:rsid w:val="0008577D"/>
    <w:rsid w:val="00092BC3"/>
    <w:rsid w:val="0009471D"/>
    <w:rsid w:val="000A7982"/>
    <w:rsid w:val="000B459C"/>
    <w:rsid w:val="000C159E"/>
    <w:rsid w:val="000C545A"/>
    <w:rsid w:val="000D197C"/>
    <w:rsid w:val="00101365"/>
    <w:rsid w:val="0011195D"/>
    <w:rsid w:val="001123DA"/>
    <w:rsid w:val="001765D4"/>
    <w:rsid w:val="00177125"/>
    <w:rsid w:val="001842B9"/>
    <w:rsid w:val="00186B16"/>
    <w:rsid w:val="00194A73"/>
    <w:rsid w:val="0019526D"/>
    <w:rsid w:val="001953D5"/>
    <w:rsid w:val="001A63A6"/>
    <w:rsid w:val="001B1730"/>
    <w:rsid w:val="001B272F"/>
    <w:rsid w:val="001B4858"/>
    <w:rsid w:val="001B547D"/>
    <w:rsid w:val="001C2D8E"/>
    <w:rsid w:val="001D4873"/>
    <w:rsid w:val="001E0D1B"/>
    <w:rsid w:val="001E78DB"/>
    <w:rsid w:val="001F2C8C"/>
    <w:rsid w:val="001F2D5B"/>
    <w:rsid w:val="0020361B"/>
    <w:rsid w:val="00204EF9"/>
    <w:rsid w:val="002055AF"/>
    <w:rsid w:val="002058EF"/>
    <w:rsid w:val="002328B2"/>
    <w:rsid w:val="00243EE8"/>
    <w:rsid w:val="00244DB1"/>
    <w:rsid w:val="00271553"/>
    <w:rsid w:val="0027532D"/>
    <w:rsid w:val="0027780C"/>
    <w:rsid w:val="0028121D"/>
    <w:rsid w:val="002900E5"/>
    <w:rsid w:val="00297A9F"/>
    <w:rsid w:val="002A3C51"/>
    <w:rsid w:val="002A733C"/>
    <w:rsid w:val="002B2AC8"/>
    <w:rsid w:val="002B6BDA"/>
    <w:rsid w:val="002C125F"/>
    <w:rsid w:val="002C2993"/>
    <w:rsid w:val="002D091A"/>
    <w:rsid w:val="002D2BE5"/>
    <w:rsid w:val="002D7135"/>
    <w:rsid w:val="002F0B21"/>
    <w:rsid w:val="002F4ABA"/>
    <w:rsid w:val="00300B8F"/>
    <w:rsid w:val="0031056A"/>
    <w:rsid w:val="00334000"/>
    <w:rsid w:val="003532E7"/>
    <w:rsid w:val="0036323A"/>
    <w:rsid w:val="00383BF2"/>
    <w:rsid w:val="0039788C"/>
    <w:rsid w:val="00397B4B"/>
    <w:rsid w:val="003B291D"/>
    <w:rsid w:val="003B392A"/>
    <w:rsid w:val="003C76FC"/>
    <w:rsid w:val="003E3A71"/>
    <w:rsid w:val="003E5EA2"/>
    <w:rsid w:val="003E605C"/>
    <w:rsid w:val="003F02EF"/>
    <w:rsid w:val="003F5C3A"/>
    <w:rsid w:val="00422255"/>
    <w:rsid w:val="0042704D"/>
    <w:rsid w:val="00427F31"/>
    <w:rsid w:val="00466A08"/>
    <w:rsid w:val="0047307C"/>
    <w:rsid w:val="0047458E"/>
    <w:rsid w:val="00475F33"/>
    <w:rsid w:val="004815FD"/>
    <w:rsid w:val="004A0737"/>
    <w:rsid w:val="004A2A33"/>
    <w:rsid w:val="004B0D9D"/>
    <w:rsid w:val="004B4857"/>
    <w:rsid w:val="004C02E1"/>
    <w:rsid w:val="004C335F"/>
    <w:rsid w:val="004D25A2"/>
    <w:rsid w:val="004D3C32"/>
    <w:rsid w:val="004E630F"/>
    <w:rsid w:val="004F3052"/>
    <w:rsid w:val="004F3075"/>
    <w:rsid w:val="004F519B"/>
    <w:rsid w:val="004F5B96"/>
    <w:rsid w:val="00530BB1"/>
    <w:rsid w:val="00533BCC"/>
    <w:rsid w:val="005447C2"/>
    <w:rsid w:val="0057078E"/>
    <w:rsid w:val="0057160C"/>
    <w:rsid w:val="0059218E"/>
    <w:rsid w:val="005A2271"/>
    <w:rsid w:val="005B0241"/>
    <w:rsid w:val="005B55B6"/>
    <w:rsid w:val="005C62C1"/>
    <w:rsid w:val="005D7039"/>
    <w:rsid w:val="005E7B85"/>
    <w:rsid w:val="00606DD4"/>
    <w:rsid w:val="00610BD4"/>
    <w:rsid w:val="006163AD"/>
    <w:rsid w:val="0063595E"/>
    <w:rsid w:val="006540EB"/>
    <w:rsid w:val="00677A2B"/>
    <w:rsid w:val="00680DC8"/>
    <w:rsid w:val="006871D1"/>
    <w:rsid w:val="00687C3B"/>
    <w:rsid w:val="006A6CCA"/>
    <w:rsid w:val="006B1706"/>
    <w:rsid w:val="006B67A0"/>
    <w:rsid w:val="006D33BE"/>
    <w:rsid w:val="006D7F9B"/>
    <w:rsid w:val="006F12D0"/>
    <w:rsid w:val="006F3C63"/>
    <w:rsid w:val="006F47EC"/>
    <w:rsid w:val="0071628F"/>
    <w:rsid w:val="00720ECD"/>
    <w:rsid w:val="007239F7"/>
    <w:rsid w:val="007258B9"/>
    <w:rsid w:val="00725EB7"/>
    <w:rsid w:val="00731A03"/>
    <w:rsid w:val="007404C6"/>
    <w:rsid w:val="00741423"/>
    <w:rsid w:val="00747067"/>
    <w:rsid w:val="007474F3"/>
    <w:rsid w:val="007537F2"/>
    <w:rsid w:val="0076182C"/>
    <w:rsid w:val="0076355D"/>
    <w:rsid w:val="0076488D"/>
    <w:rsid w:val="007678C5"/>
    <w:rsid w:val="00775734"/>
    <w:rsid w:val="00776DC1"/>
    <w:rsid w:val="00784589"/>
    <w:rsid w:val="00787E1A"/>
    <w:rsid w:val="007924D1"/>
    <w:rsid w:val="007933CB"/>
    <w:rsid w:val="00794F39"/>
    <w:rsid w:val="007A493C"/>
    <w:rsid w:val="007B0D15"/>
    <w:rsid w:val="007D064B"/>
    <w:rsid w:val="007D4DB3"/>
    <w:rsid w:val="007F3FDD"/>
    <w:rsid w:val="007F5ACB"/>
    <w:rsid w:val="00802844"/>
    <w:rsid w:val="00804150"/>
    <w:rsid w:val="00806ED0"/>
    <w:rsid w:val="00820521"/>
    <w:rsid w:val="00824DAC"/>
    <w:rsid w:val="00843737"/>
    <w:rsid w:val="00843B9E"/>
    <w:rsid w:val="00847A7F"/>
    <w:rsid w:val="008577CA"/>
    <w:rsid w:val="00873149"/>
    <w:rsid w:val="008B5466"/>
    <w:rsid w:val="008C2302"/>
    <w:rsid w:val="008C7BD0"/>
    <w:rsid w:val="008D126D"/>
    <w:rsid w:val="008E4728"/>
    <w:rsid w:val="008E7382"/>
    <w:rsid w:val="00906BAE"/>
    <w:rsid w:val="00936AE6"/>
    <w:rsid w:val="00953262"/>
    <w:rsid w:val="009701FF"/>
    <w:rsid w:val="00980FB0"/>
    <w:rsid w:val="009A28F7"/>
    <w:rsid w:val="009A2DD6"/>
    <w:rsid w:val="009A32AB"/>
    <w:rsid w:val="009B4E22"/>
    <w:rsid w:val="009C3635"/>
    <w:rsid w:val="009D2EBF"/>
    <w:rsid w:val="009E0377"/>
    <w:rsid w:val="009F5633"/>
    <w:rsid w:val="00A02653"/>
    <w:rsid w:val="00A07D15"/>
    <w:rsid w:val="00A24731"/>
    <w:rsid w:val="00A35A50"/>
    <w:rsid w:val="00A40559"/>
    <w:rsid w:val="00A46A39"/>
    <w:rsid w:val="00A62FD4"/>
    <w:rsid w:val="00A73A73"/>
    <w:rsid w:val="00A75230"/>
    <w:rsid w:val="00A81860"/>
    <w:rsid w:val="00A81A93"/>
    <w:rsid w:val="00A90A82"/>
    <w:rsid w:val="00A9122F"/>
    <w:rsid w:val="00A91CBA"/>
    <w:rsid w:val="00AA4E6A"/>
    <w:rsid w:val="00AB7144"/>
    <w:rsid w:val="00AD401A"/>
    <w:rsid w:val="00AD5058"/>
    <w:rsid w:val="00AF5EC9"/>
    <w:rsid w:val="00AF7D90"/>
    <w:rsid w:val="00B1209E"/>
    <w:rsid w:val="00B21C41"/>
    <w:rsid w:val="00B21E9B"/>
    <w:rsid w:val="00B57E72"/>
    <w:rsid w:val="00B82750"/>
    <w:rsid w:val="00BA0BA3"/>
    <w:rsid w:val="00BA0F9C"/>
    <w:rsid w:val="00BA51D6"/>
    <w:rsid w:val="00BB3B0F"/>
    <w:rsid w:val="00BE362E"/>
    <w:rsid w:val="00BE404E"/>
    <w:rsid w:val="00BF604C"/>
    <w:rsid w:val="00BF6158"/>
    <w:rsid w:val="00C17260"/>
    <w:rsid w:val="00C17931"/>
    <w:rsid w:val="00C20834"/>
    <w:rsid w:val="00C22DB2"/>
    <w:rsid w:val="00C308BB"/>
    <w:rsid w:val="00C33DF5"/>
    <w:rsid w:val="00C3762A"/>
    <w:rsid w:val="00C627CB"/>
    <w:rsid w:val="00C637C2"/>
    <w:rsid w:val="00C675DD"/>
    <w:rsid w:val="00C67663"/>
    <w:rsid w:val="00C67C62"/>
    <w:rsid w:val="00C72B08"/>
    <w:rsid w:val="00C93B48"/>
    <w:rsid w:val="00C947A9"/>
    <w:rsid w:val="00C95E52"/>
    <w:rsid w:val="00CA52F9"/>
    <w:rsid w:val="00CD0D5A"/>
    <w:rsid w:val="00CF424B"/>
    <w:rsid w:val="00CF64DD"/>
    <w:rsid w:val="00D11E7A"/>
    <w:rsid w:val="00D12100"/>
    <w:rsid w:val="00D235DC"/>
    <w:rsid w:val="00D31F16"/>
    <w:rsid w:val="00D422B6"/>
    <w:rsid w:val="00D4702F"/>
    <w:rsid w:val="00D84B4B"/>
    <w:rsid w:val="00DA0BAE"/>
    <w:rsid w:val="00DA1B4C"/>
    <w:rsid w:val="00DB394D"/>
    <w:rsid w:val="00DB63A3"/>
    <w:rsid w:val="00DC157E"/>
    <w:rsid w:val="00DD0A81"/>
    <w:rsid w:val="00DE3187"/>
    <w:rsid w:val="00E25518"/>
    <w:rsid w:val="00E30B08"/>
    <w:rsid w:val="00E31459"/>
    <w:rsid w:val="00E475CB"/>
    <w:rsid w:val="00E51086"/>
    <w:rsid w:val="00E61C40"/>
    <w:rsid w:val="00E7302C"/>
    <w:rsid w:val="00E741D4"/>
    <w:rsid w:val="00E81509"/>
    <w:rsid w:val="00E83905"/>
    <w:rsid w:val="00E84126"/>
    <w:rsid w:val="00EB0117"/>
    <w:rsid w:val="00EB07F8"/>
    <w:rsid w:val="00EB7401"/>
    <w:rsid w:val="00EC2147"/>
    <w:rsid w:val="00EC4FAA"/>
    <w:rsid w:val="00ED30A2"/>
    <w:rsid w:val="00EF49ED"/>
    <w:rsid w:val="00EF5B21"/>
    <w:rsid w:val="00F40C32"/>
    <w:rsid w:val="00F4269F"/>
    <w:rsid w:val="00F436FD"/>
    <w:rsid w:val="00F54FE8"/>
    <w:rsid w:val="00F7550E"/>
    <w:rsid w:val="00F76D7E"/>
    <w:rsid w:val="00F77481"/>
    <w:rsid w:val="00FA2472"/>
    <w:rsid w:val="00FB3B2F"/>
    <w:rsid w:val="00FB7DD0"/>
    <w:rsid w:val="00FB7ED7"/>
    <w:rsid w:val="00FC45E7"/>
    <w:rsid w:val="00FF2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930C53"/>
  <w15:docId w15:val="{05DA9C30-68C9-415A-9B91-C1110807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1D4"/>
  </w:style>
  <w:style w:type="paragraph" w:styleId="Heading1">
    <w:name w:val="heading 1"/>
    <w:basedOn w:val="Normal"/>
    <w:link w:val="Heading1Char"/>
    <w:uiPriority w:val="9"/>
    <w:qFormat/>
    <w:rsid w:val="00B57E7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D4"/>
    <w:pPr>
      <w:ind w:left="720"/>
      <w:contextualSpacing/>
    </w:pPr>
  </w:style>
  <w:style w:type="character" w:customStyle="1" w:styleId="apple-converted-space">
    <w:name w:val="apple-converted-space"/>
    <w:basedOn w:val="DefaultParagraphFont"/>
    <w:rsid w:val="001A63A6"/>
  </w:style>
  <w:style w:type="paragraph" w:styleId="FootnoteText">
    <w:name w:val="footnote text"/>
    <w:basedOn w:val="Normal"/>
    <w:link w:val="FootnoteTextChar"/>
    <w:uiPriority w:val="99"/>
    <w:semiHidden/>
    <w:unhideWhenUsed/>
    <w:rsid w:val="000D19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197C"/>
    <w:rPr>
      <w:sz w:val="20"/>
      <w:szCs w:val="20"/>
    </w:rPr>
  </w:style>
  <w:style w:type="character" w:styleId="FootnoteReference">
    <w:name w:val="footnote reference"/>
    <w:basedOn w:val="DefaultParagraphFont"/>
    <w:uiPriority w:val="99"/>
    <w:semiHidden/>
    <w:unhideWhenUsed/>
    <w:rsid w:val="000D197C"/>
    <w:rPr>
      <w:vertAlign w:val="superscript"/>
    </w:rPr>
  </w:style>
  <w:style w:type="character" w:styleId="Hyperlink">
    <w:name w:val="Hyperlink"/>
    <w:basedOn w:val="DefaultParagraphFont"/>
    <w:uiPriority w:val="99"/>
    <w:unhideWhenUsed/>
    <w:rsid w:val="006540EB"/>
    <w:rPr>
      <w:color w:val="0000FF"/>
      <w:u w:val="single"/>
    </w:rPr>
  </w:style>
  <w:style w:type="character" w:customStyle="1" w:styleId="decisia-reflex2-icon">
    <w:name w:val="decisia-reflex2-icon"/>
    <w:basedOn w:val="DefaultParagraphFont"/>
    <w:rsid w:val="006540EB"/>
  </w:style>
  <w:style w:type="paragraph" w:customStyle="1" w:styleId="paranondepar-altn">
    <w:name w:val="paranondepar-altn"/>
    <w:basedOn w:val="Normal"/>
    <w:rsid w:val="006540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2leveltitre2niveau">
    <w:name w:val="title2leveltitre2niveau"/>
    <w:basedOn w:val="Normal"/>
    <w:rsid w:val="006540E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aliases w:val="6_G"/>
    <w:basedOn w:val="Normal"/>
    <w:link w:val="HeaderChar"/>
    <w:unhideWhenUsed/>
    <w:rsid w:val="00FB7ED7"/>
    <w:pPr>
      <w:tabs>
        <w:tab w:val="center" w:pos="4680"/>
        <w:tab w:val="right" w:pos="9360"/>
      </w:tabs>
      <w:spacing w:after="0" w:line="240" w:lineRule="auto"/>
    </w:pPr>
  </w:style>
  <w:style w:type="character" w:customStyle="1" w:styleId="HeaderChar">
    <w:name w:val="Header Char"/>
    <w:aliases w:val="6_G Char"/>
    <w:basedOn w:val="DefaultParagraphFont"/>
    <w:link w:val="Header"/>
    <w:uiPriority w:val="99"/>
    <w:rsid w:val="00FB7ED7"/>
  </w:style>
  <w:style w:type="paragraph" w:styleId="Footer">
    <w:name w:val="footer"/>
    <w:basedOn w:val="Normal"/>
    <w:link w:val="FooterChar"/>
    <w:uiPriority w:val="99"/>
    <w:unhideWhenUsed/>
    <w:rsid w:val="00FB7E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ED7"/>
  </w:style>
  <w:style w:type="paragraph" w:styleId="BalloonText">
    <w:name w:val="Balloon Text"/>
    <w:basedOn w:val="Normal"/>
    <w:link w:val="BalloonTextChar"/>
    <w:uiPriority w:val="99"/>
    <w:semiHidden/>
    <w:unhideWhenUsed/>
    <w:rsid w:val="00FF2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426"/>
    <w:rPr>
      <w:rFonts w:ascii="Tahoma" w:hAnsi="Tahoma" w:cs="Tahoma"/>
      <w:sz w:val="16"/>
      <w:szCs w:val="16"/>
    </w:rPr>
  </w:style>
  <w:style w:type="character" w:styleId="CommentReference">
    <w:name w:val="annotation reference"/>
    <w:basedOn w:val="DefaultParagraphFont"/>
    <w:uiPriority w:val="99"/>
    <w:semiHidden/>
    <w:unhideWhenUsed/>
    <w:rsid w:val="00FF2426"/>
    <w:rPr>
      <w:sz w:val="16"/>
      <w:szCs w:val="16"/>
    </w:rPr>
  </w:style>
  <w:style w:type="paragraph" w:styleId="CommentText">
    <w:name w:val="annotation text"/>
    <w:basedOn w:val="Normal"/>
    <w:link w:val="CommentTextChar"/>
    <w:uiPriority w:val="99"/>
    <w:semiHidden/>
    <w:unhideWhenUsed/>
    <w:rsid w:val="00FF2426"/>
    <w:pPr>
      <w:spacing w:line="240" w:lineRule="auto"/>
    </w:pPr>
    <w:rPr>
      <w:sz w:val="20"/>
      <w:szCs w:val="20"/>
    </w:rPr>
  </w:style>
  <w:style w:type="character" w:customStyle="1" w:styleId="CommentTextChar">
    <w:name w:val="Comment Text Char"/>
    <w:basedOn w:val="DefaultParagraphFont"/>
    <w:link w:val="CommentText"/>
    <w:uiPriority w:val="99"/>
    <w:semiHidden/>
    <w:rsid w:val="00FF2426"/>
    <w:rPr>
      <w:sz w:val="20"/>
      <w:szCs w:val="20"/>
    </w:rPr>
  </w:style>
  <w:style w:type="paragraph" w:styleId="CommentSubject">
    <w:name w:val="annotation subject"/>
    <w:basedOn w:val="CommentText"/>
    <w:next w:val="CommentText"/>
    <w:link w:val="CommentSubjectChar"/>
    <w:uiPriority w:val="99"/>
    <w:semiHidden/>
    <w:unhideWhenUsed/>
    <w:rsid w:val="00FF2426"/>
    <w:rPr>
      <w:b/>
      <w:bCs/>
    </w:rPr>
  </w:style>
  <w:style w:type="character" w:customStyle="1" w:styleId="CommentSubjectChar">
    <w:name w:val="Comment Subject Char"/>
    <w:basedOn w:val="CommentTextChar"/>
    <w:link w:val="CommentSubject"/>
    <w:uiPriority w:val="99"/>
    <w:semiHidden/>
    <w:rsid w:val="00FF2426"/>
    <w:rPr>
      <w:b/>
      <w:bCs/>
      <w:sz w:val="20"/>
      <w:szCs w:val="20"/>
    </w:rPr>
  </w:style>
  <w:style w:type="character" w:customStyle="1" w:styleId="Heading1Char">
    <w:name w:val="Heading 1 Char"/>
    <w:basedOn w:val="DefaultParagraphFont"/>
    <w:link w:val="Heading1"/>
    <w:uiPriority w:val="9"/>
    <w:rsid w:val="00B57E72"/>
    <w:rPr>
      <w:rFonts w:ascii="Times New Roman" w:eastAsia="Times New Roman" w:hAnsi="Times New Roman" w:cs="Times New Roman"/>
      <w:b/>
      <w:bCs/>
      <w:kern w:val="36"/>
      <w:sz w:val="48"/>
      <w:szCs w:val="48"/>
    </w:rPr>
  </w:style>
  <w:style w:type="paragraph" w:customStyle="1" w:styleId="credits">
    <w:name w:val="credits"/>
    <w:basedOn w:val="Normal"/>
    <w:rsid w:val="00B57E7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57E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514427">
      <w:bodyDiv w:val="1"/>
      <w:marLeft w:val="0"/>
      <w:marRight w:val="0"/>
      <w:marTop w:val="0"/>
      <w:marBottom w:val="0"/>
      <w:divBdr>
        <w:top w:val="none" w:sz="0" w:space="0" w:color="auto"/>
        <w:left w:val="none" w:sz="0" w:space="0" w:color="auto"/>
        <w:bottom w:val="none" w:sz="0" w:space="0" w:color="auto"/>
        <w:right w:val="none" w:sz="0" w:space="0" w:color="auto"/>
      </w:divBdr>
    </w:div>
    <w:div w:id="1135370816">
      <w:bodyDiv w:val="1"/>
      <w:marLeft w:val="0"/>
      <w:marRight w:val="0"/>
      <w:marTop w:val="0"/>
      <w:marBottom w:val="0"/>
      <w:divBdr>
        <w:top w:val="none" w:sz="0" w:space="0" w:color="auto"/>
        <w:left w:val="none" w:sz="0" w:space="0" w:color="auto"/>
        <w:bottom w:val="none" w:sz="0" w:space="0" w:color="auto"/>
        <w:right w:val="none" w:sz="0" w:space="0" w:color="auto"/>
      </w:divBdr>
    </w:div>
    <w:div w:id="1186751198">
      <w:bodyDiv w:val="1"/>
      <w:marLeft w:val="0"/>
      <w:marRight w:val="0"/>
      <w:marTop w:val="0"/>
      <w:marBottom w:val="0"/>
      <w:divBdr>
        <w:top w:val="none" w:sz="0" w:space="0" w:color="auto"/>
        <w:left w:val="none" w:sz="0" w:space="0" w:color="auto"/>
        <w:bottom w:val="none" w:sz="0" w:space="0" w:color="auto"/>
        <w:right w:val="none" w:sz="0" w:space="0" w:color="auto"/>
      </w:divBdr>
    </w:div>
    <w:div w:id="1280651084">
      <w:bodyDiv w:val="1"/>
      <w:marLeft w:val="0"/>
      <w:marRight w:val="0"/>
      <w:marTop w:val="0"/>
      <w:marBottom w:val="0"/>
      <w:divBdr>
        <w:top w:val="none" w:sz="0" w:space="0" w:color="auto"/>
        <w:left w:val="none" w:sz="0" w:space="0" w:color="auto"/>
        <w:bottom w:val="none" w:sz="0" w:space="0" w:color="auto"/>
        <w:right w:val="none" w:sz="0" w:space="0" w:color="auto"/>
      </w:divBdr>
    </w:div>
    <w:div w:id="1704207790">
      <w:bodyDiv w:val="1"/>
      <w:marLeft w:val="0"/>
      <w:marRight w:val="0"/>
      <w:marTop w:val="0"/>
      <w:marBottom w:val="0"/>
      <w:divBdr>
        <w:top w:val="none" w:sz="0" w:space="0" w:color="auto"/>
        <w:left w:val="none" w:sz="0" w:space="0" w:color="auto"/>
        <w:bottom w:val="none" w:sz="0" w:space="0" w:color="auto"/>
        <w:right w:val="none" w:sz="0" w:space="0" w:color="auto"/>
      </w:divBdr>
    </w:div>
    <w:div w:id="176298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munications@ihraam.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thecanadianencyclopedia.ca" TargetMode="External"/><Relationship Id="rId1" Type="http://schemas.openxmlformats.org/officeDocument/2006/relationships/hyperlink" Target="https://kerrycoast.wordpress.com/category/the-colonial-pre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2832C-84EB-4DE8-B61E-2BE35BF44895}"/>
</file>

<file path=customXml/itemProps2.xml><?xml version="1.0" encoding="utf-8"?>
<ds:datastoreItem xmlns:ds="http://schemas.openxmlformats.org/officeDocument/2006/customXml" ds:itemID="{FC8A55A1-317E-45EB-B38E-2D5C1D379C55}"/>
</file>

<file path=customXml/itemProps3.xml><?xml version="1.0" encoding="utf-8"?>
<ds:datastoreItem xmlns:ds="http://schemas.openxmlformats.org/officeDocument/2006/customXml" ds:itemID="{D8E43DD6-F6C7-4650-BF74-E5BB29E85D82}"/>
</file>

<file path=customXml/itemProps4.xml><?xml version="1.0" encoding="utf-8"?>
<ds:datastoreItem xmlns:ds="http://schemas.openxmlformats.org/officeDocument/2006/customXml" ds:itemID="{5858A1EC-7487-43D1-B8FA-2D310F25B1D6}"/>
</file>

<file path=docProps/app.xml><?xml version="1.0" encoding="utf-8"?>
<Properties xmlns="http://schemas.openxmlformats.org/officeDocument/2006/extended-properties" xmlns:vt="http://schemas.openxmlformats.org/officeDocument/2006/docPropsVTypes">
  <Template>Normal</Template>
  <TotalTime>1</TotalTime>
  <Pages>13</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Henselwood</dc:creator>
  <cp:lastModifiedBy>Diana Collier</cp:lastModifiedBy>
  <cp:revision>2</cp:revision>
  <dcterms:created xsi:type="dcterms:W3CDTF">2016-01-27T04:20:00Z</dcterms:created>
  <dcterms:modified xsi:type="dcterms:W3CDTF">2016-01-27T04:20:00Z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