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744DF" w14:textId="2B76577E" w:rsidR="00866CE0" w:rsidRPr="00866CE0" w:rsidRDefault="00866CE0" w:rsidP="00866CE0">
      <w:pPr>
        <w:pBdr>
          <w:bottom w:val="single" w:sz="18" w:space="1" w:color="auto"/>
        </w:pBdr>
        <w:jc w:val="center"/>
        <w:rPr>
          <w:rFonts w:asciiTheme="majorBidi" w:hAnsiTheme="majorBidi" w:cstheme="majorBidi"/>
          <w:b/>
          <w:bCs/>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6CE0">
        <w:rPr>
          <w:rFonts w:asciiTheme="majorBidi" w:hAnsiTheme="majorBidi" w:cstheme="majorBidi"/>
          <w:b/>
          <w:bCs/>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for Peace’ Report to the Committee on the Rights of Persons with Disabilities Regarding </w:t>
      </w:r>
      <w:proofErr w:type="gramStart"/>
      <w:r w:rsidR="00EC2569" w:rsidRPr="00EC2569">
        <w:rPr>
          <w:rFonts w:asciiTheme="majorBidi" w:hAnsiTheme="majorBidi" w:cstheme="majorBidi"/>
          <w:b/>
          <w:bCs/>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proofErr w:type="gramEnd"/>
      <w:r w:rsidR="00EC2569" w:rsidRPr="00EC2569">
        <w:rPr>
          <w:rFonts w:asciiTheme="majorBidi" w:hAnsiTheme="majorBidi" w:cstheme="majorBidi"/>
          <w:b/>
          <w:bCs/>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State of </w:t>
      </w:r>
      <w:r w:rsidRPr="00EC2569">
        <w:rPr>
          <w:rFonts w:asciiTheme="majorBidi" w:hAnsiTheme="majorBidi" w:cstheme="majorBidi"/>
          <w:b/>
          <w:bCs/>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Palestine</w:t>
      </w:r>
    </w:p>
    <w:p w14:paraId="399A0224" w14:textId="77777777" w:rsidR="00866CE0" w:rsidRPr="00866CE0"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t>Maat for Peace, Development, and Human Rights submits this report to the Committee on the Rights of Persons with Disabilities to assess Palestine's compliance with the Convention on the Rights of Persons with Disabilities, which Palestine ratified on April 2, 2014. Maat notes that the war has exacerbated the suffering of persons with disabilities in Palestine, both in the Gaza Strip and the West Bank. As a result of this war, 10,000 people were amputated, becoming disabled. Rehabilitation centers in the Gaza Strip were also destroyed, and the only rehabilitation center in Gaza was shut down. This war has had negative impacts on education, employment, and healthcare for persons with disabilities in Palestine, hindering the full implementation of the provisions of the Convention.</w:t>
      </w:r>
    </w:p>
    <w:p w14:paraId="4994A190" w14:textId="645104D4" w:rsidR="004A7201"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t xml:space="preserve">Therefore, in this report, Maat for Peace, Development, and Human Rights focuses on evaluating the implementation of certain provisions of the Convention on the Rights of Persons with Disabilities by the Palestinian government, particularly those articles for which Maat has collected credible data and information, and on the impact of the war on persons with disabilities. Maat hopes that this data will be </w:t>
      </w:r>
      <w:proofErr w:type="gramStart"/>
      <w:r w:rsidRPr="00866CE0">
        <w:rPr>
          <w:rFonts w:asciiTheme="majorBidi" w:hAnsiTheme="majorBidi" w:cstheme="majorBidi"/>
          <w:sz w:val="24"/>
          <w:szCs w:val="24"/>
        </w:rPr>
        <w:t>taken into account</w:t>
      </w:r>
      <w:proofErr w:type="gramEnd"/>
      <w:r w:rsidRPr="00866CE0">
        <w:rPr>
          <w:rFonts w:asciiTheme="majorBidi" w:hAnsiTheme="majorBidi" w:cstheme="majorBidi"/>
          <w:sz w:val="24"/>
          <w:szCs w:val="24"/>
        </w:rPr>
        <w:t xml:space="preserve"> during the review process.</w:t>
      </w:r>
    </w:p>
    <w:p w14:paraId="21E76849" w14:textId="5C356455" w:rsidR="00866CE0" w:rsidRPr="00866CE0" w:rsidRDefault="00866CE0" w:rsidP="00866CE0">
      <w:pPr>
        <w:pStyle w:val="ListParagraph"/>
        <w:numPr>
          <w:ilvl w:val="0"/>
          <w:numId w:val="45"/>
        </w:numPr>
        <w:jc w:val="both"/>
        <w:rPr>
          <w:rFonts w:asciiTheme="majorBidi" w:hAnsiTheme="majorBidi" w:cstheme="majorBidi"/>
          <w:b/>
          <w:bCs/>
          <w:color w:val="C45911" w:themeColor="accent2" w:themeShade="BF"/>
          <w:sz w:val="28"/>
          <w:szCs w:val="28"/>
        </w:rPr>
      </w:pPr>
      <w:r w:rsidRPr="00866CE0">
        <w:rPr>
          <w:rFonts w:asciiTheme="majorBidi" w:hAnsiTheme="majorBidi" w:cstheme="majorBidi"/>
          <w:b/>
          <w:bCs/>
          <w:color w:val="C45911" w:themeColor="accent2" w:themeShade="BF"/>
          <w:sz w:val="28"/>
          <w:szCs w:val="28"/>
        </w:rPr>
        <w:t>General Obligations (Article 4)</w:t>
      </w:r>
    </w:p>
    <w:p w14:paraId="459871C4" w14:textId="77777777" w:rsidR="00866CE0" w:rsidRPr="00866CE0"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t>Maat noted the positive steps taken by the Palestinian government to implement the general obligations contained in Article 4 of the Convention. These included an attempt to issue a draft law on persons with disabilities in Palestine. By 2023, four drafts of the draft law had been issued. This draft law is likely to replace Law No. 4 of 1999 on the Rights of Persons with Disabilities, which was inconsistent with the provisions of the Convention on the Rights of Persons with Disabilities.</w:t>
      </w:r>
    </w:p>
    <w:p w14:paraId="47E04FA0" w14:textId="035B84DF" w:rsidR="00EC2569"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t>In this context, Maat notes that the law would integrate the provisions of the Convention on the Rights of Persons with Disabilities into the Palestinian national legal framework</w:t>
      </w:r>
      <w:r w:rsidR="00EC2569">
        <w:rPr>
          <w:rStyle w:val="FootnoteReference"/>
          <w:rFonts w:asciiTheme="majorBidi" w:hAnsiTheme="majorBidi" w:cstheme="majorBidi"/>
          <w:sz w:val="24"/>
          <w:szCs w:val="24"/>
        </w:rPr>
        <w:footnoteReference w:id="1"/>
      </w:r>
      <w:r w:rsidRPr="00866CE0">
        <w:rPr>
          <w:rFonts w:asciiTheme="majorBidi" w:hAnsiTheme="majorBidi" w:cstheme="majorBidi"/>
          <w:sz w:val="24"/>
          <w:szCs w:val="24"/>
        </w:rPr>
        <w:t xml:space="preserve">. In this context, Maat commends the Palestinian government's issuance of Decision-Law No. 36 of 2023 on the dissemination of the Convention on the Rights of Persons with Disabilities and its incorporation into Palestinian legislation. The Ministry of Education also issued the 2021-2023 Education Sector Strategy, which documented the educational reality of </w:t>
      </w:r>
      <w:proofErr w:type="gramStart"/>
      <w:r w:rsidRPr="00866CE0">
        <w:rPr>
          <w:rFonts w:asciiTheme="majorBidi" w:hAnsiTheme="majorBidi" w:cstheme="majorBidi"/>
          <w:sz w:val="24"/>
          <w:szCs w:val="24"/>
        </w:rPr>
        <w:t>persons</w:t>
      </w:r>
      <w:proofErr w:type="gramEnd"/>
      <w:r w:rsidRPr="00866CE0">
        <w:rPr>
          <w:rFonts w:asciiTheme="majorBidi" w:hAnsiTheme="majorBidi" w:cstheme="majorBidi"/>
          <w:sz w:val="24"/>
          <w:szCs w:val="24"/>
        </w:rPr>
        <w:t xml:space="preserve"> with disabilities</w:t>
      </w:r>
      <w:r w:rsidR="00EC2569">
        <w:rPr>
          <w:rStyle w:val="FootnoteReference"/>
          <w:rFonts w:asciiTheme="majorBidi" w:hAnsiTheme="majorBidi" w:cstheme="majorBidi"/>
          <w:sz w:val="24"/>
          <w:szCs w:val="24"/>
        </w:rPr>
        <w:footnoteReference w:id="2"/>
      </w:r>
      <w:r w:rsidRPr="00866CE0">
        <w:rPr>
          <w:rFonts w:asciiTheme="majorBidi" w:hAnsiTheme="majorBidi" w:cstheme="majorBidi"/>
          <w:sz w:val="24"/>
          <w:szCs w:val="24"/>
        </w:rPr>
        <w:t>.</w:t>
      </w:r>
    </w:p>
    <w:p w14:paraId="1227D2BC" w14:textId="43FC79FA" w:rsidR="00866CE0"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lastRenderedPageBreak/>
        <w:t>However, this strategy did not provide for a separate section for students with disabilities. Despite these positive measures, particularly legislative ones, Maat notes the challenges facing the Palestinian government's implementation of the general obligations contained in Article 4 of the Convention. These challenges include the continued violations committed by the Israeli occupying authorities in the West Bank and the Gaza Strip, in addition to the limited funding supporting programs for persons with disabilities, especially after the change in donor orientations.</w:t>
      </w:r>
    </w:p>
    <w:p w14:paraId="418B536D" w14:textId="1C0EA8A8" w:rsidR="00866CE0"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t>These challenges have exacerbated the suffering of this group. In this context, reports reviewed by Maat indicate that the number of persons with disabilities in the Gaza Strip has increased—driven by the escalation of the war on the Palestinian territories—by more than 12,000 new disabilities since the beginning of the war until November 2024. These disabilities range from amputations to the loss of senses such as sight and hearing</w:t>
      </w:r>
      <w:r w:rsidR="00EC2569">
        <w:rPr>
          <w:rStyle w:val="FootnoteReference"/>
          <w:rFonts w:asciiTheme="majorBidi" w:hAnsiTheme="majorBidi" w:cstheme="majorBidi"/>
          <w:sz w:val="24"/>
          <w:szCs w:val="24"/>
        </w:rPr>
        <w:footnoteReference w:id="3"/>
      </w:r>
      <w:r w:rsidRPr="00866CE0">
        <w:rPr>
          <w:rFonts w:asciiTheme="majorBidi" w:hAnsiTheme="majorBidi" w:cstheme="majorBidi"/>
          <w:sz w:val="24"/>
          <w:szCs w:val="24"/>
        </w:rPr>
        <w:t xml:space="preserve">. Persons with disabilities are not protected or spared from military operations carried out by the occupying power against Palestinian civilians. They face significant difficulties escaping targeted buildings, especially tall ones, due to the difficulty of moving without assistance. Furthermore, repeated evacuations to new areas ill-equipped for their special needs exacerbate their suffering and make it difficult to meet their basic needs, such as food, medicine, medical equipment such as hearing aids and wheelchairs, and electricity needed to operate respirators. A.M., a resident of Khan Yunis, reported that his 15-year-old son and 17-year-old niece suffer from mobility disabilities, and that during the ongoing displacement, they are forced to reside in camps and shelters that do not meet their mobility needs or </w:t>
      </w:r>
      <w:proofErr w:type="gramStart"/>
      <w:r w:rsidRPr="00866CE0">
        <w:rPr>
          <w:rFonts w:asciiTheme="majorBidi" w:hAnsiTheme="majorBidi" w:cstheme="majorBidi"/>
          <w:sz w:val="24"/>
          <w:szCs w:val="24"/>
        </w:rPr>
        <w:t>take into account</w:t>
      </w:r>
      <w:proofErr w:type="gramEnd"/>
      <w:r w:rsidRPr="00866CE0">
        <w:rPr>
          <w:rFonts w:asciiTheme="majorBidi" w:hAnsiTheme="majorBidi" w:cstheme="majorBidi"/>
          <w:sz w:val="24"/>
          <w:szCs w:val="24"/>
        </w:rPr>
        <w:t xml:space="preserve"> their health conditions in any way</w:t>
      </w:r>
      <w:r w:rsidR="00EC2569">
        <w:rPr>
          <w:rStyle w:val="FootnoteReference"/>
          <w:rFonts w:asciiTheme="majorBidi" w:hAnsiTheme="majorBidi" w:cstheme="majorBidi"/>
          <w:sz w:val="24"/>
          <w:szCs w:val="24"/>
        </w:rPr>
        <w:footnoteReference w:id="4"/>
      </w:r>
      <w:r w:rsidRPr="00866CE0">
        <w:rPr>
          <w:rFonts w:asciiTheme="majorBidi" w:hAnsiTheme="majorBidi" w:cstheme="majorBidi"/>
          <w:sz w:val="24"/>
          <w:szCs w:val="24"/>
        </w:rPr>
        <w:t>.</w:t>
      </w:r>
    </w:p>
    <w:p w14:paraId="6801CD57" w14:textId="2E1FA06E" w:rsidR="00866CE0" w:rsidRPr="00866CE0" w:rsidRDefault="00866CE0" w:rsidP="00866CE0">
      <w:pPr>
        <w:pStyle w:val="ListParagraph"/>
        <w:numPr>
          <w:ilvl w:val="0"/>
          <w:numId w:val="45"/>
        </w:numPr>
        <w:jc w:val="both"/>
        <w:rPr>
          <w:rFonts w:asciiTheme="majorBidi" w:hAnsiTheme="majorBidi" w:cstheme="majorBidi"/>
          <w:b/>
          <w:bCs/>
          <w:color w:val="C45911" w:themeColor="accent2" w:themeShade="BF"/>
          <w:sz w:val="28"/>
          <w:szCs w:val="28"/>
        </w:rPr>
      </w:pPr>
      <w:r w:rsidRPr="00866CE0">
        <w:rPr>
          <w:rFonts w:asciiTheme="majorBidi" w:hAnsiTheme="majorBidi" w:cstheme="majorBidi"/>
          <w:b/>
          <w:bCs/>
          <w:color w:val="C45911" w:themeColor="accent2" w:themeShade="BF"/>
          <w:sz w:val="28"/>
          <w:szCs w:val="28"/>
        </w:rPr>
        <w:t>Women with Disabilities (Article 6)</w:t>
      </w:r>
    </w:p>
    <w:p w14:paraId="3AD9198C" w14:textId="04BFCE14" w:rsidR="00866CE0"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t>The Basic Law of Palestine, also known as the Interim Constitution, guarantees the rights of women with disabilities without discrimination between them and men. However, Maat notes, based on credible reports, that women and girls with disabilities are four times more likely to experience sexual violence than other women and girls. Systematic violence and discrimination remain prevalent, whether perpetrated against women and girls with disabilities by the occupying power or internal violence resulting from patriarchal societal culture</w:t>
      </w:r>
      <w:r w:rsidR="00EC2569">
        <w:rPr>
          <w:rStyle w:val="FootnoteReference"/>
          <w:rFonts w:asciiTheme="majorBidi" w:hAnsiTheme="majorBidi" w:cstheme="majorBidi"/>
          <w:sz w:val="24"/>
          <w:szCs w:val="24"/>
        </w:rPr>
        <w:footnoteReference w:id="5"/>
      </w:r>
      <w:r w:rsidRPr="00866CE0">
        <w:rPr>
          <w:rFonts w:asciiTheme="majorBidi" w:hAnsiTheme="majorBidi" w:cstheme="majorBidi"/>
          <w:sz w:val="24"/>
          <w:szCs w:val="24"/>
        </w:rPr>
        <w:t>. Maat believes that halting funding for some programs supporting the elimination of violence against women with disabilities, especially in the West Bank, could lead to an increase and spread of this phenomenon.</w:t>
      </w:r>
    </w:p>
    <w:p w14:paraId="5744C79D" w14:textId="73D0D144" w:rsidR="00866CE0" w:rsidRPr="00866CE0" w:rsidRDefault="00866CE0" w:rsidP="00866CE0">
      <w:pPr>
        <w:pStyle w:val="ListParagraph"/>
        <w:numPr>
          <w:ilvl w:val="0"/>
          <w:numId w:val="45"/>
        </w:numPr>
        <w:jc w:val="both"/>
        <w:rPr>
          <w:rFonts w:asciiTheme="majorBidi" w:hAnsiTheme="majorBidi" w:cstheme="majorBidi"/>
          <w:b/>
          <w:bCs/>
          <w:color w:val="C45911" w:themeColor="accent2" w:themeShade="BF"/>
          <w:sz w:val="28"/>
          <w:szCs w:val="28"/>
        </w:rPr>
      </w:pPr>
      <w:r w:rsidRPr="00866CE0">
        <w:rPr>
          <w:rFonts w:asciiTheme="majorBidi" w:hAnsiTheme="majorBidi" w:cstheme="majorBidi"/>
          <w:b/>
          <w:bCs/>
          <w:color w:val="C45911" w:themeColor="accent2" w:themeShade="BF"/>
          <w:sz w:val="28"/>
          <w:szCs w:val="28"/>
        </w:rPr>
        <w:lastRenderedPageBreak/>
        <w:t>Children with Disabilities (Article 7)</w:t>
      </w:r>
    </w:p>
    <w:p w14:paraId="04AAB458" w14:textId="05190D9B" w:rsidR="00866CE0" w:rsidRPr="00866CE0"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t>There are no up-to-date statistics available regarding children with disabilities in the occupied Palestinian territories. Despite the Palestinian government's efforts to integrate these children, including the participation of approximately 64 visually impaired students in the unified national tests organized by the Ministry of Education</w:t>
      </w:r>
      <w:r w:rsidR="00EC2569">
        <w:rPr>
          <w:rStyle w:val="FootnoteReference"/>
          <w:rFonts w:asciiTheme="majorBidi" w:hAnsiTheme="majorBidi" w:cstheme="majorBidi"/>
          <w:sz w:val="24"/>
          <w:szCs w:val="24"/>
        </w:rPr>
        <w:footnoteReference w:id="6"/>
      </w:r>
      <w:r w:rsidRPr="00866CE0">
        <w:rPr>
          <w:rFonts w:asciiTheme="majorBidi" w:hAnsiTheme="majorBidi" w:cstheme="majorBidi"/>
          <w:sz w:val="24"/>
          <w:szCs w:val="24"/>
        </w:rPr>
        <w:t>, children who have acquired disabilities and those already living with disabilities in Gaza face a precarious security situation and additional difficulties as they struggle to comply with repeated evacuation orders issued by the Israeli occupation authorities.</w:t>
      </w:r>
    </w:p>
    <w:p w14:paraId="6B593A76" w14:textId="74266AFE" w:rsidR="00866CE0"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t>Separately, Maat has reviewed data indicating that, between January and June 2024, 12,000 children with disabilities lost or had their assistive devices, such as wheelchairs and hearing aids, damaged during their forced displacement, impacting their independence. In the absence of specialized care, medication, and assistive devices, these children face heightened protection risks</w:t>
      </w:r>
      <w:r w:rsidR="00EC2569">
        <w:rPr>
          <w:rStyle w:val="FootnoteReference"/>
          <w:rFonts w:asciiTheme="majorBidi" w:hAnsiTheme="majorBidi" w:cstheme="majorBidi"/>
          <w:sz w:val="24"/>
          <w:szCs w:val="24"/>
        </w:rPr>
        <w:footnoteReference w:id="7"/>
      </w:r>
      <w:r w:rsidRPr="00866CE0">
        <w:rPr>
          <w:rFonts w:asciiTheme="majorBidi" w:hAnsiTheme="majorBidi" w:cstheme="majorBidi"/>
          <w:sz w:val="24"/>
          <w:szCs w:val="24"/>
        </w:rPr>
        <w:t>. Maat has also continued to observe incidents of violence against students with disabilities in schools. Maat documented four children with disabilities being subjected to violence in schools during 2024, which calls for the activation of protection mechanisms for children with disabilities across the Palestinian territories.</w:t>
      </w:r>
    </w:p>
    <w:p w14:paraId="55922475" w14:textId="295E66DC" w:rsidR="00866CE0" w:rsidRPr="00866CE0" w:rsidRDefault="00866CE0" w:rsidP="00866CE0">
      <w:pPr>
        <w:pStyle w:val="ListParagraph"/>
        <w:numPr>
          <w:ilvl w:val="0"/>
          <w:numId w:val="45"/>
        </w:numPr>
        <w:jc w:val="both"/>
        <w:rPr>
          <w:rFonts w:asciiTheme="majorBidi" w:hAnsiTheme="majorBidi" w:cstheme="majorBidi"/>
          <w:b/>
          <w:bCs/>
          <w:color w:val="C45911" w:themeColor="accent2" w:themeShade="BF"/>
          <w:sz w:val="28"/>
          <w:szCs w:val="28"/>
        </w:rPr>
      </w:pPr>
      <w:r w:rsidRPr="00866CE0">
        <w:rPr>
          <w:rFonts w:asciiTheme="majorBidi" w:hAnsiTheme="majorBidi" w:cstheme="majorBidi"/>
          <w:b/>
          <w:bCs/>
          <w:color w:val="C45911" w:themeColor="accent2" w:themeShade="BF"/>
          <w:sz w:val="28"/>
          <w:szCs w:val="28"/>
        </w:rPr>
        <w:t>The Right to Life (Article 10)</w:t>
      </w:r>
    </w:p>
    <w:p w14:paraId="615C7886" w14:textId="12E47904" w:rsidR="00866CE0"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t xml:space="preserve">The war on the Gaza Strip has led to the collapse of the right to life for </w:t>
      </w:r>
      <w:proofErr w:type="gramStart"/>
      <w:r w:rsidRPr="00866CE0">
        <w:rPr>
          <w:rFonts w:asciiTheme="majorBidi" w:hAnsiTheme="majorBidi" w:cstheme="majorBidi"/>
          <w:sz w:val="24"/>
          <w:szCs w:val="24"/>
        </w:rPr>
        <w:t>persons</w:t>
      </w:r>
      <w:proofErr w:type="gramEnd"/>
      <w:r w:rsidRPr="00866CE0">
        <w:rPr>
          <w:rFonts w:asciiTheme="majorBidi" w:hAnsiTheme="majorBidi" w:cstheme="majorBidi"/>
          <w:sz w:val="24"/>
          <w:szCs w:val="24"/>
        </w:rPr>
        <w:t xml:space="preserve"> with disabilities. Due to the indiscriminate bombing carried out by the Israeli occupation forces, approximately 1,720 persons with disabilities were killed in the Gaza Strip alone, in addition to hundreds of other injuries. Maat notes that persons with disabilities who were injured have not received adequate medical care to treat these injuries, due to the collapse of the health sector, which threatens the death of hundreds more persons with disabilities. On July 3, 2024, Maat documented the killing of a 24-year-old man named "M. B.", who suffers from Down syndrome and autism, after an Israeli military dog attacked his home in the Shuja'iyya neighborhood of the Gaza Strip</w:t>
      </w:r>
      <w:r w:rsidR="00EC2569">
        <w:rPr>
          <w:rStyle w:val="FootnoteReference"/>
          <w:rFonts w:asciiTheme="majorBidi" w:hAnsiTheme="majorBidi" w:cstheme="majorBidi"/>
          <w:sz w:val="24"/>
          <w:szCs w:val="24"/>
        </w:rPr>
        <w:footnoteReference w:id="8"/>
      </w:r>
      <w:r w:rsidRPr="00866CE0">
        <w:rPr>
          <w:rFonts w:asciiTheme="majorBidi" w:hAnsiTheme="majorBidi" w:cstheme="majorBidi"/>
          <w:sz w:val="24"/>
          <w:szCs w:val="24"/>
        </w:rPr>
        <w:t>. In a related context, restrictions on the entry of humanitarian aid into the Gaza Strip and the spread of famine have threatened the lives of hundreds of persons with disabilities who survived the bombing and shooting of civilians in the Strip.</w:t>
      </w:r>
    </w:p>
    <w:p w14:paraId="141A1942" w14:textId="73FA930B" w:rsidR="00866CE0" w:rsidRPr="00866CE0" w:rsidRDefault="00866CE0" w:rsidP="00866CE0">
      <w:pPr>
        <w:pStyle w:val="ListParagraph"/>
        <w:numPr>
          <w:ilvl w:val="0"/>
          <w:numId w:val="45"/>
        </w:numPr>
        <w:jc w:val="both"/>
        <w:rPr>
          <w:rFonts w:asciiTheme="majorBidi" w:hAnsiTheme="majorBidi" w:cstheme="majorBidi"/>
          <w:b/>
          <w:bCs/>
          <w:color w:val="C45911" w:themeColor="accent2" w:themeShade="BF"/>
          <w:sz w:val="28"/>
          <w:szCs w:val="28"/>
        </w:rPr>
      </w:pPr>
      <w:r w:rsidRPr="00866CE0">
        <w:rPr>
          <w:rFonts w:asciiTheme="majorBidi" w:hAnsiTheme="majorBidi" w:cstheme="majorBidi"/>
          <w:b/>
          <w:bCs/>
          <w:color w:val="C45911" w:themeColor="accent2" w:themeShade="BF"/>
          <w:sz w:val="28"/>
          <w:szCs w:val="28"/>
        </w:rPr>
        <w:lastRenderedPageBreak/>
        <w:t>Education for Persons with Disabilities (Article 24)</w:t>
      </w:r>
    </w:p>
    <w:p w14:paraId="44E48897" w14:textId="2A4AA7EB" w:rsidR="00866CE0"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t>Palestine has committed to ensuring inclusive education for persons with disabilities. Reports reviewed by Maat indicate that the Ministry of Education has begun integrating children with mild disabilities into education. Official data shows that 68% of schools in the West Bank have infrastructure and materials that meet the needs of students with disabilities in the 2023/2024 academic year</w:t>
      </w:r>
      <w:r w:rsidR="00EC2569">
        <w:rPr>
          <w:rStyle w:val="FootnoteReference"/>
          <w:rFonts w:asciiTheme="majorBidi" w:hAnsiTheme="majorBidi" w:cstheme="majorBidi"/>
          <w:sz w:val="24"/>
          <w:szCs w:val="24"/>
        </w:rPr>
        <w:footnoteReference w:id="9"/>
      </w:r>
      <w:r w:rsidRPr="00866CE0">
        <w:rPr>
          <w:rFonts w:asciiTheme="majorBidi" w:hAnsiTheme="majorBidi" w:cstheme="majorBidi"/>
          <w:sz w:val="24"/>
          <w:szCs w:val="24"/>
        </w:rPr>
        <w:t>. Despite this, children with disabilities in Palestine face challenges in accessing quality education. These challenges include the lack of specialized teachers and the limited availability of adequate training for teachers on the inclusion of children with disabilities in education</w:t>
      </w:r>
      <w:r w:rsidR="00EC2569">
        <w:rPr>
          <w:rStyle w:val="FootnoteReference"/>
          <w:rFonts w:asciiTheme="majorBidi" w:hAnsiTheme="majorBidi" w:cstheme="majorBidi"/>
          <w:sz w:val="24"/>
          <w:szCs w:val="24"/>
        </w:rPr>
        <w:footnoteReference w:id="10"/>
      </w:r>
      <w:r w:rsidRPr="00866CE0">
        <w:rPr>
          <w:rFonts w:asciiTheme="majorBidi" w:hAnsiTheme="majorBidi" w:cstheme="majorBidi"/>
          <w:sz w:val="24"/>
          <w:szCs w:val="24"/>
        </w:rPr>
        <w:t>.</w:t>
      </w:r>
    </w:p>
    <w:p w14:paraId="008541BE" w14:textId="407945F0" w:rsidR="00866CE0" w:rsidRPr="00866CE0" w:rsidRDefault="00866CE0" w:rsidP="00866CE0">
      <w:pPr>
        <w:pStyle w:val="ListParagraph"/>
        <w:numPr>
          <w:ilvl w:val="0"/>
          <w:numId w:val="45"/>
        </w:numPr>
        <w:jc w:val="both"/>
        <w:rPr>
          <w:rFonts w:asciiTheme="majorBidi" w:hAnsiTheme="majorBidi" w:cstheme="majorBidi"/>
          <w:b/>
          <w:bCs/>
          <w:color w:val="C45911" w:themeColor="accent2" w:themeShade="BF"/>
          <w:sz w:val="28"/>
          <w:szCs w:val="28"/>
        </w:rPr>
      </w:pPr>
      <w:r w:rsidRPr="00866CE0">
        <w:rPr>
          <w:rFonts w:asciiTheme="majorBidi" w:hAnsiTheme="majorBidi" w:cstheme="majorBidi"/>
          <w:b/>
          <w:bCs/>
          <w:color w:val="C45911" w:themeColor="accent2" w:themeShade="BF"/>
          <w:sz w:val="28"/>
          <w:szCs w:val="28"/>
        </w:rPr>
        <w:t>Rehabilitation (Article 26)</w:t>
      </w:r>
    </w:p>
    <w:p w14:paraId="384ED846" w14:textId="21956473" w:rsidR="00866CE0"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t>Maat notes the negative impact of the Israeli war on the Gaza Strip on the rehabilitation of persons with disabilities. The Israeli war has left 20,000 people disabled, including 5,000 with permanent disabilities, 15% of whom are children. An additional 15,000 injured persons require long-term rehabilitation and medical care to prevent their becoming disabled</w:t>
      </w:r>
      <w:r w:rsidR="00EC2569">
        <w:rPr>
          <w:rStyle w:val="FootnoteReference"/>
          <w:rFonts w:asciiTheme="majorBidi" w:hAnsiTheme="majorBidi" w:cstheme="majorBidi"/>
          <w:sz w:val="24"/>
          <w:szCs w:val="24"/>
        </w:rPr>
        <w:footnoteReference w:id="11"/>
      </w:r>
      <w:r w:rsidRPr="00866CE0">
        <w:rPr>
          <w:rFonts w:asciiTheme="majorBidi" w:hAnsiTheme="majorBidi" w:cstheme="majorBidi"/>
          <w:sz w:val="24"/>
          <w:szCs w:val="24"/>
        </w:rPr>
        <w:t>. In this context, Maat notes the steps taken by the Palestinian government to rehabilitate persons with disabilities, particularly vocational rehabilitation. The Palestinian Red Crescent Society in Nablus also provides rehabilitation and vocational programs aimed at effectively integrating persons with disabilities into society. This includes empowering young people with mild intellectual disabilities</w:t>
      </w:r>
      <w:r w:rsidR="00130025">
        <w:rPr>
          <w:rStyle w:val="FootnoteReference"/>
          <w:rFonts w:asciiTheme="majorBidi" w:hAnsiTheme="majorBidi" w:cstheme="majorBidi"/>
          <w:sz w:val="24"/>
          <w:szCs w:val="24"/>
        </w:rPr>
        <w:footnoteReference w:id="12"/>
      </w:r>
      <w:r w:rsidRPr="00866CE0">
        <w:rPr>
          <w:rFonts w:asciiTheme="majorBidi" w:hAnsiTheme="majorBidi" w:cstheme="majorBidi"/>
          <w:sz w:val="24"/>
          <w:szCs w:val="24"/>
        </w:rPr>
        <w:t>. However, Maat has concerns about the effects of the Israeli attacks on the Gaza Strip and their subsequent direct impact on persons with disabilities. The only prosthetic limb rehabilitation center at Nasser Medical Complex has been closed since December 2023 due to a shortage of supplies, forcing specialized health workers to flee</w:t>
      </w:r>
      <w:r w:rsidR="00130025">
        <w:rPr>
          <w:rStyle w:val="FootnoteReference"/>
          <w:rFonts w:asciiTheme="majorBidi" w:hAnsiTheme="majorBidi" w:cstheme="majorBidi"/>
          <w:sz w:val="24"/>
          <w:szCs w:val="24"/>
        </w:rPr>
        <w:footnoteReference w:id="13"/>
      </w:r>
      <w:r w:rsidRPr="00866CE0">
        <w:rPr>
          <w:rFonts w:asciiTheme="majorBidi" w:hAnsiTheme="majorBidi" w:cstheme="majorBidi"/>
          <w:sz w:val="24"/>
          <w:szCs w:val="24"/>
        </w:rPr>
        <w:t xml:space="preserve">. The continued closure of this center will exacerbate the suffering of </w:t>
      </w:r>
      <w:proofErr w:type="gramStart"/>
      <w:r w:rsidRPr="00866CE0">
        <w:rPr>
          <w:rFonts w:asciiTheme="majorBidi" w:hAnsiTheme="majorBidi" w:cstheme="majorBidi"/>
          <w:sz w:val="24"/>
          <w:szCs w:val="24"/>
        </w:rPr>
        <w:t>persons</w:t>
      </w:r>
      <w:proofErr w:type="gramEnd"/>
      <w:r w:rsidRPr="00866CE0">
        <w:rPr>
          <w:rFonts w:asciiTheme="majorBidi" w:hAnsiTheme="majorBidi" w:cstheme="majorBidi"/>
          <w:sz w:val="24"/>
          <w:szCs w:val="24"/>
        </w:rPr>
        <w:t xml:space="preserve"> with disabilities.</w:t>
      </w:r>
    </w:p>
    <w:p w14:paraId="11598D17" w14:textId="7FEEA62D" w:rsidR="00866CE0" w:rsidRPr="00866CE0" w:rsidRDefault="00866CE0" w:rsidP="00866CE0">
      <w:pPr>
        <w:pStyle w:val="ListParagraph"/>
        <w:numPr>
          <w:ilvl w:val="0"/>
          <w:numId w:val="45"/>
        </w:numPr>
        <w:jc w:val="both"/>
        <w:rPr>
          <w:rFonts w:asciiTheme="majorBidi" w:hAnsiTheme="majorBidi" w:cstheme="majorBidi"/>
          <w:b/>
          <w:bCs/>
          <w:color w:val="C45911" w:themeColor="accent2" w:themeShade="BF"/>
          <w:sz w:val="28"/>
          <w:szCs w:val="28"/>
        </w:rPr>
      </w:pPr>
      <w:r w:rsidRPr="00866CE0">
        <w:rPr>
          <w:rFonts w:asciiTheme="majorBidi" w:hAnsiTheme="majorBidi" w:cstheme="majorBidi"/>
          <w:b/>
          <w:bCs/>
          <w:color w:val="C45911" w:themeColor="accent2" w:themeShade="BF"/>
          <w:sz w:val="28"/>
          <w:szCs w:val="28"/>
        </w:rPr>
        <w:t>Work and Employment (Article 27)</w:t>
      </w:r>
    </w:p>
    <w:p w14:paraId="33865910" w14:textId="77777777" w:rsidR="00866CE0" w:rsidRPr="00866CE0"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t xml:space="preserve">The latest official statistics on the participation of persons with disabilities in the labor force in the occupied Palestinian territories date back to </w:t>
      </w:r>
      <w:proofErr w:type="gramStart"/>
      <w:r w:rsidRPr="00866CE0">
        <w:rPr>
          <w:rFonts w:asciiTheme="majorBidi" w:hAnsiTheme="majorBidi" w:cstheme="majorBidi"/>
          <w:sz w:val="24"/>
          <w:szCs w:val="24"/>
        </w:rPr>
        <w:t>2017, and</w:t>
      </w:r>
      <w:proofErr w:type="gramEnd"/>
      <w:r w:rsidRPr="00866CE0">
        <w:rPr>
          <w:rFonts w:asciiTheme="majorBidi" w:hAnsiTheme="majorBidi" w:cstheme="majorBidi"/>
          <w:sz w:val="24"/>
          <w:szCs w:val="24"/>
        </w:rPr>
        <w:t xml:space="preserve"> indicate that 63% of this group participated </w:t>
      </w:r>
      <w:r w:rsidRPr="00866CE0">
        <w:rPr>
          <w:rFonts w:asciiTheme="majorBidi" w:hAnsiTheme="majorBidi" w:cstheme="majorBidi"/>
          <w:sz w:val="24"/>
          <w:szCs w:val="24"/>
        </w:rPr>
        <w:lastRenderedPageBreak/>
        <w:t>in the labor force. However, the Israeli war on the Gaza Strip resulted in 100% of persons with disabilities who are eligible for work being unemployed in the Strip.</w:t>
      </w:r>
    </w:p>
    <w:p w14:paraId="7C7EE64D" w14:textId="19E50BDE" w:rsidR="00866CE0"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t xml:space="preserve">The widespread unemployment among persons with disabilities confirms the weak implementation of Palestinian Labor Law No. 7 of 2000, Article 13 of which stipulates that employers are obligated to employ </w:t>
      </w:r>
      <w:proofErr w:type="gramStart"/>
      <w:r w:rsidRPr="00866CE0">
        <w:rPr>
          <w:rFonts w:asciiTheme="majorBidi" w:hAnsiTheme="majorBidi" w:cstheme="majorBidi"/>
          <w:sz w:val="24"/>
          <w:szCs w:val="24"/>
        </w:rPr>
        <w:t>a number of</w:t>
      </w:r>
      <w:proofErr w:type="gramEnd"/>
      <w:r w:rsidRPr="00866CE0">
        <w:rPr>
          <w:rFonts w:asciiTheme="majorBidi" w:hAnsiTheme="majorBidi" w:cstheme="majorBidi"/>
          <w:sz w:val="24"/>
          <w:szCs w:val="24"/>
        </w:rPr>
        <w:t xml:space="preserve"> qualified workers with disabilities in jobs compatible with their disabilities, representing no less than 5% of the facility's workforce. Article 16 also prohibits discrimination in terms and conditions of employment among workers in Palestine. Labor relations in the private sector are regulated by Palestinian Labor Law No. 7 of 2000. Employment in the public sector is regulated by Civil Service Law No. 4 of 1998. In general, government policies and encouragement to employ people with disabilities have not led to an increase in their employment rate. In the Gaza Strip, the war has led to unemployment spreading among nearly 100% of this group qualified to work, which has exposed them to higher levels of poverty than their peers in society</w:t>
      </w:r>
      <w:r w:rsidR="00130025">
        <w:rPr>
          <w:rStyle w:val="FootnoteReference"/>
          <w:rFonts w:asciiTheme="majorBidi" w:hAnsiTheme="majorBidi" w:cstheme="majorBidi"/>
          <w:sz w:val="24"/>
          <w:szCs w:val="24"/>
        </w:rPr>
        <w:footnoteReference w:id="14"/>
      </w:r>
      <w:r w:rsidRPr="00866CE0">
        <w:rPr>
          <w:rFonts w:asciiTheme="majorBidi" w:hAnsiTheme="majorBidi" w:cstheme="majorBidi"/>
          <w:sz w:val="24"/>
          <w:szCs w:val="24"/>
        </w:rPr>
        <w:t>.</w:t>
      </w:r>
    </w:p>
    <w:p w14:paraId="57AE4C06" w14:textId="5C781D19" w:rsidR="00866CE0" w:rsidRPr="00866CE0" w:rsidRDefault="00866CE0" w:rsidP="00866CE0">
      <w:pPr>
        <w:pStyle w:val="ListParagraph"/>
        <w:numPr>
          <w:ilvl w:val="0"/>
          <w:numId w:val="45"/>
        </w:numPr>
        <w:jc w:val="both"/>
        <w:rPr>
          <w:rFonts w:asciiTheme="majorBidi" w:hAnsiTheme="majorBidi" w:cstheme="majorBidi"/>
          <w:b/>
          <w:bCs/>
          <w:color w:val="C45911" w:themeColor="accent2" w:themeShade="BF"/>
          <w:sz w:val="28"/>
          <w:szCs w:val="28"/>
        </w:rPr>
      </w:pPr>
      <w:r w:rsidRPr="00866CE0">
        <w:rPr>
          <w:rFonts w:asciiTheme="majorBidi" w:hAnsiTheme="majorBidi" w:cstheme="majorBidi"/>
          <w:b/>
          <w:bCs/>
          <w:color w:val="C45911" w:themeColor="accent2" w:themeShade="BF"/>
          <w:sz w:val="28"/>
          <w:szCs w:val="28"/>
        </w:rPr>
        <w:t>Political Participation of Persons with Disabilities (Article 29)</w:t>
      </w:r>
    </w:p>
    <w:p w14:paraId="54A76708" w14:textId="1BC4390D" w:rsidR="00866CE0" w:rsidRPr="00866CE0"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t xml:space="preserve">The Palestinian Interim Constitution stipulates the equality of Palestinians before the law without discrimination, including in political participation. The Palestinian Federation conducts awareness workshops on the political participation of persons with disabilities. </w:t>
      </w:r>
      <w:proofErr w:type="gramStart"/>
      <w:r w:rsidRPr="00866CE0">
        <w:rPr>
          <w:rFonts w:asciiTheme="majorBidi" w:hAnsiTheme="majorBidi" w:cstheme="majorBidi"/>
          <w:sz w:val="24"/>
          <w:szCs w:val="24"/>
        </w:rPr>
        <w:t>Persons</w:t>
      </w:r>
      <w:proofErr w:type="gramEnd"/>
      <w:r w:rsidRPr="00866CE0">
        <w:rPr>
          <w:rFonts w:asciiTheme="majorBidi" w:hAnsiTheme="majorBidi" w:cstheme="majorBidi"/>
          <w:sz w:val="24"/>
          <w:szCs w:val="24"/>
        </w:rPr>
        <w:t xml:space="preserve"> with disabilities face structural challenges in exercising their right to political participation, such as the lack of appropriate entrances to polling stations. Furthermore, despite the high voter turnout of persons with disabilities in municipal elections in Palestine, the percentage of candidates running in these elections remains limited</w:t>
      </w:r>
      <w:r w:rsidR="00130025">
        <w:rPr>
          <w:rStyle w:val="FootnoteReference"/>
          <w:rFonts w:asciiTheme="majorBidi" w:hAnsiTheme="majorBidi" w:cstheme="majorBidi"/>
          <w:sz w:val="24"/>
          <w:szCs w:val="24"/>
        </w:rPr>
        <w:footnoteReference w:id="15"/>
      </w:r>
      <w:r w:rsidRPr="00866CE0">
        <w:rPr>
          <w:rFonts w:asciiTheme="majorBidi" w:hAnsiTheme="majorBidi" w:cstheme="majorBidi"/>
          <w:sz w:val="24"/>
          <w:szCs w:val="24"/>
        </w:rPr>
        <w:t>.</w:t>
      </w:r>
    </w:p>
    <w:p w14:paraId="2310A7CC" w14:textId="50E13E0E" w:rsidR="00866CE0" w:rsidRDefault="00866CE0" w:rsidP="00866CE0">
      <w:pPr>
        <w:jc w:val="both"/>
        <w:rPr>
          <w:rFonts w:asciiTheme="majorBidi" w:hAnsiTheme="majorBidi" w:cstheme="majorBidi"/>
          <w:sz w:val="24"/>
          <w:szCs w:val="24"/>
        </w:rPr>
      </w:pPr>
      <w:r w:rsidRPr="00866CE0">
        <w:rPr>
          <w:rFonts w:asciiTheme="majorBidi" w:hAnsiTheme="majorBidi" w:cstheme="majorBidi"/>
          <w:sz w:val="24"/>
          <w:szCs w:val="24"/>
        </w:rPr>
        <w:t>Maat notes that despite the allocation of a quota for women in municipal councils, women with disabilities still face challenges in their political participation. These challenges include traditional customs and traditions, a lack of family support, and a lack of sufficient knowledge about political participation</w:t>
      </w:r>
      <w:r w:rsidR="00130025">
        <w:rPr>
          <w:rStyle w:val="FootnoteReference"/>
          <w:rFonts w:asciiTheme="majorBidi" w:hAnsiTheme="majorBidi" w:cstheme="majorBidi"/>
          <w:sz w:val="24"/>
          <w:szCs w:val="24"/>
        </w:rPr>
        <w:footnoteReference w:id="16"/>
      </w:r>
      <w:r w:rsidRPr="00866CE0">
        <w:rPr>
          <w:rFonts w:asciiTheme="majorBidi" w:hAnsiTheme="majorBidi" w:cstheme="majorBidi"/>
          <w:sz w:val="24"/>
          <w:szCs w:val="24"/>
        </w:rPr>
        <w:t>.</w:t>
      </w:r>
    </w:p>
    <w:p w14:paraId="2447ABB7" w14:textId="77777777" w:rsidR="00130025" w:rsidRDefault="00130025" w:rsidP="00866CE0">
      <w:pPr>
        <w:jc w:val="both"/>
        <w:rPr>
          <w:rFonts w:asciiTheme="majorBidi" w:hAnsiTheme="majorBidi" w:cstheme="majorBidi"/>
          <w:sz w:val="24"/>
          <w:szCs w:val="24"/>
        </w:rPr>
      </w:pPr>
    </w:p>
    <w:p w14:paraId="68A3A602" w14:textId="77777777" w:rsidR="00130025" w:rsidRDefault="00130025" w:rsidP="00866CE0">
      <w:pPr>
        <w:jc w:val="both"/>
        <w:rPr>
          <w:rFonts w:asciiTheme="majorBidi" w:hAnsiTheme="majorBidi" w:cstheme="majorBidi"/>
          <w:sz w:val="24"/>
          <w:szCs w:val="24"/>
        </w:rPr>
      </w:pPr>
    </w:p>
    <w:p w14:paraId="52C024BF" w14:textId="1997B175" w:rsidR="00EC2569" w:rsidRDefault="00866CE0" w:rsidP="00EC2569">
      <w:pPr>
        <w:pStyle w:val="ListParagraph"/>
        <w:numPr>
          <w:ilvl w:val="0"/>
          <w:numId w:val="45"/>
        </w:numPr>
        <w:jc w:val="both"/>
        <w:rPr>
          <w:rFonts w:asciiTheme="majorBidi" w:hAnsiTheme="majorBidi" w:cstheme="majorBidi"/>
          <w:b/>
          <w:bCs/>
          <w:color w:val="C45911" w:themeColor="accent2" w:themeShade="BF"/>
          <w:sz w:val="28"/>
          <w:szCs w:val="28"/>
        </w:rPr>
      </w:pPr>
      <w:r w:rsidRPr="00866CE0">
        <w:rPr>
          <w:rFonts w:asciiTheme="majorBidi" w:hAnsiTheme="majorBidi" w:cstheme="majorBidi"/>
          <w:b/>
          <w:bCs/>
          <w:color w:val="C45911" w:themeColor="accent2" w:themeShade="BF"/>
          <w:sz w:val="28"/>
          <w:szCs w:val="28"/>
        </w:rPr>
        <w:lastRenderedPageBreak/>
        <w:t>Recommendations</w:t>
      </w:r>
      <w:r w:rsidR="00EC2569">
        <w:rPr>
          <w:rFonts w:asciiTheme="majorBidi" w:hAnsiTheme="majorBidi" w:cstheme="majorBidi"/>
          <w:b/>
          <w:bCs/>
          <w:color w:val="C45911" w:themeColor="accent2" w:themeShade="BF"/>
          <w:sz w:val="28"/>
          <w:szCs w:val="28"/>
        </w:rPr>
        <w:br/>
      </w:r>
    </w:p>
    <w:p w14:paraId="0170E062" w14:textId="77777777" w:rsidR="00866CE0" w:rsidRDefault="00866CE0" w:rsidP="0080186B">
      <w:pPr>
        <w:pStyle w:val="ListParagraph"/>
        <w:numPr>
          <w:ilvl w:val="0"/>
          <w:numId w:val="46"/>
        </w:numPr>
        <w:jc w:val="both"/>
        <w:rPr>
          <w:rFonts w:asciiTheme="majorBidi" w:hAnsiTheme="majorBidi" w:cstheme="majorBidi"/>
          <w:sz w:val="24"/>
          <w:szCs w:val="24"/>
        </w:rPr>
      </w:pPr>
      <w:r w:rsidRPr="00866CE0">
        <w:rPr>
          <w:rFonts w:asciiTheme="majorBidi" w:hAnsiTheme="majorBidi" w:cstheme="majorBidi"/>
          <w:sz w:val="24"/>
          <w:szCs w:val="24"/>
        </w:rPr>
        <w:t>The Palestinian government should continue to provide financial resources to integrate and increase the number of students with disabilities into the educational process and seek assistance from international donors.</w:t>
      </w:r>
    </w:p>
    <w:p w14:paraId="6522EDAC" w14:textId="77777777" w:rsidR="00866CE0" w:rsidRDefault="00866CE0" w:rsidP="00D81855">
      <w:pPr>
        <w:pStyle w:val="ListParagraph"/>
        <w:numPr>
          <w:ilvl w:val="0"/>
          <w:numId w:val="46"/>
        </w:numPr>
        <w:jc w:val="both"/>
        <w:rPr>
          <w:rFonts w:asciiTheme="majorBidi" w:hAnsiTheme="majorBidi" w:cstheme="majorBidi"/>
          <w:sz w:val="24"/>
          <w:szCs w:val="24"/>
        </w:rPr>
      </w:pPr>
      <w:r w:rsidRPr="00866CE0">
        <w:rPr>
          <w:rFonts w:asciiTheme="majorBidi" w:hAnsiTheme="majorBidi" w:cstheme="majorBidi"/>
          <w:sz w:val="24"/>
          <w:szCs w:val="24"/>
        </w:rPr>
        <w:t>Consider accelerating the issuance of a law on persons with disabilities that is consistent with the provisions of the Convention.</w:t>
      </w:r>
    </w:p>
    <w:p w14:paraId="052FC61C" w14:textId="77777777" w:rsidR="00866CE0" w:rsidRDefault="00866CE0" w:rsidP="000D6642">
      <w:pPr>
        <w:pStyle w:val="ListParagraph"/>
        <w:numPr>
          <w:ilvl w:val="0"/>
          <w:numId w:val="46"/>
        </w:numPr>
        <w:jc w:val="both"/>
        <w:rPr>
          <w:rFonts w:asciiTheme="majorBidi" w:hAnsiTheme="majorBidi" w:cstheme="majorBidi"/>
          <w:sz w:val="24"/>
          <w:szCs w:val="24"/>
        </w:rPr>
      </w:pPr>
      <w:r w:rsidRPr="00866CE0">
        <w:rPr>
          <w:rFonts w:asciiTheme="majorBidi" w:hAnsiTheme="majorBidi" w:cstheme="majorBidi"/>
          <w:sz w:val="24"/>
          <w:szCs w:val="24"/>
        </w:rPr>
        <w:t>Consider allocating a separate section for students with disabilities in the updated phase of the sectoral strategy for education.</w:t>
      </w:r>
    </w:p>
    <w:p w14:paraId="589AF6C7" w14:textId="77777777" w:rsidR="00866CE0" w:rsidRDefault="00866CE0" w:rsidP="00E54EB0">
      <w:pPr>
        <w:pStyle w:val="ListParagraph"/>
        <w:numPr>
          <w:ilvl w:val="0"/>
          <w:numId w:val="46"/>
        </w:numPr>
        <w:jc w:val="both"/>
        <w:rPr>
          <w:rFonts w:asciiTheme="majorBidi" w:hAnsiTheme="majorBidi" w:cstheme="majorBidi"/>
          <w:sz w:val="24"/>
          <w:szCs w:val="24"/>
        </w:rPr>
      </w:pPr>
      <w:r w:rsidRPr="00866CE0">
        <w:rPr>
          <w:rFonts w:asciiTheme="majorBidi" w:hAnsiTheme="majorBidi" w:cstheme="majorBidi"/>
          <w:sz w:val="24"/>
          <w:szCs w:val="24"/>
        </w:rPr>
        <w:t>Encourage Palestinian women with disabilities to join political parties and actively participate in municipal elections.</w:t>
      </w:r>
    </w:p>
    <w:p w14:paraId="13822D4E" w14:textId="77777777" w:rsidR="00866CE0" w:rsidRDefault="00866CE0" w:rsidP="002F28F6">
      <w:pPr>
        <w:pStyle w:val="ListParagraph"/>
        <w:numPr>
          <w:ilvl w:val="0"/>
          <w:numId w:val="46"/>
        </w:numPr>
        <w:jc w:val="both"/>
        <w:rPr>
          <w:rFonts w:asciiTheme="majorBidi" w:hAnsiTheme="majorBidi" w:cstheme="majorBidi"/>
          <w:sz w:val="24"/>
          <w:szCs w:val="24"/>
        </w:rPr>
      </w:pPr>
      <w:r w:rsidRPr="00866CE0">
        <w:rPr>
          <w:rFonts w:asciiTheme="majorBidi" w:hAnsiTheme="majorBidi" w:cstheme="majorBidi"/>
          <w:sz w:val="24"/>
          <w:szCs w:val="24"/>
        </w:rPr>
        <w:t>Work to develop guidelines for the 5% employment rate for persons with disabilities stipulated in the Palestinian Labor Law.</w:t>
      </w:r>
    </w:p>
    <w:p w14:paraId="0D85F537" w14:textId="77777777" w:rsidR="00EC2569" w:rsidRDefault="00866CE0" w:rsidP="00EC2569">
      <w:pPr>
        <w:pStyle w:val="ListParagraph"/>
        <w:numPr>
          <w:ilvl w:val="0"/>
          <w:numId w:val="46"/>
        </w:numPr>
        <w:jc w:val="both"/>
        <w:rPr>
          <w:rFonts w:asciiTheme="majorBidi" w:hAnsiTheme="majorBidi" w:cstheme="majorBidi"/>
          <w:sz w:val="24"/>
          <w:szCs w:val="24"/>
        </w:rPr>
      </w:pPr>
      <w:r w:rsidRPr="00866CE0">
        <w:rPr>
          <w:rFonts w:asciiTheme="majorBidi" w:hAnsiTheme="majorBidi" w:cstheme="majorBidi"/>
          <w:sz w:val="24"/>
          <w:szCs w:val="24"/>
        </w:rPr>
        <w:t xml:space="preserve">Consider providing </w:t>
      </w:r>
      <w:proofErr w:type="gramStart"/>
      <w:r w:rsidRPr="00866CE0">
        <w:rPr>
          <w:rFonts w:asciiTheme="majorBidi" w:hAnsiTheme="majorBidi" w:cstheme="majorBidi"/>
          <w:sz w:val="24"/>
          <w:szCs w:val="24"/>
        </w:rPr>
        <w:t>persons</w:t>
      </w:r>
      <w:proofErr w:type="gramEnd"/>
      <w:r w:rsidRPr="00866CE0">
        <w:rPr>
          <w:rFonts w:asciiTheme="majorBidi" w:hAnsiTheme="majorBidi" w:cstheme="majorBidi"/>
          <w:sz w:val="24"/>
          <w:szCs w:val="24"/>
        </w:rPr>
        <w:t xml:space="preserve"> with disabilities with the opportunity to exercise their political rights, such as the right to vote and run for office on an equal </w:t>
      </w:r>
      <w:proofErr w:type="gramStart"/>
      <w:r w:rsidRPr="00866CE0">
        <w:rPr>
          <w:rFonts w:asciiTheme="majorBidi" w:hAnsiTheme="majorBidi" w:cstheme="majorBidi"/>
          <w:sz w:val="24"/>
          <w:szCs w:val="24"/>
        </w:rPr>
        <w:t>footing, and</w:t>
      </w:r>
      <w:proofErr w:type="gramEnd"/>
      <w:r w:rsidRPr="00866CE0">
        <w:rPr>
          <w:rFonts w:asciiTheme="majorBidi" w:hAnsiTheme="majorBidi" w:cstheme="majorBidi"/>
          <w:sz w:val="24"/>
          <w:szCs w:val="24"/>
        </w:rPr>
        <w:t xml:space="preserve"> remove any structural or institutional barriers that prevent this.</w:t>
      </w:r>
    </w:p>
    <w:p w14:paraId="5CD78AF4" w14:textId="77777777" w:rsidR="00EC2569" w:rsidRDefault="00866CE0" w:rsidP="00EC2569">
      <w:pPr>
        <w:pStyle w:val="ListParagraph"/>
        <w:numPr>
          <w:ilvl w:val="0"/>
          <w:numId w:val="46"/>
        </w:numPr>
        <w:jc w:val="both"/>
        <w:rPr>
          <w:rFonts w:asciiTheme="majorBidi" w:hAnsiTheme="majorBidi" w:cstheme="majorBidi"/>
          <w:sz w:val="24"/>
          <w:szCs w:val="24"/>
        </w:rPr>
      </w:pPr>
      <w:r w:rsidRPr="00EC2569">
        <w:rPr>
          <w:rFonts w:asciiTheme="majorBidi" w:hAnsiTheme="majorBidi" w:cstheme="majorBidi"/>
          <w:sz w:val="24"/>
          <w:szCs w:val="24"/>
        </w:rPr>
        <w:t xml:space="preserve">Increase social protection allocations for </w:t>
      </w:r>
      <w:proofErr w:type="gramStart"/>
      <w:r w:rsidRPr="00EC2569">
        <w:rPr>
          <w:rFonts w:asciiTheme="majorBidi" w:hAnsiTheme="majorBidi" w:cstheme="majorBidi"/>
          <w:sz w:val="24"/>
          <w:szCs w:val="24"/>
        </w:rPr>
        <w:t>persons</w:t>
      </w:r>
      <w:proofErr w:type="gramEnd"/>
      <w:r w:rsidRPr="00EC2569">
        <w:rPr>
          <w:rFonts w:asciiTheme="majorBidi" w:hAnsiTheme="majorBidi" w:cstheme="majorBidi"/>
          <w:sz w:val="24"/>
          <w:szCs w:val="24"/>
        </w:rPr>
        <w:t xml:space="preserve"> with disabilities who are unable to work.</w:t>
      </w:r>
    </w:p>
    <w:p w14:paraId="49E62B69" w14:textId="0CACD0EB" w:rsidR="00866CE0" w:rsidRPr="00EC2569" w:rsidRDefault="00866CE0" w:rsidP="00EC2569">
      <w:pPr>
        <w:pStyle w:val="ListParagraph"/>
        <w:numPr>
          <w:ilvl w:val="0"/>
          <w:numId w:val="46"/>
        </w:numPr>
        <w:jc w:val="both"/>
        <w:rPr>
          <w:rFonts w:asciiTheme="majorBidi" w:hAnsiTheme="majorBidi" w:cstheme="majorBidi"/>
          <w:sz w:val="24"/>
          <w:szCs w:val="24"/>
        </w:rPr>
      </w:pPr>
      <w:r w:rsidRPr="00EC2569">
        <w:rPr>
          <w:rFonts w:asciiTheme="majorBidi" w:hAnsiTheme="majorBidi" w:cstheme="majorBidi"/>
          <w:sz w:val="24"/>
          <w:szCs w:val="24"/>
        </w:rPr>
        <w:t xml:space="preserve">Ensure the inclusion of </w:t>
      </w:r>
      <w:proofErr w:type="gramStart"/>
      <w:r w:rsidRPr="00EC2569">
        <w:rPr>
          <w:rFonts w:asciiTheme="majorBidi" w:hAnsiTheme="majorBidi" w:cstheme="majorBidi"/>
          <w:sz w:val="24"/>
          <w:szCs w:val="24"/>
        </w:rPr>
        <w:t>persons</w:t>
      </w:r>
      <w:proofErr w:type="gramEnd"/>
      <w:r w:rsidRPr="00EC2569">
        <w:rPr>
          <w:rFonts w:asciiTheme="majorBidi" w:hAnsiTheme="majorBidi" w:cstheme="majorBidi"/>
          <w:sz w:val="24"/>
          <w:szCs w:val="24"/>
        </w:rPr>
        <w:t xml:space="preserve"> with disabilities in health programs and interventions that are expected to be planned and implemented.</w:t>
      </w:r>
    </w:p>
    <w:p w14:paraId="49F233B7" w14:textId="77777777" w:rsidR="00866CE0" w:rsidRPr="00866CE0" w:rsidRDefault="00866CE0" w:rsidP="00866CE0">
      <w:pPr>
        <w:jc w:val="both"/>
        <w:rPr>
          <w:rFonts w:asciiTheme="majorBidi" w:hAnsiTheme="majorBidi" w:cstheme="majorBidi"/>
          <w:sz w:val="24"/>
          <w:szCs w:val="24"/>
          <w:rtl/>
        </w:rPr>
      </w:pPr>
    </w:p>
    <w:sectPr w:rsidR="00866CE0" w:rsidRPr="00866CE0"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26390" w14:textId="77777777" w:rsidR="00DE6A62" w:rsidRDefault="00DE6A62" w:rsidP="004F6D5A">
      <w:pPr>
        <w:spacing w:after="0" w:line="240" w:lineRule="auto"/>
      </w:pPr>
      <w:r>
        <w:separator/>
      </w:r>
    </w:p>
  </w:endnote>
  <w:endnote w:type="continuationSeparator" w:id="0">
    <w:p w14:paraId="6B1F6FA5" w14:textId="77777777" w:rsidR="00DE6A62" w:rsidRDefault="00DE6A62"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9C81B" w14:textId="77777777" w:rsidR="00DE6A62" w:rsidRDefault="00DE6A62" w:rsidP="004F6D5A">
      <w:pPr>
        <w:spacing w:after="0" w:line="240" w:lineRule="auto"/>
      </w:pPr>
      <w:r>
        <w:separator/>
      </w:r>
    </w:p>
  </w:footnote>
  <w:footnote w:type="continuationSeparator" w:id="0">
    <w:p w14:paraId="101DF00A" w14:textId="77777777" w:rsidR="00DE6A62" w:rsidRDefault="00DE6A62" w:rsidP="004F6D5A">
      <w:pPr>
        <w:spacing w:after="0" w:line="240" w:lineRule="auto"/>
      </w:pPr>
      <w:r>
        <w:continuationSeparator/>
      </w:r>
    </w:p>
  </w:footnote>
  <w:footnote w:id="1">
    <w:p w14:paraId="73579547" w14:textId="1B69AE22" w:rsidR="00EC2569" w:rsidRPr="00130025" w:rsidRDefault="00EC2569">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Decree-Law No. 36 of 2023 regarding publishing the Convention on the Rights of Persons with Disabilities, at the following link: </w:t>
      </w:r>
      <w:hyperlink r:id="rId1" w:history="1">
        <w:r w:rsidRPr="00130025">
          <w:rPr>
            <w:rStyle w:val="Hyperlink"/>
            <w:rFonts w:asciiTheme="majorBidi" w:hAnsiTheme="majorBidi" w:cstheme="majorBidi"/>
            <w:sz w:val="18"/>
            <w:szCs w:val="18"/>
          </w:rPr>
          <w:t>https://musawa.ps/laws/8</w:t>
        </w:r>
      </w:hyperlink>
      <w:r w:rsidRPr="00130025">
        <w:rPr>
          <w:rFonts w:asciiTheme="majorBidi" w:hAnsiTheme="majorBidi" w:cstheme="majorBidi"/>
          <w:sz w:val="18"/>
          <w:szCs w:val="18"/>
        </w:rPr>
        <w:t xml:space="preserve"> </w:t>
      </w:r>
    </w:p>
  </w:footnote>
  <w:footnote w:id="2">
    <w:p w14:paraId="69050705" w14:textId="53088919" w:rsidR="00EC2569" w:rsidRPr="00130025" w:rsidRDefault="00EC2569">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Country Profiles: Policies for Employing Persons with Disabilities, p. 15, at the following link: </w:t>
      </w:r>
      <w:hyperlink r:id="rId2" w:history="1">
        <w:r w:rsidRPr="00130025">
          <w:rPr>
            <w:rStyle w:val="Hyperlink"/>
            <w:rFonts w:asciiTheme="majorBidi" w:hAnsiTheme="majorBidi" w:cstheme="majorBidi"/>
            <w:sz w:val="18"/>
            <w:szCs w:val="18"/>
          </w:rPr>
          <w:t>https://tinyurl.com/467x5r7e</w:t>
        </w:r>
      </w:hyperlink>
      <w:r w:rsidRPr="00130025">
        <w:rPr>
          <w:rFonts w:asciiTheme="majorBidi" w:hAnsiTheme="majorBidi" w:cstheme="majorBidi"/>
          <w:sz w:val="18"/>
          <w:szCs w:val="18"/>
        </w:rPr>
        <w:t xml:space="preserve"> </w:t>
      </w:r>
    </w:p>
  </w:footnote>
  <w:footnote w:id="3">
    <w:p w14:paraId="1420FEF4" w14:textId="44CF51C5" w:rsidR="00EC2569" w:rsidRPr="00130025" w:rsidRDefault="00EC2569">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12,000 new people with disabilities in the Gaza Strip, </w:t>
      </w:r>
      <w:proofErr w:type="spellStart"/>
      <w:r w:rsidRPr="00130025">
        <w:rPr>
          <w:rFonts w:asciiTheme="majorBidi" w:hAnsiTheme="majorBidi" w:cstheme="majorBidi"/>
          <w:sz w:val="18"/>
          <w:szCs w:val="18"/>
        </w:rPr>
        <w:t>Palgraph</w:t>
      </w:r>
      <w:proofErr w:type="spellEnd"/>
      <w:r w:rsidRPr="00130025">
        <w:rPr>
          <w:rFonts w:asciiTheme="majorBidi" w:hAnsiTheme="majorBidi" w:cstheme="majorBidi"/>
          <w:sz w:val="18"/>
          <w:szCs w:val="18"/>
        </w:rPr>
        <w:t xml:space="preserve">, </w:t>
      </w:r>
      <w:hyperlink r:id="rId3" w:history="1">
        <w:r w:rsidRPr="00130025">
          <w:rPr>
            <w:rStyle w:val="Hyperlink"/>
            <w:rFonts w:asciiTheme="majorBidi" w:hAnsiTheme="majorBidi" w:cstheme="majorBidi"/>
            <w:sz w:val="18"/>
            <w:szCs w:val="18"/>
          </w:rPr>
          <w:t>https://palgraph.ps/post/11151</w:t>
        </w:r>
      </w:hyperlink>
      <w:r w:rsidRPr="00130025">
        <w:rPr>
          <w:rFonts w:asciiTheme="majorBidi" w:hAnsiTheme="majorBidi" w:cstheme="majorBidi"/>
          <w:sz w:val="18"/>
          <w:szCs w:val="18"/>
        </w:rPr>
        <w:t xml:space="preserve"> </w:t>
      </w:r>
    </w:p>
  </w:footnote>
  <w:footnote w:id="4">
    <w:p w14:paraId="7968EE46" w14:textId="7F0A79DA" w:rsidR="00EC2569" w:rsidRPr="00130025" w:rsidRDefault="00EC2569">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The number of people with disabilities is increasing rapidly, exacerbating their suffering and reducing their chances of survival. Al Mezan Center for Human Rights, </w:t>
      </w:r>
      <w:hyperlink r:id="rId4" w:history="1">
        <w:r w:rsidRPr="00130025">
          <w:rPr>
            <w:rStyle w:val="Hyperlink"/>
            <w:rFonts w:asciiTheme="majorBidi" w:hAnsiTheme="majorBidi" w:cstheme="majorBidi"/>
            <w:sz w:val="18"/>
            <w:szCs w:val="18"/>
          </w:rPr>
          <w:t>https://2h.ae/nScB</w:t>
        </w:r>
      </w:hyperlink>
      <w:r w:rsidRPr="00130025">
        <w:rPr>
          <w:rFonts w:asciiTheme="majorBidi" w:hAnsiTheme="majorBidi" w:cstheme="majorBidi"/>
          <w:sz w:val="18"/>
          <w:szCs w:val="18"/>
        </w:rPr>
        <w:t xml:space="preserve"> </w:t>
      </w:r>
    </w:p>
  </w:footnote>
  <w:footnote w:id="5">
    <w:p w14:paraId="4D517DE0" w14:textId="2D51672F" w:rsidR="00EC2569" w:rsidRPr="00130025" w:rsidRDefault="00EC2569">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Fact Sheet: The Situation of Women and Girls with Disabilities in Palestine on International Women's Day, </w:t>
      </w:r>
      <w:hyperlink r:id="rId5" w:history="1">
        <w:r w:rsidRPr="00130025">
          <w:rPr>
            <w:rStyle w:val="Hyperlink"/>
            <w:rFonts w:asciiTheme="majorBidi" w:hAnsiTheme="majorBidi" w:cstheme="majorBidi"/>
            <w:sz w:val="18"/>
            <w:szCs w:val="18"/>
          </w:rPr>
          <w:t>https://www.qader.org/ar/resources/4866.html</w:t>
        </w:r>
      </w:hyperlink>
      <w:r w:rsidRPr="00130025">
        <w:rPr>
          <w:rFonts w:asciiTheme="majorBidi" w:hAnsiTheme="majorBidi" w:cstheme="majorBidi"/>
          <w:sz w:val="18"/>
          <w:szCs w:val="18"/>
        </w:rPr>
        <w:t xml:space="preserve"> </w:t>
      </w:r>
    </w:p>
  </w:footnote>
  <w:footnote w:id="6">
    <w:p w14:paraId="2D2B9B3F" w14:textId="3B6F9701" w:rsidR="00EC2569" w:rsidRPr="00130025" w:rsidRDefault="00EC2569">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For the first time in Palestine, visually impaired students participate in national tests. See the following link: </w:t>
      </w:r>
      <w:hyperlink r:id="rId6" w:history="1">
        <w:r w:rsidRPr="00130025">
          <w:rPr>
            <w:rStyle w:val="Hyperlink"/>
            <w:rFonts w:asciiTheme="majorBidi" w:hAnsiTheme="majorBidi" w:cstheme="majorBidi"/>
            <w:sz w:val="18"/>
            <w:szCs w:val="18"/>
          </w:rPr>
          <w:t>https://www.akhbar-sharq.com/news/48689</w:t>
        </w:r>
      </w:hyperlink>
      <w:r w:rsidRPr="00130025">
        <w:rPr>
          <w:rFonts w:asciiTheme="majorBidi" w:hAnsiTheme="majorBidi" w:cstheme="majorBidi"/>
          <w:sz w:val="18"/>
          <w:szCs w:val="18"/>
        </w:rPr>
        <w:t xml:space="preserve"> </w:t>
      </w:r>
    </w:p>
  </w:footnote>
  <w:footnote w:id="7">
    <w:p w14:paraId="00E37568" w14:textId="06F0D5BE" w:rsidR="00EC2569" w:rsidRPr="00130025" w:rsidRDefault="00EC2569">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See the following link: </w:t>
      </w:r>
      <w:hyperlink r:id="rId7" w:history="1">
        <w:r w:rsidRPr="00130025">
          <w:rPr>
            <w:rStyle w:val="Hyperlink"/>
            <w:rFonts w:asciiTheme="majorBidi" w:hAnsiTheme="majorBidi" w:cstheme="majorBidi"/>
            <w:sz w:val="18"/>
            <w:szCs w:val="18"/>
          </w:rPr>
          <w:t>https://tinyurl.com/y8x59f76</w:t>
        </w:r>
      </w:hyperlink>
      <w:r w:rsidRPr="00130025">
        <w:rPr>
          <w:rFonts w:asciiTheme="majorBidi" w:hAnsiTheme="majorBidi" w:cstheme="majorBidi"/>
          <w:sz w:val="18"/>
          <w:szCs w:val="18"/>
        </w:rPr>
        <w:t xml:space="preserve"> </w:t>
      </w:r>
    </w:p>
  </w:footnote>
  <w:footnote w:id="8">
    <w:p w14:paraId="62033F14" w14:textId="0C72C3DF" w:rsidR="00EC2569" w:rsidRPr="00130025" w:rsidRDefault="00EC2569">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The story of a Palestinian man with Down syndrome who was mauled to death by an Israeli army dog, Asharq Al-Awsat, at the following link: </w:t>
      </w:r>
      <w:hyperlink r:id="rId8" w:history="1">
        <w:r w:rsidRPr="00130025">
          <w:rPr>
            <w:rStyle w:val="Hyperlink"/>
            <w:rFonts w:asciiTheme="majorBidi" w:hAnsiTheme="majorBidi" w:cstheme="majorBidi"/>
            <w:sz w:val="18"/>
            <w:szCs w:val="18"/>
          </w:rPr>
          <w:t>https://shorturl.at/3B1yE</w:t>
        </w:r>
      </w:hyperlink>
      <w:r w:rsidRPr="00130025">
        <w:rPr>
          <w:rFonts w:asciiTheme="majorBidi" w:hAnsiTheme="majorBidi" w:cstheme="majorBidi"/>
          <w:sz w:val="18"/>
          <w:szCs w:val="18"/>
        </w:rPr>
        <w:t xml:space="preserve"> </w:t>
      </w:r>
    </w:p>
  </w:footnote>
  <w:footnote w:id="9">
    <w:p w14:paraId="71F752B7" w14:textId="5B8AE6BA" w:rsidR="00EC2569" w:rsidRPr="00130025" w:rsidRDefault="00EC2569">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The Reality of Palestinian Children’s Rights, p. 43, at the following link: </w:t>
      </w:r>
      <w:hyperlink r:id="rId9" w:history="1">
        <w:r w:rsidRPr="00130025">
          <w:rPr>
            <w:rStyle w:val="Hyperlink"/>
            <w:rFonts w:asciiTheme="majorBidi" w:hAnsiTheme="majorBidi" w:cstheme="majorBidi"/>
            <w:sz w:val="18"/>
            <w:szCs w:val="18"/>
          </w:rPr>
          <w:t>https://www.pcbs.gov.ps/Downloads/book2707.pdf</w:t>
        </w:r>
      </w:hyperlink>
      <w:r w:rsidRPr="00130025">
        <w:rPr>
          <w:rFonts w:asciiTheme="majorBidi" w:hAnsiTheme="majorBidi" w:cstheme="majorBidi"/>
          <w:sz w:val="18"/>
          <w:szCs w:val="18"/>
        </w:rPr>
        <w:t xml:space="preserve"> </w:t>
      </w:r>
    </w:p>
  </w:footnote>
  <w:footnote w:id="10">
    <w:p w14:paraId="0D18B40C" w14:textId="0CB4F7AE" w:rsidR="00EC2569" w:rsidRPr="00130025" w:rsidRDefault="00EC2569">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See the following link: </w:t>
      </w:r>
      <w:hyperlink r:id="rId10" w:history="1">
        <w:r w:rsidRPr="00130025">
          <w:rPr>
            <w:rStyle w:val="Hyperlink"/>
            <w:rFonts w:asciiTheme="majorBidi" w:hAnsiTheme="majorBidi" w:cstheme="majorBidi"/>
            <w:sz w:val="18"/>
            <w:szCs w:val="18"/>
          </w:rPr>
          <w:t>https://sero.journals.ekb.eg/article_353395.html</w:t>
        </w:r>
      </w:hyperlink>
      <w:r w:rsidRPr="00130025">
        <w:rPr>
          <w:rFonts w:asciiTheme="majorBidi" w:hAnsiTheme="majorBidi" w:cstheme="majorBidi"/>
          <w:sz w:val="18"/>
          <w:szCs w:val="18"/>
        </w:rPr>
        <w:t xml:space="preserve"> </w:t>
      </w:r>
    </w:p>
  </w:footnote>
  <w:footnote w:id="11">
    <w:p w14:paraId="0D27ED25" w14:textId="75E768E8" w:rsidR="00EC2569" w:rsidRPr="00130025" w:rsidRDefault="00EC2569">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“Nothing about us without us” is a slogan that does not apply to people with disabilities in Gaza. The Palestinian Information Center: at the following link: </w:t>
      </w:r>
      <w:hyperlink r:id="rId11" w:history="1">
        <w:r w:rsidRPr="00130025">
          <w:rPr>
            <w:rStyle w:val="Hyperlink"/>
            <w:rFonts w:asciiTheme="majorBidi" w:hAnsiTheme="majorBidi" w:cstheme="majorBidi"/>
            <w:sz w:val="18"/>
            <w:szCs w:val="18"/>
          </w:rPr>
          <w:t>https://palinfo.com/news/2024/12/03/928649/</w:t>
        </w:r>
      </w:hyperlink>
      <w:r w:rsidRPr="00130025">
        <w:rPr>
          <w:rFonts w:asciiTheme="majorBidi" w:hAnsiTheme="majorBidi" w:cstheme="majorBidi"/>
          <w:sz w:val="18"/>
          <w:szCs w:val="18"/>
        </w:rPr>
        <w:t xml:space="preserve"> </w:t>
      </w:r>
    </w:p>
  </w:footnote>
  <w:footnote w:id="12">
    <w:p w14:paraId="38600D2C" w14:textId="45B971A3" w:rsidR="00130025" w:rsidRPr="00130025" w:rsidRDefault="00130025">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Fawaz Al-Qasas Center: A professional opportunity on the path to integration, Palestine Red Crescent Society, at the link: </w:t>
      </w:r>
      <w:hyperlink r:id="rId12" w:history="1">
        <w:r w:rsidRPr="00130025">
          <w:rPr>
            <w:rStyle w:val="Hyperlink"/>
            <w:rFonts w:asciiTheme="majorBidi" w:hAnsiTheme="majorBidi" w:cstheme="majorBidi"/>
            <w:sz w:val="18"/>
            <w:szCs w:val="18"/>
          </w:rPr>
          <w:t>https://tinyurl.com/322kk786</w:t>
        </w:r>
      </w:hyperlink>
      <w:r w:rsidRPr="00130025">
        <w:rPr>
          <w:rFonts w:asciiTheme="majorBidi" w:hAnsiTheme="majorBidi" w:cstheme="majorBidi"/>
          <w:sz w:val="18"/>
          <w:szCs w:val="18"/>
        </w:rPr>
        <w:t xml:space="preserve"> </w:t>
      </w:r>
    </w:p>
  </w:footnote>
  <w:footnote w:id="13">
    <w:p w14:paraId="7B3B4712" w14:textId="1FD0A853" w:rsidR="00130025" w:rsidRPr="00130025" w:rsidRDefault="00130025">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The Palestinian Central Bureau of Statistics issues a press release </w:t>
      </w:r>
      <w:proofErr w:type="gramStart"/>
      <w:r w:rsidRPr="00130025">
        <w:rPr>
          <w:rFonts w:asciiTheme="majorBidi" w:hAnsiTheme="majorBidi" w:cstheme="majorBidi"/>
          <w:sz w:val="18"/>
          <w:szCs w:val="18"/>
        </w:rPr>
        <w:t>on the occasion of</w:t>
      </w:r>
      <w:proofErr w:type="gramEnd"/>
      <w:r w:rsidRPr="00130025">
        <w:rPr>
          <w:rFonts w:asciiTheme="majorBidi" w:hAnsiTheme="majorBidi" w:cstheme="majorBidi"/>
          <w:sz w:val="18"/>
          <w:szCs w:val="18"/>
        </w:rPr>
        <w:t xml:space="preserve"> the International Day of Persons with Disabilities, 12/3/2024, at the following link: </w:t>
      </w:r>
      <w:hyperlink r:id="rId13" w:history="1">
        <w:r w:rsidRPr="00130025">
          <w:rPr>
            <w:rStyle w:val="Hyperlink"/>
            <w:rFonts w:asciiTheme="majorBidi" w:hAnsiTheme="majorBidi" w:cstheme="majorBidi"/>
            <w:sz w:val="18"/>
            <w:szCs w:val="18"/>
          </w:rPr>
          <w:t>https://tinyurl.com/2563v8yn</w:t>
        </w:r>
      </w:hyperlink>
      <w:r w:rsidRPr="00130025">
        <w:rPr>
          <w:rFonts w:asciiTheme="majorBidi" w:hAnsiTheme="majorBidi" w:cstheme="majorBidi"/>
          <w:sz w:val="18"/>
          <w:szCs w:val="18"/>
        </w:rPr>
        <w:t xml:space="preserve"> </w:t>
      </w:r>
    </w:p>
  </w:footnote>
  <w:footnote w:id="14">
    <w:p w14:paraId="0304F062" w14:textId="2865CCAE" w:rsidR="00130025" w:rsidRPr="00130025" w:rsidRDefault="00130025">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The Suffering of the Unspeakable: The Striving for Survival and Dignity for Persons with Disabilities in Gaza, at the following link: </w:t>
      </w:r>
      <w:hyperlink r:id="rId14" w:history="1">
        <w:r w:rsidRPr="00130025">
          <w:rPr>
            <w:rStyle w:val="Hyperlink"/>
            <w:rFonts w:asciiTheme="majorBidi" w:hAnsiTheme="majorBidi" w:cstheme="majorBidi"/>
            <w:sz w:val="18"/>
            <w:szCs w:val="18"/>
          </w:rPr>
          <w:t>https://tinyurl.com/y3fcwwma</w:t>
        </w:r>
      </w:hyperlink>
      <w:r w:rsidRPr="00130025">
        <w:rPr>
          <w:rFonts w:asciiTheme="majorBidi" w:hAnsiTheme="majorBidi" w:cstheme="majorBidi"/>
          <w:sz w:val="18"/>
          <w:szCs w:val="18"/>
        </w:rPr>
        <w:t xml:space="preserve"> </w:t>
      </w:r>
    </w:p>
  </w:footnote>
  <w:footnote w:id="15">
    <w:p w14:paraId="51CD6430" w14:textId="79F13406" w:rsidR="00130025" w:rsidRPr="00130025" w:rsidRDefault="00130025">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Will including people with disabilities in the quota system increase its effectiveness? And will their candidacy in elections help integrate them into society? See the link: </w:t>
      </w:r>
      <w:hyperlink r:id="rId15" w:history="1">
        <w:r w:rsidRPr="00130025">
          <w:rPr>
            <w:rStyle w:val="Hyperlink"/>
            <w:rFonts w:asciiTheme="majorBidi" w:hAnsiTheme="majorBidi" w:cstheme="majorBidi"/>
            <w:sz w:val="18"/>
            <w:szCs w:val="18"/>
          </w:rPr>
          <w:t>https://www.alhaya.ps/ar/Article/126593</w:t>
        </w:r>
      </w:hyperlink>
      <w:r w:rsidRPr="00130025">
        <w:rPr>
          <w:rFonts w:asciiTheme="majorBidi" w:hAnsiTheme="majorBidi" w:cstheme="majorBidi"/>
          <w:sz w:val="18"/>
          <w:szCs w:val="18"/>
        </w:rPr>
        <w:t xml:space="preserve"> </w:t>
      </w:r>
    </w:p>
  </w:footnote>
  <w:footnote w:id="16">
    <w:p w14:paraId="6C166D62" w14:textId="02E375D6" w:rsidR="00130025" w:rsidRPr="00130025" w:rsidRDefault="00130025">
      <w:pPr>
        <w:pStyle w:val="FootnoteText"/>
        <w:rPr>
          <w:rFonts w:asciiTheme="majorBidi" w:hAnsiTheme="majorBidi" w:cstheme="majorBidi"/>
          <w:sz w:val="18"/>
          <w:szCs w:val="18"/>
          <w:lang w:val="en-GB"/>
        </w:rPr>
      </w:pPr>
      <w:r w:rsidRPr="00130025">
        <w:rPr>
          <w:rStyle w:val="FootnoteReference"/>
          <w:rFonts w:asciiTheme="majorBidi" w:hAnsiTheme="majorBidi" w:cstheme="majorBidi"/>
          <w:sz w:val="18"/>
          <w:szCs w:val="18"/>
        </w:rPr>
        <w:footnoteRef/>
      </w:r>
      <w:r w:rsidRPr="00130025">
        <w:rPr>
          <w:rFonts w:asciiTheme="majorBidi" w:hAnsiTheme="majorBidi" w:cstheme="majorBidi"/>
          <w:sz w:val="18"/>
          <w:szCs w:val="18"/>
        </w:rPr>
        <w:t xml:space="preserve"> The reality of political participation of women with disabilities in Palestine, at the following link: </w:t>
      </w:r>
      <w:hyperlink r:id="rId16" w:history="1">
        <w:r w:rsidRPr="00130025">
          <w:rPr>
            <w:rStyle w:val="Hyperlink"/>
            <w:rFonts w:asciiTheme="majorBidi" w:hAnsiTheme="majorBidi" w:cstheme="majorBidi"/>
            <w:sz w:val="18"/>
            <w:szCs w:val="18"/>
          </w:rPr>
          <w:t>https://tinyurl.com/yc7rb7uv</w:t>
        </w:r>
      </w:hyperlink>
      <w:r w:rsidRPr="00130025">
        <w:rPr>
          <w:rFonts w:asciiTheme="majorBidi" w:hAnsiTheme="majorBidi" w:cstheme="majorBid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B65499"/>
    <w:multiLevelType w:val="hybridMultilevel"/>
    <w:tmpl w:val="894CD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D4140F"/>
    <w:multiLevelType w:val="hybridMultilevel"/>
    <w:tmpl w:val="8A44BD4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3"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9"/>
  </w:num>
  <w:num w:numId="2" w16cid:durableId="319427900">
    <w:abstractNumId w:val="6"/>
  </w:num>
  <w:num w:numId="3" w16cid:durableId="483819352">
    <w:abstractNumId w:val="1"/>
  </w:num>
  <w:num w:numId="4" w16cid:durableId="1550531087">
    <w:abstractNumId w:val="14"/>
  </w:num>
  <w:num w:numId="5" w16cid:durableId="365302262">
    <w:abstractNumId w:val="4"/>
  </w:num>
  <w:num w:numId="6" w16cid:durableId="1490904455">
    <w:abstractNumId w:val="34"/>
  </w:num>
  <w:num w:numId="7" w16cid:durableId="1975796718">
    <w:abstractNumId w:val="39"/>
  </w:num>
  <w:num w:numId="8" w16cid:durableId="168910388">
    <w:abstractNumId w:val="43"/>
  </w:num>
  <w:num w:numId="9" w16cid:durableId="864364265">
    <w:abstractNumId w:val="30"/>
  </w:num>
  <w:num w:numId="10" w16cid:durableId="1110662610">
    <w:abstractNumId w:val="35"/>
  </w:num>
  <w:num w:numId="11" w16cid:durableId="48504678">
    <w:abstractNumId w:val="25"/>
  </w:num>
  <w:num w:numId="12" w16cid:durableId="1057243330">
    <w:abstractNumId w:val="42"/>
  </w:num>
  <w:num w:numId="13" w16cid:durableId="113838224">
    <w:abstractNumId w:val="23"/>
  </w:num>
  <w:num w:numId="14" w16cid:durableId="1819300015">
    <w:abstractNumId w:val="9"/>
  </w:num>
  <w:num w:numId="15" w16cid:durableId="1354769003">
    <w:abstractNumId w:val="29"/>
  </w:num>
  <w:num w:numId="16" w16cid:durableId="765884069">
    <w:abstractNumId w:val="15"/>
  </w:num>
  <w:num w:numId="17" w16cid:durableId="1830708544">
    <w:abstractNumId w:val="0"/>
  </w:num>
  <w:num w:numId="18" w16cid:durableId="1195772453">
    <w:abstractNumId w:val="20"/>
  </w:num>
  <w:num w:numId="19" w16cid:durableId="116266373">
    <w:abstractNumId w:val="2"/>
  </w:num>
  <w:num w:numId="20" w16cid:durableId="1165899663">
    <w:abstractNumId w:val="11"/>
  </w:num>
  <w:num w:numId="21" w16cid:durableId="1921870603">
    <w:abstractNumId w:val="45"/>
  </w:num>
  <w:num w:numId="22" w16cid:durableId="1106846340">
    <w:abstractNumId w:val="13"/>
  </w:num>
  <w:num w:numId="23" w16cid:durableId="1120413215">
    <w:abstractNumId w:val="18"/>
  </w:num>
  <w:num w:numId="24" w16cid:durableId="884490536">
    <w:abstractNumId w:val="32"/>
  </w:num>
  <w:num w:numId="25" w16cid:durableId="1098991049">
    <w:abstractNumId w:val="37"/>
  </w:num>
  <w:num w:numId="26" w16cid:durableId="631596808">
    <w:abstractNumId w:val="10"/>
  </w:num>
  <w:num w:numId="27" w16cid:durableId="1306087360">
    <w:abstractNumId w:val="8"/>
  </w:num>
  <w:num w:numId="28" w16cid:durableId="909191109">
    <w:abstractNumId w:val="26"/>
  </w:num>
  <w:num w:numId="29" w16cid:durableId="556204899">
    <w:abstractNumId w:val="27"/>
  </w:num>
  <w:num w:numId="30" w16cid:durableId="1668284805">
    <w:abstractNumId w:val="16"/>
  </w:num>
  <w:num w:numId="31" w16cid:durableId="1777868951">
    <w:abstractNumId w:val="24"/>
  </w:num>
  <w:num w:numId="32" w16cid:durableId="1614898655">
    <w:abstractNumId w:val="7"/>
  </w:num>
  <w:num w:numId="33" w16cid:durableId="364449577">
    <w:abstractNumId w:val="12"/>
  </w:num>
  <w:num w:numId="34" w16cid:durableId="248081818">
    <w:abstractNumId w:val="41"/>
  </w:num>
  <w:num w:numId="35" w16cid:durableId="1742749116">
    <w:abstractNumId w:val="38"/>
  </w:num>
  <w:num w:numId="36" w16cid:durableId="1632056943">
    <w:abstractNumId w:val="28"/>
  </w:num>
  <w:num w:numId="37" w16cid:durableId="16198188">
    <w:abstractNumId w:val="36"/>
  </w:num>
  <w:num w:numId="38" w16cid:durableId="995642619">
    <w:abstractNumId w:val="21"/>
  </w:num>
  <w:num w:numId="39" w16cid:durableId="1951429902">
    <w:abstractNumId w:val="44"/>
  </w:num>
  <w:num w:numId="40" w16cid:durableId="1660618793">
    <w:abstractNumId w:val="22"/>
  </w:num>
  <w:num w:numId="41" w16cid:durableId="566649021">
    <w:abstractNumId w:val="40"/>
  </w:num>
  <w:num w:numId="42" w16cid:durableId="230387690">
    <w:abstractNumId w:val="17"/>
  </w:num>
  <w:num w:numId="43" w16cid:durableId="335613693">
    <w:abstractNumId w:val="3"/>
  </w:num>
  <w:num w:numId="44" w16cid:durableId="1955866269">
    <w:abstractNumId w:val="5"/>
  </w:num>
  <w:num w:numId="45" w16cid:durableId="1436898578">
    <w:abstractNumId w:val="31"/>
  </w:num>
  <w:num w:numId="46" w16cid:durableId="52883567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30025"/>
    <w:rsid w:val="00156C09"/>
    <w:rsid w:val="001668A8"/>
    <w:rsid w:val="00196443"/>
    <w:rsid w:val="001A6E66"/>
    <w:rsid w:val="001B13EB"/>
    <w:rsid w:val="001B450B"/>
    <w:rsid w:val="001D1DBC"/>
    <w:rsid w:val="001D532C"/>
    <w:rsid w:val="001D6213"/>
    <w:rsid w:val="001F354D"/>
    <w:rsid w:val="001F47FD"/>
    <w:rsid w:val="002257CD"/>
    <w:rsid w:val="002305C5"/>
    <w:rsid w:val="002533B2"/>
    <w:rsid w:val="00284AAE"/>
    <w:rsid w:val="0028723E"/>
    <w:rsid w:val="002876FE"/>
    <w:rsid w:val="0029400A"/>
    <w:rsid w:val="002D0B34"/>
    <w:rsid w:val="002D5B01"/>
    <w:rsid w:val="002D65A3"/>
    <w:rsid w:val="002D7273"/>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401F8D"/>
    <w:rsid w:val="004055DB"/>
    <w:rsid w:val="004134D4"/>
    <w:rsid w:val="00414D42"/>
    <w:rsid w:val="004273C5"/>
    <w:rsid w:val="00434DDB"/>
    <w:rsid w:val="00436AE3"/>
    <w:rsid w:val="004650D2"/>
    <w:rsid w:val="00477C56"/>
    <w:rsid w:val="00484A19"/>
    <w:rsid w:val="00490571"/>
    <w:rsid w:val="004A720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15BC"/>
    <w:rsid w:val="005B3A8D"/>
    <w:rsid w:val="005C3446"/>
    <w:rsid w:val="005C48A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F5D15"/>
    <w:rsid w:val="00704C70"/>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66CE0"/>
    <w:rsid w:val="00871BB0"/>
    <w:rsid w:val="00875304"/>
    <w:rsid w:val="008823E1"/>
    <w:rsid w:val="00884133"/>
    <w:rsid w:val="008A0867"/>
    <w:rsid w:val="008F0744"/>
    <w:rsid w:val="008F2641"/>
    <w:rsid w:val="0091285A"/>
    <w:rsid w:val="009337BF"/>
    <w:rsid w:val="009412A9"/>
    <w:rsid w:val="009850AD"/>
    <w:rsid w:val="00990858"/>
    <w:rsid w:val="009B028E"/>
    <w:rsid w:val="009C623E"/>
    <w:rsid w:val="009D1F8F"/>
    <w:rsid w:val="009E15C5"/>
    <w:rsid w:val="009E290C"/>
    <w:rsid w:val="00A162C1"/>
    <w:rsid w:val="00A31EA7"/>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520A"/>
    <w:rsid w:val="00E45A93"/>
    <w:rsid w:val="00E47C87"/>
    <w:rsid w:val="00E55456"/>
    <w:rsid w:val="00E820AA"/>
    <w:rsid w:val="00E94DD0"/>
    <w:rsid w:val="00E9641B"/>
    <w:rsid w:val="00EA2C34"/>
    <w:rsid w:val="00EA4670"/>
    <w:rsid w:val="00EB7424"/>
    <w:rsid w:val="00EC2569"/>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shorturl.at/3B1yE" TargetMode="External"/><Relationship Id="rId13" Type="http://schemas.openxmlformats.org/officeDocument/2006/relationships/hyperlink" Target="https://tinyurl.com/2563v8yn" TargetMode="External"/><Relationship Id="rId3" Type="http://schemas.openxmlformats.org/officeDocument/2006/relationships/hyperlink" Target="https://palgraph.ps/post/11151" TargetMode="External"/><Relationship Id="rId7" Type="http://schemas.openxmlformats.org/officeDocument/2006/relationships/hyperlink" Target="https://tinyurl.com/y8x59f76" TargetMode="External"/><Relationship Id="rId12" Type="http://schemas.openxmlformats.org/officeDocument/2006/relationships/hyperlink" Target="https://tinyurl.com/322kk786" TargetMode="External"/><Relationship Id="rId2" Type="http://schemas.openxmlformats.org/officeDocument/2006/relationships/hyperlink" Target="https://tinyurl.com/467x5r7e" TargetMode="External"/><Relationship Id="rId16" Type="http://schemas.openxmlformats.org/officeDocument/2006/relationships/hyperlink" Target="https://tinyurl.com/yc7rb7uv" TargetMode="External"/><Relationship Id="rId1" Type="http://schemas.openxmlformats.org/officeDocument/2006/relationships/hyperlink" Target="https://musawa.ps/laws/8" TargetMode="External"/><Relationship Id="rId6" Type="http://schemas.openxmlformats.org/officeDocument/2006/relationships/hyperlink" Target="https://www.akhbar-sharq.com/news/48689" TargetMode="External"/><Relationship Id="rId11" Type="http://schemas.openxmlformats.org/officeDocument/2006/relationships/hyperlink" Target="https://palinfo.com/news/2024/12/03/928649/" TargetMode="External"/><Relationship Id="rId5" Type="http://schemas.openxmlformats.org/officeDocument/2006/relationships/hyperlink" Target="https://www.qader.org/ar/resources/4866.html" TargetMode="External"/><Relationship Id="rId15" Type="http://schemas.openxmlformats.org/officeDocument/2006/relationships/hyperlink" Target="https://www.alhaya.ps/ar/Article/126593" TargetMode="External"/><Relationship Id="rId10" Type="http://schemas.openxmlformats.org/officeDocument/2006/relationships/hyperlink" Target="https://sero.journals.ekb.eg/article_353395.html" TargetMode="External"/><Relationship Id="rId4" Type="http://schemas.openxmlformats.org/officeDocument/2006/relationships/hyperlink" Target="https://2h.ae/nScB" TargetMode="External"/><Relationship Id="rId9" Type="http://schemas.openxmlformats.org/officeDocument/2006/relationships/hyperlink" Target="https://www.pcbs.gov.ps/Downloads/book2707.pdf" TargetMode="External"/><Relationship Id="rId14" Type="http://schemas.openxmlformats.org/officeDocument/2006/relationships/hyperlink" Target="https://tinyurl.com/y3fcwwm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2025-07-16T15:53:10+00:00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4CC84DBF-347C-47C7-81BA-9C4FFB570595}"/>
</file>

<file path=customXml/itemProps3.xml><?xml version="1.0" encoding="utf-8"?>
<ds:datastoreItem xmlns:ds="http://schemas.openxmlformats.org/officeDocument/2006/customXml" ds:itemID="{2885CD91-78E6-4DEC-89B6-11619FB32D99}"/>
</file>

<file path=customXml/itemProps4.xml><?xml version="1.0" encoding="utf-8"?>
<ds:datastoreItem xmlns:ds="http://schemas.openxmlformats.org/officeDocument/2006/customXml" ds:itemID="{DF43601A-341C-4450-A823-FB5F65B62514}"/>
</file>

<file path=docProps/app.xml><?xml version="1.0" encoding="utf-8"?>
<Properties xmlns="http://schemas.openxmlformats.org/officeDocument/2006/extended-properties" xmlns:vt="http://schemas.openxmlformats.org/officeDocument/2006/docPropsVTypes">
  <Template>Normal</Template>
  <TotalTime>1</TotalTime>
  <Pages>6</Pages>
  <Words>1966</Words>
  <Characters>11124</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Jorge Araya</cp:lastModifiedBy>
  <cp:revision>2</cp:revision>
  <dcterms:created xsi:type="dcterms:W3CDTF">2025-07-16T15:53:00Z</dcterms:created>
  <dcterms:modified xsi:type="dcterms:W3CDTF">2025-07-16T15:53:00Z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0x0101001A3F5FACD05E93499D4EAF05403D4F75</vt:lpwstr>
  </property>
</Properties>
</file>