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598CE397" w14:textId="47B4402F" w:rsidR="009A2475" w:rsidRPr="00A84BD4" w:rsidRDefault="00A84BD4" w:rsidP="009A2475">
      <w:pPr>
        <w:pStyle w:val="BasicParagraph"/>
        <w:ind w:left="-284" w:firstLine="284"/>
        <w:rPr>
          <w:rFonts w:ascii="Helvetica Light" w:hAnsi="Helvetica Light" w:cs="Helvetica"/>
          <w:color w:val="FFFFFF"/>
          <w:sz w:val="40"/>
          <w:szCs w:val="40"/>
        </w:rPr>
      </w:pPr>
      <w:r w:rsidRPr="00A84BD4">
        <w:rPr>
          <w:rFonts w:ascii="Helvetica Light" w:hAnsi="Helvetica Light"/>
          <w:noProof/>
          <w:sz w:val="40"/>
          <w:szCs w:val="40"/>
          <w:lang w:eastAsia="en-GB"/>
        </w:rPr>
        <mc:AlternateContent>
          <mc:Choice Requires="wps">
            <w:drawing>
              <wp:anchor distT="0" distB="0" distL="114300" distR="114300" simplePos="0" relativeHeight="251659264" behindDoc="1" locked="0" layoutInCell="1" allowOverlap="1" wp14:anchorId="431B6EE2" wp14:editId="7C6AD460">
                <wp:simplePos x="0" y="0"/>
                <wp:positionH relativeFrom="column">
                  <wp:posOffset>-937260</wp:posOffset>
                </wp:positionH>
                <wp:positionV relativeFrom="paragraph">
                  <wp:posOffset>-2189480</wp:posOffset>
                </wp:positionV>
                <wp:extent cx="4824095" cy="12093575"/>
                <wp:effectExtent l="0" t="0" r="14605" b="22225"/>
                <wp:wrapNone/>
                <wp:docPr id="1" name="Rectangle 1"/>
                <wp:cNvGraphicFramePr/>
                <a:graphic xmlns:a="http://schemas.openxmlformats.org/drawingml/2006/main">
                  <a:graphicData uri="http://schemas.microsoft.com/office/word/2010/wordprocessingShape">
                    <wps:wsp>
                      <wps:cNvSpPr/>
                      <wps:spPr>
                        <a:xfrm>
                          <a:off x="0" y="0"/>
                          <a:ext cx="4824095" cy="12093575"/>
                        </a:xfrm>
                        <a:prstGeom prst="rect">
                          <a:avLst/>
                        </a:prstGeom>
                        <a:solidFill>
                          <a:srgbClr val="2C166F"/>
                        </a:solidFill>
                        <a:ln>
                          <a:solidFill>
                            <a:srgbClr val="2C166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BD27CDE" id="Rectangle 1" o:spid="_x0000_s1026" style="position:absolute;margin-left:-73.8pt;margin-top:-172.4pt;width:379.85pt;height:95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" fillcolor="#2c166f" strokecolor="#2c166f" strokeweight="1pt"/>
            </w:pict>
          </mc:Fallback>
        </mc:AlternateContent>
      </w:r>
      <w:r w:rsidR="000656D2" w:rsidRPr="00A84BD4">
        <w:rPr>
          <w:noProof/>
          <w:sz w:val="16"/>
          <w:szCs w:val="16"/>
          <w:lang w:eastAsia="en-GB"/>
        </w:rPr>
        <w:drawing>
          <wp:anchor distT="0" distB="0" distL="114300" distR="114300" simplePos="0" relativeHeight="251662336" behindDoc="1" locked="0" layoutInCell="1" allowOverlap="1" wp14:anchorId="17093C87" wp14:editId="5CFE96A7">
            <wp:simplePos x="0" y="0"/>
            <wp:positionH relativeFrom="column">
              <wp:posOffset>4233121</wp:posOffset>
            </wp:positionH>
            <wp:positionV relativeFrom="paragraph">
              <wp:posOffset>-40428</wp:posOffset>
            </wp:positionV>
            <wp:extent cx="2096135" cy="1099185"/>
            <wp:effectExtent l="0" t="0" r="0" b="5715"/>
            <wp:wrapNone/>
            <wp:docPr id="14" name="Εικόνα 14" descr="SALAM D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ALAM DH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6135" cy="1099185"/>
                    </a:xfrm>
                    <a:prstGeom prst="rect">
                      <a:avLst/>
                    </a:prstGeom>
                    <a:noFill/>
                    <a:ln>
                      <a:noFill/>
                    </a:ln>
                  </pic:spPr>
                </pic:pic>
              </a:graphicData>
            </a:graphic>
          </wp:anchor>
        </w:drawing>
      </w:r>
      <w:r w:rsidR="009A2475" w:rsidRPr="00A84BD4">
        <w:rPr>
          <w:rFonts w:ascii="Helvetica Light" w:hAnsi="Helvetica Light" w:cs="Helvetica"/>
          <w:color w:val="FFFFFF"/>
          <w:sz w:val="40"/>
          <w:szCs w:val="40"/>
        </w:rPr>
        <w:t xml:space="preserve">Joint Submission to the </w:t>
      </w:r>
    </w:p>
    <w:p w14:paraId="6456B2C8" w14:textId="173031DD" w:rsidR="009A2475" w:rsidRDefault="00A84BD4" w:rsidP="00A84BD4">
      <w:pPr>
        <w:ind w:right="3072"/>
        <w:rPr>
          <w:rFonts w:ascii="Helvetica Light" w:hAnsi="Helvetica Light" w:cs="Helvetica"/>
          <w:color w:val="FFFFFF"/>
          <w:sz w:val="48"/>
          <w:szCs w:val="48"/>
        </w:rPr>
      </w:pPr>
      <w:r w:rsidRPr="0063581F">
        <w:rPr>
          <w:rFonts w:ascii="Arial" w:hAnsi="Arial" w:cs="Arial"/>
          <w:noProof/>
          <w:color w:val="543192"/>
          <w:sz w:val="21"/>
          <w:szCs w:val="21"/>
          <w:shd w:val="clear" w:color="auto" w:fill="FFFFFF"/>
        </w:rPr>
        <w:drawing>
          <wp:anchor distT="0" distB="0" distL="114300" distR="114300" simplePos="0" relativeHeight="251666432" behindDoc="1" locked="0" layoutInCell="1" allowOverlap="1" wp14:anchorId="2CED1F21" wp14:editId="43C454A6">
            <wp:simplePos x="0" y="0"/>
            <wp:positionH relativeFrom="column">
              <wp:posOffset>4420235</wp:posOffset>
            </wp:positionH>
            <wp:positionV relativeFrom="paragraph">
              <wp:posOffset>1376771</wp:posOffset>
            </wp:positionV>
            <wp:extent cx="1657350" cy="1673416"/>
            <wp:effectExtent l="0" t="0" r="0" b="3175"/>
            <wp:wrapNone/>
            <wp:docPr id="13" name="Εικόνα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7350" cy="1673416"/>
                    </a:xfrm>
                    <a:prstGeom prst="rect">
                      <a:avLst/>
                    </a:prstGeom>
                    <a:noFill/>
                    <a:ln>
                      <a:noFill/>
                    </a:ln>
                  </pic:spPr>
                </pic:pic>
              </a:graphicData>
            </a:graphic>
          </wp:anchor>
        </w:drawing>
      </w:r>
      <w:r w:rsidR="00643F7F" w:rsidRPr="00A84BD4">
        <w:rPr>
          <w:rFonts w:ascii="Helvetica Light" w:hAnsi="Helvetica Light" w:cs="Helvetica"/>
          <w:color w:val="FFFFFF"/>
          <w:sz w:val="40"/>
          <w:szCs w:val="40"/>
        </w:rPr>
        <w:t xml:space="preserve">Committee on the Rights </w:t>
      </w:r>
      <w:r w:rsidR="00643F7F" w:rsidRPr="00A84BD4">
        <w:rPr>
          <w:rFonts w:ascii="Helvetica Light" w:hAnsi="Helvetica Light" w:cs="Helvetica"/>
          <w:color w:val="FFFFFF"/>
          <w:sz w:val="40"/>
          <w:szCs w:val="40"/>
        </w:rPr>
        <w:br/>
        <w:t xml:space="preserve">of the </w:t>
      </w:r>
      <w:r w:rsidR="00643F7F" w:rsidRPr="00A84BD4">
        <w:rPr>
          <w:rFonts w:ascii="Helvetica Light" w:eastAsiaTheme="minorHAnsi" w:hAnsi="Helvetica Light" w:cs="Helvetica"/>
          <w:color w:val="FFFFFF"/>
          <w:sz w:val="40"/>
          <w:szCs w:val="40"/>
          <w:lang w:eastAsia="en-US"/>
        </w:rPr>
        <w:t>Child</w:t>
      </w:r>
      <w:r w:rsidRPr="00A84BD4">
        <w:rPr>
          <w:rFonts w:ascii="Helvetica Light" w:eastAsiaTheme="minorHAnsi" w:hAnsi="Helvetica Light" w:cs="Helvetica"/>
          <w:color w:val="FFFFFF"/>
          <w:sz w:val="40"/>
          <w:szCs w:val="40"/>
          <w:lang w:eastAsia="en-US"/>
        </w:rPr>
        <w:t xml:space="preserve"> on the right of every child to acquire and preserve a nationality under Article 7 and 8 CRC in accordance with the Guiding Principles to the Convention</w:t>
      </w:r>
    </w:p>
    <w:p w14:paraId="6D15A015" w14:textId="1EE4D07A" w:rsidR="009A2475" w:rsidRDefault="009A2475" w:rsidP="009A2475">
      <w:pPr>
        <w:ind w:left="-284" w:hanging="142"/>
        <w:rPr>
          <w:rFonts w:ascii="Helvetica Light" w:hAnsi="Helvetica Light" w:cs="Helvetica"/>
          <w:color w:val="FFFFFF"/>
          <w:sz w:val="48"/>
          <w:szCs w:val="48"/>
        </w:rPr>
      </w:pPr>
    </w:p>
    <w:p w14:paraId="71AB4860" w14:textId="0A65A6B4" w:rsidR="009A2475" w:rsidRDefault="009A2475" w:rsidP="009A2475">
      <w:pPr>
        <w:ind w:left="-284" w:hanging="142"/>
        <w:rPr>
          <w:rFonts w:ascii="Helvetica Light" w:hAnsi="Helvetica Light" w:cs="Helvetica"/>
          <w:color w:val="FFFFFF"/>
          <w:sz w:val="48"/>
          <w:szCs w:val="48"/>
        </w:rPr>
      </w:pPr>
    </w:p>
    <w:p w14:paraId="530489BA" w14:textId="62B14E08" w:rsidR="009A2475" w:rsidRDefault="009A2475" w:rsidP="009A2475">
      <w:pPr>
        <w:ind w:left="-284" w:hanging="142"/>
        <w:rPr>
          <w:rFonts w:ascii="Helvetica Light" w:hAnsi="Helvetica Light" w:cs="Helvetica"/>
          <w:color w:val="FFFFFF"/>
          <w:sz w:val="48"/>
          <w:szCs w:val="48"/>
        </w:rPr>
      </w:pPr>
    </w:p>
    <w:p w14:paraId="4650593B" w14:textId="7BB0403A" w:rsidR="009A2475" w:rsidRPr="002F43F8" w:rsidRDefault="00A84BD4" w:rsidP="002F43F8">
      <w:pPr>
        <w:pStyle w:val="BasicParagraph"/>
        <w:tabs>
          <w:tab w:val="left" w:pos="709"/>
        </w:tabs>
        <w:spacing w:line="240" w:lineRule="auto"/>
        <w:ind w:left="426"/>
        <w:rPr>
          <w:rFonts w:ascii="Helvetica" w:hAnsi="Helvetica" w:cs="Helvetica"/>
          <w:b/>
          <w:bCs/>
          <w:color w:val="FFFFFF"/>
          <w:sz w:val="44"/>
          <w:szCs w:val="44"/>
        </w:rPr>
      </w:pPr>
      <w:r>
        <w:rPr>
          <w:rFonts w:ascii="Arial" w:hAnsi="Arial" w:cs="Arial"/>
          <w:noProof/>
          <w:color w:val="543192"/>
          <w:sz w:val="21"/>
          <w:szCs w:val="21"/>
          <w:shd w:val="clear" w:color="auto" w:fill="FFFFFF"/>
          <w:lang w:eastAsia="en-GB"/>
        </w:rPr>
        <w:drawing>
          <wp:anchor distT="0" distB="0" distL="114300" distR="114300" simplePos="0" relativeHeight="251663360" behindDoc="1" locked="0" layoutInCell="1" allowOverlap="1" wp14:anchorId="2F30FAE2" wp14:editId="1832F059">
            <wp:simplePos x="0" y="0"/>
            <wp:positionH relativeFrom="column">
              <wp:posOffset>4069352</wp:posOffset>
            </wp:positionH>
            <wp:positionV relativeFrom="paragraph">
              <wp:posOffset>448763</wp:posOffset>
            </wp:positionV>
            <wp:extent cx="2096135" cy="1093470"/>
            <wp:effectExtent l="0" t="0" r="0" b="0"/>
            <wp:wrapNone/>
            <wp:docPr id="10" name="Εικόνα 10" descr="Home">
              <a:hlinkClick xmlns:a="http://schemas.openxmlformats.org/drawingml/2006/main" r:id="rId10" tooltip="&quot;Hom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me">
                      <a:hlinkClick r:id="rId10" tooltip="&quot;Home&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6135" cy="1093470"/>
                    </a:xfrm>
                    <a:prstGeom prst="rect">
                      <a:avLst/>
                    </a:prstGeom>
                    <a:noFill/>
                    <a:ln>
                      <a:noFill/>
                    </a:ln>
                  </pic:spPr>
                </pic:pic>
              </a:graphicData>
            </a:graphic>
          </wp:anchor>
        </w:drawing>
      </w:r>
      <w:r w:rsidRPr="002F43F8">
        <w:rPr>
          <w:rFonts w:ascii="Helvetica Light" w:hAnsi="Helvetica Light" w:cs="Helvetica"/>
          <w:noProof/>
          <w:color w:val="FFFFFF"/>
          <w:sz w:val="40"/>
          <w:szCs w:val="32"/>
          <w:lang w:eastAsia="en-GB"/>
        </w:rPr>
        <mc:AlternateContent>
          <mc:Choice Requires="wps">
            <w:drawing>
              <wp:anchor distT="0" distB="0" distL="114300" distR="114300" simplePos="0" relativeHeight="251660288" behindDoc="0" locked="0" layoutInCell="1" allowOverlap="1" wp14:anchorId="6EF5B27E" wp14:editId="3FC194E4">
                <wp:simplePos x="0" y="0"/>
                <wp:positionH relativeFrom="margin">
                  <wp:posOffset>76200</wp:posOffset>
                </wp:positionH>
                <wp:positionV relativeFrom="paragraph">
                  <wp:posOffset>40640</wp:posOffset>
                </wp:positionV>
                <wp:extent cx="0" cy="2922270"/>
                <wp:effectExtent l="76200" t="0" r="76200" b="49530"/>
                <wp:wrapNone/>
                <wp:docPr id="2" name="Straight Connector 2"/>
                <wp:cNvGraphicFramePr/>
                <a:graphic xmlns:a="http://schemas.openxmlformats.org/drawingml/2006/main">
                  <a:graphicData uri="http://schemas.microsoft.com/office/word/2010/wordprocessingShape">
                    <wps:wsp>
                      <wps:cNvCnPr/>
                      <wps:spPr>
                        <a:xfrm>
                          <a:off x="0" y="0"/>
                          <a:ext cx="0" cy="2922270"/>
                        </a:xfrm>
                        <a:prstGeom prst="line">
                          <a:avLst/>
                        </a:prstGeom>
                        <a:ln w="158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DEA2D4B" id="Straight Connector 2" o:spid="_x0000_s1026" style="position:absolute;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from="6pt,3.2pt" to="6pt,2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" strokecolor="white [3212]" strokeweight="12.5pt">
                <v:stroke joinstyle="miter"/>
                <w10:wrap anchorx="margin"/>
              </v:line>
            </w:pict>
          </mc:Fallback>
        </mc:AlternateContent>
      </w:r>
      <w:r w:rsidR="00643F7F" w:rsidRPr="002F43F8">
        <w:rPr>
          <w:rFonts w:ascii="Helvetica" w:hAnsi="Helvetica" w:cs="Helvetica"/>
          <w:b/>
          <w:bCs/>
          <w:color w:val="FFFFFF"/>
          <w:sz w:val="44"/>
          <w:szCs w:val="44"/>
        </w:rPr>
        <w:t>87</w:t>
      </w:r>
      <w:r w:rsidR="00643F7F" w:rsidRPr="002F43F8">
        <w:rPr>
          <w:rFonts w:ascii="Helvetica" w:hAnsi="Helvetica" w:cs="Helvetica"/>
          <w:b/>
          <w:bCs/>
          <w:color w:val="FFFFFF"/>
          <w:sz w:val="44"/>
          <w:szCs w:val="44"/>
          <w:vertAlign w:val="superscript"/>
        </w:rPr>
        <w:t>th</w:t>
      </w:r>
      <w:r w:rsidR="00643F7F" w:rsidRPr="002F43F8">
        <w:rPr>
          <w:rFonts w:ascii="Helvetica" w:hAnsi="Helvetica" w:cs="Helvetica"/>
          <w:b/>
          <w:bCs/>
          <w:color w:val="FFFFFF"/>
          <w:sz w:val="44"/>
          <w:szCs w:val="44"/>
        </w:rPr>
        <w:t xml:space="preserve"> Pre-Sessional </w:t>
      </w:r>
      <w:r w:rsidR="00643F7F">
        <w:rPr>
          <w:rFonts w:ascii="Helvetica" w:hAnsi="Helvetica" w:cs="Helvetica"/>
          <w:b/>
          <w:bCs/>
          <w:color w:val="FFFFFF"/>
          <w:sz w:val="44"/>
          <w:szCs w:val="44"/>
        </w:rPr>
        <w:br/>
      </w:r>
      <w:r w:rsidR="00643F7F" w:rsidRPr="002F43F8">
        <w:rPr>
          <w:rFonts w:ascii="Helvetica" w:hAnsi="Helvetica" w:cs="Helvetica"/>
          <w:b/>
          <w:bCs/>
          <w:color w:val="FFFFFF"/>
          <w:sz w:val="44"/>
          <w:szCs w:val="44"/>
        </w:rPr>
        <w:t xml:space="preserve">Working Group </w:t>
      </w:r>
    </w:p>
    <w:p w14:paraId="137C1197" w14:textId="227EF601" w:rsidR="009A2475" w:rsidRDefault="009A2475" w:rsidP="009A2475">
      <w:pPr>
        <w:ind w:left="-284" w:firstLine="284"/>
        <w:rPr>
          <w:rFonts w:ascii="Helvetica" w:hAnsi="Helvetica" w:cs="Helvetica"/>
          <w:b/>
          <w:bCs/>
          <w:color w:val="FFFFFF"/>
          <w:sz w:val="72"/>
          <w:szCs w:val="72"/>
        </w:rPr>
      </w:pPr>
    </w:p>
    <w:p w14:paraId="02355997" w14:textId="03188DE8" w:rsidR="009A2475" w:rsidRPr="007B0BA0" w:rsidRDefault="00643F7F" w:rsidP="002F43F8">
      <w:pPr>
        <w:pStyle w:val="BasicParagraph"/>
        <w:rPr>
          <w:rFonts w:ascii="Helvetica Light" w:hAnsi="Helvetica Light" w:cs="Helvetica"/>
          <w:color w:val="FFFFFF"/>
          <w:sz w:val="36"/>
          <w:szCs w:val="36"/>
        </w:rPr>
      </w:pPr>
      <w:r>
        <w:rPr>
          <w:rFonts w:ascii="Helvetica Light" w:hAnsi="Helvetica Light" w:cs="Helvetica"/>
          <w:color w:val="FFFFFF"/>
          <w:sz w:val="36"/>
          <w:szCs w:val="36"/>
        </w:rPr>
        <w:t xml:space="preserve">    28 September – 2 October 2020</w:t>
      </w:r>
    </w:p>
    <w:p w14:paraId="53BAA090" w14:textId="7E1BE9B6" w:rsidR="009A2475" w:rsidRPr="00C013D5" w:rsidRDefault="009A2475" w:rsidP="009A2475">
      <w:pPr>
        <w:pStyle w:val="BasicParagraph"/>
        <w:ind w:firstLine="426"/>
        <w:rPr>
          <w:rFonts w:ascii="Helvetica Light" w:hAnsi="Helvetica Light" w:cs="Helvetica"/>
          <w:color w:val="FFFFFF"/>
          <w:sz w:val="48"/>
          <w:szCs w:val="48"/>
        </w:rPr>
      </w:pPr>
    </w:p>
    <w:p w14:paraId="39AEA2AF" w14:textId="06F331DB" w:rsidR="009A2475" w:rsidRPr="00C013D5" w:rsidRDefault="00A84BD4" w:rsidP="009A2475">
      <w:pPr>
        <w:pStyle w:val="BasicParagraph"/>
        <w:ind w:firstLine="426"/>
        <w:rPr>
          <w:rFonts w:ascii="Helvetica Light" w:hAnsi="Helvetica Light" w:cs="Helvetica"/>
          <w:color w:val="FFFFFF"/>
          <w:sz w:val="48"/>
          <w:szCs w:val="48"/>
        </w:rPr>
      </w:pPr>
      <w:r w:rsidRPr="0063581F">
        <w:rPr>
          <w:noProof/>
          <w:lang w:eastAsia="en-GB"/>
        </w:rPr>
        <w:drawing>
          <wp:anchor distT="0" distB="0" distL="114300" distR="114300" simplePos="0" relativeHeight="251664384" behindDoc="1" locked="0" layoutInCell="1" allowOverlap="1" wp14:anchorId="3C7EAAAD" wp14:editId="13F57467">
            <wp:simplePos x="0" y="0"/>
            <wp:positionH relativeFrom="column">
              <wp:posOffset>4237990</wp:posOffset>
            </wp:positionH>
            <wp:positionV relativeFrom="paragraph">
              <wp:posOffset>345984</wp:posOffset>
            </wp:positionV>
            <wp:extent cx="1943100" cy="1212215"/>
            <wp:effectExtent l="0" t="0" r="0" b="6985"/>
            <wp:wrapNone/>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3100" cy="1212215"/>
                    </a:xfrm>
                    <a:prstGeom prst="rect">
                      <a:avLst/>
                    </a:prstGeom>
                    <a:noFill/>
                    <a:ln>
                      <a:noFill/>
                    </a:ln>
                  </pic:spPr>
                </pic:pic>
              </a:graphicData>
            </a:graphic>
          </wp:anchor>
        </w:drawing>
      </w:r>
    </w:p>
    <w:p w14:paraId="7BA3F367" w14:textId="445188A0" w:rsidR="009A2475" w:rsidRPr="00C013D5" w:rsidRDefault="009A2475" w:rsidP="009A2475">
      <w:pPr>
        <w:pStyle w:val="BasicParagraph"/>
        <w:ind w:firstLine="426"/>
        <w:rPr>
          <w:rFonts w:ascii="Helvetica Light" w:hAnsi="Helvetica Light" w:cs="Helvetica"/>
          <w:color w:val="FFFFFF"/>
          <w:sz w:val="48"/>
          <w:szCs w:val="48"/>
        </w:rPr>
      </w:pPr>
    </w:p>
    <w:p w14:paraId="5BBDC2D5" w14:textId="4571DF7F" w:rsidR="009A2475" w:rsidRPr="00C013D5" w:rsidRDefault="009A2475" w:rsidP="009A2475">
      <w:pPr>
        <w:pStyle w:val="BasicParagraph"/>
        <w:ind w:firstLine="426"/>
        <w:rPr>
          <w:rFonts w:ascii="Helvetica Light" w:hAnsi="Helvetica Light" w:cs="Helvetica"/>
          <w:color w:val="FFFFFF"/>
          <w:sz w:val="48"/>
          <w:szCs w:val="48"/>
        </w:rPr>
      </w:pPr>
    </w:p>
    <w:p w14:paraId="19E84E82" w14:textId="77777777" w:rsidR="009A2475" w:rsidRPr="00C013D5" w:rsidRDefault="009A2475" w:rsidP="009A2475">
      <w:pPr>
        <w:pStyle w:val="BasicParagraph"/>
        <w:ind w:firstLine="426"/>
        <w:rPr>
          <w:rFonts w:ascii="Helvetica Light" w:hAnsi="Helvetica Light" w:cs="Helvetica"/>
          <w:color w:val="FFFFFF"/>
          <w:sz w:val="48"/>
          <w:szCs w:val="48"/>
        </w:rPr>
      </w:pPr>
    </w:p>
    <w:p w14:paraId="00187EA3" w14:textId="60AAFF82" w:rsidR="009A2475" w:rsidRPr="007B0BA0" w:rsidRDefault="00A84BD4" w:rsidP="009A2475">
      <w:pPr>
        <w:pStyle w:val="BasicParagraph"/>
        <w:rPr>
          <w:rFonts w:ascii="Helvetica" w:hAnsi="Helvetica" w:cs="Helvetica"/>
          <w:b/>
          <w:bCs/>
          <w:color w:val="FFFFFF"/>
          <w:sz w:val="72"/>
          <w:szCs w:val="72"/>
        </w:rPr>
      </w:pPr>
      <w:r>
        <w:rPr>
          <w:noProof/>
          <w:lang w:eastAsia="en-GB"/>
        </w:rPr>
        <w:drawing>
          <wp:anchor distT="0" distB="0" distL="114300" distR="114300" simplePos="0" relativeHeight="251665408" behindDoc="1" locked="0" layoutInCell="1" allowOverlap="1" wp14:anchorId="077DA6C3" wp14:editId="58627900">
            <wp:simplePos x="0" y="0"/>
            <wp:positionH relativeFrom="column">
              <wp:posOffset>4234180</wp:posOffset>
            </wp:positionH>
            <wp:positionV relativeFrom="paragraph">
              <wp:posOffset>569051</wp:posOffset>
            </wp:positionV>
            <wp:extent cx="2096135" cy="834408"/>
            <wp:effectExtent l="0" t="0" r="0" b="3810"/>
            <wp:wrapNone/>
            <wp:docPr id="1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96135" cy="834408"/>
                    </a:xfrm>
                    <a:prstGeom prst="rect">
                      <a:avLst/>
                    </a:prstGeom>
                    <a:noFill/>
                    <a:ln>
                      <a:noFill/>
                    </a:ln>
                  </pic:spPr>
                </pic:pic>
              </a:graphicData>
            </a:graphic>
          </wp:anchor>
        </w:drawing>
      </w:r>
      <w:r w:rsidR="00643F7F">
        <w:rPr>
          <w:rFonts w:ascii="Helvetica" w:hAnsi="Helvetica" w:cs="Helvetica"/>
          <w:b/>
          <w:bCs/>
          <w:color w:val="FFFFFF"/>
          <w:sz w:val="72"/>
          <w:szCs w:val="72"/>
        </w:rPr>
        <w:t>Kuwait</w:t>
      </w:r>
    </w:p>
    <w:p w14:paraId="46BEE98A" w14:textId="07BE72C5" w:rsidR="009A2475" w:rsidRPr="00C013D5" w:rsidRDefault="00643F7F" w:rsidP="009A2475">
      <w:pPr>
        <w:pStyle w:val="BasicParagraph"/>
        <w:rPr>
          <w:rFonts w:ascii="Helvetica Light" w:hAnsi="Helvetica Light" w:cs="Helvetica"/>
          <w:color w:val="FFFFFF"/>
          <w:sz w:val="36"/>
          <w:szCs w:val="36"/>
        </w:rPr>
      </w:pPr>
      <w:r>
        <w:rPr>
          <w:rFonts w:ascii="Helvetica Light" w:hAnsi="Helvetica Light" w:cs="Helvetica"/>
          <w:color w:val="FFFFFF"/>
          <w:sz w:val="36"/>
          <w:szCs w:val="36"/>
        </w:rPr>
        <w:t>01 July 2020</w:t>
      </w:r>
    </w:p>
    <w:p w14:paraId="25122110" w14:textId="7D312024" w:rsidR="009A2475" w:rsidRPr="00C013D5" w:rsidRDefault="009A2475" w:rsidP="009A2475">
      <w:pPr>
        <w:pStyle w:val="BasicParagraph"/>
        <w:ind w:hanging="426"/>
        <w:rPr>
          <w:rFonts w:ascii="Helvetica Light" w:hAnsi="Helvetica Light" w:cs="Helvetica"/>
          <w:color w:val="FFFFFF"/>
          <w:sz w:val="36"/>
          <w:szCs w:val="36"/>
        </w:rPr>
      </w:pPr>
    </w:p>
    <w:p w14:paraId="1F1EDBB1" w14:textId="66DC829F" w:rsidR="00643F7F" w:rsidRPr="00AE1962" w:rsidRDefault="00166418" w:rsidP="00A84BD4">
      <w:pPr>
        <w:tabs>
          <w:tab w:val="left" w:pos="1125"/>
        </w:tabs>
        <w:spacing w:line="360" w:lineRule="auto"/>
        <w:rPr>
          <w:rFonts w:ascii="Helvetica" w:hAnsi="Helvetica"/>
          <w:b/>
          <w:bCs/>
          <w:sz w:val="28"/>
          <w:szCs w:val="28"/>
        </w:rPr>
      </w:pPr>
      <w:r>
        <w:rPr>
          <w:rFonts w:ascii="Helvetica Light" w:hAnsi="Helvetica Light"/>
          <w:b/>
          <w:bCs/>
          <w:sz w:val="36"/>
          <w:szCs w:val="36"/>
        </w:rPr>
        <w:tab/>
      </w:r>
    </w:p>
    <w:p w14:paraId="3BB429B8" w14:textId="5047D677" w:rsidR="00643F7F" w:rsidRPr="00D12967" w:rsidRDefault="00643F7F" w:rsidP="00FD15B2">
      <w:pPr>
        <w:spacing w:line="276" w:lineRule="auto"/>
        <w:jc w:val="both"/>
        <w:rPr>
          <w:bCs/>
          <w:sz w:val="28"/>
          <w:szCs w:val="28"/>
        </w:rPr>
      </w:pPr>
      <w:r w:rsidRPr="00E716E3">
        <w:rPr>
          <w:rFonts w:ascii="Helvetica" w:hAnsi="Helvetica"/>
          <w:b/>
          <w:bCs/>
          <w:color w:val="2C166F"/>
        </w:rPr>
        <w:t>Introduction</w:t>
      </w:r>
    </w:p>
    <w:p w14:paraId="79DE4E0E" w14:textId="77777777" w:rsidR="005A54D5" w:rsidRPr="00D12967" w:rsidRDefault="005A54D5" w:rsidP="00FD15B2">
      <w:pPr>
        <w:spacing w:line="276" w:lineRule="auto"/>
        <w:jc w:val="both"/>
      </w:pPr>
    </w:p>
    <w:p w14:paraId="26F62291" w14:textId="0C438B29" w:rsidR="00CA04E6" w:rsidRDefault="00AA106B" w:rsidP="2E14E205">
      <w:pPr>
        <w:pStyle w:val="ListParagraph"/>
        <w:numPr>
          <w:ilvl w:val="0"/>
          <w:numId w:val="1"/>
        </w:numPr>
        <w:spacing w:after="0"/>
        <w:ind w:left="426" w:hanging="426"/>
        <w:jc w:val="both"/>
        <w:rPr>
          <w:rFonts w:ascii="Times New Roman" w:hAnsi="Times New Roman"/>
        </w:rPr>
      </w:pPr>
      <w:r w:rsidRPr="002F43F8">
        <w:rPr>
          <w:rFonts w:ascii="Times New Roman" w:hAnsi="Times New Roman"/>
        </w:rPr>
        <w:t xml:space="preserve">Salam for Democracy and Human Rights, Rights Realisation Centre, MENA Rights Group, Global Campaign for Equal Nationality Rights and </w:t>
      </w:r>
      <w:r w:rsidR="00CA04E6" w:rsidRPr="002F43F8">
        <w:rPr>
          <w:rFonts w:ascii="Times New Roman" w:hAnsi="Times New Roman"/>
        </w:rPr>
        <w:t>Institute on Statelessness and Inclusion</w:t>
      </w:r>
      <w:r w:rsidR="009D0EA5">
        <w:rPr>
          <w:rFonts w:ascii="Times New Roman" w:hAnsi="Times New Roman"/>
        </w:rPr>
        <w:t xml:space="preserve"> (ISI)</w:t>
      </w:r>
      <w:r w:rsidR="00C25246">
        <w:rPr>
          <w:rStyle w:val="FootnoteReference"/>
          <w:rFonts w:ascii="Times New Roman" w:hAnsi="Times New Roman"/>
        </w:rPr>
        <w:footnoteReference w:id="2"/>
      </w:r>
      <w:r w:rsidR="00CA04E6" w:rsidRPr="002F43F8">
        <w:rPr>
          <w:rFonts w:ascii="Times New Roman" w:hAnsi="Times New Roman"/>
        </w:rPr>
        <w:t xml:space="preserve"> welcome the opportunity to make this submission to the Committee on the Rights of the Child</w:t>
      </w:r>
      <w:r w:rsidR="1CE06F09" w:rsidRPr="002F43F8">
        <w:rPr>
          <w:rFonts w:ascii="Times New Roman" w:hAnsi="Times New Roman"/>
        </w:rPr>
        <w:t xml:space="preserve"> (the Committee)</w:t>
      </w:r>
      <w:r w:rsidR="00CA04E6" w:rsidRPr="002F43F8">
        <w:rPr>
          <w:rFonts w:ascii="Times New Roman" w:hAnsi="Times New Roman"/>
        </w:rPr>
        <w:t xml:space="preserve"> regarding Kuwait’s compliance towards every child’s right to acquire a nationality </w:t>
      </w:r>
      <w:r w:rsidR="00BB6BAB">
        <w:rPr>
          <w:rFonts w:ascii="Times New Roman" w:hAnsi="Times New Roman"/>
        </w:rPr>
        <w:t>(</w:t>
      </w:r>
      <w:r w:rsidR="00CA04E6" w:rsidRPr="002F43F8">
        <w:rPr>
          <w:rFonts w:ascii="Times New Roman" w:hAnsi="Times New Roman"/>
        </w:rPr>
        <w:t>Article 7</w:t>
      </w:r>
      <w:r w:rsidR="00BB6BAB">
        <w:rPr>
          <w:rFonts w:ascii="Times New Roman" w:hAnsi="Times New Roman"/>
        </w:rPr>
        <w:t>)</w:t>
      </w:r>
      <w:r w:rsidRPr="002F43F8">
        <w:rPr>
          <w:rFonts w:ascii="Times New Roman" w:hAnsi="Times New Roman"/>
        </w:rPr>
        <w:t xml:space="preserve"> and preserve their nationality (Article 8). This submission also draws on the Guiding Principles of the Convention, in particular, the freedom from discrimination (Article 2) and the </w:t>
      </w:r>
      <w:r w:rsidR="00FD73A6">
        <w:rPr>
          <w:rFonts w:ascii="Times New Roman" w:hAnsi="Times New Roman"/>
        </w:rPr>
        <w:t>b</w:t>
      </w:r>
      <w:r w:rsidRPr="002F43F8">
        <w:rPr>
          <w:rFonts w:ascii="Times New Roman" w:hAnsi="Times New Roman"/>
        </w:rPr>
        <w:t xml:space="preserve">est </w:t>
      </w:r>
      <w:r w:rsidR="00FD73A6">
        <w:rPr>
          <w:rFonts w:ascii="Times New Roman" w:hAnsi="Times New Roman"/>
        </w:rPr>
        <w:t>i</w:t>
      </w:r>
      <w:r w:rsidRPr="002F43F8">
        <w:rPr>
          <w:rFonts w:ascii="Times New Roman" w:hAnsi="Times New Roman"/>
        </w:rPr>
        <w:t xml:space="preserve">nterests of the </w:t>
      </w:r>
      <w:r w:rsidR="00FD73A6">
        <w:rPr>
          <w:rFonts w:ascii="Times New Roman" w:hAnsi="Times New Roman"/>
        </w:rPr>
        <w:t>c</w:t>
      </w:r>
      <w:r w:rsidRPr="002F43F8">
        <w:rPr>
          <w:rFonts w:ascii="Times New Roman" w:hAnsi="Times New Roman"/>
        </w:rPr>
        <w:t>hild (Article 3)</w:t>
      </w:r>
      <w:r w:rsidR="00CA04E6" w:rsidRPr="002F43F8">
        <w:rPr>
          <w:rFonts w:ascii="Times New Roman" w:hAnsi="Times New Roman"/>
        </w:rPr>
        <w:t>.</w:t>
      </w:r>
      <w:r w:rsidR="00585D29">
        <w:rPr>
          <w:rFonts w:ascii="Times New Roman" w:hAnsi="Times New Roman"/>
        </w:rPr>
        <w:t xml:space="preserve"> In particular, the submission focuses on:</w:t>
      </w:r>
    </w:p>
    <w:p w14:paraId="163E5799" w14:textId="77777777" w:rsidR="00585D29" w:rsidRDefault="00585D29" w:rsidP="00585D29">
      <w:pPr>
        <w:pStyle w:val="ListParagraph"/>
        <w:spacing w:after="0"/>
        <w:ind w:left="426"/>
        <w:jc w:val="both"/>
        <w:rPr>
          <w:rFonts w:ascii="Times New Roman" w:hAnsi="Times New Roman"/>
        </w:rPr>
      </w:pPr>
    </w:p>
    <w:p w14:paraId="31D83F17" w14:textId="5DAAB5F9" w:rsidR="00585D29" w:rsidRDefault="00585D29" w:rsidP="00585D29">
      <w:pPr>
        <w:pStyle w:val="ListParagraph"/>
        <w:numPr>
          <w:ilvl w:val="1"/>
          <w:numId w:val="1"/>
        </w:numPr>
        <w:spacing w:after="0"/>
        <w:jc w:val="both"/>
        <w:rPr>
          <w:rFonts w:ascii="Times New Roman" w:hAnsi="Times New Roman"/>
        </w:rPr>
      </w:pPr>
      <w:r>
        <w:rPr>
          <w:rFonts w:ascii="Times New Roman" w:hAnsi="Times New Roman"/>
        </w:rPr>
        <w:t>The right to nationality of Bidoon children,</w:t>
      </w:r>
    </w:p>
    <w:p w14:paraId="0280CB8B" w14:textId="79140C09" w:rsidR="00585D29" w:rsidRDefault="00585D29" w:rsidP="00585D29">
      <w:pPr>
        <w:pStyle w:val="ListParagraph"/>
        <w:numPr>
          <w:ilvl w:val="1"/>
          <w:numId w:val="1"/>
        </w:numPr>
        <w:spacing w:after="0"/>
        <w:jc w:val="both"/>
        <w:rPr>
          <w:rFonts w:ascii="Times New Roman" w:hAnsi="Times New Roman"/>
        </w:rPr>
      </w:pPr>
      <w:r>
        <w:rPr>
          <w:rFonts w:ascii="Times New Roman" w:hAnsi="Times New Roman"/>
        </w:rPr>
        <w:t>The child’s right to nationality and gender discrimination in the nationality law,</w:t>
      </w:r>
    </w:p>
    <w:p w14:paraId="512E42A5" w14:textId="0000818B" w:rsidR="00585D29" w:rsidRPr="00585D29" w:rsidRDefault="00585D29" w:rsidP="00585D29">
      <w:pPr>
        <w:pStyle w:val="ListParagraph"/>
        <w:numPr>
          <w:ilvl w:val="1"/>
          <w:numId w:val="1"/>
        </w:numPr>
        <w:spacing w:after="0"/>
        <w:jc w:val="both"/>
        <w:rPr>
          <w:rFonts w:ascii="Times New Roman" w:hAnsi="Times New Roman"/>
        </w:rPr>
      </w:pPr>
      <w:r>
        <w:rPr>
          <w:rFonts w:ascii="Times New Roman" w:hAnsi="Times New Roman"/>
        </w:rPr>
        <w:t>The arbitrary deprivation of nationality and child rights.</w:t>
      </w:r>
    </w:p>
    <w:p w14:paraId="0CE67AF2" w14:textId="77777777" w:rsidR="00A84BD4" w:rsidRDefault="00A84BD4" w:rsidP="00A84BD4">
      <w:pPr>
        <w:pStyle w:val="ListParagraph"/>
        <w:ind w:left="360"/>
        <w:jc w:val="both"/>
        <w:rPr>
          <w:rFonts w:ascii="Times New Roman" w:hAnsi="Times New Roman"/>
        </w:rPr>
      </w:pPr>
    </w:p>
    <w:p w14:paraId="681AC784" w14:textId="388243E7" w:rsidR="00A84BD4" w:rsidRPr="00A84BD4" w:rsidRDefault="00A84BD4" w:rsidP="00A84BD4">
      <w:pPr>
        <w:pStyle w:val="ListParagraph"/>
        <w:numPr>
          <w:ilvl w:val="0"/>
          <w:numId w:val="1"/>
        </w:numPr>
        <w:jc w:val="both"/>
        <w:rPr>
          <w:rFonts w:ascii="Times New Roman" w:hAnsi="Times New Roman"/>
        </w:rPr>
      </w:pPr>
      <w:r>
        <w:rPr>
          <w:rFonts w:ascii="Times New Roman" w:hAnsi="Times New Roman"/>
        </w:rPr>
        <w:t>T</w:t>
      </w:r>
      <w:r w:rsidRPr="002F43F8">
        <w:rPr>
          <w:rFonts w:ascii="Times New Roman" w:hAnsi="Times New Roman"/>
        </w:rPr>
        <w:t>he right to a nationality is an enabling right, and the denial of the right to nationality, particularly where this results in statelessness, also impedes the child’s full realisation of other fundamental rights found in the Convention such as health (Article 24) and education (Article 28). The condition of statelessness is not compatible with the Guiding Principles of the CRC</w:t>
      </w:r>
      <w:r w:rsidR="00B25B7A">
        <w:rPr>
          <w:rFonts w:ascii="Times New Roman" w:hAnsi="Times New Roman"/>
        </w:rPr>
        <w:t>.</w:t>
      </w:r>
    </w:p>
    <w:p w14:paraId="2BF5B7E1" w14:textId="77777777" w:rsidR="00CA04E6" w:rsidRPr="002F43F8" w:rsidRDefault="00CA04E6" w:rsidP="00FD15B2">
      <w:pPr>
        <w:pStyle w:val="ListParagraph"/>
        <w:spacing w:after="0"/>
        <w:ind w:left="426"/>
        <w:jc w:val="both"/>
        <w:rPr>
          <w:rFonts w:ascii="Times New Roman" w:hAnsi="Times New Roman"/>
        </w:rPr>
      </w:pPr>
    </w:p>
    <w:p w14:paraId="0C9BF9EC" w14:textId="79EC9372" w:rsidR="005A54D5" w:rsidRDefault="00B25B7A" w:rsidP="00FD15B2">
      <w:pPr>
        <w:pStyle w:val="ListParagraph"/>
        <w:numPr>
          <w:ilvl w:val="0"/>
          <w:numId w:val="1"/>
        </w:numPr>
        <w:spacing w:after="0"/>
        <w:ind w:left="426" w:hanging="426"/>
        <w:jc w:val="both"/>
        <w:rPr>
          <w:rFonts w:ascii="Times New Roman" w:hAnsi="Times New Roman"/>
        </w:rPr>
      </w:pPr>
      <w:r w:rsidRPr="002F43F8">
        <w:rPr>
          <w:rFonts w:ascii="Times New Roman" w:hAnsi="Times New Roman"/>
        </w:rPr>
        <w:t>Statelessness status is not legally recognised in Kuwaiti law, neither are there any regulations specifically aimed at preventing or reducing statelessness or protecting stateless persons.</w:t>
      </w:r>
      <w:r w:rsidRPr="002F43F8">
        <w:rPr>
          <w:rStyle w:val="FootnoteReference"/>
          <w:rFonts w:ascii="Times New Roman" w:hAnsi="Times New Roman"/>
        </w:rPr>
        <w:footnoteReference w:id="3"/>
      </w:r>
      <w:r w:rsidRPr="002F43F8">
        <w:rPr>
          <w:rFonts w:ascii="Times New Roman" w:hAnsi="Times New Roman"/>
        </w:rPr>
        <w:t xml:space="preserve"> </w:t>
      </w:r>
      <w:r w:rsidR="00AA106B" w:rsidRPr="002F43F8">
        <w:rPr>
          <w:rFonts w:ascii="Times New Roman" w:hAnsi="Times New Roman"/>
        </w:rPr>
        <w:t xml:space="preserve">Many of the challenges raised </w:t>
      </w:r>
      <w:r w:rsidR="00585D29">
        <w:rPr>
          <w:rFonts w:ascii="Times New Roman" w:hAnsi="Times New Roman"/>
        </w:rPr>
        <w:t>in</w:t>
      </w:r>
      <w:r w:rsidR="00AA106B" w:rsidRPr="002F43F8">
        <w:rPr>
          <w:rFonts w:ascii="Times New Roman" w:hAnsi="Times New Roman"/>
        </w:rPr>
        <w:t xml:space="preserve"> this submission are longstanding, and have not been addressed Kuwait despite </w:t>
      </w:r>
      <w:r w:rsidR="007B3C10" w:rsidRPr="002F43F8">
        <w:rPr>
          <w:rFonts w:ascii="Times New Roman" w:hAnsi="Times New Roman"/>
        </w:rPr>
        <w:t xml:space="preserve">numerous </w:t>
      </w:r>
      <w:r w:rsidR="00AA106B" w:rsidRPr="002F43F8">
        <w:rPr>
          <w:rFonts w:ascii="Times New Roman" w:hAnsi="Times New Roman"/>
        </w:rPr>
        <w:t>previous recommendations by the Committee, other human rights treaty bodies, under the Universal Periodic Review, and civil society groups.</w:t>
      </w:r>
      <w:r w:rsidR="009D0EA5">
        <w:rPr>
          <w:rStyle w:val="FootnoteReference"/>
          <w:rFonts w:ascii="Times New Roman" w:hAnsi="Times New Roman"/>
        </w:rPr>
        <w:footnoteReference w:id="4"/>
      </w:r>
      <w:r w:rsidR="007B3C10" w:rsidRPr="002F43F8">
        <w:rPr>
          <w:rFonts w:ascii="Times New Roman" w:hAnsi="Times New Roman"/>
        </w:rPr>
        <w:t xml:space="preserve"> Kuwait has persistently failed to fulfil its obligations to protect every child’s right to acquire and preserve their nationality; to avoid statelessness; to not discriminate against children in relation to the exercise of </w:t>
      </w:r>
      <w:r>
        <w:rPr>
          <w:rFonts w:ascii="Times New Roman" w:hAnsi="Times New Roman"/>
        </w:rPr>
        <w:t>this</w:t>
      </w:r>
      <w:r w:rsidR="007B3C10" w:rsidRPr="002F43F8">
        <w:rPr>
          <w:rFonts w:ascii="Times New Roman" w:hAnsi="Times New Roman"/>
        </w:rPr>
        <w:t xml:space="preserve"> right on the basis of protected characteristics of the child, their parents or guardians; and to take the best interests of the child as a primary consideration in relation to the exercise of these rights.</w:t>
      </w:r>
    </w:p>
    <w:p w14:paraId="7906F2B7" w14:textId="77777777" w:rsidR="0013244C" w:rsidRPr="0013244C" w:rsidRDefault="0013244C" w:rsidP="0013244C">
      <w:pPr>
        <w:pStyle w:val="ListParagraph"/>
        <w:rPr>
          <w:rFonts w:ascii="Times New Roman" w:hAnsi="Times New Roman"/>
        </w:rPr>
      </w:pPr>
    </w:p>
    <w:p w14:paraId="6981055D" w14:textId="0A32E031" w:rsidR="0013244C" w:rsidRDefault="0013244C" w:rsidP="0013244C">
      <w:pPr>
        <w:pStyle w:val="ListParagraph"/>
        <w:numPr>
          <w:ilvl w:val="0"/>
          <w:numId w:val="1"/>
        </w:numPr>
        <w:spacing w:after="0"/>
        <w:jc w:val="both"/>
        <w:rPr>
          <w:rFonts w:ascii="Times New Roman" w:hAnsi="Times New Roman"/>
        </w:rPr>
      </w:pPr>
      <w:r w:rsidRPr="006A7992">
        <w:rPr>
          <w:rFonts w:ascii="Times New Roman" w:hAnsi="Times New Roman"/>
        </w:rPr>
        <w:t xml:space="preserve">As this submission </w:t>
      </w:r>
      <w:r>
        <w:rPr>
          <w:rFonts w:ascii="Times New Roman" w:hAnsi="Times New Roman"/>
        </w:rPr>
        <w:t>sets</w:t>
      </w:r>
      <w:r w:rsidRPr="006A7992">
        <w:rPr>
          <w:rFonts w:ascii="Times New Roman" w:hAnsi="Times New Roman"/>
        </w:rPr>
        <w:t xml:space="preserve"> out</w:t>
      </w:r>
      <w:r>
        <w:rPr>
          <w:rFonts w:ascii="Times New Roman" w:hAnsi="Times New Roman"/>
        </w:rPr>
        <w:t xml:space="preserve"> (see Annex 2)</w:t>
      </w:r>
      <w:r w:rsidRPr="006A7992">
        <w:rPr>
          <w:rFonts w:ascii="Times New Roman" w:hAnsi="Times New Roman"/>
        </w:rPr>
        <w:t xml:space="preserve">, the Kuwait State report to the Committee is inaccurate and flawed. It obscures the ongoing denial and deprivation of the right to nationality endure by many children in Kuwait, and fails to show any real progress or genuine efforts to address the numerous recommendations made by the Committee and other bodies,. </w:t>
      </w:r>
    </w:p>
    <w:p w14:paraId="2E486303" w14:textId="77777777" w:rsidR="005048D2" w:rsidRPr="002F43F8" w:rsidRDefault="005048D2" w:rsidP="002F43F8">
      <w:pPr>
        <w:jc w:val="both"/>
        <w:rPr>
          <w:rFonts w:ascii="Times New Roman" w:hAnsi="Times New Roman"/>
        </w:rPr>
      </w:pPr>
    </w:p>
    <w:p w14:paraId="2FCA3E18" w14:textId="43E069A6" w:rsidR="00C25246" w:rsidRPr="009D0EA5" w:rsidRDefault="009D0EA5" w:rsidP="009D0EA5">
      <w:pPr>
        <w:pStyle w:val="ListParagraph"/>
        <w:numPr>
          <w:ilvl w:val="0"/>
          <w:numId w:val="1"/>
        </w:numPr>
        <w:spacing w:after="0"/>
        <w:jc w:val="both"/>
        <w:rPr>
          <w:rFonts w:ascii="Times New Roman" w:hAnsi="Times New Roman"/>
        </w:rPr>
      </w:pPr>
      <w:r w:rsidRPr="006A7992">
        <w:rPr>
          <w:rFonts w:ascii="Times New Roman" w:hAnsi="Times New Roman"/>
        </w:rPr>
        <w:t xml:space="preserve">This submission draws on the extensive work and research </w:t>
      </w:r>
      <w:r w:rsidR="00585D29">
        <w:rPr>
          <w:rFonts w:ascii="Times New Roman" w:hAnsi="Times New Roman"/>
        </w:rPr>
        <w:t>of</w:t>
      </w:r>
      <w:r w:rsidRPr="006A7992">
        <w:rPr>
          <w:rFonts w:ascii="Times New Roman" w:hAnsi="Times New Roman"/>
        </w:rPr>
        <w:t xml:space="preserve"> </w:t>
      </w:r>
      <w:r>
        <w:rPr>
          <w:rFonts w:ascii="Times New Roman" w:hAnsi="Times New Roman"/>
        </w:rPr>
        <w:t>t</w:t>
      </w:r>
      <w:r w:rsidRPr="006A7992">
        <w:rPr>
          <w:rFonts w:ascii="Times New Roman" w:hAnsi="Times New Roman"/>
        </w:rPr>
        <w:t>he co-submitting organisations.</w:t>
      </w:r>
      <w:r>
        <w:rPr>
          <w:rFonts w:ascii="Times New Roman" w:hAnsi="Times New Roman"/>
        </w:rPr>
        <w:t xml:space="preserve"> We</w:t>
      </w:r>
      <w:r w:rsidR="00C25246" w:rsidRPr="009D0EA5">
        <w:rPr>
          <w:rFonts w:ascii="Times New Roman" w:hAnsi="Times New Roman"/>
        </w:rPr>
        <w:t xml:space="preserve"> hope that the Committee will draw on </w:t>
      </w:r>
      <w:r w:rsidR="00AB714B">
        <w:rPr>
          <w:rFonts w:ascii="Times New Roman" w:hAnsi="Times New Roman"/>
        </w:rPr>
        <w:t>it</w:t>
      </w:r>
      <w:r w:rsidR="00C25246" w:rsidRPr="009D0EA5">
        <w:rPr>
          <w:rFonts w:ascii="Times New Roman" w:hAnsi="Times New Roman"/>
        </w:rPr>
        <w:t xml:space="preserve"> </w:t>
      </w:r>
      <w:r w:rsidR="00777220">
        <w:rPr>
          <w:rFonts w:ascii="Times New Roman" w:hAnsi="Times New Roman"/>
        </w:rPr>
        <w:t>in developing the</w:t>
      </w:r>
      <w:r w:rsidR="00C25246" w:rsidRPr="009D0EA5">
        <w:rPr>
          <w:rFonts w:ascii="Times New Roman" w:hAnsi="Times New Roman"/>
        </w:rPr>
        <w:t xml:space="preserve"> </w:t>
      </w:r>
      <w:r w:rsidR="00C25246" w:rsidRPr="009D0EA5">
        <w:rPr>
          <w:rFonts w:ascii="Times New Roman" w:hAnsi="Times New Roman"/>
          <w:b/>
          <w:bCs/>
        </w:rPr>
        <w:t>List of Issues for Kuwait</w:t>
      </w:r>
      <w:r w:rsidR="00C25246" w:rsidRPr="009D0EA5">
        <w:rPr>
          <w:rFonts w:ascii="Times New Roman" w:hAnsi="Times New Roman"/>
        </w:rPr>
        <w:t xml:space="preserve">, and </w:t>
      </w:r>
      <w:r w:rsidR="00777220">
        <w:rPr>
          <w:rFonts w:ascii="Times New Roman" w:hAnsi="Times New Roman"/>
        </w:rPr>
        <w:t>towards</w:t>
      </w:r>
      <w:r w:rsidR="00C25246" w:rsidRPr="009D0EA5">
        <w:rPr>
          <w:rFonts w:ascii="Times New Roman" w:hAnsi="Times New Roman"/>
        </w:rPr>
        <w:t xml:space="preserve"> its </w:t>
      </w:r>
      <w:r w:rsidR="00C25246" w:rsidRPr="009D0EA5">
        <w:rPr>
          <w:rFonts w:ascii="Times New Roman" w:hAnsi="Times New Roman"/>
          <w:b/>
          <w:bCs/>
        </w:rPr>
        <w:t>Concluding Observation</w:t>
      </w:r>
      <w:r w:rsidR="00777220">
        <w:rPr>
          <w:rFonts w:ascii="Times New Roman" w:hAnsi="Times New Roman"/>
          <w:b/>
          <w:bCs/>
        </w:rPr>
        <w:t>s and Recommendations.</w:t>
      </w:r>
      <w:r w:rsidR="00C25246" w:rsidRPr="009D0EA5">
        <w:rPr>
          <w:rFonts w:ascii="Times New Roman" w:hAnsi="Times New Roman"/>
        </w:rPr>
        <w:t xml:space="preserve"> This submission highlight</w:t>
      </w:r>
      <w:r w:rsidR="00B25B7A">
        <w:rPr>
          <w:rFonts w:ascii="Times New Roman" w:hAnsi="Times New Roman"/>
        </w:rPr>
        <w:t>s</w:t>
      </w:r>
      <w:r w:rsidR="00C25246" w:rsidRPr="009D0EA5">
        <w:rPr>
          <w:rFonts w:ascii="Times New Roman" w:hAnsi="Times New Roman"/>
        </w:rPr>
        <w:t xml:space="preserve"> issues that may be included in the List of Issues in text boxes under each substantive section, and recommendations that may be drawn on for the Committees Concluding Observations at the very end of the text.</w:t>
      </w:r>
    </w:p>
    <w:p w14:paraId="7CBCE18D" w14:textId="77777777" w:rsidR="00C25246" w:rsidRPr="006A7992" w:rsidRDefault="00C25246" w:rsidP="00C25246">
      <w:pPr>
        <w:spacing w:line="276" w:lineRule="auto"/>
        <w:ind w:left="426" w:hanging="426"/>
        <w:jc w:val="both"/>
        <w:rPr>
          <w:rFonts w:ascii="Times New Roman" w:hAnsi="Times New Roman"/>
        </w:rPr>
      </w:pPr>
    </w:p>
    <w:p w14:paraId="05698018" w14:textId="2F70E9C3" w:rsidR="00C25246" w:rsidRDefault="00AB714B" w:rsidP="00C25246">
      <w:pPr>
        <w:pStyle w:val="ListParagraph"/>
        <w:numPr>
          <w:ilvl w:val="0"/>
          <w:numId w:val="1"/>
        </w:numPr>
        <w:spacing w:after="0"/>
        <w:jc w:val="both"/>
        <w:rPr>
          <w:rFonts w:ascii="Times New Roman" w:hAnsi="Times New Roman"/>
        </w:rPr>
      </w:pPr>
      <w:r>
        <w:rPr>
          <w:rFonts w:ascii="Times New Roman" w:hAnsi="Times New Roman"/>
        </w:rPr>
        <w:t>Should</w:t>
      </w:r>
      <w:r w:rsidR="00C25246" w:rsidRPr="002F43F8">
        <w:rPr>
          <w:rFonts w:ascii="Times New Roman" w:hAnsi="Times New Roman"/>
        </w:rPr>
        <w:t xml:space="preserve"> the Committee</w:t>
      </w:r>
      <w:r>
        <w:rPr>
          <w:rFonts w:ascii="Times New Roman" w:hAnsi="Times New Roman"/>
        </w:rPr>
        <w:t xml:space="preserve"> </w:t>
      </w:r>
      <w:r w:rsidR="00C25246" w:rsidRPr="002F43F8">
        <w:rPr>
          <w:rFonts w:ascii="Times New Roman" w:hAnsi="Times New Roman"/>
        </w:rPr>
        <w:t>wish to conduct a fuller review of the Kuwaiti Nationality Act, it may access the official Arabic language</w:t>
      </w:r>
      <w:r w:rsidR="00C25246" w:rsidRPr="006A7992">
        <w:rPr>
          <w:rStyle w:val="FootnoteReference"/>
          <w:rFonts w:ascii="Times New Roman" w:hAnsi="Times New Roman"/>
        </w:rPr>
        <w:footnoteReference w:id="5"/>
      </w:r>
      <w:r w:rsidR="00C25246" w:rsidRPr="002F43F8">
        <w:rPr>
          <w:rFonts w:ascii="Times New Roman" w:hAnsi="Times New Roman"/>
        </w:rPr>
        <w:t xml:space="preserve"> version as well as the English translation</w:t>
      </w:r>
      <w:r w:rsidR="00C25246" w:rsidRPr="006A7992">
        <w:rPr>
          <w:rStyle w:val="FootnoteReference"/>
          <w:rFonts w:ascii="Times New Roman" w:hAnsi="Times New Roman"/>
        </w:rPr>
        <w:footnoteReference w:id="6"/>
      </w:r>
      <w:r w:rsidR="00C25246" w:rsidRPr="002F43F8">
        <w:rPr>
          <w:rFonts w:ascii="Times New Roman" w:hAnsi="Times New Roman"/>
        </w:rPr>
        <w:t xml:space="preserve"> online. </w:t>
      </w:r>
    </w:p>
    <w:p w14:paraId="19662D7D" w14:textId="77777777" w:rsidR="00C25246" w:rsidRPr="00C25246" w:rsidRDefault="00C25246" w:rsidP="00C25246">
      <w:pPr>
        <w:jc w:val="both"/>
        <w:rPr>
          <w:rFonts w:ascii="Times New Roman" w:hAnsi="Times New Roman"/>
        </w:rPr>
      </w:pPr>
    </w:p>
    <w:p w14:paraId="68E0DE7E" w14:textId="2524ECE2" w:rsidR="005048D2" w:rsidRDefault="007B5F11" w:rsidP="00FD15B2">
      <w:pPr>
        <w:pStyle w:val="ListParagraph"/>
        <w:numPr>
          <w:ilvl w:val="0"/>
          <w:numId w:val="1"/>
        </w:numPr>
        <w:spacing w:after="0"/>
        <w:ind w:left="426" w:hanging="426"/>
        <w:jc w:val="both"/>
        <w:rPr>
          <w:rFonts w:ascii="Times New Roman" w:hAnsi="Times New Roman"/>
        </w:rPr>
      </w:pPr>
      <w:hyperlink w:anchor="_Annex_I_–" w:history="1">
        <w:r w:rsidR="0063581F" w:rsidRPr="00EF6784">
          <w:rPr>
            <w:rStyle w:val="Hyperlink"/>
          </w:rPr>
          <w:t xml:space="preserve">Annex </w:t>
        </w:r>
        <w:r w:rsidR="00EF6784" w:rsidRPr="00EF6784">
          <w:rPr>
            <w:rStyle w:val="Hyperlink"/>
          </w:rPr>
          <w:t>I</w:t>
        </w:r>
      </w:hyperlink>
      <w:r w:rsidR="0063581F">
        <w:rPr>
          <w:rFonts w:ascii="Times New Roman" w:hAnsi="Times New Roman"/>
        </w:rPr>
        <w:t xml:space="preserve"> </w:t>
      </w:r>
      <w:r w:rsidR="009D0EA5">
        <w:rPr>
          <w:rFonts w:ascii="Times New Roman" w:hAnsi="Times New Roman"/>
        </w:rPr>
        <w:t xml:space="preserve">to this submission </w:t>
      </w:r>
      <w:r w:rsidR="00EF6784">
        <w:rPr>
          <w:rFonts w:ascii="Times New Roman" w:hAnsi="Times New Roman"/>
        </w:rPr>
        <w:t xml:space="preserve">highlights Kuwait’s international obligations and </w:t>
      </w:r>
      <w:r w:rsidR="000656D2">
        <w:rPr>
          <w:rFonts w:ascii="Times New Roman" w:hAnsi="Times New Roman"/>
        </w:rPr>
        <w:t xml:space="preserve">previous </w:t>
      </w:r>
      <w:r w:rsidR="00EF6784">
        <w:rPr>
          <w:rFonts w:ascii="Times New Roman" w:hAnsi="Times New Roman"/>
        </w:rPr>
        <w:t xml:space="preserve">recommendations </w:t>
      </w:r>
      <w:r w:rsidR="000656D2">
        <w:rPr>
          <w:rFonts w:ascii="Times New Roman" w:hAnsi="Times New Roman"/>
        </w:rPr>
        <w:t xml:space="preserve">made to </w:t>
      </w:r>
      <w:r w:rsidR="00EF6784">
        <w:rPr>
          <w:rFonts w:ascii="Times New Roman" w:hAnsi="Times New Roman"/>
        </w:rPr>
        <w:t xml:space="preserve">the State by international human rights bodies. </w:t>
      </w:r>
      <w:hyperlink w:anchor="_Annex_II_-" w:history="1">
        <w:r w:rsidR="00EF6784" w:rsidRPr="00EF6784">
          <w:rPr>
            <w:rStyle w:val="Hyperlink"/>
          </w:rPr>
          <w:t>Annex II</w:t>
        </w:r>
      </w:hyperlink>
      <w:r w:rsidR="00EF6784">
        <w:rPr>
          <w:rFonts w:ascii="Times New Roman" w:hAnsi="Times New Roman"/>
        </w:rPr>
        <w:t xml:space="preserve"> </w:t>
      </w:r>
      <w:r w:rsidR="000656D2">
        <w:rPr>
          <w:rFonts w:ascii="Times New Roman" w:hAnsi="Times New Roman"/>
        </w:rPr>
        <w:t xml:space="preserve">addresses relevant text of </w:t>
      </w:r>
      <w:r w:rsidR="00EF6784">
        <w:rPr>
          <w:rFonts w:ascii="Times New Roman" w:hAnsi="Times New Roman"/>
        </w:rPr>
        <w:t>the</w:t>
      </w:r>
      <w:r w:rsidR="00AB714B">
        <w:rPr>
          <w:rFonts w:ascii="Times New Roman" w:hAnsi="Times New Roman"/>
        </w:rPr>
        <w:t xml:space="preserve"> Kuwait State</w:t>
      </w:r>
      <w:r w:rsidR="00EF6784">
        <w:rPr>
          <w:rFonts w:ascii="Times New Roman" w:hAnsi="Times New Roman"/>
        </w:rPr>
        <w:t xml:space="preserve"> report to the Committee and </w:t>
      </w:r>
      <w:hyperlink w:anchor="_Annex_III_-" w:history="1">
        <w:r w:rsidR="00EF6784" w:rsidRPr="00274371">
          <w:rPr>
            <w:rStyle w:val="Hyperlink"/>
          </w:rPr>
          <w:t>Annex III</w:t>
        </w:r>
      </w:hyperlink>
      <w:r w:rsidR="00EF6784">
        <w:rPr>
          <w:rFonts w:ascii="Times New Roman" w:hAnsi="Times New Roman"/>
        </w:rPr>
        <w:t xml:space="preserve"> </w:t>
      </w:r>
      <w:r w:rsidR="000656D2">
        <w:rPr>
          <w:rFonts w:ascii="Times New Roman" w:hAnsi="Times New Roman"/>
        </w:rPr>
        <w:t xml:space="preserve">provides </w:t>
      </w:r>
      <w:r w:rsidR="00274371">
        <w:rPr>
          <w:rFonts w:ascii="Times New Roman" w:hAnsi="Times New Roman"/>
        </w:rPr>
        <w:t>information on the co-submitting organisations.</w:t>
      </w:r>
      <w:r w:rsidR="00EF6784">
        <w:rPr>
          <w:rFonts w:ascii="Times New Roman" w:hAnsi="Times New Roman"/>
        </w:rPr>
        <w:t xml:space="preserve"> </w:t>
      </w:r>
      <w:r w:rsidR="005048D2">
        <w:rPr>
          <w:rFonts w:ascii="Times New Roman" w:hAnsi="Times New Roman"/>
        </w:rPr>
        <w:t xml:space="preserve"> </w:t>
      </w:r>
    </w:p>
    <w:p w14:paraId="658D8FC5" w14:textId="003BDD3D" w:rsidR="0013244C" w:rsidRDefault="0013244C" w:rsidP="0013244C">
      <w:pPr>
        <w:pStyle w:val="ListParagraph"/>
        <w:rPr>
          <w:rFonts w:ascii="Times New Roman" w:hAnsi="Times New Roman"/>
        </w:rPr>
      </w:pPr>
    </w:p>
    <w:p w14:paraId="13A320F0" w14:textId="77777777" w:rsidR="0013244C" w:rsidRPr="0013244C" w:rsidRDefault="0013244C" w:rsidP="0013244C">
      <w:pPr>
        <w:pStyle w:val="ListParagraph"/>
        <w:rPr>
          <w:rFonts w:ascii="Times New Roman" w:hAnsi="Times New Roman"/>
        </w:rPr>
      </w:pPr>
    </w:p>
    <w:p w14:paraId="50587857" w14:textId="2C34CA26" w:rsidR="005A54D5" w:rsidRPr="002F43F8" w:rsidRDefault="00D12DF6" w:rsidP="00585D29">
      <w:pPr>
        <w:spacing w:after="160" w:line="259" w:lineRule="auto"/>
        <w:rPr>
          <w:rFonts w:ascii="Helvetica" w:hAnsi="Helvetica"/>
          <w:b/>
          <w:bCs/>
          <w:color w:val="2C166F"/>
        </w:rPr>
      </w:pPr>
      <w:r w:rsidRPr="002F43F8">
        <w:rPr>
          <w:rFonts w:ascii="Helvetica" w:hAnsi="Helvetica"/>
          <w:b/>
          <w:bCs/>
          <w:color w:val="2C166F"/>
        </w:rPr>
        <w:t xml:space="preserve">The </w:t>
      </w:r>
      <w:r w:rsidR="00585D29">
        <w:rPr>
          <w:rFonts w:ascii="Helvetica" w:hAnsi="Helvetica"/>
          <w:b/>
          <w:bCs/>
          <w:color w:val="2C166F"/>
        </w:rPr>
        <w:t>right to nationality of</w:t>
      </w:r>
      <w:r w:rsidRPr="002F43F8">
        <w:rPr>
          <w:rFonts w:ascii="Helvetica" w:hAnsi="Helvetica"/>
          <w:b/>
          <w:bCs/>
          <w:color w:val="2C166F"/>
        </w:rPr>
        <w:t xml:space="preserve"> Bidoon </w:t>
      </w:r>
      <w:r w:rsidR="00585D29">
        <w:rPr>
          <w:rFonts w:ascii="Helvetica" w:hAnsi="Helvetica"/>
          <w:b/>
          <w:bCs/>
          <w:color w:val="2C166F"/>
        </w:rPr>
        <w:t>children</w:t>
      </w:r>
      <w:r w:rsidR="005A54D5" w:rsidRPr="002F43F8">
        <w:rPr>
          <w:rFonts w:ascii="Helvetica" w:hAnsi="Helvetica"/>
          <w:b/>
          <w:bCs/>
          <w:color w:val="2C166F"/>
        </w:rPr>
        <w:t xml:space="preserve"> </w:t>
      </w:r>
    </w:p>
    <w:p w14:paraId="44D4468D" w14:textId="079E2B1A" w:rsidR="00777220" w:rsidRDefault="00777220" w:rsidP="00777220">
      <w:pPr>
        <w:pStyle w:val="ListParagraph"/>
        <w:numPr>
          <w:ilvl w:val="0"/>
          <w:numId w:val="1"/>
        </w:numPr>
        <w:jc w:val="both"/>
        <w:rPr>
          <w:rFonts w:ascii="Times New Roman" w:hAnsi="Times New Roman"/>
        </w:rPr>
      </w:pPr>
      <w:r w:rsidRPr="002F43F8">
        <w:rPr>
          <w:rFonts w:ascii="Times New Roman" w:hAnsi="Times New Roman"/>
        </w:rPr>
        <w:t xml:space="preserve">In Kuwait the genesis of most cases of statelessness was the failure to comprehensively identify and register all persons </w:t>
      </w:r>
      <w:r>
        <w:rPr>
          <w:rFonts w:ascii="Times New Roman" w:hAnsi="Times New Roman"/>
        </w:rPr>
        <w:t>entitled to</w:t>
      </w:r>
      <w:r w:rsidRPr="002F43F8">
        <w:rPr>
          <w:rFonts w:ascii="Times New Roman" w:hAnsi="Times New Roman"/>
        </w:rPr>
        <w:t xml:space="preserve"> citizens</w:t>
      </w:r>
      <w:r>
        <w:rPr>
          <w:rFonts w:ascii="Times New Roman" w:hAnsi="Times New Roman"/>
        </w:rPr>
        <w:t>hip</w:t>
      </w:r>
      <w:r w:rsidRPr="002F43F8">
        <w:rPr>
          <w:rFonts w:ascii="Times New Roman" w:hAnsi="Times New Roman"/>
        </w:rPr>
        <w:t xml:space="preserve"> during the post-colonial period of state formation.</w:t>
      </w:r>
      <w:r w:rsidRPr="002F43F8">
        <w:rPr>
          <w:rStyle w:val="FootnoteReference"/>
          <w:rFonts w:ascii="Times New Roman" w:hAnsi="Times New Roman"/>
        </w:rPr>
        <w:footnoteReference w:id="7"/>
      </w:r>
      <w:r w:rsidRPr="002F43F8">
        <w:rPr>
          <w:rFonts w:ascii="Times New Roman" w:hAnsi="Times New Roman"/>
        </w:rPr>
        <w:t xml:space="preserve"> </w:t>
      </w:r>
      <w:r w:rsidRPr="006A7992">
        <w:rPr>
          <w:rFonts w:ascii="Times New Roman" w:hAnsi="Times New Roman"/>
        </w:rPr>
        <w:t xml:space="preserve">According to UNHCR, Kuwait was home to 92,000 </w:t>
      </w:r>
      <w:r>
        <w:rPr>
          <w:rFonts w:ascii="Times New Roman" w:hAnsi="Times New Roman"/>
        </w:rPr>
        <w:t xml:space="preserve">stateless </w:t>
      </w:r>
      <w:r w:rsidRPr="006A7992">
        <w:rPr>
          <w:rFonts w:ascii="Times New Roman" w:hAnsi="Times New Roman"/>
        </w:rPr>
        <w:t>persons in 2018</w:t>
      </w:r>
      <w:r>
        <w:rPr>
          <w:rFonts w:ascii="Times New Roman" w:hAnsi="Times New Roman"/>
        </w:rPr>
        <w:t>.</w:t>
      </w:r>
      <w:r w:rsidRPr="006A7992">
        <w:rPr>
          <w:rStyle w:val="FootnoteReference"/>
          <w:rFonts w:ascii="Times New Roman" w:hAnsi="Times New Roman"/>
        </w:rPr>
        <w:footnoteReference w:id="8"/>
      </w:r>
      <w:r w:rsidRPr="006A7992">
        <w:rPr>
          <w:rFonts w:ascii="Times New Roman" w:hAnsi="Times New Roman"/>
        </w:rPr>
        <w:t xml:space="preserve"> However, civil society estimates are much higher, with some placing the figure at 200,000 to 300,000.</w:t>
      </w:r>
      <w:r w:rsidRPr="006A7992">
        <w:rPr>
          <w:rStyle w:val="FootnoteReference"/>
          <w:rFonts w:ascii="Times New Roman" w:hAnsi="Times New Roman"/>
        </w:rPr>
        <w:footnoteReference w:id="9"/>
      </w:r>
      <w:r w:rsidRPr="006A7992">
        <w:rPr>
          <w:rFonts w:ascii="Times New Roman" w:hAnsi="Times New Roman"/>
        </w:rPr>
        <w:t xml:space="preserve"> </w:t>
      </w:r>
      <w:r w:rsidRPr="002F43F8">
        <w:rPr>
          <w:rFonts w:ascii="Times New Roman" w:hAnsi="Times New Roman"/>
        </w:rPr>
        <w:t>The unregistered population and their descendants are called ‘Bidoon’ – which literally translates to ‘without’. The Bidoon have long been marginalised by the government, their treatment deteriorating significantly from the mid-1980s onwards</w:t>
      </w:r>
      <w:r>
        <w:rPr>
          <w:rFonts w:ascii="Times New Roman" w:hAnsi="Times New Roman"/>
        </w:rPr>
        <w:t>,</w:t>
      </w:r>
      <w:r w:rsidRPr="002F43F8">
        <w:rPr>
          <w:rStyle w:val="FootnoteReference"/>
          <w:rFonts w:ascii="Times New Roman" w:hAnsi="Times New Roman"/>
        </w:rPr>
        <w:footnoteReference w:id="10"/>
      </w:r>
      <w:r w:rsidRPr="002F43F8">
        <w:rPr>
          <w:rFonts w:ascii="Times New Roman" w:hAnsi="Times New Roman"/>
        </w:rPr>
        <w:t xml:space="preserve"> </w:t>
      </w:r>
      <w:r>
        <w:rPr>
          <w:rFonts w:ascii="Times New Roman" w:hAnsi="Times New Roman"/>
        </w:rPr>
        <w:t>with various attempts to secure their citizenship being blocked</w:t>
      </w:r>
      <w:r w:rsidRPr="002F43F8">
        <w:rPr>
          <w:rFonts w:ascii="Times New Roman" w:hAnsi="Times New Roman"/>
        </w:rPr>
        <w:t>.</w:t>
      </w:r>
      <w:r w:rsidRPr="002F43F8">
        <w:rPr>
          <w:rStyle w:val="FootnoteReference"/>
          <w:rFonts w:ascii="Times New Roman" w:hAnsi="Times New Roman"/>
        </w:rPr>
        <w:footnoteReference w:id="11"/>
      </w:r>
      <w:r w:rsidRPr="002F43F8">
        <w:rPr>
          <w:rFonts w:ascii="Times New Roman" w:hAnsi="Times New Roman"/>
        </w:rPr>
        <w:t xml:space="preserve"> Without documentation, the Bidoon are prevented from accessing basic services or rights, </w:t>
      </w:r>
      <w:r w:rsidR="00585D29">
        <w:rPr>
          <w:rFonts w:ascii="Times New Roman" w:hAnsi="Times New Roman"/>
        </w:rPr>
        <w:t>as addressed by multiple</w:t>
      </w:r>
      <w:r w:rsidRPr="002F43F8">
        <w:rPr>
          <w:rFonts w:ascii="Times New Roman" w:hAnsi="Times New Roman"/>
        </w:rPr>
        <w:t xml:space="preserve"> UN human rights bodies.</w:t>
      </w:r>
      <w:r w:rsidRPr="002F43F8">
        <w:rPr>
          <w:rStyle w:val="FootnoteReference"/>
          <w:rFonts w:ascii="Times New Roman" w:hAnsi="Times New Roman"/>
        </w:rPr>
        <w:footnoteReference w:id="12"/>
      </w:r>
      <w:r w:rsidRPr="002F43F8">
        <w:rPr>
          <w:rFonts w:ascii="Times New Roman" w:hAnsi="Times New Roman"/>
        </w:rPr>
        <w:t xml:space="preserve"> Kuwait</w:t>
      </w:r>
      <w:r>
        <w:rPr>
          <w:rFonts w:ascii="Times New Roman" w:hAnsi="Times New Roman"/>
        </w:rPr>
        <w:t>’s failures in this regard have created</w:t>
      </w:r>
      <w:r w:rsidRPr="002F43F8">
        <w:rPr>
          <w:rFonts w:ascii="Times New Roman" w:hAnsi="Times New Roman"/>
        </w:rPr>
        <w:t xml:space="preserve"> debilitating life conditions</w:t>
      </w:r>
      <w:r>
        <w:rPr>
          <w:rFonts w:ascii="Times New Roman" w:hAnsi="Times New Roman"/>
        </w:rPr>
        <w:t xml:space="preserve"> for the Bidoon</w:t>
      </w:r>
      <w:r w:rsidRPr="002F43F8">
        <w:rPr>
          <w:rFonts w:ascii="Times New Roman" w:hAnsi="Times New Roman"/>
        </w:rPr>
        <w:t>. In 2019, the suicide of a 20-year old Bidoon man who had been denied the civil documentation needed to study and work brought to the fore the conditions of marginalisation and exclusion faced by the Bidoon (including children and youth), and sparked protests, to which the authorities responded with harsh crackdowns, generating further social tension.</w:t>
      </w:r>
      <w:r w:rsidRPr="002F43F8">
        <w:rPr>
          <w:rStyle w:val="FootnoteReference"/>
          <w:rFonts w:ascii="Times New Roman" w:hAnsi="Times New Roman"/>
        </w:rPr>
        <w:footnoteReference w:id="13"/>
      </w:r>
      <w:r w:rsidRPr="002F43F8">
        <w:rPr>
          <w:rFonts w:ascii="Times New Roman" w:hAnsi="Times New Roman"/>
        </w:rPr>
        <w:t xml:space="preserve"> The CRC Committee previously underlined that</w:t>
      </w:r>
      <w:r>
        <w:rPr>
          <w:rFonts w:ascii="Times New Roman" w:hAnsi="Times New Roman"/>
        </w:rPr>
        <w:t>:</w:t>
      </w:r>
    </w:p>
    <w:p w14:paraId="1EA371FB" w14:textId="77777777" w:rsidR="00777220" w:rsidRDefault="00777220" w:rsidP="00777220">
      <w:pPr>
        <w:pStyle w:val="ListParagraph"/>
        <w:ind w:left="360"/>
        <w:jc w:val="both"/>
        <w:rPr>
          <w:rFonts w:ascii="Times New Roman" w:hAnsi="Times New Roman"/>
        </w:rPr>
      </w:pPr>
    </w:p>
    <w:p w14:paraId="7F586D17" w14:textId="77777777" w:rsidR="00777220" w:rsidRPr="002F43F8" w:rsidRDefault="00777220" w:rsidP="00777220">
      <w:pPr>
        <w:pStyle w:val="ListParagraph"/>
        <w:jc w:val="both"/>
        <w:rPr>
          <w:rFonts w:ascii="Times New Roman" w:hAnsi="Times New Roman"/>
        </w:rPr>
      </w:pPr>
      <w:r w:rsidRPr="002F43F8">
        <w:rPr>
          <w:rFonts w:ascii="Times New Roman" w:hAnsi="Times New Roman"/>
        </w:rPr>
        <w:t>“</w:t>
      </w:r>
      <w:r w:rsidRPr="002F43F8">
        <w:rPr>
          <w:rFonts w:ascii="Times New Roman" w:hAnsi="Times New Roman"/>
          <w:i/>
          <w:iCs/>
        </w:rPr>
        <w:t>a great proportion of Bidoon children continue to be deprived of their right to be registered at birth and to acquire a nationality, which prevents them from having access to health-care services, public schools and any other type of social benefits and services.</w:t>
      </w:r>
      <w:r w:rsidRPr="002F43F8">
        <w:rPr>
          <w:rFonts w:ascii="Times New Roman" w:hAnsi="Times New Roman"/>
        </w:rPr>
        <w:t>”</w:t>
      </w:r>
      <w:r w:rsidRPr="002F43F8">
        <w:rPr>
          <w:rStyle w:val="FootnoteReference"/>
          <w:rFonts w:ascii="Times New Roman" w:hAnsi="Times New Roman"/>
        </w:rPr>
        <w:footnoteReference w:id="14"/>
      </w:r>
    </w:p>
    <w:p w14:paraId="7E5E136C" w14:textId="77777777" w:rsidR="00777220" w:rsidRPr="002F43F8" w:rsidRDefault="00777220" w:rsidP="00777220">
      <w:pPr>
        <w:pStyle w:val="ListParagraph"/>
        <w:spacing w:after="0"/>
        <w:ind w:left="360"/>
        <w:jc w:val="both"/>
        <w:rPr>
          <w:rFonts w:ascii="Times New Roman" w:hAnsi="Times New Roman"/>
        </w:rPr>
      </w:pPr>
    </w:p>
    <w:p w14:paraId="0DF1A60B" w14:textId="38FA8452" w:rsidR="00577F89" w:rsidRPr="002F43F8" w:rsidRDefault="00D12DF6" w:rsidP="00FD15B2">
      <w:pPr>
        <w:pStyle w:val="ListParagraph"/>
        <w:numPr>
          <w:ilvl w:val="0"/>
          <w:numId w:val="1"/>
        </w:numPr>
        <w:spacing w:after="0"/>
        <w:jc w:val="both"/>
        <w:rPr>
          <w:rFonts w:ascii="Times New Roman" w:hAnsi="Times New Roman"/>
        </w:rPr>
      </w:pPr>
      <w:r w:rsidRPr="002F43F8">
        <w:rPr>
          <w:rFonts w:ascii="Times New Roman" w:hAnsi="Times New Roman"/>
        </w:rPr>
        <w:t xml:space="preserve">The vast majority of </w:t>
      </w:r>
      <w:r w:rsidR="00594C61">
        <w:rPr>
          <w:rFonts w:ascii="Times New Roman" w:hAnsi="Times New Roman"/>
        </w:rPr>
        <w:t xml:space="preserve">stateless </w:t>
      </w:r>
      <w:r w:rsidRPr="002F43F8">
        <w:rPr>
          <w:rFonts w:ascii="Times New Roman" w:hAnsi="Times New Roman"/>
        </w:rPr>
        <w:t>Bidoon</w:t>
      </w:r>
      <w:r w:rsidR="00577F89" w:rsidRPr="002F43F8">
        <w:rPr>
          <w:rFonts w:ascii="Times New Roman" w:hAnsi="Times New Roman"/>
        </w:rPr>
        <w:t>, fall</w:t>
      </w:r>
      <w:r w:rsidRPr="002F43F8">
        <w:rPr>
          <w:rFonts w:ascii="Times New Roman" w:hAnsi="Times New Roman"/>
        </w:rPr>
        <w:t xml:space="preserve"> into three broad categories: </w:t>
      </w:r>
    </w:p>
    <w:p w14:paraId="57B43F7C" w14:textId="77777777" w:rsidR="00577F89" w:rsidRPr="002F43F8" w:rsidRDefault="00577F89" w:rsidP="00577F89">
      <w:pPr>
        <w:pStyle w:val="ListParagraph"/>
        <w:spacing w:after="0"/>
        <w:ind w:left="360"/>
        <w:jc w:val="both"/>
        <w:rPr>
          <w:rFonts w:ascii="Times New Roman" w:hAnsi="Times New Roman"/>
        </w:rPr>
      </w:pPr>
    </w:p>
    <w:p w14:paraId="7B2AA502" w14:textId="77777777" w:rsidR="00577F89" w:rsidRPr="002F43F8" w:rsidRDefault="00D12DF6" w:rsidP="00191F5D">
      <w:pPr>
        <w:pStyle w:val="ListParagraph"/>
        <w:spacing w:after="0"/>
        <w:jc w:val="both"/>
        <w:rPr>
          <w:rFonts w:ascii="Times New Roman" w:hAnsi="Times New Roman"/>
          <w:i/>
          <w:iCs/>
        </w:rPr>
      </w:pPr>
      <w:r w:rsidRPr="002F43F8">
        <w:rPr>
          <w:rFonts w:ascii="Times New Roman" w:hAnsi="Times New Roman"/>
          <w:i/>
          <w:iCs/>
        </w:rPr>
        <w:t>“(a) those whose ancestors failed to apply for nationality or lacked the necessary documentation when Kuwait gained independence in 1961; (b) those recruited from abroad to work in the Kuwaiti army or police force during the 1960s, who settled permanently in Kuwait, along with their families; and (c) children of Kuwaiti mothers and stateless or foreign fathers.”</w:t>
      </w:r>
      <w:r w:rsidR="00877A8F" w:rsidRPr="002F43F8">
        <w:rPr>
          <w:rStyle w:val="FootnoteReference"/>
          <w:rFonts w:ascii="Times New Roman" w:hAnsi="Times New Roman"/>
          <w:i/>
          <w:iCs/>
        </w:rPr>
        <w:footnoteReference w:id="15"/>
      </w:r>
      <w:r w:rsidRPr="002F43F8">
        <w:rPr>
          <w:rFonts w:ascii="Times New Roman" w:hAnsi="Times New Roman"/>
          <w:i/>
          <w:iCs/>
        </w:rPr>
        <w:t xml:space="preserve"> </w:t>
      </w:r>
    </w:p>
    <w:p w14:paraId="605343A5" w14:textId="77777777" w:rsidR="00577F89" w:rsidRPr="002F43F8" w:rsidRDefault="00577F89" w:rsidP="00577F89">
      <w:pPr>
        <w:pStyle w:val="ListParagraph"/>
        <w:spacing w:after="0"/>
        <w:ind w:left="360"/>
        <w:jc w:val="both"/>
        <w:rPr>
          <w:rFonts w:ascii="Times New Roman" w:hAnsi="Times New Roman"/>
        </w:rPr>
      </w:pPr>
    </w:p>
    <w:p w14:paraId="37686B8E" w14:textId="108DE998" w:rsidR="00104CFD" w:rsidRPr="00777220" w:rsidRDefault="00D12DF6" w:rsidP="00777220">
      <w:pPr>
        <w:pStyle w:val="ListParagraph"/>
        <w:numPr>
          <w:ilvl w:val="0"/>
          <w:numId w:val="1"/>
        </w:numPr>
        <w:jc w:val="both"/>
        <w:rPr>
          <w:rFonts w:ascii="Times New Roman" w:hAnsi="Times New Roman"/>
        </w:rPr>
      </w:pPr>
      <w:r w:rsidRPr="00777220">
        <w:rPr>
          <w:rFonts w:ascii="Times New Roman" w:hAnsi="Times New Roman"/>
        </w:rPr>
        <w:t xml:space="preserve">Until 1986, the Bidoon were provided with a “civil status” that gave them access to basic services </w:t>
      </w:r>
      <w:r w:rsidR="001F1E4C">
        <w:rPr>
          <w:rFonts w:ascii="Times New Roman" w:hAnsi="Times New Roman"/>
        </w:rPr>
        <w:t>(though not</w:t>
      </w:r>
      <w:r w:rsidRPr="00777220">
        <w:rPr>
          <w:rFonts w:ascii="Times New Roman" w:hAnsi="Times New Roman"/>
        </w:rPr>
        <w:t xml:space="preserve"> equal rights</w:t>
      </w:r>
      <w:r w:rsidR="001F1E4C">
        <w:rPr>
          <w:rFonts w:ascii="Times New Roman" w:hAnsi="Times New Roman"/>
        </w:rPr>
        <w:t>)</w:t>
      </w:r>
      <w:r w:rsidRPr="00777220">
        <w:rPr>
          <w:rFonts w:ascii="Times New Roman" w:hAnsi="Times New Roman"/>
        </w:rPr>
        <w:t>. However, in 1986, the Kuwaiti authorities stripped the Bidoon of the</w:t>
      </w:r>
      <w:r w:rsidR="00577F89" w:rsidRPr="00777220">
        <w:rPr>
          <w:rFonts w:ascii="Times New Roman" w:hAnsi="Times New Roman"/>
        </w:rPr>
        <w:t>ir</w:t>
      </w:r>
      <w:r w:rsidRPr="00777220">
        <w:rPr>
          <w:rFonts w:ascii="Times New Roman" w:hAnsi="Times New Roman"/>
        </w:rPr>
        <w:t xml:space="preserve"> civil status card</w:t>
      </w:r>
      <w:r w:rsidR="00577F89" w:rsidRPr="00777220">
        <w:rPr>
          <w:rFonts w:ascii="Times New Roman" w:hAnsi="Times New Roman"/>
        </w:rPr>
        <w:t>s</w:t>
      </w:r>
      <w:r w:rsidR="001F1E4C">
        <w:rPr>
          <w:rFonts w:ascii="Times New Roman" w:hAnsi="Times New Roman"/>
        </w:rPr>
        <w:t xml:space="preserve">, paving </w:t>
      </w:r>
      <w:r w:rsidRPr="00777220">
        <w:rPr>
          <w:rFonts w:ascii="Times New Roman" w:hAnsi="Times New Roman"/>
        </w:rPr>
        <w:t>the way for growing human rights violations to be committed against the</w:t>
      </w:r>
      <w:r w:rsidR="001F1E4C">
        <w:rPr>
          <w:rFonts w:ascii="Times New Roman" w:hAnsi="Times New Roman"/>
        </w:rPr>
        <w:t>m</w:t>
      </w:r>
      <w:r w:rsidRPr="00777220">
        <w:rPr>
          <w:rFonts w:ascii="Times New Roman" w:hAnsi="Times New Roman"/>
        </w:rPr>
        <w:t>.</w:t>
      </w:r>
      <w:r w:rsidR="00877A8F" w:rsidRPr="002F43F8">
        <w:rPr>
          <w:rStyle w:val="FootnoteReference"/>
          <w:rFonts w:ascii="Times New Roman" w:hAnsi="Times New Roman"/>
        </w:rPr>
        <w:footnoteReference w:id="16"/>
      </w:r>
      <w:r w:rsidR="00FD372B" w:rsidRPr="00777220">
        <w:rPr>
          <w:rFonts w:ascii="Times New Roman" w:hAnsi="Times New Roman"/>
        </w:rPr>
        <w:t xml:space="preserve"> Bidoon women suffer from multiple forms of discrimination and abuse and find themselves in a particularly vulnerable position. It has also been reported that Bidoon women and girls have faced sexual harassment from government officials while applying for documentation.</w:t>
      </w:r>
      <w:r w:rsidR="00FD372B" w:rsidRPr="002F43F8">
        <w:rPr>
          <w:rStyle w:val="FootnoteReference"/>
          <w:rFonts w:ascii="Times New Roman" w:hAnsi="Times New Roman"/>
        </w:rPr>
        <w:footnoteReference w:id="17"/>
      </w:r>
    </w:p>
    <w:p w14:paraId="3BF2F988" w14:textId="77777777" w:rsidR="00104CFD" w:rsidRPr="002F43F8" w:rsidRDefault="00104CFD" w:rsidP="00FD15B2">
      <w:pPr>
        <w:pStyle w:val="ListParagraph"/>
        <w:spacing w:after="0"/>
        <w:ind w:left="360"/>
        <w:jc w:val="both"/>
        <w:rPr>
          <w:rFonts w:ascii="Times New Roman" w:hAnsi="Times New Roman"/>
        </w:rPr>
      </w:pPr>
    </w:p>
    <w:p w14:paraId="4BC1D5CC" w14:textId="7A54CF82" w:rsidR="00232E7B" w:rsidRPr="002F43F8" w:rsidRDefault="00D12DF6">
      <w:pPr>
        <w:pStyle w:val="ListParagraph"/>
        <w:numPr>
          <w:ilvl w:val="0"/>
          <w:numId w:val="1"/>
        </w:numPr>
        <w:spacing w:after="0"/>
        <w:jc w:val="both"/>
        <w:rPr>
          <w:rFonts w:ascii="Times New Roman" w:hAnsi="Times New Roman"/>
        </w:rPr>
      </w:pPr>
      <w:r w:rsidRPr="002F43F8">
        <w:rPr>
          <w:rFonts w:ascii="Times New Roman" w:hAnsi="Times New Roman"/>
        </w:rPr>
        <w:t xml:space="preserve">Bidoons in Kuwait do not have legal status. </w:t>
      </w:r>
      <w:r w:rsidR="00232E7B" w:rsidRPr="002F43F8">
        <w:rPr>
          <w:rFonts w:ascii="Times New Roman" w:hAnsi="Times New Roman"/>
        </w:rPr>
        <w:t>Despite the State party report</w:t>
      </w:r>
      <w:r w:rsidR="00B25B7A">
        <w:rPr>
          <w:rFonts w:ascii="Times New Roman" w:hAnsi="Times New Roman"/>
        </w:rPr>
        <w:t>’s claims</w:t>
      </w:r>
      <w:r w:rsidR="00232E7B" w:rsidRPr="002F43F8">
        <w:rPr>
          <w:rFonts w:ascii="Times New Roman" w:hAnsi="Times New Roman"/>
        </w:rPr>
        <w:t>, t</w:t>
      </w:r>
      <w:r w:rsidRPr="002F43F8">
        <w:rPr>
          <w:rFonts w:ascii="Times New Roman" w:hAnsi="Times New Roman"/>
        </w:rPr>
        <w:t xml:space="preserve">he Kuwaiti government excludes Bidoon children from state education and has banned all donations that contribute to their education. </w:t>
      </w:r>
      <w:r w:rsidR="00AD1225" w:rsidRPr="002F43F8">
        <w:rPr>
          <w:rFonts w:ascii="Times New Roman" w:hAnsi="Times New Roman"/>
        </w:rPr>
        <w:t xml:space="preserve">In late 2019, the Ministry of Education effectively halted accepting Bidoon children into public schools, citing budget problems and lack of space, forcing parents to look into </w:t>
      </w:r>
      <w:r w:rsidR="001F1E4C">
        <w:rPr>
          <w:rFonts w:ascii="Times New Roman" w:hAnsi="Times New Roman"/>
        </w:rPr>
        <w:t xml:space="preserve">more costly, yet inferior </w:t>
      </w:r>
      <w:r w:rsidR="00AD1225" w:rsidRPr="002F43F8">
        <w:rPr>
          <w:rFonts w:ascii="Times New Roman" w:hAnsi="Times New Roman"/>
        </w:rPr>
        <w:t>private education.</w:t>
      </w:r>
      <w:r w:rsidR="00AD1225" w:rsidRPr="002F43F8">
        <w:rPr>
          <w:rStyle w:val="FootnoteReference"/>
          <w:rFonts w:ascii="Times New Roman" w:hAnsi="Times New Roman"/>
        </w:rPr>
        <w:footnoteReference w:id="18"/>
      </w:r>
      <w:r w:rsidR="00191F5D" w:rsidRPr="00191F5D">
        <w:rPr>
          <w:rFonts w:ascii="Times New Roman" w:hAnsi="Times New Roman"/>
        </w:rPr>
        <w:t xml:space="preserve"> </w:t>
      </w:r>
    </w:p>
    <w:p w14:paraId="29D80481" w14:textId="77777777" w:rsidR="00232E7B" w:rsidRPr="002F43F8" w:rsidRDefault="00232E7B" w:rsidP="00232E7B">
      <w:pPr>
        <w:pStyle w:val="ListParagraph"/>
        <w:spacing w:after="0"/>
        <w:ind w:left="360"/>
        <w:jc w:val="both"/>
        <w:rPr>
          <w:rFonts w:ascii="Times New Roman" w:hAnsi="Times New Roman"/>
        </w:rPr>
      </w:pPr>
    </w:p>
    <w:p w14:paraId="312DFD79" w14:textId="736C6D67" w:rsidR="00AD1225" w:rsidRPr="002F43F8" w:rsidRDefault="00C761E3">
      <w:pPr>
        <w:pStyle w:val="ListParagraph"/>
        <w:numPr>
          <w:ilvl w:val="0"/>
          <w:numId w:val="1"/>
        </w:numPr>
        <w:spacing w:after="0"/>
        <w:jc w:val="both"/>
        <w:rPr>
          <w:rFonts w:ascii="Times New Roman" w:hAnsi="Times New Roman"/>
        </w:rPr>
      </w:pPr>
      <w:r w:rsidRPr="002F43F8">
        <w:rPr>
          <w:rFonts w:ascii="Times New Roman" w:hAnsi="Times New Roman"/>
        </w:rPr>
        <w:t>According to the Ministry of Interior</w:t>
      </w:r>
      <w:r w:rsidR="00232E7B" w:rsidRPr="002F43F8">
        <w:rPr>
          <w:rFonts w:ascii="Times New Roman" w:hAnsi="Times New Roman"/>
        </w:rPr>
        <w:t>,</w:t>
      </w:r>
      <w:r w:rsidRPr="002F43F8">
        <w:rPr>
          <w:rStyle w:val="FootnoteReference"/>
          <w:rFonts w:ascii="Times New Roman" w:hAnsi="Times New Roman"/>
        </w:rPr>
        <w:footnoteReference w:id="19"/>
      </w:r>
      <w:r w:rsidRPr="002F43F8">
        <w:rPr>
          <w:rFonts w:ascii="Times New Roman" w:hAnsi="Times New Roman"/>
        </w:rPr>
        <w:t xml:space="preserve"> B</w:t>
      </w:r>
      <w:r w:rsidR="00B64AF8" w:rsidRPr="002F43F8">
        <w:rPr>
          <w:rFonts w:ascii="Times New Roman" w:hAnsi="Times New Roman"/>
        </w:rPr>
        <w:t>i</w:t>
      </w:r>
      <w:r w:rsidRPr="002F43F8">
        <w:rPr>
          <w:rFonts w:ascii="Times New Roman" w:hAnsi="Times New Roman"/>
        </w:rPr>
        <w:t xml:space="preserve">doon parents have to provide an official document from the Central System for the Remedy of Situations of </w:t>
      </w:r>
      <w:r w:rsidR="008742C0">
        <w:rPr>
          <w:rFonts w:ascii="Times New Roman" w:hAnsi="Times New Roman"/>
        </w:rPr>
        <w:t>“</w:t>
      </w:r>
      <w:r w:rsidRPr="002F43F8">
        <w:rPr>
          <w:rFonts w:ascii="Times New Roman" w:hAnsi="Times New Roman"/>
        </w:rPr>
        <w:t>Illegal Residents</w:t>
      </w:r>
      <w:r w:rsidR="008742C0">
        <w:rPr>
          <w:rFonts w:ascii="Times New Roman" w:hAnsi="Times New Roman"/>
        </w:rPr>
        <w:t>”</w:t>
      </w:r>
      <w:r w:rsidR="008742C0">
        <w:rPr>
          <w:rStyle w:val="FootnoteReference"/>
          <w:rFonts w:ascii="Times New Roman" w:hAnsi="Times New Roman"/>
        </w:rPr>
        <w:footnoteReference w:id="20"/>
      </w:r>
      <w:r w:rsidRPr="002F43F8">
        <w:rPr>
          <w:rFonts w:ascii="Times New Roman" w:hAnsi="Times New Roman"/>
        </w:rPr>
        <w:t xml:space="preserve"> (Central System), set up in the state by </w:t>
      </w:r>
      <w:r w:rsidR="00B64AF8" w:rsidRPr="002F43F8">
        <w:rPr>
          <w:rFonts w:ascii="Times New Roman" w:hAnsi="Times New Roman"/>
        </w:rPr>
        <w:t xml:space="preserve">the </w:t>
      </w:r>
      <w:proofErr w:type="spellStart"/>
      <w:r w:rsidRPr="002F43F8">
        <w:rPr>
          <w:rFonts w:ascii="Times New Roman" w:hAnsi="Times New Roman"/>
        </w:rPr>
        <w:t>Amiri</w:t>
      </w:r>
      <w:proofErr w:type="spellEnd"/>
      <w:r w:rsidRPr="002F43F8">
        <w:rPr>
          <w:rFonts w:ascii="Times New Roman" w:hAnsi="Times New Roman"/>
        </w:rPr>
        <w:t xml:space="preserve"> Decree No. 467/2010</w:t>
      </w:r>
      <w:r w:rsidR="00232E7B" w:rsidRPr="002F43F8">
        <w:rPr>
          <w:rFonts w:ascii="Times New Roman" w:hAnsi="Times New Roman"/>
        </w:rPr>
        <w:t>,</w:t>
      </w:r>
      <w:r w:rsidR="00FB61C1" w:rsidRPr="002F43F8">
        <w:rPr>
          <w:rStyle w:val="FootnoteReference"/>
          <w:rFonts w:ascii="Times New Roman" w:hAnsi="Times New Roman"/>
        </w:rPr>
        <w:footnoteReference w:id="21"/>
      </w:r>
      <w:r w:rsidRPr="002F43F8">
        <w:rPr>
          <w:rFonts w:ascii="Times New Roman" w:hAnsi="Times New Roman"/>
        </w:rPr>
        <w:t xml:space="preserve"> before receiving birth certificate</w:t>
      </w:r>
      <w:r w:rsidR="00B25B7A">
        <w:rPr>
          <w:rFonts w:ascii="Times New Roman" w:hAnsi="Times New Roman"/>
        </w:rPr>
        <w:t>s</w:t>
      </w:r>
      <w:r w:rsidRPr="002F43F8">
        <w:rPr>
          <w:rFonts w:ascii="Times New Roman" w:hAnsi="Times New Roman"/>
        </w:rPr>
        <w:t xml:space="preserve"> </w:t>
      </w:r>
      <w:r w:rsidR="00AD1225" w:rsidRPr="002F43F8">
        <w:rPr>
          <w:rFonts w:ascii="Times New Roman" w:hAnsi="Times New Roman"/>
        </w:rPr>
        <w:t xml:space="preserve">for </w:t>
      </w:r>
      <w:r w:rsidR="00232E7B" w:rsidRPr="002F43F8">
        <w:rPr>
          <w:rFonts w:ascii="Times New Roman" w:hAnsi="Times New Roman"/>
        </w:rPr>
        <w:t>new-born</w:t>
      </w:r>
      <w:r w:rsidRPr="002F43F8">
        <w:rPr>
          <w:rFonts w:ascii="Times New Roman" w:hAnsi="Times New Roman"/>
        </w:rPr>
        <w:t xml:space="preserve"> child</w:t>
      </w:r>
      <w:r w:rsidR="00B25B7A">
        <w:rPr>
          <w:rFonts w:ascii="Times New Roman" w:hAnsi="Times New Roman"/>
        </w:rPr>
        <w:t>ren</w:t>
      </w:r>
      <w:r w:rsidRPr="002F43F8">
        <w:rPr>
          <w:rFonts w:ascii="Times New Roman" w:hAnsi="Times New Roman"/>
        </w:rPr>
        <w:t xml:space="preserve">. This </w:t>
      </w:r>
      <w:r w:rsidR="00AD1225" w:rsidRPr="002F43F8">
        <w:rPr>
          <w:rFonts w:ascii="Times New Roman" w:hAnsi="Times New Roman"/>
        </w:rPr>
        <w:t>process requires</w:t>
      </w:r>
      <w:r w:rsidRPr="002F43F8">
        <w:rPr>
          <w:rFonts w:ascii="Times New Roman" w:hAnsi="Times New Roman"/>
        </w:rPr>
        <w:t xml:space="preserve"> the parents</w:t>
      </w:r>
      <w:r w:rsidR="00AD1225" w:rsidRPr="002F43F8">
        <w:rPr>
          <w:rFonts w:ascii="Times New Roman" w:hAnsi="Times New Roman"/>
        </w:rPr>
        <w:t xml:space="preserve"> </w:t>
      </w:r>
      <w:r w:rsidR="00B25B7A">
        <w:rPr>
          <w:rFonts w:ascii="Times New Roman" w:hAnsi="Times New Roman"/>
        </w:rPr>
        <w:t>to confirm</w:t>
      </w:r>
      <w:r w:rsidR="00AD1225" w:rsidRPr="002F43F8">
        <w:rPr>
          <w:rFonts w:ascii="Times New Roman" w:hAnsi="Times New Roman"/>
        </w:rPr>
        <w:t xml:space="preserve"> that whatever information stipulated in their new IDs is true, </w:t>
      </w:r>
      <w:r w:rsidRPr="002F43F8">
        <w:rPr>
          <w:rFonts w:ascii="Times New Roman" w:hAnsi="Times New Roman"/>
        </w:rPr>
        <w:t>in order to obtain the necessary papers</w:t>
      </w:r>
      <w:r w:rsidR="00AD1225" w:rsidRPr="002F43F8">
        <w:rPr>
          <w:rFonts w:ascii="Times New Roman" w:hAnsi="Times New Roman"/>
        </w:rPr>
        <w:t xml:space="preserve"> to secure birth registration for their children. They are often not afforded the opportunity to </w:t>
      </w:r>
      <w:r w:rsidRPr="002F43F8">
        <w:rPr>
          <w:rFonts w:ascii="Times New Roman" w:hAnsi="Times New Roman"/>
        </w:rPr>
        <w:t xml:space="preserve">read and validate </w:t>
      </w:r>
      <w:r w:rsidR="00AD1225" w:rsidRPr="002F43F8">
        <w:rPr>
          <w:rFonts w:ascii="Times New Roman" w:hAnsi="Times New Roman"/>
        </w:rPr>
        <w:t xml:space="preserve">this </w:t>
      </w:r>
      <w:r w:rsidRPr="002F43F8">
        <w:rPr>
          <w:rFonts w:ascii="Times New Roman" w:hAnsi="Times New Roman"/>
        </w:rPr>
        <w:t xml:space="preserve">information. Therefore, many </w:t>
      </w:r>
      <w:r w:rsidR="009F1EE9" w:rsidRPr="002F43F8">
        <w:rPr>
          <w:rFonts w:ascii="Times New Roman" w:hAnsi="Times New Roman"/>
        </w:rPr>
        <w:t>Bi</w:t>
      </w:r>
      <w:r w:rsidRPr="002F43F8">
        <w:rPr>
          <w:rFonts w:ascii="Times New Roman" w:hAnsi="Times New Roman"/>
        </w:rPr>
        <w:t xml:space="preserve">doon parents </w:t>
      </w:r>
      <w:r w:rsidR="00AD1225" w:rsidRPr="002F43F8">
        <w:rPr>
          <w:rFonts w:ascii="Times New Roman" w:hAnsi="Times New Roman"/>
        </w:rPr>
        <w:t xml:space="preserve">have no choice but to affirm that information put forward by the Central System – </w:t>
      </w:r>
      <w:r w:rsidR="00B25B7A">
        <w:rPr>
          <w:rFonts w:ascii="Times New Roman" w:hAnsi="Times New Roman"/>
        </w:rPr>
        <w:t>claiming</w:t>
      </w:r>
      <w:r w:rsidRPr="002F43F8">
        <w:rPr>
          <w:rFonts w:ascii="Times New Roman" w:hAnsi="Times New Roman"/>
        </w:rPr>
        <w:t xml:space="preserve"> they are national</w:t>
      </w:r>
      <w:r w:rsidR="00AD1225" w:rsidRPr="002F43F8">
        <w:rPr>
          <w:rFonts w:ascii="Times New Roman" w:hAnsi="Times New Roman"/>
        </w:rPr>
        <w:t>s</w:t>
      </w:r>
      <w:r w:rsidRPr="002F43F8">
        <w:rPr>
          <w:rFonts w:ascii="Times New Roman" w:hAnsi="Times New Roman"/>
        </w:rPr>
        <w:t xml:space="preserve"> of another State</w:t>
      </w:r>
      <w:r w:rsidR="00AD1225" w:rsidRPr="002F43F8">
        <w:rPr>
          <w:rFonts w:ascii="Times New Roman" w:hAnsi="Times New Roman"/>
        </w:rPr>
        <w:t xml:space="preserve"> – is true</w:t>
      </w:r>
      <w:r w:rsidR="00232E7B" w:rsidRPr="002F43F8">
        <w:rPr>
          <w:rFonts w:ascii="Times New Roman" w:hAnsi="Times New Roman"/>
        </w:rPr>
        <w:t>. This in turn reinforces the false state narrative, as also articulated in the State party report to the Committee, which underplays the</w:t>
      </w:r>
      <w:r w:rsidR="00AD1225" w:rsidRPr="002F43F8">
        <w:rPr>
          <w:rFonts w:ascii="Times New Roman" w:hAnsi="Times New Roman"/>
        </w:rPr>
        <w:t xml:space="preserve"> extent of statelessness in the country and undermines the legitimate claim of the Bidoon to be recognised as Kuwaiti citizens</w:t>
      </w:r>
      <w:r w:rsidR="00FB61C1" w:rsidRPr="002F43F8">
        <w:rPr>
          <w:rFonts w:ascii="Times New Roman" w:hAnsi="Times New Roman"/>
        </w:rPr>
        <w:t>.</w:t>
      </w:r>
      <w:r w:rsidR="004032C7" w:rsidRPr="002F43F8">
        <w:rPr>
          <w:rStyle w:val="FootnoteReference"/>
          <w:rFonts w:ascii="Times New Roman" w:hAnsi="Times New Roman"/>
        </w:rPr>
        <w:footnoteReference w:id="22"/>
      </w:r>
      <w:r w:rsidR="009F1EE9" w:rsidRPr="002F43F8">
        <w:rPr>
          <w:rFonts w:ascii="Times New Roman" w:hAnsi="Times New Roman"/>
        </w:rPr>
        <w:t xml:space="preserve"> </w:t>
      </w:r>
      <w:r w:rsidR="00FC3647" w:rsidRPr="002F43F8">
        <w:rPr>
          <w:rFonts w:ascii="Times New Roman" w:hAnsi="Times New Roman"/>
        </w:rPr>
        <w:t xml:space="preserve">Signing these consent forms effectively bars them from Kuwaiti nationality and increases the </w:t>
      </w:r>
      <w:r w:rsidR="00AD1225" w:rsidRPr="002F43F8">
        <w:rPr>
          <w:rFonts w:ascii="Times New Roman" w:hAnsi="Times New Roman"/>
        </w:rPr>
        <w:t xml:space="preserve">stigmatised </w:t>
      </w:r>
      <w:r w:rsidR="00FC3647" w:rsidRPr="002F43F8">
        <w:rPr>
          <w:rFonts w:ascii="Times New Roman" w:hAnsi="Times New Roman"/>
        </w:rPr>
        <w:t xml:space="preserve">perceptions of the </w:t>
      </w:r>
      <w:r w:rsidR="009F1EE9" w:rsidRPr="002F43F8">
        <w:rPr>
          <w:rFonts w:ascii="Times New Roman" w:hAnsi="Times New Roman"/>
        </w:rPr>
        <w:t>B</w:t>
      </w:r>
      <w:r w:rsidR="00FC3647" w:rsidRPr="002F43F8">
        <w:rPr>
          <w:rFonts w:ascii="Times New Roman" w:hAnsi="Times New Roman"/>
        </w:rPr>
        <w:t xml:space="preserve">idoon as having hid their original nationalities to abuse the Kuwaiti system. </w:t>
      </w:r>
      <w:r w:rsidR="00FB61C1" w:rsidRPr="002F43F8">
        <w:rPr>
          <w:rFonts w:ascii="Times New Roman" w:hAnsi="Times New Roman"/>
        </w:rPr>
        <w:t xml:space="preserve">If they </w:t>
      </w:r>
      <w:r w:rsidR="00B25B7A">
        <w:rPr>
          <w:rFonts w:ascii="Times New Roman" w:hAnsi="Times New Roman"/>
        </w:rPr>
        <w:t>refuse</w:t>
      </w:r>
      <w:r w:rsidR="00FB61C1" w:rsidRPr="002F43F8">
        <w:rPr>
          <w:rFonts w:ascii="Times New Roman" w:hAnsi="Times New Roman"/>
        </w:rPr>
        <w:t xml:space="preserve"> to be coerced by the system, then they are inevitably depriving their child </w:t>
      </w:r>
      <w:r w:rsidR="00244038">
        <w:rPr>
          <w:rFonts w:ascii="Times New Roman" w:hAnsi="Times New Roman"/>
        </w:rPr>
        <w:t>of the</w:t>
      </w:r>
      <w:r w:rsidR="00FB61C1" w:rsidRPr="002F43F8">
        <w:rPr>
          <w:rFonts w:ascii="Times New Roman" w:hAnsi="Times New Roman"/>
        </w:rPr>
        <w:t xml:space="preserve"> rights </w:t>
      </w:r>
      <w:r w:rsidR="00244038">
        <w:rPr>
          <w:rFonts w:ascii="Times New Roman" w:hAnsi="Times New Roman"/>
        </w:rPr>
        <w:t>that flow from</w:t>
      </w:r>
      <w:r w:rsidR="00FB61C1" w:rsidRPr="002F43F8">
        <w:rPr>
          <w:rFonts w:ascii="Times New Roman" w:hAnsi="Times New Roman"/>
        </w:rPr>
        <w:t xml:space="preserve"> legal recognition.</w:t>
      </w:r>
      <w:r w:rsidR="000D5672" w:rsidRPr="002F43F8">
        <w:rPr>
          <w:rFonts w:ascii="Times New Roman" w:hAnsi="Times New Roman"/>
        </w:rPr>
        <w:t xml:space="preserve"> </w:t>
      </w:r>
    </w:p>
    <w:p w14:paraId="2CF534D3" w14:textId="77777777" w:rsidR="00AD1225" w:rsidRPr="002F43F8" w:rsidRDefault="00AD1225" w:rsidP="00AD1225">
      <w:pPr>
        <w:pStyle w:val="ListParagraph"/>
        <w:spacing w:after="0"/>
        <w:ind w:left="360"/>
        <w:jc w:val="both"/>
        <w:rPr>
          <w:rFonts w:ascii="Times New Roman" w:hAnsi="Times New Roman"/>
        </w:rPr>
      </w:pPr>
    </w:p>
    <w:p w14:paraId="1AE2B709" w14:textId="18355E75" w:rsidR="001A47E5" w:rsidRPr="002F43F8" w:rsidRDefault="0057777D">
      <w:pPr>
        <w:pStyle w:val="ListParagraph"/>
        <w:numPr>
          <w:ilvl w:val="0"/>
          <w:numId w:val="1"/>
        </w:numPr>
        <w:spacing w:after="0"/>
        <w:jc w:val="both"/>
        <w:rPr>
          <w:rFonts w:ascii="Times New Roman" w:hAnsi="Times New Roman"/>
        </w:rPr>
      </w:pPr>
      <w:r w:rsidRPr="002F43F8">
        <w:rPr>
          <w:rFonts w:ascii="Times New Roman" w:hAnsi="Times New Roman"/>
        </w:rPr>
        <w:t>With</w:t>
      </w:r>
      <w:r w:rsidR="00423B36" w:rsidRPr="002F43F8">
        <w:rPr>
          <w:rFonts w:ascii="Times New Roman" w:hAnsi="Times New Roman"/>
        </w:rPr>
        <w:t xml:space="preserve"> or with</w:t>
      </w:r>
      <w:r w:rsidRPr="002F43F8">
        <w:rPr>
          <w:rFonts w:ascii="Times New Roman" w:hAnsi="Times New Roman"/>
        </w:rPr>
        <w:t xml:space="preserve">out </w:t>
      </w:r>
      <w:r w:rsidR="00AD1225" w:rsidRPr="002F43F8">
        <w:rPr>
          <w:rFonts w:ascii="Times New Roman" w:hAnsi="Times New Roman"/>
        </w:rPr>
        <w:t xml:space="preserve">an </w:t>
      </w:r>
      <w:r w:rsidRPr="002F43F8">
        <w:rPr>
          <w:rFonts w:ascii="Times New Roman" w:hAnsi="Times New Roman"/>
        </w:rPr>
        <w:t xml:space="preserve">ID from the Central System, it remains difficult for parents to obtain jobs </w:t>
      </w:r>
      <w:r w:rsidR="00ED69A1" w:rsidRPr="002F43F8">
        <w:rPr>
          <w:rFonts w:ascii="Times New Roman" w:hAnsi="Times New Roman"/>
        </w:rPr>
        <w:t>with</w:t>
      </w:r>
      <w:r w:rsidRPr="002F43F8">
        <w:rPr>
          <w:rFonts w:ascii="Times New Roman" w:hAnsi="Times New Roman"/>
        </w:rPr>
        <w:t xml:space="preserve"> </w:t>
      </w:r>
      <w:r w:rsidR="00ED69A1" w:rsidRPr="002F43F8">
        <w:rPr>
          <w:rFonts w:ascii="Times New Roman" w:hAnsi="Times New Roman"/>
        </w:rPr>
        <w:t>fair wages</w:t>
      </w:r>
      <w:r w:rsidR="001A47E5" w:rsidRPr="002F43F8">
        <w:rPr>
          <w:rFonts w:ascii="Times New Roman" w:hAnsi="Times New Roman"/>
        </w:rPr>
        <w:t xml:space="preserve"> and secure the wellbeing of their children. </w:t>
      </w:r>
      <w:r w:rsidR="000D5672" w:rsidRPr="002F43F8">
        <w:rPr>
          <w:rFonts w:ascii="Times New Roman" w:hAnsi="Times New Roman"/>
        </w:rPr>
        <w:t>O</w:t>
      </w:r>
      <w:r w:rsidRPr="002F43F8">
        <w:rPr>
          <w:rFonts w:ascii="Times New Roman" w:hAnsi="Times New Roman"/>
        </w:rPr>
        <w:t xml:space="preserve">btaining </w:t>
      </w:r>
      <w:r w:rsidR="00AD1225" w:rsidRPr="002F43F8">
        <w:rPr>
          <w:rFonts w:ascii="Times New Roman" w:hAnsi="Times New Roman"/>
        </w:rPr>
        <w:t xml:space="preserve">an </w:t>
      </w:r>
      <w:r w:rsidRPr="002F43F8">
        <w:rPr>
          <w:rFonts w:ascii="Times New Roman" w:hAnsi="Times New Roman"/>
        </w:rPr>
        <w:t xml:space="preserve">ID does not facilitate </w:t>
      </w:r>
      <w:r w:rsidR="00E62B67" w:rsidRPr="002F43F8">
        <w:rPr>
          <w:rFonts w:ascii="Times New Roman" w:hAnsi="Times New Roman"/>
        </w:rPr>
        <w:t>better access to rights and services</w:t>
      </w:r>
      <w:r w:rsidRPr="002F43F8">
        <w:rPr>
          <w:rFonts w:ascii="Times New Roman" w:hAnsi="Times New Roman"/>
        </w:rPr>
        <w:t xml:space="preserve"> </w:t>
      </w:r>
      <w:r w:rsidR="00244038">
        <w:rPr>
          <w:rFonts w:ascii="Times New Roman" w:hAnsi="Times New Roman"/>
        </w:rPr>
        <w:t>as</w:t>
      </w:r>
      <w:r w:rsidRPr="002F43F8">
        <w:rPr>
          <w:rFonts w:ascii="Times New Roman" w:hAnsi="Times New Roman"/>
        </w:rPr>
        <w:t xml:space="preserve"> they are still </w:t>
      </w:r>
      <w:r w:rsidR="00B25B7A">
        <w:rPr>
          <w:rFonts w:ascii="Times New Roman" w:hAnsi="Times New Roman"/>
        </w:rPr>
        <w:t>viewed</w:t>
      </w:r>
      <w:r w:rsidRPr="002F43F8">
        <w:rPr>
          <w:rFonts w:ascii="Times New Roman" w:hAnsi="Times New Roman"/>
        </w:rPr>
        <w:t xml:space="preserve"> as </w:t>
      </w:r>
      <w:r w:rsidR="00AD1225" w:rsidRPr="002F43F8">
        <w:rPr>
          <w:rFonts w:ascii="Times New Roman" w:hAnsi="Times New Roman"/>
        </w:rPr>
        <w:t>‘</w:t>
      </w:r>
      <w:r w:rsidRPr="002F43F8">
        <w:rPr>
          <w:rFonts w:ascii="Times New Roman" w:hAnsi="Times New Roman"/>
        </w:rPr>
        <w:t>illegal</w:t>
      </w:r>
      <w:r w:rsidR="00AD1225" w:rsidRPr="002F43F8">
        <w:rPr>
          <w:rFonts w:ascii="Times New Roman" w:hAnsi="Times New Roman"/>
        </w:rPr>
        <w:t>’</w:t>
      </w:r>
      <w:r w:rsidRPr="002F43F8">
        <w:rPr>
          <w:rFonts w:ascii="Times New Roman" w:hAnsi="Times New Roman"/>
        </w:rPr>
        <w:t xml:space="preserve"> </w:t>
      </w:r>
      <w:r w:rsidR="00423B36" w:rsidRPr="002F43F8">
        <w:rPr>
          <w:rFonts w:ascii="Times New Roman" w:hAnsi="Times New Roman"/>
        </w:rPr>
        <w:t>residents</w:t>
      </w:r>
      <w:r w:rsidRPr="002F43F8">
        <w:rPr>
          <w:rFonts w:ascii="Times New Roman" w:hAnsi="Times New Roman"/>
        </w:rPr>
        <w:t xml:space="preserve"> who were trying to trick their way into the system. </w:t>
      </w:r>
      <w:r w:rsidR="001A47E5" w:rsidRPr="002F43F8">
        <w:rPr>
          <w:rFonts w:ascii="Times New Roman" w:hAnsi="Times New Roman"/>
        </w:rPr>
        <w:t xml:space="preserve">Moreover, </w:t>
      </w:r>
      <w:r w:rsidRPr="002F43F8">
        <w:rPr>
          <w:rFonts w:ascii="Times New Roman" w:hAnsi="Times New Roman"/>
        </w:rPr>
        <w:t xml:space="preserve">many </w:t>
      </w:r>
      <w:r w:rsidR="00ED69A1" w:rsidRPr="002F43F8">
        <w:rPr>
          <w:rFonts w:ascii="Times New Roman" w:hAnsi="Times New Roman"/>
        </w:rPr>
        <w:t>B</w:t>
      </w:r>
      <w:r w:rsidRPr="002F43F8">
        <w:rPr>
          <w:rFonts w:ascii="Times New Roman" w:hAnsi="Times New Roman"/>
        </w:rPr>
        <w:t xml:space="preserve">idoon children on the cusp of adulthood are barred from easily accessing higher education. Similar to their parents before them, </w:t>
      </w:r>
      <w:r w:rsidR="00B25B7A">
        <w:rPr>
          <w:rFonts w:ascii="Times New Roman" w:hAnsi="Times New Roman"/>
        </w:rPr>
        <w:t>they</w:t>
      </w:r>
      <w:r w:rsidRPr="002F43F8">
        <w:rPr>
          <w:rFonts w:ascii="Times New Roman" w:hAnsi="Times New Roman"/>
        </w:rPr>
        <w:t xml:space="preserve"> must sign away their right to a Kuwaiti nationality by forcibly adopting a fake one. Private universit</w:t>
      </w:r>
      <w:r w:rsidR="00B25B7A">
        <w:rPr>
          <w:rFonts w:ascii="Times New Roman" w:hAnsi="Times New Roman"/>
        </w:rPr>
        <w:t>ies are</w:t>
      </w:r>
      <w:r w:rsidRPr="002F43F8">
        <w:rPr>
          <w:rFonts w:ascii="Times New Roman" w:hAnsi="Times New Roman"/>
        </w:rPr>
        <w:t xml:space="preserve"> cost</w:t>
      </w:r>
      <w:r w:rsidR="00B25B7A">
        <w:rPr>
          <w:rFonts w:ascii="Times New Roman" w:hAnsi="Times New Roman"/>
        </w:rPr>
        <w:t>ly</w:t>
      </w:r>
      <w:r w:rsidRPr="002F43F8">
        <w:rPr>
          <w:rFonts w:ascii="Times New Roman" w:hAnsi="Times New Roman"/>
        </w:rPr>
        <w:t>, and there are limited scholarship seats available in Kuwait’s public university</w:t>
      </w:r>
      <w:r w:rsidR="00E62B67" w:rsidRPr="002F43F8">
        <w:rPr>
          <w:rFonts w:ascii="Times New Roman" w:hAnsi="Times New Roman"/>
        </w:rPr>
        <w:t>.</w:t>
      </w:r>
      <w:r w:rsidR="00B06BC6" w:rsidRPr="002F43F8">
        <w:rPr>
          <w:rStyle w:val="FootnoteReference"/>
          <w:rFonts w:ascii="Times New Roman" w:hAnsi="Times New Roman"/>
        </w:rPr>
        <w:footnoteReference w:id="23"/>
      </w:r>
      <w:r w:rsidR="00E62B67" w:rsidRPr="002F43F8">
        <w:rPr>
          <w:rFonts w:ascii="Times New Roman" w:hAnsi="Times New Roman"/>
        </w:rPr>
        <w:t xml:space="preserve"> These conditions contribute to the systematic discrimination and exclusion of the group over generations – exacerbating intergenerational statelessness – and depriving children of their basic rights.</w:t>
      </w:r>
      <w:r w:rsidR="000D5672" w:rsidRPr="002F43F8">
        <w:rPr>
          <w:rFonts w:ascii="Times New Roman" w:hAnsi="Times New Roman"/>
        </w:rPr>
        <w:t xml:space="preserve"> </w:t>
      </w:r>
    </w:p>
    <w:p w14:paraId="0A3706ED" w14:textId="77777777" w:rsidR="001A47E5" w:rsidRPr="002F43F8" w:rsidRDefault="001A47E5" w:rsidP="000E0F24">
      <w:pPr>
        <w:pStyle w:val="ListParagraph"/>
        <w:spacing w:after="0"/>
        <w:ind w:left="360"/>
        <w:jc w:val="both"/>
        <w:rPr>
          <w:rFonts w:ascii="Times New Roman" w:hAnsi="Times New Roman"/>
        </w:rPr>
      </w:pPr>
    </w:p>
    <w:p w14:paraId="27399FFF" w14:textId="48FB2D55" w:rsidR="00777220" w:rsidRDefault="00777220">
      <w:pPr>
        <w:pStyle w:val="ListParagraph"/>
        <w:numPr>
          <w:ilvl w:val="0"/>
          <w:numId w:val="1"/>
        </w:numPr>
        <w:spacing w:after="0"/>
        <w:jc w:val="both"/>
        <w:rPr>
          <w:rFonts w:ascii="Times New Roman" w:hAnsi="Times New Roman"/>
        </w:rPr>
      </w:pPr>
      <w:r w:rsidRPr="002F43F8">
        <w:rPr>
          <w:rFonts w:ascii="Times New Roman" w:hAnsi="Times New Roman"/>
        </w:rPr>
        <w:t>Article 1 of Code No. 77/2019 also significantly inhibits the number of non-Kuwaiti people eligible for naturalisation to</w:t>
      </w:r>
      <w:r w:rsidR="00B25B7A">
        <w:rPr>
          <w:rFonts w:ascii="Times New Roman" w:hAnsi="Times New Roman"/>
        </w:rPr>
        <w:t>a maximum</w:t>
      </w:r>
      <w:r w:rsidRPr="002F43F8">
        <w:rPr>
          <w:rFonts w:ascii="Times New Roman" w:hAnsi="Times New Roman"/>
        </w:rPr>
        <w:t xml:space="preserve"> 4,000 persons a year.</w:t>
      </w:r>
      <w:r w:rsidRPr="002F43F8">
        <w:rPr>
          <w:rStyle w:val="FootnoteReference"/>
          <w:rFonts w:ascii="Times New Roman" w:hAnsi="Times New Roman"/>
        </w:rPr>
        <w:footnoteReference w:id="24"/>
      </w:r>
      <w:r w:rsidRPr="002F43F8">
        <w:rPr>
          <w:rFonts w:ascii="Times New Roman" w:hAnsi="Times New Roman"/>
        </w:rPr>
        <w:t xml:space="preserve"> Given the large </w:t>
      </w:r>
      <w:r>
        <w:rPr>
          <w:rFonts w:ascii="Times New Roman" w:hAnsi="Times New Roman"/>
        </w:rPr>
        <w:t>Bidoon</w:t>
      </w:r>
      <w:r w:rsidRPr="002F43F8">
        <w:rPr>
          <w:rFonts w:ascii="Times New Roman" w:hAnsi="Times New Roman"/>
        </w:rPr>
        <w:t xml:space="preserve"> population in the country and the fact that many people with citizens</w:t>
      </w:r>
      <w:r>
        <w:rPr>
          <w:rFonts w:ascii="Times New Roman" w:hAnsi="Times New Roman"/>
        </w:rPr>
        <w:t>hip</w:t>
      </w:r>
      <w:r w:rsidRPr="002F43F8">
        <w:rPr>
          <w:rFonts w:ascii="Times New Roman" w:hAnsi="Times New Roman"/>
        </w:rPr>
        <w:t xml:space="preserve"> also apply for naturalisation, this arbitrary limitation serves as a real barrier to realising the right to nationality of all stateless persons, including children.  </w:t>
      </w:r>
    </w:p>
    <w:p w14:paraId="68BBC862" w14:textId="77777777" w:rsidR="00777220" w:rsidRPr="00777220" w:rsidRDefault="00777220" w:rsidP="00777220">
      <w:pPr>
        <w:pStyle w:val="ListParagraph"/>
        <w:rPr>
          <w:rFonts w:ascii="Times New Roman" w:hAnsi="Times New Roman"/>
        </w:rPr>
      </w:pPr>
    </w:p>
    <w:p w14:paraId="735BB32A" w14:textId="14FEA259" w:rsidR="00DD1256" w:rsidRPr="002F43F8" w:rsidRDefault="008742C0">
      <w:pPr>
        <w:pStyle w:val="ListParagraph"/>
        <w:numPr>
          <w:ilvl w:val="0"/>
          <w:numId w:val="1"/>
        </w:numPr>
        <w:spacing w:after="0"/>
        <w:jc w:val="both"/>
        <w:rPr>
          <w:rFonts w:ascii="Times New Roman" w:hAnsi="Times New Roman"/>
        </w:rPr>
      </w:pPr>
      <w:r>
        <w:rPr>
          <w:rFonts w:ascii="Times New Roman" w:hAnsi="Times New Roman"/>
        </w:rPr>
        <w:t>The above assessment demonstrates the cost of denial of the right to nationality of Bidoon children and contradicts</w:t>
      </w:r>
      <w:r w:rsidR="001A47E5" w:rsidRPr="002F43F8">
        <w:rPr>
          <w:rFonts w:ascii="Times New Roman" w:hAnsi="Times New Roman"/>
        </w:rPr>
        <w:t xml:space="preserve"> Kuwait’s Report</w:t>
      </w:r>
      <w:r w:rsidR="007D1214" w:rsidRPr="002F43F8">
        <w:rPr>
          <w:rFonts w:ascii="Times New Roman" w:hAnsi="Times New Roman"/>
        </w:rPr>
        <w:t xml:space="preserve"> to the Committee</w:t>
      </w:r>
      <w:r w:rsidR="0014174B">
        <w:rPr>
          <w:rFonts w:ascii="Times New Roman" w:hAnsi="Times New Roman"/>
        </w:rPr>
        <w:t xml:space="preserve"> </w:t>
      </w:r>
      <w:hyperlink w:anchor="_Annex_II_-" w:history="1">
        <w:r w:rsidR="0014174B" w:rsidRPr="0014174B">
          <w:rPr>
            <w:rStyle w:val="Hyperlink"/>
          </w:rPr>
          <w:t>(Annex II)</w:t>
        </w:r>
      </w:hyperlink>
      <w:r w:rsidR="001A47E5" w:rsidRPr="002F43F8">
        <w:rPr>
          <w:rFonts w:ascii="Times New Roman" w:hAnsi="Times New Roman"/>
        </w:rPr>
        <w:t xml:space="preserve">, which mentions that the children of “illegal residents” enjoy all the rights enshrined in the Convention, </w:t>
      </w:r>
      <w:r>
        <w:rPr>
          <w:rFonts w:ascii="Times New Roman" w:hAnsi="Times New Roman"/>
        </w:rPr>
        <w:t xml:space="preserve">and </w:t>
      </w:r>
      <w:r w:rsidR="001A47E5" w:rsidRPr="002F43F8">
        <w:rPr>
          <w:rFonts w:ascii="Times New Roman" w:hAnsi="Times New Roman"/>
        </w:rPr>
        <w:t xml:space="preserve">that they are guaranteed the same rights in education </w:t>
      </w:r>
      <w:r>
        <w:rPr>
          <w:rFonts w:ascii="Times New Roman" w:hAnsi="Times New Roman"/>
        </w:rPr>
        <w:t xml:space="preserve">and documentation </w:t>
      </w:r>
      <w:r w:rsidR="001A47E5" w:rsidRPr="002F43F8">
        <w:rPr>
          <w:rFonts w:ascii="Times New Roman" w:hAnsi="Times New Roman"/>
        </w:rPr>
        <w:t xml:space="preserve">without any discrimination. </w:t>
      </w:r>
    </w:p>
    <w:p w14:paraId="20AB9327" w14:textId="71D82268" w:rsidR="005A54D5" w:rsidRPr="002F43F8" w:rsidRDefault="005A54D5" w:rsidP="00E62B67">
      <w:pPr>
        <w:pStyle w:val="ListParagraph"/>
        <w:spacing w:after="0"/>
        <w:ind w:left="360"/>
        <w:jc w:val="both"/>
        <w:rPr>
          <w:rFonts w:ascii="Times New Roman" w:hAnsi="Times New Roman"/>
        </w:rPr>
      </w:pPr>
    </w:p>
    <w:tbl>
      <w:tblPr>
        <w:tblStyle w:val="TableGrid"/>
        <w:tblW w:w="0" w:type="auto"/>
        <w:tblInd w:w="426" w:type="dxa"/>
        <w:tblLook w:val="04A0" w:firstRow="1" w:lastRow="0" w:firstColumn="1" w:lastColumn="0" w:noHBand="0" w:noVBand="1"/>
      </w:tblPr>
      <w:tblGrid>
        <w:gridCol w:w="8590"/>
      </w:tblGrid>
      <w:tr w:rsidR="007D1214" w:rsidRPr="002F43F8" w14:paraId="568CE469" w14:textId="77777777" w:rsidTr="0D1B1924">
        <w:tc>
          <w:tcPr>
            <w:tcW w:w="9016" w:type="dxa"/>
          </w:tcPr>
          <w:p w14:paraId="1B837763" w14:textId="539A7791" w:rsidR="00867EFD" w:rsidRPr="002F43F8" w:rsidRDefault="007D1214" w:rsidP="00E62B67">
            <w:pPr>
              <w:pStyle w:val="ListParagraph"/>
              <w:numPr>
                <w:ilvl w:val="0"/>
                <w:numId w:val="1"/>
              </w:numPr>
              <w:spacing w:after="0"/>
              <w:ind w:left="0" w:firstLine="0"/>
              <w:jc w:val="both"/>
              <w:rPr>
                <w:rFonts w:ascii="Times New Roman" w:hAnsi="Times New Roman"/>
                <w:b/>
                <w:bCs/>
              </w:rPr>
            </w:pPr>
            <w:r w:rsidRPr="002F43F8">
              <w:rPr>
                <w:rFonts w:ascii="Times New Roman" w:hAnsi="Times New Roman"/>
                <w:b/>
                <w:bCs/>
              </w:rPr>
              <w:t xml:space="preserve">In light of the intergenerational statelessness and related deprivations experienced by the Bidoon community and their children, the Committee is urged to ask Kuwait: </w:t>
            </w:r>
          </w:p>
          <w:p w14:paraId="154BF381" w14:textId="77777777" w:rsidR="00867EFD" w:rsidRPr="002F43F8" w:rsidRDefault="00867EFD" w:rsidP="0011765F">
            <w:pPr>
              <w:pStyle w:val="ListParagraph"/>
              <w:spacing w:after="0"/>
              <w:ind w:left="0"/>
              <w:jc w:val="both"/>
              <w:rPr>
                <w:rFonts w:ascii="Times New Roman" w:hAnsi="Times New Roman"/>
                <w:b/>
                <w:bCs/>
              </w:rPr>
            </w:pPr>
          </w:p>
          <w:p w14:paraId="1A5B7954" w14:textId="2F8826F9" w:rsidR="00867EFD" w:rsidRPr="002F43F8" w:rsidRDefault="00867EFD" w:rsidP="0011765F">
            <w:pPr>
              <w:pStyle w:val="ListParagraph"/>
              <w:spacing w:after="0"/>
              <w:ind w:left="0"/>
              <w:jc w:val="both"/>
              <w:rPr>
                <w:rFonts w:ascii="Times New Roman" w:hAnsi="Times New Roman"/>
                <w:b/>
                <w:bCs/>
              </w:rPr>
            </w:pPr>
            <w:r w:rsidRPr="002F43F8">
              <w:rPr>
                <w:rFonts w:ascii="Times New Roman" w:hAnsi="Times New Roman"/>
                <w:b/>
                <w:bCs/>
              </w:rPr>
              <w:t>a.</w:t>
            </w:r>
            <w:r w:rsidR="007D1214" w:rsidRPr="002F43F8">
              <w:rPr>
                <w:rFonts w:ascii="Times New Roman" w:hAnsi="Times New Roman"/>
                <w:b/>
                <w:bCs/>
              </w:rPr>
              <w:t xml:space="preserve"> On what basis do</w:t>
            </w:r>
            <w:r w:rsidR="0011765F" w:rsidRPr="002F43F8">
              <w:rPr>
                <w:rFonts w:ascii="Times New Roman" w:hAnsi="Times New Roman"/>
                <w:b/>
                <w:bCs/>
              </w:rPr>
              <w:t>es Kuwait</w:t>
            </w:r>
            <w:r w:rsidR="007D1214" w:rsidRPr="002F43F8">
              <w:rPr>
                <w:rFonts w:ascii="Times New Roman" w:hAnsi="Times New Roman"/>
                <w:b/>
                <w:bCs/>
              </w:rPr>
              <w:t xml:space="preserve"> discriminate against the </w:t>
            </w:r>
            <w:r w:rsidR="0011765F" w:rsidRPr="002F43F8">
              <w:rPr>
                <w:rFonts w:ascii="Times New Roman" w:hAnsi="Times New Roman"/>
                <w:b/>
                <w:bCs/>
              </w:rPr>
              <w:t>Bidoon</w:t>
            </w:r>
            <w:r w:rsidR="007D1214" w:rsidRPr="002F43F8">
              <w:rPr>
                <w:rFonts w:ascii="Times New Roman" w:hAnsi="Times New Roman"/>
                <w:b/>
                <w:bCs/>
              </w:rPr>
              <w:t>, thereby denying children born into these communities the right to a nationality</w:t>
            </w:r>
            <w:r w:rsidR="0011765F" w:rsidRPr="002F43F8">
              <w:rPr>
                <w:rFonts w:ascii="Times New Roman" w:hAnsi="Times New Roman"/>
                <w:b/>
                <w:bCs/>
              </w:rPr>
              <w:t xml:space="preserve"> and </w:t>
            </w:r>
            <w:r w:rsidRPr="002F43F8">
              <w:rPr>
                <w:rFonts w:ascii="Times New Roman" w:hAnsi="Times New Roman"/>
                <w:b/>
                <w:bCs/>
              </w:rPr>
              <w:t>excluding them from state education?</w:t>
            </w:r>
          </w:p>
          <w:p w14:paraId="107A24BD" w14:textId="77777777" w:rsidR="00867EFD" w:rsidRPr="002F43F8" w:rsidRDefault="00867EFD" w:rsidP="0011765F">
            <w:pPr>
              <w:pStyle w:val="ListParagraph"/>
              <w:spacing w:after="0"/>
              <w:ind w:left="0"/>
              <w:jc w:val="both"/>
              <w:rPr>
                <w:rFonts w:ascii="Times New Roman" w:hAnsi="Times New Roman"/>
                <w:b/>
                <w:bCs/>
              </w:rPr>
            </w:pPr>
          </w:p>
          <w:p w14:paraId="239A021E" w14:textId="38E02AD8" w:rsidR="007D1214" w:rsidRPr="002F43F8" w:rsidRDefault="00867EFD" w:rsidP="0011765F">
            <w:pPr>
              <w:pStyle w:val="ListParagraph"/>
              <w:spacing w:after="0"/>
              <w:ind w:left="0"/>
              <w:jc w:val="both"/>
              <w:rPr>
                <w:rFonts w:ascii="Times New Roman" w:hAnsi="Times New Roman"/>
                <w:b/>
                <w:bCs/>
              </w:rPr>
            </w:pPr>
            <w:r w:rsidRPr="002F43F8">
              <w:rPr>
                <w:rFonts w:ascii="Times New Roman" w:hAnsi="Times New Roman"/>
                <w:b/>
                <w:bCs/>
              </w:rPr>
              <w:t>b.</w:t>
            </w:r>
            <w:r w:rsidR="007D1214" w:rsidRPr="002F43F8">
              <w:rPr>
                <w:rFonts w:ascii="Times New Roman" w:hAnsi="Times New Roman"/>
                <w:b/>
                <w:bCs/>
              </w:rPr>
              <w:t xml:space="preserve"> Why does the </w:t>
            </w:r>
            <w:r w:rsidR="0011765F" w:rsidRPr="002F43F8">
              <w:rPr>
                <w:rFonts w:ascii="Times New Roman" w:hAnsi="Times New Roman"/>
                <w:b/>
                <w:bCs/>
              </w:rPr>
              <w:t>Kuwaiti</w:t>
            </w:r>
            <w:r w:rsidR="007D1214" w:rsidRPr="002F43F8">
              <w:rPr>
                <w:rFonts w:ascii="Times New Roman" w:hAnsi="Times New Roman"/>
                <w:b/>
                <w:bCs/>
              </w:rPr>
              <w:t xml:space="preserve"> nationality law not contain a comprehensive safeguard to ensure against statelessness for any child born on its territory who would otherwise have no nationality?</w:t>
            </w:r>
          </w:p>
          <w:p w14:paraId="0AD8858D" w14:textId="77777777" w:rsidR="00867EFD" w:rsidRPr="002F43F8" w:rsidRDefault="00867EFD" w:rsidP="0011765F">
            <w:pPr>
              <w:pStyle w:val="ListParagraph"/>
              <w:spacing w:after="0"/>
              <w:ind w:left="0"/>
              <w:jc w:val="both"/>
              <w:rPr>
                <w:rFonts w:ascii="Times New Roman" w:hAnsi="Times New Roman"/>
                <w:b/>
                <w:bCs/>
              </w:rPr>
            </w:pPr>
          </w:p>
          <w:p w14:paraId="6041EA0F" w14:textId="77777777" w:rsidR="00D51B92" w:rsidRPr="002F43F8" w:rsidRDefault="6DA6F4CB" w:rsidP="00130963">
            <w:pPr>
              <w:pStyle w:val="ListParagraph"/>
              <w:spacing w:after="0"/>
              <w:ind w:left="0"/>
              <w:jc w:val="both"/>
              <w:rPr>
                <w:rFonts w:ascii="Times New Roman" w:hAnsi="Times New Roman"/>
                <w:b/>
                <w:bCs/>
              </w:rPr>
            </w:pPr>
            <w:r w:rsidRPr="002F43F8">
              <w:rPr>
                <w:rFonts w:ascii="Times New Roman" w:hAnsi="Times New Roman"/>
                <w:b/>
                <w:bCs/>
              </w:rPr>
              <w:t>c. To provide disaggregated data on the number of stateless Bidoon in Kuwait, including the number of children born into these communities who have been denied the right to acquire Bahraini nationality over the last 5 years.</w:t>
            </w:r>
          </w:p>
          <w:p w14:paraId="6F9DC889" w14:textId="5BBD1F42" w:rsidR="00867EFD" w:rsidRPr="002F43F8" w:rsidRDefault="00867EFD" w:rsidP="00130963">
            <w:pPr>
              <w:pStyle w:val="ListParagraph"/>
              <w:spacing w:after="0"/>
              <w:ind w:left="0"/>
              <w:jc w:val="both"/>
              <w:rPr>
                <w:rFonts w:ascii="Times New Roman" w:hAnsi="Times New Roman"/>
                <w:b/>
                <w:bCs/>
              </w:rPr>
            </w:pPr>
          </w:p>
          <w:p w14:paraId="10DBAD1D" w14:textId="6D30A09C" w:rsidR="00E62B67" w:rsidRPr="002F43F8" w:rsidRDefault="00E62B67" w:rsidP="00130963">
            <w:pPr>
              <w:pStyle w:val="ListParagraph"/>
              <w:spacing w:after="0"/>
              <w:ind w:left="0"/>
              <w:jc w:val="both"/>
              <w:rPr>
                <w:rFonts w:ascii="Times New Roman" w:hAnsi="Times New Roman"/>
                <w:b/>
              </w:rPr>
            </w:pPr>
            <w:r w:rsidRPr="002F43F8">
              <w:rPr>
                <w:rFonts w:ascii="Times New Roman" w:hAnsi="Times New Roman"/>
                <w:b/>
                <w:bCs/>
              </w:rPr>
              <w:t>d. To explain why Kuwait requires Bidoon parents to confirm inaccurate information on ID cards in order to secure birth registration for their children, without affording them the opportunity to contest such information, in a manner which does not prejudice the child’s right to immediate birth registration and to acquire a nationality.</w:t>
            </w:r>
          </w:p>
        </w:tc>
      </w:tr>
    </w:tbl>
    <w:p w14:paraId="323FC46A" w14:textId="518C9014" w:rsidR="00D315CA" w:rsidRDefault="00D315CA" w:rsidP="00FD15B2">
      <w:pPr>
        <w:jc w:val="both"/>
        <w:rPr>
          <w:b/>
        </w:rPr>
      </w:pPr>
    </w:p>
    <w:p w14:paraId="18801D7E" w14:textId="77777777" w:rsidR="0013244C" w:rsidRDefault="0013244C" w:rsidP="00FD15B2">
      <w:pPr>
        <w:jc w:val="both"/>
        <w:rPr>
          <w:b/>
        </w:rPr>
      </w:pPr>
    </w:p>
    <w:p w14:paraId="4365E9CE" w14:textId="77777777" w:rsidR="00A84BD4" w:rsidRPr="00D12967" w:rsidRDefault="00A84BD4" w:rsidP="00FD15B2">
      <w:pPr>
        <w:jc w:val="both"/>
        <w:rPr>
          <w:b/>
        </w:rPr>
      </w:pPr>
    </w:p>
    <w:p w14:paraId="535EE4F5" w14:textId="69973766" w:rsidR="00D315CA" w:rsidRPr="002F43F8" w:rsidRDefault="00585D29" w:rsidP="00FD15B2">
      <w:pPr>
        <w:spacing w:line="276" w:lineRule="auto"/>
        <w:jc w:val="both"/>
        <w:rPr>
          <w:rFonts w:ascii="Helvetica" w:hAnsi="Helvetica"/>
          <w:b/>
          <w:bCs/>
          <w:color w:val="2C166F"/>
        </w:rPr>
      </w:pPr>
      <w:r>
        <w:rPr>
          <w:rFonts w:ascii="Helvetica" w:hAnsi="Helvetica"/>
          <w:b/>
          <w:bCs/>
          <w:color w:val="2C166F"/>
        </w:rPr>
        <w:t>The child’s right to nationality and g</w:t>
      </w:r>
      <w:r w:rsidR="00D315CA" w:rsidRPr="002F43F8">
        <w:rPr>
          <w:rFonts w:ascii="Helvetica" w:hAnsi="Helvetica"/>
          <w:b/>
          <w:bCs/>
          <w:color w:val="2C166F"/>
        </w:rPr>
        <w:t xml:space="preserve">ender discrimination in </w:t>
      </w:r>
      <w:r>
        <w:rPr>
          <w:rFonts w:ascii="Helvetica" w:hAnsi="Helvetica"/>
          <w:b/>
          <w:bCs/>
          <w:color w:val="2C166F"/>
        </w:rPr>
        <w:t>the nationality law</w:t>
      </w:r>
    </w:p>
    <w:p w14:paraId="7A826BA8" w14:textId="77777777" w:rsidR="00180955" w:rsidRPr="00D12967" w:rsidRDefault="00180955" w:rsidP="00FD15B2">
      <w:pPr>
        <w:spacing w:line="276" w:lineRule="auto"/>
        <w:jc w:val="both"/>
        <w:rPr>
          <w:sz w:val="28"/>
          <w:szCs w:val="28"/>
        </w:rPr>
      </w:pPr>
    </w:p>
    <w:p w14:paraId="2A943DF6" w14:textId="0EFCEAEA" w:rsidR="00777220" w:rsidRPr="002F43F8" w:rsidRDefault="00777220" w:rsidP="00777220">
      <w:pPr>
        <w:pStyle w:val="ListParagraph"/>
        <w:numPr>
          <w:ilvl w:val="0"/>
          <w:numId w:val="1"/>
        </w:numPr>
        <w:jc w:val="both"/>
        <w:rPr>
          <w:rFonts w:ascii="Times New Roman" w:hAnsi="Times New Roman"/>
        </w:rPr>
      </w:pPr>
      <w:r w:rsidRPr="002F43F8">
        <w:rPr>
          <w:rFonts w:ascii="Times New Roman" w:hAnsi="Times New Roman"/>
        </w:rPr>
        <w:t>Gender discrimination in the nationality la</w:t>
      </w:r>
      <w:r w:rsidR="008742C0">
        <w:rPr>
          <w:rFonts w:ascii="Times New Roman" w:hAnsi="Times New Roman"/>
        </w:rPr>
        <w:t>w</w:t>
      </w:r>
      <w:r w:rsidRPr="002F43F8">
        <w:rPr>
          <w:rFonts w:ascii="Times New Roman" w:hAnsi="Times New Roman"/>
        </w:rPr>
        <w:t xml:space="preserve">, which denies women the right to pass their nationality to their children </w:t>
      </w:r>
      <w:r>
        <w:rPr>
          <w:rFonts w:ascii="Times New Roman" w:hAnsi="Times New Roman"/>
        </w:rPr>
        <w:t>in most</w:t>
      </w:r>
      <w:r w:rsidRPr="002F43F8">
        <w:rPr>
          <w:rFonts w:ascii="Times New Roman" w:hAnsi="Times New Roman"/>
        </w:rPr>
        <w:t xml:space="preserve"> circumstances, further contributes to </w:t>
      </w:r>
      <w:r>
        <w:rPr>
          <w:rFonts w:ascii="Times New Roman" w:hAnsi="Times New Roman"/>
        </w:rPr>
        <w:t xml:space="preserve">childhood </w:t>
      </w:r>
      <w:r w:rsidRPr="002F43F8">
        <w:rPr>
          <w:rFonts w:ascii="Times New Roman" w:hAnsi="Times New Roman"/>
        </w:rPr>
        <w:t xml:space="preserve">statelessness. Article 2 of </w:t>
      </w:r>
      <w:r>
        <w:rPr>
          <w:rFonts w:ascii="Times New Roman" w:hAnsi="Times New Roman"/>
        </w:rPr>
        <w:t>Kuwait’s nationality</w:t>
      </w:r>
      <w:r w:rsidRPr="002F43F8">
        <w:rPr>
          <w:rFonts w:ascii="Times New Roman" w:hAnsi="Times New Roman"/>
        </w:rPr>
        <w:t xml:space="preserve"> law states that “</w:t>
      </w:r>
      <w:r w:rsidRPr="00AB714B">
        <w:rPr>
          <w:rFonts w:ascii="Times New Roman" w:hAnsi="Times New Roman"/>
          <w:i/>
          <w:iCs/>
        </w:rPr>
        <w:t>any person born in, or outside, Kuwait whose father is a Kuwaiti national shall be Kuwaiti national himself</w:t>
      </w:r>
      <w:r w:rsidRPr="002F43F8">
        <w:rPr>
          <w:rFonts w:ascii="Times New Roman" w:hAnsi="Times New Roman"/>
        </w:rPr>
        <w:t>”. Kuwaiti women who marry foreigners are not allowed to pass on their nationality to their children and spouses, other than in exceptional circumstances.</w:t>
      </w:r>
      <w:r w:rsidRPr="002F43F8">
        <w:rPr>
          <w:rFonts w:ascii="Times New Roman" w:hAnsi="Times New Roman"/>
          <w:vertAlign w:val="superscript"/>
        </w:rPr>
        <w:footnoteReference w:id="25"/>
      </w:r>
      <w:r w:rsidRPr="002F43F8">
        <w:rPr>
          <w:rFonts w:ascii="Times New Roman" w:hAnsi="Times New Roman"/>
        </w:rPr>
        <w:t xml:space="preserve"> </w:t>
      </w:r>
      <w:r w:rsidR="008742C0">
        <w:rPr>
          <w:rFonts w:ascii="Times New Roman" w:hAnsi="Times New Roman"/>
        </w:rPr>
        <w:t>Article 2</w:t>
      </w:r>
      <w:r w:rsidRPr="002F43F8">
        <w:rPr>
          <w:rFonts w:ascii="Times New Roman" w:hAnsi="Times New Roman"/>
        </w:rPr>
        <w:t xml:space="preserve"> undermines women’s status as equal citizens and contradicts the Kuwaiti Constitution, which stipulates in Article 29 that “</w:t>
      </w:r>
      <w:r w:rsidRPr="00AB714B">
        <w:rPr>
          <w:rFonts w:ascii="Times New Roman" w:hAnsi="Times New Roman"/>
          <w:i/>
          <w:iCs/>
        </w:rPr>
        <w:t>all people are equal in human dignity and in public rights and duties before the law…</w:t>
      </w:r>
      <w:r w:rsidRPr="002F43F8">
        <w:rPr>
          <w:rFonts w:ascii="Times New Roman" w:hAnsi="Times New Roman"/>
        </w:rPr>
        <w:t>” and in Article 7 that “</w:t>
      </w:r>
      <w:r w:rsidRPr="00AB714B">
        <w:rPr>
          <w:rFonts w:ascii="Times New Roman" w:hAnsi="Times New Roman"/>
          <w:i/>
          <w:iCs/>
        </w:rPr>
        <w:t>justice, liberty and equality are the pillars of society...</w:t>
      </w:r>
      <w:r w:rsidRPr="002F43F8">
        <w:rPr>
          <w:rFonts w:ascii="Times New Roman" w:hAnsi="Times New Roman"/>
        </w:rPr>
        <w:t>”.</w:t>
      </w:r>
      <w:r w:rsidRPr="002F43F8">
        <w:rPr>
          <w:rFonts w:ascii="Times New Roman" w:hAnsi="Times New Roman"/>
          <w:vertAlign w:val="superscript"/>
        </w:rPr>
        <w:footnoteReference w:id="26"/>
      </w:r>
      <w:r w:rsidRPr="002F43F8">
        <w:rPr>
          <w:rFonts w:ascii="Times New Roman" w:hAnsi="Times New Roman"/>
        </w:rPr>
        <w:t xml:space="preserve"> </w:t>
      </w:r>
      <w:r w:rsidR="008742C0">
        <w:rPr>
          <w:rFonts w:ascii="Times New Roman" w:hAnsi="Times New Roman"/>
        </w:rPr>
        <w:t>It</w:t>
      </w:r>
      <w:r w:rsidRPr="002F43F8">
        <w:rPr>
          <w:rFonts w:ascii="Times New Roman" w:hAnsi="Times New Roman"/>
        </w:rPr>
        <w:t xml:space="preserve"> also denies women the right to enter in marriage with Kuwaiti men as equals, per Article 16(1) of CEDAW, and limits their freedom to choose a spouse.</w:t>
      </w:r>
      <w:r w:rsidRPr="002F43F8">
        <w:rPr>
          <w:rFonts w:ascii="Times New Roman" w:hAnsi="Times New Roman"/>
          <w:vertAlign w:val="superscript"/>
        </w:rPr>
        <w:footnoteReference w:id="27"/>
      </w:r>
    </w:p>
    <w:p w14:paraId="1419C23D" w14:textId="77777777" w:rsidR="00777220" w:rsidRPr="002F43F8" w:rsidRDefault="00777220" w:rsidP="00777220">
      <w:pPr>
        <w:pStyle w:val="ListParagraph"/>
        <w:ind w:left="360"/>
        <w:jc w:val="both"/>
        <w:rPr>
          <w:rFonts w:ascii="Times New Roman" w:hAnsi="Times New Roman"/>
        </w:rPr>
      </w:pPr>
    </w:p>
    <w:p w14:paraId="5354E28F" w14:textId="77777777" w:rsidR="00777220" w:rsidRPr="00777220" w:rsidRDefault="00777220" w:rsidP="00777220">
      <w:pPr>
        <w:pStyle w:val="ListParagraph"/>
        <w:numPr>
          <w:ilvl w:val="0"/>
          <w:numId w:val="1"/>
        </w:numPr>
        <w:jc w:val="both"/>
        <w:rPr>
          <w:rFonts w:ascii="Times New Roman" w:eastAsiaTheme="minorEastAsia" w:hAnsi="Times New Roman"/>
        </w:rPr>
      </w:pPr>
      <w:r w:rsidRPr="002F43F8">
        <w:rPr>
          <w:rFonts w:ascii="Times New Roman" w:hAnsi="Times New Roman"/>
        </w:rPr>
        <w:t xml:space="preserve">Several amendments to the Kuwaiti Nationality Act since it came to force in 1959 </w:t>
      </w:r>
      <w:r w:rsidRPr="002F43F8">
        <w:rPr>
          <w:rFonts w:ascii="Times New Roman" w:hAnsi="Times New Roman"/>
          <w:i/>
          <w:iCs/>
        </w:rPr>
        <w:t>“have made the regulation of nationality progressively more restrictive – such as by adding a prohibition for non-Muslims to apply for naturalisation and restricting the circumstances in which women can transfer their nationality to their children”.</w:t>
      </w:r>
      <w:r w:rsidRPr="002F43F8">
        <w:rPr>
          <w:rStyle w:val="FootnoteReference"/>
          <w:rFonts w:ascii="Times New Roman" w:hAnsi="Times New Roman"/>
        </w:rPr>
        <w:footnoteReference w:id="28"/>
      </w:r>
      <w:r w:rsidRPr="002F43F8">
        <w:rPr>
          <w:rFonts w:ascii="Times New Roman" w:hAnsi="Times New Roman"/>
        </w:rPr>
        <w:t xml:space="preserve"> More specifically, Article 3, amended in 1980, further eroded Kuwaiti women’s nationality rights by </w:t>
      </w:r>
      <w:r>
        <w:rPr>
          <w:rFonts w:ascii="Times New Roman" w:hAnsi="Times New Roman"/>
        </w:rPr>
        <w:t>providing</w:t>
      </w:r>
      <w:r w:rsidRPr="002F43F8">
        <w:rPr>
          <w:rFonts w:ascii="Times New Roman" w:hAnsi="Times New Roman"/>
        </w:rPr>
        <w:t xml:space="preserve"> that the children of Kuwaiti women and non-citizen fathers</w:t>
      </w:r>
      <w:r>
        <w:rPr>
          <w:rFonts w:ascii="Times New Roman" w:hAnsi="Times New Roman"/>
        </w:rPr>
        <w:t>, or where the father is unknown,</w:t>
      </w:r>
      <w:r w:rsidRPr="002F43F8">
        <w:rPr>
          <w:rFonts w:ascii="Times New Roman" w:hAnsi="Times New Roman"/>
        </w:rPr>
        <w:t xml:space="preserve"> are only eligible to become Kuwaiti by approval of a decree by the Minister of Interior</w:t>
      </w:r>
      <w:r>
        <w:rPr>
          <w:rFonts w:ascii="Times New Roman" w:hAnsi="Times New Roman"/>
        </w:rPr>
        <w:t>, and upon attaining majority</w:t>
      </w:r>
      <w:r w:rsidRPr="002F43F8">
        <w:rPr>
          <w:rFonts w:ascii="Times New Roman" w:hAnsi="Times New Roman"/>
        </w:rPr>
        <w:t>.</w:t>
      </w:r>
      <w:r w:rsidRPr="002F43F8">
        <w:rPr>
          <w:rStyle w:val="FootnoteReference"/>
          <w:rFonts w:ascii="Times New Roman" w:hAnsi="Times New Roman"/>
        </w:rPr>
        <w:footnoteReference w:id="29"/>
      </w:r>
      <w:r w:rsidRPr="002F43F8">
        <w:rPr>
          <w:rFonts w:ascii="Times New Roman" w:hAnsi="Times New Roman"/>
        </w:rPr>
        <w:t xml:space="preserve"> </w:t>
      </w:r>
      <w:r>
        <w:rPr>
          <w:rFonts w:ascii="Times New Roman" w:hAnsi="Times New Roman"/>
        </w:rPr>
        <w:t>Article 3 also addresses the situation of foundlings.</w:t>
      </w:r>
      <w:r w:rsidRPr="002F43F8">
        <w:rPr>
          <w:rStyle w:val="FootnoteReference"/>
          <w:rFonts w:ascii="Times New Roman" w:hAnsi="Times New Roman"/>
        </w:rPr>
        <w:footnoteReference w:id="30"/>
      </w:r>
      <w:r>
        <w:rPr>
          <w:rFonts w:ascii="Times New Roman" w:hAnsi="Times New Roman"/>
        </w:rPr>
        <w:t xml:space="preserve"> </w:t>
      </w:r>
    </w:p>
    <w:p w14:paraId="7A845A11" w14:textId="77777777" w:rsidR="00777220" w:rsidRPr="00777220" w:rsidRDefault="00777220" w:rsidP="00777220">
      <w:pPr>
        <w:pStyle w:val="ListParagraph"/>
        <w:rPr>
          <w:rFonts w:ascii="Times New Roman" w:hAnsi="Times New Roman"/>
        </w:rPr>
      </w:pPr>
    </w:p>
    <w:p w14:paraId="3B3D56A8" w14:textId="0C017322" w:rsidR="00777220" w:rsidRPr="00A84BD4" w:rsidRDefault="00A84BD4" w:rsidP="00A84BD4">
      <w:pPr>
        <w:pStyle w:val="ListParagraph"/>
        <w:numPr>
          <w:ilvl w:val="0"/>
          <w:numId w:val="1"/>
        </w:numPr>
        <w:jc w:val="both"/>
        <w:rPr>
          <w:rFonts w:ascii="Times New Roman" w:hAnsi="Times New Roman"/>
        </w:rPr>
      </w:pPr>
      <w:r w:rsidRPr="002F43F8">
        <w:rPr>
          <w:rFonts w:ascii="Times New Roman" w:hAnsi="Times New Roman"/>
        </w:rPr>
        <w:t xml:space="preserve">Moreover, Kuwaiti women cannot pass their nationality to a non-citizen spouse, a right reserved for Kuwaiti men. As such, the non-citizen spouse has limited access to employment and public housing provisions. </w:t>
      </w:r>
      <w:r>
        <w:rPr>
          <w:rFonts w:ascii="Times New Roman" w:hAnsi="Times New Roman"/>
        </w:rPr>
        <w:t>F</w:t>
      </w:r>
      <w:r w:rsidRPr="002F43F8">
        <w:rPr>
          <w:rFonts w:ascii="Times New Roman" w:hAnsi="Times New Roman"/>
        </w:rPr>
        <w:t xml:space="preserve">oreign husbands </w:t>
      </w:r>
      <w:r>
        <w:rPr>
          <w:rFonts w:ascii="Times New Roman" w:hAnsi="Times New Roman"/>
        </w:rPr>
        <w:t>also</w:t>
      </w:r>
      <w:r w:rsidRPr="002F43F8">
        <w:rPr>
          <w:rFonts w:ascii="Times New Roman" w:hAnsi="Times New Roman"/>
        </w:rPr>
        <w:t xml:space="preserve"> have no legal right to remain in the country without a residency permit. In contrast, foreign women married to Kuwaiti men are granted residency automatically and qualify for citizenship after 15 years of marriage.</w:t>
      </w:r>
      <w:r w:rsidRPr="002F43F8">
        <w:rPr>
          <w:rStyle w:val="FootnoteReference"/>
          <w:rFonts w:ascii="Times New Roman" w:hAnsi="Times New Roman"/>
        </w:rPr>
        <w:footnoteReference w:id="31"/>
      </w:r>
      <w:r w:rsidRPr="002F43F8">
        <w:rPr>
          <w:rFonts w:ascii="Times New Roman" w:hAnsi="Times New Roman"/>
        </w:rPr>
        <w:t xml:space="preserve"> </w:t>
      </w:r>
      <w:r w:rsidR="008742C0">
        <w:rPr>
          <w:rFonts w:ascii="Times New Roman" w:hAnsi="Times New Roman"/>
        </w:rPr>
        <w:t>However</w:t>
      </w:r>
      <w:r>
        <w:rPr>
          <w:rFonts w:ascii="Times New Roman" w:hAnsi="Times New Roman"/>
        </w:rPr>
        <w:t>,</w:t>
      </w:r>
      <w:r w:rsidR="00777220" w:rsidRPr="00A84BD4">
        <w:rPr>
          <w:rFonts w:ascii="Times New Roman" w:hAnsi="Times New Roman"/>
        </w:rPr>
        <w:t xml:space="preserve"> there are ongoing discussions on to increase </w:t>
      </w:r>
      <w:r>
        <w:rPr>
          <w:rFonts w:ascii="Times New Roman" w:hAnsi="Times New Roman"/>
        </w:rPr>
        <w:t>this to</w:t>
      </w:r>
      <w:r w:rsidR="00777220" w:rsidRPr="00A84BD4">
        <w:rPr>
          <w:rFonts w:ascii="Times New Roman" w:hAnsi="Times New Roman"/>
        </w:rPr>
        <w:t xml:space="preserve"> 18 years</w:t>
      </w:r>
      <w:r w:rsidR="008742C0">
        <w:rPr>
          <w:rFonts w:ascii="Times New Roman" w:hAnsi="Times New Roman"/>
        </w:rPr>
        <w:t>,</w:t>
      </w:r>
      <w:r w:rsidR="00777220" w:rsidRPr="002F43F8">
        <w:rPr>
          <w:rStyle w:val="FootnoteReference"/>
          <w:rFonts w:ascii="Times New Roman" w:hAnsi="Times New Roman"/>
        </w:rPr>
        <w:footnoteReference w:id="32"/>
      </w:r>
      <w:r w:rsidR="00777220" w:rsidRPr="00A84BD4">
        <w:rPr>
          <w:rFonts w:ascii="Times New Roman" w:hAnsi="Times New Roman"/>
        </w:rPr>
        <w:t xml:space="preserve"> </w:t>
      </w:r>
      <w:r w:rsidR="008742C0">
        <w:rPr>
          <w:rFonts w:ascii="Times New Roman" w:hAnsi="Times New Roman"/>
        </w:rPr>
        <w:t>though</w:t>
      </w:r>
      <w:r w:rsidR="00777220" w:rsidRPr="00A84BD4">
        <w:rPr>
          <w:rFonts w:ascii="Times New Roman" w:hAnsi="Times New Roman"/>
        </w:rPr>
        <w:t xml:space="preserve"> Arab women from the Gulf and Bidoon women </w:t>
      </w:r>
      <w:r w:rsidR="008742C0">
        <w:rPr>
          <w:rFonts w:ascii="Times New Roman" w:hAnsi="Times New Roman"/>
        </w:rPr>
        <w:t xml:space="preserve">may be exempt </w:t>
      </w:r>
      <w:r w:rsidR="00777220" w:rsidRPr="00A84BD4">
        <w:rPr>
          <w:rFonts w:ascii="Times New Roman" w:hAnsi="Times New Roman"/>
        </w:rPr>
        <w:t xml:space="preserve">from </w:t>
      </w:r>
      <w:r>
        <w:rPr>
          <w:rFonts w:ascii="Times New Roman" w:hAnsi="Times New Roman"/>
        </w:rPr>
        <w:t>such an increase</w:t>
      </w:r>
      <w:r w:rsidR="00777220" w:rsidRPr="00A84BD4">
        <w:rPr>
          <w:rFonts w:ascii="Times New Roman" w:hAnsi="Times New Roman"/>
        </w:rPr>
        <w:t>.</w:t>
      </w:r>
      <w:r w:rsidR="00777220" w:rsidRPr="002F43F8">
        <w:rPr>
          <w:rStyle w:val="FootnoteReference"/>
          <w:rFonts w:ascii="Times New Roman" w:hAnsi="Times New Roman"/>
        </w:rPr>
        <w:footnoteReference w:id="33"/>
      </w:r>
      <w:r w:rsidR="00777220" w:rsidRPr="00A84BD4">
        <w:rPr>
          <w:rFonts w:ascii="Times New Roman" w:hAnsi="Times New Roman"/>
        </w:rPr>
        <w:t xml:space="preserve"> </w:t>
      </w:r>
      <w:r w:rsidR="0056029D">
        <w:rPr>
          <w:rFonts w:ascii="Times New Roman" w:hAnsi="Times New Roman"/>
        </w:rPr>
        <w:t>Children in this context</w:t>
      </w:r>
      <w:r w:rsidR="008742C0">
        <w:rPr>
          <w:rFonts w:ascii="Times New Roman" w:hAnsi="Times New Roman"/>
        </w:rPr>
        <w:t xml:space="preserve"> </w:t>
      </w:r>
      <w:r w:rsidR="008742C0" w:rsidRPr="002F43F8">
        <w:rPr>
          <w:rFonts w:ascii="Times New Roman" w:hAnsi="Times New Roman"/>
        </w:rPr>
        <w:t xml:space="preserve">may be forced to live away from their </w:t>
      </w:r>
      <w:r w:rsidR="008742C0">
        <w:rPr>
          <w:rFonts w:ascii="Times New Roman" w:hAnsi="Times New Roman"/>
        </w:rPr>
        <w:t>fathers</w:t>
      </w:r>
      <w:r w:rsidR="008742C0" w:rsidRPr="002F43F8">
        <w:rPr>
          <w:rFonts w:ascii="Times New Roman" w:hAnsi="Times New Roman"/>
        </w:rPr>
        <w:t xml:space="preserve"> due to challenges </w:t>
      </w:r>
      <w:r w:rsidR="0056029D">
        <w:rPr>
          <w:rFonts w:ascii="Times New Roman" w:hAnsi="Times New Roman"/>
        </w:rPr>
        <w:t>of foreign male spouses</w:t>
      </w:r>
      <w:r w:rsidR="008742C0" w:rsidRPr="002F43F8">
        <w:rPr>
          <w:rFonts w:ascii="Times New Roman" w:hAnsi="Times New Roman"/>
        </w:rPr>
        <w:t xml:space="preserve"> acquiring residency permits, or </w:t>
      </w:r>
      <w:r w:rsidR="0056029D">
        <w:rPr>
          <w:rFonts w:ascii="Times New Roman" w:hAnsi="Times New Roman"/>
        </w:rPr>
        <w:t xml:space="preserve">away from their mothers, if the father is such situations </w:t>
      </w:r>
      <w:r w:rsidR="008742C0" w:rsidRPr="002F43F8">
        <w:rPr>
          <w:rFonts w:ascii="Times New Roman" w:hAnsi="Times New Roman"/>
        </w:rPr>
        <w:t>take the children away from the mother and back to their own country.</w:t>
      </w:r>
      <w:r w:rsidR="008742C0" w:rsidRPr="002F43F8">
        <w:rPr>
          <w:rStyle w:val="FootnoteReference"/>
          <w:rFonts w:ascii="Times New Roman" w:hAnsi="Times New Roman"/>
        </w:rPr>
        <w:footnoteReference w:id="34"/>
      </w:r>
    </w:p>
    <w:p w14:paraId="3B324339" w14:textId="77777777" w:rsidR="00777220" w:rsidRPr="002F43F8" w:rsidRDefault="00777220" w:rsidP="00777220">
      <w:pPr>
        <w:pStyle w:val="ListParagraph"/>
        <w:rPr>
          <w:rFonts w:ascii="Times New Roman" w:hAnsi="Times New Roman"/>
        </w:rPr>
      </w:pPr>
    </w:p>
    <w:p w14:paraId="1249B388" w14:textId="04CDC6BB" w:rsidR="00777220" w:rsidRPr="002F43F8" w:rsidRDefault="00777220" w:rsidP="00777220">
      <w:pPr>
        <w:pStyle w:val="ListParagraph"/>
        <w:numPr>
          <w:ilvl w:val="0"/>
          <w:numId w:val="1"/>
        </w:numPr>
        <w:jc w:val="both"/>
        <w:rPr>
          <w:rFonts w:ascii="Times New Roman" w:hAnsi="Times New Roman"/>
        </w:rPr>
      </w:pPr>
      <w:r w:rsidRPr="002F43F8">
        <w:rPr>
          <w:rFonts w:ascii="Times New Roman" w:hAnsi="Times New Roman"/>
        </w:rPr>
        <w:t xml:space="preserve">Article 11 </w:t>
      </w:r>
      <w:r w:rsidR="00A84BD4">
        <w:rPr>
          <w:rFonts w:ascii="Times New Roman" w:hAnsi="Times New Roman"/>
        </w:rPr>
        <w:t xml:space="preserve">of the Nationality Act </w:t>
      </w:r>
      <w:r w:rsidRPr="002F43F8">
        <w:rPr>
          <w:rFonts w:ascii="Times New Roman" w:hAnsi="Times New Roman"/>
        </w:rPr>
        <w:t>provides for the derivative loss of nationality, in contravention of Articles 8 and 2 of the CRC. Accordingly, the child of a Kuwaiti national man, being a minor, shall also lose their Kuwaiti nationality if the</w:t>
      </w:r>
      <w:r w:rsidR="008742C0">
        <w:rPr>
          <w:rFonts w:ascii="Times New Roman" w:hAnsi="Times New Roman"/>
        </w:rPr>
        <w:t xml:space="preserve">ir father naturalises as the citizen of another country and the child acquires </w:t>
      </w:r>
      <w:r w:rsidRPr="002F43F8">
        <w:rPr>
          <w:rFonts w:ascii="Times New Roman" w:hAnsi="Times New Roman"/>
        </w:rPr>
        <w:t xml:space="preserve">ipso facto the nationality of </w:t>
      </w:r>
      <w:r w:rsidR="008742C0">
        <w:rPr>
          <w:rFonts w:ascii="Times New Roman" w:hAnsi="Times New Roman"/>
        </w:rPr>
        <w:t>this other</w:t>
      </w:r>
      <w:r w:rsidRPr="002F43F8">
        <w:rPr>
          <w:rFonts w:ascii="Times New Roman" w:hAnsi="Times New Roman"/>
        </w:rPr>
        <w:t xml:space="preserve"> State. Such children shall reacquire Kuwaiti nationality upon informing the Minister of the Interior within two years following their attaining the age of majority of their wish to do so.</w:t>
      </w:r>
      <w:r w:rsidRPr="002F43F8">
        <w:rPr>
          <w:rStyle w:val="FootnoteReference"/>
          <w:rFonts w:ascii="Times New Roman" w:hAnsi="Times New Roman"/>
        </w:rPr>
        <w:footnoteReference w:id="35"/>
      </w:r>
    </w:p>
    <w:p w14:paraId="05F9495C" w14:textId="77777777" w:rsidR="00291238" w:rsidRPr="002F43F8" w:rsidRDefault="00291238" w:rsidP="00291238">
      <w:pPr>
        <w:pStyle w:val="ListParagraph"/>
        <w:ind w:left="360"/>
        <w:jc w:val="both"/>
        <w:rPr>
          <w:rFonts w:ascii="Times New Roman" w:hAnsi="Times New Roman"/>
        </w:rPr>
      </w:pPr>
    </w:p>
    <w:p w14:paraId="7869185E" w14:textId="05F83688" w:rsidR="00D61E9E" w:rsidRDefault="00244038" w:rsidP="00FD15B2">
      <w:pPr>
        <w:pStyle w:val="ListParagraph"/>
        <w:numPr>
          <w:ilvl w:val="0"/>
          <w:numId w:val="1"/>
        </w:numPr>
        <w:jc w:val="both"/>
        <w:rPr>
          <w:rFonts w:ascii="Times New Roman" w:hAnsi="Times New Roman"/>
        </w:rPr>
      </w:pPr>
      <w:r>
        <w:rPr>
          <w:rFonts w:ascii="Times New Roman" w:hAnsi="Times New Roman"/>
        </w:rPr>
        <w:t>Such g</w:t>
      </w:r>
      <w:r w:rsidR="00180955" w:rsidRPr="002F43F8">
        <w:rPr>
          <w:rFonts w:ascii="Times New Roman" w:hAnsi="Times New Roman"/>
        </w:rPr>
        <w:t>ender discriminat</w:t>
      </w:r>
      <w:r w:rsidR="008742C0">
        <w:rPr>
          <w:rFonts w:ascii="Times New Roman" w:hAnsi="Times New Roman"/>
        </w:rPr>
        <w:t>ory provisions</w:t>
      </w:r>
      <w:r w:rsidR="00180955" w:rsidRPr="002F43F8">
        <w:rPr>
          <w:rFonts w:ascii="Times New Roman" w:hAnsi="Times New Roman"/>
        </w:rPr>
        <w:t xml:space="preserve"> results in a range of other human rights violations impacting children</w:t>
      </w:r>
      <w:r w:rsidR="004152EA" w:rsidRPr="002F43F8">
        <w:rPr>
          <w:rFonts w:ascii="Times New Roman" w:hAnsi="Times New Roman"/>
        </w:rPr>
        <w:t>.</w:t>
      </w:r>
      <w:r w:rsidR="00B145AE" w:rsidRPr="002F43F8">
        <w:rPr>
          <w:rFonts w:ascii="Times New Roman" w:hAnsi="Times New Roman"/>
        </w:rPr>
        <w:t xml:space="preserve"> </w:t>
      </w:r>
      <w:r w:rsidR="00745FD4" w:rsidRPr="002F43F8">
        <w:rPr>
          <w:rFonts w:ascii="Times New Roman" w:hAnsi="Times New Roman"/>
        </w:rPr>
        <w:t>These include the denial of the right to a nationality and resultant statelessness</w:t>
      </w:r>
      <w:r w:rsidR="00B145AE" w:rsidRPr="002F43F8">
        <w:rPr>
          <w:rFonts w:ascii="Times New Roman" w:hAnsi="Times New Roman"/>
        </w:rPr>
        <w:t xml:space="preserve"> </w:t>
      </w:r>
      <w:r w:rsidR="0060068B" w:rsidRPr="002F43F8">
        <w:rPr>
          <w:rFonts w:ascii="Times New Roman" w:hAnsi="Times New Roman"/>
        </w:rPr>
        <w:t xml:space="preserve">over generations </w:t>
      </w:r>
      <w:r w:rsidR="004152EA" w:rsidRPr="002F43F8">
        <w:rPr>
          <w:rFonts w:ascii="Times New Roman" w:hAnsi="Times New Roman"/>
        </w:rPr>
        <w:t>(Art.7 CRC)</w:t>
      </w:r>
      <w:r w:rsidR="00745FD4" w:rsidRPr="002F43F8">
        <w:rPr>
          <w:rFonts w:ascii="Times New Roman" w:hAnsi="Times New Roman"/>
        </w:rPr>
        <w:t xml:space="preserve">; </w:t>
      </w:r>
      <w:r w:rsidR="008742C0">
        <w:rPr>
          <w:rFonts w:ascii="Times New Roman" w:hAnsi="Times New Roman"/>
        </w:rPr>
        <w:t xml:space="preserve">education </w:t>
      </w:r>
      <w:r w:rsidR="004152EA" w:rsidRPr="002F43F8">
        <w:rPr>
          <w:rFonts w:ascii="Times New Roman" w:hAnsi="Times New Roman"/>
        </w:rPr>
        <w:t>(Art.28)</w:t>
      </w:r>
      <w:r w:rsidR="00745FD4" w:rsidRPr="002F43F8">
        <w:rPr>
          <w:rFonts w:ascii="Times New Roman" w:hAnsi="Times New Roman"/>
        </w:rPr>
        <w:t xml:space="preserve">, healthcare </w:t>
      </w:r>
      <w:r w:rsidR="004152EA" w:rsidRPr="002F43F8">
        <w:rPr>
          <w:rFonts w:ascii="Times New Roman" w:hAnsi="Times New Roman"/>
        </w:rPr>
        <w:t xml:space="preserve">(Art.24) </w:t>
      </w:r>
      <w:r w:rsidR="00745FD4" w:rsidRPr="002F43F8">
        <w:rPr>
          <w:rFonts w:ascii="Times New Roman" w:hAnsi="Times New Roman"/>
        </w:rPr>
        <w:t xml:space="preserve">and family </w:t>
      </w:r>
      <w:r w:rsidR="0060068B" w:rsidRPr="002F43F8">
        <w:rPr>
          <w:rFonts w:ascii="Times New Roman" w:hAnsi="Times New Roman"/>
        </w:rPr>
        <w:t xml:space="preserve">life </w:t>
      </w:r>
      <w:r>
        <w:rPr>
          <w:rFonts w:ascii="Times New Roman" w:hAnsi="Times New Roman"/>
        </w:rPr>
        <w:t xml:space="preserve">(Art. </w:t>
      </w:r>
      <w:r w:rsidR="00745FD4" w:rsidRPr="002F43F8">
        <w:rPr>
          <w:rFonts w:ascii="Times New Roman" w:hAnsi="Times New Roman"/>
        </w:rPr>
        <w:t>9</w:t>
      </w:r>
      <w:r>
        <w:rPr>
          <w:rFonts w:ascii="Times New Roman" w:hAnsi="Times New Roman"/>
        </w:rPr>
        <w:t>)</w:t>
      </w:r>
      <w:r w:rsidR="00745FD4" w:rsidRPr="002F43F8">
        <w:rPr>
          <w:rFonts w:ascii="Times New Roman" w:hAnsi="Times New Roman"/>
        </w:rPr>
        <w:t xml:space="preserve">. </w:t>
      </w:r>
    </w:p>
    <w:p w14:paraId="1E50A506" w14:textId="77777777" w:rsidR="0013244C" w:rsidRPr="0013244C" w:rsidRDefault="0013244C" w:rsidP="0013244C">
      <w:pPr>
        <w:jc w:val="both"/>
        <w:rPr>
          <w:rFonts w:ascii="Times New Roman" w:hAnsi="Times New Roman"/>
        </w:rPr>
      </w:pPr>
    </w:p>
    <w:tbl>
      <w:tblPr>
        <w:tblStyle w:val="TableGrid"/>
        <w:tblW w:w="0" w:type="auto"/>
        <w:tblInd w:w="426" w:type="dxa"/>
        <w:tblLook w:val="04A0" w:firstRow="1" w:lastRow="0" w:firstColumn="1" w:lastColumn="0" w:noHBand="0" w:noVBand="1"/>
      </w:tblPr>
      <w:tblGrid>
        <w:gridCol w:w="8590"/>
      </w:tblGrid>
      <w:tr w:rsidR="00A15A72" w:rsidRPr="002F43F8" w14:paraId="5903C204" w14:textId="77777777" w:rsidTr="0056029D">
        <w:tc>
          <w:tcPr>
            <w:tcW w:w="8590" w:type="dxa"/>
          </w:tcPr>
          <w:p w14:paraId="4C82CC6A" w14:textId="77777777" w:rsidR="00A15A72" w:rsidRPr="002F43F8" w:rsidRDefault="00A15A72" w:rsidP="00FD15B2">
            <w:pPr>
              <w:pStyle w:val="ListParagraph"/>
              <w:numPr>
                <w:ilvl w:val="0"/>
                <w:numId w:val="1"/>
              </w:numPr>
              <w:spacing w:after="0"/>
              <w:ind w:left="0" w:firstLine="0"/>
              <w:jc w:val="both"/>
              <w:rPr>
                <w:rFonts w:ascii="Times New Roman" w:hAnsi="Times New Roman"/>
                <w:b/>
                <w:bCs/>
              </w:rPr>
            </w:pPr>
            <w:r w:rsidRPr="002F43F8">
              <w:rPr>
                <w:rFonts w:ascii="Times New Roman" w:hAnsi="Times New Roman"/>
                <w:b/>
                <w:bCs/>
              </w:rPr>
              <w:t xml:space="preserve">In light of the above information, the Committee is urged to ask Kuwait in its List of Issues and also in its review: </w:t>
            </w:r>
          </w:p>
          <w:p w14:paraId="243B5E8E" w14:textId="4EEFA354" w:rsidR="00A15A72" w:rsidRPr="002F43F8" w:rsidRDefault="00A15A72" w:rsidP="00A15A72">
            <w:pPr>
              <w:pStyle w:val="ListParagraph"/>
              <w:spacing w:after="0"/>
              <w:ind w:left="0"/>
              <w:jc w:val="both"/>
              <w:rPr>
                <w:rFonts w:ascii="Times New Roman" w:hAnsi="Times New Roman"/>
                <w:b/>
                <w:bCs/>
              </w:rPr>
            </w:pPr>
            <w:r w:rsidRPr="002F43F8">
              <w:rPr>
                <w:rFonts w:ascii="Times New Roman" w:hAnsi="Times New Roman"/>
                <w:b/>
                <w:bCs/>
              </w:rPr>
              <w:br/>
              <w:t xml:space="preserve">a. On what basis does Kuwait continue to deny women equal rights with men to convey nationality to their children, and what steps is Kuwait taking to </w:t>
            </w:r>
            <w:r w:rsidR="00274371">
              <w:rPr>
                <w:rFonts w:ascii="Times New Roman" w:hAnsi="Times New Roman"/>
                <w:b/>
                <w:bCs/>
              </w:rPr>
              <w:t>remove</w:t>
            </w:r>
            <w:r w:rsidR="00274371" w:rsidRPr="002F43F8">
              <w:rPr>
                <w:rFonts w:ascii="Times New Roman" w:hAnsi="Times New Roman"/>
                <w:b/>
                <w:bCs/>
              </w:rPr>
              <w:t xml:space="preserve"> </w:t>
            </w:r>
            <w:r w:rsidRPr="002F43F8">
              <w:rPr>
                <w:rFonts w:ascii="Times New Roman" w:hAnsi="Times New Roman"/>
                <w:b/>
                <w:bCs/>
              </w:rPr>
              <w:t xml:space="preserve">gender discrimination </w:t>
            </w:r>
            <w:r w:rsidR="00274371" w:rsidRPr="00274371">
              <w:rPr>
                <w:rFonts w:ascii="Times New Roman" w:hAnsi="Times New Roman"/>
                <w:b/>
                <w:bCs/>
              </w:rPr>
              <w:t>in the Nationality Law 15/1959</w:t>
            </w:r>
            <w:r w:rsidRPr="002F43F8">
              <w:rPr>
                <w:rFonts w:ascii="Times New Roman" w:hAnsi="Times New Roman"/>
                <w:b/>
                <w:bCs/>
              </w:rPr>
              <w:t xml:space="preserve"> to ensure that the child’s right to a nationality is not undermined? </w:t>
            </w:r>
          </w:p>
          <w:p w14:paraId="6E104D6D" w14:textId="77777777" w:rsidR="00A15A72" w:rsidRPr="002F43F8" w:rsidRDefault="00A15A72" w:rsidP="00A15A72">
            <w:pPr>
              <w:pStyle w:val="ListParagraph"/>
              <w:spacing w:after="0"/>
              <w:ind w:left="0"/>
              <w:jc w:val="both"/>
              <w:rPr>
                <w:rFonts w:ascii="Times New Roman" w:hAnsi="Times New Roman"/>
                <w:b/>
                <w:bCs/>
              </w:rPr>
            </w:pPr>
          </w:p>
          <w:p w14:paraId="337BFE39" w14:textId="5A59A21C" w:rsidR="00A15A72" w:rsidRPr="002F43F8" w:rsidRDefault="00A15A72" w:rsidP="00A15A72">
            <w:pPr>
              <w:pStyle w:val="ListParagraph"/>
              <w:spacing w:after="0"/>
              <w:ind w:left="0"/>
              <w:jc w:val="both"/>
              <w:rPr>
                <w:rFonts w:ascii="Times New Roman" w:hAnsi="Times New Roman"/>
                <w:b/>
                <w:bCs/>
              </w:rPr>
            </w:pPr>
            <w:r w:rsidRPr="002F43F8">
              <w:rPr>
                <w:rFonts w:ascii="Times New Roman" w:hAnsi="Times New Roman"/>
                <w:b/>
                <w:bCs/>
              </w:rPr>
              <w:t>b. What steps has Kuwait taken to implement the previous recommendations of the CRC</w:t>
            </w:r>
            <w:r w:rsidR="00365121" w:rsidRPr="002F43F8">
              <w:rPr>
                <w:rFonts w:ascii="Times New Roman" w:hAnsi="Times New Roman"/>
                <w:b/>
                <w:bCs/>
              </w:rPr>
              <w:t>,</w:t>
            </w:r>
            <w:r w:rsidRPr="002F43F8">
              <w:rPr>
                <w:rFonts w:ascii="Times New Roman" w:hAnsi="Times New Roman"/>
                <w:b/>
                <w:bCs/>
              </w:rPr>
              <w:t xml:space="preserve"> CEDAW </w:t>
            </w:r>
            <w:r w:rsidR="00365121" w:rsidRPr="002F43F8">
              <w:rPr>
                <w:rFonts w:ascii="Times New Roman" w:hAnsi="Times New Roman"/>
                <w:b/>
                <w:bCs/>
              </w:rPr>
              <w:t xml:space="preserve">and UPR </w:t>
            </w:r>
            <w:r w:rsidRPr="002F43F8">
              <w:rPr>
                <w:rFonts w:ascii="Times New Roman" w:hAnsi="Times New Roman"/>
                <w:b/>
                <w:bCs/>
              </w:rPr>
              <w:t>on this issue</w:t>
            </w:r>
            <w:r w:rsidR="00365121" w:rsidRPr="002F43F8">
              <w:rPr>
                <w:rFonts w:ascii="Times New Roman" w:hAnsi="Times New Roman"/>
                <w:b/>
                <w:bCs/>
              </w:rPr>
              <w:t>, and to also fulfil the ambition set out in the Arab League Declaration</w:t>
            </w:r>
            <w:r w:rsidRPr="002F43F8">
              <w:rPr>
                <w:rFonts w:ascii="Times New Roman" w:hAnsi="Times New Roman"/>
                <w:b/>
                <w:bCs/>
              </w:rPr>
              <w:t xml:space="preserve">? </w:t>
            </w:r>
          </w:p>
          <w:p w14:paraId="1826BF75" w14:textId="77777777" w:rsidR="00A15A72" w:rsidRPr="002F43F8" w:rsidRDefault="00A15A72" w:rsidP="00A15A72">
            <w:pPr>
              <w:pStyle w:val="ListParagraph"/>
              <w:spacing w:after="0"/>
              <w:ind w:left="0"/>
              <w:jc w:val="both"/>
              <w:rPr>
                <w:rFonts w:ascii="Times New Roman" w:hAnsi="Times New Roman"/>
                <w:b/>
                <w:bCs/>
              </w:rPr>
            </w:pPr>
          </w:p>
          <w:p w14:paraId="039728C5" w14:textId="3BACE8C9" w:rsidR="00A15A72" w:rsidRPr="002F43F8" w:rsidRDefault="00A15A72" w:rsidP="00130963">
            <w:pPr>
              <w:pStyle w:val="ListParagraph"/>
              <w:spacing w:after="0"/>
              <w:ind w:left="0"/>
              <w:jc w:val="both"/>
              <w:rPr>
                <w:rFonts w:ascii="Times New Roman" w:hAnsi="Times New Roman"/>
                <w:b/>
                <w:bCs/>
              </w:rPr>
            </w:pPr>
            <w:r w:rsidRPr="002F43F8">
              <w:rPr>
                <w:rFonts w:ascii="Times New Roman" w:hAnsi="Times New Roman"/>
                <w:b/>
                <w:bCs/>
              </w:rPr>
              <w:t xml:space="preserve">c. What necessary steps </w:t>
            </w:r>
            <w:r w:rsidR="78D40CA7" w:rsidRPr="002F43F8">
              <w:rPr>
                <w:rFonts w:ascii="Times New Roman" w:hAnsi="Times New Roman"/>
                <w:b/>
                <w:bCs/>
              </w:rPr>
              <w:t>is Kuwait</w:t>
            </w:r>
            <w:r w:rsidRPr="002F43F8">
              <w:rPr>
                <w:rFonts w:ascii="Times New Roman" w:hAnsi="Times New Roman"/>
                <w:b/>
                <w:bCs/>
              </w:rPr>
              <w:t xml:space="preserve"> taking to ensure that all children of </w:t>
            </w:r>
            <w:r w:rsidR="00FF7F65" w:rsidRPr="002F43F8">
              <w:rPr>
                <w:rFonts w:ascii="Times New Roman" w:hAnsi="Times New Roman"/>
                <w:b/>
                <w:bCs/>
              </w:rPr>
              <w:t>Kuwaiti</w:t>
            </w:r>
            <w:r w:rsidRPr="002F43F8">
              <w:rPr>
                <w:rFonts w:ascii="Times New Roman" w:hAnsi="Times New Roman"/>
                <w:b/>
                <w:bCs/>
              </w:rPr>
              <w:t xml:space="preserve"> women on their territory can access rights</w:t>
            </w:r>
            <w:r w:rsidR="00365121" w:rsidRPr="002F43F8">
              <w:rPr>
                <w:rFonts w:ascii="Times New Roman" w:hAnsi="Times New Roman"/>
                <w:b/>
                <w:bCs/>
              </w:rPr>
              <w:t xml:space="preserve"> on an equal basis</w:t>
            </w:r>
            <w:r w:rsidRPr="002F43F8">
              <w:rPr>
                <w:rFonts w:ascii="Times New Roman" w:hAnsi="Times New Roman"/>
                <w:b/>
                <w:bCs/>
              </w:rPr>
              <w:t xml:space="preserve">, especially </w:t>
            </w:r>
            <w:r w:rsidR="00365121" w:rsidRPr="002F43F8">
              <w:rPr>
                <w:rFonts w:ascii="Times New Roman" w:hAnsi="Times New Roman"/>
                <w:b/>
                <w:bCs/>
              </w:rPr>
              <w:t>in relation to access to education</w:t>
            </w:r>
            <w:r w:rsidRPr="002F43F8">
              <w:rPr>
                <w:rFonts w:ascii="Times New Roman" w:hAnsi="Times New Roman"/>
                <w:b/>
                <w:bCs/>
              </w:rPr>
              <w:t xml:space="preserve"> and healthcare</w:t>
            </w:r>
            <w:r w:rsidR="00FF7F65" w:rsidRPr="002F43F8">
              <w:rPr>
                <w:rFonts w:ascii="Times New Roman" w:hAnsi="Times New Roman"/>
                <w:b/>
                <w:bCs/>
              </w:rPr>
              <w:t>?</w:t>
            </w:r>
          </w:p>
        </w:tc>
      </w:tr>
    </w:tbl>
    <w:p w14:paraId="38838168" w14:textId="307DC2D7" w:rsidR="00A15A72" w:rsidRDefault="00A15A72" w:rsidP="00365121">
      <w:pPr>
        <w:pStyle w:val="ListParagraph"/>
        <w:spacing w:after="0"/>
        <w:ind w:left="426"/>
        <w:jc w:val="both"/>
        <w:rPr>
          <w:b/>
        </w:rPr>
      </w:pPr>
    </w:p>
    <w:p w14:paraId="63A8820D" w14:textId="456D3175" w:rsidR="00A84BD4" w:rsidRDefault="00A84BD4" w:rsidP="00365121">
      <w:pPr>
        <w:pStyle w:val="ListParagraph"/>
        <w:spacing w:after="0"/>
        <w:ind w:left="426"/>
        <w:jc w:val="both"/>
        <w:rPr>
          <w:b/>
        </w:rPr>
      </w:pPr>
    </w:p>
    <w:p w14:paraId="090F1CEA" w14:textId="77777777" w:rsidR="0013244C" w:rsidRPr="00D12967" w:rsidRDefault="0013244C" w:rsidP="00365121">
      <w:pPr>
        <w:pStyle w:val="ListParagraph"/>
        <w:spacing w:after="0"/>
        <w:ind w:left="426"/>
        <w:jc w:val="both"/>
        <w:rPr>
          <w:b/>
        </w:rPr>
      </w:pPr>
    </w:p>
    <w:p w14:paraId="1AE1536D" w14:textId="2AC0F102" w:rsidR="00180955" w:rsidRPr="002F43F8" w:rsidRDefault="00585D29" w:rsidP="00FD15B2">
      <w:pPr>
        <w:spacing w:line="276" w:lineRule="auto"/>
        <w:jc w:val="both"/>
        <w:rPr>
          <w:rFonts w:ascii="Helvetica" w:hAnsi="Helvetica"/>
          <w:b/>
          <w:bCs/>
          <w:color w:val="2C166F"/>
        </w:rPr>
      </w:pPr>
      <w:r>
        <w:rPr>
          <w:rFonts w:ascii="Helvetica" w:hAnsi="Helvetica"/>
          <w:b/>
          <w:bCs/>
          <w:color w:val="2C166F"/>
        </w:rPr>
        <w:t>The a</w:t>
      </w:r>
      <w:r w:rsidR="00180955" w:rsidRPr="002F43F8">
        <w:rPr>
          <w:rFonts w:ascii="Helvetica" w:hAnsi="Helvetica"/>
          <w:b/>
          <w:bCs/>
          <w:color w:val="2C166F"/>
        </w:rPr>
        <w:t xml:space="preserve">rbitrary </w:t>
      </w:r>
      <w:r>
        <w:rPr>
          <w:rFonts w:ascii="Helvetica" w:hAnsi="Helvetica"/>
          <w:b/>
          <w:bCs/>
          <w:color w:val="2C166F"/>
        </w:rPr>
        <w:t>d</w:t>
      </w:r>
      <w:r w:rsidR="00180955" w:rsidRPr="002F43F8">
        <w:rPr>
          <w:rFonts w:ascii="Helvetica" w:hAnsi="Helvetica"/>
          <w:b/>
          <w:bCs/>
          <w:color w:val="2C166F"/>
        </w:rPr>
        <w:t xml:space="preserve">eprivation of </w:t>
      </w:r>
      <w:r>
        <w:rPr>
          <w:rFonts w:ascii="Helvetica" w:hAnsi="Helvetica"/>
          <w:b/>
          <w:bCs/>
          <w:color w:val="2C166F"/>
        </w:rPr>
        <w:t>n</w:t>
      </w:r>
      <w:r w:rsidR="00180955" w:rsidRPr="002F43F8">
        <w:rPr>
          <w:rFonts w:ascii="Helvetica" w:hAnsi="Helvetica"/>
          <w:b/>
          <w:bCs/>
          <w:color w:val="2C166F"/>
        </w:rPr>
        <w:t xml:space="preserve">ationality </w:t>
      </w:r>
      <w:r>
        <w:rPr>
          <w:rFonts w:ascii="Helvetica" w:hAnsi="Helvetica"/>
          <w:b/>
          <w:bCs/>
          <w:color w:val="2C166F"/>
        </w:rPr>
        <w:t>and child rights</w:t>
      </w:r>
    </w:p>
    <w:p w14:paraId="514A40DB" w14:textId="77777777" w:rsidR="00180955" w:rsidRPr="00D12967" w:rsidRDefault="00180955" w:rsidP="00FD15B2">
      <w:pPr>
        <w:jc w:val="both"/>
      </w:pPr>
    </w:p>
    <w:p w14:paraId="1C843ECF" w14:textId="47CF8E6C" w:rsidR="00D315CA" w:rsidRPr="002F43F8" w:rsidRDefault="00CF5586" w:rsidP="0D1B1924">
      <w:pPr>
        <w:pStyle w:val="ListParagraph"/>
        <w:numPr>
          <w:ilvl w:val="0"/>
          <w:numId w:val="1"/>
        </w:numPr>
        <w:jc w:val="both"/>
        <w:rPr>
          <w:rFonts w:ascii="Times New Roman" w:hAnsi="Times New Roman"/>
          <w:b/>
          <w:bCs/>
        </w:rPr>
      </w:pPr>
      <w:r>
        <w:rPr>
          <w:rFonts w:ascii="Times New Roman" w:hAnsi="Times New Roman"/>
        </w:rPr>
        <w:t>A</w:t>
      </w:r>
      <w:r w:rsidR="00036FB1" w:rsidRPr="002F43F8">
        <w:rPr>
          <w:rFonts w:ascii="Times New Roman" w:hAnsi="Times New Roman"/>
        </w:rPr>
        <w:t>rticle 13 of the Kuwaiti Nationality Act</w:t>
      </w:r>
      <w:r>
        <w:rPr>
          <w:rFonts w:ascii="Times New Roman" w:hAnsi="Times New Roman"/>
        </w:rPr>
        <w:t xml:space="preserve"> </w:t>
      </w:r>
      <w:r w:rsidR="00036FB1" w:rsidRPr="002F43F8">
        <w:rPr>
          <w:rFonts w:ascii="Times New Roman" w:hAnsi="Times New Roman"/>
        </w:rPr>
        <w:t xml:space="preserve">provides overly broad and vague grounds for the </w:t>
      </w:r>
      <w:r w:rsidR="001F1E4C">
        <w:rPr>
          <w:rFonts w:ascii="Times New Roman" w:hAnsi="Times New Roman"/>
        </w:rPr>
        <w:t xml:space="preserve">deprivation </w:t>
      </w:r>
      <w:r w:rsidR="00036FB1" w:rsidRPr="002F43F8">
        <w:rPr>
          <w:rFonts w:ascii="Times New Roman" w:hAnsi="Times New Roman"/>
        </w:rPr>
        <w:t>of nationality</w:t>
      </w:r>
      <w:r>
        <w:rPr>
          <w:rFonts w:ascii="Times New Roman" w:hAnsi="Times New Roman"/>
        </w:rPr>
        <w:t xml:space="preserve"> of individuals and their dependents</w:t>
      </w:r>
      <w:r w:rsidR="00036FB1" w:rsidRPr="002F43F8">
        <w:rPr>
          <w:rFonts w:ascii="Times New Roman" w:hAnsi="Times New Roman"/>
        </w:rPr>
        <w:t>, allowing for arbitrary interpretation and abuse</w:t>
      </w:r>
      <w:r>
        <w:rPr>
          <w:rFonts w:ascii="Times New Roman" w:hAnsi="Times New Roman"/>
        </w:rPr>
        <w:t xml:space="preserve"> (targeting human rights defenders for example)</w:t>
      </w:r>
      <w:r w:rsidR="00036FB1" w:rsidRPr="002F43F8">
        <w:rPr>
          <w:rFonts w:ascii="Times New Roman" w:hAnsi="Times New Roman"/>
        </w:rPr>
        <w:t>.</w:t>
      </w:r>
      <w:r w:rsidR="00FD15B2" w:rsidRPr="002F43F8">
        <w:rPr>
          <w:rStyle w:val="FootnoteReference"/>
          <w:rFonts w:ascii="Times New Roman" w:hAnsi="Times New Roman"/>
        </w:rPr>
        <w:footnoteReference w:id="36"/>
      </w:r>
      <w:r w:rsidR="00036FB1" w:rsidRPr="002F43F8">
        <w:rPr>
          <w:rFonts w:ascii="Times New Roman" w:hAnsi="Times New Roman"/>
        </w:rPr>
        <w:t xml:space="preserve"> </w:t>
      </w:r>
      <w:r w:rsidR="0056029D">
        <w:rPr>
          <w:rFonts w:ascii="Times New Roman" w:hAnsi="Times New Roman"/>
        </w:rPr>
        <w:t>A</w:t>
      </w:r>
      <w:r w:rsidR="00036FB1" w:rsidRPr="002F43F8">
        <w:rPr>
          <w:rFonts w:ascii="Times New Roman" w:hAnsi="Times New Roman"/>
        </w:rPr>
        <w:t>cts which “</w:t>
      </w:r>
      <w:r w:rsidR="00036FB1" w:rsidRPr="00CF5586">
        <w:rPr>
          <w:rFonts w:ascii="Times New Roman" w:hAnsi="Times New Roman"/>
          <w:i/>
          <w:iCs/>
        </w:rPr>
        <w:t>involve the higher interests of the State or its foreign security</w:t>
      </w:r>
      <w:r w:rsidR="00036FB1" w:rsidRPr="002F43F8">
        <w:rPr>
          <w:rFonts w:ascii="Times New Roman" w:hAnsi="Times New Roman"/>
        </w:rPr>
        <w:t xml:space="preserve">”, or </w:t>
      </w:r>
      <w:r w:rsidR="001F1E4C">
        <w:rPr>
          <w:rFonts w:ascii="Times New Roman" w:hAnsi="Times New Roman"/>
        </w:rPr>
        <w:t xml:space="preserve">where </w:t>
      </w:r>
      <w:r w:rsidR="00036FB1" w:rsidRPr="002F43F8">
        <w:rPr>
          <w:rFonts w:ascii="Times New Roman" w:hAnsi="Times New Roman"/>
        </w:rPr>
        <w:t>the authorities consider the individual has “</w:t>
      </w:r>
      <w:r w:rsidR="00036FB1" w:rsidRPr="00CF5586">
        <w:rPr>
          <w:rFonts w:ascii="Times New Roman" w:hAnsi="Times New Roman"/>
          <w:i/>
          <w:iCs/>
        </w:rPr>
        <w:t>promoted principles that will undermine the social or economic system of the country</w:t>
      </w:r>
      <w:r w:rsidR="00036FB1" w:rsidRPr="002F43F8">
        <w:rPr>
          <w:rFonts w:ascii="Times New Roman" w:hAnsi="Times New Roman"/>
        </w:rPr>
        <w:t>”</w:t>
      </w:r>
      <w:r w:rsidR="0056029D">
        <w:rPr>
          <w:rFonts w:ascii="Times New Roman" w:hAnsi="Times New Roman"/>
        </w:rPr>
        <w:t xml:space="preserve"> can result in citizenship deprivation</w:t>
      </w:r>
      <w:r w:rsidR="00036FB1" w:rsidRPr="002F43F8">
        <w:rPr>
          <w:rFonts w:ascii="Times New Roman" w:hAnsi="Times New Roman"/>
        </w:rPr>
        <w:t xml:space="preserve">. Such decisions are made with no regard for due </w:t>
      </w:r>
      <w:r w:rsidR="00F201EE" w:rsidRPr="002F43F8">
        <w:rPr>
          <w:rFonts w:ascii="Times New Roman" w:hAnsi="Times New Roman"/>
        </w:rPr>
        <w:t>process and</w:t>
      </w:r>
      <w:r w:rsidR="00036FB1" w:rsidRPr="002F43F8">
        <w:rPr>
          <w:rFonts w:ascii="Times New Roman" w:hAnsi="Times New Roman"/>
        </w:rPr>
        <w:t xml:space="preserve"> are not subject to judicial or administrative </w:t>
      </w:r>
      <w:r w:rsidR="001F1E4C">
        <w:rPr>
          <w:rFonts w:ascii="Times New Roman" w:hAnsi="Times New Roman"/>
        </w:rPr>
        <w:t>oversight. They</w:t>
      </w:r>
      <w:r w:rsidR="0056029D">
        <w:rPr>
          <w:rFonts w:ascii="Times New Roman" w:hAnsi="Times New Roman"/>
        </w:rPr>
        <w:t xml:space="preserve"> contravene international standards, as articulated in the Principles on Deprivation of Nationality as a National Security Measure.</w:t>
      </w:r>
      <w:r w:rsidR="0056029D">
        <w:rPr>
          <w:rStyle w:val="FootnoteReference"/>
          <w:rFonts w:ascii="Times New Roman" w:hAnsi="Times New Roman"/>
        </w:rPr>
        <w:footnoteReference w:id="37"/>
      </w:r>
      <w:r w:rsidR="0056029D">
        <w:rPr>
          <w:rFonts w:ascii="Times New Roman" w:hAnsi="Times New Roman"/>
        </w:rPr>
        <w:t xml:space="preserve"> </w:t>
      </w:r>
      <w:r w:rsidR="00036FB1" w:rsidRPr="002F43F8">
        <w:rPr>
          <w:rFonts w:ascii="Times New Roman" w:hAnsi="Times New Roman"/>
        </w:rPr>
        <w:t xml:space="preserve"> It has been reported that between 2014 and 2016, at least 120 people, including a newspaper publisher, were arbitrarily deprived of their nationality.</w:t>
      </w:r>
      <w:r w:rsidR="001F6093" w:rsidRPr="002F43F8">
        <w:rPr>
          <w:rStyle w:val="FootnoteReference"/>
          <w:rFonts w:ascii="Times New Roman" w:hAnsi="Times New Roman"/>
        </w:rPr>
        <w:footnoteReference w:id="38"/>
      </w:r>
    </w:p>
    <w:p w14:paraId="4604166E" w14:textId="77777777" w:rsidR="00365121" w:rsidRPr="002F43F8" w:rsidRDefault="00365121" w:rsidP="00365121">
      <w:pPr>
        <w:pStyle w:val="ListParagraph"/>
        <w:ind w:left="360"/>
        <w:jc w:val="both"/>
        <w:rPr>
          <w:rFonts w:ascii="Times New Roman" w:hAnsi="Times New Roman"/>
          <w:b/>
          <w:bCs/>
        </w:rPr>
      </w:pPr>
    </w:p>
    <w:p w14:paraId="28A6FD9B" w14:textId="36161ACC" w:rsidR="00D315CA" w:rsidRPr="0056029D" w:rsidRDefault="00036FB1" w:rsidP="2E14E205">
      <w:pPr>
        <w:pStyle w:val="ListParagraph"/>
        <w:numPr>
          <w:ilvl w:val="0"/>
          <w:numId w:val="1"/>
        </w:numPr>
        <w:jc w:val="both"/>
        <w:rPr>
          <w:rFonts w:ascii="Times New Roman" w:hAnsi="Times New Roman"/>
          <w:b/>
          <w:bCs/>
        </w:rPr>
      </w:pPr>
      <w:r w:rsidRPr="002F43F8">
        <w:rPr>
          <w:rFonts w:ascii="Times New Roman" w:hAnsi="Times New Roman"/>
        </w:rPr>
        <w:t xml:space="preserve"> It remains unclear how many additional persons have been </w:t>
      </w:r>
      <w:r w:rsidR="001F1E4C">
        <w:rPr>
          <w:rFonts w:ascii="Times New Roman" w:hAnsi="Times New Roman"/>
        </w:rPr>
        <w:t>deprived of nationality</w:t>
      </w:r>
      <w:r w:rsidRPr="002F43F8">
        <w:rPr>
          <w:rFonts w:ascii="Times New Roman" w:hAnsi="Times New Roman"/>
        </w:rPr>
        <w:t xml:space="preserve"> since 2016.</w:t>
      </w:r>
      <w:r w:rsidR="00F201EE" w:rsidRPr="002F43F8">
        <w:rPr>
          <w:rFonts w:ascii="Times New Roman" w:hAnsi="Times New Roman"/>
        </w:rPr>
        <w:t xml:space="preserve"> This practice has a detrimental effect on the enjoyment not only </w:t>
      </w:r>
      <w:r w:rsidR="001F1E4C">
        <w:rPr>
          <w:rFonts w:ascii="Times New Roman" w:hAnsi="Times New Roman"/>
        </w:rPr>
        <w:t>on</w:t>
      </w:r>
      <w:r w:rsidR="00F201EE" w:rsidRPr="002F43F8">
        <w:rPr>
          <w:rFonts w:ascii="Times New Roman" w:hAnsi="Times New Roman"/>
        </w:rPr>
        <w:t xml:space="preserve"> the </w:t>
      </w:r>
      <w:r w:rsidR="001F1E4C">
        <w:rPr>
          <w:rFonts w:ascii="Times New Roman" w:hAnsi="Times New Roman"/>
        </w:rPr>
        <w:t xml:space="preserve">child’s </w:t>
      </w:r>
      <w:r w:rsidR="00F201EE" w:rsidRPr="002F43F8">
        <w:rPr>
          <w:rFonts w:ascii="Times New Roman" w:hAnsi="Times New Roman"/>
        </w:rPr>
        <w:t>right to a nationality</w:t>
      </w:r>
      <w:r w:rsidR="001F1E4C">
        <w:rPr>
          <w:rFonts w:ascii="Times New Roman" w:hAnsi="Times New Roman"/>
        </w:rPr>
        <w:t xml:space="preserve">, where their </w:t>
      </w:r>
      <w:r w:rsidR="00F201EE" w:rsidRPr="002F43F8">
        <w:rPr>
          <w:rFonts w:ascii="Times New Roman" w:hAnsi="Times New Roman"/>
        </w:rPr>
        <w:t xml:space="preserve">parents have been stripped of citizenship but also of other rights under the CRC such as </w:t>
      </w:r>
      <w:r w:rsidR="00365121" w:rsidRPr="002F43F8">
        <w:rPr>
          <w:rFonts w:ascii="Times New Roman" w:hAnsi="Times New Roman"/>
        </w:rPr>
        <w:t xml:space="preserve">the right </w:t>
      </w:r>
      <w:r w:rsidR="00F201EE" w:rsidRPr="002F43F8">
        <w:rPr>
          <w:rFonts w:ascii="Times New Roman" w:hAnsi="Times New Roman"/>
        </w:rPr>
        <w:t>to health</w:t>
      </w:r>
      <w:r w:rsidR="00365121" w:rsidRPr="002F43F8">
        <w:rPr>
          <w:rFonts w:ascii="Times New Roman" w:hAnsi="Times New Roman"/>
        </w:rPr>
        <w:t>care</w:t>
      </w:r>
      <w:r w:rsidR="00F201EE" w:rsidRPr="002F43F8">
        <w:rPr>
          <w:rFonts w:ascii="Times New Roman" w:hAnsi="Times New Roman"/>
        </w:rPr>
        <w:t xml:space="preserve"> (Article 24) </w:t>
      </w:r>
      <w:r w:rsidR="00365121" w:rsidRPr="002F43F8">
        <w:rPr>
          <w:rFonts w:ascii="Times New Roman" w:hAnsi="Times New Roman"/>
        </w:rPr>
        <w:t>to the right to</w:t>
      </w:r>
      <w:r w:rsidR="00F201EE" w:rsidRPr="002F43F8">
        <w:rPr>
          <w:rFonts w:ascii="Times New Roman" w:hAnsi="Times New Roman"/>
        </w:rPr>
        <w:t xml:space="preserve"> education (Article 28)</w:t>
      </w:r>
      <w:r w:rsidR="00365121" w:rsidRPr="002F43F8">
        <w:rPr>
          <w:rFonts w:ascii="Times New Roman" w:hAnsi="Times New Roman"/>
        </w:rPr>
        <w:t xml:space="preserve"> and the right to privacy, family and home (Article 16)</w:t>
      </w:r>
      <w:r w:rsidR="00F201EE" w:rsidRPr="002F43F8">
        <w:rPr>
          <w:rFonts w:ascii="Times New Roman" w:hAnsi="Times New Roman"/>
        </w:rPr>
        <w:t xml:space="preserve">. </w:t>
      </w:r>
      <w:r w:rsidR="0056029D">
        <w:rPr>
          <w:rFonts w:ascii="Times New Roman" w:hAnsi="Times New Roman"/>
        </w:rPr>
        <w:t>Further, it must be noted that:</w:t>
      </w:r>
    </w:p>
    <w:p w14:paraId="2CEFFAAE" w14:textId="77777777" w:rsidR="0056029D" w:rsidRPr="0013244C" w:rsidRDefault="0056029D" w:rsidP="0056029D">
      <w:pPr>
        <w:pStyle w:val="ListParagraph"/>
        <w:rPr>
          <w:rFonts w:ascii="Times New Roman" w:hAnsi="Times New Roman"/>
          <w:b/>
          <w:bCs/>
        </w:rPr>
      </w:pPr>
    </w:p>
    <w:p w14:paraId="7B1B3560" w14:textId="77777777" w:rsidR="001F1E4C" w:rsidRDefault="0056029D" w:rsidP="0056029D">
      <w:pPr>
        <w:pStyle w:val="ListParagraph"/>
        <w:jc w:val="both"/>
        <w:rPr>
          <w:rFonts w:ascii="Times New Roman" w:hAnsi="Times New Roman"/>
          <w:i/>
          <w:iCs/>
        </w:rPr>
      </w:pPr>
      <w:r w:rsidRPr="0013244C">
        <w:rPr>
          <w:rFonts w:ascii="Times New Roman" w:hAnsi="Times New Roman"/>
          <w:i/>
          <w:iCs/>
        </w:rPr>
        <w:t>“States must protect the rights of the child and the best interests of the child must be a primary consideration in all proceedings affecting the nationality of children, their parents and other family members;”</w:t>
      </w:r>
    </w:p>
    <w:p w14:paraId="3080F388" w14:textId="1893D9E7" w:rsidR="0056029D" w:rsidRPr="001F1E4C" w:rsidRDefault="0056029D" w:rsidP="001F1E4C">
      <w:pPr>
        <w:ind w:left="284"/>
        <w:jc w:val="both"/>
        <w:rPr>
          <w:rFonts w:ascii="Times New Roman" w:hAnsi="Times New Roman"/>
        </w:rPr>
      </w:pPr>
      <w:r w:rsidRPr="001F1E4C">
        <w:rPr>
          <w:rFonts w:ascii="Times New Roman" w:hAnsi="Times New Roman"/>
        </w:rPr>
        <w:t xml:space="preserve">and that </w:t>
      </w:r>
      <w:r w:rsidRPr="001F1E4C">
        <w:rPr>
          <w:rFonts w:ascii="Times New Roman" w:hAnsi="Times New Roman"/>
          <w:i/>
          <w:iCs/>
        </w:rPr>
        <w:t>“the derivative deprivation of nationality is prohibited</w:t>
      </w:r>
      <w:r w:rsidRPr="001F1E4C">
        <w:rPr>
          <w:rFonts w:ascii="Times New Roman" w:hAnsi="Times New Roman"/>
        </w:rPr>
        <w:t>” under international law.</w:t>
      </w:r>
      <w:r w:rsidRPr="0013244C">
        <w:rPr>
          <w:rStyle w:val="FootnoteReference"/>
          <w:rFonts w:ascii="Times New Roman" w:hAnsi="Times New Roman"/>
        </w:rPr>
        <w:footnoteReference w:id="39"/>
      </w:r>
    </w:p>
    <w:p w14:paraId="7B245B4F" w14:textId="77777777" w:rsidR="00CC66AC" w:rsidRPr="0013244C" w:rsidRDefault="00CC66AC" w:rsidP="00130963">
      <w:pPr>
        <w:pStyle w:val="ListParagraph"/>
        <w:ind w:left="360"/>
        <w:jc w:val="both"/>
        <w:rPr>
          <w:rFonts w:ascii="Times New Roman" w:hAnsi="Times New Roman"/>
          <w:b/>
        </w:rPr>
      </w:pPr>
    </w:p>
    <w:tbl>
      <w:tblPr>
        <w:tblStyle w:val="TableGrid"/>
        <w:tblW w:w="0" w:type="auto"/>
        <w:tblInd w:w="360" w:type="dxa"/>
        <w:tblLook w:val="04A0" w:firstRow="1" w:lastRow="0" w:firstColumn="1" w:lastColumn="0" w:noHBand="0" w:noVBand="1"/>
      </w:tblPr>
      <w:tblGrid>
        <w:gridCol w:w="8656"/>
      </w:tblGrid>
      <w:tr w:rsidR="007D00FD" w:rsidRPr="002F43F8" w14:paraId="0C304B00" w14:textId="77777777" w:rsidTr="0D1B1924">
        <w:tc>
          <w:tcPr>
            <w:tcW w:w="9016" w:type="dxa"/>
          </w:tcPr>
          <w:p w14:paraId="7C57E737" w14:textId="77777777" w:rsidR="00CC66AC" w:rsidRPr="002F43F8" w:rsidRDefault="00CC66AC" w:rsidP="000E0AD1">
            <w:pPr>
              <w:pStyle w:val="ListParagraph"/>
              <w:numPr>
                <w:ilvl w:val="0"/>
                <w:numId w:val="1"/>
              </w:numPr>
              <w:ind w:left="0" w:firstLine="0"/>
              <w:jc w:val="both"/>
              <w:rPr>
                <w:rFonts w:ascii="Times New Roman" w:hAnsi="Times New Roman"/>
                <w:b/>
                <w:bCs/>
              </w:rPr>
            </w:pPr>
            <w:r w:rsidRPr="002F43F8">
              <w:rPr>
                <w:rFonts w:ascii="Times New Roman" w:hAnsi="Times New Roman"/>
                <w:b/>
                <w:bCs/>
              </w:rPr>
              <w:t xml:space="preserve">In light of the government’s punitive deprivation of nationality of Kuwaiti nationals, the Committee is urged to ask Kuwait: </w:t>
            </w:r>
          </w:p>
          <w:p w14:paraId="77C86AD1" w14:textId="77777777" w:rsidR="00CC66AC" w:rsidRPr="002F43F8" w:rsidRDefault="00CC66AC" w:rsidP="00CC66AC">
            <w:pPr>
              <w:pStyle w:val="ListParagraph"/>
              <w:ind w:left="0"/>
              <w:jc w:val="both"/>
              <w:rPr>
                <w:rFonts w:ascii="Times New Roman" w:hAnsi="Times New Roman"/>
                <w:b/>
                <w:bCs/>
              </w:rPr>
            </w:pPr>
          </w:p>
          <w:p w14:paraId="785A2AC1" w14:textId="221DE22D" w:rsidR="00CC66AC" w:rsidRPr="002F43F8" w:rsidRDefault="00CC66AC" w:rsidP="00CC66AC">
            <w:pPr>
              <w:pStyle w:val="ListParagraph"/>
              <w:ind w:left="0"/>
              <w:jc w:val="both"/>
              <w:rPr>
                <w:rFonts w:ascii="Times New Roman" w:hAnsi="Times New Roman"/>
                <w:b/>
                <w:bCs/>
              </w:rPr>
            </w:pPr>
            <w:r w:rsidRPr="002F43F8">
              <w:rPr>
                <w:rFonts w:ascii="Times New Roman" w:hAnsi="Times New Roman"/>
                <w:b/>
                <w:bCs/>
              </w:rPr>
              <w:t xml:space="preserve">a. How many children have been born stateless as a result of their parents being deprived of their Kuwaiti nationality? </w:t>
            </w:r>
          </w:p>
          <w:p w14:paraId="311BEA69" w14:textId="77777777" w:rsidR="00CC66AC" w:rsidRPr="002F43F8" w:rsidRDefault="00CC66AC" w:rsidP="00CC66AC">
            <w:pPr>
              <w:pStyle w:val="ListParagraph"/>
              <w:ind w:left="0"/>
              <w:jc w:val="both"/>
              <w:rPr>
                <w:rFonts w:ascii="Times New Roman" w:hAnsi="Times New Roman"/>
                <w:b/>
                <w:bCs/>
              </w:rPr>
            </w:pPr>
          </w:p>
          <w:p w14:paraId="0AF623A4" w14:textId="77777777" w:rsidR="000E5C7F" w:rsidRPr="002F43F8" w:rsidRDefault="00CC66AC" w:rsidP="00CC66AC">
            <w:pPr>
              <w:pStyle w:val="ListParagraph"/>
              <w:ind w:left="0"/>
              <w:jc w:val="both"/>
              <w:rPr>
                <w:rFonts w:ascii="Times New Roman" w:hAnsi="Times New Roman"/>
                <w:b/>
                <w:bCs/>
              </w:rPr>
            </w:pPr>
            <w:r w:rsidRPr="002F43F8">
              <w:rPr>
                <w:rFonts w:ascii="Times New Roman" w:hAnsi="Times New Roman"/>
                <w:b/>
                <w:bCs/>
              </w:rPr>
              <w:t xml:space="preserve">b. </w:t>
            </w:r>
            <w:r w:rsidR="000E5C7F" w:rsidRPr="002F43F8">
              <w:rPr>
                <w:rFonts w:ascii="Times New Roman" w:hAnsi="Times New Roman"/>
                <w:b/>
                <w:bCs/>
              </w:rPr>
              <w:t>What impact do such deprivation measures have on other child rights including the right to privacy, family and home?</w:t>
            </w:r>
          </w:p>
          <w:p w14:paraId="3838DDBD" w14:textId="77777777" w:rsidR="000E5C7F" w:rsidRPr="002F43F8" w:rsidRDefault="000E5C7F" w:rsidP="00CC66AC">
            <w:pPr>
              <w:pStyle w:val="ListParagraph"/>
              <w:ind w:left="0"/>
              <w:jc w:val="both"/>
              <w:rPr>
                <w:rFonts w:ascii="Times New Roman" w:hAnsi="Times New Roman"/>
                <w:b/>
                <w:bCs/>
              </w:rPr>
            </w:pPr>
          </w:p>
          <w:p w14:paraId="1D398CE7" w14:textId="006BF5C1" w:rsidR="00CC66AC" w:rsidRPr="002F43F8" w:rsidRDefault="000E5C7F" w:rsidP="00CC66AC">
            <w:pPr>
              <w:pStyle w:val="ListParagraph"/>
              <w:ind w:left="0"/>
              <w:jc w:val="both"/>
              <w:rPr>
                <w:rFonts w:ascii="Times New Roman" w:hAnsi="Times New Roman"/>
                <w:b/>
                <w:bCs/>
              </w:rPr>
            </w:pPr>
            <w:r w:rsidRPr="002F43F8">
              <w:rPr>
                <w:rFonts w:ascii="Times New Roman" w:hAnsi="Times New Roman"/>
                <w:b/>
                <w:bCs/>
              </w:rPr>
              <w:t xml:space="preserve">c. </w:t>
            </w:r>
            <w:r w:rsidR="00CC66AC" w:rsidRPr="002F43F8">
              <w:rPr>
                <w:rFonts w:ascii="Times New Roman" w:hAnsi="Times New Roman"/>
                <w:b/>
                <w:bCs/>
              </w:rPr>
              <w:t>Is there a safeguard against statelessness to protect these children</w:t>
            </w:r>
            <w:r w:rsidR="00365121" w:rsidRPr="002F43F8">
              <w:rPr>
                <w:rFonts w:ascii="Times New Roman" w:hAnsi="Times New Roman"/>
                <w:b/>
                <w:bCs/>
              </w:rPr>
              <w:t>’s right to acquire and preserve their nationality</w:t>
            </w:r>
            <w:r w:rsidR="00CC66AC" w:rsidRPr="002F43F8">
              <w:rPr>
                <w:rFonts w:ascii="Times New Roman" w:hAnsi="Times New Roman"/>
                <w:b/>
                <w:bCs/>
              </w:rPr>
              <w:t>?</w:t>
            </w:r>
          </w:p>
          <w:p w14:paraId="071AE6BD" w14:textId="684CBA47" w:rsidR="00CC66AC" w:rsidRPr="002F43F8" w:rsidRDefault="00CC66AC" w:rsidP="00CC66AC">
            <w:pPr>
              <w:pStyle w:val="ListParagraph"/>
              <w:ind w:left="0"/>
              <w:jc w:val="both"/>
              <w:rPr>
                <w:rFonts w:ascii="Times New Roman" w:hAnsi="Times New Roman"/>
                <w:b/>
                <w:bCs/>
              </w:rPr>
            </w:pPr>
          </w:p>
          <w:p w14:paraId="41FFC4DE" w14:textId="48BF9F04" w:rsidR="007D00FD" w:rsidRPr="002F43F8" w:rsidRDefault="000E5C7F" w:rsidP="00130963">
            <w:pPr>
              <w:pStyle w:val="ListParagraph"/>
              <w:ind w:left="0"/>
              <w:jc w:val="both"/>
              <w:rPr>
                <w:rFonts w:ascii="Times New Roman" w:hAnsi="Times New Roman"/>
                <w:b/>
                <w:bCs/>
              </w:rPr>
            </w:pPr>
            <w:r w:rsidRPr="002F43F8">
              <w:rPr>
                <w:rFonts w:ascii="Times New Roman" w:hAnsi="Times New Roman"/>
                <w:b/>
                <w:bCs/>
              </w:rPr>
              <w:t>d</w:t>
            </w:r>
            <w:r w:rsidR="00CC66AC" w:rsidRPr="002F43F8">
              <w:rPr>
                <w:rFonts w:ascii="Times New Roman" w:hAnsi="Times New Roman"/>
                <w:b/>
                <w:bCs/>
              </w:rPr>
              <w:t>. What steps is Kuwait taking to ensure that no child will be deprived or denied their right to acquire and preserve their nationality, in situations where a parent has been deprived of nationality?</w:t>
            </w:r>
          </w:p>
        </w:tc>
      </w:tr>
    </w:tbl>
    <w:p w14:paraId="5B1BC694" w14:textId="529225A8" w:rsidR="00A84BD4" w:rsidRDefault="00A84BD4" w:rsidP="00FD15B2">
      <w:pPr>
        <w:spacing w:line="276" w:lineRule="auto"/>
        <w:jc w:val="both"/>
        <w:rPr>
          <w:rFonts w:ascii="Helvetica" w:hAnsi="Helvetica"/>
          <w:b/>
          <w:bCs/>
          <w:color w:val="2C166F"/>
        </w:rPr>
      </w:pPr>
    </w:p>
    <w:p w14:paraId="4BBB7E50" w14:textId="23D4F475" w:rsidR="00A84BD4" w:rsidRDefault="00A84BD4" w:rsidP="00FD15B2">
      <w:pPr>
        <w:spacing w:line="276" w:lineRule="auto"/>
        <w:jc w:val="both"/>
        <w:rPr>
          <w:rFonts w:ascii="Helvetica" w:hAnsi="Helvetica"/>
          <w:b/>
          <w:bCs/>
          <w:color w:val="2C166F"/>
        </w:rPr>
      </w:pPr>
    </w:p>
    <w:p w14:paraId="3BB2EFDD" w14:textId="77777777" w:rsidR="0013244C" w:rsidRDefault="0013244C" w:rsidP="00FD15B2">
      <w:pPr>
        <w:spacing w:line="276" w:lineRule="auto"/>
        <w:jc w:val="both"/>
        <w:rPr>
          <w:rFonts w:ascii="Helvetica" w:hAnsi="Helvetica"/>
          <w:b/>
          <w:bCs/>
          <w:color w:val="2C166F"/>
        </w:rPr>
      </w:pPr>
    </w:p>
    <w:p w14:paraId="489E3164" w14:textId="7B7BE561" w:rsidR="005A54D5" w:rsidRPr="002F43F8" w:rsidRDefault="005A54D5" w:rsidP="00FD15B2">
      <w:pPr>
        <w:spacing w:line="276" w:lineRule="auto"/>
        <w:jc w:val="both"/>
        <w:rPr>
          <w:rFonts w:ascii="Helvetica" w:hAnsi="Helvetica"/>
          <w:b/>
          <w:bCs/>
          <w:color w:val="2C166F"/>
        </w:rPr>
      </w:pPr>
      <w:r w:rsidRPr="002F43F8">
        <w:rPr>
          <w:rFonts w:ascii="Helvetica" w:hAnsi="Helvetica"/>
          <w:b/>
          <w:bCs/>
          <w:color w:val="2C166F"/>
        </w:rPr>
        <w:t>Recommendations</w:t>
      </w:r>
    </w:p>
    <w:p w14:paraId="77D9A5DD" w14:textId="77777777" w:rsidR="005A54D5" w:rsidRPr="00D12967" w:rsidRDefault="005A54D5" w:rsidP="00FD15B2">
      <w:pPr>
        <w:spacing w:line="276" w:lineRule="auto"/>
        <w:jc w:val="both"/>
        <w:rPr>
          <w:rFonts w:cs="Arial"/>
          <w:sz w:val="20"/>
          <w:szCs w:val="20"/>
        </w:rPr>
      </w:pPr>
    </w:p>
    <w:p w14:paraId="33284CDA" w14:textId="244B8E95" w:rsidR="005A54D5" w:rsidRPr="002F43F8" w:rsidRDefault="000E5C7F" w:rsidP="00C27A18">
      <w:pPr>
        <w:pStyle w:val="ListParagraph"/>
        <w:numPr>
          <w:ilvl w:val="0"/>
          <w:numId w:val="1"/>
        </w:numPr>
        <w:spacing w:after="0"/>
        <w:jc w:val="both"/>
        <w:rPr>
          <w:rFonts w:ascii="Times New Roman" w:hAnsi="Times New Roman"/>
        </w:rPr>
      </w:pPr>
      <w:r w:rsidRPr="002F43F8">
        <w:rPr>
          <w:rFonts w:ascii="Times New Roman" w:hAnsi="Times New Roman"/>
        </w:rPr>
        <w:t xml:space="preserve">The co-submitting organisations urge the Committee to </w:t>
      </w:r>
      <w:r w:rsidR="00CC66AC" w:rsidRPr="002F43F8">
        <w:rPr>
          <w:rFonts w:ascii="Times New Roman" w:hAnsi="Times New Roman"/>
        </w:rPr>
        <w:t xml:space="preserve">address the multifaceted issue of </w:t>
      </w:r>
      <w:r w:rsidRPr="002F43F8">
        <w:rPr>
          <w:rFonts w:ascii="Times New Roman" w:hAnsi="Times New Roman"/>
        </w:rPr>
        <w:t xml:space="preserve">the deprivation of the child’s right to a nationality and the rights of </w:t>
      </w:r>
      <w:r w:rsidR="00CC66AC" w:rsidRPr="002F43F8">
        <w:rPr>
          <w:rFonts w:ascii="Times New Roman" w:hAnsi="Times New Roman"/>
        </w:rPr>
        <w:t xml:space="preserve">stateless children in Kuwait, </w:t>
      </w:r>
      <w:r w:rsidRPr="002F43F8">
        <w:rPr>
          <w:rFonts w:ascii="Times New Roman" w:hAnsi="Times New Roman"/>
        </w:rPr>
        <w:t>and to consider making the following recommendations to the State party</w:t>
      </w:r>
      <w:r w:rsidR="00CC66AC" w:rsidRPr="002F43F8">
        <w:rPr>
          <w:rFonts w:ascii="Times New Roman" w:hAnsi="Times New Roman"/>
        </w:rPr>
        <w:t>:</w:t>
      </w:r>
    </w:p>
    <w:p w14:paraId="1D64E4B0" w14:textId="77777777" w:rsidR="00CC66AC" w:rsidRPr="002F43F8" w:rsidRDefault="00CC66AC">
      <w:pPr>
        <w:pStyle w:val="ListParagraph"/>
        <w:spacing w:after="0"/>
        <w:ind w:left="360"/>
        <w:jc w:val="both"/>
        <w:rPr>
          <w:rFonts w:ascii="Times New Roman" w:hAnsi="Times New Roman"/>
        </w:rPr>
      </w:pPr>
    </w:p>
    <w:p w14:paraId="5E749E08" w14:textId="01A9A95F" w:rsidR="00CC66AC" w:rsidRPr="002F43F8" w:rsidRDefault="00CC66AC" w:rsidP="0013244C">
      <w:pPr>
        <w:pStyle w:val="CommentText"/>
        <w:ind w:left="426"/>
        <w:jc w:val="both"/>
        <w:rPr>
          <w:rFonts w:ascii="Times New Roman" w:hAnsi="Times New Roman"/>
          <w:b/>
          <w:bCs/>
          <w:sz w:val="22"/>
          <w:szCs w:val="22"/>
        </w:rPr>
      </w:pPr>
      <w:r w:rsidRPr="002F43F8">
        <w:rPr>
          <w:rFonts w:ascii="Times New Roman" w:hAnsi="Times New Roman"/>
          <w:b/>
          <w:bCs/>
          <w:sz w:val="22"/>
          <w:szCs w:val="22"/>
        </w:rPr>
        <w:t xml:space="preserve">I. </w:t>
      </w:r>
      <w:r w:rsidR="00FF7F65" w:rsidRPr="002F43F8">
        <w:rPr>
          <w:rFonts w:ascii="Times New Roman" w:hAnsi="Times New Roman"/>
          <w:b/>
          <w:bCs/>
          <w:sz w:val="22"/>
          <w:szCs w:val="22"/>
        </w:rPr>
        <w:t xml:space="preserve">Respect, protect and fulfil the right to nationality of Bidoon </w:t>
      </w:r>
      <w:r w:rsidRPr="002F43F8">
        <w:rPr>
          <w:rFonts w:ascii="Times New Roman" w:hAnsi="Times New Roman"/>
          <w:b/>
          <w:bCs/>
          <w:sz w:val="22"/>
          <w:szCs w:val="22"/>
        </w:rPr>
        <w:t>children</w:t>
      </w:r>
      <w:r w:rsidR="00FF7F65" w:rsidRPr="002F43F8">
        <w:rPr>
          <w:rFonts w:ascii="Times New Roman" w:hAnsi="Times New Roman"/>
          <w:b/>
          <w:bCs/>
          <w:sz w:val="22"/>
          <w:szCs w:val="22"/>
        </w:rPr>
        <w:t xml:space="preserve"> </w:t>
      </w:r>
      <w:r w:rsidR="00F57B77" w:rsidRPr="002F43F8">
        <w:rPr>
          <w:rFonts w:ascii="Times New Roman" w:hAnsi="Times New Roman"/>
          <w:b/>
          <w:bCs/>
          <w:sz w:val="22"/>
          <w:szCs w:val="22"/>
        </w:rPr>
        <w:t xml:space="preserve">without discrimination </w:t>
      </w:r>
      <w:r w:rsidR="00FF7F65" w:rsidRPr="002F43F8">
        <w:rPr>
          <w:rFonts w:ascii="Times New Roman" w:hAnsi="Times New Roman"/>
          <w:b/>
          <w:bCs/>
          <w:sz w:val="22"/>
          <w:szCs w:val="22"/>
        </w:rPr>
        <w:t xml:space="preserve">by </w:t>
      </w:r>
      <w:r w:rsidR="00F57B77" w:rsidRPr="002F43F8">
        <w:rPr>
          <w:rFonts w:ascii="Times New Roman" w:hAnsi="Times New Roman"/>
          <w:b/>
          <w:bCs/>
          <w:sz w:val="22"/>
          <w:szCs w:val="22"/>
        </w:rPr>
        <w:t xml:space="preserve">providing them with birth certificates, </w:t>
      </w:r>
      <w:r w:rsidR="00FF7F65" w:rsidRPr="002F43F8">
        <w:rPr>
          <w:rFonts w:ascii="Times New Roman" w:hAnsi="Times New Roman"/>
          <w:b/>
          <w:bCs/>
          <w:sz w:val="22"/>
          <w:szCs w:val="22"/>
        </w:rPr>
        <w:t>granting them citizenship and taking further measures to ensure appropriate protections of their rights</w:t>
      </w:r>
      <w:r w:rsidR="00A12517" w:rsidRPr="002F43F8">
        <w:rPr>
          <w:rFonts w:ascii="Times New Roman" w:hAnsi="Times New Roman"/>
          <w:b/>
          <w:bCs/>
          <w:sz w:val="22"/>
          <w:szCs w:val="22"/>
        </w:rPr>
        <w:t>.</w:t>
      </w:r>
    </w:p>
    <w:p w14:paraId="2F1D67F7" w14:textId="77777777" w:rsidR="00CC66AC" w:rsidRPr="002F43F8" w:rsidRDefault="00CC66AC" w:rsidP="0013244C">
      <w:pPr>
        <w:pStyle w:val="CommentText"/>
        <w:ind w:left="426"/>
        <w:jc w:val="both"/>
        <w:rPr>
          <w:rFonts w:ascii="Times New Roman" w:hAnsi="Times New Roman"/>
          <w:b/>
          <w:bCs/>
          <w:sz w:val="22"/>
          <w:szCs w:val="22"/>
        </w:rPr>
      </w:pPr>
    </w:p>
    <w:p w14:paraId="29FE861E" w14:textId="04E61FB9" w:rsidR="00CC66AC" w:rsidRPr="002F43F8" w:rsidRDefault="00CC66AC" w:rsidP="0013244C">
      <w:pPr>
        <w:pStyle w:val="CommentText"/>
        <w:ind w:left="426"/>
        <w:jc w:val="both"/>
        <w:rPr>
          <w:rFonts w:ascii="Times New Roman" w:hAnsi="Times New Roman"/>
          <w:b/>
          <w:bCs/>
          <w:sz w:val="22"/>
          <w:szCs w:val="22"/>
        </w:rPr>
      </w:pPr>
      <w:r w:rsidRPr="002F43F8">
        <w:rPr>
          <w:rFonts w:ascii="Times New Roman" w:hAnsi="Times New Roman"/>
          <w:b/>
          <w:bCs/>
          <w:sz w:val="22"/>
          <w:szCs w:val="22"/>
        </w:rPr>
        <w:t xml:space="preserve">II. </w:t>
      </w:r>
      <w:r w:rsidR="00FF7F65" w:rsidRPr="002F43F8">
        <w:rPr>
          <w:rFonts w:ascii="Times New Roman" w:hAnsi="Times New Roman"/>
          <w:b/>
          <w:bCs/>
          <w:sz w:val="22"/>
          <w:szCs w:val="22"/>
        </w:rPr>
        <w:t>Put an end to discriminatory laws</w:t>
      </w:r>
      <w:r w:rsidR="009A2475" w:rsidRPr="002F43F8">
        <w:rPr>
          <w:rFonts w:ascii="Times New Roman" w:hAnsi="Times New Roman"/>
          <w:b/>
          <w:bCs/>
          <w:sz w:val="22"/>
          <w:szCs w:val="22"/>
        </w:rPr>
        <w:t>,</w:t>
      </w:r>
      <w:r w:rsidR="00F57B77" w:rsidRPr="002F43F8">
        <w:rPr>
          <w:rFonts w:ascii="Times New Roman" w:hAnsi="Times New Roman"/>
          <w:b/>
          <w:bCs/>
          <w:sz w:val="22"/>
          <w:szCs w:val="22"/>
        </w:rPr>
        <w:t xml:space="preserve"> policies</w:t>
      </w:r>
      <w:r w:rsidR="00FF7F65" w:rsidRPr="002F43F8">
        <w:rPr>
          <w:rFonts w:ascii="Times New Roman" w:hAnsi="Times New Roman"/>
          <w:b/>
          <w:bCs/>
          <w:sz w:val="22"/>
          <w:szCs w:val="22"/>
        </w:rPr>
        <w:t xml:space="preserve"> and </w:t>
      </w:r>
      <w:r w:rsidR="00F57B77" w:rsidRPr="002F43F8">
        <w:rPr>
          <w:rFonts w:ascii="Times New Roman" w:hAnsi="Times New Roman"/>
          <w:b/>
          <w:bCs/>
          <w:sz w:val="22"/>
          <w:szCs w:val="22"/>
        </w:rPr>
        <w:t xml:space="preserve">practices </w:t>
      </w:r>
      <w:r w:rsidR="00FF7F65" w:rsidRPr="002F43F8">
        <w:rPr>
          <w:rFonts w:ascii="Times New Roman" w:hAnsi="Times New Roman"/>
          <w:b/>
          <w:bCs/>
          <w:sz w:val="22"/>
          <w:szCs w:val="22"/>
        </w:rPr>
        <w:t>against members of the Bidoon community</w:t>
      </w:r>
      <w:r w:rsidR="0013244C">
        <w:rPr>
          <w:rFonts w:ascii="Times New Roman" w:hAnsi="Times New Roman"/>
          <w:b/>
          <w:bCs/>
          <w:sz w:val="22"/>
          <w:szCs w:val="22"/>
        </w:rPr>
        <w:t>,</w:t>
      </w:r>
      <w:r w:rsidR="00FF7F65" w:rsidRPr="002F43F8">
        <w:rPr>
          <w:rFonts w:ascii="Times New Roman" w:hAnsi="Times New Roman"/>
          <w:b/>
          <w:bCs/>
          <w:sz w:val="22"/>
          <w:szCs w:val="22"/>
        </w:rPr>
        <w:t xml:space="preserve"> particularly women and children</w:t>
      </w:r>
      <w:r w:rsidR="00A12517" w:rsidRPr="002F43F8">
        <w:rPr>
          <w:rFonts w:ascii="Times New Roman" w:hAnsi="Times New Roman"/>
          <w:b/>
          <w:bCs/>
          <w:sz w:val="22"/>
          <w:szCs w:val="22"/>
        </w:rPr>
        <w:t>.</w:t>
      </w:r>
    </w:p>
    <w:p w14:paraId="6EB34045" w14:textId="77777777" w:rsidR="00CC66AC" w:rsidRPr="002F43F8" w:rsidRDefault="00CC66AC" w:rsidP="0013244C">
      <w:pPr>
        <w:pStyle w:val="CommentText"/>
        <w:ind w:left="426"/>
        <w:jc w:val="both"/>
        <w:rPr>
          <w:rFonts w:ascii="Times New Roman" w:hAnsi="Times New Roman"/>
          <w:b/>
          <w:bCs/>
          <w:sz w:val="22"/>
          <w:szCs w:val="22"/>
        </w:rPr>
      </w:pPr>
    </w:p>
    <w:p w14:paraId="2E1850E0" w14:textId="0B5BAB6A" w:rsidR="00FF7F65" w:rsidRPr="002F43F8" w:rsidRDefault="00CC66AC" w:rsidP="0013244C">
      <w:pPr>
        <w:pStyle w:val="CommentText"/>
        <w:ind w:left="426"/>
        <w:jc w:val="both"/>
        <w:rPr>
          <w:rFonts w:ascii="Times New Roman" w:hAnsi="Times New Roman"/>
          <w:b/>
          <w:bCs/>
          <w:sz w:val="22"/>
          <w:szCs w:val="22"/>
        </w:rPr>
      </w:pPr>
      <w:r w:rsidRPr="002F43F8">
        <w:rPr>
          <w:rFonts w:ascii="Times New Roman" w:hAnsi="Times New Roman"/>
          <w:b/>
          <w:bCs/>
          <w:sz w:val="22"/>
          <w:szCs w:val="22"/>
        </w:rPr>
        <w:t xml:space="preserve">III. </w:t>
      </w:r>
      <w:r w:rsidR="00FF7F65" w:rsidRPr="002F43F8">
        <w:rPr>
          <w:rFonts w:ascii="Times New Roman" w:hAnsi="Times New Roman"/>
          <w:b/>
          <w:bCs/>
          <w:sz w:val="22"/>
          <w:szCs w:val="22"/>
        </w:rPr>
        <w:t xml:space="preserve">Facilitate independent research into, and initiate clear procedures to identify and determine the number and profiles of all </w:t>
      </w:r>
      <w:r w:rsidRPr="002F43F8">
        <w:rPr>
          <w:rFonts w:ascii="Times New Roman" w:hAnsi="Times New Roman"/>
          <w:b/>
          <w:bCs/>
          <w:sz w:val="22"/>
          <w:szCs w:val="22"/>
        </w:rPr>
        <w:t>children</w:t>
      </w:r>
      <w:r w:rsidR="00FF7F65" w:rsidRPr="002F43F8">
        <w:rPr>
          <w:rFonts w:ascii="Times New Roman" w:hAnsi="Times New Roman"/>
          <w:b/>
          <w:bCs/>
          <w:sz w:val="22"/>
          <w:szCs w:val="22"/>
        </w:rPr>
        <w:t xml:space="preserve"> who have been denied their right to nationality in Kuwait and are therefore stateless, particularly the Bidoon communities.</w:t>
      </w:r>
    </w:p>
    <w:p w14:paraId="68373DE1" w14:textId="77777777" w:rsidR="00CC66AC" w:rsidRPr="002F43F8" w:rsidRDefault="00CC66AC" w:rsidP="0013244C">
      <w:pPr>
        <w:pStyle w:val="CommentText"/>
        <w:ind w:left="426"/>
        <w:jc w:val="both"/>
        <w:rPr>
          <w:rFonts w:ascii="Times New Roman" w:hAnsi="Times New Roman"/>
          <w:b/>
          <w:bCs/>
          <w:sz w:val="22"/>
          <w:szCs w:val="22"/>
        </w:rPr>
      </w:pPr>
    </w:p>
    <w:p w14:paraId="05278229" w14:textId="3A426F5F" w:rsidR="00CC66AC" w:rsidRPr="002F43F8" w:rsidRDefault="00CC66AC" w:rsidP="0013244C">
      <w:pPr>
        <w:pStyle w:val="CommentText"/>
        <w:ind w:left="426"/>
        <w:jc w:val="both"/>
        <w:rPr>
          <w:rFonts w:ascii="Times New Roman" w:hAnsi="Times New Roman"/>
          <w:b/>
          <w:bCs/>
          <w:sz w:val="22"/>
          <w:szCs w:val="22"/>
        </w:rPr>
      </w:pPr>
      <w:r w:rsidRPr="002F43F8">
        <w:rPr>
          <w:rFonts w:ascii="Times New Roman" w:hAnsi="Times New Roman"/>
          <w:b/>
          <w:bCs/>
          <w:sz w:val="22"/>
          <w:szCs w:val="22"/>
        </w:rPr>
        <w:t>IV.</w:t>
      </w:r>
      <w:r w:rsidR="00FD372B" w:rsidRPr="002F43F8">
        <w:rPr>
          <w:rFonts w:ascii="Times New Roman" w:hAnsi="Times New Roman"/>
          <w:b/>
          <w:bCs/>
          <w:sz w:val="22"/>
          <w:szCs w:val="22"/>
        </w:rPr>
        <w:t xml:space="preserve"> Ensure that all necessary steps are taken to amend the Kuwaiti Nationality Act to enable Kuwaiti women to transfer nationality to their children and spouses without restriction, on an equal basis with men, in accordance with international standards</w:t>
      </w:r>
      <w:r w:rsidRPr="002F43F8">
        <w:rPr>
          <w:rFonts w:ascii="Times New Roman" w:hAnsi="Times New Roman"/>
          <w:b/>
          <w:bCs/>
          <w:sz w:val="22"/>
          <w:szCs w:val="22"/>
        </w:rPr>
        <w:t>.</w:t>
      </w:r>
      <w:r w:rsidR="00274371">
        <w:rPr>
          <w:rFonts w:ascii="Times New Roman" w:hAnsi="Times New Roman"/>
          <w:b/>
          <w:bCs/>
          <w:sz w:val="22"/>
          <w:szCs w:val="22"/>
        </w:rPr>
        <w:t xml:space="preserve"> </w:t>
      </w:r>
    </w:p>
    <w:p w14:paraId="0721CB9C" w14:textId="5F3516DD" w:rsidR="00CC66AC" w:rsidRPr="002F43F8" w:rsidRDefault="00FD372B" w:rsidP="0013244C">
      <w:pPr>
        <w:pStyle w:val="CommentText"/>
        <w:ind w:left="426"/>
        <w:jc w:val="both"/>
        <w:rPr>
          <w:rFonts w:ascii="Times New Roman" w:hAnsi="Times New Roman"/>
          <w:b/>
          <w:bCs/>
          <w:sz w:val="22"/>
          <w:szCs w:val="22"/>
        </w:rPr>
      </w:pPr>
      <w:r w:rsidRPr="002F43F8">
        <w:rPr>
          <w:rFonts w:ascii="Times New Roman" w:hAnsi="Times New Roman"/>
          <w:b/>
          <w:bCs/>
          <w:sz w:val="22"/>
          <w:szCs w:val="22"/>
        </w:rPr>
        <w:t xml:space="preserve"> </w:t>
      </w:r>
      <w:r w:rsidRPr="002F43F8">
        <w:rPr>
          <w:rFonts w:ascii="Times New Roman" w:hAnsi="Times New Roman"/>
          <w:b/>
          <w:bCs/>
          <w:sz w:val="22"/>
          <w:szCs w:val="22"/>
        </w:rPr>
        <w:br/>
      </w:r>
      <w:r w:rsidR="00CC66AC" w:rsidRPr="002F43F8">
        <w:rPr>
          <w:rFonts w:ascii="Times New Roman" w:hAnsi="Times New Roman"/>
          <w:b/>
          <w:bCs/>
          <w:sz w:val="22"/>
          <w:szCs w:val="22"/>
        </w:rPr>
        <w:t>V.</w:t>
      </w:r>
      <w:r w:rsidRPr="002F43F8">
        <w:rPr>
          <w:rFonts w:ascii="Times New Roman" w:hAnsi="Times New Roman"/>
          <w:b/>
          <w:bCs/>
          <w:sz w:val="22"/>
          <w:szCs w:val="22"/>
        </w:rPr>
        <w:t xml:space="preserve"> Amend the Kuwaiti Nationality Act to ensure </w:t>
      </w:r>
      <w:r w:rsidR="00797FAC" w:rsidRPr="002F43F8">
        <w:rPr>
          <w:rFonts w:ascii="Times New Roman" w:hAnsi="Times New Roman"/>
          <w:b/>
          <w:bCs/>
          <w:sz w:val="22"/>
          <w:szCs w:val="22"/>
        </w:rPr>
        <w:t>that no child will be deprived or denied their right to acquire and preserve their nationality in situations where a parent has been deprived of nationality</w:t>
      </w:r>
      <w:r w:rsidR="0013244C">
        <w:rPr>
          <w:rFonts w:ascii="Times New Roman" w:hAnsi="Times New Roman"/>
          <w:b/>
          <w:bCs/>
          <w:sz w:val="22"/>
          <w:szCs w:val="22"/>
        </w:rPr>
        <w:t>, and to introduce comprehensive safeguards against childhood statelessness</w:t>
      </w:r>
      <w:r w:rsidR="00797FAC" w:rsidRPr="002F43F8">
        <w:rPr>
          <w:rFonts w:ascii="Times New Roman" w:hAnsi="Times New Roman"/>
          <w:b/>
          <w:bCs/>
          <w:sz w:val="22"/>
          <w:szCs w:val="22"/>
        </w:rPr>
        <w:t>.</w:t>
      </w:r>
    </w:p>
    <w:p w14:paraId="6A1ABC2A" w14:textId="56CBC59E" w:rsidR="00FD372B" w:rsidRPr="002F43F8" w:rsidRDefault="00FD372B" w:rsidP="0013244C">
      <w:pPr>
        <w:pStyle w:val="CommentText"/>
        <w:ind w:left="426"/>
        <w:jc w:val="both"/>
        <w:rPr>
          <w:rFonts w:ascii="Times New Roman" w:hAnsi="Times New Roman"/>
          <w:b/>
          <w:bCs/>
          <w:sz w:val="22"/>
          <w:szCs w:val="22"/>
        </w:rPr>
      </w:pPr>
      <w:r w:rsidRPr="002F43F8">
        <w:rPr>
          <w:rFonts w:ascii="Times New Roman" w:hAnsi="Times New Roman"/>
          <w:b/>
          <w:bCs/>
          <w:sz w:val="22"/>
          <w:szCs w:val="22"/>
        </w:rPr>
        <w:br/>
      </w:r>
      <w:r w:rsidR="00CC66AC" w:rsidRPr="002F43F8">
        <w:rPr>
          <w:rFonts w:ascii="Times New Roman" w:hAnsi="Times New Roman"/>
          <w:b/>
          <w:bCs/>
          <w:sz w:val="22"/>
          <w:szCs w:val="22"/>
        </w:rPr>
        <w:t>VI.</w:t>
      </w:r>
      <w:r w:rsidRPr="002F43F8">
        <w:rPr>
          <w:rFonts w:ascii="Times New Roman" w:hAnsi="Times New Roman"/>
          <w:b/>
          <w:bCs/>
          <w:sz w:val="22"/>
          <w:szCs w:val="22"/>
        </w:rPr>
        <w:t xml:space="preserve"> Remove </w:t>
      </w:r>
      <w:r w:rsidR="00F57B77" w:rsidRPr="002F43F8">
        <w:rPr>
          <w:rFonts w:ascii="Times New Roman" w:hAnsi="Times New Roman"/>
          <w:b/>
          <w:bCs/>
          <w:sz w:val="22"/>
          <w:szCs w:val="22"/>
        </w:rPr>
        <w:t xml:space="preserve">Kuwait’s general </w:t>
      </w:r>
      <w:r w:rsidRPr="002F43F8">
        <w:rPr>
          <w:rFonts w:ascii="Times New Roman" w:hAnsi="Times New Roman"/>
          <w:b/>
          <w:bCs/>
          <w:sz w:val="22"/>
          <w:szCs w:val="22"/>
        </w:rPr>
        <w:t>reservation</w:t>
      </w:r>
      <w:r w:rsidR="00F57B77" w:rsidRPr="002F43F8">
        <w:rPr>
          <w:rFonts w:ascii="Times New Roman" w:hAnsi="Times New Roman"/>
          <w:b/>
          <w:bCs/>
          <w:sz w:val="22"/>
          <w:szCs w:val="22"/>
        </w:rPr>
        <w:t xml:space="preserve"> to the Convention and its declaration on CRC article 7, and ensure </w:t>
      </w:r>
      <w:r w:rsidRPr="002F43F8">
        <w:rPr>
          <w:rFonts w:ascii="Times New Roman" w:hAnsi="Times New Roman"/>
          <w:b/>
          <w:bCs/>
          <w:sz w:val="22"/>
          <w:szCs w:val="22"/>
        </w:rPr>
        <w:t xml:space="preserve">full compliance with the entirety of </w:t>
      </w:r>
      <w:r w:rsidR="00F57B77" w:rsidRPr="002F43F8">
        <w:rPr>
          <w:rFonts w:ascii="Times New Roman" w:hAnsi="Times New Roman"/>
          <w:b/>
          <w:bCs/>
          <w:sz w:val="22"/>
          <w:szCs w:val="22"/>
        </w:rPr>
        <w:t>the convention. Also remove reservations to other treaties including C</w:t>
      </w:r>
      <w:r w:rsidRPr="002F43F8">
        <w:rPr>
          <w:rFonts w:ascii="Times New Roman" w:hAnsi="Times New Roman"/>
          <w:b/>
          <w:bCs/>
          <w:sz w:val="22"/>
          <w:szCs w:val="22"/>
        </w:rPr>
        <w:t>EDAW article 9 on equal nationality laws</w:t>
      </w:r>
      <w:r w:rsidR="00F57B77" w:rsidRPr="002F43F8">
        <w:rPr>
          <w:rFonts w:ascii="Times New Roman" w:hAnsi="Times New Roman"/>
          <w:b/>
          <w:bCs/>
          <w:sz w:val="22"/>
          <w:szCs w:val="22"/>
        </w:rPr>
        <w:t xml:space="preserve"> </w:t>
      </w:r>
      <w:r w:rsidRPr="002F43F8">
        <w:rPr>
          <w:rFonts w:ascii="Times New Roman" w:hAnsi="Times New Roman"/>
          <w:b/>
          <w:bCs/>
          <w:sz w:val="22"/>
          <w:szCs w:val="22"/>
        </w:rPr>
        <w:t>and CRPD article 18 on the right to acquire a nationality</w:t>
      </w:r>
      <w:r w:rsidR="00CC66AC" w:rsidRPr="002F43F8">
        <w:rPr>
          <w:rFonts w:ascii="Times New Roman" w:hAnsi="Times New Roman"/>
          <w:b/>
          <w:bCs/>
          <w:sz w:val="22"/>
          <w:szCs w:val="22"/>
        </w:rPr>
        <w:t>.</w:t>
      </w:r>
    </w:p>
    <w:p w14:paraId="365D8572" w14:textId="77777777" w:rsidR="00CC66AC" w:rsidRPr="002F43F8" w:rsidRDefault="00CC66AC" w:rsidP="0013244C">
      <w:pPr>
        <w:pStyle w:val="CommentText"/>
        <w:ind w:left="426"/>
        <w:jc w:val="both"/>
        <w:rPr>
          <w:rFonts w:ascii="Times New Roman" w:hAnsi="Times New Roman"/>
          <w:b/>
          <w:bCs/>
          <w:sz w:val="22"/>
          <w:szCs w:val="22"/>
        </w:rPr>
      </w:pPr>
    </w:p>
    <w:p w14:paraId="78DE3E78" w14:textId="7F4E23A7" w:rsidR="00CC66AC" w:rsidRPr="002F43F8" w:rsidRDefault="00CC66AC" w:rsidP="0013244C">
      <w:pPr>
        <w:pStyle w:val="CommentText"/>
        <w:ind w:left="426"/>
        <w:jc w:val="both"/>
        <w:rPr>
          <w:rFonts w:ascii="Times New Roman" w:hAnsi="Times New Roman"/>
          <w:b/>
          <w:bCs/>
        </w:rPr>
      </w:pPr>
      <w:r w:rsidRPr="002F43F8">
        <w:rPr>
          <w:rFonts w:ascii="Times New Roman" w:hAnsi="Times New Roman"/>
          <w:b/>
          <w:bCs/>
          <w:sz w:val="22"/>
          <w:szCs w:val="22"/>
        </w:rPr>
        <w:t xml:space="preserve">VII. </w:t>
      </w:r>
      <w:r w:rsidR="008F7823" w:rsidRPr="002F43F8">
        <w:rPr>
          <w:rFonts w:ascii="Times New Roman" w:hAnsi="Times New Roman"/>
          <w:b/>
          <w:bCs/>
          <w:sz w:val="22"/>
          <w:szCs w:val="22"/>
        </w:rPr>
        <w:t xml:space="preserve">Accede to </w:t>
      </w:r>
      <w:r w:rsidRPr="002F43F8">
        <w:rPr>
          <w:rFonts w:ascii="Times New Roman" w:hAnsi="Times New Roman"/>
          <w:b/>
          <w:bCs/>
          <w:sz w:val="22"/>
          <w:szCs w:val="22"/>
        </w:rPr>
        <w:t>the 1954 Convention Relating to the Status of Stateless Persons and the 1961 Convention on the Reduction of Statelessness.</w:t>
      </w:r>
    </w:p>
    <w:p w14:paraId="7B740CB4" w14:textId="3D01C762" w:rsidR="00FF7F65" w:rsidRDefault="00FF7F65" w:rsidP="002F43F8"/>
    <w:p w14:paraId="54BA4DD4" w14:textId="77777777" w:rsidR="00CF5586" w:rsidRDefault="00CF5586">
      <w:pPr>
        <w:spacing w:after="160" w:line="259" w:lineRule="auto"/>
        <w:rPr>
          <w:rFonts w:ascii="Helvetica" w:eastAsiaTheme="majorEastAsia" w:hAnsi="Helvetica" w:cstheme="majorBidi"/>
          <w:b/>
          <w:bCs/>
          <w:color w:val="4721A5"/>
        </w:rPr>
      </w:pPr>
      <w:bookmarkStart w:id="1" w:name="_Annex_I_–"/>
      <w:bookmarkEnd w:id="1"/>
      <w:r>
        <w:rPr>
          <w:rFonts w:ascii="Helvetica" w:hAnsi="Helvetica"/>
          <w:b/>
          <w:bCs/>
          <w:color w:val="4721A5"/>
        </w:rPr>
        <w:br w:type="page"/>
      </w:r>
    </w:p>
    <w:p w14:paraId="5C47542F" w14:textId="1286B429" w:rsidR="005048D2" w:rsidRPr="002F43F8" w:rsidRDefault="005048D2" w:rsidP="005048D2">
      <w:pPr>
        <w:pStyle w:val="Heading1"/>
        <w:rPr>
          <w:rFonts w:ascii="Helvetica" w:hAnsi="Helvetica" w:cs="Times New Roman"/>
          <w:b/>
          <w:bCs/>
          <w:color w:val="4721A5"/>
          <w:sz w:val="22"/>
          <w:szCs w:val="22"/>
        </w:rPr>
      </w:pPr>
      <w:r w:rsidRPr="002F43F8">
        <w:rPr>
          <w:rFonts w:ascii="Helvetica" w:hAnsi="Helvetica"/>
          <w:b/>
          <w:bCs/>
          <w:color w:val="4721A5"/>
          <w:sz w:val="22"/>
          <w:szCs w:val="22"/>
        </w:rPr>
        <w:t xml:space="preserve">Annex I – International Obligations and </w:t>
      </w:r>
      <w:r w:rsidRPr="002F43F8">
        <w:rPr>
          <w:rFonts w:ascii="Helvetica" w:hAnsi="Helvetica" w:cs="Times New Roman"/>
          <w:b/>
          <w:bCs/>
          <w:color w:val="4721A5"/>
          <w:sz w:val="22"/>
          <w:szCs w:val="22"/>
        </w:rPr>
        <w:t>Previous recommendations to Kuwait</w:t>
      </w:r>
    </w:p>
    <w:p w14:paraId="39A73A94" w14:textId="77777777" w:rsidR="00986071" w:rsidRDefault="00986071" w:rsidP="00986071">
      <w:pPr>
        <w:spacing w:line="276" w:lineRule="auto"/>
        <w:jc w:val="both"/>
        <w:rPr>
          <w:rFonts w:ascii="Helvetica" w:hAnsi="Helvetica"/>
          <w:b/>
          <w:bCs/>
          <w:color w:val="2C166F"/>
        </w:rPr>
      </w:pPr>
    </w:p>
    <w:p w14:paraId="28C4528F" w14:textId="14DE9282" w:rsidR="00986071" w:rsidRPr="002F43F8" w:rsidRDefault="00986071" w:rsidP="00986071">
      <w:pPr>
        <w:spacing w:line="276" w:lineRule="auto"/>
        <w:jc w:val="both"/>
        <w:rPr>
          <w:rFonts w:ascii="Times New Roman" w:hAnsi="Times New Roman"/>
          <w:b/>
          <w:bCs/>
          <w:i/>
          <w:iCs/>
        </w:rPr>
      </w:pPr>
      <w:r w:rsidRPr="002F43F8">
        <w:rPr>
          <w:rFonts w:ascii="Times New Roman" w:hAnsi="Times New Roman"/>
          <w:b/>
          <w:bCs/>
          <w:i/>
          <w:iCs/>
        </w:rPr>
        <w:t>Kuwait’s International obligations</w:t>
      </w:r>
    </w:p>
    <w:p w14:paraId="0EA00F9E" w14:textId="77777777" w:rsidR="00986071" w:rsidRPr="00D12967" w:rsidRDefault="00986071" w:rsidP="00986071">
      <w:pPr>
        <w:spacing w:line="276" w:lineRule="auto"/>
        <w:jc w:val="both"/>
      </w:pPr>
    </w:p>
    <w:p w14:paraId="2D83E7CE" w14:textId="1DD073B1" w:rsidR="00986071" w:rsidRPr="006A7992" w:rsidRDefault="00986071" w:rsidP="002F43F8">
      <w:pPr>
        <w:pStyle w:val="ListParagraph"/>
        <w:numPr>
          <w:ilvl w:val="0"/>
          <w:numId w:val="22"/>
        </w:numPr>
        <w:jc w:val="both"/>
        <w:rPr>
          <w:rFonts w:ascii="Times New Roman" w:eastAsiaTheme="minorEastAsia" w:hAnsi="Times New Roman"/>
        </w:rPr>
      </w:pPr>
      <w:r w:rsidRPr="006A7992">
        <w:rPr>
          <w:rFonts w:ascii="Times New Roman" w:hAnsi="Times New Roman"/>
        </w:rPr>
        <w:t>Kuwait has not acceded to the 1954 Convention Relating to the Status of Stateless Persons or the 1961 Convention on the Reduction of Statelessness. However,</w:t>
      </w:r>
      <w:r w:rsidR="00960764">
        <w:rPr>
          <w:rFonts w:ascii="Times New Roman" w:hAnsi="Times New Roman"/>
        </w:rPr>
        <w:t xml:space="preserve"> </w:t>
      </w:r>
      <w:r w:rsidRPr="006A7992">
        <w:rPr>
          <w:rFonts w:ascii="Times New Roman" w:hAnsi="Times New Roman"/>
        </w:rPr>
        <w:t>it has various international obligations to protect the right to a nationality and the rights of stateless persons on the basis of other UN and regional treaties to which it is a party. These include, among others, the CRC, International Covenant on Civil and Political Rights,</w:t>
      </w:r>
      <w:r w:rsidRPr="006A7992">
        <w:rPr>
          <w:rStyle w:val="FootnoteReference"/>
          <w:rFonts w:ascii="Times New Roman" w:hAnsi="Times New Roman"/>
        </w:rPr>
        <w:footnoteReference w:id="40"/>
      </w:r>
      <w:r>
        <w:rPr>
          <w:rFonts w:ascii="Times New Roman" w:hAnsi="Times New Roman"/>
        </w:rPr>
        <w:t xml:space="preserve"> the </w:t>
      </w:r>
      <w:r w:rsidRPr="005048D2">
        <w:rPr>
          <w:rFonts w:ascii="Times New Roman" w:hAnsi="Times New Roman"/>
        </w:rPr>
        <w:t>Convention on the Elimination of All Forms of Discrimination against Women</w:t>
      </w:r>
      <w:r>
        <w:rPr>
          <w:rFonts w:ascii="Times New Roman" w:hAnsi="Times New Roman"/>
        </w:rPr>
        <w:t xml:space="preserve"> (CEDAW),</w:t>
      </w:r>
      <w:r>
        <w:rPr>
          <w:rStyle w:val="FootnoteReference"/>
          <w:rFonts w:ascii="Times New Roman" w:hAnsi="Times New Roman"/>
        </w:rPr>
        <w:footnoteReference w:id="41"/>
      </w:r>
      <w:r>
        <w:rPr>
          <w:rFonts w:ascii="Times New Roman" w:hAnsi="Times New Roman"/>
        </w:rPr>
        <w:t xml:space="preserve"> </w:t>
      </w:r>
      <w:r w:rsidRPr="005048D2">
        <w:rPr>
          <w:rFonts w:ascii="Times New Roman" w:hAnsi="Times New Roman"/>
        </w:rPr>
        <w:t>the Convention on the Rights of Persons with Disabilities (CRPD)</w:t>
      </w:r>
      <w:r>
        <w:rPr>
          <w:rFonts w:ascii="Times New Roman" w:hAnsi="Times New Roman"/>
        </w:rPr>
        <w:t>,</w:t>
      </w:r>
      <w:r>
        <w:rPr>
          <w:rStyle w:val="FootnoteReference"/>
          <w:rFonts w:ascii="Times New Roman" w:hAnsi="Times New Roman"/>
        </w:rPr>
        <w:footnoteReference w:id="42"/>
      </w:r>
      <w:r>
        <w:rPr>
          <w:rFonts w:ascii="Times New Roman" w:hAnsi="Times New Roman"/>
        </w:rPr>
        <w:t xml:space="preserve"> </w:t>
      </w:r>
      <w:r w:rsidRPr="006A7992">
        <w:rPr>
          <w:rFonts w:ascii="Times New Roman" w:hAnsi="Times New Roman"/>
        </w:rPr>
        <w:t>the International Convention on the Elimination of All Forms of Racial Discrimination (CERD),</w:t>
      </w:r>
      <w:r w:rsidRPr="006A7992">
        <w:rPr>
          <w:rStyle w:val="FootnoteReference"/>
          <w:rFonts w:ascii="Times New Roman" w:hAnsi="Times New Roman"/>
        </w:rPr>
        <w:footnoteReference w:id="43"/>
      </w:r>
      <w:r w:rsidRPr="006A7992">
        <w:rPr>
          <w:rFonts w:ascii="Times New Roman" w:hAnsi="Times New Roman"/>
        </w:rPr>
        <w:t xml:space="preserve"> and the Cairo Declaration on Human Rights in Islam (Cairo Declaration).</w:t>
      </w:r>
      <w:r w:rsidRPr="006A7992">
        <w:rPr>
          <w:rStyle w:val="FootnoteReference"/>
          <w:rFonts w:ascii="Times New Roman" w:hAnsi="Times New Roman"/>
        </w:rPr>
        <w:footnoteReference w:id="44"/>
      </w:r>
      <w:r w:rsidRPr="006A7992">
        <w:rPr>
          <w:rFonts w:ascii="Times New Roman" w:hAnsi="Times New Roman"/>
        </w:rPr>
        <w:t xml:space="preserve"> Moreover, the right to a nationality is protected under article 15 of the Universal Declaration on Human Rights (UDHR).</w:t>
      </w:r>
    </w:p>
    <w:p w14:paraId="3860A7A6" w14:textId="77777777" w:rsidR="00986071" w:rsidRPr="006A7992" w:rsidRDefault="00986071" w:rsidP="00986071">
      <w:pPr>
        <w:pStyle w:val="ListParagraph"/>
        <w:ind w:left="360"/>
        <w:jc w:val="both"/>
        <w:rPr>
          <w:rFonts w:ascii="Times New Roman" w:eastAsiaTheme="minorEastAsia" w:hAnsi="Times New Roman"/>
        </w:rPr>
      </w:pPr>
    </w:p>
    <w:p w14:paraId="6F0C4EAA" w14:textId="77777777" w:rsidR="00986071" w:rsidRPr="006A7992" w:rsidRDefault="00986071" w:rsidP="002F43F8">
      <w:pPr>
        <w:pStyle w:val="ListParagraph"/>
        <w:numPr>
          <w:ilvl w:val="0"/>
          <w:numId w:val="22"/>
        </w:numPr>
        <w:jc w:val="both"/>
        <w:rPr>
          <w:rFonts w:ascii="Times New Roman" w:hAnsi="Times New Roman"/>
        </w:rPr>
      </w:pPr>
      <w:r w:rsidRPr="006A7992">
        <w:rPr>
          <w:rFonts w:ascii="Times New Roman" w:hAnsi="Times New Roman"/>
        </w:rPr>
        <w:t xml:space="preserve"> Kuwait has ratified relevant Treaties in which the right to a nationality is enshrined, though, with reservations to essential provisions. These include reservations to Article 7 of the CRC, Article 18 of the Convention on the Rights of Persons with Disabilities and Article 9 of the Convention on the Elimination of All Forms of Discrimination against Women, which recognises women equal rights with men to acquire, change or retain their nationality and equal rights with respect to the nationality of their children. </w:t>
      </w:r>
    </w:p>
    <w:p w14:paraId="42A0AAC6" w14:textId="0B45D2EC" w:rsidR="00986071" w:rsidRPr="002F43F8" w:rsidRDefault="00986071" w:rsidP="002F43F8">
      <w:pPr>
        <w:rPr>
          <w:rFonts w:ascii="Times New Roman" w:hAnsi="Times New Roman"/>
          <w:i/>
          <w:iCs/>
        </w:rPr>
      </w:pPr>
      <w:r w:rsidRPr="002F43F8">
        <w:rPr>
          <w:rFonts w:ascii="Times New Roman" w:hAnsi="Times New Roman"/>
          <w:b/>
          <w:bCs/>
          <w:i/>
          <w:iCs/>
        </w:rPr>
        <w:t>Previous recommendations to Kuwait</w:t>
      </w:r>
    </w:p>
    <w:p w14:paraId="37758529" w14:textId="77777777" w:rsidR="005048D2" w:rsidRPr="002F43F8" w:rsidRDefault="005048D2" w:rsidP="005048D2">
      <w:pPr>
        <w:jc w:val="both"/>
        <w:rPr>
          <w:rFonts w:ascii="Times New Roman" w:hAnsi="Times New Roman"/>
          <w:b/>
          <w:bCs/>
        </w:rPr>
      </w:pPr>
    </w:p>
    <w:p w14:paraId="328259ED" w14:textId="77777777" w:rsidR="005048D2" w:rsidRPr="006A7992" w:rsidRDefault="005048D2" w:rsidP="002F43F8">
      <w:pPr>
        <w:pStyle w:val="ListParagraph"/>
        <w:numPr>
          <w:ilvl w:val="0"/>
          <w:numId w:val="22"/>
        </w:numPr>
        <w:spacing w:after="0"/>
        <w:jc w:val="both"/>
        <w:rPr>
          <w:rFonts w:ascii="Times New Roman" w:eastAsiaTheme="minorEastAsia" w:hAnsi="Times New Roman"/>
          <w:vertAlign w:val="superscript"/>
        </w:rPr>
      </w:pPr>
      <w:r w:rsidRPr="006A7992">
        <w:rPr>
          <w:rFonts w:ascii="Times New Roman" w:hAnsi="Times New Roman"/>
        </w:rPr>
        <w:t xml:space="preserve">Given the longstanding failure of Kuwait to provide for these important enabling rights in a non-discriminatory manner, and in light of the disproportionate impact this has on Bidoon children in Kuwait, the </w:t>
      </w:r>
      <w:r w:rsidRPr="006A7992">
        <w:rPr>
          <w:rFonts w:ascii="Times New Roman" w:hAnsi="Times New Roman"/>
          <w:b/>
          <w:bCs/>
        </w:rPr>
        <w:t>Committee</w:t>
      </w:r>
      <w:r w:rsidRPr="006A7992">
        <w:rPr>
          <w:rFonts w:ascii="Times New Roman" w:hAnsi="Times New Roman"/>
        </w:rPr>
        <w:t xml:space="preserve"> in its previous review of Kuwait during the 64</w:t>
      </w:r>
      <w:r w:rsidRPr="006A7992">
        <w:rPr>
          <w:rFonts w:ascii="Times New Roman" w:hAnsi="Times New Roman"/>
          <w:vertAlign w:val="superscript"/>
        </w:rPr>
        <w:t>th</w:t>
      </w:r>
      <w:r w:rsidRPr="006A7992">
        <w:rPr>
          <w:rFonts w:ascii="Times New Roman" w:hAnsi="Times New Roman"/>
        </w:rPr>
        <w:t xml:space="preserve"> Session in 2013, urged the government to:</w:t>
      </w:r>
    </w:p>
    <w:p w14:paraId="4DC09F61" w14:textId="77777777" w:rsidR="005048D2" w:rsidRPr="006A7992" w:rsidRDefault="005048D2" w:rsidP="005048D2">
      <w:pPr>
        <w:pStyle w:val="ListParagraph"/>
        <w:spacing w:after="0"/>
        <w:ind w:left="1440"/>
        <w:jc w:val="both"/>
        <w:rPr>
          <w:rFonts w:ascii="Times New Roman" w:hAnsi="Times New Roman"/>
        </w:rPr>
      </w:pPr>
    </w:p>
    <w:p w14:paraId="71AF349C" w14:textId="77777777" w:rsidR="005048D2" w:rsidRPr="006A7992" w:rsidRDefault="005048D2" w:rsidP="005048D2">
      <w:pPr>
        <w:pStyle w:val="ListParagraph"/>
        <w:spacing w:after="0"/>
        <w:ind w:left="1440"/>
        <w:jc w:val="both"/>
        <w:rPr>
          <w:rFonts w:ascii="Times New Roman" w:hAnsi="Times New Roman"/>
        </w:rPr>
      </w:pPr>
      <w:r w:rsidRPr="006A7992">
        <w:rPr>
          <w:rFonts w:ascii="Times New Roman" w:hAnsi="Times New Roman"/>
          <w:i/>
          <w:iCs/>
        </w:rPr>
        <w:t xml:space="preserve"> implement as a matter of utmost priority its recommendations relating to </w:t>
      </w:r>
      <w:r w:rsidRPr="006A7992">
        <w:rPr>
          <w:rFonts w:ascii="Times New Roman" w:hAnsi="Times New Roman"/>
          <w:b/>
          <w:bCs/>
          <w:i/>
          <w:iCs/>
        </w:rPr>
        <w:t>Bidoon children</w:t>
      </w:r>
      <w:r w:rsidRPr="006A7992">
        <w:rPr>
          <w:rFonts w:ascii="Times New Roman" w:hAnsi="Times New Roman"/>
          <w:i/>
          <w:iCs/>
        </w:rPr>
        <w:t xml:space="preserve"> contained in the concluding observations on the State party’s initial reports under both the Convention and its two optional protocols…</w:t>
      </w:r>
      <w:r w:rsidRPr="006A7992">
        <w:rPr>
          <w:rFonts w:ascii="Times New Roman" w:hAnsi="Times New Roman"/>
        </w:rPr>
        <w:t xml:space="preserve"> </w:t>
      </w:r>
    </w:p>
    <w:p w14:paraId="698245D9" w14:textId="77777777" w:rsidR="005048D2" w:rsidRPr="006A7992" w:rsidRDefault="005048D2" w:rsidP="005048D2">
      <w:pPr>
        <w:pStyle w:val="ListParagraph"/>
        <w:spacing w:after="0"/>
        <w:ind w:left="1440"/>
        <w:jc w:val="both"/>
        <w:rPr>
          <w:rFonts w:ascii="Times New Roman" w:hAnsi="Times New Roman"/>
        </w:rPr>
      </w:pPr>
    </w:p>
    <w:p w14:paraId="45BE755E" w14:textId="77777777" w:rsidR="005048D2" w:rsidRPr="006A7992" w:rsidRDefault="005048D2" w:rsidP="005048D2">
      <w:pPr>
        <w:pStyle w:val="ListParagraph"/>
        <w:spacing w:after="0"/>
        <w:ind w:left="1440"/>
        <w:jc w:val="both"/>
        <w:rPr>
          <w:rFonts w:ascii="Times New Roman" w:hAnsi="Times New Roman"/>
        </w:rPr>
      </w:pPr>
      <w:r w:rsidRPr="006A7992">
        <w:rPr>
          <w:rFonts w:ascii="Times New Roman" w:hAnsi="Times New Roman"/>
        </w:rPr>
        <w:t>and to</w:t>
      </w:r>
    </w:p>
    <w:p w14:paraId="36A96154" w14:textId="77777777" w:rsidR="005048D2" w:rsidRPr="006A7992" w:rsidRDefault="005048D2" w:rsidP="005048D2">
      <w:pPr>
        <w:pStyle w:val="ListParagraph"/>
        <w:spacing w:after="0"/>
        <w:ind w:left="1440"/>
        <w:jc w:val="both"/>
        <w:rPr>
          <w:rFonts w:ascii="Times New Roman" w:hAnsi="Times New Roman"/>
        </w:rPr>
      </w:pPr>
    </w:p>
    <w:p w14:paraId="1B07A69D" w14:textId="77777777" w:rsidR="005048D2" w:rsidRPr="006A7992" w:rsidRDefault="005048D2" w:rsidP="005048D2">
      <w:pPr>
        <w:pStyle w:val="ListParagraph"/>
        <w:spacing w:after="0"/>
        <w:ind w:left="1440"/>
        <w:jc w:val="both"/>
        <w:rPr>
          <w:rFonts w:ascii="Times New Roman" w:hAnsi="Times New Roman"/>
        </w:rPr>
      </w:pPr>
      <w:r w:rsidRPr="006A7992">
        <w:rPr>
          <w:rFonts w:ascii="Times New Roman" w:hAnsi="Times New Roman"/>
          <w:i/>
          <w:iCs/>
        </w:rPr>
        <w:t xml:space="preserve">take all necessary measures to address those recommendations that have not been implemented or not sufficiently implemented and in particular those related to child marriage, </w:t>
      </w:r>
      <w:r w:rsidRPr="006A7992">
        <w:rPr>
          <w:rFonts w:ascii="Times New Roman" w:hAnsi="Times New Roman"/>
          <w:b/>
          <w:bCs/>
          <w:i/>
          <w:iCs/>
        </w:rPr>
        <w:t>non-discrimination, nationality,</w:t>
      </w:r>
      <w:r w:rsidRPr="006A7992">
        <w:rPr>
          <w:rFonts w:ascii="Times New Roman" w:hAnsi="Times New Roman"/>
          <w:i/>
          <w:iCs/>
        </w:rPr>
        <w:t xml:space="preserve"> domestic violence and juvenile justice. </w:t>
      </w:r>
      <w:r w:rsidRPr="006A7992">
        <w:rPr>
          <w:rFonts w:ascii="Times New Roman" w:hAnsi="Times New Roman"/>
        </w:rPr>
        <w:t>(emphasis added).</w:t>
      </w:r>
      <w:r w:rsidRPr="006A7992">
        <w:rPr>
          <w:rStyle w:val="FootnoteReference"/>
          <w:rFonts w:ascii="Times New Roman" w:hAnsi="Times New Roman"/>
        </w:rPr>
        <w:footnoteReference w:id="45"/>
      </w:r>
    </w:p>
    <w:p w14:paraId="0F8F995F" w14:textId="77777777" w:rsidR="005048D2" w:rsidRPr="006A7992" w:rsidRDefault="005048D2" w:rsidP="005048D2">
      <w:pPr>
        <w:pStyle w:val="ListParagraph"/>
        <w:spacing w:after="0"/>
        <w:ind w:left="1440"/>
        <w:jc w:val="both"/>
        <w:rPr>
          <w:rFonts w:ascii="Times New Roman" w:hAnsi="Times New Roman"/>
        </w:rPr>
      </w:pPr>
    </w:p>
    <w:p w14:paraId="12FB9E2B" w14:textId="77777777" w:rsidR="005048D2" w:rsidRPr="006A7992" w:rsidRDefault="005048D2" w:rsidP="005048D2">
      <w:pPr>
        <w:ind w:left="426"/>
        <w:jc w:val="both"/>
        <w:rPr>
          <w:rFonts w:ascii="Times New Roman" w:hAnsi="Times New Roman"/>
        </w:rPr>
      </w:pPr>
      <w:r w:rsidRPr="006A7992">
        <w:rPr>
          <w:rFonts w:ascii="Times New Roman" w:hAnsi="Times New Roman"/>
        </w:rPr>
        <w:t>The Committee also made the following specific concluding observations and recommendations to Kuwait:</w:t>
      </w:r>
    </w:p>
    <w:p w14:paraId="59EF8421" w14:textId="77777777" w:rsidR="005048D2" w:rsidRPr="006A7992" w:rsidRDefault="005048D2" w:rsidP="005048D2">
      <w:pPr>
        <w:ind w:left="426"/>
        <w:jc w:val="both"/>
        <w:rPr>
          <w:rFonts w:ascii="Times New Roman" w:hAnsi="Times New Roman"/>
        </w:rPr>
      </w:pPr>
    </w:p>
    <w:p w14:paraId="54ACBBC8" w14:textId="77777777" w:rsidR="005048D2" w:rsidRPr="006A7992" w:rsidRDefault="005048D2" w:rsidP="002F43F8">
      <w:pPr>
        <w:pStyle w:val="ListParagraph"/>
        <w:numPr>
          <w:ilvl w:val="1"/>
          <w:numId w:val="20"/>
        </w:numPr>
        <w:jc w:val="both"/>
        <w:rPr>
          <w:rFonts w:ascii="Times New Roman" w:eastAsiaTheme="minorEastAsia" w:hAnsi="Times New Roman"/>
          <w:vertAlign w:val="superscript"/>
        </w:rPr>
      </w:pPr>
      <w:r w:rsidRPr="006A7992">
        <w:rPr>
          <w:rFonts w:ascii="Times New Roman" w:hAnsi="Times New Roman"/>
        </w:rPr>
        <w:t>The Committee expressed concern that Kuwait’s general reservation to the Convention and its declaration on Article 7 had not been withdrawn, and urged the State Party “</w:t>
      </w:r>
      <w:r w:rsidRPr="006A7992">
        <w:rPr>
          <w:rFonts w:ascii="Times New Roman" w:hAnsi="Times New Roman"/>
          <w:i/>
          <w:iCs/>
        </w:rPr>
        <w:t>to review its general reservation to the Convention and its interpretative declarations with a view to withdrawing them</w:t>
      </w:r>
      <w:r w:rsidRPr="006A7992">
        <w:rPr>
          <w:rFonts w:ascii="Times New Roman" w:hAnsi="Times New Roman"/>
        </w:rPr>
        <w:t>”.</w:t>
      </w:r>
      <w:r w:rsidRPr="006A7992">
        <w:rPr>
          <w:rStyle w:val="FootnoteReference"/>
          <w:rFonts w:ascii="Times New Roman" w:hAnsi="Times New Roman"/>
        </w:rPr>
        <w:footnoteReference w:id="46"/>
      </w:r>
    </w:p>
    <w:p w14:paraId="01ACC0AD" w14:textId="77777777" w:rsidR="005048D2" w:rsidRPr="006A7992" w:rsidRDefault="005048D2" w:rsidP="005048D2">
      <w:pPr>
        <w:pStyle w:val="ListParagraph"/>
        <w:ind w:left="1440"/>
        <w:jc w:val="both"/>
        <w:rPr>
          <w:rFonts w:ascii="Times New Roman" w:eastAsiaTheme="minorEastAsia" w:hAnsi="Times New Roman"/>
          <w:vertAlign w:val="superscript"/>
        </w:rPr>
      </w:pPr>
    </w:p>
    <w:p w14:paraId="5B68583B" w14:textId="77777777" w:rsidR="005048D2" w:rsidRPr="006A7992" w:rsidRDefault="005048D2" w:rsidP="002F43F8">
      <w:pPr>
        <w:pStyle w:val="ListParagraph"/>
        <w:numPr>
          <w:ilvl w:val="1"/>
          <w:numId w:val="20"/>
        </w:numPr>
        <w:jc w:val="both"/>
        <w:rPr>
          <w:rFonts w:ascii="Times New Roman" w:eastAsiaTheme="minorEastAsia" w:hAnsi="Times New Roman"/>
          <w:vertAlign w:val="superscript"/>
        </w:rPr>
      </w:pPr>
      <w:r w:rsidRPr="006A7992">
        <w:rPr>
          <w:rFonts w:ascii="Times New Roman" w:hAnsi="Times New Roman"/>
        </w:rPr>
        <w:t>The Committee noted with concern that:</w:t>
      </w:r>
    </w:p>
    <w:p w14:paraId="4D0DAFCB" w14:textId="77777777" w:rsidR="005048D2" w:rsidRPr="006A7992" w:rsidRDefault="005048D2" w:rsidP="005048D2">
      <w:pPr>
        <w:pStyle w:val="ListParagraph"/>
        <w:ind w:left="1440"/>
        <w:jc w:val="both"/>
        <w:rPr>
          <w:rFonts w:ascii="Times New Roman" w:hAnsi="Times New Roman"/>
        </w:rPr>
      </w:pPr>
    </w:p>
    <w:p w14:paraId="211DDFDB" w14:textId="77777777" w:rsidR="005048D2" w:rsidRPr="006A7992" w:rsidRDefault="005048D2" w:rsidP="005048D2">
      <w:pPr>
        <w:pStyle w:val="ListParagraph"/>
        <w:ind w:left="1440"/>
        <w:jc w:val="both"/>
        <w:rPr>
          <w:rFonts w:ascii="Times New Roman" w:eastAsiaTheme="minorEastAsia" w:hAnsi="Times New Roman"/>
          <w:i/>
          <w:iCs/>
          <w:vertAlign w:val="superscript"/>
        </w:rPr>
      </w:pPr>
      <w:r w:rsidRPr="006A7992">
        <w:rPr>
          <w:rFonts w:ascii="Times New Roman" w:hAnsi="Times New Roman"/>
          <w:i/>
          <w:iCs/>
        </w:rPr>
        <w:t>“despite the establishment by decree of the Central System to Resolve Illegal Resident Status in November 2010 and Council of Ministers Decision No. 409 of 2011, a great proportion of Bidoon children continue to be deprived of their right to be registered at birth and to acquire a nationality, which prevents them from having access to health-care services, public schools and any other type of social benefits and services.”</w:t>
      </w:r>
      <w:r w:rsidRPr="006A7992">
        <w:rPr>
          <w:rStyle w:val="FootnoteReference"/>
          <w:rFonts w:ascii="Times New Roman" w:hAnsi="Times New Roman"/>
          <w:i/>
          <w:iCs/>
        </w:rPr>
        <w:footnoteReference w:id="47"/>
      </w:r>
    </w:p>
    <w:p w14:paraId="1221979F" w14:textId="77777777" w:rsidR="005048D2" w:rsidRPr="006A7992" w:rsidRDefault="005048D2" w:rsidP="005048D2">
      <w:pPr>
        <w:pStyle w:val="ListParagraph"/>
        <w:ind w:left="360"/>
        <w:jc w:val="both"/>
        <w:rPr>
          <w:rFonts w:ascii="Times New Roman" w:hAnsi="Times New Roman"/>
        </w:rPr>
      </w:pPr>
    </w:p>
    <w:p w14:paraId="2DC2780B" w14:textId="77777777" w:rsidR="005048D2" w:rsidRPr="006A7992" w:rsidRDefault="005048D2" w:rsidP="002F43F8">
      <w:pPr>
        <w:pStyle w:val="ListParagraph"/>
        <w:numPr>
          <w:ilvl w:val="1"/>
          <w:numId w:val="20"/>
        </w:numPr>
        <w:jc w:val="both"/>
        <w:rPr>
          <w:rFonts w:ascii="Times New Roman" w:hAnsi="Times New Roman"/>
        </w:rPr>
      </w:pPr>
      <w:r w:rsidRPr="006A7992">
        <w:rPr>
          <w:rFonts w:ascii="Times New Roman" w:hAnsi="Times New Roman"/>
        </w:rPr>
        <w:t xml:space="preserve">The Committee also expressed concern that: </w:t>
      </w:r>
    </w:p>
    <w:p w14:paraId="18840A33" w14:textId="77777777" w:rsidR="005048D2" w:rsidRPr="006A7992" w:rsidRDefault="005048D2" w:rsidP="005048D2">
      <w:pPr>
        <w:pStyle w:val="ListParagraph"/>
        <w:ind w:left="1440"/>
        <w:jc w:val="both"/>
        <w:rPr>
          <w:rFonts w:ascii="Times New Roman" w:hAnsi="Times New Roman"/>
        </w:rPr>
      </w:pPr>
    </w:p>
    <w:p w14:paraId="1C8815F4" w14:textId="77777777" w:rsidR="005048D2" w:rsidRPr="006A7992" w:rsidRDefault="005048D2" w:rsidP="005048D2">
      <w:pPr>
        <w:pStyle w:val="ListParagraph"/>
        <w:ind w:left="1440"/>
        <w:jc w:val="both"/>
        <w:rPr>
          <w:rFonts w:ascii="Times New Roman" w:hAnsi="Times New Roman"/>
        </w:rPr>
      </w:pPr>
      <w:r w:rsidRPr="006A7992">
        <w:rPr>
          <w:rFonts w:ascii="Times New Roman" w:hAnsi="Times New Roman"/>
        </w:rPr>
        <w:t>“</w:t>
      </w:r>
      <w:proofErr w:type="gramStart"/>
      <w:r w:rsidRPr="006A7992">
        <w:rPr>
          <w:rFonts w:ascii="Times New Roman" w:hAnsi="Times New Roman"/>
          <w:i/>
          <w:iCs/>
        </w:rPr>
        <w:t>children</w:t>
      </w:r>
      <w:proofErr w:type="gramEnd"/>
      <w:r w:rsidRPr="006A7992">
        <w:rPr>
          <w:rFonts w:ascii="Times New Roman" w:hAnsi="Times New Roman"/>
          <w:i/>
          <w:iCs/>
        </w:rPr>
        <w:t xml:space="preserve"> born to Kuwaiti mothers and non-Kuwaiti fathers do not inherit citizenship unless the mother is divorced or widowed, which leads many children to be stateless</w:t>
      </w:r>
      <w:r w:rsidRPr="006A7992">
        <w:rPr>
          <w:rFonts w:ascii="Times New Roman" w:hAnsi="Times New Roman"/>
        </w:rPr>
        <w:t xml:space="preserve">”; </w:t>
      </w:r>
    </w:p>
    <w:p w14:paraId="2BBEF9CC" w14:textId="77777777" w:rsidR="005048D2" w:rsidRPr="006A7992" w:rsidRDefault="005048D2" w:rsidP="005048D2">
      <w:pPr>
        <w:pStyle w:val="ListParagraph"/>
        <w:ind w:left="1440"/>
        <w:jc w:val="both"/>
        <w:rPr>
          <w:rFonts w:ascii="Times New Roman" w:hAnsi="Times New Roman"/>
        </w:rPr>
      </w:pPr>
    </w:p>
    <w:p w14:paraId="5881DDE0" w14:textId="77777777" w:rsidR="005048D2" w:rsidRPr="006A7992" w:rsidRDefault="005048D2" w:rsidP="005048D2">
      <w:pPr>
        <w:pStyle w:val="ListParagraph"/>
        <w:ind w:left="1440"/>
        <w:jc w:val="both"/>
        <w:rPr>
          <w:rFonts w:ascii="Times New Roman" w:hAnsi="Times New Roman"/>
        </w:rPr>
      </w:pPr>
      <w:r w:rsidRPr="006A7992">
        <w:rPr>
          <w:rFonts w:ascii="Times New Roman" w:hAnsi="Times New Roman"/>
        </w:rPr>
        <w:t>and that:</w:t>
      </w:r>
    </w:p>
    <w:p w14:paraId="0929C141" w14:textId="77777777" w:rsidR="005048D2" w:rsidRPr="006A7992" w:rsidRDefault="005048D2" w:rsidP="005048D2">
      <w:pPr>
        <w:pStyle w:val="ListParagraph"/>
        <w:ind w:left="1440"/>
        <w:jc w:val="both"/>
        <w:rPr>
          <w:rFonts w:ascii="Times New Roman" w:hAnsi="Times New Roman"/>
        </w:rPr>
      </w:pPr>
    </w:p>
    <w:p w14:paraId="21E79D27" w14:textId="77777777" w:rsidR="005048D2" w:rsidRPr="006A7992" w:rsidRDefault="005048D2" w:rsidP="005048D2">
      <w:pPr>
        <w:pStyle w:val="ListParagraph"/>
        <w:ind w:left="1440"/>
        <w:jc w:val="both"/>
        <w:rPr>
          <w:rFonts w:ascii="Times New Roman" w:hAnsi="Times New Roman"/>
        </w:rPr>
      </w:pPr>
      <w:r w:rsidRPr="006A7992">
        <w:rPr>
          <w:rFonts w:ascii="Times New Roman" w:hAnsi="Times New Roman"/>
        </w:rPr>
        <w:t>“</w:t>
      </w:r>
      <w:r w:rsidRPr="006A7992">
        <w:rPr>
          <w:rFonts w:ascii="Times New Roman" w:hAnsi="Times New Roman"/>
          <w:i/>
          <w:iCs/>
        </w:rPr>
        <w:t>identity documents provided to children nationalized in accordance with article 3 of the Nationality Act clearly mention that these children are of unknown parentage, thus exposing them to stigmatization</w:t>
      </w:r>
      <w:r w:rsidRPr="006A7992">
        <w:rPr>
          <w:rFonts w:ascii="Times New Roman" w:hAnsi="Times New Roman"/>
        </w:rPr>
        <w:t>”.</w:t>
      </w:r>
      <w:r w:rsidRPr="006A7992">
        <w:rPr>
          <w:rStyle w:val="FootnoteReference"/>
          <w:rFonts w:ascii="Times New Roman" w:hAnsi="Times New Roman"/>
        </w:rPr>
        <w:footnoteReference w:id="48"/>
      </w:r>
    </w:p>
    <w:p w14:paraId="4D84A008" w14:textId="77777777" w:rsidR="005048D2" w:rsidRPr="006A7992" w:rsidRDefault="005048D2" w:rsidP="005048D2">
      <w:pPr>
        <w:pStyle w:val="ListParagraph"/>
        <w:ind w:left="360"/>
        <w:jc w:val="both"/>
        <w:rPr>
          <w:rFonts w:ascii="Times New Roman" w:hAnsi="Times New Roman"/>
        </w:rPr>
      </w:pPr>
    </w:p>
    <w:p w14:paraId="73FC3BF4" w14:textId="380B5C75" w:rsidR="005048D2" w:rsidRPr="006A7992" w:rsidRDefault="005048D2" w:rsidP="002F43F8">
      <w:pPr>
        <w:pStyle w:val="ListParagraph"/>
        <w:numPr>
          <w:ilvl w:val="1"/>
          <w:numId w:val="20"/>
        </w:numPr>
        <w:jc w:val="both"/>
        <w:rPr>
          <w:rFonts w:ascii="Times New Roman" w:hAnsi="Times New Roman"/>
        </w:rPr>
      </w:pPr>
      <w:r w:rsidRPr="006A7992">
        <w:rPr>
          <w:rFonts w:ascii="Times New Roman" w:hAnsi="Times New Roman"/>
        </w:rPr>
        <w:t xml:space="preserve">In a demonstration of the deeply entrenched nature of Kuwait’s failures to protect every child’s right </w:t>
      </w:r>
      <w:r w:rsidR="00EF6784" w:rsidRPr="006A7992">
        <w:rPr>
          <w:rFonts w:ascii="Times New Roman" w:hAnsi="Times New Roman"/>
        </w:rPr>
        <w:t>to nationality</w:t>
      </w:r>
      <w:r w:rsidRPr="006A7992">
        <w:rPr>
          <w:rFonts w:ascii="Times New Roman" w:hAnsi="Times New Roman"/>
        </w:rPr>
        <w:t>, the committee referred back to its previous (unaddressed) recommendations to Kuwait from 1998 (CRC/C/15/Add.96, para. 20), to urge the State party to:</w:t>
      </w:r>
    </w:p>
    <w:p w14:paraId="2E94F2CF" w14:textId="77777777" w:rsidR="005048D2" w:rsidRPr="006A7992" w:rsidRDefault="005048D2" w:rsidP="005048D2">
      <w:pPr>
        <w:pStyle w:val="ListParagraph"/>
        <w:ind w:left="1440"/>
        <w:jc w:val="both"/>
        <w:rPr>
          <w:rFonts w:ascii="Times New Roman" w:hAnsi="Times New Roman"/>
        </w:rPr>
      </w:pPr>
    </w:p>
    <w:p w14:paraId="2333A9B8" w14:textId="77777777" w:rsidR="005048D2" w:rsidRPr="006A7992" w:rsidRDefault="005048D2" w:rsidP="005048D2">
      <w:pPr>
        <w:pStyle w:val="ListParagraph"/>
        <w:ind w:left="1440"/>
        <w:jc w:val="both"/>
        <w:rPr>
          <w:rFonts w:ascii="Times New Roman" w:hAnsi="Times New Roman"/>
        </w:rPr>
      </w:pPr>
      <w:r w:rsidRPr="006A7992">
        <w:rPr>
          <w:rFonts w:ascii="Times New Roman" w:hAnsi="Times New Roman"/>
          <w:i/>
          <w:iCs/>
        </w:rPr>
        <w:t>“abide by its obligation to ensure that all children within the State party’s jurisdiction have the right to be registered at birth and acquire a nationality, irrespective of the child’s or his or her parents’ or legal guardians’ sex, race, religion or ethnicity, social origin or status.”</w:t>
      </w:r>
      <w:r w:rsidRPr="006A7992">
        <w:rPr>
          <w:rStyle w:val="FootnoteReference"/>
          <w:rFonts w:ascii="Times New Roman" w:hAnsi="Times New Roman"/>
          <w:i/>
          <w:iCs/>
        </w:rPr>
        <w:footnoteReference w:id="49"/>
      </w:r>
    </w:p>
    <w:p w14:paraId="1002CC5E" w14:textId="77777777" w:rsidR="005048D2" w:rsidRPr="006A7992" w:rsidRDefault="005048D2" w:rsidP="005048D2">
      <w:pPr>
        <w:pStyle w:val="ListParagraph"/>
        <w:ind w:left="1440"/>
        <w:jc w:val="both"/>
        <w:rPr>
          <w:rFonts w:ascii="Times New Roman" w:hAnsi="Times New Roman"/>
        </w:rPr>
      </w:pPr>
    </w:p>
    <w:p w14:paraId="5666E16D" w14:textId="77777777" w:rsidR="005048D2" w:rsidRPr="006A7992" w:rsidRDefault="005048D2" w:rsidP="002F43F8">
      <w:pPr>
        <w:pStyle w:val="ListParagraph"/>
        <w:numPr>
          <w:ilvl w:val="1"/>
          <w:numId w:val="20"/>
        </w:numPr>
        <w:jc w:val="both"/>
        <w:rPr>
          <w:rFonts w:ascii="Times New Roman" w:hAnsi="Times New Roman"/>
        </w:rPr>
      </w:pPr>
      <w:r w:rsidRPr="006A7992">
        <w:rPr>
          <w:rFonts w:ascii="Times New Roman" w:hAnsi="Times New Roman"/>
        </w:rPr>
        <w:t>In particular, the Committee urged the State party to:</w:t>
      </w:r>
    </w:p>
    <w:p w14:paraId="43E3040A" w14:textId="77777777" w:rsidR="005048D2" w:rsidRPr="006A7992" w:rsidRDefault="005048D2" w:rsidP="005048D2">
      <w:pPr>
        <w:pStyle w:val="ListParagraph"/>
        <w:ind w:left="1440"/>
        <w:jc w:val="both"/>
        <w:rPr>
          <w:rFonts w:ascii="Times New Roman" w:hAnsi="Times New Roman"/>
        </w:rPr>
      </w:pPr>
    </w:p>
    <w:p w14:paraId="771ECD9E" w14:textId="77777777" w:rsidR="005048D2" w:rsidRPr="006A7992" w:rsidRDefault="005048D2" w:rsidP="005048D2">
      <w:pPr>
        <w:pStyle w:val="ListParagraph"/>
        <w:ind w:left="1440"/>
        <w:jc w:val="both"/>
        <w:rPr>
          <w:rFonts w:ascii="Times New Roman" w:hAnsi="Times New Roman"/>
          <w:i/>
          <w:iCs/>
        </w:rPr>
      </w:pPr>
      <w:r w:rsidRPr="006A7992">
        <w:rPr>
          <w:rFonts w:ascii="Times New Roman" w:hAnsi="Times New Roman"/>
          <w:i/>
          <w:iCs/>
        </w:rPr>
        <w:t xml:space="preserve">take </w:t>
      </w:r>
      <w:r w:rsidRPr="006A7992">
        <w:rPr>
          <w:rFonts w:ascii="Times New Roman" w:hAnsi="Times New Roman"/>
          <w:b/>
          <w:bCs/>
          <w:i/>
          <w:iCs/>
        </w:rPr>
        <w:t>immediate</w:t>
      </w:r>
      <w:r w:rsidRPr="006A7992">
        <w:rPr>
          <w:rFonts w:ascii="Times New Roman" w:hAnsi="Times New Roman"/>
          <w:i/>
          <w:iCs/>
        </w:rPr>
        <w:t xml:space="preserve"> action to: (a) Ensure gender equality in the 1959 Nationality Act in order for all children born to a Kuwaiti mother and non-Kuwaiti father to automatically acquire their mother’s nationality; (b) Ensure that identity documents no longer permit the identification of children as being of unknown parentage; and (c) Ratify the Convention relating to the Status of Stateless Persons of 1954 and the Convention on the Reduction of Statelessness of 1961.</w:t>
      </w:r>
      <w:r w:rsidRPr="006A7992">
        <w:rPr>
          <w:rStyle w:val="FootnoteReference"/>
          <w:rFonts w:ascii="Times New Roman" w:hAnsi="Times New Roman"/>
          <w:i/>
          <w:iCs/>
        </w:rPr>
        <w:footnoteReference w:id="50"/>
      </w:r>
    </w:p>
    <w:p w14:paraId="73C32C5E" w14:textId="77777777" w:rsidR="005048D2" w:rsidRPr="006A7992" w:rsidRDefault="005048D2" w:rsidP="005048D2">
      <w:pPr>
        <w:pStyle w:val="ListParagraph"/>
        <w:ind w:left="1440"/>
        <w:jc w:val="both"/>
        <w:rPr>
          <w:rFonts w:ascii="Times New Roman" w:hAnsi="Times New Roman"/>
        </w:rPr>
      </w:pPr>
    </w:p>
    <w:p w14:paraId="218A09A9" w14:textId="77777777" w:rsidR="005048D2" w:rsidRPr="006A7992" w:rsidRDefault="005048D2" w:rsidP="002F43F8">
      <w:pPr>
        <w:pStyle w:val="ListParagraph"/>
        <w:numPr>
          <w:ilvl w:val="0"/>
          <w:numId w:val="22"/>
        </w:numPr>
        <w:jc w:val="both"/>
        <w:rPr>
          <w:rFonts w:ascii="Times New Roman" w:hAnsi="Times New Roman"/>
        </w:rPr>
      </w:pPr>
      <w:r w:rsidRPr="006A7992">
        <w:rPr>
          <w:rFonts w:ascii="Times New Roman" w:hAnsi="Times New Roman"/>
        </w:rPr>
        <w:t>Kuwait’s poor track record in protecting every child’s right to a nationality and related child rights, has also been systematically raised by other human rights treaty bodies, through the Universal Periodic Review, and by UN agencies and civil society groups.</w:t>
      </w:r>
    </w:p>
    <w:p w14:paraId="47A16772" w14:textId="77777777" w:rsidR="005048D2" w:rsidRPr="006A7992" w:rsidRDefault="005048D2" w:rsidP="005048D2">
      <w:pPr>
        <w:pStyle w:val="ListParagraph"/>
        <w:ind w:left="360"/>
        <w:jc w:val="both"/>
        <w:rPr>
          <w:rFonts w:ascii="Times New Roman" w:hAnsi="Times New Roman"/>
        </w:rPr>
      </w:pPr>
    </w:p>
    <w:p w14:paraId="160A4C18" w14:textId="77777777" w:rsidR="005048D2" w:rsidRPr="006A7992" w:rsidRDefault="005048D2" w:rsidP="002F43F8">
      <w:pPr>
        <w:pStyle w:val="ListParagraph"/>
        <w:numPr>
          <w:ilvl w:val="1"/>
          <w:numId w:val="20"/>
        </w:numPr>
        <w:jc w:val="both"/>
        <w:rPr>
          <w:rFonts w:ascii="Times New Roman" w:hAnsi="Times New Roman"/>
        </w:rPr>
      </w:pPr>
      <w:r w:rsidRPr="006A7992">
        <w:rPr>
          <w:rFonts w:ascii="Times New Roman" w:hAnsi="Times New Roman"/>
        </w:rPr>
        <w:t xml:space="preserve">The persistent </w:t>
      </w:r>
      <w:r w:rsidRPr="006A7992">
        <w:rPr>
          <w:rFonts w:ascii="Times New Roman" w:hAnsi="Times New Roman"/>
          <w:b/>
          <w:bCs/>
        </w:rPr>
        <w:t>gender discrimination</w:t>
      </w:r>
      <w:r w:rsidRPr="006A7992">
        <w:rPr>
          <w:rFonts w:ascii="Times New Roman" w:hAnsi="Times New Roman"/>
        </w:rPr>
        <w:t xml:space="preserve"> under the Nationality Act and its detrimental impact on Kuwaiti women married to non-Kuwaiti men as well as the denial of the right of women to acquire, change, retain and transmit their nationality on an equal basis with men have been noted by the </w:t>
      </w:r>
      <w:r w:rsidRPr="006A7992">
        <w:rPr>
          <w:rFonts w:ascii="Times New Roman" w:hAnsi="Times New Roman"/>
          <w:b/>
          <w:bCs/>
        </w:rPr>
        <w:t>Committee on the Elimination on all forms of Discrimination Against Women (CEDAW)</w:t>
      </w:r>
      <w:r w:rsidRPr="006A7992">
        <w:rPr>
          <w:rFonts w:ascii="Times New Roman" w:hAnsi="Times New Roman"/>
        </w:rPr>
        <w:t xml:space="preserve">. Highlighting the large number of stateless </w:t>
      </w:r>
      <w:r w:rsidRPr="006A7992">
        <w:rPr>
          <w:rFonts w:ascii="Times New Roman" w:hAnsi="Times New Roman"/>
          <w:b/>
          <w:bCs/>
        </w:rPr>
        <w:t>Bidoon</w:t>
      </w:r>
      <w:r w:rsidRPr="006A7992">
        <w:rPr>
          <w:rFonts w:ascii="Times New Roman" w:hAnsi="Times New Roman"/>
        </w:rPr>
        <w:t xml:space="preserve"> in the country, CEDAW urged Kuwait to accede to the 1954 and 1961 Statelessness Conventions, amend the Nationality Act and regularise the situation of Bidoon.</w:t>
      </w:r>
      <w:r w:rsidRPr="006A7992">
        <w:rPr>
          <w:rStyle w:val="FootnoteReference"/>
          <w:rFonts w:ascii="Times New Roman" w:hAnsi="Times New Roman"/>
        </w:rPr>
        <w:footnoteReference w:id="51"/>
      </w:r>
      <w:r w:rsidRPr="006A7992">
        <w:rPr>
          <w:rFonts w:ascii="Times New Roman" w:hAnsi="Times New Roman"/>
        </w:rPr>
        <w:t xml:space="preserve"> In addition, CEDAW recommended Kuwait to ensure that birth certificates and other documents are issued to Bidoon women, men and children as a means of preventing statelessness.</w:t>
      </w:r>
      <w:r w:rsidRPr="006A7992">
        <w:rPr>
          <w:rStyle w:val="FootnoteReference"/>
          <w:rFonts w:ascii="Times New Roman" w:hAnsi="Times New Roman"/>
        </w:rPr>
        <w:footnoteReference w:id="52"/>
      </w:r>
      <w:r w:rsidRPr="006A7992">
        <w:rPr>
          <w:rStyle w:val="FootnoteReference"/>
          <w:rFonts w:ascii="Times New Roman" w:hAnsi="Times New Roman"/>
        </w:rPr>
        <w:t xml:space="preserve"> </w:t>
      </w:r>
    </w:p>
    <w:p w14:paraId="2415F9BB" w14:textId="77777777" w:rsidR="005048D2" w:rsidRPr="006A7992" w:rsidRDefault="005048D2" w:rsidP="005048D2">
      <w:pPr>
        <w:pStyle w:val="ListParagraph"/>
        <w:ind w:left="1440"/>
        <w:jc w:val="both"/>
        <w:rPr>
          <w:rFonts w:ascii="Times New Roman" w:hAnsi="Times New Roman"/>
        </w:rPr>
      </w:pPr>
    </w:p>
    <w:p w14:paraId="7A1A3992" w14:textId="77777777" w:rsidR="005048D2" w:rsidRPr="006A7992" w:rsidRDefault="005048D2" w:rsidP="002F43F8">
      <w:pPr>
        <w:pStyle w:val="ListParagraph"/>
        <w:numPr>
          <w:ilvl w:val="1"/>
          <w:numId w:val="20"/>
        </w:numPr>
        <w:jc w:val="both"/>
        <w:rPr>
          <w:rFonts w:ascii="Times New Roman" w:hAnsi="Times New Roman"/>
        </w:rPr>
      </w:pPr>
      <w:r w:rsidRPr="006A7992">
        <w:rPr>
          <w:rFonts w:ascii="Times New Roman" w:hAnsi="Times New Roman"/>
        </w:rPr>
        <w:t xml:space="preserve">The </w:t>
      </w:r>
      <w:r w:rsidRPr="006A7992">
        <w:rPr>
          <w:rFonts w:ascii="Times New Roman" w:hAnsi="Times New Roman"/>
          <w:b/>
          <w:bCs/>
        </w:rPr>
        <w:t xml:space="preserve">Committee on the Elimination of Racial Discrimination (CERD) </w:t>
      </w:r>
      <w:r w:rsidRPr="006A7992">
        <w:rPr>
          <w:rFonts w:ascii="Times New Roman" w:hAnsi="Times New Roman"/>
        </w:rPr>
        <w:t xml:space="preserve">has also expressed its concern regarding the situation of </w:t>
      </w:r>
      <w:r w:rsidRPr="006A7992">
        <w:rPr>
          <w:rFonts w:ascii="Times New Roman" w:hAnsi="Times New Roman"/>
          <w:b/>
          <w:bCs/>
        </w:rPr>
        <w:t>Bidoon</w:t>
      </w:r>
      <w:r w:rsidRPr="006A7992">
        <w:rPr>
          <w:rFonts w:ascii="Times New Roman" w:hAnsi="Times New Roman"/>
        </w:rPr>
        <w:t xml:space="preserve"> who are deemed “illegal residents” and do not enjoy equal access to social services, due process and legally valid civil documentation, including birth registration documents.</w:t>
      </w:r>
      <w:r w:rsidRPr="006A7992">
        <w:rPr>
          <w:rStyle w:val="FootnoteReference"/>
          <w:rFonts w:ascii="Times New Roman" w:hAnsi="Times New Roman"/>
        </w:rPr>
        <w:footnoteReference w:id="53"/>
      </w:r>
      <w:r w:rsidRPr="006A7992">
        <w:rPr>
          <w:rFonts w:ascii="Times New Roman" w:hAnsi="Times New Roman"/>
        </w:rPr>
        <w:t xml:space="preserve"> In this regard, it has called on Kuwait to </w:t>
      </w:r>
      <w:r w:rsidRPr="006A7992">
        <w:rPr>
          <w:rFonts w:ascii="Times New Roman" w:hAnsi="Times New Roman"/>
          <w:i/>
          <w:iCs/>
        </w:rPr>
        <w:t>“(a) find a durable solution to the problems faced by Bidoon, including by considering naturalising those who have lived in Kuwait for long periods and have a genuine and effective link to the State; (b) put into place immediate administrative procedures to allow all Bidoon to obtain official documents, including birth registration documents; (c) consider providing residence permits and temporary legal status to all non-citizens as appropriate; (d) guarantee access for all to adequate social services and education on an equal footing with nationals of Kuwait; (e) ensure that applications for Kuwaiti nationality are assessed through written, reasoned decisions that may be appealed; and (f) accede to the Convention relating to the Status of Stateless Persons and the Convention on the Reduction of Statelessness.”</w:t>
      </w:r>
      <w:r w:rsidRPr="006A7992">
        <w:rPr>
          <w:rFonts w:ascii="Times New Roman" w:hAnsi="Times New Roman"/>
        </w:rPr>
        <w:t xml:space="preserve"> The CERD has also urged Kuwait to </w:t>
      </w:r>
      <w:r w:rsidRPr="006A7992">
        <w:rPr>
          <w:rFonts w:ascii="Times New Roman" w:hAnsi="Times New Roman"/>
          <w:i/>
          <w:iCs/>
        </w:rPr>
        <w:t xml:space="preserve">“modify the Nationality Act to allow Kuwaiti women married to foreigners to pass on their nationality to their children and spouses on an </w:t>
      </w:r>
      <w:r w:rsidRPr="006A7992">
        <w:rPr>
          <w:rFonts w:ascii="Times New Roman" w:hAnsi="Times New Roman"/>
          <w:b/>
          <w:bCs/>
          <w:i/>
          <w:iCs/>
        </w:rPr>
        <w:t>equal</w:t>
      </w:r>
      <w:r w:rsidRPr="006A7992">
        <w:rPr>
          <w:rFonts w:ascii="Times New Roman" w:hAnsi="Times New Roman"/>
          <w:i/>
          <w:iCs/>
        </w:rPr>
        <w:t xml:space="preserve"> footing with Kuwaiti men.”</w:t>
      </w:r>
      <w:r w:rsidRPr="006A7992">
        <w:rPr>
          <w:rStyle w:val="FootnoteReference"/>
          <w:rFonts w:ascii="Times New Roman" w:hAnsi="Times New Roman"/>
          <w:i/>
          <w:iCs/>
        </w:rPr>
        <w:footnoteReference w:id="54"/>
      </w:r>
      <w:r w:rsidRPr="006A7992">
        <w:rPr>
          <w:rFonts w:ascii="Times New Roman" w:hAnsi="Times New Roman"/>
        </w:rPr>
        <w:t xml:space="preserve"> </w:t>
      </w:r>
    </w:p>
    <w:p w14:paraId="5B1F908C" w14:textId="77777777" w:rsidR="005048D2" w:rsidRPr="006A7992" w:rsidRDefault="005048D2" w:rsidP="005048D2">
      <w:pPr>
        <w:pStyle w:val="ListParagraph"/>
        <w:ind w:left="1440"/>
        <w:jc w:val="both"/>
        <w:rPr>
          <w:rFonts w:ascii="Times New Roman" w:hAnsi="Times New Roman"/>
        </w:rPr>
      </w:pPr>
    </w:p>
    <w:p w14:paraId="64F92419" w14:textId="06410FAD" w:rsidR="005048D2" w:rsidRPr="006A7992" w:rsidRDefault="005048D2" w:rsidP="002F43F8">
      <w:pPr>
        <w:pStyle w:val="ListParagraph"/>
        <w:numPr>
          <w:ilvl w:val="1"/>
          <w:numId w:val="20"/>
        </w:numPr>
        <w:jc w:val="both"/>
        <w:rPr>
          <w:rFonts w:ascii="Times New Roman" w:hAnsi="Times New Roman"/>
        </w:rPr>
      </w:pPr>
      <w:r w:rsidRPr="006A7992">
        <w:rPr>
          <w:rFonts w:ascii="Times New Roman" w:hAnsi="Times New Roman"/>
        </w:rPr>
        <w:t>Kuwait was most recently reviewed at the 35</w:t>
      </w:r>
      <w:r w:rsidRPr="006A7992">
        <w:rPr>
          <w:rFonts w:ascii="Times New Roman" w:hAnsi="Times New Roman"/>
          <w:vertAlign w:val="superscript"/>
        </w:rPr>
        <w:t>th</w:t>
      </w:r>
      <w:r w:rsidRPr="006A7992">
        <w:rPr>
          <w:rFonts w:ascii="Times New Roman" w:hAnsi="Times New Roman"/>
        </w:rPr>
        <w:t xml:space="preserve"> Session (third cycle) to the Universal Periodic Review (UPR), in January 2020. Some of the co-submitting organisations made submissions to the UPR in relation to the right to nationality and statelessness (and other issues) in Kuwait, contributing towards Kuwait receiving a total of </w:t>
      </w:r>
      <w:r w:rsidRPr="006A7992">
        <w:rPr>
          <w:rFonts w:ascii="Times New Roman" w:hAnsi="Times New Roman"/>
          <w:b/>
          <w:bCs/>
        </w:rPr>
        <w:t>22 UPR recommendations</w:t>
      </w:r>
      <w:r w:rsidRPr="006A7992">
        <w:rPr>
          <w:rFonts w:ascii="Times New Roman" w:hAnsi="Times New Roman"/>
        </w:rPr>
        <w:t xml:space="preserve"> on the right to a nationality and statelessness.</w:t>
      </w:r>
      <w:r w:rsidRPr="006A7992">
        <w:rPr>
          <w:rStyle w:val="FootnoteReference"/>
          <w:rFonts w:ascii="Times New Roman" w:hAnsi="Times New Roman"/>
        </w:rPr>
        <w:footnoteReference w:id="55"/>
      </w:r>
      <w:r w:rsidRPr="006A7992">
        <w:rPr>
          <w:rFonts w:ascii="Times New Roman" w:hAnsi="Times New Roman"/>
        </w:rPr>
        <w:t xml:space="preserve"> The recommendations mainly focussed on addressing gender discriminatory provisions under the Nationality Act and the right to nationality of the Bidoon community.</w:t>
      </w:r>
      <w:r w:rsidRPr="006A7992">
        <w:rPr>
          <w:rStyle w:val="FootnoteReference"/>
          <w:rFonts w:ascii="Times New Roman" w:hAnsi="Times New Roman"/>
        </w:rPr>
        <w:footnoteReference w:id="56"/>
      </w:r>
      <w:r w:rsidRPr="006A7992">
        <w:rPr>
          <w:rFonts w:ascii="Times New Roman" w:hAnsi="Times New Roman"/>
        </w:rPr>
        <w:t xml:space="preserve"> During the Second UPR Cycle, Kuwait received 32 relevant recommendations,</w:t>
      </w:r>
      <w:r w:rsidR="00051093">
        <w:rPr>
          <w:rStyle w:val="FootnoteReference"/>
          <w:rFonts w:ascii="Times New Roman" w:hAnsi="Times New Roman"/>
        </w:rPr>
        <w:footnoteReference w:id="57"/>
      </w:r>
      <w:r w:rsidRPr="006A7992">
        <w:rPr>
          <w:rFonts w:ascii="Times New Roman" w:hAnsi="Times New Roman"/>
        </w:rPr>
        <w:t xml:space="preserve"> and it received 10 recommendations during its first UPR review.</w:t>
      </w:r>
      <w:r w:rsidR="00051093">
        <w:rPr>
          <w:rStyle w:val="FootnoteReference"/>
          <w:rFonts w:ascii="Times New Roman" w:hAnsi="Times New Roman"/>
        </w:rPr>
        <w:footnoteReference w:id="58"/>
      </w:r>
      <w:r w:rsidRPr="006A7992">
        <w:rPr>
          <w:rFonts w:ascii="Times New Roman" w:hAnsi="Times New Roman"/>
        </w:rPr>
        <w:t xml:space="preserve"> </w:t>
      </w:r>
    </w:p>
    <w:p w14:paraId="44EAB9BC" w14:textId="77777777" w:rsidR="005048D2" w:rsidRPr="006A7992" w:rsidRDefault="005048D2" w:rsidP="005048D2">
      <w:pPr>
        <w:pStyle w:val="ListParagraph"/>
        <w:spacing w:after="0"/>
        <w:ind w:left="1440"/>
        <w:jc w:val="both"/>
        <w:rPr>
          <w:rFonts w:ascii="Times New Roman" w:hAnsi="Times New Roman"/>
        </w:rPr>
      </w:pPr>
    </w:p>
    <w:p w14:paraId="7BE4354A" w14:textId="77777777" w:rsidR="005048D2" w:rsidRPr="006A7992" w:rsidRDefault="005048D2" w:rsidP="002F43F8">
      <w:pPr>
        <w:pStyle w:val="ListParagraph"/>
        <w:numPr>
          <w:ilvl w:val="1"/>
          <w:numId w:val="20"/>
        </w:numPr>
        <w:spacing w:after="0"/>
        <w:jc w:val="both"/>
        <w:rPr>
          <w:rFonts w:ascii="Times New Roman" w:hAnsi="Times New Roman"/>
        </w:rPr>
      </w:pPr>
      <w:r w:rsidRPr="006A7992">
        <w:rPr>
          <w:rFonts w:ascii="Times New Roman" w:hAnsi="Times New Roman"/>
        </w:rPr>
        <w:t>The importance of the eradication of statelessness has also been expressed by the UN High Commissioner for Refugees through the #IBelong campaign.</w:t>
      </w:r>
      <w:r w:rsidRPr="006A7992">
        <w:rPr>
          <w:rStyle w:val="FootnoteReference"/>
          <w:rFonts w:ascii="Times New Roman" w:hAnsi="Times New Roman"/>
        </w:rPr>
        <w:footnoteReference w:id="59"/>
      </w:r>
      <w:r w:rsidRPr="006A7992">
        <w:rPr>
          <w:rFonts w:ascii="Times New Roman" w:hAnsi="Times New Roman"/>
        </w:rPr>
        <w:t xml:space="preserve"> further, the UN Sustainable Development goals, which are premised on the basis of leaving no one behind and reaching the furthest behind first, aspire to achieving legal identity for all, including birth registration – by 2030.</w:t>
      </w:r>
      <w:r w:rsidRPr="006A7992">
        <w:rPr>
          <w:rStyle w:val="FootnoteReference"/>
          <w:rFonts w:ascii="Times New Roman" w:hAnsi="Times New Roman"/>
        </w:rPr>
        <w:footnoteReference w:id="60"/>
      </w:r>
    </w:p>
    <w:p w14:paraId="7CDD4979" w14:textId="77777777" w:rsidR="005048D2" w:rsidRPr="006A7992" w:rsidRDefault="005048D2" w:rsidP="005048D2">
      <w:pPr>
        <w:pStyle w:val="ListParagraph"/>
        <w:spacing w:after="0"/>
        <w:ind w:left="1440"/>
        <w:jc w:val="both"/>
        <w:rPr>
          <w:rFonts w:ascii="Times New Roman" w:hAnsi="Times New Roman"/>
        </w:rPr>
      </w:pPr>
    </w:p>
    <w:p w14:paraId="50588EE2" w14:textId="77777777" w:rsidR="005048D2" w:rsidRPr="006A7992" w:rsidRDefault="005048D2" w:rsidP="005048D2">
      <w:pPr>
        <w:pStyle w:val="ListParagraph"/>
        <w:numPr>
          <w:ilvl w:val="1"/>
          <w:numId w:val="11"/>
        </w:numPr>
        <w:spacing w:after="0"/>
        <w:jc w:val="both"/>
        <w:rPr>
          <w:rFonts w:ascii="Times New Roman" w:hAnsi="Times New Roman"/>
        </w:rPr>
      </w:pPr>
      <w:r w:rsidRPr="006A7992">
        <w:rPr>
          <w:rFonts w:ascii="Times New Roman" w:hAnsi="Times New Roman"/>
        </w:rPr>
        <w:t>Kuwaiti Women Without Borders, the Global Campaign for Equal Nationality Rights, and Equality Now (a Steering Committee member of the Global Campaign) have previously called on Kuwait to give women equal citizenship rights to men by comprehensively amending the Nationality Law to uphold the principle of non-discrimination enshrined in the Constitution, and comply with its international legal obligations and commitments, including SDG Targets 5.1 (the elimination of gender discrimination in law), 10.3 (ensure equal opportunity and reduce inequality) and 16.9, among other SDG targets.</w:t>
      </w:r>
      <w:r w:rsidRPr="006A7992">
        <w:rPr>
          <w:rStyle w:val="FootnoteReference"/>
          <w:rFonts w:ascii="Times New Roman" w:hAnsi="Times New Roman"/>
        </w:rPr>
        <w:footnoteReference w:id="61"/>
      </w:r>
    </w:p>
    <w:p w14:paraId="706E4B8A" w14:textId="77777777" w:rsidR="005048D2" w:rsidRPr="006A7992" w:rsidRDefault="005048D2" w:rsidP="005048D2">
      <w:pPr>
        <w:pStyle w:val="ListParagraph"/>
        <w:spacing w:after="0"/>
        <w:ind w:left="1440"/>
        <w:jc w:val="both"/>
        <w:rPr>
          <w:rFonts w:ascii="Times New Roman" w:hAnsi="Times New Roman"/>
        </w:rPr>
      </w:pPr>
    </w:p>
    <w:p w14:paraId="5254EC5C" w14:textId="77777777" w:rsidR="005048D2" w:rsidRPr="006A7992" w:rsidRDefault="005048D2" w:rsidP="005048D2">
      <w:pPr>
        <w:pStyle w:val="ListParagraph"/>
        <w:spacing w:after="0"/>
        <w:ind w:left="1440"/>
        <w:jc w:val="both"/>
        <w:rPr>
          <w:rFonts w:ascii="Times New Roman" w:hAnsi="Times New Roman"/>
        </w:rPr>
      </w:pPr>
      <w:r w:rsidRPr="006A7992">
        <w:rPr>
          <w:rFonts w:ascii="Times New Roman" w:hAnsi="Times New Roman"/>
        </w:rPr>
        <w:t>Such reforms would align with regional efforts to ensure women right to confer nationality on children and spouses on an equal basis with men, as outlined in the Arab Declaration on Belonging and Legal Identity, endorsed at an Arab League ministerial meeting in February 2018.</w:t>
      </w:r>
      <w:r w:rsidRPr="006A7992">
        <w:rPr>
          <w:rStyle w:val="FootnoteReference"/>
          <w:rFonts w:ascii="Times New Roman" w:hAnsi="Times New Roman"/>
        </w:rPr>
        <w:footnoteReference w:id="62"/>
      </w:r>
      <w:r w:rsidRPr="006A7992">
        <w:rPr>
          <w:rFonts w:ascii="Times New Roman" w:hAnsi="Times New Roman"/>
        </w:rPr>
        <w:t xml:space="preserve"> The Declaration further calls upon Member states to ensure, without exception, that all children, including unaccompanied children are registered upon birth and are able to acquire a nationality. It also urged Member States to make every effort to reduce statelessness in the context of the international obligations of Member States and the application of the Sustainable Development Goals.</w:t>
      </w:r>
    </w:p>
    <w:p w14:paraId="1EFC6FBF" w14:textId="77777777" w:rsidR="005048D2" w:rsidRPr="006A7992" w:rsidRDefault="005048D2" w:rsidP="005048D2">
      <w:pPr>
        <w:pStyle w:val="ListParagraph"/>
        <w:spacing w:after="0"/>
        <w:ind w:left="1440"/>
        <w:jc w:val="both"/>
        <w:rPr>
          <w:rFonts w:ascii="Times New Roman" w:hAnsi="Times New Roman"/>
        </w:rPr>
      </w:pPr>
    </w:p>
    <w:p w14:paraId="5557C28F" w14:textId="77777777" w:rsidR="005048D2" w:rsidRPr="006A7992" w:rsidRDefault="005048D2" w:rsidP="002F43F8">
      <w:pPr>
        <w:pStyle w:val="ListParagraph"/>
        <w:numPr>
          <w:ilvl w:val="1"/>
          <w:numId w:val="20"/>
        </w:numPr>
        <w:spacing w:after="0"/>
        <w:jc w:val="both"/>
        <w:rPr>
          <w:rFonts w:ascii="Times New Roman" w:hAnsi="Times New Roman"/>
        </w:rPr>
      </w:pPr>
      <w:r w:rsidRPr="006A7992">
        <w:rPr>
          <w:rFonts w:ascii="Times New Roman" w:hAnsi="Times New Roman"/>
        </w:rPr>
        <w:t>In 2015, the Kuwait Society for Human Rights published a report tracking the conditions of Kuwaiti women over the past 5 years and called on the government to grant Kuwaiti women the right to pass on citizenship to their children from non-Kuwaitis unconditionally.</w:t>
      </w:r>
      <w:r w:rsidRPr="006A7992">
        <w:rPr>
          <w:rStyle w:val="FootnoteReference"/>
          <w:rFonts w:ascii="Times New Roman" w:hAnsi="Times New Roman"/>
        </w:rPr>
        <w:footnoteReference w:id="63"/>
      </w:r>
      <w:r w:rsidRPr="006A7992">
        <w:rPr>
          <w:rFonts w:ascii="Times New Roman" w:hAnsi="Times New Roman"/>
        </w:rPr>
        <w:t xml:space="preserve"> </w:t>
      </w:r>
    </w:p>
    <w:p w14:paraId="22CFCF6D" w14:textId="77777777" w:rsidR="005048D2" w:rsidRPr="006A7992" w:rsidRDefault="005048D2" w:rsidP="005048D2">
      <w:pPr>
        <w:pStyle w:val="ListParagraph"/>
        <w:rPr>
          <w:rFonts w:ascii="Times New Roman" w:hAnsi="Times New Roman"/>
        </w:rPr>
      </w:pPr>
    </w:p>
    <w:p w14:paraId="19555C85" w14:textId="3EE42C13" w:rsidR="005048D2" w:rsidRDefault="005048D2" w:rsidP="002F43F8">
      <w:pPr>
        <w:pStyle w:val="ListParagraph"/>
        <w:numPr>
          <w:ilvl w:val="0"/>
          <w:numId w:val="22"/>
        </w:numPr>
        <w:spacing w:after="0"/>
        <w:jc w:val="both"/>
        <w:rPr>
          <w:rFonts w:ascii="Times New Roman" w:hAnsi="Times New Roman"/>
        </w:rPr>
      </w:pPr>
      <w:r w:rsidRPr="006A7992">
        <w:rPr>
          <w:rFonts w:ascii="Times New Roman" w:hAnsi="Times New Roman"/>
        </w:rPr>
        <w:t>Despite these numerous recommendations, commitments and reiterations of Kuwait’s failures to protect every child’s right to acquire a nationality, as set out in this submission, the situation in Kuwait remains deeply concerning, as children are routinely deprived of their right to nationality as a result of discrimination against Bidoon and on the basis of sex.</w:t>
      </w:r>
    </w:p>
    <w:p w14:paraId="527BB975" w14:textId="7BB4F785" w:rsidR="005048D2" w:rsidRDefault="005048D2" w:rsidP="005048D2">
      <w:pPr>
        <w:jc w:val="both"/>
        <w:rPr>
          <w:rFonts w:ascii="Times New Roman" w:hAnsi="Times New Roman"/>
        </w:rPr>
      </w:pPr>
    </w:p>
    <w:p w14:paraId="6888AC10" w14:textId="77777777" w:rsidR="008D29BF" w:rsidRDefault="008D29BF" w:rsidP="005048D2">
      <w:pPr>
        <w:jc w:val="both"/>
        <w:rPr>
          <w:rFonts w:ascii="Times New Roman" w:hAnsi="Times New Roman"/>
        </w:rPr>
      </w:pPr>
    </w:p>
    <w:p w14:paraId="402570D0" w14:textId="0951ED99" w:rsidR="005048D2" w:rsidRPr="002F43F8" w:rsidRDefault="005048D2" w:rsidP="002F43F8">
      <w:pPr>
        <w:pStyle w:val="Heading1"/>
        <w:rPr>
          <w:rFonts w:ascii="Helvetica" w:hAnsi="Helvetica" w:cs="Helvetica"/>
          <w:b/>
          <w:bCs/>
          <w:sz w:val="22"/>
          <w:szCs w:val="22"/>
        </w:rPr>
      </w:pPr>
      <w:bookmarkStart w:id="2" w:name="_Annex_II_-"/>
      <w:bookmarkEnd w:id="2"/>
      <w:r w:rsidRPr="002F43F8">
        <w:rPr>
          <w:rFonts w:ascii="Helvetica" w:hAnsi="Helvetica" w:cs="Helvetica"/>
          <w:b/>
          <w:bCs/>
          <w:color w:val="4721A5"/>
          <w:sz w:val="22"/>
          <w:szCs w:val="22"/>
        </w:rPr>
        <w:t>Annex II</w:t>
      </w:r>
      <w:r w:rsidR="00EF6784" w:rsidRPr="002F43F8">
        <w:rPr>
          <w:rFonts w:ascii="Helvetica" w:hAnsi="Helvetica" w:cs="Helvetica"/>
          <w:b/>
          <w:bCs/>
          <w:color w:val="4721A5"/>
          <w:sz w:val="22"/>
          <w:szCs w:val="22"/>
        </w:rPr>
        <w:t xml:space="preserve"> - </w:t>
      </w:r>
      <w:r w:rsidRPr="002F43F8">
        <w:rPr>
          <w:rFonts w:ascii="Helvetica" w:hAnsi="Helvetica" w:cs="Helvetica"/>
          <w:b/>
          <w:bCs/>
          <w:color w:val="4721A5"/>
          <w:sz w:val="22"/>
          <w:szCs w:val="22"/>
        </w:rPr>
        <w:t xml:space="preserve">The report of Kuwait to the </w:t>
      </w:r>
      <w:r w:rsidR="00EF6784" w:rsidRPr="002F43F8">
        <w:rPr>
          <w:rFonts w:ascii="Helvetica" w:hAnsi="Helvetica" w:cs="Helvetica"/>
          <w:b/>
          <w:bCs/>
          <w:color w:val="4721A5"/>
          <w:sz w:val="22"/>
          <w:szCs w:val="22"/>
        </w:rPr>
        <w:t xml:space="preserve">CRC </w:t>
      </w:r>
      <w:r w:rsidRPr="002F43F8">
        <w:rPr>
          <w:rFonts w:ascii="Helvetica" w:hAnsi="Helvetica" w:cs="Helvetica"/>
          <w:b/>
          <w:bCs/>
          <w:color w:val="4721A5"/>
          <w:sz w:val="22"/>
          <w:szCs w:val="22"/>
        </w:rPr>
        <w:t xml:space="preserve">Committee </w:t>
      </w:r>
    </w:p>
    <w:p w14:paraId="7765C236" w14:textId="77777777" w:rsidR="005048D2" w:rsidRPr="00D12967" w:rsidRDefault="005048D2" w:rsidP="005048D2">
      <w:pPr>
        <w:pStyle w:val="ListParagraph"/>
        <w:spacing w:after="0"/>
        <w:ind w:left="426" w:hanging="426"/>
        <w:jc w:val="both"/>
      </w:pPr>
    </w:p>
    <w:p w14:paraId="15D88BFA" w14:textId="77777777" w:rsidR="005048D2" w:rsidRPr="006A7992" w:rsidRDefault="005048D2" w:rsidP="002F43F8">
      <w:pPr>
        <w:pStyle w:val="ListParagraph"/>
        <w:numPr>
          <w:ilvl w:val="0"/>
          <w:numId w:val="21"/>
        </w:numPr>
        <w:spacing w:after="0"/>
        <w:jc w:val="both"/>
        <w:rPr>
          <w:rFonts w:ascii="Times New Roman" w:hAnsi="Times New Roman"/>
        </w:rPr>
      </w:pPr>
      <w:r w:rsidRPr="006A7992">
        <w:rPr>
          <w:rFonts w:ascii="Times New Roman" w:hAnsi="Times New Roman"/>
        </w:rPr>
        <w:t>The government of Kuwait submitted its combined third to sixth reports to the Committee,</w:t>
      </w:r>
      <w:r w:rsidRPr="006A7992">
        <w:rPr>
          <w:rStyle w:val="FootnoteReference"/>
          <w:rFonts w:ascii="Times New Roman" w:hAnsi="Times New Roman"/>
        </w:rPr>
        <w:footnoteReference w:id="64"/>
      </w:r>
      <w:r w:rsidRPr="006A7992">
        <w:rPr>
          <w:rFonts w:ascii="Times New Roman" w:hAnsi="Times New Roman"/>
        </w:rPr>
        <w:t xml:space="preserve"> in which it has provided the Committee with the State’s perspective on, and justification of the enduring situation in the country, in relation to every child’s right to a nationality. In this report, the government maintained that the </w:t>
      </w:r>
    </w:p>
    <w:p w14:paraId="2F7EC120" w14:textId="77777777" w:rsidR="005048D2" w:rsidRPr="006A7992" w:rsidRDefault="005048D2" w:rsidP="005048D2">
      <w:pPr>
        <w:pStyle w:val="ListParagraph"/>
        <w:spacing w:after="0"/>
        <w:ind w:left="426"/>
        <w:jc w:val="both"/>
        <w:rPr>
          <w:rFonts w:ascii="Times New Roman" w:hAnsi="Times New Roman"/>
        </w:rPr>
      </w:pPr>
    </w:p>
    <w:p w14:paraId="2CC3B128" w14:textId="77777777" w:rsidR="005048D2" w:rsidRPr="006A7992" w:rsidRDefault="005048D2" w:rsidP="0013244C">
      <w:pPr>
        <w:pStyle w:val="ListParagraph"/>
        <w:spacing w:after="0"/>
        <w:jc w:val="both"/>
        <w:rPr>
          <w:rFonts w:ascii="Times New Roman" w:hAnsi="Times New Roman"/>
        </w:rPr>
      </w:pPr>
      <w:r w:rsidRPr="006A7992">
        <w:rPr>
          <w:rFonts w:ascii="Times New Roman" w:hAnsi="Times New Roman"/>
          <w:i/>
          <w:iCs/>
        </w:rPr>
        <w:t>“reservation entered by the State of Kuwait to article 7 concerning the child’s right to acquire a nationality was due to its incompatibility with the Kuwaiti Nationality Act, which stipulates that children’s nationality shall be acquired from their father.”</w:t>
      </w:r>
      <w:r w:rsidRPr="006A7992">
        <w:rPr>
          <w:rStyle w:val="FootnoteReference"/>
          <w:rFonts w:ascii="Times New Roman" w:hAnsi="Times New Roman"/>
        </w:rPr>
        <w:footnoteReference w:id="65"/>
      </w:r>
      <w:r w:rsidRPr="006A7992">
        <w:rPr>
          <w:rFonts w:ascii="Times New Roman" w:hAnsi="Times New Roman"/>
        </w:rPr>
        <w:t xml:space="preserve"> </w:t>
      </w:r>
    </w:p>
    <w:p w14:paraId="6A701EC6" w14:textId="77777777" w:rsidR="005048D2" w:rsidRPr="006A7992" w:rsidRDefault="005048D2" w:rsidP="005048D2">
      <w:pPr>
        <w:pStyle w:val="ListParagraph"/>
        <w:spacing w:after="0"/>
        <w:ind w:left="426"/>
        <w:jc w:val="both"/>
        <w:rPr>
          <w:rFonts w:ascii="Times New Roman" w:hAnsi="Times New Roman"/>
        </w:rPr>
      </w:pPr>
    </w:p>
    <w:p w14:paraId="6A598A90" w14:textId="77777777" w:rsidR="005048D2" w:rsidRPr="006A7992" w:rsidRDefault="005048D2" w:rsidP="002F43F8">
      <w:pPr>
        <w:pStyle w:val="ListParagraph"/>
        <w:numPr>
          <w:ilvl w:val="0"/>
          <w:numId w:val="21"/>
        </w:numPr>
        <w:spacing w:after="0"/>
        <w:ind w:left="426" w:hanging="426"/>
        <w:jc w:val="both"/>
        <w:rPr>
          <w:rFonts w:ascii="Times New Roman" w:hAnsi="Times New Roman"/>
        </w:rPr>
      </w:pPr>
      <w:r w:rsidRPr="006A7992">
        <w:rPr>
          <w:rFonts w:ascii="Times New Roman" w:hAnsi="Times New Roman"/>
        </w:rPr>
        <w:t>Kuwait also argued that:</w:t>
      </w:r>
    </w:p>
    <w:p w14:paraId="0825A117" w14:textId="77777777" w:rsidR="005048D2" w:rsidRPr="006A7992" w:rsidRDefault="005048D2" w:rsidP="005048D2">
      <w:pPr>
        <w:pStyle w:val="ListParagraph"/>
        <w:spacing w:after="0"/>
        <w:ind w:left="426"/>
        <w:jc w:val="both"/>
        <w:rPr>
          <w:rFonts w:ascii="Times New Roman" w:hAnsi="Times New Roman"/>
        </w:rPr>
      </w:pPr>
    </w:p>
    <w:p w14:paraId="26A19C9D" w14:textId="77777777" w:rsidR="005048D2" w:rsidRPr="006A7992" w:rsidRDefault="005048D2" w:rsidP="0013244C">
      <w:pPr>
        <w:pStyle w:val="ListParagraph"/>
        <w:spacing w:after="0"/>
        <w:jc w:val="both"/>
        <w:rPr>
          <w:rFonts w:ascii="Times New Roman" w:hAnsi="Times New Roman"/>
        </w:rPr>
      </w:pPr>
      <w:r w:rsidRPr="006A7992">
        <w:rPr>
          <w:rFonts w:ascii="Times New Roman" w:hAnsi="Times New Roman"/>
          <w:i/>
          <w:iCs/>
        </w:rPr>
        <w:t>“the children of illegal residents enjoy all the rights enshrined in the Convention. […] They are guaranteed the same level of education as their Kuwaiti peers. Since the establishment of the Central Agency, the Government has guaranteed comprehensive treatment services for illegal residents in all governmental health-care centres and hospitals free of charge. […] The acquisition of all kinds of civil registration documents is an inalienable right of all persons residing in the territory of the State, in accordance with Act No. 36 of 1969 concerning the registration of births and deaths</w:t>
      </w:r>
      <w:r w:rsidRPr="006A7992">
        <w:rPr>
          <w:rFonts w:ascii="Times New Roman" w:hAnsi="Times New Roman"/>
        </w:rPr>
        <w:t>.”</w:t>
      </w:r>
      <w:r w:rsidRPr="006A7992">
        <w:rPr>
          <w:rStyle w:val="FootnoteReference"/>
          <w:rFonts w:ascii="Times New Roman" w:hAnsi="Times New Roman"/>
        </w:rPr>
        <w:footnoteReference w:id="66"/>
      </w:r>
    </w:p>
    <w:p w14:paraId="210201C9" w14:textId="77777777" w:rsidR="005048D2" w:rsidRPr="006A7992" w:rsidRDefault="005048D2" w:rsidP="005048D2">
      <w:pPr>
        <w:pStyle w:val="ListParagraph"/>
        <w:spacing w:after="0"/>
        <w:ind w:left="426"/>
        <w:jc w:val="both"/>
        <w:rPr>
          <w:rFonts w:ascii="Times New Roman" w:hAnsi="Times New Roman"/>
        </w:rPr>
      </w:pPr>
    </w:p>
    <w:p w14:paraId="650B522F" w14:textId="77777777" w:rsidR="005048D2" w:rsidRPr="006A7992" w:rsidRDefault="005048D2" w:rsidP="005048D2">
      <w:pPr>
        <w:pStyle w:val="ListParagraph"/>
        <w:spacing w:after="0"/>
        <w:ind w:left="426"/>
        <w:jc w:val="both"/>
        <w:rPr>
          <w:rFonts w:ascii="Times New Roman" w:hAnsi="Times New Roman"/>
        </w:rPr>
      </w:pPr>
      <w:r w:rsidRPr="006A7992">
        <w:rPr>
          <w:rFonts w:ascii="Times New Roman" w:hAnsi="Times New Roman"/>
        </w:rPr>
        <w:t>It must be noted here, that the co-submitting organisations as a general principle contest the use of the terminology “illegal residents”, which criminalises individuals and communities, who have often endured discriminatory and arbitrary deprivations.</w:t>
      </w:r>
    </w:p>
    <w:p w14:paraId="7E5CD0ED" w14:textId="77777777" w:rsidR="005048D2" w:rsidRPr="006A7992" w:rsidRDefault="005048D2" w:rsidP="005048D2">
      <w:pPr>
        <w:pStyle w:val="ListParagraph"/>
        <w:spacing w:after="0"/>
        <w:ind w:left="426"/>
        <w:jc w:val="both"/>
        <w:rPr>
          <w:rFonts w:ascii="Times New Roman" w:hAnsi="Times New Roman"/>
        </w:rPr>
      </w:pPr>
    </w:p>
    <w:p w14:paraId="73126FEB" w14:textId="77777777" w:rsidR="0013244C" w:rsidRDefault="005048D2" w:rsidP="002F43F8">
      <w:pPr>
        <w:pStyle w:val="ListParagraph"/>
        <w:numPr>
          <w:ilvl w:val="0"/>
          <w:numId w:val="21"/>
        </w:numPr>
        <w:spacing w:after="0"/>
        <w:ind w:left="426" w:hanging="426"/>
        <w:jc w:val="both"/>
        <w:rPr>
          <w:rFonts w:ascii="Times New Roman" w:hAnsi="Times New Roman"/>
        </w:rPr>
      </w:pPr>
      <w:r w:rsidRPr="006A7992">
        <w:rPr>
          <w:rFonts w:ascii="Times New Roman" w:hAnsi="Times New Roman"/>
        </w:rPr>
        <w:t>The State inaccurately stated that</w:t>
      </w:r>
      <w:r w:rsidR="0013244C">
        <w:rPr>
          <w:rFonts w:ascii="Times New Roman" w:hAnsi="Times New Roman"/>
        </w:rPr>
        <w:t>:</w:t>
      </w:r>
    </w:p>
    <w:p w14:paraId="669F64CA" w14:textId="77777777" w:rsidR="0013244C" w:rsidRDefault="0013244C" w:rsidP="0013244C">
      <w:pPr>
        <w:pStyle w:val="ListParagraph"/>
        <w:spacing w:after="0"/>
        <w:ind w:left="426"/>
        <w:jc w:val="both"/>
        <w:rPr>
          <w:rFonts w:ascii="Times New Roman" w:hAnsi="Times New Roman"/>
        </w:rPr>
      </w:pPr>
    </w:p>
    <w:p w14:paraId="40B15112" w14:textId="77777777" w:rsidR="0013244C" w:rsidRDefault="005048D2" w:rsidP="0013244C">
      <w:pPr>
        <w:pStyle w:val="ListParagraph"/>
        <w:spacing w:after="0"/>
        <w:jc w:val="both"/>
        <w:rPr>
          <w:rFonts w:ascii="Times New Roman" w:hAnsi="Times New Roman"/>
        </w:rPr>
      </w:pPr>
      <w:r w:rsidRPr="006A7992">
        <w:rPr>
          <w:rFonts w:ascii="Times New Roman" w:hAnsi="Times New Roman"/>
          <w:i/>
          <w:iCs/>
        </w:rPr>
        <w:t>“the Kuwaiti Nationality Act […] adopts the principle applied in the majority of such laws throughout the world, namely the granting of nationality on the basis of jus sanguinis in the light of the father’s nationality</w:t>
      </w:r>
      <w:r w:rsidRPr="006A7992">
        <w:rPr>
          <w:rFonts w:ascii="Times New Roman" w:hAnsi="Times New Roman"/>
        </w:rPr>
        <w:t>”,</w:t>
      </w:r>
      <w:r w:rsidRPr="006A7992">
        <w:rPr>
          <w:rStyle w:val="FootnoteReference"/>
          <w:rFonts w:ascii="Times New Roman" w:hAnsi="Times New Roman"/>
        </w:rPr>
        <w:footnoteReference w:id="67"/>
      </w:r>
      <w:r w:rsidRPr="006A7992">
        <w:rPr>
          <w:rFonts w:ascii="Times New Roman" w:hAnsi="Times New Roman"/>
        </w:rPr>
        <w:t xml:space="preserve"> </w:t>
      </w:r>
    </w:p>
    <w:p w14:paraId="62B6E296" w14:textId="77777777" w:rsidR="0013244C" w:rsidRDefault="0013244C" w:rsidP="0013244C">
      <w:pPr>
        <w:pStyle w:val="ListParagraph"/>
        <w:spacing w:after="0"/>
        <w:ind w:left="426"/>
        <w:jc w:val="both"/>
        <w:rPr>
          <w:rFonts w:ascii="Times New Roman" w:hAnsi="Times New Roman"/>
        </w:rPr>
      </w:pPr>
    </w:p>
    <w:p w14:paraId="7D584B5E" w14:textId="77777777" w:rsidR="0013244C" w:rsidRDefault="005048D2" w:rsidP="0013244C">
      <w:pPr>
        <w:pStyle w:val="ListParagraph"/>
        <w:spacing w:after="0"/>
        <w:ind w:left="426"/>
        <w:jc w:val="both"/>
        <w:rPr>
          <w:rFonts w:ascii="Times New Roman" w:hAnsi="Times New Roman"/>
        </w:rPr>
      </w:pPr>
      <w:r w:rsidRPr="006A7992">
        <w:rPr>
          <w:rFonts w:ascii="Times New Roman" w:hAnsi="Times New Roman"/>
        </w:rPr>
        <w:t>when in reality, only 25 countries in the world still maintain nationality laws which discriminate against mothers, in relation to their right to pass on citizenship to their children.  The government further clarified that</w:t>
      </w:r>
      <w:r w:rsidR="0013244C">
        <w:rPr>
          <w:rFonts w:ascii="Times New Roman" w:hAnsi="Times New Roman"/>
        </w:rPr>
        <w:t>:</w:t>
      </w:r>
    </w:p>
    <w:p w14:paraId="0899676D" w14:textId="77777777" w:rsidR="0013244C" w:rsidRDefault="0013244C" w:rsidP="0013244C">
      <w:pPr>
        <w:pStyle w:val="ListParagraph"/>
        <w:spacing w:after="0"/>
        <w:ind w:left="426"/>
        <w:jc w:val="both"/>
        <w:rPr>
          <w:rFonts w:ascii="Times New Roman" w:hAnsi="Times New Roman"/>
        </w:rPr>
      </w:pPr>
    </w:p>
    <w:p w14:paraId="215D0CD3" w14:textId="77777777" w:rsidR="0013244C" w:rsidRDefault="005048D2" w:rsidP="0013244C">
      <w:pPr>
        <w:pStyle w:val="ListParagraph"/>
        <w:spacing w:after="0"/>
        <w:jc w:val="both"/>
        <w:rPr>
          <w:rFonts w:ascii="Times New Roman" w:hAnsi="Times New Roman"/>
        </w:rPr>
      </w:pPr>
      <w:r w:rsidRPr="006A7992">
        <w:rPr>
          <w:rFonts w:ascii="Times New Roman" w:hAnsi="Times New Roman"/>
        </w:rPr>
        <w:t>“</w:t>
      </w:r>
      <w:r w:rsidRPr="006A7992">
        <w:rPr>
          <w:rFonts w:ascii="Times New Roman" w:hAnsi="Times New Roman"/>
          <w:i/>
          <w:iCs/>
        </w:rPr>
        <w:t>the Nationality Act grants Kuwaiti nationality to the children of Kuwaiti women on humanitarian grounds under specific conditions</w:t>
      </w:r>
      <w:r w:rsidRPr="006A7992">
        <w:rPr>
          <w:rFonts w:ascii="Times New Roman" w:hAnsi="Times New Roman"/>
        </w:rPr>
        <w:t>”, namely that “</w:t>
      </w:r>
      <w:r w:rsidRPr="006A7992">
        <w:rPr>
          <w:rFonts w:ascii="Times New Roman" w:hAnsi="Times New Roman"/>
          <w:i/>
          <w:iCs/>
        </w:rPr>
        <w:t>Anyone born within or outside Kuwait to a Kuwaiti mother and a father who is unknown or whose paternity has not been legally established shall be a Kuwaiti</w:t>
      </w:r>
      <w:r w:rsidRPr="006A7992">
        <w:rPr>
          <w:rFonts w:ascii="Times New Roman" w:hAnsi="Times New Roman"/>
        </w:rPr>
        <w:t>.”</w:t>
      </w:r>
      <w:r w:rsidRPr="006A7992">
        <w:rPr>
          <w:rStyle w:val="FootnoteReference"/>
          <w:rFonts w:ascii="Times New Roman" w:hAnsi="Times New Roman"/>
        </w:rPr>
        <w:footnoteReference w:id="68"/>
      </w:r>
      <w:r w:rsidRPr="006A7992">
        <w:rPr>
          <w:rFonts w:ascii="Times New Roman" w:hAnsi="Times New Roman"/>
        </w:rPr>
        <w:t xml:space="preserve"> </w:t>
      </w:r>
    </w:p>
    <w:p w14:paraId="65FA2B47" w14:textId="77777777" w:rsidR="0013244C" w:rsidRDefault="0013244C" w:rsidP="0013244C">
      <w:pPr>
        <w:pStyle w:val="ListParagraph"/>
        <w:spacing w:after="0"/>
        <w:ind w:left="426"/>
        <w:jc w:val="both"/>
        <w:rPr>
          <w:rFonts w:ascii="Times New Roman" w:hAnsi="Times New Roman"/>
        </w:rPr>
      </w:pPr>
    </w:p>
    <w:p w14:paraId="49C81DF7" w14:textId="09C1AC43" w:rsidR="005048D2" w:rsidRPr="006A7992" w:rsidRDefault="005048D2" w:rsidP="0013244C">
      <w:pPr>
        <w:pStyle w:val="ListParagraph"/>
        <w:spacing w:after="0"/>
        <w:ind w:left="426"/>
        <w:jc w:val="both"/>
        <w:rPr>
          <w:rFonts w:ascii="Times New Roman" w:hAnsi="Times New Roman"/>
        </w:rPr>
      </w:pPr>
      <w:r w:rsidRPr="006A7992">
        <w:rPr>
          <w:rFonts w:ascii="Times New Roman" w:hAnsi="Times New Roman"/>
        </w:rPr>
        <w:t>The State also referred to article 5 (2) of Act No. 100 of 1980 amending the Kuwaiti Nationality of Act No. 15 of 1959, according to which “</w:t>
      </w:r>
      <w:r w:rsidRPr="006A7992">
        <w:rPr>
          <w:rFonts w:ascii="Times New Roman" w:hAnsi="Times New Roman"/>
          <w:i/>
          <w:iCs/>
        </w:rPr>
        <w:t>Kuwaiti nationality is granted to the children of Kuwaiti women who have been irrevocably divorced or whose husbands are deceased or prisoners of war.</w:t>
      </w:r>
      <w:r w:rsidRPr="006A7992">
        <w:rPr>
          <w:rFonts w:ascii="Times New Roman" w:hAnsi="Times New Roman"/>
        </w:rPr>
        <w:t>”</w:t>
      </w:r>
      <w:r w:rsidRPr="006A7992">
        <w:rPr>
          <w:rStyle w:val="FootnoteReference"/>
          <w:rFonts w:ascii="Times New Roman" w:hAnsi="Times New Roman"/>
        </w:rPr>
        <w:footnoteReference w:id="69"/>
      </w:r>
    </w:p>
    <w:p w14:paraId="1D326EF7" w14:textId="77777777" w:rsidR="005048D2" w:rsidRPr="006A7992" w:rsidRDefault="005048D2" w:rsidP="005048D2">
      <w:pPr>
        <w:pStyle w:val="ListParagraph"/>
        <w:spacing w:after="0"/>
        <w:ind w:left="426"/>
        <w:jc w:val="both"/>
        <w:rPr>
          <w:rFonts w:ascii="Times New Roman" w:hAnsi="Times New Roman"/>
        </w:rPr>
      </w:pPr>
    </w:p>
    <w:p w14:paraId="439D63BE" w14:textId="77777777" w:rsidR="0013244C" w:rsidRDefault="005048D2" w:rsidP="002F43F8">
      <w:pPr>
        <w:pStyle w:val="ListParagraph"/>
        <w:numPr>
          <w:ilvl w:val="0"/>
          <w:numId w:val="21"/>
        </w:numPr>
        <w:spacing w:after="0"/>
        <w:ind w:left="426" w:hanging="426"/>
        <w:jc w:val="both"/>
        <w:rPr>
          <w:rFonts w:ascii="Times New Roman" w:hAnsi="Times New Roman"/>
        </w:rPr>
      </w:pPr>
      <w:r w:rsidRPr="006A7992">
        <w:rPr>
          <w:rFonts w:ascii="Times New Roman" w:hAnsi="Times New Roman"/>
        </w:rPr>
        <w:t>The State report further noted that</w:t>
      </w:r>
      <w:r w:rsidR="0013244C">
        <w:rPr>
          <w:rFonts w:ascii="Times New Roman" w:hAnsi="Times New Roman"/>
        </w:rPr>
        <w:t>:</w:t>
      </w:r>
    </w:p>
    <w:p w14:paraId="4017DFB1" w14:textId="77777777" w:rsidR="0013244C" w:rsidRDefault="0013244C" w:rsidP="0013244C">
      <w:pPr>
        <w:pStyle w:val="ListParagraph"/>
        <w:spacing w:after="0"/>
        <w:ind w:left="426"/>
        <w:jc w:val="both"/>
        <w:rPr>
          <w:rFonts w:ascii="Times New Roman" w:hAnsi="Times New Roman"/>
        </w:rPr>
      </w:pPr>
    </w:p>
    <w:p w14:paraId="23745417" w14:textId="77777777" w:rsidR="0013244C" w:rsidRDefault="005048D2" w:rsidP="0013244C">
      <w:pPr>
        <w:pStyle w:val="ListParagraph"/>
        <w:spacing w:after="0"/>
        <w:jc w:val="both"/>
        <w:rPr>
          <w:rFonts w:ascii="Times New Roman" w:hAnsi="Times New Roman"/>
        </w:rPr>
      </w:pPr>
      <w:r w:rsidRPr="006A7992">
        <w:rPr>
          <w:rFonts w:ascii="Times New Roman" w:hAnsi="Times New Roman"/>
        </w:rPr>
        <w:t>“</w:t>
      </w:r>
      <w:r w:rsidRPr="006A7992">
        <w:rPr>
          <w:rFonts w:ascii="Times New Roman" w:hAnsi="Times New Roman"/>
          <w:i/>
          <w:iCs/>
        </w:rPr>
        <w:t>Article 16 of Act No. 21 of 2015 concerning the rights of the child requires the Ministry of Social Affairs to attribute a triple name to a child of unknown parentage and record the data in its birth files. The health authority sends a copy of the documents to the Ministry of Health so that the child’s data may be recorded in the birth register</w:t>
      </w:r>
      <w:r w:rsidRPr="006A7992">
        <w:rPr>
          <w:rFonts w:ascii="Times New Roman" w:hAnsi="Times New Roman"/>
        </w:rPr>
        <w:t>.”</w:t>
      </w:r>
      <w:r w:rsidRPr="006A7992">
        <w:rPr>
          <w:rStyle w:val="FootnoteReference"/>
          <w:rFonts w:ascii="Times New Roman" w:hAnsi="Times New Roman"/>
        </w:rPr>
        <w:footnoteReference w:id="70"/>
      </w:r>
      <w:r w:rsidRPr="006A7992">
        <w:rPr>
          <w:rFonts w:ascii="Times New Roman" w:hAnsi="Times New Roman"/>
        </w:rPr>
        <w:t xml:space="preserve"> </w:t>
      </w:r>
    </w:p>
    <w:p w14:paraId="3B57D13D" w14:textId="77777777" w:rsidR="0013244C" w:rsidRDefault="0013244C" w:rsidP="0013244C">
      <w:pPr>
        <w:pStyle w:val="ListParagraph"/>
        <w:spacing w:after="0"/>
        <w:ind w:left="426"/>
        <w:jc w:val="both"/>
        <w:rPr>
          <w:rFonts w:ascii="Times New Roman" w:hAnsi="Times New Roman"/>
        </w:rPr>
      </w:pPr>
    </w:p>
    <w:p w14:paraId="32D7B23A" w14:textId="40CAB392" w:rsidR="005048D2" w:rsidRPr="006A7992" w:rsidRDefault="005048D2" w:rsidP="0013244C">
      <w:pPr>
        <w:pStyle w:val="ListParagraph"/>
        <w:spacing w:after="0"/>
        <w:ind w:left="426"/>
        <w:jc w:val="both"/>
        <w:rPr>
          <w:rFonts w:ascii="Times New Roman" w:hAnsi="Times New Roman"/>
        </w:rPr>
      </w:pPr>
      <w:r w:rsidRPr="006A7992">
        <w:rPr>
          <w:rFonts w:ascii="Times New Roman" w:hAnsi="Times New Roman"/>
        </w:rPr>
        <w:t>However, there remain concerns about the non-discriminatory implementation of these provision, to members of the Bidoon community.</w:t>
      </w:r>
    </w:p>
    <w:p w14:paraId="17DD3344" w14:textId="77777777" w:rsidR="005048D2" w:rsidRPr="006A7992" w:rsidRDefault="005048D2" w:rsidP="005048D2">
      <w:pPr>
        <w:pStyle w:val="ListParagraph"/>
        <w:spacing w:after="0"/>
        <w:ind w:left="426"/>
        <w:jc w:val="both"/>
        <w:rPr>
          <w:rFonts w:ascii="Times New Roman" w:hAnsi="Times New Roman"/>
        </w:rPr>
      </w:pPr>
    </w:p>
    <w:p w14:paraId="75679508" w14:textId="77777777" w:rsidR="0013244C" w:rsidRDefault="005048D2" w:rsidP="002F43F8">
      <w:pPr>
        <w:pStyle w:val="ListParagraph"/>
        <w:numPr>
          <w:ilvl w:val="0"/>
          <w:numId w:val="21"/>
        </w:numPr>
        <w:spacing w:after="0"/>
        <w:ind w:left="426" w:hanging="426"/>
        <w:jc w:val="both"/>
        <w:rPr>
          <w:rFonts w:ascii="Times New Roman" w:hAnsi="Times New Roman"/>
        </w:rPr>
      </w:pPr>
      <w:r w:rsidRPr="006A7992">
        <w:rPr>
          <w:rFonts w:ascii="Times New Roman" w:hAnsi="Times New Roman"/>
        </w:rPr>
        <w:t>Kuwait also inaccurately argued that</w:t>
      </w:r>
      <w:r w:rsidR="0013244C">
        <w:rPr>
          <w:rFonts w:ascii="Times New Roman" w:hAnsi="Times New Roman"/>
        </w:rPr>
        <w:t>:</w:t>
      </w:r>
    </w:p>
    <w:p w14:paraId="3639D7F0" w14:textId="77777777" w:rsidR="0013244C" w:rsidRDefault="0013244C" w:rsidP="0013244C">
      <w:pPr>
        <w:pStyle w:val="ListParagraph"/>
        <w:spacing w:after="0"/>
        <w:ind w:left="426"/>
        <w:jc w:val="both"/>
        <w:rPr>
          <w:rFonts w:ascii="Times New Roman" w:hAnsi="Times New Roman"/>
          <w:i/>
          <w:iCs/>
        </w:rPr>
      </w:pPr>
    </w:p>
    <w:p w14:paraId="66D2C9CE" w14:textId="77777777" w:rsidR="0013244C" w:rsidRDefault="005048D2" w:rsidP="0013244C">
      <w:pPr>
        <w:pStyle w:val="ListParagraph"/>
        <w:spacing w:after="0"/>
        <w:jc w:val="both"/>
        <w:rPr>
          <w:rFonts w:ascii="Times New Roman" w:hAnsi="Times New Roman"/>
        </w:rPr>
      </w:pPr>
      <w:r w:rsidRPr="0013244C">
        <w:rPr>
          <w:rFonts w:ascii="Times New Roman" w:hAnsi="Times New Roman"/>
          <w:i/>
          <w:iCs/>
        </w:rPr>
        <w:t>“many international human rights organizations persistently confuse two separate issues, statelessness and illegal residency”</w:t>
      </w:r>
      <w:r w:rsidRPr="0013244C">
        <w:rPr>
          <w:rFonts w:ascii="Times New Roman" w:hAnsi="Times New Roman"/>
        </w:rPr>
        <w:t xml:space="preserve"> and that the situation is different for those who </w:t>
      </w:r>
      <w:r w:rsidRPr="0013244C">
        <w:rPr>
          <w:rFonts w:ascii="Times New Roman" w:hAnsi="Times New Roman"/>
          <w:i/>
          <w:iCs/>
        </w:rPr>
        <w:t>“entered Kuwait illegally and concealed the documents indicating their original nationality with a view to settling in Kuwait, enjoying its services and benefits, and obtaining Kuwaiti nationality.”</w:t>
      </w:r>
      <w:r w:rsidRPr="0013244C">
        <w:rPr>
          <w:rFonts w:ascii="Times New Roman" w:hAnsi="Times New Roman"/>
        </w:rPr>
        <w:t xml:space="preserve"> </w:t>
      </w:r>
    </w:p>
    <w:p w14:paraId="39EF209C" w14:textId="77777777" w:rsidR="0013244C" w:rsidRDefault="0013244C" w:rsidP="0013244C">
      <w:pPr>
        <w:pStyle w:val="ListParagraph"/>
        <w:spacing w:after="0"/>
        <w:ind w:left="426"/>
        <w:jc w:val="both"/>
        <w:rPr>
          <w:rFonts w:ascii="Times New Roman" w:hAnsi="Times New Roman"/>
        </w:rPr>
      </w:pPr>
    </w:p>
    <w:p w14:paraId="1C04632A" w14:textId="1F4BCC73" w:rsidR="005048D2" w:rsidRPr="0013244C" w:rsidRDefault="005048D2" w:rsidP="0013244C">
      <w:pPr>
        <w:pStyle w:val="ListParagraph"/>
        <w:spacing w:after="0"/>
        <w:ind w:left="426"/>
        <w:jc w:val="both"/>
        <w:rPr>
          <w:rFonts w:ascii="Times New Roman" w:hAnsi="Times New Roman"/>
        </w:rPr>
      </w:pPr>
      <w:r w:rsidRPr="0013244C">
        <w:rPr>
          <w:rFonts w:ascii="Times New Roman" w:hAnsi="Times New Roman"/>
        </w:rPr>
        <w:t>According to the report:</w:t>
      </w:r>
    </w:p>
    <w:p w14:paraId="6F5D0338" w14:textId="77777777" w:rsidR="005048D2" w:rsidRPr="006A7992" w:rsidRDefault="005048D2" w:rsidP="005048D2">
      <w:pPr>
        <w:pStyle w:val="ListParagraph"/>
        <w:rPr>
          <w:rFonts w:ascii="Times New Roman" w:hAnsi="Times New Roman"/>
        </w:rPr>
      </w:pPr>
    </w:p>
    <w:p w14:paraId="5E5167B0" w14:textId="77777777" w:rsidR="005048D2" w:rsidRPr="006A7992" w:rsidRDefault="005048D2" w:rsidP="0013244C">
      <w:pPr>
        <w:pStyle w:val="ListParagraph"/>
        <w:spacing w:after="0"/>
        <w:jc w:val="both"/>
        <w:rPr>
          <w:rFonts w:ascii="Times New Roman" w:hAnsi="Times New Roman"/>
        </w:rPr>
      </w:pPr>
      <w:r w:rsidRPr="006A7992">
        <w:rPr>
          <w:rFonts w:ascii="Times New Roman" w:hAnsi="Times New Roman"/>
          <w:i/>
          <w:iCs/>
        </w:rPr>
        <w:t>“approximately 91,000 persons decided to adjust their status, revealing their nationality or leaving for their country of origin, during the period since the Iraqi invasion in 1991. Accordingly, they cannot be regarded as stateless persons, and the fact that the State of Kuwait has not acceded to the instruments in question has no impact on their situation, since the provisions are not applicable to the persons concerned.”</w:t>
      </w:r>
      <w:r w:rsidRPr="006A7992">
        <w:rPr>
          <w:rStyle w:val="FootnoteReference"/>
          <w:rFonts w:ascii="Times New Roman" w:hAnsi="Times New Roman"/>
          <w:i/>
          <w:iCs/>
        </w:rPr>
        <w:footnoteReference w:id="71"/>
      </w:r>
    </w:p>
    <w:p w14:paraId="7403BDF3" w14:textId="77777777" w:rsidR="005048D2" w:rsidRPr="006A7992" w:rsidRDefault="005048D2" w:rsidP="005048D2">
      <w:pPr>
        <w:pStyle w:val="ListParagraph"/>
        <w:spacing w:after="0"/>
        <w:ind w:left="426"/>
        <w:jc w:val="both"/>
        <w:rPr>
          <w:rFonts w:ascii="Times New Roman" w:hAnsi="Times New Roman"/>
        </w:rPr>
      </w:pPr>
    </w:p>
    <w:p w14:paraId="4E9B0C83" w14:textId="0175CD26" w:rsidR="005048D2" w:rsidRDefault="005048D2" w:rsidP="002F43F8">
      <w:pPr>
        <w:pStyle w:val="ListParagraph"/>
        <w:numPr>
          <w:ilvl w:val="0"/>
          <w:numId w:val="21"/>
        </w:numPr>
        <w:spacing w:after="0"/>
        <w:ind w:left="426" w:hanging="426"/>
        <w:jc w:val="both"/>
        <w:rPr>
          <w:rFonts w:ascii="Times New Roman" w:hAnsi="Times New Roman"/>
        </w:rPr>
      </w:pPr>
      <w:r w:rsidRPr="006A7992">
        <w:rPr>
          <w:rFonts w:ascii="Times New Roman" w:hAnsi="Times New Roman"/>
        </w:rPr>
        <w:t xml:space="preserve">As this submission </w:t>
      </w:r>
      <w:r w:rsidR="0013244C">
        <w:rPr>
          <w:rFonts w:ascii="Times New Roman" w:hAnsi="Times New Roman"/>
        </w:rPr>
        <w:t>has set</w:t>
      </w:r>
      <w:r w:rsidRPr="006A7992">
        <w:rPr>
          <w:rFonts w:ascii="Times New Roman" w:hAnsi="Times New Roman"/>
        </w:rPr>
        <w:t xml:space="preserve"> out, the Kuwait State report to the Committee is inaccurate and flawed. It obscures the ongoing denial and deprivation of the right to nationality endure by many children in Kuwait, and fails to show any real progress or genuine efforts to address the numerous recommendations made by the Committee and other bodies, over the past number of years. </w:t>
      </w:r>
    </w:p>
    <w:p w14:paraId="26C2AC85" w14:textId="77777777" w:rsidR="009D0EA5" w:rsidRPr="006A7992" w:rsidRDefault="009D0EA5" w:rsidP="009D0EA5">
      <w:pPr>
        <w:pStyle w:val="ListParagraph"/>
        <w:spacing w:after="0"/>
        <w:ind w:left="426"/>
        <w:jc w:val="both"/>
        <w:rPr>
          <w:rFonts w:ascii="Times New Roman" w:hAnsi="Times New Roman"/>
        </w:rPr>
      </w:pPr>
    </w:p>
    <w:p w14:paraId="7C842001" w14:textId="77777777" w:rsidR="009D0EA5" w:rsidRDefault="009D0EA5">
      <w:pPr>
        <w:spacing w:after="160" w:line="259" w:lineRule="auto"/>
        <w:rPr>
          <w:rFonts w:ascii="Helvetica" w:eastAsiaTheme="majorEastAsia" w:hAnsi="Helvetica" w:cs="Helvetica"/>
          <w:b/>
          <w:bCs/>
          <w:color w:val="4721A5"/>
        </w:rPr>
      </w:pPr>
      <w:bookmarkStart w:id="3" w:name="_Annex_III_-"/>
      <w:bookmarkEnd w:id="3"/>
      <w:r>
        <w:rPr>
          <w:rFonts w:ascii="Helvetica" w:hAnsi="Helvetica" w:cs="Helvetica"/>
          <w:b/>
          <w:bCs/>
          <w:color w:val="4721A5"/>
        </w:rPr>
        <w:br w:type="page"/>
      </w:r>
    </w:p>
    <w:p w14:paraId="1BB1155C" w14:textId="2D3C4732" w:rsidR="005048D2" w:rsidRPr="002F43F8" w:rsidRDefault="005048D2" w:rsidP="002F43F8">
      <w:pPr>
        <w:pStyle w:val="Heading1"/>
        <w:rPr>
          <w:rFonts w:ascii="Helvetica" w:hAnsi="Helvetica" w:cs="Helvetica"/>
          <w:b/>
          <w:bCs/>
          <w:color w:val="4721A5"/>
          <w:sz w:val="22"/>
          <w:szCs w:val="22"/>
        </w:rPr>
      </w:pPr>
      <w:r w:rsidRPr="002F43F8">
        <w:rPr>
          <w:rFonts w:ascii="Helvetica" w:hAnsi="Helvetica" w:cs="Helvetica"/>
          <w:b/>
          <w:bCs/>
          <w:color w:val="4721A5"/>
          <w:sz w:val="22"/>
          <w:szCs w:val="22"/>
        </w:rPr>
        <w:t>Annex II</w:t>
      </w:r>
      <w:r w:rsidR="00EF6784" w:rsidRPr="002F43F8">
        <w:rPr>
          <w:rFonts w:ascii="Helvetica" w:hAnsi="Helvetica" w:cs="Helvetica"/>
          <w:b/>
          <w:bCs/>
          <w:color w:val="4721A5"/>
          <w:sz w:val="22"/>
          <w:szCs w:val="22"/>
        </w:rPr>
        <w:t>I</w:t>
      </w:r>
      <w:r w:rsidRPr="002F43F8">
        <w:rPr>
          <w:rFonts w:ascii="Helvetica" w:hAnsi="Helvetica" w:cs="Helvetica"/>
          <w:b/>
          <w:bCs/>
          <w:color w:val="4721A5"/>
          <w:sz w:val="22"/>
          <w:szCs w:val="22"/>
        </w:rPr>
        <w:t xml:space="preserve"> - About this submission and the co-submitting organisations</w:t>
      </w:r>
    </w:p>
    <w:p w14:paraId="738D2B4F" w14:textId="77777777" w:rsidR="005048D2" w:rsidRPr="006A7992" w:rsidRDefault="005048D2" w:rsidP="005048D2">
      <w:pPr>
        <w:jc w:val="both"/>
        <w:rPr>
          <w:rFonts w:ascii="Times New Roman" w:hAnsi="Times New Roman"/>
          <w:b/>
          <w:bCs/>
          <w:i/>
          <w:iCs/>
        </w:rPr>
      </w:pPr>
    </w:p>
    <w:p w14:paraId="2CE82414" w14:textId="5D8F24BE" w:rsidR="005048D2" w:rsidRPr="009D0EA5" w:rsidRDefault="007B5F11" w:rsidP="009D0EA5">
      <w:pPr>
        <w:jc w:val="both"/>
        <w:rPr>
          <w:rFonts w:ascii="Times New Roman" w:hAnsi="Times New Roman"/>
        </w:rPr>
      </w:pPr>
      <w:hyperlink r:id="rId14" w:history="1">
        <w:r w:rsidR="005048D2" w:rsidRPr="009D0EA5">
          <w:rPr>
            <w:rStyle w:val="Hyperlink"/>
            <w:b/>
            <w:bCs/>
          </w:rPr>
          <w:t>SALAM for Democracy and Human Rights</w:t>
        </w:r>
      </w:hyperlink>
      <w:r w:rsidR="005048D2" w:rsidRPr="009D0EA5">
        <w:rPr>
          <w:rFonts w:ascii="Times New Roman" w:hAnsi="Times New Roman"/>
        </w:rPr>
        <w:t xml:space="preserve"> (SALAM DHR) is an NGO that endeavours to preserve universal principles of dignity and respect by shielding democracy and human rights. In the pursuit of this vision, SALAM DHR aims to influence British, European and UN representatives to improve the situation in the Middle East, and foster awareness of human rights and democracy. To accomplish these goals, SALAM DHR conducts monitoring and analysis, produces reports, develops recommendations on policy and legislation, organises advocacy campaigns, conducts trainings, and builds effective coalitions. SALAM DHR is actively involved in international cooperation for human rights and democracy, including the production of alternative reports on key human rights topics, coordinating coalitions, lobbying for reform of flawed institutions, and articulating NGO positions at the UN Human Rights Council, the European Parliament, and various domestic bodies.</w:t>
      </w:r>
    </w:p>
    <w:p w14:paraId="19B8C4F1" w14:textId="77777777" w:rsidR="009D0EA5" w:rsidRDefault="009D0EA5" w:rsidP="009D0EA5">
      <w:pPr>
        <w:jc w:val="both"/>
        <w:rPr>
          <w:rFonts w:ascii="Times New Roman" w:hAnsi="Times New Roman"/>
        </w:rPr>
      </w:pPr>
    </w:p>
    <w:p w14:paraId="4937899F" w14:textId="578162D1" w:rsidR="005048D2" w:rsidRPr="009D0EA5" w:rsidRDefault="005048D2" w:rsidP="009D0EA5">
      <w:pPr>
        <w:jc w:val="both"/>
        <w:rPr>
          <w:rFonts w:ascii="Times New Roman" w:hAnsi="Times New Roman"/>
        </w:rPr>
      </w:pPr>
      <w:r w:rsidRPr="009D0EA5">
        <w:rPr>
          <w:rFonts w:ascii="Times New Roman" w:hAnsi="Times New Roman"/>
          <w:b/>
          <w:bCs/>
        </w:rPr>
        <w:t>The Rights Realisation Centre</w:t>
      </w:r>
      <w:r w:rsidRPr="009D0EA5">
        <w:rPr>
          <w:rFonts w:ascii="Times New Roman" w:hAnsi="Times New Roman"/>
        </w:rPr>
        <w:t xml:space="preserve"> is an independent charitable organisation registered in 2018 in the United Kingdom. It seeks to promote and protect international human rights standards in states in the Middle East and North Africa, and Horn of Africa regions.</w:t>
      </w:r>
    </w:p>
    <w:p w14:paraId="1B2FAB9C" w14:textId="77777777" w:rsidR="009D0EA5" w:rsidRDefault="009D0EA5" w:rsidP="009D0EA5">
      <w:pPr>
        <w:jc w:val="both"/>
        <w:rPr>
          <w:rFonts w:ascii="Times New Roman" w:hAnsi="Times New Roman"/>
          <w:b/>
          <w:bCs/>
        </w:rPr>
      </w:pPr>
    </w:p>
    <w:p w14:paraId="1C3D971F" w14:textId="3B4D2FCD" w:rsidR="005048D2" w:rsidRPr="009D0EA5" w:rsidRDefault="007B5F11" w:rsidP="009D0EA5">
      <w:pPr>
        <w:jc w:val="both"/>
        <w:rPr>
          <w:rFonts w:ascii="Times New Roman" w:hAnsi="Times New Roman"/>
        </w:rPr>
      </w:pPr>
      <w:hyperlink r:id="rId15" w:history="1">
        <w:r w:rsidR="005048D2" w:rsidRPr="009D0EA5">
          <w:rPr>
            <w:rStyle w:val="Hyperlink"/>
            <w:b/>
            <w:bCs/>
          </w:rPr>
          <w:t>The MENA Rights Group</w:t>
        </w:r>
      </w:hyperlink>
      <w:r w:rsidR="005048D2" w:rsidRPr="009D0EA5">
        <w:rPr>
          <w:rFonts w:ascii="Times New Roman" w:hAnsi="Times New Roman"/>
        </w:rPr>
        <w:t xml:space="preserve"> is a Geneva-based legal advocacy NGO, focusing on the protection and promotion of fundamental rights and freedoms in the Middle East and North Africa. Adopting a holistic approach, we work at both the individual and structural level. We provide legal counselling to victims of human rights violations through recourse to international law mechanisms. In addition, we assess the human rights situation on the ground and bring key issues to the attention of relevant stakeholders to call for legal and policy reform.</w:t>
      </w:r>
    </w:p>
    <w:p w14:paraId="01DB3C22" w14:textId="77777777" w:rsidR="005048D2" w:rsidRPr="006A7992" w:rsidRDefault="005048D2" w:rsidP="005048D2">
      <w:pPr>
        <w:pStyle w:val="ListParagraph"/>
        <w:spacing w:after="0"/>
        <w:ind w:left="1440"/>
        <w:jc w:val="both"/>
        <w:rPr>
          <w:rFonts w:ascii="Times New Roman" w:hAnsi="Times New Roman"/>
        </w:rPr>
      </w:pPr>
    </w:p>
    <w:p w14:paraId="529E9CD9" w14:textId="554DE0FF" w:rsidR="005048D2" w:rsidRPr="009D0EA5" w:rsidRDefault="007B5F11" w:rsidP="009D0EA5">
      <w:pPr>
        <w:jc w:val="both"/>
        <w:rPr>
          <w:rFonts w:ascii="Times New Roman" w:hAnsi="Times New Roman"/>
        </w:rPr>
      </w:pPr>
      <w:hyperlink r:id="rId16" w:history="1">
        <w:r w:rsidR="005048D2" w:rsidRPr="009D0EA5">
          <w:rPr>
            <w:rStyle w:val="Hyperlink"/>
            <w:b/>
            <w:bCs/>
          </w:rPr>
          <w:t>The Global Campaign for Equal Nationality Rights</w:t>
        </w:r>
      </w:hyperlink>
      <w:r w:rsidR="005048D2" w:rsidRPr="009D0EA5">
        <w:rPr>
          <w:rFonts w:ascii="Times New Roman" w:hAnsi="Times New Roman"/>
        </w:rPr>
        <w:t xml:space="preserve"> mobili</w:t>
      </w:r>
      <w:r w:rsidR="009D0EA5">
        <w:rPr>
          <w:rFonts w:ascii="Times New Roman" w:hAnsi="Times New Roman"/>
        </w:rPr>
        <w:t>s</w:t>
      </w:r>
      <w:r w:rsidR="005048D2" w:rsidRPr="009D0EA5">
        <w:rPr>
          <w:rFonts w:ascii="Times New Roman" w:hAnsi="Times New Roman"/>
        </w:rPr>
        <w:t>es international action for the removal of gender discriminatory provisions from all nationality laws, through its coalition of national, regional and international organizations and activists. Campaign steering committee members include Equal Rights Trust, Equality Now, Institute on Statelessness and Inclusion, Women’s Learning Partnership and Women’s Refugee Commission.</w:t>
      </w:r>
    </w:p>
    <w:p w14:paraId="03B0B837" w14:textId="77777777" w:rsidR="009D0EA5" w:rsidRDefault="009D0EA5" w:rsidP="009D0EA5">
      <w:pPr>
        <w:spacing w:line="276" w:lineRule="auto"/>
        <w:jc w:val="both"/>
        <w:rPr>
          <w:rFonts w:ascii="Times New Roman" w:hAnsi="Times New Roman"/>
        </w:rPr>
      </w:pPr>
    </w:p>
    <w:p w14:paraId="382A0CB6" w14:textId="6395ABFC" w:rsidR="005048D2" w:rsidRPr="002F43F8" w:rsidRDefault="007B5F11" w:rsidP="009D0EA5">
      <w:pPr>
        <w:spacing w:line="276" w:lineRule="auto"/>
        <w:jc w:val="both"/>
      </w:pPr>
      <w:hyperlink r:id="rId17" w:history="1">
        <w:r w:rsidR="005048D2" w:rsidRPr="009D0EA5">
          <w:rPr>
            <w:rStyle w:val="Hyperlink"/>
            <w:b/>
            <w:bCs/>
          </w:rPr>
          <w:t>The Institute on Statelessness and Inclusion</w:t>
        </w:r>
      </w:hyperlink>
      <w:r w:rsidR="005048D2" w:rsidRPr="006A7992">
        <w:rPr>
          <w:rFonts w:ascii="Times New Roman" w:hAnsi="Times New Roman"/>
        </w:rPr>
        <w:t xml:space="preserve"> is an independent non-profit organisation committed to an integrated, human rights-based response to the injustice of statelessness and exclusion through a combination of research, education, partnerships and advocacy. Established in August 2014, it is the first and only global centre committed to promoting the human rights of stateless persons and ending statelessness. Addressing childhood statelessness is one of the core thematic priorities of the Institute. As part of this work, ISI has made over fifteen country submissions to the Committee,</w:t>
      </w:r>
      <w:r w:rsidR="005048D2" w:rsidRPr="006A7992">
        <w:rPr>
          <w:rStyle w:val="FootnoteReference"/>
          <w:rFonts w:ascii="Times New Roman" w:hAnsi="Times New Roman"/>
        </w:rPr>
        <w:footnoteReference w:id="72"/>
      </w:r>
      <w:r w:rsidR="005048D2" w:rsidRPr="006A7992">
        <w:rPr>
          <w:rFonts w:ascii="Times New Roman" w:hAnsi="Times New Roman"/>
        </w:rPr>
        <w:t xml:space="preserve"> developed a range of resources on the child’s right to a nationality and childhood statelessness, including a Toolkit on Addressing the Right to a Nationality through the Convention on the Rights of the Child</w:t>
      </w:r>
      <w:r w:rsidR="005048D2" w:rsidRPr="006A7992">
        <w:rPr>
          <w:rStyle w:val="FootnoteReference"/>
          <w:rFonts w:ascii="Times New Roman" w:hAnsi="Times New Roman"/>
        </w:rPr>
        <w:footnoteReference w:id="73"/>
      </w:r>
      <w:r w:rsidR="005048D2" w:rsidRPr="006A7992">
        <w:rPr>
          <w:rFonts w:ascii="Times New Roman" w:hAnsi="Times New Roman"/>
        </w:rPr>
        <w:t>, Statelessness Essentials Booklets on Childhood Statelessness,</w:t>
      </w:r>
      <w:r w:rsidR="005048D2" w:rsidRPr="006A7992">
        <w:rPr>
          <w:rStyle w:val="FootnoteReference"/>
          <w:rFonts w:ascii="Times New Roman" w:hAnsi="Times New Roman"/>
        </w:rPr>
        <w:footnoteReference w:id="74"/>
      </w:r>
      <w:r w:rsidR="005048D2" w:rsidRPr="006A7992">
        <w:rPr>
          <w:rFonts w:ascii="Times New Roman" w:hAnsi="Times New Roman"/>
        </w:rPr>
        <w:t xml:space="preserve"> the Convention on the Rights of the Child</w:t>
      </w:r>
      <w:r w:rsidR="005048D2" w:rsidRPr="006A7992">
        <w:rPr>
          <w:rStyle w:val="FootnoteReference"/>
          <w:rFonts w:ascii="Times New Roman" w:hAnsi="Times New Roman"/>
        </w:rPr>
        <w:footnoteReference w:id="75"/>
      </w:r>
      <w:r w:rsidR="005048D2" w:rsidRPr="006A7992">
        <w:rPr>
          <w:rFonts w:ascii="Times New Roman" w:hAnsi="Times New Roman"/>
        </w:rPr>
        <w:t xml:space="preserve"> and other related issues,</w:t>
      </w:r>
      <w:r w:rsidR="005048D2" w:rsidRPr="006A7992">
        <w:rPr>
          <w:rStyle w:val="FootnoteReference"/>
          <w:rFonts w:ascii="Times New Roman" w:hAnsi="Times New Roman"/>
        </w:rPr>
        <w:footnoteReference w:id="76"/>
      </w:r>
      <w:r w:rsidR="005048D2" w:rsidRPr="006A7992">
        <w:rPr>
          <w:rFonts w:ascii="Times New Roman" w:hAnsi="Times New Roman"/>
        </w:rPr>
        <w:t xml:space="preserve"> The 2017 World’s Stateless Report: Children;</w:t>
      </w:r>
      <w:r w:rsidR="005048D2" w:rsidRPr="006A7992">
        <w:rPr>
          <w:rStyle w:val="FootnoteReference"/>
          <w:rFonts w:ascii="Times New Roman" w:hAnsi="Times New Roman"/>
        </w:rPr>
        <w:footnoteReference w:id="77"/>
      </w:r>
      <w:r w:rsidR="005048D2" w:rsidRPr="006A7992">
        <w:rPr>
          <w:rFonts w:ascii="Times New Roman" w:hAnsi="Times New Roman"/>
        </w:rPr>
        <w:t xml:space="preserve"> and a range of resources for children, which can be found online.</w:t>
      </w:r>
      <w:r w:rsidR="005048D2" w:rsidRPr="006A7992">
        <w:rPr>
          <w:rStyle w:val="FootnoteReference"/>
          <w:rFonts w:ascii="Times New Roman" w:hAnsi="Times New Roman"/>
        </w:rPr>
        <w:footnoteReference w:id="78"/>
      </w:r>
      <w:r w:rsidR="005048D2" w:rsidRPr="006A7992">
        <w:rPr>
          <w:rFonts w:ascii="Times New Roman" w:hAnsi="Times New Roman"/>
        </w:rPr>
        <w:t xml:space="preserve"> ISI has also contributed its expertise and information towards General Recommendations of the Committee as well as Joint General Recommendations by the Committee and the CMW.</w:t>
      </w:r>
    </w:p>
    <w:sectPr w:rsidR="005048D2" w:rsidRPr="002F43F8" w:rsidSect="002F43F8">
      <w:footerReference w:type="even" r:id="rId18"/>
      <w:footerReference w:type="default" r:id="rId19"/>
      <w:footerReference w:type="first" r:id="rId20"/>
      <w:pgSz w:w="11906" w:h="16838"/>
      <w:pgMar w:top="1440" w:right="1440" w:bottom="1440" w:left="1440" w:header="720" w:footer="720" w:gutter="0"/>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E016B6" w14:textId="77777777" w:rsidR="003701FC" w:rsidRDefault="003701FC" w:rsidP="005A54D5">
      <w:r>
        <w:separator/>
      </w:r>
    </w:p>
  </w:endnote>
  <w:endnote w:type="continuationSeparator" w:id="0">
    <w:p w14:paraId="4BAEE0D3" w14:textId="77777777" w:rsidR="003701FC" w:rsidRDefault="003701FC" w:rsidP="005A54D5">
      <w:r>
        <w:continuationSeparator/>
      </w:r>
    </w:p>
  </w:endnote>
  <w:endnote w:type="continuationNotice" w:id="1">
    <w:p w14:paraId="3A387D4B" w14:textId="77777777" w:rsidR="003701FC" w:rsidRDefault="003701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Helvetica Light">
    <w:altName w:val="Arial Nova Light"/>
    <w:charset w:val="00"/>
    <w:family w:val="swiss"/>
    <w:pitch w:val="variable"/>
    <w:sig w:usb0="800000AF" w:usb1="4000204A" w:usb2="00000000" w:usb3="00000000" w:csb0="00000001" w:csb1="00000000"/>
  </w:font>
  <w:font w:name="Helvetica">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39699079"/>
      <w:docPartObj>
        <w:docPartGallery w:val="Page Numbers (Bottom of Page)"/>
        <w:docPartUnique/>
      </w:docPartObj>
    </w:sdtPr>
    <w:sdtEndPr>
      <w:rPr>
        <w:rStyle w:val="PageNumber"/>
      </w:rPr>
    </w:sdtEndPr>
    <w:sdtContent>
      <w:p w14:paraId="7BEF4B4A" w14:textId="77777777" w:rsidR="00777220" w:rsidRDefault="00777220" w:rsidP="005048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2855F0" w14:textId="77777777" w:rsidR="00777220" w:rsidRDefault="00777220" w:rsidP="005048D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0818634"/>
      <w:docPartObj>
        <w:docPartGallery w:val="Page Numbers (Bottom of Page)"/>
        <w:docPartUnique/>
      </w:docPartObj>
    </w:sdtPr>
    <w:sdtEndPr/>
    <w:sdtContent>
      <w:p w14:paraId="5E861F5F" w14:textId="7C4964F0" w:rsidR="00777220" w:rsidRDefault="00777220">
        <w:pPr>
          <w:pStyle w:val="Footer"/>
          <w:jc w:val="right"/>
        </w:pPr>
        <w:r>
          <w:fldChar w:fldCharType="begin"/>
        </w:r>
        <w:r>
          <w:instrText>PAGE   \* MERGEFORMAT</w:instrText>
        </w:r>
        <w:r>
          <w:fldChar w:fldCharType="separate"/>
        </w:r>
        <w:r w:rsidR="007B5F11" w:rsidRPr="007B5F11">
          <w:rPr>
            <w:noProof/>
            <w:lang w:val="el-GR"/>
          </w:rPr>
          <w:t>17</w:t>
        </w:r>
        <w:r>
          <w:fldChar w:fldCharType="end"/>
        </w:r>
      </w:p>
    </w:sdtContent>
  </w:sdt>
  <w:p w14:paraId="7C07E383" w14:textId="77777777" w:rsidR="00777220" w:rsidRDefault="00777220" w:rsidP="005048D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9FAB6" w14:textId="2A636581" w:rsidR="00777220" w:rsidRPr="002F43F8" w:rsidRDefault="00777220" w:rsidP="002F43F8">
    <w:pPr>
      <w:pStyle w:val="Footer"/>
      <w:jc w:val="right"/>
      <w:rPr>
        <w:lang w:val="en-US"/>
      </w:rPr>
    </w:pPr>
    <w:r>
      <w:rPr>
        <w:lang w:val="en-US"/>
      </w:rPr>
      <w:t>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412AE8" w14:textId="77777777" w:rsidR="003701FC" w:rsidRDefault="003701FC" w:rsidP="005A54D5">
      <w:r>
        <w:separator/>
      </w:r>
    </w:p>
  </w:footnote>
  <w:footnote w:type="continuationSeparator" w:id="0">
    <w:p w14:paraId="28BAF75D" w14:textId="77777777" w:rsidR="003701FC" w:rsidRDefault="003701FC" w:rsidP="005A54D5">
      <w:r>
        <w:continuationSeparator/>
      </w:r>
    </w:p>
  </w:footnote>
  <w:footnote w:type="continuationNotice" w:id="1">
    <w:p w14:paraId="3689E614" w14:textId="77777777" w:rsidR="003701FC" w:rsidRDefault="003701FC"/>
  </w:footnote>
  <w:footnote w:id="2">
    <w:p w14:paraId="2639ECC9" w14:textId="065B6148" w:rsidR="00777220" w:rsidRDefault="00777220" w:rsidP="00CF5586">
      <w:pPr>
        <w:pStyle w:val="FootnoteText"/>
      </w:pPr>
      <w:r>
        <w:rPr>
          <w:rStyle w:val="FootnoteReference"/>
        </w:rPr>
        <w:footnoteRef/>
      </w:r>
      <w:r>
        <w:t xml:space="preserve"> See Annex 3 for more information on the co-submitting organisations.</w:t>
      </w:r>
    </w:p>
  </w:footnote>
  <w:footnote w:id="3">
    <w:p w14:paraId="4C508EC1" w14:textId="77777777" w:rsidR="00B25B7A" w:rsidRPr="002F43F8" w:rsidRDefault="00B25B7A" w:rsidP="00B25B7A">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Report submitted to the United Nations Human Rights Council in the context of the third periodic review of Kuwait, July 2019, available at: </w:t>
      </w:r>
      <w:hyperlink r:id="rId1" w:history="1">
        <w:r w:rsidRPr="002F43F8">
          <w:rPr>
            <w:rStyle w:val="Hyperlink"/>
            <w:szCs w:val="16"/>
          </w:rPr>
          <w:t>https://files.institutesi.org/UPR35_Kuwait.pdf</w:t>
        </w:r>
      </w:hyperlink>
      <w:r w:rsidRPr="002F43F8">
        <w:rPr>
          <w:rFonts w:ascii="Times New Roman" w:hAnsi="Times New Roman" w:cs="Times New Roman"/>
          <w:szCs w:val="16"/>
        </w:rPr>
        <w:t xml:space="preserve"> [accessed 1 July 2020]</w:t>
      </w:r>
    </w:p>
  </w:footnote>
  <w:footnote w:id="4">
    <w:p w14:paraId="51BEB96A" w14:textId="64BE1537" w:rsidR="00777220" w:rsidRDefault="00777220" w:rsidP="00CF5586">
      <w:pPr>
        <w:pStyle w:val="FootnoteText"/>
      </w:pPr>
      <w:r>
        <w:rPr>
          <w:rStyle w:val="FootnoteReference"/>
        </w:rPr>
        <w:footnoteRef/>
      </w:r>
      <w:r>
        <w:t xml:space="preserve"> See Annex 1 for more information on relevant previous recommendations made to Kuwait.</w:t>
      </w:r>
    </w:p>
  </w:footnote>
  <w:footnote w:id="5">
    <w:p w14:paraId="3B63C7ED"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w:t>
      </w:r>
      <w:r w:rsidRPr="006A7992">
        <w:rPr>
          <w:rFonts w:ascii="Times New Roman" w:eastAsia="Times New Roman" w:hAnsi="Times New Roman" w:cs="Times New Roman"/>
          <w:i/>
          <w:iCs/>
          <w:szCs w:val="16"/>
        </w:rPr>
        <w:t>Kuwait Nationality Law, 1959</w:t>
      </w:r>
      <w:r w:rsidRPr="006A7992">
        <w:rPr>
          <w:rFonts w:ascii="Times New Roman" w:eastAsia="Times New Roman" w:hAnsi="Times New Roman" w:cs="Times New Roman"/>
          <w:szCs w:val="16"/>
        </w:rPr>
        <w:t xml:space="preserve"> [],   1959, English, available at: </w:t>
      </w:r>
      <w:hyperlink r:id="rId2" w:history="1">
        <w:r w:rsidRPr="006A7992">
          <w:rPr>
            <w:rStyle w:val="Hyperlink"/>
            <w:color w:val="auto"/>
            <w:szCs w:val="16"/>
          </w:rPr>
          <w:t>http://www.kna.kw/clt-html5/run.asp?id=656</w:t>
        </w:r>
      </w:hyperlink>
    </w:p>
  </w:footnote>
  <w:footnote w:id="6">
    <w:p w14:paraId="7DF99334" w14:textId="77777777" w:rsidR="00777220" w:rsidRPr="006A7992" w:rsidRDefault="00777220" w:rsidP="00CF5586">
      <w:pPr>
        <w:rPr>
          <w:rFonts w:ascii="Times New Roman" w:eastAsia="Times New Roman" w:hAnsi="Times New Roman"/>
          <w:sz w:val="16"/>
          <w:szCs w:val="16"/>
        </w:rPr>
      </w:pPr>
      <w:r w:rsidRPr="006A7992">
        <w:rPr>
          <w:rStyle w:val="FootnoteReference"/>
          <w:rFonts w:ascii="Times New Roman" w:hAnsi="Times New Roman"/>
          <w:sz w:val="16"/>
          <w:szCs w:val="16"/>
        </w:rPr>
        <w:footnoteRef/>
      </w:r>
      <w:r w:rsidRPr="006A7992">
        <w:rPr>
          <w:rFonts w:ascii="Times New Roman" w:hAnsi="Times New Roman"/>
          <w:sz w:val="16"/>
          <w:szCs w:val="16"/>
        </w:rPr>
        <w:t xml:space="preserve"> </w:t>
      </w:r>
      <w:r w:rsidRPr="006A7992">
        <w:rPr>
          <w:rFonts w:ascii="Times New Roman" w:eastAsia="Times New Roman" w:hAnsi="Times New Roman"/>
          <w:i/>
          <w:iCs/>
          <w:sz w:val="16"/>
          <w:szCs w:val="16"/>
        </w:rPr>
        <w:t>Kuwait Nationality Law, 1959</w:t>
      </w:r>
      <w:r w:rsidRPr="006A7992">
        <w:rPr>
          <w:rFonts w:ascii="Times New Roman" w:eastAsia="Times New Roman" w:hAnsi="Times New Roman"/>
          <w:sz w:val="16"/>
          <w:szCs w:val="16"/>
        </w:rPr>
        <w:t xml:space="preserve"> [],   1959, English Translation, available at: </w:t>
      </w:r>
      <w:r w:rsidRPr="006A7992">
        <w:rPr>
          <w:rFonts w:ascii="Times New Roman" w:hAnsi="Times New Roman"/>
          <w:sz w:val="16"/>
          <w:szCs w:val="16"/>
        </w:rPr>
        <w:t xml:space="preserve"> </w:t>
      </w:r>
      <w:hyperlink r:id="rId3" w:history="1">
        <w:r w:rsidRPr="006A7992">
          <w:rPr>
            <w:rStyle w:val="Hyperlink"/>
            <w:rFonts w:eastAsia="Times New Roman"/>
            <w:sz w:val="16"/>
            <w:szCs w:val="16"/>
          </w:rPr>
          <w:t>https://www.refworld.org/docid/3ae6b4ef1c.html.</w:t>
        </w:r>
      </w:hyperlink>
    </w:p>
    <w:p w14:paraId="6A91365D" w14:textId="77777777" w:rsidR="00777220" w:rsidRPr="006A7992" w:rsidRDefault="00777220" w:rsidP="00CF5586">
      <w:pPr>
        <w:pStyle w:val="FootnoteText"/>
        <w:rPr>
          <w:rFonts w:ascii="Times New Roman" w:hAnsi="Times New Roman" w:cs="Times New Roman"/>
          <w:szCs w:val="16"/>
        </w:rPr>
      </w:pPr>
    </w:p>
  </w:footnote>
  <w:footnote w:id="7">
    <w:p w14:paraId="7A1C110A" w14:textId="77777777" w:rsidR="00777220" w:rsidRPr="002F43F8" w:rsidRDefault="00777220" w:rsidP="00777220">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Institute on Statelessness and Inclusion, The World’s Stateless children, January 2017</w:t>
      </w:r>
    </w:p>
    <w:p w14:paraId="21C6A1BF" w14:textId="77777777" w:rsidR="00777220" w:rsidRPr="002F43F8" w:rsidRDefault="007B5F11" w:rsidP="00777220">
      <w:pPr>
        <w:pStyle w:val="FootnoteText"/>
        <w:rPr>
          <w:rFonts w:ascii="Times New Roman" w:hAnsi="Times New Roman" w:cs="Times New Roman"/>
          <w:szCs w:val="16"/>
        </w:rPr>
      </w:pPr>
      <w:hyperlink r:id="rId4" w:history="1">
        <w:r w:rsidR="00777220" w:rsidRPr="002F43F8">
          <w:rPr>
            <w:rStyle w:val="Hyperlink"/>
            <w:szCs w:val="16"/>
          </w:rPr>
          <w:t>http://children.worldsstateless.org/assets/files/worlds-stateless-full-report.pdf</w:t>
        </w:r>
      </w:hyperlink>
    </w:p>
  </w:footnote>
  <w:footnote w:id="8">
    <w:p w14:paraId="5C37F2A1" w14:textId="77777777" w:rsidR="00777220" w:rsidRPr="006A7992" w:rsidRDefault="00777220" w:rsidP="00777220">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Annex Table 1. UNHCR Global Trends, Forced Displacement in 2018, available at: </w:t>
      </w:r>
      <w:hyperlink r:id="rId5" w:history="1">
        <w:r w:rsidRPr="006A7992">
          <w:rPr>
            <w:rStyle w:val="Hyperlink"/>
            <w:szCs w:val="16"/>
          </w:rPr>
          <w:t>https://www.unhcr.org/5d08d7ee7.pdf</w:t>
        </w:r>
      </w:hyperlink>
      <w:r w:rsidRPr="006A7992">
        <w:rPr>
          <w:rStyle w:val="Hyperlink"/>
          <w:szCs w:val="16"/>
        </w:rPr>
        <w:t xml:space="preserve"> </w:t>
      </w:r>
      <w:r w:rsidRPr="006A7992">
        <w:rPr>
          <w:rFonts w:ascii="Times New Roman" w:hAnsi="Times New Roman" w:cs="Times New Roman"/>
          <w:szCs w:val="16"/>
        </w:rPr>
        <w:t>[accessed 1 July 2020]</w:t>
      </w:r>
    </w:p>
  </w:footnote>
  <w:footnote w:id="9">
    <w:p w14:paraId="6963E6F3" w14:textId="77777777" w:rsidR="00777220" w:rsidRPr="006A7992" w:rsidRDefault="00777220" w:rsidP="00777220">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Institute on Statelessness and Inclusion, Stateless In A Global Pandemic, Impact Report, 2020, pg. 31 </w:t>
      </w:r>
      <w:hyperlink r:id="rId6" w:history="1">
        <w:r w:rsidRPr="006A7992">
          <w:rPr>
            <w:rStyle w:val="Hyperlink"/>
            <w:szCs w:val="16"/>
          </w:rPr>
          <w:t>https://files.institutesi.org/Covid19_Stateless_Impact_Report.pdf</w:t>
        </w:r>
      </w:hyperlink>
      <w:r w:rsidRPr="006A7992">
        <w:rPr>
          <w:rFonts w:ascii="Times New Roman" w:hAnsi="Times New Roman" w:cs="Times New Roman"/>
          <w:szCs w:val="16"/>
        </w:rPr>
        <w:t xml:space="preserve"> [accessed 1 July 2020]</w:t>
      </w:r>
    </w:p>
  </w:footnote>
  <w:footnote w:id="10">
    <w:p w14:paraId="389FD7A9" w14:textId="77777777" w:rsidR="00777220" w:rsidRPr="002F43F8" w:rsidRDefault="00777220" w:rsidP="00777220">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 Minority Rights Group International, ‘Kuwait: Bidoon’, available at https://minorityrights.org/minorities/bidoon/ </w:t>
      </w:r>
      <w:r w:rsidRPr="002F43F8">
        <w:rPr>
          <w:rFonts w:ascii="Times New Roman" w:eastAsia="Calibri" w:hAnsi="Times New Roman" w:cs="Times New Roman"/>
          <w:szCs w:val="16"/>
          <w:lang w:eastAsia="en-GB"/>
        </w:rPr>
        <w:t xml:space="preserve"> </w:t>
      </w:r>
    </w:p>
  </w:footnote>
  <w:footnote w:id="11">
    <w:p w14:paraId="67215100" w14:textId="77777777" w:rsidR="00777220" w:rsidRPr="002F43F8" w:rsidRDefault="00777220" w:rsidP="00777220">
      <w:pPr>
        <w:pStyle w:val="FootnoteText"/>
        <w:rPr>
          <w:rFonts w:ascii="Times New Roman" w:hAnsi="Times New Roman" w:cs="Times New Roman"/>
          <w:szCs w:val="16"/>
        </w:rPr>
      </w:pPr>
      <w:r>
        <w:rPr>
          <w:rStyle w:val="FootnoteReference"/>
        </w:rPr>
        <w:footnoteRef/>
      </w:r>
      <w:r>
        <w:rPr>
          <w:rStyle w:val="FootnoteReference"/>
        </w:rPr>
        <w:footnoteRef/>
      </w:r>
      <w:r>
        <w:rPr>
          <w:rStyle w:val="FootnoteReference"/>
        </w:rPr>
        <w:footnoteRef/>
      </w: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 Human Rights Watch, ‘Kuwait: Dozens injured, arrested in </w:t>
      </w:r>
      <w:proofErr w:type="spellStart"/>
      <w:r w:rsidRPr="002F43F8">
        <w:rPr>
          <w:rFonts w:ascii="Times New Roman" w:hAnsi="Times New Roman" w:cs="Times New Roman"/>
          <w:szCs w:val="16"/>
        </w:rPr>
        <w:t>Bidun</w:t>
      </w:r>
      <w:proofErr w:type="spellEnd"/>
      <w:r w:rsidRPr="002F43F8">
        <w:rPr>
          <w:rFonts w:ascii="Times New Roman" w:hAnsi="Times New Roman" w:cs="Times New Roman"/>
          <w:szCs w:val="16"/>
        </w:rPr>
        <w:t xml:space="preserve"> crackdown’ (19 February 2011), available at </w:t>
      </w:r>
      <w:hyperlink r:id="rId7" w:history="1">
        <w:r w:rsidRPr="002F43F8">
          <w:rPr>
            <w:rStyle w:val="Hyperlink"/>
            <w:szCs w:val="16"/>
          </w:rPr>
          <w:t>https://www.hrw.org/news/2011/02/19/kuwait-dozens-injured-arrested-bidun-crackdown</w:t>
        </w:r>
      </w:hyperlink>
      <w:r w:rsidRPr="002F43F8">
        <w:rPr>
          <w:rFonts w:ascii="Times New Roman" w:hAnsi="Times New Roman" w:cs="Times New Roman"/>
          <w:szCs w:val="16"/>
        </w:rPr>
        <w:t xml:space="preserve"> [accessed 1 July 2020]</w:t>
      </w:r>
    </w:p>
  </w:footnote>
  <w:footnote w:id="12">
    <w:p w14:paraId="042D4857" w14:textId="77777777" w:rsidR="00777220" w:rsidRPr="002F43F8" w:rsidRDefault="00777220" w:rsidP="00777220">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 See,</w:t>
      </w:r>
      <w:r>
        <w:rPr>
          <w:rFonts w:ascii="Times New Roman" w:hAnsi="Times New Roman" w:cs="Times New Roman"/>
          <w:szCs w:val="16"/>
        </w:rPr>
        <w:t xml:space="preserve"> Annex 1 for more details. See also,</w:t>
      </w:r>
      <w:r w:rsidRPr="002F43F8">
        <w:rPr>
          <w:rFonts w:ascii="Times New Roman" w:hAnsi="Times New Roman" w:cs="Times New Roman"/>
          <w:szCs w:val="16"/>
        </w:rPr>
        <w:t xml:space="preserve"> for example, the recommendation by the Netherlands during the UPR (A/HRC/29/17, 157.241) (28 January 2015); or the concluding observations by the Committee on the Rights of the Child (CRC/C/KWT/CO/2) (29 October 2013)</w:t>
      </w:r>
    </w:p>
  </w:footnote>
  <w:footnote w:id="13">
    <w:p w14:paraId="583CF531" w14:textId="77777777" w:rsidR="00777220" w:rsidRPr="002F43F8" w:rsidRDefault="00777220" w:rsidP="00777220">
      <w:pPr>
        <w:pStyle w:val="FootnoteText"/>
        <w:rPr>
          <w:rFonts w:ascii="Times New Roman" w:hAnsi="Times New Roman" w:cs="Times New Roman"/>
          <w:szCs w:val="16"/>
          <w:rtl/>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 For more see: Amnesty International, ‘Kuwait: Authorities crackdown on protesters demanding citizenship rights’ (17 July 2019), available </w:t>
      </w:r>
      <w:hyperlink r:id="rId8" w:history="1">
        <w:r w:rsidRPr="002F43F8">
          <w:rPr>
            <w:rStyle w:val="Hyperlink"/>
            <w:szCs w:val="16"/>
          </w:rPr>
          <w:t>https://www.amnesty.org/en/latest/news/2019/07/kuwait-authorities-crackdown-on-protesters-demanding-citizenship-rights/</w:t>
        </w:r>
      </w:hyperlink>
      <w:r w:rsidRPr="002F43F8">
        <w:rPr>
          <w:rFonts w:ascii="Times New Roman" w:hAnsi="Times New Roman" w:cs="Times New Roman"/>
          <w:szCs w:val="16"/>
        </w:rPr>
        <w:t xml:space="preserve"> [accessed 1 July 2020]</w:t>
      </w:r>
    </w:p>
  </w:footnote>
  <w:footnote w:id="14">
    <w:p w14:paraId="35972C7F" w14:textId="77777777" w:rsidR="00777220" w:rsidRPr="002F43F8" w:rsidRDefault="00777220" w:rsidP="00777220">
      <w:pPr>
        <w:pStyle w:val="FootnoteText"/>
        <w:rPr>
          <w:rFonts w:ascii="Times New Roman" w:hAnsi="Times New Roman" w:cs="Times New Roman"/>
          <w:szCs w:val="16"/>
          <w:lang w:val="en-US"/>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CRC/C/KWT/CO/2, 29 October 2013, para 35, available at: </w:t>
      </w:r>
      <w:hyperlink r:id="rId9" w:history="1">
        <w:r w:rsidRPr="002F43F8">
          <w:rPr>
            <w:rStyle w:val="Hyperlink"/>
            <w:szCs w:val="16"/>
          </w:rPr>
          <w:t>https://undocs.org/CRC/C/KWT/CO/2</w:t>
        </w:r>
      </w:hyperlink>
    </w:p>
  </w:footnote>
  <w:footnote w:id="15">
    <w:p w14:paraId="5B532BC7" w14:textId="5C2A075A" w:rsidR="00777220" w:rsidRPr="002F43F8" w:rsidRDefault="00777220" w:rsidP="00CF5586">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 Human Rights Watch, Prisoners of the Past, June 13, 2011, </w:t>
      </w:r>
      <w:hyperlink r:id="rId10" w:history="1">
        <w:r w:rsidRPr="002F43F8">
          <w:rPr>
            <w:rStyle w:val="Hyperlink"/>
            <w:szCs w:val="16"/>
          </w:rPr>
          <w:t>https://www.hrw.org/report/2011/06/13/prisoners-past/kuwaiti-bidun-and-burden-statelessness</w:t>
        </w:r>
      </w:hyperlink>
      <w:r w:rsidRPr="002F43F8">
        <w:rPr>
          <w:rFonts w:ascii="Times New Roman" w:hAnsi="Times New Roman" w:cs="Times New Roman"/>
          <w:szCs w:val="16"/>
        </w:rPr>
        <w:t xml:space="preserve"> [accessed 1 July 2020]</w:t>
      </w:r>
      <w:r w:rsidRPr="002F43F8" w:rsidDel="00E24B4E">
        <w:rPr>
          <w:rFonts w:ascii="Times New Roman" w:hAnsi="Times New Roman" w:cs="Times New Roman"/>
          <w:szCs w:val="16"/>
        </w:rPr>
        <w:t xml:space="preserve"> </w:t>
      </w:r>
    </w:p>
  </w:footnote>
  <w:footnote w:id="16">
    <w:p w14:paraId="20C34B6F" w14:textId="536900B4" w:rsidR="00777220" w:rsidRPr="002F43F8" w:rsidRDefault="00777220" w:rsidP="00CF5586">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 Ibid</w:t>
      </w:r>
      <w:r w:rsidRPr="002F43F8">
        <w:rPr>
          <w:rFonts w:ascii="Times New Roman" w:hAnsi="Times New Roman" w:cs="Times New Roman"/>
          <w:szCs w:val="16"/>
          <w:lang w:val="en-US"/>
        </w:rPr>
        <w:t>.</w:t>
      </w:r>
    </w:p>
  </w:footnote>
  <w:footnote w:id="17">
    <w:p w14:paraId="73F705AF" w14:textId="1359FFB4" w:rsidR="00777220" w:rsidRPr="002F43F8" w:rsidRDefault="00777220" w:rsidP="00CF5586">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 Human Rights Watch, Prisoners of the Past, June 13, 2011, </w:t>
      </w:r>
      <w:hyperlink r:id="rId11" w:history="1">
        <w:r w:rsidRPr="002F43F8">
          <w:rPr>
            <w:rStyle w:val="Hyperlink"/>
            <w:szCs w:val="16"/>
          </w:rPr>
          <w:t>https://www.hrw.org/report/2011/06/13/prisoners-past/kuwaiti-bidun-and-burden-statelessness</w:t>
        </w:r>
      </w:hyperlink>
      <w:r w:rsidRPr="002F43F8">
        <w:rPr>
          <w:rFonts w:ascii="Times New Roman" w:hAnsi="Times New Roman" w:cs="Times New Roman"/>
          <w:szCs w:val="16"/>
        </w:rPr>
        <w:t xml:space="preserve"> [accessed 1 July 2020]</w:t>
      </w:r>
      <w:r w:rsidRPr="002F43F8" w:rsidDel="00E24B4E">
        <w:rPr>
          <w:rFonts w:ascii="Times New Roman" w:hAnsi="Times New Roman" w:cs="Times New Roman"/>
          <w:szCs w:val="16"/>
        </w:rPr>
        <w:t xml:space="preserve"> </w:t>
      </w:r>
    </w:p>
  </w:footnote>
  <w:footnote w:id="18">
    <w:p w14:paraId="45BAB067" w14:textId="44C0ABE5" w:rsidR="00777220" w:rsidRPr="002F43F8" w:rsidRDefault="00777220" w:rsidP="00CF5586">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proofErr w:type="spellStart"/>
      <w:r w:rsidRPr="002F43F8">
        <w:rPr>
          <w:rFonts w:ascii="Times New Roman" w:hAnsi="Times New Roman" w:cs="Times New Roman"/>
          <w:szCs w:val="16"/>
        </w:rPr>
        <w:t>Alanba</w:t>
      </w:r>
      <w:proofErr w:type="spellEnd"/>
      <w:r w:rsidRPr="002F43F8">
        <w:rPr>
          <w:rFonts w:ascii="Times New Roman" w:hAnsi="Times New Roman" w:cs="Times New Roman"/>
          <w:szCs w:val="16"/>
        </w:rPr>
        <w:t xml:space="preserve"> News,</w:t>
      </w:r>
      <w:r w:rsidRPr="002F43F8">
        <w:rPr>
          <w:rFonts w:ascii="Times New Roman" w:hAnsi="Times New Roman" w:cs="Times New Roman"/>
          <w:szCs w:val="16"/>
          <w:lang w:val="en-US"/>
        </w:rPr>
        <w:t xml:space="preserve"> Translated from Arabic original, available at: </w:t>
      </w:r>
      <w:r w:rsidRPr="002F43F8">
        <w:rPr>
          <w:rFonts w:ascii="Times New Roman" w:hAnsi="Times New Roman" w:cs="Times New Roman"/>
          <w:szCs w:val="16"/>
        </w:rPr>
        <w:t xml:space="preserve"> </w:t>
      </w:r>
      <w:hyperlink r:id="rId12" w:history="1">
        <w:r w:rsidRPr="002F43F8">
          <w:rPr>
            <w:rStyle w:val="Hyperlink"/>
            <w:szCs w:val="16"/>
          </w:rPr>
          <w:t>https://www.alanba.com.kw/ar/kuwait-news/education/919773/21-08-2019-</w:t>
        </w:r>
        <w:r w:rsidRPr="002F43F8">
          <w:rPr>
            <w:rStyle w:val="Hyperlink"/>
            <w:szCs w:val="16"/>
            <w:rtl/>
          </w:rPr>
          <w:t>إيقاف-دخول-أبناء-البدون-المدارس-الحكومية</w:t>
        </w:r>
        <w:r w:rsidRPr="002F43F8">
          <w:rPr>
            <w:rStyle w:val="Hyperlink"/>
            <w:szCs w:val="16"/>
          </w:rPr>
          <w:t>/</w:t>
        </w:r>
      </w:hyperlink>
      <w:r w:rsidRPr="002F43F8">
        <w:rPr>
          <w:rFonts w:ascii="Times New Roman" w:hAnsi="Times New Roman" w:cs="Times New Roman"/>
          <w:szCs w:val="16"/>
        </w:rPr>
        <w:t xml:space="preserve"> [accessed 1 July 2020]</w:t>
      </w:r>
      <w:r w:rsidRPr="002F43F8" w:rsidDel="00E24B4E">
        <w:rPr>
          <w:rFonts w:ascii="Times New Roman" w:hAnsi="Times New Roman" w:cs="Times New Roman"/>
          <w:szCs w:val="16"/>
        </w:rPr>
        <w:t xml:space="preserve"> </w:t>
      </w:r>
    </w:p>
  </w:footnote>
  <w:footnote w:id="19">
    <w:p w14:paraId="0A1BA1EB" w14:textId="0D8C766B" w:rsidR="00777220" w:rsidRPr="002F43F8" w:rsidRDefault="00777220" w:rsidP="00CF5586">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Kuwait Government Online, Issuing Birth Certificates for Newborn Babies, available at:</w:t>
      </w:r>
    </w:p>
    <w:p w14:paraId="2F1A4C22" w14:textId="2E8F4C48" w:rsidR="00777220" w:rsidRPr="002F43F8" w:rsidRDefault="00777220" w:rsidP="00CF5586">
      <w:pPr>
        <w:pStyle w:val="FootnoteText"/>
        <w:rPr>
          <w:rFonts w:ascii="Times New Roman" w:hAnsi="Times New Roman" w:cs="Times New Roman"/>
          <w:szCs w:val="16"/>
        </w:rPr>
      </w:pPr>
      <w:r w:rsidRPr="002F43F8">
        <w:rPr>
          <w:rFonts w:ascii="Times New Roman" w:hAnsi="Times New Roman" w:cs="Times New Roman"/>
          <w:szCs w:val="16"/>
        </w:rPr>
        <w:t xml:space="preserve"> </w:t>
      </w:r>
      <w:hyperlink r:id="rId13" w:history="1">
        <w:r w:rsidRPr="002F43F8">
          <w:rPr>
            <w:rStyle w:val="Hyperlink"/>
            <w:szCs w:val="16"/>
          </w:rPr>
          <w:t>https://www.e.gov.kw/sites/kgoenglish%5CPages/Services/MOH/IssuanceBirthCertificatesForNewborns.aspx</w:t>
        </w:r>
      </w:hyperlink>
      <w:r w:rsidRPr="002F43F8">
        <w:rPr>
          <w:rFonts w:ascii="Times New Roman" w:hAnsi="Times New Roman" w:cs="Times New Roman"/>
          <w:szCs w:val="16"/>
        </w:rPr>
        <w:t xml:space="preserve"> [accessed 1 July 2020]</w:t>
      </w:r>
      <w:r w:rsidRPr="002F43F8" w:rsidDel="00E24B4E">
        <w:rPr>
          <w:rFonts w:ascii="Times New Roman" w:hAnsi="Times New Roman" w:cs="Times New Roman"/>
          <w:szCs w:val="16"/>
        </w:rPr>
        <w:t xml:space="preserve"> </w:t>
      </w:r>
    </w:p>
  </w:footnote>
  <w:footnote w:id="20">
    <w:p w14:paraId="21AE106A" w14:textId="49A39DAF" w:rsidR="008742C0" w:rsidRDefault="008742C0">
      <w:pPr>
        <w:pStyle w:val="FootnoteText"/>
      </w:pPr>
      <w:r>
        <w:rPr>
          <w:rStyle w:val="FootnoteReference"/>
        </w:rPr>
        <w:footnoteRef/>
      </w:r>
      <w:r>
        <w:t xml:space="preserve"> </w:t>
      </w:r>
      <w:r w:rsidRPr="00244038">
        <w:rPr>
          <w:rFonts w:ascii="Times New Roman" w:hAnsi="Times New Roman"/>
          <w:szCs w:val="16"/>
        </w:rPr>
        <w:t>It must be noted here, that the co-submitting organisations as a general principle contest the use of the terminology “illegal residents”, which criminalises individuals and communities, who have often endured discriminatory and arbitrary deprivations.</w:t>
      </w:r>
    </w:p>
  </w:footnote>
  <w:footnote w:id="21">
    <w:p w14:paraId="1EE78427" w14:textId="4A6E22B3" w:rsidR="00777220" w:rsidRPr="002F43F8" w:rsidRDefault="00777220" w:rsidP="00CF5586">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Decree establishing the central agency, 2010, available at: </w:t>
      </w:r>
      <w:hyperlink r:id="rId14" w:history="1">
        <w:r w:rsidRPr="002F43F8">
          <w:rPr>
            <w:rStyle w:val="Hyperlink"/>
            <w:szCs w:val="16"/>
          </w:rPr>
          <w:t>https://www.carirs.gov.kw/News/</w:t>
        </w:r>
        <w:r w:rsidRPr="002F43F8">
          <w:rPr>
            <w:rStyle w:val="Hyperlink"/>
            <w:szCs w:val="16"/>
            <w:rtl/>
          </w:rPr>
          <w:t>المرسوم-الأميري</w:t>
        </w:r>
        <w:r w:rsidRPr="002F43F8">
          <w:rPr>
            <w:rStyle w:val="Hyperlink"/>
            <w:szCs w:val="16"/>
          </w:rPr>
          <w:t>/</w:t>
        </w:r>
      </w:hyperlink>
      <w:r w:rsidRPr="002F43F8">
        <w:rPr>
          <w:rFonts w:ascii="Times New Roman" w:hAnsi="Times New Roman" w:cs="Times New Roman"/>
          <w:szCs w:val="16"/>
        </w:rPr>
        <w:t xml:space="preserve"> [accessed 1 July 2020]</w:t>
      </w:r>
      <w:r w:rsidRPr="002F43F8" w:rsidDel="00E24B4E">
        <w:rPr>
          <w:rFonts w:ascii="Times New Roman" w:hAnsi="Times New Roman" w:cs="Times New Roman"/>
          <w:szCs w:val="16"/>
        </w:rPr>
        <w:t xml:space="preserve"> </w:t>
      </w:r>
    </w:p>
  </w:footnote>
  <w:footnote w:id="22">
    <w:p w14:paraId="32C590CE" w14:textId="07D2F56D" w:rsidR="00777220" w:rsidRPr="002F43F8" w:rsidRDefault="00777220" w:rsidP="00CF5586">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lang w:val="en-US"/>
        </w:rPr>
        <w:t xml:space="preserve">Al Jazeera, Translated from Arabic original, available at: </w:t>
      </w:r>
      <w:hyperlink r:id="rId15" w:history="1">
        <w:r w:rsidRPr="002F43F8">
          <w:rPr>
            <w:rStyle w:val="Hyperlink"/>
            <w:szCs w:val="16"/>
          </w:rPr>
          <w:t>https://www.aljazeera.net/news/politics/2018/12/14/</w:t>
        </w:r>
        <w:r w:rsidRPr="002F43F8">
          <w:rPr>
            <w:rStyle w:val="Hyperlink"/>
            <w:szCs w:val="16"/>
            <w:rtl/>
          </w:rPr>
          <w:t>البدون-الكويت-صالح-الفضالة-الأمم</w:t>
        </w:r>
      </w:hyperlink>
      <w:r w:rsidRPr="002F43F8">
        <w:rPr>
          <w:rFonts w:ascii="Times New Roman" w:hAnsi="Times New Roman" w:cs="Times New Roman"/>
          <w:szCs w:val="16"/>
        </w:rPr>
        <w:t>[accessed 1 July 2020]</w:t>
      </w:r>
      <w:r w:rsidRPr="002F43F8" w:rsidDel="00E24B4E">
        <w:rPr>
          <w:rFonts w:ascii="Times New Roman" w:hAnsi="Times New Roman" w:cs="Times New Roman"/>
          <w:szCs w:val="16"/>
        </w:rPr>
        <w:t xml:space="preserve"> </w:t>
      </w:r>
    </w:p>
  </w:footnote>
  <w:footnote w:id="23">
    <w:p w14:paraId="1C3A4F64" w14:textId="431DFB50" w:rsidR="00777220" w:rsidRPr="002F43F8" w:rsidRDefault="00777220" w:rsidP="00CF5586">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proofErr w:type="spellStart"/>
      <w:r w:rsidRPr="002F43F8">
        <w:rPr>
          <w:rFonts w:ascii="Times New Roman" w:hAnsi="Times New Roman" w:cs="Times New Roman"/>
          <w:szCs w:val="16"/>
        </w:rPr>
        <w:t>Alaraby</w:t>
      </w:r>
      <w:proofErr w:type="spellEnd"/>
      <w:r w:rsidRPr="002F43F8">
        <w:rPr>
          <w:rFonts w:ascii="Times New Roman" w:hAnsi="Times New Roman" w:cs="Times New Roman"/>
          <w:szCs w:val="16"/>
        </w:rPr>
        <w:t xml:space="preserve">, </w:t>
      </w:r>
      <w:r w:rsidRPr="002F43F8">
        <w:rPr>
          <w:rFonts w:ascii="Times New Roman" w:hAnsi="Times New Roman" w:cs="Times New Roman"/>
          <w:szCs w:val="16"/>
          <w:lang w:val="en-US"/>
        </w:rPr>
        <w:t xml:space="preserve">Translated from Arabic original, available at: </w:t>
      </w:r>
      <w:hyperlink r:id="rId16" w:history="1">
        <w:r w:rsidRPr="002F43F8">
          <w:rPr>
            <w:rStyle w:val="Hyperlink"/>
            <w:szCs w:val="16"/>
          </w:rPr>
          <w:t>https://www.alaraby.co.uk/society/2019/9/9/</w:t>
        </w:r>
        <w:r w:rsidRPr="002F43F8">
          <w:rPr>
            <w:rStyle w:val="Hyperlink"/>
            <w:szCs w:val="16"/>
            <w:rtl/>
          </w:rPr>
          <w:t>الطلاب-البدون-في-الكويت-معاناة-لا-تنتهي-1</w:t>
        </w:r>
      </w:hyperlink>
      <w:r w:rsidRPr="002F43F8">
        <w:rPr>
          <w:rFonts w:ascii="Times New Roman" w:hAnsi="Times New Roman" w:cs="Times New Roman"/>
          <w:szCs w:val="16"/>
        </w:rPr>
        <w:t xml:space="preserve"> [accessed 1 July 2020]</w:t>
      </w:r>
      <w:r w:rsidRPr="002F43F8" w:rsidDel="00E24B4E">
        <w:rPr>
          <w:rFonts w:ascii="Times New Roman" w:hAnsi="Times New Roman" w:cs="Times New Roman"/>
          <w:szCs w:val="16"/>
        </w:rPr>
        <w:t xml:space="preserve"> </w:t>
      </w:r>
    </w:p>
  </w:footnote>
  <w:footnote w:id="24">
    <w:p w14:paraId="7C8E0C8D" w14:textId="77777777" w:rsidR="00777220" w:rsidRPr="002F43F8" w:rsidRDefault="00777220" w:rsidP="00777220">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Code No. 77/2019</w:t>
      </w:r>
      <w:hyperlink w:history="1"/>
      <w:r w:rsidRPr="002F43F8">
        <w:rPr>
          <w:rFonts w:ascii="Times New Roman" w:hAnsi="Times New Roman" w:cs="Times New Roman"/>
          <w:szCs w:val="16"/>
        </w:rPr>
        <w:t xml:space="preserve">, Translated from the Arabic original, available at: </w:t>
      </w:r>
      <w:hyperlink r:id="rId17" w:history="1">
        <w:r w:rsidRPr="002F43F8">
          <w:rPr>
            <w:rStyle w:val="Hyperlink"/>
            <w:szCs w:val="16"/>
          </w:rPr>
          <w:t>https://raqib50.s3.amazonaws.com/uploads/legislation/file/174/77-2019.pdf</w:t>
        </w:r>
      </w:hyperlink>
      <w:r w:rsidRPr="002F43F8">
        <w:rPr>
          <w:rStyle w:val="Hyperlink"/>
          <w:szCs w:val="16"/>
        </w:rPr>
        <w:t xml:space="preserve"> </w:t>
      </w:r>
      <w:r w:rsidRPr="002F43F8">
        <w:rPr>
          <w:rFonts w:ascii="Times New Roman" w:hAnsi="Times New Roman" w:cs="Times New Roman"/>
          <w:szCs w:val="16"/>
        </w:rPr>
        <w:t>[accessed 1 July 2020]</w:t>
      </w:r>
    </w:p>
  </w:footnote>
  <w:footnote w:id="25">
    <w:p w14:paraId="3079295F" w14:textId="77777777" w:rsidR="00777220" w:rsidRPr="002F43F8" w:rsidRDefault="00777220" w:rsidP="00777220">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 Article 2 of the Kuwaiti Nationality Act provides: “Any person born in, or outside, Kuwait whose father is a Kuwaiti national shall be a Kuwaiti national himself.” In addition, article 5 states: “Any person upon his attaining his majority who was born to a Kuwaiti mother and who has maintained his residence in Kuwait until reaching the age of majority and whose foreign father has irrevocably divorced his mother or has died. The Minister of the Interior may afford to such children, being minors, the same treatment as that afforded to Kuwaiti nationals in all respects until they reach the age of majority.” Nationality Law, 1959 [], 1959, available at: </w:t>
      </w:r>
      <w:hyperlink r:id="rId18" w:history="1">
        <w:r w:rsidRPr="002F43F8">
          <w:rPr>
            <w:rStyle w:val="Hyperlink"/>
            <w:szCs w:val="16"/>
          </w:rPr>
          <w:t>https://www.refworld.org/docid/3ae6b4ef1c.html</w:t>
        </w:r>
      </w:hyperlink>
      <w:r w:rsidRPr="002F43F8">
        <w:rPr>
          <w:rFonts w:ascii="Times New Roman" w:hAnsi="Times New Roman" w:cs="Times New Roman"/>
          <w:szCs w:val="16"/>
        </w:rPr>
        <w:t xml:space="preserve"> [accessed 1 July 2020]</w:t>
      </w:r>
    </w:p>
  </w:footnote>
  <w:footnote w:id="26">
    <w:p w14:paraId="3334E77F" w14:textId="77777777" w:rsidR="00777220" w:rsidRPr="002F43F8" w:rsidRDefault="00777220" w:rsidP="00777220">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Submission to the UN Universal Periodic Review Thirty-fifth Session of the UPR Working Group of the Human Rights Council, January - February 2020, </w:t>
      </w:r>
      <w:proofErr w:type="spellStart"/>
      <w:r w:rsidRPr="002F43F8">
        <w:rPr>
          <w:rFonts w:ascii="Times New Roman" w:hAnsi="Times New Roman" w:cs="Times New Roman"/>
          <w:szCs w:val="16"/>
        </w:rPr>
        <w:t>pg</w:t>
      </w:r>
      <w:proofErr w:type="spellEnd"/>
      <w:r w:rsidRPr="002F43F8">
        <w:rPr>
          <w:rFonts w:ascii="Times New Roman" w:hAnsi="Times New Roman" w:cs="Times New Roman"/>
          <w:szCs w:val="16"/>
        </w:rPr>
        <w:t xml:space="preserve"> 2 para 4, available at: </w:t>
      </w:r>
      <w:hyperlink r:id="rId19" w:history="1">
        <w:r w:rsidRPr="002F43F8">
          <w:rPr>
            <w:rStyle w:val="Hyperlink"/>
            <w:szCs w:val="16"/>
          </w:rPr>
          <w:t>https://files.institutesi.org/UPR35_Kuwait_with_Equality_Now.pdf</w:t>
        </w:r>
      </w:hyperlink>
    </w:p>
  </w:footnote>
  <w:footnote w:id="27">
    <w:p w14:paraId="0FA1BFA4" w14:textId="77777777" w:rsidR="00777220" w:rsidRPr="002F43F8" w:rsidRDefault="00777220" w:rsidP="00777220">
      <w:pPr>
        <w:pStyle w:val="FootnoteText"/>
        <w:rPr>
          <w:rFonts w:ascii="Times New Roman" w:hAnsi="Times New Roman" w:cs="Times New Roman"/>
          <w:szCs w:val="16"/>
          <w:lang w:val="en-US"/>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 Article 16(1) of CEDAW states: “</w:t>
      </w:r>
      <w:r w:rsidRPr="002F43F8">
        <w:rPr>
          <w:rFonts w:ascii="Times New Roman" w:hAnsi="Times New Roman" w:cs="Times New Roman"/>
          <w:szCs w:val="16"/>
          <w:lang w:val="en-US"/>
        </w:rPr>
        <w:t>States Parties shall take all appropriate measures to eliminate discrimination against women in all matters relating to marriage and family relations and in particular shall ensure, on a basis of equality of men and women”</w:t>
      </w:r>
    </w:p>
  </w:footnote>
  <w:footnote w:id="28">
    <w:p w14:paraId="4B41BB83" w14:textId="77777777" w:rsidR="00777220" w:rsidRPr="002F43F8" w:rsidRDefault="00777220" w:rsidP="00777220">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 Z. Albarazi, Regional Report on Citizenship: The Middle East and North Africa (MENA), RSCAS/GLOBALCIT-Comp. 2017/3, November 2017, </w:t>
      </w:r>
      <w:hyperlink r:id="rId20" w:history="1">
        <w:r w:rsidRPr="002F43F8">
          <w:rPr>
            <w:rStyle w:val="Hyperlink"/>
            <w:szCs w:val="16"/>
          </w:rPr>
          <w:t>http://cadmus.eui.eu/bitstream/handle/1814/50046/RSCAS_GLOBALCIT_Comp_2017_03.pdf</w:t>
        </w:r>
      </w:hyperlink>
      <w:r w:rsidRPr="002F43F8">
        <w:rPr>
          <w:rFonts w:ascii="Times New Roman" w:hAnsi="Times New Roman" w:cs="Times New Roman"/>
          <w:szCs w:val="16"/>
        </w:rPr>
        <w:t xml:space="preserve"> (accessed 20 June 2020), pg.7</w:t>
      </w:r>
    </w:p>
  </w:footnote>
  <w:footnote w:id="29">
    <w:p w14:paraId="33C36EA0" w14:textId="77777777" w:rsidR="00777220" w:rsidRPr="002F43F8" w:rsidRDefault="00777220" w:rsidP="00777220">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 Nationality Law, 1959 [],   1959, Article 3(1), available at: https://www.refworld.org/docid/3ae6b4ef1c.html [accessed 1 July 2020] </w:t>
      </w:r>
    </w:p>
  </w:footnote>
  <w:footnote w:id="30">
    <w:p w14:paraId="6B77C863" w14:textId="77777777" w:rsidR="00777220" w:rsidRPr="002F43F8" w:rsidRDefault="00777220" w:rsidP="00777220">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 Article 3 of the Kuwaiti Nationality Act provides: “Kuwaiti nationality is acquired by any person born in Kuwait whose parents are unknown. A foundling is deemed to have been born in Kuwait unless the contrary is proved”. Nationality Law, 1959 [],   1959, available at: </w:t>
      </w:r>
      <w:hyperlink r:id="rId21" w:history="1">
        <w:r w:rsidRPr="002F43F8">
          <w:rPr>
            <w:rStyle w:val="Hyperlink"/>
            <w:szCs w:val="16"/>
          </w:rPr>
          <w:t>https://www.refworld.org/docid/3ae6b4ef1c.html</w:t>
        </w:r>
      </w:hyperlink>
      <w:r w:rsidRPr="002F43F8">
        <w:rPr>
          <w:rFonts w:ascii="Times New Roman" w:hAnsi="Times New Roman" w:cs="Times New Roman"/>
          <w:szCs w:val="16"/>
        </w:rPr>
        <w:t xml:space="preserve"> [accessed 1 July 2020]</w:t>
      </w:r>
    </w:p>
  </w:footnote>
  <w:footnote w:id="31">
    <w:p w14:paraId="63F6FD1D" w14:textId="77777777" w:rsidR="00A84BD4" w:rsidRPr="002F43F8" w:rsidRDefault="00A84BD4" w:rsidP="00A84BD4">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 Decree No. 40/1987, Article 8, available at: </w:t>
      </w:r>
      <w:hyperlink r:id="rId22" w:history="1">
        <w:r w:rsidRPr="002F43F8">
          <w:rPr>
            <w:rStyle w:val="Hyperlink"/>
            <w:szCs w:val="16"/>
            <w:lang w:val="fr-FR"/>
          </w:rPr>
          <w:t>http://www.kna.kw/clt-html5/run.asp?id=656</w:t>
        </w:r>
      </w:hyperlink>
      <w:r w:rsidRPr="002F43F8">
        <w:rPr>
          <w:rFonts w:ascii="Times New Roman" w:hAnsi="Times New Roman" w:cs="Times New Roman"/>
          <w:szCs w:val="16"/>
          <w:lang w:val="fr-FR"/>
        </w:rPr>
        <w:t xml:space="preserve"> </w:t>
      </w:r>
      <w:r w:rsidRPr="002F43F8">
        <w:rPr>
          <w:rFonts w:ascii="Times New Roman" w:hAnsi="Times New Roman" w:cs="Times New Roman"/>
          <w:szCs w:val="16"/>
        </w:rPr>
        <w:t>[accessed 1 July 2020]</w:t>
      </w:r>
    </w:p>
  </w:footnote>
  <w:footnote w:id="32">
    <w:p w14:paraId="1D7FCB2E" w14:textId="77777777" w:rsidR="00777220" w:rsidRPr="002F43F8" w:rsidRDefault="00777220" w:rsidP="00777220">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proofErr w:type="spellStart"/>
      <w:r w:rsidRPr="002F43F8">
        <w:rPr>
          <w:rFonts w:ascii="Times New Roman" w:hAnsi="Times New Roman" w:cs="Times New Roman"/>
          <w:szCs w:val="16"/>
        </w:rPr>
        <w:t>Aljarida</w:t>
      </w:r>
      <w:proofErr w:type="spellEnd"/>
      <w:r w:rsidRPr="002F43F8">
        <w:rPr>
          <w:rFonts w:ascii="Times New Roman" w:hAnsi="Times New Roman" w:cs="Times New Roman"/>
          <w:szCs w:val="16"/>
        </w:rPr>
        <w:t xml:space="preserve"> Newspaper, Translated from the Arabic original, available at:</w:t>
      </w:r>
    </w:p>
    <w:p w14:paraId="4AA2711D" w14:textId="77777777" w:rsidR="00777220" w:rsidRPr="002F43F8" w:rsidRDefault="00777220" w:rsidP="00777220">
      <w:pPr>
        <w:pStyle w:val="FootnoteText"/>
        <w:rPr>
          <w:rFonts w:ascii="Times New Roman" w:hAnsi="Times New Roman" w:cs="Times New Roman"/>
          <w:szCs w:val="16"/>
        </w:rPr>
      </w:pPr>
      <w:r w:rsidRPr="002F43F8">
        <w:rPr>
          <w:rFonts w:ascii="Times New Roman" w:hAnsi="Times New Roman" w:cs="Times New Roman"/>
          <w:szCs w:val="16"/>
        </w:rPr>
        <w:t xml:space="preserve"> </w:t>
      </w:r>
      <w:hyperlink r:id="rId23" w:history="1">
        <w:r w:rsidRPr="002F43F8">
          <w:rPr>
            <w:rStyle w:val="Hyperlink"/>
            <w:szCs w:val="16"/>
          </w:rPr>
          <w:t>https://www.aljarida.com/ext/articles/print/1565107982222625100/</w:t>
        </w:r>
      </w:hyperlink>
      <w:r w:rsidRPr="002F43F8">
        <w:rPr>
          <w:rFonts w:ascii="Times New Roman" w:hAnsi="Times New Roman" w:cs="Times New Roman"/>
          <w:szCs w:val="16"/>
        </w:rPr>
        <w:t xml:space="preserve"> [accessed 1 July 2020] </w:t>
      </w:r>
    </w:p>
  </w:footnote>
  <w:footnote w:id="33">
    <w:p w14:paraId="54DA315D" w14:textId="77777777" w:rsidR="00777220" w:rsidRPr="002F43F8" w:rsidRDefault="00777220" w:rsidP="00777220">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proofErr w:type="spellStart"/>
      <w:r w:rsidRPr="002F43F8">
        <w:rPr>
          <w:rFonts w:ascii="Times New Roman" w:hAnsi="Times New Roman" w:cs="Times New Roman"/>
          <w:szCs w:val="16"/>
        </w:rPr>
        <w:t>AlRai</w:t>
      </w:r>
      <w:proofErr w:type="spellEnd"/>
      <w:r w:rsidRPr="002F43F8">
        <w:rPr>
          <w:rFonts w:ascii="Times New Roman" w:hAnsi="Times New Roman" w:cs="Times New Roman"/>
          <w:szCs w:val="16"/>
        </w:rPr>
        <w:t xml:space="preserve"> Digital, Translated from the Arabic original, available at: </w:t>
      </w:r>
      <w:hyperlink r:id="rId24" w:history="1">
        <w:r w:rsidRPr="002F43F8">
          <w:rPr>
            <w:rStyle w:val="Hyperlink"/>
            <w:szCs w:val="16"/>
          </w:rPr>
          <w:t>https://alraimedia.com/Home/Details?id=270e6e19-de77-4b77-b574-5630d0dd9039</w:t>
        </w:r>
      </w:hyperlink>
      <w:r w:rsidRPr="002F43F8">
        <w:rPr>
          <w:rStyle w:val="Hyperlink"/>
          <w:szCs w:val="16"/>
        </w:rPr>
        <w:t>, [</w:t>
      </w:r>
      <w:r w:rsidRPr="002F43F8">
        <w:rPr>
          <w:rFonts w:ascii="Times New Roman" w:hAnsi="Times New Roman" w:cs="Times New Roman"/>
          <w:szCs w:val="16"/>
        </w:rPr>
        <w:t>accessed 1 July 2020]</w:t>
      </w:r>
    </w:p>
  </w:footnote>
  <w:footnote w:id="34">
    <w:p w14:paraId="08AD1DD3" w14:textId="77777777" w:rsidR="008742C0" w:rsidRPr="002F43F8" w:rsidRDefault="008742C0" w:rsidP="008742C0">
      <w:pPr>
        <w:rPr>
          <w:rFonts w:ascii="Times New Roman" w:hAnsi="Times New Roman"/>
          <w:sz w:val="16"/>
          <w:szCs w:val="16"/>
        </w:rPr>
      </w:pPr>
      <w:r w:rsidRPr="002F43F8">
        <w:rPr>
          <w:rStyle w:val="FootnoteReference"/>
          <w:rFonts w:ascii="Times New Roman" w:hAnsi="Times New Roman"/>
          <w:sz w:val="16"/>
          <w:szCs w:val="16"/>
        </w:rPr>
        <w:footnoteRef/>
      </w:r>
      <w:r w:rsidRPr="002F43F8">
        <w:rPr>
          <w:rFonts w:ascii="Times New Roman" w:hAnsi="Times New Roman"/>
          <w:sz w:val="16"/>
          <w:szCs w:val="16"/>
        </w:rPr>
        <w:t>Equality Now, Campaign to End Sex Discrimination in Nationality and Citizenship Laws, 2013 (updated 2018), http://www.equalitynow.org/sites/default/files/NationalityReport_EN.pdf [accessed 1 July 2020]</w:t>
      </w:r>
      <w:r w:rsidRPr="002F43F8" w:rsidDel="00E24B4E">
        <w:rPr>
          <w:rFonts w:ascii="Times New Roman" w:hAnsi="Times New Roman"/>
          <w:sz w:val="16"/>
          <w:szCs w:val="16"/>
        </w:rPr>
        <w:t xml:space="preserve"> </w:t>
      </w:r>
    </w:p>
  </w:footnote>
  <w:footnote w:id="35">
    <w:p w14:paraId="51A48FBB" w14:textId="77777777" w:rsidR="00777220" w:rsidRPr="002F43F8" w:rsidRDefault="00777220" w:rsidP="00777220">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Submission to the UN Universal Periodic Review Thirty-fifth Session of the UPR Working Group of the Human Rights Council January - February 2020, pg.2 para 3, available at: </w:t>
      </w:r>
      <w:hyperlink r:id="rId25" w:history="1">
        <w:r w:rsidRPr="002F43F8">
          <w:rPr>
            <w:rStyle w:val="Hyperlink"/>
            <w:szCs w:val="16"/>
          </w:rPr>
          <w:t>https://files.institutesi.org/UPR35_Kuwait_with_Equality_Now.pdf</w:t>
        </w:r>
      </w:hyperlink>
    </w:p>
  </w:footnote>
  <w:footnote w:id="36">
    <w:p w14:paraId="52902655" w14:textId="50A91ED7" w:rsidR="00777220" w:rsidRPr="002F43F8" w:rsidRDefault="00777220" w:rsidP="00CF5586">
      <w:pPr>
        <w:pStyle w:val="FootnoteText"/>
        <w:rPr>
          <w:rFonts w:ascii="Times New Roman" w:hAnsi="Times New Roman" w:cs="Times New Roman"/>
          <w:szCs w:val="16"/>
          <w:lang w:val="en-US"/>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 Accordingly, nationality might be revoked “</w:t>
      </w:r>
      <w:r w:rsidRPr="002F43F8">
        <w:rPr>
          <w:rFonts w:ascii="Times New Roman" w:hAnsi="Times New Roman" w:cs="Times New Roman"/>
          <w:i/>
          <w:iCs/>
          <w:szCs w:val="16"/>
        </w:rPr>
        <w:t>where naturalization has been acquired by virtue of fraud or on the basis of a false declaration; where within 15 years of the grant of naturalization, a person is convicted of any honour related crime or honesty-related crime; where, within 10 years, a person is dismissed from public office on disciplinary grounds for reasons relating to honour or honesty; and where the competent authorities have evidence that a naturalized person has disseminated opinions which may tend seriously to undermine the economic or social structure of the State or that he is a member of a political association of a foreign State”</w:t>
      </w:r>
      <w:r w:rsidRPr="002F43F8">
        <w:rPr>
          <w:rFonts w:ascii="Times New Roman" w:hAnsi="Times New Roman" w:cs="Times New Roman"/>
          <w:szCs w:val="16"/>
        </w:rPr>
        <w:t xml:space="preserve">. Nationality Law, 1959 [],   1959, available at: </w:t>
      </w:r>
      <w:hyperlink r:id="rId26" w:history="1">
        <w:r w:rsidRPr="002F43F8">
          <w:rPr>
            <w:rStyle w:val="Hyperlink"/>
            <w:szCs w:val="16"/>
          </w:rPr>
          <w:t>https://www.refworld.org/docid/3ae6b4ef1c.html</w:t>
        </w:r>
      </w:hyperlink>
      <w:r w:rsidRPr="002F43F8">
        <w:rPr>
          <w:rFonts w:ascii="Times New Roman" w:hAnsi="Times New Roman" w:cs="Times New Roman"/>
          <w:szCs w:val="16"/>
        </w:rPr>
        <w:t xml:space="preserve"> [accessed 1 July 2020]</w:t>
      </w:r>
    </w:p>
  </w:footnote>
  <w:footnote w:id="37">
    <w:p w14:paraId="79401272" w14:textId="67316EB9" w:rsidR="0056029D" w:rsidRDefault="0056029D">
      <w:pPr>
        <w:pStyle w:val="FootnoteText"/>
      </w:pPr>
      <w:r>
        <w:rPr>
          <w:rStyle w:val="FootnoteReference"/>
        </w:rPr>
        <w:footnoteRef/>
      </w:r>
      <w:r>
        <w:t xml:space="preserve"> See</w:t>
      </w:r>
      <w:r w:rsidR="0013244C">
        <w:t xml:space="preserve"> the Principles on Deprivation of Nationality as a National Security Measure, (2020), </w:t>
      </w:r>
      <w:r>
        <w:t xml:space="preserve"> </w:t>
      </w:r>
      <w:hyperlink r:id="rId27" w:history="1">
        <w:r>
          <w:rPr>
            <w:rStyle w:val="Hyperlink"/>
          </w:rPr>
          <w:t>https://files.institutesi.org/PRINCIPLES.pdf</w:t>
        </w:r>
      </w:hyperlink>
      <w:r>
        <w:t xml:space="preserve">. The Principles </w:t>
      </w:r>
      <w:r w:rsidRPr="0056029D">
        <w:t>restate or reflect international law and legal standards under the UN Charter, treaty law, customary international law, general principles of law, judicial decisions and legal scholarship, regional and national law and practice, and were developed in consultation with over 60 international experts.</w:t>
      </w:r>
    </w:p>
  </w:footnote>
  <w:footnote w:id="38">
    <w:p w14:paraId="7F1B72BA" w14:textId="1CA9ADFB" w:rsidR="00777220" w:rsidRPr="002F43F8" w:rsidRDefault="00777220" w:rsidP="00CF5586">
      <w:pPr>
        <w:pStyle w:val="FootnoteText"/>
        <w:rPr>
          <w:rFonts w:ascii="Times New Roman" w:hAnsi="Times New Roman" w:cs="Times New Roman"/>
          <w:szCs w:val="16"/>
        </w:rPr>
      </w:pPr>
      <w:r w:rsidRPr="002F43F8">
        <w:rPr>
          <w:rStyle w:val="FootnoteReference"/>
          <w:rFonts w:ascii="Times New Roman" w:hAnsi="Times New Roman" w:cs="Times New Roman"/>
          <w:szCs w:val="16"/>
        </w:rPr>
        <w:footnoteRef/>
      </w:r>
      <w:r w:rsidRPr="002F43F8">
        <w:rPr>
          <w:rFonts w:ascii="Times New Roman" w:hAnsi="Times New Roman" w:cs="Times New Roman"/>
          <w:szCs w:val="16"/>
        </w:rPr>
        <w:t xml:space="preserve"> The Economist, To silence dissidents, Gulf states are revoking their citizenship, 26 November 2016, </w:t>
      </w:r>
      <w:hyperlink r:id="rId28" w:history="1">
        <w:r w:rsidRPr="002F43F8">
          <w:rPr>
            <w:rStyle w:val="Hyperlink"/>
            <w:szCs w:val="16"/>
          </w:rPr>
          <w:t>https://www.economist.com/middle-east-and-africa/2016/11/26/to-silence-dissidents-gulf-states-are-revoking-their-citizenship</w:t>
        </w:r>
      </w:hyperlink>
      <w:r w:rsidRPr="002F43F8" w:rsidDel="002461F4">
        <w:rPr>
          <w:rFonts w:ascii="Times New Roman" w:hAnsi="Times New Roman" w:cs="Times New Roman"/>
          <w:szCs w:val="16"/>
        </w:rPr>
        <w:t xml:space="preserve"> </w:t>
      </w:r>
      <w:r w:rsidRPr="002F43F8">
        <w:rPr>
          <w:rFonts w:ascii="Times New Roman" w:hAnsi="Times New Roman" w:cs="Times New Roman"/>
          <w:szCs w:val="16"/>
        </w:rPr>
        <w:t xml:space="preserve"> [accessed 1 July 2020].</w:t>
      </w:r>
    </w:p>
  </w:footnote>
  <w:footnote w:id="39">
    <w:p w14:paraId="7A246E81" w14:textId="50E13132" w:rsidR="0056029D" w:rsidRDefault="0056029D">
      <w:pPr>
        <w:pStyle w:val="FootnoteText"/>
      </w:pPr>
      <w:r>
        <w:rPr>
          <w:rStyle w:val="FootnoteReference"/>
        </w:rPr>
        <w:footnoteRef/>
      </w:r>
      <w:r>
        <w:t xml:space="preserve"> Principles on Deprivation of Nationality as a National Security Measure, </w:t>
      </w:r>
      <w:r w:rsidR="0013244C">
        <w:t>(2020), Principles 9.7 and 9.8., available at:</w:t>
      </w:r>
      <w:r w:rsidR="0013244C" w:rsidRPr="0013244C">
        <w:t xml:space="preserve"> </w:t>
      </w:r>
      <w:hyperlink r:id="rId29" w:history="1">
        <w:r w:rsidR="0013244C">
          <w:rPr>
            <w:rStyle w:val="Hyperlink"/>
          </w:rPr>
          <w:t>https://files.institutesi.org/PRINCIPLES.pdf</w:t>
        </w:r>
      </w:hyperlink>
    </w:p>
  </w:footnote>
  <w:footnote w:id="40">
    <w:p w14:paraId="4632B4E9"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Article 24(3)</w:t>
      </w:r>
    </w:p>
  </w:footnote>
  <w:footnote w:id="41">
    <w:p w14:paraId="225330E1" w14:textId="77777777" w:rsidR="00777220" w:rsidRPr="006A7992" w:rsidRDefault="00777220" w:rsidP="00CF5586">
      <w:pPr>
        <w:pStyle w:val="FootnoteText"/>
        <w:rPr>
          <w:rFonts w:ascii="Times New Roman" w:hAnsi="Times New Roman" w:cs="Times New Roman"/>
          <w:lang w:val="en-US"/>
        </w:rPr>
      </w:pPr>
      <w:r>
        <w:rPr>
          <w:rStyle w:val="FootnoteReference"/>
        </w:rPr>
        <w:footnoteRef/>
      </w:r>
      <w:r>
        <w:t xml:space="preserve"> </w:t>
      </w:r>
      <w:r w:rsidRPr="006A7992">
        <w:rPr>
          <w:rFonts w:ascii="Times New Roman" w:hAnsi="Times New Roman" w:cs="Times New Roman"/>
          <w:lang w:val="en-US"/>
        </w:rPr>
        <w:t>Article 9</w:t>
      </w:r>
    </w:p>
  </w:footnote>
  <w:footnote w:id="42">
    <w:p w14:paraId="6C86E03B" w14:textId="77777777" w:rsidR="00777220" w:rsidRPr="006A7992" w:rsidRDefault="00777220" w:rsidP="00CF5586">
      <w:pPr>
        <w:pStyle w:val="FootnoteText"/>
        <w:rPr>
          <w:rFonts w:ascii="Times New Roman" w:hAnsi="Times New Roman" w:cs="Times New Roman"/>
          <w:lang w:val="en-US"/>
        </w:rPr>
      </w:pPr>
      <w:r w:rsidRPr="006A7992">
        <w:rPr>
          <w:rStyle w:val="FootnoteReference"/>
          <w:rFonts w:ascii="Times New Roman" w:hAnsi="Times New Roman" w:cs="Times New Roman"/>
        </w:rPr>
        <w:footnoteRef/>
      </w:r>
      <w:r w:rsidRPr="006A7992">
        <w:rPr>
          <w:rFonts w:ascii="Times New Roman" w:hAnsi="Times New Roman" w:cs="Times New Roman"/>
        </w:rPr>
        <w:t xml:space="preserve"> Article 18</w:t>
      </w:r>
    </w:p>
  </w:footnote>
  <w:footnote w:id="43">
    <w:p w14:paraId="0D5535FE"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Article 5(d)(iii)</w:t>
      </w:r>
    </w:p>
  </w:footnote>
  <w:footnote w:id="44">
    <w:p w14:paraId="1904FCCF" w14:textId="77777777" w:rsidR="00777220" w:rsidRPr="006A7992" w:rsidRDefault="00777220" w:rsidP="00CF5586">
      <w:pPr>
        <w:pStyle w:val="FootnoteText"/>
        <w:rPr>
          <w:rFonts w:ascii="Times New Roman" w:hAnsi="Times New Roman" w:cs="Times New Roman"/>
          <w:szCs w:val="16"/>
          <w:lang w:val="en-US"/>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Articles 5 and 19.</w:t>
      </w:r>
    </w:p>
  </w:footnote>
  <w:footnote w:id="45">
    <w:p w14:paraId="6782E7EB"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CRC/C/KWT/CO/2, 29 October 2013, para 6, available at: </w:t>
      </w:r>
      <w:hyperlink r:id="rId30" w:history="1">
        <w:r w:rsidRPr="006A7992">
          <w:rPr>
            <w:rStyle w:val="Hyperlink"/>
            <w:szCs w:val="16"/>
          </w:rPr>
          <w:t>https://undocs.org/CRC/C/KWT/CO/2</w:t>
        </w:r>
      </w:hyperlink>
      <w:r w:rsidRPr="006A7992">
        <w:rPr>
          <w:rFonts w:ascii="Times New Roman" w:hAnsi="Times New Roman" w:cs="Times New Roman"/>
          <w:szCs w:val="16"/>
        </w:rPr>
        <w:t xml:space="preserve"> </w:t>
      </w:r>
    </w:p>
  </w:footnote>
  <w:footnote w:id="46">
    <w:p w14:paraId="240805BA"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Ibid. Paras 7 &amp; 8.</w:t>
      </w:r>
    </w:p>
  </w:footnote>
  <w:footnote w:id="47">
    <w:p w14:paraId="62D084DD"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Ibid. Para 35</w:t>
      </w:r>
    </w:p>
  </w:footnote>
  <w:footnote w:id="48">
    <w:p w14:paraId="7485F962"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Ibid. Para 35 (a) &amp; (b)</w:t>
      </w:r>
    </w:p>
  </w:footnote>
  <w:footnote w:id="49">
    <w:p w14:paraId="52BD2268"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Ibid. Para 36.</w:t>
      </w:r>
    </w:p>
  </w:footnote>
  <w:footnote w:id="50">
    <w:p w14:paraId="3CDDC8B9"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Ibid. Para 36 (a), (b) &amp; (c). </w:t>
      </w:r>
    </w:p>
  </w:footnote>
  <w:footnote w:id="51">
    <w:p w14:paraId="236A2BFD"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CEDAW/C/KWT/CO/5, 22 November 2017, para 33, available at: </w:t>
      </w:r>
      <w:hyperlink r:id="rId31" w:history="1">
        <w:r w:rsidRPr="006A7992">
          <w:rPr>
            <w:rStyle w:val="Hyperlink"/>
            <w:szCs w:val="16"/>
          </w:rPr>
          <w:t>https://undocs.org/CEDAW/C/KWT/CO/5</w:t>
        </w:r>
      </w:hyperlink>
    </w:p>
  </w:footnote>
  <w:footnote w:id="52">
    <w:p w14:paraId="3B264707"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Ibid. Para 45 (b)</w:t>
      </w:r>
    </w:p>
  </w:footnote>
  <w:footnote w:id="53">
    <w:p w14:paraId="467FA146" w14:textId="77777777" w:rsidR="00777220" w:rsidRPr="006A7992" w:rsidRDefault="00777220" w:rsidP="00CF5586">
      <w:pPr>
        <w:pStyle w:val="FootnoteText"/>
        <w:rPr>
          <w:rFonts w:ascii="Times New Roman" w:hAnsi="Times New Roman" w:cs="Times New Roman"/>
          <w:b/>
          <w:bCs/>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CERD/C/KWT/CO/21-24, 19 September 2017, para 27, available at: </w:t>
      </w:r>
      <w:hyperlink r:id="rId32" w:history="1">
        <w:r w:rsidRPr="006A7992">
          <w:rPr>
            <w:rStyle w:val="Hyperlink"/>
            <w:szCs w:val="16"/>
          </w:rPr>
          <w:t>https://undocs.org/CERD/C/KWT/CO/21-24</w:t>
        </w:r>
      </w:hyperlink>
    </w:p>
  </w:footnote>
  <w:footnote w:id="54">
    <w:p w14:paraId="295ACA15"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Ibid. Para 32</w:t>
      </w:r>
    </w:p>
  </w:footnote>
  <w:footnote w:id="55">
    <w:p w14:paraId="1B073E54"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See Institute on Statelessness and Inclusion &amp; Mena Rights Group, Kuwait UPR Submission, July 2019, available at: </w:t>
      </w:r>
      <w:hyperlink r:id="rId33" w:history="1">
        <w:r w:rsidRPr="006A7992">
          <w:rPr>
            <w:rStyle w:val="Hyperlink"/>
            <w:szCs w:val="16"/>
          </w:rPr>
          <w:t>https://files.institutesi.org/UPR35_Kuwait.pdf</w:t>
        </w:r>
      </w:hyperlink>
      <w:r w:rsidRPr="006A7992">
        <w:rPr>
          <w:rFonts w:ascii="Times New Roman" w:hAnsi="Times New Roman" w:cs="Times New Roman"/>
          <w:szCs w:val="16"/>
        </w:rPr>
        <w:t xml:space="preserve">, and Institute on Statelessness and Inclusion, Global Campaign for Equal Nationality Rights, Equality Now, Abolish 153 and Kuwaiti Women Without Limits, Kuwait UPR Submission, July 2019, available at: </w:t>
      </w:r>
      <w:hyperlink r:id="rId34" w:history="1">
        <w:r w:rsidRPr="006A7992">
          <w:rPr>
            <w:rStyle w:val="Hyperlink"/>
            <w:szCs w:val="16"/>
          </w:rPr>
          <w:t>https://files.institutesi.org/UPR35_Kuwait_with_Equality_Now.pdf</w:t>
        </w:r>
      </w:hyperlink>
      <w:r w:rsidRPr="006A7992">
        <w:rPr>
          <w:rFonts w:ascii="Times New Roman" w:hAnsi="Times New Roman" w:cs="Times New Roman"/>
          <w:szCs w:val="16"/>
        </w:rPr>
        <w:t xml:space="preserve"> </w:t>
      </w:r>
    </w:p>
  </w:footnote>
  <w:footnote w:id="56">
    <w:p w14:paraId="7FEEE6EA" w14:textId="77777777" w:rsidR="00777220" w:rsidRPr="002F43F8"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For an overview and analysis of the recommendations, see Institute on Statelessness and Inclusion, UPR 35</w:t>
      </w:r>
      <w:r w:rsidRPr="006A7992">
        <w:rPr>
          <w:rFonts w:ascii="Times New Roman" w:hAnsi="Times New Roman" w:cs="Times New Roman"/>
          <w:szCs w:val="16"/>
          <w:vertAlign w:val="superscript"/>
        </w:rPr>
        <w:t>th</w:t>
      </w:r>
      <w:r w:rsidRPr="006A7992">
        <w:rPr>
          <w:rFonts w:ascii="Times New Roman" w:hAnsi="Times New Roman" w:cs="Times New Roman"/>
          <w:szCs w:val="16"/>
        </w:rPr>
        <w:t xml:space="preserve"> Session, overview and analysis of recommendations on </w:t>
      </w:r>
      <w:r w:rsidRPr="002F43F8">
        <w:rPr>
          <w:rFonts w:ascii="Times New Roman" w:hAnsi="Times New Roman" w:cs="Times New Roman"/>
          <w:szCs w:val="16"/>
        </w:rPr>
        <w:t xml:space="preserve">nationality and statelessness, January 2020, available at: </w:t>
      </w:r>
      <w:hyperlink r:id="rId35" w:history="1">
        <w:r w:rsidRPr="002F43F8">
          <w:rPr>
            <w:rStyle w:val="Hyperlink"/>
            <w:szCs w:val="16"/>
          </w:rPr>
          <w:t>https://files.institutesi.org/UPR_35_recommendations_analysis.pdf</w:t>
        </w:r>
      </w:hyperlink>
      <w:r w:rsidRPr="002F43F8">
        <w:rPr>
          <w:rFonts w:ascii="Times New Roman" w:hAnsi="Times New Roman" w:cs="Times New Roman"/>
          <w:szCs w:val="16"/>
        </w:rPr>
        <w:t>.</w:t>
      </w:r>
    </w:p>
  </w:footnote>
  <w:footnote w:id="57">
    <w:p w14:paraId="742915B2" w14:textId="12C29825" w:rsidR="00777220" w:rsidRPr="002F43F8" w:rsidRDefault="00777220" w:rsidP="00CF5586">
      <w:pPr>
        <w:pStyle w:val="FootnoteText"/>
        <w:rPr>
          <w:rFonts w:ascii="Times New Roman" w:hAnsi="Times New Roman" w:cs="Times New Roman"/>
        </w:rPr>
      </w:pPr>
      <w:r w:rsidRPr="002F43F8">
        <w:rPr>
          <w:rStyle w:val="FootnoteReference"/>
          <w:rFonts w:ascii="Times New Roman" w:hAnsi="Times New Roman" w:cs="Times New Roman"/>
        </w:rPr>
        <w:footnoteRef/>
      </w:r>
      <w:r w:rsidRPr="002F43F8">
        <w:rPr>
          <w:rFonts w:ascii="Times New Roman" w:hAnsi="Times New Roman" w:cs="Times New Roman"/>
        </w:rPr>
        <w:t xml:space="preserve"> A/HRC/29/17, 13 April 2015, available at: </w:t>
      </w:r>
      <w:hyperlink r:id="rId36" w:history="1">
        <w:r w:rsidRPr="002F43F8">
          <w:rPr>
            <w:rStyle w:val="Hyperlink"/>
          </w:rPr>
          <w:t>https://undocs.org/A/HRC/29/17</w:t>
        </w:r>
      </w:hyperlink>
    </w:p>
  </w:footnote>
  <w:footnote w:id="58">
    <w:p w14:paraId="090308FD" w14:textId="1968FCE6" w:rsidR="00777220" w:rsidRPr="002F43F8" w:rsidRDefault="00777220" w:rsidP="00CF5586">
      <w:pPr>
        <w:pStyle w:val="FootnoteText"/>
        <w:rPr>
          <w:rFonts w:ascii="Times New Roman" w:hAnsi="Times New Roman" w:cs="Times New Roman"/>
        </w:rPr>
      </w:pPr>
      <w:r w:rsidRPr="002F43F8">
        <w:rPr>
          <w:rStyle w:val="FootnoteReference"/>
          <w:rFonts w:ascii="Times New Roman" w:hAnsi="Times New Roman" w:cs="Times New Roman"/>
        </w:rPr>
        <w:footnoteRef/>
      </w:r>
      <w:r w:rsidRPr="002F43F8">
        <w:rPr>
          <w:rFonts w:ascii="Times New Roman" w:hAnsi="Times New Roman" w:cs="Times New Roman"/>
        </w:rPr>
        <w:t xml:space="preserve"> A/HRC/15/15, 16 June 2010, available at: </w:t>
      </w:r>
      <w:hyperlink r:id="rId37" w:history="1">
        <w:r w:rsidRPr="002F43F8">
          <w:rPr>
            <w:rStyle w:val="Hyperlink"/>
          </w:rPr>
          <w:t>https://undocs.org/A/HRC/15/15</w:t>
        </w:r>
      </w:hyperlink>
    </w:p>
  </w:footnote>
  <w:footnote w:id="59">
    <w:p w14:paraId="0B1DAD60"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The UNHCR #IBelong campaign aims to eradicate statelessness by the year 2024, see further: </w:t>
      </w:r>
      <w:hyperlink r:id="rId38" w:history="1">
        <w:r w:rsidRPr="006A7992">
          <w:rPr>
            <w:rStyle w:val="Hyperlink"/>
            <w:szCs w:val="16"/>
          </w:rPr>
          <w:t>http://www.unhcr.org/ibelong/</w:t>
        </w:r>
      </w:hyperlink>
      <w:r w:rsidRPr="006A7992">
        <w:rPr>
          <w:rFonts w:ascii="Times New Roman" w:hAnsi="Times New Roman" w:cs="Times New Roman"/>
          <w:szCs w:val="16"/>
        </w:rPr>
        <w:t xml:space="preserve">. </w:t>
      </w:r>
    </w:p>
  </w:footnote>
  <w:footnote w:id="60">
    <w:p w14:paraId="0C90F3DA"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The Sustainable Development Goals, Target 16.9.</w:t>
      </w:r>
    </w:p>
  </w:footnote>
  <w:footnote w:id="61">
    <w:p w14:paraId="2FE7999C" w14:textId="77777777" w:rsidR="00777220" w:rsidRPr="006A7992" w:rsidRDefault="00777220" w:rsidP="00CF5586">
      <w:pPr>
        <w:pStyle w:val="FootnoteText"/>
        <w:rPr>
          <w:rFonts w:ascii="Times New Roman" w:hAnsi="Times New Roman" w:cs="Times New Roman"/>
          <w:szCs w:val="16"/>
          <w:lang w:val="en-US"/>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Global Campaign for Equal Nationality Rights, Kuwait: Give women equal citizenship rights to men, available at: </w:t>
      </w:r>
      <w:hyperlink r:id="rId39" w:history="1">
        <w:r w:rsidRPr="006A7992">
          <w:rPr>
            <w:rStyle w:val="Hyperlink"/>
            <w:szCs w:val="16"/>
          </w:rPr>
          <w:t>https://equalnationalityrights.org/news/90-kuwait-give-women-equal-citizenship-rights-to-men</w:t>
        </w:r>
      </w:hyperlink>
    </w:p>
  </w:footnote>
  <w:footnote w:id="62">
    <w:p w14:paraId="62FCBDFA" w14:textId="77777777" w:rsidR="00777220" w:rsidRPr="006A7992" w:rsidRDefault="00777220" w:rsidP="00CF5586">
      <w:pPr>
        <w:pStyle w:val="FootnoteText"/>
        <w:rPr>
          <w:rFonts w:ascii="Times New Roman" w:hAnsi="Times New Roman" w:cs="Times New Roman"/>
          <w:szCs w:val="16"/>
          <w:lang w:val="en-US"/>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Arab Declaration on “Belonging and Legal Identity”, available at: </w:t>
      </w:r>
      <w:hyperlink r:id="rId40" w:history="1">
        <w:r w:rsidRPr="006A7992">
          <w:rPr>
            <w:rStyle w:val="Hyperlink"/>
            <w:szCs w:val="16"/>
          </w:rPr>
          <w:t>https://equalnationalityrights.org/images/zdocs/Final-Ministerial-Conference-Declaration-on-Belonging-and-Identity---English.pdf</w:t>
        </w:r>
      </w:hyperlink>
    </w:p>
  </w:footnote>
  <w:footnote w:id="63">
    <w:p w14:paraId="15110487"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The New Arab, Kuwaiti women still battling for legal and political recognition, 11 May 2016, available at:</w:t>
      </w:r>
    </w:p>
    <w:p w14:paraId="48E76750" w14:textId="77777777" w:rsidR="00777220" w:rsidRPr="006A7992" w:rsidRDefault="007B5F11" w:rsidP="00CF5586">
      <w:pPr>
        <w:pStyle w:val="FootnoteText"/>
        <w:rPr>
          <w:rFonts w:ascii="Times New Roman" w:hAnsi="Times New Roman" w:cs="Times New Roman"/>
          <w:szCs w:val="16"/>
        </w:rPr>
      </w:pPr>
      <w:hyperlink r:id="rId41" w:history="1">
        <w:r w:rsidR="00777220" w:rsidRPr="006A7992">
          <w:rPr>
            <w:rStyle w:val="Hyperlink"/>
            <w:szCs w:val="16"/>
          </w:rPr>
          <w:t>https://english.alaraby.co.uk/english/society/2016/5/11/kuwaiti-women-still-battling-for-legal-and-political-recognition</w:t>
        </w:r>
      </w:hyperlink>
    </w:p>
  </w:footnote>
  <w:footnote w:id="64">
    <w:p w14:paraId="6B2EEF5B"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CRC/C/KWT/3-6, 16 March 2020, available at: </w:t>
      </w:r>
      <w:hyperlink r:id="rId42" w:history="1">
        <w:r w:rsidRPr="006A7992">
          <w:rPr>
            <w:rStyle w:val="Hyperlink"/>
            <w:szCs w:val="16"/>
          </w:rPr>
          <w:t>https://undocs.org/en/CRC/C/KWT/3-6</w:t>
        </w:r>
      </w:hyperlink>
    </w:p>
  </w:footnote>
  <w:footnote w:id="65">
    <w:p w14:paraId="02A165EE"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Ibid. Para 8.</w:t>
      </w:r>
    </w:p>
  </w:footnote>
  <w:footnote w:id="66">
    <w:p w14:paraId="04D01649"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Ibid. Para 28.</w:t>
      </w:r>
    </w:p>
  </w:footnote>
  <w:footnote w:id="67">
    <w:p w14:paraId="3DF39230"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Ibid., Para 36(a).</w:t>
      </w:r>
    </w:p>
  </w:footnote>
  <w:footnote w:id="68">
    <w:p w14:paraId="443C1797"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Ibid., Para 36(a).</w:t>
      </w:r>
    </w:p>
  </w:footnote>
  <w:footnote w:id="69">
    <w:p w14:paraId="5061D671"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Ibid., Para 36(a).</w:t>
      </w:r>
    </w:p>
  </w:footnote>
  <w:footnote w:id="70">
    <w:p w14:paraId="546C9E0B"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Ibid., Para 36(b).</w:t>
      </w:r>
    </w:p>
  </w:footnote>
  <w:footnote w:id="71">
    <w:p w14:paraId="65F7E289"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Ibid., Para 36(c)</w:t>
      </w:r>
    </w:p>
  </w:footnote>
  <w:footnote w:id="72">
    <w:p w14:paraId="1320AC95"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hyperlink r:id="rId43" w:history="1">
        <w:r w:rsidRPr="006A7992">
          <w:rPr>
            <w:rStyle w:val="Hyperlink"/>
            <w:szCs w:val="16"/>
          </w:rPr>
          <w:t>https://www.institutesi.org/core-activities/human-rights-advocacy-crc</w:t>
        </w:r>
      </w:hyperlink>
    </w:p>
  </w:footnote>
  <w:footnote w:id="73">
    <w:p w14:paraId="67898BEB"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Institute on Statelessness and Inclusion, Addressing the right to a nationality through the Convention on the Rights of the Child: A Toolkit for Civil Society, June 2016, available at:  </w:t>
      </w:r>
      <w:hyperlink r:id="rId44" w:history="1">
        <w:r w:rsidRPr="006A7992">
          <w:rPr>
            <w:rStyle w:val="Hyperlink"/>
            <w:szCs w:val="16"/>
          </w:rPr>
          <w:t>https://files.institutesi.org/CRC_Toolkit_Final.pdf</w:t>
        </w:r>
      </w:hyperlink>
    </w:p>
  </w:footnote>
  <w:footnote w:id="74">
    <w:p w14:paraId="22C9B4A1"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Institute on Statelessness and Inclusion,  Statelessness Essentials, Childhood Statelessness, 2018 available at: </w:t>
      </w:r>
      <w:hyperlink r:id="rId45" w:history="1">
        <w:r w:rsidRPr="006A7992">
          <w:rPr>
            <w:rStyle w:val="Hyperlink"/>
            <w:szCs w:val="16"/>
          </w:rPr>
          <w:t>https://files.institutesi.org/childhood-statelessness.pdf</w:t>
        </w:r>
      </w:hyperlink>
    </w:p>
  </w:footnote>
  <w:footnote w:id="75">
    <w:p w14:paraId="2F233A70"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Institute on Statelessness and Inclusion, Statelessness Essentials, Statelessness &amp; Human Rights, The Convention of the Rights of the Child, 2018, available at: </w:t>
      </w:r>
      <w:hyperlink r:id="rId46" w:history="1">
        <w:r w:rsidRPr="006A7992">
          <w:rPr>
            <w:rStyle w:val="Hyperlink"/>
            <w:szCs w:val="16"/>
          </w:rPr>
          <w:t>https://files.institutesi.org/statelessness-and-CRC.pdf</w:t>
        </w:r>
      </w:hyperlink>
    </w:p>
  </w:footnote>
  <w:footnote w:id="76">
    <w:p w14:paraId="7585AC22"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 For all the Essentials Booklets, see: </w:t>
      </w:r>
      <w:hyperlink r:id="rId47" w:history="1">
        <w:r w:rsidRPr="006A7992">
          <w:rPr>
            <w:rStyle w:val="Hyperlink"/>
            <w:szCs w:val="16"/>
          </w:rPr>
          <w:t>https://www.institutesi.org/core-activities/statelessness-essentials-booklet-series.</w:t>
        </w:r>
      </w:hyperlink>
    </w:p>
  </w:footnote>
  <w:footnote w:id="77">
    <w:p w14:paraId="24297F34"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r w:rsidRPr="006A7992">
        <w:rPr>
          <w:rFonts w:ascii="Times New Roman" w:hAnsi="Times New Roman" w:cs="Times New Roman"/>
          <w:szCs w:val="16"/>
        </w:rPr>
        <w:t xml:space="preserve">Institute on Statelessness and Inclusion, The World’s Stateless children, January 2017, available at: </w:t>
      </w:r>
    </w:p>
    <w:p w14:paraId="6701A243" w14:textId="77777777" w:rsidR="00777220" w:rsidRPr="006A7992" w:rsidRDefault="007B5F11" w:rsidP="00CF5586">
      <w:pPr>
        <w:pStyle w:val="FootnoteText"/>
        <w:rPr>
          <w:rFonts w:ascii="Times New Roman" w:hAnsi="Times New Roman" w:cs="Times New Roman"/>
          <w:szCs w:val="16"/>
          <w:lang w:val="en-US"/>
        </w:rPr>
      </w:pPr>
      <w:hyperlink r:id="rId48" w:history="1">
        <w:r w:rsidR="00777220" w:rsidRPr="006A7992">
          <w:rPr>
            <w:rStyle w:val="Hyperlink"/>
            <w:szCs w:val="16"/>
          </w:rPr>
          <w:t>https://files.institutesi.org/worldsstateless17.pdf</w:t>
        </w:r>
      </w:hyperlink>
    </w:p>
  </w:footnote>
  <w:footnote w:id="78">
    <w:p w14:paraId="44BAE345" w14:textId="77777777" w:rsidR="00777220" w:rsidRPr="006A7992" w:rsidRDefault="00777220" w:rsidP="00CF5586">
      <w:pPr>
        <w:pStyle w:val="FootnoteText"/>
        <w:rPr>
          <w:rFonts w:ascii="Times New Roman" w:hAnsi="Times New Roman" w:cs="Times New Roman"/>
          <w:szCs w:val="16"/>
        </w:rPr>
      </w:pPr>
      <w:r w:rsidRPr="006A7992">
        <w:rPr>
          <w:rStyle w:val="FootnoteReference"/>
          <w:rFonts w:ascii="Times New Roman" w:hAnsi="Times New Roman" w:cs="Times New Roman"/>
          <w:szCs w:val="16"/>
        </w:rPr>
        <w:footnoteRef/>
      </w:r>
      <w:hyperlink r:id="rId49" w:history="1">
        <w:r w:rsidRPr="006A7992">
          <w:rPr>
            <w:rStyle w:val="Hyperlink"/>
            <w:szCs w:val="16"/>
          </w:rPr>
          <w:t>http://kids.worldsstateless.org/</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071"/>
    <w:multiLevelType w:val="hybridMultilevel"/>
    <w:tmpl w:val="A30A2DB0"/>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 w15:restartNumberingAfterBreak="0">
    <w:nsid w:val="10B93085"/>
    <w:multiLevelType w:val="hybridMultilevel"/>
    <w:tmpl w:val="25382498"/>
    <w:lvl w:ilvl="0" w:tplc="958247F6">
      <w:start w:val="1"/>
      <w:numFmt w:val="decimal"/>
      <w:lvlText w:val="%1."/>
      <w:lvlJc w:val="left"/>
      <w:pPr>
        <w:ind w:left="360" w:hanging="360"/>
      </w:pPr>
      <w:rPr>
        <w:rFonts w:ascii="Times New Roman" w:hAnsi="Times New Roman" w:cs="Times New Roman" w:hint="default"/>
        <w:b w:val="0"/>
        <w:sz w:val="22"/>
        <w:szCs w:val="22"/>
        <w:vertAlign w:val="baseline"/>
      </w:rPr>
    </w:lvl>
    <w:lvl w:ilvl="1" w:tplc="1C0A1CB4">
      <w:start w:val="1"/>
      <w:numFmt w:val="lowerLetter"/>
      <w:lvlText w:val="%2."/>
      <w:lvlJc w:val="left"/>
      <w:pPr>
        <w:ind w:left="1440" w:hanging="360"/>
      </w:pPr>
      <w:rPr>
        <w:rFonts w:cs="Times New Roman"/>
        <w:sz w:val="22"/>
        <w:szCs w:val="22"/>
        <w:vertAlign w:val="baseline"/>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15365E4F"/>
    <w:multiLevelType w:val="hybridMultilevel"/>
    <w:tmpl w:val="9F98FA00"/>
    <w:lvl w:ilvl="0" w:tplc="958247F6">
      <w:start w:val="1"/>
      <w:numFmt w:val="decimal"/>
      <w:lvlText w:val="%1."/>
      <w:lvlJc w:val="left"/>
      <w:pPr>
        <w:ind w:left="360" w:hanging="360"/>
      </w:pPr>
      <w:rPr>
        <w:rFonts w:ascii="Times New Roman" w:hAnsi="Times New Roman" w:cs="Times New Roman" w:hint="default"/>
        <w:b w:val="0"/>
        <w:sz w:val="22"/>
        <w:szCs w:val="22"/>
        <w:vertAlign w:val="baseline"/>
      </w:rPr>
    </w:lvl>
    <w:lvl w:ilvl="1" w:tplc="1C0A1CB4">
      <w:start w:val="1"/>
      <w:numFmt w:val="lowerLetter"/>
      <w:lvlText w:val="%2."/>
      <w:lvlJc w:val="left"/>
      <w:pPr>
        <w:ind w:left="1440" w:hanging="360"/>
      </w:pPr>
      <w:rPr>
        <w:rFonts w:cs="Times New Roman"/>
        <w:sz w:val="22"/>
        <w:szCs w:val="22"/>
        <w:vertAlign w:val="baseline"/>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18ED667C"/>
    <w:multiLevelType w:val="hybridMultilevel"/>
    <w:tmpl w:val="9F98FA00"/>
    <w:lvl w:ilvl="0" w:tplc="958247F6">
      <w:start w:val="1"/>
      <w:numFmt w:val="decimal"/>
      <w:lvlText w:val="%1."/>
      <w:lvlJc w:val="left"/>
      <w:pPr>
        <w:ind w:left="360" w:hanging="360"/>
      </w:pPr>
      <w:rPr>
        <w:rFonts w:ascii="Times New Roman" w:hAnsi="Times New Roman" w:cs="Times New Roman" w:hint="default"/>
        <w:b w:val="0"/>
        <w:sz w:val="22"/>
        <w:szCs w:val="22"/>
        <w:vertAlign w:val="baseline"/>
      </w:rPr>
    </w:lvl>
    <w:lvl w:ilvl="1" w:tplc="1C0A1CB4">
      <w:start w:val="1"/>
      <w:numFmt w:val="lowerLetter"/>
      <w:lvlText w:val="%2."/>
      <w:lvlJc w:val="left"/>
      <w:pPr>
        <w:ind w:left="1440" w:hanging="360"/>
      </w:pPr>
      <w:rPr>
        <w:rFonts w:cs="Times New Roman"/>
        <w:sz w:val="22"/>
        <w:szCs w:val="22"/>
        <w:vertAlign w:val="baseline"/>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1E665EB3"/>
    <w:multiLevelType w:val="hybridMultilevel"/>
    <w:tmpl w:val="8654A496"/>
    <w:lvl w:ilvl="0" w:tplc="04080017">
      <w:start w:val="1"/>
      <w:numFmt w:val="lowerLetter"/>
      <w:lvlText w:val="%1)"/>
      <w:lvlJc w:val="left"/>
      <w:pPr>
        <w:ind w:left="2160" w:hanging="360"/>
      </w:p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5" w15:restartNumberingAfterBreak="0">
    <w:nsid w:val="22E85F84"/>
    <w:multiLevelType w:val="hybridMultilevel"/>
    <w:tmpl w:val="22326054"/>
    <w:lvl w:ilvl="0" w:tplc="B2CCC66A">
      <w:start w:val="1"/>
      <w:numFmt w:val="decimal"/>
      <w:lvlText w:val="%1."/>
      <w:lvlJc w:val="left"/>
      <w:pPr>
        <w:ind w:left="360" w:hanging="360"/>
      </w:pPr>
      <w:rPr>
        <w:rFonts w:cs="Times New Roman"/>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23B93844"/>
    <w:multiLevelType w:val="hybridMultilevel"/>
    <w:tmpl w:val="022A4C42"/>
    <w:lvl w:ilvl="0" w:tplc="46EE97E0">
      <w:start w:val="1"/>
      <w:numFmt w:val="upperRoman"/>
      <w:lvlText w:val="%1."/>
      <w:lvlJc w:val="left"/>
      <w:pPr>
        <w:ind w:left="1080" w:hanging="72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32D96E41"/>
    <w:multiLevelType w:val="hybridMultilevel"/>
    <w:tmpl w:val="F2AC55DE"/>
    <w:lvl w:ilvl="0" w:tplc="04080017">
      <w:start w:val="1"/>
      <w:numFmt w:val="low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3356237C"/>
    <w:multiLevelType w:val="hybridMultilevel"/>
    <w:tmpl w:val="9F98FA00"/>
    <w:lvl w:ilvl="0" w:tplc="958247F6">
      <w:start w:val="1"/>
      <w:numFmt w:val="decimal"/>
      <w:lvlText w:val="%1."/>
      <w:lvlJc w:val="left"/>
      <w:pPr>
        <w:ind w:left="360" w:hanging="360"/>
      </w:pPr>
      <w:rPr>
        <w:rFonts w:ascii="Times New Roman" w:hAnsi="Times New Roman" w:cs="Times New Roman" w:hint="default"/>
        <w:b w:val="0"/>
        <w:sz w:val="22"/>
        <w:szCs w:val="22"/>
        <w:vertAlign w:val="baseline"/>
      </w:rPr>
    </w:lvl>
    <w:lvl w:ilvl="1" w:tplc="1C0A1CB4">
      <w:start w:val="1"/>
      <w:numFmt w:val="lowerLetter"/>
      <w:lvlText w:val="%2."/>
      <w:lvlJc w:val="left"/>
      <w:pPr>
        <w:ind w:left="1440" w:hanging="360"/>
      </w:pPr>
      <w:rPr>
        <w:rFonts w:cs="Times New Roman"/>
        <w:sz w:val="22"/>
        <w:szCs w:val="22"/>
        <w:vertAlign w:val="baseline"/>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36DC5913"/>
    <w:multiLevelType w:val="hybridMultilevel"/>
    <w:tmpl w:val="12E2CF90"/>
    <w:lvl w:ilvl="0" w:tplc="04080017">
      <w:start w:val="1"/>
      <w:numFmt w:val="low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3E0171B8"/>
    <w:multiLevelType w:val="hybridMultilevel"/>
    <w:tmpl w:val="C854DC50"/>
    <w:lvl w:ilvl="0" w:tplc="C87E45D4">
      <w:start w:val="1"/>
      <w:numFmt w:val="decimal"/>
      <w:lvlText w:val="7%1."/>
      <w:lvlJc w:val="left"/>
      <w:pPr>
        <w:ind w:left="1440" w:hanging="360"/>
      </w:pPr>
      <w:rPr>
        <w:rFonts w:ascii="Calibri" w:eastAsia="Calibri" w:hAnsi="Calibri" w:cs="Calibri" w:hint="default"/>
        <w:b w:val="0"/>
        <w:i w:val="0"/>
        <w:strike w:val="0"/>
        <w:dstrike w:val="0"/>
        <w:color w:val="000000"/>
        <w:sz w:val="22"/>
        <w:szCs w:val="22"/>
        <w:u w:val="none" w:color="000000"/>
        <w:vertAlign w:val="baseline"/>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1" w15:restartNumberingAfterBreak="0">
    <w:nsid w:val="40DD1D86"/>
    <w:multiLevelType w:val="hybridMultilevel"/>
    <w:tmpl w:val="AB987730"/>
    <w:lvl w:ilvl="0" w:tplc="F0BC05DA">
      <w:start w:val="1"/>
      <w:numFmt w:val="decimal"/>
      <w:lvlText w:val="%1."/>
      <w:lvlJc w:val="left"/>
      <w:pPr>
        <w:ind w:left="720" w:hanging="360"/>
      </w:pPr>
      <w:rPr>
        <w:rFonts w:cs="Times New Roman"/>
        <w:b w:val="0"/>
        <w:i w:val="0"/>
      </w:rPr>
    </w:lvl>
    <w:lvl w:ilvl="1" w:tplc="E552065E">
      <w:start w:val="126"/>
      <w:numFmt w:val="bullet"/>
      <w:lvlText w:val="-"/>
      <w:lvlJc w:val="left"/>
      <w:pPr>
        <w:ind w:left="1440" w:hanging="360"/>
      </w:pPr>
      <w:rPr>
        <w:rFonts w:ascii="Calibri" w:eastAsia="Times New Roman" w:hAnsi="Calibri" w:cs="Times New Roman" w:hint="default"/>
        <w:b w:val="0"/>
      </w:rPr>
    </w:lvl>
    <w:lvl w:ilvl="2" w:tplc="515A4594">
      <w:start w:val="1"/>
      <w:numFmt w:val="bullet"/>
      <w:lvlText w:val="-"/>
      <w:lvlJc w:val="left"/>
      <w:pPr>
        <w:ind w:left="2160" w:hanging="180"/>
      </w:pPr>
      <w:rPr>
        <w:rFonts w:ascii="Times New Roman" w:eastAsia="Times New Roman" w:hAnsi="Times New Roman" w:cs="Times New Roman" w:hint="default"/>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2" w15:restartNumberingAfterBreak="0">
    <w:nsid w:val="5A22129D"/>
    <w:multiLevelType w:val="hybridMultilevel"/>
    <w:tmpl w:val="873EBC46"/>
    <w:lvl w:ilvl="0" w:tplc="04080017">
      <w:start w:val="1"/>
      <w:numFmt w:val="lowerLetter"/>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5C5147C7"/>
    <w:multiLevelType w:val="hybridMultilevel"/>
    <w:tmpl w:val="9BF0F50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5D8A430D"/>
    <w:multiLevelType w:val="hybridMultilevel"/>
    <w:tmpl w:val="3010571E"/>
    <w:lvl w:ilvl="0" w:tplc="B2CCC66A">
      <w:start w:val="1"/>
      <w:numFmt w:val="decimal"/>
      <w:lvlText w:val="%1."/>
      <w:lvlJc w:val="left"/>
      <w:pPr>
        <w:ind w:left="360" w:hanging="360"/>
      </w:pPr>
      <w:rPr>
        <w:rFonts w:cs="Times New Roman"/>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5FCC5068"/>
    <w:multiLevelType w:val="hybridMultilevel"/>
    <w:tmpl w:val="3C3AC54A"/>
    <w:lvl w:ilvl="0" w:tplc="19961600">
      <w:start w:val="1"/>
      <w:numFmt w:val="lowerLetter"/>
      <w:lvlText w:val="%1)"/>
      <w:lvlJc w:val="left"/>
      <w:pPr>
        <w:ind w:left="855" w:hanging="135"/>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6" w15:restartNumberingAfterBreak="0">
    <w:nsid w:val="6B795CCA"/>
    <w:multiLevelType w:val="hybridMultilevel"/>
    <w:tmpl w:val="E5DA7044"/>
    <w:lvl w:ilvl="0" w:tplc="B8AC32CC">
      <w:start w:val="1"/>
      <w:numFmt w:val="decimal"/>
      <w:lvlText w:val="%1."/>
      <w:lvlJc w:val="left"/>
      <w:pPr>
        <w:ind w:left="1440" w:hanging="360"/>
      </w:pPr>
      <w:rPr>
        <w:rFonts w:ascii="Calibri" w:eastAsia="Calibri" w:hAnsi="Calibri" w:cs="Calibri" w:hint="default"/>
        <w:b w:val="0"/>
        <w:i w:val="0"/>
        <w:strike w:val="0"/>
        <w:dstrike w:val="0"/>
        <w:color w:val="000000"/>
        <w:sz w:val="22"/>
        <w:szCs w:val="22"/>
        <w:u w:val="none" w:color="000000"/>
        <w:vertAlign w:val="baseline"/>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7" w15:restartNumberingAfterBreak="0">
    <w:nsid w:val="6D830815"/>
    <w:multiLevelType w:val="hybridMultilevel"/>
    <w:tmpl w:val="9744AC4E"/>
    <w:lvl w:ilvl="0" w:tplc="B2CCC66A">
      <w:start w:val="1"/>
      <w:numFmt w:val="decimal"/>
      <w:lvlText w:val="%1."/>
      <w:lvlJc w:val="left"/>
      <w:pPr>
        <w:ind w:left="360" w:hanging="360"/>
      </w:pPr>
      <w:rPr>
        <w:rFonts w:cs="Times New Roman"/>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15:restartNumberingAfterBreak="0">
    <w:nsid w:val="71325453"/>
    <w:multiLevelType w:val="hybridMultilevel"/>
    <w:tmpl w:val="55949918"/>
    <w:lvl w:ilvl="0" w:tplc="04080017">
      <w:start w:val="1"/>
      <w:numFmt w:val="lowerLetter"/>
      <w:lvlText w:val="%1)"/>
      <w:lvlJc w:val="lef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9" w15:restartNumberingAfterBreak="0">
    <w:nsid w:val="79092DA2"/>
    <w:multiLevelType w:val="hybridMultilevel"/>
    <w:tmpl w:val="A5C29F7A"/>
    <w:lvl w:ilvl="0" w:tplc="0408000F">
      <w:start w:val="1"/>
      <w:numFmt w:val="decimal"/>
      <w:lvlText w:val="%1."/>
      <w:lvlJc w:val="left"/>
      <w:pPr>
        <w:ind w:left="1146" w:hanging="360"/>
      </w:pPr>
    </w:lvl>
    <w:lvl w:ilvl="1" w:tplc="04080019" w:tentative="1">
      <w:start w:val="1"/>
      <w:numFmt w:val="lowerLetter"/>
      <w:lvlText w:val="%2."/>
      <w:lvlJc w:val="left"/>
      <w:pPr>
        <w:ind w:left="1866" w:hanging="360"/>
      </w:pPr>
    </w:lvl>
    <w:lvl w:ilvl="2" w:tplc="0408001B" w:tentative="1">
      <w:start w:val="1"/>
      <w:numFmt w:val="lowerRoman"/>
      <w:lvlText w:val="%3."/>
      <w:lvlJc w:val="right"/>
      <w:pPr>
        <w:ind w:left="2586" w:hanging="180"/>
      </w:pPr>
    </w:lvl>
    <w:lvl w:ilvl="3" w:tplc="0408000F" w:tentative="1">
      <w:start w:val="1"/>
      <w:numFmt w:val="decimal"/>
      <w:lvlText w:val="%4."/>
      <w:lvlJc w:val="left"/>
      <w:pPr>
        <w:ind w:left="3306" w:hanging="360"/>
      </w:pPr>
    </w:lvl>
    <w:lvl w:ilvl="4" w:tplc="04080019" w:tentative="1">
      <w:start w:val="1"/>
      <w:numFmt w:val="lowerLetter"/>
      <w:lvlText w:val="%5."/>
      <w:lvlJc w:val="left"/>
      <w:pPr>
        <w:ind w:left="4026" w:hanging="360"/>
      </w:pPr>
    </w:lvl>
    <w:lvl w:ilvl="5" w:tplc="0408001B" w:tentative="1">
      <w:start w:val="1"/>
      <w:numFmt w:val="lowerRoman"/>
      <w:lvlText w:val="%6."/>
      <w:lvlJc w:val="right"/>
      <w:pPr>
        <w:ind w:left="4746" w:hanging="180"/>
      </w:pPr>
    </w:lvl>
    <w:lvl w:ilvl="6" w:tplc="0408000F" w:tentative="1">
      <w:start w:val="1"/>
      <w:numFmt w:val="decimal"/>
      <w:lvlText w:val="%7."/>
      <w:lvlJc w:val="left"/>
      <w:pPr>
        <w:ind w:left="5466" w:hanging="360"/>
      </w:pPr>
    </w:lvl>
    <w:lvl w:ilvl="7" w:tplc="04080019" w:tentative="1">
      <w:start w:val="1"/>
      <w:numFmt w:val="lowerLetter"/>
      <w:lvlText w:val="%8."/>
      <w:lvlJc w:val="left"/>
      <w:pPr>
        <w:ind w:left="6186" w:hanging="360"/>
      </w:pPr>
    </w:lvl>
    <w:lvl w:ilvl="8" w:tplc="0408001B" w:tentative="1">
      <w:start w:val="1"/>
      <w:numFmt w:val="lowerRoman"/>
      <w:lvlText w:val="%9."/>
      <w:lvlJc w:val="right"/>
      <w:pPr>
        <w:ind w:left="6906" w:hanging="180"/>
      </w:pPr>
    </w:lvl>
  </w:abstractNum>
  <w:abstractNum w:abstractNumId="20" w15:restartNumberingAfterBreak="0">
    <w:nsid w:val="7C690FCF"/>
    <w:multiLevelType w:val="hybridMultilevel"/>
    <w:tmpl w:val="D21CFD36"/>
    <w:lvl w:ilvl="0" w:tplc="515A4594">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num w:numId="1">
    <w:abstractNumId w:val="2"/>
  </w:num>
  <w:num w:numId="2">
    <w:abstractNumId w:val="20"/>
  </w:num>
  <w:num w:numId="3">
    <w:abstractNumId w:val="13"/>
  </w:num>
  <w:num w:numId="4">
    <w:abstractNumId w:val="1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0"/>
  </w:num>
  <w:num w:numId="8">
    <w:abstractNumId w:val="5"/>
  </w:num>
  <w:num w:numId="9">
    <w:abstractNumId w:val="14"/>
  </w:num>
  <w:num w:numId="10">
    <w:abstractNumId w:val="17"/>
  </w:num>
  <w:num w:numId="11">
    <w:abstractNumId w:val="2"/>
  </w:num>
  <w:num w:numId="12">
    <w:abstractNumId w:val="4"/>
  </w:num>
  <w:num w:numId="13">
    <w:abstractNumId w:val="12"/>
  </w:num>
  <w:num w:numId="14">
    <w:abstractNumId w:val="7"/>
  </w:num>
  <w:num w:numId="15">
    <w:abstractNumId w:val="9"/>
  </w:num>
  <w:num w:numId="16">
    <w:abstractNumId w:val="18"/>
  </w:num>
  <w:num w:numId="17">
    <w:abstractNumId w:val="15"/>
  </w:num>
  <w:num w:numId="18">
    <w:abstractNumId w:val="10"/>
  </w:num>
  <w:num w:numId="19">
    <w:abstractNumId w:val="16"/>
  </w:num>
  <w:num w:numId="20">
    <w:abstractNumId w:val="3"/>
  </w:num>
  <w:num w:numId="21">
    <w:abstractNumId w:val="8"/>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4D5"/>
    <w:rsid w:val="00013110"/>
    <w:rsid w:val="00026160"/>
    <w:rsid w:val="00030C01"/>
    <w:rsid w:val="00036FB1"/>
    <w:rsid w:val="00041840"/>
    <w:rsid w:val="00044E2D"/>
    <w:rsid w:val="00051093"/>
    <w:rsid w:val="000549D5"/>
    <w:rsid w:val="00064E0F"/>
    <w:rsid w:val="000656D2"/>
    <w:rsid w:val="000664F9"/>
    <w:rsid w:val="00070E96"/>
    <w:rsid w:val="000826AF"/>
    <w:rsid w:val="00087E2D"/>
    <w:rsid w:val="0009032C"/>
    <w:rsid w:val="000A032C"/>
    <w:rsid w:val="000B48EE"/>
    <w:rsid w:val="000B533D"/>
    <w:rsid w:val="000C02C4"/>
    <w:rsid w:val="000C57B2"/>
    <w:rsid w:val="000C5CC7"/>
    <w:rsid w:val="000C61C5"/>
    <w:rsid w:val="000C7F55"/>
    <w:rsid w:val="000D0427"/>
    <w:rsid w:val="000D5672"/>
    <w:rsid w:val="000D79A5"/>
    <w:rsid w:val="000E0AD1"/>
    <w:rsid w:val="000E0F24"/>
    <w:rsid w:val="000E5C7F"/>
    <w:rsid w:val="000E5FF6"/>
    <w:rsid w:val="000F702C"/>
    <w:rsid w:val="000F788E"/>
    <w:rsid w:val="00103C5F"/>
    <w:rsid w:val="001043A4"/>
    <w:rsid w:val="00104CFD"/>
    <w:rsid w:val="00112247"/>
    <w:rsid w:val="001146ED"/>
    <w:rsid w:val="0011765F"/>
    <w:rsid w:val="0012708B"/>
    <w:rsid w:val="00130963"/>
    <w:rsid w:val="0013244C"/>
    <w:rsid w:val="00133476"/>
    <w:rsid w:val="0014174B"/>
    <w:rsid w:val="00147F8A"/>
    <w:rsid w:val="001567C7"/>
    <w:rsid w:val="00156F8A"/>
    <w:rsid w:val="0016379D"/>
    <w:rsid w:val="00166418"/>
    <w:rsid w:val="00176726"/>
    <w:rsid w:val="00180955"/>
    <w:rsid w:val="00185294"/>
    <w:rsid w:val="00191F5D"/>
    <w:rsid w:val="001A47E5"/>
    <w:rsid w:val="001C78BF"/>
    <w:rsid w:val="001D6239"/>
    <w:rsid w:val="001E130B"/>
    <w:rsid w:val="001E5DDE"/>
    <w:rsid w:val="001F1E4C"/>
    <w:rsid w:val="001F6093"/>
    <w:rsid w:val="002257D9"/>
    <w:rsid w:val="00232E7B"/>
    <w:rsid w:val="00233981"/>
    <w:rsid w:val="002346AF"/>
    <w:rsid w:val="00234E4F"/>
    <w:rsid w:val="00244038"/>
    <w:rsid w:val="002461F4"/>
    <w:rsid w:val="00260759"/>
    <w:rsid w:val="002620A4"/>
    <w:rsid w:val="00264850"/>
    <w:rsid w:val="002724A1"/>
    <w:rsid w:val="00274371"/>
    <w:rsid w:val="0028440A"/>
    <w:rsid w:val="00287C5B"/>
    <w:rsid w:val="00291238"/>
    <w:rsid w:val="00292588"/>
    <w:rsid w:val="00293A74"/>
    <w:rsid w:val="00295FA2"/>
    <w:rsid w:val="002C0860"/>
    <w:rsid w:val="002C15F8"/>
    <w:rsid w:val="002C237C"/>
    <w:rsid w:val="002D3A63"/>
    <w:rsid w:val="002E09FF"/>
    <w:rsid w:val="002E27DA"/>
    <w:rsid w:val="002E5B53"/>
    <w:rsid w:val="002E6289"/>
    <w:rsid w:val="002E736B"/>
    <w:rsid w:val="002F044B"/>
    <w:rsid w:val="002F2F32"/>
    <w:rsid w:val="002F43F8"/>
    <w:rsid w:val="002F4B9F"/>
    <w:rsid w:val="002F6EBD"/>
    <w:rsid w:val="00301C26"/>
    <w:rsid w:val="00313343"/>
    <w:rsid w:val="0031658E"/>
    <w:rsid w:val="00332768"/>
    <w:rsid w:val="00337238"/>
    <w:rsid w:val="00345BE3"/>
    <w:rsid w:val="003469CA"/>
    <w:rsid w:val="00350220"/>
    <w:rsid w:val="003531F5"/>
    <w:rsid w:val="00355276"/>
    <w:rsid w:val="00357F81"/>
    <w:rsid w:val="00365121"/>
    <w:rsid w:val="00365B09"/>
    <w:rsid w:val="003701FC"/>
    <w:rsid w:val="00371705"/>
    <w:rsid w:val="0038396F"/>
    <w:rsid w:val="003C6ED3"/>
    <w:rsid w:val="003D11C1"/>
    <w:rsid w:val="003D32A7"/>
    <w:rsid w:val="003D398B"/>
    <w:rsid w:val="003E020C"/>
    <w:rsid w:val="003E04BA"/>
    <w:rsid w:val="003E5D4D"/>
    <w:rsid w:val="003F76A5"/>
    <w:rsid w:val="004032C7"/>
    <w:rsid w:val="0040531B"/>
    <w:rsid w:val="004152EA"/>
    <w:rsid w:val="00423B36"/>
    <w:rsid w:val="0042534E"/>
    <w:rsid w:val="00430581"/>
    <w:rsid w:val="004372A7"/>
    <w:rsid w:val="0044383C"/>
    <w:rsid w:val="00454ECE"/>
    <w:rsid w:val="0045778F"/>
    <w:rsid w:val="00476BF3"/>
    <w:rsid w:val="0048081D"/>
    <w:rsid w:val="00492391"/>
    <w:rsid w:val="00493FA2"/>
    <w:rsid w:val="0049407A"/>
    <w:rsid w:val="00496FA3"/>
    <w:rsid w:val="004B0C37"/>
    <w:rsid w:val="004B2E76"/>
    <w:rsid w:val="004B3F0E"/>
    <w:rsid w:val="004B61FF"/>
    <w:rsid w:val="004C5205"/>
    <w:rsid w:val="004F6ECF"/>
    <w:rsid w:val="00501544"/>
    <w:rsid w:val="005048D2"/>
    <w:rsid w:val="00517039"/>
    <w:rsid w:val="00525B91"/>
    <w:rsid w:val="005420D4"/>
    <w:rsid w:val="00542965"/>
    <w:rsid w:val="00553147"/>
    <w:rsid w:val="0056006F"/>
    <w:rsid w:val="0056029D"/>
    <w:rsid w:val="00566556"/>
    <w:rsid w:val="00567C6E"/>
    <w:rsid w:val="00572274"/>
    <w:rsid w:val="00575674"/>
    <w:rsid w:val="0057777D"/>
    <w:rsid w:val="00577F89"/>
    <w:rsid w:val="00585D29"/>
    <w:rsid w:val="00585DE5"/>
    <w:rsid w:val="005937B6"/>
    <w:rsid w:val="00594C61"/>
    <w:rsid w:val="00595466"/>
    <w:rsid w:val="00597E5C"/>
    <w:rsid w:val="005A54D5"/>
    <w:rsid w:val="005A6E6D"/>
    <w:rsid w:val="005B51D0"/>
    <w:rsid w:val="005D18B2"/>
    <w:rsid w:val="005E3382"/>
    <w:rsid w:val="005E7711"/>
    <w:rsid w:val="0060068B"/>
    <w:rsid w:val="00604256"/>
    <w:rsid w:val="00606386"/>
    <w:rsid w:val="0061634C"/>
    <w:rsid w:val="00631618"/>
    <w:rsid w:val="0063581F"/>
    <w:rsid w:val="00643F7F"/>
    <w:rsid w:val="00655622"/>
    <w:rsid w:val="00670F91"/>
    <w:rsid w:val="00673444"/>
    <w:rsid w:val="00676BCA"/>
    <w:rsid w:val="006903F1"/>
    <w:rsid w:val="00693096"/>
    <w:rsid w:val="00696C66"/>
    <w:rsid w:val="006A48DE"/>
    <w:rsid w:val="006B3CE3"/>
    <w:rsid w:val="006D7E8B"/>
    <w:rsid w:val="006F228D"/>
    <w:rsid w:val="006F2D79"/>
    <w:rsid w:val="0070113D"/>
    <w:rsid w:val="00717697"/>
    <w:rsid w:val="00724FE9"/>
    <w:rsid w:val="0074507D"/>
    <w:rsid w:val="00745FD4"/>
    <w:rsid w:val="00751C82"/>
    <w:rsid w:val="007559F5"/>
    <w:rsid w:val="00766905"/>
    <w:rsid w:val="00771799"/>
    <w:rsid w:val="007720CC"/>
    <w:rsid w:val="00777220"/>
    <w:rsid w:val="0079023C"/>
    <w:rsid w:val="00797FAC"/>
    <w:rsid w:val="007A0385"/>
    <w:rsid w:val="007B3C10"/>
    <w:rsid w:val="007B5F11"/>
    <w:rsid w:val="007D00FD"/>
    <w:rsid w:val="007D1214"/>
    <w:rsid w:val="007E26ED"/>
    <w:rsid w:val="007E26FB"/>
    <w:rsid w:val="007F2577"/>
    <w:rsid w:val="00812459"/>
    <w:rsid w:val="00816EA6"/>
    <w:rsid w:val="00823C16"/>
    <w:rsid w:val="00847ED8"/>
    <w:rsid w:val="0085202D"/>
    <w:rsid w:val="00866BD4"/>
    <w:rsid w:val="00867EFD"/>
    <w:rsid w:val="0087082F"/>
    <w:rsid w:val="00872592"/>
    <w:rsid w:val="008742C0"/>
    <w:rsid w:val="00877A8F"/>
    <w:rsid w:val="008820E3"/>
    <w:rsid w:val="00895388"/>
    <w:rsid w:val="008B0787"/>
    <w:rsid w:val="008B7F16"/>
    <w:rsid w:val="008D29BF"/>
    <w:rsid w:val="008F3DE5"/>
    <w:rsid w:val="008F6389"/>
    <w:rsid w:val="008F6D66"/>
    <w:rsid w:val="008F7823"/>
    <w:rsid w:val="00913ADC"/>
    <w:rsid w:val="00921FCB"/>
    <w:rsid w:val="00922EC0"/>
    <w:rsid w:val="00943F24"/>
    <w:rsid w:val="00954658"/>
    <w:rsid w:val="00960764"/>
    <w:rsid w:val="0096796B"/>
    <w:rsid w:val="00967B47"/>
    <w:rsid w:val="009726F7"/>
    <w:rsid w:val="009750EC"/>
    <w:rsid w:val="009753C2"/>
    <w:rsid w:val="009816F3"/>
    <w:rsid w:val="00986071"/>
    <w:rsid w:val="00991E1A"/>
    <w:rsid w:val="00992D1E"/>
    <w:rsid w:val="00992FA3"/>
    <w:rsid w:val="00995906"/>
    <w:rsid w:val="00997CD1"/>
    <w:rsid w:val="009A1DBF"/>
    <w:rsid w:val="009A2475"/>
    <w:rsid w:val="009A2DE1"/>
    <w:rsid w:val="009A6AF0"/>
    <w:rsid w:val="009B6E04"/>
    <w:rsid w:val="009C25D2"/>
    <w:rsid w:val="009CA9CC"/>
    <w:rsid w:val="009D0EA5"/>
    <w:rsid w:val="009D3FA5"/>
    <w:rsid w:val="009D5DC2"/>
    <w:rsid w:val="009D7E2E"/>
    <w:rsid w:val="009E11BF"/>
    <w:rsid w:val="009F1EE9"/>
    <w:rsid w:val="00A073D7"/>
    <w:rsid w:val="00A07C83"/>
    <w:rsid w:val="00A07D21"/>
    <w:rsid w:val="00A12517"/>
    <w:rsid w:val="00A15A72"/>
    <w:rsid w:val="00A337A2"/>
    <w:rsid w:val="00A40636"/>
    <w:rsid w:val="00A51466"/>
    <w:rsid w:val="00A52155"/>
    <w:rsid w:val="00A71A8B"/>
    <w:rsid w:val="00A73479"/>
    <w:rsid w:val="00A83373"/>
    <w:rsid w:val="00A84BD4"/>
    <w:rsid w:val="00A96B91"/>
    <w:rsid w:val="00A96BA3"/>
    <w:rsid w:val="00AA106B"/>
    <w:rsid w:val="00AB315F"/>
    <w:rsid w:val="00AB4B89"/>
    <w:rsid w:val="00AB714B"/>
    <w:rsid w:val="00AC695E"/>
    <w:rsid w:val="00AD1225"/>
    <w:rsid w:val="00AD2F96"/>
    <w:rsid w:val="00AE071F"/>
    <w:rsid w:val="00B03773"/>
    <w:rsid w:val="00B06BC6"/>
    <w:rsid w:val="00B145AE"/>
    <w:rsid w:val="00B162E2"/>
    <w:rsid w:val="00B25B7A"/>
    <w:rsid w:val="00B31ED5"/>
    <w:rsid w:val="00B33C13"/>
    <w:rsid w:val="00B37C4F"/>
    <w:rsid w:val="00B4195A"/>
    <w:rsid w:val="00B60FD8"/>
    <w:rsid w:val="00B625B7"/>
    <w:rsid w:val="00B63225"/>
    <w:rsid w:val="00B64AF8"/>
    <w:rsid w:val="00B706CD"/>
    <w:rsid w:val="00B7143C"/>
    <w:rsid w:val="00B81DEB"/>
    <w:rsid w:val="00B876D7"/>
    <w:rsid w:val="00B9071C"/>
    <w:rsid w:val="00B91CEC"/>
    <w:rsid w:val="00B95337"/>
    <w:rsid w:val="00B97907"/>
    <w:rsid w:val="00BA0274"/>
    <w:rsid w:val="00BB30B1"/>
    <w:rsid w:val="00BB6BAB"/>
    <w:rsid w:val="00BC2AA8"/>
    <w:rsid w:val="00BC744E"/>
    <w:rsid w:val="00BD47FA"/>
    <w:rsid w:val="00BD60E1"/>
    <w:rsid w:val="00BD7356"/>
    <w:rsid w:val="00BE318C"/>
    <w:rsid w:val="00BE58A3"/>
    <w:rsid w:val="00BE5ED2"/>
    <w:rsid w:val="00BE7614"/>
    <w:rsid w:val="00C045B1"/>
    <w:rsid w:val="00C15CF5"/>
    <w:rsid w:val="00C1716B"/>
    <w:rsid w:val="00C25246"/>
    <w:rsid w:val="00C27A18"/>
    <w:rsid w:val="00C31905"/>
    <w:rsid w:val="00C3782B"/>
    <w:rsid w:val="00C55293"/>
    <w:rsid w:val="00C63172"/>
    <w:rsid w:val="00C7135C"/>
    <w:rsid w:val="00C73688"/>
    <w:rsid w:val="00C761E3"/>
    <w:rsid w:val="00C77921"/>
    <w:rsid w:val="00C77939"/>
    <w:rsid w:val="00C85F17"/>
    <w:rsid w:val="00C8609C"/>
    <w:rsid w:val="00CA04E6"/>
    <w:rsid w:val="00CA67CA"/>
    <w:rsid w:val="00CB2C07"/>
    <w:rsid w:val="00CB4C81"/>
    <w:rsid w:val="00CC66AC"/>
    <w:rsid w:val="00CD30F2"/>
    <w:rsid w:val="00CF5586"/>
    <w:rsid w:val="00CF6567"/>
    <w:rsid w:val="00D12967"/>
    <w:rsid w:val="00D12DF6"/>
    <w:rsid w:val="00D20E8B"/>
    <w:rsid w:val="00D237C5"/>
    <w:rsid w:val="00D315CA"/>
    <w:rsid w:val="00D32C97"/>
    <w:rsid w:val="00D50C25"/>
    <w:rsid w:val="00D51B92"/>
    <w:rsid w:val="00D61E9E"/>
    <w:rsid w:val="00D67433"/>
    <w:rsid w:val="00D67F75"/>
    <w:rsid w:val="00D74C4D"/>
    <w:rsid w:val="00D77112"/>
    <w:rsid w:val="00D90DC0"/>
    <w:rsid w:val="00DA14B9"/>
    <w:rsid w:val="00DA6F44"/>
    <w:rsid w:val="00DB708C"/>
    <w:rsid w:val="00DC47EF"/>
    <w:rsid w:val="00DD0E20"/>
    <w:rsid w:val="00DD1256"/>
    <w:rsid w:val="00DD5EAE"/>
    <w:rsid w:val="00DE46E0"/>
    <w:rsid w:val="00DF528F"/>
    <w:rsid w:val="00DF780C"/>
    <w:rsid w:val="00E04D75"/>
    <w:rsid w:val="00E07A61"/>
    <w:rsid w:val="00E1211D"/>
    <w:rsid w:val="00E12269"/>
    <w:rsid w:val="00E22A0F"/>
    <w:rsid w:val="00E24B4E"/>
    <w:rsid w:val="00E306BD"/>
    <w:rsid w:val="00E365CD"/>
    <w:rsid w:val="00E56386"/>
    <w:rsid w:val="00E568A6"/>
    <w:rsid w:val="00E5746A"/>
    <w:rsid w:val="00E62B67"/>
    <w:rsid w:val="00E64DB1"/>
    <w:rsid w:val="00E64DFC"/>
    <w:rsid w:val="00E672CA"/>
    <w:rsid w:val="00E82D07"/>
    <w:rsid w:val="00E85094"/>
    <w:rsid w:val="00E90549"/>
    <w:rsid w:val="00EA0860"/>
    <w:rsid w:val="00EA2A1F"/>
    <w:rsid w:val="00EA48F0"/>
    <w:rsid w:val="00EB18C6"/>
    <w:rsid w:val="00ED2723"/>
    <w:rsid w:val="00ED520C"/>
    <w:rsid w:val="00ED69A1"/>
    <w:rsid w:val="00EE3E14"/>
    <w:rsid w:val="00EF078C"/>
    <w:rsid w:val="00EF3AB7"/>
    <w:rsid w:val="00EF4C49"/>
    <w:rsid w:val="00EF5D42"/>
    <w:rsid w:val="00EF6784"/>
    <w:rsid w:val="00F03670"/>
    <w:rsid w:val="00F201EE"/>
    <w:rsid w:val="00F32B53"/>
    <w:rsid w:val="00F353B4"/>
    <w:rsid w:val="00F37326"/>
    <w:rsid w:val="00F40C74"/>
    <w:rsid w:val="00F50F11"/>
    <w:rsid w:val="00F57B77"/>
    <w:rsid w:val="00F760BB"/>
    <w:rsid w:val="00F80A0F"/>
    <w:rsid w:val="00F91423"/>
    <w:rsid w:val="00F93CBD"/>
    <w:rsid w:val="00FA0695"/>
    <w:rsid w:val="00FA79EB"/>
    <w:rsid w:val="00FB0CDE"/>
    <w:rsid w:val="00FB61C1"/>
    <w:rsid w:val="00FC3647"/>
    <w:rsid w:val="00FC3F1C"/>
    <w:rsid w:val="00FD15B2"/>
    <w:rsid w:val="00FD1BEE"/>
    <w:rsid w:val="00FD372B"/>
    <w:rsid w:val="00FD73A6"/>
    <w:rsid w:val="00FE4F98"/>
    <w:rsid w:val="00FF0B79"/>
    <w:rsid w:val="00FF68C6"/>
    <w:rsid w:val="00FF7F65"/>
    <w:rsid w:val="01237235"/>
    <w:rsid w:val="02AD1033"/>
    <w:rsid w:val="03760E16"/>
    <w:rsid w:val="0438CF3E"/>
    <w:rsid w:val="047B03A6"/>
    <w:rsid w:val="05BDA8EB"/>
    <w:rsid w:val="05ECA348"/>
    <w:rsid w:val="06B81CC0"/>
    <w:rsid w:val="06ED04F5"/>
    <w:rsid w:val="06FE2CB7"/>
    <w:rsid w:val="094FDE70"/>
    <w:rsid w:val="09D08A1D"/>
    <w:rsid w:val="09EC2B53"/>
    <w:rsid w:val="0A25BDC9"/>
    <w:rsid w:val="0B461818"/>
    <w:rsid w:val="0BEAEC93"/>
    <w:rsid w:val="0C9D5CDC"/>
    <w:rsid w:val="0D1B1924"/>
    <w:rsid w:val="0D1E29BA"/>
    <w:rsid w:val="0F06D99E"/>
    <w:rsid w:val="11C7184E"/>
    <w:rsid w:val="121B814E"/>
    <w:rsid w:val="14CD4FE4"/>
    <w:rsid w:val="161893F4"/>
    <w:rsid w:val="1658F09E"/>
    <w:rsid w:val="16BC8C01"/>
    <w:rsid w:val="1727C33B"/>
    <w:rsid w:val="17B5AE00"/>
    <w:rsid w:val="19456846"/>
    <w:rsid w:val="1965D7F5"/>
    <w:rsid w:val="19BDE28D"/>
    <w:rsid w:val="1A2E74A0"/>
    <w:rsid w:val="1A93843F"/>
    <w:rsid w:val="1B8B5C64"/>
    <w:rsid w:val="1B8E712D"/>
    <w:rsid w:val="1BCDEAB1"/>
    <w:rsid w:val="1C28DD47"/>
    <w:rsid w:val="1CE06F09"/>
    <w:rsid w:val="1DDC833C"/>
    <w:rsid w:val="1DEA1A6D"/>
    <w:rsid w:val="1E401C16"/>
    <w:rsid w:val="1EA196B1"/>
    <w:rsid w:val="1EF638FD"/>
    <w:rsid w:val="1F08E79E"/>
    <w:rsid w:val="1FB691C9"/>
    <w:rsid w:val="20E39D9A"/>
    <w:rsid w:val="20FE7702"/>
    <w:rsid w:val="21809836"/>
    <w:rsid w:val="22648281"/>
    <w:rsid w:val="252D297F"/>
    <w:rsid w:val="258C413B"/>
    <w:rsid w:val="2689DA55"/>
    <w:rsid w:val="26D394B8"/>
    <w:rsid w:val="26DBC14D"/>
    <w:rsid w:val="27064D65"/>
    <w:rsid w:val="28CBA83F"/>
    <w:rsid w:val="295A335A"/>
    <w:rsid w:val="2B77B757"/>
    <w:rsid w:val="2E14E205"/>
    <w:rsid w:val="2E19C48E"/>
    <w:rsid w:val="2EBA7CF7"/>
    <w:rsid w:val="2EFF7A62"/>
    <w:rsid w:val="2F0611D8"/>
    <w:rsid w:val="2FDDF601"/>
    <w:rsid w:val="2FF366BA"/>
    <w:rsid w:val="31ACAAE6"/>
    <w:rsid w:val="31D82253"/>
    <w:rsid w:val="32098FEA"/>
    <w:rsid w:val="34076796"/>
    <w:rsid w:val="345F9613"/>
    <w:rsid w:val="348A351B"/>
    <w:rsid w:val="34CFC7CC"/>
    <w:rsid w:val="354A1A51"/>
    <w:rsid w:val="36ACE6E4"/>
    <w:rsid w:val="39264E12"/>
    <w:rsid w:val="3D603B66"/>
    <w:rsid w:val="3DB79310"/>
    <w:rsid w:val="3E5E309D"/>
    <w:rsid w:val="3E6FD068"/>
    <w:rsid w:val="3EADC96F"/>
    <w:rsid w:val="41A57176"/>
    <w:rsid w:val="42164396"/>
    <w:rsid w:val="4285CC9A"/>
    <w:rsid w:val="4298BE3F"/>
    <w:rsid w:val="430DB7CC"/>
    <w:rsid w:val="46D0B643"/>
    <w:rsid w:val="479DC9AC"/>
    <w:rsid w:val="486CB2AD"/>
    <w:rsid w:val="48713536"/>
    <w:rsid w:val="48DC3FAB"/>
    <w:rsid w:val="48ECCB97"/>
    <w:rsid w:val="492B30D6"/>
    <w:rsid w:val="4ABCF729"/>
    <w:rsid w:val="4D73CB58"/>
    <w:rsid w:val="4EB912F6"/>
    <w:rsid w:val="4EBCFB05"/>
    <w:rsid w:val="4F52BF5F"/>
    <w:rsid w:val="50852AA5"/>
    <w:rsid w:val="52058BB9"/>
    <w:rsid w:val="525BDE75"/>
    <w:rsid w:val="53408C26"/>
    <w:rsid w:val="551DB694"/>
    <w:rsid w:val="555FC7C2"/>
    <w:rsid w:val="57B736EB"/>
    <w:rsid w:val="5863EB6A"/>
    <w:rsid w:val="59A6912F"/>
    <w:rsid w:val="59FB20D3"/>
    <w:rsid w:val="5A232184"/>
    <w:rsid w:val="5B732737"/>
    <w:rsid w:val="5B7BAFAC"/>
    <w:rsid w:val="5E3C8B37"/>
    <w:rsid w:val="5F6CC1B0"/>
    <w:rsid w:val="605CA8A9"/>
    <w:rsid w:val="624C759F"/>
    <w:rsid w:val="6327F59D"/>
    <w:rsid w:val="6347DE79"/>
    <w:rsid w:val="63B2D7D5"/>
    <w:rsid w:val="65F8A4D7"/>
    <w:rsid w:val="663B2A5C"/>
    <w:rsid w:val="695EEF99"/>
    <w:rsid w:val="69958AD7"/>
    <w:rsid w:val="6A5AB0E0"/>
    <w:rsid w:val="6B2BE4CB"/>
    <w:rsid w:val="6C64C704"/>
    <w:rsid w:val="6CD8F003"/>
    <w:rsid w:val="6CE880E0"/>
    <w:rsid w:val="6D3568C8"/>
    <w:rsid w:val="6DA6F4CB"/>
    <w:rsid w:val="6DCB3008"/>
    <w:rsid w:val="6E4E0078"/>
    <w:rsid w:val="7101C8D7"/>
    <w:rsid w:val="71851963"/>
    <w:rsid w:val="72AD3CF5"/>
    <w:rsid w:val="732BD4CD"/>
    <w:rsid w:val="738DB1D3"/>
    <w:rsid w:val="74E8B0A8"/>
    <w:rsid w:val="74F49FAA"/>
    <w:rsid w:val="7687F080"/>
    <w:rsid w:val="76D6D9D9"/>
    <w:rsid w:val="78D40CA7"/>
    <w:rsid w:val="791A41DF"/>
    <w:rsid w:val="7985D15F"/>
    <w:rsid w:val="7988C5D7"/>
    <w:rsid w:val="7AA2FE19"/>
    <w:rsid w:val="7AAFE60A"/>
    <w:rsid w:val="7AE39C53"/>
    <w:rsid w:val="7B18C8D7"/>
    <w:rsid w:val="7B2EC854"/>
    <w:rsid w:val="7BCAF916"/>
    <w:rsid w:val="7D7BB2B2"/>
    <w:rsid w:val="7E6F8BBD"/>
    <w:rsid w:val="7F483793"/>
    <w:rsid w:val="7FCC4DB1"/>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BE830E"/>
  <w15:docId w15:val="{5F50844B-306F-4EEE-821F-2FBE32493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4D5"/>
    <w:pPr>
      <w:spacing w:after="0" w:line="240" w:lineRule="auto"/>
    </w:pPr>
    <w:rPr>
      <w:rFonts w:ascii="Calibri" w:eastAsia="Calibri" w:hAnsi="Calibri" w:cs="Times New Roman"/>
      <w:lang w:val="en-GB" w:eastAsia="en-GB"/>
    </w:rPr>
  </w:style>
  <w:style w:type="paragraph" w:styleId="Heading1">
    <w:name w:val="heading 1"/>
    <w:basedOn w:val="Normal"/>
    <w:next w:val="Normal"/>
    <w:link w:val="Heading1Char"/>
    <w:uiPriority w:val="9"/>
    <w:qFormat/>
    <w:rsid w:val="005048D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A54D5"/>
    <w:rPr>
      <w:rFonts w:ascii="Times New Roman" w:hAnsi="Times New Roman" w:cs="Times New Roman" w:hint="default"/>
      <w:color w:val="0563C1"/>
      <w:u w:val="single"/>
    </w:rPr>
  </w:style>
  <w:style w:type="character" w:customStyle="1" w:styleId="FootnoteTextChar">
    <w:name w:val="Footnote Text Char"/>
    <w:aliases w:val="Char Char1,Char Char Char,single space Char,Texte de note de bas de page Char,Car Char,Footnote Text Quote Char,f Char,fn Char,Footnote Text Char2 Char Char,Footnote Text Char1 Char Char Char,Footnote Text Char2 Char Char Char Char"/>
    <w:basedOn w:val="DefaultParagraphFont"/>
    <w:link w:val="FootnoteText"/>
    <w:uiPriority w:val="99"/>
    <w:locked/>
    <w:rsid w:val="005A54D5"/>
    <w:rPr>
      <w:sz w:val="16"/>
      <w:szCs w:val="24"/>
      <w:lang w:val="en-GB"/>
    </w:rPr>
  </w:style>
  <w:style w:type="paragraph" w:styleId="FootnoteText">
    <w:name w:val="footnote text"/>
    <w:aliases w:val="Char,Char Char,single space,Texte de note de bas de page,Car,Footnote Text Quote,f,fn,Footnote Text Char2 Char,Footnote Text Char1 Char Char,Footnote Text Char2 Char Char Char,Footnote Text Char1 Char Char Char Char,ALTS FOOTNOTE,C"/>
    <w:basedOn w:val="Normal"/>
    <w:link w:val="FootnoteTextChar"/>
    <w:uiPriority w:val="99"/>
    <w:unhideWhenUsed/>
    <w:rsid w:val="005A54D5"/>
    <w:rPr>
      <w:rFonts w:asciiTheme="minorHAnsi" w:eastAsiaTheme="minorHAnsi" w:hAnsiTheme="minorHAnsi" w:cstheme="minorBidi"/>
      <w:sz w:val="16"/>
      <w:szCs w:val="24"/>
      <w:lang w:eastAsia="en-US"/>
    </w:rPr>
  </w:style>
  <w:style w:type="character" w:customStyle="1" w:styleId="Char1">
    <w:name w:val="Κείμενο υποσημείωσης Char1"/>
    <w:basedOn w:val="DefaultParagraphFont"/>
    <w:uiPriority w:val="99"/>
    <w:semiHidden/>
    <w:rsid w:val="005A54D5"/>
    <w:rPr>
      <w:rFonts w:ascii="Calibri" w:eastAsia="Calibri" w:hAnsi="Calibri" w:cs="Times New Roman"/>
      <w:sz w:val="20"/>
      <w:szCs w:val="20"/>
      <w:lang w:val="en-GB" w:eastAsia="en-GB"/>
    </w:rPr>
  </w:style>
  <w:style w:type="paragraph" w:styleId="ListParagraph">
    <w:name w:val="List Paragraph"/>
    <w:basedOn w:val="Normal"/>
    <w:uiPriority w:val="34"/>
    <w:qFormat/>
    <w:rsid w:val="005A54D5"/>
    <w:pPr>
      <w:spacing w:after="200" w:line="276" w:lineRule="auto"/>
      <w:ind w:left="720"/>
      <w:contextualSpacing/>
    </w:pPr>
  </w:style>
  <w:style w:type="character" w:styleId="FootnoteReference">
    <w:name w:val="footnote reference"/>
    <w:aliases w:val="Appel note de bas de page,16 Point,Superscript 6 Point,Footnote text,BVI fnr,ftref,BVI fnr Char1,BVI fnr Car Car Char1,BVI fnr Car Char1,BVI fnr Car Car Car Car Char,BVI fnr Car Car Car Car Char Char,BVI fnr Char Char Char"/>
    <w:link w:val="4GCharChar"/>
    <w:uiPriority w:val="99"/>
    <w:unhideWhenUsed/>
    <w:rsid w:val="005A54D5"/>
    <w:rPr>
      <w:vertAlign w:val="superscript"/>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5A54D5"/>
    <w:pPr>
      <w:autoSpaceDE w:val="0"/>
      <w:autoSpaceDN w:val="0"/>
      <w:spacing w:after="160" w:line="240" w:lineRule="exact"/>
      <w:jc w:val="both"/>
    </w:pPr>
    <w:rPr>
      <w:rFonts w:asciiTheme="minorHAnsi" w:eastAsiaTheme="minorHAnsi" w:hAnsiTheme="minorHAnsi" w:cstheme="minorBidi"/>
      <w:vertAlign w:val="superscript"/>
      <w:lang w:val="el-GR" w:eastAsia="en-US"/>
    </w:rPr>
  </w:style>
  <w:style w:type="character" w:styleId="CommentReference">
    <w:name w:val="annotation reference"/>
    <w:basedOn w:val="DefaultParagraphFont"/>
    <w:uiPriority w:val="99"/>
    <w:semiHidden/>
    <w:unhideWhenUsed/>
    <w:rsid w:val="00517039"/>
    <w:rPr>
      <w:sz w:val="16"/>
      <w:szCs w:val="16"/>
    </w:rPr>
  </w:style>
  <w:style w:type="paragraph" w:styleId="CommentText">
    <w:name w:val="annotation text"/>
    <w:basedOn w:val="Normal"/>
    <w:link w:val="CommentTextChar"/>
    <w:uiPriority w:val="99"/>
    <w:unhideWhenUsed/>
    <w:rsid w:val="00B145AE"/>
    <w:rPr>
      <w:sz w:val="20"/>
      <w:szCs w:val="20"/>
    </w:rPr>
  </w:style>
  <w:style w:type="character" w:customStyle="1" w:styleId="CommentTextChar">
    <w:name w:val="Comment Text Char"/>
    <w:basedOn w:val="DefaultParagraphFont"/>
    <w:link w:val="CommentText"/>
    <w:uiPriority w:val="99"/>
    <w:rsid w:val="00517039"/>
    <w:rPr>
      <w:rFonts w:ascii="Calibri" w:eastAsia="Calibri" w:hAnsi="Calibri"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517039"/>
    <w:rPr>
      <w:b/>
      <w:bCs/>
    </w:rPr>
  </w:style>
  <w:style w:type="character" w:customStyle="1" w:styleId="CommentSubjectChar">
    <w:name w:val="Comment Subject Char"/>
    <w:basedOn w:val="CommentTextChar"/>
    <w:link w:val="CommentSubject"/>
    <w:uiPriority w:val="99"/>
    <w:semiHidden/>
    <w:rsid w:val="00517039"/>
    <w:rPr>
      <w:rFonts w:ascii="Calibri" w:eastAsia="Calibri" w:hAnsi="Calibri" w:cs="Times New Roman"/>
      <w:b/>
      <w:bCs/>
      <w:sz w:val="20"/>
      <w:szCs w:val="20"/>
      <w:lang w:val="en-GB" w:eastAsia="en-GB"/>
    </w:rPr>
  </w:style>
  <w:style w:type="paragraph" w:styleId="BalloonText">
    <w:name w:val="Balloon Text"/>
    <w:basedOn w:val="Normal"/>
    <w:link w:val="BalloonTextChar"/>
    <w:uiPriority w:val="99"/>
    <w:semiHidden/>
    <w:unhideWhenUsed/>
    <w:rsid w:val="0051703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7039"/>
    <w:rPr>
      <w:rFonts w:ascii="Segoe UI" w:eastAsia="Calibri" w:hAnsi="Segoe UI" w:cs="Segoe UI"/>
      <w:sz w:val="18"/>
      <w:szCs w:val="18"/>
      <w:lang w:val="en-GB" w:eastAsia="en-GB"/>
    </w:rPr>
  </w:style>
  <w:style w:type="character" w:customStyle="1" w:styleId="1">
    <w:name w:val="Ανεπίλυτη αναφορά1"/>
    <w:basedOn w:val="DefaultParagraphFont"/>
    <w:uiPriority w:val="99"/>
    <w:semiHidden/>
    <w:unhideWhenUsed/>
    <w:rsid w:val="00DD5EAE"/>
    <w:rPr>
      <w:color w:val="605E5C"/>
      <w:shd w:val="clear" w:color="auto" w:fill="E1DFDD"/>
    </w:rPr>
  </w:style>
  <w:style w:type="character" w:styleId="FollowedHyperlink">
    <w:name w:val="FollowedHyperlink"/>
    <w:basedOn w:val="DefaultParagraphFont"/>
    <w:uiPriority w:val="99"/>
    <w:semiHidden/>
    <w:unhideWhenUsed/>
    <w:rsid w:val="005E3382"/>
    <w:rPr>
      <w:color w:val="954F72" w:themeColor="followedHyperlink"/>
      <w:u w:val="single"/>
    </w:rPr>
  </w:style>
  <w:style w:type="paragraph" w:styleId="Revision">
    <w:name w:val="Revision"/>
    <w:hidden/>
    <w:uiPriority w:val="99"/>
    <w:semiHidden/>
    <w:rsid w:val="004B0C37"/>
    <w:pPr>
      <w:spacing w:after="0" w:line="240" w:lineRule="auto"/>
    </w:pPr>
    <w:rPr>
      <w:rFonts w:ascii="Calibri" w:eastAsia="Calibri" w:hAnsi="Calibri" w:cs="Times New Roman"/>
      <w:lang w:val="en-GB" w:eastAsia="en-GB"/>
    </w:rPr>
  </w:style>
  <w:style w:type="character" w:customStyle="1" w:styleId="UnresolvedMention">
    <w:name w:val="Unresolved Mention"/>
    <w:basedOn w:val="DefaultParagraphFont"/>
    <w:uiPriority w:val="99"/>
    <w:semiHidden/>
    <w:unhideWhenUsed/>
    <w:rsid w:val="00B145AE"/>
    <w:rPr>
      <w:color w:val="605E5C"/>
      <w:shd w:val="clear" w:color="auto" w:fill="E1DFDD"/>
    </w:rPr>
  </w:style>
  <w:style w:type="paragraph" w:styleId="Header">
    <w:name w:val="header"/>
    <w:basedOn w:val="Normal"/>
    <w:link w:val="HeaderChar"/>
    <w:uiPriority w:val="99"/>
    <w:unhideWhenUsed/>
    <w:rsid w:val="00B145AE"/>
    <w:pPr>
      <w:tabs>
        <w:tab w:val="center" w:pos="4513"/>
        <w:tab w:val="right" w:pos="9026"/>
      </w:tabs>
    </w:pPr>
  </w:style>
  <w:style w:type="character" w:customStyle="1" w:styleId="HeaderChar">
    <w:name w:val="Header Char"/>
    <w:basedOn w:val="DefaultParagraphFont"/>
    <w:link w:val="Header"/>
    <w:uiPriority w:val="99"/>
    <w:rsid w:val="00B145AE"/>
    <w:rPr>
      <w:rFonts w:ascii="Calibri" w:eastAsia="Calibri" w:hAnsi="Calibri" w:cs="Times New Roman"/>
      <w:lang w:val="en-GB" w:eastAsia="en-GB"/>
    </w:rPr>
  </w:style>
  <w:style w:type="paragraph" w:styleId="Footer">
    <w:name w:val="footer"/>
    <w:basedOn w:val="Normal"/>
    <w:link w:val="FooterChar"/>
    <w:uiPriority w:val="99"/>
    <w:unhideWhenUsed/>
    <w:rsid w:val="00B145AE"/>
    <w:pPr>
      <w:tabs>
        <w:tab w:val="center" w:pos="4513"/>
        <w:tab w:val="right" w:pos="9026"/>
      </w:tabs>
    </w:pPr>
  </w:style>
  <w:style w:type="character" w:customStyle="1" w:styleId="FooterChar">
    <w:name w:val="Footer Char"/>
    <w:basedOn w:val="DefaultParagraphFont"/>
    <w:link w:val="Footer"/>
    <w:uiPriority w:val="99"/>
    <w:rsid w:val="00B145AE"/>
    <w:rPr>
      <w:rFonts w:ascii="Calibri" w:eastAsia="Calibri" w:hAnsi="Calibri" w:cs="Times New Roman"/>
      <w:lang w:val="en-GB" w:eastAsia="en-GB"/>
    </w:rPr>
  </w:style>
  <w:style w:type="table" w:styleId="TableGrid">
    <w:name w:val="Table Grid"/>
    <w:basedOn w:val="TableNormal"/>
    <w:uiPriority w:val="39"/>
    <w:unhideWhenUsed/>
    <w:rsid w:val="00A15A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9A2475"/>
    <w:pPr>
      <w:autoSpaceDE w:val="0"/>
      <w:autoSpaceDN w:val="0"/>
      <w:adjustRightInd w:val="0"/>
      <w:spacing w:line="288" w:lineRule="auto"/>
      <w:textAlignment w:val="center"/>
    </w:pPr>
    <w:rPr>
      <w:rFonts w:ascii="MinionPro-Regular" w:eastAsiaTheme="minorHAnsi" w:hAnsi="MinionPro-Regular" w:cs="MinionPro-Regular"/>
      <w:color w:val="000000"/>
      <w:sz w:val="24"/>
      <w:szCs w:val="24"/>
      <w:lang w:eastAsia="en-US"/>
    </w:rPr>
  </w:style>
  <w:style w:type="character" w:styleId="PageNumber">
    <w:name w:val="page number"/>
    <w:basedOn w:val="DefaultParagraphFont"/>
    <w:uiPriority w:val="99"/>
    <w:semiHidden/>
    <w:unhideWhenUsed/>
    <w:rsid w:val="009A2475"/>
  </w:style>
  <w:style w:type="character" w:customStyle="1" w:styleId="Heading1Char">
    <w:name w:val="Heading 1 Char"/>
    <w:basedOn w:val="DefaultParagraphFont"/>
    <w:link w:val="Heading1"/>
    <w:uiPriority w:val="9"/>
    <w:rsid w:val="005048D2"/>
    <w:rPr>
      <w:rFonts w:asciiTheme="majorHAnsi" w:eastAsiaTheme="majorEastAsia" w:hAnsiTheme="majorHAnsi" w:cstheme="majorBidi"/>
      <w:color w:val="2F5496" w:themeColor="accent1" w:themeShade="BF"/>
      <w:sz w:val="32"/>
      <w:szCs w:val="3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30607">
      <w:bodyDiv w:val="1"/>
      <w:marLeft w:val="0"/>
      <w:marRight w:val="0"/>
      <w:marTop w:val="0"/>
      <w:marBottom w:val="0"/>
      <w:divBdr>
        <w:top w:val="none" w:sz="0" w:space="0" w:color="auto"/>
        <w:left w:val="none" w:sz="0" w:space="0" w:color="auto"/>
        <w:bottom w:val="none" w:sz="0" w:space="0" w:color="auto"/>
        <w:right w:val="none" w:sz="0" w:space="0" w:color="auto"/>
      </w:divBdr>
    </w:div>
    <w:div w:id="77026822">
      <w:bodyDiv w:val="1"/>
      <w:marLeft w:val="0"/>
      <w:marRight w:val="0"/>
      <w:marTop w:val="0"/>
      <w:marBottom w:val="0"/>
      <w:divBdr>
        <w:top w:val="none" w:sz="0" w:space="0" w:color="auto"/>
        <w:left w:val="none" w:sz="0" w:space="0" w:color="auto"/>
        <w:bottom w:val="none" w:sz="0" w:space="0" w:color="auto"/>
        <w:right w:val="none" w:sz="0" w:space="0" w:color="auto"/>
      </w:divBdr>
    </w:div>
    <w:div w:id="140659399">
      <w:bodyDiv w:val="1"/>
      <w:marLeft w:val="0"/>
      <w:marRight w:val="0"/>
      <w:marTop w:val="0"/>
      <w:marBottom w:val="0"/>
      <w:divBdr>
        <w:top w:val="none" w:sz="0" w:space="0" w:color="auto"/>
        <w:left w:val="none" w:sz="0" w:space="0" w:color="auto"/>
        <w:bottom w:val="none" w:sz="0" w:space="0" w:color="auto"/>
        <w:right w:val="none" w:sz="0" w:space="0" w:color="auto"/>
      </w:divBdr>
    </w:div>
    <w:div w:id="320550654">
      <w:bodyDiv w:val="1"/>
      <w:marLeft w:val="0"/>
      <w:marRight w:val="0"/>
      <w:marTop w:val="0"/>
      <w:marBottom w:val="0"/>
      <w:divBdr>
        <w:top w:val="none" w:sz="0" w:space="0" w:color="auto"/>
        <w:left w:val="none" w:sz="0" w:space="0" w:color="auto"/>
        <w:bottom w:val="none" w:sz="0" w:space="0" w:color="auto"/>
        <w:right w:val="none" w:sz="0" w:space="0" w:color="auto"/>
      </w:divBdr>
    </w:div>
    <w:div w:id="640038419">
      <w:bodyDiv w:val="1"/>
      <w:marLeft w:val="0"/>
      <w:marRight w:val="0"/>
      <w:marTop w:val="0"/>
      <w:marBottom w:val="0"/>
      <w:divBdr>
        <w:top w:val="none" w:sz="0" w:space="0" w:color="auto"/>
        <w:left w:val="none" w:sz="0" w:space="0" w:color="auto"/>
        <w:bottom w:val="none" w:sz="0" w:space="0" w:color="auto"/>
        <w:right w:val="none" w:sz="0" w:space="0" w:color="auto"/>
      </w:divBdr>
    </w:div>
    <w:div w:id="680472797">
      <w:bodyDiv w:val="1"/>
      <w:marLeft w:val="0"/>
      <w:marRight w:val="0"/>
      <w:marTop w:val="0"/>
      <w:marBottom w:val="0"/>
      <w:divBdr>
        <w:top w:val="none" w:sz="0" w:space="0" w:color="auto"/>
        <w:left w:val="none" w:sz="0" w:space="0" w:color="auto"/>
        <w:bottom w:val="none" w:sz="0" w:space="0" w:color="auto"/>
        <w:right w:val="none" w:sz="0" w:space="0" w:color="auto"/>
      </w:divBdr>
    </w:div>
    <w:div w:id="949900822">
      <w:bodyDiv w:val="1"/>
      <w:marLeft w:val="0"/>
      <w:marRight w:val="0"/>
      <w:marTop w:val="0"/>
      <w:marBottom w:val="0"/>
      <w:divBdr>
        <w:top w:val="none" w:sz="0" w:space="0" w:color="auto"/>
        <w:left w:val="none" w:sz="0" w:space="0" w:color="auto"/>
        <w:bottom w:val="none" w:sz="0" w:space="0" w:color="auto"/>
        <w:right w:val="none" w:sz="0" w:space="0" w:color="auto"/>
      </w:divBdr>
    </w:div>
    <w:div w:id="1010256810">
      <w:bodyDiv w:val="1"/>
      <w:marLeft w:val="0"/>
      <w:marRight w:val="0"/>
      <w:marTop w:val="0"/>
      <w:marBottom w:val="0"/>
      <w:divBdr>
        <w:top w:val="none" w:sz="0" w:space="0" w:color="auto"/>
        <w:left w:val="none" w:sz="0" w:space="0" w:color="auto"/>
        <w:bottom w:val="none" w:sz="0" w:space="0" w:color="auto"/>
        <w:right w:val="none" w:sz="0" w:space="0" w:color="auto"/>
      </w:divBdr>
    </w:div>
    <w:div w:id="1031421212">
      <w:bodyDiv w:val="1"/>
      <w:marLeft w:val="0"/>
      <w:marRight w:val="0"/>
      <w:marTop w:val="0"/>
      <w:marBottom w:val="0"/>
      <w:divBdr>
        <w:top w:val="none" w:sz="0" w:space="0" w:color="auto"/>
        <w:left w:val="none" w:sz="0" w:space="0" w:color="auto"/>
        <w:bottom w:val="none" w:sz="0" w:space="0" w:color="auto"/>
        <w:right w:val="none" w:sz="0" w:space="0" w:color="auto"/>
      </w:divBdr>
    </w:div>
    <w:div w:id="1039093090">
      <w:bodyDiv w:val="1"/>
      <w:marLeft w:val="0"/>
      <w:marRight w:val="0"/>
      <w:marTop w:val="0"/>
      <w:marBottom w:val="0"/>
      <w:divBdr>
        <w:top w:val="none" w:sz="0" w:space="0" w:color="auto"/>
        <w:left w:val="none" w:sz="0" w:space="0" w:color="auto"/>
        <w:bottom w:val="none" w:sz="0" w:space="0" w:color="auto"/>
        <w:right w:val="none" w:sz="0" w:space="0" w:color="auto"/>
      </w:divBdr>
    </w:div>
    <w:div w:id="1546217812">
      <w:bodyDiv w:val="1"/>
      <w:marLeft w:val="0"/>
      <w:marRight w:val="0"/>
      <w:marTop w:val="0"/>
      <w:marBottom w:val="0"/>
      <w:divBdr>
        <w:top w:val="none" w:sz="0" w:space="0" w:color="auto"/>
        <w:left w:val="none" w:sz="0" w:space="0" w:color="auto"/>
        <w:bottom w:val="none" w:sz="0" w:space="0" w:color="auto"/>
        <w:right w:val="none" w:sz="0" w:space="0" w:color="auto"/>
      </w:divBdr>
    </w:div>
    <w:div w:id="1667128309">
      <w:bodyDiv w:val="1"/>
      <w:marLeft w:val="0"/>
      <w:marRight w:val="0"/>
      <w:marTop w:val="0"/>
      <w:marBottom w:val="0"/>
      <w:divBdr>
        <w:top w:val="none" w:sz="0" w:space="0" w:color="auto"/>
        <w:left w:val="none" w:sz="0" w:space="0" w:color="auto"/>
        <w:bottom w:val="none" w:sz="0" w:space="0" w:color="auto"/>
        <w:right w:val="none" w:sz="0" w:space="0" w:color="auto"/>
      </w:divBdr>
    </w:div>
    <w:div w:id="1850363742">
      <w:bodyDiv w:val="1"/>
      <w:marLeft w:val="0"/>
      <w:marRight w:val="0"/>
      <w:marTop w:val="0"/>
      <w:marBottom w:val="0"/>
      <w:divBdr>
        <w:top w:val="none" w:sz="0" w:space="0" w:color="auto"/>
        <w:left w:val="none" w:sz="0" w:space="0" w:color="auto"/>
        <w:bottom w:val="none" w:sz="0" w:space="0" w:color="auto"/>
        <w:right w:val="none" w:sz="0" w:space="0" w:color="auto"/>
      </w:divBdr>
    </w:div>
    <w:div w:id="1850756612">
      <w:bodyDiv w:val="1"/>
      <w:marLeft w:val="0"/>
      <w:marRight w:val="0"/>
      <w:marTop w:val="0"/>
      <w:marBottom w:val="0"/>
      <w:divBdr>
        <w:top w:val="none" w:sz="0" w:space="0" w:color="auto"/>
        <w:left w:val="none" w:sz="0" w:space="0" w:color="auto"/>
        <w:bottom w:val="none" w:sz="0" w:space="0" w:color="auto"/>
        <w:right w:val="none" w:sz="0" w:space="0" w:color="auto"/>
      </w:divBdr>
    </w:div>
    <w:div w:id="1919367994">
      <w:bodyDiv w:val="1"/>
      <w:marLeft w:val="0"/>
      <w:marRight w:val="0"/>
      <w:marTop w:val="0"/>
      <w:marBottom w:val="0"/>
      <w:divBdr>
        <w:top w:val="none" w:sz="0" w:space="0" w:color="auto"/>
        <w:left w:val="none" w:sz="0" w:space="0" w:color="auto"/>
        <w:bottom w:val="none" w:sz="0" w:space="0" w:color="auto"/>
        <w:right w:val="none" w:sz="0" w:space="0" w:color="auto"/>
      </w:divBdr>
    </w:div>
    <w:div w:id="2138795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s://www.institutesi.org/"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equalnationalityrights.org/"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menarights.org/en" TargetMode="External"/><Relationship Id="rId23" Type="http://schemas.openxmlformats.org/officeDocument/2006/relationships/customXml" Target="../customXml/item2.xml"/><Relationship Id="rId10" Type="http://schemas.openxmlformats.org/officeDocument/2006/relationships/hyperlink" Target="https://menarights.org/en"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salam-dhr.org/?lang=en"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e.gov.kw/sites/kgoenglish%5CPages/Services/MOH/IssuanceBirthCertificatesForNewborns.aspx" TargetMode="External"/><Relationship Id="rId18" Type="http://schemas.openxmlformats.org/officeDocument/2006/relationships/hyperlink" Target="https://www.refworld.org/docid/3ae6b4ef1c.html" TargetMode="External"/><Relationship Id="rId26" Type="http://schemas.openxmlformats.org/officeDocument/2006/relationships/hyperlink" Target="https://www.refworld.org/docid/3ae6b4ef1c.html" TargetMode="External"/><Relationship Id="rId39" Type="http://schemas.openxmlformats.org/officeDocument/2006/relationships/hyperlink" Target="https://equalnationalityrights.org/news/90-kuwait-give-women-equal-citizenship-rights-to-men" TargetMode="External"/><Relationship Id="rId3" Type="http://schemas.openxmlformats.org/officeDocument/2006/relationships/hyperlink" Target="https://www.refworld.org/docid/3ae6b4ef1c.html." TargetMode="External"/><Relationship Id="rId21" Type="http://schemas.openxmlformats.org/officeDocument/2006/relationships/hyperlink" Target="https://www.refworld.org/docid/3ae6b4ef1c.html" TargetMode="External"/><Relationship Id="rId34" Type="http://schemas.openxmlformats.org/officeDocument/2006/relationships/hyperlink" Target="https://files.institutesi.org/UPR35_Kuwait_with_Equality_Now.pdf" TargetMode="External"/><Relationship Id="rId42" Type="http://schemas.openxmlformats.org/officeDocument/2006/relationships/hyperlink" Target="https://undocs.org/en/CRC/C/KWT/3-6" TargetMode="External"/><Relationship Id="rId47" Type="http://schemas.openxmlformats.org/officeDocument/2006/relationships/hyperlink" Target="https://www.institutesi.org/core-activities/statelessness-essentials-booklet-series." TargetMode="External"/><Relationship Id="rId7" Type="http://schemas.openxmlformats.org/officeDocument/2006/relationships/hyperlink" Target="https://www.hrw.org/news/2011/02/19/kuwait-dozens-injured-arrested-bidun-crackdown" TargetMode="External"/><Relationship Id="rId12" Type="http://schemas.openxmlformats.org/officeDocument/2006/relationships/hyperlink" Target="https://www.alanba.com.kw/ar/kuwait-news/education/919773/21-08-2019-&#1573;&#1610;&#1602;&#1575;&#1601;-&#1583;&#1582;&#1608;&#1604;-&#1571;&#1576;&#1606;&#1575;&#1569;-&#1575;&#1604;&#1576;&#1583;&#1608;&#1606;-&#1575;&#1604;&#1605;&#1583;&#1575;&#1585;&#1587;-&#1575;&#1604;&#1581;&#1603;&#1608;&#1605;&#1610;&#1577;/" TargetMode="External"/><Relationship Id="rId17" Type="http://schemas.openxmlformats.org/officeDocument/2006/relationships/hyperlink" Target="https://raqib50.s3.amazonaws.com/uploads/legislation/file/174/77-2019.pdf" TargetMode="External"/><Relationship Id="rId25" Type="http://schemas.openxmlformats.org/officeDocument/2006/relationships/hyperlink" Target="https://files.institutesi.org/UPR35_Kuwait_with_Equality_Now.pdf" TargetMode="External"/><Relationship Id="rId33" Type="http://schemas.openxmlformats.org/officeDocument/2006/relationships/hyperlink" Target="https://files.institutesi.org/UPR35_Kuwait.pdf" TargetMode="External"/><Relationship Id="rId38" Type="http://schemas.openxmlformats.org/officeDocument/2006/relationships/hyperlink" Target="http://www.unhcr.org/ibelong/" TargetMode="External"/><Relationship Id="rId46" Type="http://schemas.openxmlformats.org/officeDocument/2006/relationships/hyperlink" Target="https://files.institutesi.org/statelessness-and-CRC.pdf" TargetMode="External"/><Relationship Id="rId2" Type="http://schemas.openxmlformats.org/officeDocument/2006/relationships/hyperlink" Target="http://www.kna.kw/clt-html5/run.asp?id=656" TargetMode="External"/><Relationship Id="rId16" Type="http://schemas.openxmlformats.org/officeDocument/2006/relationships/hyperlink" Target="https://www.alaraby.co.uk/society/2019/9/9/&#1575;&#1604;&#1591;&#1604;&#1575;&#1576;-&#1575;&#1604;&#1576;&#1583;&#1608;&#1606;-&#1601;&#1610;-&#1575;&#1604;&#1603;&#1608;&#1610;&#1578;-&#1605;&#1593;&#1575;&#1606;&#1575;&#1577;-&#1604;&#1575;-&#1578;&#1606;&#1578;&#1607;&#1610;-1" TargetMode="External"/><Relationship Id="rId20" Type="http://schemas.openxmlformats.org/officeDocument/2006/relationships/hyperlink" Target="http://cadmus.eui.eu/bitstream/handle/1814/50046/RSCAS_GLOBALCIT_Comp_2017_03.pdf%20" TargetMode="External"/><Relationship Id="rId29" Type="http://schemas.openxmlformats.org/officeDocument/2006/relationships/hyperlink" Target="https://files.institutesi.org/PRINCIPLES.pdf" TargetMode="External"/><Relationship Id="rId41" Type="http://schemas.openxmlformats.org/officeDocument/2006/relationships/hyperlink" Target="https://english.alaraby.co.uk/english/society/2016/5/11/kuwaiti-women-still-battling-for-legal-and-political-recognition" TargetMode="External"/><Relationship Id="rId1" Type="http://schemas.openxmlformats.org/officeDocument/2006/relationships/hyperlink" Target="https://files.institutesi.org/UPR35_Kuwait.pdf" TargetMode="External"/><Relationship Id="rId6" Type="http://schemas.openxmlformats.org/officeDocument/2006/relationships/hyperlink" Target="https://files.institutesi.org/Covid19_Stateless_Impact_Report.pdf" TargetMode="External"/><Relationship Id="rId11" Type="http://schemas.openxmlformats.org/officeDocument/2006/relationships/hyperlink" Target="https://www.hrw.org/report/2011/06/13/prisoners-past/kuwaiti-bidun-and-burden-statelessness" TargetMode="External"/><Relationship Id="rId24" Type="http://schemas.openxmlformats.org/officeDocument/2006/relationships/hyperlink" Target="https://alraimedia.com/Home/Details?id=270e6e19-de77-4b77-b574-5630d0dd9039" TargetMode="External"/><Relationship Id="rId32" Type="http://schemas.openxmlformats.org/officeDocument/2006/relationships/hyperlink" Target="https://undocs.org/CERD/C/KWT/CO/21-24" TargetMode="External"/><Relationship Id="rId37" Type="http://schemas.openxmlformats.org/officeDocument/2006/relationships/hyperlink" Target="https://undocs.org/A/HRC/15/15" TargetMode="External"/><Relationship Id="rId40" Type="http://schemas.openxmlformats.org/officeDocument/2006/relationships/hyperlink" Target="https://equalnationalityrights.org/images/zdocs/Final-Ministerial-Conference-Declaration-on-Belonging-and-Identity---English.pdf" TargetMode="External"/><Relationship Id="rId45" Type="http://schemas.openxmlformats.org/officeDocument/2006/relationships/hyperlink" Target="https://files.institutesi.org/childhood-statelessness.pdf" TargetMode="External"/><Relationship Id="rId5" Type="http://schemas.openxmlformats.org/officeDocument/2006/relationships/hyperlink" Target="https://www.unhcr.org/5d08d7ee7.pdf" TargetMode="External"/><Relationship Id="rId15" Type="http://schemas.openxmlformats.org/officeDocument/2006/relationships/hyperlink" Target="https://www.aljazeera.net/news/politics/2018/12/14/&#1575;&#1604;&#1576;&#1583;&#1608;&#1606;-&#1575;&#1604;&#1603;&#1608;&#1610;&#1578;-&#1589;&#1575;&#1604;&#1581;-&#1575;&#1604;&#1601;&#1590;&#1575;&#1604;&#1577;-&#1575;&#1604;&#1571;&#1605;&#1605;" TargetMode="External"/><Relationship Id="rId23" Type="http://schemas.openxmlformats.org/officeDocument/2006/relationships/hyperlink" Target="https://www.aljarida.com/ext/articles/print/1565107982222625100/" TargetMode="External"/><Relationship Id="rId28" Type="http://schemas.openxmlformats.org/officeDocument/2006/relationships/hyperlink" Target="https://www.economist.com/middle-east-and-africa/2016/11/26/to-silence-dissidents-gulf-states-are-revoking-their-citizenship" TargetMode="External"/><Relationship Id="rId36" Type="http://schemas.openxmlformats.org/officeDocument/2006/relationships/hyperlink" Target="https://undocs.org/A/HRC/29/17" TargetMode="External"/><Relationship Id="rId49" Type="http://schemas.openxmlformats.org/officeDocument/2006/relationships/hyperlink" Target="http://kids.worldsstateless.org/" TargetMode="External"/><Relationship Id="rId10" Type="http://schemas.openxmlformats.org/officeDocument/2006/relationships/hyperlink" Target="https://www.hrw.org/report/2011/06/13/prisoners-past/kuwaiti-bidun-and-burden-statelessness" TargetMode="External"/><Relationship Id="rId19" Type="http://schemas.openxmlformats.org/officeDocument/2006/relationships/hyperlink" Target="https://files.institutesi.org/UPR35_Kuwait_with_Equality_Now.pdf" TargetMode="External"/><Relationship Id="rId31" Type="http://schemas.openxmlformats.org/officeDocument/2006/relationships/hyperlink" Target="https://undocs.org/CEDAW/C/KWT/CO/5" TargetMode="External"/><Relationship Id="rId44" Type="http://schemas.openxmlformats.org/officeDocument/2006/relationships/hyperlink" Target="https://files.institutesi.org/CRC_Toolkit_Final.pdf" TargetMode="External"/><Relationship Id="rId4" Type="http://schemas.openxmlformats.org/officeDocument/2006/relationships/hyperlink" Target="http://children.worldsstateless.org/assets/files/worlds-stateless-full-report.pdf" TargetMode="External"/><Relationship Id="rId9" Type="http://schemas.openxmlformats.org/officeDocument/2006/relationships/hyperlink" Target="https://undocs.org/CRC/C/KWT/CO/2" TargetMode="External"/><Relationship Id="rId14" Type="http://schemas.openxmlformats.org/officeDocument/2006/relationships/hyperlink" Target="https://www.carirs.gov.kw/News/&#1575;&#1604;&#1605;&#1585;&#1587;&#1608;&#1605;-&#1575;&#1604;&#1571;&#1605;&#1610;&#1585;&#1610;/" TargetMode="External"/><Relationship Id="rId22" Type="http://schemas.openxmlformats.org/officeDocument/2006/relationships/hyperlink" Target="http://www.kna.kw/clt-html5/run.asp?id=656" TargetMode="External"/><Relationship Id="rId27" Type="http://schemas.openxmlformats.org/officeDocument/2006/relationships/hyperlink" Target="https://files.institutesi.org/PRINCIPLES.pdf" TargetMode="External"/><Relationship Id="rId30" Type="http://schemas.openxmlformats.org/officeDocument/2006/relationships/hyperlink" Target="https://undocs.org/CRC/C/KWT/CO/2" TargetMode="External"/><Relationship Id="rId35" Type="http://schemas.openxmlformats.org/officeDocument/2006/relationships/hyperlink" Target="https://files.institutesi.org/UPR_35_recommendations_analysis.pdf" TargetMode="External"/><Relationship Id="rId43" Type="http://schemas.openxmlformats.org/officeDocument/2006/relationships/hyperlink" Target="https://www.institutesi.org/core-activities/human-rights-advocacy-crc" TargetMode="External"/><Relationship Id="rId48" Type="http://schemas.openxmlformats.org/officeDocument/2006/relationships/hyperlink" Target="https://files.institutesi.org/worldsstateless17.pdf" TargetMode="External"/><Relationship Id="rId8" Type="http://schemas.openxmlformats.org/officeDocument/2006/relationships/hyperlink" Target="https://www.amnesty.org/en/latest/news/2019/07/kuwait-authorities-crackdown-on-protesters-demanding-citizenship-rights/"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BE8FA0-3E60-492C-8D4A-DD4B1AF3AAF1}">
  <ds:schemaRefs>
    <ds:schemaRef ds:uri="http://schemas.openxmlformats.org/officeDocument/2006/bibliography"/>
  </ds:schemaRefs>
</ds:datastoreItem>
</file>

<file path=customXml/itemProps2.xml><?xml version="1.0" encoding="utf-8"?>
<ds:datastoreItem xmlns:ds="http://schemas.openxmlformats.org/officeDocument/2006/customXml" ds:itemID="{07D28C40-EBE9-4619-B117-3D8F97F07CBB}"/>
</file>

<file path=customXml/itemProps3.xml><?xml version="1.0" encoding="utf-8"?>
<ds:datastoreItem xmlns:ds="http://schemas.openxmlformats.org/officeDocument/2006/customXml" ds:itemID="{E5538073-8AD6-41BC-A6B5-77CDD554E498}"/>
</file>

<file path=customXml/itemProps4.xml><?xml version="1.0" encoding="utf-8"?>
<ds:datastoreItem xmlns:ds="http://schemas.openxmlformats.org/officeDocument/2006/customXml" ds:itemID="{F3AD0A4D-45CC-424B-A3B3-FE861ABCE772}"/>
</file>

<file path=docProps/app.xml><?xml version="1.0" encoding="utf-8"?>
<Properties xmlns="http://schemas.openxmlformats.org/officeDocument/2006/extended-properties" xmlns:vt="http://schemas.openxmlformats.org/officeDocument/2006/docPropsVTypes">
  <Template>Normal.dotm</Template>
  <TotalTime>9</TotalTime>
  <Pages>16</Pages>
  <Words>5792</Words>
  <Characters>32167</Characters>
  <Application>Microsoft Office Word</Application>
  <DocSecurity>0</DocSecurity>
  <Lines>473</Lines>
  <Paragraphs>113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37846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Karanika</dc:creator>
  <cp:keywords/>
  <cp:lastModifiedBy>BOIT James</cp:lastModifiedBy>
  <cp:revision>2</cp:revision>
  <dcterms:created xsi:type="dcterms:W3CDTF">2020-08-11T08:58:00Z</dcterms:created>
  <dcterms:modified xsi:type="dcterms:W3CDTF">2020-08-11T08:58:00Z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