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E56873">
        <w:trPr>
          <w:cantSplit/>
          <w:trHeight w:hRule="exact" w:val="851"/>
        </w:trPr>
        <w:tc>
          <w:tcPr>
            <w:tcW w:w="1276" w:type="dxa"/>
            <w:tcBorders>
              <w:bottom w:val="single" w:sz="4" w:space="0" w:color="auto"/>
            </w:tcBorders>
            <w:vAlign w:val="bottom"/>
          </w:tcPr>
          <w:p w:rsidR="00B56E9C" w:rsidRPr="00ED616A" w:rsidRDefault="00B56E9C" w:rsidP="00E56873">
            <w:pPr>
              <w:pStyle w:val="SingleTxtG"/>
            </w:pPr>
          </w:p>
        </w:tc>
        <w:tc>
          <w:tcPr>
            <w:tcW w:w="2268" w:type="dxa"/>
            <w:tcBorders>
              <w:bottom w:val="single" w:sz="4" w:space="0" w:color="auto"/>
            </w:tcBorders>
            <w:vAlign w:val="bottom"/>
          </w:tcPr>
          <w:p w:rsidR="00B56E9C" w:rsidRPr="00B97172" w:rsidRDefault="00B56E9C" w:rsidP="00E5687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0094E" w:rsidP="0090094E">
            <w:pPr>
              <w:jc w:val="right"/>
            </w:pPr>
            <w:r w:rsidRPr="0090094E">
              <w:rPr>
                <w:sz w:val="40"/>
              </w:rPr>
              <w:t>CEDAW</w:t>
            </w:r>
            <w:r>
              <w:t>/C/TTO/CO/4-7/Add.2</w:t>
            </w:r>
          </w:p>
        </w:tc>
      </w:tr>
      <w:tr w:rsidR="00B56E9C" w:rsidTr="00E56873">
        <w:trPr>
          <w:cantSplit/>
          <w:trHeight w:hRule="exact" w:val="2835"/>
        </w:trPr>
        <w:tc>
          <w:tcPr>
            <w:tcW w:w="1276" w:type="dxa"/>
            <w:tcBorders>
              <w:top w:val="single" w:sz="4" w:space="0" w:color="auto"/>
              <w:bottom w:val="single" w:sz="12" w:space="0" w:color="auto"/>
            </w:tcBorders>
          </w:tcPr>
          <w:p w:rsidR="00B56E9C" w:rsidRDefault="008D10AB" w:rsidP="00E56873">
            <w:pPr>
              <w:spacing w:before="120"/>
              <w:jc w:val="center"/>
            </w:pPr>
            <w:r>
              <w:rPr>
                <w:noProof/>
                <w:lang w:eastAsia="en-GB"/>
              </w:rPr>
              <w:drawing>
                <wp:inline distT="0" distB="0" distL="0" distR="0" wp14:anchorId="33E4E641" wp14:editId="6F621F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5687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E56873">
            <w:pPr>
              <w:spacing w:before="120" w:line="420" w:lineRule="exact"/>
            </w:pPr>
          </w:p>
        </w:tc>
        <w:tc>
          <w:tcPr>
            <w:tcW w:w="2835" w:type="dxa"/>
            <w:tcBorders>
              <w:top w:val="single" w:sz="4" w:space="0" w:color="auto"/>
              <w:bottom w:val="single" w:sz="12" w:space="0" w:color="auto"/>
            </w:tcBorders>
          </w:tcPr>
          <w:p w:rsidR="00B56E9C" w:rsidRDefault="0090094E" w:rsidP="0090094E">
            <w:pPr>
              <w:spacing w:before="240" w:line="240" w:lineRule="exact"/>
            </w:pPr>
            <w:r>
              <w:t>Distr.: General</w:t>
            </w:r>
          </w:p>
          <w:p w:rsidR="0090094E" w:rsidRDefault="0090094E" w:rsidP="0090094E">
            <w:pPr>
              <w:spacing w:line="240" w:lineRule="exact"/>
            </w:pPr>
            <w:r>
              <w:t>11 February 2019</w:t>
            </w:r>
          </w:p>
          <w:p w:rsidR="0090094E" w:rsidRDefault="0090094E" w:rsidP="0090094E">
            <w:pPr>
              <w:spacing w:line="240" w:lineRule="exact"/>
            </w:pPr>
          </w:p>
          <w:p w:rsidR="0090094E" w:rsidRDefault="0090094E" w:rsidP="0090094E">
            <w:pPr>
              <w:spacing w:line="240" w:lineRule="exact"/>
            </w:pPr>
            <w:r>
              <w:t>Original: English</w:t>
            </w:r>
          </w:p>
        </w:tc>
      </w:tr>
    </w:tbl>
    <w:p w:rsidR="00937434" w:rsidRPr="0055095F" w:rsidRDefault="00937434" w:rsidP="00937434">
      <w:pPr>
        <w:spacing w:before="120"/>
        <w:rPr>
          <w:b/>
          <w:sz w:val="24"/>
          <w:szCs w:val="24"/>
        </w:rPr>
      </w:pPr>
      <w:r w:rsidRPr="0055095F">
        <w:rPr>
          <w:b/>
          <w:sz w:val="24"/>
          <w:szCs w:val="24"/>
        </w:rPr>
        <w:t>Committee on the Elimination of</w:t>
      </w:r>
      <w:r w:rsidRPr="0055095F">
        <w:rPr>
          <w:b/>
          <w:sz w:val="24"/>
          <w:szCs w:val="24"/>
        </w:rPr>
        <w:br/>
        <w:t>Discrimination against Women</w:t>
      </w:r>
    </w:p>
    <w:p w:rsidR="00937434" w:rsidRPr="0055095F" w:rsidRDefault="00937434" w:rsidP="00937434">
      <w:pPr>
        <w:pStyle w:val="HChG"/>
      </w:pPr>
      <w:r w:rsidRPr="0055095F">
        <w:tab/>
      </w:r>
      <w:r w:rsidRPr="0055095F">
        <w:tab/>
        <w:t xml:space="preserve">Concluding observations on the </w:t>
      </w:r>
      <w:r>
        <w:t>combined</w:t>
      </w:r>
      <w:r w:rsidRPr="00BF2607">
        <w:t xml:space="preserve"> fourth to seventh</w:t>
      </w:r>
      <w:r w:rsidRPr="0055095F">
        <w:t xml:space="preserve"> periodic report of </w:t>
      </w:r>
      <w:r w:rsidRPr="00BF2607">
        <w:t>Trinidad and Tobago</w:t>
      </w:r>
    </w:p>
    <w:p w:rsidR="00937434" w:rsidRPr="0055095F" w:rsidRDefault="00937434" w:rsidP="00937434">
      <w:pPr>
        <w:pStyle w:val="H23G"/>
      </w:pPr>
      <w:r w:rsidRPr="0055095F">
        <w:tab/>
      </w:r>
      <w:r w:rsidRPr="0055095F">
        <w:tab/>
        <w:t>Addendum</w:t>
      </w:r>
    </w:p>
    <w:p w:rsidR="00937434" w:rsidRPr="0055095F" w:rsidRDefault="00937434" w:rsidP="00937434">
      <w:pPr>
        <w:pStyle w:val="HChG"/>
      </w:pPr>
      <w:r w:rsidRPr="0055095F">
        <w:tab/>
      </w:r>
      <w:r w:rsidRPr="0055095F">
        <w:tab/>
        <w:t xml:space="preserve">Information provided by </w:t>
      </w:r>
      <w:r>
        <w:t>Trinidad and Tobago</w:t>
      </w:r>
      <w:r w:rsidRPr="0055095F">
        <w:t xml:space="preserve"> on follow-up to the concluding observations</w:t>
      </w:r>
      <w:r w:rsidRPr="006F5A3A">
        <w:rPr>
          <w:rStyle w:val="FootnoteReference"/>
          <w:b w:val="0"/>
          <w:sz w:val="20"/>
        </w:rPr>
        <w:footnoteReference w:customMarkFollows="1" w:id="2"/>
        <w:t>*</w:t>
      </w:r>
    </w:p>
    <w:p w:rsidR="00937434" w:rsidRPr="0055095F" w:rsidRDefault="00937434" w:rsidP="00937434">
      <w:pPr>
        <w:pStyle w:val="SingleTxtG"/>
        <w:jc w:val="right"/>
      </w:pPr>
      <w:r w:rsidRPr="0055095F">
        <w:t>[</w:t>
      </w:r>
      <w:r w:rsidRPr="00444F4E">
        <w:t>Date received</w:t>
      </w:r>
      <w:r>
        <w:t>: 08 February 2019</w:t>
      </w:r>
      <w:r w:rsidRPr="0055095F">
        <w:t>]</w:t>
      </w:r>
    </w:p>
    <w:p w:rsidR="00937434" w:rsidRPr="0070733A" w:rsidRDefault="00937434" w:rsidP="00937434">
      <w:pPr>
        <w:pStyle w:val="H1G"/>
        <w:rPr>
          <w:lang w:val="en-US"/>
        </w:rPr>
      </w:pPr>
      <w:r>
        <w:br w:type="page"/>
      </w:r>
      <w:r>
        <w:lastRenderedPageBreak/>
        <w:tab/>
      </w:r>
      <w:r>
        <w:tab/>
      </w:r>
      <w:r w:rsidRPr="0070733A">
        <w:rPr>
          <w:lang w:val="en-US"/>
        </w:rPr>
        <w:t>Introduction</w:t>
      </w:r>
    </w:p>
    <w:p w:rsidR="00937434" w:rsidRPr="0070733A" w:rsidRDefault="00937434" w:rsidP="00937434">
      <w:pPr>
        <w:pStyle w:val="SingleTxtG"/>
        <w:rPr>
          <w:lang w:val="en-US"/>
        </w:rPr>
      </w:pPr>
      <w:r w:rsidRPr="0070733A">
        <w:rPr>
          <w:lang w:val="en-US"/>
        </w:rPr>
        <w:t>1.</w:t>
      </w:r>
      <w:r>
        <w:rPr>
          <w:lang w:val="en-US"/>
        </w:rPr>
        <w:tab/>
      </w:r>
      <w:r w:rsidRPr="0070733A">
        <w:rPr>
          <w:lang w:val="en-US"/>
        </w:rPr>
        <w:t>On 18 July 2016, the Committee on the Elimination of Discrimination against Women (CEDAW) considered the combined fourth to seventh periodic reports of the Government of the Republic of Trinidad and Tobago (CEDAW/C/TTO/CO/4-7). In its concluding observations, the Committee requested that the Government of the Republic of Trinidad and Tobago provide within two years, written information on the steps undertaken to implement the recommendations contained in paragraphs 9c, 11c, and 19c.</w:t>
      </w:r>
    </w:p>
    <w:p w:rsidR="00937434" w:rsidRPr="0070733A" w:rsidRDefault="00937434" w:rsidP="00937434">
      <w:pPr>
        <w:pStyle w:val="H23G"/>
        <w:rPr>
          <w:lang w:val="en-US"/>
        </w:rPr>
      </w:pPr>
      <w:r>
        <w:rPr>
          <w:lang w:val="en-US"/>
        </w:rPr>
        <w:tab/>
      </w:r>
      <w:r>
        <w:rPr>
          <w:lang w:val="en-US"/>
        </w:rPr>
        <w:tab/>
      </w:r>
      <w:r w:rsidRPr="0070733A">
        <w:rPr>
          <w:lang w:val="en-US"/>
        </w:rPr>
        <w:t>Legal status, visibility of the Convention and the Committee’s general recommendations and implementation of the Convention</w:t>
      </w:r>
    </w:p>
    <w:p w:rsidR="00937434" w:rsidRPr="0070733A" w:rsidRDefault="00937434" w:rsidP="00937434">
      <w:pPr>
        <w:pStyle w:val="H23G"/>
        <w:rPr>
          <w:lang w:val="en-US"/>
        </w:rPr>
      </w:pPr>
      <w:r>
        <w:rPr>
          <w:lang w:val="en-US"/>
        </w:rPr>
        <w:tab/>
      </w:r>
      <w:r>
        <w:rPr>
          <w:lang w:val="en-US"/>
        </w:rPr>
        <w:tab/>
      </w:r>
      <w:r w:rsidRPr="0070733A">
        <w:rPr>
          <w:lang w:val="en-US"/>
        </w:rPr>
        <w:t>Paragraph 9c</w:t>
      </w:r>
    </w:p>
    <w:p w:rsidR="00937434" w:rsidRPr="0070733A" w:rsidRDefault="00937434" w:rsidP="00937434">
      <w:pPr>
        <w:pStyle w:val="SingleTxtG"/>
        <w:rPr>
          <w:lang w:val="en-US"/>
        </w:rPr>
      </w:pPr>
      <w:r>
        <w:rPr>
          <w:lang w:val="en-US"/>
        </w:rPr>
        <w:t>2.</w:t>
      </w:r>
      <w:r>
        <w:rPr>
          <w:lang w:val="en-US"/>
        </w:rPr>
        <w:tab/>
      </w:r>
      <w:r w:rsidRPr="0070733A">
        <w:rPr>
          <w:lang w:val="en-US"/>
        </w:rPr>
        <w:t>In Paragraph 9c, the Committee recommended that the Government of the Republic of Trinidad and Tobago:</w:t>
      </w:r>
    </w:p>
    <w:p w:rsidR="00937434" w:rsidRPr="0070733A" w:rsidRDefault="00937434" w:rsidP="00937434">
      <w:pPr>
        <w:pStyle w:val="SingleTxtG"/>
        <w:ind w:left="1701"/>
        <w:rPr>
          <w:i/>
          <w:lang w:val="en-US"/>
        </w:rPr>
      </w:pPr>
      <w:r w:rsidRPr="0070733A">
        <w:rPr>
          <w:bCs/>
          <w:i/>
          <w:lang w:val="en-US"/>
        </w:rPr>
        <w:t>“</w:t>
      </w:r>
      <w:r w:rsidRPr="0070733A">
        <w:rPr>
          <w:i/>
          <w:lang w:val="en-US"/>
        </w:rPr>
        <w:t>Adopt a national action plan on the implementation of the Committee’s present concluding observations with clear targets and indicators</w:t>
      </w:r>
      <w:r w:rsidRPr="0070733A">
        <w:rPr>
          <w:bCs/>
          <w:i/>
          <w:lang w:val="en-US"/>
        </w:rPr>
        <w:t>.”</w:t>
      </w:r>
    </w:p>
    <w:p w:rsidR="00937434" w:rsidRPr="0070733A" w:rsidRDefault="00937434" w:rsidP="00937434">
      <w:pPr>
        <w:pStyle w:val="SingleTxtG"/>
        <w:rPr>
          <w:lang w:val="en-US"/>
        </w:rPr>
      </w:pPr>
      <w:r>
        <w:rPr>
          <w:lang w:val="en-US"/>
        </w:rPr>
        <w:t>3.</w:t>
      </w:r>
      <w:r>
        <w:rPr>
          <w:lang w:val="en-US"/>
        </w:rPr>
        <w:tab/>
      </w:r>
      <w:r w:rsidRPr="0070733A">
        <w:rPr>
          <w:lang w:val="en-US"/>
        </w:rPr>
        <w:t>A Draft National Action Plan on the implementation of the Committee’s concluding observations was developed by the Gender Affairs Division of the Office of the Prime Minister (Gender and Child Affairs) (OPM (GCA)) and was structured to include clear and measurable targets and indicators. The Plan lists targets, timelines and stakeholders required to complete objectives corresponding to each of the Committee’s recommendations, with a significant emphasis on capacity building, data collection and public awareness. The plan was reviewed both internally, at the OPM (GCA), and externally, during consultations held with NGO partners of the Gender Affairs Division, following which the plan was amended to incorporate the feedback from the civil society groups. The Action Plan will be submitted to the Cabinet for approval and subsequent implementation. Several of the action items are already being implemented, some of which are listed hereunder:</w:t>
      </w:r>
    </w:p>
    <w:p w:rsidR="00937434" w:rsidRPr="0070733A" w:rsidRDefault="00937434" w:rsidP="00937434">
      <w:pPr>
        <w:pStyle w:val="Bullet1G"/>
        <w:rPr>
          <w:lang w:val="en-US"/>
        </w:rPr>
      </w:pPr>
      <w:r w:rsidRPr="0070733A">
        <w:rPr>
          <w:lang w:val="en-US"/>
        </w:rPr>
        <w:t xml:space="preserve">Public awareness is being raised on the CEDAW Convention and 2016 Concluding Observations of the Committee. These have been dispatched to all Government Ministries, and uploaded to the OPM (GCA) website and social media platforms. A brochure has been prepared on the CEDAW Convention and reporting process; this is </w:t>
      </w:r>
      <w:r>
        <w:rPr>
          <w:lang w:val="en-US"/>
        </w:rPr>
        <w:t>distributed at strategic events;</w:t>
      </w:r>
    </w:p>
    <w:p w:rsidR="00937434" w:rsidRPr="0070733A" w:rsidRDefault="00937434" w:rsidP="00937434">
      <w:pPr>
        <w:pStyle w:val="Bullet1G"/>
        <w:rPr>
          <w:lang w:val="en-US"/>
        </w:rPr>
      </w:pPr>
      <w:r w:rsidRPr="0070733A">
        <w:rPr>
          <w:lang w:val="en-US"/>
        </w:rPr>
        <w:t>Initial training on the CEDAW Convention has commenced with strategic groups selected from the fields of justice, law enforcement and social work. The Chief Justice has also been approached regarding</w:t>
      </w:r>
      <w:r>
        <w:rPr>
          <w:lang w:val="en-US"/>
        </w:rPr>
        <w:t xml:space="preserve"> training for judicial officers;</w:t>
      </w:r>
    </w:p>
    <w:p w:rsidR="00937434" w:rsidRPr="0070733A" w:rsidRDefault="00937434" w:rsidP="00937434">
      <w:pPr>
        <w:pStyle w:val="Bullet1G"/>
        <w:rPr>
          <w:lang w:val="en-US"/>
        </w:rPr>
      </w:pPr>
      <w:r w:rsidRPr="0070733A">
        <w:rPr>
          <w:lang w:val="en-US"/>
        </w:rPr>
        <w:t>The OPM (GCA) has developed a proposal for the development of a catalogue of discriminatory laws of Trinidad and Tobago, and is seeking to engage an appropriate partner organization</w:t>
      </w:r>
      <w:r>
        <w:rPr>
          <w:lang w:val="en-US"/>
        </w:rPr>
        <w:t xml:space="preserve"> to jointly conduct the project;</w:t>
      </w:r>
    </w:p>
    <w:p w:rsidR="00937434" w:rsidRPr="0070733A" w:rsidRDefault="00937434" w:rsidP="00937434">
      <w:pPr>
        <w:pStyle w:val="Bullet1G"/>
        <w:rPr>
          <w:lang w:val="en-US"/>
        </w:rPr>
      </w:pPr>
      <w:r w:rsidRPr="0070733A">
        <w:rPr>
          <w:lang w:val="en-US"/>
        </w:rPr>
        <w:t xml:space="preserve">The OPM (GCA) has discussed with the Central Statistical Office (CSO) a new framework for national data collection with the proposed establishment of the National Statistical Institute of Trinidad and Tobago. This Office has supplied the CSO with the </w:t>
      </w:r>
      <w:r>
        <w:rPr>
          <w:lang w:val="en-US"/>
        </w:rPr>
        <w:t>data elements related to gender;</w:t>
      </w:r>
    </w:p>
    <w:p w:rsidR="00937434" w:rsidRPr="0070733A" w:rsidRDefault="00937434" w:rsidP="00937434">
      <w:pPr>
        <w:pStyle w:val="Bullet1G"/>
        <w:rPr>
          <w:lang w:val="en-US"/>
        </w:rPr>
      </w:pPr>
      <w:r w:rsidRPr="0070733A">
        <w:rPr>
          <w:lang w:val="en-US"/>
        </w:rPr>
        <w:t>The Government of Trinidad and Tobago is in the process of finalizing a Draft Bill to amend the Sexual Offences Act, Chap. 11:28 in order to strengthen the provisions dealing with the registration of sex offenders. A multifaceted approach is being developed with r</w:t>
      </w:r>
      <w:r>
        <w:rPr>
          <w:lang w:val="en-US"/>
        </w:rPr>
        <w:t>egard to its operationalization;</w:t>
      </w:r>
    </w:p>
    <w:p w:rsidR="00937434" w:rsidRPr="0070733A" w:rsidRDefault="00937434" w:rsidP="00937434">
      <w:pPr>
        <w:pStyle w:val="Bullet1G"/>
        <w:rPr>
          <w:lang w:val="en-US"/>
        </w:rPr>
      </w:pPr>
      <w:r w:rsidRPr="0070733A">
        <w:rPr>
          <w:lang w:val="en-US"/>
        </w:rPr>
        <w:t xml:space="preserve">The Health and Family Life Education (HFLE) curriculum has been developed and is being implemented at primary and secondary schools. The Ministry of Education is working with UN Population Fund (UNFPA) to review the HFLE curriculum in order to ensure that it is </w:t>
      </w:r>
      <w:proofErr w:type="spellStart"/>
      <w:r w:rsidRPr="0070733A">
        <w:rPr>
          <w:lang w:val="en-US"/>
        </w:rPr>
        <w:t>harmonised</w:t>
      </w:r>
      <w:proofErr w:type="spellEnd"/>
      <w:r w:rsidRPr="0070733A">
        <w:rPr>
          <w:lang w:val="en-US"/>
        </w:rPr>
        <w:t xml:space="preserve"> with the National P</w:t>
      </w:r>
      <w:r>
        <w:rPr>
          <w:lang w:val="en-US"/>
        </w:rPr>
        <w:t>olicy on Gender and Development;</w:t>
      </w:r>
    </w:p>
    <w:p w:rsidR="00937434" w:rsidRPr="0070733A" w:rsidRDefault="00937434" w:rsidP="00937434">
      <w:pPr>
        <w:pStyle w:val="Bullet1G"/>
        <w:rPr>
          <w:lang w:val="en-US"/>
        </w:rPr>
      </w:pPr>
      <w:r w:rsidRPr="0070733A">
        <w:rPr>
          <w:lang w:val="en-US"/>
        </w:rPr>
        <w:t xml:space="preserve">A National Workplace Policy on Sexual Harassment has been drafted by the Ministry of </w:t>
      </w:r>
      <w:proofErr w:type="spellStart"/>
      <w:r w:rsidRPr="0070733A">
        <w:rPr>
          <w:lang w:val="en-US"/>
        </w:rPr>
        <w:t>Labour</w:t>
      </w:r>
      <w:proofErr w:type="spellEnd"/>
      <w:r w:rsidRPr="0070733A">
        <w:rPr>
          <w:lang w:val="en-US"/>
        </w:rPr>
        <w:t xml:space="preserve"> and Small Enterprise Development. Public Consultations are being conducted with a view to developing legislation to support its implementation.</w:t>
      </w:r>
    </w:p>
    <w:p w:rsidR="00937434" w:rsidRPr="0070733A" w:rsidRDefault="00937434" w:rsidP="00937434">
      <w:pPr>
        <w:pStyle w:val="H23G"/>
        <w:rPr>
          <w:lang w:val="en-US"/>
        </w:rPr>
      </w:pPr>
      <w:r>
        <w:rPr>
          <w:lang w:val="en-US"/>
        </w:rPr>
        <w:lastRenderedPageBreak/>
        <w:tab/>
      </w:r>
      <w:r>
        <w:rPr>
          <w:lang w:val="en-US"/>
        </w:rPr>
        <w:tab/>
      </w:r>
      <w:r w:rsidRPr="0070733A">
        <w:rPr>
          <w:lang w:val="en-US"/>
        </w:rPr>
        <w:t>Definition of discrimination, legislative and policy framework</w:t>
      </w:r>
    </w:p>
    <w:p w:rsidR="00937434" w:rsidRPr="0070733A" w:rsidRDefault="00937434" w:rsidP="00937434">
      <w:pPr>
        <w:pStyle w:val="H23G"/>
        <w:rPr>
          <w:lang w:val="en-US"/>
        </w:rPr>
      </w:pPr>
      <w:r>
        <w:rPr>
          <w:lang w:val="en-US"/>
        </w:rPr>
        <w:tab/>
      </w:r>
      <w:r>
        <w:rPr>
          <w:lang w:val="en-US"/>
        </w:rPr>
        <w:tab/>
      </w:r>
      <w:r w:rsidRPr="0070733A">
        <w:rPr>
          <w:lang w:val="en-US"/>
        </w:rPr>
        <w:t>Paragraph 11c</w:t>
      </w:r>
    </w:p>
    <w:p w:rsidR="00937434" w:rsidRPr="0070733A" w:rsidRDefault="00937434" w:rsidP="00937434">
      <w:pPr>
        <w:pStyle w:val="SingleTxtG"/>
        <w:rPr>
          <w:bCs/>
          <w:lang w:val="en-US"/>
        </w:rPr>
      </w:pPr>
      <w:r>
        <w:rPr>
          <w:bCs/>
          <w:lang w:val="en-US"/>
        </w:rPr>
        <w:t>4.</w:t>
      </w:r>
      <w:r>
        <w:rPr>
          <w:bCs/>
          <w:lang w:val="en-US"/>
        </w:rPr>
        <w:tab/>
      </w:r>
      <w:r w:rsidRPr="0070733A">
        <w:rPr>
          <w:bCs/>
          <w:lang w:val="en-US"/>
        </w:rPr>
        <w:t>In Paragraph 11c, the Committee recommended that the Government of the Republic of Trinidad and Tobago:</w:t>
      </w:r>
    </w:p>
    <w:p w:rsidR="00937434" w:rsidRPr="0070733A" w:rsidRDefault="00937434" w:rsidP="00937434">
      <w:pPr>
        <w:pStyle w:val="SingleTxtG"/>
        <w:ind w:left="1701"/>
        <w:rPr>
          <w:bCs/>
          <w:i/>
          <w:lang w:val="en-US"/>
        </w:rPr>
      </w:pPr>
      <w:r w:rsidRPr="0070733A">
        <w:rPr>
          <w:bCs/>
          <w:i/>
          <w:lang w:val="en-US"/>
        </w:rPr>
        <w:t>“Develop an inventory of all laws that discriminate against women with a view to amending or repealing them.”</w:t>
      </w:r>
    </w:p>
    <w:p w:rsidR="00937434" w:rsidRPr="0070733A" w:rsidRDefault="00937434" w:rsidP="00937434">
      <w:pPr>
        <w:pStyle w:val="SingleTxtG"/>
        <w:rPr>
          <w:lang w:val="en-US"/>
        </w:rPr>
      </w:pPr>
      <w:r>
        <w:rPr>
          <w:lang w:val="en-US"/>
        </w:rPr>
        <w:t>5</w:t>
      </w:r>
      <w:r w:rsidRPr="0070733A">
        <w:rPr>
          <w:lang w:val="en-US"/>
        </w:rPr>
        <w:t>.</w:t>
      </w:r>
      <w:r w:rsidRPr="0070733A">
        <w:rPr>
          <w:lang w:val="en-US"/>
        </w:rPr>
        <w:tab/>
        <w:t xml:space="preserve">The OPM (GCA) is currently reviewing the national legislative framework in order to develop a catalogue of discriminatory laws and recommendations for their reform or repeal. Following the completion of this review, a further review is proposed to ascertain the effectiveness of the implementation of all laws which </w:t>
      </w:r>
      <w:r>
        <w:rPr>
          <w:lang w:val="en-US"/>
        </w:rPr>
        <w:t xml:space="preserve">impact on the rights of women. </w:t>
      </w:r>
    </w:p>
    <w:p w:rsidR="00937434" w:rsidRPr="0070733A" w:rsidRDefault="00937434" w:rsidP="00937434">
      <w:pPr>
        <w:pStyle w:val="H23G"/>
        <w:rPr>
          <w:lang w:val="en-US"/>
        </w:rPr>
      </w:pPr>
      <w:r>
        <w:rPr>
          <w:lang w:val="en-US"/>
        </w:rPr>
        <w:tab/>
      </w:r>
      <w:r>
        <w:rPr>
          <w:lang w:val="en-US"/>
        </w:rPr>
        <w:tab/>
      </w:r>
      <w:r w:rsidRPr="0070733A">
        <w:rPr>
          <w:lang w:val="en-US"/>
        </w:rPr>
        <w:t>Paragraph 11d</w:t>
      </w:r>
    </w:p>
    <w:p w:rsidR="00937434" w:rsidRPr="0070733A" w:rsidRDefault="00937434" w:rsidP="00937434">
      <w:pPr>
        <w:pStyle w:val="SingleTxtG"/>
        <w:rPr>
          <w:bCs/>
          <w:lang w:val="en-US"/>
        </w:rPr>
      </w:pPr>
      <w:r>
        <w:rPr>
          <w:bCs/>
          <w:lang w:val="en-US"/>
        </w:rPr>
        <w:t>6.</w:t>
      </w:r>
      <w:r>
        <w:rPr>
          <w:bCs/>
          <w:lang w:val="en-US"/>
        </w:rPr>
        <w:tab/>
      </w:r>
      <w:r w:rsidRPr="0070733A">
        <w:rPr>
          <w:bCs/>
          <w:lang w:val="en-US"/>
        </w:rPr>
        <w:t>In Paragraph 11d,</w:t>
      </w:r>
      <w:r w:rsidRPr="0070733A">
        <w:rPr>
          <w:b/>
          <w:bCs/>
          <w:lang w:val="en-US"/>
        </w:rPr>
        <w:t xml:space="preserve"> </w:t>
      </w:r>
      <w:r w:rsidRPr="0070733A">
        <w:rPr>
          <w:bCs/>
          <w:lang w:val="en-US"/>
        </w:rPr>
        <w:t>the Committee recommended that the Government of the Republic of Trinidad and Tobago:</w:t>
      </w:r>
    </w:p>
    <w:p w:rsidR="00937434" w:rsidRPr="0070733A" w:rsidRDefault="00937434" w:rsidP="00937434">
      <w:pPr>
        <w:pStyle w:val="SingleTxtG"/>
        <w:ind w:left="1701"/>
        <w:rPr>
          <w:bCs/>
          <w:i/>
          <w:lang w:val="en-US"/>
        </w:rPr>
      </w:pPr>
      <w:r w:rsidRPr="0070733A">
        <w:rPr>
          <w:bCs/>
          <w:i/>
          <w:lang w:val="en-US"/>
        </w:rPr>
        <w:t>“Expedite the adoption of the National Policy on Gender and Development and ensure that the definition of the term “gender” is in line with the Convention and, in particular, General Recommendation No. 28 (2010) on the core obligations of States Parties under Article 2 of the Convention, and that issues of sexual and reproductive health and rights are addressed.”</w:t>
      </w:r>
    </w:p>
    <w:p w:rsidR="00937434" w:rsidRPr="0070733A" w:rsidRDefault="00937434" w:rsidP="00937434">
      <w:pPr>
        <w:pStyle w:val="SingleTxtG"/>
        <w:rPr>
          <w:lang w:val="en-US"/>
        </w:rPr>
      </w:pPr>
      <w:r>
        <w:rPr>
          <w:bCs/>
          <w:lang w:val="en-US"/>
        </w:rPr>
        <w:t>7.</w:t>
      </w:r>
      <w:r w:rsidRPr="0070733A">
        <w:rPr>
          <w:bCs/>
          <w:lang w:val="en-US"/>
        </w:rPr>
        <w:tab/>
        <w:t xml:space="preserve">The </w:t>
      </w:r>
      <w:r w:rsidRPr="0070733A">
        <w:rPr>
          <w:lang w:val="en-US"/>
        </w:rPr>
        <w:t xml:space="preserve">National Policy on Gender and Development is the product of collaboration among government, civil society, private sector, academia and the general public. The Policy provides a framework for the inclusion of gender perspectives in addressing all areas of national development. It was laid as a Green Paper in Parliament on 9 March 2018 and was opened for public comments from March to October 2018. The Government has agreed that the Policy be used as the official Government policy, pending its final adoption as a White Paper. The National Policy on Gender and Development was placed on the OPM (GCA) website on 9 March 2018 for ease of access and submission of comments. </w:t>
      </w:r>
    </w:p>
    <w:p w:rsidR="00937434" w:rsidRPr="0070733A" w:rsidRDefault="00937434" w:rsidP="00937434">
      <w:pPr>
        <w:pStyle w:val="SingleTxtG"/>
        <w:rPr>
          <w:lang w:val="en-US"/>
        </w:rPr>
      </w:pPr>
      <w:r>
        <w:rPr>
          <w:lang w:val="en-US"/>
        </w:rPr>
        <w:t>8.</w:t>
      </w:r>
      <w:r>
        <w:rPr>
          <w:lang w:val="en-US"/>
        </w:rPr>
        <w:tab/>
      </w:r>
      <w:r w:rsidRPr="0070733A">
        <w:rPr>
          <w:lang w:val="en-US"/>
        </w:rPr>
        <w:t xml:space="preserve">The definition of “gender” included in the Policy is taken from the Rome Statute of the International Court, Article 7, Paragraph 3; it remains open for comments and will be finalized when the Policy is laid as a White Paper. The Policy also addresses the issue of sexual and reproductive health and rights, placing special emphasis on preventing gender-based violence, disease transmission and maternal mortality and morbidity. Furthermore, the Policy stresses the importance of innovative curriculum development strategies in Health and Family Life Education (HFLE), to increase its effectiveness in promoting sexual and reproductive health and addressing gender-based violence. The </w:t>
      </w:r>
      <w:proofErr w:type="spellStart"/>
      <w:r w:rsidRPr="0070733A">
        <w:rPr>
          <w:lang w:val="en-US"/>
        </w:rPr>
        <w:t>Honourable</w:t>
      </w:r>
      <w:proofErr w:type="spellEnd"/>
      <w:r w:rsidRPr="0070733A">
        <w:rPr>
          <w:lang w:val="en-US"/>
        </w:rPr>
        <w:t xml:space="preserve"> Minister of State is expected to lay the document as a White Paper for its adoption as the National Policy on Gender and Development.</w:t>
      </w:r>
    </w:p>
    <w:p w:rsidR="00937434" w:rsidRPr="0070733A" w:rsidRDefault="00937434" w:rsidP="00937434">
      <w:pPr>
        <w:pStyle w:val="H23G"/>
        <w:rPr>
          <w:lang w:val="en-US"/>
        </w:rPr>
      </w:pPr>
      <w:r>
        <w:rPr>
          <w:lang w:val="en-US"/>
        </w:rPr>
        <w:tab/>
      </w:r>
      <w:r>
        <w:rPr>
          <w:lang w:val="en-US"/>
        </w:rPr>
        <w:tab/>
      </w:r>
      <w:r w:rsidRPr="0070733A">
        <w:rPr>
          <w:lang w:val="en-US"/>
        </w:rPr>
        <w:t>Stereotypes and harmful practices</w:t>
      </w:r>
    </w:p>
    <w:p w:rsidR="00937434" w:rsidRPr="0070733A" w:rsidRDefault="00937434" w:rsidP="00937434">
      <w:pPr>
        <w:pStyle w:val="H23G"/>
        <w:rPr>
          <w:lang w:val="en-US"/>
        </w:rPr>
      </w:pPr>
      <w:r>
        <w:rPr>
          <w:lang w:val="en-US"/>
        </w:rPr>
        <w:tab/>
      </w:r>
      <w:r>
        <w:rPr>
          <w:lang w:val="en-US"/>
        </w:rPr>
        <w:tab/>
      </w:r>
      <w:r w:rsidRPr="0070733A">
        <w:rPr>
          <w:lang w:val="en-US"/>
        </w:rPr>
        <w:t>Paragraph 19c</w:t>
      </w:r>
    </w:p>
    <w:p w:rsidR="00937434" w:rsidRPr="0070733A" w:rsidRDefault="00937434" w:rsidP="00937434">
      <w:pPr>
        <w:pStyle w:val="SingleTxtG"/>
        <w:rPr>
          <w:bCs/>
          <w:lang w:val="en-US"/>
        </w:rPr>
      </w:pPr>
      <w:r>
        <w:rPr>
          <w:bCs/>
          <w:lang w:val="en-US"/>
        </w:rPr>
        <w:t>9.</w:t>
      </w:r>
      <w:r>
        <w:rPr>
          <w:bCs/>
          <w:lang w:val="en-US"/>
        </w:rPr>
        <w:tab/>
      </w:r>
      <w:r w:rsidRPr="0070733A">
        <w:rPr>
          <w:bCs/>
          <w:lang w:val="en-US"/>
        </w:rPr>
        <w:t>In Paragraph 19c,</w:t>
      </w:r>
      <w:r w:rsidRPr="0070733A">
        <w:rPr>
          <w:b/>
          <w:bCs/>
          <w:lang w:val="en-US"/>
        </w:rPr>
        <w:t xml:space="preserve"> </w:t>
      </w:r>
      <w:r w:rsidRPr="0070733A">
        <w:rPr>
          <w:bCs/>
          <w:lang w:val="en-US"/>
        </w:rPr>
        <w:t>the Committee recommended that the Government of the Republic of Trinidad and Tobago:</w:t>
      </w:r>
    </w:p>
    <w:p w:rsidR="00937434" w:rsidRPr="0070733A" w:rsidRDefault="00937434" w:rsidP="00937434">
      <w:pPr>
        <w:pStyle w:val="SingleTxtG"/>
        <w:ind w:left="1701"/>
        <w:rPr>
          <w:bCs/>
          <w:i/>
          <w:lang w:val="en-US"/>
        </w:rPr>
      </w:pPr>
      <w:r w:rsidRPr="0070733A">
        <w:rPr>
          <w:bCs/>
          <w:i/>
          <w:lang w:val="en-US"/>
        </w:rPr>
        <w:t xml:space="preserve">“As a matter of priority, amend the Marriage Act (1923), the Muslim Marriage and Divorce Act (1961), the Hindu Marriage Act (1945), the </w:t>
      </w:r>
      <w:proofErr w:type="spellStart"/>
      <w:r w:rsidRPr="0070733A">
        <w:rPr>
          <w:bCs/>
          <w:i/>
          <w:lang w:val="en-US"/>
        </w:rPr>
        <w:t>Orisa</w:t>
      </w:r>
      <w:proofErr w:type="spellEnd"/>
      <w:r w:rsidRPr="0070733A">
        <w:rPr>
          <w:bCs/>
          <w:i/>
          <w:lang w:val="en-US"/>
        </w:rPr>
        <w:t xml:space="preserve"> Marriage Act (1999), and the Children’s Act (2012), which perpetuate the harmful practice of child marriage, by raising the legal minimum age of marriage to 18 years so that it is harmonized with the age of sexual consent, in line with General Recommendation No. 31 (2014) on harmful practices.”</w:t>
      </w:r>
    </w:p>
    <w:p w:rsidR="00937434" w:rsidRDefault="00937434" w:rsidP="00937434">
      <w:pPr>
        <w:pStyle w:val="SingleTxtG"/>
        <w:rPr>
          <w:lang w:val="en-US"/>
        </w:rPr>
      </w:pPr>
      <w:r>
        <w:rPr>
          <w:bCs/>
          <w:lang w:val="en-US"/>
        </w:rPr>
        <w:t>10.</w:t>
      </w:r>
      <w:r>
        <w:rPr>
          <w:bCs/>
          <w:lang w:val="en-US"/>
        </w:rPr>
        <w:tab/>
      </w:r>
      <w:r w:rsidRPr="0070733A">
        <w:t>O</w:t>
      </w:r>
      <w:r w:rsidRPr="0070733A">
        <w:rPr>
          <w:lang w:val="en-US"/>
        </w:rPr>
        <w:t xml:space="preserve">n 2 October 2017, the Miscellaneous Provisions (Marriage) Act, 2017 (“the 2017 Act”), came into force, amending </w:t>
      </w:r>
      <w:r w:rsidRPr="0070733A">
        <w:rPr>
          <w:bCs/>
          <w:lang w:val="en-US"/>
        </w:rPr>
        <w:t xml:space="preserve">the Marriage Act (1923), the Muslim Marriage and Divorce Act (1961), the Hindu Marriage Act (1945), the </w:t>
      </w:r>
      <w:proofErr w:type="spellStart"/>
      <w:r w:rsidRPr="0070733A">
        <w:rPr>
          <w:bCs/>
          <w:lang w:val="en-US"/>
        </w:rPr>
        <w:t>Orisa</w:t>
      </w:r>
      <w:proofErr w:type="spellEnd"/>
      <w:r w:rsidRPr="0070733A">
        <w:rPr>
          <w:bCs/>
          <w:lang w:val="en-US"/>
        </w:rPr>
        <w:t xml:space="preserve"> Marriage Act (1999)</w:t>
      </w:r>
      <w:r w:rsidRPr="0070733A">
        <w:rPr>
          <w:lang w:val="en-US"/>
        </w:rPr>
        <w:t xml:space="preserve">, and the Matrimonial Proceedings and Property Act (1972). The 2017 Act raised the legal age of </w:t>
      </w:r>
      <w:r w:rsidRPr="0070733A">
        <w:rPr>
          <w:lang w:val="en-US"/>
        </w:rPr>
        <w:lastRenderedPageBreak/>
        <w:t>marriage to 18 years thereby establishing a national minimum age with no exceptions.</w:t>
      </w:r>
      <w:r w:rsidRPr="0070733A">
        <w:rPr>
          <w:bCs/>
        </w:rPr>
        <w:t xml:space="preserve"> </w:t>
      </w:r>
      <w:r w:rsidRPr="0070733A">
        <w:rPr>
          <w:lang w:val="en-US"/>
        </w:rPr>
        <w:t>Further, the 2017 Act has prospective effect, and consequently, the marriage exceptions set out in the Children Act, 2012 apply only to marriages that took place prior to 2 October 2017</w:t>
      </w:r>
      <w:r>
        <w:rPr>
          <w:lang w:val="en-US"/>
        </w:rPr>
        <w:t>.</w:t>
      </w:r>
    </w:p>
    <w:p w:rsidR="00937434" w:rsidRPr="0070733A" w:rsidRDefault="00937434" w:rsidP="00937434">
      <w:pPr>
        <w:pStyle w:val="SingleTxtG"/>
        <w:spacing w:before="240" w:after="0"/>
        <w:jc w:val="center"/>
        <w:rPr>
          <w:u w:val="single"/>
        </w:rPr>
      </w:pPr>
      <w:r>
        <w:rPr>
          <w:u w:val="single"/>
          <w:lang w:val="en-US"/>
        </w:rPr>
        <w:tab/>
      </w:r>
      <w:r>
        <w:rPr>
          <w:u w:val="single"/>
          <w:lang w:val="en-US"/>
        </w:rPr>
        <w:tab/>
      </w:r>
      <w:r>
        <w:rPr>
          <w:u w:val="single"/>
          <w:lang w:val="en-US"/>
        </w:rPr>
        <w:tab/>
      </w:r>
      <w:bookmarkStart w:id="0" w:name="_GoBack"/>
      <w:bookmarkEnd w:id="0"/>
    </w:p>
    <w:sectPr w:rsidR="00937434" w:rsidRPr="0070733A" w:rsidSect="0090094E">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94E" w:rsidRDefault="0090094E"/>
  </w:endnote>
  <w:endnote w:type="continuationSeparator" w:id="0">
    <w:p w:rsidR="0090094E" w:rsidRDefault="0090094E"/>
  </w:endnote>
  <w:endnote w:type="continuationNotice" w:id="1">
    <w:p w:rsidR="0090094E" w:rsidRDefault="009009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94E" w:rsidRPr="0090094E" w:rsidRDefault="0090094E" w:rsidP="0090094E">
    <w:pPr>
      <w:pStyle w:val="Footer"/>
      <w:tabs>
        <w:tab w:val="right" w:pos="9638"/>
      </w:tabs>
      <w:rPr>
        <w:sz w:val="18"/>
      </w:rPr>
    </w:pPr>
    <w:r w:rsidRPr="0090094E">
      <w:rPr>
        <w:b/>
        <w:sz w:val="18"/>
      </w:rPr>
      <w:fldChar w:fldCharType="begin"/>
    </w:r>
    <w:r w:rsidRPr="0090094E">
      <w:rPr>
        <w:b/>
        <w:sz w:val="18"/>
      </w:rPr>
      <w:instrText xml:space="preserve"> PAGE  \* MERGEFORMAT </w:instrText>
    </w:r>
    <w:r w:rsidRPr="0090094E">
      <w:rPr>
        <w:b/>
        <w:sz w:val="18"/>
      </w:rPr>
      <w:fldChar w:fldCharType="separate"/>
    </w:r>
    <w:r w:rsidR="002642E2">
      <w:rPr>
        <w:b/>
        <w:noProof/>
        <w:sz w:val="18"/>
      </w:rPr>
      <w:t>2</w:t>
    </w:r>
    <w:r w:rsidRPr="009009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94E" w:rsidRPr="0090094E" w:rsidRDefault="0090094E" w:rsidP="0090094E">
    <w:pPr>
      <w:pStyle w:val="Footer"/>
      <w:tabs>
        <w:tab w:val="right" w:pos="9638"/>
      </w:tabs>
      <w:rPr>
        <w:b/>
        <w:sz w:val="18"/>
      </w:rPr>
    </w:pPr>
    <w:r>
      <w:tab/>
    </w:r>
    <w:r w:rsidRPr="0090094E">
      <w:rPr>
        <w:b/>
        <w:sz w:val="18"/>
      </w:rPr>
      <w:fldChar w:fldCharType="begin"/>
    </w:r>
    <w:r w:rsidRPr="0090094E">
      <w:rPr>
        <w:b/>
        <w:sz w:val="18"/>
      </w:rPr>
      <w:instrText xml:space="preserve"> PAGE  \* MERGEFORMAT </w:instrText>
    </w:r>
    <w:r w:rsidRPr="0090094E">
      <w:rPr>
        <w:b/>
        <w:sz w:val="18"/>
      </w:rPr>
      <w:fldChar w:fldCharType="separate"/>
    </w:r>
    <w:r w:rsidR="002642E2">
      <w:rPr>
        <w:b/>
        <w:noProof/>
        <w:sz w:val="18"/>
      </w:rPr>
      <w:t>3</w:t>
    </w:r>
    <w:r w:rsidRPr="009009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90094E" w:rsidRDefault="008D10AB" w:rsidP="009B4A1B">
    <w:pPr>
      <w:pStyle w:val="Footer"/>
      <w:rPr>
        <w:sz w:val="20"/>
      </w:rPr>
    </w:pPr>
    <w:r>
      <w:rPr>
        <w:noProof/>
        <w:lang w:eastAsia="en-GB"/>
      </w:rPr>
      <w:drawing>
        <wp:anchor distT="0" distB="0" distL="114300" distR="114300" simplePos="0" relativeHeight="251660288"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094E">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94E" w:rsidRPr="000B175B" w:rsidRDefault="0090094E" w:rsidP="000B175B">
      <w:pPr>
        <w:tabs>
          <w:tab w:val="right" w:pos="2155"/>
        </w:tabs>
        <w:spacing w:after="80"/>
        <w:ind w:left="680"/>
        <w:rPr>
          <w:u w:val="single"/>
        </w:rPr>
      </w:pPr>
      <w:r>
        <w:rPr>
          <w:u w:val="single"/>
        </w:rPr>
        <w:tab/>
      </w:r>
    </w:p>
  </w:footnote>
  <w:footnote w:type="continuationSeparator" w:id="0">
    <w:p w:rsidR="0090094E" w:rsidRPr="00FC68B7" w:rsidRDefault="0090094E" w:rsidP="00FC68B7">
      <w:pPr>
        <w:tabs>
          <w:tab w:val="left" w:pos="2155"/>
        </w:tabs>
        <w:spacing w:after="80"/>
        <w:ind w:left="680"/>
        <w:rPr>
          <w:u w:val="single"/>
        </w:rPr>
      </w:pPr>
      <w:r>
        <w:rPr>
          <w:u w:val="single"/>
        </w:rPr>
        <w:tab/>
      </w:r>
    </w:p>
  </w:footnote>
  <w:footnote w:type="continuationNotice" w:id="1">
    <w:p w:rsidR="0090094E" w:rsidRDefault="0090094E"/>
  </w:footnote>
  <w:footnote w:id="2">
    <w:p w:rsidR="00937434" w:rsidRPr="001440E0" w:rsidRDefault="00937434" w:rsidP="00937434">
      <w:pPr>
        <w:pStyle w:val="FootnoteText"/>
        <w:rPr>
          <w:lang w:val="en-US"/>
        </w:rPr>
      </w:pPr>
      <w:r>
        <w:tab/>
      </w:r>
      <w:r w:rsidRPr="00987051">
        <w:rPr>
          <w:rStyle w:val="FootnoteReference"/>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94E" w:rsidRPr="0090094E" w:rsidRDefault="0090094E">
    <w:pPr>
      <w:pStyle w:val="Header"/>
    </w:pPr>
    <w:fldSimple w:instr=" TITLE  \* MERGEFORMAT ">
      <w:r>
        <w:t>CEDAW/C/TTO/CO/4-7/Add.2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94E" w:rsidRPr="0090094E" w:rsidRDefault="0090094E" w:rsidP="0090094E">
    <w:pPr>
      <w:pStyle w:val="Header"/>
      <w:jc w:val="right"/>
    </w:pPr>
    <w:fldSimple w:instr=" TITLE  \* MERGEFORMAT ">
      <w:r>
        <w:t>CEDAW/C/TTO/CO/4-7/Add.2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4E"/>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453A"/>
    <w:rsid w:val="001C6663"/>
    <w:rsid w:val="001C7895"/>
    <w:rsid w:val="001D26DF"/>
    <w:rsid w:val="001D2F63"/>
    <w:rsid w:val="001E5AA0"/>
    <w:rsid w:val="00202DA8"/>
    <w:rsid w:val="00211E0B"/>
    <w:rsid w:val="002642E2"/>
    <w:rsid w:val="002B0464"/>
    <w:rsid w:val="002B6071"/>
    <w:rsid w:val="002C6D5C"/>
    <w:rsid w:val="002F175C"/>
    <w:rsid w:val="003229D8"/>
    <w:rsid w:val="003305AB"/>
    <w:rsid w:val="00352709"/>
    <w:rsid w:val="00371178"/>
    <w:rsid w:val="003A4810"/>
    <w:rsid w:val="003A6810"/>
    <w:rsid w:val="003C2CC4"/>
    <w:rsid w:val="003D4B23"/>
    <w:rsid w:val="00405DDC"/>
    <w:rsid w:val="00410C89"/>
    <w:rsid w:val="004325CB"/>
    <w:rsid w:val="0045495B"/>
    <w:rsid w:val="00490E1A"/>
    <w:rsid w:val="004D25E4"/>
    <w:rsid w:val="00517B36"/>
    <w:rsid w:val="005420F2"/>
    <w:rsid w:val="005B3DB3"/>
    <w:rsid w:val="005B5E1E"/>
    <w:rsid w:val="005C6A79"/>
    <w:rsid w:val="006001EE"/>
    <w:rsid w:val="00611FC4"/>
    <w:rsid w:val="006176FB"/>
    <w:rsid w:val="00640B26"/>
    <w:rsid w:val="006B4BDB"/>
    <w:rsid w:val="006E564B"/>
    <w:rsid w:val="0072632A"/>
    <w:rsid w:val="007B112D"/>
    <w:rsid w:val="007B6BA5"/>
    <w:rsid w:val="007C3390"/>
    <w:rsid w:val="007C4F4B"/>
    <w:rsid w:val="007E61A6"/>
    <w:rsid w:val="007F6462"/>
    <w:rsid w:val="007F6611"/>
    <w:rsid w:val="008242D7"/>
    <w:rsid w:val="00832D01"/>
    <w:rsid w:val="00860B80"/>
    <w:rsid w:val="008979B1"/>
    <w:rsid w:val="008A6B25"/>
    <w:rsid w:val="008A6C4F"/>
    <w:rsid w:val="008B2335"/>
    <w:rsid w:val="008D10AB"/>
    <w:rsid w:val="008E0548"/>
    <w:rsid w:val="0090094E"/>
    <w:rsid w:val="009223CA"/>
    <w:rsid w:val="009369F6"/>
    <w:rsid w:val="00937434"/>
    <w:rsid w:val="00940F93"/>
    <w:rsid w:val="009603EF"/>
    <w:rsid w:val="00994B9F"/>
    <w:rsid w:val="009B4A1B"/>
    <w:rsid w:val="009C0EE8"/>
    <w:rsid w:val="009C14AA"/>
    <w:rsid w:val="00A01489"/>
    <w:rsid w:val="00A21AD8"/>
    <w:rsid w:val="00A61CCD"/>
    <w:rsid w:val="00A72F22"/>
    <w:rsid w:val="00A748A6"/>
    <w:rsid w:val="00A776B4"/>
    <w:rsid w:val="00A94361"/>
    <w:rsid w:val="00AC155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78C6"/>
    <w:rsid w:val="00DA3C1C"/>
    <w:rsid w:val="00DE0130"/>
    <w:rsid w:val="00E109FB"/>
    <w:rsid w:val="00E20A6E"/>
    <w:rsid w:val="00E56873"/>
    <w:rsid w:val="00E61D3D"/>
    <w:rsid w:val="00E63389"/>
    <w:rsid w:val="00E71BC8"/>
    <w:rsid w:val="00E7260F"/>
    <w:rsid w:val="00E96630"/>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AF1B1"/>
  <w15:docId w15:val="{D8510F84-357B-40F1-B98F-842D90062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link w:val="FootnoteTextChar"/>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37434"/>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D546E-64B0-4B27-9384-E01482C6315B}"/>
</file>

<file path=customXml/itemProps2.xml><?xml version="1.0" encoding="utf-8"?>
<ds:datastoreItem xmlns:ds="http://schemas.openxmlformats.org/officeDocument/2006/customXml" ds:itemID="{6C77662A-022F-4B45-B850-AD3B44169405}"/>
</file>

<file path=customXml/itemProps3.xml><?xml version="1.0" encoding="utf-8"?>
<ds:datastoreItem xmlns:ds="http://schemas.openxmlformats.org/officeDocument/2006/customXml" ds:itemID="{274A4759-6F3C-48A8-96A5-216C24900370}"/>
</file>

<file path=docProps/app.xml><?xml version="1.0" encoding="utf-8"?>
<Properties xmlns="http://schemas.openxmlformats.org/officeDocument/2006/extended-properties" xmlns:vt="http://schemas.openxmlformats.org/officeDocument/2006/docPropsVTypes">
  <Template>CEDAW_E.dotm</Template>
  <TotalTime>9</TotalTime>
  <Pages>4</Pages>
  <Words>1173</Words>
  <Characters>6948</Characters>
  <Application>Microsoft Office Word</Application>
  <DocSecurity>0</DocSecurity>
  <Lines>868</Lines>
  <Paragraphs>208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CEDAW/C/TTO/CO/4-7/Add.2</vt:lpstr>
      <vt:lpstr>United Nations</vt:lpstr>
    </vt:vector>
  </TitlesOfParts>
  <Company>CSD</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CEDAW/C/TTO/CO/4-7/Add.2</dc:title>
  <dc:creator>SPASOVA Galya</dc:creator>
  <cp:lastModifiedBy>SPASOVA Galya</cp:lastModifiedBy>
  <cp:revision>2</cp:revision>
  <cp:lastPrinted>2008-01-29T13:17:00Z</cp:lastPrinted>
  <dcterms:created xsi:type="dcterms:W3CDTF">2019-02-11T09:13:00Z</dcterms:created>
  <dcterms:modified xsi:type="dcterms:W3CDTF">2019-02-11T09:24:00Z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