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C6826" w14:textId="77777777" w:rsidR="00E72D4B" w:rsidRDefault="00E72D4B" w:rsidP="00C84D92">
      <w:pPr>
        <w:rPr>
          <w:b/>
        </w:rPr>
      </w:pPr>
    </w:p>
    <w:p w14:paraId="7671089E" w14:textId="4AFA1548" w:rsidR="00703A7F" w:rsidRPr="00703A7F" w:rsidRDefault="00703A7F" w:rsidP="00703A7F">
      <w:pPr>
        <w:pStyle w:val="IntenseQuote"/>
        <w:jc w:val="center"/>
        <w:rPr>
          <w:rStyle w:val="SubtleEmphasis"/>
          <w:sz w:val="32"/>
          <w:szCs w:val="32"/>
        </w:rPr>
      </w:pPr>
      <w:r w:rsidRPr="00703A7F">
        <w:rPr>
          <w:rStyle w:val="SubtleEmphasis"/>
          <w:sz w:val="32"/>
          <w:szCs w:val="32"/>
        </w:rPr>
        <w:t>Impacto negativo de la LO de Eficiencia de la Justicia en niños, niñas y adolescentes involucrados en procesos de Familia</w:t>
      </w:r>
    </w:p>
    <w:p w14:paraId="0BCD173F" w14:textId="77777777" w:rsidR="00703A7F" w:rsidRDefault="00703A7F" w:rsidP="00C84D92">
      <w:pPr>
        <w:rPr>
          <w:b/>
        </w:rPr>
      </w:pPr>
    </w:p>
    <w:p w14:paraId="601E5890" w14:textId="5601856E" w:rsidR="00E72D4B" w:rsidRPr="00C84D92" w:rsidRDefault="00C84D92" w:rsidP="00C84D92">
      <w:pPr>
        <w:rPr>
          <w:b/>
        </w:rPr>
      </w:pPr>
      <w:r>
        <w:rPr>
          <w:b/>
        </w:rPr>
        <w:t xml:space="preserve">Esta comunicación adicional se suma al informe presentado por la Asociación Española de Abogados de Familia (AEAFA), en septiembre de 2024, relativa a la </w:t>
      </w:r>
      <w:r w:rsidRPr="00C84D92">
        <w:rPr>
          <w:b/>
        </w:rPr>
        <w:t>Evaluación de la CDN en España</w:t>
      </w:r>
      <w:r>
        <w:rPr>
          <w:b/>
        </w:rPr>
        <w:t xml:space="preserve"> respecto a</w:t>
      </w:r>
      <w:r w:rsidRPr="00C84D92">
        <w:rPr>
          <w:b/>
        </w:rPr>
        <w:t xml:space="preserve"> </w:t>
      </w:r>
      <w:r>
        <w:rPr>
          <w:b/>
        </w:rPr>
        <w:t>l</w:t>
      </w:r>
      <w:r w:rsidRPr="00C84D92">
        <w:rPr>
          <w:b/>
        </w:rPr>
        <w:t xml:space="preserve">os derechos de los niños, niñas y adolescentes afectados por medidas administrativas y judiciales. Especial atención a los procesos de Familia. </w:t>
      </w:r>
    </w:p>
    <w:p w14:paraId="5E3F737E" w14:textId="66575C43" w:rsidR="00C84D92" w:rsidRPr="00C84D92" w:rsidRDefault="00C84D92" w:rsidP="00C84D92">
      <w:pPr>
        <w:rPr>
          <w:bCs/>
        </w:rPr>
      </w:pPr>
      <w:r w:rsidRPr="00C84D92">
        <w:rPr>
          <w:bCs/>
        </w:rPr>
        <w:t xml:space="preserve">Este documento actualiza la información aportada por la AEAFA tras aprobación de Ley Orgánica 1/2025, de 2 de enero, de medidas en materia de eficiencia del Servicio Público de Justicia. Esta norma introduce una serie de </w:t>
      </w:r>
      <w:r w:rsidR="00EC4880">
        <w:rPr>
          <w:bCs/>
        </w:rPr>
        <w:t>modificaciones legales</w:t>
      </w:r>
      <w:r w:rsidRPr="00C84D92">
        <w:rPr>
          <w:bCs/>
        </w:rPr>
        <w:t xml:space="preserve"> que tienen un enorme impacto en los niños, niñas y adolescentes españoles envueltos en procesos judiciales de Familia.</w:t>
      </w:r>
    </w:p>
    <w:p w14:paraId="16A81551" w14:textId="77777777" w:rsidR="00EC4880" w:rsidRDefault="00000000" w:rsidP="00C84D92">
      <w:r>
        <w:t xml:space="preserve">La reforma para la mejora de la eficiencia del Servicio Público de Justicia (LO 1/2025) </w:t>
      </w:r>
      <w:r w:rsidR="00EC4880">
        <w:t>establece</w:t>
      </w:r>
      <w:r>
        <w:t xml:space="preserve"> </w:t>
      </w:r>
      <w:r w:rsidR="00EC4880">
        <w:t>dos grandes</w:t>
      </w:r>
      <w:r>
        <w:t xml:space="preserve"> medidas de calado</w:t>
      </w:r>
      <w:r w:rsidR="00EC4880">
        <w:t>:</w:t>
      </w:r>
    </w:p>
    <w:p w14:paraId="2659E8C9" w14:textId="77777777" w:rsidR="00EC4880" w:rsidRDefault="00EC4880" w:rsidP="00EC4880">
      <w:pPr>
        <w:pStyle w:val="ListParagraph"/>
        <w:numPr>
          <w:ilvl w:val="0"/>
          <w:numId w:val="5"/>
        </w:numPr>
      </w:pPr>
      <w:r>
        <w:t>El diseño de un nuevo modelo de planta judicial, con las Oficinas Judiciales y los Tribunales de Instancia.</w:t>
      </w:r>
    </w:p>
    <w:p w14:paraId="00000002" w14:textId="50FE9DC6" w:rsidR="00125A4C" w:rsidRDefault="00EC4880" w:rsidP="00EC4880">
      <w:pPr>
        <w:pStyle w:val="ListParagraph"/>
        <w:numPr>
          <w:ilvl w:val="0"/>
          <w:numId w:val="5"/>
        </w:numPr>
      </w:pPr>
      <w:r>
        <w:t xml:space="preserve">El establecimiento, en el orden jurisdiccional civil, con carácter general y para todos los procesos declarativos y especiales (LEC Libros II y IV), un </w:t>
      </w:r>
      <w:r w:rsidRPr="00E72D4B">
        <w:rPr>
          <w:b/>
          <w:bCs/>
        </w:rPr>
        <w:t>requisito de procedibilidad</w:t>
      </w:r>
      <w:r>
        <w:t>. Se trata de acreditar, en el momento de interponer la demanda, que previamente se ha intentado alcanzar con la otra parte una solución extrajudicial de la controversia a través de algunos de los medios que la ley considera “adecuados” denominados MASC.</w:t>
      </w:r>
    </w:p>
    <w:p w14:paraId="00000003" w14:textId="77777777" w:rsidR="00125A4C" w:rsidRDefault="00125A4C"/>
    <w:p w14:paraId="00000004" w14:textId="77777777" w:rsidR="00125A4C" w:rsidRDefault="00000000">
      <w:pPr>
        <w:rPr>
          <w:b/>
        </w:rPr>
      </w:pPr>
      <w:r>
        <w:rPr>
          <w:b/>
        </w:rPr>
        <w:t>¿Qué es un MASC?</w:t>
      </w:r>
    </w:p>
    <w:p w14:paraId="00000005" w14:textId="77777777" w:rsidR="00125A4C" w:rsidRDefault="00000000">
      <w:r>
        <w:t>Es el acrónimo de «medio adecuado de solución de controversias». Goza de este estatus cualquier tipo de actividad negociadora, reconocida legalmente, a la que las partes de un conflicto acudan de buena fe con el objeto de encontrar una solución extrajudicial al mismo, ya sea por sí mismas o con la intervención de un tercero neutral, particularmente (LO 1/2025 art.5):</w:t>
      </w:r>
    </w:p>
    <w:p w14:paraId="00000006" w14:textId="77777777" w:rsidR="00125A4C" w:rsidRDefault="00000000">
      <w:r>
        <w:lastRenderedPageBreak/>
        <w:t>- La mediación,</w:t>
      </w:r>
    </w:p>
    <w:p w14:paraId="00000007" w14:textId="77777777" w:rsidR="00125A4C" w:rsidRDefault="00000000">
      <w:r>
        <w:t>- La conciliación;</w:t>
      </w:r>
    </w:p>
    <w:p w14:paraId="00000008" w14:textId="77777777" w:rsidR="00125A4C" w:rsidRDefault="00000000">
      <w:r>
        <w:t>- La opinión neutral de una persona experta independiente;</w:t>
      </w:r>
    </w:p>
    <w:p w14:paraId="00000009" w14:textId="77777777" w:rsidR="00125A4C" w:rsidRDefault="00000000">
      <w:r>
        <w:t>- La formulación de una oferta vinculante confidencial;</w:t>
      </w:r>
    </w:p>
    <w:p w14:paraId="0000000A" w14:textId="77777777" w:rsidR="00125A4C" w:rsidRDefault="00000000">
      <w:r>
        <w:t>- Otro tipo de actividad negociadora, reconocida en las leyes estatales o autonómicas;</w:t>
      </w:r>
    </w:p>
    <w:p w14:paraId="0000000B" w14:textId="77777777" w:rsidR="00125A4C" w:rsidRDefault="00000000">
      <w:r>
        <w:t>- La actividad negociadora directa entre las partes o entre sus abogados;</w:t>
      </w:r>
    </w:p>
    <w:p w14:paraId="0000000C" w14:textId="77777777" w:rsidR="00125A4C" w:rsidRDefault="00000000">
      <w:r>
        <w:t>- Un proceso de derecho colaborativo.</w:t>
      </w:r>
    </w:p>
    <w:p w14:paraId="0000000D" w14:textId="77777777" w:rsidR="00125A4C" w:rsidRDefault="00125A4C"/>
    <w:p w14:paraId="0000000E" w14:textId="77777777" w:rsidR="00125A4C" w:rsidRPr="00EC4880" w:rsidRDefault="00000000">
      <w:pPr>
        <w:rPr>
          <w:b/>
          <w:sz w:val="28"/>
          <w:szCs w:val="28"/>
        </w:rPr>
      </w:pPr>
      <w:r w:rsidRPr="00EC4880">
        <w:rPr>
          <w:b/>
          <w:sz w:val="28"/>
          <w:szCs w:val="28"/>
        </w:rPr>
        <w:t>¿Qué defiende la AEAFA?</w:t>
      </w:r>
    </w:p>
    <w:p w14:paraId="00000010" w14:textId="0989086B" w:rsidR="00125A4C" w:rsidRDefault="00000000">
      <w:r>
        <w:t>La AEAFA solicita la “suspensión inmediata” de la Ley de Eficiencia de la Justicia en, “al menos”, aquellos procesos del ámbito del Derecho de Familia que afectan a niños, niñas y adolescentes.</w:t>
      </w:r>
      <w:r w:rsidR="00E72D4B">
        <w:t xml:space="preserve"> </w:t>
      </w:r>
      <w:r>
        <w:t xml:space="preserve">La obligatoriedad de implementar los MASC antes de poder interponer una demanda judicial </w:t>
      </w:r>
      <w:r w:rsidR="00E72D4B">
        <w:rPr>
          <w:b/>
          <w:bCs/>
        </w:rPr>
        <w:t>está aumentando</w:t>
      </w:r>
      <w:r w:rsidRPr="00EC4880">
        <w:rPr>
          <w:b/>
          <w:bCs/>
        </w:rPr>
        <w:t>, todavía más, los tiempos de respuesta de la Justicia y la desprotección de los menores</w:t>
      </w:r>
      <w:r>
        <w:t>.</w:t>
      </w:r>
    </w:p>
    <w:p w14:paraId="00000011" w14:textId="77777777" w:rsidR="00125A4C" w:rsidRDefault="00125A4C"/>
    <w:p w14:paraId="00000012" w14:textId="214EE098" w:rsidR="00125A4C" w:rsidRPr="00EC4880" w:rsidRDefault="00C84D92">
      <w:pPr>
        <w:rPr>
          <w:b/>
          <w:sz w:val="28"/>
          <w:szCs w:val="28"/>
        </w:rPr>
      </w:pPr>
      <w:r w:rsidRPr="00EC4880">
        <w:rPr>
          <w:b/>
          <w:sz w:val="28"/>
          <w:szCs w:val="28"/>
        </w:rPr>
        <w:t xml:space="preserve">Cómo afecta el requisito de procedibilidad </w:t>
      </w:r>
      <w:r w:rsidR="00E72D4B">
        <w:rPr>
          <w:b/>
          <w:sz w:val="28"/>
          <w:szCs w:val="28"/>
        </w:rPr>
        <w:t>a los</w:t>
      </w:r>
      <w:r w:rsidRPr="00EC4880">
        <w:rPr>
          <w:b/>
          <w:sz w:val="28"/>
          <w:szCs w:val="28"/>
        </w:rPr>
        <w:t xml:space="preserve"> niños, niñas y adolescentes</w:t>
      </w:r>
      <w:r w:rsidR="00E72D4B">
        <w:rPr>
          <w:b/>
          <w:sz w:val="28"/>
          <w:szCs w:val="28"/>
        </w:rPr>
        <w:t xml:space="preserve"> en procesos de Familia</w:t>
      </w:r>
    </w:p>
    <w:p w14:paraId="00000013" w14:textId="77777777" w:rsidR="00125A4C" w:rsidRDefault="00000000">
      <w:r>
        <w:t>La obligatoriedad de acudir previamente a un MASC en procesos de especial sensibilidad, como son las medidas cautelares o las medidas provisionales previas, que abordan la fijación de pensiones de alimentos, regímenes de custodia y visitas, o el uso del domicilio familiar, no aportan eficiencia y agilidad. Todo lo contrario: están generando retrasos injustificados, aumento del conflicto y, en muchos casos, una situación de desprotección flagrante de los niños, niñas y adolescentes, quienes se ven expuestos a períodos de incertidumbre y vulnerabilidad contrarios a su interés superior.</w:t>
      </w:r>
    </w:p>
    <w:p w14:paraId="00000014" w14:textId="77777777" w:rsidR="00125A4C" w:rsidRDefault="00125A4C"/>
    <w:p w14:paraId="00000015" w14:textId="77777777" w:rsidR="00125A4C" w:rsidRPr="00EC4880" w:rsidRDefault="00000000">
      <w:pPr>
        <w:rPr>
          <w:b/>
          <w:sz w:val="28"/>
          <w:szCs w:val="28"/>
        </w:rPr>
      </w:pPr>
      <w:r w:rsidRPr="00EC4880">
        <w:rPr>
          <w:b/>
          <w:sz w:val="28"/>
          <w:szCs w:val="28"/>
        </w:rPr>
        <w:t>Ejemplos de efectos adversos de la Ley de Eficiencia de la Justicia</w:t>
      </w:r>
    </w:p>
    <w:p w14:paraId="00000016" w14:textId="77777777" w:rsidR="00125A4C" w:rsidRDefault="00000000">
      <w:pPr>
        <w:numPr>
          <w:ilvl w:val="0"/>
          <w:numId w:val="2"/>
        </w:numPr>
        <w:pBdr>
          <w:top w:val="nil"/>
          <w:left w:val="nil"/>
          <w:bottom w:val="nil"/>
          <w:right w:val="nil"/>
          <w:between w:val="nil"/>
        </w:pBdr>
        <w:rPr>
          <w:b/>
          <w:color w:val="000000"/>
        </w:rPr>
      </w:pPr>
      <w:r>
        <w:rPr>
          <w:b/>
          <w:color w:val="000000"/>
        </w:rPr>
        <w:t>Pérdida de plaza escolar, viajes, tratamientos médicos...</w:t>
      </w:r>
    </w:p>
    <w:p w14:paraId="00000017" w14:textId="77777777" w:rsidR="00125A4C" w:rsidRDefault="00000000">
      <w:r>
        <w:lastRenderedPageBreak/>
        <w:t xml:space="preserve">La discrepancia de los padres respecto al cambio o elección de centro escolar, cursos en el extranjero, la expedición de pasaporte, los tratamientos médicos o psicológicos, las prácticas religiosas, etc., entre otras, abocan a emprender un MASC. </w:t>
      </w:r>
    </w:p>
    <w:p w14:paraId="00000018" w14:textId="77777777" w:rsidR="00125A4C" w:rsidRDefault="00000000">
      <w:r>
        <w:t>Los plazos que exige la Ley para cumplir con el requisito de procedibilidad propician la pérdida de la plaza en el centro escolar, el viaje programado, el agravamiento de una enfermedad o fomentan el secuestro del menor por parte de uno de los progenitores.</w:t>
      </w:r>
    </w:p>
    <w:p w14:paraId="00000019" w14:textId="77777777" w:rsidR="00125A4C" w:rsidRDefault="00125A4C"/>
    <w:p w14:paraId="0000001A" w14:textId="77777777" w:rsidR="00125A4C" w:rsidRDefault="00000000">
      <w:pPr>
        <w:numPr>
          <w:ilvl w:val="0"/>
          <w:numId w:val="2"/>
        </w:numPr>
        <w:pBdr>
          <w:top w:val="nil"/>
          <w:left w:val="nil"/>
          <w:bottom w:val="nil"/>
          <w:right w:val="nil"/>
          <w:between w:val="nil"/>
        </w:pBdr>
        <w:rPr>
          <w:b/>
          <w:color w:val="000000"/>
        </w:rPr>
      </w:pPr>
      <w:r>
        <w:rPr>
          <w:b/>
          <w:color w:val="000000"/>
        </w:rPr>
        <w:t>Ya no hay respuesta inmediata para los alimentos y las visitas de los hijos.</w:t>
      </w:r>
    </w:p>
    <w:p w14:paraId="0000001B" w14:textId="77777777" w:rsidR="00125A4C" w:rsidRDefault="00000000">
      <w:r>
        <w:t>Hasta la entrada en vigor de la LO 1/2025, de 2 de enero, los procesos de Familia contaban con herramientas procesales para dar una respuesta rápida a situaciones de alta conflictividad entre los progenitores. Estas herramientas son las medidas provisionalísimas y las coetáneas, que sirven para regular de manera temporal las relaciones familiares -quién se queda en la vivienda, cómo se organiza la custodia de los hijos, o el importe de la pensión alimenticia- mientras se resuelve el divorcio o la separación.</w:t>
      </w:r>
    </w:p>
    <w:p w14:paraId="0000001C" w14:textId="77777777" w:rsidR="00125A4C" w:rsidRDefault="00000000">
      <w:r>
        <w:t xml:space="preserve">Con la entrada en vigor de la LO 1/2025, las medidas provisionalísimas y las coetáneas pierden su principal función y los menores están más tiempo desamparados en sus necesidades personales y materiales. </w:t>
      </w:r>
    </w:p>
    <w:p w14:paraId="0000001D" w14:textId="77777777" w:rsidR="00125A4C" w:rsidRDefault="00125A4C">
      <w:pPr>
        <w:rPr>
          <w:b/>
        </w:rPr>
      </w:pPr>
    </w:p>
    <w:p w14:paraId="0000001E" w14:textId="77777777" w:rsidR="00125A4C" w:rsidRDefault="00000000">
      <w:pPr>
        <w:numPr>
          <w:ilvl w:val="0"/>
          <w:numId w:val="2"/>
        </w:numPr>
        <w:pBdr>
          <w:top w:val="nil"/>
          <w:left w:val="nil"/>
          <w:bottom w:val="nil"/>
          <w:right w:val="nil"/>
          <w:between w:val="nil"/>
        </w:pBdr>
        <w:rPr>
          <w:b/>
          <w:color w:val="000000"/>
        </w:rPr>
      </w:pPr>
      <w:r>
        <w:rPr>
          <w:b/>
          <w:color w:val="000000"/>
        </w:rPr>
        <w:t>Desventaja para los juzgados españoles en los procesos de Familia transfronterizos.</w:t>
      </w:r>
    </w:p>
    <w:p w14:paraId="0000001F" w14:textId="77777777" w:rsidR="00125A4C" w:rsidRDefault="00000000">
      <w:r>
        <w:t>En los procesos de familia con elementos transfronterizos, la prioridad en la presentación de la demanda resulta determinante para fijar la jurisdicción competente. Cuando hay un elemento extranjero, la obligación de acreditar una negociación previa en los procedimientos de familia internacional implica la pérdida automática de la competencia de los tribunales españoles, ya que, si yo informo de mi intención de interponer una demanda de divorcio, o alimentos, a alguien que reside en otro país que también tenga competencia y donde los MASC no son requisito de procedibilidad, esta persona presentará la demanda en su país de inmediato para ganar el foro.</w:t>
      </w:r>
    </w:p>
    <w:p w14:paraId="00000020" w14:textId="77777777" w:rsidR="00125A4C" w:rsidRDefault="00000000">
      <w:pPr>
        <w:numPr>
          <w:ilvl w:val="0"/>
          <w:numId w:val="2"/>
        </w:numPr>
        <w:pBdr>
          <w:top w:val="nil"/>
          <w:left w:val="nil"/>
          <w:bottom w:val="nil"/>
          <w:right w:val="nil"/>
          <w:between w:val="nil"/>
        </w:pBdr>
        <w:rPr>
          <w:b/>
          <w:color w:val="000000"/>
        </w:rPr>
      </w:pPr>
      <w:r>
        <w:rPr>
          <w:b/>
          <w:color w:val="000000"/>
        </w:rPr>
        <w:t>Resoluciones dispares</w:t>
      </w:r>
      <w:r>
        <w:rPr>
          <w:b/>
          <w:color w:val="000000"/>
        </w:rPr>
        <w:tab/>
        <w:t xml:space="preserve"> </w:t>
      </w:r>
      <w:r>
        <w:rPr>
          <w:b/>
          <w:color w:val="000000"/>
        </w:rPr>
        <w:tab/>
        <w:t xml:space="preserve"> </w:t>
      </w:r>
    </w:p>
    <w:p w14:paraId="00000021" w14:textId="77777777" w:rsidR="00125A4C" w:rsidRDefault="00000000">
      <w:r>
        <w:t>El número de inadmisiones de demandas por no cumplir el requisito de procedibilidad empieza a ser preocupante. La disparidad de criterios interpretativos entre juzgados, letrados de la Administración de Justicia, audiencias provinciales y diferentes foros profesionales, crean confusión, desigualdad de trato y una evidente afectación negativa a la ciudadanía y, de forma particular, a los niños, niñas y adolescentes involucrados.</w:t>
      </w:r>
    </w:p>
    <w:p w14:paraId="00000022" w14:textId="77777777" w:rsidR="00125A4C" w:rsidRDefault="00000000">
      <w:r>
        <w:lastRenderedPageBreak/>
        <w:t>Como ya están advirtiendo algunas audiencias provinciales, la interpretación restrictiva de muchos juzgados -relativa a los medios de comunicación empleados por las partes o el contenido de la propuesta de negociación previa- entorpece el acceso al Servicio Público de Justicia. Así lo han declarado ya las audiencias provinciales de Barcelona, Navarra, Málaga o Tenerife, al considerar que ese rigorismo supone una vulneración del derecho fundamental a la tutela judicial efectiva.</w:t>
      </w:r>
    </w:p>
    <w:p w14:paraId="00000023" w14:textId="77777777" w:rsidR="00125A4C" w:rsidRDefault="00000000">
      <w:pPr>
        <w:numPr>
          <w:ilvl w:val="0"/>
          <w:numId w:val="2"/>
        </w:numPr>
        <w:pBdr>
          <w:top w:val="nil"/>
          <w:left w:val="nil"/>
          <w:bottom w:val="nil"/>
          <w:right w:val="nil"/>
          <w:between w:val="nil"/>
        </w:pBdr>
        <w:rPr>
          <w:b/>
          <w:color w:val="000000"/>
        </w:rPr>
      </w:pPr>
      <w:r>
        <w:rPr>
          <w:b/>
          <w:color w:val="000000"/>
        </w:rPr>
        <w:t>Procedimientos más caros</w:t>
      </w:r>
    </w:p>
    <w:p w14:paraId="00000024" w14:textId="77777777" w:rsidR="00125A4C" w:rsidRDefault="00000000">
      <w:r>
        <w:t>El nuevo requisito de procedibilidad, lejos de reducir los costes, encarece los procedimientos de Familia al obligar a las partes a acudir a una fase previa de negociación o mediación, con la intervención de profesionales y sin garantías de éxito</w:t>
      </w:r>
    </w:p>
    <w:p w14:paraId="00000025" w14:textId="77777777" w:rsidR="00125A4C" w:rsidRDefault="00000000">
      <w:pPr>
        <w:numPr>
          <w:ilvl w:val="0"/>
          <w:numId w:val="2"/>
        </w:numPr>
        <w:pBdr>
          <w:top w:val="nil"/>
          <w:left w:val="nil"/>
          <w:bottom w:val="nil"/>
          <w:right w:val="nil"/>
          <w:between w:val="nil"/>
        </w:pBdr>
        <w:rPr>
          <w:b/>
          <w:color w:val="000000"/>
        </w:rPr>
      </w:pPr>
      <w:r>
        <w:rPr>
          <w:b/>
          <w:color w:val="000000"/>
        </w:rPr>
        <w:t>Problemas para acceder a MASC gratuitos</w:t>
      </w:r>
    </w:p>
    <w:p w14:paraId="00000026" w14:textId="77777777" w:rsidR="00125A4C" w:rsidRDefault="00000000">
      <w:r>
        <w:t>A través del Formulario de Incidencias de la AEAFA, se ha reportado por parte de nuestros asociados la dificultad de presentar demandas de divorcio porque los servicios públicos de las comunidades autónomas o del Ministerio no facilitan acceso a ningún MASC cubierto por la justicia gratuita, ni documentación acreditativa de haber intentado una vía previa de mediación o similar.</w:t>
      </w:r>
    </w:p>
    <w:p w14:paraId="00000027" w14:textId="77777777" w:rsidR="00125A4C" w:rsidRDefault="00125A4C"/>
    <w:p w14:paraId="00000028" w14:textId="77777777" w:rsidR="00125A4C" w:rsidRPr="00EC4880" w:rsidRDefault="00000000">
      <w:pPr>
        <w:rPr>
          <w:b/>
          <w:sz w:val="28"/>
          <w:szCs w:val="28"/>
        </w:rPr>
      </w:pPr>
      <w:r w:rsidRPr="00EC4880">
        <w:rPr>
          <w:b/>
          <w:sz w:val="28"/>
          <w:szCs w:val="28"/>
        </w:rPr>
        <w:t xml:space="preserve">Qué opina la AEAFA sobre los MASC </w:t>
      </w:r>
    </w:p>
    <w:p w14:paraId="00000029" w14:textId="77777777" w:rsidR="00125A4C" w:rsidRDefault="00000000">
      <w:pPr>
        <w:numPr>
          <w:ilvl w:val="0"/>
          <w:numId w:val="1"/>
        </w:numPr>
        <w:pBdr>
          <w:top w:val="nil"/>
          <w:left w:val="nil"/>
          <w:bottom w:val="nil"/>
          <w:right w:val="nil"/>
          <w:between w:val="nil"/>
        </w:pBdr>
        <w:spacing w:after="0"/>
      </w:pPr>
      <w:r>
        <w:rPr>
          <w:color w:val="000000"/>
        </w:rPr>
        <w:t>En primer lugar, debemos incidir que, en España, la gran mayoría de los divorcios son de mutuo acuerdo: representan el 80% del total. En gran medida, esto es así por la actividad negociadora de la abogacía especializada en Familia. Las ventajas principales del acuerdo frente a la litigación en Derecho de Familia son el ahorro de tiempo y dinero, una mayor flexibilidad y personalización de las soluciones, y la reducción del desgaste emocional y el conflicto, especialmente para los hijos. Las partes suelen cumplir mejor los acuerdos que han pactado ellas mismas, ya que han participado activamente en su creación, en comparación con una sentencia judicial impuesta.</w:t>
      </w:r>
    </w:p>
    <w:p w14:paraId="0000002A" w14:textId="77777777" w:rsidR="00125A4C" w:rsidRDefault="00000000">
      <w:pPr>
        <w:numPr>
          <w:ilvl w:val="0"/>
          <w:numId w:val="1"/>
        </w:numPr>
        <w:pBdr>
          <w:top w:val="nil"/>
          <w:left w:val="nil"/>
          <w:bottom w:val="nil"/>
          <w:right w:val="nil"/>
          <w:between w:val="nil"/>
        </w:pBdr>
        <w:spacing w:after="0"/>
      </w:pPr>
      <w:r>
        <w:rPr>
          <w:color w:val="000000"/>
        </w:rPr>
        <w:t xml:space="preserve">La abogacía de Familia es una </w:t>
      </w:r>
      <w:r>
        <w:rPr>
          <w:b/>
          <w:color w:val="000000"/>
        </w:rPr>
        <w:t>firme defensora de los métodos alternativos de solución de conflictos, que además constituyen una práctica común y una exigencia en nuestra práctica profesional</w:t>
      </w:r>
      <w:r>
        <w:rPr>
          <w:color w:val="000000"/>
        </w:rPr>
        <w:t xml:space="preserve">. </w:t>
      </w:r>
    </w:p>
    <w:p w14:paraId="0000002B" w14:textId="77777777" w:rsidR="00125A4C" w:rsidRDefault="00000000">
      <w:pPr>
        <w:numPr>
          <w:ilvl w:val="0"/>
          <w:numId w:val="1"/>
        </w:numPr>
        <w:pBdr>
          <w:top w:val="nil"/>
          <w:left w:val="nil"/>
          <w:bottom w:val="nil"/>
          <w:right w:val="nil"/>
          <w:between w:val="nil"/>
        </w:pBdr>
        <w:spacing w:after="0"/>
      </w:pPr>
      <w:r>
        <w:rPr>
          <w:color w:val="000000"/>
        </w:rPr>
        <w:t xml:space="preserve">No obstante, consideramos que la imposición sistemática de los MASC en estas situaciones, lejos de agilizar la administración de Justicia, está generando, en muchos casos, una </w:t>
      </w:r>
      <w:r>
        <w:rPr>
          <w:b/>
          <w:color w:val="000000"/>
        </w:rPr>
        <w:t>desprotección</w:t>
      </w:r>
      <w:r>
        <w:rPr>
          <w:color w:val="000000"/>
        </w:rPr>
        <w:t xml:space="preserve"> flagrante de los niños, niñas y adolescentes de España y retrasos innecesarios y perjudiciales para su bienestar. Obligar a las partes a un proceso de mediación o negociación previo antes de poder garantizar sus derechos más básicos, como </w:t>
      </w:r>
      <w:r>
        <w:rPr>
          <w:color w:val="000000"/>
        </w:rPr>
        <w:lastRenderedPageBreak/>
        <w:t xml:space="preserve">la alimentación o el contacto con ambos progenitores, </w:t>
      </w:r>
      <w:r>
        <w:rPr>
          <w:b/>
          <w:color w:val="000000"/>
        </w:rPr>
        <w:t>retrasa las soluciones en procesos de alta conflictividad y los aviva</w:t>
      </w:r>
      <w:r>
        <w:rPr>
          <w:color w:val="000000"/>
        </w:rPr>
        <w:t>.</w:t>
      </w:r>
    </w:p>
    <w:p w14:paraId="0000002C" w14:textId="77777777" w:rsidR="00125A4C" w:rsidRDefault="00000000">
      <w:pPr>
        <w:numPr>
          <w:ilvl w:val="0"/>
          <w:numId w:val="1"/>
        </w:numPr>
        <w:pBdr>
          <w:top w:val="nil"/>
          <w:left w:val="nil"/>
          <w:bottom w:val="nil"/>
          <w:right w:val="nil"/>
          <w:between w:val="nil"/>
        </w:pBdr>
      </w:pPr>
      <w:r>
        <w:rPr>
          <w:color w:val="000000"/>
        </w:rPr>
        <w:t>No se ha producido una inversión pública en mediación ni en concienciar a la sociedad en la importancia de resolver los conflictos mediante acuerdos.</w:t>
      </w:r>
    </w:p>
    <w:p w14:paraId="0000002D" w14:textId="77777777" w:rsidR="00125A4C" w:rsidRDefault="00125A4C"/>
    <w:p w14:paraId="0000002E" w14:textId="77777777" w:rsidR="00125A4C" w:rsidRDefault="00125A4C"/>
    <w:p w14:paraId="0000002F" w14:textId="77777777" w:rsidR="00125A4C" w:rsidRPr="00EC4880" w:rsidRDefault="00000000">
      <w:pPr>
        <w:rPr>
          <w:b/>
          <w:sz w:val="28"/>
          <w:szCs w:val="28"/>
        </w:rPr>
      </w:pPr>
      <w:r w:rsidRPr="00EC4880">
        <w:rPr>
          <w:b/>
          <w:sz w:val="28"/>
          <w:szCs w:val="28"/>
        </w:rPr>
        <w:t>¿Qué está haciendo la AEAFA para propiciar un cambio en la Ley?</w:t>
      </w:r>
    </w:p>
    <w:p w14:paraId="00000030" w14:textId="77777777" w:rsidR="00125A4C" w:rsidRDefault="00000000">
      <w:pPr>
        <w:numPr>
          <w:ilvl w:val="0"/>
          <w:numId w:val="3"/>
        </w:numPr>
        <w:pBdr>
          <w:top w:val="nil"/>
          <w:left w:val="nil"/>
          <w:bottom w:val="nil"/>
          <w:right w:val="nil"/>
          <w:between w:val="nil"/>
        </w:pBdr>
        <w:spacing w:after="0"/>
      </w:pPr>
      <w:r>
        <w:rPr>
          <w:color w:val="000000"/>
        </w:rPr>
        <w:t>La AEAFA ha formulado ante el Congreso de los Diputados un Derecho de Petición Colectiva, amparado por los artículos 29 y 77 de la Constitución, al considerar que los trámites exigidos por la Ley de Eficiencia de la Justicia, “lejos de agilizar la administración de Justicia y conseguir la resolución amistosa de las controversias” en procesos de divorcio, están generando, en muchos casos, una desprotección flagrante de los niños, niñas y adolescentes y retrasos innecesarios y perjudiciales para su bienestar”.</w:t>
      </w:r>
    </w:p>
    <w:p w14:paraId="00000031" w14:textId="77777777" w:rsidR="00125A4C" w:rsidRDefault="00000000">
      <w:pPr>
        <w:numPr>
          <w:ilvl w:val="0"/>
          <w:numId w:val="3"/>
        </w:numPr>
        <w:pBdr>
          <w:top w:val="nil"/>
          <w:left w:val="nil"/>
          <w:bottom w:val="nil"/>
          <w:right w:val="nil"/>
          <w:between w:val="nil"/>
        </w:pBdr>
        <w:spacing w:after="0"/>
      </w:pPr>
      <w:r>
        <w:rPr>
          <w:color w:val="000000"/>
        </w:rPr>
        <w:t>Contactos informales con los grupos parlamentarios que participan en las comisiones de Justicia del Congreso de los Diputados y del Senado para introducir modificaciones en la LO 1/2025. Estos contactos incluyen la elaboración de textos legislativos alternativos al actual redactado.</w:t>
      </w:r>
    </w:p>
    <w:p w14:paraId="00000032" w14:textId="77777777" w:rsidR="00125A4C" w:rsidRDefault="00000000">
      <w:pPr>
        <w:numPr>
          <w:ilvl w:val="0"/>
          <w:numId w:val="3"/>
        </w:numPr>
        <w:pBdr>
          <w:top w:val="nil"/>
          <w:left w:val="nil"/>
          <w:bottom w:val="nil"/>
          <w:right w:val="nil"/>
          <w:between w:val="nil"/>
        </w:pBdr>
        <w:spacing w:after="0"/>
      </w:pPr>
      <w:r>
        <w:rPr>
          <w:color w:val="000000"/>
        </w:rPr>
        <w:t xml:space="preserve">Creación de un Formulario de Incidencias donde los cerca de 3.000 asociados de la AEAFA reportan disfunciones derivadas de la aplicación de la norma. </w:t>
      </w:r>
    </w:p>
    <w:p w14:paraId="0000003D" w14:textId="077EBA18" w:rsidR="00125A4C" w:rsidRDefault="00000000" w:rsidP="00C84D92">
      <w:pPr>
        <w:numPr>
          <w:ilvl w:val="0"/>
          <w:numId w:val="3"/>
        </w:numPr>
        <w:pBdr>
          <w:top w:val="nil"/>
          <w:left w:val="nil"/>
          <w:bottom w:val="nil"/>
          <w:right w:val="nil"/>
          <w:between w:val="nil"/>
        </w:pBdr>
      </w:pPr>
      <w:r>
        <w:rPr>
          <w:color w:val="000000"/>
        </w:rPr>
        <w:t>Solicitud de reuniones con el ministerio de Justicia.</w:t>
      </w:r>
    </w:p>
    <w:sectPr w:rsidR="00125A4C">
      <w:headerReference w:type="default" r:id="rId8"/>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6BA74" w14:textId="77777777" w:rsidR="00C64890" w:rsidRDefault="00C64890" w:rsidP="00C84D92">
      <w:pPr>
        <w:spacing w:after="0" w:line="240" w:lineRule="auto"/>
      </w:pPr>
      <w:r>
        <w:separator/>
      </w:r>
    </w:p>
  </w:endnote>
  <w:endnote w:type="continuationSeparator" w:id="0">
    <w:p w14:paraId="5B4D3573" w14:textId="77777777" w:rsidR="00C64890" w:rsidRDefault="00C64890" w:rsidP="00C84D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299E7233-B83D-4CC1-942E-C13336043918}"/>
  </w:font>
  <w:font w:name="Aptos">
    <w:charset w:val="00"/>
    <w:family w:val="swiss"/>
    <w:pitch w:val="variable"/>
    <w:sig w:usb0="20000287" w:usb1="00000003" w:usb2="00000000" w:usb3="00000000" w:csb0="0000019F" w:csb1="00000000"/>
    <w:embedRegular r:id="rId2" w:fontKey="{D2B2BE28-FDBB-4B62-8014-A2A45982A445}"/>
    <w:embedBold r:id="rId3" w:fontKey="{A95665A3-4F98-48B7-9A97-6100BB564A00}"/>
    <w:embedItalic r:id="rId4" w:fontKey="{1CC047F0-A927-44F9-9543-8BDFDD0F2F4D}"/>
    <w:embedBoldItalic r:id="rId5" w:fontKey="{ED1FB3EE-A1FB-4806-AA3B-EB5154C16272}"/>
  </w:font>
  <w:font w:name="Aptos Display">
    <w:charset w:val="00"/>
    <w:family w:val="swiss"/>
    <w:pitch w:val="variable"/>
    <w:sig w:usb0="20000287" w:usb1="00000003" w:usb2="00000000" w:usb3="00000000" w:csb0="0000019F" w:csb1="00000000"/>
    <w:embedRegular r:id="rId6" w:fontKey="{4CB7A132-FA3D-4A09-B0D6-37FCC4030332}"/>
    <w:embedItalic r:id="rId7" w:fontKey="{A41C4F16-3AD5-43C9-862B-21D6B54A387B}"/>
  </w:font>
  <w:font w:name="DengXian Light">
    <w:altName w:val="等线 Light"/>
    <w:panose1 w:val="02010600030101010101"/>
    <w:charset w:val="86"/>
    <w:family w:val="auto"/>
    <w:pitch w:val="variable"/>
    <w:sig w:usb0="A00002BF" w:usb1="38CF7CFA" w:usb2="00000016" w:usb3="00000000" w:csb0="0004000F" w:csb1="00000000"/>
  </w:font>
  <w:font w:name="Play">
    <w:charset w:val="00"/>
    <w:family w:val="auto"/>
    <w:pitch w:val="default"/>
    <w:embedRegular r:id="rId8" w:fontKey="{559CE823-1F89-467E-A63A-ADC0A2783B47}"/>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2023C" w14:textId="77777777" w:rsidR="00C64890" w:rsidRDefault="00C64890" w:rsidP="00C84D92">
      <w:pPr>
        <w:spacing w:after="0" w:line="240" w:lineRule="auto"/>
      </w:pPr>
      <w:r>
        <w:separator/>
      </w:r>
    </w:p>
  </w:footnote>
  <w:footnote w:type="continuationSeparator" w:id="0">
    <w:p w14:paraId="3137146D" w14:textId="77777777" w:rsidR="00C64890" w:rsidRDefault="00C64890" w:rsidP="00C84D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40C1D" w14:textId="4A665792" w:rsidR="00C84D92" w:rsidRDefault="00C84D92" w:rsidP="00C84D92">
    <w:pPr>
      <w:pStyle w:val="Header"/>
      <w:jc w:val="center"/>
    </w:pPr>
    <w:r>
      <w:rPr>
        <w:noProof/>
      </w:rPr>
      <w:drawing>
        <wp:inline distT="0" distB="0" distL="0" distR="0" wp14:anchorId="533A6B15" wp14:editId="3647D1DB">
          <wp:extent cx="3673365" cy="936915"/>
          <wp:effectExtent l="0" t="0" r="0" b="0"/>
          <wp:docPr id="1438526962"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526962" name="Imagen 1" descr="Imagen que contiene 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3827398" cy="976202"/>
                  </a:xfrm>
                  <a:prstGeom prst="rect">
                    <a:avLst/>
                  </a:prstGeom>
                </pic:spPr>
              </pic:pic>
            </a:graphicData>
          </a:graphic>
        </wp:inline>
      </w:drawing>
    </w:r>
  </w:p>
  <w:p w14:paraId="25FFA82C" w14:textId="77777777" w:rsidR="00C84D92" w:rsidRDefault="00C84D92" w:rsidP="00C84D9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C5B2E"/>
    <w:multiLevelType w:val="hybridMultilevel"/>
    <w:tmpl w:val="3CD8A5E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4DB7D0F"/>
    <w:multiLevelType w:val="multilevel"/>
    <w:tmpl w:val="F320C5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48C02F4"/>
    <w:multiLevelType w:val="multilevel"/>
    <w:tmpl w:val="EC2E26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5081FD5"/>
    <w:multiLevelType w:val="multilevel"/>
    <w:tmpl w:val="A84C17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DDF4A2B"/>
    <w:multiLevelType w:val="multilevel"/>
    <w:tmpl w:val="B238AB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7993007">
    <w:abstractNumId w:val="4"/>
  </w:num>
  <w:num w:numId="2" w16cid:durableId="484663217">
    <w:abstractNumId w:val="2"/>
  </w:num>
  <w:num w:numId="3" w16cid:durableId="2002929357">
    <w:abstractNumId w:val="1"/>
  </w:num>
  <w:num w:numId="4" w16cid:durableId="1529636321">
    <w:abstractNumId w:val="3"/>
  </w:num>
  <w:num w:numId="5" w16cid:durableId="2134976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A4C"/>
    <w:rsid w:val="000A5687"/>
    <w:rsid w:val="00125A4C"/>
    <w:rsid w:val="004516FF"/>
    <w:rsid w:val="006C722F"/>
    <w:rsid w:val="00703A7F"/>
    <w:rsid w:val="00890262"/>
    <w:rsid w:val="008A7886"/>
    <w:rsid w:val="00C64890"/>
    <w:rsid w:val="00C84D92"/>
    <w:rsid w:val="00E72D4B"/>
    <w:rsid w:val="00EC4880"/>
    <w:rsid w:val="00F53BE4"/>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00CE1"/>
  <w15:docId w15:val="{DD808270-4093-6D4A-BAFA-89F8E9EB9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lang w:val="es" w:eastAsia="es-ES_tradnl"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300" w:after="40"/>
      <w:jc w:val="left"/>
      <w:outlineLvl w:val="0"/>
    </w:pPr>
    <w:rPr>
      <w:smallCaps/>
      <w:sz w:val="32"/>
      <w:szCs w:val="32"/>
    </w:rPr>
  </w:style>
  <w:style w:type="paragraph" w:styleId="Heading2">
    <w:name w:val="heading 2"/>
    <w:basedOn w:val="Normal"/>
    <w:next w:val="Normal"/>
    <w:uiPriority w:val="9"/>
    <w:semiHidden/>
    <w:unhideWhenUsed/>
    <w:qFormat/>
    <w:pPr>
      <w:spacing w:before="240" w:after="80"/>
      <w:jc w:val="left"/>
      <w:outlineLvl w:val="1"/>
    </w:pPr>
    <w:rPr>
      <w:smallCaps/>
      <w:sz w:val="28"/>
      <w:szCs w:val="28"/>
    </w:rPr>
  </w:style>
  <w:style w:type="paragraph" w:styleId="Heading3">
    <w:name w:val="heading 3"/>
    <w:basedOn w:val="Normal"/>
    <w:next w:val="Normal"/>
    <w:uiPriority w:val="9"/>
    <w:semiHidden/>
    <w:unhideWhenUsed/>
    <w:qFormat/>
    <w:pPr>
      <w:spacing w:after="0"/>
      <w:jc w:val="left"/>
      <w:outlineLvl w:val="2"/>
    </w:pPr>
    <w:rPr>
      <w:smallCaps/>
      <w:sz w:val="24"/>
      <w:szCs w:val="24"/>
    </w:rPr>
  </w:style>
  <w:style w:type="paragraph" w:styleId="Heading4">
    <w:name w:val="heading 4"/>
    <w:basedOn w:val="Normal"/>
    <w:next w:val="Normal"/>
    <w:uiPriority w:val="9"/>
    <w:semiHidden/>
    <w:unhideWhenUsed/>
    <w:qFormat/>
    <w:pPr>
      <w:spacing w:before="240" w:after="0"/>
      <w:jc w:val="left"/>
      <w:outlineLvl w:val="3"/>
    </w:pPr>
    <w:rPr>
      <w:smallCaps/>
      <w:sz w:val="22"/>
      <w:szCs w:val="22"/>
    </w:rPr>
  </w:style>
  <w:style w:type="paragraph" w:styleId="Heading5">
    <w:name w:val="heading 5"/>
    <w:basedOn w:val="Normal"/>
    <w:next w:val="Normal"/>
    <w:uiPriority w:val="9"/>
    <w:semiHidden/>
    <w:unhideWhenUsed/>
    <w:qFormat/>
    <w:pPr>
      <w:spacing w:before="200" w:after="0"/>
      <w:jc w:val="left"/>
      <w:outlineLvl w:val="4"/>
    </w:pPr>
    <w:rPr>
      <w:smallCaps/>
      <w:color w:val="BF4F14"/>
      <w:sz w:val="22"/>
      <w:szCs w:val="22"/>
    </w:rPr>
  </w:style>
  <w:style w:type="paragraph" w:styleId="Heading6">
    <w:name w:val="heading 6"/>
    <w:basedOn w:val="Normal"/>
    <w:next w:val="Normal"/>
    <w:uiPriority w:val="9"/>
    <w:semiHidden/>
    <w:unhideWhenUsed/>
    <w:qFormat/>
    <w:pPr>
      <w:spacing w:after="0"/>
      <w:jc w:val="left"/>
      <w:outlineLvl w:val="5"/>
    </w:pPr>
    <w:rPr>
      <w:smallCaps/>
      <w:color w:val="E97132"/>
      <w:sz w:val="22"/>
      <w:szCs w:val="22"/>
    </w:rPr>
  </w:style>
  <w:style w:type="paragraph" w:styleId="Heading7">
    <w:name w:val="heading 7"/>
    <w:basedOn w:val="Normal"/>
    <w:next w:val="Normal"/>
    <w:link w:val="Heading7Char"/>
    <w:uiPriority w:val="9"/>
    <w:semiHidden/>
    <w:unhideWhenUsed/>
    <w:qFormat/>
    <w:rsid w:val="00503CC5"/>
    <w:pPr>
      <w:spacing w:after="0"/>
      <w:jc w:val="left"/>
      <w:outlineLvl w:val="6"/>
    </w:pPr>
    <w:rPr>
      <w:b/>
      <w:smallCaps/>
      <w:color w:val="629DD1" w:themeColor="accent2"/>
      <w:spacing w:val="10"/>
    </w:rPr>
  </w:style>
  <w:style w:type="paragraph" w:styleId="Heading8">
    <w:name w:val="heading 8"/>
    <w:basedOn w:val="Normal"/>
    <w:next w:val="Normal"/>
    <w:link w:val="Heading8Char"/>
    <w:uiPriority w:val="9"/>
    <w:semiHidden/>
    <w:unhideWhenUsed/>
    <w:qFormat/>
    <w:rsid w:val="00503CC5"/>
    <w:pPr>
      <w:spacing w:after="0"/>
      <w:jc w:val="left"/>
      <w:outlineLvl w:val="7"/>
    </w:pPr>
    <w:rPr>
      <w:b/>
      <w:i/>
      <w:smallCaps/>
      <w:color w:val="3476B1" w:themeColor="accent2" w:themeShade="BF"/>
    </w:rPr>
  </w:style>
  <w:style w:type="paragraph" w:styleId="Heading9">
    <w:name w:val="heading 9"/>
    <w:basedOn w:val="Normal"/>
    <w:next w:val="Normal"/>
    <w:link w:val="Heading9Char"/>
    <w:uiPriority w:val="9"/>
    <w:semiHidden/>
    <w:unhideWhenUsed/>
    <w:qFormat/>
    <w:rsid w:val="00503CC5"/>
    <w:pPr>
      <w:spacing w:after="0"/>
      <w:jc w:val="left"/>
      <w:outlineLvl w:val="8"/>
    </w:pPr>
    <w:rPr>
      <w:b/>
      <w:i/>
      <w:smallCaps/>
      <w:color w:val="224E76"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single" w:sz="12" w:space="1" w:color="E97132"/>
      </w:pBdr>
      <w:spacing w:line="240" w:lineRule="auto"/>
      <w:jc w:val="right"/>
    </w:pPr>
    <w:rPr>
      <w:smallCaps/>
      <w:sz w:val="48"/>
      <w:szCs w:val="48"/>
    </w:rPr>
  </w:style>
  <w:style w:type="character" w:customStyle="1" w:styleId="Ttulo1Car">
    <w:name w:val="Título 1 Car"/>
    <w:basedOn w:val="DefaultParagraphFont"/>
    <w:uiPriority w:val="9"/>
    <w:rsid w:val="00503CC5"/>
    <w:rPr>
      <w:smallCaps/>
      <w:spacing w:val="5"/>
      <w:sz w:val="32"/>
      <w:szCs w:val="32"/>
    </w:rPr>
  </w:style>
  <w:style w:type="character" w:customStyle="1" w:styleId="Ttulo2Car">
    <w:name w:val="Título 2 Car"/>
    <w:basedOn w:val="DefaultParagraphFont"/>
    <w:uiPriority w:val="9"/>
    <w:rsid w:val="00503CC5"/>
    <w:rPr>
      <w:smallCaps/>
      <w:spacing w:val="5"/>
      <w:sz w:val="28"/>
      <w:szCs w:val="28"/>
    </w:rPr>
  </w:style>
  <w:style w:type="character" w:customStyle="1" w:styleId="Ttulo3Car">
    <w:name w:val="Título 3 Car"/>
    <w:basedOn w:val="DefaultParagraphFont"/>
    <w:uiPriority w:val="9"/>
    <w:semiHidden/>
    <w:rsid w:val="00503CC5"/>
    <w:rPr>
      <w:smallCaps/>
      <w:spacing w:val="5"/>
      <w:sz w:val="24"/>
      <w:szCs w:val="24"/>
    </w:rPr>
  </w:style>
  <w:style w:type="character" w:customStyle="1" w:styleId="Ttulo4Car">
    <w:name w:val="Título 4 Car"/>
    <w:basedOn w:val="DefaultParagraphFont"/>
    <w:uiPriority w:val="9"/>
    <w:semiHidden/>
    <w:rsid w:val="00503CC5"/>
    <w:rPr>
      <w:smallCaps/>
      <w:spacing w:val="10"/>
      <w:sz w:val="22"/>
      <w:szCs w:val="22"/>
    </w:rPr>
  </w:style>
  <w:style w:type="character" w:customStyle="1" w:styleId="Ttulo5Car">
    <w:name w:val="Título 5 Car"/>
    <w:basedOn w:val="DefaultParagraphFont"/>
    <w:uiPriority w:val="9"/>
    <w:semiHidden/>
    <w:rsid w:val="00503CC5"/>
    <w:rPr>
      <w:smallCaps/>
      <w:color w:val="3476B1" w:themeColor="accent2" w:themeShade="BF"/>
      <w:spacing w:val="10"/>
      <w:sz w:val="22"/>
      <w:szCs w:val="26"/>
    </w:rPr>
  </w:style>
  <w:style w:type="character" w:customStyle="1" w:styleId="Ttulo6Car">
    <w:name w:val="Título 6 Car"/>
    <w:basedOn w:val="DefaultParagraphFont"/>
    <w:uiPriority w:val="9"/>
    <w:semiHidden/>
    <w:rsid w:val="00503CC5"/>
    <w:rPr>
      <w:smallCaps/>
      <w:color w:val="629DD1" w:themeColor="accent2"/>
      <w:spacing w:val="5"/>
      <w:sz w:val="22"/>
    </w:rPr>
  </w:style>
  <w:style w:type="character" w:customStyle="1" w:styleId="Heading7Char">
    <w:name w:val="Heading 7 Char"/>
    <w:basedOn w:val="DefaultParagraphFont"/>
    <w:link w:val="Heading7"/>
    <w:uiPriority w:val="9"/>
    <w:semiHidden/>
    <w:rsid w:val="00503CC5"/>
    <w:rPr>
      <w:b/>
      <w:smallCaps/>
      <w:color w:val="629DD1" w:themeColor="accent2"/>
      <w:spacing w:val="10"/>
    </w:rPr>
  </w:style>
  <w:style w:type="character" w:customStyle="1" w:styleId="Heading8Char">
    <w:name w:val="Heading 8 Char"/>
    <w:basedOn w:val="DefaultParagraphFont"/>
    <w:link w:val="Heading8"/>
    <w:uiPriority w:val="9"/>
    <w:semiHidden/>
    <w:rsid w:val="00503CC5"/>
    <w:rPr>
      <w:b/>
      <w:i/>
      <w:smallCaps/>
      <w:color w:val="3476B1" w:themeColor="accent2" w:themeShade="BF"/>
    </w:rPr>
  </w:style>
  <w:style w:type="character" w:customStyle="1" w:styleId="Heading9Char">
    <w:name w:val="Heading 9 Char"/>
    <w:basedOn w:val="DefaultParagraphFont"/>
    <w:link w:val="Heading9"/>
    <w:uiPriority w:val="9"/>
    <w:semiHidden/>
    <w:rsid w:val="00503CC5"/>
    <w:rPr>
      <w:b/>
      <w:i/>
      <w:smallCaps/>
      <w:color w:val="224E76" w:themeColor="accent2" w:themeShade="7F"/>
    </w:rPr>
  </w:style>
  <w:style w:type="paragraph" w:styleId="Caption">
    <w:name w:val="caption"/>
    <w:basedOn w:val="Normal"/>
    <w:next w:val="Normal"/>
    <w:uiPriority w:val="35"/>
    <w:semiHidden/>
    <w:unhideWhenUsed/>
    <w:qFormat/>
    <w:rsid w:val="00503CC5"/>
    <w:rPr>
      <w:b/>
      <w:bCs/>
      <w:caps/>
      <w:sz w:val="16"/>
      <w:szCs w:val="18"/>
    </w:rPr>
  </w:style>
  <w:style w:type="character" w:customStyle="1" w:styleId="TtuloCar">
    <w:name w:val="Título Car"/>
    <w:basedOn w:val="DefaultParagraphFont"/>
    <w:uiPriority w:val="10"/>
    <w:rsid w:val="00503CC5"/>
    <w:rPr>
      <w:smallCaps/>
      <w:sz w:val="48"/>
      <w:szCs w:val="48"/>
    </w:rPr>
  </w:style>
  <w:style w:type="character" w:customStyle="1" w:styleId="SubttuloCar">
    <w:name w:val="Subtítulo Car"/>
    <w:basedOn w:val="DefaultParagraphFont"/>
    <w:uiPriority w:val="11"/>
    <w:rsid w:val="00503CC5"/>
    <w:rPr>
      <w:rFonts w:asciiTheme="majorHAnsi" w:eastAsiaTheme="majorEastAsia" w:hAnsiTheme="majorHAnsi" w:cstheme="majorBidi"/>
      <w:szCs w:val="22"/>
    </w:rPr>
  </w:style>
  <w:style w:type="character" w:styleId="Strong">
    <w:name w:val="Strong"/>
    <w:uiPriority w:val="22"/>
    <w:qFormat/>
    <w:rsid w:val="00503CC5"/>
    <w:rPr>
      <w:b/>
      <w:color w:val="629DD1" w:themeColor="accent2"/>
    </w:rPr>
  </w:style>
  <w:style w:type="character" w:styleId="Emphasis">
    <w:name w:val="Emphasis"/>
    <w:uiPriority w:val="20"/>
    <w:qFormat/>
    <w:rsid w:val="00503CC5"/>
    <w:rPr>
      <w:b/>
      <w:i/>
      <w:spacing w:val="10"/>
    </w:rPr>
  </w:style>
  <w:style w:type="paragraph" w:styleId="NoSpacing">
    <w:name w:val="No Spacing"/>
    <w:basedOn w:val="Normal"/>
    <w:link w:val="NoSpacingChar"/>
    <w:uiPriority w:val="1"/>
    <w:qFormat/>
    <w:rsid w:val="00503CC5"/>
    <w:pPr>
      <w:spacing w:after="0" w:line="240" w:lineRule="auto"/>
    </w:pPr>
  </w:style>
  <w:style w:type="character" w:customStyle="1" w:styleId="NoSpacingChar">
    <w:name w:val="No Spacing Char"/>
    <w:basedOn w:val="DefaultParagraphFont"/>
    <w:link w:val="NoSpacing"/>
    <w:uiPriority w:val="1"/>
    <w:rsid w:val="00503CC5"/>
  </w:style>
  <w:style w:type="paragraph" w:styleId="ListParagraph">
    <w:name w:val="List Paragraph"/>
    <w:basedOn w:val="Normal"/>
    <w:uiPriority w:val="34"/>
    <w:qFormat/>
    <w:rsid w:val="00503CC5"/>
    <w:pPr>
      <w:ind w:left="720"/>
      <w:contextualSpacing/>
    </w:pPr>
  </w:style>
  <w:style w:type="paragraph" w:styleId="Quote">
    <w:name w:val="Quote"/>
    <w:basedOn w:val="Normal"/>
    <w:next w:val="Normal"/>
    <w:link w:val="QuoteChar"/>
    <w:uiPriority w:val="29"/>
    <w:qFormat/>
    <w:rsid w:val="00503CC5"/>
    <w:rPr>
      <w:i/>
    </w:rPr>
  </w:style>
  <w:style w:type="character" w:customStyle="1" w:styleId="QuoteChar">
    <w:name w:val="Quote Char"/>
    <w:basedOn w:val="DefaultParagraphFont"/>
    <w:link w:val="Quote"/>
    <w:uiPriority w:val="29"/>
    <w:rsid w:val="00503CC5"/>
    <w:rPr>
      <w:i/>
    </w:rPr>
  </w:style>
  <w:style w:type="paragraph" w:styleId="IntenseQuote">
    <w:name w:val="Intense Quote"/>
    <w:basedOn w:val="Normal"/>
    <w:next w:val="Normal"/>
    <w:link w:val="IntenseQuoteChar"/>
    <w:uiPriority w:val="30"/>
    <w:qFormat/>
    <w:rsid w:val="00503CC5"/>
    <w:pPr>
      <w:pBdr>
        <w:top w:val="single" w:sz="8" w:space="10" w:color="3476B1" w:themeColor="accent2" w:themeShade="BF"/>
        <w:left w:val="single" w:sz="8" w:space="10" w:color="3476B1" w:themeColor="accent2" w:themeShade="BF"/>
        <w:bottom w:val="single" w:sz="8" w:space="10" w:color="3476B1" w:themeColor="accent2" w:themeShade="BF"/>
        <w:right w:val="single" w:sz="8" w:space="10" w:color="3476B1" w:themeColor="accent2" w:themeShade="BF"/>
      </w:pBdr>
      <w:shd w:val="clear" w:color="auto" w:fill="629DD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503CC5"/>
    <w:rPr>
      <w:b/>
      <w:i/>
      <w:color w:val="FFFFFF" w:themeColor="background1"/>
      <w:shd w:val="clear" w:color="auto" w:fill="629DD1" w:themeFill="accent2"/>
    </w:rPr>
  </w:style>
  <w:style w:type="character" w:styleId="SubtleEmphasis">
    <w:name w:val="Subtle Emphasis"/>
    <w:uiPriority w:val="19"/>
    <w:qFormat/>
    <w:rsid w:val="00503CC5"/>
    <w:rPr>
      <w:i/>
    </w:rPr>
  </w:style>
  <w:style w:type="character" w:styleId="IntenseEmphasis">
    <w:name w:val="Intense Emphasis"/>
    <w:uiPriority w:val="21"/>
    <w:qFormat/>
    <w:rsid w:val="00503CC5"/>
    <w:rPr>
      <w:b/>
      <w:i/>
      <w:color w:val="629DD1" w:themeColor="accent2"/>
      <w:spacing w:val="10"/>
    </w:rPr>
  </w:style>
  <w:style w:type="character" w:styleId="SubtleReference">
    <w:name w:val="Subtle Reference"/>
    <w:uiPriority w:val="31"/>
    <w:qFormat/>
    <w:rsid w:val="00503CC5"/>
    <w:rPr>
      <w:b/>
    </w:rPr>
  </w:style>
  <w:style w:type="character" w:styleId="IntenseReference">
    <w:name w:val="Intense Reference"/>
    <w:uiPriority w:val="32"/>
    <w:qFormat/>
    <w:rsid w:val="00503CC5"/>
    <w:rPr>
      <w:b/>
      <w:bCs/>
      <w:smallCaps/>
      <w:spacing w:val="5"/>
      <w:sz w:val="22"/>
      <w:szCs w:val="22"/>
      <w:u w:val="single"/>
    </w:rPr>
  </w:style>
  <w:style w:type="character" w:styleId="BookTitle">
    <w:name w:val="Book Title"/>
    <w:uiPriority w:val="33"/>
    <w:qFormat/>
    <w:rsid w:val="00503CC5"/>
    <w:rPr>
      <w:rFonts w:asciiTheme="majorHAnsi" w:eastAsiaTheme="majorEastAsia" w:hAnsiTheme="majorHAnsi" w:cstheme="majorBidi"/>
      <w:i/>
      <w:iCs/>
      <w:sz w:val="20"/>
      <w:szCs w:val="20"/>
    </w:rPr>
  </w:style>
  <w:style w:type="paragraph" w:styleId="TOCHeading">
    <w:name w:val="TOC Heading"/>
    <w:next w:val="Normal"/>
    <w:uiPriority w:val="39"/>
    <w:semiHidden/>
    <w:unhideWhenUsed/>
    <w:qFormat/>
    <w:rsid w:val="00503CC5"/>
  </w:style>
  <w:style w:type="paragraph" w:styleId="Subtitle">
    <w:name w:val="Subtitle"/>
    <w:basedOn w:val="Normal"/>
    <w:next w:val="Normal"/>
    <w:uiPriority w:val="11"/>
    <w:qFormat/>
    <w:pPr>
      <w:spacing w:after="720" w:line="240" w:lineRule="auto"/>
      <w:jc w:val="right"/>
    </w:pPr>
    <w:rPr>
      <w:rFonts w:ascii="Play" w:eastAsia="Play" w:hAnsi="Play" w:cs="Play"/>
    </w:rPr>
  </w:style>
  <w:style w:type="paragraph" w:styleId="Header">
    <w:name w:val="header"/>
    <w:basedOn w:val="Normal"/>
    <w:link w:val="HeaderChar"/>
    <w:uiPriority w:val="99"/>
    <w:unhideWhenUsed/>
    <w:rsid w:val="00C84D92"/>
    <w:pPr>
      <w:tabs>
        <w:tab w:val="center" w:pos="4252"/>
        <w:tab w:val="right" w:pos="8504"/>
      </w:tabs>
      <w:spacing w:after="0" w:line="240" w:lineRule="auto"/>
    </w:pPr>
  </w:style>
  <w:style w:type="character" w:customStyle="1" w:styleId="HeaderChar">
    <w:name w:val="Header Char"/>
    <w:basedOn w:val="DefaultParagraphFont"/>
    <w:link w:val="Header"/>
    <w:uiPriority w:val="99"/>
    <w:rsid w:val="00C84D92"/>
  </w:style>
  <w:style w:type="paragraph" w:styleId="Footer">
    <w:name w:val="footer"/>
    <w:basedOn w:val="Normal"/>
    <w:link w:val="FooterChar"/>
    <w:uiPriority w:val="99"/>
    <w:unhideWhenUsed/>
    <w:rsid w:val="00C84D92"/>
    <w:pPr>
      <w:tabs>
        <w:tab w:val="center" w:pos="4252"/>
        <w:tab w:val="right" w:pos="8504"/>
      </w:tabs>
      <w:spacing w:after="0" w:line="240" w:lineRule="auto"/>
    </w:pPr>
  </w:style>
  <w:style w:type="character" w:customStyle="1" w:styleId="FooterChar">
    <w:name w:val="Footer Char"/>
    <w:basedOn w:val="DefaultParagraphFont"/>
    <w:link w:val="Footer"/>
    <w:uiPriority w:val="99"/>
    <w:rsid w:val="00C84D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BBDWJFRgrhNfl0QFqJSKfou3ig==">CgMxLjA4AHIhMWs1aWhBcWMyUk1LLVNJRmRVSXNKSWJZbV9WZlphSENH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461</TotalTime>
  <Pages>5</Pages>
  <Words>1465</Words>
  <Characters>8357</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ASOCIACION ESPAÑOLA DE ABOGADOS DE FAMILIA AEAFA</dc:creator>
  <cp:lastModifiedBy>James Boit</cp:lastModifiedBy>
  <cp:revision>2</cp:revision>
  <dcterms:created xsi:type="dcterms:W3CDTF">2025-12-11T19:40:00Z</dcterms:created>
  <dcterms:modified xsi:type="dcterms:W3CDTF">2025-12-11T19:40:00Z</dcterms:modified>
</cp:coreProperties>
</file>