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FAF4B" w14:textId="77777777" w:rsidR="00C36A80" w:rsidRDefault="00C36A80">
      <w:pPr>
        <w:spacing w:after="160"/>
        <w:rPr>
          <w:rFonts w:ascii="Times New Roman" w:eastAsia="Times New Roman" w:hAnsi="Times New Roman" w:cs="Times New Roman"/>
          <w:b/>
          <w:bCs/>
          <w:sz w:val="26"/>
          <w:szCs w:val="26"/>
        </w:rPr>
      </w:pPr>
    </w:p>
    <w:p w14:paraId="6914B253" w14:textId="77777777" w:rsidR="00C36A80" w:rsidRDefault="00BA597E">
      <w:pPr>
        <w:spacing w:after="160"/>
        <w:jc w:val="center"/>
        <w:rPr>
          <w:rFonts w:ascii="Times New Roman" w:eastAsia="Times New Roman" w:hAnsi="Times New Roman" w:cs="Times New Roman"/>
          <w:b/>
          <w:bCs/>
          <w:sz w:val="26"/>
          <w:szCs w:val="26"/>
        </w:rPr>
      </w:pPr>
      <w:r>
        <w:rPr>
          <w:noProof/>
        </w:rPr>
        <w:drawing>
          <wp:anchor distT="114300" distB="114300" distL="114300" distR="114300" simplePos="0" relativeHeight="251658240" behindDoc="0" locked="0" layoutInCell="1" hidden="0" allowOverlap="1" wp14:anchorId="20CA568D" wp14:editId="0D671E64">
            <wp:simplePos x="0" y="0"/>
            <wp:positionH relativeFrom="column">
              <wp:posOffset>3305175</wp:posOffset>
            </wp:positionH>
            <wp:positionV relativeFrom="paragraph">
              <wp:posOffset>370636</wp:posOffset>
            </wp:positionV>
            <wp:extent cx="2171700" cy="342900"/>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171700" cy="342900"/>
                    </a:xfrm>
                    <a:prstGeom prst="rect">
                      <a:avLst/>
                    </a:prstGeom>
                    <a:ln/>
                  </pic:spPr>
                </pic:pic>
              </a:graphicData>
            </a:graphic>
          </wp:anchor>
        </w:drawing>
      </w:r>
      <w:r>
        <w:rPr>
          <w:noProof/>
        </w:rPr>
        <w:drawing>
          <wp:anchor distT="0" distB="0" distL="0" distR="0" simplePos="0" relativeHeight="251659264" behindDoc="0" locked="0" layoutInCell="1" hidden="0" allowOverlap="1" wp14:anchorId="48059A86" wp14:editId="1A05E95D">
            <wp:simplePos x="0" y="0"/>
            <wp:positionH relativeFrom="column">
              <wp:posOffset>390525</wp:posOffset>
            </wp:positionH>
            <wp:positionV relativeFrom="paragraph">
              <wp:posOffset>4763</wp:posOffset>
            </wp:positionV>
            <wp:extent cx="1690688" cy="1077322"/>
            <wp:effectExtent l="0" t="0" r="0" b="0"/>
            <wp:wrapSquare wrapText="bothSides" distT="0" distB="0" distL="0" distR="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690688" cy="1077322"/>
                    </a:xfrm>
                    <a:prstGeom prst="rect">
                      <a:avLst/>
                    </a:prstGeom>
                    <a:ln/>
                  </pic:spPr>
                </pic:pic>
              </a:graphicData>
            </a:graphic>
          </wp:anchor>
        </w:drawing>
      </w:r>
    </w:p>
    <w:p w14:paraId="5A0A1170" w14:textId="77777777" w:rsidR="00C36A80" w:rsidRDefault="00C36A80">
      <w:pPr>
        <w:spacing w:after="160"/>
        <w:jc w:val="center"/>
        <w:rPr>
          <w:rFonts w:ascii="Times New Roman" w:eastAsia="Times New Roman" w:hAnsi="Times New Roman" w:cs="Times New Roman"/>
          <w:b/>
          <w:bCs/>
          <w:sz w:val="26"/>
          <w:szCs w:val="26"/>
        </w:rPr>
      </w:pPr>
    </w:p>
    <w:p w14:paraId="4F4BD61F" w14:textId="77777777" w:rsidR="00C36A80" w:rsidRDefault="00C36A80">
      <w:pPr>
        <w:spacing w:after="160" w:line="360" w:lineRule="auto"/>
        <w:jc w:val="center"/>
        <w:rPr>
          <w:rFonts w:ascii="Constantia" w:eastAsia="Constantia" w:hAnsi="Constantia" w:cs="Constantia"/>
          <w:b/>
          <w:bCs/>
          <w:sz w:val="26"/>
          <w:szCs w:val="26"/>
        </w:rPr>
      </w:pPr>
    </w:p>
    <w:p w14:paraId="2B623456" w14:textId="77777777" w:rsidR="00C36A80" w:rsidRDefault="00C36A80">
      <w:pPr>
        <w:spacing w:after="160" w:line="360" w:lineRule="auto"/>
        <w:jc w:val="center"/>
        <w:rPr>
          <w:rFonts w:ascii="Constantia" w:eastAsia="Constantia" w:hAnsi="Constantia" w:cs="Constantia"/>
          <w:b/>
          <w:bCs/>
          <w:sz w:val="26"/>
          <w:szCs w:val="26"/>
        </w:rPr>
      </w:pPr>
    </w:p>
    <w:p w14:paraId="717E8F3F" w14:textId="77777777" w:rsidR="00C36A80" w:rsidRDefault="00BA597E">
      <w:pPr>
        <w:spacing w:after="160" w:line="360" w:lineRule="auto"/>
        <w:jc w:val="center"/>
        <w:rPr>
          <w:rFonts w:ascii="Constantia" w:eastAsia="Constantia" w:hAnsi="Constantia" w:cs="Constantia"/>
          <w:b/>
          <w:bCs/>
          <w:sz w:val="26"/>
          <w:szCs w:val="26"/>
        </w:rPr>
      </w:pPr>
      <w:r>
        <w:rPr>
          <w:rFonts w:ascii="Constantia" w:eastAsia="Constantia" w:hAnsi="Constantia" w:cs="Constantia"/>
          <w:b/>
          <w:bCs/>
          <w:sz w:val="26"/>
          <w:szCs w:val="26"/>
        </w:rPr>
        <w:t>THEMATIC SUBMISSION ON THE GOVERNMENT OF PAKISTAN’S COMPLIANCE WITH THE UNCRC (99th session)</w:t>
      </w:r>
      <w:r>
        <w:rPr>
          <w:rFonts w:ascii="Constantia" w:eastAsia="Constantia" w:hAnsi="Constantia" w:cs="Constantia"/>
          <w:b/>
          <w:bCs/>
          <w:sz w:val="26"/>
          <w:szCs w:val="26"/>
          <w:vertAlign w:val="superscript"/>
        </w:rPr>
        <w:footnoteReference w:id="1"/>
      </w:r>
    </w:p>
    <w:p w14:paraId="1F4A5315" w14:textId="77777777" w:rsidR="00C36A80" w:rsidRDefault="00C36A80">
      <w:pPr>
        <w:spacing w:after="160"/>
        <w:jc w:val="center"/>
        <w:rPr>
          <w:rFonts w:ascii="Constantia" w:eastAsia="Constantia" w:hAnsi="Constantia" w:cs="Constantia"/>
          <w:b/>
          <w:bCs/>
          <w:sz w:val="36"/>
          <w:szCs w:val="36"/>
        </w:rPr>
      </w:pPr>
    </w:p>
    <w:p w14:paraId="01621563" w14:textId="77777777" w:rsidR="00C36A80" w:rsidRDefault="00C36A80">
      <w:pPr>
        <w:spacing w:before="301" w:line="240" w:lineRule="auto"/>
        <w:ind w:right="595"/>
        <w:jc w:val="center"/>
        <w:rPr>
          <w:rFonts w:ascii="Times New Roman" w:eastAsia="Times New Roman" w:hAnsi="Times New Roman" w:cs="Times New Roman"/>
          <w:b/>
          <w:bCs/>
          <w:sz w:val="24"/>
          <w:szCs w:val="24"/>
        </w:rPr>
      </w:pPr>
    </w:p>
    <w:p w14:paraId="2ADB38C1" w14:textId="77777777" w:rsidR="00C36A80" w:rsidRDefault="00C36A80">
      <w:pPr>
        <w:rPr>
          <w:rFonts w:ascii="Times New Roman" w:eastAsia="Times New Roman" w:hAnsi="Times New Roman" w:cs="Times New Roman"/>
          <w:b/>
          <w:bCs/>
          <w:sz w:val="24"/>
          <w:szCs w:val="24"/>
        </w:rPr>
      </w:pPr>
    </w:p>
    <w:p w14:paraId="371D0A06" w14:textId="77777777" w:rsidR="00C36A80" w:rsidRDefault="00C36A80">
      <w:pPr>
        <w:rPr>
          <w:rFonts w:ascii="Times New Roman" w:eastAsia="Times New Roman" w:hAnsi="Times New Roman" w:cs="Times New Roman"/>
          <w:b/>
          <w:bCs/>
          <w:sz w:val="24"/>
          <w:szCs w:val="24"/>
        </w:rPr>
      </w:pPr>
    </w:p>
    <w:p w14:paraId="70165936" w14:textId="77777777" w:rsidR="00C36A80" w:rsidRDefault="00C36A80">
      <w:pPr>
        <w:rPr>
          <w:rFonts w:ascii="Times New Roman" w:eastAsia="Times New Roman" w:hAnsi="Times New Roman" w:cs="Times New Roman"/>
          <w:b/>
          <w:bCs/>
          <w:sz w:val="24"/>
          <w:szCs w:val="24"/>
        </w:rPr>
      </w:pPr>
    </w:p>
    <w:p w14:paraId="24696AA6" w14:textId="77777777" w:rsidR="00C36A80" w:rsidRDefault="00C36A80">
      <w:pPr>
        <w:rPr>
          <w:rFonts w:ascii="Times New Roman" w:eastAsia="Times New Roman" w:hAnsi="Times New Roman" w:cs="Times New Roman"/>
          <w:b/>
          <w:bCs/>
          <w:sz w:val="24"/>
          <w:szCs w:val="24"/>
        </w:rPr>
      </w:pPr>
    </w:p>
    <w:p w14:paraId="7B2D29DC" w14:textId="77777777" w:rsidR="00C36A80" w:rsidRDefault="00C36A80">
      <w:pPr>
        <w:rPr>
          <w:rFonts w:ascii="Times New Roman" w:eastAsia="Times New Roman" w:hAnsi="Times New Roman" w:cs="Times New Roman"/>
          <w:b/>
          <w:bCs/>
          <w:sz w:val="24"/>
          <w:szCs w:val="24"/>
        </w:rPr>
      </w:pPr>
    </w:p>
    <w:p w14:paraId="0EABC8AC" w14:textId="77777777" w:rsidR="00C36A80" w:rsidRDefault="00C36A80">
      <w:pPr>
        <w:rPr>
          <w:rFonts w:ascii="Times New Roman" w:eastAsia="Times New Roman" w:hAnsi="Times New Roman" w:cs="Times New Roman"/>
          <w:b/>
          <w:bCs/>
          <w:sz w:val="24"/>
          <w:szCs w:val="24"/>
        </w:rPr>
      </w:pPr>
    </w:p>
    <w:p w14:paraId="6F3E29C0" w14:textId="77777777" w:rsidR="00C36A80" w:rsidRDefault="00C36A80">
      <w:pPr>
        <w:rPr>
          <w:rFonts w:ascii="Times New Roman" w:eastAsia="Times New Roman" w:hAnsi="Times New Roman" w:cs="Times New Roman"/>
          <w:b/>
          <w:bCs/>
          <w:sz w:val="24"/>
          <w:szCs w:val="24"/>
        </w:rPr>
      </w:pPr>
    </w:p>
    <w:p w14:paraId="3ED49E97" w14:textId="77777777" w:rsidR="00C36A80" w:rsidRDefault="00C36A80">
      <w:pPr>
        <w:rPr>
          <w:rFonts w:ascii="Times New Roman" w:eastAsia="Times New Roman" w:hAnsi="Times New Roman" w:cs="Times New Roman"/>
          <w:b/>
          <w:bCs/>
          <w:sz w:val="24"/>
          <w:szCs w:val="24"/>
        </w:rPr>
      </w:pPr>
    </w:p>
    <w:p w14:paraId="7DD4D9CC" w14:textId="77777777" w:rsidR="00C36A80" w:rsidRDefault="00C36A80">
      <w:pPr>
        <w:rPr>
          <w:rFonts w:ascii="Times New Roman" w:eastAsia="Times New Roman" w:hAnsi="Times New Roman" w:cs="Times New Roman"/>
          <w:b/>
          <w:bCs/>
          <w:sz w:val="24"/>
          <w:szCs w:val="24"/>
        </w:rPr>
      </w:pPr>
    </w:p>
    <w:p w14:paraId="69B46A3B" w14:textId="77777777" w:rsidR="00C36A80" w:rsidRDefault="00C36A80">
      <w:pPr>
        <w:spacing w:before="240" w:after="240"/>
        <w:jc w:val="both"/>
        <w:rPr>
          <w:rFonts w:ascii="Times New Roman" w:eastAsia="Times New Roman" w:hAnsi="Times New Roman" w:cs="Times New Roman"/>
          <w:b/>
          <w:bCs/>
          <w:sz w:val="24"/>
          <w:szCs w:val="24"/>
        </w:rPr>
      </w:pPr>
    </w:p>
    <w:p w14:paraId="495C54D7" w14:textId="77777777" w:rsidR="00C36A80" w:rsidRDefault="00C36A80">
      <w:pPr>
        <w:spacing w:after="200"/>
        <w:jc w:val="both"/>
        <w:rPr>
          <w:rFonts w:ascii="Times New Roman" w:eastAsia="Times New Roman" w:hAnsi="Times New Roman" w:cs="Times New Roman"/>
          <w:sz w:val="24"/>
          <w:szCs w:val="24"/>
        </w:rPr>
      </w:pPr>
    </w:p>
    <w:p w14:paraId="762F9C29" w14:textId="77777777" w:rsidR="00C36A80" w:rsidRDefault="00BA597E">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information is drawn from Justice Project Pakistan’s published research; engagement with government and judicial committees on prison reform and juvenile justice; collaboration with institutions including NCHR and NCRC; publicly available data; jail visits and client interviews; and capacity-building workshops with law enforcement, government, and judicial stakeholders. Further details are available on JPP’s website and upon request.</w:t>
      </w:r>
    </w:p>
    <w:p w14:paraId="1B86CBDB" w14:textId="77777777" w:rsidR="00C36A80" w:rsidRDefault="00BA597E">
      <w:pPr>
        <w:pStyle w:val="Heading2"/>
        <w:numPr>
          <w:ilvl w:val="0"/>
          <w:numId w:val="2"/>
        </w:numPr>
        <w:spacing w:after="200"/>
        <w:jc w:val="both"/>
        <w:rPr>
          <w:rFonts w:ascii="Times New Roman" w:eastAsia="Times New Roman" w:hAnsi="Times New Roman" w:cs="Times New Roman"/>
        </w:rPr>
      </w:pPr>
      <w:bookmarkStart w:id="0" w:name="_ulyiod4g2w0q" w:colFirst="0" w:colLast="0"/>
      <w:bookmarkEnd w:id="0"/>
      <w:r>
        <w:rPr>
          <w:rFonts w:ascii="Times New Roman" w:eastAsia="Times New Roman" w:hAnsi="Times New Roman" w:cs="Times New Roman"/>
        </w:rPr>
        <w:t>Death Penalty and the Imposition of Life Sentences on Children</w:t>
      </w:r>
    </w:p>
    <w:p w14:paraId="1D4746E2" w14:textId="77777777" w:rsidR="00C36A80" w:rsidRDefault="00BA597E">
      <w:pPr>
        <w:pStyle w:val="Heading4"/>
        <w:spacing w:after="200"/>
        <w:jc w:val="both"/>
        <w:rPr>
          <w:sz w:val="20"/>
          <w:szCs w:val="20"/>
        </w:rPr>
      </w:pPr>
      <w:bookmarkStart w:id="1" w:name="_3jpebpva9il9" w:colFirst="0" w:colLast="0"/>
      <w:bookmarkEnd w:id="1"/>
      <w:r>
        <w:rPr>
          <w:rFonts w:ascii="Times New Roman" w:eastAsia="Times New Roman" w:hAnsi="Times New Roman" w:cs="Times New Roman"/>
          <w:sz w:val="26"/>
          <w:szCs w:val="26"/>
        </w:rPr>
        <w:t>Prior Recommendations:</w:t>
      </w:r>
    </w:p>
    <w:p w14:paraId="52771A07" w14:textId="77777777" w:rsidR="00C36A80" w:rsidRDefault="00BA597E">
      <w:pPr>
        <w:numPr>
          <w:ilvl w:val="0"/>
          <w:numId w:val="1"/>
        </w:numPr>
        <w:pBdr>
          <w:top w:val="nil"/>
          <w:left w:val="nil"/>
          <w:bottom w:val="nil"/>
          <w:right w:val="nil"/>
          <w:between w:val="nil"/>
        </w:pBd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2024 List of Issues, the Committee on the Rights of the Child requested updated information on Pakistan’s implementation of the prohibition on death sentences for children, the steps taken to reopen inquiries and commute sentences in such cases, and the mechanisms in place to prevent the imposition of capital punishment on children.</w:t>
      </w:r>
      <w:r>
        <w:rPr>
          <w:rFonts w:ascii="Times New Roman" w:eastAsia="Times New Roman" w:hAnsi="Times New Roman" w:cs="Times New Roman"/>
          <w:sz w:val="24"/>
          <w:szCs w:val="24"/>
          <w:vertAlign w:val="superscript"/>
        </w:rPr>
        <w:footnoteReference w:id="2"/>
      </w:r>
    </w:p>
    <w:p w14:paraId="3E2E54C9" w14:textId="77777777" w:rsidR="00C36A80" w:rsidRDefault="00BA597E">
      <w:pPr>
        <w:pStyle w:val="Heading4"/>
        <w:spacing w:after="200"/>
        <w:jc w:val="both"/>
        <w:rPr>
          <w:rFonts w:ascii="Times New Roman" w:eastAsia="Times New Roman" w:hAnsi="Times New Roman" w:cs="Times New Roman"/>
        </w:rPr>
      </w:pPr>
      <w:bookmarkStart w:id="2" w:name="_ro569lwtdn0q" w:colFirst="0" w:colLast="0"/>
      <w:bookmarkEnd w:id="2"/>
      <w:r>
        <w:rPr>
          <w:rFonts w:ascii="Times New Roman" w:eastAsia="Times New Roman" w:hAnsi="Times New Roman" w:cs="Times New Roman"/>
          <w:sz w:val="26"/>
          <w:szCs w:val="26"/>
        </w:rPr>
        <w:t>Current State Policy and Practice</w:t>
      </w:r>
    </w:p>
    <w:p w14:paraId="12777F7C" w14:textId="77777777" w:rsidR="00C36A80" w:rsidRDefault="00BA597E">
      <w:pPr>
        <w:numPr>
          <w:ilvl w:val="0"/>
          <w:numId w:val="1"/>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Juvenile Justice System Ordinance, 2001 (JJSO), and later the Juvenile Justice System Act (JJSA), 2018, bar the death penalty for children. A 2001 Presidential Notification commuted all juvenile death sentences to life imprisonment, extending safeguards to children sentenced prior to the JJSO.</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However, implementation has remained inconsistent: leaving individuals with credible claims to juvenility leaving them on death row and not affording them age determination inquiries.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Courts often dismiss age-related claims by juveniles on technical grounds, such as the late stage at which the claim is raised or exhaustion of appeals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leaving a continued risk that persons under 18 may be sentenced to death.</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w:t>
      </w:r>
    </w:p>
    <w:p w14:paraId="0D627112" w14:textId="77777777" w:rsidR="00C36A80" w:rsidRDefault="00BA597E">
      <w:pPr>
        <w:numPr>
          <w:ilvl w:val="0"/>
          <w:numId w:val="1"/>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2021 commutations of juvenile death sentences of Muhammad Iqbal and Muhammad Anwar marked a watershed moment following the 2001 Presidential Notification. In Iqbal’s case, the Lahore High Court held that both international law and Pakistan’s domestic legislation “impose a clear and binding ban on the death penalty for juveniles”</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and expressly condemned the denial of this protection to similarly placed individuals on procedural grounds. The Court observed that, once the law had been properly set in motion, it was unjust for state agencies to withhold the uniform benefit of that law. </w:t>
      </w:r>
    </w:p>
    <w:p w14:paraId="14987BC9" w14:textId="77777777" w:rsidR="00C36A80" w:rsidRDefault="00BA597E">
      <w:pPr>
        <w:numPr>
          <w:ilvl w:val="0"/>
          <w:numId w:val="1"/>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principles were reaffirmed by the Supreme Court in Muhammad Anwar, where </w:t>
      </w: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that the Presidential Notification barred juvenile executions, it commuted Anwar’s death sentence and ordered his release since he had served more than a life term.</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Together, these judgments </w:t>
      </w:r>
      <w:proofErr w:type="spellStart"/>
      <w:r>
        <w:rPr>
          <w:rFonts w:ascii="Times New Roman" w:eastAsia="Times New Roman" w:hAnsi="Times New Roman" w:cs="Times New Roman"/>
          <w:sz w:val="24"/>
          <w:szCs w:val="24"/>
        </w:rPr>
        <w:t>signalled</w:t>
      </w:r>
      <w:proofErr w:type="spellEnd"/>
      <w:r>
        <w:rPr>
          <w:rFonts w:ascii="Times New Roman" w:eastAsia="Times New Roman" w:hAnsi="Times New Roman" w:cs="Times New Roman"/>
          <w:sz w:val="24"/>
          <w:szCs w:val="24"/>
        </w:rPr>
        <w:t xml:space="preserve"> clear judicial intent to uphold and enforce the absolute prohibition on executing juveniles.</w:t>
      </w:r>
    </w:p>
    <w:p w14:paraId="38D182FF" w14:textId="77777777" w:rsidR="00C36A80" w:rsidRDefault="00BA597E">
      <w:pPr>
        <w:numPr>
          <w:ilvl w:val="0"/>
          <w:numId w:val="1"/>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Nonetheless, the protection affirmed in Iqbal’s and Anwar’s cases were never translated into systemic relief, as illustrated by the cases of Munawar Ali and Muhammad Azam. Munawar was arrested in January 2002 and sentenced to death at 16, as evidenced by his School Leaving Certificate; however, no age determination inquiry was conducted and he was prosecuted as an adult. Although juvenility was raised before the High Court in a Revision Petition in 2015, the Court declined to order age determination on the </w:t>
      </w:r>
      <w:r>
        <w:rPr>
          <w:rFonts w:ascii="Times New Roman" w:eastAsia="Times New Roman" w:hAnsi="Times New Roman" w:cs="Times New Roman"/>
          <w:sz w:val="24"/>
          <w:szCs w:val="24"/>
        </w:rPr>
        <w:t>ground that the claim was raised post-trial. A black warrant was issued in March 2021, after which a mercy petition was filed and his execution stayed; his application for age determination remains pending before the Sindh Home Department, with no inquiry initiated to date.</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w:t>
      </w:r>
    </w:p>
    <w:p w14:paraId="589B3439" w14:textId="77777777" w:rsidR="00C36A80" w:rsidRDefault="00BA597E">
      <w:pPr>
        <w:numPr>
          <w:ilvl w:val="0"/>
          <w:numId w:val="1"/>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Muhammad Azam</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sentenced to death as a minor in 1998, has never received an age determination inquiry despite consistent evidence of juvenility. Following the Presidential Notification, jail authorities requested the trial court to determine his age, but the request was rejected on the basis that no plea of minority had been raised during trial and that the court was </w:t>
      </w:r>
      <w:r>
        <w:rPr>
          <w:rFonts w:ascii="Times New Roman" w:eastAsia="Times New Roman" w:hAnsi="Times New Roman" w:cs="Times New Roman"/>
          <w:i/>
          <w:iCs/>
          <w:sz w:val="24"/>
          <w:szCs w:val="24"/>
        </w:rPr>
        <w:t>functus officio</w:t>
      </w:r>
      <w:r>
        <w:rPr>
          <w:rFonts w:ascii="Times New Roman" w:eastAsia="Times New Roman" w:hAnsi="Times New Roman" w:cs="Times New Roman"/>
          <w:sz w:val="24"/>
          <w:szCs w:val="24"/>
        </w:rPr>
        <w:t xml:space="preserve"> after the appeals. A black warrant was issued in 2015 and later suspended based on a partial compromise</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while NCHR in 2017 urged reconsideration of his case on the basis of juvenility. His mercy petition remains pending before the President, and his age-based commutation appeal before the Supreme Court has yet to be adjudicated, leaving him on death row for over 27 years.</w:t>
      </w:r>
    </w:p>
    <w:p w14:paraId="552F4267" w14:textId="77777777" w:rsidR="00C36A80" w:rsidRDefault="00BA597E">
      <w:pPr>
        <w:numPr>
          <w:ilvl w:val="0"/>
          <w:numId w:val="1"/>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Together, these cases reveal systemic failure to identify and protect juveniles in Pakistan’s death penalty regime, driven by deficient age determination protocols and courts not reviewing juvenility claims.</w:t>
      </w:r>
    </w:p>
    <w:p w14:paraId="11133F24" w14:textId="77777777" w:rsidR="00C36A80" w:rsidRDefault="00BA597E">
      <w:pPr>
        <w:pStyle w:val="Heading4"/>
        <w:spacing w:after="200"/>
        <w:jc w:val="both"/>
        <w:rPr>
          <w:rFonts w:ascii="Times New Roman" w:eastAsia="Times New Roman" w:hAnsi="Times New Roman" w:cs="Times New Roman"/>
          <w:sz w:val="26"/>
          <w:szCs w:val="26"/>
        </w:rPr>
      </w:pPr>
      <w:bookmarkStart w:id="3" w:name="_ixakakcw7rnp" w:colFirst="0" w:colLast="0"/>
      <w:bookmarkEnd w:id="3"/>
      <w:r>
        <w:rPr>
          <w:rFonts w:ascii="Times New Roman" w:eastAsia="Times New Roman" w:hAnsi="Times New Roman" w:cs="Times New Roman"/>
          <w:sz w:val="26"/>
          <w:szCs w:val="26"/>
        </w:rPr>
        <w:lastRenderedPageBreak/>
        <w:t>Life Imprisonment of Juvenile Offenders</w:t>
      </w:r>
    </w:p>
    <w:p w14:paraId="2A69F3C3" w14:textId="77777777" w:rsidR="00C36A80" w:rsidRDefault="00BA597E">
      <w:pPr>
        <w:numPr>
          <w:ilvl w:val="0"/>
          <w:numId w:val="1"/>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JJSA does not prohibit life imprisonment</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for children, allowing courts to impose such sentences on juveniles. Domestic jurisprudence reflects a punitive orientation in such cases. In </w:t>
      </w:r>
      <w:r>
        <w:rPr>
          <w:rFonts w:ascii="Times New Roman" w:eastAsia="Times New Roman" w:hAnsi="Times New Roman" w:cs="Times New Roman"/>
          <w:i/>
          <w:iCs/>
          <w:sz w:val="24"/>
          <w:szCs w:val="24"/>
        </w:rPr>
        <w:t>Abdul Ghani v. The State</w:t>
      </w:r>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Balochistan</w:t>
      </w:r>
      <w:proofErr w:type="spellEnd"/>
      <w:r>
        <w:rPr>
          <w:rFonts w:ascii="Times New Roman" w:eastAsia="Times New Roman" w:hAnsi="Times New Roman" w:cs="Times New Roman"/>
          <w:sz w:val="24"/>
          <w:szCs w:val="24"/>
        </w:rPr>
        <w:t xml:space="preserve"> High Court increased a juvenile’s sentence from 10 years to life imprisonment.</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i/>
          <w:iCs/>
          <w:sz w:val="24"/>
          <w:szCs w:val="24"/>
        </w:rPr>
        <w:t>Niazbullah</w:t>
      </w:r>
      <w:proofErr w:type="spellEnd"/>
      <w:r>
        <w:rPr>
          <w:rFonts w:ascii="Times New Roman" w:eastAsia="Times New Roman" w:hAnsi="Times New Roman" w:cs="Times New Roman"/>
          <w:i/>
          <w:iCs/>
          <w:sz w:val="24"/>
          <w:szCs w:val="24"/>
        </w:rPr>
        <w:t xml:space="preserve"> v. Liaqat </w:t>
      </w:r>
      <w:proofErr w:type="spellStart"/>
      <w:r>
        <w:rPr>
          <w:rFonts w:ascii="Times New Roman" w:eastAsia="Times New Roman" w:hAnsi="Times New Roman" w:cs="Times New Roman"/>
          <w:i/>
          <w:iCs/>
          <w:sz w:val="24"/>
          <w:szCs w:val="24"/>
        </w:rPr>
        <w:t>ur</w:t>
      </w:r>
      <w:proofErr w:type="spellEnd"/>
      <w:r>
        <w:rPr>
          <w:rFonts w:ascii="Times New Roman" w:eastAsia="Times New Roman" w:hAnsi="Times New Roman" w:cs="Times New Roman"/>
          <w:i/>
          <w:iCs/>
          <w:sz w:val="24"/>
          <w:szCs w:val="24"/>
        </w:rPr>
        <w:t xml:space="preserve"> Rehman</w:t>
      </w:r>
      <w:r>
        <w:rPr>
          <w:rFonts w:ascii="Times New Roman" w:eastAsia="Times New Roman" w:hAnsi="Times New Roman" w:cs="Times New Roman"/>
          <w:sz w:val="24"/>
          <w:szCs w:val="24"/>
        </w:rPr>
        <w:t>, the Peshawar High Court overturned an acquittal and imposed a life sentence.</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i/>
          <w:iCs/>
          <w:sz w:val="24"/>
          <w:szCs w:val="24"/>
        </w:rPr>
        <w:t>Naseebullah</w:t>
      </w:r>
      <w:proofErr w:type="spellEnd"/>
      <w:r>
        <w:rPr>
          <w:rFonts w:ascii="Times New Roman" w:eastAsia="Times New Roman" w:hAnsi="Times New Roman" w:cs="Times New Roman"/>
          <w:i/>
          <w:iCs/>
          <w:sz w:val="24"/>
          <w:szCs w:val="24"/>
        </w:rPr>
        <w:t xml:space="preserve"> v. The State</w:t>
      </w:r>
      <w:r>
        <w:rPr>
          <w:rFonts w:ascii="Times New Roman" w:eastAsia="Times New Roman" w:hAnsi="Times New Roman" w:cs="Times New Roman"/>
          <w:sz w:val="24"/>
          <w:szCs w:val="24"/>
        </w:rPr>
        <w:t>, the court justified harsh punishment as a necessary deterrent, stating juveniles should not be allowed to “abuse” legal protections.</w:t>
      </w:r>
      <w:r>
        <w:rPr>
          <w:rFonts w:ascii="Times New Roman" w:eastAsia="Times New Roman" w:hAnsi="Times New Roman" w:cs="Times New Roman"/>
          <w:sz w:val="24"/>
          <w:szCs w:val="24"/>
          <w:vertAlign w:val="superscript"/>
        </w:rPr>
        <w:footnoteReference w:id="15"/>
      </w:r>
    </w:p>
    <w:p w14:paraId="3DB955B5" w14:textId="77777777" w:rsidR="00C36A80" w:rsidRDefault="00BA597E">
      <w:pPr>
        <w:numPr>
          <w:ilvl w:val="0"/>
          <w:numId w:val="1"/>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 children—mostly convicted of murder—are serving life sentences in Punjab’s jails,</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despite international law prohibiting life sentences for juveniles without a framework for regular review or conditional release.</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Although Pakistani law permits parole under the Good Conduct Prisoners (Probational Release) Act, 1926, it remains discretionary and falls short of the mandatory, child-</w:t>
      </w:r>
      <w:proofErr w:type="spellStart"/>
      <w:r>
        <w:rPr>
          <w:rFonts w:ascii="Times New Roman" w:eastAsia="Times New Roman" w:hAnsi="Times New Roman" w:cs="Times New Roman"/>
          <w:sz w:val="24"/>
          <w:szCs w:val="24"/>
        </w:rPr>
        <w:t>centred</w:t>
      </w:r>
      <w:proofErr w:type="spellEnd"/>
      <w:r>
        <w:rPr>
          <w:rFonts w:ascii="Times New Roman" w:eastAsia="Times New Roman" w:hAnsi="Times New Roman" w:cs="Times New Roman"/>
          <w:sz w:val="24"/>
          <w:szCs w:val="24"/>
        </w:rPr>
        <w:t xml:space="preserve"> review required by international norms.</w:t>
      </w:r>
    </w:p>
    <w:p w14:paraId="0A19E0BE" w14:textId="77777777" w:rsidR="00C36A80" w:rsidRDefault="00BA597E">
      <w:pPr>
        <w:pStyle w:val="Heading4"/>
        <w:spacing w:before="240" w:after="200"/>
        <w:jc w:val="both"/>
        <w:rPr>
          <w:rFonts w:ascii="Times New Roman" w:eastAsia="Times New Roman" w:hAnsi="Times New Roman" w:cs="Times New Roman"/>
          <w:sz w:val="26"/>
          <w:szCs w:val="26"/>
        </w:rPr>
      </w:pPr>
      <w:bookmarkStart w:id="4" w:name="_k4vawl8guh10" w:colFirst="0" w:colLast="0"/>
      <w:bookmarkEnd w:id="4"/>
      <w:r>
        <w:rPr>
          <w:rFonts w:ascii="Times New Roman" w:eastAsia="Times New Roman" w:hAnsi="Times New Roman" w:cs="Times New Roman"/>
          <w:sz w:val="26"/>
          <w:szCs w:val="26"/>
        </w:rPr>
        <w:t xml:space="preserve">Suggested Recommendations </w:t>
      </w:r>
    </w:p>
    <w:p w14:paraId="1DCF804A" w14:textId="77777777" w:rsidR="00C36A80" w:rsidRDefault="00BA597E">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light of the above, the following recommendations should be issued to the Government of Pakistan: </w:t>
      </w:r>
    </w:p>
    <w:p w14:paraId="3C795141" w14:textId="77777777" w:rsidR="00C36A80" w:rsidRDefault="00BA597E">
      <w:pPr>
        <w:numPr>
          <w:ilvl w:val="0"/>
          <w:numId w:val="4"/>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Ensure the 2001 Presidential Notification commuting juvenile death sentences is fully and uniformly implemented. </w:t>
      </w:r>
    </w:p>
    <w:p w14:paraId="152EF133" w14:textId="77777777" w:rsidR="00C36A80" w:rsidRDefault="00BA597E">
      <w:pPr>
        <w:numPr>
          <w:ilvl w:val="0"/>
          <w:numId w:val="4"/>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Conduct inquiries into all death row prisoners’ cases, where juvenility has been pledged – including Munawar and Azam’s. </w:t>
      </w:r>
    </w:p>
    <w:p w14:paraId="44E7E90D" w14:textId="77777777" w:rsidR="00C36A80" w:rsidRDefault="00BA597E">
      <w:pPr>
        <w:numPr>
          <w:ilvl w:val="0"/>
          <w:numId w:val="4"/>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Amend the JJSA to include a categorical prohibition on the imposition of life imprisonment for offences committed by persons under the age of 18.</w:t>
      </w:r>
    </w:p>
    <w:p w14:paraId="0FE4620E" w14:textId="77777777" w:rsidR="00C36A80" w:rsidRDefault="00BA597E">
      <w:pPr>
        <w:numPr>
          <w:ilvl w:val="0"/>
          <w:numId w:val="4"/>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Introduce Rules mandating judicial review of life sentences imposed on juvenile offenders, including those already serving life sentences. Establish clear pathways for conditional release under the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Good Conduct Prisoners (Probational Release) Act, 1926 and other provincial parole laws.</w:t>
      </w:r>
    </w:p>
    <w:p w14:paraId="47926DC1" w14:textId="77777777" w:rsidR="00C36A80" w:rsidRDefault="00BA597E">
      <w:pPr>
        <w:pStyle w:val="Heading2"/>
        <w:spacing w:after="200"/>
        <w:jc w:val="both"/>
        <w:rPr>
          <w:rFonts w:ascii="Times New Roman" w:eastAsia="Times New Roman" w:hAnsi="Times New Roman" w:cs="Times New Roman"/>
        </w:rPr>
      </w:pPr>
      <w:bookmarkStart w:id="5" w:name="_99zp87hs81f7" w:colFirst="0" w:colLast="0"/>
      <w:bookmarkEnd w:id="5"/>
      <w:r>
        <w:rPr>
          <w:rFonts w:ascii="Times New Roman" w:eastAsia="Times New Roman" w:hAnsi="Times New Roman" w:cs="Times New Roman"/>
        </w:rPr>
        <w:lastRenderedPageBreak/>
        <w:t xml:space="preserve">B. Implementation of the Juvenile Justice System Act, 2018 </w:t>
      </w:r>
    </w:p>
    <w:p w14:paraId="57896791" w14:textId="77777777" w:rsidR="00C36A80" w:rsidRDefault="00BA597E">
      <w:pPr>
        <w:pStyle w:val="Heading4"/>
        <w:pBdr>
          <w:top w:val="nil"/>
          <w:left w:val="nil"/>
          <w:bottom w:val="nil"/>
          <w:right w:val="nil"/>
          <w:between w:val="nil"/>
        </w:pBdr>
        <w:spacing w:after="200"/>
        <w:jc w:val="both"/>
        <w:rPr>
          <w:rFonts w:ascii="Times New Roman" w:eastAsia="Times New Roman" w:hAnsi="Times New Roman" w:cs="Times New Roman"/>
        </w:rPr>
      </w:pPr>
      <w:bookmarkStart w:id="6" w:name="_n16qxp348z09" w:colFirst="0" w:colLast="0"/>
      <w:bookmarkEnd w:id="6"/>
      <w:r>
        <w:rPr>
          <w:rFonts w:ascii="Times New Roman" w:eastAsia="Times New Roman" w:hAnsi="Times New Roman" w:cs="Times New Roman"/>
        </w:rPr>
        <w:t xml:space="preserve">Prior </w:t>
      </w:r>
      <w:r>
        <w:rPr>
          <w:rFonts w:ascii="Times New Roman" w:eastAsia="Times New Roman" w:hAnsi="Times New Roman" w:cs="Times New Roman"/>
          <w:sz w:val="26"/>
          <w:szCs w:val="26"/>
        </w:rPr>
        <w:t>Recommendation</w:t>
      </w:r>
      <w:r>
        <w:rPr>
          <w:rFonts w:ascii="Times New Roman" w:eastAsia="Times New Roman" w:hAnsi="Times New Roman" w:cs="Times New Roman"/>
        </w:rPr>
        <w:t>:</w:t>
      </w:r>
    </w:p>
    <w:p w14:paraId="4D571971" w14:textId="77777777" w:rsidR="00C36A80" w:rsidRDefault="00BA597E">
      <w:pPr>
        <w:numPr>
          <w:ilvl w:val="0"/>
          <w:numId w:val="1"/>
        </w:num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2024 </w:t>
      </w:r>
      <w:proofErr w:type="spellStart"/>
      <w:r>
        <w:rPr>
          <w:rFonts w:ascii="Times New Roman" w:eastAsia="Times New Roman" w:hAnsi="Times New Roman" w:cs="Times New Roman"/>
          <w:sz w:val="24"/>
          <w:szCs w:val="24"/>
        </w:rPr>
        <w:t>LoI’s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specificaly</w:t>
      </w:r>
      <w:proofErr w:type="spellEnd"/>
      <w:r>
        <w:rPr>
          <w:rFonts w:ascii="Times New Roman" w:eastAsia="Times New Roman" w:hAnsi="Times New Roman" w:cs="Times New Roman"/>
          <w:sz w:val="24"/>
          <w:szCs w:val="24"/>
        </w:rPr>
        <w:t xml:space="preserve"> asked Pakistan to: explain measures taken to implement the JJSA; ensure the use of juvenile courts for all offences; adopt non-custodial alternatives; investigate allegations of torture and ill-treatment; improve detention conditions; expand birth registration; and guarantee that poverty is never the reason for separating a child from their family.</w:t>
      </w:r>
      <w:r>
        <w:rPr>
          <w:rFonts w:ascii="Times New Roman" w:eastAsia="Times New Roman" w:hAnsi="Times New Roman" w:cs="Times New Roman"/>
          <w:sz w:val="24"/>
          <w:szCs w:val="24"/>
          <w:vertAlign w:val="superscript"/>
        </w:rPr>
        <w:footnoteReference w:id="18"/>
      </w:r>
    </w:p>
    <w:p w14:paraId="2177CFE1" w14:textId="77777777" w:rsidR="00C36A80" w:rsidRDefault="00BA597E">
      <w:pPr>
        <w:pStyle w:val="Heading4"/>
        <w:spacing w:after="200"/>
        <w:jc w:val="both"/>
        <w:rPr>
          <w:rFonts w:ascii="Times New Roman" w:eastAsia="Times New Roman" w:hAnsi="Times New Roman" w:cs="Times New Roman"/>
          <w:sz w:val="26"/>
          <w:szCs w:val="26"/>
        </w:rPr>
      </w:pPr>
      <w:bookmarkStart w:id="7" w:name="_shlpafo6b8qe" w:colFirst="0" w:colLast="0"/>
      <w:bookmarkEnd w:id="7"/>
      <w:r>
        <w:rPr>
          <w:rFonts w:ascii="Times New Roman" w:eastAsia="Times New Roman" w:hAnsi="Times New Roman" w:cs="Times New Roman"/>
          <w:sz w:val="26"/>
          <w:szCs w:val="26"/>
        </w:rPr>
        <w:t>Current State Policy and Practice</w:t>
      </w:r>
    </w:p>
    <w:p w14:paraId="0C6EBDB0" w14:textId="77777777" w:rsidR="00C36A80" w:rsidRDefault="00BA597E">
      <w:pPr>
        <w:numPr>
          <w:ilvl w:val="0"/>
          <w:numId w:val="1"/>
        </w:num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non-establishment of Juvenile Justice Committees and Juvenile Courts has rendered the JJSA’s core mechanisms for early diversion and reduced reliance on detention largely non-functional.</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Similarly, Observation Homes intended to house children under custody instead of jails, have not been established in any of the provinces.  Khyber Pakhtunkhwa is the only province to have adopted JJSA Rules, defining procedures on age determination, legal representation, and child-sensitive court practices, and </w:t>
      </w:r>
      <w:proofErr w:type="spellStart"/>
      <w:r>
        <w:rPr>
          <w:rFonts w:ascii="Times New Roman" w:eastAsia="Times New Roman" w:hAnsi="Times New Roman" w:cs="Times New Roman"/>
          <w:sz w:val="24"/>
          <w:szCs w:val="24"/>
        </w:rPr>
        <w:t>formalising</w:t>
      </w:r>
      <w:proofErr w:type="spellEnd"/>
      <w:r>
        <w:rPr>
          <w:rFonts w:ascii="Times New Roman" w:eastAsia="Times New Roman" w:hAnsi="Times New Roman" w:cs="Times New Roman"/>
          <w:sz w:val="24"/>
          <w:szCs w:val="24"/>
        </w:rPr>
        <w:t xml:space="preserve"> diversion.</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w:t>
      </w:r>
    </w:p>
    <w:p w14:paraId="0F6FBF57" w14:textId="77777777" w:rsidR="00C36A80" w:rsidRDefault="00BA597E">
      <w:pPr>
        <w:numPr>
          <w:ilvl w:val="0"/>
          <w:numId w:val="1"/>
        </w:num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Federally, the </w:t>
      </w:r>
      <w:r>
        <w:rPr>
          <w:rFonts w:ascii="Times New Roman" w:eastAsia="Times New Roman" w:hAnsi="Times New Roman" w:cs="Times New Roman"/>
          <w:i/>
          <w:iCs/>
          <w:sz w:val="24"/>
          <w:szCs w:val="24"/>
        </w:rPr>
        <w:t>National Coordination Committee on the Implementation of the JJSA, 2018</w:t>
      </w:r>
      <w:r>
        <w:rPr>
          <w:rFonts w:ascii="Times New Roman" w:eastAsia="Times New Roman" w:hAnsi="Times New Roman" w:cs="Times New Roman"/>
          <w:sz w:val="24"/>
          <w:szCs w:val="24"/>
        </w:rPr>
        <w:t xml:space="preserve">, chaired by the Minister of State for Law and Justice, </w:t>
      </w:r>
      <w:r>
        <w:rPr>
          <w:rFonts w:ascii="Times New Roman" w:eastAsia="Times New Roman" w:hAnsi="Times New Roman" w:cs="Times New Roman"/>
          <w:sz w:val="24"/>
          <w:szCs w:val="24"/>
        </w:rPr>
        <w:t xml:space="preserve">has been created to implement and </w:t>
      </w:r>
      <w:proofErr w:type="spellStart"/>
      <w:r>
        <w:rPr>
          <w:rFonts w:ascii="Times New Roman" w:eastAsia="Times New Roman" w:hAnsi="Times New Roman" w:cs="Times New Roman"/>
          <w:sz w:val="24"/>
          <w:szCs w:val="24"/>
        </w:rPr>
        <w:t>finalise</w:t>
      </w:r>
      <w:proofErr w:type="spellEnd"/>
      <w:r>
        <w:rPr>
          <w:rFonts w:ascii="Times New Roman" w:eastAsia="Times New Roman" w:hAnsi="Times New Roman" w:cs="Times New Roman"/>
          <w:sz w:val="24"/>
          <w:szCs w:val="24"/>
        </w:rPr>
        <w:t xml:space="preserve"> rules under JJSA.</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At its inaugural meeting in September 2025, the NCC undertook to develop a nationally applicable framework for </w:t>
      </w:r>
      <w:proofErr w:type="spellStart"/>
      <w:r>
        <w:rPr>
          <w:rFonts w:ascii="Times New Roman" w:eastAsia="Times New Roman" w:hAnsi="Times New Roman" w:cs="Times New Roman"/>
          <w:sz w:val="24"/>
          <w:szCs w:val="24"/>
        </w:rPr>
        <w:t>operationalising</w:t>
      </w:r>
      <w:proofErr w:type="spellEnd"/>
      <w:r>
        <w:rPr>
          <w:rFonts w:ascii="Times New Roman" w:eastAsia="Times New Roman" w:hAnsi="Times New Roman" w:cs="Times New Roman"/>
          <w:sz w:val="24"/>
          <w:szCs w:val="24"/>
        </w:rPr>
        <w:t xml:space="preserve"> the Act. </w:t>
      </w:r>
    </w:p>
    <w:p w14:paraId="4D0C1B23" w14:textId="77777777" w:rsidR="00C36A80" w:rsidRDefault="00BA597E">
      <w:pPr>
        <w:numPr>
          <w:ilvl w:val="0"/>
          <w:numId w:val="1"/>
        </w:num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2025, under the UNICEF-supported Justice for Children (J4C)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the National Commission for Human Rights (NCHR) carried out prison-monitoring visits across all four provinces, documenting compliance with JJSA safeguards and the conditions of children in custody. These visits revealed recurring patterns: children without legal representation; the absence of Observation Homes; prolonged undertrial detention far exceeding statutory </w:t>
      </w:r>
      <w:r>
        <w:rPr>
          <w:rFonts w:ascii="Times New Roman" w:eastAsia="Times New Roman" w:hAnsi="Times New Roman" w:cs="Times New Roman"/>
          <w:sz w:val="24"/>
          <w:szCs w:val="24"/>
        </w:rPr>
        <w:lastRenderedPageBreak/>
        <w:t>limits; and facilities lacking adequate sanitation, healthcare, and education. Additionally, NCHR has adopted a child detention moni</w:t>
      </w:r>
      <w:r>
        <w:rPr>
          <w:rFonts w:ascii="Times New Roman" w:eastAsia="Times New Roman" w:hAnsi="Times New Roman" w:cs="Times New Roman"/>
          <w:sz w:val="24"/>
          <w:szCs w:val="24"/>
        </w:rPr>
        <w:t>toring manual and undertaken training for staff on best practices on detention monitoring.</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w:t>
      </w:r>
    </w:p>
    <w:p w14:paraId="6479DFD6" w14:textId="77777777" w:rsidR="00C36A80" w:rsidRDefault="00BA597E">
      <w:pPr>
        <w:numPr>
          <w:ilvl w:val="0"/>
          <w:numId w:val="1"/>
        </w:num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promising, these initiatives have yet to translate into meaningful operational change.</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At arrest and in police custody, children are routinely misclassified as adults, denied state-funded legal representation under section 3 of the JJSA, subjected to CIDT and coercive interrogation, and held in prolonged detention without bail. Drawing on JPP’s field visits and interviews, the following sections examine persistent failures in arrest procedures, detention, age determination, and access to bail.</w:t>
      </w:r>
    </w:p>
    <w:p w14:paraId="328CF194" w14:textId="77777777" w:rsidR="00C36A80" w:rsidRDefault="00BA597E">
      <w:pPr>
        <w:pStyle w:val="Heading2"/>
        <w:numPr>
          <w:ilvl w:val="0"/>
          <w:numId w:val="5"/>
        </w:numPr>
        <w:spacing w:before="240" w:after="200"/>
        <w:jc w:val="both"/>
        <w:rPr>
          <w:rFonts w:ascii="Times New Roman" w:eastAsia="Times New Roman" w:hAnsi="Times New Roman" w:cs="Times New Roman"/>
        </w:rPr>
      </w:pPr>
      <w:bookmarkStart w:id="8" w:name="_x9v0w7jssz1r" w:colFirst="0" w:colLast="0"/>
      <w:bookmarkEnd w:id="8"/>
      <w:r>
        <w:rPr>
          <w:rFonts w:ascii="Times New Roman" w:eastAsia="Times New Roman" w:hAnsi="Times New Roman" w:cs="Times New Roman"/>
        </w:rPr>
        <w:t xml:space="preserve">Denial of Safeguards at the Time of Arrest </w:t>
      </w:r>
    </w:p>
    <w:p w14:paraId="641C96A0" w14:textId="77777777" w:rsidR="00C36A80" w:rsidRDefault="00BA597E">
      <w:pPr>
        <w:numPr>
          <w:ilvl w:val="0"/>
          <w:numId w:val="1"/>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Pakistan’s international and domestic legal frameworks enhanced protections for juveniles upon arrest. JJSA section 5(1) mandates that children not be detained in police stations, be placed in Observation Homes, and that their guardians and the concerned Juvenile Court be immediately notified, while guaranteeing state-funded legal assistance.</w:t>
      </w:r>
    </w:p>
    <w:p w14:paraId="37CB6C7D" w14:textId="77777777" w:rsidR="00C36A80" w:rsidRDefault="00BA597E">
      <w:pPr>
        <w:numPr>
          <w:ilvl w:val="0"/>
          <w:numId w:val="1"/>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Findings from JPP’s jail visits across the country show that incorrect age classification and not registering children as such results in them being processed entirely as adults, while interviews reveal that many had no contact with their guardians because police failed to notify families upon arrest. The absence of Observation Homes and Juvenile Justice Committees renders diversion under the JJSA non-functional, pushing children into the adult criminal justice system. </w:t>
      </w:r>
    </w:p>
    <w:p w14:paraId="120DD4A0" w14:textId="77777777" w:rsidR="00C36A80" w:rsidRDefault="00BA597E">
      <w:pPr>
        <w:pStyle w:val="Heading4"/>
        <w:spacing w:after="200"/>
        <w:jc w:val="both"/>
        <w:rPr>
          <w:rFonts w:ascii="Times New Roman" w:eastAsia="Times New Roman" w:hAnsi="Times New Roman" w:cs="Times New Roman"/>
        </w:rPr>
      </w:pPr>
      <w:bookmarkStart w:id="9" w:name="_152et86am2qw" w:colFirst="0" w:colLast="0"/>
      <w:bookmarkEnd w:id="9"/>
      <w:r>
        <w:rPr>
          <w:rFonts w:ascii="Times New Roman" w:eastAsia="Times New Roman" w:hAnsi="Times New Roman" w:cs="Times New Roman"/>
          <w:color w:val="000000"/>
          <w:sz w:val="32"/>
          <w:szCs w:val="32"/>
        </w:rPr>
        <w:t xml:space="preserve">II. Use of Physical Restraints and Coercion </w:t>
      </w:r>
    </w:p>
    <w:p w14:paraId="37A2B01A" w14:textId="77777777" w:rsidR="00C36A80" w:rsidRDefault="00BA597E">
      <w:pPr>
        <w:numPr>
          <w:ilvl w:val="0"/>
          <w:numId w:val="1"/>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Juvenile offenders in Pakistan continue to face systemic abuse at arrest, including routine handcuffing and severe beatings. JPP interviews with juveniles detained in District Jail, Lahore (2024), and Central Jail, Rawalpindi (2025), indicate that coercion is frequently used to extract confessions, including beatings with rubber pipes, sleep deprivation, starvation, and financial extortion.</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w:t>
      </w:r>
    </w:p>
    <w:p w14:paraId="774AB533" w14:textId="77777777" w:rsidR="00C36A80" w:rsidRDefault="00BA597E">
      <w:pPr>
        <w:pStyle w:val="Heading4"/>
        <w:spacing w:after="200"/>
        <w:jc w:val="both"/>
        <w:rPr>
          <w:rFonts w:ascii="Times New Roman" w:eastAsia="Times New Roman" w:hAnsi="Times New Roman" w:cs="Times New Roman"/>
          <w:sz w:val="26"/>
          <w:szCs w:val="26"/>
        </w:rPr>
      </w:pPr>
      <w:bookmarkStart w:id="10" w:name="_ppjxarycqk0t" w:colFirst="0" w:colLast="0"/>
      <w:bookmarkEnd w:id="10"/>
      <w:r>
        <w:rPr>
          <w:rFonts w:ascii="Times New Roman" w:eastAsia="Times New Roman" w:hAnsi="Times New Roman" w:cs="Times New Roman"/>
          <w:color w:val="000000"/>
          <w:sz w:val="32"/>
          <w:szCs w:val="32"/>
        </w:rPr>
        <w:lastRenderedPageBreak/>
        <w:t>III. Unlawful Detention and Lack of Legal Representation</w:t>
      </w:r>
    </w:p>
    <w:p w14:paraId="08166AFA" w14:textId="77777777" w:rsidR="00C36A80" w:rsidRDefault="00BA597E">
      <w:pPr>
        <w:numPr>
          <w:ilvl w:val="0"/>
          <w:numId w:val="1"/>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Following arrest, children are routinely held in unlawful detention beyond the 24-hour legal limit. Rather than being produced before a magistrate, they are kept in police lockups—sometimes for weeks—and often detained with adults in unsafe and unsanitary conditions.</w:t>
      </w:r>
    </w:p>
    <w:p w14:paraId="5F12BFA0" w14:textId="77777777" w:rsidR="00C36A80" w:rsidRDefault="00BA597E">
      <w:pPr>
        <w:numPr>
          <w:ilvl w:val="0"/>
          <w:numId w:val="1"/>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Crucially, children continue to be denied the right to free legal assistance as envisioned under the JJSA as no federal or provincial funds have been allocated for this purpose in the seven years since the law’s enactment.</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As a result, none of the 50+ children interviewed by JPP across Pakistan’s jails in 2024–2025 received state-funded legal assistance during police custody. Similarly, a 2022 NCHR visit to Rawalpindi Central Jail found that 29 of 79 undertrial juveniles (36%) had no access to legal aid.</w:t>
      </w:r>
      <w:r>
        <w:rPr>
          <w:rFonts w:ascii="Times New Roman" w:eastAsia="Times New Roman" w:hAnsi="Times New Roman" w:cs="Times New Roman"/>
          <w:sz w:val="24"/>
          <w:szCs w:val="24"/>
          <w:vertAlign w:val="superscript"/>
        </w:rPr>
        <w:footnoteReference w:id="26"/>
      </w:r>
    </w:p>
    <w:p w14:paraId="6D4E4FEA" w14:textId="77777777" w:rsidR="00C36A80" w:rsidRDefault="00BA597E">
      <w:pPr>
        <w:pStyle w:val="Heading2"/>
        <w:spacing w:after="200"/>
        <w:jc w:val="both"/>
        <w:rPr>
          <w:rFonts w:ascii="Times New Roman" w:eastAsia="Times New Roman" w:hAnsi="Times New Roman" w:cs="Times New Roman"/>
          <w:color w:val="FF0000"/>
          <w:sz w:val="24"/>
          <w:szCs w:val="24"/>
        </w:rPr>
      </w:pPr>
      <w:bookmarkStart w:id="11" w:name="_xsy9qsoifmje" w:colFirst="0" w:colLast="0"/>
      <w:bookmarkEnd w:id="11"/>
      <w:r>
        <w:rPr>
          <w:rFonts w:ascii="Times New Roman" w:eastAsia="Times New Roman" w:hAnsi="Times New Roman" w:cs="Times New Roman"/>
        </w:rPr>
        <w:t xml:space="preserve">IV. Inadequate Age Determination Protocols </w:t>
      </w:r>
    </w:p>
    <w:p w14:paraId="705CA856" w14:textId="77777777" w:rsidR="00C36A80" w:rsidRDefault="00BA597E">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PP’s August 2025 visit to Quetta Central Jail found that 62 of 63 children held in the juvenile ward—aged approximately 11 to 18—were not registered as juveniles in prison records.</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This reflected not only pervasive misclassification of minors as adults but also the structural failure of the JJSA’s age determination framework, which does not give the benefit of doubt in case of uncertainty to the juvenile as outlined in CRC General Comment 24.</w:t>
      </w:r>
      <w:r>
        <w:rPr>
          <w:rFonts w:ascii="Times New Roman" w:eastAsia="Times New Roman" w:hAnsi="Times New Roman" w:cs="Times New Roman"/>
          <w:sz w:val="24"/>
          <w:szCs w:val="24"/>
          <w:vertAlign w:val="superscript"/>
        </w:rPr>
        <w:footnoteReference w:id="28"/>
      </w:r>
    </w:p>
    <w:p w14:paraId="2DB2CD7A" w14:textId="77777777" w:rsidR="00C36A80" w:rsidRDefault="00BA597E">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JPP field visits show that age assessments by police and prison authorities are often arbitrary and conducted without documentary review, contrary to section 8 of the JJSA. In “heinous” cases, ages are frequently recorded above 16 to bypass bail under section 6(4), with detainees reporting coercion to overstate their age.</w:t>
      </w:r>
    </w:p>
    <w:p w14:paraId="3F8179E4" w14:textId="77777777" w:rsidR="00C36A80" w:rsidRDefault="00BA597E">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problem is compounded by Pakistan’s low birth registration rate for children under five (42.2%), with wide provincial disparities.</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In the absence of documents, police and courts rely on appearance and unreliable ossification tests, contrary to section 8 of the JJSA, which </w:t>
      </w:r>
      <w:proofErr w:type="spellStart"/>
      <w:r>
        <w:rPr>
          <w:rFonts w:ascii="Times New Roman" w:eastAsia="Times New Roman" w:hAnsi="Times New Roman" w:cs="Times New Roman"/>
          <w:sz w:val="24"/>
          <w:szCs w:val="24"/>
        </w:rPr>
        <w:t>prioritises</w:t>
      </w:r>
      <w:proofErr w:type="spellEnd"/>
      <w:r>
        <w:rPr>
          <w:rFonts w:ascii="Times New Roman" w:eastAsia="Times New Roman" w:hAnsi="Times New Roman" w:cs="Times New Roman"/>
          <w:sz w:val="24"/>
          <w:szCs w:val="24"/>
        </w:rPr>
        <w:t xml:space="preserve"> documentary evidence and permits medical testing only as a last resort.</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This also contravenes the principle of benefit of the doubt in juvenile justice, which mandates that any uncertainty regarding age be resolved in </w:t>
      </w:r>
      <w:proofErr w:type="spellStart"/>
      <w:r>
        <w:rPr>
          <w:rFonts w:ascii="Times New Roman" w:eastAsia="Times New Roman" w:hAnsi="Times New Roman" w:cs="Times New Roman"/>
          <w:sz w:val="24"/>
          <w:szCs w:val="24"/>
        </w:rPr>
        <w:t>favour</w:t>
      </w:r>
      <w:proofErr w:type="spellEnd"/>
      <w:r>
        <w:rPr>
          <w:rFonts w:ascii="Times New Roman" w:eastAsia="Times New Roman" w:hAnsi="Times New Roman" w:cs="Times New Roman"/>
          <w:sz w:val="24"/>
          <w:szCs w:val="24"/>
        </w:rPr>
        <w:t xml:space="preserve"> of treating the individual as a child.</w:t>
      </w:r>
      <w:r>
        <w:rPr>
          <w:rFonts w:ascii="Times New Roman" w:eastAsia="Times New Roman" w:hAnsi="Times New Roman" w:cs="Times New Roman"/>
          <w:sz w:val="24"/>
          <w:szCs w:val="24"/>
          <w:vertAlign w:val="superscript"/>
        </w:rPr>
        <w:footnoteReference w:id="31"/>
      </w:r>
    </w:p>
    <w:p w14:paraId="652DFEFC" w14:textId="77777777" w:rsidR="00C36A80" w:rsidRDefault="00BA597E">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Pakistani courts frequently rely on ossification tests even when documentary evidence exists. In </w:t>
      </w:r>
      <w:r>
        <w:rPr>
          <w:rFonts w:ascii="Times New Roman" w:eastAsia="Times New Roman" w:hAnsi="Times New Roman" w:cs="Times New Roman"/>
          <w:i/>
          <w:iCs/>
          <w:sz w:val="24"/>
          <w:szCs w:val="24"/>
        </w:rPr>
        <w:t>Gufran Ali v. Haseeb Khan</w:t>
      </w:r>
      <w:r>
        <w:rPr>
          <w:rFonts w:ascii="Times New Roman" w:eastAsia="Times New Roman" w:hAnsi="Times New Roman" w:cs="Times New Roman"/>
          <w:sz w:val="24"/>
          <w:szCs w:val="24"/>
        </w:rPr>
        <w:t>, the Supreme Court opined that where documents differ, medical testing is the most reliable method to determine age.</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However, such reliance contradicts both domestic and international legal standards. Ossification tests and other medical age tests have a margin of error (typically ±2 years), making them unreliable for precise age determination. </w:t>
      </w:r>
    </w:p>
    <w:p w14:paraId="309BFD9D" w14:textId="77777777" w:rsidR="00C36A80" w:rsidRDefault="00BA597E">
      <w:pPr>
        <w:pStyle w:val="Heading2"/>
        <w:spacing w:after="200"/>
        <w:jc w:val="both"/>
        <w:rPr>
          <w:rFonts w:ascii="Times New Roman" w:eastAsia="Times New Roman" w:hAnsi="Times New Roman" w:cs="Times New Roman"/>
        </w:rPr>
      </w:pPr>
      <w:r>
        <w:rPr>
          <w:rFonts w:ascii="Times New Roman" w:eastAsia="Times New Roman" w:hAnsi="Times New Roman" w:cs="Times New Roman"/>
        </w:rPr>
        <w:t xml:space="preserve">V. The Right to Bail  </w:t>
      </w:r>
    </w:p>
    <w:p w14:paraId="6B5D315F" w14:textId="77777777" w:rsidR="00C36A80" w:rsidRDefault="00BA597E">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 the JJSA, juveniles are entitled to bail in cases involving minor and major offences, with or without surety, while bail in heinous offences for those above 16 is discretionary. In Criminal Petition No. 345 of 2022, the Supreme Court held that juveniles detained for six months or more without trial, through no fault of their own, are entitled to bail even if proceedings remain pending.</w:t>
      </w:r>
      <w:r>
        <w:rPr>
          <w:rFonts w:ascii="Times New Roman" w:eastAsia="Times New Roman" w:hAnsi="Times New Roman" w:cs="Times New Roman"/>
          <w:sz w:val="24"/>
          <w:szCs w:val="24"/>
          <w:vertAlign w:val="superscript"/>
        </w:rPr>
        <w:footnoteReference w:id="33"/>
      </w:r>
    </w:p>
    <w:p w14:paraId="713BF255" w14:textId="77777777" w:rsidR="00C36A80" w:rsidRDefault="00BA597E">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these provisions, juveniles are routinely denied bail without surety, even though many cannot afford bail bonds. JPP interviews across multiple prisons show that most detainees come from indigent households; in District Jail, Lahore, 12 juveniles granted bail with surety remained detained solely because their families could not post bail. </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xml:space="preserve"> </w:t>
      </w:r>
    </w:p>
    <w:p w14:paraId="23CCAB94" w14:textId="77777777" w:rsidR="00C36A80" w:rsidRDefault="00BA597E">
      <w:pPr>
        <w:pStyle w:val="Heading2"/>
        <w:pBdr>
          <w:top w:val="nil"/>
          <w:left w:val="nil"/>
          <w:bottom w:val="nil"/>
          <w:right w:val="nil"/>
          <w:between w:val="nil"/>
        </w:pBdr>
        <w:spacing w:after="200"/>
        <w:jc w:val="both"/>
        <w:rPr>
          <w:rFonts w:ascii="Times New Roman" w:eastAsia="Times New Roman" w:hAnsi="Times New Roman" w:cs="Times New Roman"/>
        </w:rPr>
      </w:pPr>
      <w:proofErr w:type="spellStart"/>
      <w:r>
        <w:rPr>
          <w:rFonts w:ascii="Times New Roman" w:eastAsia="Times New Roman" w:hAnsi="Times New Roman" w:cs="Times New Roman"/>
        </w:rPr>
        <w:lastRenderedPageBreak/>
        <w:t>VI.Lack</w:t>
      </w:r>
      <w:proofErr w:type="spellEnd"/>
      <w:r>
        <w:rPr>
          <w:rFonts w:ascii="Times New Roman" w:eastAsia="Times New Roman" w:hAnsi="Times New Roman" w:cs="Times New Roman"/>
        </w:rPr>
        <w:t xml:space="preserve"> of Non-Custodial Measures and Poor Detention Conditions</w:t>
      </w:r>
    </w:p>
    <w:p w14:paraId="7DDF1A9D" w14:textId="77777777" w:rsidR="00C36A80" w:rsidRDefault="00BA597E">
      <w:pPr>
        <w:pStyle w:val="Heading2"/>
        <w:pBdr>
          <w:top w:val="nil"/>
          <w:left w:val="nil"/>
          <w:bottom w:val="nil"/>
          <w:right w:val="nil"/>
          <w:between w:val="nil"/>
        </w:pBdr>
        <w:spacing w:after="200"/>
        <w:jc w:val="both"/>
        <w:rPr>
          <w:rFonts w:ascii="Times New Roman" w:eastAsia="Times New Roman" w:hAnsi="Times New Roman" w:cs="Times New Roman"/>
        </w:rPr>
      </w:pPr>
      <w:r>
        <w:rPr>
          <w:rFonts w:ascii="Times New Roman" w:eastAsia="Times New Roman" w:hAnsi="Times New Roman" w:cs="Times New Roman"/>
          <w:color w:val="666666"/>
          <w:sz w:val="24"/>
          <w:szCs w:val="24"/>
        </w:rPr>
        <w:t>Prior Recommendations:</w:t>
      </w:r>
      <w:r>
        <w:rPr>
          <w:rFonts w:ascii="Times New Roman" w:eastAsia="Times New Roman" w:hAnsi="Times New Roman" w:cs="Times New Roman"/>
        </w:rPr>
        <w:t xml:space="preserve"> </w:t>
      </w:r>
    </w:p>
    <w:p w14:paraId="730CEEAB" w14:textId="77777777" w:rsidR="00C36A80" w:rsidRDefault="00BA597E">
      <w:pPr>
        <w:numPr>
          <w:ilvl w:val="0"/>
          <w:numId w:val="1"/>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2024 LOI urged the State to implement non-custodial measures to deprivation of liberty, such as diversion, probation, counselling, mediation, community service or suspended sentences, wherever possible;</w:t>
      </w:r>
    </w:p>
    <w:p w14:paraId="522D1D37" w14:textId="77777777" w:rsidR="00C36A80" w:rsidRDefault="00BA597E">
      <w:pPr>
        <w:spacing w:before="240" w:after="200"/>
        <w:jc w:val="both"/>
        <w:rPr>
          <w:rFonts w:ascii="Times New Roman" w:eastAsia="Times New Roman" w:hAnsi="Times New Roman" w:cs="Times New Roman"/>
          <w:color w:val="666666"/>
          <w:sz w:val="24"/>
          <w:szCs w:val="24"/>
        </w:rPr>
      </w:pPr>
      <w:r>
        <w:rPr>
          <w:rFonts w:ascii="Times New Roman" w:eastAsia="Times New Roman" w:hAnsi="Times New Roman" w:cs="Times New Roman"/>
          <w:color w:val="666666"/>
          <w:sz w:val="24"/>
          <w:szCs w:val="24"/>
        </w:rPr>
        <w:t>Current State Policy or Practice</w:t>
      </w:r>
    </w:p>
    <w:p w14:paraId="27C6B401" w14:textId="77777777" w:rsidR="00C36A80" w:rsidRDefault="00BA597E">
      <w:pPr>
        <w:numPr>
          <w:ilvl w:val="0"/>
          <w:numId w:val="1"/>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JJSA establishes a legal framework for diversion and rehabilitation. Measures under s.15 include release, community service, restitution, counseling, probation, or commitment to a Juvenile Rehabilitation Centre. As of 2024, a total of 1,584 juveniles are imprisoned, with a staggering 85.1 percent still under trial. NCHR’s 2022 visit to Adiala Jail found that out of the total 82 juvenile offenders around 79 (around 96%) are under trial.</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Similarly, in Central Jail, Karachi out of the 216 children in prison, only 4 are convicted. These figures indicate a systemic failure to implement diversion, bail, and timely adjudication, resulting in prolonged incarceration.</w:t>
      </w:r>
    </w:p>
    <w:p w14:paraId="0CF448DB" w14:textId="77777777" w:rsidR="00C36A80" w:rsidRDefault="00BA597E">
      <w:pPr>
        <w:numPr>
          <w:ilvl w:val="0"/>
          <w:numId w:val="1"/>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overreliance on detention is compounded by the weakness of probation and parole systems which remain grossly underfunded and </w:t>
      </w:r>
      <w:proofErr w:type="spellStart"/>
      <w:r>
        <w:rPr>
          <w:rFonts w:ascii="Times New Roman" w:eastAsia="Times New Roman" w:hAnsi="Times New Roman" w:cs="Times New Roman"/>
          <w:sz w:val="24"/>
          <w:szCs w:val="24"/>
        </w:rPr>
        <w:t>underutilised</w:t>
      </w:r>
      <w:proofErr w:type="spellEnd"/>
      <w:r>
        <w:rPr>
          <w:rFonts w:ascii="Times New Roman" w:eastAsia="Times New Roman" w:hAnsi="Times New Roman" w:cs="Times New Roman"/>
          <w:sz w:val="24"/>
          <w:szCs w:val="24"/>
        </w:rPr>
        <w:t>. As of 2024, Punjab has 53 probation officers, managing approximately 36,015 probationers including 247 children; only seven children were released on parole during the year.</w:t>
      </w:r>
      <w:r>
        <w:rPr>
          <w:rFonts w:ascii="Times New Roman" w:eastAsia="Times New Roman" w:hAnsi="Times New Roman" w:cs="Times New Roman"/>
          <w:sz w:val="24"/>
          <w:szCs w:val="24"/>
          <w:vertAlign w:val="superscript"/>
        </w:rPr>
        <w:footnoteReference w:id="36"/>
      </w:r>
    </w:p>
    <w:p w14:paraId="129BBFC5" w14:textId="77777777" w:rsidR="00C36A80" w:rsidRDefault="00BA597E">
      <w:pPr>
        <w:numPr>
          <w:ilvl w:val="0"/>
          <w:numId w:val="1"/>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November</w:t>
      </w:r>
      <w:r>
        <w:rPr>
          <w:rFonts w:ascii="Times New Roman" w:eastAsia="Times New Roman" w:hAnsi="Times New Roman" w:cs="Times New Roman"/>
          <w:sz w:val="24"/>
          <w:szCs w:val="24"/>
        </w:rPr>
        <w:t xml:space="preserve"> 2023 report by JPP revealed that only 30.7 percent of juvenile detainees were housed in Reformatory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while 69.3 percent remained in regular prisons</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In Punjab alone, 745 juveniles were in detention, with 81% confined to regular adult facilities. Moreover, data from CODE Pakistan in 2022 indicates that Punjab and Sindh have separate facilities for juveniles</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but Khyber Pakhtunkhwa and </w:t>
      </w:r>
      <w:proofErr w:type="spellStart"/>
      <w:r>
        <w:rPr>
          <w:rFonts w:ascii="Times New Roman" w:eastAsia="Times New Roman" w:hAnsi="Times New Roman" w:cs="Times New Roman"/>
          <w:sz w:val="24"/>
          <w:szCs w:val="24"/>
        </w:rPr>
        <w:t>Balochistan</w:t>
      </w:r>
      <w:proofErr w:type="spellEnd"/>
      <w:r>
        <w:rPr>
          <w:rFonts w:ascii="Times New Roman" w:eastAsia="Times New Roman" w:hAnsi="Times New Roman" w:cs="Times New Roman"/>
          <w:sz w:val="24"/>
          <w:szCs w:val="24"/>
        </w:rPr>
        <w:t xml:space="preserve"> lack Reformatory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or </w:t>
      </w:r>
      <w:proofErr w:type="spellStart"/>
      <w:r>
        <w:rPr>
          <w:rFonts w:ascii="Times New Roman" w:eastAsia="Times New Roman" w:hAnsi="Times New Roman" w:cs="Times New Roman"/>
          <w:sz w:val="24"/>
          <w:szCs w:val="24"/>
        </w:rPr>
        <w:t>Borstal</w:t>
      </w:r>
      <w:proofErr w:type="spellEnd"/>
      <w:r>
        <w:rPr>
          <w:rFonts w:ascii="Times New Roman" w:eastAsia="Times New Roman" w:hAnsi="Times New Roman" w:cs="Times New Roman"/>
          <w:sz w:val="24"/>
          <w:szCs w:val="24"/>
        </w:rPr>
        <w:t xml:space="preserve"> Institutes entirely. Even though The Baluchistan </w:t>
      </w:r>
      <w:proofErr w:type="spellStart"/>
      <w:r>
        <w:rPr>
          <w:rFonts w:ascii="Times New Roman" w:eastAsia="Times New Roman" w:hAnsi="Times New Roman" w:cs="Times New Roman"/>
          <w:sz w:val="24"/>
          <w:szCs w:val="24"/>
        </w:rPr>
        <w:t>Borstal</w:t>
      </w:r>
      <w:proofErr w:type="spellEnd"/>
      <w:r>
        <w:rPr>
          <w:rFonts w:ascii="Times New Roman" w:eastAsia="Times New Roman" w:hAnsi="Times New Roman" w:cs="Times New Roman"/>
          <w:sz w:val="24"/>
          <w:szCs w:val="24"/>
        </w:rPr>
        <w:t xml:space="preserve"> Institutions Act </w:t>
      </w:r>
      <w:r>
        <w:rPr>
          <w:rFonts w:ascii="Times New Roman" w:eastAsia="Times New Roman" w:hAnsi="Times New Roman" w:cs="Times New Roman"/>
          <w:sz w:val="24"/>
          <w:szCs w:val="24"/>
        </w:rPr>
        <w:lastRenderedPageBreak/>
        <w:t xml:space="preserve">2014 was passed according to which a </w:t>
      </w:r>
      <w:proofErr w:type="spellStart"/>
      <w:r>
        <w:rPr>
          <w:rFonts w:ascii="Times New Roman" w:eastAsia="Times New Roman" w:hAnsi="Times New Roman" w:cs="Times New Roman"/>
          <w:sz w:val="24"/>
          <w:szCs w:val="24"/>
        </w:rPr>
        <w:t>Borstal</w:t>
      </w:r>
      <w:proofErr w:type="spellEnd"/>
      <w:r>
        <w:rPr>
          <w:rFonts w:ascii="Times New Roman" w:eastAsia="Times New Roman" w:hAnsi="Times New Roman" w:cs="Times New Roman"/>
          <w:sz w:val="24"/>
          <w:szCs w:val="24"/>
        </w:rPr>
        <w:t xml:space="preserve"> institution was to be established within, no progress has been made to date.</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w:t>
      </w:r>
    </w:p>
    <w:p w14:paraId="7C18A39B" w14:textId="77777777" w:rsidR="00C36A80" w:rsidRDefault="00BA597E">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strain of excessive detention is directly reflected in detention conditions. In Punjab, prison occupancy has reached 173.6 percent of official capacity, while Sindh stands at 161.42 percent, and </w:t>
      </w:r>
      <w:proofErr w:type="spellStart"/>
      <w:r>
        <w:rPr>
          <w:rFonts w:ascii="Times New Roman" w:eastAsia="Times New Roman" w:hAnsi="Times New Roman" w:cs="Times New Roman"/>
          <w:sz w:val="24"/>
          <w:szCs w:val="24"/>
        </w:rPr>
        <w:t>Balochistan</w:t>
      </w:r>
      <w:proofErr w:type="spellEnd"/>
      <w:r>
        <w:rPr>
          <w:rFonts w:ascii="Times New Roman" w:eastAsia="Times New Roman" w:hAnsi="Times New Roman" w:cs="Times New Roman"/>
          <w:sz w:val="24"/>
          <w:szCs w:val="24"/>
        </w:rPr>
        <w:t xml:space="preserve"> at 115.60 percent.</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xml:space="preserve"> These overcrowded conditions pose serious threats to the physical and psychological well-being of detained children. The overall conditions inside many prisons amount to CIDT with issues including poor hygiene, inadequate nutrition and bedding, lack of sanitation, and insufficient medical care.</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This demonstrates a system fundamentally misaligned with the JJSA’s rehabilitative purpose and Pakistan’s obligations under the CRC.</w:t>
      </w:r>
    </w:p>
    <w:p w14:paraId="5849769B" w14:textId="77777777" w:rsidR="00C36A80" w:rsidRDefault="00BA597E">
      <w:pPr>
        <w:pStyle w:val="Heading4"/>
        <w:pBdr>
          <w:top w:val="nil"/>
          <w:left w:val="nil"/>
          <w:bottom w:val="nil"/>
          <w:right w:val="nil"/>
          <w:between w:val="nil"/>
        </w:pBdr>
        <w:spacing w:after="200"/>
        <w:jc w:val="both"/>
        <w:rPr>
          <w:rFonts w:ascii="Times New Roman" w:eastAsia="Times New Roman" w:hAnsi="Times New Roman" w:cs="Times New Roman"/>
        </w:rPr>
      </w:pPr>
      <w:bookmarkStart w:id="12" w:name="_8m5xxzyt6dvz" w:colFirst="0" w:colLast="0"/>
      <w:bookmarkEnd w:id="12"/>
      <w:r>
        <w:rPr>
          <w:rFonts w:ascii="Times New Roman" w:eastAsia="Times New Roman" w:hAnsi="Times New Roman" w:cs="Times New Roman"/>
          <w:color w:val="000000"/>
          <w:sz w:val="32"/>
          <w:szCs w:val="32"/>
        </w:rPr>
        <w:t>VII. Rehabilitation, Reintegration Programs, and Post-Release Support</w:t>
      </w:r>
    </w:p>
    <w:p w14:paraId="1557F78C" w14:textId="77777777" w:rsidR="00C36A80" w:rsidRDefault="00BA597E">
      <w:pPr>
        <w:numPr>
          <w:ilvl w:val="0"/>
          <w:numId w:val="1"/>
        </w:num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 JJSA’s emphasis on rehabilitation, no province has notified Juvenile Rehabilitation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Only two </w:t>
      </w:r>
      <w:proofErr w:type="spellStart"/>
      <w:r>
        <w:rPr>
          <w:rFonts w:ascii="Times New Roman" w:eastAsia="Times New Roman" w:hAnsi="Times New Roman" w:cs="Times New Roman"/>
          <w:sz w:val="24"/>
          <w:szCs w:val="24"/>
        </w:rPr>
        <w:t>Borstal</w:t>
      </w:r>
      <w:proofErr w:type="spellEnd"/>
      <w:r>
        <w:rPr>
          <w:rFonts w:ascii="Times New Roman" w:eastAsia="Times New Roman" w:hAnsi="Times New Roman" w:cs="Times New Roman"/>
          <w:sz w:val="24"/>
          <w:szCs w:val="24"/>
        </w:rPr>
        <w:t xml:space="preserve"> Institutions in Punjab and five Youthful Offenders Industrial Schools in Sindh exist—while Khyber Pakhtunkhwa, </w:t>
      </w:r>
      <w:proofErr w:type="spellStart"/>
      <w:r>
        <w:rPr>
          <w:rFonts w:ascii="Times New Roman" w:eastAsia="Times New Roman" w:hAnsi="Times New Roman" w:cs="Times New Roman"/>
          <w:sz w:val="24"/>
          <w:szCs w:val="24"/>
        </w:rPr>
        <w:t>Balochistan</w:t>
      </w:r>
      <w:proofErr w:type="spellEnd"/>
      <w:r>
        <w:rPr>
          <w:rFonts w:ascii="Times New Roman" w:eastAsia="Times New Roman" w:hAnsi="Times New Roman" w:cs="Times New Roman"/>
          <w:sz w:val="24"/>
          <w:szCs w:val="24"/>
        </w:rPr>
        <w:t xml:space="preserve"> have none.</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Post-release support is absent, leaving children without assistance in resuming education, finding safe accommodation, or accessing psychosocial support.</w:t>
      </w:r>
    </w:p>
    <w:p w14:paraId="6AC0642A" w14:textId="77777777" w:rsidR="00C36A80" w:rsidRDefault="00BA597E">
      <w:pPr>
        <w:pStyle w:val="Heading2"/>
        <w:spacing w:after="200"/>
        <w:jc w:val="both"/>
        <w:rPr>
          <w:rFonts w:ascii="Times New Roman" w:eastAsia="Times New Roman" w:hAnsi="Times New Roman" w:cs="Times New Roman"/>
          <w:sz w:val="24"/>
          <w:szCs w:val="24"/>
        </w:rPr>
      </w:pPr>
      <w:bookmarkStart w:id="13" w:name="_k8xlppgmg552" w:colFirst="0" w:colLast="0"/>
      <w:bookmarkEnd w:id="13"/>
      <w:r>
        <w:rPr>
          <w:rFonts w:ascii="Times New Roman" w:eastAsia="Times New Roman" w:hAnsi="Times New Roman" w:cs="Times New Roman"/>
        </w:rPr>
        <w:t xml:space="preserve">VIII. Poverty-based </w:t>
      </w:r>
      <w:proofErr w:type="spellStart"/>
      <w:r>
        <w:rPr>
          <w:rFonts w:ascii="Times New Roman" w:eastAsia="Times New Roman" w:hAnsi="Times New Roman" w:cs="Times New Roman"/>
        </w:rPr>
        <w:t>Criminalisation</w:t>
      </w:r>
      <w:proofErr w:type="spellEnd"/>
      <w:r>
        <w:rPr>
          <w:rFonts w:ascii="Times New Roman" w:eastAsia="Times New Roman" w:hAnsi="Times New Roman" w:cs="Times New Roman"/>
        </w:rPr>
        <w:t xml:space="preserve"> of Children </w:t>
      </w:r>
    </w:p>
    <w:p w14:paraId="71CF82D6" w14:textId="77777777" w:rsidR="00C36A80" w:rsidRDefault="00BA597E">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range of laws</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enable police to detain individuals, including minors, under provisions </w:t>
      </w:r>
      <w:proofErr w:type="spellStart"/>
      <w:r>
        <w:rPr>
          <w:rFonts w:ascii="Times New Roman" w:eastAsia="Times New Roman" w:hAnsi="Times New Roman" w:cs="Times New Roman"/>
          <w:sz w:val="24"/>
          <w:szCs w:val="24"/>
        </w:rPr>
        <w:t>criminalising</w:t>
      </w:r>
      <w:proofErr w:type="spellEnd"/>
      <w:r>
        <w:rPr>
          <w:rFonts w:ascii="Times New Roman" w:eastAsia="Times New Roman" w:hAnsi="Times New Roman" w:cs="Times New Roman"/>
          <w:sz w:val="24"/>
          <w:szCs w:val="24"/>
        </w:rPr>
        <w:t xml:space="preserve"> economic status rather than conduct and are enforced arbitrarily, particularly against street-connected children. In 2022, an NCHR investigation at Adiala Jail documented six juvenile prisoners—including one as young as 11— detained for minor thefts, begging, or vagrancy. </w:t>
      </w:r>
    </w:p>
    <w:p w14:paraId="40DB34F1" w14:textId="77777777" w:rsidR="00C36A80" w:rsidRDefault="00BA597E">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Similar patterns are visible in Khyber Pakhtunkhwa and Punjab, where 85 and 84 children respectively remain in custody on low-level drug offences</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xml:space="preserve">, demonstrating prosecution of poverty-driven survival activities. Pakistan lacks accessible and voluntary rehabilitation </w:t>
      </w:r>
      <w:r>
        <w:rPr>
          <w:rFonts w:ascii="Times New Roman" w:eastAsia="Times New Roman" w:hAnsi="Times New Roman" w:cs="Times New Roman"/>
          <w:sz w:val="24"/>
          <w:szCs w:val="24"/>
        </w:rPr>
        <w:lastRenderedPageBreak/>
        <w:t xml:space="preserve">services for children who use drugs. The absence of such support mechanisms reinforces the tendency to respond to vulnerability with </w:t>
      </w:r>
      <w:proofErr w:type="spellStart"/>
      <w:r>
        <w:rPr>
          <w:rFonts w:ascii="Times New Roman" w:eastAsia="Times New Roman" w:hAnsi="Times New Roman" w:cs="Times New Roman"/>
          <w:sz w:val="24"/>
          <w:szCs w:val="24"/>
        </w:rPr>
        <w:t>criminalisation</w:t>
      </w:r>
      <w:proofErr w:type="spellEnd"/>
      <w:r>
        <w:rPr>
          <w:rFonts w:ascii="Times New Roman" w:eastAsia="Times New Roman" w:hAnsi="Times New Roman" w:cs="Times New Roman"/>
          <w:sz w:val="24"/>
          <w:szCs w:val="24"/>
        </w:rPr>
        <w:t xml:space="preserve"> rather than care.</w:t>
      </w:r>
    </w:p>
    <w:p w14:paraId="348ADC4A" w14:textId="77777777" w:rsidR="00C36A80" w:rsidRDefault="00BA597E">
      <w:pPr>
        <w:numPr>
          <w:ilvl w:val="0"/>
          <w:numId w:val="1"/>
        </w:num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institutions such as the Pakistan Legal Aid and Justice Authority (LAJA) and provincial public defender offices provide a statutory framework for legal assistance, their scope must be expanded to cover the needs of children in conflict with the law. The Ministry of Law and Justice–supported LAJA pilot in Rawalpindi Central Jail (2025), which provides state-funded legal aid to indigent women in drug-related cases, offers a promising model that could be extended to juveniles to ensure timely legal assis</w:t>
      </w:r>
      <w:r>
        <w:rPr>
          <w:rFonts w:ascii="Times New Roman" w:eastAsia="Times New Roman" w:hAnsi="Times New Roman" w:cs="Times New Roman"/>
          <w:sz w:val="24"/>
          <w:szCs w:val="24"/>
        </w:rPr>
        <w:t>tance.</w:t>
      </w:r>
    </w:p>
    <w:p w14:paraId="4E31DB73" w14:textId="77777777" w:rsidR="00C36A80" w:rsidRDefault="00BA597E">
      <w:pPr>
        <w:pStyle w:val="Heading3"/>
        <w:spacing w:before="240" w:after="240"/>
        <w:jc w:val="both"/>
        <w:rPr>
          <w:rFonts w:ascii="Times New Roman" w:eastAsia="Times New Roman" w:hAnsi="Times New Roman" w:cs="Times New Roman"/>
        </w:rPr>
      </w:pPr>
      <w:bookmarkStart w:id="14" w:name="_6w5wdeab8orx" w:colFirst="0" w:colLast="0"/>
      <w:bookmarkEnd w:id="14"/>
      <w:r>
        <w:rPr>
          <w:rFonts w:ascii="Times New Roman" w:eastAsia="Times New Roman" w:hAnsi="Times New Roman" w:cs="Times New Roman"/>
        </w:rPr>
        <w:t xml:space="preserve">Proposed Recommendations </w:t>
      </w:r>
    </w:p>
    <w:p w14:paraId="69BC9913" w14:textId="77777777" w:rsidR="00C36A80" w:rsidRDefault="00BA597E">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light of the above, the following recommendations should be issued to the Government of Pakistan: </w:t>
      </w:r>
    </w:p>
    <w:p w14:paraId="034966FE" w14:textId="77777777" w:rsidR="00C36A80" w:rsidRDefault="00BA597E">
      <w:pPr>
        <w:numPr>
          <w:ilvl w:val="0"/>
          <w:numId w:val="3"/>
        </w:numPr>
        <w:spacing w:before="240" w:after="240"/>
        <w:jc w:val="both"/>
        <w:rPr>
          <w:rFonts w:ascii="Times New Roman" w:eastAsia="Times New Roman" w:hAnsi="Times New Roman" w:cs="Times New Roman"/>
        </w:rPr>
      </w:pPr>
      <w:r>
        <w:rPr>
          <w:rFonts w:ascii="Times New Roman" w:eastAsia="Times New Roman" w:hAnsi="Times New Roman" w:cs="Times New Roman"/>
          <w:sz w:val="24"/>
          <w:szCs w:val="24"/>
        </w:rPr>
        <w:t xml:space="preserve">Enact Rules for the Juvenile Justice Systems Act (JJSA) 2018 in Punjab, </w:t>
      </w:r>
      <w:proofErr w:type="spellStart"/>
      <w:r>
        <w:rPr>
          <w:rFonts w:ascii="Times New Roman" w:eastAsia="Times New Roman" w:hAnsi="Times New Roman" w:cs="Times New Roman"/>
          <w:sz w:val="24"/>
          <w:szCs w:val="24"/>
        </w:rPr>
        <w:t>Balochistan</w:t>
      </w:r>
      <w:proofErr w:type="spellEnd"/>
      <w:r>
        <w:rPr>
          <w:rFonts w:ascii="Times New Roman" w:eastAsia="Times New Roman" w:hAnsi="Times New Roman" w:cs="Times New Roman"/>
          <w:sz w:val="24"/>
          <w:szCs w:val="24"/>
        </w:rPr>
        <w:t>, Sindh, Azad Jammu and Kashmir (AJ&amp;K), and Islamabad Capital Territory (ICT) to ensure its full implementation.</w:t>
      </w:r>
    </w:p>
    <w:p w14:paraId="3200BFC4" w14:textId="77777777" w:rsidR="00C36A80" w:rsidRDefault="00BA597E">
      <w:pPr>
        <w:numPr>
          <w:ilvl w:val="0"/>
          <w:numId w:val="3"/>
        </w:numPr>
        <w:spacing w:before="240" w:after="24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Operationalise</w:t>
      </w:r>
      <w:proofErr w:type="spellEnd"/>
      <w:r>
        <w:rPr>
          <w:rFonts w:ascii="Times New Roman" w:eastAsia="Times New Roman" w:hAnsi="Times New Roman" w:cs="Times New Roman"/>
          <w:sz w:val="24"/>
          <w:szCs w:val="24"/>
        </w:rPr>
        <w:t xml:space="preserve">, throughout the country, Juvenile Justice Committees, Juvenile Courts, Observation Homes, and rehabilitation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for juveniles in line with the JJSA.</w:t>
      </w:r>
    </w:p>
    <w:p w14:paraId="61C9A376" w14:textId="77777777" w:rsidR="00C36A80" w:rsidRDefault="00BA597E">
      <w:pPr>
        <w:numPr>
          <w:ilvl w:val="0"/>
          <w:numId w:val="3"/>
        </w:numPr>
        <w:spacing w:before="240" w:after="240"/>
        <w:jc w:val="both"/>
        <w:rPr>
          <w:rFonts w:ascii="Times New Roman" w:eastAsia="Times New Roman" w:hAnsi="Times New Roman" w:cs="Times New Roman"/>
        </w:rPr>
      </w:pPr>
      <w:proofErr w:type="spellStart"/>
      <w:r>
        <w:rPr>
          <w:rFonts w:ascii="Times New Roman" w:eastAsia="Times New Roman" w:hAnsi="Times New Roman" w:cs="Times New Roman"/>
          <w:sz w:val="24"/>
          <w:szCs w:val="24"/>
        </w:rPr>
        <w:t>Operationalise</w:t>
      </w:r>
      <w:proofErr w:type="spellEnd"/>
      <w:r>
        <w:rPr>
          <w:rFonts w:ascii="Times New Roman" w:eastAsia="Times New Roman" w:hAnsi="Times New Roman" w:cs="Times New Roman"/>
          <w:sz w:val="24"/>
          <w:szCs w:val="24"/>
        </w:rPr>
        <w:t xml:space="preserve"> diversion and non-custodial measures under the JJSA, including counselling, probation, restitution, and community-based alternatives, to reduce reliance on detention.</w:t>
      </w:r>
    </w:p>
    <w:p w14:paraId="0F90CDDF" w14:textId="77777777" w:rsidR="00C36A80" w:rsidRDefault="00BA597E">
      <w:pPr>
        <w:numPr>
          <w:ilvl w:val="0"/>
          <w:numId w:val="3"/>
        </w:numPr>
        <w:spacing w:before="240" w:after="240"/>
        <w:jc w:val="both"/>
        <w:rPr>
          <w:rFonts w:ascii="Times New Roman" w:eastAsia="Times New Roman" w:hAnsi="Times New Roman" w:cs="Times New Roman"/>
        </w:rPr>
      </w:pPr>
      <w:r>
        <w:rPr>
          <w:rFonts w:ascii="Times New Roman" w:eastAsia="Times New Roman" w:hAnsi="Times New Roman" w:cs="Times New Roman"/>
          <w:sz w:val="24"/>
          <w:szCs w:val="24"/>
        </w:rPr>
        <w:t>Enforce the six-month statutory limit for juvenile trials and grant bail where delays are not attributable to the child.</w:t>
      </w:r>
    </w:p>
    <w:p w14:paraId="41369BFC" w14:textId="77777777" w:rsidR="00C36A80" w:rsidRDefault="00BA597E">
      <w:pPr>
        <w:numPr>
          <w:ilvl w:val="0"/>
          <w:numId w:val="3"/>
        </w:numPr>
        <w:spacing w:before="240" w:after="240"/>
        <w:jc w:val="both"/>
        <w:rPr>
          <w:rFonts w:ascii="Times New Roman" w:eastAsia="Times New Roman" w:hAnsi="Times New Roman" w:cs="Times New Roman"/>
        </w:rPr>
      </w:pPr>
      <w:r>
        <w:rPr>
          <w:rFonts w:ascii="Times New Roman" w:eastAsia="Times New Roman" w:hAnsi="Times New Roman" w:cs="Times New Roman"/>
          <w:sz w:val="24"/>
          <w:szCs w:val="24"/>
        </w:rPr>
        <w:t>Strengthen probation and parole systems by increasing staffing, allocating child-specific budgets, and establishing judicial oversight.</w:t>
      </w:r>
    </w:p>
    <w:p w14:paraId="670AE052" w14:textId="77777777" w:rsidR="00C36A80" w:rsidRDefault="00BA597E">
      <w:pPr>
        <w:numPr>
          <w:ilvl w:val="0"/>
          <w:numId w:val="3"/>
        </w:numPr>
        <w:spacing w:before="240" w:after="240"/>
        <w:jc w:val="both"/>
        <w:rPr>
          <w:rFonts w:ascii="Times New Roman" w:eastAsia="Times New Roman" w:hAnsi="Times New Roman" w:cs="Times New Roman"/>
        </w:rPr>
      </w:pPr>
      <w:r>
        <w:rPr>
          <w:rFonts w:ascii="Times New Roman" w:eastAsia="Times New Roman" w:hAnsi="Times New Roman" w:cs="Times New Roman"/>
          <w:sz w:val="24"/>
          <w:szCs w:val="24"/>
        </w:rPr>
        <w:t>Conduct a comprehensive review of Prison Rules, JJSA procedures, and probation frameworks to align with the CRC and the Beijing Rules.</w:t>
      </w:r>
    </w:p>
    <w:p w14:paraId="274C9876" w14:textId="77777777" w:rsidR="00C36A80" w:rsidRDefault="00BA597E">
      <w:pPr>
        <w:numPr>
          <w:ilvl w:val="0"/>
          <w:numId w:val="3"/>
        </w:numPr>
        <w:spacing w:before="240" w:after="240"/>
        <w:jc w:val="both"/>
        <w:rPr>
          <w:rFonts w:ascii="Times New Roman" w:eastAsia="Times New Roman" w:hAnsi="Times New Roman" w:cs="Times New Roman"/>
        </w:rPr>
      </w:pPr>
      <w:r>
        <w:rPr>
          <w:rFonts w:ascii="Times New Roman" w:eastAsia="Times New Roman" w:hAnsi="Times New Roman" w:cs="Times New Roman"/>
          <w:sz w:val="24"/>
          <w:szCs w:val="24"/>
        </w:rPr>
        <w:t>Improve detention conditions to meet minimum international standards, ensuring adequate sanitation, nutrition, healthcare (including mental health care), education, and recreation.</w:t>
      </w:r>
    </w:p>
    <w:p w14:paraId="4081A535" w14:textId="77777777" w:rsidR="00C36A80" w:rsidRDefault="00BA597E">
      <w:pPr>
        <w:numPr>
          <w:ilvl w:val="0"/>
          <w:numId w:val="3"/>
        </w:numPr>
        <w:spacing w:before="240" w:after="240"/>
        <w:jc w:val="both"/>
        <w:rPr>
          <w:rFonts w:ascii="Times New Roman" w:eastAsia="Times New Roman" w:hAnsi="Times New Roman" w:cs="Times New Roman"/>
        </w:rPr>
      </w:pPr>
      <w:r>
        <w:rPr>
          <w:rFonts w:ascii="Times New Roman" w:eastAsia="Times New Roman" w:hAnsi="Times New Roman" w:cs="Times New Roman"/>
          <w:sz w:val="24"/>
          <w:szCs w:val="24"/>
        </w:rPr>
        <w:t>Direct Juvenile Courts to grant bail without surety for low-income children and ensure bail conditions do not result in de facto detention due to poverty.</w:t>
      </w:r>
    </w:p>
    <w:p w14:paraId="48ABC0E3" w14:textId="77777777" w:rsidR="00C36A80" w:rsidRDefault="00BA597E">
      <w:pPr>
        <w:numPr>
          <w:ilvl w:val="0"/>
          <w:numId w:val="3"/>
        </w:numPr>
        <w:spacing w:before="240" w:after="240"/>
        <w:jc w:val="both"/>
        <w:rPr>
          <w:rFonts w:ascii="Times New Roman" w:eastAsia="Times New Roman" w:hAnsi="Times New Roman" w:cs="Times New Roman"/>
        </w:rPr>
      </w:pPr>
      <w:r>
        <w:rPr>
          <w:rFonts w:ascii="Times New Roman" w:eastAsia="Times New Roman" w:hAnsi="Times New Roman" w:cs="Times New Roman"/>
          <w:sz w:val="24"/>
          <w:szCs w:val="24"/>
        </w:rPr>
        <w:t xml:space="preserve">Issue uniform judicial guidelines for bail in heinous-offence cases involving children over 16, requiring </w:t>
      </w:r>
      <w:proofErr w:type="spellStart"/>
      <w:r>
        <w:rPr>
          <w:rFonts w:ascii="Times New Roman" w:eastAsia="Times New Roman" w:hAnsi="Times New Roman" w:cs="Times New Roman"/>
          <w:sz w:val="24"/>
          <w:szCs w:val="24"/>
        </w:rPr>
        <w:t>individualised</w:t>
      </w:r>
      <w:proofErr w:type="spellEnd"/>
      <w:r>
        <w:rPr>
          <w:rFonts w:ascii="Times New Roman" w:eastAsia="Times New Roman" w:hAnsi="Times New Roman" w:cs="Times New Roman"/>
          <w:sz w:val="24"/>
          <w:szCs w:val="24"/>
        </w:rPr>
        <w:t xml:space="preserve"> assessments.</w:t>
      </w:r>
    </w:p>
    <w:p w14:paraId="0013AE1E" w14:textId="77777777" w:rsidR="00C36A80" w:rsidRDefault="00BA597E">
      <w:pPr>
        <w:numPr>
          <w:ilvl w:val="0"/>
          <w:numId w:val="3"/>
        </w:numPr>
        <w:spacing w:before="240" w:after="240"/>
        <w:jc w:val="both"/>
        <w:rPr>
          <w:rFonts w:ascii="Times New Roman" w:eastAsia="Times New Roman" w:hAnsi="Times New Roman" w:cs="Times New Roman"/>
        </w:rPr>
      </w:pPr>
      <w:r>
        <w:rPr>
          <w:rFonts w:ascii="Times New Roman" w:eastAsia="Times New Roman" w:hAnsi="Times New Roman" w:cs="Times New Roman"/>
          <w:sz w:val="24"/>
          <w:szCs w:val="24"/>
        </w:rPr>
        <w:lastRenderedPageBreak/>
        <w:t>Establish a provincial Child Bail Assistance Fund and permit probation officers to act as sureties when family support is absent.</w:t>
      </w:r>
    </w:p>
    <w:p w14:paraId="0E0B6CB9" w14:textId="77777777" w:rsidR="00C36A80" w:rsidRDefault="00BA597E">
      <w:pPr>
        <w:numPr>
          <w:ilvl w:val="0"/>
          <w:numId w:val="3"/>
        </w:numPr>
        <w:spacing w:before="240" w:after="240"/>
        <w:jc w:val="both"/>
        <w:rPr>
          <w:rFonts w:ascii="Times New Roman" w:eastAsia="Times New Roman" w:hAnsi="Times New Roman" w:cs="Times New Roman"/>
        </w:rPr>
      </w:pPr>
      <w:r>
        <w:rPr>
          <w:rFonts w:ascii="Times New Roman" w:eastAsia="Times New Roman" w:hAnsi="Times New Roman" w:cs="Times New Roman"/>
          <w:sz w:val="24"/>
          <w:szCs w:val="24"/>
        </w:rPr>
        <w:t>Mandate the immediate transfer of all children from police lockups and adult prisons to Observation Homes.</w:t>
      </w:r>
    </w:p>
    <w:p w14:paraId="6756B50C" w14:textId="77777777" w:rsidR="00C36A80" w:rsidRDefault="00BA597E">
      <w:pPr>
        <w:numPr>
          <w:ilvl w:val="0"/>
          <w:numId w:val="3"/>
        </w:numPr>
        <w:spacing w:before="240" w:after="240"/>
        <w:jc w:val="both"/>
        <w:rPr>
          <w:rFonts w:ascii="Times New Roman" w:eastAsia="Times New Roman" w:hAnsi="Times New Roman" w:cs="Times New Roman"/>
        </w:rPr>
      </w:pPr>
      <w:r>
        <w:rPr>
          <w:rFonts w:ascii="Times New Roman" w:eastAsia="Times New Roman" w:hAnsi="Times New Roman" w:cs="Times New Roman"/>
          <w:sz w:val="24"/>
          <w:szCs w:val="24"/>
        </w:rPr>
        <w:t>Establish dedicated juvenile legal-aid cells in police stations, courts, and prisons staffed by trained child-rights lawyers, supplemented by bar associations and civil society.</w:t>
      </w:r>
    </w:p>
    <w:p w14:paraId="046C6B91" w14:textId="77777777" w:rsidR="00C36A80" w:rsidRDefault="00BA597E">
      <w:pPr>
        <w:numPr>
          <w:ilvl w:val="0"/>
          <w:numId w:val="3"/>
        </w:numPr>
        <w:spacing w:before="240" w:after="240"/>
        <w:jc w:val="both"/>
        <w:rPr>
          <w:rFonts w:ascii="Times New Roman" w:eastAsia="Times New Roman" w:hAnsi="Times New Roman" w:cs="Times New Roman"/>
        </w:rPr>
      </w:pPr>
      <w:r>
        <w:rPr>
          <w:rFonts w:ascii="Times New Roman" w:eastAsia="Times New Roman" w:hAnsi="Times New Roman" w:cs="Times New Roman"/>
          <w:sz w:val="24"/>
          <w:szCs w:val="24"/>
        </w:rPr>
        <w:t>Adopt SOPs prohibiting exclusive reliance on ossification or radiological testing for age determination and incorporate a statutory presumption of minority where evidence conflicts or is inconclusive.</w:t>
      </w:r>
    </w:p>
    <w:p w14:paraId="4E6751A6" w14:textId="77777777" w:rsidR="00C36A80" w:rsidRDefault="00BA597E">
      <w:pPr>
        <w:numPr>
          <w:ilvl w:val="0"/>
          <w:numId w:val="3"/>
        </w:numPr>
        <w:spacing w:before="240" w:after="240"/>
        <w:jc w:val="both"/>
        <w:rPr>
          <w:rFonts w:ascii="Times New Roman" w:eastAsia="Times New Roman" w:hAnsi="Times New Roman" w:cs="Times New Roman"/>
        </w:rPr>
      </w:pPr>
      <w:r>
        <w:rPr>
          <w:rFonts w:ascii="Times New Roman" w:eastAsia="Times New Roman" w:hAnsi="Times New Roman" w:cs="Times New Roman"/>
          <w:sz w:val="24"/>
          <w:szCs w:val="24"/>
        </w:rPr>
        <w:t>Repeal or amend vagrancy, beggary, and other poverty-based offences that disproportionately target children.</w:t>
      </w:r>
    </w:p>
    <w:p w14:paraId="6CB41B14" w14:textId="77777777" w:rsidR="00C36A80" w:rsidRDefault="00BA597E">
      <w:pPr>
        <w:numPr>
          <w:ilvl w:val="0"/>
          <w:numId w:val="3"/>
        </w:numPr>
        <w:spacing w:before="240" w:after="240"/>
        <w:jc w:val="both"/>
        <w:rPr>
          <w:rFonts w:ascii="Times New Roman" w:eastAsia="Times New Roman" w:hAnsi="Times New Roman" w:cs="Times New Roman"/>
        </w:rPr>
      </w:pPr>
      <w:r>
        <w:rPr>
          <w:rFonts w:ascii="Times New Roman" w:eastAsia="Times New Roman" w:hAnsi="Times New Roman" w:cs="Times New Roman"/>
          <w:sz w:val="24"/>
          <w:szCs w:val="24"/>
        </w:rPr>
        <w:t xml:space="preserve">Guarantee access to competent, state-funded legal assistance for all children from the point of arrest. </w:t>
      </w:r>
    </w:p>
    <w:p w14:paraId="547FBCEF" w14:textId="77777777" w:rsidR="00C36A80" w:rsidRDefault="00BA597E">
      <w:pPr>
        <w:numPr>
          <w:ilvl w:val="0"/>
          <w:numId w:val="3"/>
        </w:numPr>
        <w:spacing w:before="240" w:after="240"/>
        <w:jc w:val="both"/>
        <w:rPr>
          <w:rFonts w:ascii="Times New Roman" w:eastAsia="Times New Roman" w:hAnsi="Times New Roman" w:cs="Times New Roman"/>
        </w:rPr>
      </w:pPr>
      <w:r>
        <w:rPr>
          <w:rFonts w:ascii="Times New Roman" w:eastAsia="Times New Roman" w:hAnsi="Times New Roman" w:cs="Times New Roman"/>
          <w:sz w:val="24"/>
          <w:szCs w:val="24"/>
        </w:rPr>
        <w:t>Train and sensitize law enforcement, judiciary, probation officers, prosecutors, detention staff, psychologists, and social workers—on JJSA 2018 and mechanisms for its implementation.</w:t>
      </w:r>
    </w:p>
    <w:p w14:paraId="4380019A" w14:textId="77777777" w:rsidR="00C36A80" w:rsidRDefault="00BA597E">
      <w:pPr>
        <w:numPr>
          <w:ilvl w:val="0"/>
          <w:numId w:val="3"/>
        </w:numPr>
        <w:spacing w:before="240" w:after="240"/>
        <w:jc w:val="both"/>
        <w:rPr>
          <w:rFonts w:ascii="Times New Roman" w:eastAsia="Times New Roman" w:hAnsi="Times New Roman" w:cs="Times New Roman"/>
        </w:rPr>
      </w:pPr>
      <w:r>
        <w:rPr>
          <w:rFonts w:ascii="Times New Roman" w:eastAsia="Times New Roman" w:hAnsi="Times New Roman" w:cs="Times New Roman"/>
          <w:sz w:val="24"/>
          <w:szCs w:val="24"/>
        </w:rPr>
        <w:t xml:space="preserve">Formally notify and adequately resource Juvenile Rehabilitation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and upgrade existing </w:t>
      </w:r>
      <w:proofErr w:type="spellStart"/>
      <w:r>
        <w:rPr>
          <w:rFonts w:ascii="Times New Roman" w:eastAsia="Times New Roman" w:hAnsi="Times New Roman" w:cs="Times New Roman"/>
          <w:sz w:val="24"/>
          <w:szCs w:val="24"/>
        </w:rPr>
        <w:t>Borstal</w:t>
      </w:r>
      <w:proofErr w:type="spellEnd"/>
      <w:r>
        <w:rPr>
          <w:rFonts w:ascii="Times New Roman" w:eastAsia="Times New Roman" w:hAnsi="Times New Roman" w:cs="Times New Roman"/>
          <w:sz w:val="24"/>
          <w:szCs w:val="24"/>
        </w:rPr>
        <w:t xml:space="preserve"> and Youth Offender institutions with integrated education, vocational, and psychosocial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w:t>
      </w:r>
    </w:p>
    <w:sectPr w:rsidR="00C36A8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CF195" w14:textId="77777777" w:rsidR="00BA597E" w:rsidRDefault="00BA597E">
      <w:pPr>
        <w:spacing w:line="240" w:lineRule="auto"/>
      </w:pPr>
      <w:r>
        <w:separator/>
      </w:r>
    </w:p>
  </w:endnote>
  <w:endnote w:type="continuationSeparator" w:id="0">
    <w:p w14:paraId="569359CF" w14:textId="77777777" w:rsidR="00BA597E" w:rsidRDefault="00BA59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embedBold r:id="rId1" w:fontKey="{45EA3A12-97C3-4B24-BB3F-5384C321F688}"/>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3853B140-2086-4E0E-A95A-54263B82602E}"/>
  </w:font>
  <w:font w:name="Cambria">
    <w:panose1 w:val="02040503050406030204"/>
    <w:charset w:val="00"/>
    <w:family w:val="roman"/>
    <w:pitch w:val="variable"/>
    <w:sig w:usb0="E00006FF" w:usb1="420024FF" w:usb2="02000000" w:usb3="00000000" w:csb0="0000019F" w:csb1="00000000"/>
    <w:embedRegular r:id="rId3" w:fontKey="{F6125227-8660-444B-8039-945853784EE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7EE10" w14:textId="77777777" w:rsidR="00BA597E" w:rsidRDefault="00BA597E">
      <w:pPr>
        <w:spacing w:line="240" w:lineRule="auto"/>
      </w:pPr>
      <w:r>
        <w:separator/>
      </w:r>
    </w:p>
  </w:footnote>
  <w:footnote w:type="continuationSeparator" w:id="0">
    <w:p w14:paraId="09EE3091" w14:textId="77777777" w:rsidR="00BA597E" w:rsidRDefault="00BA597E">
      <w:pPr>
        <w:spacing w:line="240" w:lineRule="auto"/>
      </w:pPr>
      <w:r>
        <w:continuationSeparator/>
      </w:r>
    </w:p>
  </w:footnote>
  <w:footnote w:id="1">
    <w:p w14:paraId="317D6A76" w14:textId="77777777" w:rsidR="00C36A80" w:rsidRDefault="00BA597E">
      <w:pPr>
        <w:rPr>
          <w:rFonts w:ascii="Times New Roman" w:eastAsia="Times New Roman" w:hAnsi="Times New Roman" w:cs="Times New Roman"/>
        </w:rPr>
      </w:pPr>
      <w:r>
        <w:rPr>
          <w:vertAlign w:val="superscript"/>
        </w:rPr>
        <w:footnoteRef/>
      </w:r>
      <w:r>
        <w:rPr>
          <w:sz w:val="18"/>
          <w:szCs w:val="18"/>
        </w:rPr>
        <w:t xml:space="preserve"> </w:t>
      </w:r>
      <w:r>
        <w:rPr>
          <w:rFonts w:ascii="Times New Roman" w:eastAsia="Times New Roman" w:hAnsi="Times New Roman" w:cs="Times New Roman"/>
          <w:b/>
          <w:bCs/>
        </w:rPr>
        <w:t xml:space="preserve">Justice Project Pakistan (JPP) </w:t>
      </w:r>
      <w:r>
        <w:rPr>
          <w:rFonts w:ascii="Times New Roman" w:eastAsia="Times New Roman" w:hAnsi="Times New Roman" w:cs="Times New Roman"/>
        </w:rPr>
        <w:t xml:space="preserve">is a legal action NGO representing vulnerable Pakistani prisoners facing the harshest punishments. Through strategic litigation, policy advocacy, research, and capacity-building, JPP works to reform Pakistan’s criminal justice system, end the prosecution of children as adults, secure protection from extreme sentencing—including the death penalty—and promote diversion, rehabilitation, and </w:t>
      </w:r>
      <w:proofErr w:type="spellStart"/>
      <w:r>
        <w:rPr>
          <w:rFonts w:ascii="Times New Roman" w:eastAsia="Times New Roman" w:hAnsi="Times New Roman" w:cs="Times New Roman"/>
        </w:rPr>
        <w:t>decriminalisation</w:t>
      </w:r>
      <w:proofErr w:type="spellEnd"/>
      <w:r>
        <w:rPr>
          <w:rFonts w:ascii="Times New Roman" w:eastAsia="Times New Roman" w:hAnsi="Times New Roman" w:cs="Times New Roman"/>
        </w:rPr>
        <w:t xml:space="preserve"> of poverty-related offences.</w:t>
      </w:r>
    </w:p>
    <w:p w14:paraId="336A09A9" w14:textId="77777777" w:rsidR="00C36A80" w:rsidRDefault="00BA597E">
      <w:pPr>
        <w:spacing w:before="240" w:after="240"/>
        <w:jc w:val="both"/>
        <w:rPr>
          <w:sz w:val="18"/>
          <w:szCs w:val="18"/>
        </w:rPr>
      </w:pPr>
      <w:r>
        <w:rPr>
          <w:rFonts w:ascii="Times New Roman" w:eastAsia="Times New Roman" w:hAnsi="Times New Roman" w:cs="Times New Roman"/>
          <w:b/>
          <w:bCs/>
        </w:rPr>
        <w:t xml:space="preserve">Harm Reduction International </w:t>
      </w:r>
      <w:r>
        <w:rPr>
          <w:rFonts w:ascii="Times New Roman" w:eastAsia="Times New Roman" w:hAnsi="Times New Roman" w:cs="Times New Roman"/>
        </w:rPr>
        <w:t xml:space="preserve">(HRI) is a leading non-governmental </w:t>
      </w:r>
      <w:proofErr w:type="spellStart"/>
      <w:r>
        <w:rPr>
          <w:rFonts w:ascii="Times New Roman" w:eastAsia="Times New Roman" w:hAnsi="Times New Roman" w:cs="Times New Roman"/>
        </w:rPr>
        <w:t>organisation</w:t>
      </w:r>
      <w:proofErr w:type="spellEnd"/>
      <w:r>
        <w:rPr>
          <w:rFonts w:ascii="Times New Roman" w:eastAsia="Times New Roman" w:hAnsi="Times New Roman" w:cs="Times New Roman"/>
        </w:rPr>
        <w:t xml:space="preserve"> that envisions a world in which drug policies uphold dignity, health and rights. We use data and advocacy to promote harm reduction and drug policy reforms. We show how rights-based, evidence-informed responses to drugs contribute to healthier, safer societies, and why investing in harm reduction makes sense. HRI is an NGO in Special Consultative Status with the Economic and Social Council of the United Nations.  </w:t>
      </w:r>
    </w:p>
  </w:footnote>
  <w:footnote w:id="2">
    <w:p w14:paraId="0601553D" w14:textId="77777777" w:rsidR="00C36A80" w:rsidRDefault="00BA597E">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Committee on the Rights of the Child, List of issues in relation to the combined sixth and seventh periodic reports of Pakistan, 21 Oct 2024, </w:t>
      </w:r>
      <w:hyperlink r:id="rId1">
        <w:r>
          <w:rPr>
            <w:rFonts w:ascii="Times New Roman" w:eastAsia="Times New Roman" w:hAnsi="Times New Roman" w:cs="Times New Roman"/>
            <w:color w:val="1155CC"/>
            <w:sz w:val="20"/>
            <w:szCs w:val="20"/>
            <w:u w:val="single"/>
          </w:rPr>
          <w:t>https://tbinternet.ohchr.org/_layouts/15/treatybodyexternal/Download.aspx?symbolno=CRC%2FC%2FPAK%2FQ%2F6-7&amp;Lang=en</w:t>
        </w:r>
      </w:hyperlink>
      <w:r>
        <w:rPr>
          <w:rFonts w:ascii="Times New Roman" w:eastAsia="Times New Roman" w:hAnsi="Times New Roman" w:cs="Times New Roman"/>
          <w:sz w:val="20"/>
          <w:szCs w:val="20"/>
        </w:rPr>
        <w:t xml:space="preserve"> </w:t>
      </w:r>
      <w:r>
        <w:rPr>
          <w:sz w:val="20"/>
          <w:szCs w:val="20"/>
        </w:rPr>
        <w:tab/>
      </w:r>
      <w:r>
        <w:rPr>
          <w:sz w:val="20"/>
          <w:szCs w:val="20"/>
        </w:rPr>
        <w:tab/>
      </w:r>
    </w:p>
  </w:footnote>
  <w:footnote w:id="3">
    <w:p w14:paraId="7C2FCB84"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Power exercised under Article 45 of the Constitution of Pakistan, as per Justice Project Pakistan (JPP). </w:t>
      </w:r>
      <w:hyperlink r:id="rId2">
        <w:r>
          <w:rPr>
            <w:rFonts w:ascii="Times New Roman" w:eastAsia="Times New Roman" w:hAnsi="Times New Roman" w:cs="Times New Roman"/>
            <w:color w:val="1155CC"/>
            <w:sz w:val="20"/>
            <w:szCs w:val="20"/>
            <w:u w:val="single"/>
          </w:rPr>
          <w:t>https://data.jpp.org.pk/api/files/1542107289267oecto36u8jg.pdf</w:t>
        </w:r>
      </w:hyperlink>
      <w:r>
        <w:rPr>
          <w:rFonts w:ascii="Times New Roman" w:eastAsia="Times New Roman" w:hAnsi="Times New Roman" w:cs="Times New Roman"/>
          <w:sz w:val="20"/>
          <w:szCs w:val="20"/>
        </w:rPr>
        <w:t xml:space="preserve"> </w:t>
      </w:r>
    </w:p>
  </w:footnote>
  <w:footnote w:id="4">
    <w:p w14:paraId="509F764C"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Justice Project Pakistan, Death Row’s Children, p. 8, </w:t>
      </w:r>
      <w:hyperlink r:id="rId3">
        <w:r>
          <w:rPr>
            <w:rFonts w:ascii="Times New Roman" w:eastAsia="Times New Roman" w:hAnsi="Times New Roman" w:cs="Times New Roman"/>
            <w:color w:val="1155CC"/>
            <w:sz w:val="20"/>
            <w:szCs w:val="20"/>
            <w:u w:val="single"/>
          </w:rPr>
          <w:t>https://data.jpp.org.pk/api/files/1542107289267oecto36u8jg.pdf</w:t>
        </w:r>
      </w:hyperlink>
      <w:r>
        <w:rPr>
          <w:rFonts w:ascii="Times New Roman" w:eastAsia="Times New Roman" w:hAnsi="Times New Roman" w:cs="Times New Roman"/>
          <w:sz w:val="20"/>
          <w:szCs w:val="20"/>
        </w:rPr>
        <w:t xml:space="preserve">  </w:t>
      </w:r>
    </w:p>
  </w:footnote>
  <w:footnote w:id="5">
    <w:p w14:paraId="108A1874"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Justice Project Pakistan (JPP). </w:t>
      </w:r>
      <w:hyperlink r:id="rId4">
        <w:r>
          <w:rPr>
            <w:rFonts w:ascii="Times New Roman" w:eastAsia="Times New Roman" w:hAnsi="Times New Roman" w:cs="Times New Roman"/>
            <w:color w:val="1155CC"/>
            <w:sz w:val="20"/>
            <w:szCs w:val="20"/>
            <w:u w:val="single"/>
          </w:rPr>
          <w:t>Death Row’s Children</w:t>
        </w:r>
      </w:hyperlink>
      <w:r>
        <w:rPr>
          <w:rFonts w:ascii="Times New Roman" w:eastAsia="Times New Roman" w:hAnsi="Times New Roman" w:cs="Times New Roman"/>
          <w:sz w:val="20"/>
          <w:szCs w:val="20"/>
        </w:rPr>
        <w:t xml:space="preserve"> (2017); </w:t>
      </w:r>
      <w:hyperlink r:id="rId5">
        <w:r>
          <w:rPr>
            <w:rFonts w:ascii="Times New Roman" w:eastAsia="Times New Roman" w:hAnsi="Times New Roman" w:cs="Times New Roman"/>
            <w:color w:val="1155CC"/>
            <w:sz w:val="20"/>
            <w:szCs w:val="20"/>
            <w:u w:val="single"/>
          </w:rPr>
          <w:t>Trial and Terror: The Overreach of Pakistan’s Anti-Terrorism Law</w:t>
        </w:r>
      </w:hyperlink>
      <w:r>
        <w:rPr>
          <w:rFonts w:ascii="Times New Roman" w:eastAsia="Times New Roman" w:hAnsi="Times New Roman" w:cs="Times New Roman"/>
          <w:sz w:val="20"/>
          <w:szCs w:val="20"/>
        </w:rPr>
        <w:t xml:space="preserve"> (2017) </w:t>
      </w:r>
    </w:p>
  </w:footnote>
  <w:footnote w:id="6">
    <w:p w14:paraId="1CD8E1A0" w14:textId="77777777" w:rsidR="00C36A80" w:rsidRDefault="00BA597E">
      <w:pPr>
        <w:spacing w:line="240" w:lineRule="auto"/>
        <w:rPr>
          <w:sz w:val="18"/>
          <w:szCs w:val="18"/>
        </w:rPr>
      </w:pPr>
      <w:r>
        <w:rPr>
          <w:vertAlign w:val="superscript"/>
        </w:rPr>
        <w:footnoteRef/>
      </w:r>
      <w:r>
        <w:rPr>
          <w:sz w:val="18"/>
          <w:szCs w:val="18"/>
        </w:rPr>
        <w:t xml:space="preserve"> </w:t>
      </w:r>
      <w:r>
        <w:rPr>
          <w:i/>
          <w:iCs/>
          <w:sz w:val="18"/>
          <w:szCs w:val="18"/>
        </w:rPr>
        <w:t>Id</w:t>
      </w:r>
      <w:r>
        <w:rPr>
          <w:sz w:val="18"/>
          <w:szCs w:val="18"/>
        </w:rPr>
        <w:t xml:space="preserve">. </w:t>
      </w:r>
    </w:p>
  </w:footnote>
  <w:footnote w:id="7">
    <w:p w14:paraId="4754758A"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PLD 2020 Lahore 739</w:t>
      </w:r>
    </w:p>
  </w:footnote>
  <w:footnote w:id="8">
    <w:p w14:paraId="0E2E14BD"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Supreme Court’s judgment dated 22.03.2021 in Civil Petition No. 352 of 2016</w:t>
      </w:r>
    </w:p>
  </w:footnote>
  <w:footnote w:id="9">
    <w:p w14:paraId="18DE55D4"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Munawar Ali’s case file, on record with JPP.</w:t>
      </w:r>
    </w:p>
  </w:footnote>
  <w:footnote w:id="10">
    <w:p w14:paraId="248F5E37"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Justice Project Pakistan, </w:t>
      </w:r>
      <w:r>
        <w:rPr>
          <w:rFonts w:ascii="Times New Roman" w:eastAsia="Times New Roman" w:hAnsi="Times New Roman" w:cs="Times New Roman"/>
          <w:i/>
          <w:iCs/>
          <w:sz w:val="20"/>
          <w:szCs w:val="20"/>
        </w:rPr>
        <w:t xml:space="preserve">Case briefing of Muhammad Azam, </w:t>
      </w:r>
      <w:hyperlink r:id="rId6">
        <w:r>
          <w:rPr>
            <w:rFonts w:ascii="Times New Roman" w:eastAsia="Times New Roman" w:hAnsi="Times New Roman" w:cs="Times New Roman"/>
            <w:color w:val="1155CC"/>
            <w:sz w:val="20"/>
            <w:szCs w:val="20"/>
            <w:u w:val="single"/>
          </w:rPr>
          <w:t>https://archive.jpp.org.pk/case_study/muhammad_azam/</w:t>
        </w:r>
      </w:hyperlink>
      <w:r>
        <w:rPr>
          <w:rFonts w:ascii="Times New Roman" w:eastAsia="Times New Roman" w:hAnsi="Times New Roman" w:cs="Times New Roman"/>
          <w:sz w:val="20"/>
          <w:szCs w:val="20"/>
        </w:rPr>
        <w:t xml:space="preserve"> </w:t>
      </w:r>
    </w:p>
  </w:footnote>
  <w:footnote w:id="11">
    <w:p w14:paraId="2B1E204D"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 Pakistan, the accuser can reach a compromise of forgiveness or financial settlement and a pardon may be issued to the accused. A compromise was reached between Azam and Moin-</w:t>
      </w:r>
      <w:proofErr w:type="spellStart"/>
      <w:r>
        <w:rPr>
          <w:rFonts w:ascii="Times New Roman" w:eastAsia="Times New Roman" w:hAnsi="Times New Roman" w:cs="Times New Roman"/>
          <w:sz w:val="20"/>
          <w:szCs w:val="20"/>
        </w:rPr>
        <w:t>ud</w:t>
      </w:r>
      <w:proofErr w:type="spellEnd"/>
      <w:r>
        <w:rPr>
          <w:rFonts w:ascii="Times New Roman" w:eastAsia="Times New Roman" w:hAnsi="Times New Roman" w:cs="Times New Roman"/>
          <w:sz w:val="20"/>
          <w:szCs w:val="20"/>
        </w:rPr>
        <w:t>-din and their complainant in 2008 and a pardon was resultantly granted. This should have resulted in the dismissal of the case but because their sentences were given under the non-compoundable Anti- Terrorism Act, no pardons can be granted.</w:t>
      </w:r>
    </w:p>
  </w:footnote>
  <w:footnote w:id="12">
    <w:p w14:paraId="3DC9E5EA"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Life imprisonment in Pakistan is 25 years. </w:t>
      </w:r>
    </w:p>
  </w:footnote>
  <w:footnote w:id="13">
    <w:p w14:paraId="058627D7"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2021 YLRN 108 </w:t>
      </w:r>
    </w:p>
  </w:footnote>
  <w:footnote w:id="14">
    <w:p w14:paraId="06B310D1" w14:textId="77777777" w:rsidR="00C36A80" w:rsidRDefault="00BA597E">
      <w:pPr>
        <w:pBdr>
          <w:top w:val="nil"/>
          <w:left w:val="nil"/>
          <w:bottom w:val="nil"/>
          <w:right w:val="nil"/>
          <w:between w:val="nil"/>
        </w:pBd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2015 YLR 402 </w:t>
      </w:r>
    </w:p>
  </w:footnote>
  <w:footnote w:id="15">
    <w:p w14:paraId="1E98CDC3"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2014 PLD 69</w:t>
      </w:r>
    </w:p>
  </w:footnote>
  <w:footnote w:id="16">
    <w:p w14:paraId="671A6F47"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National Commission for the Rights of the Child (2025), </w:t>
      </w:r>
      <w:r>
        <w:rPr>
          <w:rFonts w:ascii="Times New Roman" w:eastAsia="Times New Roman" w:hAnsi="Times New Roman" w:cs="Times New Roman"/>
          <w:i/>
          <w:iCs/>
          <w:sz w:val="20"/>
          <w:szCs w:val="20"/>
        </w:rPr>
        <w:t xml:space="preserve">State of Children in Pakistan, </w:t>
      </w:r>
      <w:hyperlink r:id="rId7">
        <w:r>
          <w:rPr>
            <w:rFonts w:ascii="Times New Roman" w:eastAsia="Times New Roman" w:hAnsi="Times New Roman" w:cs="Times New Roman"/>
            <w:color w:val="1155CC"/>
            <w:sz w:val="20"/>
            <w:szCs w:val="20"/>
            <w:u w:val="single"/>
          </w:rPr>
          <w:t>https://stateofchildren.com/72-children-convicted-to-life-term-across-punjab/</w:t>
        </w:r>
      </w:hyperlink>
      <w:r>
        <w:rPr>
          <w:rFonts w:ascii="Times New Roman" w:eastAsia="Times New Roman" w:hAnsi="Times New Roman" w:cs="Times New Roman"/>
          <w:sz w:val="20"/>
          <w:szCs w:val="20"/>
        </w:rPr>
        <w:t xml:space="preserve"> </w:t>
      </w:r>
    </w:p>
  </w:footnote>
  <w:footnote w:id="17">
    <w:p w14:paraId="7C2BF4E5"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Life sentences for children must always allow for a realistic prospect of release, accompanied by periodic reviews tailored to the child’s evolving circumstances and rehabilitation needs, as per Child Rights International Network, </w:t>
      </w:r>
      <w:r>
        <w:rPr>
          <w:rFonts w:ascii="Times New Roman" w:eastAsia="Times New Roman" w:hAnsi="Times New Roman" w:cs="Times New Roman"/>
          <w:i/>
          <w:iCs/>
          <w:sz w:val="20"/>
          <w:szCs w:val="20"/>
        </w:rPr>
        <w:t xml:space="preserve">Inhuman Sentencing: Life Imprisonment Of Children Around The World </w:t>
      </w:r>
      <w:hyperlink r:id="rId8">
        <w:r>
          <w:rPr>
            <w:rFonts w:ascii="Times New Roman" w:eastAsia="Times New Roman" w:hAnsi="Times New Roman" w:cs="Times New Roman"/>
            <w:color w:val="1155CC"/>
            <w:sz w:val="20"/>
            <w:szCs w:val="20"/>
            <w:u w:val="single"/>
          </w:rPr>
          <w:t>https://archive.crin.org/sites/default/files/crin_life_imprisonment_summary.pdf</w:t>
        </w:r>
      </w:hyperlink>
      <w:r>
        <w:rPr>
          <w:rFonts w:ascii="Times New Roman" w:eastAsia="Times New Roman" w:hAnsi="Times New Roman" w:cs="Times New Roman"/>
          <w:sz w:val="20"/>
          <w:szCs w:val="20"/>
        </w:rPr>
        <w:t xml:space="preserve"> </w:t>
      </w:r>
    </w:p>
  </w:footnote>
  <w:footnote w:id="18">
    <w:p w14:paraId="3D5EE9EE"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Committee on the Rights of the Child, LOI in relation to the combined sixth and seventh periodic reports of Pakistan, 21 Oct 2024, </w:t>
      </w:r>
      <w:hyperlink r:id="rId9">
        <w:r>
          <w:rPr>
            <w:rFonts w:ascii="Times New Roman" w:eastAsia="Times New Roman" w:hAnsi="Times New Roman" w:cs="Times New Roman"/>
            <w:color w:val="1155CC"/>
            <w:sz w:val="20"/>
            <w:szCs w:val="20"/>
            <w:u w:val="single"/>
          </w:rPr>
          <w:t>https://tbinternet.ohchr.org/_layouts/15/treatybodyexternal/Download.aspx?symbolno=CRC%2FC%2FPAK%2FQ%2F6-7&amp;Lang=en</w:t>
        </w:r>
      </w:hyperlink>
      <w:r>
        <w:rPr>
          <w:rFonts w:ascii="Times New Roman" w:eastAsia="Times New Roman" w:hAnsi="Times New Roman" w:cs="Times New Roman"/>
          <w:sz w:val="20"/>
          <w:szCs w:val="20"/>
        </w:rPr>
        <w:t xml:space="preserve">  </w:t>
      </w:r>
    </w:p>
  </w:footnote>
  <w:footnote w:id="19">
    <w:p w14:paraId="7D41294C"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Kashif Mirza (2025) </w:t>
      </w:r>
      <w:r>
        <w:rPr>
          <w:rFonts w:ascii="Times New Roman" w:eastAsia="Times New Roman" w:hAnsi="Times New Roman" w:cs="Times New Roman"/>
          <w:i/>
          <w:iCs/>
          <w:sz w:val="20"/>
          <w:szCs w:val="20"/>
        </w:rPr>
        <w:t xml:space="preserve">Ghost commitments: Pakistan’s child rights crisis, </w:t>
      </w:r>
      <w:hyperlink r:id="rId10">
        <w:r>
          <w:rPr>
            <w:rFonts w:ascii="Times New Roman" w:eastAsia="Times New Roman" w:hAnsi="Times New Roman" w:cs="Times New Roman"/>
            <w:color w:val="1155CC"/>
            <w:sz w:val="20"/>
            <w:szCs w:val="20"/>
            <w:u w:val="single"/>
          </w:rPr>
          <w:t>https://tribune.com.pk/story/2579824/ghost-commitments-pakistans-child-rights-crisis</w:t>
        </w:r>
      </w:hyperlink>
      <w:r>
        <w:rPr>
          <w:rFonts w:ascii="Times New Roman" w:eastAsia="Times New Roman" w:hAnsi="Times New Roman" w:cs="Times New Roman"/>
          <w:sz w:val="20"/>
          <w:szCs w:val="20"/>
        </w:rPr>
        <w:t xml:space="preserve"> </w:t>
      </w:r>
    </w:p>
  </w:footnote>
  <w:footnote w:id="20">
    <w:p w14:paraId="47DA40A5"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Dawn News (2023), </w:t>
      </w:r>
      <w:r>
        <w:rPr>
          <w:rFonts w:ascii="Times New Roman" w:eastAsia="Times New Roman" w:hAnsi="Times New Roman" w:cs="Times New Roman"/>
          <w:i/>
          <w:iCs/>
          <w:sz w:val="20"/>
          <w:szCs w:val="20"/>
        </w:rPr>
        <w:t>Rules approved to make juvenile justice system operational,</w:t>
      </w:r>
      <w:r>
        <w:rPr>
          <w:rFonts w:ascii="Times New Roman" w:eastAsia="Times New Roman" w:hAnsi="Times New Roman" w:cs="Times New Roman"/>
          <w:sz w:val="20"/>
          <w:szCs w:val="20"/>
        </w:rPr>
        <w:t xml:space="preserve"> </w:t>
      </w:r>
      <w:hyperlink r:id="rId11">
        <w:r>
          <w:rPr>
            <w:rFonts w:ascii="Times New Roman" w:eastAsia="Times New Roman" w:hAnsi="Times New Roman" w:cs="Times New Roman"/>
            <w:color w:val="1155CC"/>
            <w:sz w:val="20"/>
            <w:szCs w:val="20"/>
            <w:u w:val="single"/>
          </w:rPr>
          <w:t>https://www.dawn.com/news/1769488</w:t>
        </w:r>
      </w:hyperlink>
      <w:r>
        <w:rPr>
          <w:rFonts w:ascii="Times New Roman" w:eastAsia="Times New Roman" w:hAnsi="Times New Roman" w:cs="Times New Roman"/>
          <w:sz w:val="20"/>
          <w:szCs w:val="20"/>
        </w:rPr>
        <w:t xml:space="preserve"> : The Khyber Pakhtunkhwa Juvenile Justice Rules broadly align with CRC standards, particularly in </w:t>
      </w:r>
      <w:proofErr w:type="spellStart"/>
      <w:r>
        <w:rPr>
          <w:rFonts w:ascii="Times New Roman" w:eastAsia="Times New Roman" w:hAnsi="Times New Roman" w:cs="Times New Roman"/>
          <w:sz w:val="20"/>
          <w:szCs w:val="20"/>
        </w:rPr>
        <w:t>prioritising</w:t>
      </w:r>
      <w:proofErr w:type="spellEnd"/>
      <w:r>
        <w:rPr>
          <w:rFonts w:ascii="Times New Roman" w:eastAsia="Times New Roman" w:hAnsi="Times New Roman" w:cs="Times New Roman"/>
          <w:sz w:val="20"/>
          <w:szCs w:val="20"/>
        </w:rPr>
        <w:t xml:space="preserve"> documentary evidence and applying the benefit of the doubt. However, certain safeguards reflected in CRC guidance—such as clear consent protocols, limits on intrusive examinations, and explicit multidisciplinary requirements—could be further strengthened. While medical assessments are envisaged, greater safeguards would ensure fuller compliance with international standards.</w:t>
      </w:r>
    </w:p>
  </w:footnote>
  <w:footnote w:id="21">
    <w:p w14:paraId="1AEED37C"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Group Development Pakistan (2025), </w:t>
      </w:r>
      <w:r>
        <w:rPr>
          <w:rFonts w:ascii="Times New Roman" w:eastAsia="Times New Roman" w:hAnsi="Times New Roman" w:cs="Times New Roman"/>
          <w:i/>
          <w:iCs/>
          <w:sz w:val="20"/>
          <w:szCs w:val="20"/>
        </w:rPr>
        <w:t>Picture of Committee Notification</w:t>
      </w:r>
      <w:r>
        <w:rPr>
          <w:rFonts w:ascii="Times New Roman" w:eastAsia="Times New Roman" w:hAnsi="Times New Roman" w:cs="Times New Roman"/>
          <w:sz w:val="20"/>
          <w:szCs w:val="20"/>
        </w:rPr>
        <w:t xml:space="preserve">, </w:t>
      </w:r>
      <w:hyperlink r:id="rId12">
        <w:r>
          <w:rPr>
            <w:rFonts w:ascii="Times New Roman" w:eastAsia="Times New Roman" w:hAnsi="Times New Roman" w:cs="Times New Roman"/>
            <w:color w:val="1155CC"/>
            <w:sz w:val="20"/>
            <w:szCs w:val="20"/>
            <w:u w:val="single"/>
          </w:rPr>
          <w:t>https://www.facebook.com/GroupDevelopmentPakistan/posts/big-win-for-child-rights-in-govt-of-pakistan-notifies-the-national-coordination-/1078261654351581/</w:t>
        </w:r>
      </w:hyperlink>
      <w:r>
        <w:rPr>
          <w:rFonts w:ascii="Times New Roman" w:eastAsia="Times New Roman" w:hAnsi="Times New Roman" w:cs="Times New Roman"/>
          <w:sz w:val="20"/>
          <w:szCs w:val="20"/>
        </w:rPr>
        <w:t xml:space="preserve"> </w:t>
      </w:r>
    </w:p>
  </w:footnote>
  <w:footnote w:id="22">
    <w:p w14:paraId="5733F1D8"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This internal manual serves as a guide for members of the NCHR—including commissioners, staff members, and relevant partners—in conducting independent monitoring visits of the rights of children in conflict with the law in closed settings in Pakistan.</w:t>
      </w:r>
    </w:p>
  </w:footnote>
  <w:footnote w:id="23">
    <w:p w14:paraId="7ED1D557"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Express Tribune, </w:t>
      </w:r>
      <w:r>
        <w:rPr>
          <w:rFonts w:ascii="Times New Roman" w:eastAsia="Times New Roman" w:hAnsi="Times New Roman" w:cs="Times New Roman"/>
          <w:i/>
          <w:iCs/>
          <w:sz w:val="20"/>
          <w:szCs w:val="20"/>
        </w:rPr>
        <w:t>Ghost Committees: Pakistan’s Child Rights Crisis</w:t>
      </w:r>
      <w:r>
        <w:rPr>
          <w:rFonts w:ascii="Times New Roman" w:eastAsia="Times New Roman" w:hAnsi="Times New Roman" w:cs="Times New Roman"/>
          <w:sz w:val="20"/>
          <w:szCs w:val="20"/>
        </w:rPr>
        <w:t>, ​​</w:t>
      </w:r>
      <w:hyperlink r:id="rId13">
        <w:r>
          <w:rPr>
            <w:rFonts w:ascii="Times New Roman" w:eastAsia="Times New Roman" w:hAnsi="Times New Roman" w:cs="Times New Roman"/>
            <w:color w:val="1155CC"/>
            <w:sz w:val="20"/>
            <w:szCs w:val="20"/>
            <w:u w:val="single"/>
          </w:rPr>
          <w:t>https://tribune.com.pk/story/2579824/ghost-commitments-pakistans-child-rights-crisis</w:t>
        </w:r>
      </w:hyperlink>
      <w:r>
        <w:rPr>
          <w:rFonts w:ascii="Times New Roman" w:eastAsia="Times New Roman" w:hAnsi="Times New Roman" w:cs="Times New Roman"/>
          <w:sz w:val="20"/>
          <w:szCs w:val="20"/>
        </w:rPr>
        <w:t xml:space="preserve"> </w:t>
      </w:r>
    </w:p>
  </w:footnote>
  <w:footnote w:id="24">
    <w:p w14:paraId="52F25DB2"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For example, Daniyal* (name changed to protect privacy), a 14-year-old arrested on theft allegations, reported being beaten for 14 days and subsequently charged in 21 fabricated cases after refusing to pay a bribe. Masood, arrested for motorcycle theft, described being detained and severely physically for four days. He was beaten with water pipes and coerced into falsely implicating another juvenile. Despite his family managing to pay part of the bribe demanded (PKR 75,000 out of PKR 400,000), Masood* repor</w:t>
      </w:r>
      <w:r>
        <w:rPr>
          <w:rFonts w:ascii="Times New Roman" w:eastAsia="Times New Roman" w:hAnsi="Times New Roman" w:cs="Times New Roman"/>
          <w:sz w:val="20"/>
          <w:szCs w:val="20"/>
        </w:rPr>
        <w:t>ted that police abuse only intensified thereafter. Similarly, Majid* (15) was held for two weeks without judicial oversight, subjected to daily beatings until he confessed to a petty theft. Salman* (16) spent 12 days in detention, reporting episodes of starvation and beatings before finally being taken to court.</w:t>
      </w:r>
    </w:p>
  </w:footnote>
  <w:footnote w:id="25">
    <w:p w14:paraId="37014F81"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National Commission on the Rights of the Child (2025), </w:t>
      </w:r>
      <w:r>
        <w:rPr>
          <w:rFonts w:ascii="Times New Roman" w:eastAsia="Times New Roman" w:hAnsi="Times New Roman" w:cs="Times New Roman"/>
          <w:i/>
          <w:iCs/>
          <w:sz w:val="20"/>
          <w:szCs w:val="20"/>
        </w:rPr>
        <w:t>State of Children: Gaps and Challenges- Juvenile Justice,</w:t>
      </w:r>
      <w:r>
        <w:rPr>
          <w:rFonts w:ascii="Times New Roman" w:eastAsia="Times New Roman" w:hAnsi="Times New Roman" w:cs="Times New Roman"/>
          <w:sz w:val="20"/>
          <w:szCs w:val="20"/>
        </w:rPr>
        <w:t xml:space="preserve"> </w:t>
      </w:r>
      <w:hyperlink r:id="rId14">
        <w:r>
          <w:rPr>
            <w:rFonts w:ascii="Times New Roman" w:eastAsia="Times New Roman" w:hAnsi="Times New Roman" w:cs="Times New Roman"/>
            <w:color w:val="1155CC"/>
            <w:sz w:val="20"/>
            <w:szCs w:val="20"/>
            <w:u w:val="single"/>
          </w:rPr>
          <w:t>https://stateofchildren.com/juvenile-justice-in-pakistan/gaps-and-challenges-juvenile-justice/</w:t>
        </w:r>
      </w:hyperlink>
      <w:r>
        <w:rPr>
          <w:rFonts w:ascii="Times New Roman" w:eastAsia="Times New Roman" w:hAnsi="Times New Roman" w:cs="Times New Roman"/>
          <w:sz w:val="20"/>
          <w:szCs w:val="20"/>
        </w:rPr>
        <w:t xml:space="preserve"> </w:t>
      </w:r>
    </w:p>
  </w:footnote>
  <w:footnote w:id="26">
    <w:p w14:paraId="4853D989"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National Commission for Human Rights (2022), </w:t>
      </w:r>
      <w:r>
        <w:rPr>
          <w:rFonts w:ascii="Times New Roman" w:eastAsia="Times New Roman" w:hAnsi="Times New Roman" w:cs="Times New Roman"/>
          <w:i/>
          <w:iCs/>
          <w:sz w:val="20"/>
          <w:szCs w:val="20"/>
        </w:rPr>
        <w:t>Report on Torture at Adiala Jail,</w:t>
      </w:r>
      <w:r>
        <w:rPr>
          <w:rFonts w:ascii="Times New Roman" w:eastAsia="Times New Roman" w:hAnsi="Times New Roman" w:cs="Times New Roman"/>
          <w:sz w:val="20"/>
          <w:szCs w:val="20"/>
        </w:rPr>
        <w:t xml:space="preserve"> </w:t>
      </w:r>
      <w:hyperlink r:id="rId15">
        <w:r>
          <w:rPr>
            <w:rFonts w:ascii="Times New Roman" w:eastAsia="Times New Roman" w:hAnsi="Times New Roman" w:cs="Times New Roman"/>
            <w:color w:val="1155CC"/>
            <w:sz w:val="20"/>
            <w:szCs w:val="20"/>
            <w:u w:val="single"/>
          </w:rPr>
          <w:t>https://nchr.gov.pk/wp-content/uploads/2022/11/Report-on-Torture-at-Adiala-Jail.pdf</w:t>
        </w:r>
      </w:hyperlink>
      <w:r>
        <w:rPr>
          <w:rFonts w:ascii="Times New Roman" w:eastAsia="Times New Roman" w:hAnsi="Times New Roman" w:cs="Times New Roman"/>
          <w:sz w:val="20"/>
          <w:szCs w:val="20"/>
        </w:rPr>
        <w:t xml:space="preserve"> </w:t>
      </w:r>
    </w:p>
  </w:footnote>
  <w:footnote w:id="27">
    <w:p w14:paraId="53CD3628"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Despite their placement in the juvenile section of the prison, official records listed only one of these children as a juvenile. This discrepancy is consistent with data provided by the </w:t>
      </w:r>
      <w:proofErr w:type="spellStart"/>
      <w:r>
        <w:rPr>
          <w:rFonts w:ascii="Times New Roman" w:eastAsia="Times New Roman" w:hAnsi="Times New Roman" w:cs="Times New Roman"/>
          <w:sz w:val="20"/>
          <w:szCs w:val="20"/>
        </w:rPr>
        <w:t>Balochistan</w:t>
      </w:r>
      <w:proofErr w:type="spellEnd"/>
      <w:r>
        <w:rPr>
          <w:rFonts w:ascii="Times New Roman" w:eastAsia="Times New Roman" w:hAnsi="Times New Roman" w:cs="Times New Roman"/>
          <w:sz w:val="20"/>
          <w:szCs w:val="20"/>
        </w:rPr>
        <w:t xml:space="preserve"> Prison Inspectorate in 2024, which reported just three officially registered juveniles in Quetta Central Jail—a figure dramatically inconsistent with the number of children physically present in the juvenile ward during JPP’s visit.</w:t>
      </w:r>
    </w:p>
  </w:footnote>
  <w:footnote w:id="28">
    <w:p w14:paraId="02A39120"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CRC General Comment No. 24 on Children’s Rights in the Child Justice System, </w:t>
      </w:r>
      <w:hyperlink r:id="rId16">
        <w:r>
          <w:rPr>
            <w:rFonts w:ascii="Times New Roman" w:eastAsia="Times New Roman" w:hAnsi="Times New Roman" w:cs="Times New Roman"/>
            <w:color w:val="1155CC"/>
            <w:sz w:val="20"/>
            <w:szCs w:val="20"/>
            <w:u w:val="single"/>
          </w:rPr>
          <w:t>https://www.ohchr.org/en/documents/general-comments-and-recommendations/general-comment-no-24-2019-childrens-rights-child</w:t>
        </w:r>
      </w:hyperlink>
      <w:r>
        <w:rPr>
          <w:rFonts w:ascii="Times New Roman" w:eastAsia="Times New Roman" w:hAnsi="Times New Roman" w:cs="Times New Roman"/>
          <w:sz w:val="20"/>
          <w:szCs w:val="20"/>
        </w:rPr>
        <w:t xml:space="preserve"> </w:t>
      </w:r>
    </w:p>
  </w:footnote>
  <w:footnote w:id="29">
    <w:p w14:paraId="58031E03"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National Commission for Human Rights, </w:t>
      </w:r>
      <w:r>
        <w:rPr>
          <w:rFonts w:ascii="Times New Roman" w:eastAsia="Times New Roman" w:hAnsi="Times New Roman" w:cs="Times New Roman"/>
          <w:i/>
          <w:iCs/>
          <w:sz w:val="20"/>
          <w:szCs w:val="20"/>
        </w:rPr>
        <w:t>State of Children Report</w:t>
      </w:r>
      <w:r>
        <w:rPr>
          <w:rFonts w:ascii="Times New Roman" w:eastAsia="Times New Roman" w:hAnsi="Times New Roman" w:cs="Times New Roman"/>
          <w:sz w:val="20"/>
          <w:szCs w:val="20"/>
        </w:rPr>
        <w:t xml:space="preserve">, </w:t>
      </w:r>
      <w:hyperlink r:id="rId17">
        <w:r>
          <w:rPr>
            <w:rFonts w:ascii="Times New Roman" w:eastAsia="Times New Roman" w:hAnsi="Times New Roman" w:cs="Times New Roman"/>
            <w:color w:val="1155CC"/>
            <w:sz w:val="20"/>
            <w:szCs w:val="20"/>
            <w:u w:val="single"/>
          </w:rPr>
          <w:t>https://ncrc.gov.pk/wp-content/uploads/2025/04/State-of-Children-V2.pdf</w:t>
        </w:r>
      </w:hyperlink>
      <w:r>
        <w:rPr>
          <w:rFonts w:ascii="Times New Roman" w:eastAsia="Times New Roman" w:hAnsi="Times New Roman" w:cs="Times New Roman"/>
          <w:sz w:val="20"/>
          <w:szCs w:val="20"/>
        </w:rPr>
        <w:t xml:space="preserve"> </w:t>
      </w:r>
    </w:p>
  </w:footnote>
  <w:footnote w:id="30">
    <w:p w14:paraId="0AA34B70"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Justice Project Pakistan, </w:t>
      </w:r>
      <w:r>
        <w:rPr>
          <w:rFonts w:ascii="Times New Roman" w:eastAsia="Times New Roman" w:hAnsi="Times New Roman" w:cs="Times New Roman"/>
          <w:i/>
          <w:iCs/>
          <w:sz w:val="20"/>
          <w:szCs w:val="20"/>
        </w:rPr>
        <w:t>Death Row’s Children</w:t>
      </w:r>
      <w:r>
        <w:rPr>
          <w:rFonts w:ascii="Times New Roman" w:eastAsia="Times New Roman" w:hAnsi="Times New Roman" w:cs="Times New Roman"/>
          <w:sz w:val="20"/>
          <w:szCs w:val="20"/>
        </w:rPr>
        <w:t xml:space="preserve">, </w:t>
      </w:r>
      <w:hyperlink r:id="rId18">
        <w:r>
          <w:rPr>
            <w:rFonts w:ascii="Times New Roman" w:eastAsia="Times New Roman" w:hAnsi="Times New Roman" w:cs="Times New Roman"/>
            <w:color w:val="1155CC"/>
            <w:sz w:val="20"/>
            <w:szCs w:val="20"/>
            <w:u w:val="single"/>
          </w:rPr>
          <w:t>https://cdn.prod.website-files.com/67bea41f1a04786e3ba5f258/6829655100d93f05c15161a8_Death%20Row%E2%80%99s%20Children%2C%20Pakistan%E2%80%99s%20Unlawful%20Executions%20of%20Juvenile%20Offenders-compressed.pdf</w:t>
        </w:r>
      </w:hyperlink>
      <w:r>
        <w:rPr>
          <w:rFonts w:ascii="Times New Roman" w:eastAsia="Times New Roman" w:hAnsi="Times New Roman" w:cs="Times New Roman"/>
          <w:sz w:val="20"/>
          <w:szCs w:val="20"/>
        </w:rPr>
        <w:t xml:space="preserve"> </w:t>
      </w:r>
    </w:p>
  </w:footnote>
  <w:footnote w:id="31">
    <w:p w14:paraId="3591B2D9"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21</w:t>
      </w:r>
    </w:p>
  </w:footnote>
  <w:footnote w:id="32">
    <w:p w14:paraId="3186FA49"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iCs/>
          <w:sz w:val="20"/>
          <w:szCs w:val="20"/>
        </w:rPr>
        <w:t>Gufran Ali v. Haseeb Khan</w:t>
      </w:r>
      <w:r>
        <w:rPr>
          <w:rFonts w:ascii="Times New Roman" w:eastAsia="Times New Roman" w:hAnsi="Times New Roman" w:cs="Times New Roman"/>
          <w:sz w:val="20"/>
          <w:szCs w:val="20"/>
        </w:rPr>
        <w:t xml:space="preserve"> PLD 2023 SC 536 </w:t>
      </w:r>
    </w:p>
  </w:footnote>
  <w:footnote w:id="33">
    <w:p w14:paraId="223C98FD"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iCs/>
          <w:sz w:val="20"/>
          <w:szCs w:val="20"/>
        </w:rPr>
        <w:t>Khawar Kayani vs. the State</w:t>
      </w:r>
      <w:r>
        <w:rPr>
          <w:rFonts w:ascii="Times New Roman" w:eastAsia="Times New Roman" w:hAnsi="Times New Roman" w:cs="Times New Roman"/>
          <w:sz w:val="20"/>
          <w:szCs w:val="20"/>
        </w:rPr>
        <w:t xml:space="preserve">, The Supreme Court of Pakistan, </w:t>
      </w:r>
      <w:hyperlink r:id="rId19">
        <w:r>
          <w:rPr>
            <w:rFonts w:ascii="Times New Roman" w:eastAsia="Times New Roman" w:hAnsi="Times New Roman" w:cs="Times New Roman"/>
            <w:color w:val="1155CC"/>
            <w:sz w:val="20"/>
            <w:szCs w:val="20"/>
            <w:u w:val="single"/>
          </w:rPr>
          <w:t>https://gdpakistan.org/wp-content/uploads/2022/07/crl.p._345_2022.pdf</w:t>
        </w:r>
      </w:hyperlink>
      <w:r>
        <w:rPr>
          <w:rFonts w:ascii="Times New Roman" w:eastAsia="Times New Roman" w:hAnsi="Times New Roman" w:cs="Times New Roman"/>
          <w:sz w:val="20"/>
          <w:szCs w:val="20"/>
        </w:rPr>
        <w:t xml:space="preserve"> </w:t>
      </w:r>
    </w:p>
  </w:footnote>
  <w:footnote w:id="34">
    <w:p w14:paraId="09C5ECEB"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One such case is Adil, a 16-year-old, who was granted bail. However, he remained in detention because he cannot afford to post bail worth PKR 4,500. Similarly, NCHR during its visit to Adiala Jail found 10 juvenile offenders who languished in prison despite bail orders due to the inability to post requisite bail amount.  </w:t>
      </w:r>
    </w:p>
  </w:footnote>
  <w:footnote w:id="35">
    <w:p w14:paraId="091EA008"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National Commission for Human Rights, Report on Torture at Adiala Jail, 2022, </w:t>
      </w:r>
      <w:hyperlink r:id="rId20">
        <w:r>
          <w:rPr>
            <w:rFonts w:ascii="Times New Roman" w:eastAsia="Times New Roman" w:hAnsi="Times New Roman" w:cs="Times New Roman"/>
            <w:color w:val="1155CC"/>
            <w:sz w:val="20"/>
            <w:szCs w:val="20"/>
            <w:u w:val="single"/>
          </w:rPr>
          <w:t>https://nchr.gov.pk/wp-content/uploads/2022/11/Report-on-Torture-at-Adiala-Jail.pdf</w:t>
        </w:r>
      </w:hyperlink>
      <w:r>
        <w:rPr>
          <w:rFonts w:ascii="Times New Roman" w:eastAsia="Times New Roman" w:hAnsi="Times New Roman" w:cs="Times New Roman"/>
          <w:sz w:val="20"/>
          <w:szCs w:val="20"/>
        </w:rPr>
        <w:t xml:space="preserve"> </w:t>
      </w:r>
    </w:p>
  </w:footnote>
  <w:footnote w:id="36">
    <w:p w14:paraId="76EE1045"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Justice Project Pakistan (2024) </w:t>
      </w:r>
      <w:r>
        <w:rPr>
          <w:rFonts w:ascii="Times New Roman" w:eastAsia="Times New Roman" w:hAnsi="Times New Roman" w:cs="Times New Roman"/>
          <w:i/>
          <w:iCs/>
          <w:sz w:val="20"/>
          <w:szCs w:val="20"/>
        </w:rPr>
        <w:t>Prison Data Report</w:t>
      </w:r>
      <w:r>
        <w:rPr>
          <w:rFonts w:ascii="Times New Roman" w:eastAsia="Times New Roman" w:hAnsi="Times New Roman" w:cs="Times New Roman"/>
          <w:sz w:val="20"/>
          <w:szCs w:val="20"/>
        </w:rPr>
        <w:t>,</w:t>
      </w:r>
      <w:hyperlink r:id="rId21">
        <w:r>
          <w:rPr>
            <w:rFonts w:ascii="Times New Roman" w:eastAsia="Times New Roman" w:hAnsi="Times New Roman" w:cs="Times New Roman"/>
            <w:color w:val="1155CC"/>
            <w:sz w:val="20"/>
            <w:szCs w:val="20"/>
            <w:u w:val="single"/>
          </w:rPr>
          <w:t>https://cdn.prod.website-files.com/67bea41f1a04786e3ba5f258/6828e2d31c784bd3162ecbf9_JPP%20Prison%20Data%20Report%202024_compressed.pdf</w:t>
        </w:r>
      </w:hyperlink>
      <w:r>
        <w:rPr>
          <w:rFonts w:ascii="Times New Roman" w:eastAsia="Times New Roman" w:hAnsi="Times New Roman" w:cs="Times New Roman"/>
          <w:sz w:val="20"/>
          <w:szCs w:val="20"/>
        </w:rPr>
        <w:t xml:space="preserve"> </w:t>
      </w:r>
    </w:p>
  </w:footnote>
  <w:footnote w:id="37">
    <w:p w14:paraId="25F31E34"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Justice Project Pakistan (2023) Fact Sheet on Prison Population of Pakistan,</w:t>
      </w:r>
      <w:hyperlink r:id="rId22">
        <w:r>
          <w:rPr>
            <w:rFonts w:ascii="Times New Roman" w:eastAsia="Times New Roman" w:hAnsi="Times New Roman" w:cs="Times New Roman"/>
            <w:color w:val="1155CC"/>
            <w:sz w:val="20"/>
            <w:szCs w:val="20"/>
            <w:u w:val="single"/>
          </w:rPr>
          <w:t>https://jpp.org.pk/report/fact-sheet-2023-prison-population-of-pakistan/</w:t>
        </w:r>
      </w:hyperlink>
      <w:r>
        <w:rPr>
          <w:rFonts w:ascii="Times New Roman" w:eastAsia="Times New Roman" w:hAnsi="Times New Roman" w:cs="Times New Roman"/>
          <w:sz w:val="20"/>
          <w:szCs w:val="20"/>
        </w:rPr>
        <w:t xml:space="preserve"> </w:t>
      </w:r>
    </w:p>
  </w:footnote>
  <w:footnote w:id="38">
    <w:p w14:paraId="7ADA8389"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Code Pakistan (2024), Addressing Overcrowding in Prisons by reducing pre-conviction detention in Pakistan,</w:t>
      </w:r>
      <w:hyperlink r:id="rId23">
        <w:r>
          <w:rPr>
            <w:rFonts w:ascii="Times New Roman" w:eastAsia="Times New Roman" w:hAnsi="Times New Roman" w:cs="Times New Roman"/>
            <w:color w:val="1155CC"/>
            <w:sz w:val="20"/>
            <w:szCs w:val="20"/>
            <w:u w:val="single"/>
          </w:rPr>
          <w:t>https://codepak.org/wp-content/uploads/2024/03/Addressing-overcrowding-in-prisons-by-reducing-pre-conviction-detention-in-Pakistan.pdf</w:t>
        </w:r>
      </w:hyperlink>
      <w:r>
        <w:rPr>
          <w:rFonts w:ascii="Times New Roman" w:eastAsia="Times New Roman" w:hAnsi="Times New Roman" w:cs="Times New Roman"/>
          <w:sz w:val="20"/>
          <w:szCs w:val="20"/>
        </w:rPr>
        <w:t xml:space="preserve"> </w:t>
      </w:r>
    </w:p>
  </w:footnote>
  <w:footnote w:id="39">
    <w:p w14:paraId="2BF50606"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State of Children in Pakistan, </w:t>
      </w:r>
      <w:hyperlink r:id="rId24">
        <w:r>
          <w:rPr>
            <w:rFonts w:ascii="Times New Roman" w:eastAsia="Times New Roman" w:hAnsi="Times New Roman" w:cs="Times New Roman"/>
            <w:color w:val="1155CC"/>
            <w:sz w:val="20"/>
            <w:szCs w:val="20"/>
            <w:u w:val="single"/>
          </w:rPr>
          <w:t>https://stateofchildren.com/balochistan/</w:t>
        </w:r>
      </w:hyperlink>
      <w:r>
        <w:rPr>
          <w:rFonts w:ascii="Times New Roman" w:eastAsia="Times New Roman" w:hAnsi="Times New Roman" w:cs="Times New Roman"/>
          <w:sz w:val="20"/>
          <w:szCs w:val="20"/>
        </w:rPr>
        <w:t xml:space="preserve"> </w:t>
      </w:r>
    </w:p>
  </w:footnote>
  <w:footnote w:id="40">
    <w:p w14:paraId="71F4D357"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National Commission for Human Rights, Justice Project Pakistan (2025) </w:t>
      </w:r>
      <w:r>
        <w:rPr>
          <w:rFonts w:ascii="Times New Roman" w:eastAsia="Times New Roman" w:hAnsi="Times New Roman" w:cs="Times New Roman"/>
          <w:i/>
          <w:iCs/>
          <w:sz w:val="20"/>
          <w:szCs w:val="20"/>
        </w:rPr>
        <w:t>Prison Data Report,</w:t>
      </w:r>
      <w:r>
        <w:rPr>
          <w:rFonts w:ascii="Times New Roman" w:eastAsia="Times New Roman" w:hAnsi="Times New Roman" w:cs="Times New Roman"/>
          <w:sz w:val="20"/>
          <w:szCs w:val="20"/>
        </w:rPr>
        <w:t>_https://</w:t>
      </w:r>
      <w:hyperlink r:id="rId25">
        <w:r>
          <w:rPr>
            <w:rFonts w:ascii="Times New Roman" w:eastAsia="Times New Roman" w:hAnsi="Times New Roman" w:cs="Times New Roman"/>
            <w:color w:val="1155CC"/>
            <w:sz w:val="20"/>
            <w:szCs w:val="20"/>
            <w:u w:val="single"/>
          </w:rPr>
          <w:t>nchr.gov.pk/wp-content/uploads/2025/01/Prison-Data-Report-2024_NCHR-x-NAPA-x-JPP.pdf</w:t>
        </w:r>
      </w:hyperlink>
      <w:r>
        <w:rPr>
          <w:rFonts w:ascii="Times New Roman" w:eastAsia="Times New Roman" w:hAnsi="Times New Roman" w:cs="Times New Roman"/>
          <w:sz w:val="20"/>
          <w:szCs w:val="20"/>
        </w:rPr>
        <w:t xml:space="preserve">  </w:t>
      </w:r>
    </w:p>
  </w:footnote>
  <w:footnote w:id="41">
    <w:p w14:paraId="585CB587" w14:textId="77777777" w:rsidR="00C36A80" w:rsidRDefault="00BA597E">
      <w:pPr>
        <w:pBdr>
          <w:top w:val="nil"/>
          <w:left w:val="nil"/>
          <w:bottom w:val="nil"/>
          <w:right w:val="nil"/>
          <w:between w:val="nil"/>
        </w:pBd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Human Rights Watch (2023), </w:t>
      </w:r>
      <w:r>
        <w:rPr>
          <w:rFonts w:ascii="Times New Roman" w:eastAsia="Times New Roman" w:hAnsi="Times New Roman" w:cs="Times New Roman"/>
          <w:i/>
          <w:iCs/>
          <w:sz w:val="20"/>
          <w:szCs w:val="20"/>
        </w:rPr>
        <w:t>A Nightmare for Everyone: The Health Crisis in Pakistan’s Prisons</w:t>
      </w:r>
      <w:r>
        <w:rPr>
          <w:rFonts w:ascii="Times New Roman" w:eastAsia="Times New Roman" w:hAnsi="Times New Roman" w:cs="Times New Roman"/>
          <w:sz w:val="20"/>
          <w:szCs w:val="20"/>
        </w:rPr>
        <w:t>,</w:t>
      </w:r>
      <w:hyperlink r:id="rId26">
        <w:r>
          <w:rPr>
            <w:rFonts w:ascii="Times New Roman" w:eastAsia="Times New Roman" w:hAnsi="Times New Roman" w:cs="Times New Roman"/>
            <w:color w:val="1155CC"/>
            <w:sz w:val="20"/>
            <w:szCs w:val="20"/>
            <w:u w:val="single"/>
          </w:rPr>
          <w:t>https://www.hrw.org/report/2023/03/29/nightmare-everyone/health-crisis-pakistans-prisons</w:t>
        </w:r>
      </w:hyperlink>
      <w:r>
        <w:rPr>
          <w:rFonts w:ascii="Times New Roman" w:eastAsia="Times New Roman" w:hAnsi="Times New Roman" w:cs="Times New Roman"/>
          <w:sz w:val="20"/>
          <w:szCs w:val="20"/>
        </w:rPr>
        <w:t xml:space="preserve"> </w:t>
      </w:r>
    </w:p>
  </w:footnote>
  <w:footnote w:id="42">
    <w:p w14:paraId="77ACDEDF"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Code Pakistan (2024), Addressing Overcrowding in Prisons by reducing pre-conviction detention in Pakistan,</w:t>
      </w:r>
      <w:hyperlink r:id="rId27">
        <w:r>
          <w:rPr>
            <w:rFonts w:ascii="Times New Roman" w:eastAsia="Times New Roman" w:hAnsi="Times New Roman" w:cs="Times New Roman"/>
            <w:color w:val="1155CC"/>
            <w:sz w:val="20"/>
            <w:szCs w:val="20"/>
            <w:u w:val="single"/>
          </w:rPr>
          <w:t>https://codepak.org/wp-content/uploads/2024/03/Addressing-overcrowding-in-prisons-by-reducing-pre-conviction-detention-in-Pakistan.pdf</w:t>
        </w:r>
      </w:hyperlink>
      <w:r>
        <w:rPr>
          <w:rFonts w:ascii="Times New Roman" w:eastAsia="Times New Roman" w:hAnsi="Times New Roman" w:cs="Times New Roman"/>
          <w:sz w:val="20"/>
          <w:szCs w:val="20"/>
        </w:rPr>
        <w:t xml:space="preserve"> </w:t>
      </w:r>
    </w:p>
  </w:footnote>
  <w:footnote w:id="43">
    <w:p w14:paraId="3DEF0141"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Including the Punjab Vagrancy Ordinance (1974), </w:t>
      </w:r>
      <w:proofErr w:type="spellStart"/>
      <w:r>
        <w:rPr>
          <w:rFonts w:ascii="Times New Roman" w:eastAsia="Times New Roman" w:hAnsi="Times New Roman" w:cs="Times New Roman"/>
          <w:sz w:val="20"/>
          <w:szCs w:val="20"/>
        </w:rPr>
        <w:t>Balochistan</w:t>
      </w:r>
      <w:proofErr w:type="spellEnd"/>
      <w:r>
        <w:rPr>
          <w:rFonts w:ascii="Times New Roman" w:eastAsia="Times New Roman" w:hAnsi="Times New Roman" w:cs="Times New Roman"/>
          <w:sz w:val="20"/>
          <w:szCs w:val="20"/>
        </w:rPr>
        <w:t xml:space="preserve"> Vagrancy Ordinance (1975), Sindh Vagrancy (Amendment) Ordinance (1983), and Khyber Pakhtunkhwa Vagrancy Restraint Act (2020)</w:t>
      </w:r>
    </w:p>
  </w:footnote>
  <w:footnote w:id="44">
    <w:p w14:paraId="150FF85A" w14:textId="77777777" w:rsidR="00C36A80" w:rsidRDefault="00BA59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Data shared with JPP by provincial prison departments.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2D2826"/>
    <w:multiLevelType w:val="multilevel"/>
    <w:tmpl w:val="D2164F8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9D23A66"/>
    <w:multiLevelType w:val="multilevel"/>
    <w:tmpl w:val="4050A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2320596"/>
    <w:multiLevelType w:val="multilevel"/>
    <w:tmpl w:val="FED26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91569A"/>
    <w:multiLevelType w:val="multilevel"/>
    <w:tmpl w:val="313C48B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09D1022"/>
    <w:multiLevelType w:val="multilevel"/>
    <w:tmpl w:val="3320B1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51188906">
    <w:abstractNumId w:val="4"/>
  </w:num>
  <w:num w:numId="2" w16cid:durableId="1069498757">
    <w:abstractNumId w:val="0"/>
  </w:num>
  <w:num w:numId="3" w16cid:durableId="936446470">
    <w:abstractNumId w:val="1"/>
  </w:num>
  <w:num w:numId="4" w16cid:durableId="1864442616">
    <w:abstractNumId w:val="2"/>
  </w:num>
  <w:num w:numId="5" w16cid:durableId="6766179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A80"/>
    <w:rsid w:val="00971445"/>
    <w:rsid w:val="00A823A0"/>
    <w:rsid w:val="00BA597E"/>
    <w:rsid w:val="00C36A80"/>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3EC69"/>
  <w15:docId w15:val="{B8225817-B70E-4A04-AF12-835C5849D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8" Type="http://schemas.openxmlformats.org/officeDocument/2006/relationships/hyperlink" Target="https://archive.crin.org/sites/default/files/crin_life_imprisonment_summary.pdf" TargetMode="External"/><Relationship Id="rId13" Type="http://schemas.openxmlformats.org/officeDocument/2006/relationships/hyperlink" Target="https://tribune.com.pk/story/2579824/ghost-commitments-pakistans-child-rights-crisis" TargetMode="External"/><Relationship Id="rId18" Type="http://schemas.openxmlformats.org/officeDocument/2006/relationships/hyperlink" Target="https://cdn.prod.website-files.com/67bea41f1a04786e3ba5f258/6829655100d93f05c15161a8_Death%20Row%E2%80%99s%20Children%2C%20Pakistan%E2%80%99s%20Unlawful%20Executions%20of%20Juvenile%20Offenders-compressed.pdf" TargetMode="External"/><Relationship Id="rId26" Type="http://schemas.openxmlformats.org/officeDocument/2006/relationships/hyperlink" Target="https://www.hrw.org/report/2023/03/29/nightmare-everyone/health-crisis-pakistans-prisons" TargetMode="External"/><Relationship Id="rId3" Type="http://schemas.openxmlformats.org/officeDocument/2006/relationships/hyperlink" Target="https://data.jpp.org.pk/api/files/1542107289267oecto36u8jg.pdf" TargetMode="External"/><Relationship Id="rId21" Type="http://schemas.openxmlformats.org/officeDocument/2006/relationships/hyperlink" Target="https://cdn.prod.website-files.com/67bea41f1a04786e3ba5f258/6828e2d31c784bd3162ecbf9_JPP%20Prison%20Data%20Report%202024_compressed.pdf" TargetMode="External"/><Relationship Id="rId7" Type="http://schemas.openxmlformats.org/officeDocument/2006/relationships/hyperlink" Target="https://stateofchildren.com/72-children-convicted-to-life-term-across-punjab/" TargetMode="External"/><Relationship Id="rId12" Type="http://schemas.openxmlformats.org/officeDocument/2006/relationships/hyperlink" Target="https://www.facebook.com/GroupDevelopmentPakistan/posts/big-win-for-child-rights-in-govt-of-pakistan-notifies-the-national-coordination-/1078261654351581/" TargetMode="External"/><Relationship Id="rId17" Type="http://schemas.openxmlformats.org/officeDocument/2006/relationships/hyperlink" Target="https://ncrc.gov.pk/wp-content/uploads/2025/04/State-of-Children-V2.pdf" TargetMode="External"/><Relationship Id="rId25" Type="http://schemas.openxmlformats.org/officeDocument/2006/relationships/hyperlink" Target="http://nchr.gov.pk/wp-content/uploads/2025/01/Prison-Data-Report-2024_NCHR-x-NAPA-x-JPP.pdf" TargetMode="External"/><Relationship Id="rId2" Type="http://schemas.openxmlformats.org/officeDocument/2006/relationships/hyperlink" Target="https://data.jpp.org.pk/api/files/1542107289267oecto36u8jg.pdf" TargetMode="External"/><Relationship Id="rId16" Type="http://schemas.openxmlformats.org/officeDocument/2006/relationships/hyperlink" Target="https://www.ohchr.org/en/documents/general-comments-and-recommendations/general-comment-no-24-2019-childrens-rights-child" TargetMode="External"/><Relationship Id="rId20" Type="http://schemas.openxmlformats.org/officeDocument/2006/relationships/hyperlink" Target="https://nchr.gov.pk/wp-content/uploads/2022/11/Report-on-Torture-at-Adiala-Jail.pdf" TargetMode="External"/><Relationship Id="rId1" Type="http://schemas.openxmlformats.org/officeDocument/2006/relationships/hyperlink" Target="https://tbinternet.ohchr.org/_layouts/15/treatybodyexternal/Download.aspx?symbolno=CRC%2FC%2FPAK%2FQ%2F6-7&amp;Lang=en" TargetMode="External"/><Relationship Id="rId6" Type="http://schemas.openxmlformats.org/officeDocument/2006/relationships/hyperlink" Target="https://archive.jpp.org.pk/case_study/muhammad_azam/" TargetMode="External"/><Relationship Id="rId11" Type="http://schemas.openxmlformats.org/officeDocument/2006/relationships/hyperlink" Target="https://www.dawn.com/news/1769488" TargetMode="External"/><Relationship Id="rId24" Type="http://schemas.openxmlformats.org/officeDocument/2006/relationships/hyperlink" Target="https://stateofchildren.com/balochistan/" TargetMode="External"/><Relationship Id="rId5" Type="http://schemas.openxmlformats.org/officeDocument/2006/relationships/hyperlink" Target="https://data.jpp.org.pk/entity/w3437o9exu?page=6&amp;file=1572258492415jedmedi37x.pdf" TargetMode="External"/><Relationship Id="rId15" Type="http://schemas.openxmlformats.org/officeDocument/2006/relationships/hyperlink" Target="https://nchr.gov.pk/wp-content/uploads/2022/11/Report-on-Torture-at-Adiala-Jail.pdf" TargetMode="External"/><Relationship Id="rId23" Type="http://schemas.openxmlformats.org/officeDocument/2006/relationships/hyperlink" Target="https://codepak.org/wp-content/uploads/2024/03/Addressing-overcrowding-in-prisons-by-reducing-pre-conviction-detention-in-Pakistan.pdf" TargetMode="External"/><Relationship Id="rId10" Type="http://schemas.openxmlformats.org/officeDocument/2006/relationships/hyperlink" Target="https://tribune.com.pk/story/2579824/ghost-commitments-pakistans-child-rights-crisis" TargetMode="External"/><Relationship Id="rId19" Type="http://schemas.openxmlformats.org/officeDocument/2006/relationships/hyperlink" Target="https://gdpakistan.org/wp-content/uploads/2022/07/crl.p._345_2022.pdf" TargetMode="External"/><Relationship Id="rId4" Type="http://schemas.openxmlformats.org/officeDocument/2006/relationships/hyperlink" Target="https://data.jpp.org.pk/api/files/1542107289267oecto36u8jg.pdf" TargetMode="External"/><Relationship Id="rId9" Type="http://schemas.openxmlformats.org/officeDocument/2006/relationships/hyperlink" Target="https://tbinternet.ohchr.org/_layouts/15/treatybodyexternal/Download.aspx?symbolno=CRC%2FC%2FPAK%2FQ%2F6-7&amp;Lang=en" TargetMode="External"/><Relationship Id="rId14" Type="http://schemas.openxmlformats.org/officeDocument/2006/relationships/hyperlink" Target="https://stateofchildren.com/juvenile-justice-in-pakistan/gaps-and-challenges-juvenile-justice/" TargetMode="External"/><Relationship Id="rId22" Type="http://schemas.openxmlformats.org/officeDocument/2006/relationships/hyperlink" Target="https://jpp.org.pk/report/fact-sheet-2023-prison-population-of-pakistan/" TargetMode="External"/><Relationship Id="rId27" Type="http://schemas.openxmlformats.org/officeDocument/2006/relationships/hyperlink" Target="https://codepak.org/wp-content/uploads/2024/03/Addressing-overcrowding-in-prisons-by-reducing-pre-conviction-detention-in-Pakist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12</Pages>
  <Words>2766</Words>
  <Characters>18120</Characters>
  <Application>Microsoft Office Word</Application>
  <DocSecurity>0</DocSecurity>
  <Lines>348</Lines>
  <Paragraphs>149</Paragraphs>
  <ScaleCrop>false</ScaleCrop>
  <Company/>
  <LinksUpToDate>false</LinksUpToDate>
  <CharactersWithSpaces>20737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Isabelle Fleche</dc:creator>
  <cp:lastModifiedBy>Isabelle Fleche</cp:lastModifiedBy>
  <cp:revision>2</cp:revision>
  <dcterms:created xsi:type="dcterms:W3CDTF">2026-01-07T10:10:00Z</dcterms:created>
  <dcterms:modified xsi:type="dcterms:W3CDTF">2026-01-07T10:10:00Z</dcterms:modified>
</cp:coreProperties>
</file>