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574BD" w:rsidRDefault="009574BD">
      <w:pPr>
        <w:spacing w:after="120" w:line="276" w:lineRule="auto"/>
        <w:jc w:val="both"/>
        <w:rPr>
          <w:rFonts w:ascii="Times New Roman" w:eastAsia="Times New Roman" w:hAnsi="Times New Roman" w:cs="Times New Roman"/>
        </w:rPr>
      </w:pPr>
    </w:p>
    <w:p w:rsidR="009574BD" w:rsidRDefault="00000000">
      <w:pPr>
        <w:spacing w:after="120" w:line="276" w:lineRule="auto"/>
        <w:jc w:val="center"/>
        <w:rPr>
          <w:rFonts w:ascii="Times New Roman" w:eastAsia="Times New Roman" w:hAnsi="Times New Roman" w:cs="Times New Roman"/>
          <w:b/>
        </w:rPr>
      </w:pPr>
      <w:r>
        <w:rPr>
          <w:rFonts w:ascii="Times New Roman" w:eastAsia="Times New Roman" w:hAnsi="Times New Roman" w:cs="Times New Roman"/>
          <w:b/>
          <w:color w:val="000000"/>
        </w:rPr>
        <w:t xml:space="preserve">ALTERNATIVE REPORT OF CIVIL SOCIETY COALITION OF URUGUAY </w:t>
      </w:r>
      <w:r>
        <w:rPr>
          <w:rFonts w:ascii="Times New Roman" w:eastAsia="Times New Roman" w:hAnsi="Times New Roman" w:cs="Times New Roman"/>
          <w:b/>
          <w:color w:val="000000"/>
        </w:rPr>
        <w:br/>
        <w:t>TO THE CEDAW COMMITTEE  86th Session</w:t>
      </w:r>
    </w:p>
    <w:p w:rsidR="009574BD" w:rsidRDefault="009574BD">
      <w:pPr>
        <w:spacing w:after="120" w:line="276" w:lineRule="auto"/>
        <w:jc w:val="both"/>
        <w:rPr>
          <w:rFonts w:ascii="Times New Roman" w:eastAsia="Times New Roman" w:hAnsi="Times New Roman" w:cs="Times New Roman"/>
          <w:b/>
        </w:rPr>
      </w:pPr>
    </w:p>
    <w:p w:rsidR="009574BD" w:rsidRDefault="009574BD">
      <w:pPr>
        <w:spacing w:after="120" w:line="276" w:lineRule="auto"/>
        <w:jc w:val="both"/>
        <w:rPr>
          <w:rFonts w:ascii="Times New Roman" w:eastAsia="Times New Roman" w:hAnsi="Times New Roman" w:cs="Times New Roman"/>
        </w:rPr>
      </w:pPr>
    </w:p>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PRESENTATION</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This report was prepared by a coalition</w:t>
      </w:r>
      <w:r>
        <w:rPr>
          <w:rFonts w:ascii="Times New Roman" w:eastAsia="Times New Roman" w:hAnsi="Times New Roman" w:cs="Times New Roman"/>
          <w:vertAlign w:val="superscript"/>
        </w:rPr>
        <w:footnoteReference w:id="1"/>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committed to the defense of human rights in accordance with the Convention.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This report focuses on relevant issues regarding the Uruguayan State's compliance with the Committee's recommendations in its 2016 report (CEDAW/C/URY/CO/8-9), and on the list of questions (CEDAW/C/URY/QPR/10), with the purpose of constructively enriching the dialogue of the Committee with the State.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The report is organized in chapters as follows: I) Compliance with Human Rights Treaties; II) Context Analysis; III) Gender-Based Violence; IV) Sexual Exploitation and Trafficking; V) Participation in Political and Public Life; VI) Access to Justice; VII) National Mechanisms for the Advancement of Women; VIII) Special Temporary Measures IX) Harmful Stereotypes and Practices; X) Education; XI) Sexual Health and Reproductive Health; XII</w:t>
      </w:r>
      <w:r>
        <w:rPr>
          <w:rFonts w:ascii="Times New Roman" w:eastAsia="Times New Roman" w:hAnsi="Times New Roman" w:cs="Times New Roman"/>
          <w:color w:val="434343"/>
        </w:rPr>
        <w:t xml:space="preserve">) Women Deprived of Liberty; and XIII) Employment and Social Security. </w:t>
      </w:r>
      <w:r>
        <w:rPr>
          <w:rFonts w:ascii="Times New Roman" w:eastAsia="Times New Roman" w:hAnsi="Times New Roman" w:cs="Times New Roman"/>
        </w:rPr>
        <w:t xml:space="preserve"> </w:t>
      </w:r>
    </w:p>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I) Compliance with Human Rights Treaties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We recognize the progress made by the State in keeping up to date with the submissions of periodic reports to monitoring mechanisms. Uruguay has submitted three country reports for the Universal Periodic Review, and two progress reports to the Human Rights Council (between the first and second review of the UPR in 2012 and 2016). In 2023, the State was examined by the CERD Committee (110 Session). However, the Uruguayan State has not effectively adapted or implemented the monitoring of its compliance with treaty body recommendations.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In the Ministry of Foreign Affairs, under the Directorate of Human Rights, the System for Dialogue and Consultation with civil society to follow-up on recommendations has not been convened since 2020. </w:t>
      </w:r>
    </w:p>
    <w:tbl>
      <w:tblPr>
        <w:tblStyle w:val="af1"/>
        <w:tblW w:w="893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31"/>
      </w:tblGrid>
      <w:tr w:rsidR="009574BD">
        <w:trPr>
          <w:trHeight w:val="2093"/>
        </w:trPr>
        <w:tc>
          <w:tcPr>
            <w:tcW w:w="8931" w:type="dxa"/>
            <w:shd w:val="clear" w:color="auto" w:fill="auto"/>
            <w:tcMar>
              <w:top w:w="100" w:type="dxa"/>
              <w:left w:w="100" w:type="dxa"/>
              <w:bottom w:w="100" w:type="dxa"/>
              <w:right w:w="100" w:type="dxa"/>
            </w:tcMar>
          </w:tcPr>
          <w:p w:rsidR="009574BD" w:rsidRDefault="00000000">
            <w:pPr>
              <w:spacing w:after="120" w:line="276" w:lineRule="auto"/>
              <w:ind w:left="42"/>
              <w:jc w:val="both"/>
              <w:rPr>
                <w:rFonts w:ascii="Times New Roman" w:eastAsia="Times New Roman" w:hAnsi="Times New Roman" w:cs="Times New Roman"/>
                <w:b/>
              </w:rPr>
            </w:pPr>
            <w:r>
              <w:rPr>
                <w:rFonts w:ascii="Times New Roman" w:eastAsia="Times New Roman" w:hAnsi="Times New Roman" w:cs="Times New Roman"/>
                <w:b/>
              </w:rPr>
              <w:lastRenderedPageBreak/>
              <w:t>RECOMMENDATION.</w:t>
            </w:r>
          </w:p>
          <w:p w:rsidR="009574BD" w:rsidRDefault="00000000">
            <w:pPr>
              <w:spacing w:after="120" w:line="276" w:lineRule="auto"/>
              <w:ind w:left="42"/>
              <w:jc w:val="both"/>
              <w:rPr>
                <w:rFonts w:ascii="Times New Roman" w:eastAsia="Times New Roman" w:hAnsi="Times New Roman" w:cs="Times New Roman"/>
              </w:rPr>
            </w:pPr>
            <w:r>
              <w:rPr>
                <w:rFonts w:ascii="Times New Roman" w:eastAsia="Times New Roman" w:hAnsi="Times New Roman" w:cs="Times New Roman"/>
              </w:rPr>
              <w:t>That the State accelerates the effective functioning of the Dialogue and Consultation System with the aim of monitoring treaty body recommendations by calling on civil society organizations for their full participation and updating the Recommendation Follow-up and Monitoring System (SIMORE) with information from all state agencies.</w:t>
            </w:r>
          </w:p>
        </w:tc>
      </w:tr>
    </w:tbl>
    <w:p w:rsidR="009574BD" w:rsidRDefault="009574BD">
      <w:pPr>
        <w:spacing w:after="120" w:line="276" w:lineRule="auto"/>
        <w:jc w:val="both"/>
        <w:rPr>
          <w:rFonts w:ascii="Times New Roman" w:eastAsia="Times New Roman" w:hAnsi="Times New Roman" w:cs="Times New Roman"/>
          <w:b/>
        </w:rPr>
      </w:pPr>
    </w:p>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II) Context Analysis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Uruguay has a population of</w:t>
      </w:r>
      <w:r>
        <w:rPr>
          <w:rFonts w:ascii="Times New Roman" w:eastAsia="Times New Roman" w:hAnsi="Times New Roman" w:cs="Times New Roman"/>
          <w:b/>
        </w:rPr>
        <w:t xml:space="preserve"> </w:t>
      </w:r>
      <w:r>
        <w:rPr>
          <w:rFonts w:ascii="Times New Roman" w:eastAsia="Times New Roman" w:hAnsi="Times New Roman" w:cs="Times New Roman"/>
        </w:rPr>
        <w:t>3,426,260</w:t>
      </w:r>
      <w:r>
        <w:rPr>
          <w:rFonts w:ascii="Times New Roman" w:eastAsia="Times New Roman" w:hAnsi="Times New Roman" w:cs="Times New Roman"/>
          <w:b/>
        </w:rPr>
        <w:t xml:space="preserve"> </w:t>
      </w:r>
      <w:r>
        <w:rPr>
          <w:rFonts w:ascii="Times New Roman" w:eastAsia="Times New Roman" w:hAnsi="Times New Roman" w:cs="Times New Roman"/>
        </w:rPr>
        <w:t xml:space="preserve">people.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In December 2019, the national state of emergency regarding gender-based violence was declared </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The new government took office in March 2020 and carried out a reform of the legal frameworks and public policies, as well as a restructuring of state agencies and budget cuts. The government cut the dialogue with civil society organizations with expertise and experience in human rights.</w:t>
      </w:r>
    </w:p>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rPr>
        <w:t>Law 19889 of Urgent Consideration (LUC by its Spanish acronym) of July 9, 2020</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includes more than 400 articles on issues that are not urgent, but rather constitute the road map and programmatic priorities of the government.</w:t>
      </w:r>
    </w:p>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rPr>
        <w:t>Uruguay is one of the countries in the region that allocated the fewest resources to face the social crisis resulting from the COVID 19 pandemic: 0.7% of its GDP according to ECLAC</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w:t>
      </w:r>
    </w:p>
    <w:p w:rsidR="009574BD" w:rsidRDefault="00000000">
      <w:pPr>
        <w:spacing w:after="120" w:line="276" w:lineRule="auto"/>
        <w:jc w:val="both"/>
        <w:rPr>
          <w:rFonts w:ascii="Times New Roman" w:eastAsia="Times New Roman" w:hAnsi="Times New Roman" w:cs="Times New Roman"/>
          <w:vertAlign w:val="superscript"/>
        </w:rPr>
      </w:pPr>
      <w:r>
        <w:rPr>
          <w:rFonts w:ascii="Times New Roman" w:eastAsia="Times New Roman" w:hAnsi="Times New Roman" w:cs="Times New Roman"/>
        </w:rPr>
        <w:t>The state response focused on the epidemiological aspect and left the decision to stay at home to the population. Public activity and mobility were restricted without considering the situation of the most vulnerable population. From April to June 2021, Uruguay had one of the highest numbers of infections and deaths per 100,000 inhabitants in the world, with an increase in maternal deaths, which is evidence that the measures adopted were insufficient.</w:t>
      </w:r>
      <w:r>
        <w:rPr>
          <w:rFonts w:ascii="Times New Roman" w:eastAsia="Times New Roman" w:hAnsi="Times New Roman" w:cs="Times New Roman"/>
          <w:vertAlign w:val="superscript"/>
        </w:rPr>
        <w:footnoteReference w:id="5"/>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During confinement, women were overloaded with work and violence against them, girls and adolescents in domestic spaces increased, including sexual violence.</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Care services for women victims of violence also suffered the impact of the pandemic.</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The First Level Care Network (RAP) of the State Health Services Administration (ASSE) was </w:t>
      </w:r>
      <w:r>
        <w:rPr>
          <w:rFonts w:ascii="Times New Roman" w:eastAsia="Times New Roman" w:hAnsi="Times New Roman" w:cs="Times New Roman"/>
        </w:rPr>
        <w:lastRenderedPageBreak/>
        <w:t>affected by the closure of 60</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polyclinics that were home to the health reference teams for situations of gender-based violence</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The difficulties of access due to public transport restrictions added to this problem.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To fight food insecurity, which grew exponentially in 2020, neighbors self-organized and generated "ollas </w:t>
      </w:r>
      <w:proofErr w:type="spellStart"/>
      <w:r>
        <w:rPr>
          <w:rFonts w:ascii="Times New Roman" w:eastAsia="Times New Roman" w:hAnsi="Times New Roman" w:cs="Times New Roman"/>
        </w:rPr>
        <w:t>populares</w:t>
      </w:r>
      <w:proofErr w:type="spellEnd"/>
      <w:r>
        <w:rPr>
          <w:rFonts w:ascii="Times New Roman" w:eastAsia="Times New Roman" w:hAnsi="Times New Roman" w:cs="Times New Roman"/>
        </w:rPr>
        <w:t>"</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(popular pots) to prepare and distribute food.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The pandemic left 100,000 new poor persons. According to data from the National Institute of Statistics (INE), in 2021 35,000 people had moved out of poverty, which means that there are still 65,000 more poor persons than in 2019. </w:t>
      </w:r>
    </w:p>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rPr>
        <w:t>68% of the country's 88,000 poor households are headed by a woman, and only half of these women are employed. In 2023 report on Uruguay, the UN said that “The aforementioned characteristics of women heads of household (low activity rates, precarious, informal labor employment without social security coverage; very low educational capital, high dedication to care, etc.) prevent, or at least make it seriously difficult, to generate the necessary income to escape poverty.”</w:t>
      </w:r>
      <w:r>
        <w:rPr>
          <w:rFonts w:ascii="Times New Roman" w:eastAsia="Times New Roman" w:hAnsi="Times New Roman" w:cs="Times New Roman"/>
          <w:vertAlign w:val="superscript"/>
        </w:rPr>
        <w:footnoteReference w:id="10"/>
      </w:r>
    </w:p>
    <w:p w:rsidR="009574BD" w:rsidRDefault="00000000">
      <w:pPr>
        <w:spacing w:after="120" w:line="276" w:lineRule="auto"/>
        <w:jc w:val="both"/>
        <w:rPr>
          <w:rFonts w:ascii="Times New Roman" w:eastAsia="Times New Roman" w:hAnsi="Times New Roman" w:cs="Times New Roman"/>
          <w:color w:val="141414"/>
        </w:rPr>
      </w:pPr>
      <w:r>
        <w:rPr>
          <w:rFonts w:ascii="Times New Roman" w:eastAsia="Times New Roman" w:hAnsi="Times New Roman" w:cs="Times New Roman"/>
        </w:rPr>
        <w:t>In 2023, Uruguay went through a serious water crisis</w:t>
      </w:r>
      <w:r>
        <w:rPr>
          <w:rFonts w:ascii="Times New Roman" w:eastAsia="Times New Roman" w:hAnsi="Times New Roman" w:cs="Times New Roman"/>
          <w:color w:val="434343"/>
        </w:rPr>
        <w:t xml:space="preserve">. </w:t>
      </w:r>
      <w:r>
        <w:rPr>
          <w:rFonts w:ascii="Times New Roman" w:eastAsia="Times New Roman" w:hAnsi="Times New Roman" w:cs="Times New Roman"/>
          <w:color w:val="3C4245"/>
        </w:rPr>
        <w:t>The</w:t>
      </w:r>
      <w:r>
        <w:rPr>
          <w:rFonts w:ascii="Times New Roman" w:eastAsia="Times New Roman" w:hAnsi="Times New Roman" w:cs="Times New Roman"/>
        </w:rPr>
        <w:t xml:space="preserve"> </w:t>
      </w:r>
      <w:r>
        <w:rPr>
          <w:rFonts w:ascii="Times New Roman" w:eastAsia="Times New Roman" w:hAnsi="Times New Roman" w:cs="Times New Roman"/>
          <w:color w:val="141414"/>
        </w:rPr>
        <w:t xml:space="preserve">quality of water in Montevideo and its metropolitan area, where 60% of the country's population resides, worsened throughout 2023 due to the lack of rain that affected the main freshwater reserve. Due to this, in April the government ordered the Public Waterworks (OSE) company, responsible for supplying drinking water nationwide, to draw water from the River Plate, which generated a higher concentration of salt and chlorine in drinking water. </w:t>
      </w:r>
    </w:p>
    <w:p w:rsidR="009574BD" w:rsidRDefault="00000000">
      <w:pPr>
        <w:spacing w:after="120" w:line="276" w:lineRule="auto"/>
        <w:jc w:val="both"/>
        <w:rPr>
          <w:rFonts w:ascii="Times New Roman" w:eastAsia="Times New Roman" w:hAnsi="Times New Roman" w:cs="Times New Roman"/>
          <w:color w:val="3C4245"/>
        </w:rPr>
      </w:pPr>
      <w:r>
        <w:rPr>
          <w:rFonts w:ascii="Times New Roman" w:eastAsia="Times New Roman" w:hAnsi="Times New Roman" w:cs="Times New Roman"/>
          <w:color w:val="434343"/>
        </w:rPr>
        <w:t xml:space="preserve">The government </w:t>
      </w:r>
      <w:r>
        <w:rPr>
          <w:rFonts w:ascii="Times New Roman" w:eastAsia="Times New Roman" w:hAnsi="Times New Roman" w:cs="Times New Roman"/>
          <w:color w:val="141414"/>
        </w:rPr>
        <w:t xml:space="preserve">did not declare a water emergency until June and lifted it on August 23. </w:t>
      </w:r>
      <w:r>
        <w:rPr>
          <w:rFonts w:ascii="Times New Roman" w:eastAsia="Times New Roman" w:hAnsi="Times New Roman" w:cs="Times New Roman"/>
          <w:color w:val="292929"/>
          <w:highlight w:val="white"/>
        </w:rPr>
        <w:t xml:space="preserve">Academic and civil society actors agree that droughts are not the only variable that explains the current situation. </w:t>
      </w:r>
      <w:r>
        <w:rPr>
          <w:rFonts w:ascii="Times New Roman" w:eastAsia="Times New Roman" w:hAnsi="Times New Roman" w:cs="Times New Roman"/>
          <w:color w:val="4A4A4A"/>
          <w:highlight w:val="white"/>
        </w:rPr>
        <w:t>UN experts have been warning “[...] for years that the expansion of concessions to water-intensive industries was leading to contamination and scarcity of water in the country”</w:t>
      </w:r>
      <w:r>
        <w:rPr>
          <w:rFonts w:ascii="Times New Roman" w:eastAsia="Times New Roman" w:hAnsi="Times New Roman" w:cs="Times New Roman"/>
          <w:color w:val="4A4A4A"/>
          <w:highlight w:val="white"/>
          <w:vertAlign w:val="superscript"/>
        </w:rPr>
        <w:footnoteReference w:id="11"/>
      </w:r>
      <w:r>
        <w:rPr>
          <w:rFonts w:ascii="Times New Roman" w:eastAsia="Times New Roman" w:hAnsi="Times New Roman" w:cs="Times New Roman"/>
          <w:color w:val="4A4A4A"/>
          <w:highlight w:val="white"/>
        </w:rPr>
        <w:t xml:space="preserve">. </w:t>
      </w:r>
      <w:r>
        <w:rPr>
          <w:rFonts w:ascii="Times New Roman" w:eastAsia="Times New Roman" w:hAnsi="Times New Roman" w:cs="Times New Roman"/>
          <w:color w:val="3C4245"/>
        </w:rPr>
        <w:t xml:space="preserve">The crisis has impacted the most vulnerable populations, particularly affecting households headed by women with dependent children, and in times of impoverishment, with disjointed social policies. </w:t>
      </w:r>
    </w:p>
    <w:p w:rsidR="009574BD" w:rsidRDefault="00000000">
      <w:pPr>
        <w:spacing w:after="120" w:line="276" w:lineRule="auto"/>
        <w:jc w:val="both"/>
        <w:rPr>
          <w:rFonts w:ascii="Times New Roman" w:eastAsia="Times New Roman" w:hAnsi="Times New Roman" w:cs="Times New Roman"/>
          <w:color w:val="3C4245"/>
        </w:rPr>
      </w:pPr>
      <w:r>
        <w:rPr>
          <w:rFonts w:ascii="Times New Roman" w:eastAsia="Times New Roman" w:hAnsi="Times New Roman" w:cs="Times New Roman"/>
          <w:color w:val="3C4245"/>
        </w:rPr>
        <w:lastRenderedPageBreak/>
        <w:t>Uruguay ranked first in the region in gender equality and SDG indicators and 31st globally in the period 2015-2020</w:t>
      </w:r>
      <w:r>
        <w:rPr>
          <w:rFonts w:ascii="Times New Roman" w:eastAsia="Times New Roman" w:hAnsi="Times New Roman" w:cs="Times New Roman"/>
          <w:color w:val="3C4245"/>
          <w:vertAlign w:val="superscript"/>
        </w:rPr>
        <w:footnoteReference w:id="12"/>
      </w:r>
      <w:r>
        <w:rPr>
          <w:rFonts w:ascii="Times New Roman" w:eastAsia="Times New Roman" w:hAnsi="Times New Roman" w:cs="Times New Roman"/>
          <w:color w:val="3C4245"/>
        </w:rPr>
        <w:t xml:space="preserve">. Going back to normal will be insufficient. </w:t>
      </w:r>
    </w:p>
    <w:p w:rsidR="009574BD" w:rsidRDefault="009574BD">
      <w:pPr>
        <w:spacing w:after="120" w:line="276" w:lineRule="auto"/>
        <w:jc w:val="both"/>
        <w:rPr>
          <w:rFonts w:ascii="Times New Roman" w:eastAsia="Times New Roman" w:hAnsi="Times New Roman" w:cs="Times New Roman"/>
          <w:b/>
        </w:rPr>
      </w:pPr>
    </w:p>
    <w:p w:rsidR="009574BD" w:rsidRDefault="00000000">
      <w:pPr>
        <w:spacing w:after="120" w:line="276" w:lineRule="auto"/>
        <w:jc w:val="both"/>
        <w:rPr>
          <w:rFonts w:ascii="Times New Roman" w:eastAsia="Times New Roman" w:hAnsi="Times New Roman" w:cs="Times New Roman"/>
          <w:i/>
        </w:rPr>
      </w:pPr>
      <w:r>
        <w:rPr>
          <w:rFonts w:ascii="Times New Roman" w:eastAsia="Times New Roman" w:hAnsi="Times New Roman" w:cs="Times New Roman"/>
          <w:b/>
        </w:rPr>
        <w:t>III) Gender-based Violence</w:t>
      </w:r>
      <w:r>
        <w:rPr>
          <w:rFonts w:ascii="Times New Roman" w:eastAsia="Times New Roman" w:hAnsi="Times New Roman" w:cs="Times New Roman"/>
          <w:b/>
          <w:highlight w:val="white"/>
          <w:vertAlign w:val="superscript"/>
        </w:rPr>
        <w:footnoteReference w:id="13"/>
      </w:r>
      <w:r>
        <w:rPr>
          <w:rFonts w:ascii="Times New Roman" w:eastAsia="Times New Roman" w:hAnsi="Times New Roman" w:cs="Times New Roman"/>
          <w:b/>
        </w:rPr>
        <w:t xml:space="preserve"> </w:t>
      </w:r>
      <w:r>
        <w:rPr>
          <w:rFonts w:ascii="Times New Roman" w:eastAsia="Times New Roman" w:hAnsi="Times New Roman" w:cs="Times New Roman"/>
          <w:b/>
          <w:highlight w:val="white"/>
        </w:rPr>
        <w:t xml:space="preserve"> </w:t>
      </w:r>
      <w:r>
        <w:rPr>
          <w:rFonts w:ascii="Times New Roman" w:eastAsia="Times New Roman" w:hAnsi="Times New Roman" w:cs="Times New Roman"/>
          <w:b/>
        </w:rPr>
        <w:t xml:space="preserve"> </w:t>
      </w:r>
      <w:r>
        <w:rPr>
          <w:rFonts w:ascii="Times New Roman" w:eastAsia="Times New Roman" w:hAnsi="Times New Roman" w:cs="Times New Roman"/>
        </w:rPr>
        <w:t xml:space="preserve"> </w:t>
      </w:r>
      <w:r>
        <w:rPr>
          <w:rFonts w:ascii="Times New Roman" w:eastAsia="Times New Roman" w:hAnsi="Times New Roman" w:cs="Times New Roman"/>
          <w:sz w:val="18"/>
          <w:szCs w:val="18"/>
        </w:rPr>
        <w:t xml:space="preserve"> </w:t>
      </w:r>
      <w:r>
        <w:rPr>
          <w:rFonts w:ascii="Times New Roman" w:eastAsia="Times New Roman" w:hAnsi="Times New Roman" w:cs="Times New Roman"/>
          <w:i/>
        </w:rPr>
        <w:t xml:space="preserve">CEDAW/C/URY/QPR/10 Par 11 </w:t>
      </w:r>
      <w:r>
        <w:rPr>
          <w:rFonts w:ascii="Times New Roman" w:eastAsia="Times New Roman" w:hAnsi="Times New Roman" w:cs="Times New Roman"/>
        </w:rPr>
        <w:t xml:space="preserve"> </w:t>
      </w:r>
    </w:p>
    <w:p w:rsidR="009574BD" w:rsidRDefault="00000000">
      <w:pPr>
        <w:spacing w:after="120" w:line="276" w:lineRule="auto"/>
        <w:jc w:val="both"/>
        <w:rPr>
          <w:rFonts w:ascii="Times New Roman" w:eastAsia="Times New Roman" w:hAnsi="Times New Roman" w:cs="Times New Roman"/>
          <w:color w:val="262626"/>
        </w:rPr>
      </w:pPr>
      <w:r>
        <w:rPr>
          <w:rFonts w:ascii="Times New Roman" w:eastAsia="Times New Roman" w:hAnsi="Times New Roman" w:cs="Times New Roman"/>
        </w:rPr>
        <w:t>The Second National Prevalence Survey on Violence Based on Gender and Generations</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w:t>
      </w:r>
      <w:r>
        <w:rPr>
          <w:rFonts w:ascii="Times New Roman" w:eastAsia="Times New Roman" w:hAnsi="Times New Roman" w:cs="Times New Roman"/>
          <w:vertAlign w:val="superscript"/>
        </w:rPr>
        <w:t xml:space="preserve"> </w:t>
      </w:r>
      <w:r>
        <w:rPr>
          <w:rFonts w:ascii="Times New Roman" w:eastAsia="Times New Roman" w:hAnsi="Times New Roman" w:cs="Times New Roman"/>
        </w:rPr>
        <w:t xml:space="preserve">(2019) </w:t>
      </w:r>
      <w:r>
        <w:rPr>
          <w:rFonts w:ascii="Times New Roman" w:eastAsia="Times New Roman" w:hAnsi="Times New Roman" w:cs="Times New Roman"/>
          <w:color w:val="262626"/>
        </w:rPr>
        <w:t>included women with disabilities, Afro-descendants, migrant population, and non-hegemonic gender identities and sexual orientations.</w:t>
      </w:r>
    </w:p>
    <w:p w:rsidR="009574BD" w:rsidRDefault="00000000">
      <w:pPr>
        <w:spacing w:after="120" w:line="276" w:lineRule="auto"/>
        <w:jc w:val="both"/>
        <w:rPr>
          <w:rFonts w:ascii="Times New Roman" w:eastAsia="Times New Roman" w:hAnsi="Times New Roman" w:cs="Times New Roman"/>
          <w:color w:val="262626"/>
        </w:rPr>
      </w:pPr>
      <w:r>
        <w:rPr>
          <w:rFonts w:ascii="Times New Roman" w:eastAsia="Times New Roman" w:hAnsi="Times New Roman" w:cs="Times New Roman"/>
          <w:color w:val="262626"/>
        </w:rPr>
        <w:t xml:space="preserve">“76.7% of women aged 15 and over residing in Uruguay report situations of gender-based violence (GBV), throughout their lives, in at least one of the surveyed areas. This represents approximately 1.1 million women.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Sufficient human and financial resources were not allocated</w:t>
      </w:r>
      <w:r>
        <w:rPr>
          <w:rFonts w:ascii="Times New Roman" w:eastAsia="Times New Roman" w:hAnsi="Times New Roman" w:cs="Times New Roman"/>
          <w:color w:val="FF0000"/>
        </w:rPr>
        <w:t xml:space="preserve"> </w:t>
      </w:r>
      <w:r>
        <w:rPr>
          <w:rFonts w:ascii="Times New Roman" w:eastAsia="Times New Roman" w:hAnsi="Times New Roman" w:cs="Times New Roman"/>
          <w:color w:val="434343"/>
        </w:rPr>
        <w:t>for</w:t>
      </w:r>
      <w:r>
        <w:rPr>
          <w:rFonts w:ascii="Times New Roman" w:eastAsia="Times New Roman" w:hAnsi="Times New Roman" w:cs="Times New Roman"/>
        </w:rPr>
        <w:t xml:space="preserve"> the implementation of Law 19580. </w:t>
      </w:r>
      <w:r>
        <w:rPr>
          <w:rFonts w:ascii="Times New Roman" w:eastAsia="Times New Roman" w:hAnsi="Times New Roman" w:cs="Times New Roman"/>
          <w:color w:val="434343"/>
        </w:rPr>
        <w:t>Procedures have not been simplified or free: women must follow a critical path in different courts, with different advocates and at huge expense.</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The public defender's office was not strengthened. Sufficient specialized courts for gender-based violence were not created (Law 19580). For example, the two</w:t>
      </w:r>
      <w:r>
        <w:rPr>
          <w:rFonts w:ascii="Times New Roman" w:eastAsia="Times New Roman" w:hAnsi="Times New Roman" w:cs="Times New Roman"/>
          <w:color w:val="FF0000"/>
        </w:rPr>
        <w:t xml:space="preserve"> </w:t>
      </w:r>
      <w:r>
        <w:rPr>
          <w:rFonts w:ascii="Times New Roman" w:eastAsia="Times New Roman" w:hAnsi="Times New Roman" w:cs="Times New Roman"/>
          <w:color w:val="434343"/>
        </w:rPr>
        <w:t>courts</w:t>
      </w:r>
      <w:r>
        <w:rPr>
          <w:rFonts w:ascii="Times New Roman" w:eastAsia="Times New Roman" w:hAnsi="Times New Roman" w:cs="Times New Roman"/>
          <w:color w:val="666666"/>
          <w:highlight w:val="white"/>
        </w:rPr>
        <w:t xml:space="preserve"> created in 2022 in the city of San Carlos </w:t>
      </w:r>
      <w:r>
        <w:rPr>
          <w:rFonts w:ascii="Times New Roman" w:eastAsia="Times New Roman" w:hAnsi="Times New Roman" w:cs="Times New Roman"/>
          <w:color w:val="434343"/>
        </w:rPr>
        <w:t>have deficient facilities to protect the personal safety, dignity and privacy of the victims, and are overloaded by the demand of an entire province with approximately 164,000 inhabitants who must move from their towns to the courts.</w:t>
      </w:r>
      <w:r>
        <w:rPr>
          <w:rFonts w:ascii="Times New Roman" w:eastAsia="Times New Roman" w:hAnsi="Times New Roman" w:cs="Times New Roman"/>
          <w:color w:val="434343"/>
          <w:vertAlign w:val="superscript"/>
        </w:rPr>
        <w:footnoteReference w:id="15"/>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According to the </w:t>
      </w:r>
      <w:r>
        <w:rPr>
          <w:rFonts w:ascii="Times New Roman" w:eastAsia="Times New Roman" w:hAnsi="Times New Roman" w:cs="Times New Roman"/>
          <w:color w:val="434343"/>
          <w:highlight w:val="white"/>
        </w:rPr>
        <w:t>National Observatory on Violence and Criminality of the Ministry of the Interior,</w:t>
      </w:r>
      <w:r>
        <w:rPr>
          <w:rFonts w:ascii="Times New Roman" w:eastAsia="Times New Roman" w:hAnsi="Times New Roman" w:cs="Times New Roman"/>
          <w:vertAlign w:val="superscript"/>
        </w:rPr>
        <w:footnoteReference w:id="16"/>
      </w:r>
      <w:r>
        <w:rPr>
          <w:rFonts w:ascii="Times New Roman" w:eastAsia="Times New Roman" w:hAnsi="Times New Roman" w:cs="Times New Roman"/>
          <w:color w:val="434343"/>
          <w:highlight w:val="white"/>
        </w:rPr>
        <w:t xml:space="preserve"> </w:t>
      </w:r>
      <w:r>
        <w:rPr>
          <w:rFonts w:ascii="Times New Roman" w:eastAsia="Times New Roman" w:hAnsi="Times New Roman" w:cs="Times New Roman"/>
        </w:rPr>
        <w:t xml:space="preserve">in 2022 33,350 reports of </w:t>
      </w:r>
      <w:r>
        <w:rPr>
          <w:rFonts w:ascii="Times New Roman" w:eastAsia="Times New Roman" w:hAnsi="Times New Roman" w:cs="Times New Roman"/>
          <w:b/>
        </w:rPr>
        <w:t>domestic and gender-based violence</w:t>
      </w:r>
      <w:r>
        <w:rPr>
          <w:rFonts w:ascii="Times New Roman" w:eastAsia="Times New Roman" w:hAnsi="Times New Roman" w:cs="Times New Roman"/>
        </w:rPr>
        <w:t xml:space="preserve"> were filed, and in the first semester of 2023 </w:t>
      </w:r>
      <w:r>
        <w:rPr>
          <w:rFonts w:ascii="Times New Roman" w:eastAsia="Times New Roman" w:hAnsi="Times New Roman" w:cs="Times New Roman"/>
          <w:color w:val="434343"/>
        </w:rPr>
        <w:t>the number of domestic violence reports rose (4.8%) compared to 2022.</w:t>
      </w:r>
      <w:r>
        <w:rPr>
          <w:rFonts w:ascii="Times New Roman" w:eastAsia="Times New Roman" w:hAnsi="Times New Roman" w:cs="Times New Roman"/>
        </w:rPr>
        <w:t xml:space="preserve"> The number of </w:t>
      </w:r>
      <w:r>
        <w:rPr>
          <w:rFonts w:ascii="Times New Roman" w:eastAsia="Times New Roman" w:hAnsi="Times New Roman" w:cs="Times New Roman"/>
          <w:b/>
        </w:rPr>
        <w:t>women murdered</w:t>
      </w:r>
      <w:r>
        <w:rPr>
          <w:rFonts w:ascii="Times New Roman" w:eastAsia="Times New Roman" w:hAnsi="Times New Roman" w:cs="Times New Roman"/>
        </w:rPr>
        <w:t xml:space="preserve"> by their partners, ex-partners or relatives in 2019 was 48, which led to the declaration of a </w:t>
      </w:r>
      <w:r>
        <w:rPr>
          <w:rFonts w:ascii="Times New Roman" w:eastAsia="Times New Roman" w:hAnsi="Times New Roman" w:cs="Times New Roman"/>
          <w:b/>
        </w:rPr>
        <w:t>state of emergency</w:t>
      </w:r>
      <w:r>
        <w:rPr>
          <w:rFonts w:ascii="Times New Roman" w:eastAsia="Times New Roman" w:hAnsi="Times New Roman" w:cs="Times New Roman"/>
        </w:rPr>
        <w:t xml:space="preserve"> regarding GBV.</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According to the same source, 38 women were murdered in 2020, 40 in 2021; and 48 in 2022 (including 8 girls.) Between 2001 and 2022, there were 13 </w:t>
      </w:r>
      <w:proofErr w:type="spellStart"/>
      <w:r>
        <w:rPr>
          <w:rFonts w:ascii="Times New Roman" w:eastAsia="Times New Roman" w:hAnsi="Times New Roman" w:cs="Times New Roman"/>
        </w:rPr>
        <w:t>transfemicides</w:t>
      </w:r>
      <w:proofErr w:type="spellEnd"/>
      <w:r>
        <w:rPr>
          <w:rFonts w:ascii="Times New Roman" w:eastAsia="Times New Roman" w:hAnsi="Times New Roman" w:cs="Times New Roman"/>
        </w:rPr>
        <w:t>, many of which remain unsolved</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There is disparity in these data depending on the source, which indicates the deficiency in data collection by the State.</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lastRenderedPageBreak/>
        <w:t>As of August 2023, 29 women have been killed. Of these cases, seven have been classified as femicides.</w:t>
      </w:r>
      <w:r>
        <w:rPr>
          <w:rFonts w:ascii="Times New Roman" w:eastAsia="Times New Roman" w:hAnsi="Times New Roman" w:cs="Times New Roman"/>
          <w:vertAlign w:val="superscript"/>
        </w:rPr>
        <w:footnoteReference w:id="19"/>
      </w:r>
    </w:p>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Sexual Violence</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The Second National Prevalence Survey on Violence based on Gender and Generations (2019) showed that sexual violence is the most frequent type of GBV, with an increase of 8.3 percentage points compared to 2013 (it was 36.5% in 2013 and 44.8% in 2019). The aggressors tend to be strangers, generally male (97.8%). A third of the </w:t>
      </w:r>
      <w:proofErr w:type="gramStart"/>
      <w:r>
        <w:rPr>
          <w:rFonts w:ascii="Times New Roman" w:eastAsia="Times New Roman" w:hAnsi="Times New Roman" w:cs="Times New Roman"/>
        </w:rPr>
        <w:t>respondents</w:t>
      </w:r>
      <w:proofErr w:type="gramEnd"/>
      <w:r>
        <w:rPr>
          <w:rFonts w:ascii="Times New Roman" w:eastAsia="Times New Roman" w:hAnsi="Times New Roman" w:cs="Times New Roman"/>
        </w:rPr>
        <w:t xml:space="preserve"> report having experienced GBV on the street, 13.1% on public transport, and 9.6% at parties, nightclubs, bars, pubs and concerts.</w:t>
      </w:r>
    </w:p>
    <w:p w:rsidR="009574BD" w:rsidRDefault="00000000">
      <w:pPr>
        <w:spacing w:after="120" w:line="276" w:lineRule="auto"/>
        <w:jc w:val="both"/>
        <w:rPr>
          <w:rFonts w:ascii="Times New Roman" w:eastAsia="Times New Roman" w:hAnsi="Times New Roman" w:cs="Times New Roman"/>
          <w:vertAlign w:val="superscript"/>
        </w:rPr>
      </w:pPr>
      <w:r>
        <w:rPr>
          <w:rFonts w:ascii="Times New Roman" w:eastAsia="Times New Roman" w:hAnsi="Times New Roman" w:cs="Times New Roman"/>
        </w:rPr>
        <w:t>Half of the women over 15 years of age report having experienced some type of sexual violence in public spaces in their lives.</w:t>
      </w:r>
      <w:r>
        <w:rPr>
          <w:rFonts w:ascii="Times New Roman" w:eastAsia="Times New Roman" w:hAnsi="Times New Roman" w:cs="Times New Roman"/>
          <w:vertAlign w:val="superscript"/>
        </w:rPr>
        <w:footnoteReference w:id="20"/>
      </w:r>
    </w:p>
    <w:p w:rsidR="009574BD" w:rsidRDefault="00000000">
      <w:pPr>
        <w:spacing w:after="120" w:line="276" w:lineRule="auto"/>
        <w:jc w:val="both"/>
        <w:rPr>
          <w:rFonts w:ascii="Times New Roman" w:eastAsia="Times New Roman" w:hAnsi="Times New Roman" w:cs="Times New Roman"/>
          <w:color w:val="434343"/>
          <w:highlight w:val="white"/>
        </w:rPr>
      </w:pPr>
      <w:r>
        <w:rPr>
          <w:rFonts w:ascii="Times New Roman" w:eastAsia="Times New Roman" w:hAnsi="Times New Roman" w:cs="Times New Roman"/>
          <w:color w:val="434343"/>
          <w:highlight w:val="white"/>
        </w:rPr>
        <w:t xml:space="preserve">If this trend continues, no girl born in 2022 will ever see Uruguayan women feel safe walking alone at night. </w:t>
      </w:r>
      <w:r>
        <w:rPr>
          <w:rFonts w:ascii="Times New Roman" w:eastAsia="Times New Roman" w:hAnsi="Times New Roman" w:cs="Times New Roman"/>
          <w:color w:val="434343"/>
          <w:highlight w:val="white"/>
          <w:vertAlign w:val="superscript"/>
        </w:rPr>
        <w:footnoteReference w:id="21"/>
      </w:r>
      <w:r>
        <w:rPr>
          <w:rFonts w:ascii="Times New Roman" w:eastAsia="Times New Roman" w:hAnsi="Times New Roman" w:cs="Times New Roman"/>
          <w:color w:val="434343"/>
          <w:highlight w:val="white"/>
        </w:rPr>
        <w:t xml:space="preserve">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highlight w:val="white"/>
        </w:rPr>
        <w:t>The National Observatory on Violence and Crime of the Ministry of the Interior recorded 2,440 reports</w:t>
      </w:r>
      <w:r>
        <w:rPr>
          <w:rFonts w:ascii="Times New Roman" w:eastAsia="Times New Roman" w:hAnsi="Times New Roman" w:cs="Times New Roman"/>
          <w:color w:val="434343"/>
        </w:rPr>
        <w:t xml:space="preserve"> of sexual abuse, indecent assault, and rape </w:t>
      </w:r>
      <w:r>
        <w:rPr>
          <w:rFonts w:ascii="Times New Roman" w:eastAsia="Times New Roman" w:hAnsi="Times New Roman" w:cs="Times New Roman"/>
          <w:color w:val="434343"/>
          <w:vertAlign w:val="superscript"/>
        </w:rPr>
        <w:footnoteReference w:id="22"/>
      </w:r>
      <w:r>
        <w:rPr>
          <w:rFonts w:ascii="Times New Roman" w:eastAsia="Times New Roman" w:hAnsi="Times New Roman" w:cs="Times New Roman"/>
          <w:color w:val="434343"/>
        </w:rPr>
        <w:t xml:space="preserve"> </w:t>
      </w:r>
      <w:r>
        <w:rPr>
          <w:rFonts w:ascii="Times New Roman" w:eastAsia="Times New Roman" w:hAnsi="Times New Roman" w:cs="Times New Roman"/>
          <w:color w:val="434343"/>
          <w:highlight w:val="white"/>
        </w:rPr>
        <w:t xml:space="preserve">in 2019, 2,449 in 2020, 2,520 in 2021, and 2,766 in 2022. </w:t>
      </w:r>
      <w:r>
        <w:rPr>
          <w:rFonts w:ascii="Times New Roman" w:eastAsia="Times New Roman" w:hAnsi="Times New Roman" w:cs="Times New Roman"/>
          <w:color w:val="434343"/>
        </w:rPr>
        <w:t>When disaggregating the data by sex and age, we find that the gap between the sexes increases with age. 64.5% of victims from 0 to 5 years old are girls and 35.5% boys. From 4 to 12 years old, 70.1% of victims are girls and 29.9% are boys. From 13 to 17 years old, 88.7% are girls and 11.3% are boys. Sexual violence against women prevails in older age groups.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According to 2020 data from the Comprehensive System for the Protection of Children and Adolescents against Violence (SIPIAV)</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which mainly serves vulnerable populations, 3 out of 4 people who suffer situations of sexual abuse in Uruguay are girls. In 2018, 4,131 cases were registered, and in 2022 the figure continued to increase, with 7,473 cases.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With the available data, CLADEM carried out an investigation on the 2018 - 2020 period, incorporating the category of </w:t>
      </w:r>
      <w:proofErr w:type="spellStart"/>
      <w:r>
        <w:rPr>
          <w:rFonts w:ascii="Times New Roman" w:eastAsia="Times New Roman" w:hAnsi="Times New Roman" w:cs="Times New Roman"/>
        </w:rPr>
        <w:t>femicidal</w:t>
      </w:r>
      <w:proofErr w:type="spellEnd"/>
      <w:r>
        <w:rPr>
          <w:rFonts w:ascii="Times New Roman" w:eastAsia="Times New Roman" w:hAnsi="Times New Roman" w:cs="Times New Roman"/>
        </w:rPr>
        <w:t xml:space="preserve"> sexual violence, which verified the interrelationship between sexual violence against girls and death by suicide and/or murder.</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The Law on Violence against Women based on Gender incorporated sexual crimes following </w:t>
      </w:r>
      <w:r>
        <w:rPr>
          <w:rFonts w:ascii="Times New Roman" w:eastAsia="Times New Roman" w:hAnsi="Times New Roman" w:cs="Times New Roman"/>
        </w:rPr>
        <w:lastRenderedPageBreak/>
        <w:t xml:space="preserve">international standards, and establishes the </w:t>
      </w:r>
      <w:proofErr w:type="spellStart"/>
      <w:r>
        <w:rPr>
          <w:rFonts w:ascii="Times New Roman" w:eastAsia="Times New Roman" w:hAnsi="Times New Roman" w:cs="Times New Roman"/>
        </w:rPr>
        <w:t>imprescriptibility</w:t>
      </w:r>
      <w:proofErr w:type="spellEnd"/>
      <w:r>
        <w:rPr>
          <w:rFonts w:ascii="Times New Roman" w:eastAsia="Times New Roman" w:hAnsi="Times New Roman" w:cs="Times New Roman"/>
        </w:rPr>
        <w:t xml:space="preserve"> of criminal proceedings, not the crime. </w:t>
      </w:r>
    </w:p>
    <w:p w:rsidR="009574BD" w:rsidRDefault="009574BD">
      <w:pPr>
        <w:spacing w:after="120" w:line="276" w:lineRule="auto"/>
        <w:jc w:val="both"/>
        <w:rPr>
          <w:rFonts w:ascii="Times New Roman" w:eastAsia="Times New Roman" w:hAnsi="Times New Roman" w:cs="Times New Roman"/>
        </w:rPr>
      </w:pPr>
    </w:p>
    <w:tbl>
      <w:tblPr>
        <w:tblStyle w:val="af2"/>
        <w:tblpPr w:leftFromText="180" w:rightFromText="180" w:topFromText="180" w:bottomFromText="180" w:vertAnchor="text"/>
        <w:tblW w:w="8921"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21"/>
      </w:tblGrid>
      <w:tr w:rsidR="009574BD">
        <w:tc>
          <w:tcPr>
            <w:tcW w:w="8921" w:type="dxa"/>
          </w:tcPr>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RECOMMENDATIONS</w:t>
            </w:r>
            <w:r>
              <w:rPr>
                <w:rFonts w:ascii="Times New Roman" w:eastAsia="Times New Roman" w:hAnsi="Times New Roman" w:cs="Times New Roman"/>
              </w:rPr>
              <w:t>.</w:t>
            </w:r>
          </w:p>
          <w:p w:rsidR="009574BD" w:rsidRDefault="00000000">
            <w:pPr>
              <w:numPr>
                <w:ilvl w:val="0"/>
                <w:numId w:val="1"/>
              </w:numPr>
              <w:spacing w:after="120" w:line="276" w:lineRule="auto"/>
              <w:ind w:left="0"/>
              <w:jc w:val="both"/>
              <w:rPr>
                <w:rFonts w:ascii="Times New Roman" w:eastAsia="Times New Roman" w:hAnsi="Times New Roman" w:cs="Times New Roman"/>
              </w:rPr>
            </w:pPr>
            <w:r>
              <w:rPr>
                <w:rFonts w:ascii="Times New Roman" w:eastAsia="Times New Roman" w:hAnsi="Times New Roman" w:cs="Times New Roman"/>
              </w:rPr>
              <w:t xml:space="preserve">That the State strengthens the response system for a timely, effective, and comprehensive approach of gender-based violence </w:t>
            </w:r>
            <w:r>
              <w:rPr>
                <w:rFonts w:ascii="Times New Roman" w:eastAsia="Times New Roman" w:hAnsi="Times New Roman" w:cs="Times New Roman"/>
                <w:highlight w:val="white"/>
              </w:rPr>
              <w:t>strengthening intersectoral articulation and coordination among competent agencies.</w:t>
            </w:r>
          </w:p>
          <w:p w:rsidR="009574BD" w:rsidRDefault="00000000">
            <w:pPr>
              <w:numPr>
                <w:ilvl w:val="0"/>
                <w:numId w:val="1"/>
              </w:numPr>
              <w:spacing w:after="120" w:line="276" w:lineRule="auto"/>
              <w:ind w:left="0"/>
              <w:jc w:val="both"/>
              <w:rPr>
                <w:rFonts w:ascii="Times New Roman" w:eastAsia="Times New Roman" w:hAnsi="Times New Roman" w:cs="Times New Roman"/>
                <w:highlight w:val="white"/>
              </w:rPr>
            </w:pPr>
            <w:r>
              <w:rPr>
                <w:rFonts w:ascii="Times New Roman" w:eastAsia="Times New Roman" w:hAnsi="Times New Roman" w:cs="Times New Roman"/>
              </w:rPr>
              <w:t xml:space="preserve">That the State assigns </w:t>
            </w:r>
            <w:r>
              <w:rPr>
                <w:rFonts w:ascii="Times New Roman" w:eastAsia="Times New Roman" w:hAnsi="Times New Roman" w:cs="Times New Roman"/>
                <w:color w:val="434343"/>
                <w:highlight w:val="white"/>
              </w:rPr>
              <w:t>public budget to the implementation of Law 19580, paying special attention to the declaration of national emergency.</w:t>
            </w:r>
          </w:p>
          <w:p w:rsidR="009574BD" w:rsidRDefault="00000000">
            <w:pPr>
              <w:numPr>
                <w:ilvl w:val="0"/>
                <w:numId w:val="1"/>
              </w:numPr>
              <w:spacing w:after="120" w:line="276" w:lineRule="auto"/>
              <w:ind w:left="0"/>
              <w:jc w:val="both"/>
              <w:rPr>
                <w:rFonts w:ascii="Times New Roman" w:eastAsia="Times New Roman" w:hAnsi="Times New Roman" w:cs="Times New Roman"/>
                <w:highlight w:val="white"/>
              </w:rPr>
            </w:pPr>
            <w:r>
              <w:rPr>
                <w:rFonts w:ascii="Times New Roman" w:eastAsia="Times New Roman" w:hAnsi="Times New Roman" w:cs="Times New Roman"/>
                <w:color w:val="434343"/>
                <w:highlight w:val="white"/>
              </w:rPr>
              <w:t xml:space="preserve">That </w:t>
            </w:r>
            <w:r>
              <w:rPr>
                <w:rFonts w:ascii="Times New Roman" w:eastAsia="Times New Roman" w:hAnsi="Times New Roman" w:cs="Times New Roman"/>
              </w:rPr>
              <w:t xml:space="preserve">the State strengthens </w:t>
            </w:r>
            <w:r>
              <w:rPr>
                <w:rFonts w:ascii="Times New Roman" w:eastAsia="Times New Roman" w:hAnsi="Times New Roman" w:cs="Times New Roman"/>
                <w:color w:val="434343"/>
                <w:highlight w:val="white"/>
              </w:rPr>
              <w:t xml:space="preserve">the Observatory on Gender-based Violence against Women. </w:t>
            </w:r>
          </w:p>
          <w:p w:rsidR="009574BD" w:rsidRDefault="00000000">
            <w:pPr>
              <w:numPr>
                <w:ilvl w:val="0"/>
                <w:numId w:val="1"/>
              </w:numPr>
              <w:spacing w:after="120" w:line="276" w:lineRule="auto"/>
              <w:ind w:left="0"/>
              <w:jc w:val="both"/>
              <w:rPr>
                <w:rFonts w:ascii="Times New Roman" w:eastAsia="Times New Roman" w:hAnsi="Times New Roman" w:cs="Times New Roman"/>
                <w:highlight w:val="white"/>
              </w:rPr>
            </w:pPr>
            <w:r>
              <w:rPr>
                <w:rFonts w:ascii="Times New Roman" w:eastAsia="Times New Roman" w:hAnsi="Times New Roman" w:cs="Times New Roman"/>
              </w:rPr>
              <w:t>That the State promotes the training and continuing education of public officials.</w:t>
            </w:r>
          </w:p>
          <w:p w:rsidR="009574BD" w:rsidRDefault="00000000">
            <w:pPr>
              <w:numPr>
                <w:ilvl w:val="0"/>
                <w:numId w:val="1"/>
              </w:numPr>
              <w:spacing w:after="120" w:line="276" w:lineRule="auto"/>
              <w:ind w:left="0"/>
              <w:jc w:val="both"/>
              <w:rPr>
                <w:rFonts w:ascii="Times New Roman" w:eastAsia="Times New Roman" w:hAnsi="Times New Roman" w:cs="Times New Roman"/>
              </w:rPr>
            </w:pPr>
            <w:r>
              <w:rPr>
                <w:rFonts w:ascii="Times New Roman" w:eastAsia="Times New Roman" w:hAnsi="Times New Roman" w:cs="Times New Roman"/>
                <w:color w:val="1F1F1F"/>
                <w:highlight w:val="white"/>
              </w:rPr>
              <w:t>That the State unifies criminal law according to international standards.</w:t>
            </w:r>
          </w:p>
          <w:p w:rsidR="009574BD" w:rsidRDefault="00000000">
            <w:pPr>
              <w:numPr>
                <w:ilvl w:val="0"/>
                <w:numId w:val="1"/>
              </w:numPr>
              <w:spacing w:after="120" w:line="276" w:lineRule="auto"/>
              <w:ind w:left="0"/>
              <w:jc w:val="both"/>
              <w:rPr>
                <w:rFonts w:ascii="Times New Roman" w:eastAsia="Times New Roman" w:hAnsi="Times New Roman" w:cs="Times New Roman"/>
              </w:rPr>
            </w:pPr>
            <w:r>
              <w:rPr>
                <w:rFonts w:ascii="Times New Roman" w:eastAsia="Times New Roman" w:hAnsi="Times New Roman" w:cs="Times New Roman"/>
              </w:rPr>
              <w:t xml:space="preserve">That the Uruguayan Parliament, within a period of one year, approves the </w:t>
            </w:r>
            <w:proofErr w:type="spellStart"/>
            <w:r>
              <w:rPr>
                <w:rFonts w:ascii="Times New Roman" w:eastAsia="Times New Roman" w:hAnsi="Times New Roman" w:cs="Times New Roman"/>
              </w:rPr>
              <w:t>imprescriptibility</w:t>
            </w:r>
            <w:proofErr w:type="spellEnd"/>
            <w:r>
              <w:rPr>
                <w:rFonts w:ascii="Times New Roman" w:eastAsia="Times New Roman" w:hAnsi="Times New Roman" w:cs="Times New Roman"/>
              </w:rPr>
              <w:t xml:space="preserve"> of sexual crimes. </w:t>
            </w:r>
          </w:p>
        </w:tc>
      </w:tr>
    </w:tbl>
    <w:p w:rsidR="009574BD" w:rsidRDefault="00000000">
      <w:pPr>
        <w:spacing w:after="120" w:line="276" w:lineRule="auto"/>
        <w:jc w:val="both"/>
        <w:rPr>
          <w:rFonts w:ascii="Times New Roman" w:eastAsia="Times New Roman" w:hAnsi="Times New Roman" w:cs="Times New Roman"/>
          <w:i/>
        </w:rPr>
      </w:pPr>
      <w:r>
        <w:rPr>
          <w:rFonts w:ascii="Times New Roman" w:eastAsia="Times New Roman" w:hAnsi="Times New Roman" w:cs="Times New Roman"/>
          <w:b/>
        </w:rPr>
        <w:t xml:space="preserve">IV. Sexual Exploitation and Trafficking </w:t>
      </w:r>
      <w:r>
        <w:rPr>
          <w:rFonts w:ascii="Times New Roman" w:eastAsia="Times New Roman" w:hAnsi="Times New Roman" w:cs="Times New Roman"/>
        </w:rPr>
        <w:t>(</w:t>
      </w:r>
      <w:r>
        <w:rPr>
          <w:rFonts w:ascii="Times New Roman" w:eastAsia="Times New Roman" w:hAnsi="Times New Roman" w:cs="Times New Roman"/>
          <w:highlight w:val="white"/>
        </w:rPr>
        <w:t>Law 19643</w:t>
      </w:r>
      <w:r>
        <w:rPr>
          <w:rFonts w:ascii="Times New Roman" w:eastAsia="Times New Roman" w:hAnsi="Times New Roman" w:cs="Times New Roman"/>
          <w:highlight w:val="white"/>
          <w:vertAlign w:val="superscript"/>
        </w:rPr>
        <w:footnoteReference w:id="25"/>
      </w:r>
      <w:r>
        <w:rPr>
          <w:rFonts w:ascii="Times New Roman" w:eastAsia="Times New Roman" w:hAnsi="Times New Roman" w:cs="Times New Roman"/>
          <w:highlight w:val="white"/>
        </w:rPr>
        <w:t xml:space="preserve">) </w:t>
      </w:r>
      <w:r>
        <w:rPr>
          <w:rFonts w:ascii="Times New Roman" w:eastAsia="Times New Roman" w:hAnsi="Times New Roman" w:cs="Times New Roman"/>
        </w:rPr>
        <w:t xml:space="preserve">  </w:t>
      </w:r>
      <w:r>
        <w:rPr>
          <w:rFonts w:ascii="Times New Roman" w:eastAsia="Times New Roman" w:hAnsi="Times New Roman" w:cs="Times New Roman"/>
          <w:i/>
        </w:rPr>
        <w:t xml:space="preserve">CEDAW/C/URY/QPR/10 Par 12 </w:t>
      </w:r>
      <w:r>
        <w:rPr>
          <w:rFonts w:ascii="Times New Roman" w:eastAsia="Times New Roman" w:hAnsi="Times New Roman" w:cs="Times New Roman"/>
        </w:rPr>
        <w:t xml:space="preserve">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In 2019, there were 80 reports of contribution, compensation or promise of compensation for sexual exploitation against children and adolescents according to the</w:t>
      </w:r>
      <w:r>
        <w:rPr>
          <w:rFonts w:ascii="Times New Roman" w:eastAsia="Times New Roman" w:hAnsi="Times New Roman" w:cs="Times New Roman"/>
          <w:color w:val="434343"/>
          <w:highlight w:val="white"/>
        </w:rPr>
        <w:t xml:space="preserve"> National Observatory on Violence and Crime of the Ministry of the Interior. This number grew to 115 in 2020, then decreased back to 80 reports in 2021, and 75 reports in 2022. </w:t>
      </w:r>
      <w:r>
        <w:rPr>
          <w:rFonts w:ascii="Times New Roman" w:eastAsia="Times New Roman" w:hAnsi="Times New Roman" w:cs="Times New Roman"/>
        </w:rPr>
        <w:t>81% of the victims are women.</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color w:val="262626"/>
        </w:rPr>
        <w:t xml:space="preserve">The data from the report prepared by the project </w:t>
      </w:r>
      <w:proofErr w:type="spellStart"/>
      <w:r>
        <w:rPr>
          <w:rFonts w:ascii="Times New Roman" w:eastAsia="Times New Roman" w:hAnsi="Times New Roman" w:cs="Times New Roman"/>
          <w:i/>
          <w:color w:val="262626"/>
        </w:rPr>
        <w:t>Autonomías</w:t>
      </w:r>
      <w:proofErr w:type="spellEnd"/>
      <w:r>
        <w:rPr>
          <w:rFonts w:ascii="Times New Roman" w:eastAsia="Times New Roman" w:hAnsi="Times New Roman" w:cs="Times New Roman"/>
          <w:i/>
          <w:color w:val="262626"/>
        </w:rPr>
        <w:t xml:space="preserve"> </w:t>
      </w:r>
      <w:proofErr w:type="spellStart"/>
      <w:r>
        <w:rPr>
          <w:rFonts w:ascii="Times New Roman" w:eastAsia="Times New Roman" w:hAnsi="Times New Roman" w:cs="Times New Roman"/>
          <w:i/>
          <w:color w:val="262626"/>
        </w:rPr>
        <w:t>Colectivas</w:t>
      </w:r>
      <w:proofErr w:type="spellEnd"/>
      <w:r>
        <w:rPr>
          <w:rFonts w:ascii="Times New Roman" w:eastAsia="Times New Roman" w:hAnsi="Times New Roman" w:cs="Times New Roman"/>
          <w:color w:val="262626"/>
        </w:rPr>
        <w:t xml:space="preserve"> (Collective Autonomies)</w:t>
      </w:r>
      <w:r>
        <w:rPr>
          <w:rFonts w:ascii="Times New Roman" w:eastAsia="Times New Roman" w:hAnsi="Times New Roman" w:cs="Times New Roman"/>
          <w:color w:val="262626"/>
          <w:vertAlign w:val="superscript"/>
        </w:rPr>
        <w:footnoteReference w:id="26"/>
      </w:r>
      <w:r>
        <w:rPr>
          <w:rFonts w:ascii="Times New Roman" w:eastAsia="Times New Roman" w:hAnsi="Times New Roman" w:cs="Times New Roman"/>
          <w:color w:val="262626"/>
        </w:rPr>
        <w:t xml:space="preserve"> shows that </w:t>
      </w:r>
      <w:r>
        <w:rPr>
          <w:rFonts w:ascii="Times New Roman" w:eastAsia="Times New Roman" w:hAnsi="Times New Roman" w:cs="Times New Roman"/>
        </w:rPr>
        <w:t>in 2018,</w:t>
      </w:r>
      <w:r>
        <w:rPr>
          <w:rFonts w:ascii="Times New Roman" w:eastAsia="Times New Roman" w:hAnsi="Times New Roman" w:cs="Times New Roman"/>
          <w:color w:val="262626"/>
        </w:rPr>
        <w:t xml:space="preserve"> 73 women received attention due to sexual exploitation and/or trafficking, and the number increased to 82 in 2019. In 2020 and 2021, the figures were 37 and 39 women respectively. This drop was caused by the impact of the pandemic on social service delivery. In 2022, 69 women received attention throughout the country, 62.7% of them being migrants.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While our country has the public policy tools to deal with the phenomenon of sex trafficking, the response from the State on the ground is insufficient. This insufficiency led to the creation of the </w:t>
      </w:r>
      <w:r>
        <w:rPr>
          <w:rFonts w:ascii="Times New Roman" w:eastAsia="Times New Roman" w:hAnsi="Times New Roman" w:cs="Times New Roman"/>
          <w:color w:val="262626"/>
        </w:rPr>
        <w:t>feminist collective DENG (¿</w:t>
      </w:r>
      <w:proofErr w:type="spellStart"/>
      <w:r>
        <w:rPr>
          <w:rFonts w:ascii="Times New Roman" w:eastAsia="Times New Roman" w:hAnsi="Times New Roman" w:cs="Times New Roman"/>
          <w:color w:val="262626"/>
        </w:rPr>
        <w:t>Dónde</w:t>
      </w:r>
      <w:proofErr w:type="spellEnd"/>
      <w:r>
        <w:rPr>
          <w:rFonts w:ascii="Times New Roman" w:eastAsia="Times New Roman" w:hAnsi="Times New Roman" w:cs="Times New Roman"/>
          <w:color w:val="262626"/>
        </w:rPr>
        <w:t xml:space="preserve"> </w:t>
      </w:r>
      <w:proofErr w:type="spellStart"/>
      <w:r>
        <w:rPr>
          <w:rFonts w:ascii="Times New Roman" w:eastAsia="Times New Roman" w:hAnsi="Times New Roman" w:cs="Times New Roman"/>
          <w:color w:val="262626"/>
        </w:rPr>
        <w:t>están</w:t>
      </w:r>
      <w:proofErr w:type="spellEnd"/>
      <w:r>
        <w:rPr>
          <w:rFonts w:ascii="Times New Roman" w:eastAsia="Times New Roman" w:hAnsi="Times New Roman" w:cs="Times New Roman"/>
          <w:color w:val="262626"/>
        </w:rPr>
        <w:t xml:space="preserve"> </w:t>
      </w:r>
      <w:proofErr w:type="spellStart"/>
      <w:r>
        <w:rPr>
          <w:rFonts w:ascii="Times New Roman" w:eastAsia="Times New Roman" w:hAnsi="Times New Roman" w:cs="Times New Roman"/>
          <w:color w:val="262626"/>
        </w:rPr>
        <w:t>nuestras</w:t>
      </w:r>
      <w:proofErr w:type="spellEnd"/>
      <w:r>
        <w:rPr>
          <w:rFonts w:ascii="Times New Roman" w:eastAsia="Times New Roman" w:hAnsi="Times New Roman" w:cs="Times New Roman"/>
          <w:color w:val="262626"/>
        </w:rPr>
        <w:t xml:space="preserve"> </w:t>
      </w:r>
      <w:proofErr w:type="spellStart"/>
      <w:r>
        <w:rPr>
          <w:rFonts w:ascii="Times New Roman" w:eastAsia="Times New Roman" w:hAnsi="Times New Roman" w:cs="Times New Roman"/>
          <w:color w:val="262626"/>
        </w:rPr>
        <w:t>gurisas</w:t>
      </w:r>
      <w:proofErr w:type="spellEnd"/>
      <w:r>
        <w:rPr>
          <w:rFonts w:ascii="Times New Roman" w:eastAsia="Times New Roman" w:hAnsi="Times New Roman" w:cs="Times New Roman"/>
          <w:color w:val="262626"/>
        </w:rPr>
        <w:t xml:space="preserve">? - Where Are our Girls?) in </w:t>
      </w:r>
      <w:r>
        <w:rPr>
          <w:rFonts w:ascii="Times New Roman" w:eastAsia="Times New Roman" w:hAnsi="Times New Roman" w:cs="Times New Roman"/>
          <w:color w:val="262626"/>
        </w:rPr>
        <w:lastRenderedPageBreak/>
        <w:t xml:space="preserve">2018, in support of mothers of disappeared women. Today the collective has national reach. </w:t>
      </w:r>
      <w:r>
        <w:rPr>
          <w:rFonts w:ascii="Times New Roman" w:eastAsia="Times New Roman" w:hAnsi="Times New Roman" w:cs="Times New Roman"/>
          <w:color w:val="262626"/>
          <w:vertAlign w:val="superscript"/>
        </w:rPr>
        <w:footnoteReference w:id="27"/>
      </w:r>
      <w:r>
        <w:rPr>
          <w:rFonts w:ascii="Times New Roman" w:eastAsia="Times New Roman" w:hAnsi="Times New Roman" w:cs="Times New Roman"/>
          <w:color w:val="262626"/>
        </w:rPr>
        <w:t xml:space="preserve"> </w:t>
      </w:r>
    </w:p>
    <w:p w:rsidR="009574BD" w:rsidRDefault="00000000">
      <w:pPr>
        <w:spacing w:after="120" w:line="276" w:lineRule="auto"/>
        <w:jc w:val="both"/>
        <w:rPr>
          <w:rFonts w:ascii="Times New Roman" w:eastAsia="Times New Roman" w:hAnsi="Times New Roman" w:cs="Times New Roman"/>
          <w:color w:val="262626"/>
        </w:rPr>
      </w:pPr>
      <w:r>
        <w:rPr>
          <w:rFonts w:ascii="Times New Roman" w:eastAsia="Times New Roman" w:hAnsi="Times New Roman" w:cs="Times New Roman"/>
          <w:color w:val="262626"/>
        </w:rPr>
        <w:t>The Department of Registration and Search for Absent Persons of the Ministry of the Interior, created in 2004 and dependent on the Unit for the Fight Against Organized Crime and Interpol since 2009, keeps an incomplete registry</w:t>
      </w:r>
      <w:r>
        <w:rPr>
          <w:rFonts w:ascii="Times New Roman" w:eastAsia="Times New Roman" w:hAnsi="Times New Roman" w:cs="Times New Roman"/>
          <w:color w:val="262626"/>
          <w:vertAlign w:val="superscript"/>
        </w:rPr>
        <w:footnoteReference w:id="28"/>
      </w:r>
      <w:r>
        <w:rPr>
          <w:rFonts w:ascii="Times New Roman" w:eastAsia="Times New Roman" w:hAnsi="Times New Roman" w:cs="Times New Roman"/>
          <w:color w:val="262626"/>
        </w:rPr>
        <w:t>, with disaggregation criteria that are difficult to understand, which makes it impossible to obtain reliable information on the issue.</w:t>
      </w:r>
    </w:p>
    <w:p w:rsidR="009574BD" w:rsidRDefault="00000000">
      <w:pPr>
        <w:spacing w:after="120" w:line="276" w:lineRule="auto"/>
        <w:jc w:val="both"/>
        <w:rPr>
          <w:rFonts w:ascii="Times New Roman" w:eastAsia="Times New Roman" w:hAnsi="Times New Roman" w:cs="Times New Roman"/>
          <w:color w:val="262626"/>
        </w:rPr>
      </w:pPr>
      <w:r>
        <w:rPr>
          <w:rFonts w:ascii="Times New Roman" w:eastAsia="Times New Roman" w:hAnsi="Times New Roman" w:cs="Times New Roman"/>
          <w:color w:val="262626"/>
        </w:rPr>
        <w:t>The DENG collective recorded 280 cases between the beginning of 2018 and August 2022, of which 243 women disappeared intermittently or for short periods, a frequent phenomenon that has been detected by civil society organizations working on the ground</w:t>
      </w:r>
      <w:r>
        <w:rPr>
          <w:rFonts w:ascii="Times New Roman" w:eastAsia="Times New Roman" w:hAnsi="Times New Roman" w:cs="Times New Roman"/>
          <w:color w:val="262626"/>
          <w:vertAlign w:val="superscript"/>
        </w:rPr>
        <w:footnoteReference w:id="29"/>
      </w:r>
      <w:r>
        <w:rPr>
          <w:rFonts w:ascii="Times New Roman" w:eastAsia="Times New Roman" w:hAnsi="Times New Roman" w:cs="Times New Roman"/>
          <w:color w:val="262626"/>
        </w:rPr>
        <w:t>. 20 women were found dead, and 17 are still missing.</w:t>
      </w:r>
    </w:p>
    <w:p w:rsidR="009574BD" w:rsidRDefault="00000000">
      <w:pPr>
        <w:spacing w:after="120" w:line="276" w:lineRule="auto"/>
        <w:jc w:val="both"/>
        <w:rPr>
          <w:rFonts w:ascii="Times New Roman" w:eastAsia="Times New Roman" w:hAnsi="Times New Roman" w:cs="Times New Roman"/>
          <w:b/>
          <w:color w:val="434343"/>
          <w:highlight w:val="white"/>
        </w:rPr>
      </w:pPr>
      <w:r>
        <w:rPr>
          <w:rFonts w:ascii="Times New Roman" w:eastAsia="Times New Roman" w:hAnsi="Times New Roman" w:cs="Times New Roman"/>
          <w:color w:val="262626"/>
        </w:rPr>
        <w:t xml:space="preserve">As of December 2022, the disappearances of 40 young women for reasons related to trafficking or sexual exploitation had been reported </w:t>
      </w:r>
      <w:r>
        <w:rPr>
          <w:rFonts w:ascii="Times New Roman" w:eastAsia="Times New Roman" w:hAnsi="Times New Roman" w:cs="Times New Roman"/>
          <w:color w:val="262626"/>
          <w:vertAlign w:val="superscript"/>
        </w:rPr>
        <w:footnoteReference w:id="30"/>
      </w:r>
    </w:p>
    <w:p w:rsidR="009574BD" w:rsidRDefault="009574BD">
      <w:pPr>
        <w:spacing w:after="120" w:line="276" w:lineRule="auto"/>
        <w:jc w:val="both"/>
        <w:rPr>
          <w:rFonts w:ascii="Times New Roman" w:eastAsia="Times New Roman" w:hAnsi="Times New Roman" w:cs="Times New Roman"/>
          <w:b/>
          <w:color w:val="434343"/>
          <w:highlight w:val="white"/>
        </w:rPr>
      </w:pPr>
    </w:p>
    <w:tbl>
      <w:tblPr>
        <w:tblStyle w:val="af3"/>
        <w:tblW w:w="8844" w:type="dxa"/>
        <w:tblInd w:w="-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4"/>
      </w:tblGrid>
      <w:tr w:rsidR="009574BD">
        <w:tc>
          <w:tcPr>
            <w:tcW w:w="8844" w:type="dxa"/>
            <w:shd w:val="clear" w:color="auto" w:fill="auto"/>
            <w:tcMar>
              <w:top w:w="100" w:type="dxa"/>
              <w:left w:w="100" w:type="dxa"/>
              <w:bottom w:w="100" w:type="dxa"/>
              <w:right w:w="100" w:type="dxa"/>
            </w:tcMar>
          </w:tcPr>
          <w:p w:rsidR="009574BD" w:rsidRDefault="00000000">
            <w:pPr>
              <w:spacing w:after="120" w:line="276" w:lineRule="auto"/>
              <w:jc w:val="both"/>
              <w:rPr>
                <w:rFonts w:ascii="Times New Roman" w:eastAsia="Times New Roman" w:hAnsi="Times New Roman" w:cs="Times New Roman"/>
                <w:b/>
                <w:color w:val="434343"/>
                <w:highlight w:val="white"/>
              </w:rPr>
            </w:pPr>
            <w:r>
              <w:rPr>
                <w:rFonts w:ascii="Times New Roman" w:eastAsia="Times New Roman" w:hAnsi="Times New Roman" w:cs="Times New Roman"/>
                <w:b/>
                <w:color w:val="434343"/>
                <w:highlight w:val="white"/>
              </w:rPr>
              <w:t>RECOMMENDATIONS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1. </w:t>
            </w:r>
            <w:r>
              <w:rPr>
                <w:rFonts w:ascii="Times New Roman" w:eastAsia="Times New Roman" w:hAnsi="Times New Roman" w:cs="Times New Roman"/>
              </w:rPr>
              <w:t>That the State acts with due diligence and without discriminatory stereotypes when receiving reports of disappearances.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2.</w:t>
            </w:r>
            <w:r>
              <w:rPr>
                <w:rFonts w:ascii="Times New Roman" w:eastAsia="Times New Roman" w:hAnsi="Times New Roman" w:cs="Times New Roman"/>
              </w:rPr>
              <w:t xml:space="preserve"> That the State implements reliable and useful records for the investigation in cases of disappeared young women.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 3.  That the State proceeds with the investigations in a serious, objective, and sustained manner until it finds these women, in coordination with organized crime search and investigation bodies.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4. </w:t>
            </w:r>
            <w:r>
              <w:rPr>
                <w:rFonts w:ascii="Times New Roman" w:eastAsia="Times New Roman" w:hAnsi="Times New Roman" w:cs="Times New Roman"/>
              </w:rPr>
              <w:t xml:space="preserve">That the State implements early alerts for the search, coordinating with civil society organizations with experience in the matter. </w:t>
            </w:r>
          </w:p>
        </w:tc>
      </w:tr>
    </w:tbl>
    <w:p w:rsidR="009574BD" w:rsidRDefault="009574BD">
      <w:pPr>
        <w:spacing w:after="120" w:line="276" w:lineRule="auto"/>
        <w:jc w:val="both"/>
        <w:rPr>
          <w:rFonts w:ascii="Times New Roman" w:eastAsia="Times New Roman" w:hAnsi="Times New Roman" w:cs="Times New Roman"/>
          <w:b/>
          <w:color w:val="434343"/>
          <w:highlight w:val="white"/>
        </w:rPr>
      </w:pPr>
    </w:p>
    <w:p w:rsidR="009574BD" w:rsidRPr="00073776" w:rsidRDefault="00000000">
      <w:pPr>
        <w:spacing w:after="120" w:line="276" w:lineRule="auto"/>
        <w:jc w:val="both"/>
        <w:rPr>
          <w:rFonts w:ascii="Times New Roman" w:eastAsia="Times New Roman" w:hAnsi="Times New Roman" w:cs="Times New Roman"/>
          <w:lang w:val="es-UY"/>
        </w:rPr>
      </w:pPr>
      <w:r>
        <w:rPr>
          <w:rFonts w:ascii="Times New Roman" w:eastAsia="Times New Roman" w:hAnsi="Times New Roman" w:cs="Times New Roman"/>
          <w:b/>
        </w:rPr>
        <w:t>V. Participation in Political and Public Life.</w:t>
      </w:r>
      <w:r>
        <w:rPr>
          <w:rFonts w:ascii="Times New Roman" w:eastAsia="Times New Roman" w:hAnsi="Times New Roman" w:cs="Times New Roman"/>
        </w:rPr>
        <w:t xml:space="preserve">    </w:t>
      </w:r>
      <w:r w:rsidRPr="00073776">
        <w:rPr>
          <w:rFonts w:ascii="Times New Roman" w:eastAsia="Times New Roman" w:hAnsi="Times New Roman" w:cs="Times New Roman"/>
          <w:i/>
          <w:lang w:val="es-UY"/>
        </w:rPr>
        <w:t>CEDAW/C/URY/QPR/10 Par 13, 14</w:t>
      </w:r>
      <w:r w:rsidRPr="00073776">
        <w:rPr>
          <w:rFonts w:ascii="Times New Roman" w:eastAsia="Times New Roman" w:hAnsi="Times New Roman" w:cs="Times New Roman"/>
          <w:lang w:val="es-UY"/>
        </w:rPr>
        <w:t>.</w:t>
      </w:r>
    </w:p>
    <w:p w:rsidR="009574BD" w:rsidRDefault="00000000">
      <w:pPr>
        <w:widowControl w:val="0"/>
        <w:spacing w:after="120" w:line="276"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Despite them being 52% of the population, the low representation and political participation of women in hierarchical and political decision-making positions in Uruguay persists. </w:t>
      </w:r>
    </w:p>
    <w:p w:rsidR="009574BD" w:rsidRDefault="00000000">
      <w:pPr>
        <w:widowControl w:val="0"/>
        <w:spacing w:after="120" w:line="276"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In the last national elections of 2019, for the first time the candidates for the vice presidency for the winning coalition of parties and the opposition party were women. Currently, there </w:t>
      </w:r>
      <w:r>
        <w:rPr>
          <w:rFonts w:ascii="Times New Roman" w:eastAsia="Times New Roman" w:hAnsi="Times New Roman" w:cs="Times New Roman"/>
        </w:rPr>
        <w:lastRenderedPageBreak/>
        <w:t>are two female ministers.</w:t>
      </w:r>
    </w:p>
    <w:p w:rsidR="009574BD" w:rsidRDefault="00000000">
      <w:pPr>
        <w:widowControl w:val="0"/>
        <w:spacing w:after="120" w:line="276" w:lineRule="auto"/>
        <w:ind w:hanging="2"/>
        <w:jc w:val="both"/>
        <w:rPr>
          <w:rFonts w:ascii="Times New Roman" w:eastAsia="Times New Roman" w:hAnsi="Times New Roman" w:cs="Times New Roman"/>
        </w:rPr>
      </w:pPr>
      <w:r>
        <w:rPr>
          <w:rFonts w:ascii="Times New Roman" w:eastAsia="Times New Roman" w:hAnsi="Times New Roman" w:cs="Times New Roman"/>
        </w:rPr>
        <w:t>UN WOMEN research (2019)</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xml:space="preserve"> shows that:</w:t>
      </w:r>
    </w:p>
    <w:p w:rsidR="009574BD" w:rsidRDefault="00000000">
      <w:pPr>
        <w:widowControl w:val="0"/>
        <w:spacing w:after="120" w:line="276"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 Men in leadership positions in the Executive Branch represent 85%, even in cases where most of the staff are women, such as the Ministry of Social Development (74% of officials), who do not hold decision-making positions. </w:t>
      </w:r>
    </w:p>
    <w:p w:rsidR="009574BD" w:rsidRDefault="00000000">
      <w:pPr>
        <w:widowControl w:val="0"/>
        <w:spacing w:after="120" w:line="276"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 In the Ministry of Foreign Affairs, women represent 9% of the total number of ambassadors abroad. </w:t>
      </w:r>
    </w:p>
    <w:p w:rsidR="009574BD" w:rsidRDefault="00000000">
      <w:pPr>
        <w:widowControl w:val="0"/>
        <w:spacing w:after="120" w:line="276" w:lineRule="auto"/>
        <w:ind w:hanging="2"/>
        <w:jc w:val="both"/>
        <w:rPr>
          <w:rFonts w:ascii="Times New Roman" w:eastAsia="Times New Roman" w:hAnsi="Times New Roman" w:cs="Times New Roman"/>
        </w:rPr>
      </w:pPr>
      <w:r>
        <w:rPr>
          <w:rFonts w:ascii="Times New Roman" w:eastAsia="Times New Roman" w:hAnsi="Times New Roman" w:cs="Times New Roman"/>
        </w:rPr>
        <w:t>- In the 2019 elections thanks to Law 18476 (Gender Equality in Elected Positions) there was a slight increase in the presence of women in Parliament, especially at the Senate, from 19.4% to 21%.</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w:t>
      </w:r>
    </w:p>
    <w:p w:rsidR="009574BD" w:rsidRDefault="00000000">
      <w:pPr>
        <w:widowControl w:val="0"/>
        <w:spacing w:after="120" w:line="276"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 The UDELAR (University of the Republic) maintains an underrepresentation of women. Women hold 54% of teaching positions, but only 34% in Grade 5 (Full Professor), 57% in Grade 1, and 58% in Grade 2. </w:t>
      </w:r>
    </w:p>
    <w:p w:rsidR="009574BD" w:rsidRDefault="00000000">
      <w:pPr>
        <w:widowControl w:val="0"/>
        <w:spacing w:after="120" w:line="276" w:lineRule="auto"/>
        <w:ind w:hanging="2"/>
        <w:jc w:val="both"/>
        <w:rPr>
          <w:rFonts w:ascii="Times New Roman" w:eastAsia="Times New Roman" w:hAnsi="Times New Roman" w:cs="Times New Roman"/>
        </w:rPr>
      </w:pPr>
      <w:r>
        <w:rPr>
          <w:rFonts w:ascii="Times New Roman" w:eastAsia="Times New Roman" w:hAnsi="Times New Roman" w:cs="Times New Roman"/>
        </w:rPr>
        <w:t>Regarding gender parity in positions of political representation, there are two bills being studied by Parliament, which are facing violent resistance from some legislators.</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The implementation of the quotas has run into obstacles and bad practices that hinder the inclusion of women in the top positions of candidate lists, where they have chances to be elected.</w:t>
      </w:r>
      <w:r>
        <w:rPr>
          <w:rFonts w:ascii="Times New Roman" w:eastAsia="Times New Roman" w:hAnsi="Times New Roman" w:cs="Times New Roman"/>
          <w:vertAlign w:val="superscript"/>
        </w:rPr>
        <w:footnoteReference w:id="34"/>
      </w:r>
    </w:p>
    <w:p w:rsidR="009574BD" w:rsidRDefault="00000000">
      <w:pPr>
        <w:widowControl w:val="0"/>
        <w:spacing w:after="120" w:line="276" w:lineRule="auto"/>
        <w:ind w:hanging="2"/>
        <w:jc w:val="both"/>
        <w:rPr>
          <w:rFonts w:ascii="Times New Roman" w:eastAsia="Times New Roman" w:hAnsi="Times New Roman" w:cs="Times New Roman"/>
        </w:rPr>
      </w:pPr>
      <w:r>
        <w:rPr>
          <w:rFonts w:ascii="Times New Roman" w:eastAsia="Times New Roman" w:hAnsi="Times New Roman" w:cs="Times New Roman"/>
        </w:rPr>
        <w:t>Discriminatory practices against women persist in all these areas, including sexual harassment that hinder their careers. These incidents are investigated without a gender perspective and are generally not punished, despite the existence of action protocols such as in UDELAR</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w:t>
      </w:r>
    </w:p>
    <w:p w:rsidR="009574BD" w:rsidRDefault="00000000">
      <w:pPr>
        <w:widowControl w:val="0"/>
        <w:spacing w:after="120" w:line="276" w:lineRule="auto"/>
        <w:ind w:hanging="2"/>
        <w:jc w:val="both"/>
        <w:rPr>
          <w:rFonts w:ascii="Times New Roman" w:eastAsia="Times New Roman" w:hAnsi="Times New Roman" w:cs="Times New Roman"/>
        </w:rPr>
      </w:pPr>
      <w:r>
        <w:rPr>
          <w:rFonts w:ascii="Times New Roman" w:eastAsia="Times New Roman" w:hAnsi="Times New Roman" w:cs="Times New Roman"/>
        </w:rPr>
        <w:t>Afro-descendant women are underrepresented in all political and decision-making spheres, and there is a lack of data to monitor their participation.</w:t>
      </w:r>
    </w:p>
    <w:p w:rsidR="009574BD" w:rsidRDefault="009574BD">
      <w:pPr>
        <w:widowControl w:val="0"/>
        <w:spacing w:after="120" w:line="276" w:lineRule="auto"/>
        <w:ind w:hanging="2"/>
        <w:jc w:val="both"/>
        <w:rPr>
          <w:rFonts w:ascii="Times New Roman" w:eastAsia="Times New Roman" w:hAnsi="Times New Roman" w:cs="Times New Roman"/>
        </w:rPr>
      </w:pPr>
    </w:p>
    <w:tbl>
      <w:tblPr>
        <w:tblStyle w:val="af4"/>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9574BD">
        <w:tc>
          <w:tcPr>
            <w:tcW w:w="8838" w:type="dxa"/>
            <w:shd w:val="clear" w:color="auto" w:fill="auto"/>
            <w:tcMar>
              <w:top w:w="100" w:type="dxa"/>
              <w:left w:w="100" w:type="dxa"/>
              <w:bottom w:w="100" w:type="dxa"/>
              <w:right w:w="100" w:type="dxa"/>
            </w:tcMar>
          </w:tcPr>
          <w:p w:rsidR="009574BD" w:rsidRDefault="00000000">
            <w:pPr>
              <w:widowControl w:val="0"/>
              <w:spacing w:after="120" w:line="276" w:lineRule="auto"/>
              <w:ind w:hanging="2"/>
              <w:jc w:val="both"/>
              <w:rPr>
                <w:rFonts w:ascii="Times New Roman" w:eastAsia="Times New Roman" w:hAnsi="Times New Roman" w:cs="Times New Roman"/>
                <w:b/>
              </w:rPr>
            </w:pPr>
            <w:r>
              <w:rPr>
                <w:rFonts w:ascii="Times New Roman" w:eastAsia="Times New Roman" w:hAnsi="Times New Roman" w:cs="Times New Roman"/>
                <w:b/>
              </w:rPr>
              <w:t>RECOMMENDATIONS</w:t>
            </w:r>
          </w:p>
          <w:p w:rsidR="009574BD" w:rsidRDefault="00000000">
            <w:pPr>
              <w:widowControl w:val="0"/>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lastRenderedPageBreak/>
              <w:t xml:space="preserve">1. </w:t>
            </w:r>
            <w:r>
              <w:rPr>
                <w:rFonts w:ascii="Times New Roman" w:eastAsia="Times New Roman" w:hAnsi="Times New Roman" w:cs="Times New Roman"/>
              </w:rPr>
              <w:t>That Parliament urgently adopts a parity law that ensures the participation of women under equal conditions in positions of political representation.</w:t>
            </w:r>
          </w:p>
          <w:p w:rsidR="009574BD" w:rsidRDefault="00000000">
            <w:pPr>
              <w:widowControl w:val="0"/>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2. </w:t>
            </w:r>
            <w:r>
              <w:rPr>
                <w:rFonts w:ascii="Times New Roman" w:eastAsia="Times New Roman" w:hAnsi="Times New Roman" w:cs="Times New Roman"/>
              </w:rPr>
              <w:t>That the Executive Branch ensures parity in decision-making and management positions in all its institutional mechanisms.</w:t>
            </w:r>
          </w:p>
          <w:p w:rsidR="009574BD" w:rsidRDefault="00000000">
            <w:pPr>
              <w:widowControl w:val="0"/>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3. </w:t>
            </w:r>
            <w:r>
              <w:rPr>
                <w:rFonts w:ascii="Times New Roman" w:eastAsia="Times New Roman" w:hAnsi="Times New Roman" w:cs="Times New Roman"/>
              </w:rPr>
              <w:t>That the State implements reliable records on the political participation of women, including the race/ethnicity variable.</w:t>
            </w:r>
          </w:p>
          <w:p w:rsidR="009574BD" w:rsidRDefault="00000000">
            <w:pPr>
              <w:widowControl w:val="0"/>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4.</w:t>
            </w:r>
            <w:r>
              <w:rPr>
                <w:rFonts w:ascii="Times New Roman" w:eastAsia="Times New Roman" w:hAnsi="Times New Roman" w:cs="Times New Roman"/>
              </w:rPr>
              <w:t>That UDELAR implements an egalitarian mechanism for the appointment of women in higher academic ranks, as well as in councils and deaneries.</w:t>
            </w:r>
          </w:p>
          <w:p w:rsidR="009574BD" w:rsidRDefault="00000000">
            <w:pPr>
              <w:widowControl w:val="0"/>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 5. </w:t>
            </w:r>
            <w:r>
              <w:rPr>
                <w:rFonts w:ascii="Times New Roman" w:eastAsia="Times New Roman" w:hAnsi="Times New Roman" w:cs="Times New Roman"/>
              </w:rPr>
              <w:t xml:space="preserve">That the State adopts and applies action protocols with a gender perspective to eliminate harassment, applying sanctions commensurate with the seriousness of the conduct. </w:t>
            </w:r>
          </w:p>
        </w:tc>
      </w:tr>
    </w:tbl>
    <w:p w:rsidR="009574BD" w:rsidRDefault="00000000">
      <w:pPr>
        <w:pStyle w:val="Ttulo3"/>
        <w:spacing w:after="120" w:line="276" w:lineRule="auto"/>
        <w:jc w:val="both"/>
        <w:rPr>
          <w:rFonts w:ascii="Times New Roman" w:eastAsia="Times New Roman" w:hAnsi="Times New Roman" w:cs="Times New Roman"/>
          <w:b w:val="0"/>
          <w:sz w:val="24"/>
          <w:szCs w:val="24"/>
        </w:rPr>
      </w:pPr>
      <w:r>
        <w:rPr>
          <w:rFonts w:ascii="Times New Roman" w:eastAsia="Times New Roman" w:hAnsi="Times New Roman" w:cs="Times New Roman"/>
          <w:sz w:val="24"/>
          <w:szCs w:val="24"/>
        </w:rPr>
        <w:lastRenderedPageBreak/>
        <w:t xml:space="preserve"> VI. Access to Justice </w:t>
      </w:r>
      <w:r>
        <w:rPr>
          <w:rFonts w:ascii="Times New Roman" w:eastAsia="Times New Roman" w:hAnsi="Times New Roman" w:cs="Times New Roman"/>
          <w:b w:val="0"/>
          <w:sz w:val="24"/>
          <w:szCs w:val="24"/>
        </w:rPr>
        <w:t xml:space="preserve">  </w:t>
      </w:r>
      <w:r>
        <w:rPr>
          <w:rFonts w:ascii="Times New Roman" w:eastAsia="Times New Roman" w:hAnsi="Times New Roman" w:cs="Times New Roman"/>
          <w:b w:val="0"/>
          <w:i/>
          <w:sz w:val="24"/>
          <w:szCs w:val="24"/>
        </w:rPr>
        <w:t xml:space="preserve">CEDAW/C/URY/QPR/10 Para 4.5 </w:t>
      </w:r>
      <w:r>
        <w:rPr>
          <w:rFonts w:ascii="Times New Roman" w:eastAsia="Times New Roman" w:hAnsi="Times New Roman" w:cs="Times New Roman"/>
          <w:b w:val="0"/>
          <w:sz w:val="24"/>
          <w:szCs w:val="24"/>
        </w:rPr>
        <w:t xml:space="preserve">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The lack of human and financial resources, as well as training for judges, justice officials and police officers affects the implementation of Law 19580. The Specialized Gender Unit of the Judiciary Branch</w:t>
      </w:r>
      <w:r>
        <w:rPr>
          <w:rFonts w:ascii="Times New Roman" w:eastAsia="Times New Roman" w:hAnsi="Times New Roman" w:cs="Times New Roman"/>
          <w:color w:val="434343"/>
          <w:vertAlign w:val="superscript"/>
        </w:rPr>
        <w:footnoteReference w:id="36"/>
      </w:r>
      <w:r>
        <w:rPr>
          <w:rFonts w:ascii="Times New Roman" w:eastAsia="Times New Roman" w:hAnsi="Times New Roman" w:cs="Times New Roman"/>
          <w:color w:val="434343"/>
        </w:rPr>
        <w:t xml:space="preserve"> </w:t>
      </w:r>
      <w:r>
        <w:rPr>
          <w:rFonts w:ascii="Times New Roman" w:eastAsia="Times New Roman" w:hAnsi="Times New Roman" w:cs="Times New Roman"/>
          <w:color w:val="434343"/>
          <w:vertAlign w:val="superscript"/>
        </w:rPr>
        <w:t xml:space="preserve"> </w:t>
      </w:r>
      <w:r>
        <w:rPr>
          <w:rFonts w:ascii="Times New Roman" w:eastAsia="Times New Roman" w:hAnsi="Times New Roman" w:cs="Times New Roman"/>
          <w:color w:val="434343"/>
        </w:rPr>
        <w:t xml:space="preserve">provided only 4 hours of awareness-raising workshops to officials in 2022.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The CEJU (Centro de </w:t>
      </w:r>
      <w:proofErr w:type="spellStart"/>
      <w:r>
        <w:rPr>
          <w:rFonts w:ascii="Times New Roman" w:eastAsia="Times New Roman" w:hAnsi="Times New Roman" w:cs="Times New Roman"/>
          <w:color w:val="434343"/>
        </w:rPr>
        <w:t>Estudios</w:t>
      </w:r>
      <w:proofErr w:type="spellEnd"/>
      <w:r>
        <w:rPr>
          <w:rFonts w:ascii="Times New Roman" w:eastAsia="Times New Roman" w:hAnsi="Times New Roman" w:cs="Times New Roman"/>
          <w:color w:val="434343"/>
        </w:rPr>
        <w:t xml:space="preserve"> </w:t>
      </w:r>
      <w:proofErr w:type="spellStart"/>
      <w:r>
        <w:rPr>
          <w:rFonts w:ascii="Times New Roman" w:eastAsia="Times New Roman" w:hAnsi="Times New Roman" w:cs="Times New Roman"/>
          <w:color w:val="434343"/>
        </w:rPr>
        <w:t>Judiciales</w:t>
      </w:r>
      <w:proofErr w:type="spellEnd"/>
      <w:r>
        <w:rPr>
          <w:rFonts w:ascii="Times New Roman" w:eastAsia="Times New Roman" w:hAnsi="Times New Roman" w:cs="Times New Roman"/>
          <w:color w:val="434343"/>
        </w:rPr>
        <w:t xml:space="preserve"> - Center for Judicial Studies) oversees training judges. This body is under Supreme Court of Justice, which decides on the contents and instructors in charge of the 20 mandatory annual hours. There is no public information available on these trainings. The AMU (</w:t>
      </w:r>
      <w:proofErr w:type="spellStart"/>
      <w:r>
        <w:rPr>
          <w:rFonts w:ascii="Times New Roman" w:eastAsia="Times New Roman" w:hAnsi="Times New Roman" w:cs="Times New Roman"/>
          <w:color w:val="434343"/>
        </w:rPr>
        <w:t>Asociación</w:t>
      </w:r>
      <w:proofErr w:type="spellEnd"/>
      <w:r>
        <w:rPr>
          <w:rFonts w:ascii="Times New Roman" w:eastAsia="Times New Roman" w:hAnsi="Times New Roman" w:cs="Times New Roman"/>
          <w:color w:val="434343"/>
        </w:rPr>
        <w:t xml:space="preserve"> de </w:t>
      </w:r>
      <w:proofErr w:type="spellStart"/>
      <w:r>
        <w:rPr>
          <w:rFonts w:ascii="Times New Roman" w:eastAsia="Times New Roman" w:hAnsi="Times New Roman" w:cs="Times New Roman"/>
          <w:color w:val="434343"/>
        </w:rPr>
        <w:t>Magistrados</w:t>
      </w:r>
      <w:proofErr w:type="spellEnd"/>
      <w:r>
        <w:rPr>
          <w:rFonts w:ascii="Times New Roman" w:eastAsia="Times New Roman" w:hAnsi="Times New Roman" w:cs="Times New Roman"/>
          <w:color w:val="434343"/>
        </w:rPr>
        <w:t xml:space="preserve"> del Uruguay - Association of Magistrates of Uruguay), for its part, proposes topics and formats for these courses. The instructors are procedural superiors of the attendees, who will review their court rulings afterwards. In the curricula, women's rights, gender, family law, is usually an elective course of a maximum of 6 hours in lecture format. The mechanism for promotions and transfers of judges is not transparent for the judges themselves, nor the general population </w:t>
      </w:r>
      <w:r>
        <w:rPr>
          <w:rFonts w:ascii="Times New Roman" w:eastAsia="Times New Roman" w:hAnsi="Times New Roman" w:cs="Times New Roman"/>
          <w:color w:val="434343"/>
          <w:vertAlign w:val="superscript"/>
        </w:rPr>
        <w:footnoteReference w:id="37"/>
      </w:r>
      <w:r>
        <w:rPr>
          <w:rFonts w:ascii="Times New Roman" w:eastAsia="Times New Roman" w:hAnsi="Times New Roman" w:cs="Times New Roman"/>
          <w:color w:val="434343"/>
        </w:rPr>
        <w:t xml:space="preserve"> A recent diagnostic report showed these shortcomings and the lack of independence of the judges within the Judiciary.</w:t>
      </w:r>
      <w:r>
        <w:rPr>
          <w:rFonts w:ascii="Times New Roman" w:eastAsia="Times New Roman" w:hAnsi="Times New Roman" w:cs="Times New Roman"/>
          <w:color w:val="434343"/>
          <w:vertAlign w:val="superscript"/>
        </w:rPr>
        <w:footnoteReference w:id="38"/>
      </w:r>
      <w:r>
        <w:rPr>
          <w:rFonts w:ascii="Times New Roman" w:eastAsia="Times New Roman" w:hAnsi="Times New Roman" w:cs="Times New Roman"/>
          <w:color w:val="434343"/>
        </w:rPr>
        <w:t xml:space="preserve"> </w:t>
      </w:r>
    </w:p>
    <w:p w:rsidR="009574BD" w:rsidRDefault="009574BD">
      <w:pPr>
        <w:spacing w:after="120" w:line="276" w:lineRule="auto"/>
        <w:jc w:val="both"/>
        <w:rPr>
          <w:rFonts w:ascii="Times New Roman" w:eastAsia="Times New Roman" w:hAnsi="Times New Roman" w:cs="Times New Roman"/>
          <w:b/>
          <w:color w:val="434343"/>
        </w:rPr>
      </w:pPr>
    </w:p>
    <w:tbl>
      <w:tblPr>
        <w:tblStyle w:val="af5"/>
        <w:tblW w:w="8850" w:type="dxa"/>
        <w:tblInd w:w="-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50"/>
      </w:tblGrid>
      <w:tr w:rsidR="009574BD">
        <w:trPr>
          <w:trHeight w:val="2432"/>
        </w:trPr>
        <w:tc>
          <w:tcPr>
            <w:tcW w:w="8850" w:type="dxa"/>
            <w:shd w:val="clear" w:color="auto" w:fill="auto"/>
            <w:tcMar>
              <w:top w:w="100" w:type="dxa"/>
              <w:left w:w="100" w:type="dxa"/>
              <w:bottom w:w="100" w:type="dxa"/>
              <w:right w:w="100" w:type="dxa"/>
            </w:tcMar>
          </w:tcPr>
          <w:p w:rsidR="009574BD" w:rsidRDefault="00000000">
            <w:pPr>
              <w:spacing w:after="120" w:line="276" w:lineRule="auto"/>
              <w:jc w:val="both"/>
              <w:rPr>
                <w:rFonts w:ascii="Times New Roman" w:eastAsia="Times New Roman" w:hAnsi="Times New Roman" w:cs="Times New Roman"/>
                <w:b/>
                <w:color w:val="434343"/>
              </w:rPr>
            </w:pPr>
            <w:r>
              <w:rPr>
                <w:rFonts w:ascii="Times New Roman" w:eastAsia="Times New Roman" w:hAnsi="Times New Roman" w:cs="Times New Roman"/>
                <w:b/>
                <w:color w:val="434343"/>
              </w:rPr>
              <w:lastRenderedPageBreak/>
              <w:t>Recommendations</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b/>
                <w:color w:val="434343"/>
              </w:rPr>
              <w:t xml:space="preserve">1. </w:t>
            </w:r>
            <w:r>
              <w:rPr>
                <w:rFonts w:ascii="Times New Roman" w:eastAsia="Times New Roman" w:hAnsi="Times New Roman" w:cs="Times New Roman"/>
                <w:color w:val="434343"/>
              </w:rPr>
              <w:t xml:space="preserve">That the Supreme Court implements the training of judges according to Recommendation 33 of the Committee, including family law, without discrimination. </w:t>
            </w:r>
          </w:p>
          <w:p w:rsidR="009574BD" w:rsidRDefault="00000000">
            <w:pPr>
              <w:spacing w:after="120" w:line="276" w:lineRule="auto"/>
              <w:jc w:val="both"/>
              <w:rPr>
                <w:rFonts w:ascii="Times New Roman" w:eastAsia="Times New Roman" w:hAnsi="Times New Roman" w:cs="Times New Roman"/>
                <w:b/>
                <w:color w:val="FF0000"/>
              </w:rPr>
            </w:pPr>
            <w:r>
              <w:rPr>
                <w:rFonts w:ascii="Times New Roman" w:eastAsia="Times New Roman" w:hAnsi="Times New Roman" w:cs="Times New Roman"/>
                <w:b/>
                <w:color w:val="434343"/>
              </w:rPr>
              <w:t>2.</w:t>
            </w:r>
            <w:r>
              <w:rPr>
                <w:rFonts w:ascii="Times New Roman" w:eastAsia="Times New Roman" w:hAnsi="Times New Roman" w:cs="Times New Roman"/>
                <w:color w:val="434343"/>
              </w:rPr>
              <w:t xml:space="preserve"> </w:t>
            </w:r>
            <w:r>
              <w:rPr>
                <w:rFonts w:ascii="Times New Roman" w:eastAsia="Times New Roman" w:hAnsi="Times New Roman" w:cs="Times New Roman"/>
                <w:color w:val="434343"/>
                <w:highlight w:val="white"/>
              </w:rPr>
              <w:t>That the State allocates resources to the Judiciary for the appointment of a sufficient number of judges to deal with the high number of gender violence reports.</w:t>
            </w:r>
          </w:p>
        </w:tc>
      </w:tr>
    </w:tbl>
    <w:p w:rsidR="009574BD" w:rsidRDefault="009574BD">
      <w:pPr>
        <w:spacing w:after="120" w:line="276" w:lineRule="auto"/>
        <w:jc w:val="both"/>
        <w:rPr>
          <w:rFonts w:ascii="Times New Roman" w:eastAsia="Times New Roman" w:hAnsi="Times New Roman" w:cs="Times New Roman"/>
          <w:b/>
        </w:rPr>
      </w:pP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b/>
        </w:rPr>
        <w:t>VII.- National Mechanisms for the Advancement of Women (</w:t>
      </w:r>
      <w:r>
        <w:rPr>
          <w:rFonts w:ascii="Times New Roman" w:eastAsia="Times New Roman" w:hAnsi="Times New Roman" w:cs="Times New Roman"/>
          <w:i/>
        </w:rPr>
        <w:t>CEDAW/C/URY/QPR/</w:t>
      </w:r>
      <w:proofErr w:type="gramStart"/>
      <w:r>
        <w:rPr>
          <w:rFonts w:ascii="Times New Roman" w:eastAsia="Times New Roman" w:hAnsi="Times New Roman" w:cs="Times New Roman"/>
          <w:i/>
        </w:rPr>
        <w:t xml:space="preserve">10 </w:t>
      </w:r>
      <w:r>
        <w:rPr>
          <w:rFonts w:ascii="Times New Roman" w:eastAsia="Times New Roman" w:hAnsi="Times New Roman" w:cs="Times New Roman"/>
        </w:rPr>
        <w:t xml:space="preserve"> Par.</w:t>
      </w:r>
      <w:proofErr w:type="gramEnd"/>
      <w:r>
        <w:rPr>
          <w:rFonts w:ascii="Times New Roman" w:eastAsia="Times New Roman" w:hAnsi="Times New Roman" w:cs="Times New Roman"/>
        </w:rPr>
        <w:t xml:space="preserve"> 7.8)</w:t>
      </w:r>
      <w:r>
        <w:rPr>
          <w:rFonts w:ascii="Times New Roman" w:eastAsia="Times New Roman" w:hAnsi="Times New Roman" w:cs="Times New Roman"/>
          <w:b/>
        </w:rPr>
        <w:t xml:space="preserve"> </w:t>
      </w:r>
      <w:r>
        <w:rPr>
          <w:rFonts w:ascii="Times New Roman" w:eastAsia="Times New Roman" w:hAnsi="Times New Roman" w:cs="Times New Roman"/>
          <w:b/>
        </w:rPr>
        <w:br/>
        <w:t xml:space="preserve"> </w:t>
      </w:r>
      <w:r>
        <w:rPr>
          <w:rFonts w:ascii="Times New Roman" w:eastAsia="Times New Roman" w:hAnsi="Times New Roman" w:cs="Times New Roman"/>
          <w:color w:val="434343"/>
        </w:rPr>
        <w:t xml:space="preserve">The INMUJERES (Instituto Nacional de las </w:t>
      </w:r>
      <w:proofErr w:type="spellStart"/>
      <w:r>
        <w:rPr>
          <w:rFonts w:ascii="Times New Roman" w:eastAsia="Times New Roman" w:hAnsi="Times New Roman" w:cs="Times New Roman"/>
          <w:color w:val="434343"/>
        </w:rPr>
        <w:t>Mujeres</w:t>
      </w:r>
      <w:proofErr w:type="spellEnd"/>
      <w:r>
        <w:rPr>
          <w:rFonts w:ascii="Times New Roman" w:eastAsia="Times New Roman" w:hAnsi="Times New Roman" w:cs="Times New Roman"/>
          <w:color w:val="434343"/>
        </w:rPr>
        <w:t xml:space="preserve"> - National Institute for Women) remains within the structure of the MIDES (Ministry of Social Development). Its human and budgetary resources have been cut by dispensing with members of its technical teams in March 2020 and not paying their salaries.</w:t>
      </w:r>
      <w:r>
        <w:rPr>
          <w:rFonts w:ascii="Times New Roman" w:eastAsia="Times New Roman" w:hAnsi="Times New Roman" w:cs="Times New Roman"/>
          <w:color w:val="434343"/>
          <w:vertAlign w:val="superscript"/>
        </w:rPr>
        <w:footnoteReference w:id="39"/>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Despite the approval of a 2016-2020 National Care Plan with a gender perspective and the aim of advancing co-responsibility between the State, families, communities, and markets, the SNC (Sistema Nacional de </w:t>
      </w:r>
      <w:proofErr w:type="spellStart"/>
      <w:r>
        <w:rPr>
          <w:rFonts w:ascii="Times New Roman" w:eastAsia="Times New Roman" w:hAnsi="Times New Roman" w:cs="Times New Roman"/>
          <w:color w:val="434343"/>
        </w:rPr>
        <w:t>Cuidados</w:t>
      </w:r>
      <w:proofErr w:type="spellEnd"/>
      <w:r>
        <w:rPr>
          <w:rFonts w:ascii="Times New Roman" w:eastAsia="Times New Roman" w:hAnsi="Times New Roman" w:cs="Times New Roman"/>
          <w:color w:val="434343"/>
        </w:rPr>
        <w:t xml:space="preserve"> - National Care System) has been weakened</w:t>
      </w:r>
      <w:r>
        <w:rPr>
          <w:rFonts w:ascii="Times New Roman" w:eastAsia="Times New Roman" w:hAnsi="Times New Roman" w:cs="Times New Roman"/>
          <w:color w:val="434343"/>
          <w:vertAlign w:val="superscript"/>
        </w:rPr>
        <w:footnoteReference w:id="40"/>
      </w:r>
      <w:r>
        <w:rPr>
          <w:rFonts w:ascii="Times New Roman" w:eastAsia="Times New Roman" w:hAnsi="Times New Roman" w:cs="Times New Roman"/>
          <w:color w:val="434343"/>
        </w:rPr>
        <w:t>.  In March 2020, the government merged the SNC with the Disability Program of MIDES, cutting its financial and human resources to the detriment of the most vulnerable women.</w:t>
      </w:r>
    </w:p>
    <w:p w:rsidR="009574BD" w:rsidRDefault="009574BD">
      <w:pPr>
        <w:spacing w:after="120" w:line="276" w:lineRule="auto"/>
        <w:jc w:val="both"/>
        <w:rPr>
          <w:rFonts w:ascii="Times New Roman" w:eastAsia="Times New Roman" w:hAnsi="Times New Roman" w:cs="Times New Roman"/>
          <w:color w:val="FF0000"/>
        </w:rPr>
      </w:pPr>
    </w:p>
    <w:tbl>
      <w:tblPr>
        <w:tblStyle w:val="af6"/>
        <w:tblW w:w="893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931"/>
      </w:tblGrid>
      <w:tr w:rsidR="009574BD">
        <w:tc>
          <w:tcPr>
            <w:tcW w:w="8931" w:type="dxa"/>
            <w:shd w:val="clear" w:color="auto" w:fill="auto"/>
            <w:tcMar>
              <w:top w:w="100" w:type="dxa"/>
              <w:left w:w="100" w:type="dxa"/>
              <w:bottom w:w="100" w:type="dxa"/>
              <w:right w:w="100" w:type="dxa"/>
            </w:tcMar>
          </w:tcPr>
          <w:p w:rsidR="009574BD" w:rsidRDefault="00000000">
            <w:pPr>
              <w:spacing w:after="120" w:line="276" w:lineRule="auto"/>
              <w:jc w:val="both"/>
              <w:rPr>
                <w:rFonts w:ascii="Times New Roman" w:eastAsia="Times New Roman" w:hAnsi="Times New Roman" w:cs="Times New Roman"/>
                <w:b/>
                <w:color w:val="434343"/>
              </w:rPr>
            </w:pPr>
            <w:r>
              <w:rPr>
                <w:rFonts w:ascii="Times New Roman" w:eastAsia="Times New Roman" w:hAnsi="Times New Roman" w:cs="Times New Roman"/>
                <w:b/>
                <w:color w:val="434343"/>
              </w:rPr>
              <w:t xml:space="preserve">RECOMMENDATIONS.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b/>
                <w:color w:val="434343"/>
              </w:rPr>
              <w:t>1.</w:t>
            </w:r>
            <w:r>
              <w:rPr>
                <w:rFonts w:ascii="Times New Roman" w:eastAsia="Times New Roman" w:hAnsi="Times New Roman" w:cs="Times New Roman"/>
                <w:color w:val="434343"/>
              </w:rPr>
              <w:t>That INMUJERES be given the status of a Ministry with genuine resources.</w:t>
            </w:r>
          </w:p>
          <w:p w:rsidR="009574BD" w:rsidRDefault="00000000">
            <w:pPr>
              <w:spacing w:after="120" w:line="276" w:lineRule="auto"/>
              <w:jc w:val="both"/>
              <w:rPr>
                <w:rFonts w:ascii="Times New Roman" w:eastAsia="Times New Roman" w:hAnsi="Times New Roman" w:cs="Times New Roman"/>
                <w:color w:val="FF0000"/>
              </w:rPr>
            </w:pPr>
            <w:r>
              <w:rPr>
                <w:rFonts w:ascii="Times New Roman" w:eastAsia="Times New Roman" w:hAnsi="Times New Roman" w:cs="Times New Roman"/>
                <w:b/>
                <w:color w:val="434343"/>
              </w:rPr>
              <w:t>2.</w:t>
            </w:r>
            <w:r>
              <w:rPr>
                <w:rFonts w:ascii="Times New Roman" w:eastAsia="Times New Roman" w:hAnsi="Times New Roman" w:cs="Times New Roman"/>
                <w:color w:val="434343"/>
              </w:rPr>
              <w:t xml:space="preserve"> That the State reports on the progress of the National Care Plan 2016-2020, its continuity and strengthening for the period 2020-2024.</w:t>
            </w:r>
          </w:p>
        </w:tc>
      </w:tr>
    </w:tbl>
    <w:p w:rsidR="009574BD" w:rsidRDefault="00000000">
      <w:pPr>
        <w:pStyle w:val="Ttulo3"/>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VIII. Temporary Special Measures (</w:t>
      </w:r>
      <w:r>
        <w:rPr>
          <w:rFonts w:ascii="Times New Roman" w:eastAsia="Times New Roman" w:hAnsi="Times New Roman" w:cs="Times New Roman"/>
          <w:b w:val="0"/>
          <w:sz w:val="24"/>
          <w:szCs w:val="24"/>
        </w:rPr>
        <w:t>CEDAW</w:t>
      </w:r>
      <w:r>
        <w:rPr>
          <w:rFonts w:ascii="Times New Roman" w:eastAsia="Times New Roman" w:hAnsi="Times New Roman" w:cs="Times New Roman"/>
          <w:b w:val="0"/>
          <w:i/>
          <w:sz w:val="24"/>
          <w:szCs w:val="24"/>
        </w:rPr>
        <w:t>/C/URY/QPR/10 Para. 9)</w:t>
      </w:r>
      <w:r>
        <w:rPr>
          <w:rFonts w:ascii="Times New Roman" w:eastAsia="Times New Roman" w:hAnsi="Times New Roman" w:cs="Times New Roman"/>
          <w:b w:val="0"/>
          <w:sz w:val="24"/>
          <w:szCs w:val="24"/>
        </w:rPr>
        <w:t xml:space="preserve">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In 2020, the Division for the Promotion of Public Policies for Afro-descendants was created within MIDES, assigning a budget for affirmative actions for Afro-descendants. While this strengthened this racial equity mechanism, the Department of Afro-descendant Women of INMUJERES, the only gender-focused racial equity mechanism, was eliminated. This implies a double setback: the loss of the body for specific public policies for Afro-descendant </w:t>
      </w:r>
      <w:r>
        <w:rPr>
          <w:rFonts w:ascii="Times New Roman" w:eastAsia="Times New Roman" w:hAnsi="Times New Roman" w:cs="Times New Roman"/>
          <w:color w:val="434343"/>
        </w:rPr>
        <w:lastRenderedPageBreak/>
        <w:t>women, and the return to a paradigm of general, non-focused public policies for the Afro-descendant population.</w:t>
      </w:r>
      <w:r>
        <w:rPr>
          <w:rFonts w:ascii="Times New Roman" w:eastAsia="Times New Roman" w:hAnsi="Times New Roman" w:cs="Times New Roman"/>
          <w:color w:val="434343"/>
        </w:rPr>
        <w:tab/>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The State has not complied with Law 19122 of affirmative actions to favor the participation of Afro-descendants in education and employment, particularly the 8% quota in public job openings.</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On April 21, 2023, during an extended session of the CENERA (</w:t>
      </w:r>
      <w:proofErr w:type="spellStart"/>
      <w:r>
        <w:rPr>
          <w:rFonts w:ascii="Times New Roman" w:eastAsia="Times New Roman" w:hAnsi="Times New Roman" w:cs="Times New Roman"/>
          <w:color w:val="434343"/>
        </w:rPr>
        <w:t>Consejo</w:t>
      </w:r>
      <w:proofErr w:type="spellEnd"/>
      <w:r>
        <w:rPr>
          <w:rFonts w:ascii="Times New Roman" w:eastAsia="Times New Roman" w:hAnsi="Times New Roman" w:cs="Times New Roman"/>
          <w:color w:val="434343"/>
        </w:rPr>
        <w:t xml:space="preserve"> Nacional de </w:t>
      </w:r>
      <w:proofErr w:type="spellStart"/>
      <w:r>
        <w:rPr>
          <w:rFonts w:ascii="Times New Roman" w:eastAsia="Times New Roman" w:hAnsi="Times New Roman" w:cs="Times New Roman"/>
          <w:color w:val="434343"/>
        </w:rPr>
        <w:t>Equidad</w:t>
      </w:r>
      <w:proofErr w:type="spellEnd"/>
      <w:r>
        <w:rPr>
          <w:rFonts w:ascii="Times New Roman" w:eastAsia="Times New Roman" w:hAnsi="Times New Roman" w:cs="Times New Roman"/>
          <w:color w:val="434343"/>
        </w:rPr>
        <w:t xml:space="preserve"> </w:t>
      </w:r>
      <w:proofErr w:type="spellStart"/>
      <w:r>
        <w:rPr>
          <w:rFonts w:ascii="Times New Roman" w:eastAsia="Times New Roman" w:hAnsi="Times New Roman" w:cs="Times New Roman"/>
          <w:color w:val="434343"/>
        </w:rPr>
        <w:t>Étnico</w:t>
      </w:r>
      <w:proofErr w:type="spellEnd"/>
      <w:r>
        <w:rPr>
          <w:rFonts w:ascii="Times New Roman" w:eastAsia="Times New Roman" w:hAnsi="Times New Roman" w:cs="Times New Roman"/>
          <w:color w:val="434343"/>
        </w:rPr>
        <w:t xml:space="preserve">-Racial y </w:t>
      </w:r>
      <w:proofErr w:type="spellStart"/>
      <w:r>
        <w:rPr>
          <w:rFonts w:ascii="Times New Roman" w:eastAsia="Times New Roman" w:hAnsi="Times New Roman" w:cs="Times New Roman"/>
          <w:color w:val="434343"/>
        </w:rPr>
        <w:t>Afrodescendencia</w:t>
      </w:r>
      <w:proofErr w:type="spellEnd"/>
      <w:r>
        <w:rPr>
          <w:rFonts w:ascii="Times New Roman" w:eastAsia="Times New Roman" w:hAnsi="Times New Roman" w:cs="Times New Roman"/>
          <w:color w:val="434343"/>
        </w:rPr>
        <w:t xml:space="preserve"> - Council for Racial Ethnic Equity and Afro-descendance), a report</w:t>
      </w:r>
      <w:r>
        <w:rPr>
          <w:rFonts w:ascii="Times New Roman" w:eastAsia="Times New Roman" w:hAnsi="Times New Roman" w:cs="Times New Roman"/>
          <w:color w:val="434343"/>
          <w:vertAlign w:val="superscript"/>
        </w:rPr>
        <w:footnoteReference w:id="41"/>
      </w:r>
      <w:r>
        <w:rPr>
          <w:rFonts w:ascii="Times New Roman" w:eastAsia="Times New Roman" w:hAnsi="Times New Roman" w:cs="Times New Roman"/>
          <w:color w:val="434343"/>
        </w:rPr>
        <w:t xml:space="preserve"> was presented on the status of the implementation of affirmative action mechanisms aimed at the Afro-descendant population. The report shows that the implementation of the 8% quota has been decreasing in absolute and relative terms. 2020 saw the lowest figure since implementation began, and in 2021 only 1.88% of new employees in the Executive Branch, and 0.33% in provincial governments, were Afro-descendants.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The incorporation of the ethnic-racial variable (VER) and the Afro-descendant ethnic-racial variable (VERA) has been slow, with implementation difficulties when it comes to recording the variables, a lack of knowledge at public bodies about the mechanism and the purpose of the variables. Thus, it is necessary to deepen the knowledge and sensitize the civil service about the importance and purpose of the ethnic variables</w:t>
      </w:r>
      <w:r>
        <w:rPr>
          <w:rFonts w:ascii="Times New Roman" w:eastAsia="Times New Roman" w:hAnsi="Times New Roman" w:cs="Times New Roman"/>
          <w:color w:val="434343"/>
          <w:vertAlign w:val="superscript"/>
        </w:rPr>
        <w:footnoteReference w:id="42"/>
      </w:r>
      <w:r>
        <w:rPr>
          <w:rFonts w:ascii="Times New Roman" w:eastAsia="Times New Roman" w:hAnsi="Times New Roman" w:cs="Times New Roman"/>
          <w:color w:val="434343"/>
        </w:rPr>
        <w:t>.</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Law 19684, known as the Comprehensive Law for Trans Persons, established a quota of 1% of positions to be filled by trans persons at all State agencies every year, which has only been partially implemented.</w:t>
      </w:r>
    </w:p>
    <w:tbl>
      <w:tblPr>
        <w:tblStyle w:val="af7"/>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9574BD">
        <w:tc>
          <w:tcPr>
            <w:tcW w:w="8838" w:type="dxa"/>
            <w:shd w:val="clear" w:color="auto" w:fill="auto"/>
            <w:tcMar>
              <w:top w:w="100" w:type="dxa"/>
              <w:left w:w="100" w:type="dxa"/>
              <w:bottom w:w="100" w:type="dxa"/>
              <w:right w:w="100" w:type="dxa"/>
            </w:tcMar>
          </w:tcPr>
          <w:p w:rsidR="009574BD" w:rsidRDefault="00000000">
            <w:pPr>
              <w:spacing w:after="120" w:line="276" w:lineRule="auto"/>
              <w:jc w:val="both"/>
              <w:rPr>
                <w:rFonts w:ascii="Times New Roman" w:eastAsia="Times New Roman" w:hAnsi="Times New Roman" w:cs="Times New Roman"/>
                <w:b/>
                <w:color w:val="434343"/>
              </w:rPr>
            </w:pPr>
            <w:r>
              <w:rPr>
                <w:rFonts w:ascii="Times New Roman" w:eastAsia="Times New Roman" w:hAnsi="Times New Roman" w:cs="Times New Roman"/>
                <w:b/>
                <w:color w:val="434343"/>
              </w:rPr>
              <w:t>RECOMMENDATIONS</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That the State effectively implements special temporary measures provided for in the laws, especially educational and employment quotas for Afro-descendants, trans and disabled persons.</w:t>
            </w:r>
          </w:p>
        </w:tc>
      </w:tr>
    </w:tbl>
    <w:p w:rsidR="009574BD" w:rsidRDefault="009574BD">
      <w:pPr>
        <w:spacing w:after="120" w:line="276" w:lineRule="auto"/>
        <w:jc w:val="both"/>
        <w:rPr>
          <w:rFonts w:ascii="Times New Roman" w:eastAsia="Times New Roman" w:hAnsi="Times New Roman" w:cs="Times New Roman"/>
          <w:color w:val="434343"/>
        </w:rPr>
      </w:pP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b/>
        </w:rPr>
        <w:t xml:space="preserve">IX. Harmful Stereotypes and Practices </w:t>
      </w:r>
      <w:r>
        <w:rPr>
          <w:rFonts w:ascii="Times New Roman" w:eastAsia="Times New Roman" w:hAnsi="Times New Roman" w:cs="Times New Roman"/>
          <w:i/>
        </w:rPr>
        <w:t>CEDAW/C/URY/QPR/10</w:t>
      </w:r>
      <w:r>
        <w:rPr>
          <w:rFonts w:ascii="Times New Roman" w:eastAsia="Times New Roman" w:hAnsi="Times New Roman" w:cs="Times New Roman"/>
        </w:rPr>
        <w:t xml:space="preserve"> Pár.10)</w:t>
      </w:r>
      <w:r>
        <w:rPr>
          <w:rFonts w:ascii="Times New Roman" w:eastAsia="Times New Roman" w:hAnsi="Times New Roman" w:cs="Times New Roman"/>
          <w:b/>
        </w:rPr>
        <w:br/>
      </w:r>
      <w:r>
        <w:rPr>
          <w:rFonts w:ascii="Times New Roman" w:eastAsia="Times New Roman" w:hAnsi="Times New Roman" w:cs="Times New Roman"/>
          <w:color w:val="434343"/>
        </w:rPr>
        <w:t xml:space="preserve">Attacks against gender equality, Law 19580 and the Comprehensive Law for Trans Persons have increased from groups such as </w:t>
      </w:r>
      <w:r>
        <w:rPr>
          <w:rFonts w:ascii="Times New Roman" w:eastAsia="Times New Roman" w:hAnsi="Times New Roman" w:cs="Times New Roman"/>
          <w:i/>
          <w:color w:val="434343"/>
        </w:rPr>
        <w:t xml:space="preserve">Con mis </w:t>
      </w:r>
      <w:proofErr w:type="spellStart"/>
      <w:r>
        <w:rPr>
          <w:rFonts w:ascii="Times New Roman" w:eastAsia="Times New Roman" w:hAnsi="Times New Roman" w:cs="Times New Roman"/>
          <w:i/>
          <w:color w:val="434343"/>
        </w:rPr>
        <w:t>hijos</w:t>
      </w:r>
      <w:proofErr w:type="spellEnd"/>
      <w:r>
        <w:rPr>
          <w:rFonts w:ascii="Times New Roman" w:eastAsia="Times New Roman" w:hAnsi="Times New Roman" w:cs="Times New Roman"/>
          <w:i/>
          <w:color w:val="434343"/>
        </w:rPr>
        <w:t xml:space="preserve"> no </w:t>
      </w:r>
      <w:proofErr w:type="spellStart"/>
      <w:r>
        <w:rPr>
          <w:rFonts w:ascii="Times New Roman" w:eastAsia="Times New Roman" w:hAnsi="Times New Roman" w:cs="Times New Roman"/>
          <w:i/>
          <w:color w:val="434343"/>
        </w:rPr>
        <w:t>te</w:t>
      </w:r>
      <w:proofErr w:type="spellEnd"/>
      <w:r>
        <w:rPr>
          <w:rFonts w:ascii="Times New Roman" w:eastAsia="Times New Roman" w:hAnsi="Times New Roman" w:cs="Times New Roman"/>
          <w:i/>
          <w:color w:val="434343"/>
        </w:rPr>
        <w:t xml:space="preserve"> </w:t>
      </w:r>
      <w:proofErr w:type="spellStart"/>
      <w:r>
        <w:rPr>
          <w:rFonts w:ascii="Times New Roman" w:eastAsia="Times New Roman" w:hAnsi="Times New Roman" w:cs="Times New Roman"/>
          <w:i/>
          <w:color w:val="434343"/>
        </w:rPr>
        <w:t>metas</w:t>
      </w:r>
      <w:proofErr w:type="spellEnd"/>
      <w:r>
        <w:rPr>
          <w:rFonts w:ascii="Times New Roman" w:eastAsia="Times New Roman" w:hAnsi="Times New Roman" w:cs="Times New Roman"/>
          <w:color w:val="434343"/>
        </w:rPr>
        <w:t xml:space="preserve"> (Don't you mess with my kids), “Stop Abuse” and others, with the explicit support of several parliamentarians, ministers, journalists, public figures and through social media. The regressive statements by senators and representatives in the face of femicide are serious, blaming women for inappropriate behavior, justifying murder based on “excess of love” or attributing it to human nature.</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lastRenderedPageBreak/>
        <w:t>The most evident expression of this is Law 20141 on Co-Responsibility in Rearing</w:t>
      </w:r>
      <w:r>
        <w:rPr>
          <w:rFonts w:ascii="Times New Roman" w:eastAsia="Times New Roman" w:hAnsi="Times New Roman" w:cs="Times New Roman"/>
          <w:color w:val="434343"/>
          <w:vertAlign w:val="superscript"/>
        </w:rPr>
        <w:footnoteReference w:id="43"/>
      </w:r>
      <w:r>
        <w:rPr>
          <w:rFonts w:ascii="Times New Roman" w:eastAsia="Times New Roman" w:hAnsi="Times New Roman" w:cs="Times New Roman"/>
          <w:color w:val="434343"/>
        </w:rPr>
        <w:t xml:space="preserve">. The bill was tabled by the current President during his term as parliamentarian in 2016, at the request of a group of men, religious and conservative fundamentalist groups. The preamble states, without evidence, that there are false reports of GBV which would deprive fathers of contact with their children due to a biased justice favoring women.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This law is unnecessary, regressive and harmful to children </w:t>
      </w:r>
      <w:r>
        <w:rPr>
          <w:rFonts w:ascii="Times New Roman" w:eastAsia="Times New Roman" w:hAnsi="Times New Roman" w:cs="Times New Roman"/>
          <w:color w:val="434343"/>
          <w:vertAlign w:val="superscript"/>
        </w:rPr>
        <w:footnoteReference w:id="44"/>
      </w:r>
      <w:r>
        <w:rPr>
          <w:rFonts w:ascii="Times New Roman" w:eastAsia="Times New Roman" w:hAnsi="Times New Roman" w:cs="Times New Roman"/>
          <w:color w:val="434343"/>
        </w:rPr>
        <w:t xml:space="preserve">. It created the "principle of co-responsibility in rearing" as a guideline for judges hearing custody and visitation trials. In articles 3, 4 and 5, the law favors shared child custody by default, and maintains visits between children and parents even if they have been reported for violence, abuse or mistreatment. The law subjects the best interest of the child to his/her reflective and autonomous will, thus validating the so called "Parental Alienation Syndrome."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While the bill was rejected by UNICEF, national scholars, judges, civil society organizations, and others, they were not heard by parliamentarians. At the House of Representatives, the real reasons to pass the law were explicit: to address what many representatives consider to be false reports of violence and sexual violence by women against fathers, "parental alienation" of children by their mothers, and the elimination of Law 19580.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Law 20141 allows for mediation and conciliation. It also includes an aggravating circumstance for simulating a crime in cases of false reports of gender violence by a person with whom you share children, which has resulted in precautionary measures being ordered in accordance with Law 19580.</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According to a representative, the law implies a change to a paradigm where the rights of the child will always be above women's rights.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This law reinforces the mistrust from judges who order successive psychiatric and psychological exams on children to rule out manipulations by the mothers. An excerpt from a ruling by such a judge reads: “(..) </w:t>
      </w:r>
      <w:r>
        <w:rPr>
          <w:rFonts w:ascii="Times New Roman" w:eastAsia="Times New Roman" w:hAnsi="Times New Roman" w:cs="Times New Roman"/>
          <w:color w:val="434343"/>
          <w:shd w:val="clear" w:color="auto" w:fill="F0F0F0"/>
        </w:rPr>
        <w:t>as proof of the court in use of the faculties enshrined in art. 350.5 of the CGP [General Code of Procedure, a psychological examination of the minor will be ordered, requesting [the expert] to indicate if the will of XXX is influenced by her mother regarding the refusal to interact with…"</w:t>
      </w:r>
      <w:r>
        <w:rPr>
          <w:rFonts w:ascii="Times New Roman" w:eastAsia="Times New Roman" w:hAnsi="Times New Roman" w:cs="Times New Roman"/>
          <w:color w:val="434343"/>
          <w:shd w:val="clear" w:color="auto" w:fill="F0F0F0"/>
          <w:vertAlign w:val="superscript"/>
        </w:rPr>
        <w:footnoteReference w:id="45"/>
      </w:r>
      <w:r>
        <w:rPr>
          <w:rFonts w:ascii="Times New Roman" w:eastAsia="Times New Roman" w:hAnsi="Times New Roman" w:cs="Times New Roman"/>
          <w:color w:val="434343"/>
          <w:shd w:val="clear" w:color="auto" w:fill="F0F0F0"/>
        </w:rPr>
        <w:t xml:space="preserve"> </w:t>
      </w:r>
    </w:p>
    <w:p w:rsidR="009574BD" w:rsidRDefault="00000000">
      <w:pPr>
        <w:widowControl w:val="0"/>
        <w:spacing w:before="26" w:after="120" w:line="344" w:lineRule="auto"/>
        <w:ind w:right="-6"/>
        <w:jc w:val="both"/>
        <w:rPr>
          <w:rFonts w:ascii="Times New Roman" w:eastAsia="Times New Roman" w:hAnsi="Times New Roman" w:cs="Times New Roman"/>
        </w:rPr>
      </w:pPr>
      <w:r>
        <w:rPr>
          <w:rFonts w:ascii="Times New Roman" w:eastAsia="Times New Roman" w:hAnsi="Times New Roman" w:cs="Times New Roman"/>
        </w:rPr>
        <w:t xml:space="preserve">There have been no regular public campaigns to modify the structural patterns of discrimination against women in general, and Afro-descendant women in particular. In April 2021, the JND (Junta Nacional de Drogas - National Drug Board) launched a campaign to </w:t>
      </w:r>
      <w:r>
        <w:rPr>
          <w:rFonts w:ascii="Times New Roman" w:eastAsia="Times New Roman" w:hAnsi="Times New Roman" w:cs="Times New Roman"/>
        </w:rPr>
        <w:lastRenderedPageBreak/>
        <w:t>reduce risks and harms from drug use.</w:t>
      </w:r>
      <w:r>
        <w:rPr>
          <w:rFonts w:ascii="Times New Roman" w:eastAsia="Times New Roman" w:hAnsi="Times New Roman" w:cs="Times New Roman"/>
          <w:vertAlign w:val="superscript"/>
        </w:rPr>
        <w:footnoteReference w:id="46"/>
      </w:r>
      <w:r>
        <w:rPr>
          <w:rFonts w:ascii="Times New Roman" w:eastAsia="Times New Roman" w:hAnsi="Times New Roman" w:cs="Times New Roman"/>
        </w:rPr>
        <w:t xml:space="preserve">  </w:t>
      </w:r>
      <w:r>
        <w:rPr>
          <w:rFonts w:ascii="Times New Roman" w:eastAsia="Times New Roman" w:hAnsi="Times New Roman" w:cs="Times New Roman"/>
          <w:vertAlign w:val="superscript"/>
        </w:rPr>
        <w:t xml:space="preserve"> </w:t>
      </w:r>
      <w:r>
        <w:rPr>
          <w:rFonts w:ascii="Times New Roman" w:eastAsia="Times New Roman" w:hAnsi="Times New Roman" w:cs="Times New Roman"/>
        </w:rPr>
        <w:t xml:space="preserve"> </w:t>
      </w:r>
    </w:p>
    <w:p w:rsidR="009574BD" w:rsidRDefault="00000000">
      <w:pPr>
        <w:widowControl w:val="0"/>
        <w:spacing w:before="27" w:after="120" w:line="345" w:lineRule="auto"/>
        <w:ind w:right="-6"/>
        <w:jc w:val="both"/>
        <w:rPr>
          <w:rFonts w:ascii="Times New Roman" w:eastAsia="Times New Roman" w:hAnsi="Times New Roman" w:cs="Times New Roman"/>
        </w:rPr>
      </w:pPr>
      <w:r>
        <w:rPr>
          <w:rFonts w:ascii="Times New Roman" w:eastAsia="Times New Roman" w:hAnsi="Times New Roman" w:cs="Times New Roman"/>
        </w:rPr>
        <w:t xml:space="preserve">CLADEM Uruguay and </w:t>
      </w:r>
      <w:proofErr w:type="spellStart"/>
      <w:r>
        <w:rPr>
          <w:rFonts w:ascii="Times New Roman" w:eastAsia="Times New Roman" w:hAnsi="Times New Roman" w:cs="Times New Roman"/>
        </w:rPr>
        <w:t>Colectivamujeres</w:t>
      </w:r>
      <w:proofErr w:type="spellEnd"/>
      <w:r>
        <w:rPr>
          <w:rFonts w:ascii="Times New Roman" w:eastAsia="Times New Roman" w:hAnsi="Times New Roman" w:cs="Times New Roman"/>
        </w:rPr>
        <w:t xml:space="preserve"> filed a complaint with the National Human Rights Institution (INDDHH by its Spanish acronym) applying the CERD Convention and the Committee's recommendations</w:t>
      </w:r>
      <w:r>
        <w:rPr>
          <w:rFonts w:ascii="Times New Roman" w:eastAsia="Times New Roman" w:hAnsi="Times New Roman" w:cs="Times New Roman"/>
          <w:vertAlign w:val="superscript"/>
        </w:rPr>
        <w:footnoteReference w:id="47"/>
      </w:r>
      <w:r>
        <w:rPr>
          <w:rFonts w:ascii="Times New Roman" w:eastAsia="Times New Roman" w:hAnsi="Times New Roman" w:cs="Times New Roman"/>
        </w:rPr>
        <w:t xml:space="preserve">. The INDDHH ruled that the JND had violated the rights of the Afro-Uruguayan population and recommended the JND to carry out trainings on the matter. There was no express acceptance of the recommendation by the JND. </w:t>
      </w:r>
    </w:p>
    <w:p w:rsidR="009574BD" w:rsidRDefault="00000000">
      <w:pPr>
        <w:rPr>
          <w:rFonts w:ascii="Times New Roman" w:eastAsia="Times New Roman" w:hAnsi="Times New Roman" w:cs="Times New Roman"/>
          <w:b/>
        </w:rPr>
      </w:pPr>
      <w:r>
        <w:br w:type="page"/>
      </w:r>
    </w:p>
    <w:tbl>
      <w:tblPr>
        <w:tblStyle w:val="af8"/>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9574BD">
        <w:tc>
          <w:tcPr>
            <w:tcW w:w="8838" w:type="dxa"/>
            <w:shd w:val="clear" w:color="auto" w:fill="auto"/>
            <w:tcMar>
              <w:top w:w="100" w:type="dxa"/>
              <w:left w:w="100" w:type="dxa"/>
              <w:bottom w:w="100" w:type="dxa"/>
              <w:right w:w="100" w:type="dxa"/>
            </w:tcMar>
          </w:tcPr>
          <w:p w:rsidR="009574BD" w:rsidRDefault="00000000">
            <w:pPr>
              <w:widowControl w:val="0"/>
              <w:spacing w:before="27" w:after="120"/>
              <w:jc w:val="both"/>
              <w:rPr>
                <w:rFonts w:ascii="Times New Roman" w:eastAsia="Times New Roman" w:hAnsi="Times New Roman" w:cs="Times New Roman"/>
                <w:b/>
              </w:rPr>
            </w:pPr>
            <w:r>
              <w:rPr>
                <w:rFonts w:ascii="Times New Roman" w:eastAsia="Times New Roman" w:hAnsi="Times New Roman" w:cs="Times New Roman"/>
                <w:b/>
              </w:rPr>
              <w:lastRenderedPageBreak/>
              <w:t>RECOMMENDATION</w:t>
            </w:r>
          </w:p>
          <w:p w:rsidR="009574BD" w:rsidRDefault="00000000">
            <w:pPr>
              <w:widowControl w:val="0"/>
              <w:spacing w:before="123" w:after="120" w:line="345" w:lineRule="auto"/>
              <w:jc w:val="both"/>
              <w:rPr>
                <w:rFonts w:ascii="Times New Roman" w:eastAsia="Times New Roman" w:hAnsi="Times New Roman" w:cs="Times New Roman"/>
                <w:b/>
              </w:rPr>
            </w:pPr>
            <w:r>
              <w:rPr>
                <w:rFonts w:ascii="Times New Roman" w:eastAsia="Times New Roman" w:hAnsi="Times New Roman" w:cs="Times New Roman"/>
              </w:rPr>
              <w:t>That the State implements regular campaigns to modify discriminatory sociocultural patterns, especially against Afro-descendant women.</w:t>
            </w:r>
            <w:r>
              <w:rPr>
                <w:rFonts w:ascii="Times New Roman" w:eastAsia="Times New Roman" w:hAnsi="Times New Roman" w:cs="Times New Roman"/>
                <w:b/>
              </w:rPr>
              <w:t xml:space="preserve"> </w:t>
            </w:r>
          </w:p>
        </w:tc>
      </w:tr>
    </w:tbl>
    <w:p w:rsidR="009574BD" w:rsidRDefault="009574BD">
      <w:pPr>
        <w:widowControl w:val="0"/>
        <w:spacing w:before="27" w:after="120"/>
        <w:jc w:val="both"/>
        <w:rPr>
          <w:rFonts w:ascii="Times New Roman" w:eastAsia="Times New Roman" w:hAnsi="Times New Roman" w:cs="Times New Roman"/>
          <w:b/>
        </w:rPr>
      </w:pPr>
    </w:p>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X. Education (</w:t>
      </w:r>
      <w:r>
        <w:rPr>
          <w:rFonts w:ascii="Times New Roman" w:eastAsia="Times New Roman" w:hAnsi="Times New Roman" w:cs="Times New Roman"/>
        </w:rPr>
        <w:t>CEDAW</w:t>
      </w:r>
      <w:r>
        <w:rPr>
          <w:rFonts w:ascii="Times New Roman" w:eastAsia="Times New Roman" w:hAnsi="Times New Roman" w:cs="Times New Roman"/>
          <w:i/>
        </w:rPr>
        <w:t>/C/URY/QPR/10 Par 16,17)</w:t>
      </w:r>
      <w:r>
        <w:rPr>
          <w:rFonts w:ascii="Times New Roman" w:eastAsia="Times New Roman" w:hAnsi="Times New Roman" w:cs="Times New Roman"/>
        </w:rPr>
        <w:t xml:space="preserve"> </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The implementation of the “Educational Transformation” reform by the current government without coordination with teachers and students, maintains comprehensive sexuality education as a cross-sectional area, without including it in the curricula as a specific area. In secondary school, CSE implementation is left to the discretion of teachers as optional workshops.  In primary school, CSE is not included in the curriculum, its inclusion depends on teachers, and it is limited to families and gender roles.</w:t>
      </w:r>
    </w:p>
    <w:p w:rsidR="009574BD"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The clearest evidence of state noncompliance is the various protests by student organizations calling for multidisciplinary teams, psychologists, and sex educators to prevent and avoid violence</w:t>
      </w:r>
      <w:r>
        <w:rPr>
          <w:rFonts w:ascii="Times New Roman" w:eastAsia="Times New Roman" w:hAnsi="Times New Roman" w:cs="Times New Roman"/>
          <w:color w:val="434343"/>
          <w:vertAlign w:val="superscript"/>
        </w:rPr>
        <w:footnoteReference w:id="48"/>
      </w:r>
      <w:r>
        <w:rPr>
          <w:rFonts w:ascii="Times New Roman" w:eastAsia="Times New Roman" w:hAnsi="Times New Roman" w:cs="Times New Roman"/>
          <w:color w:val="434343"/>
        </w:rPr>
        <w:t xml:space="preserve">. </w:t>
      </w:r>
    </w:p>
    <w:p w:rsidR="009574BD" w:rsidRDefault="00000000">
      <w:pPr>
        <w:widowControl w:val="0"/>
        <w:spacing w:line="276" w:lineRule="auto"/>
        <w:jc w:val="both"/>
      </w:pPr>
      <w:r>
        <w:t>In relation to the Afro-descendant population, the current level of educational attainment of Afro-descendants is similar to the level non-</w:t>
      </w:r>
      <w:proofErr w:type="spellStart"/>
      <w:r>
        <w:t>Afrodescendanst</w:t>
      </w:r>
      <w:proofErr w:type="spellEnd"/>
      <w:r>
        <w:t xml:space="preserve"> 40 years ago (De </w:t>
      </w:r>
      <w:proofErr w:type="spellStart"/>
      <w:r>
        <w:t>Armas</w:t>
      </w:r>
      <w:proofErr w:type="spellEnd"/>
      <w:r>
        <w:t>, 2019)</w:t>
      </w:r>
      <w:r>
        <w:rPr>
          <w:rFonts w:ascii="Times New Roman" w:eastAsia="Times New Roman" w:hAnsi="Times New Roman" w:cs="Times New Roman"/>
          <w:vertAlign w:val="superscript"/>
        </w:rPr>
        <w:footnoteReference w:id="49"/>
      </w:r>
      <w:r>
        <w:rPr>
          <w:rFonts w:ascii="Times New Roman" w:eastAsia="Times New Roman" w:hAnsi="Times New Roman" w:cs="Times New Roman"/>
        </w:rPr>
        <w:t>.</w:t>
      </w:r>
      <w:r>
        <w:t>.</w:t>
      </w:r>
    </w:p>
    <w:p w:rsidR="009574BD" w:rsidRDefault="00000000">
      <w:pPr>
        <w:widowControl w:val="0"/>
        <w:spacing w:after="120" w:line="276" w:lineRule="auto"/>
        <w:ind w:right="-8"/>
        <w:jc w:val="both"/>
        <w:rPr>
          <w:rFonts w:ascii="Times New Roman" w:eastAsia="Times New Roman" w:hAnsi="Times New Roman" w:cs="Times New Roman"/>
        </w:rPr>
      </w:pPr>
      <w:r>
        <w:rPr>
          <w:rFonts w:ascii="Times New Roman" w:eastAsia="Times New Roman" w:hAnsi="Times New Roman" w:cs="Times New Roman"/>
        </w:rPr>
        <w:t xml:space="preserve">This inequality perpetuates discrimination with a negative impact on the access to decent jobs, wage equality and housing. </w:t>
      </w:r>
    </w:p>
    <w:p w:rsidR="009574BD" w:rsidRDefault="00000000">
      <w:pPr>
        <w:widowControl w:val="0"/>
        <w:spacing w:before="31" w:after="120" w:line="276" w:lineRule="auto"/>
        <w:ind w:right="-8" w:hanging="1"/>
        <w:jc w:val="both"/>
        <w:rPr>
          <w:rFonts w:ascii="Times New Roman" w:eastAsia="Times New Roman" w:hAnsi="Times New Roman" w:cs="Times New Roman"/>
        </w:rPr>
      </w:pPr>
      <w:r>
        <w:rPr>
          <w:rFonts w:ascii="Times New Roman" w:eastAsia="Times New Roman" w:hAnsi="Times New Roman" w:cs="Times New Roman"/>
        </w:rPr>
        <w:t xml:space="preserve">The absence of public policies for the access and permanence of the Afro-descendant population (especially adolescents) in educational institutions negatively affects school performance and leads to their dropping out of the system. Uruguay has not complied with the recommendation of this Committee (CEDAW/C/URY/CO/7, par. 33) regarding the implementation of special measures of a temporary nature to reduce and eliminate the causes of expulsion from the educational system. </w:t>
      </w:r>
    </w:p>
    <w:p w:rsidR="009574BD" w:rsidRDefault="00000000">
      <w:pPr>
        <w:widowControl w:val="0"/>
        <w:spacing w:before="26" w:after="120" w:line="276" w:lineRule="auto"/>
        <w:ind w:right="-6"/>
        <w:jc w:val="both"/>
        <w:rPr>
          <w:rFonts w:ascii="Times New Roman" w:eastAsia="Times New Roman" w:hAnsi="Times New Roman" w:cs="Times New Roman"/>
        </w:rPr>
      </w:pPr>
      <w:r>
        <w:rPr>
          <w:rFonts w:ascii="Times New Roman" w:eastAsia="Times New Roman" w:hAnsi="Times New Roman" w:cs="Times New Roman"/>
        </w:rPr>
        <w:t>Discriminatory educational spaces are expelling Afro-descendant students: 33.9% of students report being discriminated against because of their hair and/or skin color</w:t>
      </w:r>
      <w:r>
        <w:rPr>
          <w:rFonts w:ascii="Times New Roman" w:eastAsia="Times New Roman" w:hAnsi="Times New Roman" w:cs="Times New Roman"/>
          <w:vertAlign w:val="superscript"/>
        </w:rPr>
        <w:footnoteReference w:id="50"/>
      </w:r>
      <w:r>
        <w:rPr>
          <w:rFonts w:ascii="Times New Roman" w:eastAsia="Times New Roman" w:hAnsi="Times New Roman" w:cs="Times New Roman"/>
        </w:rPr>
        <w:t xml:space="preserve">. This means that the strategies to achieve student permanence are ineffective and must the construction of the Afro-descendant identity at the education system must be </w:t>
      </w:r>
      <w:proofErr w:type="spellStart"/>
      <w:r>
        <w:rPr>
          <w:rFonts w:ascii="Times New Roman" w:eastAsia="Times New Roman" w:hAnsi="Times New Roman" w:cs="Times New Roman"/>
        </w:rPr>
        <w:t>deepend</w:t>
      </w:r>
      <w:proofErr w:type="spellEnd"/>
      <w:r>
        <w:rPr>
          <w:rFonts w:ascii="Times New Roman" w:eastAsia="Times New Roman" w:hAnsi="Times New Roman" w:cs="Times New Roman"/>
        </w:rPr>
        <w:t>.</w:t>
      </w:r>
    </w:p>
    <w:p w:rsidR="009574BD" w:rsidRDefault="009574BD">
      <w:pPr>
        <w:widowControl w:val="0"/>
        <w:spacing w:before="27" w:after="120"/>
        <w:jc w:val="both"/>
        <w:rPr>
          <w:rFonts w:ascii="Times New Roman" w:eastAsia="Times New Roman" w:hAnsi="Times New Roman" w:cs="Times New Roman"/>
          <w:b/>
        </w:rPr>
      </w:pPr>
    </w:p>
    <w:tbl>
      <w:tblPr>
        <w:tblStyle w:val="af9"/>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9574BD">
        <w:tc>
          <w:tcPr>
            <w:tcW w:w="8838" w:type="dxa"/>
            <w:shd w:val="clear" w:color="auto" w:fill="auto"/>
            <w:tcMar>
              <w:top w:w="100" w:type="dxa"/>
              <w:left w:w="100" w:type="dxa"/>
              <w:bottom w:w="100" w:type="dxa"/>
              <w:right w:w="100" w:type="dxa"/>
            </w:tcMar>
          </w:tcPr>
          <w:p w:rsidR="009574BD" w:rsidRDefault="00000000">
            <w:pPr>
              <w:widowControl w:val="0"/>
              <w:spacing w:before="27" w:after="120"/>
              <w:jc w:val="both"/>
              <w:rPr>
                <w:rFonts w:ascii="Times New Roman" w:eastAsia="Times New Roman" w:hAnsi="Times New Roman" w:cs="Times New Roman"/>
                <w:b/>
              </w:rPr>
            </w:pPr>
            <w:r>
              <w:rPr>
                <w:rFonts w:ascii="Times New Roman" w:eastAsia="Times New Roman" w:hAnsi="Times New Roman" w:cs="Times New Roman"/>
                <w:b/>
              </w:rPr>
              <w:t xml:space="preserve">RECOMMENDATIONS </w:t>
            </w:r>
          </w:p>
          <w:p w:rsidR="009574BD" w:rsidRDefault="00000000">
            <w:pPr>
              <w:widowControl w:val="0"/>
              <w:spacing w:before="123" w:after="120" w:line="343" w:lineRule="auto"/>
              <w:ind w:right="-6"/>
              <w:jc w:val="both"/>
              <w:rPr>
                <w:rFonts w:ascii="Times New Roman" w:eastAsia="Times New Roman" w:hAnsi="Times New Roman" w:cs="Times New Roman"/>
              </w:rPr>
            </w:pPr>
            <w:r>
              <w:rPr>
                <w:rFonts w:ascii="Times New Roman" w:eastAsia="Times New Roman" w:hAnsi="Times New Roman" w:cs="Times New Roman"/>
                <w:b/>
              </w:rPr>
              <w:t xml:space="preserve">1. </w:t>
            </w:r>
            <w:r>
              <w:rPr>
                <w:rFonts w:ascii="Times New Roman" w:eastAsia="Times New Roman" w:hAnsi="Times New Roman" w:cs="Times New Roman"/>
              </w:rPr>
              <w:t xml:space="preserve">That the State adopts temporary special measures to reverse the educational expulsion, and trains teachers to be able to educate in racial-ethnic relations, sexual orientation and gender identity. </w:t>
            </w:r>
          </w:p>
          <w:p w:rsidR="009574BD" w:rsidRDefault="00000000">
            <w:pPr>
              <w:widowControl w:val="0"/>
              <w:spacing w:before="123" w:after="120" w:line="343" w:lineRule="auto"/>
              <w:ind w:right="-6"/>
              <w:jc w:val="both"/>
              <w:rPr>
                <w:rFonts w:ascii="Times New Roman" w:eastAsia="Times New Roman" w:hAnsi="Times New Roman" w:cs="Times New Roman"/>
              </w:rPr>
            </w:pPr>
            <w:r>
              <w:rPr>
                <w:rFonts w:ascii="Times New Roman" w:eastAsia="Times New Roman" w:hAnsi="Times New Roman" w:cs="Times New Roman"/>
                <w:b/>
              </w:rPr>
              <w:t>2.</w:t>
            </w:r>
            <w:r>
              <w:rPr>
                <w:rFonts w:ascii="Times New Roman" w:eastAsia="Times New Roman" w:hAnsi="Times New Roman" w:cs="Times New Roman"/>
              </w:rPr>
              <w:t xml:space="preserve"> That the State establishes public and effective anti-discrimination action protocols and takes measures to protect the educational trajectories of Afro-descendant and trans populations.</w:t>
            </w:r>
          </w:p>
          <w:p w:rsidR="009574BD" w:rsidRDefault="00000000">
            <w:pPr>
              <w:widowControl w:val="0"/>
              <w:spacing w:before="123" w:after="120" w:line="343" w:lineRule="auto"/>
              <w:ind w:right="-6"/>
              <w:jc w:val="both"/>
              <w:rPr>
                <w:rFonts w:ascii="Times New Roman" w:eastAsia="Times New Roman" w:hAnsi="Times New Roman" w:cs="Times New Roman"/>
              </w:rPr>
            </w:pPr>
            <w:r>
              <w:rPr>
                <w:rFonts w:ascii="Times New Roman" w:eastAsia="Times New Roman" w:hAnsi="Times New Roman" w:cs="Times New Roman"/>
                <w:b/>
              </w:rPr>
              <w:t>3.</w:t>
            </w:r>
            <w:r>
              <w:rPr>
                <w:rFonts w:ascii="Times New Roman" w:eastAsia="Times New Roman" w:hAnsi="Times New Roman" w:cs="Times New Roman"/>
              </w:rPr>
              <w:t>That the State implements comprehensive sexuality education at all levels of education, emphasizing its importance in the prevention of gender-based violence by ensuring trained educators.</w:t>
            </w:r>
          </w:p>
          <w:p w:rsidR="009574BD" w:rsidRDefault="00000000">
            <w:pPr>
              <w:widowControl w:val="0"/>
              <w:spacing w:before="123" w:after="120" w:line="343" w:lineRule="auto"/>
              <w:ind w:right="-6"/>
              <w:jc w:val="both"/>
              <w:rPr>
                <w:rFonts w:ascii="Times New Roman" w:eastAsia="Times New Roman" w:hAnsi="Times New Roman" w:cs="Times New Roman"/>
                <w:b/>
              </w:rPr>
            </w:pPr>
            <w:r>
              <w:rPr>
                <w:rFonts w:ascii="Times New Roman" w:eastAsia="Times New Roman" w:hAnsi="Times New Roman" w:cs="Times New Roman"/>
                <w:b/>
              </w:rPr>
              <w:t xml:space="preserve">4. </w:t>
            </w:r>
            <w:r>
              <w:rPr>
                <w:rFonts w:ascii="Times New Roman" w:eastAsia="Times New Roman" w:hAnsi="Times New Roman" w:cs="Times New Roman"/>
              </w:rPr>
              <w:t xml:space="preserve">That the State encourages and implements the involvement of women in science and technology careers, implementing equality employment opportunity policies. </w:t>
            </w:r>
          </w:p>
        </w:tc>
      </w:tr>
    </w:tbl>
    <w:p w:rsidR="009574BD" w:rsidRDefault="009574BD">
      <w:pPr>
        <w:widowControl w:val="0"/>
        <w:spacing w:before="27" w:after="120"/>
        <w:jc w:val="both"/>
        <w:rPr>
          <w:rFonts w:ascii="Times New Roman" w:eastAsia="Times New Roman" w:hAnsi="Times New Roman" w:cs="Times New Roman"/>
          <w:b/>
        </w:rPr>
      </w:pPr>
    </w:p>
    <w:p w:rsidR="009574BD" w:rsidRDefault="00000000">
      <w:pPr>
        <w:widowControl w:val="0"/>
        <w:spacing w:before="123" w:after="120" w:line="343" w:lineRule="auto"/>
        <w:ind w:right="-6"/>
        <w:jc w:val="both"/>
        <w:rPr>
          <w:rFonts w:ascii="Times New Roman" w:eastAsia="Times New Roman" w:hAnsi="Times New Roman" w:cs="Times New Roman"/>
          <w:b/>
        </w:rPr>
      </w:pPr>
      <w:r>
        <w:rPr>
          <w:rFonts w:ascii="Times New Roman" w:eastAsia="Times New Roman" w:hAnsi="Times New Roman" w:cs="Times New Roman"/>
          <w:b/>
        </w:rPr>
        <w:t>XII.  Sexual and Reproductive Health (CEDAW</w:t>
      </w:r>
      <w:r>
        <w:rPr>
          <w:rFonts w:ascii="Times New Roman" w:eastAsia="Times New Roman" w:hAnsi="Times New Roman" w:cs="Times New Roman"/>
          <w:i/>
        </w:rPr>
        <w:t>/C/URY/QPR/10 Pár.20,21)</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In recent years, Uruguay has developed actions on sexual and reproductive health that have resulted in the recognition of sexual and reproductive rights, and the development of programs and services for their enforcement. Despite these achievements, persistent inequalities deepened with the impact of COVID-19 on the reproductive process, which is reflected by maternal mortality, preterm delivery, and low birth weight indicators.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During the pandemic, maternal mortality (MM) had an increase directly associated with COVID, from 20 maternal deaths per 100,000 live births in 2019 to 100 in the public sector, and from 15 to 23 in the private sector. The public health care provider serves most of the population with the lowest income levels</w:t>
      </w:r>
      <w:r>
        <w:rPr>
          <w:rFonts w:ascii="Times New Roman" w:eastAsia="Times New Roman" w:hAnsi="Times New Roman" w:cs="Times New Roman"/>
          <w:vertAlign w:val="superscript"/>
        </w:rPr>
        <w:footnoteReference w:id="51"/>
      </w:r>
      <w:r>
        <w:rPr>
          <w:rFonts w:ascii="Times New Roman" w:eastAsia="Times New Roman" w:hAnsi="Times New Roman" w:cs="Times New Roman"/>
        </w:rPr>
        <w:t>. Although this indicator has improved, inequity in access to quality health care is persistent for women in the lowest socioeconomic levels in crisis contexts.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Other reproductive indicators, such as preterm birth or low birth weight, show the same trend, increasing in the public subsector. Preterm births went from 10% in 2019 to 11.4% in 2020 in the public subsector, while in the private sector they decreased from 10.2% to 9.9%.  Low </w:t>
      </w:r>
      <w:r>
        <w:rPr>
          <w:rFonts w:ascii="Times New Roman" w:eastAsia="Times New Roman" w:hAnsi="Times New Roman" w:cs="Times New Roman"/>
        </w:rPr>
        <w:lastRenderedPageBreak/>
        <w:t>birth weight cases went from 5.4% in 2019 to 6.3% in 2020 in the public sector but decreased in the private sector from 5.8% to 5.4%.</w:t>
      </w:r>
      <w:r>
        <w:rPr>
          <w:rFonts w:ascii="Times New Roman" w:eastAsia="Times New Roman" w:hAnsi="Times New Roman" w:cs="Times New Roman"/>
          <w:vertAlign w:val="superscript"/>
        </w:rPr>
        <w:footnoteReference w:id="52"/>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The increase in congenital syphilis is another indicator of reproductive injustice: although a significant increase has been observed since 2018, the situation worsened in 2020 in the public sub-sector. According to an audit by the Ministry of Public Health (MSP) on gestational and congenital syphilis (CS), CS increased within the public sector and during the pandemic, mainly in the metropolitan area of Montevideo, from 3.46 cases per 100 live births in 2015-2019 period, to 7.8 cases in 2020. Meanwhile, in the rest of the country CS went from 3.4 cases per 100 LB in the 2015-2019 period to 6.7 in 2020.</w:t>
      </w:r>
    </w:p>
    <w:p w:rsidR="009574BD" w:rsidRDefault="00000000">
      <w:pPr>
        <w:spacing w:after="120" w:line="276" w:lineRule="auto"/>
        <w:jc w:val="both"/>
        <w:rPr>
          <w:rFonts w:ascii="Times New Roman" w:eastAsia="Times New Roman" w:hAnsi="Times New Roman" w:cs="Times New Roman"/>
          <w:highlight w:val="yellow"/>
        </w:rPr>
      </w:pPr>
      <w:r>
        <w:rPr>
          <w:rFonts w:ascii="Times New Roman" w:eastAsia="Times New Roman" w:hAnsi="Times New Roman" w:cs="Times New Roman"/>
        </w:rPr>
        <w:t xml:space="preserve">These indicators reflect how, in crisis contexts, inequity deepens as a result of the unequal response of the health system, which deteriorates the socio-sanitary conditions of the people whose rights are most violated.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In terms of access to voluntary termination of pregnancy (VTP) services, there has been a decreasing trend in the number of interruptions since abortion was decriminalized. Maintaining this trend is key as an indicator of success of sexuality education programs and access to safe and good quality services.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However, a stagnation is perceived in the policies to prevent pregnancy in children under 15 years of age: 108 girls and adolescents under 15 became pregnant in 2021, and 93 in 2022. In 2021, 50 girls continued with the pregnancy, and 58 terminated it. In 2022, these figures were 55 and 38 respectively. These data indicate that, even when the number of births in this age group decreased, the proportion of terminations is stable, which means that pregnancies continue to occur, and they are always the result of a context of violation of rights and violence.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In terms of access to VTP, there are still certain barriers derived from the restrictions in Law 18987</w:t>
      </w:r>
      <w:r>
        <w:rPr>
          <w:rFonts w:ascii="Times New Roman" w:eastAsia="Times New Roman" w:hAnsi="Times New Roman" w:cs="Times New Roman"/>
          <w:vertAlign w:val="superscript"/>
        </w:rPr>
        <w:footnoteReference w:id="53"/>
      </w:r>
      <w:r>
        <w:rPr>
          <w:rFonts w:ascii="Times New Roman" w:eastAsia="Times New Roman" w:hAnsi="Times New Roman" w:cs="Times New Roman"/>
        </w:rPr>
        <w:t>: article 13 gives access to this right to natural or legal Uruguayan citizens, and to foreign citizens proving habitual residence in the country for no less than one year. Although Law 19580 contemplates the access of non-nationals to VTP, they must have been victims of gender violence in Uruguayan territory, which limits their access to this right.</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A second barrier is violence by health professionals during consultations. Although the number of reports recorded by health authorities associated with access to VTP between 2014 </w:t>
      </w:r>
      <w:r>
        <w:rPr>
          <w:rFonts w:ascii="Times New Roman" w:eastAsia="Times New Roman" w:hAnsi="Times New Roman" w:cs="Times New Roman"/>
        </w:rPr>
        <w:lastRenderedPageBreak/>
        <w:t>and 2022 is not significant (8)</w:t>
      </w:r>
      <w:r>
        <w:rPr>
          <w:rFonts w:ascii="Times New Roman" w:eastAsia="Times New Roman" w:hAnsi="Times New Roman" w:cs="Times New Roman"/>
          <w:vertAlign w:val="superscript"/>
        </w:rPr>
        <w:footnoteReference w:id="54"/>
      </w:r>
      <w:r>
        <w:rPr>
          <w:rFonts w:ascii="Times New Roman" w:eastAsia="Times New Roman" w:hAnsi="Times New Roman" w:cs="Times New Roman"/>
        </w:rPr>
        <w:t>complaints received in connection with VTP processes are not adequately recorded. This fact is key considering that the latest national survey on gender violence showed that 54.4% of women over 15 years of age who went through a VTP process (after 2012) had suffered gender violence (noncompliance with the legal deadlines, attempts to persuade women from moving forward with VTP through guilt, offensive or disqualifying comments, insinuations about women's ability to make a decision, and threats of violating the confidentiality of the consultation and the procedure.)</w:t>
      </w:r>
      <w:r>
        <w:rPr>
          <w:rFonts w:ascii="Times New Roman" w:eastAsia="Times New Roman" w:hAnsi="Times New Roman" w:cs="Times New Roman"/>
          <w:vertAlign w:val="superscript"/>
        </w:rPr>
        <w:footnoteReference w:id="55"/>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A third access barrier is the persistence of a significant number of health professionals who are conscientious objectors to VTP in public health institutions. This situation is particularly concerning in some provinces outside Montevideo where hospitals de Young (province of Rio Negro), Mercedes (province of Soriano) and Paysandú (province of Paysandú) report 10% of gynecologists in emergencies or polyclinics are objectors</w:t>
      </w:r>
      <w:r>
        <w:rPr>
          <w:rFonts w:ascii="Times New Roman" w:eastAsia="Times New Roman" w:hAnsi="Times New Roman" w:cs="Times New Roman"/>
          <w:vertAlign w:val="superscript"/>
        </w:rPr>
        <w:footnoteReference w:id="56"/>
      </w:r>
      <w:r>
        <w:rPr>
          <w:rFonts w:ascii="Times New Roman" w:eastAsia="Times New Roman" w:hAnsi="Times New Roman" w:cs="Times New Roman"/>
        </w:rPr>
        <w:t xml:space="preserve">. </w:t>
      </w:r>
    </w:p>
    <w:tbl>
      <w:tblPr>
        <w:tblStyle w:val="afa"/>
        <w:tblW w:w="8789"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89"/>
      </w:tblGrid>
      <w:tr w:rsidR="009574BD">
        <w:trPr>
          <w:trHeight w:val="1718"/>
        </w:trPr>
        <w:tc>
          <w:tcPr>
            <w:tcW w:w="8789" w:type="dxa"/>
            <w:shd w:val="clear" w:color="auto" w:fill="auto"/>
            <w:tcMar>
              <w:top w:w="100" w:type="dxa"/>
              <w:left w:w="100" w:type="dxa"/>
              <w:bottom w:w="100" w:type="dxa"/>
              <w:right w:w="100" w:type="dxa"/>
            </w:tcMar>
          </w:tcPr>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RECOMMENDATIONS: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1.</w:t>
            </w:r>
            <w:r>
              <w:rPr>
                <w:rFonts w:ascii="Times New Roman" w:eastAsia="Times New Roman" w:hAnsi="Times New Roman" w:cs="Times New Roman"/>
              </w:rPr>
              <w:t xml:space="preserve"> That the Sate designs comprehensive response systems that prioritize sexual and reproductive health policies, investing in the whole reproductive process of pregnancy, birth, and rearing, as well as in the implementation of comprehensive sexuality education at all levels of education</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2.</w:t>
            </w:r>
            <w:r>
              <w:rPr>
                <w:rFonts w:ascii="Times New Roman" w:eastAsia="Times New Roman" w:hAnsi="Times New Roman" w:cs="Times New Roman"/>
              </w:rPr>
              <w:t xml:space="preserve">That the State improves the sexual and reproductive health data recording systems and indicators, including the violation of rights in the process of pregnancy, childbirth, puerperium and VTP services, which must include the variables of gender, age, race, country of origin, residence, etc.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3. </w:t>
            </w:r>
            <w:r>
              <w:rPr>
                <w:rFonts w:ascii="Times New Roman" w:eastAsia="Times New Roman" w:hAnsi="Times New Roman" w:cs="Times New Roman"/>
              </w:rPr>
              <w:t>That the State promotes the continuous training and updating of health teams on key issues such as teenage pregnancy, child pregnancy, contraception, VTP, gender violence and sexual diversity.</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4.</w:t>
            </w:r>
            <w:r>
              <w:rPr>
                <w:rFonts w:ascii="Times New Roman" w:eastAsia="Times New Roman" w:hAnsi="Times New Roman" w:cs="Times New Roman"/>
              </w:rPr>
              <w:t xml:space="preserve"> That the State regulates the exercise of conscientious objection through genuine and authentic control mechanisms, so that the provision of this service is guaranteed, and users are not harmed.</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lastRenderedPageBreak/>
              <w:t xml:space="preserve"> 5. </w:t>
            </w:r>
            <w:r>
              <w:rPr>
                <w:rFonts w:ascii="Times New Roman" w:eastAsia="Times New Roman" w:hAnsi="Times New Roman" w:cs="Times New Roman"/>
              </w:rPr>
              <w:t>That the State guarantees a timely referral for users of health care institutions where conscientious objection has occurred.</w:t>
            </w:r>
          </w:p>
        </w:tc>
      </w:tr>
    </w:tbl>
    <w:p w:rsidR="009574BD" w:rsidRDefault="00000000">
      <w:pPr>
        <w:pStyle w:val="Ttulo3"/>
        <w:spacing w:after="120" w:line="276" w:lineRule="auto"/>
        <w:jc w:val="both"/>
        <w:rPr>
          <w:rFonts w:ascii="Times New Roman" w:eastAsia="Times New Roman" w:hAnsi="Times New Roman" w:cs="Times New Roman"/>
          <w:b w:val="0"/>
          <w:sz w:val="24"/>
          <w:szCs w:val="24"/>
        </w:rPr>
      </w:pPr>
      <w:r>
        <w:rPr>
          <w:rFonts w:ascii="Times New Roman" w:eastAsia="Times New Roman" w:hAnsi="Times New Roman" w:cs="Times New Roman"/>
          <w:sz w:val="24"/>
          <w:szCs w:val="24"/>
        </w:rPr>
        <w:lastRenderedPageBreak/>
        <w:t xml:space="preserve">XII. Women Deprived of Liberty </w:t>
      </w:r>
      <w:r>
        <w:rPr>
          <w:rFonts w:ascii="Times New Roman" w:eastAsia="Times New Roman" w:hAnsi="Times New Roman" w:cs="Times New Roman"/>
          <w:b w:val="0"/>
          <w:i/>
          <w:sz w:val="24"/>
          <w:szCs w:val="24"/>
        </w:rPr>
        <w:t>CEDAW/C/URY/QPR/10</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b w:val="0"/>
          <w:sz w:val="24"/>
          <w:szCs w:val="24"/>
        </w:rPr>
        <w:t>Pár</w:t>
      </w:r>
      <w:proofErr w:type="spellEnd"/>
      <w:r>
        <w:rPr>
          <w:rFonts w:ascii="Times New Roman" w:eastAsia="Times New Roman" w:hAnsi="Times New Roman" w:cs="Times New Roman"/>
          <w:b w:val="0"/>
          <w:sz w:val="24"/>
          <w:szCs w:val="24"/>
        </w:rPr>
        <w:t>. 23</w:t>
      </w:r>
    </w:p>
    <w:p w:rsidR="009574BD" w:rsidRDefault="00000000">
      <w:pPr>
        <w:widowControl w:val="0"/>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In August 2016, the Gender and Diversity Department (DGD) was created within the National Rehabilitation Institute (INR). The head of </w:t>
      </w:r>
      <w:proofErr w:type="gramStart"/>
      <w:r>
        <w:rPr>
          <w:rFonts w:ascii="Times New Roman" w:eastAsia="Times New Roman" w:hAnsi="Times New Roman" w:cs="Times New Roman"/>
          <w:color w:val="434343"/>
        </w:rPr>
        <w:t>the  DGD</w:t>
      </w:r>
      <w:proofErr w:type="gramEnd"/>
      <w:r>
        <w:rPr>
          <w:rFonts w:ascii="Times New Roman" w:eastAsia="Times New Roman" w:hAnsi="Times New Roman" w:cs="Times New Roman"/>
          <w:color w:val="434343"/>
        </w:rPr>
        <w:t xml:space="preserve"> informed this coalition that the DGD it is made up of 5 people, 3 of them being technical experts, who cover the whole country. The Department does not have a budget. </w:t>
      </w:r>
    </w:p>
    <w:p w:rsidR="009574BD" w:rsidRDefault="00000000">
      <w:pPr>
        <w:widowControl w:val="0"/>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It also reported that in June 8, 2023, the total number of people in prison is 14,964 plus 48 children, of whom 13,891 are men, including 10 transgender men and 325 migrants, 1073 are women, including 16 pregnant women, 22 transgender women and 326 migrants.</w:t>
      </w:r>
    </w:p>
    <w:p w:rsidR="009574BD" w:rsidRDefault="00000000">
      <w:pPr>
        <w:widowControl w:val="0"/>
        <w:spacing w:after="120" w:line="276" w:lineRule="auto"/>
        <w:jc w:val="both"/>
        <w:rPr>
          <w:rFonts w:ascii="Times New Roman" w:eastAsia="Times New Roman" w:hAnsi="Times New Roman" w:cs="Times New Roman"/>
          <w:vertAlign w:val="superscript"/>
        </w:rPr>
      </w:pPr>
      <w:r>
        <w:rPr>
          <w:rFonts w:ascii="Times New Roman" w:eastAsia="Times New Roman" w:hAnsi="Times New Roman" w:cs="Times New Roman"/>
        </w:rPr>
        <w:t>The prison population</w:t>
      </w:r>
      <w:r>
        <w:rPr>
          <w:rFonts w:ascii="Times New Roman" w:eastAsia="Times New Roman" w:hAnsi="Times New Roman" w:cs="Times New Roman"/>
          <w:i/>
        </w:rPr>
        <w:t xml:space="preserve"> </w:t>
      </w:r>
      <w:r>
        <w:rPr>
          <w:rFonts w:ascii="Times New Roman" w:eastAsia="Times New Roman" w:hAnsi="Times New Roman" w:cs="Times New Roman"/>
        </w:rPr>
        <w:t>in Uruguay has tripled in highly differential gender terms, according to these data.</w:t>
      </w:r>
      <w:r>
        <w:rPr>
          <w:rFonts w:ascii="Times New Roman" w:eastAsia="Times New Roman" w:hAnsi="Times New Roman" w:cs="Times New Roman"/>
          <w:vertAlign w:val="superscript"/>
        </w:rPr>
        <w:footnoteReference w:id="57"/>
      </w:r>
      <w:r>
        <w:rPr>
          <w:rFonts w:ascii="Times New Roman" w:eastAsia="Times New Roman" w:hAnsi="Times New Roman" w:cs="Times New Roman"/>
          <w:i/>
        </w:rPr>
        <w:t xml:space="preserve"> </w:t>
      </w:r>
      <w:r>
        <w:rPr>
          <w:rFonts w:ascii="Times New Roman" w:eastAsia="Times New Roman" w:hAnsi="Times New Roman" w:cs="Times New Roman"/>
        </w:rPr>
        <w:t xml:space="preserve"> </w:t>
      </w:r>
      <w:r>
        <w:rPr>
          <w:rFonts w:ascii="Times New Roman" w:eastAsia="Times New Roman" w:hAnsi="Times New Roman" w:cs="Times New Roman"/>
          <w:vertAlign w:val="superscript"/>
        </w:rPr>
        <w:t xml:space="preserve"> </w:t>
      </w:r>
    </w:p>
    <w:p w:rsidR="009574BD" w:rsidRDefault="00000000">
      <w:pPr>
        <w:spacing w:after="120" w:line="276" w:lineRule="auto"/>
        <w:jc w:val="both"/>
        <w:rPr>
          <w:rFonts w:ascii="Times New Roman" w:eastAsia="Times New Roman" w:hAnsi="Times New Roman" w:cs="Times New Roman"/>
          <w:i/>
        </w:rPr>
      </w:pPr>
      <w:r>
        <w:rPr>
          <w:rFonts w:ascii="Times New Roman" w:eastAsia="Times New Roman" w:hAnsi="Times New Roman" w:cs="Times New Roman"/>
        </w:rPr>
        <w:t>Of the 1,073 female prisoners in the system, more than 90% are mothers. 41 children under the age of four live with their mothers in prison, and more than 1,280 children and adolescents have a mother deprived of liberty.</w:t>
      </w:r>
      <w:r>
        <w:rPr>
          <w:rFonts w:ascii="Times New Roman" w:eastAsia="Times New Roman" w:hAnsi="Times New Roman" w:cs="Times New Roman"/>
          <w:i/>
        </w:rPr>
        <w:t xml:space="preserve"> </w:t>
      </w:r>
      <w:r>
        <w:rPr>
          <w:rFonts w:ascii="Times New Roman" w:eastAsia="Times New Roman" w:hAnsi="Times New Roman" w:cs="Times New Roman"/>
        </w:rPr>
        <w:t>50% of female prisoners are first-time offenders, 95% are poor, and more than half are convicted for micro-trafficking</w:t>
      </w:r>
      <w:r>
        <w:rPr>
          <w:rFonts w:ascii="Times New Roman" w:eastAsia="Times New Roman" w:hAnsi="Times New Roman" w:cs="Times New Roman"/>
          <w:vertAlign w:val="superscript"/>
        </w:rPr>
        <w:footnoteReference w:id="58"/>
      </w:r>
      <w:r>
        <w:rPr>
          <w:rFonts w:ascii="Times New Roman" w:eastAsia="Times New Roman" w:hAnsi="Times New Roman" w:cs="Times New Roman"/>
        </w:rPr>
        <w:t xml:space="preserve">. </w:t>
      </w:r>
      <w:r>
        <w:rPr>
          <w:rFonts w:ascii="Times New Roman" w:eastAsia="Times New Roman" w:hAnsi="Times New Roman" w:cs="Times New Roman"/>
          <w:i/>
          <w:vertAlign w:val="superscript"/>
        </w:rPr>
        <w:footnoteReference w:id="59"/>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As of April 2022, the average density for male prisoners is 128 inmates for every 100 accommodations, compared to an average of 158 female prisoners for every 100 accommodations, to the detriment of women in a system with serious weaknesses in its rehabilitation programs.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Unit 5, "Centro </w:t>
      </w:r>
      <w:proofErr w:type="spellStart"/>
      <w:r>
        <w:rPr>
          <w:rFonts w:ascii="Times New Roman" w:eastAsia="Times New Roman" w:hAnsi="Times New Roman" w:cs="Times New Roman"/>
        </w:rPr>
        <w:t>Metropolitano</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Femenino</w:t>
      </w:r>
      <w:proofErr w:type="spellEnd"/>
      <w:r>
        <w:rPr>
          <w:rFonts w:ascii="Times New Roman" w:eastAsia="Times New Roman" w:hAnsi="Times New Roman" w:cs="Times New Roman"/>
        </w:rPr>
        <w:t xml:space="preserve">" (Women's Metropolitan Center) has a critical overcrowding rate of 165% with 750 inmates. As well, the deterioration of the building determines unacceptable conditions of coexistence in many of its sectors.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There is no gynecological staff or mental health services, which is not the case for male facilities.</w:t>
      </w:r>
      <w:r>
        <w:rPr>
          <w:rFonts w:ascii="Times New Roman" w:eastAsia="Times New Roman" w:hAnsi="Times New Roman" w:cs="Times New Roman"/>
          <w:vertAlign w:val="superscript"/>
        </w:rPr>
        <w:footnoteReference w:id="60"/>
      </w:r>
      <w:r>
        <w:rPr>
          <w:rFonts w:ascii="Times New Roman" w:eastAsia="Times New Roman" w:hAnsi="Times New Roman" w:cs="Times New Roman"/>
        </w:rPr>
        <w:t xml:space="preserve"> This Unit houses young women with mental health problems that are impossible to handle and treat in a prison due to inadequate facilities and a lack of specialized personnel.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lastRenderedPageBreak/>
        <w:t>Recently, the Parliamentary Commissioner for the Prison System denounced</w:t>
      </w:r>
      <w:r>
        <w:rPr>
          <w:rFonts w:ascii="Times New Roman" w:eastAsia="Times New Roman" w:hAnsi="Times New Roman" w:cs="Times New Roman"/>
          <w:vertAlign w:val="superscript"/>
        </w:rPr>
        <w:footnoteReference w:id="61"/>
      </w:r>
      <w:r>
        <w:rPr>
          <w:rFonts w:ascii="Times New Roman" w:eastAsia="Times New Roman" w:hAnsi="Times New Roman" w:cs="Times New Roman"/>
        </w:rPr>
        <w:t xml:space="preserve"> that the State Health Services Administration (ASSE) does not allow the Comprehensive Care Service for Persons Deprived of Liberty (SAIPPL) to consult the medical records of inmates, despite having patients' authorization.</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In this context, a 31-year-old woman held in preventive detention in Unit 5 died in August 2022, which provoked a strong claim from other inmates who denounced a failure to medical assistance and demanded more health care, including mental health services. </w:t>
      </w:r>
    </w:p>
    <w:p w:rsidR="009574BD" w:rsidRDefault="00000000">
      <w:pPr>
        <w:widowControl w:val="0"/>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The main cause of the exponential increase of female imprisonment is related to micro drug dealing: 74% of new female convictions are linked to this crime, which led to a 26% increase in the population of women deprived of liberty in the last year. </w:t>
      </w:r>
    </w:p>
    <w:p w:rsidR="009574BD" w:rsidRDefault="00000000">
      <w:pPr>
        <w:widowControl w:val="0"/>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This type of convictions increased because Law 19889 of Urgent Consideration (2020) established penalties of 4 to 15 years for crimes of micro-trafficking, banning early releases in cases of introduction of minimum amounts of drugs to prisons. This disproportionately impacted women, mostly young mothers with children, who get involved in micro-trafficking either as a survival strategy or because they are forced to do it. </w:t>
      </w:r>
    </w:p>
    <w:p w:rsidR="009574BD" w:rsidRDefault="00000000">
      <w:pPr>
        <w:widowControl w:val="0"/>
        <w:spacing w:after="120" w:line="276" w:lineRule="auto"/>
        <w:jc w:val="both"/>
        <w:rPr>
          <w:rFonts w:ascii="Times New Roman" w:eastAsia="Times New Roman" w:hAnsi="Times New Roman" w:cs="Times New Roman"/>
        </w:rPr>
      </w:pPr>
      <w:r>
        <w:rPr>
          <w:rFonts w:ascii="Times New Roman" w:eastAsia="Times New Roman" w:hAnsi="Times New Roman" w:cs="Times New Roman"/>
        </w:rPr>
        <w:t>The lives of these women are marked by violence and multiple vulnerabilities from childhood. Law 19889 also penalizes cases where drugs are sold at a home, which also had a major impact on women who do this as a way of supporting their families in vulnerable contexts.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Regarding Afro-descendant women, when reporting to the CERD Committee in August 2023, the Uruguayan State admitted that the data on the Afro-descendant population deprived of liberty is not systematized, even though the prison registration system records the variable. </w:t>
      </w:r>
    </w:p>
    <w:tbl>
      <w:tblPr>
        <w:tblStyle w:val="afb"/>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9574BD">
        <w:tc>
          <w:tcPr>
            <w:tcW w:w="8838" w:type="dxa"/>
            <w:shd w:val="clear" w:color="auto" w:fill="auto"/>
            <w:tcMar>
              <w:top w:w="100" w:type="dxa"/>
              <w:left w:w="100" w:type="dxa"/>
              <w:bottom w:w="100" w:type="dxa"/>
              <w:right w:w="100" w:type="dxa"/>
            </w:tcMar>
          </w:tcPr>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RECOMMENDATIONS:</w:t>
            </w:r>
            <w:r>
              <w:rPr>
                <w:rFonts w:ascii="Times New Roman" w:eastAsia="Times New Roman" w:hAnsi="Times New Roman" w:cs="Times New Roman"/>
              </w:rPr>
              <w:t xml:space="preserve">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1.</w:t>
            </w:r>
            <w:r>
              <w:rPr>
                <w:rFonts w:ascii="Times New Roman" w:eastAsia="Times New Roman" w:hAnsi="Times New Roman" w:cs="Times New Roman"/>
              </w:rPr>
              <w:t xml:space="preserve"> That Parliament urgently finds a legislative solution that allows the early release of women imprisoned for micro-trafficking when the crime is not serious.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2. </w:t>
            </w:r>
            <w:r>
              <w:rPr>
                <w:rFonts w:ascii="Times New Roman" w:eastAsia="Times New Roman" w:hAnsi="Times New Roman" w:cs="Times New Roman"/>
              </w:rPr>
              <w:t>That the State guarantees effective and timely manner access to health care for women, without discrimination.</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3.</w:t>
            </w:r>
            <w:r>
              <w:rPr>
                <w:rFonts w:ascii="Times New Roman" w:eastAsia="Times New Roman" w:hAnsi="Times New Roman" w:cs="Times New Roman"/>
              </w:rPr>
              <w:t xml:space="preserve"> That the State invests in suitable prison buildings with dignified conditions, in accordance with international human rights standards, taking into account the specificities of women, and reporting on its progress within a period of three years.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4.</w:t>
            </w:r>
            <w:r>
              <w:rPr>
                <w:rFonts w:ascii="Times New Roman" w:eastAsia="Times New Roman" w:hAnsi="Times New Roman" w:cs="Times New Roman"/>
              </w:rPr>
              <w:t xml:space="preserve"> That the State implements comprehensive solutions for women who are in prison with their children.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lastRenderedPageBreak/>
              <w:t xml:space="preserve"> 5. </w:t>
            </w:r>
            <w:r>
              <w:rPr>
                <w:rFonts w:ascii="Times New Roman" w:eastAsia="Times New Roman" w:hAnsi="Times New Roman" w:cs="Times New Roman"/>
              </w:rPr>
              <w:t xml:space="preserve"> That the State implements employment and housing support alternatives after release from prisons, especially through counseling for women at risk of suffering gender-based violence.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 6. </w:t>
            </w:r>
            <w:r>
              <w:rPr>
                <w:rFonts w:ascii="Times New Roman" w:eastAsia="Times New Roman" w:hAnsi="Times New Roman" w:cs="Times New Roman"/>
              </w:rPr>
              <w:t>That the Department of Gender and Diversity of the INR be endowed within a period of one year, with human and material resources from the public budget.</w:t>
            </w:r>
          </w:p>
        </w:tc>
      </w:tr>
    </w:tbl>
    <w:p w:rsidR="009574BD" w:rsidRDefault="009574BD">
      <w:pPr>
        <w:spacing w:after="120" w:line="276" w:lineRule="auto"/>
        <w:jc w:val="both"/>
        <w:rPr>
          <w:rFonts w:ascii="Times New Roman" w:eastAsia="Times New Roman" w:hAnsi="Times New Roman" w:cs="Times New Roman"/>
        </w:rPr>
      </w:pPr>
    </w:p>
    <w:p w:rsidR="009574BD" w:rsidRDefault="00000000">
      <w:pPr>
        <w:spacing w:after="120" w:line="276" w:lineRule="auto"/>
        <w:jc w:val="both"/>
        <w:rPr>
          <w:rFonts w:ascii="Times New Roman" w:eastAsia="Times New Roman" w:hAnsi="Times New Roman" w:cs="Times New Roman"/>
          <w:i/>
        </w:rPr>
      </w:pPr>
      <w:r>
        <w:rPr>
          <w:rFonts w:ascii="Times New Roman" w:eastAsia="Times New Roman" w:hAnsi="Times New Roman" w:cs="Times New Roman"/>
          <w:b/>
        </w:rPr>
        <w:t xml:space="preserve">XIII. Employment and Social Security </w:t>
      </w:r>
      <w:r>
        <w:rPr>
          <w:rFonts w:ascii="Times New Roman" w:eastAsia="Times New Roman" w:hAnsi="Times New Roman" w:cs="Times New Roman"/>
          <w:i/>
        </w:rPr>
        <w:t>(CEDAW/C/URY/QPR/10 Para 18 and 19)</w:t>
      </w:r>
      <w:r>
        <w:rPr>
          <w:rFonts w:ascii="Times New Roman" w:eastAsia="Times New Roman" w:hAnsi="Times New Roman" w:cs="Times New Roman"/>
        </w:rPr>
        <w:t xml:space="preserve"> </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The setbacks indicated above in Section II derived from insufficient measures during the pandemic and the water crisis, female poverty figures (especially heads of household and women with children that were exposed by employment informality), and the structural gaps in education faced by Afro-descendant, trans and disabled women; prevent women from accessing quality jobs. </w:t>
      </w:r>
    </w:p>
    <w:p w:rsidR="009574BD" w:rsidRDefault="009574BD">
      <w:pPr>
        <w:spacing w:after="120" w:line="276" w:lineRule="auto"/>
        <w:jc w:val="both"/>
        <w:rPr>
          <w:rFonts w:ascii="Times New Roman" w:eastAsia="Times New Roman" w:hAnsi="Times New Roman" w:cs="Times New Roman"/>
          <w:b/>
        </w:rPr>
      </w:pPr>
    </w:p>
    <w:tbl>
      <w:tblPr>
        <w:tblStyle w:val="afc"/>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9574BD">
        <w:tc>
          <w:tcPr>
            <w:tcW w:w="8838" w:type="dxa"/>
            <w:shd w:val="clear" w:color="auto" w:fill="auto"/>
            <w:tcMar>
              <w:top w:w="100" w:type="dxa"/>
              <w:left w:w="100" w:type="dxa"/>
              <w:bottom w:w="100" w:type="dxa"/>
              <w:right w:w="100" w:type="dxa"/>
            </w:tcMar>
          </w:tcPr>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RECOMMENDATIONS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1. </w:t>
            </w:r>
            <w:r>
              <w:rPr>
                <w:rFonts w:ascii="Times New Roman" w:eastAsia="Times New Roman" w:hAnsi="Times New Roman" w:cs="Times New Roman"/>
              </w:rPr>
              <w:t>That the State implements public policies with a gender perspective with public budget resources to close inequality gaps.</w:t>
            </w:r>
          </w:p>
          <w:p w:rsidR="009574BD"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2. </w:t>
            </w:r>
            <w:r>
              <w:rPr>
                <w:rFonts w:ascii="Times New Roman" w:eastAsia="Times New Roman" w:hAnsi="Times New Roman" w:cs="Times New Roman"/>
              </w:rPr>
              <w:t>That the State strengthens the control systems for the registration of female workers in social security.</w:t>
            </w:r>
          </w:p>
          <w:p w:rsidR="009574BD"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 xml:space="preserve">3. </w:t>
            </w:r>
            <w:r>
              <w:rPr>
                <w:rFonts w:ascii="Times New Roman" w:eastAsia="Times New Roman" w:hAnsi="Times New Roman" w:cs="Times New Roman"/>
              </w:rPr>
              <w:t>That the State strengthens the National Care System, creating public care spaces for children.</w:t>
            </w:r>
          </w:p>
        </w:tc>
      </w:tr>
    </w:tbl>
    <w:p w:rsidR="009574BD" w:rsidRDefault="009574BD">
      <w:pPr>
        <w:spacing w:after="120" w:line="276" w:lineRule="auto"/>
        <w:jc w:val="both"/>
        <w:rPr>
          <w:rFonts w:ascii="Times New Roman" w:eastAsia="Times New Roman" w:hAnsi="Times New Roman" w:cs="Times New Roman"/>
          <w:b/>
        </w:rPr>
      </w:pPr>
    </w:p>
    <w:sectPr w:rsidR="009574BD">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1C7E" w:rsidRDefault="008B1C7E">
      <w:r>
        <w:separator/>
      </w:r>
    </w:p>
  </w:endnote>
  <w:endnote w:type="continuationSeparator" w:id="0">
    <w:p w:rsidR="008B1C7E" w:rsidRDefault="008B1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1C7E" w:rsidRDefault="008B1C7E">
      <w:r>
        <w:separator/>
      </w:r>
    </w:p>
  </w:footnote>
  <w:footnote w:type="continuationSeparator" w:id="0">
    <w:p w:rsidR="008B1C7E" w:rsidRDefault="008B1C7E">
      <w:r>
        <w:continuationSeparator/>
      </w:r>
    </w:p>
  </w:footnote>
  <w:footnote w:id="1">
    <w:p w:rsidR="009574BD" w:rsidRPr="00073776" w:rsidRDefault="00000000">
      <w:pPr>
        <w:rPr>
          <w:rFonts w:ascii="Times New Roman" w:eastAsia="Times New Roman" w:hAnsi="Times New Roman" w:cs="Times New Roman"/>
          <w:sz w:val="18"/>
          <w:szCs w:val="18"/>
          <w:lang w:val="es-UY"/>
        </w:rPr>
      </w:pPr>
      <w:r>
        <w:rPr>
          <w:vertAlign w:val="superscript"/>
        </w:rPr>
        <w:footnoteRef/>
      </w:r>
      <w:r>
        <w:rPr>
          <w:rFonts w:ascii="Times New Roman" w:eastAsia="Times New Roman" w:hAnsi="Times New Roman" w:cs="Times New Roman"/>
          <w:sz w:val="18"/>
          <w:szCs w:val="18"/>
        </w:rPr>
        <w:t xml:space="preserve">The coalition is formed by the CLADEM Uruguay (Latin American and Caribbean Committee for the Defense of Women's Rights Uruguay), </w:t>
      </w:r>
      <w:proofErr w:type="spellStart"/>
      <w:r>
        <w:rPr>
          <w:rFonts w:ascii="Times New Roman" w:eastAsia="Times New Roman" w:hAnsi="Times New Roman" w:cs="Times New Roman"/>
          <w:sz w:val="18"/>
          <w:szCs w:val="18"/>
        </w:rPr>
        <w:t>ColectivaMujeres</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Iniciativas</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Sanitarias</w:t>
      </w:r>
      <w:proofErr w:type="spellEnd"/>
      <w:r>
        <w:rPr>
          <w:rFonts w:ascii="Times New Roman" w:eastAsia="Times New Roman" w:hAnsi="Times New Roman" w:cs="Times New Roman"/>
          <w:sz w:val="18"/>
          <w:szCs w:val="18"/>
        </w:rPr>
        <w:t xml:space="preserve"> (Health Initiatives), and the Uruguayan chapter of the Instituto Afrodescendiente para </w:t>
      </w:r>
      <w:proofErr w:type="spellStart"/>
      <w:r>
        <w:rPr>
          <w:rFonts w:ascii="Times New Roman" w:eastAsia="Times New Roman" w:hAnsi="Times New Roman" w:cs="Times New Roman"/>
          <w:sz w:val="18"/>
          <w:szCs w:val="18"/>
        </w:rPr>
        <w:t>el</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Estudio</w:t>
      </w:r>
      <w:proofErr w:type="spellEnd"/>
      <w:r>
        <w:rPr>
          <w:rFonts w:ascii="Times New Roman" w:eastAsia="Times New Roman" w:hAnsi="Times New Roman" w:cs="Times New Roman"/>
          <w:sz w:val="18"/>
          <w:szCs w:val="18"/>
        </w:rPr>
        <w:t xml:space="preserve">, la </w:t>
      </w:r>
      <w:proofErr w:type="spellStart"/>
      <w:r>
        <w:rPr>
          <w:rFonts w:ascii="Times New Roman" w:eastAsia="Times New Roman" w:hAnsi="Times New Roman" w:cs="Times New Roman"/>
          <w:sz w:val="18"/>
          <w:szCs w:val="18"/>
        </w:rPr>
        <w:t>Investigación</w:t>
      </w:r>
      <w:proofErr w:type="spellEnd"/>
      <w:r>
        <w:rPr>
          <w:rFonts w:ascii="Times New Roman" w:eastAsia="Times New Roman" w:hAnsi="Times New Roman" w:cs="Times New Roman"/>
          <w:sz w:val="18"/>
          <w:szCs w:val="18"/>
        </w:rPr>
        <w:t xml:space="preserve"> y </w:t>
      </w:r>
      <w:proofErr w:type="spellStart"/>
      <w:r>
        <w:rPr>
          <w:rFonts w:ascii="Times New Roman" w:eastAsia="Times New Roman" w:hAnsi="Times New Roman" w:cs="Times New Roman"/>
          <w:sz w:val="18"/>
          <w:szCs w:val="18"/>
        </w:rPr>
        <w:t>el</w:t>
      </w:r>
      <w:proofErr w:type="spellEnd"/>
      <w:r>
        <w:rPr>
          <w:rFonts w:ascii="Times New Roman" w:eastAsia="Times New Roman" w:hAnsi="Times New Roman" w:cs="Times New Roman"/>
          <w:sz w:val="18"/>
          <w:szCs w:val="18"/>
        </w:rPr>
        <w:t xml:space="preserve"> Desarrollo (Afro-descendant Institute for Study, Research and Development). </w:t>
      </w:r>
      <w:r w:rsidRPr="00073776">
        <w:rPr>
          <w:rFonts w:ascii="Times New Roman" w:eastAsia="Times New Roman" w:hAnsi="Times New Roman" w:cs="Times New Roman"/>
          <w:sz w:val="18"/>
          <w:szCs w:val="18"/>
          <w:lang w:val="es-UY"/>
        </w:rPr>
        <w:t>Authors: Cecilia Anández, Estela De Armas, Ana Lima, Lourdes Martínez, Lucia Van Velthoven, and Mauricio Coitiño.</w:t>
      </w:r>
    </w:p>
    <w:p w:rsidR="009574BD" w:rsidRPr="00073776" w:rsidRDefault="009574BD">
      <w:pPr>
        <w:rPr>
          <w:sz w:val="20"/>
          <w:szCs w:val="20"/>
          <w:lang w:val="es-UY"/>
        </w:rPr>
      </w:pPr>
    </w:p>
  </w:footnote>
  <w:footnote w:id="2">
    <w:p w:rsidR="009574BD" w:rsidRPr="00073776" w:rsidRDefault="00000000">
      <w:pPr>
        <w:rPr>
          <w:rFonts w:ascii="Times New Roman" w:eastAsia="Times New Roman" w:hAnsi="Times New Roman" w:cs="Times New Roman"/>
          <w:sz w:val="18"/>
          <w:szCs w:val="18"/>
          <w:lang w:val="es-UY"/>
        </w:rPr>
      </w:pPr>
      <w:r>
        <w:rPr>
          <w:vertAlign w:val="superscript"/>
        </w:rPr>
        <w:footnoteRef/>
      </w:r>
      <w:r w:rsidRPr="00073776">
        <w:rPr>
          <w:rFonts w:ascii="Times New Roman" w:eastAsia="Times New Roman" w:hAnsi="Times New Roman" w:cs="Times New Roman"/>
          <w:sz w:val="18"/>
          <w:szCs w:val="18"/>
          <w:lang w:val="es-UY"/>
        </w:rPr>
        <w:t xml:space="preserve"> </w:t>
      </w:r>
      <w:r w:rsidRPr="00073776">
        <w:rPr>
          <w:rFonts w:ascii="Times New Roman" w:eastAsia="Times New Roman" w:hAnsi="Times New Roman" w:cs="Times New Roman"/>
          <w:sz w:val="18"/>
          <w:szCs w:val="18"/>
          <w:lang w:val="es-UY"/>
        </w:rPr>
        <w:t>https://www.impo.com.uy/bases/resoluciones/760-2019/3</w:t>
      </w:r>
    </w:p>
  </w:footnote>
  <w:footnote w:id="3">
    <w:p w:rsidR="009574BD" w:rsidRPr="00073776" w:rsidRDefault="00000000">
      <w:pPr>
        <w:rPr>
          <w:rFonts w:ascii="Times New Roman" w:eastAsia="Times New Roman" w:hAnsi="Times New Roman" w:cs="Times New Roman"/>
          <w:sz w:val="18"/>
          <w:szCs w:val="18"/>
          <w:vertAlign w:val="superscript"/>
          <w:lang w:val="es-UY"/>
        </w:rPr>
      </w:pPr>
      <w:r>
        <w:rPr>
          <w:vertAlign w:val="superscript"/>
        </w:rPr>
        <w:footnoteRef/>
      </w:r>
      <w:r w:rsidRPr="00073776">
        <w:rPr>
          <w:rFonts w:ascii="Times New Roman" w:eastAsia="Times New Roman" w:hAnsi="Times New Roman" w:cs="Times New Roman"/>
          <w:sz w:val="18"/>
          <w:szCs w:val="18"/>
          <w:vertAlign w:val="superscript"/>
          <w:lang w:val="es-UY"/>
        </w:rPr>
        <w:t xml:space="preserve"> </w:t>
      </w:r>
      <w:r w:rsidRPr="00073776">
        <w:rPr>
          <w:rFonts w:ascii="Times New Roman" w:eastAsia="Times New Roman" w:hAnsi="Times New Roman" w:cs="Times New Roman"/>
          <w:sz w:val="18"/>
          <w:szCs w:val="18"/>
          <w:lang w:val="es-UY"/>
        </w:rPr>
        <w:t xml:space="preserve"> </w:t>
      </w:r>
      <w:r w:rsidRPr="00073776">
        <w:rPr>
          <w:rFonts w:ascii="Times New Roman" w:eastAsia="Times New Roman" w:hAnsi="Times New Roman" w:cs="Times New Roman"/>
          <w:sz w:val="18"/>
          <w:szCs w:val="18"/>
          <w:lang w:val="es-UY"/>
        </w:rPr>
        <w:t>https://www.impo.com.uy/bases/leyes/19889-2020</w:t>
      </w:r>
    </w:p>
  </w:footnote>
  <w:footnote w:id="4">
    <w:p w:rsidR="009574BD" w:rsidRPr="00073776" w:rsidRDefault="00000000">
      <w:pPr>
        <w:rPr>
          <w:rFonts w:ascii="Times New Roman" w:eastAsia="Times New Roman" w:hAnsi="Times New Roman" w:cs="Times New Roman"/>
          <w:sz w:val="18"/>
          <w:szCs w:val="18"/>
          <w:vertAlign w:val="superscript"/>
          <w:lang w:val="es-UY"/>
        </w:rPr>
      </w:pPr>
      <w:r>
        <w:rPr>
          <w:vertAlign w:val="superscript"/>
        </w:rPr>
        <w:footnoteRef/>
      </w:r>
      <w:r w:rsidRPr="00073776">
        <w:rPr>
          <w:rFonts w:ascii="Times New Roman" w:eastAsia="Times New Roman" w:hAnsi="Times New Roman" w:cs="Times New Roman"/>
          <w:sz w:val="18"/>
          <w:szCs w:val="18"/>
          <w:vertAlign w:val="superscript"/>
          <w:lang w:val="es-UY"/>
        </w:rPr>
        <w:t xml:space="preserve">  </w:t>
      </w:r>
      <w:hyperlink r:id="rId1">
        <w:r w:rsidRPr="00073776">
          <w:rPr>
            <w:rFonts w:ascii="Times New Roman" w:eastAsia="Times New Roman" w:hAnsi="Times New Roman" w:cs="Times New Roman"/>
            <w:color w:val="0000FF"/>
            <w:sz w:val="18"/>
            <w:szCs w:val="18"/>
            <w:u w:val="single"/>
            <w:lang w:val="es-UY"/>
          </w:rPr>
          <w:t>https://www.cepal.org/es/temas/covid-19</w:t>
        </w:r>
      </w:hyperlink>
      <w:r w:rsidRPr="00073776">
        <w:rPr>
          <w:rFonts w:ascii="Times New Roman" w:eastAsia="Times New Roman" w:hAnsi="Times New Roman" w:cs="Times New Roman"/>
          <w:color w:val="FF0000"/>
          <w:sz w:val="18"/>
          <w:szCs w:val="18"/>
          <w:lang w:val="es-UY"/>
        </w:rPr>
        <w:t xml:space="preserve"> </w:t>
      </w:r>
      <w:r w:rsidRPr="00073776">
        <w:rPr>
          <w:rFonts w:ascii="Times New Roman" w:eastAsia="Times New Roman" w:hAnsi="Times New Roman" w:cs="Times New Roman"/>
          <w:sz w:val="18"/>
          <w:szCs w:val="18"/>
          <w:lang w:val="es-UY"/>
        </w:rPr>
        <w:t>Panorama Social de América Latina 2020</w:t>
      </w:r>
    </w:p>
  </w:footnote>
  <w:footnote w:id="5">
    <w:p w:rsidR="009574BD" w:rsidRDefault="00000000">
      <w:pPr>
        <w:spacing w:line="276" w:lineRule="auto"/>
        <w:rPr>
          <w:sz w:val="20"/>
          <w:szCs w:val="20"/>
          <w:vertAlign w:val="superscript"/>
        </w:rPr>
      </w:pPr>
      <w:r>
        <w:rPr>
          <w:vertAlign w:val="superscript"/>
        </w:rPr>
        <w:footnoteRef/>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Red zone according to the Harvard Index</w:t>
      </w:r>
      <w:hyperlink r:id="rId2">
        <w:r>
          <w:rPr>
            <w:rFonts w:ascii="Times New Roman" w:eastAsia="Times New Roman" w:hAnsi="Times New Roman" w:cs="Times New Roman"/>
            <w:sz w:val="18"/>
            <w:szCs w:val="18"/>
          </w:rPr>
          <w:t xml:space="preserve"> </w:t>
        </w:r>
      </w:hyperlink>
      <w:hyperlink r:id="rId3">
        <w:r>
          <w:rPr>
            <w:rFonts w:ascii="Times New Roman" w:eastAsia="Times New Roman" w:hAnsi="Times New Roman" w:cs="Times New Roman"/>
            <w:color w:val="1155CC"/>
            <w:sz w:val="18"/>
            <w:szCs w:val="18"/>
            <w:u w:val="single"/>
          </w:rPr>
          <w:t>https://guiad-covid.github.io/estadisticasuy.html</w:t>
        </w:r>
      </w:hyperlink>
    </w:p>
  </w:footnote>
  <w:footnote w:id="6">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4">
        <w:r>
          <w:rPr>
            <w:rFonts w:ascii="Times New Roman" w:eastAsia="Times New Roman" w:hAnsi="Times New Roman" w:cs="Times New Roman"/>
            <w:color w:val="1155CC"/>
            <w:sz w:val="18"/>
            <w:szCs w:val="18"/>
            <w:u w:val="single"/>
          </w:rPr>
          <w:t>https://www.gub.uy/institucion-nacional-derechos-humanos-uruguay/comunicacion/noticias/culmino-ciclo-dialogos-inddhh-derechos-humanos-tiempos-pandemia</w:t>
        </w:r>
      </w:hyperlink>
    </w:p>
  </w:footnote>
  <w:footnote w:id="7">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5">
        <w:r>
          <w:rPr>
            <w:rFonts w:ascii="Times New Roman" w:eastAsia="Times New Roman" w:hAnsi="Times New Roman" w:cs="Times New Roman"/>
            <w:color w:val="1155CC"/>
            <w:sz w:val="18"/>
            <w:szCs w:val="18"/>
            <w:u w:val="single"/>
          </w:rPr>
          <w:t>https://www.smu.org.uy/wpsmu/wp-content/uploads/2020/03/Declaracion-de-Sumefac-en-la-pandemia-Covid.19.pdf</w:t>
        </w:r>
      </w:hyperlink>
    </w:p>
  </w:footnote>
  <w:footnote w:id="8">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6">
        <w:r>
          <w:rPr>
            <w:rFonts w:ascii="Times New Roman" w:eastAsia="Times New Roman" w:hAnsi="Times New Roman" w:cs="Times New Roman"/>
            <w:color w:val="1155CC"/>
            <w:sz w:val="18"/>
            <w:szCs w:val="18"/>
            <w:u w:val="single"/>
          </w:rPr>
          <w:t>https://ladiaria.com.uy/politica/articulo/2020/4/cese-de-funcionarios-del-msp-en-plena-emergencia-sanitaria-genera-malestar/</w:t>
        </w:r>
      </w:hyperlink>
    </w:p>
  </w:footnote>
  <w:footnote w:id="9">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Soup kitchens ran by the neighbors and financed by donations.</w:t>
      </w:r>
    </w:p>
  </w:footnote>
  <w:footnote w:id="10">
    <w:p w:rsidR="009574BD" w:rsidRDefault="00000000">
      <w:pPr>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 </w:t>
      </w:r>
      <w:hyperlink r:id="rId7">
        <w:r>
          <w:rPr>
            <w:rFonts w:ascii="Times New Roman" w:eastAsia="Times New Roman" w:hAnsi="Times New Roman" w:cs="Times New Roman"/>
            <w:color w:val="1155CC"/>
            <w:sz w:val="20"/>
            <w:szCs w:val="20"/>
            <w:u w:val="single"/>
          </w:rPr>
          <w:t>https://parlamento.gub.uy/noticiasyeventos/noticias/parlamento/680450</w:t>
        </w:r>
      </w:hyperlink>
    </w:p>
    <w:p w:rsidR="009574BD" w:rsidRDefault="009574BD">
      <w:pPr>
        <w:rPr>
          <w:rFonts w:ascii="Times New Roman" w:eastAsia="Times New Roman" w:hAnsi="Times New Roman" w:cs="Times New Roman"/>
          <w:sz w:val="20"/>
          <w:szCs w:val="20"/>
        </w:rPr>
      </w:pPr>
    </w:p>
    <w:p w:rsidR="009574BD" w:rsidRDefault="009574BD">
      <w:pPr>
        <w:rPr>
          <w:sz w:val="20"/>
          <w:szCs w:val="20"/>
        </w:rPr>
      </w:pPr>
    </w:p>
  </w:footnote>
  <w:footnote w:id="11">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w:t>
      </w:r>
      <w:hyperlink r:id="rId8">
        <w:r>
          <w:rPr>
            <w:rFonts w:ascii="Times New Roman" w:eastAsia="Times New Roman" w:hAnsi="Times New Roman" w:cs="Times New Roman"/>
            <w:color w:val="1155CC"/>
            <w:sz w:val="18"/>
            <w:szCs w:val="18"/>
            <w:u w:val="single"/>
          </w:rPr>
          <w:t>https://www.ohchr.org/es/press-releases/2023/07/un-experts-urge-uruguay-prioritise-water-use-human-consumption</w:t>
        </w:r>
      </w:hyperlink>
    </w:p>
  </w:footnote>
  <w:footnote w:id="12">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9">
        <w:r>
          <w:rPr>
            <w:rFonts w:ascii="Times New Roman" w:eastAsia="Times New Roman" w:hAnsi="Times New Roman" w:cs="Times New Roman"/>
            <w:color w:val="1155CC"/>
            <w:sz w:val="18"/>
            <w:szCs w:val="18"/>
            <w:u w:val="single"/>
          </w:rPr>
          <w:t>https://www.equalmeasures2030.org/wp-content/uploads/2023/06/Country_Profile_Uruguay.pdf</w:t>
        </w:r>
      </w:hyperlink>
    </w:p>
  </w:footnote>
  <w:footnote w:id="13">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10">
        <w:r>
          <w:rPr>
            <w:rFonts w:ascii="Times New Roman" w:eastAsia="Times New Roman" w:hAnsi="Times New Roman" w:cs="Times New Roman"/>
            <w:color w:val="1155CC"/>
            <w:sz w:val="18"/>
            <w:szCs w:val="18"/>
            <w:u w:val="single"/>
          </w:rPr>
          <w:t>https://www.impo.com.uy/bases/leyes/19580-2017</w:t>
        </w:r>
      </w:hyperlink>
    </w:p>
  </w:footnote>
  <w:footnote w:id="14">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11">
        <w:r>
          <w:rPr>
            <w:rFonts w:ascii="Times New Roman" w:eastAsia="Times New Roman" w:hAnsi="Times New Roman" w:cs="Times New Roman"/>
            <w:color w:val="1155CC"/>
            <w:sz w:val="18"/>
            <w:szCs w:val="18"/>
            <w:u w:val="single"/>
          </w:rPr>
          <w:t>https://www.gub.uy/ministerio-desarrollo-social/sites/ministerio-desarrollo-social/files/documentos/publicaciones/Segunda%20encuesta%C2%A0naciona.pdf</w:t>
        </w:r>
      </w:hyperlink>
    </w:p>
  </w:footnote>
  <w:footnote w:id="15">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262626"/>
          <w:sz w:val="18"/>
          <w:szCs w:val="18"/>
        </w:rPr>
        <w:t>The Association of Public Defenders of Uruguay (</w:t>
      </w:r>
      <w:proofErr w:type="spellStart"/>
      <w:r>
        <w:rPr>
          <w:rFonts w:ascii="Times New Roman" w:eastAsia="Times New Roman" w:hAnsi="Times New Roman" w:cs="Times New Roman"/>
          <w:color w:val="262626"/>
          <w:sz w:val="18"/>
          <w:szCs w:val="18"/>
        </w:rPr>
        <w:t>Adepu</w:t>
      </w:r>
      <w:proofErr w:type="spellEnd"/>
      <w:r>
        <w:rPr>
          <w:rFonts w:ascii="Times New Roman" w:eastAsia="Times New Roman" w:hAnsi="Times New Roman" w:cs="Times New Roman"/>
          <w:color w:val="262626"/>
          <w:sz w:val="18"/>
          <w:szCs w:val="18"/>
        </w:rPr>
        <w:t>)</w:t>
      </w:r>
      <w:r>
        <w:rPr>
          <w:rFonts w:ascii="Times New Roman" w:eastAsia="Times New Roman" w:hAnsi="Times New Roman" w:cs="Times New Roman"/>
          <w:sz w:val="18"/>
          <w:szCs w:val="18"/>
        </w:rPr>
        <w:t xml:space="preserve"> has expressed concern about </w:t>
      </w:r>
      <w:r>
        <w:rPr>
          <w:rFonts w:ascii="Times New Roman" w:eastAsia="Times New Roman" w:hAnsi="Times New Roman" w:cs="Times New Roman"/>
          <w:color w:val="262626"/>
          <w:sz w:val="18"/>
          <w:szCs w:val="18"/>
        </w:rPr>
        <w:t xml:space="preserve">“the serious access barriers to justice faced by women, children and adolescents”. In particular, </w:t>
      </w:r>
      <w:proofErr w:type="spellStart"/>
      <w:r>
        <w:rPr>
          <w:rFonts w:ascii="Times New Roman" w:eastAsia="Times New Roman" w:hAnsi="Times New Roman" w:cs="Times New Roman"/>
          <w:color w:val="262626"/>
          <w:sz w:val="18"/>
          <w:szCs w:val="18"/>
        </w:rPr>
        <w:t>Adepu</w:t>
      </w:r>
      <w:proofErr w:type="spellEnd"/>
      <w:r>
        <w:rPr>
          <w:rFonts w:ascii="Times New Roman" w:eastAsia="Times New Roman" w:hAnsi="Times New Roman" w:cs="Times New Roman"/>
          <w:color w:val="262626"/>
          <w:sz w:val="18"/>
          <w:szCs w:val="18"/>
        </w:rPr>
        <w:t xml:space="preserve"> has denounced “the serious situation of the San Carlos Gender Courts” </w:t>
      </w:r>
      <w:hyperlink r:id="rId12">
        <w:r>
          <w:rPr>
            <w:rFonts w:ascii="Times New Roman" w:eastAsia="Times New Roman" w:hAnsi="Times New Roman" w:cs="Times New Roman"/>
            <w:color w:val="1155CC"/>
            <w:sz w:val="18"/>
            <w:szCs w:val="18"/>
            <w:u w:val="single"/>
          </w:rPr>
          <w:t>https://ladiaria.com.uy/justicia/articulo/2023/3/defensores-publicos-denunciaron-la-grave-situacion-de-los-juzgados-de-genero-de-san-carlos-y-altisima-sobrecarga-laboral/</w:t>
        </w:r>
      </w:hyperlink>
    </w:p>
  </w:footnote>
  <w:footnote w:id="16">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w:t>
      </w:r>
      <w:hyperlink r:id="rId13">
        <w:r>
          <w:rPr>
            <w:rFonts w:ascii="Times New Roman" w:eastAsia="Times New Roman" w:hAnsi="Times New Roman" w:cs="Times New Roman"/>
            <w:color w:val="1155CC"/>
            <w:sz w:val="18"/>
            <w:szCs w:val="18"/>
            <w:u w:val="single"/>
          </w:rPr>
          <w:t>https://www.minterior.gub.uy/index.php?option=com_content&amp;view=article&amp;id=9469</w:t>
        </w:r>
      </w:hyperlink>
    </w:p>
  </w:footnote>
  <w:footnote w:id="17">
    <w:p w:rsidR="009574BD" w:rsidRDefault="00000000">
      <w:pPr>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Resolution 760/2019, available at </w:t>
      </w:r>
      <w:hyperlink r:id="rId14">
        <w:r>
          <w:rPr>
            <w:rFonts w:ascii="Times New Roman" w:eastAsia="Times New Roman" w:hAnsi="Times New Roman" w:cs="Times New Roman"/>
            <w:color w:val="1155CC"/>
            <w:sz w:val="18"/>
            <w:szCs w:val="18"/>
            <w:u w:val="single"/>
          </w:rPr>
          <w:t>https://www.impo.com.uy&gt;bases</w:t>
        </w:r>
      </w:hyperlink>
    </w:p>
  </w:footnote>
  <w:footnote w:id="18">
    <w:p w:rsidR="009574BD" w:rsidRDefault="00000000">
      <w:pPr>
        <w:rPr>
          <w:rFonts w:ascii="Times New Roman" w:eastAsia="Times New Roman" w:hAnsi="Times New Roman" w:cs="Times New Roman"/>
          <w:sz w:val="18"/>
          <w:szCs w:val="18"/>
          <w:vertAlign w:val="superscript"/>
        </w:rPr>
      </w:pPr>
      <w:r>
        <w:rPr>
          <w:vertAlign w:val="superscript"/>
        </w:rPr>
        <w:footnoteRef/>
      </w:r>
      <w:r>
        <w:rPr>
          <w:rFonts w:ascii="Times New Roman" w:eastAsia="Times New Roman" w:hAnsi="Times New Roman" w:cs="Times New Roman"/>
          <w:sz w:val="18"/>
          <w:szCs w:val="18"/>
          <w:vertAlign w:val="superscript"/>
        </w:rPr>
        <w:t xml:space="preserve">  Available at </w:t>
      </w:r>
      <w:hyperlink r:id="rId15">
        <w:r>
          <w:rPr>
            <w:rFonts w:ascii="Times New Roman" w:eastAsia="Times New Roman" w:hAnsi="Times New Roman" w:cs="Times New Roman"/>
            <w:color w:val="1155CC"/>
            <w:sz w:val="18"/>
            <w:szCs w:val="18"/>
            <w:u w:val="single"/>
            <w:vertAlign w:val="superscript"/>
          </w:rPr>
          <w:t>https://ladiaria.com.uy/feminismos/articulo/2023/7/entre-2001-y-2022-fueron-asesinadas-615-mujeres-por-motivos-de-genero-segun-el-registro-de-feminicidio-uruguay/</w:t>
        </w:r>
      </w:hyperlink>
    </w:p>
  </w:footnote>
  <w:footnote w:id="19">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16">
        <w:r>
          <w:rPr>
            <w:rFonts w:ascii="Times New Roman" w:eastAsia="Times New Roman" w:hAnsi="Times New Roman" w:cs="Times New Roman"/>
            <w:color w:val="1155CC"/>
            <w:sz w:val="18"/>
            <w:szCs w:val="18"/>
            <w:u w:val="single"/>
          </w:rPr>
          <w:t>https://ladiaria.com.uy/justicia/articulo/2023/8/tentativa-de-femicidio-una-mujer-esta-grave-tras-ser-baleada-por-su-pareja-que-luego-se-suicido/</w:t>
        </w:r>
      </w:hyperlink>
    </w:p>
  </w:footnote>
  <w:footnote w:id="20">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Second National Prevalence Survey on Violence based on Gender and Generations (2019). Available at </w:t>
      </w:r>
      <w:hyperlink r:id="rId17">
        <w:r>
          <w:rPr>
            <w:rFonts w:ascii="Times New Roman" w:eastAsia="Times New Roman" w:hAnsi="Times New Roman" w:cs="Times New Roman"/>
            <w:color w:val="1155CC"/>
            <w:sz w:val="18"/>
            <w:szCs w:val="18"/>
            <w:u w:val="single"/>
          </w:rPr>
          <w:t>https://www.gub.uy/ministerio-desarrollo-social/sites/ministerio-desarrollo-social/files/documentos/publicaciones/Segunda%20encuesta%C2%A0naciona.pdf</w:t>
        </w:r>
      </w:hyperlink>
      <w:r>
        <w:rPr>
          <w:rFonts w:ascii="Times New Roman" w:eastAsia="Times New Roman" w:hAnsi="Times New Roman" w:cs="Times New Roman"/>
          <w:sz w:val="18"/>
          <w:szCs w:val="18"/>
        </w:rPr>
        <w:t xml:space="preserve"> </w:t>
      </w:r>
    </w:p>
  </w:footnote>
  <w:footnote w:id="21">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18">
        <w:r>
          <w:rPr>
            <w:rFonts w:ascii="Times New Roman" w:eastAsia="Times New Roman" w:hAnsi="Times New Roman" w:cs="Times New Roman"/>
            <w:color w:val="1155CC"/>
            <w:sz w:val="18"/>
            <w:szCs w:val="18"/>
            <w:u w:val="single"/>
          </w:rPr>
          <w:t>https://www.equalmeasures2030.org/2022-sdg-gender-index/</w:t>
        </w:r>
      </w:hyperlink>
      <w:r>
        <w:rPr>
          <w:rFonts w:ascii="Times New Roman" w:eastAsia="Times New Roman" w:hAnsi="Times New Roman" w:cs="Times New Roman"/>
          <w:sz w:val="18"/>
          <w:szCs w:val="18"/>
        </w:rPr>
        <w:t xml:space="preserve">   </w:t>
      </w:r>
      <w:hyperlink r:id="rId19">
        <w:r>
          <w:rPr>
            <w:rFonts w:ascii="Times New Roman" w:eastAsia="Times New Roman" w:hAnsi="Times New Roman" w:cs="Times New Roman"/>
            <w:color w:val="1155CC"/>
            <w:sz w:val="18"/>
            <w:szCs w:val="18"/>
            <w:u w:val="single"/>
          </w:rPr>
          <w:t>https://www.equalmeasures2030.org/wp-content/uploads/2023/06/Country_Profile_Uruguay.pdf</w:t>
        </w:r>
      </w:hyperlink>
    </w:p>
  </w:footnote>
  <w:footnote w:id="22">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20">
        <w:r>
          <w:rPr>
            <w:rFonts w:ascii="Times New Roman" w:eastAsia="Times New Roman" w:hAnsi="Times New Roman" w:cs="Times New Roman"/>
            <w:color w:val="0000FF"/>
            <w:sz w:val="18"/>
            <w:szCs w:val="18"/>
            <w:u w:val="single"/>
          </w:rPr>
          <w:t>https://www.gub.uy/ministerio-desarrollo-social/tematica/violencia-domestica</w:t>
        </w:r>
      </w:hyperlink>
    </w:p>
  </w:footnote>
  <w:footnote w:id="23">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21">
        <w:r>
          <w:rPr>
            <w:rFonts w:ascii="Times New Roman" w:eastAsia="Times New Roman" w:hAnsi="Times New Roman" w:cs="Times New Roman"/>
            <w:color w:val="0000FF"/>
            <w:sz w:val="18"/>
            <w:szCs w:val="18"/>
            <w:u w:val="single"/>
          </w:rPr>
          <w:t>https://portal.inau.gub.uy/sipiav</w:t>
        </w:r>
      </w:hyperlink>
    </w:p>
  </w:footnote>
  <w:footnote w:id="24">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22">
        <w:r>
          <w:rPr>
            <w:rFonts w:ascii="Times New Roman" w:eastAsia="Times New Roman" w:hAnsi="Times New Roman" w:cs="Times New Roman"/>
            <w:color w:val="1155CC"/>
            <w:sz w:val="18"/>
            <w:szCs w:val="18"/>
            <w:u w:val="single"/>
          </w:rPr>
          <w:t>https://cladem.org/investigaciones/</w:t>
        </w:r>
      </w:hyperlink>
    </w:p>
  </w:footnote>
  <w:footnote w:id="25">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23">
        <w:r>
          <w:rPr>
            <w:rFonts w:ascii="Times New Roman" w:eastAsia="Times New Roman" w:hAnsi="Times New Roman" w:cs="Times New Roman"/>
            <w:color w:val="1155CC"/>
            <w:sz w:val="18"/>
            <w:szCs w:val="18"/>
            <w:u w:val="single"/>
          </w:rPr>
          <w:t>https://www.impo.com.uy/bases/leyes/19643-2018</w:t>
        </w:r>
      </w:hyperlink>
    </w:p>
  </w:footnote>
  <w:footnote w:id="26">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24">
        <w:r>
          <w:rPr>
            <w:rFonts w:ascii="Times New Roman" w:eastAsia="Times New Roman" w:hAnsi="Times New Roman" w:cs="Times New Roman"/>
            <w:color w:val="1155CC"/>
            <w:sz w:val="18"/>
            <w:szCs w:val="18"/>
            <w:u w:val="single"/>
          </w:rPr>
          <w:t>https://ladiaria.com.uy/feminismos/articulo/2023/8/300-mujeres-en-situacion-de-trata-fueron-asistidas-por-los-servicios-de-inmujeres-entre-2018-y-2022/</w:t>
        </w:r>
      </w:hyperlink>
    </w:p>
  </w:footnote>
  <w:footnote w:id="27">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25">
        <w:r>
          <w:rPr>
            <w:rFonts w:ascii="Times New Roman" w:eastAsia="Times New Roman" w:hAnsi="Times New Roman" w:cs="Times New Roman"/>
            <w:color w:val="434343"/>
            <w:sz w:val="18"/>
            <w:szCs w:val="18"/>
            <w:u w:val="single"/>
          </w:rPr>
          <w:t>https://dondeestannuestrasgurisas.org/nosotras/</w:t>
        </w:r>
      </w:hyperlink>
    </w:p>
  </w:footnote>
  <w:footnote w:id="28">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26">
        <w:r>
          <w:rPr>
            <w:rFonts w:ascii="Times New Roman" w:eastAsia="Times New Roman" w:hAnsi="Times New Roman" w:cs="Times New Roman"/>
            <w:color w:val="1155CC"/>
            <w:sz w:val="18"/>
            <w:szCs w:val="18"/>
            <w:u w:val="single"/>
          </w:rPr>
          <w:t>https://www.minterior.gub.uy/index.php?option=com_content&amp;view=article&amp;id=1986</w:t>
        </w:r>
      </w:hyperlink>
    </w:p>
  </w:footnote>
  <w:footnote w:id="29">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color w:val="262626"/>
          <w:sz w:val="18"/>
          <w:szCs w:val="18"/>
        </w:rPr>
        <w:t>Report</w:t>
      </w:r>
      <w:hyperlink r:id="rId27">
        <w:r>
          <w:rPr>
            <w:rFonts w:ascii="Times New Roman" w:eastAsia="Times New Roman" w:hAnsi="Times New Roman" w:cs="Times New Roman"/>
            <w:color w:val="262626"/>
            <w:sz w:val="18"/>
            <w:szCs w:val="18"/>
          </w:rPr>
          <w:t xml:space="preserve"> </w:t>
        </w:r>
      </w:hyperlink>
      <w:hyperlink r:id="rId28">
        <w:proofErr w:type="spellStart"/>
        <w:r>
          <w:rPr>
            <w:rFonts w:ascii="Times New Roman" w:eastAsia="Times New Roman" w:hAnsi="Times New Roman" w:cs="Times New Roman"/>
            <w:i/>
            <w:color w:val="595959"/>
            <w:sz w:val="18"/>
            <w:szCs w:val="18"/>
            <w:u w:val="single"/>
          </w:rPr>
          <w:t>Dueños</w:t>
        </w:r>
        <w:proofErr w:type="spellEnd"/>
        <w:r>
          <w:rPr>
            <w:rFonts w:ascii="Times New Roman" w:eastAsia="Times New Roman" w:hAnsi="Times New Roman" w:cs="Times New Roman"/>
            <w:i/>
            <w:color w:val="595959"/>
            <w:sz w:val="18"/>
            <w:szCs w:val="18"/>
            <w:u w:val="single"/>
          </w:rPr>
          <w:t xml:space="preserve"> de personas, personas con </w:t>
        </w:r>
        <w:proofErr w:type="spellStart"/>
        <w:r>
          <w:rPr>
            <w:rFonts w:ascii="Times New Roman" w:eastAsia="Times New Roman" w:hAnsi="Times New Roman" w:cs="Times New Roman"/>
            <w:i/>
            <w:color w:val="595959"/>
            <w:sz w:val="18"/>
            <w:szCs w:val="18"/>
            <w:u w:val="single"/>
          </w:rPr>
          <w:t>dueño</w:t>
        </w:r>
        <w:proofErr w:type="spellEnd"/>
        <w:r>
          <w:rPr>
            <w:rFonts w:ascii="Times New Roman" w:eastAsia="Times New Roman" w:hAnsi="Times New Roman" w:cs="Times New Roman"/>
            <w:i/>
            <w:color w:val="595959"/>
            <w:sz w:val="18"/>
            <w:szCs w:val="18"/>
            <w:u w:val="single"/>
          </w:rPr>
          <w:t xml:space="preserve"> (Owners of people, people with owners)</w:t>
        </w:r>
      </w:hyperlink>
      <w:hyperlink r:id="rId29">
        <w:r>
          <w:rPr>
            <w:rFonts w:ascii="Times New Roman" w:eastAsia="Times New Roman" w:hAnsi="Times New Roman" w:cs="Times New Roman"/>
            <w:color w:val="595959"/>
            <w:sz w:val="18"/>
            <w:szCs w:val="18"/>
            <w:u w:val="single"/>
          </w:rPr>
          <w:t xml:space="preserve"> </w:t>
        </w:r>
      </w:hyperlink>
      <w:hyperlink r:id="rId30">
        <w:r>
          <w:rPr>
            <w:rFonts w:ascii="Times New Roman" w:eastAsia="Times New Roman" w:hAnsi="Times New Roman" w:cs="Times New Roman"/>
            <w:color w:val="595959"/>
            <w:sz w:val="18"/>
            <w:szCs w:val="18"/>
          </w:rPr>
          <w:t xml:space="preserve">by El Paso civil association  2020 </w:t>
        </w:r>
      </w:hyperlink>
      <w:r>
        <w:rPr>
          <w:rFonts w:ascii="Times New Roman" w:eastAsia="Times New Roman" w:hAnsi="Times New Roman" w:cs="Times New Roman"/>
          <w:color w:val="595959"/>
          <w:sz w:val="18"/>
          <w:szCs w:val="18"/>
        </w:rPr>
        <w:t xml:space="preserve"> </w:t>
      </w:r>
      <w:r>
        <w:rPr>
          <w:rFonts w:ascii="Times New Roman" w:eastAsia="Times New Roman" w:hAnsi="Times New Roman" w:cs="Times New Roman"/>
          <w:sz w:val="18"/>
          <w:szCs w:val="18"/>
        </w:rPr>
        <w:t xml:space="preserve"> </w:t>
      </w:r>
    </w:p>
  </w:footnote>
  <w:footnote w:id="30">
    <w:p w:rsidR="009574BD" w:rsidRDefault="00000000">
      <w:pPr>
        <w:rPr>
          <w:sz w:val="20"/>
          <w:szCs w:val="20"/>
        </w:rPr>
      </w:pPr>
      <w:r>
        <w:rPr>
          <w:vertAlign w:val="superscript"/>
        </w:rPr>
        <w:footnoteRef/>
      </w:r>
      <w:r>
        <w:rPr>
          <w:rFonts w:ascii="Times New Roman" w:eastAsia="Times New Roman" w:hAnsi="Times New Roman" w:cs="Times New Roman"/>
          <w:color w:val="262626"/>
          <w:sz w:val="18"/>
          <w:szCs w:val="18"/>
        </w:rPr>
        <w:t>https://www.m24.com.uy/no-hay-una-partida-especifica-del-mides-para-luchar-contra-la-trata-con-fines-de-explotacion-sexual-pese-a-que-ley-lo-preve-reclama-colectivo/</w:t>
      </w:r>
    </w:p>
  </w:footnote>
  <w:footnote w:id="31">
    <w:p w:rsidR="009574BD" w:rsidRDefault="00000000">
      <w:pPr>
        <w:rPr>
          <w:rFonts w:ascii="Times New Roman" w:eastAsia="Times New Roman" w:hAnsi="Times New Roman" w:cs="Times New Roman"/>
          <w:sz w:val="18"/>
          <w:szCs w:val="18"/>
        </w:rPr>
      </w:pPr>
      <w:r>
        <w:rPr>
          <w:vertAlign w:val="superscript"/>
        </w:rPr>
        <w:footnoteRef/>
      </w:r>
      <w:r w:rsidRPr="00073776">
        <w:rPr>
          <w:rFonts w:ascii="Times New Roman" w:eastAsia="Times New Roman" w:hAnsi="Times New Roman" w:cs="Times New Roman"/>
          <w:sz w:val="18"/>
          <w:szCs w:val="18"/>
          <w:lang w:val="es-UY"/>
        </w:rPr>
        <w:t xml:space="preserve">El lugar de las mujeres uruguayas en los lugares de decisión (The place of Uruguayan women in decision-making positions). </w:t>
      </w:r>
      <w:r>
        <w:rPr>
          <w:rFonts w:ascii="Times New Roman" w:eastAsia="Times New Roman" w:hAnsi="Times New Roman" w:cs="Times New Roman"/>
          <w:sz w:val="18"/>
          <w:szCs w:val="18"/>
        </w:rPr>
        <w:t xml:space="preserve">UN Women (2021) </w:t>
      </w:r>
      <w:hyperlink r:id="rId31">
        <w:r>
          <w:rPr>
            <w:rFonts w:ascii="Times New Roman" w:eastAsia="Times New Roman" w:hAnsi="Times New Roman" w:cs="Times New Roman"/>
            <w:color w:val="1155CC"/>
            <w:sz w:val="18"/>
            <w:szCs w:val="18"/>
            <w:u w:val="single"/>
          </w:rPr>
          <w:t>https://lac.unwomen.org/sites/default/files/Field%20Office%20Americas/Documentos/Publicaciones/2021/03/El%20lugar%20de%20las%20mujeres%20uruguayas%20RV%20v03%20WEB.pdf</w:t>
        </w:r>
      </w:hyperlink>
    </w:p>
  </w:footnote>
  <w:footnote w:id="32">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32">
        <w:r>
          <w:rPr>
            <w:rFonts w:ascii="Times New Roman" w:eastAsia="Times New Roman" w:hAnsi="Times New Roman" w:cs="Times New Roman"/>
            <w:color w:val="1155CC"/>
            <w:sz w:val="18"/>
            <w:szCs w:val="18"/>
            <w:u w:val="single"/>
          </w:rPr>
          <w:t>https://www.impo.com.uy/bases/leyes/18476-2009</w:t>
        </w:r>
      </w:hyperlink>
    </w:p>
  </w:footnote>
  <w:footnote w:id="33">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33">
        <w:r>
          <w:rPr>
            <w:rFonts w:ascii="Times New Roman" w:eastAsia="Times New Roman" w:hAnsi="Times New Roman" w:cs="Times New Roman"/>
            <w:color w:val="1155CC"/>
            <w:sz w:val="18"/>
            <w:szCs w:val="18"/>
            <w:u w:val="single"/>
          </w:rPr>
          <w:t>https://ladiaria.com.uy/politica/articulo/2023/7/polemica-en-comision-domenech-dijo-que-proyecto-de-paridad-de-gloria-rodriguez-es-fascista-y-luego-de-intensa-discusion-golpeo-la-mesa-y-se-retiro/</w:t>
        </w:r>
      </w:hyperlink>
    </w:p>
  </w:footnote>
  <w:footnote w:id="34">
    <w:p w:rsidR="009574BD" w:rsidRDefault="00000000">
      <w:pPr>
        <w:rPr>
          <w:sz w:val="20"/>
          <w:szCs w:val="20"/>
        </w:rPr>
      </w:pPr>
      <w:r>
        <w:rPr>
          <w:vertAlign w:val="superscript"/>
        </w:rPr>
        <w:footnoteRef/>
      </w:r>
      <w:r>
        <w:rPr>
          <w:rFonts w:ascii="Times New Roman" w:eastAsia="Times New Roman" w:hAnsi="Times New Roman" w:cs="Times New Roman"/>
          <w:sz w:val="18"/>
          <w:szCs w:val="18"/>
        </w:rPr>
        <w:t xml:space="preserve"> </w:t>
      </w:r>
      <w:hyperlink r:id="rId34">
        <w:r>
          <w:rPr>
            <w:rFonts w:ascii="Times New Roman" w:eastAsia="Times New Roman" w:hAnsi="Times New Roman" w:cs="Times New Roman"/>
            <w:color w:val="1155CC"/>
            <w:sz w:val="18"/>
            <w:szCs w:val="18"/>
            <w:u w:val="single"/>
          </w:rPr>
          <w:t>https://www.gub.uy/institucion-nacional-derechos-humanos-uruguay/comunicacion/publicaciones/informe-opinion-inddhh-sobre-proyectos-ley-participacion-politica</w:t>
        </w:r>
      </w:hyperlink>
    </w:p>
  </w:footnote>
  <w:footnote w:id="35">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35">
        <w:r>
          <w:rPr>
            <w:rFonts w:ascii="Times New Roman" w:eastAsia="Times New Roman" w:hAnsi="Times New Roman" w:cs="Times New Roman"/>
            <w:color w:val="1155CC"/>
            <w:sz w:val="18"/>
            <w:szCs w:val="18"/>
            <w:u w:val="single"/>
          </w:rPr>
          <w:t>https://ladiaria.com.uy/educacion/articulo/2022/5/cdc-de-la-udelar-desestimo-pedido-de-destitucion-a-martin-sambarino-pero-entendio-que-cometio-una-conducta-inapropiada-grave-y-pasible-de-sancion/</w:t>
        </w:r>
      </w:hyperlink>
    </w:p>
  </w:footnote>
  <w:footnote w:id="36">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36">
        <w:r>
          <w:rPr>
            <w:rFonts w:ascii="Times New Roman" w:eastAsia="Times New Roman" w:hAnsi="Times New Roman" w:cs="Times New Roman"/>
            <w:color w:val="1155CC"/>
            <w:sz w:val="18"/>
            <w:szCs w:val="18"/>
            <w:u w:val="single"/>
          </w:rPr>
          <w:t>www.poderjudicial.gub.uy</w:t>
        </w:r>
      </w:hyperlink>
      <w:r>
        <w:rPr>
          <w:rFonts w:ascii="Times New Roman" w:eastAsia="Times New Roman" w:hAnsi="Times New Roman" w:cs="Times New Roman"/>
          <w:sz w:val="18"/>
          <w:szCs w:val="18"/>
        </w:rPr>
        <w:t xml:space="preserve"> Resolutions and memos </w:t>
      </w:r>
      <w:hyperlink r:id="rId37">
        <w:r>
          <w:rPr>
            <w:rFonts w:ascii="Times New Roman" w:eastAsia="Times New Roman" w:hAnsi="Times New Roman" w:cs="Times New Roman"/>
            <w:color w:val="0000FF"/>
            <w:sz w:val="18"/>
            <w:szCs w:val="18"/>
            <w:u w:val="single"/>
          </w:rPr>
          <w:t>https://www.poderjudicial.gub.uy/capacitacion.html</w:t>
        </w:r>
      </w:hyperlink>
    </w:p>
  </w:footnote>
  <w:footnote w:id="37">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38">
        <w:r>
          <w:rPr>
            <w:rFonts w:ascii="Times New Roman" w:eastAsia="Times New Roman" w:hAnsi="Times New Roman" w:cs="Times New Roman"/>
            <w:color w:val="1155CC"/>
            <w:sz w:val="18"/>
            <w:szCs w:val="18"/>
            <w:u w:val="single"/>
          </w:rPr>
          <w:t>https://ladiaria.com.uy/justicia/articulo/2022/3/la-scj-aprobo-un-nuevo-sistema-de-ascensos-para-los-jueces/</w:t>
        </w:r>
      </w:hyperlink>
    </w:p>
  </w:footnote>
  <w:footnote w:id="38">
    <w:p w:rsidR="009574BD" w:rsidRDefault="00000000">
      <w:pPr>
        <w:rPr>
          <w:color w:val="656565"/>
          <w:sz w:val="21"/>
          <w:szCs w:val="21"/>
        </w:rPr>
      </w:pPr>
      <w:r>
        <w:rPr>
          <w:vertAlign w:val="superscript"/>
        </w:rPr>
        <w:footnoteRef/>
      </w:r>
      <w:r>
        <w:rPr>
          <w:rFonts w:ascii="Times New Roman" w:eastAsia="Times New Roman" w:hAnsi="Times New Roman" w:cs="Times New Roman"/>
          <w:sz w:val="18"/>
          <w:szCs w:val="18"/>
        </w:rPr>
        <w:t xml:space="preserve"> Vance Center for International Justice. AMU </w:t>
      </w:r>
      <w:r>
        <w:rPr>
          <w:rFonts w:ascii="Times New Roman" w:eastAsia="Times New Roman" w:hAnsi="Times New Roman" w:cs="Times New Roman"/>
          <w:color w:val="656565"/>
          <w:sz w:val="18"/>
          <w:szCs w:val="18"/>
        </w:rPr>
        <w:t xml:space="preserve">(Presentation of the Diagnosis on the Independence of the Judiciary in Uruguay), August 11, 2023. See </w:t>
      </w:r>
      <w:hyperlink r:id="rId39">
        <w:r>
          <w:rPr>
            <w:rFonts w:ascii="Times New Roman" w:eastAsia="Times New Roman" w:hAnsi="Times New Roman" w:cs="Times New Roman"/>
            <w:color w:val="656565"/>
            <w:sz w:val="18"/>
            <w:szCs w:val="18"/>
          </w:rPr>
          <w:t xml:space="preserve"> </w:t>
        </w:r>
      </w:hyperlink>
      <w:hyperlink r:id="rId40">
        <w:r>
          <w:rPr>
            <w:rFonts w:ascii="Times New Roman" w:eastAsia="Times New Roman" w:hAnsi="Times New Roman" w:cs="Times New Roman"/>
            <w:sz w:val="18"/>
            <w:szCs w:val="18"/>
          </w:rPr>
          <w:t>http://</w:t>
        </w:r>
      </w:hyperlink>
      <w:r>
        <w:rPr>
          <w:rFonts w:ascii="Times New Roman" w:eastAsia="Times New Roman" w:hAnsi="Times New Roman" w:cs="Times New Roman"/>
          <w:sz w:val="18"/>
          <w:szCs w:val="18"/>
        </w:rPr>
        <w:t xml:space="preserve"> </w:t>
      </w:r>
      <w:hyperlink r:id="rId41">
        <w:r>
          <w:rPr>
            <w:rFonts w:ascii="Times New Roman" w:eastAsia="Times New Roman" w:hAnsi="Times New Roman" w:cs="Times New Roman"/>
            <w:sz w:val="18"/>
            <w:szCs w:val="18"/>
          </w:rPr>
          <w:t>bit.ly/VCDJFLAM</w:t>
        </w:r>
      </w:hyperlink>
      <w:r>
        <w:rPr>
          <w:rFonts w:ascii="Times New Roman" w:eastAsia="Times New Roman" w:hAnsi="Times New Roman" w:cs="Times New Roman"/>
          <w:sz w:val="18"/>
          <w:szCs w:val="18"/>
        </w:rPr>
        <w:t xml:space="preserve"> </w:t>
      </w:r>
      <w:r>
        <w:rPr>
          <w:color w:val="656565"/>
          <w:sz w:val="21"/>
          <w:szCs w:val="21"/>
        </w:rPr>
        <w:t xml:space="preserve"> </w:t>
      </w:r>
      <w:r>
        <w:rPr>
          <w:color w:val="656565"/>
          <w:sz w:val="21"/>
          <w:szCs w:val="21"/>
        </w:rPr>
        <w:br/>
        <w:t xml:space="preserve"> </w:t>
      </w:r>
    </w:p>
    <w:p w:rsidR="009574BD" w:rsidRDefault="009574BD">
      <w:pPr>
        <w:rPr>
          <w:sz w:val="20"/>
          <w:szCs w:val="20"/>
        </w:rPr>
      </w:pPr>
    </w:p>
  </w:footnote>
  <w:footnote w:id="39">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w:t>
      </w:r>
      <w:hyperlink r:id="rId42">
        <w:r>
          <w:rPr>
            <w:rFonts w:ascii="Times New Roman" w:eastAsia="Times New Roman" w:hAnsi="Times New Roman" w:cs="Times New Roman"/>
            <w:color w:val="1155CC"/>
            <w:sz w:val="18"/>
            <w:szCs w:val="18"/>
            <w:u w:val="single"/>
          </w:rPr>
          <w:t>https://ladiaria.com.uy/trabajo/articulo/2020/11/sindicato-del-mides-denuncia-despidos-injustificados-y-atraso-en-el-cobro-de-salarios-de-cerca-de-100-funcionarios/</w:t>
        </w:r>
      </w:hyperlink>
    </w:p>
    <w:p w:rsidR="009574BD" w:rsidRDefault="009574BD">
      <w:pPr>
        <w:rPr>
          <w:rFonts w:ascii="Times New Roman" w:eastAsia="Times New Roman" w:hAnsi="Times New Roman" w:cs="Times New Roman"/>
          <w:sz w:val="18"/>
          <w:szCs w:val="18"/>
        </w:rPr>
      </w:pPr>
    </w:p>
  </w:footnote>
  <w:footnote w:id="40">
    <w:p w:rsidR="009574BD" w:rsidRDefault="00000000">
      <w:pPr>
        <w:rPr>
          <w:sz w:val="20"/>
          <w:szCs w:val="20"/>
        </w:rPr>
      </w:pPr>
      <w:r>
        <w:rPr>
          <w:vertAlign w:val="superscript"/>
        </w:rPr>
        <w:footnoteRef/>
      </w:r>
      <w:r>
        <w:rPr>
          <w:rFonts w:ascii="Times New Roman" w:eastAsia="Times New Roman" w:hAnsi="Times New Roman" w:cs="Times New Roman"/>
          <w:sz w:val="18"/>
          <w:szCs w:val="18"/>
        </w:rPr>
        <w:t xml:space="preserve"> </w:t>
      </w:r>
      <w:hyperlink r:id="rId43">
        <w:r>
          <w:rPr>
            <w:rFonts w:ascii="Times New Roman" w:eastAsia="Times New Roman" w:hAnsi="Times New Roman" w:cs="Times New Roman"/>
            <w:color w:val="1155CC"/>
            <w:sz w:val="18"/>
            <w:szCs w:val="18"/>
            <w:u w:val="single"/>
          </w:rPr>
          <w:t>https://www.impo.com.uy/bases/leyes/19353-2015</w:t>
        </w:r>
      </w:hyperlink>
      <w:r>
        <w:rPr>
          <w:sz w:val="20"/>
          <w:szCs w:val="20"/>
        </w:rPr>
        <w:t xml:space="preserve"> </w:t>
      </w:r>
    </w:p>
  </w:footnote>
  <w:footnote w:id="41">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44">
        <w:r>
          <w:rPr>
            <w:rFonts w:ascii="Times New Roman" w:eastAsia="Times New Roman" w:hAnsi="Times New Roman" w:cs="Times New Roman"/>
            <w:color w:val="1155CC"/>
            <w:sz w:val="18"/>
            <w:szCs w:val="18"/>
            <w:u w:val="single"/>
          </w:rPr>
          <w:t>https://uruguay.unfpa.org/sites/default/files/resource-pdf/presentacion_estado_de_situacion_de_la_implementacion_ley_19122_final_web.pdf</w:t>
        </w:r>
      </w:hyperlink>
    </w:p>
  </w:footnote>
  <w:footnote w:id="42">
    <w:p w:rsidR="009574BD" w:rsidRDefault="00000000">
      <w:pPr>
        <w:rPr>
          <w:sz w:val="20"/>
          <w:szCs w:val="20"/>
        </w:rPr>
      </w:pPr>
      <w:r>
        <w:rPr>
          <w:vertAlign w:val="superscript"/>
        </w:rPr>
        <w:footnoteRef/>
      </w:r>
      <w:r>
        <w:rPr>
          <w:rFonts w:ascii="Times New Roman" w:eastAsia="Times New Roman" w:hAnsi="Times New Roman" w:cs="Times New Roman"/>
          <w:sz w:val="18"/>
          <w:szCs w:val="18"/>
        </w:rPr>
        <w:t xml:space="preserve"> </w:t>
      </w:r>
      <w:hyperlink r:id="rId45">
        <w:r>
          <w:rPr>
            <w:rFonts w:ascii="Times New Roman" w:eastAsia="Times New Roman" w:hAnsi="Times New Roman" w:cs="Times New Roman"/>
            <w:color w:val="1155CC"/>
            <w:sz w:val="18"/>
            <w:szCs w:val="18"/>
            <w:u w:val="single"/>
          </w:rPr>
          <w:t>https://uruguay.unfpa.org/sites/default/files/resource-pdf/presentacion_estado_de_situacion_de_la_implementacion_ley_19122_final_web.pdf</w:t>
        </w:r>
      </w:hyperlink>
    </w:p>
  </w:footnote>
  <w:footnote w:id="43">
    <w:p w:rsidR="009574BD" w:rsidRDefault="00000000">
      <w:pPr>
        <w:rPr>
          <w:rFonts w:ascii="Times New Roman" w:eastAsia="Times New Roman" w:hAnsi="Times New Roman" w:cs="Times New Roman"/>
          <w:sz w:val="18"/>
          <w:szCs w:val="18"/>
          <w:vertAlign w:val="superscript"/>
        </w:rPr>
      </w:pPr>
      <w:r>
        <w:rPr>
          <w:vertAlign w:val="superscript"/>
        </w:rPr>
        <w:footnoteRef/>
      </w:r>
      <w:r>
        <w:rPr>
          <w:rFonts w:ascii="Times New Roman" w:eastAsia="Times New Roman" w:hAnsi="Times New Roman" w:cs="Times New Roman"/>
          <w:sz w:val="18"/>
          <w:szCs w:val="18"/>
          <w:vertAlign w:val="superscript"/>
        </w:rPr>
        <w:t xml:space="preserve"> </w:t>
      </w:r>
      <w:hyperlink r:id="rId46">
        <w:r>
          <w:rPr>
            <w:rFonts w:ascii="Times New Roman" w:eastAsia="Times New Roman" w:hAnsi="Times New Roman" w:cs="Times New Roman"/>
            <w:color w:val="1155CC"/>
            <w:sz w:val="18"/>
            <w:szCs w:val="18"/>
            <w:u w:val="single"/>
          </w:rPr>
          <w:t>https://www.impo.com.uy/bases/leyes-originales/20141-2023</w:t>
        </w:r>
      </w:hyperlink>
      <w:r>
        <w:rPr>
          <w:rFonts w:ascii="Times New Roman" w:eastAsia="Times New Roman" w:hAnsi="Times New Roman" w:cs="Times New Roman"/>
          <w:sz w:val="18"/>
          <w:szCs w:val="18"/>
          <w:vertAlign w:val="superscript"/>
        </w:rPr>
        <w:t xml:space="preserve"> </w:t>
      </w:r>
    </w:p>
  </w:footnote>
  <w:footnote w:id="44">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Campaign of civil society organizations with expertise in children's rights: "Mala ley que </w:t>
      </w:r>
      <w:proofErr w:type="spellStart"/>
      <w:r>
        <w:rPr>
          <w:rFonts w:ascii="Times New Roman" w:eastAsia="Times New Roman" w:hAnsi="Times New Roman" w:cs="Times New Roman"/>
          <w:sz w:val="18"/>
          <w:szCs w:val="18"/>
        </w:rPr>
        <w:t>daña</w:t>
      </w:r>
      <w:proofErr w:type="spellEnd"/>
      <w:r>
        <w:rPr>
          <w:rFonts w:ascii="Times New Roman" w:eastAsia="Times New Roman" w:hAnsi="Times New Roman" w:cs="Times New Roman"/>
          <w:sz w:val="18"/>
          <w:szCs w:val="18"/>
        </w:rPr>
        <w:t xml:space="preserve"> a la </w:t>
      </w:r>
      <w:proofErr w:type="spellStart"/>
      <w:r>
        <w:rPr>
          <w:rFonts w:ascii="Times New Roman" w:eastAsia="Times New Roman" w:hAnsi="Times New Roman" w:cs="Times New Roman"/>
          <w:sz w:val="18"/>
          <w:szCs w:val="18"/>
        </w:rPr>
        <w:t>infancia</w:t>
      </w:r>
      <w:proofErr w:type="spellEnd"/>
      <w:r>
        <w:rPr>
          <w:rFonts w:ascii="Times New Roman" w:eastAsia="Times New Roman" w:hAnsi="Times New Roman" w:cs="Times New Roman"/>
          <w:sz w:val="18"/>
          <w:szCs w:val="18"/>
        </w:rPr>
        <w:t xml:space="preserve">" (Bad law that harms children). </w:t>
      </w:r>
    </w:p>
  </w:footnote>
  <w:footnote w:id="45">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Extract from an original trial of visits in process</w:t>
      </w:r>
    </w:p>
  </w:footnote>
  <w:footnote w:id="46">
    <w:p w:rsidR="009574BD" w:rsidRPr="00073776" w:rsidRDefault="00000000">
      <w:pPr>
        <w:rPr>
          <w:sz w:val="20"/>
          <w:szCs w:val="20"/>
          <w:lang w:val="es-UY"/>
        </w:rPr>
      </w:pPr>
      <w:r>
        <w:rPr>
          <w:vertAlign w:val="superscript"/>
        </w:rPr>
        <w:footnoteRef/>
      </w:r>
      <w:r w:rsidRPr="00073776">
        <w:rPr>
          <w:rFonts w:ascii="Times New Roman" w:eastAsia="Times New Roman" w:hAnsi="Times New Roman" w:cs="Times New Roman"/>
          <w:sz w:val="18"/>
          <w:szCs w:val="18"/>
          <w:lang w:val="es-UY"/>
        </w:rPr>
        <w:t xml:space="preserve"> </w:t>
      </w:r>
      <w:r w:rsidRPr="00073776">
        <w:rPr>
          <w:rFonts w:ascii="Times New Roman" w:eastAsia="Times New Roman" w:hAnsi="Times New Roman" w:cs="Times New Roman"/>
          <w:sz w:val="18"/>
          <w:szCs w:val="18"/>
          <w:lang w:val="es-UY"/>
        </w:rPr>
        <w:t>https://www.elobservador.com.uy/nota/junta-nacional-de-drogas-dio-de-baja-campana-contra-el-consumo-de-alcohol-tras-ser-acusada de-racismo-20214121059</w:t>
      </w:r>
    </w:p>
  </w:footnote>
  <w:footnote w:id="47">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CERD/C/URY/CO/16-20, par. 19</w:t>
      </w:r>
    </w:p>
  </w:footnote>
  <w:footnote w:id="48">
    <w:p w:rsidR="009574BD" w:rsidRDefault="00000000">
      <w:pPr>
        <w:rPr>
          <w:rFonts w:ascii="Times New Roman" w:eastAsia="Times New Roman" w:hAnsi="Times New Roman" w:cs="Times New Roman"/>
          <w:sz w:val="18"/>
          <w:szCs w:val="18"/>
          <w:vertAlign w:val="superscript"/>
        </w:rPr>
      </w:pPr>
      <w:r>
        <w:rPr>
          <w:vertAlign w:val="superscript"/>
        </w:rPr>
        <w:footnoteRef/>
      </w:r>
      <w:r>
        <w:rPr>
          <w:rFonts w:ascii="Times New Roman" w:eastAsia="Times New Roman" w:hAnsi="Times New Roman" w:cs="Times New Roman"/>
          <w:sz w:val="18"/>
          <w:szCs w:val="18"/>
          <w:vertAlign w:val="superscript"/>
        </w:rPr>
        <w:t xml:space="preserve">  </w:t>
      </w:r>
      <w:hyperlink r:id="rId47">
        <w:r>
          <w:rPr>
            <w:rFonts w:ascii="Times New Roman" w:eastAsia="Times New Roman" w:hAnsi="Times New Roman" w:cs="Times New Roman"/>
            <w:color w:val="1155CC"/>
            <w:sz w:val="18"/>
            <w:szCs w:val="18"/>
            <w:u w:val="single"/>
          </w:rPr>
          <w:t>https://ladiaria.com.uy/educacion/articulo/2023/8/gremio-estudiantil-ocupo-el-liceo-bauza-por-ausencia-de-equipos-multidisciplinarios-y-malas-condiciones-de-infraestructura/</w:t>
        </w:r>
      </w:hyperlink>
    </w:p>
  </w:footnote>
  <w:footnote w:id="49">
    <w:p w:rsidR="009574BD" w:rsidRPr="00073776" w:rsidRDefault="00000000">
      <w:pPr>
        <w:rPr>
          <w:rFonts w:ascii="Times New Roman" w:eastAsia="Times New Roman" w:hAnsi="Times New Roman" w:cs="Times New Roman"/>
          <w:sz w:val="18"/>
          <w:szCs w:val="18"/>
          <w:lang w:val="es-UY"/>
        </w:rPr>
      </w:pPr>
      <w:r>
        <w:rPr>
          <w:vertAlign w:val="superscript"/>
        </w:rPr>
        <w:footnoteRef/>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18"/>
          <w:szCs w:val="18"/>
        </w:rPr>
        <w:t xml:space="preserve">Retrieved from UNICEF (2020). "Panorama de </w:t>
      </w:r>
      <w:proofErr w:type="spellStart"/>
      <w:r>
        <w:rPr>
          <w:rFonts w:ascii="Times New Roman" w:eastAsia="Times New Roman" w:hAnsi="Times New Roman" w:cs="Times New Roman"/>
          <w:sz w:val="18"/>
          <w:szCs w:val="18"/>
        </w:rPr>
        <w:t>los</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Niños</w:t>
      </w:r>
      <w:proofErr w:type="spellEnd"/>
      <w:r>
        <w:rPr>
          <w:rFonts w:ascii="Times New Roman" w:eastAsia="Times New Roman" w:hAnsi="Times New Roman" w:cs="Times New Roman"/>
          <w:sz w:val="18"/>
          <w:szCs w:val="18"/>
        </w:rPr>
        <w:t xml:space="preserve">, </w:t>
      </w:r>
      <w:proofErr w:type="spellStart"/>
      <w:r>
        <w:rPr>
          <w:rFonts w:ascii="Times New Roman" w:eastAsia="Times New Roman" w:hAnsi="Times New Roman" w:cs="Times New Roman"/>
          <w:sz w:val="18"/>
          <w:szCs w:val="18"/>
        </w:rPr>
        <w:t>niñas</w:t>
      </w:r>
      <w:proofErr w:type="spellEnd"/>
      <w:r>
        <w:rPr>
          <w:rFonts w:ascii="Times New Roman" w:eastAsia="Times New Roman" w:hAnsi="Times New Roman" w:cs="Times New Roman"/>
          <w:sz w:val="18"/>
          <w:szCs w:val="18"/>
        </w:rPr>
        <w:t xml:space="preserve"> y </w:t>
      </w:r>
      <w:proofErr w:type="spellStart"/>
      <w:r>
        <w:rPr>
          <w:rFonts w:ascii="Times New Roman" w:eastAsia="Times New Roman" w:hAnsi="Times New Roman" w:cs="Times New Roman"/>
          <w:sz w:val="18"/>
          <w:szCs w:val="18"/>
        </w:rPr>
        <w:t>adolescentes</w:t>
      </w:r>
      <w:proofErr w:type="spellEnd"/>
      <w:r>
        <w:rPr>
          <w:rFonts w:ascii="Times New Roman" w:eastAsia="Times New Roman" w:hAnsi="Times New Roman" w:cs="Times New Roman"/>
          <w:sz w:val="18"/>
          <w:szCs w:val="18"/>
        </w:rPr>
        <w:t xml:space="preserve"> afrodescendientes </w:t>
      </w:r>
      <w:proofErr w:type="spellStart"/>
      <w:r>
        <w:rPr>
          <w:rFonts w:ascii="Times New Roman" w:eastAsia="Times New Roman" w:hAnsi="Times New Roman" w:cs="Times New Roman"/>
          <w:sz w:val="18"/>
          <w:szCs w:val="18"/>
        </w:rPr>
        <w:t>en</w:t>
      </w:r>
      <w:proofErr w:type="spellEnd"/>
      <w:r>
        <w:rPr>
          <w:rFonts w:ascii="Times New Roman" w:eastAsia="Times New Roman" w:hAnsi="Times New Roman" w:cs="Times New Roman"/>
          <w:sz w:val="18"/>
          <w:szCs w:val="18"/>
        </w:rPr>
        <w:t xml:space="preserve"> Uruguay" (Overview of Afro-descendant Children and Adolescents in Uruguay". </w:t>
      </w:r>
      <w:r w:rsidRPr="00073776">
        <w:rPr>
          <w:rFonts w:ascii="Times New Roman" w:eastAsia="Times New Roman" w:hAnsi="Times New Roman" w:cs="Times New Roman"/>
          <w:sz w:val="18"/>
          <w:szCs w:val="18"/>
          <w:lang w:val="es-UY"/>
        </w:rPr>
        <w:t xml:space="preserve">Available at </w:t>
      </w:r>
      <w:r w:rsidRPr="00073776">
        <w:rPr>
          <w:rFonts w:ascii="Times New Roman" w:eastAsia="Times New Roman" w:hAnsi="Times New Roman" w:cs="Times New Roman"/>
          <w:color w:val="0000FF"/>
          <w:sz w:val="18"/>
          <w:szCs w:val="18"/>
          <w:u w:val="single"/>
          <w:lang w:val="es-UY"/>
        </w:rPr>
        <w:t>https://www.unicef.org/uruguay/media/3776/file/Panorama%20de%20la%20situaci%C3%B3n%20de%20los%2</w:t>
      </w:r>
      <w:r w:rsidRPr="00073776">
        <w:rPr>
          <w:rFonts w:ascii="Times New Roman" w:eastAsia="Times New Roman" w:hAnsi="Times New Roman" w:cs="Times New Roman"/>
          <w:color w:val="0000FF"/>
          <w:sz w:val="18"/>
          <w:szCs w:val="18"/>
          <w:lang w:val="es-UY"/>
        </w:rPr>
        <w:t xml:space="preserve"> </w:t>
      </w:r>
      <w:r w:rsidRPr="00073776">
        <w:rPr>
          <w:rFonts w:ascii="Times New Roman" w:eastAsia="Times New Roman" w:hAnsi="Times New Roman" w:cs="Times New Roman"/>
          <w:color w:val="0000FF"/>
          <w:sz w:val="18"/>
          <w:szCs w:val="18"/>
          <w:u w:val="single"/>
          <w:lang w:val="es-UY"/>
        </w:rPr>
        <w:t>0ni%C3%B1os,%20ni%C3%B1as%20y%20adolescentes%20afrodescendientes%20en%20Uruguay.pdf</w:t>
      </w:r>
      <w:r w:rsidRPr="00073776">
        <w:rPr>
          <w:rFonts w:ascii="Times New Roman" w:eastAsia="Times New Roman" w:hAnsi="Times New Roman" w:cs="Times New Roman"/>
          <w:color w:val="0000FF"/>
          <w:sz w:val="18"/>
          <w:szCs w:val="18"/>
          <w:lang w:val="es-UY"/>
        </w:rPr>
        <w:t xml:space="preserve"> </w:t>
      </w:r>
    </w:p>
  </w:footnote>
  <w:footnote w:id="50">
    <w:p w:rsidR="009574BD" w:rsidRPr="00073776" w:rsidRDefault="00000000">
      <w:pPr>
        <w:jc w:val="both"/>
        <w:rPr>
          <w:rFonts w:ascii="Times New Roman" w:eastAsia="Times New Roman" w:hAnsi="Times New Roman" w:cs="Times New Roman"/>
          <w:color w:val="1155CC"/>
          <w:sz w:val="18"/>
          <w:szCs w:val="18"/>
          <w:u w:val="single"/>
          <w:lang w:val="es-UY"/>
        </w:rPr>
      </w:pPr>
      <w:r>
        <w:rPr>
          <w:vertAlign w:val="superscript"/>
        </w:rPr>
        <w:footnoteRef/>
      </w:r>
      <w:r w:rsidRPr="00073776">
        <w:rPr>
          <w:rFonts w:ascii="Times New Roman" w:eastAsia="Times New Roman" w:hAnsi="Times New Roman" w:cs="Times New Roman"/>
          <w:sz w:val="18"/>
          <w:szCs w:val="18"/>
          <w:vertAlign w:val="superscript"/>
          <w:lang w:val="es-UY"/>
        </w:rPr>
        <w:t xml:space="preserve"> </w:t>
      </w:r>
      <w:r w:rsidRPr="00073776">
        <w:rPr>
          <w:rFonts w:ascii="Times New Roman" w:eastAsia="Times New Roman" w:hAnsi="Times New Roman" w:cs="Times New Roman"/>
          <w:color w:val="1155CC"/>
          <w:sz w:val="18"/>
          <w:szCs w:val="18"/>
          <w:u w:val="single"/>
          <w:lang w:val="es-UY"/>
        </w:rPr>
        <w:t>https://www.gub.uy/ministerio-desarrollo-social/sites/ministerio-desarrollo</w:t>
      </w:r>
    </w:p>
    <w:p w:rsidR="009574BD" w:rsidRDefault="00000000">
      <w:pPr>
        <w:widowControl w:val="0"/>
        <w:ind w:left="385"/>
        <w:jc w:val="both"/>
        <w:rPr>
          <w:rFonts w:ascii="Times New Roman" w:eastAsia="Times New Roman" w:hAnsi="Times New Roman" w:cs="Times New Roman"/>
          <w:sz w:val="18"/>
          <w:szCs w:val="18"/>
          <w:vertAlign w:val="superscript"/>
        </w:rPr>
      </w:pPr>
      <w:r>
        <w:rPr>
          <w:rFonts w:ascii="Times New Roman" w:eastAsia="Times New Roman" w:hAnsi="Times New Roman" w:cs="Times New Roman"/>
          <w:color w:val="1155CC"/>
          <w:sz w:val="18"/>
          <w:szCs w:val="18"/>
          <w:u w:val="single"/>
        </w:rPr>
        <w:t>social/files/</w:t>
      </w:r>
      <w:proofErr w:type="spellStart"/>
      <w:r>
        <w:rPr>
          <w:rFonts w:ascii="Times New Roman" w:eastAsia="Times New Roman" w:hAnsi="Times New Roman" w:cs="Times New Roman"/>
          <w:color w:val="1155CC"/>
          <w:sz w:val="18"/>
          <w:szCs w:val="18"/>
          <w:u w:val="single"/>
        </w:rPr>
        <w:t>documentos</w:t>
      </w:r>
      <w:proofErr w:type="spellEnd"/>
      <w:r>
        <w:rPr>
          <w:rFonts w:ascii="Times New Roman" w:eastAsia="Times New Roman" w:hAnsi="Times New Roman" w:cs="Times New Roman"/>
          <w:color w:val="1155CC"/>
          <w:sz w:val="18"/>
          <w:szCs w:val="18"/>
          <w:u w:val="single"/>
        </w:rPr>
        <w:t>/</w:t>
      </w:r>
      <w:proofErr w:type="spellStart"/>
      <w:r>
        <w:rPr>
          <w:rFonts w:ascii="Times New Roman" w:eastAsia="Times New Roman" w:hAnsi="Times New Roman" w:cs="Times New Roman"/>
          <w:color w:val="1155CC"/>
          <w:sz w:val="18"/>
          <w:szCs w:val="18"/>
          <w:u w:val="single"/>
        </w:rPr>
        <w:t>publicaciones</w:t>
      </w:r>
      <w:proofErr w:type="spellEnd"/>
      <w:r>
        <w:rPr>
          <w:rFonts w:ascii="Times New Roman" w:eastAsia="Times New Roman" w:hAnsi="Times New Roman" w:cs="Times New Roman"/>
          <w:color w:val="1155CC"/>
          <w:sz w:val="18"/>
          <w:szCs w:val="18"/>
          <w:u w:val="single"/>
        </w:rPr>
        <w:t>/2003.pdf</w:t>
      </w:r>
    </w:p>
  </w:footnote>
  <w:footnote w:id="51">
    <w:p w:rsidR="009574BD" w:rsidRDefault="00000000">
      <w:pPr>
        <w:jc w:val="both"/>
        <w:rPr>
          <w:sz w:val="20"/>
          <w:szCs w:val="20"/>
        </w:rPr>
      </w:pPr>
      <w:r>
        <w:rPr>
          <w:vertAlign w:val="superscript"/>
        </w:rPr>
        <w:footnoteRef/>
      </w:r>
      <w:r>
        <w:rPr>
          <w:rFonts w:ascii="Times New Roman" w:eastAsia="Times New Roman" w:hAnsi="Times New Roman" w:cs="Times New Roman"/>
          <w:sz w:val="18"/>
          <w:szCs w:val="18"/>
        </w:rPr>
        <w:t xml:space="preserve"> Based on data from the 2022 Continuous Household Survey (INE): </w:t>
      </w:r>
      <w:hyperlink r:id="rId48">
        <w:r>
          <w:rPr>
            <w:rFonts w:ascii="Times New Roman" w:eastAsia="Times New Roman" w:hAnsi="Times New Roman" w:cs="Times New Roman"/>
            <w:color w:val="1155CC"/>
            <w:sz w:val="18"/>
            <w:szCs w:val="18"/>
            <w:u w:val="single"/>
          </w:rPr>
          <w:t>https://www.ine.gub.uy/Anda5/index.php/catalog/730</w:t>
        </w:r>
      </w:hyperlink>
    </w:p>
  </w:footnote>
  <w:footnote w:id="52">
    <w:p w:rsidR="009574BD" w:rsidRDefault="00000000">
      <w:pPr>
        <w:rPr>
          <w:rFonts w:ascii="Times New Roman" w:eastAsia="Times New Roman" w:hAnsi="Times New Roman" w:cs="Times New Roman"/>
          <w:sz w:val="18"/>
          <w:szCs w:val="18"/>
        </w:rPr>
      </w:pPr>
      <w:r>
        <w:rPr>
          <w:vertAlign w:val="superscript"/>
        </w:rPr>
        <w:footnoteRef/>
      </w:r>
      <w:r w:rsidRPr="00073776">
        <w:rPr>
          <w:rFonts w:ascii="Times New Roman" w:eastAsia="Times New Roman" w:hAnsi="Times New Roman" w:cs="Times New Roman"/>
          <w:sz w:val="18"/>
          <w:szCs w:val="18"/>
          <w:lang w:val="es-UY"/>
        </w:rPr>
        <w:t xml:space="preserve"> </w:t>
      </w:r>
      <w:r w:rsidRPr="00073776">
        <w:rPr>
          <w:rFonts w:ascii="Times New Roman" w:eastAsia="Times New Roman" w:hAnsi="Times New Roman" w:cs="Times New Roman"/>
          <w:sz w:val="18"/>
          <w:szCs w:val="18"/>
          <w:lang w:val="es-UY"/>
        </w:rPr>
        <w:t xml:space="preserve">Nobelasco, F. (January 17, 2021).  "La pandemia causó un aumento en la prematurez y más bebés con bajo peso al nacer...". El Observador. </w:t>
      </w:r>
      <w:hyperlink r:id="rId49">
        <w:r w:rsidRPr="00073776">
          <w:rPr>
            <w:rFonts w:ascii="Times New Roman" w:eastAsia="Times New Roman" w:hAnsi="Times New Roman" w:cs="Times New Roman"/>
            <w:color w:val="1155CC"/>
            <w:sz w:val="18"/>
            <w:szCs w:val="18"/>
            <w:u w:val="single"/>
            <w:lang w:val="es-UY"/>
          </w:rPr>
          <w:t>https://www.elobservador.com.uy/nota/la-pandemia-causo-un-aumento-de-la-prematurez-y-mas-bebes-con-bajo-peso-al-nacer-en-contextos-vulnerables--2021121515500</w:t>
        </w:r>
      </w:hyperlink>
      <w:r w:rsidRPr="00073776">
        <w:rPr>
          <w:rFonts w:ascii="Times New Roman" w:eastAsia="Times New Roman" w:hAnsi="Times New Roman" w:cs="Times New Roman"/>
          <w:sz w:val="18"/>
          <w:szCs w:val="18"/>
          <w:lang w:val="es-UY"/>
        </w:rPr>
        <w:t xml:space="preserve"> Briozzo et al. </w:t>
      </w:r>
      <w:r>
        <w:rPr>
          <w:rFonts w:ascii="Times New Roman" w:eastAsia="Times New Roman" w:hAnsi="Times New Roman" w:cs="Times New Roman"/>
          <w:sz w:val="18"/>
          <w:szCs w:val="18"/>
        </w:rPr>
        <w:t xml:space="preserve">(2022). Effect of the unfavorable maternal-fetal environment caused by mitigation measures of the Covid-19 pandemic in the public maternity of reference of Uruguay. The journal of maternal-fetal &amp; neonatal medicine. 35(25), 7312–7315. </w:t>
      </w:r>
      <w:hyperlink r:id="rId50">
        <w:r>
          <w:rPr>
            <w:rFonts w:ascii="Times New Roman" w:eastAsia="Times New Roman" w:hAnsi="Times New Roman" w:cs="Times New Roman"/>
            <w:color w:val="1155CC"/>
            <w:sz w:val="18"/>
            <w:szCs w:val="18"/>
            <w:u w:val="single"/>
          </w:rPr>
          <w:t>https://pubmed.ncbi.nlm.nih.gov/34219582/</w:t>
        </w:r>
      </w:hyperlink>
    </w:p>
  </w:footnote>
  <w:footnote w:id="53">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Article 13 of Law 18987 on the Voluntary Termination of Pregnancy (Abortion Law) of 2012: </w:t>
      </w:r>
      <w:hyperlink r:id="rId51">
        <w:r>
          <w:rPr>
            <w:rFonts w:ascii="Times New Roman" w:eastAsia="Times New Roman" w:hAnsi="Times New Roman" w:cs="Times New Roman"/>
            <w:sz w:val="18"/>
            <w:szCs w:val="18"/>
          </w:rPr>
          <w:t xml:space="preserve"> </w:t>
        </w:r>
      </w:hyperlink>
      <w:hyperlink r:id="rId52">
        <w:r>
          <w:rPr>
            <w:rFonts w:ascii="Times New Roman" w:eastAsia="Times New Roman" w:hAnsi="Times New Roman" w:cs="Times New Roman"/>
            <w:color w:val="1155CC"/>
            <w:sz w:val="18"/>
            <w:szCs w:val="18"/>
          </w:rPr>
          <w:t xml:space="preserve"> </w:t>
        </w:r>
      </w:hyperlink>
      <w:hyperlink r:id="rId53">
        <w:r>
          <w:rPr>
            <w:rFonts w:ascii="Times New Roman" w:eastAsia="Times New Roman" w:hAnsi="Times New Roman" w:cs="Times New Roman"/>
            <w:color w:val="1155CC"/>
            <w:sz w:val="18"/>
            <w:szCs w:val="18"/>
            <w:u w:val="single"/>
          </w:rPr>
          <w:t>https://www.impo.com.uy/bases/leyes/18987-2012</w:t>
        </w:r>
      </w:hyperlink>
      <w:hyperlink r:id="rId54">
        <w:r>
          <w:rPr>
            <w:rFonts w:ascii="Times New Roman" w:eastAsia="Times New Roman" w:hAnsi="Times New Roman" w:cs="Times New Roman"/>
            <w:color w:val="1155CC"/>
            <w:sz w:val="18"/>
            <w:szCs w:val="18"/>
          </w:rPr>
          <w:t xml:space="preserve"> </w:t>
        </w:r>
      </w:hyperlink>
      <w:r>
        <w:rPr>
          <w:rFonts w:ascii="Times New Roman" w:eastAsia="Times New Roman" w:hAnsi="Times New Roman" w:cs="Times New Roman"/>
          <w:color w:val="1155CC"/>
          <w:sz w:val="18"/>
          <w:szCs w:val="18"/>
        </w:rPr>
        <w:t xml:space="preserve"> </w:t>
      </w:r>
    </w:p>
  </w:footnote>
  <w:footnote w:id="54">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Data obtained through a request for access to information in September 2022 regarding violence reports connected with VTP. Document 12/001/3/5715/2022 Proceeding: 2: </w:t>
      </w:r>
      <w:hyperlink r:id="rId55">
        <w:r>
          <w:rPr>
            <w:rFonts w:ascii="Times New Roman" w:eastAsia="Times New Roman" w:hAnsi="Times New Roman" w:cs="Times New Roman"/>
            <w:color w:val="1155CC"/>
            <w:sz w:val="18"/>
            <w:szCs w:val="18"/>
            <w:u w:val="single"/>
          </w:rPr>
          <w:t>https://www.gub.uy/ministerio-salud-publica/sites/ministerio-salud-publica/files/2022-11/DOCUMENTO_COMPLETO%20%287%29_removed%20%281%29.pdf</w:t>
        </w:r>
      </w:hyperlink>
    </w:p>
  </w:footnote>
  <w:footnote w:id="55">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Data from the Second National Prevalence Survey on Violence Based on Gender and Generations 2019 (p.66) : </w:t>
      </w:r>
      <w:hyperlink r:id="rId56">
        <w:r>
          <w:rPr>
            <w:rFonts w:ascii="Times New Roman" w:eastAsia="Times New Roman" w:hAnsi="Times New Roman" w:cs="Times New Roman"/>
            <w:color w:val="1155CC"/>
            <w:sz w:val="18"/>
            <w:szCs w:val="18"/>
            <w:u w:val="single"/>
          </w:rPr>
          <w:t>https://www.gub.uy/ministerio-desarrollo-social/sites/ministerio-desarrollo-social/files/documentos/publicaciones/Segunda%20encuesta%C2%A0nacional_web.pdf</w:t>
        </w:r>
      </w:hyperlink>
    </w:p>
  </w:footnote>
  <w:footnote w:id="56">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Data obtained through a request for access to information in June 2023. Document: 12/001/3/3200/2023 Proceeding: 6 : </w:t>
      </w:r>
      <w:hyperlink r:id="rId57">
        <w:r>
          <w:rPr>
            <w:rFonts w:ascii="Times New Roman" w:eastAsia="Times New Roman" w:hAnsi="Times New Roman" w:cs="Times New Roman"/>
            <w:color w:val="1155CC"/>
            <w:sz w:val="18"/>
            <w:szCs w:val="18"/>
            <w:u w:val="single"/>
          </w:rPr>
          <w:t>https://www.gub.uy/ministerio-salud-publica/sites/ministerio-salud-publica/files/2023-07/respuesta%20y%20resoluci%C3%B3n3200_removed.pdf</w:t>
        </w:r>
      </w:hyperlink>
    </w:p>
    <w:p w:rsidR="009574BD" w:rsidRDefault="009574BD">
      <w:pPr>
        <w:rPr>
          <w:sz w:val="20"/>
          <w:szCs w:val="20"/>
        </w:rPr>
      </w:pPr>
    </w:p>
  </w:footnote>
  <w:footnote w:id="57">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58">
        <w:r>
          <w:rPr>
            <w:rFonts w:ascii="Times New Roman" w:eastAsia="Times New Roman" w:hAnsi="Times New Roman" w:cs="Times New Roman"/>
            <w:color w:val="1155CC"/>
            <w:sz w:val="18"/>
            <w:szCs w:val="18"/>
            <w:u w:val="single"/>
          </w:rPr>
          <w:t>https://parlamento.gub.uy/sites/default/files/DocumentosCPP/Avance_informe_2022.pdf</w:t>
        </w:r>
      </w:hyperlink>
    </w:p>
  </w:footnote>
  <w:footnote w:id="58">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Ibid. 35</w:t>
      </w:r>
    </w:p>
  </w:footnote>
  <w:footnote w:id="59">
    <w:p w:rsidR="009574BD" w:rsidRDefault="00000000">
      <w:pPr>
        <w:rPr>
          <w:rFonts w:ascii="Times New Roman" w:eastAsia="Times New Roman" w:hAnsi="Times New Roman" w:cs="Times New Roman"/>
          <w:color w:val="262626"/>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59">
        <w:r>
          <w:rPr>
            <w:rFonts w:ascii="Times New Roman" w:eastAsia="Times New Roman" w:hAnsi="Times New Roman" w:cs="Times New Roman"/>
            <w:color w:val="1155CC"/>
            <w:sz w:val="18"/>
            <w:szCs w:val="18"/>
            <w:u w:val="single"/>
          </w:rPr>
          <w:t>https://ladiaria.com.uy/politica/articulo/2023/6/especialistas-advierten-que-aumento-de-mujeres-en-prision-tiene-efectos-sobre-ninas-ninos-y-adolescentes/</w:t>
        </w:r>
      </w:hyperlink>
    </w:p>
  </w:footnote>
  <w:footnote w:id="60">
    <w:p w:rsidR="009574BD" w:rsidRDefault="00000000">
      <w:pPr>
        <w:rPr>
          <w:sz w:val="20"/>
          <w:szCs w:val="20"/>
        </w:rPr>
      </w:pPr>
      <w:r>
        <w:rPr>
          <w:vertAlign w:val="superscript"/>
        </w:rPr>
        <w:footnoteRef/>
      </w:r>
      <w:r>
        <w:rPr>
          <w:rFonts w:ascii="Times New Roman" w:eastAsia="Times New Roman" w:hAnsi="Times New Roman" w:cs="Times New Roman"/>
          <w:sz w:val="18"/>
          <w:szCs w:val="18"/>
        </w:rPr>
        <w:t xml:space="preserve"> Ibid. 34</w:t>
      </w:r>
    </w:p>
  </w:footnote>
  <w:footnote w:id="61">
    <w:p w:rsidR="009574BD"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 xml:space="preserve"> Available at: </w:t>
      </w:r>
      <w:hyperlink r:id="rId60">
        <w:r>
          <w:rPr>
            <w:rFonts w:ascii="Times New Roman" w:eastAsia="Times New Roman" w:hAnsi="Times New Roman" w:cs="Times New Roman"/>
            <w:color w:val="1155CC"/>
            <w:sz w:val="18"/>
            <w:szCs w:val="18"/>
            <w:u w:val="single"/>
          </w:rPr>
          <w:t>https://https://ladiaria.com.uy/justicia/articulo/2023/7/petit-denuncio-que-asse-le-impide-el-acceso-a-las-historias-clinicas-de-las-personas-privadas-de-libertad-que-lo-autorizan-a-ver-este-documento/</w:t>
        </w:r>
      </w:hyperlink>
    </w:p>
    <w:p w:rsidR="009574BD" w:rsidRDefault="009574BD">
      <w:pPr>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137DA"/>
    <w:multiLevelType w:val="multilevel"/>
    <w:tmpl w:val="DB1203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25972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4BD"/>
    <w:rsid w:val="00073776"/>
    <w:rsid w:val="008B1C7E"/>
    <w:rsid w:val="009574BD"/>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decimalSymbol w:val=","/>
  <w:listSeparator w:val=";"/>
  <w15:docId w15:val="{24C98C35-AC4E-F74D-957C-A716C1A6D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_0"/>
    <w:tblPr>
      <w:tblCellMar>
        <w:top w:w="0" w:type="dxa"/>
        <w:left w:w="0" w:type="dxa"/>
        <w:bottom w:w="0" w:type="dxa"/>
        <w:right w:w="0" w:type="dxa"/>
      </w:tblCellMar>
    </w:tblPr>
  </w:style>
  <w:style w:type="table" w:customStyle="1" w:styleId="TableNormal1">
    <w:name w:val="Table Normal_1"/>
    <w:tblPr>
      <w:tblCellMar>
        <w:top w:w="0" w:type="dxa"/>
        <w:left w:w="0" w:type="dxa"/>
        <w:bottom w:w="0" w:type="dxa"/>
        <w:right w:w="0" w:type="dxa"/>
      </w:tblCellMar>
    </w:tblPr>
  </w:style>
  <w:style w:type="paragraph" w:styleId="NormalWeb">
    <w:name w:val="Normal (Web)"/>
    <w:basedOn w:val="Normal"/>
    <w:uiPriority w:val="99"/>
    <w:semiHidden/>
    <w:unhideWhenUsed/>
    <w:rsid w:val="00162D96"/>
    <w:pPr>
      <w:spacing w:before="100" w:beforeAutospacing="1" w:after="100" w:afterAutospacing="1"/>
    </w:pPr>
    <w:rPr>
      <w:rFonts w:ascii="Times New Roman" w:eastAsia="Times New Roman" w:hAnsi="Times New Roman" w:cs="Times New Roman"/>
    </w:rPr>
  </w:style>
  <w:style w:type="character" w:styleId="Hipervnculo">
    <w:name w:val="Hyperlink"/>
    <w:basedOn w:val="Fuentedeprrafopredeter"/>
    <w:uiPriority w:val="99"/>
    <w:unhideWhenUsed/>
    <w:rsid w:val="00162D96"/>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1"/>
    <w:tblPr>
      <w:tblStyleRowBandSize w:val="1"/>
      <w:tblStyleColBandSize w:val="1"/>
      <w:tblCellMar>
        <w:top w:w="100" w:type="dxa"/>
        <w:left w:w="100" w:type="dxa"/>
        <w:bottom w:w="100" w:type="dxa"/>
        <w:right w:w="100" w:type="dxa"/>
      </w:tblCellMar>
    </w:tblPr>
  </w:style>
  <w:style w:type="table" w:customStyle="1" w:styleId="a0">
    <w:name w:val="a0"/>
    <w:basedOn w:val="TableNormal1"/>
    <w:tblPr>
      <w:tblStyleRowBandSize w:val="1"/>
      <w:tblStyleColBandSize w:val="1"/>
      <w:tblCellMar>
        <w:top w:w="100" w:type="dxa"/>
        <w:left w:w="100" w:type="dxa"/>
        <w:bottom w:w="100" w:type="dxa"/>
        <w:right w:w="100" w:type="dxa"/>
      </w:tblCellMar>
    </w:tblPr>
  </w:style>
  <w:style w:type="table" w:customStyle="1" w:styleId="a1">
    <w:name w:val="a1"/>
    <w:basedOn w:val="TableNormal1"/>
    <w:tblPr>
      <w:tblStyleRowBandSize w:val="1"/>
      <w:tblStyleColBandSize w:val="1"/>
      <w:tblCellMar>
        <w:top w:w="100" w:type="dxa"/>
        <w:left w:w="100" w:type="dxa"/>
        <w:bottom w:w="100" w:type="dxa"/>
        <w:right w:w="100" w:type="dxa"/>
      </w:tblCellMar>
    </w:tblPr>
  </w:style>
  <w:style w:type="table" w:customStyle="1" w:styleId="a2">
    <w:name w:val="a2"/>
    <w:basedOn w:val="TableNormal1"/>
    <w:tblPr>
      <w:tblStyleRowBandSize w:val="1"/>
      <w:tblStyleColBandSize w:val="1"/>
      <w:tblCellMar>
        <w:top w:w="100" w:type="dxa"/>
        <w:left w:w="100" w:type="dxa"/>
        <w:bottom w:w="100" w:type="dxa"/>
        <w:right w:w="100" w:type="dxa"/>
      </w:tblCellMar>
    </w:tblPr>
  </w:style>
  <w:style w:type="table" w:customStyle="1" w:styleId="a3">
    <w:name w:val="a3"/>
    <w:basedOn w:val="TableNormal1"/>
    <w:tblPr>
      <w:tblStyleRowBandSize w:val="1"/>
      <w:tblStyleColBandSize w:val="1"/>
      <w:tblCellMar>
        <w:top w:w="100" w:type="dxa"/>
        <w:left w:w="100" w:type="dxa"/>
        <w:bottom w:w="100" w:type="dxa"/>
        <w:right w:w="100" w:type="dxa"/>
      </w:tblCellMar>
    </w:tblPr>
  </w:style>
  <w:style w:type="table" w:customStyle="1" w:styleId="a4">
    <w:name w:val="a4"/>
    <w:basedOn w:val="TableNormal1"/>
    <w:tblPr>
      <w:tblStyleRowBandSize w:val="1"/>
      <w:tblStyleColBandSize w:val="1"/>
      <w:tblCellMar>
        <w:top w:w="100" w:type="dxa"/>
        <w:left w:w="100" w:type="dxa"/>
        <w:bottom w:w="100" w:type="dxa"/>
        <w:right w:w="100" w:type="dxa"/>
      </w:tblCellMar>
    </w:tblPr>
  </w:style>
  <w:style w:type="table" w:customStyle="1" w:styleId="a5">
    <w:name w:val="a5"/>
    <w:basedOn w:val="TableNormal1"/>
    <w:tblPr>
      <w:tblStyleRowBandSize w:val="1"/>
      <w:tblStyleColBandSize w:val="1"/>
      <w:tblCellMar>
        <w:top w:w="100" w:type="dxa"/>
        <w:left w:w="100" w:type="dxa"/>
        <w:bottom w:w="100" w:type="dxa"/>
        <w:right w:w="100" w:type="dxa"/>
      </w:tblCellMar>
    </w:tblPr>
  </w:style>
  <w:style w:type="table" w:customStyle="1" w:styleId="a6">
    <w:name w:val="a6"/>
    <w:basedOn w:val="TableNormal1"/>
    <w:tblPr>
      <w:tblStyleRowBandSize w:val="1"/>
      <w:tblStyleColBandSize w:val="1"/>
      <w:tblCellMar>
        <w:top w:w="100" w:type="dxa"/>
        <w:left w:w="100" w:type="dxa"/>
        <w:bottom w:w="100" w:type="dxa"/>
        <w:right w:w="100" w:type="dxa"/>
      </w:tblCellMar>
    </w:tblPr>
  </w:style>
  <w:style w:type="table" w:customStyle="1" w:styleId="a7">
    <w:name w:val="a7"/>
    <w:basedOn w:val="TableNormal1"/>
    <w:tblPr>
      <w:tblStyleRowBandSize w:val="1"/>
      <w:tblStyleColBandSize w:val="1"/>
      <w:tblCellMar>
        <w:top w:w="100" w:type="dxa"/>
        <w:left w:w="100" w:type="dxa"/>
        <w:bottom w:w="100" w:type="dxa"/>
        <w:right w:w="100" w:type="dxa"/>
      </w:tblCellMar>
    </w:tblPr>
  </w:style>
  <w:style w:type="table" w:customStyle="1" w:styleId="a8">
    <w:name w:val="a8"/>
    <w:basedOn w:val="TableNormal1"/>
    <w:tblPr>
      <w:tblStyleRowBandSize w:val="1"/>
      <w:tblStyleColBandSize w:val="1"/>
      <w:tblCellMar>
        <w:top w:w="100" w:type="dxa"/>
        <w:left w:w="100" w:type="dxa"/>
        <w:bottom w:w="100" w:type="dxa"/>
        <w:right w:w="100" w:type="dxa"/>
      </w:tblCellMar>
    </w:tblPr>
  </w:style>
  <w:style w:type="table" w:customStyle="1" w:styleId="a9">
    <w:name w:val="a9"/>
    <w:basedOn w:val="TableNormal1"/>
    <w:tblPr>
      <w:tblStyleRowBandSize w:val="1"/>
      <w:tblStyleColBandSize w:val="1"/>
      <w:tblCellMar>
        <w:top w:w="100" w:type="dxa"/>
        <w:left w:w="100" w:type="dxa"/>
        <w:bottom w:w="100" w:type="dxa"/>
        <w:right w:w="100" w:type="dxa"/>
      </w:tblCellMar>
    </w:tblPr>
  </w:style>
  <w:style w:type="table" w:customStyle="1" w:styleId="aa">
    <w:name w:val="aa"/>
    <w:basedOn w:val="TableNormal1"/>
    <w:tblPr>
      <w:tblStyleRowBandSize w:val="1"/>
      <w:tblStyleColBandSize w:val="1"/>
      <w:tblCellMar>
        <w:top w:w="100" w:type="dxa"/>
        <w:left w:w="100" w:type="dxa"/>
        <w:bottom w:w="100" w:type="dxa"/>
        <w:right w:w="100" w:type="dxa"/>
      </w:tblCellMar>
    </w:tblPr>
  </w:style>
  <w:style w:type="table" w:customStyle="1" w:styleId="ab">
    <w:name w:val="ab"/>
    <w:basedOn w:val="TableNormal1"/>
    <w:tblPr>
      <w:tblStyleRowBandSize w:val="1"/>
      <w:tblStyleColBandSize w:val="1"/>
      <w:tblCellMar>
        <w:top w:w="100" w:type="dxa"/>
        <w:left w:w="100" w:type="dxa"/>
        <w:bottom w:w="100" w:type="dxa"/>
        <w:right w:w="100" w:type="dxa"/>
      </w:tblCellMar>
    </w:tblPr>
  </w:style>
  <w:style w:type="table" w:customStyle="1" w:styleId="ac">
    <w:name w:val="ac"/>
    <w:basedOn w:val="TableNormal1"/>
    <w:tblPr>
      <w:tblStyleRowBandSize w:val="1"/>
      <w:tblStyleColBandSize w:val="1"/>
      <w:tblCellMar>
        <w:top w:w="100" w:type="dxa"/>
        <w:left w:w="100" w:type="dxa"/>
        <w:bottom w:w="100" w:type="dxa"/>
        <w:right w:w="100" w:type="dxa"/>
      </w:tblCellMar>
    </w:tblPr>
  </w:style>
  <w:style w:type="table" w:customStyle="1" w:styleId="ad">
    <w:name w:val="ad"/>
    <w:basedOn w:val="TableNormal1"/>
    <w:tblPr>
      <w:tblStyleRowBandSize w:val="1"/>
      <w:tblStyleColBandSize w:val="1"/>
      <w:tblCellMar>
        <w:top w:w="100" w:type="dxa"/>
        <w:left w:w="100" w:type="dxa"/>
        <w:bottom w:w="100" w:type="dxa"/>
        <w:right w:w="100" w:type="dxa"/>
      </w:tblCellMar>
    </w:tblPr>
  </w:style>
  <w:style w:type="table" w:customStyle="1" w:styleId="ae">
    <w:name w:val="ae"/>
    <w:basedOn w:val="TableNormal1"/>
    <w:tblPr>
      <w:tblStyleRowBandSize w:val="1"/>
      <w:tblStyleColBandSize w:val="1"/>
      <w:tblCellMar>
        <w:top w:w="100" w:type="dxa"/>
        <w:left w:w="100" w:type="dxa"/>
        <w:bottom w:w="100" w:type="dxa"/>
        <w:right w:w="100" w:type="dxa"/>
      </w:tblCellMar>
    </w:tblPr>
  </w:style>
  <w:style w:type="table" w:customStyle="1" w:styleId="af">
    <w:name w:val="af"/>
    <w:basedOn w:val="TableNormal1"/>
    <w:tblPr>
      <w:tblStyleRowBandSize w:val="1"/>
      <w:tblStyleColBandSize w:val="1"/>
      <w:tblCellMar>
        <w:top w:w="100" w:type="dxa"/>
        <w:left w:w="100" w:type="dxa"/>
        <w:bottom w:w="100" w:type="dxa"/>
        <w:right w:w="100" w:type="dxa"/>
      </w:tblCellMar>
    </w:tblPr>
  </w:style>
  <w:style w:type="table" w:customStyle="1" w:styleId="af0">
    <w:name w:val="af0"/>
    <w:basedOn w:val="TableNormal1"/>
    <w:tblPr>
      <w:tblStyleRowBandSize w:val="1"/>
      <w:tblStyleColBandSize w:val="1"/>
      <w:tblCellMar>
        <w:top w:w="100" w:type="dxa"/>
        <w:left w:w="100" w:type="dxa"/>
        <w:bottom w:w="100" w:type="dxa"/>
        <w:right w:w="100" w:type="dxa"/>
      </w:tblCellMar>
    </w:tblPr>
  </w:style>
  <w:style w:type="character" w:customStyle="1" w:styleId="Mencinsinresolver1">
    <w:name w:val="Mención sin resolver1"/>
    <w:basedOn w:val="Fuentedeprrafopredeter"/>
    <w:uiPriority w:val="99"/>
    <w:semiHidden/>
    <w:unhideWhenUsed/>
    <w:rsid w:val="00A844D3"/>
    <w:rPr>
      <w:color w:val="605E5C"/>
      <w:shd w:val="clear" w:color="auto" w:fill="E1DFDD"/>
    </w:rPr>
  </w:style>
  <w:style w:type="character" w:styleId="Refdecomentario">
    <w:name w:val="annotation reference"/>
    <w:basedOn w:val="Fuentedeprrafopredeter"/>
    <w:uiPriority w:val="99"/>
    <w:semiHidden/>
    <w:unhideWhenUsed/>
    <w:rsid w:val="00F13177"/>
    <w:rPr>
      <w:sz w:val="16"/>
      <w:szCs w:val="16"/>
    </w:rPr>
  </w:style>
  <w:style w:type="paragraph" w:styleId="Textocomentario">
    <w:name w:val="annotation text"/>
    <w:basedOn w:val="Normal"/>
    <w:link w:val="TextocomentarioCar"/>
    <w:uiPriority w:val="99"/>
    <w:unhideWhenUsed/>
    <w:rsid w:val="00F13177"/>
    <w:rPr>
      <w:sz w:val="20"/>
      <w:szCs w:val="20"/>
    </w:rPr>
  </w:style>
  <w:style w:type="character" w:customStyle="1" w:styleId="TextocomentarioCar">
    <w:name w:val="Texto comentario Car"/>
    <w:basedOn w:val="Fuentedeprrafopredeter"/>
    <w:link w:val="Textocomentario"/>
    <w:uiPriority w:val="99"/>
    <w:rsid w:val="00F13177"/>
    <w:rPr>
      <w:sz w:val="20"/>
      <w:szCs w:val="20"/>
    </w:rPr>
  </w:style>
  <w:style w:type="paragraph" w:styleId="Asuntodelcomentario">
    <w:name w:val="annotation subject"/>
    <w:basedOn w:val="Textocomentario"/>
    <w:next w:val="Textocomentario"/>
    <w:link w:val="AsuntodelcomentarioCar"/>
    <w:uiPriority w:val="99"/>
    <w:semiHidden/>
    <w:unhideWhenUsed/>
    <w:rsid w:val="00F13177"/>
    <w:rPr>
      <w:b/>
      <w:bCs/>
    </w:rPr>
  </w:style>
  <w:style w:type="character" w:customStyle="1" w:styleId="AsuntodelcomentarioCar">
    <w:name w:val="Asunto del comentario Car"/>
    <w:basedOn w:val="TextocomentarioCar"/>
    <w:link w:val="Asuntodelcomentario"/>
    <w:uiPriority w:val="99"/>
    <w:semiHidden/>
    <w:rsid w:val="00F13177"/>
    <w:rPr>
      <w:b/>
      <w:bCs/>
      <w:sz w:val="20"/>
      <w:szCs w:val="20"/>
    </w:rPr>
  </w:style>
  <w:style w:type="character" w:styleId="Mencinsinresolver">
    <w:name w:val="Unresolved Mention"/>
    <w:basedOn w:val="Fuentedeprrafopredeter"/>
    <w:uiPriority w:val="99"/>
    <w:rsid w:val="008679D8"/>
    <w:rPr>
      <w:color w:val="605E5C"/>
      <w:shd w:val="clear" w:color="auto" w:fill="E1DFDD"/>
    </w:r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 w:type="table" w:customStyle="1" w:styleId="af5">
    <w:basedOn w:val="TableNormal"/>
    <w:tblPr>
      <w:tblStyleRowBandSize w:val="1"/>
      <w:tblStyleColBandSize w:val="1"/>
      <w:tblCellMar>
        <w:top w:w="100" w:type="dxa"/>
        <w:left w:w="100" w:type="dxa"/>
        <w:bottom w:w="100" w:type="dxa"/>
        <w:right w:w="100" w:type="dxa"/>
      </w:tblCellMar>
    </w:tblPr>
  </w:style>
  <w:style w:type="table" w:customStyle="1" w:styleId="af6">
    <w:basedOn w:val="TableNormal"/>
    <w:tblPr>
      <w:tblStyleRowBandSize w:val="1"/>
      <w:tblStyleColBandSize w:val="1"/>
      <w:tblCellMar>
        <w:top w:w="100" w:type="dxa"/>
        <w:left w:w="100" w:type="dxa"/>
        <w:bottom w:w="100" w:type="dxa"/>
        <w:right w:w="100" w:type="dxa"/>
      </w:tblCellMar>
    </w:tbl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top w:w="100" w:type="dxa"/>
        <w:left w:w="100" w:type="dxa"/>
        <w:bottom w:w="100" w:type="dxa"/>
        <w:right w:w="100" w:type="dxa"/>
      </w:tblCellMar>
    </w:tblPr>
  </w:style>
  <w:style w:type="table" w:customStyle="1" w:styleId="af9">
    <w:basedOn w:val="TableNormal"/>
    <w:tblPr>
      <w:tblStyleRowBandSize w:val="1"/>
      <w:tblStyleColBandSize w:val="1"/>
      <w:tblCellMar>
        <w:top w:w="100" w:type="dxa"/>
        <w:left w:w="100" w:type="dxa"/>
        <w:bottom w:w="100" w:type="dxa"/>
        <w:right w:w="10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 w:type="table" w:customStyle="1" w:styleId="afb">
    <w:basedOn w:val="TableNormal"/>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minterior.gub.uy/index.php?option=com_content&amp;view=article&amp;id=9469" TargetMode="External"/><Relationship Id="rId18" Type="http://schemas.openxmlformats.org/officeDocument/2006/relationships/hyperlink" Target="https://www.equalmeasures2030.org/2022-sdg-gender-index/" TargetMode="External"/><Relationship Id="rId26" Type="http://schemas.openxmlformats.org/officeDocument/2006/relationships/hyperlink" Target="https://www.minterior.gub.uy/index.php?option=com_content&amp;view=article&amp;id=1986" TargetMode="External"/><Relationship Id="rId39" Type="http://schemas.openxmlformats.org/officeDocument/2006/relationships/hyperlink" Target="https://t.co/wwqlqh9fN4" TargetMode="External"/><Relationship Id="rId21" Type="http://schemas.openxmlformats.org/officeDocument/2006/relationships/hyperlink" Target="https://portal.inau.gub.uy/sipiav" TargetMode="External"/><Relationship Id="rId34" Type="http://schemas.openxmlformats.org/officeDocument/2006/relationships/hyperlink" Target="https://www.gub.uy/institucion-nacional-derechos-humanos-uruguay/comunicacion/publicaciones/informe-opinion-inddhh-sobre-proyectos-ley-participacion-politica" TargetMode="External"/><Relationship Id="rId42" Type="http://schemas.openxmlformats.org/officeDocument/2006/relationships/hyperlink" Target="https://ladiaria.com.uy/trabajo/articulo/2020/11/sindicato-del-mides-denuncia-despidos-injustificados-y-atraso-en-el-cobro-de-salarios-de-cerca-de-100-funcionarios/" TargetMode="External"/><Relationship Id="rId47" Type="http://schemas.openxmlformats.org/officeDocument/2006/relationships/hyperlink" Target="https://ladiaria.com.uy/educacion/articulo/2023/8/gremio-estudiantil-ocupo-el-liceo-bauza-por-ausencia-de-equipos-multidisciplinarios-y-malas-condiciones-de-infraestructura/" TargetMode="External"/><Relationship Id="rId50" Type="http://schemas.openxmlformats.org/officeDocument/2006/relationships/hyperlink" Target="https://pubmed.ncbi.nlm.nih.gov/34219582/" TargetMode="External"/><Relationship Id="rId55" Type="http://schemas.openxmlformats.org/officeDocument/2006/relationships/hyperlink" Target="https://www.gub.uy/ministerio-salud-publica/sites/ministerio-salud-publica/files/2022-11/DOCUMENTO_COMPLETO%20%287%29_removed%20%281%29.pdf" TargetMode="External"/><Relationship Id="rId7" Type="http://schemas.openxmlformats.org/officeDocument/2006/relationships/hyperlink" Target="https://parlamento.gub.uy/noticiasyeventos/noticias/parlamento/680450" TargetMode="External"/><Relationship Id="rId2" Type="http://schemas.openxmlformats.org/officeDocument/2006/relationships/hyperlink" Target="https://guiad-covid.github.io/estadisticasuy.html" TargetMode="External"/><Relationship Id="rId16" Type="http://schemas.openxmlformats.org/officeDocument/2006/relationships/hyperlink" Target="https://ladiaria.com.uy/justicia/articulo/2023/8/tentativa-de-femicidio-una-mujer-esta-grave-tras-ser-baleada-por-su-pareja-que-luego-se-suicido/" TargetMode="External"/><Relationship Id="rId29" Type="http://schemas.openxmlformats.org/officeDocument/2006/relationships/hyperlink" Target="https://ladiaria.com.uy/feminismos/articulo/2020/8/se-presento-duenos-de-personas-personas-con-dueno-una-investigacion-sobre-la-trata-con-fines-de-explotacion-sexual-y-laboral-en-uruguay/" TargetMode="External"/><Relationship Id="rId11" Type="http://schemas.openxmlformats.org/officeDocument/2006/relationships/hyperlink" Target="https://www.gub.uy/ministerio-desarrollo-social/sites/ministerio-desarrollo-social/files/documentos/publicaciones/Segunda%20encuesta%C2%A0naciona.pdf" TargetMode="External"/><Relationship Id="rId24" Type="http://schemas.openxmlformats.org/officeDocument/2006/relationships/hyperlink" Target="https://ladiaria.com.uy/feminismos/articulo/2023/8/300-mujeres-en-situacion-de-trata-fueron-asistidas-por-los-servicios-de-inmujeres-entre-2018-y-2022/" TargetMode="External"/><Relationship Id="rId32" Type="http://schemas.openxmlformats.org/officeDocument/2006/relationships/hyperlink" Target="https://www.impo.com.uy/bases/leyes/18476-2009" TargetMode="External"/><Relationship Id="rId37" Type="http://schemas.openxmlformats.org/officeDocument/2006/relationships/hyperlink" Target="https://www.poderjudicial.gub.uy/capacitacion.html" TargetMode="External"/><Relationship Id="rId40" Type="http://schemas.openxmlformats.org/officeDocument/2006/relationships/hyperlink" Target="https://t.co/wwqlqh9fN4" TargetMode="External"/><Relationship Id="rId45" Type="http://schemas.openxmlformats.org/officeDocument/2006/relationships/hyperlink" Target="https://uruguay.unfpa.org/sites/default/files/resource-pdf/presentacion_estado_de_situacion_de_la_implementacion_ley_19122_final_web.pdf" TargetMode="External"/><Relationship Id="rId53" Type="http://schemas.openxmlformats.org/officeDocument/2006/relationships/hyperlink" Target="https://www.impo.com.uy/bases/leyes/18987-2012" TargetMode="External"/><Relationship Id="rId58" Type="http://schemas.openxmlformats.org/officeDocument/2006/relationships/hyperlink" Target="https://parlamento.gub.uy/sites/default/files/DocumentosCPP/Avance_informe_2022.pdf" TargetMode="External"/><Relationship Id="rId5" Type="http://schemas.openxmlformats.org/officeDocument/2006/relationships/hyperlink" Target="https://www.smu.org.uy/wpsmu/wp-content/uploads/2020/03/Declaracion-de-Sumefac-en-la-pandemia-Covid.19.pdf" TargetMode="External"/><Relationship Id="rId19" Type="http://schemas.openxmlformats.org/officeDocument/2006/relationships/hyperlink" Target="https://www.equalmeasures2030.org/wp-content/uploads/2023/06/Country_Profile_Uruguay.pdf" TargetMode="External"/><Relationship Id="rId4" Type="http://schemas.openxmlformats.org/officeDocument/2006/relationships/hyperlink" Target="https://www.gub.uy/institucion-nacional-derechos-humanos-uruguay/comunicacion/noticias/culmino-ciclo-dialogos-inddhh-derechos-humanos-tiempos-pandemia" TargetMode="External"/><Relationship Id="rId9" Type="http://schemas.openxmlformats.org/officeDocument/2006/relationships/hyperlink" Target="https://www.equalmeasures2030.org/wp-content/uploads/2023/06/Country_Profile_Uruguay.pdf" TargetMode="External"/><Relationship Id="rId14" Type="http://schemas.openxmlformats.org/officeDocument/2006/relationships/hyperlink" Target="http://www.impo.com.uy" TargetMode="External"/><Relationship Id="rId22" Type="http://schemas.openxmlformats.org/officeDocument/2006/relationships/hyperlink" Target="https://cladem.org/investigaciones/" TargetMode="External"/><Relationship Id="rId27" Type="http://schemas.openxmlformats.org/officeDocument/2006/relationships/hyperlink" Target="https://ladiaria.com.uy/feminismos/articulo/2020/8/se-presento-duenos-de-personas-personas-con-dueno-una-investigacion-sobre-la-trata-con-fines-de-explotacion-sexual-y-laboral-en-uruguay/" TargetMode="External"/><Relationship Id="rId30" Type="http://schemas.openxmlformats.org/officeDocument/2006/relationships/hyperlink" Target="https://ladiaria.com.uy/feminismos/articulo/2020/8/se-presento-duenos-de-personas-personas-con-dueno-una-investigacion-sobre-la-trata-con-fines-de-explotacion-sexual-y-laboral-en-uruguay/" TargetMode="External"/><Relationship Id="rId35" Type="http://schemas.openxmlformats.org/officeDocument/2006/relationships/hyperlink" Target="https://ladiaria.com.uy/educacion/articulo/2022/5/cdc-de-la-udelar-desestimo-pedido-de-destitucion-a-martin-sambarino-pero-entendio-que-cometio-una-conducta-inapropiada-grave-y-pasible-de-sancion/" TargetMode="External"/><Relationship Id="rId43" Type="http://schemas.openxmlformats.org/officeDocument/2006/relationships/hyperlink" Target="https://www.impo.com.uy/bases/leyes/19353-2015" TargetMode="External"/><Relationship Id="rId48" Type="http://schemas.openxmlformats.org/officeDocument/2006/relationships/hyperlink" Target="https://www.ine.gub.uy/Anda5/index.php/catalog/730" TargetMode="External"/><Relationship Id="rId56" Type="http://schemas.openxmlformats.org/officeDocument/2006/relationships/hyperlink" Target="https://www.gub.uy/ministerio-desarrollo-social/sites/ministerio-desarrollo-social/files/documentos/publicaciones/Segunda%20encuesta%C2%A0nacional_web.pdf" TargetMode="External"/><Relationship Id="rId8" Type="http://schemas.openxmlformats.org/officeDocument/2006/relationships/hyperlink" Target="https://www.ohchr.org/es/press-releases/2023/07/un-experts-urge-uruguay-prioritise-water-use-human-consumption" TargetMode="External"/><Relationship Id="rId51" Type="http://schemas.openxmlformats.org/officeDocument/2006/relationships/hyperlink" Target="https://www.impo.com.uy/bases/leyes/18987-2012" TargetMode="External"/><Relationship Id="rId3" Type="http://schemas.openxmlformats.org/officeDocument/2006/relationships/hyperlink" Target="https://guiad-covid.github.io/estadisticasuy.html" TargetMode="External"/><Relationship Id="rId12" Type="http://schemas.openxmlformats.org/officeDocument/2006/relationships/hyperlink" Target="https://ladiaria.com.uy/justicia/articulo/2023/3/defensores-publicos-denunciaron-la-grave-situacion-de-los-juzgados-de-genero-de-san-carlos-y-altisima-sobrecarga-laboral/" TargetMode="External"/><Relationship Id="rId17" Type="http://schemas.openxmlformats.org/officeDocument/2006/relationships/hyperlink" Target="https://www.gub.uy/ministerio-desarrollo-social/sites/ministerio-desarrollo-social/files/documentos/publicaciones/Segunda%20encuesta%C2%A0naciona.pdf" TargetMode="External"/><Relationship Id="rId25" Type="http://schemas.openxmlformats.org/officeDocument/2006/relationships/hyperlink" Target="https://dondeestannuestrasgurisas.org/nosotras/" TargetMode="External"/><Relationship Id="rId33" Type="http://schemas.openxmlformats.org/officeDocument/2006/relationships/hyperlink" Target="https://ladiaria.com.uy/politica/articulo/2023/7/polemica-en-comision-domenech-dijo-que-proyecto-de-paridad-de-gloria-rodriguez-es-fascista-y-luego-de-intensa-discusion-golpeo-la-mesa-y-se-retiro/" TargetMode="External"/><Relationship Id="rId38" Type="http://schemas.openxmlformats.org/officeDocument/2006/relationships/hyperlink" Target="https://ladiaria.com.uy/justicia/articulo/2022/3/la-scj-aprobo-un-nuevo-sistema-de-ascensos-para-los-jueces/" TargetMode="External"/><Relationship Id="rId46" Type="http://schemas.openxmlformats.org/officeDocument/2006/relationships/hyperlink" Target="https://www.impo.com.uy/bases/leyes-originales/20141-2023" TargetMode="External"/><Relationship Id="rId59" Type="http://schemas.openxmlformats.org/officeDocument/2006/relationships/hyperlink" Target="https://ladiaria.com.uy/politica/articulo/2023/6/especialistas-advierten-que-aumento-de-mujeres-en-prision-tiene-efectos-sobre-ninas-ninos-y-adolescentes/" TargetMode="External"/><Relationship Id="rId20" Type="http://schemas.openxmlformats.org/officeDocument/2006/relationships/hyperlink" Target="https://www.gub.uy/ministerio-desarrollo-social/tematica/violencia-domestica" TargetMode="External"/><Relationship Id="rId41" Type="http://schemas.openxmlformats.org/officeDocument/2006/relationships/hyperlink" Target="https://t.co/wwqlqh9fN4" TargetMode="External"/><Relationship Id="rId54" Type="http://schemas.openxmlformats.org/officeDocument/2006/relationships/hyperlink" Target="https://www.impo.com.uy/bases/leyes/18987-2012" TargetMode="External"/><Relationship Id="rId1" Type="http://schemas.openxmlformats.org/officeDocument/2006/relationships/hyperlink" Target="https://www.cepal.org/es/temas/covid-19" TargetMode="External"/><Relationship Id="rId6" Type="http://schemas.openxmlformats.org/officeDocument/2006/relationships/hyperlink" Target="https://ladiaria.com.uy/politica/articulo/2020/4/cese-de-funcionarios-del-msp-en-plena-emergencia-sanitaria-genera-malestar/" TargetMode="External"/><Relationship Id="rId15" Type="http://schemas.openxmlformats.org/officeDocument/2006/relationships/hyperlink" Target="https://ladiaria.com.uy/feminismos/articulo/2023/7/entre-2001-y-2022-fueron-asesinadas-615-mujeres-por-motivos-de-genero-segun-el-registro-de-feminicidio-uruguay/" TargetMode="External"/><Relationship Id="rId23" Type="http://schemas.openxmlformats.org/officeDocument/2006/relationships/hyperlink" Target="https://www.impo.com.uy/bases/leyes/19643-2018" TargetMode="External"/><Relationship Id="rId28" Type="http://schemas.openxmlformats.org/officeDocument/2006/relationships/hyperlink" Target="https://ladiaria.com.uy/feminismos/articulo/2020/8/se-presento-duenos-de-personas-personas-con-dueno-una-investigacion-sobre-la-trata-con-fines-de-explotacion-sexual-y-laboral-en-uruguay/" TargetMode="External"/><Relationship Id="rId36" Type="http://schemas.openxmlformats.org/officeDocument/2006/relationships/hyperlink" Target="http://www.poderjudicial.gub.uy" TargetMode="External"/><Relationship Id="rId49" Type="http://schemas.openxmlformats.org/officeDocument/2006/relationships/hyperlink" Target="https://www.elobservador.com.uy/nota/la-pandemia-causo-un-aumento-de-la-prematurez-y-mas-bebes-con-bajo-peso-al-nacer-en-contextos-vulnerables--2021121515500" TargetMode="External"/><Relationship Id="rId57" Type="http://schemas.openxmlformats.org/officeDocument/2006/relationships/hyperlink" Target="https://www.gub.uy/ministerio-salud-publica/sites/ministerio-salud-publica/files/2023-07/respuesta%20y%20resoluci%C3%B3n3200_removed.pdf" TargetMode="External"/><Relationship Id="rId10" Type="http://schemas.openxmlformats.org/officeDocument/2006/relationships/hyperlink" Target="https://www.impo.com.uy/bases/leyes/19580-2017" TargetMode="External"/><Relationship Id="rId31" Type="http://schemas.openxmlformats.org/officeDocument/2006/relationships/hyperlink" Target="https://lac.unwomen.org/sites/default/files/Field%20Office%20Americas/Documentos/Publicaciones/2021/03/El%20lugar%20de%20las%20mujeres%20uruguayas%20RV%20v03%20WEB.pdf" TargetMode="External"/><Relationship Id="rId44" Type="http://schemas.openxmlformats.org/officeDocument/2006/relationships/hyperlink" Target="https://uruguay.unfpa.org/sites/default/files/resource-pdf/presentacion_estado_de_situacion_de_la_implementacion_ley_19122_final_web.pdf" TargetMode="External"/><Relationship Id="rId52" Type="http://schemas.openxmlformats.org/officeDocument/2006/relationships/hyperlink" Target="https://www.impo.com.uy/bases/leyes/18987-2012" TargetMode="External"/><Relationship Id="rId60" Type="http://schemas.openxmlformats.org/officeDocument/2006/relationships/hyperlink" Target="about:blan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q9sn96ezmSIjAeoXESFHuZmt3g==">CgMxLjA4AHIhMXpvWWsxNDc5c3hVRHllU1ZjcVEtR2ZJaHN6ZFZsUExZ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6031</Words>
  <Characters>33172</Characters>
  <Application>Microsoft Office Word</Application>
  <DocSecurity>0</DocSecurity>
  <Lines>276</Lines>
  <Paragraphs>78</Paragraphs>
  <ScaleCrop>false</ScaleCrop>
  <Company/>
  <LinksUpToDate>false</LinksUpToDate>
  <CharactersWithSpaces>39125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Lima</dc:creator>
  <cp:lastModifiedBy>Ana Lima</cp:lastModifiedBy>
  <cp:revision>2</cp:revision>
  <dcterms:created xsi:type="dcterms:W3CDTF">2023-09-10T18:48:00Z</dcterms:created>
  <dcterms:modified xsi:type="dcterms:W3CDTF">2023-09-10T18:48:00Z</dcterms:modified>
</cp:coreProperties>
</file>