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EAA12EC" w14:textId="7F59C0E7" w:rsidR="0068485F" w:rsidRDefault="00401EDB">
      <w:pPr>
        <w:widowControl/>
        <w:jc w:val="left"/>
        <w:rPr>
          <w:rFonts w:ascii="Open Sans" w:eastAsia="Open Sans" w:hAnsi="Open Sans" w:cs="Open Sans"/>
          <w:b/>
          <w:sz w:val="32"/>
          <w:szCs w:val="32"/>
        </w:rPr>
      </w:pPr>
      <w:r w:rsidRPr="00401EDB">
        <w:rPr>
          <w:sz w:val="32"/>
          <w:szCs w:val="32"/>
        </w:rPr>
        <w:t xml:space="preserve"> </w:t>
      </w:r>
      <w:r w:rsidR="00973108" w:rsidRPr="00973108">
        <w:rPr>
          <w:noProof/>
          <w:sz w:val="32"/>
          <w:szCs w:val="32"/>
        </w:rPr>
        <w:drawing>
          <wp:inline distT="0" distB="0" distL="0" distR="0" wp14:anchorId="6693551B" wp14:editId="5ABC4447">
            <wp:extent cx="5400040" cy="7194550"/>
            <wp:effectExtent l="0" t="0" r="0" b="6350"/>
            <wp:docPr id="217124289" name="図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00040" cy="7194550"/>
                    </a:xfrm>
                    <a:prstGeom prst="rect">
                      <a:avLst/>
                    </a:prstGeom>
                    <a:noFill/>
                    <a:ln>
                      <a:noFill/>
                    </a:ln>
                  </pic:spPr>
                </pic:pic>
              </a:graphicData>
            </a:graphic>
          </wp:inline>
        </w:drawing>
      </w:r>
      <w:r w:rsidR="0068485F">
        <w:rPr>
          <w:sz w:val="32"/>
          <w:szCs w:val="32"/>
        </w:rPr>
        <w:br w:type="page"/>
      </w:r>
    </w:p>
    <w:p w14:paraId="69122E7C" w14:textId="10DA125F" w:rsidR="00770880" w:rsidRDefault="00A24450" w:rsidP="004071E5">
      <w:pPr>
        <w:pStyle w:val="1"/>
        <w:spacing w:after="180"/>
      </w:pPr>
      <w:r>
        <w:rPr>
          <w:rFonts w:eastAsiaTheme="minorEastAsia" w:hint="eastAsia"/>
          <w:sz w:val="32"/>
          <w:szCs w:val="32"/>
        </w:rPr>
        <w:lastRenderedPageBreak/>
        <w:t>M</w:t>
      </w:r>
      <w:r w:rsidR="00770880" w:rsidRPr="00EC3658">
        <w:rPr>
          <w:sz w:val="32"/>
          <w:szCs w:val="32"/>
        </w:rPr>
        <w:t>arital property</w:t>
      </w:r>
      <w:r w:rsidR="00585E86">
        <w:rPr>
          <w:rFonts w:eastAsiaTheme="minorEastAsia"/>
        </w:rPr>
        <w:br/>
      </w:r>
      <w:r w:rsidR="00A82680" w:rsidRPr="00585E86">
        <w:rPr>
          <w:rFonts w:hint="eastAsia"/>
          <w:color w:val="44546A" w:themeColor="text2"/>
        </w:rPr>
        <w:t>（</w:t>
      </w:r>
      <w:r w:rsidR="00A82680" w:rsidRPr="00585E86">
        <w:rPr>
          <w:color w:val="44546A" w:themeColor="text2"/>
        </w:rPr>
        <w:t xml:space="preserve">Related to paragraph </w:t>
      </w:r>
      <w:r w:rsidR="00A82680" w:rsidRPr="00585E86">
        <w:rPr>
          <w:rFonts w:hint="eastAsia"/>
          <w:color w:val="44546A" w:themeColor="text2"/>
        </w:rPr>
        <w:t>25</w:t>
      </w:r>
      <w:r w:rsidR="00A82680" w:rsidRPr="00585E86">
        <w:rPr>
          <w:color w:val="44546A" w:themeColor="text2"/>
        </w:rPr>
        <w:t xml:space="preserve"> of LoI</w:t>
      </w:r>
      <w:r w:rsidR="00A82680" w:rsidRPr="00585E86">
        <w:rPr>
          <w:rFonts w:hint="eastAsia"/>
          <w:color w:val="44546A" w:themeColor="text2"/>
        </w:rPr>
        <w:t>, art 16）</w:t>
      </w:r>
    </w:p>
    <w:p w14:paraId="052E3EA3" w14:textId="77777777" w:rsidR="00770880" w:rsidRPr="00A82680" w:rsidRDefault="00770880" w:rsidP="00770880"/>
    <w:tbl>
      <w:tblPr>
        <w:tblStyle w:val="ab"/>
        <w:tblW w:w="0" w:type="auto"/>
        <w:tblCellMar>
          <w:top w:w="85" w:type="dxa"/>
          <w:bottom w:w="85" w:type="dxa"/>
        </w:tblCellMar>
        <w:tblLook w:val="04A0" w:firstRow="1" w:lastRow="0" w:firstColumn="1" w:lastColumn="0" w:noHBand="0" w:noVBand="1"/>
      </w:tblPr>
      <w:tblGrid>
        <w:gridCol w:w="8474"/>
      </w:tblGrid>
      <w:tr w:rsidR="00A82680" w14:paraId="75DA5522" w14:textId="77777777" w:rsidTr="005167E8">
        <w:tc>
          <w:tcPr>
            <w:tcW w:w="8494" w:type="dxa"/>
            <w:tcBorders>
              <w:top w:val="single" w:sz="12" w:space="0" w:color="auto"/>
              <w:left w:val="single" w:sz="12" w:space="0" w:color="auto"/>
              <w:bottom w:val="single" w:sz="12" w:space="0" w:color="auto"/>
              <w:right w:val="single" w:sz="12" w:space="0" w:color="auto"/>
            </w:tcBorders>
          </w:tcPr>
          <w:p w14:paraId="3CA6E509" w14:textId="77777777" w:rsidR="00A82680" w:rsidRDefault="00A82680" w:rsidP="004071E5">
            <w:pPr>
              <w:pStyle w:val="2"/>
            </w:pPr>
            <w:r>
              <w:t>Suggested Recommendations</w:t>
            </w:r>
          </w:p>
          <w:p w14:paraId="01A378B0" w14:textId="1191E31D" w:rsidR="00887E23" w:rsidRPr="00887E23" w:rsidRDefault="00EC76C3" w:rsidP="00887E23">
            <w:pPr>
              <w:pStyle w:val="af"/>
              <w:numPr>
                <w:ilvl w:val="0"/>
                <w:numId w:val="1"/>
              </w:numPr>
              <w:ind w:left="450"/>
              <w:rPr>
                <w:sz w:val="24"/>
                <w:szCs w:val="28"/>
              </w:rPr>
            </w:pPr>
            <w:r>
              <w:rPr>
                <w:sz w:val="24"/>
                <w:szCs w:val="28"/>
              </w:rPr>
              <w:t>The State Party</w:t>
            </w:r>
            <w:r w:rsidR="00887E23" w:rsidRPr="00887E23">
              <w:rPr>
                <w:sz w:val="24"/>
                <w:szCs w:val="28"/>
              </w:rPr>
              <w:t xml:space="preserve"> should enhance </w:t>
            </w:r>
            <w:r w:rsidR="00301502" w:rsidRPr="00301502">
              <w:rPr>
                <w:sz w:val="24"/>
                <w:szCs w:val="28"/>
              </w:rPr>
              <w:t>the self-esteem of married women</w:t>
            </w:r>
            <w:r w:rsidR="00887E23" w:rsidRPr="00887E23">
              <w:rPr>
                <w:sz w:val="24"/>
                <w:szCs w:val="28"/>
              </w:rPr>
              <w:t xml:space="preserve"> and achieve substantive equality between married persons by legally guaranteeing access to and control over marital property during marriage, including through the adoption of a community property regime.</w:t>
            </w:r>
          </w:p>
          <w:p w14:paraId="10F3D90C" w14:textId="53D5AB05" w:rsidR="00A82680" w:rsidRPr="00A82680" w:rsidRDefault="00EC76C3" w:rsidP="00887E23">
            <w:pPr>
              <w:pStyle w:val="af"/>
              <w:numPr>
                <w:ilvl w:val="0"/>
                <w:numId w:val="1"/>
              </w:numPr>
              <w:ind w:left="450"/>
            </w:pPr>
            <w:r>
              <w:rPr>
                <w:sz w:val="24"/>
                <w:szCs w:val="28"/>
              </w:rPr>
              <w:t>The State Party</w:t>
            </w:r>
            <w:r w:rsidR="00887E23" w:rsidRPr="00887E23">
              <w:rPr>
                <w:sz w:val="24"/>
                <w:szCs w:val="28"/>
              </w:rPr>
              <w:t xml:space="preserve"> should ensure that, in the division of property upon divorce, not only tangible assets but also the enhancement of earning capacity, the acquisition of licenses, and compensation for career losses incurred during the marriage are included in the settlement.</w:t>
            </w:r>
          </w:p>
        </w:tc>
      </w:tr>
    </w:tbl>
    <w:p w14:paraId="4569E470" w14:textId="29E0414A" w:rsidR="004711E8" w:rsidRDefault="004711E8" w:rsidP="004711E8"/>
    <w:p w14:paraId="4B2C6A5F" w14:textId="47ADB6B4" w:rsidR="00BA3EA1" w:rsidRDefault="00BA3EA1" w:rsidP="00BA3EA1">
      <w:pPr>
        <w:rPr>
          <w:rFonts w:eastAsiaTheme="minorEastAsia"/>
        </w:rPr>
      </w:pPr>
      <w:r w:rsidRPr="00BA3EA1">
        <w:rPr>
          <w:rFonts w:eastAsiaTheme="minorEastAsia"/>
        </w:rPr>
        <w:t>Civil Code Article 762 stipulates that property owned by one spouse before marriage and property acquired in the spouse's own name during the marriage shall be considered separate property (separate property regime).</w:t>
      </w:r>
      <w:r w:rsidR="00301502" w:rsidRPr="00301502">
        <w:rPr>
          <w:rFonts w:ascii="Meiryo UI" w:eastAsia="Meiryo UI" w:hAnsi="Meiryo UI" w:cs="Arial"/>
          <w:sz w:val="18"/>
          <w:szCs w:val="18"/>
        </w:rPr>
        <w:t xml:space="preserve"> </w:t>
      </w:r>
      <w:r w:rsidR="00301502" w:rsidRPr="00301502">
        <w:rPr>
          <w:rFonts w:eastAsiaTheme="minorEastAsia"/>
        </w:rPr>
        <w:t>Under this system, each spouse can manage and dispose of their own assets during the marriage, which can leave the spouse with fewer assets without bargaining power and with a loss of self-esteem.</w:t>
      </w:r>
      <w:r w:rsidRPr="00BA3EA1">
        <w:rPr>
          <w:rFonts w:eastAsiaTheme="minorEastAsia"/>
        </w:rPr>
        <w:t xml:space="preserve"> A spouse with limited assets can manage and dispose of only a small amount of property, whereas the spouse with substantial assets, including residential property, can freely dispose of their assets without the other spouse's consent. This may force the non-owning spouse to vacate the property where she and her children live if it is acquired by a third party</w:t>
      </w:r>
      <w:r>
        <w:rPr>
          <w:rStyle w:val="ae"/>
          <w:rFonts w:eastAsiaTheme="minorEastAsia"/>
        </w:rPr>
        <w:footnoteReference w:id="1"/>
      </w:r>
      <w:r w:rsidRPr="007E4307">
        <w:rPr>
          <w:rFonts w:eastAsiaTheme="minorEastAsia"/>
        </w:rPr>
        <w:t>.</w:t>
      </w:r>
    </w:p>
    <w:p w14:paraId="36956F8B" w14:textId="77777777" w:rsidR="006659A8" w:rsidRDefault="006659A8" w:rsidP="00BA3EA1">
      <w:pPr>
        <w:rPr>
          <w:rFonts w:eastAsiaTheme="minorEastAsia"/>
        </w:rPr>
      </w:pPr>
    </w:p>
    <w:p w14:paraId="7354AA39" w14:textId="100A8416" w:rsidR="006659A8" w:rsidRPr="00924710" w:rsidRDefault="006659A8" w:rsidP="00BA3EA1">
      <w:pPr>
        <w:rPr>
          <w:rFonts w:eastAsiaTheme="minorEastAsia"/>
        </w:rPr>
      </w:pPr>
      <w:r w:rsidRPr="006659A8">
        <w:t xml:space="preserve">Husbands </w:t>
      </w:r>
      <w:r w:rsidR="00924710" w:rsidRPr="00924710">
        <w:t>with large incomes and assets</w:t>
      </w:r>
      <w:r w:rsidR="00924710">
        <w:rPr>
          <w:rFonts w:eastAsiaTheme="minorEastAsia" w:hint="eastAsia"/>
        </w:rPr>
        <w:t xml:space="preserve"> </w:t>
      </w:r>
      <w:r>
        <w:rPr>
          <w:rFonts w:eastAsiaTheme="minorEastAsia"/>
        </w:rPr>
        <w:t>sometime</w:t>
      </w:r>
      <w:r>
        <w:rPr>
          <w:rFonts w:eastAsiaTheme="minorEastAsia" w:hint="eastAsia"/>
        </w:rPr>
        <w:t xml:space="preserve">s </w:t>
      </w:r>
      <w:r w:rsidRPr="006659A8">
        <w:t>behave in a condescending manner toward their</w:t>
      </w:r>
      <w:r w:rsidR="00D263B3" w:rsidRPr="00D263B3">
        <w:t xml:space="preserve"> unemployed </w:t>
      </w:r>
      <w:r w:rsidRPr="006659A8">
        <w:t>wives, fail to provide them with living expenses, make them beg for money, do not allow them to work, force them to be extremely frugal, restrict their spending, and do not show their income or bank statements to their wives.</w:t>
      </w:r>
    </w:p>
    <w:p w14:paraId="5DAA15CB" w14:textId="77777777" w:rsidR="00BA3EA1" w:rsidRPr="00BA3EA1" w:rsidRDefault="00BA3EA1" w:rsidP="00BA3EA1">
      <w:pPr>
        <w:rPr>
          <w:rFonts w:eastAsiaTheme="minorEastAsia"/>
        </w:rPr>
      </w:pPr>
    </w:p>
    <w:p w14:paraId="6112E2B0" w14:textId="5390C5E0" w:rsidR="00BA3EA1" w:rsidRPr="00BA3EA1" w:rsidRDefault="00BA3EA1" w:rsidP="00BA3EA1">
      <w:pPr>
        <w:rPr>
          <w:rFonts w:eastAsiaTheme="minorEastAsia"/>
        </w:rPr>
      </w:pPr>
      <w:r w:rsidRPr="00BA3EA1">
        <w:rPr>
          <w:rFonts w:eastAsiaTheme="minorEastAsia"/>
        </w:rPr>
        <w:t xml:space="preserve">Although the Domestic Violence Prevention </w:t>
      </w:r>
      <w:r w:rsidR="008C4F51">
        <w:rPr>
          <w:rFonts w:eastAsiaTheme="minorEastAsia" w:hint="eastAsia"/>
        </w:rPr>
        <w:t>Act</w:t>
      </w:r>
      <w:r w:rsidRPr="00BA3EA1">
        <w:rPr>
          <w:rFonts w:eastAsiaTheme="minorEastAsia"/>
        </w:rPr>
        <w:t xml:space="preserve"> allows for a six-month eviction period for victims who are the sole owners or tenants of their residence, the eviction period is limited to two months if the victim </w:t>
      </w:r>
      <w:r w:rsidR="00301502" w:rsidRPr="00301502">
        <w:rPr>
          <w:rFonts w:eastAsiaTheme="minorEastAsia"/>
        </w:rPr>
        <w:t>is not the sole owner of the residence.</w:t>
      </w:r>
      <w:r w:rsidRPr="00BA3EA1">
        <w:rPr>
          <w:rFonts w:eastAsiaTheme="minorEastAsia"/>
        </w:rPr>
        <w:t xml:space="preserve"> </w:t>
      </w:r>
      <w:r w:rsidR="00B71C2D">
        <w:rPr>
          <w:rFonts w:eastAsiaTheme="minorEastAsia" w:hint="eastAsia"/>
        </w:rPr>
        <w:t>V</w:t>
      </w:r>
      <w:r w:rsidRPr="00BA3EA1">
        <w:rPr>
          <w:rFonts w:eastAsiaTheme="minorEastAsia"/>
        </w:rPr>
        <w:t>ictims face additional difficulties if the residence is owned by the perpetrator or is shared. Furthermore, proving domestic violence is challenging, and only a limited number of victims can continue to live in their homes under the Domestic Violence Prevention Act.</w:t>
      </w:r>
    </w:p>
    <w:p w14:paraId="2C8F60E4" w14:textId="77777777" w:rsidR="00BA3EA1" w:rsidRPr="00BA3EA1" w:rsidRDefault="00BA3EA1" w:rsidP="00BA3EA1">
      <w:pPr>
        <w:rPr>
          <w:rFonts w:eastAsiaTheme="minorEastAsia"/>
        </w:rPr>
      </w:pPr>
    </w:p>
    <w:p w14:paraId="1384D456" w14:textId="1B23E8F5" w:rsidR="00BA3EA1" w:rsidRPr="00BA3EA1" w:rsidRDefault="00BA3EA1" w:rsidP="00BA3EA1">
      <w:pPr>
        <w:rPr>
          <w:rFonts w:eastAsiaTheme="minorEastAsia"/>
        </w:rPr>
      </w:pPr>
      <w:r w:rsidRPr="00BA3EA1">
        <w:rPr>
          <w:rFonts w:eastAsiaTheme="minorEastAsia"/>
        </w:rPr>
        <w:t xml:space="preserve">Upon dissolution, the Civil Code has been amended to clarify that the factors considered in the division of property upon divorce include: the amount of property acquired or maintained during the marriage, the degree of contribution of each party to the acquisition or maintenance of the property, the duration of the marriage, the standard of living during the marriage, the state of cooperation and support during the marriage, and the age, mental and physical condition, occupation, and income of each party. </w:t>
      </w:r>
      <w:r w:rsidR="00B4312B">
        <w:rPr>
          <w:rFonts w:eastAsiaTheme="minorEastAsia" w:hint="eastAsia"/>
        </w:rPr>
        <w:t>I</w:t>
      </w:r>
      <w:r w:rsidRPr="00BA3EA1">
        <w:rPr>
          <w:rFonts w:eastAsiaTheme="minorEastAsia"/>
        </w:rPr>
        <w:t>f it is not clear that the degree of contribution differs, it is assumed to be equal.</w:t>
      </w:r>
    </w:p>
    <w:p w14:paraId="69D2A1FC" w14:textId="77777777" w:rsidR="00BA3EA1" w:rsidRPr="00BA3EA1" w:rsidRDefault="00BA3EA1" w:rsidP="00BA3EA1">
      <w:pPr>
        <w:rPr>
          <w:rFonts w:eastAsiaTheme="minorEastAsia"/>
        </w:rPr>
      </w:pPr>
    </w:p>
    <w:p w14:paraId="509D29F8" w14:textId="028247D0" w:rsidR="00BA3EA1" w:rsidRPr="00BA3EA1" w:rsidRDefault="00BA3EA1" w:rsidP="00BA3EA1">
      <w:pPr>
        <w:rPr>
          <w:rFonts w:eastAsiaTheme="minorEastAsia"/>
        </w:rPr>
      </w:pPr>
      <w:r w:rsidRPr="00BA3EA1">
        <w:rPr>
          <w:rFonts w:eastAsiaTheme="minorEastAsia"/>
        </w:rPr>
        <w:t xml:space="preserve">However, the property subject to division upon divorce is very limited. Disparities in earning capacity during the marriage, loss of career opportunities due to marriage or married life, and differences in </w:t>
      </w:r>
      <w:r w:rsidR="005A57A4">
        <w:rPr>
          <w:rFonts w:eastAsiaTheme="minorEastAsia" w:hint="eastAsia"/>
        </w:rPr>
        <w:t>licenses</w:t>
      </w:r>
      <w:r w:rsidRPr="00BA3EA1">
        <w:rPr>
          <w:rFonts w:eastAsiaTheme="minorEastAsia"/>
        </w:rPr>
        <w:t xml:space="preserve"> and skill development are not addressed in the division of property.</w:t>
      </w:r>
    </w:p>
    <w:p w14:paraId="385FFEBD" w14:textId="77777777" w:rsidR="00BA3EA1" w:rsidRPr="00BA3EA1" w:rsidRDefault="00BA3EA1" w:rsidP="00BA3EA1">
      <w:pPr>
        <w:rPr>
          <w:rFonts w:eastAsiaTheme="minorEastAsia"/>
        </w:rPr>
      </w:pPr>
    </w:p>
    <w:p w14:paraId="55BC64DC" w14:textId="4CE71F0B" w:rsidR="00BA3EA1" w:rsidRPr="00BA3EA1" w:rsidRDefault="00BA3EA1" w:rsidP="00BA3EA1">
      <w:pPr>
        <w:rPr>
          <w:rFonts w:eastAsiaTheme="minorEastAsia"/>
        </w:rPr>
      </w:pPr>
      <w:r w:rsidRPr="00BA3EA1">
        <w:rPr>
          <w:rFonts w:eastAsiaTheme="minorEastAsia"/>
        </w:rPr>
        <w:t xml:space="preserve">Moreover, while the amendment presumes equal division of property when the degree of contribution is unclear, this presumption may disadvantage the lower-income spouse if economic contributions are heavily weighted. Women, in particular, often leave the workforce or opt for part-time work due to childbirth, childcare, or other </w:t>
      </w:r>
      <w:r w:rsidR="005A57A4">
        <w:rPr>
          <w:rFonts w:eastAsiaTheme="minorEastAsia"/>
        </w:rPr>
        <w:t>family</w:t>
      </w:r>
      <w:r w:rsidR="005A57A4">
        <w:rPr>
          <w:rFonts w:eastAsiaTheme="minorEastAsia" w:hint="eastAsia"/>
        </w:rPr>
        <w:t xml:space="preserve"> </w:t>
      </w:r>
      <w:r w:rsidRPr="00BA3EA1">
        <w:rPr>
          <w:rFonts w:eastAsiaTheme="minorEastAsia"/>
        </w:rPr>
        <w:t>responsibilities, which can lead to a reduction from equal division. There are also no regulations to guarantee housing needs after divorce, lea</w:t>
      </w:r>
      <w:r w:rsidR="00301502">
        <w:rPr>
          <w:rFonts w:eastAsiaTheme="minorEastAsia" w:hint="eastAsia"/>
        </w:rPr>
        <w:t xml:space="preserve">ving </w:t>
      </w:r>
      <w:r w:rsidRPr="00BA3EA1">
        <w:rPr>
          <w:rFonts w:eastAsiaTheme="minorEastAsia"/>
        </w:rPr>
        <w:t xml:space="preserve">many divorced women </w:t>
      </w:r>
      <w:r w:rsidR="00301502">
        <w:rPr>
          <w:rFonts w:eastAsiaTheme="minorEastAsia"/>
        </w:rPr>
        <w:t>struggling</w:t>
      </w:r>
      <w:r w:rsidR="00301502">
        <w:rPr>
          <w:rFonts w:eastAsiaTheme="minorEastAsia" w:hint="eastAsia"/>
        </w:rPr>
        <w:t xml:space="preserve"> to</w:t>
      </w:r>
      <w:r w:rsidRPr="00BA3EA1">
        <w:rPr>
          <w:rFonts w:eastAsiaTheme="minorEastAsia"/>
        </w:rPr>
        <w:t xml:space="preserve"> secur</w:t>
      </w:r>
      <w:r w:rsidR="00301502">
        <w:rPr>
          <w:rFonts w:eastAsiaTheme="minorEastAsia" w:hint="eastAsia"/>
        </w:rPr>
        <w:t>e</w:t>
      </w:r>
      <w:r w:rsidRPr="00BA3EA1">
        <w:rPr>
          <w:rFonts w:eastAsiaTheme="minorEastAsia"/>
        </w:rPr>
        <w:t xml:space="preserve"> new ho</w:t>
      </w:r>
      <w:r w:rsidR="00301502">
        <w:rPr>
          <w:rFonts w:eastAsiaTheme="minorEastAsia" w:hint="eastAsia"/>
        </w:rPr>
        <w:t>using</w:t>
      </w:r>
      <w:r w:rsidRPr="00BA3EA1">
        <w:rPr>
          <w:rFonts w:eastAsiaTheme="minorEastAsia"/>
        </w:rPr>
        <w:t>, often under urgent circumstances.</w:t>
      </w:r>
    </w:p>
    <w:p w14:paraId="377641B6" w14:textId="77777777" w:rsidR="00BA3EA1" w:rsidRPr="00BA3EA1" w:rsidRDefault="00BA3EA1" w:rsidP="00BA3EA1">
      <w:pPr>
        <w:rPr>
          <w:rFonts w:eastAsiaTheme="minorEastAsia"/>
        </w:rPr>
      </w:pPr>
    </w:p>
    <w:p w14:paraId="4EC3AB46" w14:textId="053093BF" w:rsidR="00BA3EA1" w:rsidRPr="00BA3EA1" w:rsidRDefault="00BA3EA1" w:rsidP="00BA3EA1">
      <w:pPr>
        <w:rPr>
          <w:rFonts w:eastAsiaTheme="minorEastAsia"/>
        </w:rPr>
      </w:pPr>
      <w:r w:rsidRPr="00BA3EA1">
        <w:rPr>
          <w:rFonts w:eastAsiaTheme="minorEastAsia"/>
        </w:rPr>
        <w:t>In addition to the division of marital assets, there is potential for spousal support after divorce. However, courts apply strict criteria to determine its necessity, such as whether other divisions are in</w:t>
      </w:r>
      <w:r w:rsidR="00301502">
        <w:rPr>
          <w:rFonts w:eastAsiaTheme="minorEastAsia" w:hint="eastAsia"/>
        </w:rPr>
        <w:t xml:space="preserve">adequate </w:t>
      </w:r>
      <w:r w:rsidRPr="00BA3EA1">
        <w:rPr>
          <w:rFonts w:eastAsiaTheme="minorEastAsia"/>
        </w:rPr>
        <w:t>and whether protection is needed. As a result, spousal support is often not granted or, if granted, is limited in amount.</w:t>
      </w:r>
    </w:p>
    <w:p w14:paraId="438E7332" w14:textId="77777777" w:rsidR="00BA3EA1" w:rsidRPr="00BA3EA1" w:rsidRDefault="00BA3EA1" w:rsidP="00BA3EA1">
      <w:pPr>
        <w:rPr>
          <w:rFonts w:eastAsiaTheme="minorEastAsia"/>
        </w:rPr>
      </w:pPr>
    </w:p>
    <w:p w14:paraId="1824980C" w14:textId="5AB0B2AF" w:rsidR="00301502" w:rsidRPr="00301502" w:rsidRDefault="00BA3EA1" w:rsidP="00301502">
      <w:pPr>
        <w:rPr>
          <w:rFonts w:eastAsiaTheme="minorEastAsia"/>
        </w:rPr>
      </w:pPr>
      <w:r w:rsidRPr="00BA3EA1">
        <w:rPr>
          <w:rFonts w:eastAsiaTheme="minorEastAsia"/>
        </w:rPr>
        <w:t xml:space="preserve">Although a system for court-ordered property disclosure has been introduced, it does not guarantee a party's right to access or general disclosure obligations of the opposing party. </w:t>
      </w:r>
      <w:r w:rsidR="0009260A" w:rsidRPr="0009260A">
        <w:rPr>
          <w:rFonts w:eastAsiaTheme="minorEastAsia"/>
        </w:rPr>
        <w:t>The judge has discretion over these orders.</w:t>
      </w:r>
      <w:r w:rsidRPr="00BA3EA1">
        <w:rPr>
          <w:rFonts w:eastAsiaTheme="minorEastAsia"/>
        </w:rPr>
        <w:t xml:space="preserve"> </w:t>
      </w:r>
      <w:r w:rsidR="00301502" w:rsidRPr="00301502">
        <w:rPr>
          <w:rFonts w:eastAsiaTheme="minorEastAsia"/>
        </w:rPr>
        <w:t>This system does not allow access to information about the opposing party's assets before the case is formally filed.</w:t>
      </w:r>
    </w:p>
    <w:p w14:paraId="2D2B16B0" w14:textId="4EE9C339" w:rsidR="00770880" w:rsidRDefault="00770880" w:rsidP="00BA3EA1"/>
    <w:p w14:paraId="1A3046E9" w14:textId="00D497F5" w:rsidR="001A6E93" w:rsidRPr="00FB34FD" w:rsidRDefault="000405A5" w:rsidP="008B5D1D">
      <w:pPr>
        <w:widowControl/>
        <w:jc w:val="left"/>
        <w:rPr>
          <w:rFonts w:ascii="Open Sans" w:eastAsia="Open Sans" w:hAnsi="Open Sans" w:cs="Open Sans"/>
          <w:b/>
          <w:color w:val="44546A" w:themeColor="text2"/>
          <w:sz w:val="28"/>
          <w:szCs w:val="28"/>
        </w:rPr>
      </w:pPr>
      <w:r>
        <w:br w:type="page"/>
      </w:r>
      <w:r w:rsidR="001A6E93" w:rsidRPr="00FB34FD">
        <w:rPr>
          <w:rFonts w:ascii="Open Sans" w:eastAsia="Open Sans" w:hAnsi="Open Sans" w:cs="Open Sans"/>
          <w:b/>
          <w:sz w:val="32"/>
          <w:szCs w:val="32"/>
        </w:rPr>
        <w:lastRenderedPageBreak/>
        <w:t>Abortion and Contraception</w:t>
      </w:r>
      <w:r w:rsidR="00585E86" w:rsidRPr="00FB34FD">
        <w:rPr>
          <w:rFonts w:ascii="Open Sans" w:eastAsia="Open Sans" w:hAnsi="Open Sans" w:cs="Open Sans"/>
          <w:b/>
          <w:sz w:val="32"/>
          <w:szCs w:val="32"/>
        </w:rPr>
        <w:br/>
      </w:r>
      <w:r w:rsidR="00A82680" w:rsidRPr="00FB34FD">
        <w:rPr>
          <w:rFonts w:ascii="ＭＳ 明朝" w:eastAsia="ＭＳ 明朝" w:hAnsi="ＭＳ 明朝" w:cs="ＭＳ 明朝" w:hint="eastAsia"/>
          <w:b/>
          <w:color w:val="44546A" w:themeColor="text2"/>
          <w:sz w:val="28"/>
          <w:szCs w:val="28"/>
        </w:rPr>
        <w:t>（</w:t>
      </w:r>
      <w:r w:rsidR="00A82680" w:rsidRPr="00FB34FD">
        <w:rPr>
          <w:rFonts w:ascii="Open Sans" w:eastAsia="Open Sans" w:hAnsi="Open Sans" w:cs="Open Sans"/>
          <w:b/>
          <w:color w:val="44546A" w:themeColor="text2"/>
          <w:sz w:val="28"/>
          <w:szCs w:val="28"/>
        </w:rPr>
        <w:t xml:space="preserve">Related to paragraph </w:t>
      </w:r>
      <w:r w:rsidR="00A82680" w:rsidRPr="00FB34FD">
        <w:rPr>
          <w:rFonts w:ascii="Open Sans" w:eastAsia="Open Sans" w:hAnsi="Open Sans" w:cs="Open Sans" w:hint="eastAsia"/>
          <w:b/>
          <w:color w:val="44546A" w:themeColor="text2"/>
          <w:sz w:val="28"/>
          <w:szCs w:val="28"/>
        </w:rPr>
        <w:t>20</w:t>
      </w:r>
      <w:r w:rsidR="00A82680" w:rsidRPr="00FB34FD">
        <w:rPr>
          <w:rFonts w:ascii="Open Sans" w:eastAsia="Open Sans" w:hAnsi="Open Sans" w:cs="Open Sans"/>
          <w:b/>
          <w:color w:val="44546A" w:themeColor="text2"/>
          <w:sz w:val="28"/>
          <w:szCs w:val="28"/>
        </w:rPr>
        <w:t xml:space="preserve"> of LoI</w:t>
      </w:r>
      <w:r w:rsidR="00A82680" w:rsidRPr="00FB34FD">
        <w:rPr>
          <w:rFonts w:ascii="Open Sans" w:eastAsia="Open Sans" w:hAnsi="Open Sans" w:cs="Open Sans" w:hint="eastAsia"/>
          <w:b/>
          <w:color w:val="44546A" w:themeColor="text2"/>
          <w:sz w:val="28"/>
          <w:szCs w:val="28"/>
        </w:rPr>
        <w:t>, art 12</w:t>
      </w:r>
      <w:r w:rsidR="00A82680" w:rsidRPr="00FB34FD">
        <w:rPr>
          <w:rFonts w:ascii="ＭＳ 明朝" w:eastAsia="ＭＳ 明朝" w:hAnsi="ＭＳ 明朝" w:cs="ＭＳ 明朝" w:hint="eastAsia"/>
          <w:b/>
          <w:color w:val="44546A" w:themeColor="text2"/>
          <w:sz w:val="28"/>
          <w:szCs w:val="28"/>
        </w:rPr>
        <w:t>）</w:t>
      </w:r>
    </w:p>
    <w:p w14:paraId="36A1D6BC" w14:textId="77777777" w:rsidR="005167E8" w:rsidRPr="005167E8" w:rsidRDefault="005167E8" w:rsidP="005167E8">
      <w:pPr>
        <w:rPr>
          <w:rFonts w:eastAsiaTheme="minorEastAsia"/>
        </w:rPr>
      </w:pPr>
    </w:p>
    <w:tbl>
      <w:tblPr>
        <w:tblStyle w:val="ab"/>
        <w:tblW w:w="0" w:type="auto"/>
        <w:tblCellMar>
          <w:top w:w="170" w:type="dxa"/>
          <w:left w:w="170" w:type="dxa"/>
          <w:bottom w:w="170" w:type="dxa"/>
          <w:right w:w="170" w:type="dxa"/>
        </w:tblCellMar>
        <w:tblLook w:val="04A0" w:firstRow="1" w:lastRow="0" w:firstColumn="1" w:lastColumn="0" w:noHBand="0" w:noVBand="1"/>
      </w:tblPr>
      <w:tblGrid>
        <w:gridCol w:w="8474"/>
      </w:tblGrid>
      <w:tr w:rsidR="00A82680" w14:paraId="3DBD1855" w14:textId="77777777" w:rsidTr="005167E8">
        <w:tc>
          <w:tcPr>
            <w:tcW w:w="8494" w:type="dxa"/>
            <w:tcBorders>
              <w:top w:val="single" w:sz="12" w:space="0" w:color="auto"/>
              <w:left w:val="single" w:sz="12" w:space="0" w:color="auto"/>
              <w:bottom w:val="single" w:sz="12" w:space="0" w:color="auto"/>
              <w:right w:val="single" w:sz="12" w:space="0" w:color="auto"/>
            </w:tcBorders>
          </w:tcPr>
          <w:p w14:paraId="5100EB5F" w14:textId="77777777" w:rsidR="00A82680" w:rsidRDefault="00A82680" w:rsidP="004071E5">
            <w:pPr>
              <w:pStyle w:val="2"/>
            </w:pPr>
            <w:r>
              <w:t>Suggested Recommendations</w:t>
            </w:r>
          </w:p>
          <w:p w14:paraId="3C13244F" w14:textId="1EA02ABC" w:rsidR="003274A1" w:rsidRPr="003274A1" w:rsidRDefault="00EC76C3" w:rsidP="003274A1">
            <w:pPr>
              <w:pStyle w:val="af"/>
              <w:numPr>
                <w:ilvl w:val="0"/>
                <w:numId w:val="2"/>
              </w:numPr>
              <w:ind w:left="450"/>
              <w:rPr>
                <w:sz w:val="24"/>
                <w:szCs w:val="28"/>
              </w:rPr>
            </w:pPr>
            <w:r>
              <w:rPr>
                <w:sz w:val="24"/>
                <w:szCs w:val="28"/>
              </w:rPr>
              <w:t>The State Party</w:t>
            </w:r>
            <w:r w:rsidR="003274A1" w:rsidRPr="003274A1">
              <w:rPr>
                <w:sz w:val="24"/>
                <w:szCs w:val="28"/>
              </w:rPr>
              <w:t xml:space="preserve"> should </w:t>
            </w:r>
            <w:r w:rsidR="00301502" w:rsidRPr="00301502">
              <w:rPr>
                <w:sz w:val="24"/>
                <w:szCs w:val="28"/>
              </w:rPr>
              <w:t>immediately</w:t>
            </w:r>
            <w:r w:rsidR="003274A1" w:rsidRPr="003274A1">
              <w:rPr>
                <w:sz w:val="24"/>
                <w:szCs w:val="28"/>
              </w:rPr>
              <w:t xml:space="preserve"> decriminalize abortion and remove provisions requiring spousal consent for abortion.</w:t>
            </w:r>
          </w:p>
          <w:p w14:paraId="4564B960" w14:textId="2D8C9BD3" w:rsidR="003274A1" w:rsidRPr="003274A1" w:rsidRDefault="00EC76C3" w:rsidP="003274A1">
            <w:pPr>
              <w:pStyle w:val="af"/>
              <w:numPr>
                <w:ilvl w:val="0"/>
                <w:numId w:val="2"/>
              </w:numPr>
              <w:ind w:left="450"/>
              <w:rPr>
                <w:sz w:val="24"/>
                <w:szCs w:val="28"/>
              </w:rPr>
            </w:pPr>
            <w:r>
              <w:rPr>
                <w:sz w:val="24"/>
                <w:szCs w:val="28"/>
              </w:rPr>
              <w:t>The State Party</w:t>
            </w:r>
            <w:r w:rsidR="003274A1" w:rsidRPr="003274A1">
              <w:rPr>
                <w:sz w:val="24"/>
                <w:szCs w:val="28"/>
              </w:rPr>
              <w:t xml:space="preserve"> should take measures to reduce the financial burden of abortion and contraceptive services.</w:t>
            </w:r>
          </w:p>
          <w:p w14:paraId="7ADA4EF3" w14:textId="4799303A" w:rsidR="00A82680" w:rsidRPr="00EC76C3" w:rsidRDefault="00EC76C3" w:rsidP="003274A1">
            <w:pPr>
              <w:pStyle w:val="af"/>
              <w:numPr>
                <w:ilvl w:val="0"/>
                <w:numId w:val="2"/>
              </w:numPr>
              <w:ind w:left="450"/>
            </w:pPr>
            <w:r>
              <w:rPr>
                <w:sz w:val="24"/>
                <w:szCs w:val="28"/>
              </w:rPr>
              <w:t>The State Party</w:t>
            </w:r>
            <w:r w:rsidR="003274A1" w:rsidRPr="003274A1">
              <w:rPr>
                <w:sz w:val="24"/>
                <w:szCs w:val="28"/>
              </w:rPr>
              <w:t xml:space="preserve"> should take measures to ensure that women have access to abortion methods in accordance with international standards.</w:t>
            </w:r>
          </w:p>
          <w:p w14:paraId="673A2C29" w14:textId="12E67100" w:rsidR="00EC76C3" w:rsidRPr="00EC76C3" w:rsidRDefault="00EC76C3" w:rsidP="00EC76C3">
            <w:pPr>
              <w:pStyle w:val="af"/>
              <w:numPr>
                <w:ilvl w:val="0"/>
                <w:numId w:val="2"/>
              </w:numPr>
              <w:ind w:left="450"/>
              <w:rPr>
                <w:rFonts w:eastAsiaTheme="minorEastAsia"/>
              </w:rPr>
            </w:pPr>
            <w:r w:rsidRPr="00EC76C3">
              <w:t>The State Party should remove the "limitation provisions" in the national curriculum guidelines that have a chilling effect on the implementation of comprehensive sex education in schools.</w:t>
            </w:r>
          </w:p>
        </w:tc>
      </w:tr>
    </w:tbl>
    <w:p w14:paraId="7599B311" w14:textId="0AF17414" w:rsidR="004711E8" w:rsidRDefault="004711E8" w:rsidP="001A6E93">
      <w:r>
        <w:rPr>
          <w:rFonts w:hint="eastAsia"/>
        </w:rPr>
        <w:t xml:space="preserve">　</w:t>
      </w:r>
    </w:p>
    <w:p w14:paraId="1085737D" w14:textId="3B8447A4" w:rsidR="00BA3EA1" w:rsidRDefault="00BA3EA1" w:rsidP="00BA3EA1">
      <w:pPr>
        <w:rPr>
          <w:rFonts w:eastAsiaTheme="minorEastAsia"/>
        </w:rPr>
      </w:pPr>
      <w:r>
        <w:t xml:space="preserve">The Penal Code criminalizes abortion and imposes penalties for it, and the Maternal Protection Law requires spousal consent for abortion, giving the husband the final decision on whether to continue the pregnancy. These issues have been highlighted in previous concluding observations, but there has been no indication of an intention to revise these laws, which disregard women's human rights and bodily integrity. The government has repeatedly stated that it is carefully considering </w:t>
      </w:r>
      <w:r w:rsidR="00301502" w:rsidRPr="00301502">
        <w:t>repealing the criminalization of abortion</w:t>
      </w:r>
      <w:r>
        <w:t xml:space="preserve">, citing </w:t>
      </w:r>
      <w:r w:rsidR="00301502" w:rsidRPr="00301502">
        <w:t>concerns for the life of the fetus</w:t>
      </w:r>
      <w:r>
        <w:t xml:space="preserve">. </w:t>
      </w:r>
      <w:r w:rsidR="00B4312B">
        <w:rPr>
          <w:rFonts w:eastAsiaTheme="minorEastAsia" w:hint="eastAsia"/>
        </w:rPr>
        <w:t>I</w:t>
      </w:r>
      <w:r w:rsidR="00112F35" w:rsidRPr="00112F35">
        <w:t xml:space="preserve">t continues to reject the review of the requirement for spousal consent, citing </w:t>
      </w:r>
      <w:r w:rsidR="00301502" w:rsidRPr="00301502">
        <w:t>differing</w:t>
      </w:r>
      <w:r w:rsidR="00112F35" w:rsidRPr="00112F35">
        <w:t xml:space="preserve"> personal ethics and ongoing disputes as factors.</w:t>
      </w:r>
    </w:p>
    <w:p w14:paraId="670FF670" w14:textId="77777777" w:rsidR="00112F35" w:rsidRPr="00112F35" w:rsidRDefault="00112F35" w:rsidP="00BA3EA1">
      <w:pPr>
        <w:rPr>
          <w:rFonts w:eastAsiaTheme="minorEastAsia"/>
        </w:rPr>
      </w:pPr>
    </w:p>
    <w:p w14:paraId="071A114E" w14:textId="77777777" w:rsidR="00BA3EA1" w:rsidRDefault="00BA3EA1" w:rsidP="00BA3EA1">
      <w:pPr>
        <w:rPr>
          <w:rFonts w:eastAsiaTheme="minorEastAsia"/>
        </w:rPr>
      </w:pPr>
      <w:r>
        <w:t>Refer to the Beijing Platform for Action 106(k) and General Comment 22 of the CESCR, para 57.</w:t>
      </w:r>
    </w:p>
    <w:p w14:paraId="7CE4F638" w14:textId="6E42789D" w:rsidR="001A6E93" w:rsidRDefault="001A6E93" w:rsidP="00BA3EA1">
      <w:pPr>
        <w:rPr>
          <w:rFonts w:eastAsiaTheme="minorEastAsia"/>
        </w:rPr>
      </w:pPr>
      <w:r>
        <w:t>The current laws are as follows</w:t>
      </w:r>
    </w:p>
    <w:tbl>
      <w:tblPr>
        <w:tblStyle w:val="ab"/>
        <w:tblW w:w="0" w:type="auto"/>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2F2F2" w:themeFill="background1" w:themeFillShade="F2"/>
        <w:tblCellMar>
          <w:top w:w="113" w:type="dxa"/>
          <w:left w:w="142" w:type="dxa"/>
          <w:bottom w:w="113" w:type="dxa"/>
          <w:right w:w="142" w:type="dxa"/>
        </w:tblCellMar>
        <w:tblLook w:val="04A0" w:firstRow="1" w:lastRow="0" w:firstColumn="1" w:lastColumn="0" w:noHBand="0" w:noVBand="1"/>
      </w:tblPr>
      <w:tblGrid>
        <w:gridCol w:w="8080"/>
      </w:tblGrid>
      <w:tr w:rsidR="005167E8" w14:paraId="5146A713" w14:textId="77777777" w:rsidTr="00FE2484">
        <w:trPr>
          <w:trHeight w:val="1071"/>
        </w:trPr>
        <w:tc>
          <w:tcPr>
            <w:tcW w:w="8080" w:type="dxa"/>
            <w:shd w:val="clear" w:color="auto" w:fill="F2F2F2" w:themeFill="background1" w:themeFillShade="F2"/>
          </w:tcPr>
          <w:p w14:paraId="3F8F7569" w14:textId="77777777" w:rsidR="005167E8" w:rsidRDefault="005167E8" w:rsidP="00976637">
            <w:pPr>
              <w:pStyle w:val="2"/>
              <w:snapToGrid w:val="0"/>
            </w:pPr>
            <w:r>
              <w:lastRenderedPageBreak/>
              <w:t>Penal Code</w:t>
            </w:r>
          </w:p>
          <w:p w14:paraId="6DCD38ED" w14:textId="77777777" w:rsidR="005167E8" w:rsidRPr="00AE79BF" w:rsidRDefault="005167E8" w:rsidP="00BF3522">
            <w:pPr>
              <w:pStyle w:val="af"/>
              <w:numPr>
                <w:ilvl w:val="0"/>
                <w:numId w:val="3"/>
              </w:numPr>
              <w:snapToGrid w:val="0"/>
              <w:ind w:left="450"/>
            </w:pPr>
            <w:r>
              <w:t>Article 212</w:t>
            </w:r>
            <w:r w:rsidR="00260884">
              <w:rPr>
                <w:rFonts w:eastAsiaTheme="minorEastAsia" w:hint="eastAsia"/>
              </w:rPr>
              <w:t>:</w:t>
            </w:r>
            <w:r>
              <w:t xml:space="preserve"> Any pregnant woman who aborts by using drugs or by any other means shall be punished with imprisonment with work for not more than one year.</w:t>
            </w:r>
          </w:p>
          <w:p w14:paraId="4E0FDAB8" w14:textId="3862C684" w:rsidR="00AE79BF" w:rsidRPr="005167E8" w:rsidRDefault="007003A1" w:rsidP="007003A1">
            <w:pPr>
              <w:snapToGrid w:val="0"/>
            </w:pPr>
            <w:r>
              <w:rPr>
                <w:rFonts w:hint="eastAsia"/>
              </w:rPr>
              <w:t>•</w:t>
            </w:r>
            <w:r>
              <w:t>Under the</w:t>
            </w:r>
            <w:r w:rsidRPr="007003A1">
              <w:rPr>
                <w:rFonts w:eastAsiaTheme="minorEastAsia" w:hint="eastAsia"/>
              </w:rPr>
              <w:t xml:space="preserve"> </w:t>
            </w:r>
            <w:r>
              <w:t>Article 214, health providers who commits abortion are to be</w:t>
            </w:r>
            <w:r w:rsidRPr="007003A1">
              <w:rPr>
                <w:rFonts w:eastAsiaTheme="minorEastAsia" w:hint="eastAsia"/>
              </w:rPr>
              <w:t xml:space="preserve"> </w:t>
            </w:r>
            <w:r>
              <w:t xml:space="preserve">punished </w:t>
            </w:r>
            <w:r w:rsidRPr="007003A1">
              <w:rPr>
                <w:rFonts w:eastAsiaTheme="minorEastAsia" w:hint="eastAsia"/>
              </w:rPr>
              <w:t xml:space="preserve">with </w:t>
            </w:r>
            <w:r>
              <w:t>imprisonment.</w:t>
            </w:r>
          </w:p>
        </w:tc>
      </w:tr>
      <w:tr w:rsidR="005167E8" w14:paraId="6098878F" w14:textId="77777777" w:rsidTr="005167E8">
        <w:trPr>
          <w:trHeight w:val="2895"/>
        </w:trPr>
        <w:tc>
          <w:tcPr>
            <w:tcW w:w="8080" w:type="dxa"/>
            <w:shd w:val="clear" w:color="auto" w:fill="F2F2F2" w:themeFill="background1" w:themeFillShade="F2"/>
          </w:tcPr>
          <w:p w14:paraId="570362A1" w14:textId="77777777" w:rsidR="005167E8" w:rsidRDefault="005167E8" w:rsidP="005167E8">
            <w:pPr>
              <w:pStyle w:val="2"/>
              <w:snapToGrid w:val="0"/>
            </w:pPr>
            <w:r>
              <w:t>Maternal Protection Act</w:t>
            </w:r>
          </w:p>
          <w:p w14:paraId="35090C1F" w14:textId="77777777" w:rsidR="00BF3522" w:rsidRPr="00BF3522" w:rsidRDefault="005167E8" w:rsidP="00FB34FD">
            <w:pPr>
              <w:pStyle w:val="af"/>
              <w:snapToGrid w:val="0"/>
              <w:ind w:left="309"/>
            </w:pPr>
            <w:r>
              <w:t>Article 14</w:t>
            </w:r>
          </w:p>
          <w:p w14:paraId="37EB9261" w14:textId="1AB536EE" w:rsidR="005167E8" w:rsidRDefault="005167E8" w:rsidP="00FB34FD">
            <w:pPr>
              <w:pStyle w:val="af"/>
              <w:snapToGrid w:val="0"/>
              <w:ind w:left="309"/>
            </w:pPr>
            <w:r>
              <w:t xml:space="preserve"> A physician designated by a medical association established as a public interest incorporated association in a unitary prefecture (hereinafter referred to as a “Designated Physician”) may perform an abortion on a person who falls under any of the following items, with the consent of the woman herself and her spouse</w:t>
            </w:r>
          </w:p>
          <w:p w14:paraId="635B6F8C" w14:textId="77777777" w:rsidR="005167E8" w:rsidRDefault="005167E8" w:rsidP="005167E8">
            <w:pPr>
              <w:pStyle w:val="af"/>
              <w:numPr>
                <w:ilvl w:val="1"/>
                <w:numId w:val="6"/>
              </w:numPr>
              <w:snapToGrid w:val="0"/>
              <w:ind w:left="706"/>
            </w:pPr>
            <w:r>
              <w:t>Those whose continued pregnancy or delivery is likely to cause serious harm to the mother's health for physical or financial reasons</w:t>
            </w:r>
          </w:p>
          <w:p w14:paraId="45D345AB" w14:textId="77777777" w:rsidR="005167E8" w:rsidRDefault="005167E8" w:rsidP="005167E8">
            <w:pPr>
              <w:pStyle w:val="af"/>
              <w:numPr>
                <w:ilvl w:val="1"/>
                <w:numId w:val="6"/>
              </w:numPr>
              <w:snapToGrid w:val="0"/>
              <w:ind w:left="706"/>
            </w:pPr>
            <w:r>
              <w:t>The pregnancy was caused by assault or intimidation or by adultery while the woman was unable to resist or refuse.</w:t>
            </w:r>
          </w:p>
          <w:p w14:paraId="47609DF4" w14:textId="55249BF8" w:rsidR="005167E8" w:rsidRDefault="005167E8" w:rsidP="005167E8">
            <w:pPr>
              <w:snapToGrid w:val="0"/>
            </w:pPr>
            <w:r>
              <w:t>(2) The consent set forth in the preceding paragraph shall be sufficient if the spouse is unknown or unable to manifest his/her intention, or if the spouse ceases to exist after the pregnancy, the consent of the woman herself shall be sufficient.</w:t>
            </w:r>
          </w:p>
        </w:tc>
      </w:tr>
    </w:tbl>
    <w:p w14:paraId="0936F1E2" w14:textId="77777777" w:rsidR="001A6E93" w:rsidRDefault="001A6E93" w:rsidP="001A6E93"/>
    <w:p w14:paraId="29A51AA1" w14:textId="77777777" w:rsidR="00BA3EA1" w:rsidRPr="00BA3EA1" w:rsidRDefault="00BA3EA1" w:rsidP="00BA3EA1">
      <w:pPr>
        <w:rPr>
          <w:rFonts w:eastAsiaTheme="minorEastAsia"/>
        </w:rPr>
      </w:pPr>
      <w:r w:rsidRPr="00BA3EA1">
        <w:rPr>
          <w:rFonts w:eastAsiaTheme="minorEastAsia"/>
        </w:rPr>
        <w:t>Despite numerous recommendations on Sexual and Reproductive Health and Rights (SRHR) from the United Nations Universal Periodic Review (UPR) in 2023, the government has shown no intention to amend these laws and has refused to accept the SRHR recommendations, as detailed in the table below.</w:t>
      </w:r>
    </w:p>
    <w:p w14:paraId="3DFB4F41" w14:textId="77777777" w:rsidR="00BA3EA1" w:rsidRPr="00BA3EA1" w:rsidRDefault="00BA3EA1" w:rsidP="00BA3EA1">
      <w:pPr>
        <w:rPr>
          <w:rFonts w:eastAsiaTheme="minorEastAsia"/>
        </w:rPr>
      </w:pPr>
    </w:p>
    <w:p w14:paraId="5A4231A7" w14:textId="60A06442" w:rsidR="00BA3EA1" w:rsidRDefault="0091717B" w:rsidP="00BA3EA1">
      <w:pPr>
        <w:rPr>
          <w:rFonts w:eastAsiaTheme="minorEastAsia"/>
        </w:rPr>
      </w:pPr>
      <w:r w:rsidRPr="0091717B">
        <w:rPr>
          <w:rFonts w:eastAsiaTheme="minorEastAsia"/>
        </w:rPr>
        <w:t xml:space="preserve">Contrary to the methods recommended by the World Health Organization (WHO), such as manual vacuum aspiration and medical abortions, the dilation and curettage method </w:t>
      </w:r>
      <w:r w:rsidR="00301502" w:rsidRPr="00301502">
        <w:rPr>
          <w:rFonts w:eastAsiaTheme="minorEastAsia"/>
        </w:rPr>
        <w:t>is still widely used</w:t>
      </w:r>
      <w:r w:rsidR="00B71C2D">
        <w:rPr>
          <w:rStyle w:val="ae"/>
          <w:rFonts w:eastAsiaTheme="minorEastAsia"/>
        </w:rPr>
        <w:footnoteReference w:id="2"/>
      </w:r>
      <w:r w:rsidRPr="0091717B">
        <w:rPr>
          <w:rFonts w:eastAsiaTheme="minorEastAsia"/>
        </w:rPr>
        <w:t xml:space="preserve">, posing both physical and psychological risks to women. The cost of a first-trimester abortion is approximately </w:t>
      </w:r>
      <w:r w:rsidR="00301502" w:rsidRPr="00301502">
        <w:rPr>
          <w:rFonts w:eastAsiaTheme="minorEastAsia"/>
        </w:rPr>
        <w:t>US$700</w:t>
      </w:r>
      <w:r w:rsidRPr="0091717B">
        <w:rPr>
          <w:rFonts w:eastAsiaTheme="minorEastAsia"/>
        </w:rPr>
        <w:t xml:space="preserve">. Although abortion pills have been approved by the Ministry of Health, Labor, and Welfare (MHLW), they are not covered by health insurance, resulting in high costs for the pills, consultation fees, and hospitalization. Women are required to remain in the hospital until the abortion is confirmed as complete, which </w:t>
      </w:r>
      <w:r w:rsidR="005E010F" w:rsidRPr="005E010F">
        <w:rPr>
          <w:rFonts w:eastAsiaTheme="minorEastAsia"/>
        </w:rPr>
        <w:t>is contrary to</w:t>
      </w:r>
      <w:r w:rsidRPr="0091717B">
        <w:rPr>
          <w:rFonts w:eastAsiaTheme="minorEastAsia"/>
        </w:rPr>
        <w:t xml:space="preserve"> WHO</w:t>
      </w:r>
      <w:r w:rsidR="005E010F">
        <w:rPr>
          <w:rFonts w:eastAsiaTheme="minorEastAsia"/>
        </w:rPr>
        <w:t>’</w:t>
      </w:r>
      <w:r w:rsidR="005E010F">
        <w:rPr>
          <w:rFonts w:eastAsiaTheme="minorEastAsia" w:hint="eastAsia"/>
        </w:rPr>
        <w:t>s</w:t>
      </w:r>
      <w:r w:rsidRPr="0091717B">
        <w:rPr>
          <w:rFonts w:eastAsiaTheme="minorEastAsia"/>
        </w:rPr>
        <w:t xml:space="preserve"> recommendations.</w:t>
      </w:r>
      <w:r w:rsidR="00301502">
        <w:rPr>
          <w:rFonts w:eastAsiaTheme="minorEastAsia" w:hint="eastAsia"/>
        </w:rPr>
        <w:t xml:space="preserve"> </w:t>
      </w:r>
      <w:r w:rsidR="00B4312B">
        <w:rPr>
          <w:rFonts w:eastAsiaTheme="minorEastAsia" w:hint="eastAsia"/>
        </w:rPr>
        <w:t>P</w:t>
      </w:r>
      <w:r w:rsidR="00301502" w:rsidRPr="00301502">
        <w:rPr>
          <w:rFonts w:eastAsiaTheme="minorEastAsia"/>
        </w:rPr>
        <w:t>rescriptions for abortion pills are only available at facilities that provide inpatient care, making access difficult</w:t>
      </w:r>
      <w:r w:rsidR="00BA3EA1">
        <w:rPr>
          <w:rStyle w:val="ae"/>
        </w:rPr>
        <w:footnoteReference w:id="3"/>
      </w:r>
      <w:r w:rsidR="00BA3EA1">
        <w:t>.</w:t>
      </w:r>
      <w:r w:rsidR="00BA3EA1" w:rsidRPr="00BA3EA1">
        <w:rPr>
          <w:rFonts w:eastAsiaTheme="minorEastAsia"/>
        </w:rPr>
        <w:t xml:space="preserve"> </w:t>
      </w:r>
      <w:r w:rsidRPr="0091717B">
        <w:rPr>
          <w:rFonts w:eastAsiaTheme="minorEastAsia"/>
        </w:rPr>
        <w:t xml:space="preserve">As of May 2024, only 149 medical institutions offer abortion pills, and the additional dose of misoprostol, </w:t>
      </w:r>
      <w:r w:rsidRPr="0091717B">
        <w:rPr>
          <w:rFonts w:eastAsiaTheme="minorEastAsia"/>
        </w:rPr>
        <w:lastRenderedPageBreak/>
        <w:t xml:space="preserve">required if the abortion is incomplete, is not approved, </w:t>
      </w:r>
      <w:r w:rsidR="00301502">
        <w:rPr>
          <w:rFonts w:eastAsiaTheme="minorEastAsia" w:hint="eastAsia"/>
        </w:rPr>
        <w:t xml:space="preserve">requiring </w:t>
      </w:r>
      <w:r w:rsidRPr="0091717B">
        <w:rPr>
          <w:rFonts w:eastAsiaTheme="minorEastAsia"/>
        </w:rPr>
        <w:t>a surgical procedure.</w:t>
      </w:r>
    </w:p>
    <w:p w14:paraId="6641B81D" w14:textId="77777777" w:rsidR="00BA3EA1" w:rsidRDefault="00BA3EA1" w:rsidP="001A6E93">
      <w:pPr>
        <w:rPr>
          <w:rFonts w:eastAsiaTheme="minorEastAsia"/>
        </w:rPr>
      </w:pPr>
    </w:p>
    <w:p w14:paraId="19BE16EC" w14:textId="77777777" w:rsidR="00BA3EA1" w:rsidRDefault="00BA3EA1" w:rsidP="001A6E93">
      <w:pPr>
        <w:rPr>
          <w:rFonts w:eastAsiaTheme="minorEastAsia"/>
        </w:rPr>
      </w:pPr>
    </w:p>
    <w:p w14:paraId="6AFE8426" w14:textId="5B9A7D54" w:rsidR="00BA3EA1" w:rsidRPr="00BA3EA1" w:rsidRDefault="00BA3EA1" w:rsidP="00BA3EA1">
      <w:pPr>
        <w:widowControl/>
        <w:jc w:val="left"/>
        <w:rPr>
          <w:rFonts w:eastAsiaTheme="minorEastAsia"/>
        </w:rPr>
      </w:pPr>
      <w:r w:rsidRPr="00BA3EA1">
        <w:rPr>
          <w:rFonts w:eastAsiaTheme="minorEastAsia"/>
        </w:rPr>
        <w:t xml:space="preserve">Although the Fifth National Basic Plan for Gender Equality includes a plan to implement a policy to make emergency contraceptives available at pharmacies without a prescription, this has not been implemented. The MHLW </w:t>
      </w:r>
      <w:r w:rsidR="00301502">
        <w:rPr>
          <w:rFonts w:eastAsiaTheme="minorEastAsia" w:hint="eastAsia"/>
        </w:rPr>
        <w:t>launched</w:t>
      </w:r>
      <w:r w:rsidRPr="00BA3EA1">
        <w:rPr>
          <w:rFonts w:eastAsiaTheme="minorEastAsia"/>
        </w:rPr>
        <w:t xml:space="preserve"> a research study in 2023 for pilot sales at about 150 pharmacies nationwide, but access is severely restricted. Only women aged 16 and older can purchase the pills, and 16- and 17-year-olds must be accompanied by a parent or guardian. Economic barriers also exist, as obtaining emergency contraceptive</w:t>
      </w:r>
      <w:r w:rsidR="008C3860">
        <w:rPr>
          <w:rFonts w:eastAsiaTheme="minorEastAsia" w:hint="eastAsia"/>
        </w:rPr>
        <w:t xml:space="preserve"> pill</w:t>
      </w:r>
      <w:r w:rsidRPr="00BA3EA1">
        <w:rPr>
          <w:rFonts w:eastAsiaTheme="minorEastAsia"/>
        </w:rPr>
        <w:t xml:space="preserve">s requires </w:t>
      </w:r>
      <w:r w:rsidR="008C3860" w:rsidRPr="008C3860">
        <w:rPr>
          <w:rFonts w:eastAsiaTheme="minorEastAsia"/>
        </w:rPr>
        <w:t>a visit to a hospital or clinic</w:t>
      </w:r>
      <w:r w:rsidRPr="00BA3EA1">
        <w:rPr>
          <w:rFonts w:eastAsiaTheme="minorEastAsia"/>
        </w:rPr>
        <w:t xml:space="preserve"> costing between </w:t>
      </w:r>
      <w:r w:rsidR="008C3860" w:rsidRPr="008C3860">
        <w:rPr>
          <w:rFonts w:eastAsiaTheme="minorEastAsia"/>
        </w:rPr>
        <w:t>US$40</w:t>
      </w:r>
      <w:r w:rsidRPr="00BA3EA1">
        <w:rPr>
          <w:rFonts w:eastAsiaTheme="minorEastAsia"/>
        </w:rPr>
        <w:t xml:space="preserve"> and </w:t>
      </w:r>
      <w:r w:rsidR="008C3860" w:rsidRPr="008C3860">
        <w:rPr>
          <w:rFonts w:eastAsiaTheme="minorEastAsia"/>
        </w:rPr>
        <w:t>US$133</w:t>
      </w:r>
      <w:r w:rsidRPr="00BA3EA1">
        <w:rPr>
          <w:rFonts w:eastAsiaTheme="minorEastAsia"/>
        </w:rPr>
        <w:t>.</w:t>
      </w:r>
    </w:p>
    <w:p w14:paraId="4120A33C" w14:textId="77777777" w:rsidR="00BA3EA1" w:rsidRPr="00BA3EA1" w:rsidRDefault="00BA3EA1" w:rsidP="00BA3EA1">
      <w:pPr>
        <w:widowControl/>
        <w:jc w:val="left"/>
        <w:rPr>
          <w:rFonts w:eastAsiaTheme="minorEastAsia"/>
        </w:rPr>
      </w:pPr>
    </w:p>
    <w:p w14:paraId="79D73276" w14:textId="3A4D01E9" w:rsidR="00BC0F26" w:rsidRDefault="00BA3EA1" w:rsidP="00BA3EA1">
      <w:pPr>
        <w:rPr>
          <w:rFonts w:eastAsiaTheme="minorEastAsia"/>
        </w:rPr>
      </w:pPr>
      <w:r w:rsidRPr="00BA3EA1">
        <w:rPr>
          <w:rFonts w:eastAsiaTheme="minorEastAsia"/>
        </w:rPr>
        <w:t xml:space="preserve">In Japan, health insurance typically covers injuries and illnesses, but not abortion or contraception, which are considered non-medical. </w:t>
      </w:r>
      <w:r w:rsidR="008C3860" w:rsidRPr="008C3860">
        <w:rPr>
          <w:rFonts w:eastAsiaTheme="minorEastAsia"/>
        </w:rPr>
        <w:t xml:space="preserve">The cost of sexual and reproductive health </w:t>
      </w:r>
      <w:r w:rsidR="008C3860" w:rsidRPr="00BA3EA1">
        <w:rPr>
          <w:rFonts w:eastAsiaTheme="minorEastAsia"/>
        </w:rPr>
        <w:t>(SRH)</w:t>
      </w:r>
      <w:r w:rsidR="008C3860">
        <w:rPr>
          <w:rFonts w:eastAsiaTheme="minorEastAsia" w:hint="eastAsia"/>
        </w:rPr>
        <w:t xml:space="preserve"> </w:t>
      </w:r>
      <w:r w:rsidR="008C3860" w:rsidRPr="008C3860">
        <w:rPr>
          <w:rFonts w:eastAsiaTheme="minorEastAsia"/>
        </w:rPr>
        <w:t xml:space="preserve">services </w:t>
      </w:r>
      <w:r w:rsidR="008C3860">
        <w:rPr>
          <w:rFonts w:eastAsiaTheme="minorEastAsia" w:hint="eastAsia"/>
        </w:rPr>
        <w:t>is</w:t>
      </w:r>
      <w:r w:rsidRPr="00BA3EA1">
        <w:rPr>
          <w:rFonts w:eastAsiaTheme="minorEastAsia"/>
        </w:rPr>
        <w:t xml:space="preserve"> generally not covered by health insurance</w:t>
      </w:r>
      <w:r>
        <w:rPr>
          <w:rStyle w:val="ae"/>
        </w:rPr>
        <w:footnoteReference w:id="4"/>
      </w:r>
      <w:r>
        <w:rPr>
          <w:rFonts w:eastAsiaTheme="minorEastAsia" w:hint="eastAsia"/>
        </w:rPr>
        <w:t xml:space="preserve"> </w:t>
      </w:r>
      <w:r w:rsidRPr="00BA3EA1">
        <w:rPr>
          <w:rFonts w:eastAsiaTheme="minorEastAsia"/>
        </w:rPr>
        <w:t xml:space="preserve">or public subsidies, placing a financial burden on women. </w:t>
      </w:r>
      <w:r w:rsidR="00B4312B">
        <w:rPr>
          <w:rFonts w:eastAsiaTheme="minorEastAsia" w:hint="eastAsia"/>
        </w:rPr>
        <w:t>T</w:t>
      </w:r>
      <w:r w:rsidRPr="00BA3EA1">
        <w:rPr>
          <w:rFonts w:eastAsiaTheme="minorEastAsia"/>
        </w:rPr>
        <w:t>here is a lack of widespread information about SRH services, particularly regarding abortion and contraception.</w:t>
      </w:r>
    </w:p>
    <w:p w14:paraId="1D59DE76" w14:textId="77777777" w:rsidR="00EC76C3" w:rsidRDefault="00EC76C3" w:rsidP="00BA3EA1">
      <w:pPr>
        <w:rPr>
          <w:rFonts w:eastAsiaTheme="minorEastAsia"/>
        </w:rPr>
      </w:pPr>
    </w:p>
    <w:p w14:paraId="5AF60B1A" w14:textId="77777777" w:rsidR="00EC76C3" w:rsidRPr="00EC76C3" w:rsidRDefault="00EC76C3" w:rsidP="00EC76C3">
      <w:pPr>
        <w:rPr>
          <w:rFonts w:eastAsiaTheme="minorEastAsia"/>
        </w:rPr>
      </w:pPr>
      <w:r w:rsidRPr="00EC76C3">
        <w:rPr>
          <w:rFonts w:eastAsiaTheme="minorEastAsia"/>
        </w:rPr>
        <w:t>The national curriculum guidelines stipulate that in 5th grade science, "the process leading to human fertilization shall not be covered," and in 1st-year junior high school health and physical education, "the course of pregnancy shall not be covered." These "limitation provisions" have led to a continued tendency to avoid teaching about "sexual intercourse" in school education, thereby hindering the implementation of comprehensive sex education.</w:t>
      </w:r>
    </w:p>
    <w:p w14:paraId="02C2547E" w14:textId="77777777" w:rsidR="00EC76C3" w:rsidRPr="00EC76C3" w:rsidRDefault="00EC76C3" w:rsidP="00BA3EA1">
      <w:pPr>
        <w:rPr>
          <w:rFonts w:eastAsiaTheme="minorEastAsia"/>
        </w:rPr>
      </w:pPr>
    </w:p>
    <w:tbl>
      <w:tblPr>
        <w:tblW w:w="8230" w:type="dxa"/>
        <w:tblInd w:w="142" w:type="dxa"/>
        <w:tblCellMar>
          <w:top w:w="113" w:type="dxa"/>
          <w:left w:w="113" w:type="dxa"/>
          <w:bottom w:w="113" w:type="dxa"/>
          <w:right w:w="113" w:type="dxa"/>
        </w:tblCellMar>
        <w:tblLook w:val="04A0" w:firstRow="1" w:lastRow="0" w:firstColumn="1" w:lastColumn="0" w:noHBand="0" w:noVBand="1"/>
      </w:tblPr>
      <w:tblGrid>
        <w:gridCol w:w="4111"/>
        <w:gridCol w:w="4111"/>
        <w:gridCol w:w="8"/>
      </w:tblGrid>
      <w:tr w:rsidR="001A6E93" w:rsidRPr="00285BE6" w14:paraId="638841F3" w14:textId="77777777" w:rsidTr="00585E86">
        <w:trPr>
          <w:trHeight w:val="567"/>
        </w:trPr>
        <w:tc>
          <w:tcPr>
            <w:tcW w:w="8230" w:type="dxa"/>
            <w:gridSpan w:val="3"/>
            <w:tcBorders>
              <w:top w:val="nil"/>
              <w:left w:val="nil"/>
              <w:bottom w:val="single" w:sz="4" w:space="0" w:color="auto"/>
              <w:right w:val="nil"/>
            </w:tcBorders>
            <w:shd w:val="clear" w:color="auto" w:fill="auto"/>
            <w:noWrap/>
            <w:vAlign w:val="center"/>
            <w:hideMark/>
          </w:tcPr>
          <w:p w14:paraId="366F3670" w14:textId="0A082BAA" w:rsidR="001A6E93" w:rsidRPr="00285BE6" w:rsidRDefault="001A6E93" w:rsidP="006B163E">
            <w:pPr>
              <w:widowControl/>
              <w:snapToGrid w:val="0"/>
              <w:jc w:val="center"/>
              <w:rPr>
                <w:rFonts w:eastAsia="游ゴシック"/>
                <w:b/>
                <w:bCs/>
                <w:color w:val="000000"/>
                <w:kern w:val="0"/>
                <w:szCs w:val="21"/>
                <w14:ligatures w14:val="none"/>
              </w:rPr>
            </w:pPr>
            <w:r w:rsidRPr="00285BE6">
              <w:rPr>
                <w:rFonts w:eastAsia="游ゴシック"/>
                <w:b/>
                <w:bCs/>
                <w:color w:val="000000"/>
                <w:kern w:val="0"/>
                <w:sz w:val="24"/>
                <w:szCs w:val="24"/>
                <w14:ligatures w14:val="none"/>
              </w:rPr>
              <w:t>Views on conclusions and/or recommendations, voluntary commitments and replies presented by the State under review</w:t>
            </w:r>
          </w:p>
        </w:tc>
      </w:tr>
      <w:tr w:rsidR="001A6E93" w:rsidRPr="00285BE6" w14:paraId="7C2EEA16" w14:textId="77777777" w:rsidTr="00585E86">
        <w:trPr>
          <w:gridAfter w:val="1"/>
          <w:wAfter w:w="8" w:type="dxa"/>
          <w:trHeight w:val="480"/>
        </w:trPr>
        <w:tc>
          <w:tcPr>
            <w:tcW w:w="411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D56EA41" w14:textId="77777777" w:rsidR="001A6E93" w:rsidRPr="00285BE6" w:rsidRDefault="001A6E93" w:rsidP="00285BE6">
            <w:pPr>
              <w:widowControl/>
              <w:snapToGrid w:val="0"/>
              <w:jc w:val="center"/>
              <w:rPr>
                <w:rFonts w:eastAsia="游ゴシック"/>
                <w:b/>
                <w:bCs/>
                <w:color w:val="000000"/>
                <w:kern w:val="0"/>
                <w:szCs w:val="21"/>
                <w14:ligatures w14:val="none"/>
              </w:rPr>
            </w:pPr>
            <w:r w:rsidRPr="00285BE6">
              <w:rPr>
                <w:rFonts w:eastAsia="游ゴシック"/>
                <w:b/>
                <w:bCs/>
                <w:color w:val="000000"/>
                <w:kern w:val="0"/>
                <w:szCs w:val="21"/>
                <w14:ligatures w14:val="none"/>
              </w:rPr>
              <w:t>Recommendation and recommending State</w:t>
            </w:r>
            <w:r w:rsidRPr="00285BE6">
              <w:rPr>
                <w:rFonts w:eastAsia="游ゴシック"/>
                <w:b/>
                <w:bCs/>
                <w:color w:val="000000"/>
                <w:kern w:val="0"/>
                <w:szCs w:val="21"/>
                <w14:ligatures w14:val="none"/>
              </w:rPr>
              <w:br/>
              <w:t>A/HRC/53/15, 21 April 2023</w:t>
            </w:r>
          </w:p>
        </w:tc>
        <w:tc>
          <w:tcPr>
            <w:tcW w:w="4111" w:type="dxa"/>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0A65BDCC" w14:textId="77777777" w:rsidR="001A6E93" w:rsidRPr="00285BE6" w:rsidRDefault="001A6E93" w:rsidP="00285BE6">
            <w:pPr>
              <w:widowControl/>
              <w:snapToGrid w:val="0"/>
              <w:jc w:val="center"/>
              <w:rPr>
                <w:rFonts w:eastAsia="游ゴシック"/>
                <w:b/>
                <w:bCs/>
                <w:color w:val="000000"/>
                <w:kern w:val="0"/>
                <w:szCs w:val="21"/>
                <w14:ligatures w14:val="none"/>
              </w:rPr>
            </w:pPr>
            <w:r w:rsidRPr="00285BE6">
              <w:rPr>
                <w:rFonts w:eastAsia="游ゴシック"/>
                <w:b/>
                <w:bCs/>
                <w:color w:val="000000"/>
                <w:kern w:val="0"/>
                <w:szCs w:val="21"/>
                <w14:ligatures w14:val="none"/>
              </w:rPr>
              <w:t>Position of the State under review</w:t>
            </w:r>
            <w:r w:rsidRPr="00285BE6">
              <w:rPr>
                <w:rFonts w:eastAsia="游ゴシック"/>
                <w:b/>
                <w:bCs/>
                <w:color w:val="000000"/>
                <w:kern w:val="0"/>
                <w:szCs w:val="21"/>
                <w14:ligatures w14:val="none"/>
              </w:rPr>
              <w:br/>
              <w:t>A/HRC/53/15/Add.1, 8 June 2023</w:t>
            </w:r>
          </w:p>
        </w:tc>
      </w:tr>
      <w:tr w:rsidR="001A6E93" w:rsidRPr="00285BE6" w14:paraId="5542081B" w14:textId="77777777" w:rsidTr="00585E86">
        <w:trPr>
          <w:gridAfter w:val="1"/>
          <w:wAfter w:w="8" w:type="dxa"/>
          <w:trHeight w:val="711"/>
        </w:trPr>
        <w:tc>
          <w:tcPr>
            <w:tcW w:w="4111" w:type="dxa"/>
            <w:tcBorders>
              <w:top w:val="single" w:sz="4" w:space="0" w:color="auto"/>
              <w:left w:val="single" w:sz="4" w:space="0" w:color="auto"/>
              <w:bottom w:val="single" w:sz="4" w:space="0" w:color="auto"/>
              <w:right w:val="single" w:sz="4" w:space="0" w:color="auto"/>
            </w:tcBorders>
            <w:shd w:val="clear" w:color="auto" w:fill="auto"/>
            <w:hideMark/>
          </w:tcPr>
          <w:p w14:paraId="2ED749ED" w14:textId="77777777" w:rsidR="001A6E93" w:rsidRPr="00285BE6" w:rsidRDefault="001A6E93" w:rsidP="00585E86">
            <w:pPr>
              <w:widowControl/>
              <w:snapToGrid w:val="0"/>
              <w:jc w:val="left"/>
              <w:rPr>
                <w:rFonts w:eastAsia="游ゴシック"/>
                <w:color w:val="000000"/>
                <w:kern w:val="0"/>
                <w:szCs w:val="21"/>
                <w14:ligatures w14:val="none"/>
              </w:rPr>
            </w:pPr>
            <w:r w:rsidRPr="00285BE6">
              <w:rPr>
                <w:rFonts w:eastAsia="游ゴシック"/>
                <w:color w:val="000000"/>
                <w:kern w:val="0"/>
                <w:szCs w:val="21"/>
                <w14:ligatures w14:val="none"/>
              </w:rPr>
              <w:t>Report of the Working Group on the Universal Periodic Review*</w:t>
            </w:r>
          </w:p>
        </w:tc>
        <w:tc>
          <w:tcPr>
            <w:tcW w:w="4111" w:type="dxa"/>
            <w:tcBorders>
              <w:top w:val="single" w:sz="4" w:space="0" w:color="auto"/>
              <w:left w:val="nil"/>
              <w:bottom w:val="single" w:sz="4" w:space="0" w:color="auto"/>
              <w:right w:val="single" w:sz="4" w:space="0" w:color="auto"/>
            </w:tcBorders>
            <w:shd w:val="clear" w:color="auto" w:fill="auto"/>
            <w:hideMark/>
          </w:tcPr>
          <w:p w14:paraId="143BCD5C" w14:textId="77777777" w:rsidR="001A6E93" w:rsidRPr="00285BE6" w:rsidRDefault="001A6E93" w:rsidP="00585E86">
            <w:pPr>
              <w:widowControl/>
              <w:snapToGrid w:val="0"/>
              <w:jc w:val="left"/>
              <w:rPr>
                <w:rFonts w:eastAsia="游ゴシック"/>
                <w:color w:val="000000"/>
                <w:kern w:val="0"/>
                <w:szCs w:val="21"/>
                <w14:ligatures w14:val="none"/>
              </w:rPr>
            </w:pPr>
            <w:r w:rsidRPr="00285BE6">
              <w:rPr>
                <w:rFonts w:eastAsia="游ゴシック"/>
                <w:color w:val="000000"/>
                <w:kern w:val="0"/>
                <w:szCs w:val="21"/>
                <w14:ligatures w14:val="none"/>
              </w:rPr>
              <w:t>Views on conclusions and/or recommendations, voluntary commitments and replies presented by the State under review</w:t>
            </w:r>
          </w:p>
        </w:tc>
      </w:tr>
      <w:tr w:rsidR="001A6E93" w:rsidRPr="00285BE6" w14:paraId="1E94DA5E" w14:textId="77777777" w:rsidTr="00585E86">
        <w:trPr>
          <w:gridAfter w:val="1"/>
          <w:wAfter w:w="8" w:type="dxa"/>
          <w:trHeight w:val="960"/>
        </w:trPr>
        <w:tc>
          <w:tcPr>
            <w:tcW w:w="4111" w:type="dxa"/>
            <w:tcBorders>
              <w:top w:val="single" w:sz="4" w:space="0" w:color="auto"/>
              <w:left w:val="single" w:sz="4" w:space="0" w:color="auto"/>
              <w:bottom w:val="single" w:sz="4" w:space="0" w:color="auto"/>
              <w:right w:val="single" w:sz="4" w:space="0" w:color="auto"/>
            </w:tcBorders>
            <w:shd w:val="clear" w:color="auto" w:fill="auto"/>
            <w:hideMark/>
          </w:tcPr>
          <w:p w14:paraId="613DCACC" w14:textId="77777777" w:rsidR="001A6E93" w:rsidRPr="00285BE6" w:rsidRDefault="001A6E93" w:rsidP="00585E86">
            <w:pPr>
              <w:widowControl/>
              <w:snapToGrid w:val="0"/>
              <w:jc w:val="left"/>
              <w:rPr>
                <w:rFonts w:eastAsia="游ゴシック"/>
                <w:color w:val="000000"/>
                <w:kern w:val="0"/>
                <w:szCs w:val="21"/>
                <w14:ligatures w14:val="none"/>
              </w:rPr>
            </w:pPr>
            <w:r w:rsidRPr="00285BE6">
              <w:rPr>
                <w:rFonts w:eastAsia="游ゴシック"/>
                <w:color w:val="000000"/>
                <w:kern w:val="0"/>
                <w:szCs w:val="21"/>
                <w14:ligatures w14:val="none"/>
              </w:rPr>
              <w:t>158.12 Ratify the Council of Europe Convention on Preventing and Combating Violence against Women and Domestic Violence (Istanbul Convention) (Denmark);</w:t>
            </w:r>
          </w:p>
        </w:tc>
        <w:tc>
          <w:tcPr>
            <w:tcW w:w="4111" w:type="dxa"/>
            <w:tcBorders>
              <w:top w:val="single" w:sz="4" w:space="0" w:color="auto"/>
              <w:left w:val="nil"/>
              <w:bottom w:val="single" w:sz="4" w:space="0" w:color="auto"/>
              <w:right w:val="single" w:sz="4" w:space="0" w:color="auto"/>
            </w:tcBorders>
            <w:shd w:val="clear" w:color="auto" w:fill="auto"/>
            <w:noWrap/>
            <w:hideMark/>
          </w:tcPr>
          <w:p w14:paraId="1A99EFE5" w14:textId="77777777" w:rsidR="001A6E93" w:rsidRPr="00285BE6" w:rsidRDefault="001A6E93" w:rsidP="00585E86">
            <w:pPr>
              <w:widowControl/>
              <w:snapToGrid w:val="0"/>
              <w:jc w:val="left"/>
              <w:rPr>
                <w:rFonts w:eastAsia="游ゴシック"/>
                <w:color w:val="000000"/>
                <w:kern w:val="0"/>
                <w:szCs w:val="21"/>
                <w14:ligatures w14:val="none"/>
              </w:rPr>
            </w:pPr>
            <w:r w:rsidRPr="00285BE6">
              <w:rPr>
                <w:rFonts w:eastAsia="游ゴシック"/>
                <w:color w:val="000000"/>
                <w:kern w:val="0"/>
                <w:szCs w:val="21"/>
                <w14:ligatures w14:val="none"/>
              </w:rPr>
              <w:t xml:space="preserve">The Istanbul Convention contains various points to consider including the significance of the Convention and its relationship with </w:t>
            </w:r>
            <w:r w:rsidRPr="00285BE6">
              <w:rPr>
                <w:rFonts w:eastAsia="游ゴシック"/>
                <w:color w:val="000000"/>
                <w:kern w:val="0"/>
                <w:szCs w:val="21"/>
                <w14:ligatures w14:val="none"/>
              </w:rPr>
              <w:lastRenderedPageBreak/>
              <w:t>domestic law. Thus, Japan needs to fully scrutinize its contents.</w:t>
            </w:r>
          </w:p>
        </w:tc>
      </w:tr>
      <w:tr w:rsidR="001A6E93" w:rsidRPr="00285BE6" w14:paraId="743F513D" w14:textId="77777777" w:rsidTr="00585E86">
        <w:trPr>
          <w:gridAfter w:val="1"/>
          <w:wAfter w:w="8" w:type="dxa"/>
          <w:trHeight w:val="825"/>
        </w:trPr>
        <w:tc>
          <w:tcPr>
            <w:tcW w:w="4111" w:type="dxa"/>
            <w:tcBorders>
              <w:top w:val="single" w:sz="4" w:space="0" w:color="auto"/>
              <w:left w:val="single" w:sz="4" w:space="0" w:color="auto"/>
              <w:bottom w:val="single" w:sz="4" w:space="0" w:color="auto"/>
              <w:right w:val="single" w:sz="4" w:space="0" w:color="auto"/>
            </w:tcBorders>
            <w:shd w:val="clear" w:color="auto" w:fill="auto"/>
            <w:hideMark/>
          </w:tcPr>
          <w:p w14:paraId="4F8A0823" w14:textId="77777777" w:rsidR="001A6E93" w:rsidRPr="00285BE6" w:rsidRDefault="001A6E93" w:rsidP="00585E86">
            <w:pPr>
              <w:widowControl/>
              <w:snapToGrid w:val="0"/>
              <w:jc w:val="left"/>
              <w:rPr>
                <w:rFonts w:eastAsia="游ゴシック"/>
                <w:color w:val="000000"/>
                <w:kern w:val="0"/>
                <w:szCs w:val="21"/>
                <w14:ligatures w14:val="none"/>
              </w:rPr>
            </w:pPr>
            <w:r w:rsidRPr="00285BE6">
              <w:rPr>
                <w:rFonts w:eastAsia="游ゴシック"/>
                <w:color w:val="000000"/>
                <w:kern w:val="0"/>
                <w:szCs w:val="21"/>
                <w14:ligatures w14:val="none"/>
              </w:rPr>
              <w:lastRenderedPageBreak/>
              <w:t>158.13 Promote gender equality further by intensifying the fight against domestic violence and ratifying the Istanbul Convention (France);</w:t>
            </w:r>
          </w:p>
        </w:tc>
        <w:tc>
          <w:tcPr>
            <w:tcW w:w="4111" w:type="dxa"/>
            <w:tcBorders>
              <w:top w:val="single" w:sz="4" w:space="0" w:color="auto"/>
              <w:left w:val="nil"/>
              <w:bottom w:val="single" w:sz="4" w:space="0" w:color="auto"/>
              <w:right w:val="single" w:sz="4" w:space="0" w:color="auto"/>
            </w:tcBorders>
            <w:shd w:val="clear" w:color="auto" w:fill="auto"/>
            <w:noWrap/>
            <w:hideMark/>
          </w:tcPr>
          <w:p w14:paraId="7D670532" w14:textId="77777777" w:rsidR="001A6E93" w:rsidRPr="00285BE6" w:rsidRDefault="001A6E93" w:rsidP="00585E86">
            <w:pPr>
              <w:widowControl/>
              <w:snapToGrid w:val="0"/>
              <w:jc w:val="left"/>
              <w:rPr>
                <w:rFonts w:eastAsia="游ゴシック"/>
                <w:color w:val="000000"/>
                <w:kern w:val="0"/>
                <w:szCs w:val="21"/>
                <w14:ligatures w14:val="none"/>
              </w:rPr>
            </w:pPr>
            <w:r w:rsidRPr="00285BE6">
              <w:rPr>
                <w:rFonts w:eastAsia="游ゴシック"/>
                <w:color w:val="000000"/>
                <w:kern w:val="0"/>
                <w:szCs w:val="21"/>
                <w14:ligatures w14:val="none"/>
              </w:rPr>
              <w:t>The Istanbul Convention contains various points to consider including the significance of the Convention and its relationship with domestic law. Thus, Japan needs to fully scrutinize its contents.</w:t>
            </w:r>
          </w:p>
        </w:tc>
      </w:tr>
      <w:tr w:rsidR="001A6E93" w:rsidRPr="00285BE6" w14:paraId="365BED60" w14:textId="77777777" w:rsidTr="00585E86">
        <w:trPr>
          <w:gridAfter w:val="1"/>
          <w:wAfter w:w="8" w:type="dxa"/>
          <w:trHeight w:val="1725"/>
        </w:trPr>
        <w:tc>
          <w:tcPr>
            <w:tcW w:w="4111" w:type="dxa"/>
            <w:tcBorders>
              <w:top w:val="single" w:sz="4" w:space="0" w:color="auto"/>
              <w:left w:val="single" w:sz="4" w:space="0" w:color="auto"/>
              <w:bottom w:val="single" w:sz="4" w:space="0" w:color="auto"/>
              <w:right w:val="single" w:sz="4" w:space="0" w:color="auto"/>
            </w:tcBorders>
            <w:shd w:val="clear" w:color="auto" w:fill="auto"/>
            <w:hideMark/>
          </w:tcPr>
          <w:p w14:paraId="3C1C7796" w14:textId="77777777" w:rsidR="001A6E93" w:rsidRPr="00285BE6" w:rsidRDefault="001A6E93" w:rsidP="00585E86">
            <w:pPr>
              <w:widowControl/>
              <w:snapToGrid w:val="0"/>
              <w:jc w:val="left"/>
              <w:rPr>
                <w:rFonts w:eastAsia="游ゴシック"/>
                <w:color w:val="000000"/>
                <w:kern w:val="0"/>
                <w:szCs w:val="21"/>
                <w14:ligatures w14:val="none"/>
              </w:rPr>
            </w:pPr>
            <w:r w:rsidRPr="00285BE6">
              <w:rPr>
                <w:rFonts w:eastAsia="游ゴシック"/>
                <w:color w:val="000000"/>
                <w:kern w:val="0"/>
                <w:szCs w:val="21"/>
                <w14:ligatures w14:val="none"/>
              </w:rPr>
              <w:t xml:space="preserve">158.44 Take concrete measures to hold State responsibility through poignant remorse, sincere apology and legal reparations for heinous crimes against humanity, such as sexual slavery and forced </w:t>
            </w:r>
            <w:proofErr w:type="spellStart"/>
            <w:r w:rsidRPr="00285BE6">
              <w:rPr>
                <w:rFonts w:eastAsia="游ゴシック"/>
                <w:color w:val="000000"/>
                <w:kern w:val="0"/>
                <w:szCs w:val="21"/>
                <w14:ligatures w14:val="none"/>
              </w:rPr>
              <w:t>labour</w:t>
            </w:r>
            <w:proofErr w:type="spellEnd"/>
            <w:r w:rsidRPr="00285BE6">
              <w:rPr>
                <w:rFonts w:eastAsia="游ゴシック"/>
                <w:color w:val="000000"/>
                <w:kern w:val="0"/>
                <w:szCs w:val="21"/>
                <w14:ligatures w14:val="none"/>
              </w:rPr>
              <w:t>, committed by Japan before and during the Second World War (Democratic People’s Republic of Korea);</w:t>
            </w:r>
          </w:p>
        </w:tc>
        <w:tc>
          <w:tcPr>
            <w:tcW w:w="4111" w:type="dxa"/>
            <w:tcBorders>
              <w:top w:val="single" w:sz="4" w:space="0" w:color="auto"/>
              <w:left w:val="nil"/>
              <w:bottom w:val="single" w:sz="4" w:space="0" w:color="auto"/>
              <w:right w:val="single" w:sz="4" w:space="0" w:color="auto"/>
            </w:tcBorders>
            <w:shd w:val="clear" w:color="auto" w:fill="auto"/>
            <w:hideMark/>
          </w:tcPr>
          <w:p w14:paraId="2B249B06" w14:textId="77777777" w:rsidR="001A6E93" w:rsidRPr="00285BE6" w:rsidRDefault="001A6E93" w:rsidP="00585E86">
            <w:pPr>
              <w:widowControl/>
              <w:snapToGrid w:val="0"/>
              <w:jc w:val="left"/>
              <w:rPr>
                <w:rFonts w:eastAsia="游ゴシック"/>
                <w:color w:val="000000"/>
                <w:kern w:val="0"/>
                <w:szCs w:val="21"/>
                <w14:ligatures w14:val="none"/>
              </w:rPr>
            </w:pPr>
            <w:r w:rsidRPr="00285BE6">
              <w:rPr>
                <w:rFonts w:eastAsia="游ゴシック"/>
                <w:color w:val="000000"/>
                <w:kern w:val="0"/>
                <w:szCs w:val="21"/>
                <w14:ligatures w14:val="none"/>
              </w:rPr>
              <w:t>158.44, 158.45, and 158.116 Not accept.</w:t>
            </w:r>
            <w:r w:rsidRPr="00285BE6">
              <w:rPr>
                <w:rFonts w:eastAsia="游ゴシック"/>
                <w:color w:val="000000"/>
                <w:kern w:val="0"/>
                <w:szCs w:val="21"/>
                <w14:ligatures w14:val="none"/>
              </w:rPr>
              <w:br/>
              <w:t>Japan’s position was stated in the ID as recorded in the Draft Report (paras. 151 and 152).</w:t>
            </w:r>
          </w:p>
        </w:tc>
      </w:tr>
      <w:tr w:rsidR="001A6E93" w:rsidRPr="00285BE6" w14:paraId="25FBC3A8" w14:textId="77777777" w:rsidTr="00585E86">
        <w:trPr>
          <w:gridAfter w:val="1"/>
          <w:wAfter w:w="8" w:type="dxa"/>
          <w:trHeight w:val="1245"/>
        </w:trPr>
        <w:tc>
          <w:tcPr>
            <w:tcW w:w="4111" w:type="dxa"/>
            <w:tcBorders>
              <w:top w:val="single" w:sz="4" w:space="0" w:color="auto"/>
              <w:left w:val="single" w:sz="4" w:space="0" w:color="auto"/>
              <w:bottom w:val="single" w:sz="4" w:space="0" w:color="auto"/>
              <w:right w:val="single" w:sz="4" w:space="0" w:color="auto"/>
            </w:tcBorders>
            <w:shd w:val="clear" w:color="auto" w:fill="auto"/>
            <w:hideMark/>
          </w:tcPr>
          <w:p w14:paraId="7FAE5E8D" w14:textId="77777777" w:rsidR="001A6E93" w:rsidRPr="00285BE6" w:rsidRDefault="001A6E93" w:rsidP="00585E86">
            <w:pPr>
              <w:widowControl/>
              <w:snapToGrid w:val="0"/>
              <w:jc w:val="left"/>
              <w:rPr>
                <w:rFonts w:eastAsia="游ゴシック"/>
                <w:color w:val="000000"/>
                <w:kern w:val="0"/>
                <w:szCs w:val="21"/>
                <w14:ligatures w14:val="none"/>
              </w:rPr>
            </w:pPr>
            <w:r w:rsidRPr="00285BE6">
              <w:rPr>
                <w:rFonts w:eastAsia="游ゴシック"/>
                <w:color w:val="000000"/>
                <w:kern w:val="0"/>
                <w:szCs w:val="21"/>
                <w14:ligatures w14:val="none"/>
              </w:rPr>
              <w:t>158.120 Enact comprehensive legislation to combat human trafficking, including sexual exploitation of women and girls (Nigeria);</w:t>
            </w:r>
          </w:p>
        </w:tc>
        <w:tc>
          <w:tcPr>
            <w:tcW w:w="4111" w:type="dxa"/>
            <w:tcBorders>
              <w:top w:val="single" w:sz="4" w:space="0" w:color="auto"/>
              <w:left w:val="nil"/>
              <w:bottom w:val="single" w:sz="4" w:space="0" w:color="auto"/>
              <w:right w:val="single" w:sz="4" w:space="0" w:color="auto"/>
            </w:tcBorders>
            <w:shd w:val="clear" w:color="auto" w:fill="auto"/>
            <w:hideMark/>
          </w:tcPr>
          <w:p w14:paraId="5F6E4FE4" w14:textId="77777777" w:rsidR="001A6E93" w:rsidRPr="00285BE6" w:rsidRDefault="001A6E93" w:rsidP="00585E86">
            <w:pPr>
              <w:widowControl/>
              <w:snapToGrid w:val="0"/>
              <w:jc w:val="left"/>
              <w:rPr>
                <w:rFonts w:eastAsia="游ゴシック"/>
                <w:color w:val="000000"/>
                <w:kern w:val="0"/>
                <w:szCs w:val="21"/>
                <w14:ligatures w14:val="none"/>
              </w:rPr>
            </w:pPr>
            <w:r w:rsidRPr="00285BE6">
              <w:rPr>
                <w:rFonts w:eastAsia="游ゴシック"/>
                <w:color w:val="000000"/>
                <w:kern w:val="0"/>
                <w:szCs w:val="21"/>
                <w14:ligatures w14:val="none"/>
              </w:rPr>
              <w:t>158.120 Not accept.</w:t>
            </w:r>
            <w:r w:rsidRPr="00285BE6">
              <w:rPr>
                <w:rFonts w:eastAsia="游ゴシック"/>
                <w:color w:val="000000"/>
                <w:kern w:val="0"/>
                <w:szCs w:val="21"/>
                <w14:ligatures w14:val="none"/>
              </w:rPr>
              <w:br/>
              <w:t>Japan’s position is stated in the National Report (para. 50). Japan has also criminalized all acts that fall under trafficking in persons, as defined in the TIP Protocol.</w:t>
            </w:r>
          </w:p>
        </w:tc>
      </w:tr>
      <w:tr w:rsidR="001A6E93" w:rsidRPr="00285BE6" w14:paraId="31388A62" w14:textId="77777777" w:rsidTr="00585E86">
        <w:trPr>
          <w:gridAfter w:val="1"/>
          <w:wAfter w:w="8" w:type="dxa"/>
          <w:trHeight w:val="1695"/>
        </w:trPr>
        <w:tc>
          <w:tcPr>
            <w:tcW w:w="4111" w:type="dxa"/>
            <w:tcBorders>
              <w:top w:val="single" w:sz="4" w:space="0" w:color="auto"/>
              <w:left w:val="single" w:sz="4" w:space="0" w:color="auto"/>
              <w:bottom w:val="single" w:sz="4" w:space="0" w:color="auto"/>
              <w:right w:val="single" w:sz="4" w:space="0" w:color="auto"/>
            </w:tcBorders>
            <w:shd w:val="clear" w:color="auto" w:fill="auto"/>
            <w:hideMark/>
          </w:tcPr>
          <w:p w14:paraId="468DD81A" w14:textId="77777777" w:rsidR="001A6E93" w:rsidRPr="00285BE6" w:rsidRDefault="001A6E93" w:rsidP="00585E86">
            <w:pPr>
              <w:widowControl/>
              <w:snapToGrid w:val="0"/>
              <w:jc w:val="left"/>
              <w:rPr>
                <w:rFonts w:eastAsia="游ゴシック"/>
                <w:color w:val="000000"/>
                <w:kern w:val="0"/>
                <w:szCs w:val="21"/>
                <w14:ligatures w14:val="none"/>
              </w:rPr>
            </w:pPr>
            <w:r w:rsidRPr="00285BE6">
              <w:rPr>
                <w:rFonts w:eastAsia="游ゴシック"/>
                <w:color w:val="000000"/>
                <w:kern w:val="0"/>
                <w:szCs w:val="21"/>
                <w14:ligatures w14:val="none"/>
              </w:rPr>
              <w:t>158.147 Ensure access to safe, timely and affordable sexual and reproductive health care for women, including abortion and contraceptives, through comprehensive legislative and policy reform (Norway);</w:t>
            </w:r>
          </w:p>
        </w:tc>
        <w:tc>
          <w:tcPr>
            <w:tcW w:w="4111" w:type="dxa"/>
            <w:tcBorders>
              <w:top w:val="single" w:sz="4" w:space="0" w:color="auto"/>
              <w:left w:val="nil"/>
              <w:bottom w:val="single" w:sz="4" w:space="0" w:color="auto"/>
              <w:right w:val="single" w:sz="4" w:space="0" w:color="auto"/>
            </w:tcBorders>
            <w:shd w:val="clear" w:color="auto" w:fill="auto"/>
            <w:hideMark/>
          </w:tcPr>
          <w:p w14:paraId="4AA82FA4" w14:textId="77777777" w:rsidR="001A6E93" w:rsidRPr="00285BE6" w:rsidRDefault="001A6E93" w:rsidP="00585E86">
            <w:pPr>
              <w:widowControl/>
              <w:snapToGrid w:val="0"/>
              <w:jc w:val="left"/>
              <w:rPr>
                <w:rFonts w:eastAsia="游ゴシック"/>
                <w:color w:val="000000"/>
                <w:kern w:val="0"/>
                <w:szCs w:val="21"/>
                <w14:ligatures w14:val="none"/>
              </w:rPr>
            </w:pPr>
            <w:r w:rsidRPr="00285BE6">
              <w:rPr>
                <w:rFonts w:eastAsia="游ゴシック"/>
                <w:color w:val="000000"/>
                <w:kern w:val="0"/>
                <w:szCs w:val="21"/>
                <w14:ligatures w14:val="none"/>
              </w:rPr>
              <w:t>158.147 Not accept.</w:t>
            </w:r>
            <w:r w:rsidRPr="00285BE6">
              <w:rPr>
                <w:rFonts w:eastAsia="游ゴシック"/>
                <w:color w:val="000000"/>
                <w:kern w:val="0"/>
                <w:szCs w:val="21"/>
                <w14:ligatures w14:val="none"/>
              </w:rPr>
              <w:br/>
              <w:t>The Government recognizes that it is a difficult issue that is deeply related to individual ethical and moral views. The Government believes that it is important to deepen the discussion on how the Maternal Protection Law should be regulated. Regarding abolition of the crime of abortion, see 158.209.</w:t>
            </w:r>
          </w:p>
        </w:tc>
      </w:tr>
      <w:tr w:rsidR="001A6E93" w:rsidRPr="00285BE6" w14:paraId="037200A9" w14:textId="77777777" w:rsidTr="00585E86">
        <w:trPr>
          <w:gridAfter w:val="1"/>
          <w:wAfter w:w="8" w:type="dxa"/>
          <w:trHeight w:val="1380"/>
        </w:trPr>
        <w:tc>
          <w:tcPr>
            <w:tcW w:w="4111" w:type="dxa"/>
            <w:tcBorders>
              <w:top w:val="single" w:sz="4" w:space="0" w:color="auto"/>
              <w:left w:val="single" w:sz="4" w:space="0" w:color="auto"/>
              <w:bottom w:val="single" w:sz="4" w:space="0" w:color="auto"/>
              <w:right w:val="single" w:sz="4" w:space="0" w:color="auto"/>
            </w:tcBorders>
            <w:shd w:val="clear" w:color="auto" w:fill="auto"/>
            <w:hideMark/>
          </w:tcPr>
          <w:p w14:paraId="6121A957" w14:textId="77777777" w:rsidR="001A6E93" w:rsidRPr="00285BE6" w:rsidRDefault="001A6E93" w:rsidP="00585E86">
            <w:pPr>
              <w:widowControl/>
              <w:snapToGrid w:val="0"/>
              <w:jc w:val="left"/>
              <w:rPr>
                <w:rFonts w:eastAsia="游ゴシック"/>
                <w:color w:val="000000"/>
                <w:kern w:val="0"/>
                <w:szCs w:val="21"/>
                <w14:ligatures w14:val="none"/>
              </w:rPr>
            </w:pPr>
            <w:r w:rsidRPr="00285BE6">
              <w:rPr>
                <w:rFonts w:eastAsia="游ゴシック"/>
                <w:color w:val="000000"/>
                <w:kern w:val="0"/>
                <w:szCs w:val="21"/>
                <w14:ligatures w14:val="none"/>
              </w:rPr>
              <w:t>158.157 Review the national educational curriculum and ensure that teachers provide comprehensive, science-based sexuality education appropriate for students of all ages (Costa Rica);</w:t>
            </w:r>
          </w:p>
        </w:tc>
        <w:tc>
          <w:tcPr>
            <w:tcW w:w="4111"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636A6358" w14:textId="77777777" w:rsidR="001A6E93" w:rsidRPr="00285BE6" w:rsidRDefault="001A6E93" w:rsidP="00585E86">
            <w:pPr>
              <w:widowControl/>
              <w:snapToGrid w:val="0"/>
              <w:jc w:val="left"/>
              <w:rPr>
                <w:rFonts w:eastAsia="游ゴシック"/>
                <w:color w:val="000000"/>
                <w:kern w:val="0"/>
                <w:szCs w:val="21"/>
                <w14:ligatures w14:val="none"/>
              </w:rPr>
            </w:pPr>
            <w:r w:rsidRPr="00285BE6">
              <w:rPr>
                <w:rFonts w:eastAsia="游ゴシック"/>
                <w:color w:val="000000"/>
                <w:kern w:val="0"/>
                <w:szCs w:val="21"/>
                <w14:ligatures w14:val="none"/>
              </w:rPr>
              <w:t>158.157 and 158.158 Not accept.</w:t>
            </w:r>
            <w:r w:rsidRPr="00285BE6">
              <w:rPr>
                <w:rFonts w:eastAsia="游ゴシック"/>
                <w:color w:val="000000"/>
                <w:kern w:val="0"/>
                <w:szCs w:val="21"/>
                <w14:ligatures w14:val="none"/>
              </w:rPr>
              <w:br/>
              <w:t>In Japan, sexuality education is already provided from various perspectives corresponding to the developmental stages of pupils, based on the National Curriculum Standard. Neither comprehensive sexuality education (CSE) as a general term nor CSE as advocated by the UNESCO Guidance is acceptable to the Government.</w:t>
            </w:r>
          </w:p>
        </w:tc>
      </w:tr>
      <w:tr w:rsidR="001A6E93" w:rsidRPr="00285BE6" w14:paraId="500D573D" w14:textId="77777777" w:rsidTr="00585E86">
        <w:trPr>
          <w:gridAfter w:val="1"/>
          <w:wAfter w:w="8" w:type="dxa"/>
          <w:trHeight w:val="600"/>
        </w:trPr>
        <w:tc>
          <w:tcPr>
            <w:tcW w:w="4111" w:type="dxa"/>
            <w:tcBorders>
              <w:top w:val="single" w:sz="4" w:space="0" w:color="auto"/>
              <w:left w:val="single" w:sz="4" w:space="0" w:color="auto"/>
              <w:bottom w:val="single" w:sz="4" w:space="0" w:color="auto"/>
              <w:right w:val="single" w:sz="4" w:space="0" w:color="auto"/>
            </w:tcBorders>
            <w:shd w:val="clear" w:color="auto" w:fill="auto"/>
            <w:hideMark/>
          </w:tcPr>
          <w:p w14:paraId="47901721" w14:textId="77777777" w:rsidR="001A6E93" w:rsidRPr="00285BE6" w:rsidRDefault="001A6E93" w:rsidP="00585E86">
            <w:pPr>
              <w:widowControl/>
              <w:snapToGrid w:val="0"/>
              <w:jc w:val="left"/>
              <w:rPr>
                <w:rFonts w:eastAsia="游ゴシック"/>
                <w:color w:val="000000"/>
                <w:kern w:val="0"/>
                <w:szCs w:val="21"/>
                <w14:ligatures w14:val="none"/>
              </w:rPr>
            </w:pPr>
            <w:r w:rsidRPr="00285BE6">
              <w:rPr>
                <w:rFonts w:eastAsia="游ゴシック"/>
                <w:color w:val="000000"/>
                <w:kern w:val="0"/>
                <w:szCs w:val="21"/>
                <w14:ligatures w14:val="none"/>
              </w:rPr>
              <w:t>158.158 Implement comprehensive sexuality education inside and outside of schools, in line with international standards (Iceland);</w:t>
            </w:r>
          </w:p>
        </w:tc>
        <w:tc>
          <w:tcPr>
            <w:tcW w:w="4111" w:type="dxa"/>
            <w:vMerge/>
            <w:tcBorders>
              <w:top w:val="single" w:sz="4" w:space="0" w:color="auto"/>
              <w:left w:val="single" w:sz="4" w:space="0" w:color="auto"/>
              <w:bottom w:val="single" w:sz="4" w:space="0" w:color="auto"/>
              <w:right w:val="single" w:sz="4" w:space="0" w:color="auto"/>
            </w:tcBorders>
            <w:hideMark/>
          </w:tcPr>
          <w:p w14:paraId="7DD42E9E" w14:textId="77777777" w:rsidR="001A6E93" w:rsidRPr="00285BE6" w:rsidRDefault="001A6E93" w:rsidP="00585E86">
            <w:pPr>
              <w:widowControl/>
              <w:snapToGrid w:val="0"/>
              <w:jc w:val="left"/>
              <w:rPr>
                <w:rFonts w:eastAsia="游ゴシック"/>
                <w:color w:val="000000"/>
                <w:kern w:val="0"/>
                <w:szCs w:val="21"/>
                <w14:ligatures w14:val="none"/>
              </w:rPr>
            </w:pPr>
          </w:p>
        </w:tc>
      </w:tr>
      <w:tr w:rsidR="001A6E93" w:rsidRPr="00285BE6" w14:paraId="688B9FEE" w14:textId="77777777" w:rsidTr="00585E86">
        <w:trPr>
          <w:gridAfter w:val="1"/>
          <w:wAfter w:w="8" w:type="dxa"/>
          <w:trHeight w:val="900"/>
        </w:trPr>
        <w:tc>
          <w:tcPr>
            <w:tcW w:w="4111" w:type="dxa"/>
            <w:tcBorders>
              <w:top w:val="single" w:sz="4" w:space="0" w:color="auto"/>
              <w:left w:val="single" w:sz="4" w:space="0" w:color="auto"/>
              <w:bottom w:val="single" w:sz="4" w:space="0" w:color="auto"/>
              <w:right w:val="single" w:sz="4" w:space="0" w:color="auto"/>
            </w:tcBorders>
            <w:shd w:val="clear" w:color="auto" w:fill="auto"/>
            <w:hideMark/>
          </w:tcPr>
          <w:p w14:paraId="2AD8921B" w14:textId="77777777" w:rsidR="001A6E93" w:rsidRPr="00285BE6" w:rsidRDefault="001A6E93" w:rsidP="00585E86">
            <w:pPr>
              <w:widowControl/>
              <w:snapToGrid w:val="0"/>
              <w:jc w:val="left"/>
              <w:rPr>
                <w:rFonts w:eastAsia="游ゴシック"/>
                <w:color w:val="000000"/>
                <w:kern w:val="0"/>
                <w:szCs w:val="21"/>
                <w14:ligatures w14:val="none"/>
              </w:rPr>
            </w:pPr>
            <w:r w:rsidRPr="00285BE6">
              <w:rPr>
                <w:rFonts w:eastAsia="游ゴシック"/>
                <w:color w:val="000000"/>
                <w:kern w:val="0"/>
                <w:szCs w:val="21"/>
                <w14:ligatures w14:val="none"/>
              </w:rPr>
              <w:t>158.187 Continue its efforts to increase the proportion of women in the legislature, the executive and the judiciary, particularly in senior positions (Bulgaria);</w:t>
            </w:r>
          </w:p>
        </w:tc>
        <w:tc>
          <w:tcPr>
            <w:tcW w:w="4111" w:type="dxa"/>
            <w:tcBorders>
              <w:top w:val="single" w:sz="4" w:space="0" w:color="auto"/>
              <w:left w:val="nil"/>
              <w:bottom w:val="single" w:sz="4" w:space="0" w:color="auto"/>
              <w:right w:val="single" w:sz="4" w:space="0" w:color="auto"/>
            </w:tcBorders>
            <w:shd w:val="clear" w:color="auto" w:fill="auto"/>
            <w:hideMark/>
          </w:tcPr>
          <w:p w14:paraId="5169F292" w14:textId="77777777" w:rsidR="001A6E93" w:rsidRPr="00285BE6" w:rsidRDefault="001A6E93" w:rsidP="00585E86">
            <w:pPr>
              <w:widowControl/>
              <w:snapToGrid w:val="0"/>
              <w:jc w:val="left"/>
              <w:rPr>
                <w:rFonts w:eastAsia="游ゴシック"/>
                <w:color w:val="000000"/>
                <w:kern w:val="0"/>
                <w:szCs w:val="21"/>
                <w14:ligatures w14:val="none"/>
              </w:rPr>
            </w:pPr>
            <w:r w:rsidRPr="00285BE6">
              <w:rPr>
                <w:rFonts w:eastAsia="游ゴシック"/>
                <w:color w:val="000000"/>
                <w:kern w:val="0"/>
                <w:szCs w:val="21"/>
                <w14:ligatures w14:val="none"/>
              </w:rPr>
              <w:t>158.187 Partially accept to follow up.</w:t>
            </w:r>
            <w:r w:rsidRPr="00285BE6">
              <w:rPr>
                <w:rFonts w:eastAsia="游ゴシック"/>
                <w:color w:val="000000"/>
                <w:kern w:val="0"/>
                <w:szCs w:val="21"/>
                <w14:ligatures w14:val="none"/>
              </w:rPr>
              <w:br/>
              <w:t>In Japan, Justices of the Supreme Court are appointed by the Cabinet.</w:t>
            </w:r>
          </w:p>
        </w:tc>
      </w:tr>
      <w:tr w:rsidR="001A6E93" w:rsidRPr="00285BE6" w14:paraId="117D8E9E" w14:textId="77777777" w:rsidTr="00EC3658">
        <w:trPr>
          <w:gridAfter w:val="1"/>
          <w:wAfter w:w="8" w:type="dxa"/>
          <w:trHeight w:val="2011"/>
        </w:trPr>
        <w:tc>
          <w:tcPr>
            <w:tcW w:w="4111" w:type="dxa"/>
            <w:tcBorders>
              <w:top w:val="single" w:sz="4" w:space="0" w:color="auto"/>
              <w:left w:val="single" w:sz="4" w:space="0" w:color="auto"/>
              <w:bottom w:val="single" w:sz="4" w:space="0" w:color="auto"/>
              <w:right w:val="single" w:sz="4" w:space="0" w:color="auto"/>
            </w:tcBorders>
            <w:shd w:val="clear" w:color="auto" w:fill="auto"/>
            <w:hideMark/>
          </w:tcPr>
          <w:p w14:paraId="4F8365F2" w14:textId="77777777" w:rsidR="001A6E93" w:rsidRPr="00285BE6" w:rsidRDefault="001A6E93" w:rsidP="00585E86">
            <w:pPr>
              <w:widowControl/>
              <w:snapToGrid w:val="0"/>
              <w:jc w:val="left"/>
              <w:rPr>
                <w:rFonts w:eastAsia="游ゴシック"/>
                <w:color w:val="000000"/>
                <w:kern w:val="0"/>
                <w:szCs w:val="21"/>
                <w14:ligatures w14:val="none"/>
              </w:rPr>
            </w:pPr>
            <w:r w:rsidRPr="00285BE6">
              <w:rPr>
                <w:rFonts w:eastAsia="游ゴシック"/>
                <w:color w:val="000000"/>
                <w:kern w:val="0"/>
                <w:szCs w:val="21"/>
                <w14:ligatures w14:val="none"/>
              </w:rPr>
              <w:lastRenderedPageBreak/>
              <w:t>158.198 Ensure that any engagement with the de facto authority in Afghanistan is conditional on respecting and upholding the human rights of the people of Afghanistan, particularly the rights of women and girls, and other vulnerable groups (Afghanistan);</w:t>
            </w:r>
          </w:p>
        </w:tc>
        <w:tc>
          <w:tcPr>
            <w:tcW w:w="4111" w:type="dxa"/>
            <w:tcBorders>
              <w:top w:val="single" w:sz="4" w:space="0" w:color="auto"/>
              <w:left w:val="nil"/>
              <w:bottom w:val="single" w:sz="4" w:space="0" w:color="auto"/>
              <w:right w:val="single" w:sz="4" w:space="0" w:color="auto"/>
            </w:tcBorders>
            <w:shd w:val="clear" w:color="auto" w:fill="auto"/>
            <w:hideMark/>
          </w:tcPr>
          <w:p w14:paraId="7EEAD1BF" w14:textId="77777777" w:rsidR="001A6E93" w:rsidRPr="00285BE6" w:rsidRDefault="001A6E93" w:rsidP="00585E86">
            <w:pPr>
              <w:widowControl/>
              <w:snapToGrid w:val="0"/>
              <w:jc w:val="left"/>
              <w:rPr>
                <w:rFonts w:eastAsia="游ゴシック"/>
                <w:color w:val="000000"/>
                <w:kern w:val="0"/>
                <w:szCs w:val="21"/>
                <w14:ligatures w14:val="none"/>
              </w:rPr>
            </w:pPr>
            <w:r w:rsidRPr="00285BE6">
              <w:rPr>
                <w:rFonts w:eastAsia="游ゴシック"/>
                <w:color w:val="000000"/>
                <w:kern w:val="0"/>
                <w:szCs w:val="21"/>
                <w14:ligatures w14:val="none"/>
              </w:rPr>
              <w:t>158.198 Note.</w:t>
            </w:r>
            <w:r w:rsidRPr="00285BE6">
              <w:rPr>
                <w:rFonts w:eastAsia="游ゴシック"/>
                <w:color w:val="000000"/>
                <w:kern w:val="0"/>
                <w:szCs w:val="21"/>
                <w14:ligatures w14:val="none"/>
              </w:rPr>
              <w:br/>
              <w:t>Engagement with the Taliban is necessary in urging them to improve the human rights situation in Afghanistan. Japan has consistently emphasized the importance of respecting and upholding human rights to the Taliban when engaging with them.</w:t>
            </w:r>
          </w:p>
        </w:tc>
      </w:tr>
      <w:tr w:rsidR="001A6E93" w:rsidRPr="00285BE6" w14:paraId="6D853BCE" w14:textId="77777777" w:rsidTr="00EC3658">
        <w:trPr>
          <w:gridAfter w:val="1"/>
          <w:wAfter w:w="8" w:type="dxa"/>
          <w:trHeight w:val="1216"/>
        </w:trPr>
        <w:tc>
          <w:tcPr>
            <w:tcW w:w="4111" w:type="dxa"/>
            <w:tcBorders>
              <w:top w:val="single" w:sz="4" w:space="0" w:color="auto"/>
              <w:left w:val="single" w:sz="4" w:space="0" w:color="auto"/>
              <w:bottom w:val="single" w:sz="4" w:space="0" w:color="auto"/>
              <w:right w:val="single" w:sz="4" w:space="0" w:color="auto"/>
            </w:tcBorders>
            <w:shd w:val="clear" w:color="auto" w:fill="auto"/>
            <w:hideMark/>
          </w:tcPr>
          <w:p w14:paraId="18D4EB30" w14:textId="77777777" w:rsidR="001A6E93" w:rsidRPr="00285BE6" w:rsidRDefault="001A6E93" w:rsidP="00585E86">
            <w:pPr>
              <w:widowControl/>
              <w:snapToGrid w:val="0"/>
              <w:jc w:val="left"/>
              <w:rPr>
                <w:rFonts w:eastAsia="游ゴシック"/>
                <w:color w:val="000000"/>
                <w:kern w:val="0"/>
                <w:szCs w:val="21"/>
                <w14:ligatures w14:val="none"/>
              </w:rPr>
            </w:pPr>
            <w:r w:rsidRPr="00285BE6">
              <w:rPr>
                <w:rFonts w:eastAsia="游ゴシック"/>
                <w:color w:val="000000"/>
                <w:kern w:val="0"/>
                <w:szCs w:val="21"/>
                <w14:ligatures w14:val="none"/>
              </w:rPr>
              <w:t>158.208 Amend the Maternal Protection Act to ensure access to safe, affordable and respectful abortion care for all those who need it (Luxembourg);</w:t>
            </w:r>
          </w:p>
        </w:tc>
        <w:tc>
          <w:tcPr>
            <w:tcW w:w="4111" w:type="dxa"/>
            <w:tcBorders>
              <w:top w:val="single" w:sz="4" w:space="0" w:color="auto"/>
              <w:left w:val="nil"/>
              <w:bottom w:val="single" w:sz="4" w:space="0" w:color="auto"/>
              <w:right w:val="single" w:sz="4" w:space="0" w:color="auto"/>
            </w:tcBorders>
            <w:shd w:val="clear" w:color="auto" w:fill="auto"/>
            <w:hideMark/>
          </w:tcPr>
          <w:p w14:paraId="3B4F5539" w14:textId="77777777" w:rsidR="001A6E93" w:rsidRPr="00285BE6" w:rsidRDefault="001A6E93" w:rsidP="00585E86">
            <w:pPr>
              <w:widowControl/>
              <w:snapToGrid w:val="0"/>
              <w:jc w:val="left"/>
              <w:rPr>
                <w:rFonts w:eastAsia="游ゴシック"/>
                <w:color w:val="000000"/>
                <w:kern w:val="0"/>
                <w:szCs w:val="21"/>
                <w14:ligatures w14:val="none"/>
              </w:rPr>
            </w:pPr>
            <w:r w:rsidRPr="00285BE6">
              <w:rPr>
                <w:rFonts w:eastAsia="游ゴシック"/>
                <w:color w:val="000000"/>
                <w:kern w:val="0"/>
                <w:szCs w:val="21"/>
                <w14:ligatures w14:val="none"/>
              </w:rPr>
              <w:t>158.208 Note.</w:t>
            </w:r>
            <w:r w:rsidRPr="00285BE6">
              <w:rPr>
                <w:rFonts w:eastAsia="游ゴシック"/>
                <w:color w:val="000000"/>
                <w:kern w:val="0"/>
                <w:szCs w:val="21"/>
                <w14:ligatures w14:val="none"/>
              </w:rPr>
              <w:br/>
              <w:t>See 185.147.</w:t>
            </w:r>
          </w:p>
        </w:tc>
      </w:tr>
      <w:tr w:rsidR="001A6E93" w:rsidRPr="00285BE6" w14:paraId="4DC03CF9" w14:textId="77777777" w:rsidTr="00585E86">
        <w:trPr>
          <w:gridAfter w:val="1"/>
          <w:wAfter w:w="8" w:type="dxa"/>
          <w:trHeight w:val="1785"/>
        </w:trPr>
        <w:tc>
          <w:tcPr>
            <w:tcW w:w="4111" w:type="dxa"/>
            <w:tcBorders>
              <w:top w:val="single" w:sz="4" w:space="0" w:color="auto"/>
              <w:left w:val="single" w:sz="4" w:space="0" w:color="auto"/>
              <w:bottom w:val="single" w:sz="4" w:space="0" w:color="auto"/>
              <w:right w:val="single" w:sz="4" w:space="0" w:color="auto"/>
            </w:tcBorders>
            <w:shd w:val="clear" w:color="auto" w:fill="auto"/>
            <w:hideMark/>
          </w:tcPr>
          <w:p w14:paraId="2B542E58" w14:textId="77777777" w:rsidR="001A6E93" w:rsidRPr="00285BE6" w:rsidRDefault="001A6E93" w:rsidP="00585E86">
            <w:pPr>
              <w:widowControl/>
              <w:snapToGrid w:val="0"/>
              <w:jc w:val="left"/>
              <w:rPr>
                <w:rFonts w:eastAsia="游ゴシック"/>
                <w:color w:val="000000"/>
                <w:kern w:val="0"/>
                <w:szCs w:val="21"/>
                <w14:ligatures w14:val="none"/>
              </w:rPr>
            </w:pPr>
            <w:r w:rsidRPr="00285BE6">
              <w:rPr>
                <w:rFonts w:eastAsia="游ゴシック"/>
                <w:color w:val="000000"/>
                <w:kern w:val="0"/>
                <w:szCs w:val="21"/>
                <w14:ligatures w14:val="none"/>
              </w:rPr>
              <w:t>158.209 Review its legislation in order to ensure gender equality, repeal articles 212 to 214 of the Penal Code and amend article 14 of the Maternal Protection Act to decriminalize abortion and include it as a matter of universal health care, also removing the requirement for spousal consent (Mexico);</w:t>
            </w:r>
          </w:p>
        </w:tc>
        <w:tc>
          <w:tcPr>
            <w:tcW w:w="4111" w:type="dxa"/>
            <w:tcBorders>
              <w:top w:val="single" w:sz="4" w:space="0" w:color="auto"/>
              <w:left w:val="nil"/>
              <w:bottom w:val="single" w:sz="4" w:space="0" w:color="auto"/>
              <w:right w:val="single" w:sz="4" w:space="0" w:color="auto"/>
            </w:tcBorders>
            <w:shd w:val="clear" w:color="auto" w:fill="auto"/>
            <w:hideMark/>
          </w:tcPr>
          <w:p w14:paraId="5782BE02" w14:textId="77777777" w:rsidR="001A6E93" w:rsidRPr="00285BE6" w:rsidRDefault="001A6E93" w:rsidP="00585E86">
            <w:pPr>
              <w:widowControl/>
              <w:snapToGrid w:val="0"/>
              <w:jc w:val="left"/>
              <w:rPr>
                <w:rFonts w:eastAsia="游ゴシック"/>
                <w:color w:val="000000"/>
                <w:kern w:val="0"/>
                <w:szCs w:val="21"/>
                <w14:ligatures w14:val="none"/>
              </w:rPr>
            </w:pPr>
            <w:r w:rsidRPr="00285BE6">
              <w:rPr>
                <w:rFonts w:eastAsia="游ゴシック"/>
                <w:color w:val="000000"/>
                <w:kern w:val="0"/>
                <w:szCs w:val="21"/>
                <w14:ligatures w14:val="none"/>
              </w:rPr>
              <w:t>158.209 Not accept.</w:t>
            </w:r>
            <w:r w:rsidRPr="00285BE6">
              <w:rPr>
                <w:rFonts w:eastAsia="游ゴシック"/>
                <w:color w:val="000000"/>
                <w:kern w:val="0"/>
                <w:szCs w:val="21"/>
                <w14:ligatures w14:val="none"/>
              </w:rPr>
              <w:br/>
              <w:t xml:space="preserve">See 185.147. </w:t>
            </w:r>
            <w:r w:rsidRPr="00285BE6">
              <w:rPr>
                <w:rFonts w:eastAsia="游ゴシック"/>
                <w:color w:val="000000"/>
                <w:kern w:val="0"/>
                <w:szCs w:val="21"/>
                <w14:ligatures w14:val="none"/>
              </w:rPr>
              <w:br/>
              <w:t>Abolishing the crime of abortion and making it uniformly unpunishable requires careful consideration, because the unborn need to be protected as living beings, and disrespecting them can equate to disrespecting human life.</w:t>
            </w:r>
          </w:p>
        </w:tc>
      </w:tr>
      <w:tr w:rsidR="001A6E93" w:rsidRPr="00285BE6" w14:paraId="578AFED6" w14:textId="77777777" w:rsidTr="00585E86">
        <w:trPr>
          <w:gridAfter w:val="1"/>
          <w:wAfter w:w="8" w:type="dxa"/>
          <w:trHeight w:val="2460"/>
        </w:trPr>
        <w:tc>
          <w:tcPr>
            <w:tcW w:w="4111" w:type="dxa"/>
            <w:tcBorders>
              <w:top w:val="single" w:sz="4" w:space="0" w:color="auto"/>
              <w:left w:val="single" w:sz="4" w:space="0" w:color="auto"/>
              <w:bottom w:val="single" w:sz="4" w:space="0" w:color="auto"/>
              <w:right w:val="single" w:sz="4" w:space="0" w:color="auto"/>
            </w:tcBorders>
            <w:shd w:val="clear" w:color="auto" w:fill="auto"/>
            <w:hideMark/>
          </w:tcPr>
          <w:p w14:paraId="62F00C06" w14:textId="77777777" w:rsidR="001A6E93" w:rsidRPr="00285BE6" w:rsidRDefault="001A6E93" w:rsidP="00585E86">
            <w:pPr>
              <w:widowControl/>
              <w:snapToGrid w:val="0"/>
              <w:jc w:val="left"/>
              <w:rPr>
                <w:rFonts w:eastAsia="游ゴシック"/>
                <w:color w:val="000000"/>
                <w:kern w:val="0"/>
                <w:szCs w:val="21"/>
                <w14:ligatures w14:val="none"/>
              </w:rPr>
            </w:pPr>
            <w:r w:rsidRPr="00285BE6">
              <w:rPr>
                <w:rFonts w:eastAsia="游ゴシック"/>
                <w:color w:val="000000"/>
                <w:kern w:val="0"/>
                <w:szCs w:val="21"/>
                <w14:ligatures w14:val="none"/>
              </w:rPr>
              <w:t>158.210 Ensure access to safe abortion for all women without requiring spousal consent and take further strides towards increasing women’s political participation and empowerment in the workplace (Denmark);</w:t>
            </w:r>
          </w:p>
        </w:tc>
        <w:tc>
          <w:tcPr>
            <w:tcW w:w="4111" w:type="dxa"/>
            <w:tcBorders>
              <w:top w:val="single" w:sz="4" w:space="0" w:color="auto"/>
              <w:left w:val="nil"/>
              <w:bottom w:val="single" w:sz="4" w:space="0" w:color="auto"/>
              <w:right w:val="single" w:sz="4" w:space="0" w:color="auto"/>
            </w:tcBorders>
            <w:shd w:val="clear" w:color="auto" w:fill="auto"/>
            <w:hideMark/>
          </w:tcPr>
          <w:p w14:paraId="2E0A2DC7" w14:textId="77777777" w:rsidR="001A6E93" w:rsidRPr="00285BE6" w:rsidRDefault="001A6E93" w:rsidP="00585E86">
            <w:pPr>
              <w:widowControl/>
              <w:snapToGrid w:val="0"/>
              <w:jc w:val="left"/>
              <w:rPr>
                <w:rFonts w:eastAsia="游ゴシック"/>
                <w:color w:val="000000"/>
                <w:kern w:val="0"/>
                <w:szCs w:val="21"/>
                <w14:ligatures w14:val="none"/>
              </w:rPr>
            </w:pPr>
            <w:r w:rsidRPr="00285BE6">
              <w:rPr>
                <w:rFonts w:eastAsia="游ゴシック"/>
                <w:color w:val="000000"/>
                <w:kern w:val="0"/>
                <w:szCs w:val="21"/>
                <w14:ligatures w14:val="none"/>
              </w:rPr>
              <w:t>158.210 Partially accept to follow up.</w:t>
            </w:r>
            <w:r w:rsidRPr="00285BE6">
              <w:rPr>
                <w:rFonts w:eastAsia="游ゴシック"/>
                <w:color w:val="000000"/>
                <w:kern w:val="0"/>
                <w:szCs w:val="21"/>
                <w14:ligatures w14:val="none"/>
              </w:rPr>
              <w:br/>
              <w:t>The Maternal Protection Law stipulates the necessity of spousal consent when performing an abortion, but it is a difficult issue that is deeply related to individual ethical and moral views. The Government believes that it is important to deepen discussion at all societal levels regarding the appropriate provisions of the Maternal Protection law.</w:t>
            </w:r>
          </w:p>
        </w:tc>
      </w:tr>
      <w:tr w:rsidR="001A6E93" w:rsidRPr="00285BE6" w14:paraId="65E2943B" w14:textId="77777777" w:rsidTr="00585E86">
        <w:trPr>
          <w:gridAfter w:val="1"/>
          <w:wAfter w:w="8" w:type="dxa"/>
          <w:trHeight w:val="1275"/>
        </w:trPr>
        <w:tc>
          <w:tcPr>
            <w:tcW w:w="4111" w:type="dxa"/>
            <w:tcBorders>
              <w:top w:val="single" w:sz="4" w:space="0" w:color="auto"/>
              <w:left w:val="single" w:sz="4" w:space="0" w:color="auto"/>
              <w:bottom w:val="single" w:sz="4" w:space="0" w:color="auto"/>
              <w:right w:val="single" w:sz="4" w:space="0" w:color="auto"/>
            </w:tcBorders>
            <w:shd w:val="clear" w:color="auto" w:fill="auto"/>
            <w:hideMark/>
          </w:tcPr>
          <w:p w14:paraId="0A5F45E4" w14:textId="77777777" w:rsidR="001A6E93" w:rsidRPr="00285BE6" w:rsidRDefault="001A6E93" w:rsidP="00585E86">
            <w:pPr>
              <w:widowControl/>
              <w:snapToGrid w:val="0"/>
              <w:jc w:val="left"/>
              <w:rPr>
                <w:rFonts w:eastAsia="游ゴシック"/>
                <w:color w:val="000000"/>
                <w:kern w:val="0"/>
                <w:szCs w:val="21"/>
                <w14:ligatures w14:val="none"/>
              </w:rPr>
            </w:pPr>
            <w:r w:rsidRPr="00285BE6">
              <w:rPr>
                <w:rFonts w:eastAsia="游ゴシック"/>
                <w:color w:val="000000"/>
                <w:kern w:val="0"/>
                <w:szCs w:val="21"/>
                <w14:ligatures w14:val="none"/>
              </w:rPr>
              <w:t>158.211 Remove abortion as a crime in the Penal Code and amend the Maternal Protection Act to ensure access to safe and legal abortion without requiring spousal consent (New Zealand);</w:t>
            </w:r>
          </w:p>
        </w:tc>
        <w:tc>
          <w:tcPr>
            <w:tcW w:w="4111" w:type="dxa"/>
            <w:tcBorders>
              <w:top w:val="single" w:sz="4" w:space="0" w:color="auto"/>
              <w:left w:val="nil"/>
              <w:bottom w:val="single" w:sz="4" w:space="0" w:color="auto"/>
              <w:right w:val="single" w:sz="4" w:space="0" w:color="auto"/>
            </w:tcBorders>
            <w:shd w:val="clear" w:color="auto" w:fill="auto"/>
            <w:hideMark/>
          </w:tcPr>
          <w:p w14:paraId="0408EFC2" w14:textId="77777777" w:rsidR="001A6E93" w:rsidRPr="00285BE6" w:rsidRDefault="001A6E93" w:rsidP="00585E86">
            <w:pPr>
              <w:widowControl/>
              <w:snapToGrid w:val="0"/>
              <w:jc w:val="left"/>
              <w:rPr>
                <w:rFonts w:eastAsia="游ゴシック"/>
                <w:color w:val="000000"/>
                <w:kern w:val="0"/>
                <w:szCs w:val="21"/>
                <w14:ligatures w14:val="none"/>
              </w:rPr>
            </w:pPr>
            <w:r w:rsidRPr="00285BE6">
              <w:rPr>
                <w:rFonts w:eastAsia="游ゴシック"/>
                <w:color w:val="000000"/>
                <w:kern w:val="0"/>
                <w:szCs w:val="21"/>
                <w14:ligatures w14:val="none"/>
              </w:rPr>
              <w:t>158.211 Not accept.</w:t>
            </w:r>
            <w:r w:rsidRPr="00285BE6">
              <w:rPr>
                <w:rFonts w:eastAsia="游ゴシック"/>
                <w:color w:val="000000"/>
                <w:kern w:val="0"/>
                <w:szCs w:val="21"/>
                <w14:ligatures w14:val="none"/>
              </w:rPr>
              <w:br/>
              <w:t>The Maternal Protection Law was enacted through legislation by Diet members. In order to amend it, it is necessary to take appropriate action based on discussions in the Diet. Also see 158.209.</w:t>
            </w:r>
          </w:p>
        </w:tc>
      </w:tr>
      <w:tr w:rsidR="001A6E93" w:rsidRPr="00285BE6" w14:paraId="0C6D1B98" w14:textId="77777777" w:rsidTr="00585E86">
        <w:trPr>
          <w:gridAfter w:val="1"/>
          <w:wAfter w:w="8" w:type="dxa"/>
          <w:trHeight w:val="1245"/>
        </w:trPr>
        <w:tc>
          <w:tcPr>
            <w:tcW w:w="4111" w:type="dxa"/>
            <w:tcBorders>
              <w:top w:val="single" w:sz="4" w:space="0" w:color="auto"/>
              <w:left w:val="single" w:sz="4" w:space="0" w:color="auto"/>
              <w:bottom w:val="single" w:sz="4" w:space="0" w:color="auto"/>
              <w:right w:val="single" w:sz="4" w:space="0" w:color="auto"/>
            </w:tcBorders>
            <w:shd w:val="clear" w:color="auto" w:fill="auto"/>
            <w:hideMark/>
          </w:tcPr>
          <w:p w14:paraId="405D8276" w14:textId="77777777" w:rsidR="001A6E93" w:rsidRPr="00285BE6" w:rsidRDefault="001A6E93" w:rsidP="00585E86">
            <w:pPr>
              <w:widowControl/>
              <w:snapToGrid w:val="0"/>
              <w:jc w:val="left"/>
              <w:rPr>
                <w:rFonts w:eastAsia="游ゴシック"/>
                <w:color w:val="000000"/>
                <w:kern w:val="0"/>
                <w:szCs w:val="21"/>
                <w14:ligatures w14:val="none"/>
              </w:rPr>
            </w:pPr>
            <w:r w:rsidRPr="00285BE6">
              <w:rPr>
                <w:rFonts w:eastAsia="游ゴシック"/>
                <w:color w:val="000000"/>
                <w:kern w:val="0"/>
                <w:szCs w:val="21"/>
                <w14:ligatures w14:val="none"/>
              </w:rPr>
              <w:t>158.212 Decriminalize abortion and amend the Maternal Protection Act to guarantee access to safe, timely and affordable abortion care without the requirement of spousal consent (Iceland);</w:t>
            </w:r>
          </w:p>
        </w:tc>
        <w:tc>
          <w:tcPr>
            <w:tcW w:w="4111" w:type="dxa"/>
            <w:tcBorders>
              <w:top w:val="single" w:sz="4" w:space="0" w:color="auto"/>
              <w:left w:val="nil"/>
              <w:bottom w:val="single" w:sz="4" w:space="0" w:color="auto"/>
              <w:right w:val="single" w:sz="4" w:space="0" w:color="auto"/>
            </w:tcBorders>
            <w:shd w:val="clear" w:color="auto" w:fill="auto"/>
            <w:hideMark/>
          </w:tcPr>
          <w:p w14:paraId="5E62B957" w14:textId="77777777" w:rsidR="001A6E93" w:rsidRPr="00285BE6" w:rsidRDefault="001A6E93" w:rsidP="00585E86">
            <w:pPr>
              <w:widowControl/>
              <w:snapToGrid w:val="0"/>
              <w:jc w:val="left"/>
              <w:rPr>
                <w:rFonts w:eastAsia="游ゴシック"/>
                <w:color w:val="000000"/>
                <w:kern w:val="0"/>
                <w:szCs w:val="21"/>
                <w14:ligatures w14:val="none"/>
              </w:rPr>
            </w:pPr>
            <w:r w:rsidRPr="00285BE6">
              <w:rPr>
                <w:rFonts w:eastAsia="游ゴシック"/>
                <w:color w:val="000000"/>
                <w:kern w:val="0"/>
                <w:szCs w:val="21"/>
                <w14:ligatures w14:val="none"/>
              </w:rPr>
              <w:t xml:space="preserve">158.212 Partially accept to follow up. </w:t>
            </w:r>
            <w:r w:rsidRPr="00285BE6">
              <w:rPr>
                <w:rFonts w:eastAsia="游ゴシック"/>
                <w:color w:val="000000"/>
                <w:kern w:val="0"/>
                <w:szCs w:val="21"/>
                <w14:ligatures w14:val="none"/>
              </w:rPr>
              <w:br/>
              <w:t>See 158.209.</w:t>
            </w:r>
          </w:p>
        </w:tc>
      </w:tr>
      <w:tr w:rsidR="001A6E93" w:rsidRPr="00285BE6" w14:paraId="57E2EE57" w14:textId="77777777" w:rsidTr="00585E86">
        <w:trPr>
          <w:gridAfter w:val="1"/>
          <w:wAfter w:w="8" w:type="dxa"/>
          <w:trHeight w:val="1740"/>
        </w:trPr>
        <w:tc>
          <w:tcPr>
            <w:tcW w:w="4111" w:type="dxa"/>
            <w:tcBorders>
              <w:top w:val="single" w:sz="4" w:space="0" w:color="auto"/>
              <w:left w:val="single" w:sz="4" w:space="0" w:color="auto"/>
              <w:bottom w:val="single" w:sz="4" w:space="0" w:color="auto"/>
              <w:right w:val="single" w:sz="4" w:space="0" w:color="auto"/>
            </w:tcBorders>
            <w:shd w:val="clear" w:color="auto" w:fill="auto"/>
            <w:hideMark/>
          </w:tcPr>
          <w:p w14:paraId="50C859A7" w14:textId="77777777" w:rsidR="001A6E93" w:rsidRPr="00285BE6" w:rsidRDefault="001A6E93" w:rsidP="00585E86">
            <w:pPr>
              <w:widowControl/>
              <w:snapToGrid w:val="0"/>
              <w:jc w:val="left"/>
              <w:rPr>
                <w:rFonts w:eastAsia="游ゴシック"/>
                <w:color w:val="000000"/>
                <w:kern w:val="0"/>
                <w:szCs w:val="21"/>
                <w14:ligatures w14:val="none"/>
              </w:rPr>
            </w:pPr>
            <w:r w:rsidRPr="00285BE6">
              <w:rPr>
                <w:rFonts w:eastAsia="游ゴシック"/>
                <w:color w:val="000000"/>
                <w:kern w:val="0"/>
                <w:szCs w:val="21"/>
                <w14:ligatures w14:val="none"/>
              </w:rPr>
              <w:lastRenderedPageBreak/>
              <w:t>158.223 Amend the Penal Code to ensure it adequately addresses violence against women, including through provisions explicitly penalizing domestic violence, marital rape and incest (Belgium);</w:t>
            </w:r>
          </w:p>
        </w:tc>
        <w:tc>
          <w:tcPr>
            <w:tcW w:w="4111" w:type="dxa"/>
            <w:tcBorders>
              <w:top w:val="single" w:sz="4" w:space="0" w:color="auto"/>
              <w:left w:val="nil"/>
              <w:bottom w:val="single" w:sz="4" w:space="0" w:color="auto"/>
              <w:right w:val="single" w:sz="4" w:space="0" w:color="auto"/>
            </w:tcBorders>
            <w:shd w:val="clear" w:color="auto" w:fill="auto"/>
            <w:hideMark/>
          </w:tcPr>
          <w:p w14:paraId="312447CA" w14:textId="77777777" w:rsidR="001A6E93" w:rsidRPr="00285BE6" w:rsidRDefault="001A6E93" w:rsidP="00585E86">
            <w:pPr>
              <w:widowControl/>
              <w:snapToGrid w:val="0"/>
              <w:jc w:val="left"/>
              <w:rPr>
                <w:rFonts w:eastAsia="游ゴシック"/>
                <w:color w:val="000000"/>
                <w:kern w:val="0"/>
                <w:szCs w:val="21"/>
                <w14:ligatures w14:val="none"/>
              </w:rPr>
            </w:pPr>
            <w:r w:rsidRPr="00285BE6">
              <w:rPr>
                <w:rFonts w:eastAsia="游ゴシック"/>
                <w:color w:val="000000"/>
                <w:kern w:val="0"/>
                <w:szCs w:val="21"/>
                <w14:ligatures w14:val="none"/>
              </w:rPr>
              <w:t>158.223 Not accept.</w:t>
            </w:r>
            <w:r w:rsidRPr="00285BE6">
              <w:rPr>
                <w:rFonts w:eastAsia="游ゴシック"/>
                <w:color w:val="000000"/>
                <w:kern w:val="0"/>
                <w:szCs w:val="21"/>
                <w14:ligatures w14:val="none"/>
              </w:rPr>
              <w:br/>
              <w:t>Domestic violence and marital rape are crimes under the Penal Code. Although there is no provision that punishes incest itself, certain sexual acts, including sexual intercourse by a person having custody of a person under 18 with the person in their custody, are punishable under the Penal Code.</w:t>
            </w:r>
          </w:p>
        </w:tc>
      </w:tr>
      <w:tr w:rsidR="001A6E93" w:rsidRPr="00285BE6" w14:paraId="42F891DE" w14:textId="77777777" w:rsidTr="00585E86">
        <w:trPr>
          <w:gridAfter w:val="1"/>
          <w:wAfter w:w="8" w:type="dxa"/>
          <w:trHeight w:val="1365"/>
        </w:trPr>
        <w:tc>
          <w:tcPr>
            <w:tcW w:w="4111" w:type="dxa"/>
            <w:tcBorders>
              <w:top w:val="single" w:sz="4" w:space="0" w:color="auto"/>
              <w:left w:val="single" w:sz="4" w:space="0" w:color="auto"/>
              <w:bottom w:val="single" w:sz="4" w:space="0" w:color="auto"/>
              <w:right w:val="single" w:sz="4" w:space="0" w:color="auto"/>
            </w:tcBorders>
            <w:shd w:val="clear" w:color="auto" w:fill="auto"/>
            <w:hideMark/>
          </w:tcPr>
          <w:p w14:paraId="37DE7744" w14:textId="77777777" w:rsidR="001A6E93" w:rsidRPr="00285BE6" w:rsidRDefault="001A6E93" w:rsidP="00585E86">
            <w:pPr>
              <w:widowControl/>
              <w:snapToGrid w:val="0"/>
              <w:jc w:val="left"/>
              <w:rPr>
                <w:rFonts w:eastAsia="游ゴシック"/>
                <w:color w:val="000000"/>
                <w:kern w:val="0"/>
                <w:szCs w:val="21"/>
                <w14:ligatures w14:val="none"/>
              </w:rPr>
            </w:pPr>
            <w:r w:rsidRPr="00285BE6">
              <w:rPr>
                <w:rFonts w:eastAsia="游ゴシック"/>
                <w:color w:val="000000"/>
                <w:kern w:val="0"/>
                <w:szCs w:val="21"/>
                <w14:ligatures w14:val="none"/>
              </w:rPr>
              <w:t>158.225 Guarantee that all the human rights of all women are protected, including through equal representation in political and public life and the criminalization of domestic violence, marital rape and incest (Costa Rica);</w:t>
            </w:r>
          </w:p>
        </w:tc>
        <w:tc>
          <w:tcPr>
            <w:tcW w:w="4111" w:type="dxa"/>
            <w:tcBorders>
              <w:top w:val="single" w:sz="4" w:space="0" w:color="auto"/>
              <w:left w:val="nil"/>
              <w:bottom w:val="single" w:sz="4" w:space="0" w:color="auto"/>
              <w:right w:val="single" w:sz="4" w:space="0" w:color="auto"/>
            </w:tcBorders>
            <w:shd w:val="clear" w:color="auto" w:fill="auto"/>
            <w:hideMark/>
          </w:tcPr>
          <w:p w14:paraId="6C92489D" w14:textId="77777777" w:rsidR="001A6E93" w:rsidRPr="00285BE6" w:rsidRDefault="001A6E93" w:rsidP="00585E86">
            <w:pPr>
              <w:widowControl/>
              <w:snapToGrid w:val="0"/>
              <w:jc w:val="left"/>
              <w:rPr>
                <w:rFonts w:eastAsia="游ゴシック"/>
                <w:color w:val="000000"/>
                <w:kern w:val="0"/>
                <w:szCs w:val="21"/>
                <w14:ligatures w14:val="none"/>
              </w:rPr>
            </w:pPr>
            <w:r w:rsidRPr="00285BE6">
              <w:rPr>
                <w:rFonts w:eastAsia="游ゴシック"/>
                <w:color w:val="000000"/>
                <w:kern w:val="0"/>
                <w:szCs w:val="21"/>
                <w14:ligatures w14:val="none"/>
              </w:rPr>
              <w:t xml:space="preserve">158.225 Partially accept to follow up. </w:t>
            </w:r>
            <w:r w:rsidRPr="00285BE6">
              <w:rPr>
                <w:rFonts w:eastAsia="游ゴシック"/>
                <w:color w:val="000000"/>
                <w:kern w:val="0"/>
                <w:szCs w:val="21"/>
                <w14:ligatures w14:val="none"/>
              </w:rPr>
              <w:br/>
              <w:t>See 158.223.</w:t>
            </w:r>
          </w:p>
        </w:tc>
      </w:tr>
    </w:tbl>
    <w:p w14:paraId="228C1930" w14:textId="77777777" w:rsidR="001C1657" w:rsidRDefault="001C1657" w:rsidP="00364333">
      <w:pPr>
        <w:pStyle w:val="1"/>
        <w:spacing w:after="180"/>
        <w:rPr>
          <w:sz w:val="32"/>
          <w:szCs w:val="32"/>
        </w:rPr>
      </w:pPr>
    </w:p>
    <w:p w14:paraId="1D42DA53" w14:textId="77777777" w:rsidR="001C1657" w:rsidRDefault="001C1657">
      <w:pPr>
        <w:widowControl/>
        <w:jc w:val="left"/>
        <w:rPr>
          <w:rFonts w:ascii="Open Sans" w:eastAsia="Open Sans" w:hAnsi="Open Sans" w:cs="Open Sans"/>
          <w:b/>
          <w:sz w:val="32"/>
          <w:szCs w:val="32"/>
        </w:rPr>
      </w:pPr>
      <w:r>
        <w:rPr>
          <w:sz w:val="32"/>
          <w:szCs w:val="32"/>
        </w:rPr>
        <w:br w:type="page"/>
      </w:r>
    </w:p>
    <w:p w14:paraId="68F40255" w14:textId="5BCC7F98" w:rsidR="001A6E93" w:rsidRDefault="001A6E93" w:rsidP="00364333">
      <w:pPr>
        <w:pStyle w:val="1"/>
        <w:spacing w:after="180"/>
      </w:pPr>
      <w:r w:rsidRPr="00EC3658">
        <w:rPr>
          <w:sz w:val="32"/>
          <w:szCs w:val="32"/>
        </w:rPr>
        <w:lastRenderedPageBreak/>
        <w:t>Criminal Provisions for Sexual Violence</w:t>
      </w:r>
      <w:r w:rsidR="00EC3658">
        <w:rPr>
          <w:rFonts w:eastAsiaTheme="minorEastAsia"/>
        </w:rPr>
        <w:br/>
      </w:r>
      <w:r w:rsidR="00A82680" w:rsidRPr="00EC3658">
        <w:rPr>
          <w:rFonts w:hint="eastAsia"/>
          <w:color w:val="44546A" w:themeColor="text2"/>
        </w:rPr>
        <w:t>（</w:t>
      </w:r>
      <w:r w:rsidR="00A82680" w:rsidRPr="00EC3658">
        <w:rPr>
          <w:color w:val="44546A" w:themeColor="text2"/>
        </w:rPr>
        <w:t>Related to paragraph 9 of LoI</w:t>
      </w:r>
      <w:r w:rsidR="00A82680" w:rsidRPr="00EC3658">
        <w:rPr>
          <w:rFonts w:hint="eastAsia"/>
          <w:color w:val="44546A" w:themeColor="text2"/>
        </w:rPr>
        <w:t>, Art 6）</w:t>
      </w:r>
    </w:p>
    <w:tbl>
      <w:tblPr>
        <w:tblStyle w:val="ab"/>
        <w:tblW w:w="0" w:type="auto"/>
        <w:tblCellMar>
          <w:top w:w="170" w:type="dxa"/>
          <w:left w:w="170" w:type="dxa"/>
          <w:bottom w:w="170" w:type="dxa"/>
          <w:right w:w="170" w:type="dxa"/>
        </w:tblCellMar>
        <w:tblLook w:val="04A0" w:firstRow="1" w:lastRow="0" w:firstColumn="1" w:lastColumn="0" w:noHBand="0" w:noVBand="1"/>
      </w:tblPr>
      <w:tblGrid>
        <w:gridCol w:w="8474"/>
      </w:tblGrid>
      <w:tr w:rsidR="00A82680" w14:paraId="40B8DB03" w14:textId="77777777" w:rsidTr="005167E8">
        <w:tc>
          <w:tcPr>
            <w:tcW w:w="8494" w:type="dxa"/>
            <w:tcBorders>
              <w:top w:val="single" w:sz="12" w:space="0" w:color="auto"/>
              <w:left w:val="single" w:sz="12" w:space="0" w:color="auto"/>
              <w:bottom w:val="single" w:sz="12" w:space="0" w:color="auto"/>
              <w:right w:val="single" w:sz="12" w:space="0" w:color="auto"/>
            </w:tcBorders>
          </w:tcPr>
          <w:p w14:paraId="00F7376B" w14:textId="77777777" w:rsidR="00A82680" w:rsidRDefault="00A82680" w:rsidP="00364333">
            <w:pPr>
              <w:pStyle w:val="2"/>
            </w:pPr>
            <w:r>
              <w:t>Suggested Recommendations</w:t>
            </w:r>
          </w:p>
          <w:p w14:paraId="5A45BEE2" w14:textId="05360A58" w:rsidR="00A82680" w:rsidRPr="00A82680" w:rsidRDefault="003274A1" w:rsidP="00EC76C3">
            <w:pPr>
              <w:widowControl/>
              <w:jc w:val="left"/>
            </w:pPr>
            <w:r w:rsidRPr="003274A1">
              <w:t xml:space="preserve">The State </w:t>
            </w:r>
            <w:r w:rsidR="00EC76C3">
              <w:rPr>
                <w:rFonts w:eastAsiaTheme="minorEastAsia" w:hint="eastAsia"/>
              </w:rPr>
              <w:t xml:space="preserve">party </w:t>
            </w:r>
            <w:r w:rsidRPr="003274A1">
              <w:t xml:space="preserve">should review the provisions related to sexual offenses, including (1) the provision that relaxes the age of consent when the age difference is less than five years, (2) the provision </w:t>
            </w:r>
            <w:r w:rsidR="008C3860">
              <w:rPr>
                <w:rFonts w:eastAsiaTheme="minorEastAsia" w:hint="eastAsia"/>
              </w:rPr>
              <w:t>that establishes</w:t>
            </w:r>
            <w:r w:rsidRPr="003274A1">
              <w:t xml:space="preserve"> a statute of limitations for prosecution, and (3) ensure that </w:t>
            </w:r>
            <w:r>
              <w:rPr>
                <w:rFonts w:eastAsiaTheme="minorEastAsia" w:hint="eastAsia"/>
              </w:rPr>
              <w:t xml:space="preserve">the related </w:t>
            </w:r>
            <w:r w:rsidRPr="003274A1">
              <w:t>provisions meet the "Yes means Yes" standard.</w:t>
            </w:r>
          </w:p>
        </w:tc>
      </w:tr>
    </w:tbl>
    <w:p w14:paraId="3C6D78DC" w14:textId="77777777" w:rsidR="004711E8" w:rsidRDefault="004711E8" w:rsidP="001A6E93">
      <w:pPr>
        <w:widowControl/>
        <w:jc w:val="left"/>
      </w:pPr>
    </w:p>
    <w:p w14:paraId="128E43D6" w14:textId="2ACE0FA9" w:rsidR="00BA3EA1" w:rsidRDefault="00B56272" w:rsidP="00BA3EA1">
      <w:pPr>
        <w:widowControl/>
        <w:jc w:val="left"/>
        <w:rPr>
          <w:rFonts w:eastAsiaTheme="minorEastAsia"/>
        </w:rPr>
      </w:pPr>
      <w:r w:rsidRPr="00B56272">
        <w:t>Currently, Japan lacks specific criminalization provisions for spousal violence similar to those found in Article 76 of the Serious Crime Act 2015 in the UK. While forcible sexual intercourse is established as a crime even within marriage, there are no provisions for aggravated punishment when such a crime occurs between spouses.</w:t>
      </w:r>
    </w:p>
    <w:p w14:paraId="4C7326DB" w14:textId="77777777" w:rsidR="00B56272" w:rsidRPr="00B56272" w:rsidRDefault="00B56272" w:rsidP="00BA3EA1">
      <w:pPr>
        <w:widowControl/>
        <w:jc w:val="left"/>
        <w:rPr>
          <w:rFonts w:eastAsiaTheme="minorEastAsia"/>
        </w:rPr>
      </w:pPr>
    </w:p>
    <w:p w14:paraId="76CD2163" w14:textId="324CE82A" w:rsidR="00BA3EA1" w:rsidRDefault="00BA3EA1" w:rsidP="00BA3EA1">
      <w:pPr>
        <w:widowControl/>
        <w:jc w:val="left"/>
      </w:pPr>
      <w:r>
        <w:t xml:space="preserve">The </w:t>
      </w:r>
      <w:r w:rsidR="008C3860">
        <w:rPr>
          <w:rFonts w:eastAsiaTheme="minorEastAsia" w:hint="eastAsia"/>
        </w:rPr>
        <w:t xml:space="preserve">provisions of </w:t>
      </w:r>
      <w:r>
        <w:t>Penal Code</w:t>
      </w:r>
      <w:r w:rsidR="008C3860">
        <w:rPr>
          <w:rFonts w:eastAsiaTheme="minorEastAsia" w:hint="eastAsia"/>
        </w:rPr>
        <w:t xml:space="preserve"> regarding </w:t>
      </w:r>
      <w:r>
        <w:t>sexual offense provisions have raised the age of consent for sexual intercourse to 16</w:t>
      </w:r>
      <w:r w:rsidR="008C3860">
        <w:rPr>
          <w:rFonts w:eastAsiaTheme="minorEastAsia" w:hint="eastAsia"/>
        </w:rPr>
        <w:t xml:space="preserve"> years</w:t>
      </w:r>
      <w:r>
        <w:t xml:space="preserve">. However, </w:t>
      </w:r>
      <w:r w:rsidR="008C3860">
        <w:rPr>
          <w:rFonts w:eastAsiaTheme="minorEastAsia" w:hint="eastAsia"/>
        </w:rPr>
        <w:t xml:space="preserve">there is </w:t>
      </w:r>
      <w:r>
        <w:t xml:space="preserve">an exception exists where the age of consent remains </w:t>
      </w:r>
      <w:r w:rsidR="008C3860">
        <w:rPr>
          <w:rFonts w:eastAsiaTheme="minorEastAsia" w:hint="eastAsia"/>
        </w:rPr>
        <w:t xml:space="preserve">at </w:t>
      </w:r>
      <w:r>
        <w:t>13 if the age difference between the individuals involved is 5 years or less.</w:t>
      </w:r>
    </w:p>
    <w:p w14:paraId="3686B918" w14:textId="77777777" w:rsidR="00BA3EA1" w:rsidRDefault="00BA3EA1" w:rsidP="00BA3EA1">
      <w:pPr>
        <w:widowControl/>
        <w:jc w:val="left"/>
      </w:pPr>
    </w:p>
    <w:p w14:paraId="6977975F" w14:textId="6A99F1C0" w:rsidR="00BA3EA1" w:rsidRDefault="00BA3EA1" w:rsidP="00BA3EA1">
      <w:pPr>
        <w:widowControl/>
        <w:jc w:val="left"/>
      </w:pPr>
      <w:r>
        <w:t xml:space="preserve">The amended laws, including the </w:t>
      </w:r>
      <w:r w:rsidR="008C3860">
        <w:t xml:space="preserve">provisions </w:t>
      </w:r>
      <w:r w:rsidR="008C3860">
        <w:rPr>
          <w:rFonts w:eastAsiaTheme="minorEastAsia" w:hint="eastAsia"/>
        </w:rPr>
        <w:t xml:space="preserve">of </w:t>
      </w:r>
      <w:r>
        <w:t xml:space="preserve">Penal Code, fall short of implementing a "yes means yes" standard. There are significant </w:t>
      </w:r>
      <w:r w:rsidR="008C3860">
        <w:rPr>
          <w:rFonts w:eastAsiaTheme="minorEastAsia" w:hint="eastAsia"/>
        </w:rPr>
        <w:t xml:space="preserve">problems </w:t>
      </w:r>
      <w:r>
        <w:t>both within the articles themselves and in their application and interpretation.</w:t>
      </w:r>
    </w:p>
    <w:p w14:paraId="2BF7068F" w14:textId="77777777" w:rsidR="00BA3EA1" w:rsidRDefault="00BA3EA1" w:rsidP="00BA3EA1">
      <w:pPr>
        <w:widowControl/>
        <w:jc w:val="left"/>
      </w:pPr>
    </w:p>
    <w:p w14:paraId="34E4C15F" w14:textId="3EC356C5" w:rsidR="005167E8" w:rsidRPr="005167E8" w:rsidRDefault="00BA3EA1" w:rsidP="00BA3EA1">
      <w:pPr>
        <w:widowControl/>
        <w:jc w:val="left"/>
        <w:rPr>
          <w:rFonts w:eastAsiaTheme="minorEastAsia"/>
        </w:rPr>
      </w:pPr>
      <w:r>
        <w:t>The main provisions of the Penal Code in their current form are as follows:</w:t>
      </w:r>
    </w:p>
    <w:tbl>
      <w:tblPr>
        <w:tblStyle w:val="ab"/>
        <w:tblW w:w="0" w:type="auto"/>
        <w:tblInd w:w="284" w:type="dxa"/>
        <w:tblCellMar>
          <w:top w:w="113" w:type="dxa"/>
          <w:bottom w:w="113" w:type="dxa"/>
        </w:tblCellMar>
        <w:tblLook w:val="04A0" w:firstRow="1" w:lastRow="0" w:firstColumn="1" w:lastColumn="0" w:noHBand="0" w:noVBand="1"/>
      </w:tblPr>
      <w:tblGrid>
        <w:gridCol w:w="8080"/>
      </w:tblGrid>
      <w:tr w:rsidR="00A82680" w14:paraId="11799C81" w14:textId="77777777" w:rsidTr="005167E8">
        <w:tc>
          <w:tcPr>
            <w:tcW w:w="8080" w:type="dxa"/>
            <w:tcBorders>
              <w:top w:val="nil"/>
              <w:left w:val="nil"/>
              <w:bottom w:val="nil"/>
              <w:right w:val="nil"/>
            </w:tcBorders>
            <w:shd w:val="clear" w:color="auto" w:fill="F2F2F2" w:themeFill="background1" w:themeFillShade="F2"/>
          </w:tcPr>
          <w:p w14:paraId="113AFA73" w14:textId="2663EF35" w:rsidR="00024D4C" w:rsidRDefault="00A82680" w:rsidP="005167E8">
            <w:pPr>
              <w:widowControl/>
              <w:snapToGrid w:val="0"/>
              <w:jc w:val="left"/>
            </w:pPr>
            <w:r>
              <w:t>Article 177</w:t>
            </w:r>
            <w:r w:rsidR="00260884">
              <w:rPr>
                <w:rFonts w:eastAsiaTheme="minorEastAsia" w:hint="eastAsia"/>
              </w:rPr>
              <w:t>;</w:t>
            </w:r>
            <w:r>
              <w:t xml:space="preserve"> </w:t>
            </w:r>
            <w:r w:rsidR="00024D4C">
              <w:rPr>
                <w:rFonts w:hint="eastAsia"/>
              </w:rPr>
              <w:t>(1)</w:t>
            </w:r>
            <w:r w:rsidR="00024D4C">
              <w:t xml:space="preserve">A person who, </w:t>
            </w:r>
            <w:r w:rsidR="00024D4C" w:rsidRPr="00B31E1B">
              <w:rPr>
                <w:u w:val="single"/>
              </w:rPr>
              <w:t xml:space="preserve">by causing a person to be in a state in which it is difficult for him/her to form, express or fulfill the intention not to consent, </w:t>
            </w:r>
            <w:r w:rsidR="00024D4C">
              <w:t xml:space="preserve">through any of the acts or reasons listed in any of the items of paragraph 1 of the preceding Article or any other similar acts or reasons, or by taking advantage of such a state, commits sexual intercourse, anal sexual intercourse, oral sexual intercourse, or an obscene act of inserting a body part (excluding the penis) or an object into the vagina or anus </w:t>
            </w:r>
            <w:r w:rsidR="00116173">
              <w:rPr>
                <w:rFonts w:hint="eastAsia"/>
              </w:rPr>
              <w:t>･････</w:t>
            </w:r>
            <w:r w:rsidR="00116173">
              <w:t xml:space="preserve">Omitted </w:t>
            </w:r>
            <w:r w:rsidR="00116173">
              <w:rPr>
                <w:rFonts w:hint="eastAsia"/>
              </w:rPr>
              <w:t>･････</w:t>
            </w:r>
            <w:r w:rsidR="00024D4C">
              <w:t>, shall be punished by imprisonment for a definite term of not less than five years, regardless of marital status.</w:t>
            </w:r>
          </w:p>
          <w:p w14:paraId="1055B509" w14:textId="77777777" w:rsidR="00116173" w:rsidRDefault="00024D4C" w:rsidP="005167E8">
            <w:pPr>
              <w:widowControl/>
              <w:snapToGrid w:val="0"/>
              <w:jc w:val="left"/>
            </w:pPr>
            <w:r>
              <w:t xml:space="preserve">2. </w:t>
            </w:r>
            <w:r w:rsidR="00116173">
              <w:rPr>
                <w:rFonts w:hint="eastAsia"/>
              </w:rPr>
              <w:t>･････</w:t>
            </w:r>
            <w:r w:rsidR="00116173">
              <w:t xml:space="preserve">Omitted </w:t>
            </w:r>
            <w:r w:rsidR="00116173">
              <w:rPr>
                <w:rFonts w:hint="eastAsia"/>
              </w:rPr>
              <w:t>･････</w:t>
            </w:r>
          </w:p>
          <w:p w14:paraId="6046A6CB" w14:textId="7DDDB174" w:rsidR="00A82680" w:rsidRPr="000405A5" w:rsidRDefault="00024D4C" w:rsidP="005167E8">
            <w:pPr>
              <w:widowControl/>
              <w:snapToGrid w:val="0"/>
              <w:jc w:val="left"/>
              <w:rPr>
                <w:u w:val="single"/>
              </w:rPr>
            </w:pPr>
            <w:r>
              <w:t>3.</w:t>
            </w:r>
            <w:r w:rsidRPr="00024D4C">
              <w:rPr>
                <w:u w:val="single"/>
              </w:rPr>
              <w:t xml:space="preserve"> A person who has sexual intercourse, etc. with a person under the age of 16 (in the case where the person under the age of 16 is 13 or older, this shall be limited to a person born on a day more than five years before the birth of the said person) shall be punished in the same manner as prescribed in paragraph 1.</w:t>
            </w:r>
          </w:p>
        </w:tc>
      </w:tr>
    </w:tbl>
    <w:p w14:paraId="48F5006F" w14:textId="77777777" w:rsidR="00A01763" w:rsidRDefault="00A01763" w:rsidP="001A6E93">
      <w:pPr>
        <w:widowControl/>
        <w:jc w:val="left"/>
      </w:pPr>
    </w:p>
    <w:p w14:paraId="75AF7CD0" w14:textId="12C84C3A" w:rsidR="00116173" w:rsidRDefault="00BA3EA1">
      <w:pPr>
        <w:widowControl/>
        <w:jc w:val="left"/>
      </w:pPr>
      <w:r w:rsidRPr="00BA3EA1">
        <w:rPr>
          <w:rFonts w:eastAsiaTheme="minorEastAsia"/>
        </w:rPr>
        <w:t xml:space="preserve">Although the statute of limitations for prosecution has been extended to 15 years for nonconsensual sexual intercourse (starting from the time the </w:t>
      </w:r>
      <w:r w:rsidR="00B4312B">
        <w:rPr>
          <w:rFonts w:eastAsiaTheme="minorEastAsia" w:hint="eastAsia"/>
        </w:rPr>
        <w:t>victim</w:t>
      </w:r>
      <w:r w:rsidRPr="00BA3EA1">
        <w:rPr>
          <w:rFonts w:eastAsiaTheme="minorEastAsia"/>
        </w:rPr>
        <w:t xml:space="preserve"> turns 18 if they were under 18 years old at the </w:t>
      </w:r>
      <w:r w:rsidRPr="00BA3EA1">
        <w:rPr>
          <w:rFonts w:eastAsiaTheme="minorEastAsia"/>
        </w:rPr>
        <w:lastRenderedPageBreak/>
        <w:t xml:space="preserve">time of the </w:t>
      </w:r>
      <w:r w:rsidR="00B4312B">
        <w:rPr>
          <w:rFonts w:eastAsiaTheme="minorEastAsia" w:hint="eastAsia"/>
        </w:rPr>
        <w:t>victimization</w:t>
      </w:r>
      <w:r w:rsidRPr="00BA3EA1">
        <w:rPr>
          <w:rFonts w:eastAsiaTheme="minorEastAsia"/>
        </w:rPr>
        <w:t xml:space="preserve">), this extension is still inadequate. Victims often experience trauma that can delay their recognition of the assault, their decision to talk about it, and </w:t>
      </w:r>
      <w:r w:rsidR="00920E1C">
        <w:rPr>
          <w:rFonts w:eastAsiaTheme="minorEastAsia" w:hint="eastAsia"/>
        </w:rPr>
        <w:t xml:space="preserve">impede </w:t>
      </w:r>
      <w:r w:rsidRPr="00BA3EA1">
        <w:rPr>
          <w:rFonts w:eastAsiaTheme="minorEastAsia"/>
        </w:rPr>
        <w:t xml:space="preserve">their ability to report it. </w:t>
      </w:r>
      <w:r w:rsidR="00B4312B">
        <w:rPr>
          <w:rFonts w:eastAsiaTheme="minorEastAsia" w:hint="eastAsia"/>
        </w:rPr>
        <w:t>S</w:t>
      </w:r>
      <w:r w:rsidRPr="00BA3EA1">
        <w:rPr>
          <w:rFonts w:eastAsiaTheme="minorEastAsia"/>
        </w:rPr>
        <w:t xml:space="preserve">ome victims forgo reporting the assault altogether because the statute of limitations has expired, even </w:t>
      </w:r>
      <w:r w:rsidR="008C3860">
        <w:rPr>
          <w:rFonts w:eastAsiaTheme="minorEastAsia" w:hint="eastAsia"/>
        </w:rPr>
        <w:t xml:space="preserve">if the </w:t>
      </w:r>
      <w:r w:rsidRPr="00BA3EA1">
        <w:rPr>
          <w:rFonts w:eastAsiaTheme="minorEastAsia"/>
        </w:rPr>
        <w:t>evidence is clear.</w:t>
      </w:r>
      <w:r w:rsidR="00116173">
        <w:br w:type="page"/>
      </w:r>
    </w:p>
    <w:p w14:paraId="108651C2" w14:textId="0C862A12" w:rsidR="00116173" w:rsidRDefault="00116173" w:rsidP="009F0DBD">
      <w:pPr>
        <w:pStyle w:val="1"/>
        <w:spacing w:after="180"/>
        <w:rPr>
          <w:rFonts w:eastAsiaTheme="minorEastAsia"/>
          <w:color w:val="44546A" w:themeColor="text2"/>
        </w:rPr>
      </w:pPr>
      <w:r w:rsidRPr="00EC3658">
        <w:rPr>
          <w:sz w:val="32"/>
          <w:szCs w:val="32"/>
        </w:rPr>
        <w:lastRenderedPageBreak/>
        <w:t>LBT women</w:t>
      </w:r>
      <w:r w:rsidR="00EC3658">
        <w:rPr>
          <w:rFonts w:eastAsiaTheme="minorEastAsia"/>
        </w:rPr>
        <w:br/>
      </w:r>
      <w:r w:rsidR="005167E8" w:rsidRPr="00EC3658">
        <w:rPr>
          <w:rFonts w:ascii="ＭＳ 明朝" w:eastAsia="ＭＳ 明朝" w:hAnsi="ＭＳ 明朝" w:cs="ＭＳ 明朝" w:hint="eastAsia"/>
          <w:color w:val="44546A" w:themeColor="text2"/>
        </w:rPr>
        <w:t>（</w:t>
      </w:r>
      <w:r w:rsidR="005167E8" w:rsidRPr="00EC3658">
        <w:rPr>
          <w:color w:val="44546A" w:themeColor="text2"/>
        </w:rPr>
        <w:t xml:space="preserve">Related to paragraph </w:t>
      </w:r>
      <w:r w:rsidR="005167E8" w:rsidRPr="00EC3658">
        <w:rPr>
          <w:rFonts w:eastAsiaTheme="minorEastAsia" w:hint="eastAsia"/>
          <w:color w:val="44546A" w:themeColor="text2"/>
        </w:rPr>
        <w:t>23</w:t>
      </w:r>
      <w:r w:rsidR="005167E8" w:rsidRPr="00EC3658">
        <w:rPr>
          <w:color w:val="44546A" w:themeColor="text2"/>
        </w:rPr>
        <w:t xml:space="preserve"> of LoI</w:t>
      </w:r>
      <w:r w:rsidR="005167E8" w:rsidRPr="00EC3658">
        <w:rPr>
          <w:rFonts w:ascii="ＭＳ 明朝" w:eastAsia="ＭＳ 明朝" w:hAnsi="ＭＳ 明朝" w:cs="ＭＳ 明朝" w:hint="eastAsia"/>
          <w:color w:val="44546A" w:themeColor="text2"/>
        </w:rPr>
        <w:t>）</w:t>
      </w:r>
    </w:p>
    <w:p w14:paraId="7A9C3DC1" w14:textId="7AD70C08" w:rsidR="009F0DBD" w:rsidRPr="009F0DBD" w:rsidRDefault="009F0DBD" w:rsidP="009F0DBD">
      <w:pPr>
        <w:snapToGrid w:val="0"/>
        <w:rPr>
          <w:rFonts w:ascii="Open Sans" w:eastAsia="Open Sans" w:hAnsi="Open Sans" w:cs="Open Sans"/>
          <w:b/>
          <w:sz w:val="32"/>
          <w:szCs w:val="32"/>
        </w:rPr>
      </w:pPr>
      <w:r w:rsidRPr="009F0DBD">
        <w:rPr>
          <w:rFonts w:ascii="Open Sans" w:eastAsia="Open Sans" w:hAnsi="Open Sans" w:cs="Open Sans"/>
          <w:b/>
          <w:sz w:val="32"/>
          <w:szCs w:val="32"/>
        </w:rPr>
        <w:t>Co-authored with the "</w:t>
      </w:r>
      <w:proofErr w:type="spellStart"/>
      <w:r w:rsidRPr="009F0DBD">
        <w:rPr>
          <w:rFonts w:ascii="Open Sans" w:eastAsia="Open Sans" w:hAnsi="Open Sans" w:cs="Open Sans"/>
          <w:b/>
          <w:sz w:val="32"/>
          <w:szCs w:val="32"/>
        </w:rPr>
        <w:t>Regumi</w:t>
      </w:r>
      <w:proofErr w:type="spellEnd"/>
      <w:r w:rsidRPr="009F0DBD">
        <w:rPr>
          <w:rFonts w:ascii="Open Sans" w:eastAsia="Open Sans" w:hAnsi="Open Sans" w:cs="Open Sans"/>
          <w:b/>
          <w:sz w:val="32"/>
          <w:szCs w:val="32"/>
        </w:rPr>
        <w:t xml:space="preserve"> Studio Tokyo"</w:t>
      </w:r>
    </w:p>
    <w:p w14:paraId="2062A33E" w14:textId="77777777" w:rsidR="00574CE0" w:rsidRDefault="00574CE0" w:rsidP="00116173">
      <w:pPr>
        <w:widowControl/>
        <w:jc w:val="left"/>
        <w:rPr>
          <w:rFonts w:eastAsiaTheme="minorEastAsia"/>
        </w:rPr>
      </w:pPr>
    </w:p>
    <w:p w14:paraId="5A9E0141" w14:textId="72B445CE" w:rsidR="007E4307" w:rsidRPr="00B31E1B" w:rsidRDefault="00B71C2D" w:rsidP="007E4307">
      <w:pPr>
        <w:widowControl/>
        <w:jc w:val="left"/>
      </w:pPr>
      <w:r>
        <w:rPr>
          <w:rFonts w:eastAsiaTheme="minorEastAsia" w:hint="eastAsia"/>
        </w:rPr>
        <w:t>T</w:t>
      </w:r>
      <w:r w:rsidR="00B31E1B" w:rsidRPr="00B31E1B">
        <w:t xml:space="preserve">he LGBT Awareness Promotion Act was enacted, but it is highly insufficient as it does not prohibit discrimination against LBT women nor guarantee their rights. </w:t>
      </w:r>
      <w:r w:rsidR="008C3860" w:rsidRPr="008C3860">
        <w:t>Marriage registration forms for same-sex couples</w:t>
      </w:r>
      <w:r w:rsidR="00B31E1B" w:rsidRPr="00B31E1B">
        <w:t xml:space="preserve"> are not accepted. </w:t>
      </w:r>
      <w:r w:rsidR="00B4312B">
        <w:rPr>
          <w:rFonts w:eastAsiaTheme="minorEastAsia" w:hint="eastAsia"/>
        </w:rPr>
        <w:t>A</w:t>
      </w:r>
      <w:r w:rsidR="00B31E1B" w:rsidRPr="00B31E1B">
        <w:t xml:space="preserve"> group of lawmakers has drafted an outline for a bill on assisted reproductive technology (ART) involving sperm and eggs donated by third parties. The draft</w:t>
      </w:r>
      <w:r w:rsidR="0009260A">
        <w:rPr>
          <w:rFonts w:eastAsiaTheme="minorEastAsia" w:hint="eastAsia"/>
        </w:rPr>
        <w:t>ed outline of the</w:t>
      </w:r>
      <w:r w:rsidR="00B31E1B" w:rsidRPr="00B31E1B">
        <w:t xml:space="preserve"> bill would </w:t>
      </w:r>
      <w:r w:rsidR="008C3860" w:rsidRPr="008C3860">
        <w:t>limit access to ART to legally married couples</w:t>
      </w:r>
      <w:r w:rsidR="00B31E1B" w:rsidRPr="00B31E1B">
        <w:t xml:space="preserve"> and exclude single women and same-sex couples. Although protection is granted to "those in a de facto marriage-like relationship," same-sex couples are not explicitly included in this category</w:t>
      </w:r>
      <w:r w:rsidR="000C7B0E">
        <w:rPr>
          <w:rFonts w:eastAsiaTheme="minorEastAsia" w:hint="eastAsia"/>
        </w:rPr>
        <w:t>, such as</w:t>
      </w:r>
      <w:r w:rsidR="00B31E1B" w:rsidRPr="00B31E1B">
        <w:t xml:space="preserve"> the right to receive survivor’s pensions and survivor’s compensation pensions, the right to be recognized as relatives for public housing applications, protection under the Domestic Violence Law, and the treatment of prisoners.</w:t>
      </w:r>
    </w:p>
    <w:p w14:paraId="6F098E42" w14:textId="77777777" w:rsidR="00574CE0" w:rsidRPr="000C7B0E" w:rsidRDefault="00574CE0" w:rsidP="00116173">
      <w:pPr>
        <w:widowControl/>
        <w:jc w:val="left"/>
        <w:rPr>
          <w:rFonts w:eastAsiaTheme="minorEastAsia"/>
        </w:rPr>
      </w:pPr>
    </w:p>
    <w:sectPr w:rsidR="00574CE0" w:rsidRPr="000C7B0E" w:rsidSect="00EC3658">
      <w:headerReference w:type="default" r:id="rId9"/>
      <w:footerReference w:type="default" r:id="rId10"/>
      <w:pgSz w:w="11906" w:h="16838"/>
      <w:pgMar w:top="1985" w:right="1701" w:bottom="1701" w:left="1701" w:header="573" w:footer="719"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084A015" w14:textId="77777777" w:rsidR="005801A5" w:rsidRDefault="005801A5" w:rsidP="00EE51E3">
      <w:r>
        <w:separator/>
      </w:r>
    </w:p>
  </w:endnote>
  <w:endnote w:type="continuationSeparator" w:id="0">
    <w:p w14:paraId="62D906F4" w14:textId="77777777" w:rsidR="005801A5" w:rsidRDefault="005801A5" w:rsidP="00EE51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Open Sans">
    <w:charset w:val="00"/>
    <w:family w:val="swiss"/>
    <w:pitch w:val="variable"/>
    <w:sig w:usb0="E00002EF" w:usb1="4000205B" w:usb2="00000028" w:usb3="00000000" w:csb0="0000019F" w:csb1="00000000"/>
  </w:font>
  <w:font w:name="游ゴシック Light">
    <w:panose1 w:val="020B0300000000000000"/>
    <w:charset w:val="80"/>
    <w:family w:val="modern"/>
    <w:pitch w:val="variable"/>
    <w:sig w:usb0="E00002FF" w:usb1="2AC7FDFF" w:usb2="00000016" w:usb3="00000000" w:csb0="0002009F" w:csb1="00000000"/>
  </w:font>
  <w:font w:name="ＭＳ Ｐゴシック">
    <w:panose1 w:val="020B0600070205080204"/>
    <w:charset w:val="80"/>
    <w:family w:val="modern"/>
    <w:pitch w:val="variable"/>
    <w:sig w:usb0="E00002FF" w:usb1="6AC7FDFB" w:usb2="08000012" w:usb3="00000000" w:csb0="0002009F" w:csb1="00000000"/>
  </w:font>
  <w:font w:name="Meiryo UI">
    <w:panose1 w:val="020B0604030504040204"/>
    <w:charset w:val="80"/>
    <w:family w:val="modern"/>
    <w:pitch w:val="variable"/>
    <w:sig w:usb0="E00002FF" w:usb1="6AC7FFFF"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游ゴシック">
    <w:altName w:val="Yu Gothic"/>
    <w:panose1 w:val="020B0400000000000000"/>
    <w:charset w:val="80"/>
    <w:family w:val="modern"/>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7AA9672" w14:textId="49A37F8C" w:rsidR="00364333" w:rsidRDefault="00EC3658" w:rsidP="00EC3658">
    <w:pPr>
      <w:pStyle w:val="a9"/>
      <w:tabs>
        <w:tab w:val="clear" w:pos="4252"/>
        <w:tab w:val="center" w:pos="426"/>
        <w:tab w:val="left" w:pos="4790"/>
      </w:tabs>
    </w:pPr>
    <w:r>
      <w:rPr>
        <w:noProof/>
      </w:rPr>
      <mc:AlternateContent>
        <mc:Choice Requires="wps">
          <w:drawing>
            <wp:anchor distT="45720" distB="45720" distL="114300" distR="114300" simplePos="0" relativeHeight="251662336" behindDoc="0" locked="0" layoutInCell="1" allowOverlap="1" wp14:anchorId="78B99286" wp14:editId="2E589801">
              <wp:simplePos x="0" y="0"/>
              <wp:positionH relativeFrom="margin">
                <wp:posOffset>3233420</wp:posOffset>
              </wp:positionH>
              <wp:positionV relativeFrom="paragraph">
                <wp:posOffset>-43815</wp:posOffset>
              </wp:positionV>
              <wp:extent cx="2360930" cy="1404620"/>
              <wp:effectExtent l="0" t="0" r="0" b="635"/>
              <wp:wrapNone/>
              <wp:docPr id="473219719"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14:paraId="5BC4221F" w14:textId="0EBF4BD2" w:rsidR="00EC3658" w:rsidRPr="00EC3658" w:rsidRDefault="00EC3658" w:rsidP="00EC3658">
                          <w:pPr>
                            <w:jc w:val="right"/>
                            <w:rPr>
                              <w:rFonts w:ascii="Open Sans" w:hAnsi="Open Sans" w:cs="Open Sans"/>
                              <w:color w:val="7F7F7F" w:themeColor="text1" w:themeTint="80"/>
                              <w:sz w:val="18"/>
                              <w:szCs w:val="20"/>
                            </w:rPr>
                          </w:pPr>
                          <w:r w:rsidRPr="00EC3658">
                            <w:rPr>
                              <w:rFonts w:ascii="Open Sans" w:hAnsi="Open Sans" w:cs="Open Sans"/>
                              <w:color w:val="7F7F7F" w:themeColor="text1" w:themeTint="80"/>
                              <w:sz w:val="18"/>
                              <w:szCs w:val="20"/>
                            </w:rPr>
                            <w:t>This Shadow Report was written by NGO “SPACE ALLIES”</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78B99286" id="_x0000_t202" coordsize="21600,21600" o:spt="202" path="m,l,21600r21600,l21600,xe">
              <v:stroke joinstyle="miter"/>
              <v:path gradientshapeok="t" o:connecttype="rect"/>
            </v:shapetype>
            <v:shape id="_x0000_s1027" type="#_x0000_t202" style="position:absolute;left:0;text-align:left;margin-left:254.6pt;margin-top:-3.45pt;width:185.9pt;height:110.6pt;z-index:251662336;visibility:visible;mso-wrap-style:square;mso-width-percent:400;mso-height-percent:200;mso-wrap-distance-left:9pt;mso-wrap-distance-top:3.6pt;mso-wrap-distance-right:9pt;mso-wrap-distance-bottom:3.6pt;mso-position-horizontal:absolute;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" stroked="f">
              <v:textbox style="mso-fit-shape-to-text:t">
                <w:txbxContent>
                  <w:p w14:paraId="5BC4221F" w14:textId="0EBF4BD2" w:rsidR="00EC3658" w:rsidRPr="00EC3658" w:rsidRDefault="00EC3658" w:rsidP="00EC3658">
                    <w:pPr>
                      <w:jc w:val="right"/>
                      <w:rPr>
                        <w:rFonts w:ascii="Open Sans" w:hAnsi="Open Sans" w:cs="Open Sans"/>
                        <w:color w:val="7F7F7F" w:themeColor="text1" w:themeTint="80"/>
                        <w:sz w:val="18"/>
                        <w:szCs w:val="20"/>
                      </w:rPr>
                    </w:pPr>
                    <w:r w:rsidRPr="00EC3658">
                      <w:rPr>
                        <w:rFonts w:ascii="Open Sans" w:hAnsi="Open Sans" w:cs="Open Sans"/>
                        <w:color w:val="7F7F7F" w:themeColor="text1" w:themeTint="80"/>
                        <w:sz w:val="18"/>
                        <w:szCs w:val="20"/>
                      </w:rPr>
                      <w:t>This Shadow Report was written by NGO “SPACE ALLIES”</w:t>
                    </w:r>
                  </w:p>
                </w:txbxContent>
              </v:textbox>
              <w10:wrap anchorx="margin"/>
            </v:shape>
          </w:pict>
        </mc:Fallback>
      </mc:AlternateContent>
    </w:r>
    <w:r w:rsidR="00585E86">
      <w:tab/>
    </w:r>
    <w:sdt>
      <w:sdtPr>
        <w:id w:val="1454436469"/>
        <w:docPartObj>
          <w:docPartGallery w:val="Page Numbers (Bottom of Page)"/>
          <w:docPartUnique/>
        </w:docPartObj>
      </w:sdtPr>
      <w:sdtEndPr/>
      <w:sdtContent>
        <w:r w:rsidR="00364333" w:rsidRPr="00585E86">
          <w:rPr>
            <w:rFonts w:ascii="Open Sans" w:hAnsi="Open Sans" w:cs="Open Sans"/>
          </w:rPr>
          <w:fldChar w:fldCharType="begin"/>
        </w:r>
        <w:r w:rsidR="00364333" w:rsidRPr="00585E86">
          <w:rPr>
            <w:rFonts w:ascii="Open Sans" w:hAnsi="Open Sans" w:cs="Open Sans"/>
          </w:rPr>
          <w:instrText>PAGE   \* MERGEFORMAT</w:instrText>
        </w:r>
        <w:r w:rsidR="00364333" w:rsidRPr="00585E86">
          <w:rPr>
            <w:rFonts w:ascii="Open Sans" w:hAnsi="Open Sans" w:cs="Open Sans"/>
          </w:rPr>
          <w:fldChar w:fldCharType="separate"/>
        </w:r>
        <w:r w:rsidR="00364333" w:rsidRPr="00585E86">
          <w:rPr>
            <w:rFonts w:ascii="Open Sans" w:hAnsi="Open Sans" w:cs="Open Sans"/>
            <w:lang w:val="ja-JP"/>
          </w:rPr>
          <w:t>2</w:t>
        </w:r>
        <w:r w:rsidR="00364333" w:rsidRPr="00585E86">
          <w:rPr>
            <w:rFonts w:ascii="Open Sans" w:hAnsi="Open Sans" w:cs="Open Sans"/>
          </w:rPr>
          <w:fldChar w:fldCharType="end"/>
        </w:r>
      </w:sdtContent>
    </w:sdt>
    <w:r w:rsidR="00585E86">
      <w:tab/>
    </w:r>
  </w:p>
  <w:p w14:paraId="2CA6A4C0" w14:textId="10B34D27" w:rsidR="00364333" w:rsidRDefault="00364333">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216C12F" w14:textId="77777777" w:rsidR="005801A5" w:rsidRDefault="005801A5" w:rsidP="00EE51E3">
      <w:r>
        <w:separator/>
      </w:r>
    </w:p>
  </w:footnote>
  <w:footnote w:type="continuationSeparator" w:id="0">
    <w:p w14:paraId="25965FE5" w14:textId="77777777" w:rsidR="005801A5" w:rsidRDefault="005801A5" w:rsidP="00EE51E3">
      <w:r>
        <w:continuationSeparator/>
      </w:r>
    </w:p>
  </w:footnote>
  <w:footnote w:id="1">
    <w:p w14:paraId="5D2BBF53" w14:textId="3CF9ED8A" w:rsidR="00BA3EA1" w:rsidRPr="00B31E1B" w:rsidRDefault="00BA3EA1" w:rsidP="00BA3EA1">
      <w:pPr>
        <w:pStyle w:val="ac"/>
        <w:rPr>
          <w:rFonts w:eastAsiaTheme="minorEastAsia"/>
        </w:rPr>
      </w:pPr>
      <w:r>
        <w:rPr>
          <w:rStyle w:val="ae"/>
        </w:rPr>
        <w:footnoteRef/>
      </w:r>
      <w:r>
        <w:t xml:space="preserve"> </w:t>
      </w:r>
      <w:r w:rsidRPr="00B31E1B">
        <w:t>Courts have</w:t>
      </w:r>
      <w:r w:rsidR="005A57A4">
        <w:rPr>
          <w:rFonts w:eastAsiaTheme="minorEastAsia" w:hint="eastAsia"/>
        </w:rPr>
        <w:t xml:space="preserve"> frequently</w:t>
      </w:r>
      <w:r w:rsidRPr="00B31E1B">
        <w:t xml:space="preserve"> limited eviction from an owner to a non-owner spouse due to obligations to cohabit or provide support.</w:t>
      </w:r>
    </w:p>
  </w:footnote>
  <w:footnote w:id="2">
    <w:p w14:paraId="04FCD016" w14:textId="3884CE93" w:rsidR="00B71C2D" w:rsidRPr="00B71C2D" w:rsidRDefault="00B71C2D">
      <w:pPr>
        <w:pStyle w:val="ac"/>
        <w:rPr>
          <w:rFonts w:eastAsiaTheme="minorEastAsia" w:hint="eastAsia"/>
        </w:rPr>
      </w:pPr>
      <w:r>
        <w:rPr>
          <w:rStyle w:val="ae"/>
        </w:rPr>
        <w:footnoteRef/>
      </w:r>
      <w:r>
        <w:t xml:space="preserve"> </w:t>
      </w:r>
      <w:r w:rsidRPr="00B71C2D">
        <w:t>Of the designated physicians who responded to the abortion fact-finding survey, 13.8% used only curettage and 22.4% used both curettage and aspiration, making the use of curettage more than one-third of the total.</w:t>
      </w:r>
    </w:p>
  </w:footnote>
  <w:footnote w:id="3">
    <w:p w14:paraId="0A221414" w14:textId="7EF29BA5" w:rsidR="00BA3EA1" w:rsidRPr="00B71C2D" w:rsidRDefault="00BA3EA1" w:rsidP="00BA3EA1">
      <w:pPr>
        <w:pStyle w:val="ac"/>
        <w:rPr>
          <w:rFonts w:eastAsiaTheme="minorEastAsia"/>
          <w:szCs w:val="21"/>
        </w:rPr>
      </w:pPr>
      <w:r>
        <w:rPr>
          <w:rStyle w:val="ae"/>
        </w:rPr>
        <w:footnoteRef/>
      </w:r>
      <w:r w:rsidRPr="00B71C2D">
        <w:rPr>
          <w:szCs w:val="21"/>
        </w:rPr>
        <w:t xml:space="preserve"> </w:t>
      </w:r>
      <w:r w:rsidR="00D43CA1" w:rsidRPr="00B71C2D">
        <w:rPr>
          <w:szCs w:val="21"/>
        </w:rPr>
        <w:t>In July 2024, the MHLW is considering expanding the current requirement for abortion pill administration, which is currently limited to medical institutions with inpatient facilities. The proposed expansion would include 24-hour clinics without beds, provided they are affiliated with medical institutions that can admit patients and meet certain conditions, such as being within 16 kilometers of a medical institution. This change would allow patients to go home after taking the medication and return to the hospital about a week later to confirm the abortion. However, this change has not yet been implemented. Since abortion pills are safe to take at home, the proposed revised requirements may also impose unnecessary barriers.</w:t>
      </w:r>
    </w:p>
  </w:footnote>
  <w:footnote w:id="4">
    <w:p w14:paraId="778830D6" w14:textId="77777777" w:rsidR="00BA3EA1" w:rsidRPr="00E7419F" w:rsidRDefault="00BA3EA1" w:rsidP="00BA3EA1">
      <w:pPr>
        <w:pStyle w:val="ac"/>
        <w:rPr>
          <w:rFonts w:eastAsiaTheme="minorEastAsia"/>
        </w:rPr>
      </w:pPr>
      <w:r>
        <w:rPr>
          <w:rStyle w:val="ae"/>
        </w:rPr>
        <w:footnoteRef/>
      </w:r>
      <w:r>
        <w:t xml:space="preserve"> </w:t>
      </w:r>
      <w:r w:rsidRPr="00E7419F">
        <w:t xml:space="preserve">The </w:t>
      </w:r>
      <w:r>
        <w:rPr>
          <w:rFonts w:eastAsiaTheme="minorEastAsia" w:hint="eastAsia"/>
        </w:rPr>
        <w:t>MHLW</w:t>
      </w:r>
      <w:r w:rsidRPr="00E7419F">
        <w:t xml:space="preserve"> is currently considering and discussing to make delivery covered by health insurance, but abortion </w:t>
      </w:r>
      <w:r>
        <w:rPr>
          <w:rFonts w:eastAsiaTheme="minorEastAsia" w:hint="eastAsia"/>
        </w:rPr>
        <w:t xml:space="preserve">and contraception </w:t>
      </w:r>
      <w:r w:rsidRPr="00E7419F">
        <w:t>is not included in the scope of this consideration.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FC66792" w14:textId="2BD6748D" w:rsidR="00585E86" w:rsidRPr="00585E86" w:rsidRDefault="00585E86" w:rsidP="00585E86">
    <w:pPr>
      <w:pStyle w:val="a7"/>
      <w:spacing w:line="180" w:lineRule="auto"/>
      <w:rPr>
        <w:rFonts w:ascii="Open Sans" w:hAnsi="Open Sans" w:cs="Open Sans"/>
        <w:b/>
        <w:bCs/>
        <w:color w:val="808080" w:themeColor="background1" w:themeShade="80"/>
        <w:sz w:val="20"/>
        <w:szCs w:val="21"/>
      </w:rPr>
    </w:pPr>
    <w:r w:rsidRPr="00585E86">
      <w:rPr>
        <w:rFonts w:ascii="Open Sans" w:hAnsi="Open Sans" w:cs="Open Sans"/>
        <w:b/>
        <w:bCs/>
        <w:color w:val="808080" w:themeColor="background1" w:themeShade="80"/>
        <w:sz w:val="20"/>
        <w:szCs w:val="21"/>
      </w:rPr>
      <w:t>abortion</w:t>
    </w:r>
  </w:p>
  <w:p w14:paraId="398033F7" w14:textId="5D4220B5" w:rsidR="00585E86" w:rsidRPr="00585E86" w:rsidRDefault="00EC3658" w:rsidP="00585E86">
    <w:pPr>
      <w:pStyle w:val="a7"/>
      <w:spacing w:line="180" w:lineRule="auto"/>
      <w:rPr>
        <w:rFonts w:ascii="Open Sans" w:hAnsi="Open Sans" w:cs="Open Sans"/>
        <w:b/>
        <w:bCs/>
        <w:color w:val="808080" w:themeColor="background1" w:themeShade="80"/>
        <w:sz w:val="20"/>
        <w:szCs w:val="21"/>
      </w:rPr>
    </w:pPr>
    <w:r w:rsidRPr="00585E86">
      <w:rPr>
        <w:rFonts w:ascii="Open Sans" w:hAnsi="Open Sans" w:cs="Open Sans"/>
        <w:b/>
        <w:bCs/>
        <w:noProof/>
        <w:color w:val="808080" w:themeColor="background1" w:themeShade="80"/>
        <w:sz w:val="20"/>
        <w:szCs w:val="21"/>
      </w:rPr>
      <mc:AlternateContent>
        <mc:Choice Requires="wps">
          <w:drawing>
            <wp:anchor distT="45720" distB="45720" distL="114300" distR="114300" simplePos="0" relativeHeight="251659264" behindDoc="0" locked="0" layoutInCell="1" allowOverlap="1" wp14:anchorId="6AA6CD67" wp14:editId="00C37F2B">
              <wp:simplePos x="0" y="0"/>
              <wp:positionH relativeFrom="margin">
                <wp:posOffset>3004185</wp:posOffset>
              </wp:positionH>
              <wp:positionV relativeFrom="paragraph">
                <wp:posOffset>45720</wp:posOffset>
              </wp:positionV>
              <wp:extent cx="2407920" cy="1404620"/>
              <wp:effectExtent l="0" t="0" r="0" b="0"/>
              <wp:wrapSquare wrapText="bothSides"/>
              <wp:docPr id="217"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7920" cy="1404620"/>
                      </a:xfrm>
                      <a:prstGeom prst="rect">
                        <a:avLst/>
                      </a:prstGeom>
                      <a:solidFill>
                        <a:srgbClr val="FFFFFF"/>
                      </a:solidFill>
                      <a:ln w="9525">
                        <a:noFill/>
                        <a:miter lim="800000"/>
                        <a:headEnd/>
                        <a:tailEnd/>
                      </a:ln>
                    </wps:spPr>
                    <wps:txbx>
                      <w:txbxContent>
                        <w:p w14:paraId="27EB46D1" w14:textId="77777777" w:rsidR="00585E86" w:rsidRPr="00585E86" w:rsidRDefault="00585E86" w:rsidP="00585E86">
                          <w:pPr>
                            <w:pStyle w:val="a7"/>
                            <w:jc w:val="right"/>
                            <w:rPr>
                              <w:rFonts w:ascii="Open Sans" w:hAnsi="Open Sans" w:cs="Open Sans"/>
                              <w:b/>
                              <w:bCs/>
                              <w:color w:val="BFBFBF" w:themeColor="background1" w:themeShade="BF"/>
                              <w:sz w:val="24"/>
                              <w:szCs w:val="28"/>
                            </w:rPr>
                          </w:pPr>
                          <w:r w:rsidRPr="00585E86">
                            <w:rPr>
                              <w:rFonts w:ascii="Open Sans" w:hAnsi="Open Sans" w:cs="Open Sans"/>
                              <w:b/>
                              <w:bCs/>
                              <w:color w:val="BFBFBF" w:themeColor="background1" w:themeShade="BF"/>
                              <w:sz w:val="24"/>
                              <w:szCs w:val="28"/>
                            </w:rPr>
                            <w:t>CEDAW</w:t>
                          </w:r>
                        </w:p>
                        <w:p w14:paraId="64538203" w14:textId="44CC149F" w:rsidR="00585E86" w:rsidRPr="00EC3658" w:rsidRDefault="00585E86" w:rsidP="00EC3658">
                          <w:pPr>
                            <w:pStyle w:val="a7"/>
                            <w:jc w:val="right"/>
                            <w:rPr>
                              <w:rFonts w:ascii="Open Sans" w:eastAsiaTheme="minorEastAsia" w:hAnsi="Open Sans" w:cs="Open Sans"/>
                              <w:b/>
                              <w:bCs/>
                              <w:color w:val="BFBFBF" w:themeColor="background1" w:themeShade="BF"/>
                              <w:sz w:val="24"/>
                              <w:szCs w:val="28"/>
                            </w:rPr>
                          </w:pPr>
                          <w:r w:rsidRPr="00585E86">
                            <w:rPr>
                              <w:rFonts w:ascii="Open Sans" w:hAnsi="Open Sans" w:cs="Open Sans"/>
                              <w:b/>
                              <w:bCs/>
                              <w:color w:val="BFBFBF" w:themeColor="background1" w:themeShade="BF"/>
                              <w:sz w:val="24"/>
                              <w:szCs w:val="28"/>
                            </w:rPr>
                            <w:t>Shadow Report October 2024</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6AA6CD67" id="_x0000_t202" coordsize="21600,21600" o:spt="202" path="m,l,21600r21600,l21600,xe">
              <v:stroke joinstyle="miter"/>
              <v:path gradientshapeok="t" o:connecttype="rect"/>
            </v:shapetype>
            <v:shape id="テキスト ボックス 2" o:spid="_x0000_s1026" type="#_x0000_t202" style="position:absolute;left:0;text-align:left;margin-left:236.55pt;margin-top:3.6pt;width:189.6pt;height:110.6pt;z-index:251659264;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" stroked="f">
              <v:textbox style="mso-fit-shape-to-text:t">
                <w:txbxContent>
                  <w:p w14:paraId="27EB46D1" w14:textId="77777777" w:rsidR="00585E86" w:rsidRPr="00585E86" w:rsidRDefault="00585E86" w:rsidP="00585E86">
                    <w:pPr>
                      <w:pStyle w:val="a7"/>
                      <w:jc w:val="right"/>
                      <w:rPr>
                        <w:rFonts w:ascii="Open Sans" w:hAnsi="Open Sans" w:cs="Open Sans"/>
                        <w:b/>
                        <w:bCs/>
                        <w:color w:val="BFBFBF" w:themeColor="background1" w:themeShade="BF"/>
                        <w:sz w:val="24"/>
                        <w:szCs w:val="28"/>
                      </w:rPr>
                    </w:pPr>
                    <w:r w:rsidRPr="00585E86">
                      <w:rPr>
                        <w:rFonts w:ascii="Open Sans" w:hAnsi="Open Sans" w:cs="Open Sans"/>
                        <w:b/>
                        <w:bCs/>
                        <w:color w:val="BFBFBF" w:themeColor="background1" w:themeShade="BF"/>
                        <w:sz w:val="24"/>
                        <w:szCs w:val="28"/>
                      </w:rPr>
                      <w:t>CEDAW</w:t>
                    </w:r>
                  </w:p>
                  <w:p w14:paraId="64538203" w14:textId="44CC149F" w:rsidR="00585E86" w:rsidRPr="00EC3658" w:rsidRDefault="00585E86" w:rsidP="00EC3658">
                    <w:pPr>
                      <w:pStyle w:val="a7"/>
                      <w:jc w:val="right"/>
                      <w:rPr>
                        <w:rFonts w:ascii="Open Sans" w:eastAsiaTheme="minorEastAsia" w:hAnsi="Open Sans" w:cs="Open Sans"/>
                        <w:b/>
                        <w:bCs/>
                        <w:color w:val="BFBFBF" w:themeColor="background1" w:themeShade="BF"/>
                        <w:sz w:val="24"/>
                        <w:szCs w:val="28"/>
                      </w:rPr>
                    </w:pPr>
                    <w:r w:rsidRPr="00585E86">
                      <w:rPr>
                        <w:rFonts w:ascii="Open Sans" w:hAnsi="Open Sans" w:cs="Open Sans"/>
                        <w:b/>
                        <w:bCs/>
                        <w:color w:val="BFBFBF" w:themeColor="background1" w:themeShade="BF"/>
                        <w:sz w:val="24"/>
                        <w:szCs w:val="28"/>
                      </w:rPr>
                      <w:t>Shadow Report October 2024</w:t>
                    </w:r>
                  </w:p>
                </w:txbxContent>
              </v:textbox>
              <w10:wrap type="square" anchorx="margin"/>
            </v:shape>
          </w:pict>
        </mc:Fallback>
      </mc:AlternateContent>
    </w:r>
    <w:r w:rsidR="00585E86" w:rsidRPr="00585E86">
      <w:rPr>
        <w:rFonts w:ascii="Open Sans" w:hAnsi="Open Sans" w:cs="Open Sans"/>
        <w:b/>
        <w:bCs/>
        <w:color w:val="808080" w:themeColor="background1" w:themeShade="80"/>
        <w:sz w:val="20"/>
        <w:szCs w:val="21"/>
      </w:rPr>
      <w:t>sexual assault</w:t>
    </w:r>
  </w:p>
  <w:p w14:paraId="0656621A" w14:textId="3004FDB6" w:rsidR="00585E86" w:rsidRPr="00585E86" w:rsidRDefault="00585E86" w:rsidP="00585E86">
    <w:pPr>
      <w:pStyle w:val="a7"/>
      <w:spacing w:line="180" w:lineRule="auto"/>
      <w:rPr>
        <w:rFonts w:ascii="Open Sans" w:hAnsi="Open Sans" w:cs="Open Sans"/>
        <w:b/>
        <w:bCs/>
        <w:color w:val="808080" w:themeColor="background1" w:themeShade="80"/>
        <w:sz w:val="20"/>
        <w:szCs w:val="21"/>
      </w:rPr>
    </w:pPr>
    <w:r w:rsidRPr="00585E86">
      <w:rPr>
        <w:rFonts w:ascii="Open Sans" w:hAnsi="Open Sans" w:cs="Open Sans"/>
        <w:b/>
        <w:bCs/>
        <w:color w:val="808080" w:themeColor="background1" w:themeShade="80"/>
        <w:sz w:val="20"/>
        <w:szCs w:val="21"/>
      </w:rPr>
      <w:t>marital property</w:t>
    </w:r>
  </w:p>
  <w:p w14:paraId="3AFE2AFB" w14:textId="77777777" w:rsidR="00585E86" w:rsidRPr="00585E86" w:rsidRDefault="00585E86" w:rsidP="00585E86">
    <w:pPr>
      <w:pStyle w:val="a7"/>
      <w:spacing w:line="180" w:lineRule="auto"/>
      <w:rPr>
        <w:rFonts w:ascii="Open Sans" w:hAnsi="Open Sans" w:cs="Open Sans"/>
        <w:b/>
        <w:bCs/>
        <w:color w:val="808080" w:themeColor="background1" w:themeShade="80"/>
        <w:sz w:val="20"/>
        <w:szCs w:val="21"/>
      </w:rPr>
    </w:pPr>
    <w:r w:rsidRPr="00585E86">
      <w:rPr>
        <w:rFonts w:ascii="Open Sans" w:hAnsi="Open Sans" w:cs="Open Sans"/>
        <w:b/>
        <w:bCs/>
        <w:color w:val="808080" w:themeColor="background1" w:themeShade="80"/>
        <w:sz w:val="20"/>
        <w:szCs w:val="21"/>
      </w:rPr>
      <w:t>sexual minority</w:t>
    </w:r>
  </w:p>
  <w:p w14:paraId="4AD9F38B" w14:textId="07EA8B7D" w:rsidR="00585E86" w:rsidRPr="00585E86" w:rsidRDefault="00EC3658" w:rsidP="00585E86">
    <w:pPr>
      <w:pStyle w:val="a7"/>
      <w:spacing w:line="180" w:lineRule="auto"/>
      <w:rPr>
        <w:rFonts w:ascii="Open Sans" w:hAnsi="Open Sans" w:cs="Open Sans"/>
        <w:b/>
        <w:bCs/>
        <w:color w:val="808080" w:themeColor="background1" w:themeShade="80"/>
        <w:sz w:val="20"/>
        <w:szCs w:val="21"/>
      </w:rPr>
    </w:pPr>
    <w:r>
      <w:rPr>
        <w:rFonts w:ascii="Open Sans" w:hAnsi="Open Sans" w:cs="Open Sans"/>
        <w:b/>
        <w:bCs/>
        <w:noProof/>
        <w:color w:val="FFFFFF" w:themeColor="background1"/>
        <w:sz w:val="20"/>
        <w:szCs w:val="21"/>
      </w:rPr>
      <mc:AlternateContent>
        <mc:Choice Requires="wps">
          <w:drawing>
            <wp:anchor distT="0" distB="0" distL="114300" distR="114300" simplePos="0" relativeHeight="251660288" behindDoc="0" locked="0" layoutInCell="1" allowOverlap="1" wp14:anchorId="4BF6002B" wp14:editId="62ADE8E2">
              <wp:simplePos x="0" y="0"/>
              <wp:positionH relativeFrom="column">
                <wp:posOffset>-6985</wp:posOffset>
              </wp:positionH>
              <wp:positionV relativeFrom="paragraph">
                <wp:posOffset>192405</wp:posOffset>
              </wp:positionV>
              <wp:extent cx="6483350" cy="0"/>
              <wp:effectExtent l="0" t="0" r="0" b="0"/>
              <wp:wrapNone/>
              <wp:docPr id="1202552906" name="直線コネクタ 1"/>
              <wp:cNvGraphicFramePr/>
              <a:graphic xmlns:a="http://schemas.openxmlformats.org/drawingml/2006/main">
                <a:graphicData uri="http://schemas.microsoft.com/office/word/2010/wordprocessingShape">
                  <wps:wsp>
                    <wps:cNvCnPr/>
                    <wps:spPr>
                      <a:xfrm>
                        <a:off x="0" y="0"/>
                        <a:ext cx="6483350" cy="0"/>
                      </a:xfrm>
                      <a:prstGeom prst="line">
                        <a:avLst/>
                      </a:prstGeom>
                      <a:ln w="19050">
                        <a:solidFill>
                          <a:schemeClr val="bg1">
                            <a:lumMod val="65000"/>
                          </a:schemeClr>
                        </a:solidFill>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50AB424" id="直線コネクタ 1"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55pt,15.15pt" to="509.95pt,1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" strokecolor="#a5a5a5 [2092]" strokeweight="1.5pt">
              <v:stroke joinstyle="miter"/>
            </v:line>
          </w:pict>
        </mc:Fallback>
      </mc:AlternateContent>
    </w:r>
    <w:r w:rsidR="00585E86" w:rsidRPr="00585E86">
      <w:rPr>
        <w:rFonts w:ascii="Open Sans" w:hAnsi="Open Sans" w:cs="Open Sans"/>
        <w:b/>
        <w:bCs/>
        <w:color w:val="808080" w:themeColor="background1" w:themeShade="80"/>
        <w:sz w:val="20"/>
        <w:szCs w:val="21"/>
      </w:rPr>
      <w:t>issues in Japan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20B1DEF"/>
    <w:multiLevelType w:val="hybridMultilevel"/>
    <w:tmpl w:val="250EDC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2EB060B"/>
    <w:multiLevelType w:val="hybridMultilevel"/>
    <w:tmpl w:val="4DF2CE80"/>
    <w:lvl w:ilvl="0" w:tplc="BE160C5A">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6DF255F"/>
    <w:multiLevelType w:val="hybridMultilevel"/>
    <w:tmpl w:val="18AE15B2"/>
    <w:lvl w:ilvl="0" w:tplc="FFFFFFFF">
      <w:start w:val="1"/>
      <w:numFmt w:val="bullet"/>
      <w:lvlText w:val=""/>
      <w:lvlJc w:val="left"/>
      <w:pPr>
        <w:ind w:left="720" w:hanging="360"/>
      </w:pPr>
      <w:rPr>
        <w:rFonts w:ascii="Symbol" w:hAnsi="Symbol" w:hint="default"/>
      </w:rPr>
    </w:lvl>
    <w:lvl w:ilvl="1" w:tplc="0409001B">
      <w:start w:val="1"/>
      <w:numFmt w:val="lowerRoman"/>
      <w:lvlText w:val="%2."/>
      <w:lvlJc w:val="right"/>
      <w:pPr>
        <w:ind w:left="1520" w:hanging="440"/>
      </w:p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55BD7071"/>
    <w:multiLevelType w:val="hybridMultilevel"/>
    <w:tmpl w:val="F0EAC0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0B66DBD"/>
    <w:multiLevelType w:val="hybridMultilevel"/>
    <w:tmpl w:val="99446D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75B21B0"/>
    <w:multiLevelType w:val="hybridMultilevel"/>
    <w:tmpl w:val="4F54BF3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50721539">
    <w:abstractNumId w:val="4"/>
  </w:num>
  <w:num w:numId="2" w16cid:durableId="1927881047">
    <w:abstractNumId w:val="0"/>
  </w:num>
  <w:num w:numId="3" w16cid:durableId="163976591">
    <w:abstractNumId w:val="3"/>
  </w:num>
  <w:num w:numId="4" w16cid:durableId="1327788269">
    <w:abstractNumId w:val="5"/>
  </w:num>
  <w:num w:numId="5" w16cid:durableId="1265846015">
    <w:abstractNumId w:val="1"/>
  </w:num>
  <w:num w:numId="6" w16cid:durableId="142291818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proofState w:spelling="clean" w:grammar="clean"/>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76FB"/>
    <w:rsid w:val="00001232"/>
    <w:rsid w:val="00024D4C"/>
    <w:rsid w:val="000405A5"/>
    <w:rsid w:val="00051015"/>
    <w:rsid w:val="000734FC"/>
    <w:rsid w:val="000860DE"/>
    <w:rsid w:val="0009260A"/>
    <w:rsid w:val="000C70ED"/>
    <w:rsid w:val="000C7B0E"/>
    <w:rsid w:val="00112F35"/>
    <w:rsid w:val="00116173"/>
    <w:rsid w:val="00162CBB"/>
    <w:rsid w:val="001A6E93"/>
    <w:rsid w:val="001B7B0E"/>
    <w:rsid w:val="001C1657"/>
    <w:rsid w:val="001C61E2"/>
    <w:rsid w:val="001F0A35"/>
    <w:rsid w:val="001F4F6C"/>
    <w:rsid w:val="002063ED"/>
    <w:rsid w:val="002438D4"/>
    <w:rsid w:val="00260884"/>
    <w:rsid w:val="00285BE6"/>
    <w:rsid w:val="002C79B0"/>
    <w:rsid w:val="002C7B0E"/>
    <w:rsid w:val="00301502"/>
    <w:rsid w:val="0031414A"/>
    <w:rsid w:val="003176FB"/>
    <w:rsid w:val="003274A1"/>
    <w:rsid w:val="00332D26"/>
    <w:rsid w:val="00344BF3"/>
    <w:rsid w:val="00355F40"/>
    <w:rsid w:val="00364333"/>
    <w:rsid w:val="00373510"/>
    <w:rsid w:val="0037460F"/>
    <w:rsid w:val="003A15CE"/>
    <w:rsid w:val="003C40FA"/>
    <w:rsid w:val="00401EDB"/>
    <w:rsid w:val="004071E5"/>
    <w:rsid w:val="004216E1"/>
    <w:rsid w:val="004302CB"/>
    <w:rsid w:val="0045778E"/>
    <w:rsid w:val="00462D1B"/>
    <w:rsid w:val="004711E8"/>
    <w:rsid w:val="00475A5F"/>
    <w:rsid w:val="004A2626"/>
    <w:rsid w:val="004A43BA"/>
    <w:rsid w:val="004A47A3"/>
    <w:rsid w:val="005167E8"/>
    <w:rsid w:val="00540554"/>
    <w:rsid w:val="0056279A"/>
    <w:rsid w:val="00563ECD"/>
    <w:rsid w:val="00564412"/>
    <w:rsid w:val="00570772"/>
    <w:rsid w:val="00574CE0"/>
    <w:rsid w:val="005801A5"/>
    <w:rsid w:val="00585E86"/>
    <w:rsid w:val="005A57A4"/>
    <w:rsid w:val="005E010F"/>
    <w:rsid w:val="0060183F"/>
    <w:rsid w:val="00617040"/>
    <w:rsid w:val="00632163"/>
    <w:rsid w:val="00633C25"/>
    <w:rsid w:val="00655DC7"/>
    <w:rsid w:val="006659A8"/>
    <w:rsid w:val="0067182D"/>
    <w:rsid w:val="00672158"/>
    <w:rsid w:val="00680C50"/>
    <w:rsid w:val="0068485F"/>
    <w:rsid w:val="00695833"/>
    <w:rsid w:val="00695E45"/>
    <w:rsid w:val="006B163E"/>
    <w:rsid w:val="006E16E6"/>
    <w:rsid w:val="006F278A"/>
    <w:rsid w:val="007003A1"/>
    <w:rsid w:val="007516BD"/>
    <w:rsid w:val="00770880"/>
    <w:rsid w:val="007B4E14"/>
    <w:rsid w:val="007D6747"/>
    <w:rsid w:val="007E4307"/>
    <w:rsid w:val="007F2B4B"/>
    <w:rsid w:val="007F5D01"/>
    <w:rsid w:val="00833653"/>
    <w:rsid w:val="00874546"/>
    <w:rsid w:val="00887E23"/>
    <w:rsid w:val="008B5D1D"/>
    <w:rsid w:val="008C1FA3"/>
    <w:rsid w:val="008C3860"/>
    <w:rsid w:val="008C4F51"/>
    <w:rsid w:val="008F0105"/>
    <w:rsid w:val="0091717B"/>
    <w:rsid w:val="00920E1C"/>
    <w:rsid w:val="00924710"/>
    <w:rsid w:val="00931ED1"/>
    <w:rsid w:val="00973108"/>
    <w:rsid w:val="009957A3"/>
    <w:rsid w:val="009F0DBD"/>
    <w:rsid w:val="00A01763"/>
    <w:rsid w:val="00A21DBA"/>
    <w:rsid w:val="00A24450"/>
    <w:rsid w:val="00A316E3"/>
    <w:rsid w:val="00A41A04"/>
    <w:rsid w:val="00A5114F"/>
    <w:rsid w:val="00A82680"/>
    <w:rsid w:val="00AA0FF6"/>
    <w:rsid w:val="00AB2C5F"/>
    <w:rsid w:val="00AC0F37"/>
    <w:rsid w:val="00AC1B3D"/>
    <w:rsid w:val="00AE79BF"/>
    <w:rsid w:val="00B31E1B"/>
    <w:rsid w:val="00B37275"/>
    <w:rsid w:val="00B4312B"/>
    <w:rsid w:val="00B56272"/>
    <w:rsid w:val="00B57514"/>
    <w:rsid w:val="00B6282C"/>
    <w:rsid w:val="00B63AD8"/>
    <w:rsid w:val="00B71C2D"/>
    <w:rsid w:val="00B73FF4"/>
    <w:rsid w:val="00BA3EA1"/>
    <w:rsid w:val="00BC0F26"/>
    <w:rsid w:val="00BD7610"/>
    <w:rsid w:val="00BE41B6"/>
    <w:rsid w:val="00BF3522"/>
    <w:rsid w:val="00BF6328"/>
    <w:rsid w:val="00C22724"/>
    <w:rsid w:val="00C359F5"/>
    <w:rsid w:val="00C46B65"/>
    <w:rsid w:val="00C539CD"/>
    <w:rsid w:val="00C95E62"/>
    <w:rsid w:val="00CB299A"/>
    <w:rsid w:val="00CE012E"/>
    <w:rsid w:val="00CE164F"/>
    <w:rsid w:val="00D22D8C"/>
    <w:rsid w:val="00D263B3"/>
    <w:rsid w:val="00D3070C"/>
    <w:rsid w:val="00D43CA1"/>
    <w:rsid w:val="00D940B2"/>
    <w:rsid w:val="00DA3AE1"/>
    <w:rsid w:val="00DA7E10"/>
    <w:rsid w:val="00DC64C3"/>
    <w:rsid w:val="00DE32A6"/>
    <w:rsid w:val="00E06633"/>
    <w:rsid w:val="00E32D0B"/>
    <w:rsid w:val="00E347A9"/>
    <w:rsid w:val="00E7419F"/>
    <w:rsid w:val="00EC3658"/>
    <w:rsid w:val="00EC76C3"/>
    <w:rsid w:val="00EE51E3"/>
    <w:rsid w:val="00EF1FC3"/>
    <w:rsid w:val="00F55D74"/>
    <w:rsid w:val="00FB34FD"/>
    <w:rsid w:val="00FE2484"/>
    <w:rsid w:val="00FF174A"/>
    <w:rsid w:val="00FF183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69443AE3"/>
  <w15:chartTrackingRefBased/>
  <w15:docId w15:val="{696FCD38-1873-42B9-972F-234E5D1509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1"/>
        <w:szCs w:val="22"/>
        <w:lang w:val="en-US" w:eastAsia="ja-JP"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64333"/>
    <w:pPr>
      <w:widowControl w:val="0"/>
      <w:jc w:val="both"/>
    </w:pPr>
    <w:rPr>
      <w:rFonts w:ascii="Times New Roman" w:eastAsia="Times New Roman" w:hAnsi="Times New Roman" w:cs="Times New Roman"/>
    </w:rPr>
  </w:style>
  <w:style w:type="paragraph" w:styleId="1">
    <w:name w:val="heading 1"/>
    <w:basedOn w:val="a"/>
    <w:next w:val="a"/>
    <w:link w:val="10"/>
    <w:uiPriority w:val="9"/>
    <w:qFormat/>
    <w:rsid w:val="00585E86"/>
    <w:pPr>
      <w:keepNext/>
      <w:keepLines/>
      <w:snapToGrid w:val="0"/>
      <w:spacing w:before="240" w:afterLines="50" w:after="50"/>
      <w:outlineLvl w:val="0"/>
    </w:pPr>
    <w:rPr>
      <w:rFonts w:ascii="Open Sans" w:eastAsia="Open Sans" w:hAnsi="Open Sans" w:cs="Open Sans"/>
      <w:b/>
      <w:sz w:val="28"/>
      <w:szCs w:val="28"/>
    </w:rPr>
  </w:style>
  <w:style w:type="paragraph" w:styleId="2">
    <w:name w:val="heading 2"/>
    <w:basedOn w:val="a"/>
    <w:next w:val="a"/>
    <w:link w:val="20"/>
    <w:uiPriority w:val="9"/>
    <w:unhideWhenUsed/>
    <w:qFormat/>
    <w:rsid w:val="00364333"/>
    <w:pPr>
      <w:keepNext/>
      <w:keepLines/>
      <w:spacing w:before="40"/>
      <w:outlineLvl w:val="1"/>
    </w:pPr>
    <w:rPr>
      <w:b/>
      <w:bCs/>
      <w:sz w:val="24"/>
      <w:szCs w:val="24"/>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BC0F26"/>
    <w:rPr>
      <w:color w:val="0000FF"/>
      <w:u w:val="single"/>
    </w:rPr>
  </w:style>
  <w:style w:type="character" w:styleId="a4">
    <w:name w:val="annotation reference"/>
    <w:basedOn w:val="a0"/>
    <w:uiPriority w:val="99"/>
    <w:semiHidden/>
    <w:unhideWhenUsed/>
    <w:rsid w:val="00BC0F26"/>
    <w:rPr>
      <w:sz w:val="18"/>
      <w:szCs w:val="18"/>
    </w:rPr>
  </w:style>
  <w:style w:type="paragraph" w:styleId="a5">
    <w:name w:val="annotation text"/>
    <w:basedOn w:val="a"/>
    <w:link w:val="a6"/>
    <w:uiPriority w:val="99"/>
    <w:unhideWhenUsed/>
    <w:rsid w:val="00BC0F26"/>
    <w:pPr>
      <w:jc w:val="left"/>
    </w:pPr>
    <w:rPr>
      <w14:ligatures w14:val="none"/>
    </w:rPr>
  </w:style>
  <w:style w:type="character" w:customStyle="1" w:styleId="a6">
    <w:name w:val="コメント文字列 (文字)"/>
    <w:basedOn w:val="a0"/>
    <w:link w:val="a5"/>
    <w:uiPriority w:val="99"/>
    <w:rsid w:val="00BC0F26"/>
    <w:rPr>
      <w14:ligatures w14:val="none"/>
    </w:rPr>
  </w:style>
  <w:style w:type="paragraph" w:styleId="a7">
    <w:name w:val="header"/>
    <w:basedOn w:val="a"/>
    <w:link w:val="a8"/>
    <w:uiPriority w:val="99"/>
    <w:unhideWhenUsed/>
    <w:rsid w:val="00EE51E3"/>
    <w:pPr>
      <w:tabs>
        <w:tab w:val="center" w:pos="4252"/>
        <w:tab w:val="right" w:pos="8504"/>
      </w:tabs>
      <w:snapToGrid w:val="0"/>
    </w:pPr>
  </w:style>
  <w:style w:type="character" w:customStyle="1" w:styleId="a8">
    <w:name w:val="ヘッダー (文字)"/>
    <w:basedOn w:val="a0"/>
    <w:link w:val="a7"/>
    <w:uiPriority w:val="99"/>
    <w:rsid w:val="00EE51E3"/>
  </w:style>
  <w:style w:type="paragraph" w:styleId="a9">
    <w:name w:val="footer"/>
    <w:basedOn w:val="a"/>
    <w:link w:val="aa"/>
    <w:uiPriority w:val="99"/>
    <w:unhideWhenUsed/>
    <w:rsid w:val="00EE51E3"/>
    <w:pPr>
      <w:tabs>
        <w:tab w:val="center" w:pos="4252"/>
        <w:tab w:val="right" w:pos="8504"/>
      </w:tabs>
      <w:snapToGrid w:val="0"/>
    </w:pPr>
  </w:style>
  <w:style w:type="character" w:customStyle="1" w:styleId="aa">
    <w:name w:val="フッター (文字)"/>
    <w:basedOn w:val="a0"/>
    <w:link w:val="a9"/>
    <w:uiPriority w:val="99"/>
    <w:rsid w:val="00EE51E3"/>
  </w:style>
  <w:style w:type="table" w:styleId="ab">
    <w:name w:val="Table Grid"/>
    <w:basedOn w:val="a1"/>
    <w:uiPriority w:val="39"/>
    <w:rsid w:val="0060183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footnote text"/>
    <w:basedOn w:val="a"/>
    <w:link w:val="ad"/>
    <w:uiPriority w:val="99"/>
    <w:semiHidden/>
    <w:unhideWhenUsed/>
    <w:rsid w:val="000405A5"/>
    <w:pPr>
      <w:snapToGrid w:val="0"/>
      <w:jc w:val="left"/>
    </w:pPr>
  </w:style>
  <w:style w:type="character" w:customStyle="1" w:styleId="ad">
    <w:name w:val="脚注文字列 (文字)"/>
    <w:basedOn w:val="a0"/>
    <w:link w:val="ac"/>
    <w:uiPriority w:val="99"/>
    <w:semiHidden/>
    <w:rsid w:val="000405A5"/>
  </w:style>
  <w:style w:type="character" w:styleId="ae">
    <w:name w:val="footnote reference"/>
    <w:basedOn w:val="a0"/>
    <w:uiPriority w:val="99"/>
    <w:semiHidden/>
    <w:unhideWhenUsed/>
    <w:rsid w:val="000405A5"/>
    <w:rPr>
      <w:vertAlign w:val="superscript"/>
    </w:rPr>
  </w:style>
  <w:style w:type="paragraph" w:styleId="af">
    <w:name w:val="List Paragraph"/>
    <w:basedOn w:val="a"/>
    <w:uiPriority w:val="34"/>
    <w:qFormat/>
    <w:rsid w:val="004071E5"/>
    <w:pPr>
      <w:ind w:left="720"/>
      <w:contextualSpacing/>
    </w:pPr>
  </w:style>
  <w:style w:type="paragraph" w:styleId="af0">
    <w:name w:val="Title"/>
    <w:basedOn w:val="a"/>
    <w:next w:val="a"/>
    <w:link w:val="af1"/>
    <w:uiPriority w:val="10"/>
    <w:qFormat/>
    <w:rsid w:val="004071E5"/>
    <w:pPr>
      <w:contextualSpacing/>
    </w:pPr>
    <w:rPr>
      <w:rFonts w:asciiTheme="majorHAnsi" w:eastAsiaTheme="majorEastAsia" w:hAnsiTheme="majorHAnsi" w:cstheme="majorBidi"/>
      <w:spacing w:val="-10"/>
      <w:kern w:val="28"/>
      <w:sz w:val="56"/>
      <w:szCs w:val="56"/>
    </w:rPr>
  </w:style>
  <w:style w:type="character" w:customStyle="1" w:styleId="af1">
    <w:name w:val="表題 (文字)"/>
    <w:basedOn w:val="a0"/>
    <w:link w:val="af0"/>
    <w:uiPriority w:val="10"/>
    <w:rsid w:val="004071E5"/>
    <w:rPr>
      <w:rFonts w:asciiTheme="majorHAnsi" w:eastAsiaTheme="majorEastAsia" w:hAnsiTheme="majorHAnsi" w:cstheme="majorBidi"/>
      <w:spacing w:val="-10"/>
      <w:kern w:val="28"/>
      <w:sz w:val="56"/>
      <w:szCs w:val="56"/>
    </w:rPr>
  </w:style>
  <w:style w:type="character" w:customStyle="1" w:styleId="10">
    <w:name w:val="見出し 1 (文字)"/>
    <w:basedOn w:val="a0"/>
    <w:link w:val="1"/>
    <w:uiPriority w:val="9"/>
    <w:rsid w:val="00585E86"/>
    <w:rPr>
      <w:rFonts w:ascii="Open Sans" w:eastAsia="Open Sans" w:hAnsi="Open Sans" w:cs="Open Sans"/>
      <w:b/>
      <w:sz w:val="28"/>
      <w:szCs w:val="28"/>
    </w:rPr>
  </w:style>
  <w:style w:type="character" w:customStyle="1" w:styleId="20">
    <w:name w:val="見出し 2 (文字)"/>
    <w:basedOn w:val="a0"/>
    <w:link w:val="2"/>
    <w:uiPriority w:val="9"/>
    <w:rsid w:val="00364333"/>
    <w:rPr>
      <w:rFonts w:ascii="Times New Roman" w:eastAsia="Times New Roman" w:hAnsi="Times New Roman" w:cs="Times New Roman"/>
      <w:b/>
      <w:bCs/>
      <w:sz w:val="24"/>
      <w:szCs w:val="24"/>
    </w:rPr>
  </w:style>
  <w:style w:type="paragraph" w:styleId="Web">
    <w:name w:val="Normal (Web)"/>
    <w:basedOn w:val="a"/>
    <w:uiPriority w:val="99"/>
    <w:semiHidden/>
    <w:unhideWhenUsed/>
    <w:rsid w:val="00EC3658"/>
    <w:pPr>
      <w:widowControl/>
      <w:spacing w:before="100" w:beforeAutospacing="1" w:after="100" w:afterAutospacing="1"/>
      <w:jc w:val="left"/>
    </w:pPr>
    <w:rPr>
      <w:rFonts w:ascii="ＭＳ Ｐゴシック" w:eastAsia="ＭＳ Ｐゴシック" w:hAnsi="ＭＳ Ｐゴシック" w:cs="ＭＳ Ｐゴシック"/>
      <w:kern w:val="0"/>
      <w:sz w:val="24"/>
      <w:szCs w:val="24"/>
      <w14:ligatures w14:val="none"/>
    </w:rPr>
  </w:style>
  <w:style w:type="paragraph" w:styleId="af2">
    <w:name w:val="Revision"/>
    <w:hidden/>
    <w:uiPriority w:val="99"/>
    <w:semiHidden/>
    <w:rsid w:val="00162CBB"/>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299641">
      <w:bodyDiv w:val="1"/>
      <w:marLeft w:val="0"/>
      <w:marRight w:val="0"/>
      <w:marTop w:val="0"/>
      <w:marBottom w:val="0"/>
      <w:divBdr>
        <w:top w:val="none" w:sz="0" w:space="0" w:color="auto"/>
        <w:left w:val="none" w:sz="0" w:space="0" w:color="auto"/>
        <w:bottom w:val="none" w:sz="0" w:space="0" w:color="auto"/>
        <w:right w:val="none" w:sz="0" w:space="0" w:color="auto"/>
      </w:divBdr>
    </w:div>
    <w:div w:id="48119865">
      <w:bodyDiv w:val="1"/>
      <w:marLeft w:val="0"/>
      <w:marRight w:val="0"/>
      <w:marTop w:val="0"/>
      <w:marBottom w:val="0"/>
      <w:divBdr>
        <w:top w:val="none" w:sz="0" w:space="0" w:color="auto"/>
        <w:left w:val="none" w:sz="0" w:space="0" w:color="auto"/>
        <w:bottom w:val="none" w:sz="0" w:space="0" w:color="auto"/>
        <w:right w:val="none" w:sz="0" w:space="0" w:color="auto"/>
      </w:divBdr>
    </w:div>
    <w:div w:id="129905675">
      <w:bodyDiv w:val="1"/>
      <w:marLeft w:val="0"/>
      <w:marRight w:val="0"/>
      <w:marTop w:val="0"/>
      <w:marBottom w:val="0"/>
      <w:divBdr>
        <w:top w:val="none" w:sz="0" w:space="0" w:color="auto"/>
        <w:left w:val="none" w:sz="0" w:space="0" w:color="auto"/>
        <w:bottom w:val="none" w:sz="0" w:space="0" w:color="auto"/>
        <w:right w:val="none" w:sz="0" w:space="0" w:color="auto"/>
      </w:divBdr>
    </w:div>
    <w:div w:id="186331252">
      <w:bodyDiv w:val="1"/>
      <w:marLeft w:val="0"/>
      <w:marRight w:val="0"/>
      <w:marTop w:val="0"/>
      <w:marBottom w:val="0"/>
      <w:divBdr>
        <w:top w:val="none" w:sz="0" w:space="0" w:color="auto"/>
        <w:left w:val="none" w:sz="0" w:space="0" w:color="auto"/>
        <w:bottom w:val="none" w:sz="0" w:space="0" w:color="auto"/>
        <w:right w:val="none" w:sz="0" w:space="0" w:color="auto"/>
      </w:divBdr>
    </w:div>
    <w:div w:id="341855133">
      <w:bodyDiv w:val="1"/>
      <w:marLeft w:val="0"/>
      <w:marRight w:val="0"/>
      <w:marTop w:val="0"/>
      <w:marBottom w:val="0"/>
      <w:divBdr>
        <w:top w:val="none" w:sz="0" w:space="0" w:color="auto"/>
        <w:left w:val="none" w:sz="0" w:space="0" w:color="auto"/>
        <w:bottom w:val="none" w:sz="0" w:space="0" w:color="auto"/>
        <w:right w:val="none" w:sz="0" w:space="0" w:color="auto"/>
      </w:divBdr>
    </w:div>
    <w:div w:id="350032697">
      <w:bodyDiv w:val="1"/>
      <w:marLeft w:val="0"/>
      <w:marRight w:val="0"/>
      <w:marTop w:val="0"/>
      <w:marBottom w:val="0"/>
      <w:divBdr>
        <w:top w:val="none" w:sz="0" w:space="0" w:color="auto"/>
        <w:left w:val="none" w:sz="0" w:space="0" w:color="auto"/>
        <w:bottom w:val="none" w:sz="0" w:space="0" w:color="auto"/>
        <w:right w:val="none" w:sz="0" w:space="0" w:color="auto"/>
      </w:divBdr>
    </w:div>
    <w:div w:id="365177925">
      <w:bodyDiv w:val="1"/>
      <w:marLeft w:val="0"/>
      <w:marRight w:val="0"/>
      <w:marTop w:val="0"/>
      <w:marBottom w:val="0"/>
      <w:divBdr>
        <w:top w:val="none" w:sz="0" w:space="0" w:color="auto"/>
        <w:left w:val="none" w:sz="0" w:space="0" w:color="auto"/>
        <w:bottom w:val="none" w:sz="0" w:space="0" w:color="auto"/>
        <w:right w:val="none" w:sz="0" w:space="0" w:color="auto"/>
      </w:divBdr>
    </w:div>
    <w:div w:id="366368553">
      <w:bodyDiv w:val="1"/>
      <w:marLeft w:val="0"/>
      <w:marRight w:val="0"/>
      <w:marTop w:val="0"/>
      <w:marBottom w:val="0"/>
      <w:divBdr>
        <w:top w:val="none" w:sz="0" w:space="0" w:color="auto"/>
        <w:left w:val="none" w:sz="0" w:space="0" w:color="auto"/>
        <w:bottom w:val="none" w:sz="0" w:space="0" w:color="auto"/>
        <w:right w:val="none" w:sz="0" w:space="0" w:color="auto"/>
      </w:divBdr>
    </w:div>
    <w:div w:id="410392697">
      <w:bodyDiv w:val="1"/>
      <w:marLeft w:val="0"/>
      <w:marRight w:val="0"/>
      <w:marTop w:val="0"/>
      <w:marBottom w:val="0"/>
      <w:divBdr>
        <w:top w:val="none" w:sz="0" w:space="0" w:color="auto"/>
        <w:left w:val="none" w:sz="0" w:space="0" w:color="auto"/>
        <w:bottom w:val="none" w:sz="0" w:space="0" w:color="auto"/>
        <w:right w:val="none" w:sz="0" w:space="0" w:color="auto"/>
      </w:divBdr>
    </w:div>
    <w:div w:id="485971326">
      <w:bodyDiv w:val="1"/>
      <w:marLeft w:val="0"/>
      <w:marRight w:val="0"/>
      <w:marTop w:val="0"/>
      <w:marBottom w:val="0"/>
      <w:divBdr>
        <w:top w:val="none" w:sz="0" w:space="0" w:color="auto"/>
        <w:left w:val="none" w:sz="0" w:space="0" w:color="auto"/>
        <w:bottom w:val="none" w:sz="0" w:space="0" w:color="auto"/>
        <w:right w:val="none" w:sz="0" w:space="0" w:color="auto"/>
      </w:divBdr>
    </w:div>
    <w:div w:id="586964400">
      <w:bodyDiv w:val="1"/>
      <w:marLeft w:val="0"/>
      <w:marRight w:val="0"/>
      <w:marTop w:val="0"/>
      <w:marBottom w:val="0"/>
      <w:divBdr>
        <w:top w:val="none" w:sz="0" w:space="0" w:color="auto"/>
        <w:left w:val="none" w:sz="0" w:space="0" w:color="auto"/>
        <w:bottom w:val="none" w:sz="0" w:space="0" w:color="auto"/>
        <w:right w:val="none" w:sz="0" w:space="0" w:color="auto"/>
      </w:divBdr>
    </w:div>
    <w:div w:id="755203177">
      <w:bodyDiv w:val="1"/>
      <w:marLeft w:val="0"/>
      <w:marRight w:val="0"/>
      <w:marTop w:val="0"/>
      <w:marBottom w:val="0"/>
      <w:divBdr>
        <w:top w:val="none" w:sz="0" w:space="0" w:color="auto"/>
        <w:left w:val="none" w:sz="0" w:space="0" w:color="auto"/>
        <w:bottom w:val="none" w:sz="0" w:space="0" w:color="auto"/>
        <w:right w:val="none" w:sz="0" w:space="0" w:color="auto"/>
      </w:divBdr>
    </w:div>
    <w:div w:id="1177770922">
      <w:bodyDiv w:val="1"/>
      <w:marLeft w:val="0"/>
      <w:marRight w:val="0"/>
      <w:marTop w:val="0"/>
      <w:marBottom w:val="0"/>
      <w:divBdr>
        <w:top w:val="none" w:sz="0" w:space="0" w:color="auto"/>
        <w:left w:val="none" w:sz="0" w:space="0" w:color="auto"/>
        <w:bottom w:val="none" w:sz="0" w:space="0" w:color="auto"/>
        <w:right w:val="none" w:sz="0" w:space="0" w:color="auto"/>
      </w:divBdr>
    </w:div>
    <w:div w:id="1246567947">
      <w:bodyDiv w:val="1"/>
      <w:marLeft w:val="0"/>
      <w:marRight w:val="0"/>
      <w:marTop w:val="0"/>
      <w:marBottom w:val="0"/>
      <w:divBdr>
        <w:top w:val="none" w:sz="0" w:space="0" w:color="auto"/>
        <w:left w:val="none" w:sz="0" w:space="0" w:color="auto"/>
        <w:bottom w:val="none" w:sz="0" w:space="0" w:color="auto"/>
        <w:right w:val="none" w:sz="0" w:space="0" w:color="auto"/>
      </w:divBdr>
    </w:div>
    <w:div w:id="1283419314">
      <w:bodyDiv w:val="1"/>
      <w:marLeft w:val="0"/>
      <w:marRight w:val="0"/>
      <w:marTop w:val="0"/>
      <w:marBottom w:val="0"/>
      <w:divBdr>
        <w:top w:val="none" w:sz="0" w:space="0" w:color="auto"/>
        <w:left w:val="none" w:sz="0" w:space="0" w:color="auto"/>
        <w:bottom w:val="none" w:sz="0" w:space="0" w:color="auto"/>
        <w:right w:val="none" w:sz="0" w:space="0" w:color="auto"/>
      </w:divBdr>
    </w:div>
    <w:div w:id="1293749079">
      <w:bodyDiv w:val="1"/>
      <w:marLeft w:val="0"/>
      <w:marRight w:val="0"/>
      <w:marTop w:val="0"/>
      <w:marBottom w:val="0"/>
      <w:divBdr>
        <w:top w:val="none" w:sz="0" w:space="0" w:color="auto"/>
        <w:left w:val="none" w:sz="0" w:space="0" w:color="auto"/>
        <w:bottom w:val="none" w:sz="0" w:space="0" w:color="auto"/>
        <w:right w:val="none" w:sz="0" w:space="0" w:color="auto"/>
      </w:divBdr>
    </w:div>
    <w:div w:id="1322655655">
      <w:bodyDiv w:val="1"/>
      <w:marLeft w:val="0"/>
      <w:marRight w:val="0"/>
      <w:marTop w:val="0"/>
      <w:marBottom w:val="0"/>
      <w:divBdr>
        <w:top w:val="none" w:sz="0" w:space="0" w:color="auto"/>
        <w:left w:val="none" w:sz="0" w:space="0" w:color="auto"/>
        <w:bottom w:val="none" w:sz="0" w:space="0" w:color="auto"/>
        <w:right w:val="none" w:sz="0" w:space="0" w:color="auto"/>
      </w:divBdr>
    </w:div>
    <w:div w:id="1331523307">
      <w:bodyDiv w:val="1"/>
      <w:marLeft w:val="0"/>
      <w:marRight w:val="0"/>
      <w:marTop w:val="0"/>
      <w:marBottom w:val="0"/>
      <w:divBdr>
        <w:top w:val="none" w:sz="0" w:space="0" w:color="auto"/>
        <w:left w:val="none" w:sz="0" w:space="0" w:color="auto"/>
        <w:bottom w:val="none" w:sz="0" w:space="0" w:color="auto"/>
        <w:right w:val="none" w:sz="0" w:space="0" w:color="auto"/>
      </w:divBdr>
    </w:div>
    <w:div w:id="1335496435">
      <w:bodyDiv w:val="1"/>
      <w:marLeft w:val="0"/>
      <w:marRight w:val="0"/>
      <w:marTop w:val="0"/>
      <w:marBottom w:val="0"/>
      <w:divBdr>
        <w:top w:val="none" w:sz="0" w:space="0" w:color="auto"/>
        <w:left w:val="none" w:sz="0" w:space="0" w:color="auto"/>
        <w:bottom w:val="none" w:sz="0" w:space="0" w:color="auto"/>
        <w:right w:val="none" w:sz="0" w:space="0" w:color="auto"/>
      </w:divBdr>
    </w:div>
    <w:div w:id="1569420529">
      <w:bodyDiv w:val="1"/>
      <w:marLeft w:val="0"/>
      <w:marRight w:val="0"/>
      <w:marTop w:val="0"/>
      <w:marBottom w:val="0"/>
      <w:divBdr>
        <w:top w:val="none" w:sz="0" w:space="0" w:color="auto"/>
        <w:left w:val="none" w:sz="0" w:space="0" w:color="auto"/>
        <w:bottom w:val="none" w:sz="0" w:space="0" w:color="auto"/>
        <w:right w:val="none" w:sz="0" w:space="0" w:color="auto"/>
      </w:divBdr>
    </w:div>
    <w:div w:id="1747415116">
      <w:bodyDiv w:val="1"/>
      <w:marLeft w:val="0"/>
      <w:marRight w:val="0"/>
      <w:marTop w:val="0"/>
      <w:marBottom w:val="0"/>
      <w:divBdr>
        <w:top w:val="none" w:sz="0" w:space="0" w:color="auto"/>
        <w:left w:val="none" w:sz="0" w:space="0" w:color="auto"/>
        <w:bottom w:val="none" w:sz="0" w:space="0" w:color="auto"/>
        <w:right w:val="none" w:sz="0" w:space="0" w:color="auto"/>
      </w:divBdr>
    </w:div>
    <w:div w:id="1804695141">
      <w:bodyDiv w:val="1"/>
      <w:marLeft w:val="0"/>
      <w:marRight w:val="0"/>
      <w:marTop w:val="0"/>
      <w:marBottom w:val="0"/>
      <w:divBdr>
        <w:top w:val="none" w:sz="0" w:space="0" w:color="auto"/>
        <w:left w:val="none" w:sz="0" w:space="0" w:color="auto"/>
        <w:bottom w:val="none" w:sz="0" w:space="0" w:color="auto"/>
        <w:right w:val="none" w:sz="0" w:space="0" w:color="auto"/>
      </w:divBdr>
    </w:div>
    <w:div w:id="1856769045">
      <w:bodyDiv w:val="1"/>
      <w:marLeft w:val="0"/>
      <w:marRight w:val="0"/>
      <w:marTop w:val="0"/>
      <w:marBottom w:val="0"/>
      <w:divBdr>
        <w:top w:val="none" w:sz="0" w:space="0" w:color="auto"/>
        <w:left w:val="none" w:sz="0" w:space="0" w:color="auto"/>
        <w:bottom w:val="none" w:sz="0" w:space="0" w:color="auto"/>
        <w:right w:val="none" w:sz="0" w:space="0" w:color="auto"/>
      </w:divBdr>
    </w:div>
    <w:div w:id="1863127871">
      <w:bodyDiv w:val="1"/>
      <w:marLeft w:val="0"/>
      <w:marRight w:val="0"/>
      <w:marTop w:val="0"/>
      <w:marBottom w:val="0"/>
      <w:divBdr>
        <w:top w:val="none" w:sz="0" w:space="0" w:color="auto"/>
        <w:left w:val="none" w:sz="0" w:space="0" w:color="auto"/>
        <w:bottom w:val="none" w:sz="0" w:space="0" w:color="auto"/>
        <w:right w:val="none" w:sz="0" w:space="0" w:color="auto"/>
      </w:divBdr>
    </w:div>
    <w:div w:id="1890415674">
      <w:bodyDiv w:val="1"/>
      <w:marLeft w:val="0"/>
      <w:marRight w:val="0"/>
      <w:marTop w:val="0"/>
      <w:marBottom w:val="0"/>
      <w:divBdr>
        <w:top w:val="none" w:sz="0" w:space="0" w:color="auto"/>
        <w:left w:val="none" w:sz="0" w:space="0" w:color="auto"/>
        <w:bottom w:val="none" w:sz="0" w:space="0" w:color="auto"/>
        <w:right w:val="none" w:sz="0" w:space="0" w:color="auto"/>
      </w:divBdr>
    </w:div>
    <w:div w:id="19372072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customXml" Target="../customXml/item3.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6" ma:contentTypeDescription="Create a new document." ma:contentTypeScope="" ma:versionID="fa29ee4251f035c08c37eb3e45c3ada1">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ee51516891d9f309b1de461389a48f10"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41BF901-1D42-4A6C-8C42-63C62338424B}">
  <ds:schemaRefs>
    <ds:schemaRef ds:uri="http://schemas.openxmlformats.org/officeDocument/2006/bibliography"/>
  </ds:schemaRefs>
</ds:datastoreItem>
</file>

<file path=customXml/itemProps2.xml><?xml version="1.0" encoding="utf-8"?>
<ds:datastoreItem xmlns:ds="http://schemas.openxmlformats.org/officeDocument/2006/customXml" ds:itemID="{0F10860B-83BD-42D4-A7FB-995B37D3CD20}"/>
</file>

<file path=customXml/itemProps3.xml><?xml version="1.0" encoding="utf-8"?>
<ds:datastoreItem xmlns:ds="http://schemas.openxmlformats.org/officeDocument/2006/customXml" ds:itemID="{B5858653-6B42-48C8-B5CB-A916CCDF4889}"/>
</file>

<file path=docProps/app.xml><?xml version="1.0" encoding="utf-8"?>
<Properties xmlns="http://schemas.openxmlformats.org/officeDocument/2006/extended-properties" xmlns:vt="http://schemas.openxmlformats.org/officeDocument/2006/docPropsVTypes">
  <Template>Normal</Template>
  <TotalTime>13</TotalTime>
  <Pages>12</Pages>
  <Words>3023</Words>
  <Characters>17235</Characters>
  <Application>Microsoft Office Word</Application>
  <DocSecurity>0</DocSecurity>
  <Lines>143</Lines>
  <Paragraphs>40</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20218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ふみ</dc:creator>
  <cp:keywords/>
  <dc:description/>
  <cp:lastModifiedBy>ふみ 鈴木</cp:lastModifiedBy>
  <cp:revision>4</cp:revision>
  <cp:lastPrinted>2024-09-04T08:28:00Z</cp:lastPrinted>
  <dcterms:created xsi:type="dcterms:W3CDTF">2024-09-07T02:30:00Z</dcterms:created>
  <dcterms:modified xsi:type="dcterms:W3CDTF">2024-09-07T09:32:00Z</dcterms:modified>
</cp:coreProperties>
</file>