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5616F1" w14:textId="77777777" w:rsidR="003825B1" w:rsidRDefault="003825B1" w:rsidP="00343EEC">
      <w:pPr>
        <w:spacing w:after="160" w:line="256" w:lineRule="auto"/>
        <w:contextualSpacing/>
        <w:jc w:val="both"/>
        <w:rPr>
          <w:rFonts w:asciiTheme="minorHAnsi" w:eastAsia="Times New Roman" w:hAnsiTheme="minorHAnsi" w:cstheme="minorHAnsi"/>
          <w:lang w:eastAsia="fr-BE"/>
        </w:rPr>
        <w:sectPr w:rsidR="003825B1" w:rsidSect="003825B1">
          <w:headerReference w:type="even" r:id="rId8"/>
          <w:headerReference w:type="default" r:id="rId9"/>
          <w:footerReference w:type="even" r:id="rId10"/>
          <w:footerReference w:type="default" r:id="rId11"/>
          <w:headerReference w:type="first" r:id="rId12"/>
          <w:footerReference w:type="first" r:id="rId13"/>
          <w:pgSz w:w="11906" w:h="16838" w:code="9"/>
          <w:pgMar w:top="2977" w:right="1701" w:bottom="1843" w:left="1701" w:header="709" w:footer="709" w:gutter="0"/>
          <w:cols w:space="708"/>
          <w:titlePg/>
          <w:docGrid w:linePitch="360"/>
        </w:sectPr>
      </w:pPr>
    </w:p>
    <w:p w14:paraId="7CBAF78F" w14:textId="77777777" w:rsidR="00D84D3B" w:rsidRDefault="00D84D3B" w:rsidP="00CE5625">
      <w:pPr>
        <w:pStyle w:val="Title"/>
        <w:pBdr>
          <w:bottom w:val="single" w:sz="8" w:space="9" w:color="4472C4" w:themeColor="accent1"/>
        </w:pBdr>
        <w:jc w:val="center"/>
        <w:rPr>
          <w:rFonts w:asciiTheme="minorHAnsi" w:hAnsiTheme="minorHAnsi" w:cstheme="minorHAnsi"/>
          <w:b/>
          <w:sz w:val="32"/>
          <w:szCs w:val="32"/>
        </w:rPr>
      </w:pPr>
      <w:bookmarkStart w:id="0" w:name="_Hlk171938115"/>
      <w:r w:rsidRPr="00D84D3B">
        <w:rPr>
          <w:rFonts w:asciiTheme="minorHAnsi" w:hAnsiTheme="minorHAnsi" w:cstheme="minorHAnsi"/>
          <w:b/>
          <w:sz w:val="32"/>
          <w:szCs w:val="32"/>
        </w:rPr>
        <w:t xml:space="preserve">Informe Alternativo del Defensor del Pueblo de España (INDH) para el VII Ciclo de Revisión del </w:t>
      </w:r>
    </w:p>
    <w:p w14:paraId="2BB82B40" w14:textId="77777777" w:rsidR="00D84D3B" w:rsidRDefault="00D84D3B" w:rsidP="00CE5625">
      <w:pPr>
        <w:pStyle w:val="Title"/>
        <w:pBdr>
          <w:bottom w:val="single" w:sz="8" w:space="9" w:color="4472C4" w:themeColor="accent1"/>
        </w:pBdr>
        <w:jc w:val="center"/>
        <w:rPr>
          <w:rFonts w:asciiTheme="minorHAnsi" w:hAnsiTheme="minorHAnsi" w:cstheme="minorHAnsi"/>
          <w:b/>
          <w:sz w:val="32"/>
          <w:szCs w:val="32"/>
        </w:rPr>
      </w:pPr>
      <w:r w:rsidRPr="00D84D3B">
        <w:rPr>
          <w:rFonts w:asciiTheme="minorHAnsi" w:hAnsiTheme="minorHAnsi" w:cstheme="minorHAnsi"/>
          <w:b/>
          <w:sz w:val="32"/>
          <w:szCs w:val="32"/>
        </w:rPr>
        <w:t>Comité de los Derechos del Niño</w:t>
      </w:r>
    </w:p>
    <w:p w14:paraId="53600B4B" w14:textId="77777777" w:rsidR="00CE5625" w:rsidRPr="00CE5625" w:rsidRDefault="00CE5625" w:rsidP="0041475A">
      <w:pPr>
        <w:pStyle w:val="NormalInforme"/>
        <w:ind w:firstLine="0"/>
        <w:rPr>
          <w:sz w:val="16"/>
          <w:szCs w:val="16"/>
        </w:rPr>
      </w:pPr>
      <w:bookmarkStart w:id="1" w:name="_Hlk171938204"/>
      <w:bookmarkEnd w:id="0"/>
    </w:p>
    <w:p w14:paraId="269E1C4E" w14:textId="77777777" w:rsidR="00CE5625" w:rsidRDefault="00D84D3B" w:rsidP="0041475A">
      <w:pPr>
        <w:pStyle w:val="NormalInforme"/>
        <w:ind w:firstLine="0"/>
      </w:pPr>
      <w:r w:rsidRPr="00D84D3B">
        <w:t xml:space="preserve">El Defensor del Pueblo </w:t>
      </w:r>
      <w:r w:rsidR="00CE5625">
        <w:t xml:space="preserve">de España </w:t>
      </w:r>
      <w:r w:rsidRPr="00D84D3B">
        <w:t>(Ombudsman) se configura como una garantía institucional para la defensa de los derechos comprendidos en el Título 1 de la Constitución española, a cuyo efecto podrá supervisar la actividad de la Administración.</w:t>
      </w:r>
      <w:r w:rsidR="00CE5625">
        <w:tab/>
      </w:r>
      <w:r w:rsidRPr="00D84D3B">
        <w:t>Además de ser el Alto Comisionado de las Cortes Generales para la defensa de los derechos constitucionales, esta institución es a su vez Mecanismo Nacional de Prevención (MNP) en España desde 2010</w:t>
      </w:r>
      <w:r w:rsidR="00CE5625">
        <w:t xml:space="preserve">. </w:t>
      </w:r>
    </w:p>
    <w:p w14:paraId="1AB0B0EF" w14:textId="77777777" w:rsidR="00D84D3B" w:rsidRPr="00D84D3B" w:rsidRDefault="00CE5625" w:rsidP="0041475A">
      <w:pPr>
        <w:pStyle w:val="NormalInforme"/>
        <w:ind w:firstLine="0"/>
        <w:rPr>
          <w:b/>
        </w:rPr>
      </w:pPr>
      <w:r>
        <w:tab/>
        <w:t>Y es la</w:t>
      </w:r>
      <w:r w:rsidR="00D84D3B" w:rsidRPr="00D84D3B">
        <w:t xml:space="preserve"> Institución Nacional de Derechos Humanos (INDH)</w:t>
      </w:r>
      <w:r>
        <w:t xml:space="preserve"> de España</w:t>
      </w:r>
      <w:r w:rsidR="00D84D3B" w:rsidRPr="00D84D3B">
        <w:t>, de acuerdo con lo dispuesto en el artículo 7.3 de la Ley 2/2014 de Acción y Servicio Exterior del Estado, acreditada por Naciones Unidas desde el año 2000 y renovada en sucesivas ocasiones, la última en mayo de 2024, de nuevo con la máxima calificación (A).</w:t>
      </w:r>
    </w:p>
    <w:p w14:paraId="07807713" w14:textId="77777777" w:rsidR="00D84D3B" w:rsidRPr="00D84D3B" w:rsidRDefault="00D84D3B" w:rsidP="00EB3EA6">
      <w:pPr>
        <w:pStyle w:val="NormalInforme"/>
        <w:rPr>
          <w:rFonts w:eastAsiaTheme="majorEastAsia"/>
        </w:rPr>
      </w:pPr>
      <w:r w:rsidRPr="00D84D3B">
        <w:rPr>
          <w:rFonts w:eastAsiaTheme="majorEastAsia"/>
        </w:rPr>
        <w:t xml:space="preserve">El Defensor del Pueblo se preocupa porque el interés superior del menor prevalezca en todas sus actuaciones. Se considera un principio transversal y prioritario a la hora de tramitar las quejas ciudadanas y también las actuaciones de oficio necesarias para protegerlo, concretarlo y definirlo. </w:t>
      </w:r>
    </w:p>
    <w:p w14:paraId="6664DADB" w14:textId="77777777" w:rsidR="00D84D3B" w:rsidRPr="00D84D3B" w:rsidRDefault="00D84D3B" w:rsidP="00EB3EA6">
      <w:pPr>
        <w:pStyle w:val="NormalInforme"/>
      </w:pPr>
      <w:r w:rsidRPr="00D84D3B">
        <w:t xml:space="preserve">Entre los retos a afrontar resalta el de la eliminación de la pobreza infantil y adolescente, la cual reduce la igualdad de oportunidades, seguido por el de la erradicación de la violencia contra los niños, niñas y adolescentes, incluida la violencia sexual. En este ámbito se elaboró el </w:t>
      </w:r>
      <w:hyperlink r:id="rId14" w:history="1">
        <w:r w:rsidRPr="00D84D3B">
          <w:rPr>
            <w:rStyle w:val="Hyperlink"/>
            <w:rFonts w:cstheme="minorHAnsi"/>
            <w:i/>
            <w:szCs w:val="22"/>
          </w:rPr>
          <w:t>Informe sobre los abusos sexuales en el ámbito de la Iglesia católica y el papel de los poderes públicos</w:t>
        </w:r>
      </w:hyperlink>
      <w:r w:rsidR="00AC2F1F">
        <w:t xml:space="preserve">, </w:t>
      </w:r>
      <w:r w:rsidRPr="00D84D3B">
        <w:t xml:space="preserve">que fue encomendado a esta institución y presentado a la presidenta del Congreso de los Diputados el 27 de octubre de 2023. Este informe fue una «respuesta necesaria» a una situación de sufrimiento y de soledad que durante años se ha mantenido, de una u otra manera, cubierta por un injusto silencio. El problema de los abusos sexuales en la Iglesia católica ha afectado especialmente a niños, niñas y adolescentes y debe situarse en el contexto de la </w:t>
      </w:r>
      <w:r w:rsidRPr="00D84D3B">
        <w:lastRenderedPageBreak/>
        <w:t>problemática del abuso sexual infantil y, más en concreto, de la victimización en contextos institucionales.</w:t>
      </w:r>
    </w:p>
    <w:p w14:paraId="462D0449" w14:textId="77777777" w:rsidR="00D84D3B" w:rsidRPr="00D84D3B" w:rsidRDefault="00D84D3B" w:rsidP="00EB3EA6">
      <w:pPr>
        <w:pStyle w:val="NormalInforme"/>
      </w:pPr>
      <w:r w:rsidRPr="00D84D3B">
        <w:t>Cabe indicar que el Defensor del Pueblo publica cada año una separata específica de los epígrafes del informe anual que afectan a los derechos y a la protección de la infancia y la adolescencia (</w:t>
      </w:r>
      <w:hyperlink r:id="rId15" w:history="1">
        <w:r w:rsidRPr="00D84D3B">
          <w:rPr>
            <w:rStyle w:val="Hyperlink"/>
            <w:rFonts w:cstheme="minorHAnsi"/>
            <w:szCs w:val="22"/>
          </w:rPr>
          <w:t>enlace</w:t>
        </w:r>
      </w:hyperlink>
      <w:r w:rsidR="00CE5625">
        <w:rPr>
          <w:rStyle w:val="Hyperlink"/>
          <w:rFonts w:cstheme="minorHAnsi"/>
          <w:szCs w:val="22"/>
        </w:rPr>
        <w:t xml:space="preserve"> a las separatas del informe anual</w:t>
      </w:r>
      <w:r w:rsidRPr="00D84D3B">
        <w:t>).</w:t>
      </w:r>
    </w:p>
    <w:bookmarkEnd w:id="1"/>
    <w:p w14:paraId="480A409B" w14:textId="77777777" w:rsidR="00D84D3B" w:rsidRPr="00D84D3B" w:rsidRDefault="00D84D3B" w:rsidP="00EB3EA6">
      <w:pPr>
        <w:pStyle w:val="Heading1"/>
        <w:spacing w:after="240"/>
        <w:jc w:val="both"/>
        <w:rPr>
          <w:rFonts w:asciiTheme="minorHAnsi" w:hAnsiTheme="minorHAnsi" w:cstheme="minorHAnsi"/>
          <w:b/>
          <w:sz w:val="28"/>
          <w:szCs w:val="28"/>
        </w:rPr>
      </w:pPr>
      <w:r w:rsidRPr="00D84D3B">
        <w:rPr>
          <w:rFonts w:asciiTheme="minorHAnsi" w:hAnsiTheme="minorHAnsi" w:cstheme="minorHAnsi"/>
          <w:b/>
          <w:sz w:val="28"/>
          <w:szCs w:val="28"/>
        </w:rPr>
        <w:t>I. Medidas Generales de Aplicación (artículos 4 y 42 y párrafo 6 del artículo 44 de la Convención)</w:t>
      </w:r>
    </w:p>
    <w:p w14:paraId="4C5D5D37" w14:textId="77777777" w:rsidR="00D84D3B" w:rsidRPr="006E703B" w:rsidRDefault="00D84D3B" w:rsidP="00EB3EA6">
      <w:pPr>
        <w:pStyle w:val="Heading2"/>
        <w:spacing w:before="120" w:after="120"/>
        <w:jc w:val="both"/>
        <w:rPr>
          <w:rFonts w:asciiTheme="minorHAnsi" w:hAnsiTheme="minorHAnsi" w:cstheme="minorHAnsi"/>
          <w:sz w:val="28"/>
          <w:szCs w:val="28"/>
        </w:rPr>
      </w:pPr>
      <w:r w:rsidRPr="006E703B">
        <w:rPr>
          <w:rFonts w:asciiTheme="minorHAnsi" w:hAnsiTheme="minorHAnsi" w:cstheme="minorHAnsi"/>
          <w:sz w:val="28"/>
          <w:szCs w:val="28"/>
        </w:rPr>
        <w:t>Legislación</w:t>
      </w:r>
    </w:p>
    <w:p w14:paraId="34CDD7D4" w14:textId="77777777" w:rsidR="00D84D3B" w:rsidRPr="00D84D3B" w:rsidRDefault="00D84D3B" w:rsidP="00EB3EA6">
      <w:pPr>
        <w:pStyle w:val="NormalInforme"/>
        <w:ind w:firstLine="0"/>
      </w:pPr>
      <w:r w:rsidRPr="00D84D3B">
        <w:t xml:space="preserve">España ha robustecido su legislación para la protección de la infancia en los últimos años, desde el VI Ciclo de Revisión del Comité de los Derechos del Niño (CDN). Así, destacamos la </w:t>
      </w:r>
      <w:r w:rsidRPr="00D84D3B">
        <w:rPr>
          <w:b/>
        </w:rPr>
        <w:t xml:space="preserve">Ley Orgánica de Protección Integral a la Infancia y la Adolescencia frente a la Violencia (LOPIVI), </w:t>
      </w:r>
      <w:r w:rsidRPr="00D84D3B">
        <w:t xml:space="preserve">de junio de 2021, que adapta numerosas leyes para proporcionar una protección integral a la infancia contra diversas formas de violencia. Esta ley busca una protección uniforme en todo el país y establece que las Administraciones públicas deben disponer de mecanismos adecuados de comunicación e intercambio de información, así como recursos necesarios para que los </w:t>
      </w:r>
      <w:r w:rsidRPr="00D84D3B">
        <w:rPr>
          <w:b/>
        </w:rPr>
        <w:t>Niños, Niñas y Adolescentes (NNA)</w:t>
      </w:r>
      <w:r w:rsidRPr="00D84D3B">
        <w:t xml:space="preserve"> puedan denunciar violaciones de sus derechos.</w:t>
      </w:r>
    </w:p>
    <w:p w14:paraId="57DDB97B" w14:textId="77777777" w:rsidR="00D84D3B" w:rsidRPr="00D84D3B" w:rsidRDefault="00D84D3B" w:rsidP="00EB3EA6">
      <w:pPr>
        <w:pStyle w:val="NormalInforme"/>
      </w:pPr>
      <w:r w:rsidRPr="00D84D3B">
        <w:t xml:space="preserve">En el ámbito educativo, la </w:t>
      </w:r>
      <w:r w:rsidRPr="00D84D3B">
        <w:rPr>
          <w:b/>
        </w:rPr>
        <w:t>Ley Orgánica de Modificación de la Ley Orgánica de Educación (LOMLOE)</w:t>
      </w:r>
      <w:r w:rsidRPr="00D84D3B">
        <w:t xml:space="preserve"> ha reforzado el enfoque de derechos de la infancia, reconociendo el interés superior del menor y su derecho a una educación inclusiva y equitativa. Además, leyes recientes como la </w:t>
      </w:r>
      <w:r w:rsidRPr="00D84D3B">
        <w:rPr>
          <w:b/>
        </w:rPr>
        <w:t>Ley Orgánica 10/2022, de 6 de septiembre, de garantía integral de la libertad sexual,</w:t>
      </w:r>
      <w:r w:rsidRPr="00D84D3B">
        <w:t xml:space="preserve"> y la </w:t>
      </w:r>
      <w:r w:rsidRPr="00D84D3B">
        <w:rPr>
          <w:b/>
        </w:rPr>
        <w:t xml:space="preserve">Ley 4/2023, de 28 de febrero, para la igualdad real y efectiva de las personas trans y para la garantía de los derechos de las personas LGTBI, </w:t>
      </w:r>
      <w:r w:rsidRPr="00D84D3B">
        <w:t>también tienen un impacto significativo en la protección de los derechos de los niños, niñas y adolescentes.</w:t>
      </w:r>
    </w:p>
    <w:p w14:paraId="702178E0" w14:textId="77777777" w:rsidR="00D84D3B" w:rsidRPr="00D84D3B" w:rsidRDefault="00D84D3B" w:rsidP="00EB3EA6">
      <w:pPr>
        <w:pStyle w:val="NormalInforme"/>
      </w:pPr>
      <w:r w:rsidRPr="00D84D3B">
        <w:t>Las consideraciones del Defensor del Pueblo sobre los elementos más relevantes de estas reformas normativas y su adecuación a la Convención sobre los Derechos del Niño se analizarán en los distintos apartados del presente informe.</w:t>
      </w:r>
    </w:p>
    <w:p w14:paraId="4F27175E" w14:textId="77777777" w:rsidR="00D84D3B" w:rsidRPr="006E703B" w:rsidRDefault="00D84D3B" w:rsidP="00EB3EA6">
      <w:pPr>
        <w:pStyle w:val="Heading2"/>
        <w:spacing w:before="120" w:after="120"/>
        <w:jc w:val="both"/>
        <w:rPr>
          <w:rFonts w:asciiTheme="minorHAnsi" w:hAnsiTheme="minorHAnsi" w:cstheme="minorHAnsi"/>
          <w:sz w:val="28"/>
          <w:szCs w:val="28"/>
        </w:rPr>
      </w:pPr>
      <w:r w:rsidRPr="006E703B">
        <w:rPr>
          <w:rFonts w:asciiTheme="minorHAnsi" w:hAnsiTheme="minorHAnsi" w:cstheme="minorHAnsi"/>
          <w:sz w:val="28"/>
          <w:szCs w:val="28"/>
        </w:rPr>
        <w:lastRenderedPageBreak/>
        <w:t>Política, estrategia y coordinación integrales</w:t>
      </w:r>
    </w:p>
    <w:p w14:paraId="29B863DE" w14:textId="77777777" w:rsidR="00D84D3B" w:rsidRPr="00D84D3B" w:rsidRDefault="00D84D3B" w:rsidP="00EB3EA6">
      <w:pPr>
        <w:pStyle w:val="NormalInforme"/>
        <w:ind w:firstLine="0"/>
      </w:pPr>
      <w:r w:rsidRPr="00D84D3B">
        <w:t xml:space="preserve">Además, se han impulsado dos estrategias que están desplegando sus efectos. La </w:t>
      </w:r>
      <w:r w:rsidRPr="00D84D3B">
        <w:rPr>
          <w:b/>
        </w:rPr>
        <w:t>Estrategia de Derechos de la Infancia y la Adolescencia 2023-2030 (EEDIA),</w:t>
      </w:r>
      <w:r w:rsidRPr="00D84D3B">
        <w:t xml:space="preserve"> que busca garantizar los derechos de los niños, niñas y adolescentes. Aprobada en mayo de 2023, establece ocho áreas estratégicas y metas para 2030, alineadas con la Convención sobre los Derechos del</w:t>
      </w:r>
      <w:r w:rsidR="006E703B">
        <w:t xml:space="preserve"> </w:t>
      </w:r>
      <w:r w:rsidRPr="00D84D3B">
        <w:rPr>
          <w:bCs/>
        </w:rPr>
        <w:t>Niño</w:t>
      </w:r>
      <w:r w:rsidRPr="00D84D3B">
        <w:t xml:space="preserve"> y la Agenda 2030. También busca coordinar acciones con otras estrategias y planes nacionales, como la </w:t>
      </w:r>
      <w:r w:rsidRPr="00D84D3B">
        <w:rPr>
          <w:b/>
        </w:rPr>
        <w:t>Estrategia Estatal de Violencia contra la Infancia y la Adolescencia (EEVIA),</w:t>
      </w:r>
      <w:r w:rsidRPr="00D84D3B">
        <w:t xml:space="preserve"> que se centra en prevenir y detectar todas las formas de violencia contra los niños, niñas y adolescentes.</w:t>
      </w:r>
    </w:p>
    <w:p w14:paraId="21DBF2A6" w14:textId="77777777" w:rsidR="00D84D3B" w:rsidRPr="00D84D3B" w:rsidRDefault="00D84D3B" w:rsidP="00EB3EA6">
      <w:pPr>
        <w:pStyle w:val="NormalInforme"/>
      </w:pPr>
      <w:r w:rsidRPr="00D84D3B">
        <w:t xml:space="preserve">El Defensor del Pueblo ha enfatizado la importancia de </w:t>
      </w:r>
      <w:hyperlink r:id="rId16" w:history="1">
        <w:r w:rsidRPr="00D84D3B">
          <w:rPr>
            <w:rStyle w:val="Hyperlink"/>
            <w:rFonts w:cstheme="minorHAnsi"/>
            <w:szCs w:val="22"/>
          </w:rPr>
          <w:t>desarrollar reglamentariamente las figuras del coordinador de bienestar y delegado de protección</w:t>
        </w:r>
      </w:hyperlink>
      <w:r w:rsidRPr="00D84D3B">
        <w:t xml:space="preserve"> para implementar efectivamente las políticas de salvaguarda contenidas en la Ley Orgánica de protección integral a la infancia y la adolescencia. Además, ha destacado la necesidad de fortalecer la coordinación entre diferentes administraciones y entidades para asegurar una implementación efectiva y uniforme de estas estrategias en todo el país​​.</w:t>
      </w:r>
    </w:p>
    <w:p w14:paraId="0DF88A39" w14:textId="77777777" w:rsidR="00D84D3B" w:rsidRPr="006E703B" w:rsidRDefault="00D84D3B" w:rsidP="00EB3EA6">
      <w:pPr>
        <w:pStyle w:val="Heading2"/>
        <w:spacing w:before="120" w:after="120"/>
        <w:jc w:val="both"/>
        <w:rPr>
          <w:rFonts w:asciiTheme="minorHAnsi" w:hAnsiTheme="minorHAnsi" w:cstheme="minorHAnsi"/>
          <w:sz w:val="28"/>
          <w:szCs w:val="28"/>
        </w:rPr>
      </w:pPr>
      <w:r w:rsidRPr="006E703B">
        <w:rPr>
          <w:rFonts w:asciiTheme="minorHAnsi" w:hAnsiTheme="minorHAnsi" w:cstheme="minorHAnsi"/>
          <w:sz w:val="28"/>
          <w:szCs w:val="28"/>
        </w:rPr>
        <w:t>Vigilancia independiente</w:t>
      </w:r>
    </w:p>
    <w:p w14:paraId="12DB5DDD" w14:textId="77777777" w:rsidR="00D84D3B" w:rsidRPr="00D84D3B" w:rsidRDefault="00D84D3B" w:rsidP="00EB3EA6">
      <w:pPr>
        <w:pStyle w:val="NormalInforme"/>
        <w:ind w:firstLine="0"/>
      </w:pPr>
      <w:r w:rsidRPr="00D84D3B">
        <w:t>El Defensor del Pueblo ha reiterado desde hace años, a las distintas administraciones con competencia en la materia, la necesidad de que tanto los centros de protección como los de reforma dispongan de sistemas que permitan a los menores residentes acceder a un sistema de quejas, de modo confidencial, no solo ante la dirección del centro, sino también ante el organismo que ostente su tutela, el ministerio fiscal, la autoridad judicial competente, así como ante el Defensor del Pueblo y las instituciones homólogas autonómicas.</w:t>
      </w:r>
    </w:p>
    <w:p w14:paraId="04ACA0C2" w14:textId="77777777" w:rsidR="00D84D3B" w:rsidRPr="00D84D3B" w:rsidRDefault="00D84D3B" w:rsidP="00EB3EA6">
      <w:pPr>
        <w:pStyle w:val="NormalInforme"/>
      </w:pPr>
      <w:r w:rsidRPr="00D84D3B">
        <w:t>Dichas cuestiones se han incorporado a la Ley Orgánica 1/1996, de Protección Jurídica del Menor, en la reforma introducida por la Ley Orgánica 8/2015, de 22 de julio, así como a la mencionada Ley Orgánica de protección integral a la infancia y la adolescencia frente a la violencia, de 4 de junio de 2021.</w:t>
      </w:r>
    </w:p>
    <w:p w14:paraId="6D9FF22A" w14:textId="77777777" w:rsidR="00D84D3B" w:rsidRPr="00D84D3B" w:rsidRDefault="00D84D3B" w:rsidP="00EB3EA6">
      <w:pPr>
        <w:pStyle w:val="NormalInforme"/>
      </w:pPr>
      <w:r w:rsidRPr="00D84D3B">
        <w:t xml:space="preserve">En resumen, aunque se han logrado avances importantes en la legislación y las políticas para proteger los derechos de los niños, niñas y adolescentes en España, es esencial continuar trabajando en la implementación efectiva y la vigilancia </w:t>
      </w:r>
      <w:r w:rsidRPr="00D84D3B">
        <w:lastRenderedPageBreak/>
        <w:t>independiente para garantizar que todos los niños y niñas disfruten plenamente de sus derechos.</w:t>
      </w:r>
    </w:p>
    <w:p w14:paraId="2C1A1E3C" w14:textId="77777777" w:rsidR="00D84D3B" w:rsidRPr="00D84D3B" w:rsidRDefault="00D84D3B" w:rsidP="00EB3EA6">
      <w:pPr>
        <w:pStyle w:val="Heading1"/>
        <w:spacing w:after="240"/>
        <w:jc w:val="both"/>
        <w:rPr>
          <w:rFonts w:asciiTheme="minorHAnsi" w:hAnsiTheme="minorHAnsi" w:cstheme="minorHAnsi"/>
          <w:b/>
          <w:sz w:val="28"/>
          <w:szCs w:val="28"/>
        </w:rPr>
      </w:pPr>
      <w:r w:rsidRPr="00D84D3B">
        <w:rPr>
          <w:rFonts w:asciiTheme="minorHAnsi" w:hAnsiTheme="minorHAnsi" w:cstheme="minorHAnsi"/>
          <w:b/>
          <w:sz w:val="28"/>
          <w:szCs w:val="28"/>
        </w:rPr>
        <w:t>II.  Principios generales (artículos 2, 3, 6 y 12 de la Convención)</w:t>
      </w:r>
    </w:p>
    <w:p w14:paraId="0106A9B6" w14:textId="77777777" w:rsidR="00D84D3B" w:rsidRPr="006E703B" w:rsidRDefault="00D84D3B" w:rsidP="00EB3EA6">
      <w:pPr>
        <w:pStyle w:val="Heading2"/>
        <w:spacing w:before="120" w:after="120"/>
        <w:jc w:val="both"/>
        <w:rPr>
          <w:rFonts w:asciiTheme="minorHAnsi" w:hAnsiTheme="minorHAnsi" w:cstheme="minorHAnsi"/>
          <w:sz w:val="28"/>
          <w:szCs w:val="28"/>
        </w:rPr>
      </w:pPr>
      <w:r w:rsidRPr="006E703B">
        <w:rPr>
          <w:rFonts w:asciiTheme="minorHAnsi" w:hAnsiTheme="minorHAnsi" w:cstheme="minorHAnsi"/>
          <w:sz w:val="28"/>
          <w:szCs w:val="28"/>
        </w:rPr>
        <w:t>No discriminación</w:t>
      </w:r>
    </w:p>
    <w:p w14:paraId="77A94A49" w14:textId="77777777" w:rsidR="00D84D3B" w:rsidRPr="0045178B" w:rsidRDefault="00D84D3B" w:rsidP="00EB3EA6">
      <w:pPr>
        <w:pStyle w:val="Heading2"/>
        <w:spacing w:before="120" w:after="120"/>
        <w:jc w:val="both"/>
        <w:rPr>
          <w:rFonts w:asciiTheme="minorHAnsi" w:hAnsiTheme="minorHAnsi" w:cstheme="minorHAnsi"/>
          <w:sz w:val="24"/>
          <w:szCs w:val="24"/>
        </w:rPr>
      </w:pPr>
      <w:r w:rsidRPr="0045178B">
        <w:rPr>
          <w:rFonts w:asciiTheme="minorHAnsi" w:hAnsiTheme="minorHAnsi" w:cstheme="minorHAnsi"/>
          <w:sz w:val="24"/>
          <w:szCs w:val="24"/>
        </w:rPr>
        <w:t xml:space="preserve">Discriminación por razón de orientación sexual: filiación de menores nacidos de parejas del mismo sexo </w:t>
      </w:r>
    </w:p>
    <w:p w14:paraId="3493C1F1" w14:textId="77777777" w:rsidR="00D84D3B" w:rsidRPr="00D84D3B" w:rsidRDefault="00D84D3B" w:rsidP="00EB3EA6">
      <w:pPr>
        <w:pStyle w:val="NormalInforme"/>
        <w:ind w:firstLine="0"/>
      </w:pPr>
      <w:r w:rsidRPr="00D84D3B">
        <w:t xml:space="preserve">La interpretación del nuevo artículo 44 de la Ley 20/2011, del Registro Civil, introducido por la disposición final 11 de la Ley 4/2023, permite la filiación de menores nacidos de parejas del mismo sexo sin necesidad de matrimonio. Sin embargo, el Defensor del Pueblo recibió algunas quejas al respecto, por lo que la institución presentó una </w:t>
      </w:r>
      <w:hyperlink r:id="rId17" w:history="1">
        <w:r w:rsidRPr="00D84D3B">
          <w:rPr>
            <w:rStyle w:val="Hyperlink"/>
            <w:rFonts w:cstheme="minorHAnsi"/>
            <w:szCs w:val="22"/>
          </w:rPr>
          <w:t>Recomendación a la Secretaría de Estado de Justicia</w:t>
        </w:r>
      </w:hyperlink>
      <w:r w:rsidRPr="00D84D3B">
        <w:t xml:space="preserve">, aún pendiente de respuesta, debido a que el sistema informático del Registro Civil no estaba actualizado para reflejar esta normativa. </w:t>
      </w:r>
    </w:p>
    <w:p w14:paraId="2383FD77" w14:textId="77777777" w:rsidR="00D84D3B" w:rsidRPr="00D84D3B" w:rsidRDefault="00D84D3B" w:rsidP="00EB3EA6">
      <w:pPr>
        <w:pStyle w:val="NormalInforme"/>
      </w:pPr>
      <w:r w:rsidRPr="00D84D3B">
        <w:t>La Recomendación insta a que se adopten las medidas técnicas necesarias y se actualice el sistema informático para permitir la inscripción del nacimiento del menor, de conformidad con la legislación vigente, siempre que no haya controversia y se cumplan las condiciones legales.</w:t>
      </w:r>
    </w:p>
    <w:p w14:paraId="199F7994" w14:textId="77777777" w:rsidR="00D84D3B" w:rsidRPr="0045178B" w:rsidRDefault="00D84D3B" w:rsidP="00147C61">
      <w:pPr>
        <w:pStyle w:val="Heading2"/>
        <w:spacing w:before="120" w:after="120"/>
        <w:jc w:val="both"/>
        <w:rPr>
          <w:rFonts w:asciiTheme="minorHAnsi" w:hAnsiTheme="minorHAnsi" w:cstheme="minorHAnsi"/>
          <w:sz w:val="24"/>
          <w:szCs w:val="24"/>
        </w:rPr>
      </w:pPr>
      <w:r w:rsidRPr="0045178B">
        <w:rPr>
          <w:rFonts w:asciiTheme="minorHAnsi" w:hAnsiTheme="minorHAnsi" w:cstheme="minorHAnsi"/>
          <w:sz w:val="24"/>
          <w:szCs w:val="24"/>
        </w:rPr>
        <w:t xml:space="preserve">Ampliación del permiso y la prestación por nacimiento y cuidado de los hijos, en los supuestos de familias monoparentales, para la equiparación con las familias con dos progenitores: no discriminación del menor </w:t>
      </w:r>
    </w:p>
    <w:p w14:paraId="1607D0D9" w14:textId="77777777" w:rsidR="00D84D3B" w:rsidRPr="00D84D3B" w:rsidRDefault="00D84D3B" w:rsidP="004407E4">
      <w:pPr>
        <w:pStyle w:val="NormalInforme"/>
        <w:ind w:firstLine="0"/>
      </w:pPr>
      <w:r w:rsidRPr="00D84D3B">
        <w:t xml:space="preserve">En cuanto a la discriminación de familias monoparentales, el Defensor del Pueblo formuló tres </w:t>
      </w:r>
      <w:hyperlink r:id="rId18" w:history="1">
        <w:r w:rsidRPr="00D84D3B">
          <w:rPr>
            <w:rStyle w:val="Hyperlink"/>
            <w:rFonts w:cstheme="minorHAnsi"/>
            <w:szCs w:val="22"/>
          </w:rPr>
          <w:t>Recomendaciones a la Secretaría de Estado de Empleo y Economía Social, a la Secretaría de Estado de Seguridad Social y Pensiones (SESSP) y a la Secretaría de Estado de Función Pública</w:t>
        </w:r>
      </w:hyperlink>
      <w:r w:rsidRPr="00D84D3B">
        <w:t xml:space="preserve">, a fin de que se impulse una reforma de la normativa de aplicación, con la debida cooperación y coordinación entre estas administraciones, que evite un trato desfavorable en el cuidado de menores en el seno de familias monoparentales. El Defensor del Pueblo sigue recomendando que se avance en las modificaciones normativas que conduzcan a la ampliación de los permisos de maternidad y paternidad, al objeto de permitir su ampliación a 26 semanas en los supuestos de familias monoparentales. </w:t>
      </w:r>
    </w:p>
    <w:p w14:paraId="44E3E382" w14:textId="77777777" w:rsidR="00D84D3B" w:rsidRPr="006E703B" w:rsidRDefault="00D84D3B" w:rsidP="00EB3EA6">
      <w:pPr>
        <w:pStyle w:val="Heading2"/>
        <w:spacing w:before="120" w:after="120"/>
        <w:jc w:val="both"/>
        <w:rPr>
          <w:rFonts w:asciiTheme="minorHAnsi" w:hAnsiTheme="minorHAnsi" w:cstheme="minorHAnsi"/>
          <w:sz w:val="28"/>
          <w:szCs w:val="28"/>
        </w:rPr>
      </w:pPr>
      <w:r w:rsidRPr="006E703B">
        <w:rPr>
          <w:rFonts w:asciiTheme="minorHAnsi" w:hAnsiTheme="minorHAnsi" w:cstheme="minorHAnsi"/>
          <w:sz w:val="28"/>
          <w:szCs w:val="28"/>
        </w:rPr>
        <w:lastRenderedPageBreak/>
        <w:t>Interés superior del menor</w:t>
      </w:r>
    </w:p>
    <w:p w14:paraId="759BC16C" w14:textId="77777777" w:rsidR="00D84D3B" w:rsidRPr="0045178B" w:rsidRDefault="00D84D3B" w:rsidP="00EB3EA6">
      <w:pPr>
        <w:pStyle w:val="Heading3"/>
        <w:spacing w:before="120" w:after="120"/>
        <w:jc w:val="both"/>
        <w:rPr>
          <w:rFonts w:asciiTheme="minorHAnsi" w:hAnsiTheme="minorHAnsi" w:cstheme="minorHAnsi"/>
        </w:rPr>
      </w:pPr>
      <w:r w:rsidRPr="0045178B">
        <w:rPr>
          <w:rFonts w:asciiTheme="minorHAnsi" w:hAnsiTheme="minorHAnsi" w:cstheme="minorHAnsi"/>
        </w:rPr>
        <w:t>Desamparo y separación del grupo familiar</w:t>
      </w:r>
    </w:p>
    <w:p w14:paraId="73584C36" w14:textId="77777777" w:rsidR="00D84D3B" w:rsidRPr="00D84D3B" w:rsidRDefault="00D84D3B" w:rsidP="00EB3EA6">
      <w:pPr>
        <w:pStyle w:val="NormalInforme"/>
        <w:ind w:firstLine="0"/>
      </w:pPr>
      <w:r w:rsidRPr="00D84D3B">
        <w:t xml:space="preserve">Respecto a los casos de separación de los menores de su núcleo familiar, el Defensor del Pueblo adopta una posición </w:t>
      </w:r>
      <w:r w:rsidRPr="00D84D3B">
        <w:rPr>
          <w:i/>
        </w:rPr>
        <w:t>ad cautelam</w:t>
      </w:r>
      <w:r w:rsidRPr="00D84D3B">
        <w:t xml:space="preserve">, encaminada a verificar en cada caso planteado que el interés superior del menor está siendo adecuadamente ponderado en el procedimiento administrativo que le afecta, sin perjuicio de la labor de superior vigilancia encomendada al ministerio fiscal y la que corresponde en todo caso al órgano judicial que haya de conocer la demanda de oposición a la decisión adoptada por la entidad pública de protección de menores. </w:t>
      </w:r>
    </w:p>
    <w:p w14:paraId="1D7096C0" w14:textId="77777777" w:rsidR="00D84D3B" w:rsidRPr="00D84D3B" w:rsidRDefault="00D84D3B" w:rsidP="00EB3EA6">
      <w:pPr>
        <w:pStyle w:val="NormalInforme"/>
      </w:pPr>
      <w:r w:rsidRPr="00D84D3B">
        <w:t>Es pertinente reiterar la conveniencia de abordar, desde el plano legislativo y previa consulta con las instancias pertinentes, un refuerzo de las garantías legales en estos procesos en</w:t>
      </w:r>
      <w:r w:rsidRPr="00D84D3B">
        <w:rPr>
          <w:color w:val="FF0000"/>
        </w:rPr>
        <w:t xml:space="preserve"> </w:t>
      </w:r>
      <w:r w:rsidRPr="00D84D3B">
        <w:t>los que la Administración resuelve una declaración de desamparo con la asunción de tutela del menor, por ministerio de la ley, separándolo de sus progenitores. Ese refuerzo de las garantías podría adoptar la forma de un procedimiento urgente de ratificación judicial.</w:t>
      </w:r>
    </w:p>
    <w:p w14:paraId="03540338" w14:textId="77777777" w:rsidR="00D84D3B" w:rsidRPr="0045178B" w:rsidRDefault="00D84D3B" w:rsidP="004407E4">
      <w:pPr>
        <w:pStyle w:val="Heading2"/>
        <w:spacing w:before="120" w:after="120"/>
        <w:jc w:val="both"/>
        <w:rPr>
          <w:rFonts w:asciiTheme="minorHAnsi" w:hAnsiTheme="minorHAnsi" w:cstheme="minorHAnsi"/>
          <w:sz w:val="24"/>
          <w:szCs w:val="24"/>
        </w:rPr>
      </w:pPr>
      <w:r w:rsidRPr="0045178B">
        <w:rPr>
          <w:rFonts w:asciiTheme="minorHAnsi" w:hAnsiTheme="minorHAnsi" w:cstheme="minorHAnsi"/>
          <w:sz w:val="24"/>
          <w:szCs w:val="24"/>
        </w:rPr>
        <w:t>Prescripción de los delitos contra la libertad cometidos contra menores: reforma del artículo 132 del Código Penal</w:t>
      </w:r>
    </w:p>
    <w:p w14:paraId="490C290D" w14:textId="77777777" w:rsidR="00D84D3B" w:rsidRPr="00D84D3B" w:rsidRDefault="00D84D3B" w:rsidP="004407E4">
      <w:pPr>
        <w:pStyle w:val="NormalInforme"/>
        <w:ind w:firstLine="0"/>
      </w:pPr>
      <w:r w:rsidRPr="00D84D3B">
        <w:t xml:space="preserve">El Defensor del Pueblo </w:t>
      </w:r>
      <w:hyperlink r:id="rId19" w:history="1">
        <w:r w:rsidRPr="00D84D3B">
          <w:rPr>
            <w:rStyle w:val="Hyperlink"/>
            <w:rFonts w:cstheme="minorHAnsi"/>
            <w:szCs w:val="22"/>
          </w:rPr>
          <w:t>recomendó a la Secretaría de Estado de Justicia</w:t>
        </w:r>
      </w:hyperlink>
      <w:r w:rsidRPr="00D84D3B">
        <w:t xml:space="preserve"> que impulsara la reforma del artículo 132 del Código Penal para resolver la contradicción entre los párrafos segundo y tercero del apartado 1, relativa al inicio del cómputo de los plazos de prescripción para los delitos contra la libertad cometidos contra menores. Esta reforma se recomendaba para favorecer la posición procesal de la víctima menor de edad y las partes acusadoras, sin perjuicio de que pudieran ofrecerse soluciones distintas, a tenor de la diferente gravedad de los delitos contra la libertad tipificados en los artículos 163 a 172 </w:t>
      </w:r>
      <w:proofErr w:type="spellStart"/>
      <w:r w:rsidRPr="00D84D3B">
        <w:rPr>
          <w:i/>
        </w:rPr>
        <w:t>quater</w:t>
      </w:r>
      <w:proofErr w:type="spellEnd"/>
      <w:r w:rsidRPr="00D84D3B">
        <w:t xml:space="preserve"> del Código Penal.</w:t>
      </w:r>
    </w:p>
    <w:p w14:paraId="728FA9EB" w14:textId="77777777" w:rsidR="00D84D3B" w:rsidRPr="00D84D3B" w:rsidRDefault="00D84D3B" w:rsidP="00EB3EA6">
      <w:pPr>
        <w:pStyle w:val="NormalInforme"/>
      </w:pPr>
      <w:r w:rsidRPr="00D84D3B">
        <w:t>La recomendación fue aceptada y el párrafo tercero del artículo 132.1 del Código Penal ya establece que, en los delitos de tentativa de homicidio, lesiones graves, maltrato habitual, delitos contra la libertad sexual y trata de seres humanos, cuando la víctima es menor de dieciocho años, el plazo de prescripción comienza a contar desde que la víctima cumple treinta y cinco años, o desde la fecha de su fallecimiento si muere antes de esa edad.</w:t>
      </w:r>
    </w:p>
    <w:p w14:paraId="0C76972F" w14:textId="77777777" w:rsidR="00D84D3B" w:rsidRPr="004407E4" w:rsidRDefault="00D84D3B" w:rsidP="004407E4">
      <w:pPr>
        <w:pStyle w:val="Heading2"/>
        <w:spacing w:before="240" w:after="240"/>
        <w:jc w:val="both"/>
        <w:rPr>
          <w:rFonts w:asciiTheme="minorHAnsi" w:hAnsiTheme="minorHAnsi" w:cstheme="minorHAnsi"/>
          <w:sz w:val="24"/>
          <w:szCs w:val="24"/>
        </w:rPr>
      </w:pPr>
      <w:r w:rsidRPr="004407E4">
        <w:rPr>
          <w:rFonts w:asciiTheme="minorHAnsi" w:hAnsiTheme="minorHAnsi" w:cstheme="minorHAnsi"/>
          <w:sz w:val="24"/>
          <w:szCs w:val="24"/>
        </w:rPr>
        <w:lastRenderedPageBreak/>
        <w:t>Menores extranjeros</w:t>
      </w:r>
    </w:p>
    <w:p w14:paraId="3C928E76" w14:textId="77777777" w:rsidR="00D84D3B" w:rsidRPr="00D84D3B" w:rsidRDefault="00D84D3B" w:rsidP="00EB3EA6">
      <w:pPr>
        <w:pStyle w:val="NormalInforme"/>
        <w:ind w:firstLine="0"/>
      </w:pPr>
      <w:r w:rsidRPr="00D84D3B">
        <w:t xml:space="preserve">El Defensor del Pueblo ha solicitado a las distintas delegaciones y subdelegaciones del Gobierno un mayor énfasis en la consideración del interés superior de los menores en la tramitación de las autorizaciones de residencia solicitadas por estos y por sus progenitores o tutores legales. Se ha reiterado la necesidad de que las oficinas de extranjería observen el </w:t>
      </w:r>
      <w:r w:rsidRPr="00D84D3B">
        <w:rPr>
          <w:i/>
        </w:rPr>
        <w:t xml:space="preserve">favor </w:t>
      </w:r>
      <w:proofErr w:type="spellStart"/>
      <w:r w:rsidRPr="00D84D3B">
        <w:rPr>
          <w:i/>
        </w:rPr>
        <w:t>minoris</w:t>
      </w:r>
      <w:proofErr w:type="spellEnd"/>
      <w:r w:rsidRPr="00D84D3B">
        <w:rPr>
          <w:i/>
        </w:rPr>
        <w:t>,</w:t>
      </w:r>
      <w:r w:rsidRPr="00D84D3B">
        <w:t xml:space="preserve"> al que vienen obligadas las administraciones, en la tramitación de expedientes con menores concernidos, debiendo adoptar </w:t>
      </w:r>
      <w:r w:rsidRPr="00EB3EA6">
        <w:t>en</w:t>
      </w:r>
      <w:r w:rsidRPr="00D84D3B">
        <w:t xml:space="preserve"> las resoluciones dictadas la opción más respetuosa con dicho interés superior de entre todas las posibles.</w:t>
      </w:r>
    </w:p>
    <w:p w14:paraId="5D701B09" w14:textId="77777777" w:rsidR="00D84D3B" w:rsidRPr="00D84D3B" w:rsidRDefault="00D84D3B" w:rsidP="00EB3EA6">
      <w:pPr>
        <w:pStyle w:val="NormalInforme"/>
      </w:pPr>
      <w:r w:rsidRPr="00D84D3B">
        <w:t>En este sentido se han formulado numerosas Sugerencias a las administraciones competentes para la toma en consideración de dicho interés superior del menor en la tramitación de las autorizaciones de residencia.</w:t>
      </w:r>
    </w:p>
    <w:p w14:paraId="30C9FDC4" w14:textId="77777777" w:rsidR="00D84D3B" w:rsidRPr="00D84D3B" w:rsidRDefault="00D84D3B" w:rsidP="00EB3EA6">
      <w:pPr>
        <w:pStyle w:val="NormalInforme"/>
      </w:pPr>
      <w:r w:rsidRPr="00D84D3B">
        <w:t>A instancias del Defensor del Pueblo, el ministerio competente en migraciones, dictó en 2020 instrucciones sobre la flexibilización del requisito de medios suficientes en la tramitación de autorizaciones de residencia por reagrupación familiar, que especifican que, en el caso de menores de edad, habrá de flexibilizarse tanto la cuantía mínima exigida en el momento en el que se efectúa la solicitud, como la perspectiva de mantenimiento de los medios económicos durante el año posterior a la fecha de presentar la solicitud. Asimismo, las instrucciones señalan que en la flexibilización de la cuantía se ponderará el interés superior del menor y las circunstancias del caso concreto, en particular, la relación del extranjero con el menor, su edad, su desarrollo físico y emocional, la intensidad de su relación afectiva con el extranjero o la situación del menor, haciéndose una interpretación favorable a la vida familiar.</w:t>
      </w:r>
    </w:p>
    <w:p w14:paraId="50190558" w14:textId="77777777" w:rsidR="00D84D3B" w:rsidRPr="00D84D3B" w:rsidRDefault="00D84D3B" w:rsidP="00EB3EA6">
      <w:pPr>
        <w:pStyle w:val="NormalInforme"/>
      </w:pPr>
      <w:r w:rsidRPr="00D84D3B">
        <w:rPr>
          <w:rFonts w:eastAsiaTheme="majorEastAsia"/>
          <w:bCs/>
        </w:rPr>
        <w:t>Sin embargo</w:t>
      </w:r>
      <w:r w:rsidRPr="00D84D3B">
        <w:t xml:space="preserve">, la denegación de autorizaciones de residencia por ausencia de medios económicos en casos de reagrupación familiar o por su renovación sigue siendo objeto de quejas. Al respecto, el Defensor del Pueblo formuló una Recomendación para que se tome en consideración, en la reforma del Reglamento de extranjería, la necesidad de flexibilizar en favor de los menores los requisitos, procedencia y mantenimiento de los medios económicos exigidos para la acreditación de la manutención de los hijos menores de residentes extranjeros, sin que puedan ser causa de denegación automática. </w:t>
      </w:r>
    </w:p>
    <w:p w14:paraId="6AEEE333" w14:textId="77777777" w:rsidR="00D84D3B" w:rsidRPr="006E703B" w:rsidRDefault="00D84D3B" w:rsidP="006E703B">
      <w:pPr>
        <w:pStyle w:val="Heading2"/>
        <w:spacing w:before="120" w:after="120"/>
        <w:jc w:val="both"/>
        <w:rPr>
          <w:rFonts w:asciiTheme="minorHAnsi" w:hAnsiTheme="minorHAnsi" w:cstheme="minorHAnsi"/>
          <w:sz w:val="28"/>
          <w:szCs w:val="28"/>
        </w:rPr>
      </w:pPr>
      <w:r w:rsidRPr="006E703B">
        <w:rPr>
          <w:rFonts w:asciiTheme="minorHAnsi" w:hAnsiTheme="minorHAnsi" w:cstheme="minorHAnsi"/>
          <w:sz w:val="28"/>
          <w:szCs w:val="28"/>
        </w:rPr>
        <w:lastRenderedPageBreak/>
        <w:t>Respeto por las opiniones de los niños</w:t>
      </w:r>
    </w:p>
    <w:p w14:paraId="698EFA62" w14:textId="77777777" w:rsidR="00D84D3B" w:rsidRPr="0045178B" w:rsidRDefault="00D84D3B" w:rsidP="00EB3EA6">
      <w:pPr>
        <w:pStyle w:val="Heading3"/>
        <w:spacing w:before="120" w:after="120"/>
        <w:jc w:val="both"/>
        <w:rPr>
          <w:rFonts w:asciiTheme="minorHAnsi" w:hAnsiTheme="minorHAnsi" w:cstheme="minorHAnsi"/>
        </w:rPr>
      </w:pPr>
      <w:r w:rsidRPr="0045178B">
        <w:rPr>
          <w:rFonts w:asciiTheme="minorHAnsi" w:hAnsiTheme="minorHAnsi" w:cstheme="minorHAnsi"/>
        </w:rPr>
        <w:t>Derechos de los menores en los procesos de familia</w:t>
      </w:r>
    </w:p>
    <w:p w14:paraId="2D28804F" w14:textId="77777777" w:rsidR="00D84D3B" w:rsidRPr="00D84D3B" w:rsidRDefault="00D84D3B" w:rsidP="00EB3EA6">
      <w:pPr>
        <w:pStyle w:val="NormalInforme"/>
        <w:ind w:firstLine="0"/>
      </w:pPr>
      <w:r w:rsidRPr="00D84D3B">
        <w:t>El derecho de los niños a ser escuchados, y que sus opiniones se tengan en cuenta, está estrechamente vinculado con otro de los principios fundamentales de la Convención. El Defensor del Pueblo entiende que sería razonable una interpretación extensiva, respecto al criterio mínimo de edad, teniendo en cuenta las innovaciones de la Ley Orgánica 8/2021, de 4 de junio, de protección integral a la infancia y la adolescencia frente a la violencia, para que los menores por debajo de los 12 años puedan ser efectivamente escuchados si tienen madurez suficiente, como permite dicha regla.</w:t>
      </w:r>
    </w:p>
    <w:p w14:paraId="05CF1019" w14:textId="77777777" w:rsidR="00D84D3B" w:rsidRPr="00D84D3B" w:rsidRDefault="00D84D3B" w:rsidP="00EB3EA6">
      <w:pPr>
        <w:pStyle w:val="Heading1"/>
        <w:spacing w:after="240"/>
        <w:jc w:val="both"/>
        <w:rPr>
          <w:rFonts w:asciiTheme="minorHAnsi" w:hAnsiTheme="minorHAnsi" w:cstheme="minorHAnsi"/>
          <w:b/>
          <w:sz w:val="28"/>
          <w:szCs w:val="28"/>
        </w:rPr>
      </w:pPr>
      <w:r w:rsidRPr="00D84D3B">
        <w:rPr>
          <w:rFonts w:asciiTheme="minorHAnsi" w:hAnsiTheme="minorHAnsi" w:cstheme="minorHAnsi"/>
          <w:b/>
          <w:sz w:val="28"/>
          <w:szCs w:val="28"/>
        </w:rPr>
        <w:t>III. Violencia contra los niños</w:t>
      </w:r>
    </w:p>
    <w:p w14:paraId="73A947CD" w14:textId="77777777" w:rsidR="00D84D3B" w:rsidRPr="006E703B" w:rsidRDefault="00D84D3B" w:rsidP="00EB3EA6">
      <w:pPr>
        <w:pStyle w:val="Heading2"/>
        <w:spacing w:before="120" w:after="120"/>
        <w:jc w:val="both"/>
        <w:rPr>
          <w:rFonts w:asciiTheme="minorHAnsi" w:hAnsiTheme="minorHAnsi" w:cstheme="minorHAnsi"/>
          <w:sz w:val="28"/>
          <w:szCs w:val="28"/>
        </w:rPr>
      </w:pPr>
      <w:r w:rsidRPr="006E703B">
        <w:rPr>
          <w:rFonts w:asciiTheme="minorHAnsi" w:hAnsiTheme="minorHAnsi" w:cstheme="minorHAnsi"/>
          <w:sz w:val="28"/>
          <w:szCs w:val="28"/>
        </w:rPr>
        <w:t>Derecho del niño a no ser objeto de ninguna forma de violencia</w:t>
      </w:r>
    </w:p>
    <w:p w14:paraId="40347092" w14:textId="77777777" w:rsidR="00D84D3B" w:rsidRPr="0045178B" w:rsidRDefault="00D84D3B" w:rsidP="00EB3EA6">
      <w:pPr>
        <w:pStyle w:val="Heading3"/>
        <w:spacing w:before="120" w:after="120"/>
        <w:jc w:val="both"/>
        <w:rPr>
          <w:rFonts w:asciiTheme="minorHAnsi" w:hAnsiTheme="minorHAnsi" w:cstheme="minorHAnsi"/>
        </w:rPr>
      </w:pPr>
      <w:r w:rsidRPr="0045178B">
        <w:rPr>
          <w:rFonts w:asciiTheme="minorHAnsi" w:hAnsiTheme="minorHAnsi" w:cstheme="minorHAnsi"/>
        </w:rPr>
        <w:t>Acoso escolar</w:t>
      </w:r>
    </w:p>
    <w:p w14:paraId="36CF5680" w14:textId="77777777" w:rsidR="00D84D3B" w:rsidRPr="00D84D3B" w:rsidRDefault="00D84D3B" w:rsidP="004407E4">
      <w:pPr>
        <w:pStyle w:val="NormalInforme"/>
        <w:ind w:firstLine="0"/>
      </w:pPr>
      <w:r w:rsidRPr="00D84D3B">
        <w:t>Al Defensor del Pueblo le preocupa que tanto las víctimas como los agresores en casos de acoso escolar sean cada vez más jóvenes, así como la naturaleza de las conductas de acoso.</w:t>
      </w:r>
    </w:p>
    <w:p w14:paraId="4B362E96" w14:textId="77777777" w:rsidR="00D84D3B" w:rsidRPr="00D84D3B" w:rsidRDefault="00D84D3B" w:rsidP="00EB3EA6">
      <w:pPr>
        <w:pStyle w:val="NormalInforme"/>
      </w:pPr>
      <w:r w:rsidRPr="00D84D3B">
        <w:t>Por ello, considera que la primera línea de acción para enfrentar la violencia escolar debe ser asumida por los docentes en colaboración con las familias, y que el enfoque principal debe ser la prevención. Una vez detectado el acoso, las respuestas deben adoptarse dentro del ámbito educativo y familiar.</w:t>
      </w:r>
    </w:p>
    <w:p w14:paraId="78A61245" w14:textId="77777777" w:rsidR="00D84D3B" w:rsidRPr="00D84D3B" w:rsidRDefault="00D84D3B" w:rsidP="00EB3EA6">
      <w:pPr>
        <w:pStyle w:val="NormalInforme"/>
      </w:pPr>
      <w:r w:rsidRPr="00D84D3B">
        <w:t>En este contexto de medidas preventivas, el Defensor del Pueblo solicita a las Administraciones educativas que pongan en marcha de manera efectiva la figura del coordinador o coordinadora de bienestar y protección. Esta figura tiene como objetivo reforzar la protección que los docentes deben proporcionar en todos los centros educativos, independientemente de su titularidad. El coordinador o coordinadora debe garantizar el correcto funcionamiento y maximizar los resultados de los protocolos de actuación contra los diferentes tipos de abuso y maltrato.</w:t>
      </w:r>
    </w:p>
    <w:p w14:paraId="1617E2D8" w14:textId="77777777" w:rsidR="00D84D3B" w:rsidRPr="0045178B" w:rsidRDefault="00D84D3B" w:rsidP="00EB3EA6">
      <w:pPr>
        <w:pStyle w:val="Heading3"/>
        <w:spacing w:before="120" w:after="120"/>
        <w:jc w:val="both"/>
        <w:rPr>
          <w:rFonts w:asciiTheme="minorHAnsi" w:hAnsiTheme="minorHAnsi" w:cstheme="minorHAnsi"/>
        </w:rPr>
      </w:pPr>
      <w:r w:rsidRPr="0045178B">
        <w:rPr>
          <w:rFonts w:asciiTheme="minorHAnsi" w:hAnsiTheme="minorHAnsi" w:cstheme="minorHAnsi"/>
        </w:rPr>
        <w:t>Víctimas de violencia de género en la jurisdicción civil y de familia</w:t>
      </w:r>
    </w:p>
    <w:p w14:paraId="2D664306" w14:textId="77777777" w:rsidR="00D84D3B" w:rsidRPr="00D84D3B" w:rsidRDefault="00D84D3B" w:rsidP="00EB3EA6">
      <w:pPr>
        <w:pStyle w:val="NormalInforme"/>
        <w:ind w:firstLine="0"/>
      </w:pPr>
      <w:r w:rsidRPr="00D84D3B">
        <w:t xml:space="preserve">Se deben reforzar los juzgados de familia y mejorar la coordinación con los de violencia de género, así como con los servicios sociales concernidos dependientes de los </w:t>
      </w:r>
      <w:r w:rsidRPr="00D84D3B">
        <w:lastRenderedPageBreak/>
        <w:t>ayuntamientos y las comunidades autónomas, destacando especialmente los puntos de encuentro familiar y los equipos de valoración psicosocial, para que el régimen de visitas, entre otras cuestiones, se lleven a cabo con la mejor garantía.</w:t>
      </w:r>
    </w:p>
    <w:p w14:paraId="47260CC1" w14:textId="77777777" w:rsidR="00D84D3B" w:rsidRPr="0045178B" w:rsidRDefault="00D84D3B" w:rsidP="00EB3EA6">
      <w:pPr>
        <w:pStyle w:val="Heading3"/>
        <w:spacing w:before="120" w:after="120"/>
        <w:jc w:val="both"/>
        <w:rPr>
          <w:rFonts w:asciiTheme="minorHAnsi" w:hAnsiTheme="minorHAnsi" w:cstheme="minorHAnsi"/>
        </w:rPr>
      </w:pPr>
      <w:r w:rsidRPr="0045178B">
        <w:rPr>
          <w:rFonts w:asciiTheme="minorHAnsi" w:hAnsiTheme="minorHAnsi" w:cstheme="minorHAnsi"/>
        </w:rPr>
        <w:t>Sistemas de detección y valoración del riesgo específico para menores</w:t>
      </w:r>
    </w:p>
    <w:p w14:paraId="19C41E35" w14:textId="77777777" w:rsidR="00D84D3B" w:rsidRPr="00D84D3B" w:rsidRDefault="00D84D3B" w:rsidP="00EB3EA6">
      <w:pPr>
        <w:pStyle w:val="NormalInforme"/>
        <w:ind w:firstLine="0"/>
      </w:pPr>
      <w:r w:rsidRPr="00D84D3B">
        <w:t>Es crucial continuar trabajando activamente para prevenir los riesgos que afectan a los menores y mejorar los mecanismos de detección de dichos riesgos. La experiencia ha demostrado que los casos de violencia de género son muy diversos y complejos, lo que requiere un enfoque personalizado y adaptado a cada situación.</w:t>
      </w:r>
    </w:p>
    <w:p w14:paraId="13C7A5C8" w14:textId="77777777" w:rsidR="00D84D3B" w:rsidRPr="00D84D3B" w:rsidRDefault="00D84D3B" w:rsidP="00EB3EA6">
      <w:pPr>
        <w:pStyle w:val="NormalInforme"/>
      </w:pPr>
      <w:r w:rsidRPr="00D84D3B">
        <w:t xml:space="preserve">Por ello, el Defensor del Pueblo </w:t>
      </w:r>
      <w:hyperlink r:id="rId20" w:history="1">
        <w:r w:rsidRPr="00D84D3B">
          <w:rPr>
            <w:rStyle w:val="Hyperlink"/>
            <w:rFonts w:cstheme="minorHAnsi"/>
            <w:szCs w:val="22"/>
          </w:rPr>
          <w:t>recomendó</w:t>
        </w:r>
      </w:hyperlink>
      <w:r w:rsidRPr="00D84D3B">
        <w:t xml:space="preserve"> que se desarrollen y fortalezcan sistemas específicos de evaluación del riesgo que permitan identificar de manera precisa las diferentes situaciones de vulnerabilidad en las que se puedan encontrar los menores. Estos sistemas deben ser capaces de proporcionar respuestas adecuadas y efectivas, considerando las particularidades de cada caso y garantizando la protección y el bienestar de los menores en todo momento.</w:t>
      </w:r>
    </w:p>
    <w:p w14:paraId="6D2FAAEB" w14:textId="77777777" w:rsidR="00D84D3B" w:rsidRPr="00D84D3B" w:rsidRDefault="00D84D3B" w:rsidP="00EB3EA6">
      <w:pPr>
        <w:pStyle w:val="NormalInforme"/>
        <w:rPr>
          <w:lang w:val="es-ES"/>
        </w:rPr>
      </w:pPr>
      <w:r w:rsidRPr="00D84D3B">
        <w:t xml:space="preserve">Desde esta institución se entiende que la Administración debe seguir implementando esfuerzos para avanzar en la institucionalización del Pacto de Estado de 2017 contra la violencia de género, a fin de erradicar todas las formas de violencia contra las mujeres, no solo la violencia en el ámbito de la pareja o expareja, sino también otro tipo de violencias, como la sexual o la violencia vicaria. En este sentido, el Defensor del Pueblo recomendó la mejora de la coordinación con los jueces y la </w:t>
      </w:r>
      <w:proofErr w:type="spellStart"/>
      <w:r w:rsidRPr="00D84D3B">
        <w:t>interoperatividad</w:t>
      </w:r>
      <w:proofErr w:type="spellEnd"/>
      <w:r w:rsidRPr="00D84D3B">
        <w:t xml:space="preserve"> del ministerio fiscal en casos de violencia de género, fomentando la utilización de los instrumentos técnicos y registros oficiales del Ministerio de Justicia en los procesos de familia, y antes de dictar la resolución correspondiente para obtener una visión integral de los casos de violencia de género, especialmente cuando hay menores.</w:t>
      </w:r>
    </w:p>
    <w:p w14:paraId="58BCDB3A" w14:textId="77777777" w:rsidR="00D84D3B" w:rsidRPr="006E703B" w:rsidRDefault="00D84D3B" w:rsidP="00EB3EA6">
      <w:pPr>
        <w:pStyle w:val="Heading2"/>
        <w:spacing w:before="120" w:after="120"/>
        <w:jc w:val="both"/>
        <w:rPr>
          <w:rFonts w:asciiTheme="minorHAnsi" w:hAnsiTheme="minorHAnsi" w:cstheme="minorHAnsi"/>
          <w:sz w:val="28"/>
          <w:szCs w:val="28"/>
        </w:rPr>
      </w:pPr>
      <w:r w:rsidRPr="006E703B">
        <w:rPr>
          <w:rFonts w:asciiTheme="minorHAnsi" w:hAnsiTheme="minorHAnsi" w:cstheme="minorHAnsi"/>
          <w:sz w:val="28"/>
          <w:szCs w:val="28"/>
        </w:rPr>
        <w:t>Explotación y abusos sexuales</w:t>
      </w:r>
    </w:p>
    <w:p w14:paraId="60332299" w14:textId="77777777" w:rsidR="00D84D3B" w:rsidRPr="0045178B" w:rsidRDefault="00D84D3B" w:rsidP="00EB3EA6">
      <w:pPr>
        <w:pStyle w:val="Heading3"/>
        <w:spacing w:before="120" w:after="120"/>
        <w:jc w:val="both"/>
        <w:rPr>
          <w:rFonts w:asciiTheme="minorHAnsi" w:hAnsiTheme="minorHAnsi" w:cstheme="minorHAnsi"/>
        </w:rPr>
      </w:pPr>
      <w:r w:rsidRPr="0045178B">
        <w:rPr>
          <w:rFonts w:asciiTheme="minorHAnsi" w:hAnsiTheme="minorHAnsi" w:cstheme="minorHAnsi"/>
        </w:rPr>
        <w:t>Menores en régimen de protección: prevención y detección de abuso y explotación sexual</w:t>
      </w:r>
    </w:p>
    <w:p w14:paraId="24C34251" w14:textId="77777777" w:rsidR="00D84D3B" w:rsidRPr="00D84D3B" w:rsidRDefault="00D84D3B" w:rsidP="00EB3EA6">
      <w:pPr>
        <w:pStyle w:val="NormalInforme"/>
        <w:ind w:firstLine="0"/>
      </w:pPr>
      <w:r w:rsidRPr="00D84D3B">
        <w:t>Al Defensor del Pueblo le preocupan los posibles casos de abusos que puedan estar sufriendo menores tutelados.</w:t>
      </w:r>
    </w:p>
    <w:p w14:paraId="71D3E521" w14:textId="77777777" w:rsidR="00D84D3B" w:rsidRPr="00D84D3B" w:rsidRDefault="00D84D3B" w:rsidP="00EB3EA6">
      <w:pPr>
        <w:pStyle w:val="NormalInforme"/>
      </w:pPr>
      <w:r w:rsidRPr="00D84D3B">
        <w:lastRenderedPageBreak/>
        <w:t>Hay que destacar que la detección de los casos se produce, en un elevado número, por los educadores de los centros y gracias a la confianza que se genera entre estos y el menor.</w:t>
      </w:r>
    </w:p>
    <w:p w14:paraId="690A1CAB" w14:textId="77777777" w:rsidR="00D84D3B" w:rsidRPr="00D84D3B" w:rsidRDefault="00D84D3B" w:rsidP="00EB3EA6">
      <w:pPr>
        <w:pStyle w:val="NormalInforme"/>
      </w:pPr>
      <w:r w:rsidRPr="00D84D3B">
        <w:t>El Defensor del Pueblo ha reflejado en su informe anual correspondiente a 2023</w:t>
      </w:r>
      <w:bookmarkStart w:id="2" w:name="_Hlk170981650"/>
      <w:r w:rsidRPr="00D84D3B">
        <w:rPr>
          <w:rStyle w:val="FootnoteReference"/>
          <w:rFonts w:cstheme="minorHAnsi"/>
          <w:szCs w:val="22"/>
        </w:rPr>
        <w:footnoteReference w:id="1"/>
      </w:r>
      <w:r w:rsidRPr="00D84D3B">
        <w:t xml:space="preserve"> </w:t>
      </w:r>
      <w:bookmarkEnd w:id="2"/>
      <w:r w:rsidRPr="00D84D3B">
        <w:t>que cada Administración debe disponer de una información sistematizada y lo más completa posible sobre la realidad a la que se enfrentan estos menores, así como diseñar protocolos de prevención y detección de abuso</w:t>
      </w:r>
      <w:r w:rsidRPr="00D84D3B">
        <w:rPr>
          <w:rStyle w:val="FootnoteReference"/>
          <w:rFonts w:cstheme="minorHAnsi"/>
          <w:szCs w:val="22"/>
        </w:rPr>
        <w:footnoteReference w:id="2"/>
      </w:r>
      <w:r w:rsidRPr="00D84D3B">
        <w:t>. El Defensor del Pueblo continúa trabajando para conocer el desarrollo y los resultados de nuevas medidas o herramientas que están siendo implementadas por las distintas Administraciones públicas.</w:t>
      </w:r>
    </w:p>
    <w:p w14:paraId="43FACBB9" w14:textId="77777777" w:rsidR="00D84D3B" w:rsidRPr="00D84D3B" w:rsidRDefault="00D84D3B" w:rsidP="00EB3EA6">
      <w:pPr>
        <w:pStyle w:val="Heading1"/>
        <w:spacing w:after="240"/>
        <w:jc w:val="both"/>
        <w:rPr>
          <w:rFonts w:asciiTheme="minorHAnsi" w:hAnsiTheme="minorHAnsi" w:cstheme="minorHAnsi"/>
          <w:b/>
          <w:sz w:val="28"/>
          <w:szCs w:val="28"/>
        </w:rPr>
      </w:pPr>
      <w:r w:rsidRPr="00D84D3B">
        <w:rPr>
          <w:rFonts w:asciiTheme="minorHAnsi" w:hAnsiTheme="minorHAnsi" w:cstheme="minorHAnsi"/>
          <w:b/>
          <w:sz w:val="28"/>
          <w:szCs w:val="28"/>
        </w:rPr>
        <w:t>IV. Entorno familiar y modalidades alternativas de cuidado</w:t>
      </w:r>
    </w:p>
    <w:p w14:paraId="07665EDD" w14:textId="77777777" w:rsidR="00D84D3B" w:rsidRPr="006E703B" w:rsidRDefault="00D84D3B" w:rsidP="00EB3EA6">
      <w:pPr>
        <w:pStyle w:val="Heading2"/>
        <w:spacing w:before="120" w:after="120"/>
        <w:jc w:val="both"/>
        <w:rPr>
          <w:rFonts w:asciiTheme="minorHAnsi" w:hAnsiTheme="minorHAnsi" w:cstheme="minorHAnsi"/>
          <w:sz w:val="28"/>
          <w:szCs w:val="28"/>
        </w:rPr>
      </w:pPr>
      <w:bookmarkStart w:id="3" w:name="_Hlk170290805"/>
      <w:r w:rsidRPr="006E703B">
        <w:rPr>
          <w:rFonts w:asciiTheme="minorHAnsi" w:hAnsiTheme="minorHAnsi" w:cstheme="minorHAnsi"/>
          <w:sz w:val="28"/>
          <w:szCs w:val="28"/>
        </w:rPr>
        <w:t>Entorno familiar</w:t>
      </w:r>
    </w:p>
    <w:p w14:paraId="7D51F1EA" w14:textId="77777777" w:rsidR="00D84D3B" w:rsidRPr="0045178B" w:rsidRDefault="00D84D3B" w:rsidP="00EB3EA6">
      <w:pPr>
        <w:pStyle w:val="Heading3"/>
        <w:spacing w:before="120" w:after="120"/>
        <w:jc w:val="both"/>
        <w:rPr>
          <w:rFonts w:asciiTheme="minorHAnsi" w:hAnsiTheme="minorHAnsi" w:cstheme="minorHAnsi"/>
        </w:rPr>
      </w:pPr>
      <w:r w:rsidRPr="0045178B">
        <w:rPr>
          <w:rFonts w:asciiTheme="minorHAnsi" w:hAnsiTheme="minorHAnsi" w:cstheme="minorHAnsi"/>
        </w:rPr>
        <w:t>Servicios de coordinación de parentalidad</w:t>
      </w:r>
    </w:p>
    <w:p w14:paraId="4BBA8F99" w14:textId="77777777" w:rsidR="00D84D3B" w:rsidRPr="00D84D3B" w:rsidRDefault="00D84D3B" w:rsidP="00EB3EA6">
      <w:pPr>
        <w:pStyle w:val="NormalInforme"/>
        <w:ind w:firstLine="0"/>
      </w:pPr>
      <w:r w:rsidRPr="00D84D3B">
        <w:t>Sobre este asunto, el Ministerio de Justicia elaboró un detallado informe para el Defensor del Pueblo, en el que concluye que estos servicios pueden ser indicados por los jueces en sus resoluciones para evaluar una situación familiar sometida a proceso judicial, o para supervisar la evolución de las medidas adoptadas judicialmente en casos difíciles. Se trata de unos servicios amparados por el ordenamiento, aunque no existe una legislación estatal o autonómica que regule un régimen de su funcionamiento mínimo. Por lo tanto, su utilización es una decisión que corresponde a las genéricas atribuciones judiciales de protección de menores.</w:t>
      </w:r>
    </w:p>
    <w:p w14:paraId="4F23C882" w14:textId="77777777" w:rsidR="00D84D3B" w:rsidRPr="00D84D3B" w:rsidRDefault="00D84D3B" w:rsidP="00EB3EA6">
      <w:pPr>
        <w:pStyle w:val="NormalInforme"/>
      </w:pPr>
      <w:r w:rsidRPr="00D84D3B">
        <w:t xml:space="preserve">El Defensor del Pueblo </w:t>
      </w:r>
      <w:hyperlink r:id="rId21" w:history="1">
        <w:r w:rsidRPr="00D84D3B">
          <w:rPr>
            <w:rStyle w:val="Hyperlink"/>
            <w:rFonts w:cstheme="minorHAnsi"/>
            <w:szCs w:val="22"/>
          </w:rPr>
          <w:t>recomendó al Ministerio de Justicia</w:t>
        </w:r>
      </w:hyperlink>
      <w:r w:rsidRPr="00D84D3B">
        <w:t xml:space="preserve"> que se regule el régimen común y mínimo de estos servicios de coordinación de parentalidad, y el régimen jurídico de los profesionales que los prestan, cuando son utilizados por los jueces para determinar las medidas aplicables en los casos de los que conocen o para </w:t>
      </w:r>
      <w:r w:rsidRPr="00D84D3B">
        <w:lastRenderedPageBreak/>
        <w:t xml:space="preserve">supervisar las medidas adoptadas judicialmente en casos conflictivos. Esta </w:t>
      </w:r>
      <w:r w:rsidR="00FF512D" w:rsidRPr="00D84D3B">
        <w:t>Reco</w:t>
      </w:r>
      <w:r w:rsidR="00FF512D">
        <w:t>m</w:t>
      </w:r>
      <w:r w:rsidR="00FF512D" w:rsidRPr="00D84D3B">
        <w:t>endación</w:t>
      </w:r>
      <w:r w:rsidRPr="00D84D3B">
        <w:t xml:space="preserve"> fue aceptada.</w:t>
      </w:r>
    </w:p>
    <w:bookmarkEnd w:id="3"/>
    <w:p w14:paraId="2ACFFA98" w14:textId="77777777" w:rsidR="00D84D3B" w:rsidRPr="0045178B" w:rsidRDefault="00D84D3B" w:rsidP="00EB3EA6">
      <w:pPr>
        <w:pStyle w:val="Heading3"/>
        <w:spacing w:before="120" w:after="120"/>
        <w:jc w:val="both"/>
        <w:rPr>
          <w:rFonts w:asciiTheme="minorHAnsi" w:hAnsiTheme="minorHAnsi" w:cstheme="minorHAnsi"/>
        </w:rPr>
      </w:pPr>
      <w:r w:rsidRPr="0045178B">
        <w:rPr>
          <w:rFonts w:asciiTheme="minorHAnsi" w:hAnsiTheme="minorHAnsi" w:cstheme="minorHAnsi"/>
        </w:rPr>
        <w:t>Madres en prisión</w:t>
      </w:r>
    </w:p>
    <w:p w14:paraId="07CD6B1E" w14:textId="77777777" w:rsidR="00D84D3B" w:rsidRPr="00D84D3B" w:rsidRDefault="00D84D3B" w:rsidP="00EB3EA6">
      <w:pPr>
        <w:pStyle w:val="NormalInforme"/>
        <w:ind w:firstLine="0"/>
      </w:pPr>
      <w:r w:rsidRPr="00D84D3B">
        <w:t xml:space="preserve">El Defensor del Pueblo formuló una </w:t>
      </w:r>
      <w:hyperlink r:id="rId22" w:history="1">
        <w:r w:rsidRPr="00D84D3B">
          <w:rPr>
            <w:rStyle w:val="Hyperlink"/>
            <w:rFonts w:cstheme="minorHAnsi"/>
            <w:szCs w:val="22"/>
          </w:rPr>
          <w:t>Recomendación a la Dirección General de la Policía</w:t>
        </w:r>
      </w:hyperlink>
      <w:r w:rsidRPr="00D84D3B">
        <w:t xml:space="preserve"> relativa a la necesidad de evitar la presencia policial durante el parto de las mujeres privadas de libertad procedentes de centros penitenciarios y que se encuentran hospitalizadas, habida cuenta de la ausencia de peligro para la seguridad y orden del centro médico durante los momentos del alumbramiento. </w:t>
      </w:r>
    </w:p>
    <w:p w14:paraId="6E9325D4" w14:textId="77777777" w:rsidR="00D84D3B" w:rsidRPr="00D84D3B" w:rsidRDefault="00D84D3B" w:rsidP="001231CC">
      <w:pPr>
        <w:pStyle w:val="NormalInforme"/>
      </w:pPr>
      <w:r w:rsidRPr="00D84D3B">
        <w:t>En su respuesta, la Administración concernida no aceptó la recomendación, aduciendo que la custodia policial preceptiva se hace desde una habitación anexa al paritorio y nunca en la misma sala de partos. Por otra parte, la Secretaría General de Instituciones Penitenciarias aceptó la Recomendación del Mecanismo Nacional de Prevención (MNP) de elaborar un protocolo de atención a las mujeres embarazadas.</w:t>
      </w:r>
    </w:p>
    <w:p w14:paraId="1E1F1E3E" w14:textId="77777777" w:rsidR="00D84D3B" w:rsidRPr="00D84D3B" w:rsidRDefault="00D84D3B" w:rsidP="001231CC">
      <w:pPr>
        <w:pStyle w:val="NormalInforme"/>
      </w:pPr>
      <w:r w:rsidRPr="00D84D3B">
        <w:t xml:space="preserve">Sobre los menores de entre 0 y 3 años que conviven con sus madres en prisión, si bien el Defensor del Pueblo considera que se cumplen las Recomendaciones de esta institución, se formuló otra en 2020, para que las medidas de atención que se adoptan en los centros penitenciarios donde existen módulos de madres y familiares, con los menores que han de permanecer en prisión mientras sus madres son excarceladas para asistencia a unidades hospitalarias </w:t>
      </w:r>
      <w:r w:rsidR="00FF512D" w:rsidRPr="00D84D3B">
        <w:t>extra penitenciarias</w:t>
      </w:r>
      <w:r w:rsidRPr="00D84D3B">
        <w:t xml:space="preserve"> o por otros motivos, se plasmen por escrito en una norma de régimen interno para conocimiento de todos los implicados. Se trata de reforzar la claridad y seguridad jurídica en el supuesto específico a que se refiere.</w:t>
      </w:r>
    </w:p>
    <w:p w14:paraId="2AD7FD7A" w14:textId="77777777" w:rsidR="00D84D3B" w:rsidRPr="0045178B" w:rsidRDefault="00D84D3B" w:rsidP="001231CC">
      <w:pPr>
        <w:pStyle w:val="Heading3"/>
        <w:spacing w:before="120" w:after="120"/>
        <w:rPr>
          <w:rFonts w:asciiTheme="minorHAnsi" w:hAnsiTheme="minorHAnsi" w:cstheme="minorHAnsi"/>
        </w:rPr>
      </w:pPr>
      <w:r w:rsidRPr="0045178B">
        <w:rPr>
          <w:rFonts w:asciiTheme="minorHAnsi" w:hAnsiTheme="minorHAnsi" w:cstheme="minorHAnsi"/>
        </w:rPr>
        <w:t>Pago de las pensiones alimenticias</w:t>
      </w:r>
    </w:p>
    <w:p w14:paraId="3B23F9B4" w14:textId="77777777" w:rsidR="00D84D3B" w:rsidRPr="00D84D3B" w:rsidRDefault="00D84D3B" w:rsidP="004E0E8D">
      <w:pPr>
        <w:pStyle w:val="NormalInforme"/>
        <w:ind w:firstLine="0"/>
      </w:pPr>
      <w:r w:rsidRPr="00D84D3B">
        <w:t xml:space="preserve">El Defensor del Pueblo también está trabajando para mejorar la protección de los niños y niñas en los procesos civiles de familia. Se ha pedido que el Estado refuerce los sistemas de ejecución en el caso de impago de la pensión de alimentos de los hijos, o de la pensión compensatoria y que se adopten medidas para que los letrados de la Administración de Justicia puedan investigar el patrimonio de los deudores, motiven los decretos de embargo, y puedan agilizar el proceso de detección de bienes del deudor. </w:t>
      </w:r>
    </w:p>
    <w:p w14:paraId="6E2F33B2" w14:textId="77777777" w:rsidR="00D84D3B" w:rsidRPr="00D84D3B" w:rsidRDefault="00D84D3B" w:rsidP="004E0E8D">
      <w:pPr>
        <w:pStyle w:val="NormalInforme"/>
      </w:pPr>
      <w:r w:rsidRPr="00D84D3B">
        <w:t xml:space="preserve">El resultado de este trabajo está contemplado en la disposición adicional de la Ley Orgánica 10/2022, de garantía integral de la libertad sexual, que mejora el Fondo de </w:t>
      </w:r>
      <w:r w:rsidRPr="00D84D3B">
        <w:lastRenderedPageBreak/>
        <w:t>Garantía del Pago de Alimentos, para ampliar la cobertura en caso de impagos de pensiones a los hijos; y en la modificación del Real Decreto 1618/2007, de 7 de diciembre, sobre organización y funcionamiento del Fondo de Garantía del Pago de Alimentos, facilitando su accesibilidad y su eficacia, y mejorando la dotación económica, para incluir expresamente a las víctimas de violencia de género. Algunas normativas autonómicas también han sido reformadas en este sentido, como la de Cataluña, Valencia, Navarra o Canarias.</w:t>
      </w:r>
    </w:p>
    <w:p w14:paraId="23DF348B" w14:textId="77777777" w:rsidR="00D84D3B" w:rsidRPr="006E703B" w:rsidRDefault="00D84D3B" w:rsidP="006E703B">
      <w:pPr>
        <w:pStyle w:val="Heading2"/>
        <w:spacing w:before="120" w:after="120"/>
        <w:jc w:val="both"/>
        <w:rPr>
          <w:rFonts w:asciiTheme="minorHAnsi" w:hAnsiTheme="minorHAnsi" w:cstheme="minorHAnsi"/>
          <w:sz w:val="28"/>
          <w:szCs w:val="28"/>
        </w:rPr>
      </w:pPr>
      <w:bookmarkStart w:id="4" w:name="_Hlk170290845"/>
      <w:r w:rsidRPr="006E703B">
        <w:rPr>
          <w:rFonts w:asciiTheme="minorHAnsi" w:hAnsiTheme="minorHAnsi" w:cstheme="minorHAnsi"/>
          <w:sz w:val="28"/>
          <w:szCs w:val="28"/>
        </w:rPr>
        <w:t>Niños privados de un entorno familiar</w:t>
      </w:r>
    </w:p>
    <w:p w14:paraId="44EF7C28" w14:textId="77777777" w:rsidR="00D84D3B" w:rsidRPr="0045178B" w:rsidRDefault="00D84D3B" w:rsidP="004E0E8D">
      <w:pPr>
        <w:pStyle w:val="Heading3"/>
        <w:spacing w:before="120" w:after="120"/>
        <w:jc w:val="both"/>
        <w:rPr>
          <w:rFonts w:asciiTheme="minorHAnsi" w:hAnsiTheme="minorHAnsi" w:cstheme="minorHAnsi"/>
        </w:rPr>
      </w:pPr>
      <w:r w:rsidRPr="0045178B">
        <w:rPr>
          <w:rFonts w:asciiTheme="minorHAnsi" w:hAnsiTheme="minorHAnsi" w:cstheme="minorHAnsi"/>
        </w:rPr>
        <w:t>Equipos psicosociales de los juzgados de familia</w:t>
      </w:r>
    </w:p>
    <w:p w14:paraId="327AE532" w14:textId="77777777" w:rsidR="00D84D3B" w:rsidRPr="00D84D3B" w:rsidRDefault="00D84D3B" w:rsidP="004E0E8D">
      <w:pPr>
        <w:pStyle w:val="NormalInforme"/>
        <w:ind w:firstLine="0"/>
      </w:pPr>
      <w:r w:rsidRPr="00D84D3B">
        <w:t xml:space="preserve">El Defensor del Pueblo </w:t>
      </w:r>
      <w:hyperlink r:id="rId23" w:history="1">
        <w:r w:rsidRPr="00D84D3B">
          <w:rPr>
            <w:rStyle w:val="Hyperlink"/>
            <w:rFonts w:cstheme="minorHAnsi"/>
            <w:szCs w:val="22"/>
          </w:rPr>
          <w:t>recomendó al Ministerio de Justicia</w:t>
        </w:r>
      </w:hyperlink>
      <w:r w:rsidRPr="00D84D3B">
        <w:t xml:space="preserve"> que en la guía de buenas prácticas para la intervención de los equipos psicosociales en los juzgados de familia de los institutos de medicina legal, o en el protocolo de actuación que se elabore por parte del Ministerio de Justicia, se regulen los procedimientos para realizar las funciones técnicas de los mencionados institutos, incluyendo los criterios científicos que se decidan para elaborar y emitir los informes psicológicos periciales sobre custodia y régimen de visitas de menores. Igualmente, que esos criterios científicos tomen en consideración y valoren el marco de referencia común establecido por los colegios de psicólogos en las guías de buenas prácticas que ya se están aplicando en el ámbito privado y que establecen unas garantías mínimas necesarias para todas las partes afectadas por este tipo de informes.</w:t>
      </w:r>
    </w:p>
    <w:bookmarkEnd w:id="4"/>
    <w:p w14:paraId="2FB780C3" w14:textId="77777777" w:rsidR="00D84D3B" w:rsidRPr="0045178B" w:rsidRDefault="00D84D3B" w:rsidP="004E0E8D">
      <w:pPr>
        <w:pStyle w:val="Heading3"/>
        <w:spacing w:before="120" w:after="120"/>
        <w:jc w:val="both"/>
        <w:rPr>
          <w:rFonts w:asciiTheme="minorHAnsi" w:hAnsiTheme="minorHAnsi" w:cstheme="minorHAnsi"/>
        </w:rPr>
      </w:pPr>
      <w:r w:rsidRPr="0045178B">
        <w:rPr>
          <w:rFonts w:asciiTheme="minorHAnsi" w:hAnsiTheme="minorHAnsi" w:cstheme="minorHAnsi"/>
        </w:rPr>
        <w:t>Acogimientos familiares</w:t>
      </w:r>
    </w:p>
    <w:p w14:paraId="2DD38B43" w14:textId="77777777" w:rsidR="00D84D3B" w:rsidRPr="00D84D3B" w:rsidRDefault="00D84D3B" w:rsidP="004E0E8D">
      <w:pPr>
        <w:pStyle w:val="NormalInforme"/>
        <w:ind w:firstLine="0"/>
      </w:pPr>
      <w:r w:rsidRPr="00D84D3B">
        <w:t xml:space="preserve">Sobre esta cuestión, el Defensor del Pueblo llevó a cabo una amplia actuación con todas </w:t>
      </w:r>
      <w:hyperlink r:id="rId24" w:history="1">
        <w:r w:rsidRPr="00D84D3B">
          <w:rPr>
            <w:rStyle w:val="Hyperlink"/>
            <w:rFonts w:cstheme="minorHAnsi"/>
            <w:szCs w:val="22"/>
          </w:rPr>
          <w:t>las comunidades autónomas, a las que dirigió varias Recomendaciones</w:t>
        </w:r>
      </w:hyperlink>
      <w:r w:rsidRPr="00D84D3B">
        <w:t xml:space="preserve"> en el año 2020. De las respuestas ofrecidas por las consejerías autonómicas sobre la situación de los acogimientos se desprende que, si bien existe un claro compromiso institucional con el acogimiento familiar, el sistema de protección avanza lentamente en esa dirección. Frente al acogimiento residencial, el acogimiento familiar desempeña una importante función social, al ofrecer una alternativa más adecuada y beneficiosa para los menores que por diversas circunstancias deben ser separados de sus familias. Sin embargo, el número de familias acogedoras, con carácter general, es insuficiente para el número de menores en situación de desamparo en todas las comunidades autónomas, aunque se </w:t>
      </w:r>
      <w:r w:rsidRPr="00D84D3B">
        <w:lastRenderedPageBreak/>
        <w:t xml:space="preserve">realizan campañas de divulgación del acogimiento familiar. Cabe reforzar los incentivos para estas familias y la red de apoyo institucional. </w:t>
      </w:r>
    </w:p>
    <w:p w14:paraId="27925BB0" w14:textId="77777777" w:rsidR="00D84D3B" w:rsidRPr="00D84D3B" w:rsidRDefault="00D84D3B" w:rsidP="004E0E8D">
      <w:pPr>
        <w:pStyle w:val="NormalInforme"/>
      </w:pPr>
      <w:r w:rsidRPr="00D84D3B">
        <w:t>Otra cuestión que debe resolverse es la del acogimiento especializado. Las administraciones competentes coinciden en señalar que sería de interés la creación de un nuevo régimen especial de la Seguridad Social para los acogedores especializados.</w:t>
      </w:r>
    </w:p>
    <w:p w14:paraId="34D43A51" w14:textId="77777777" w:rsidR="00D84D3B" w:rsidRPr="00D84D3B" w:rsidRDefault="00D84D3B" w:rsidP="004E0E8D">
      <w:pPr>
        <w:pStyle w:val="NormalInforme"/>
      </w:pPr>
      <w:r w:rsidRPr="00D84D3B">
        <w:t xml:space="preserve">De acuerdo con sus competencias, se han aprobado y desarrollado numerosas leyes autonómicas sobre infancia que incluyen y regulan el acogimiento familiar como preferente, siendo las más recientes la de la </w:t>
      </w:r>
      <w:hyperlink r:id="rId25" w:history="1">
        <w:r w:rsidRPr="00D84D3B">
          <w:rPr>
            <w:rStyle w:val="Hyperlink"/>
            <w:rFonts w:cstheme="minorHAnsi"/>
            <w:szCs w:val="22"/>
          </w:rPr>
          <w:t>Comunidad de Madrid</w:t>
        </w:r>
      </w:hyperlink>
      <w:r w:rsidRPr="00D84D3B">
        <w:t xml:space="preserve"> (2023), la de </w:t>
      </w:r>
      <w:hyperlink r:id="rId26" w:history="1">
        <w:r w:rsidRPr="00D84D3B">
          <w:rPr>
            <w:rStyle w:val="Hyperlink"/>
            <w:rFonts w:cstheme="minorHAnsi"/>
            <w:szCs w:val="22"/>
          </w:rPr>
          <w:t>Andalucía</w:t>
        </w:r>
      </w:hyperlink>
      <w:r w:rsidRPr="00D84D3B">
        <w:t xml:space="preserve"> (2021) o la de la </w:t>
      </w:r>
      <w:hyperlink r:id="rId27" w:history="1">
        <w:r w:rsidRPr="00D84D3B">
          <w:rPr>
            <w:rStyle w:val="Hyperlink"/>
            <w:rFonts w:cstheme="minorHAnsi"/>
            <w:szCs w:val="22"/>
          </w:rPr>
          <w:t>Comunidad Valenciana</w:t>
        </w:r>
      </w:hyperlink>
      <w:r w:rsidRPr="00D84D3B">
        <w:t xml:space="preserve"> (2018).</w:t>
      </w:r>
    </w:p>
    <w:p w14:paraId="4CCE04ED" w14:textId="77777777" w:rsidR="00D84D3B" w:rsidRPr="00D84D3B" w:rsidRDefault="00D84D3B" w:rsidP="004E0E8D">
      <w:pPr>
        <w:pStyle w:val="Heading1"/>
        <w:spacing w:after="240"/>
        <w:jc w:val="both"/>
        <w:rPr>
          <w:rFonts w:asciiTheme="minorHAnsi" w:hAnsiTheme="minorHAnsi" w:cstheme="minorHAnsi"/>
          <w:b/>
          <w:sz w:val="28"/>
          <w:szCs w:val="28"/>
        </w:rPr>
      </w:pPr>
      <w:r w:rsidRPr="00D84D3B">
        <w:rPr>
          <w:rFonts w:asciiTheme="minorHAnsi" w:hAnsiTheme="minorHAnsi" w:cstheme="minorHAnsi"/>
          <w:b/>
          <w:sz w:val="28"/>
          <w:szCs w:val="28"/>
        </w:rPr>
        <w:t>V. Niños con discapacidad</w:t>
      </w:r>
    </w:p>
    <w:p w14:paraId="169FC73A" w14:textId="77777777" w:rsidR="00D84D3B" w:rsidRPr="0045178B" w:rsidRDefault="00D84D3B" w:rsidP="004E0E8D">
      <w:pPr>
        <w:pStyle w:val="Heading3"/>
        <w:spacing w:before="120" w:after="120"/>
        <w:jc w:val="both"/>
        <w:rPr>
          <w:rFonts w:asciiTheme="minorHAnsi" w:hAnsiTheme="minorHAnsi" w:cstheme="minorHAnsi"/>
        </w:rPr>
      </w:pPr>
      <w:r w:rsidRPr="0045178B">
        <w:rPr>
          <w:rFonts w:asciiTheme="minorHAnsi" w:hAnsiTheme="minorHAnsi" w:cstheme="minorHAnsi"/>
        </w:rPr>
        <w:t xml:space="preserve">La atención a la diversidad en los centros educativos </w:t>
      </w:r>
    </w:p>
    <w:p w14:paraId="0AAAA85B" w14:textId="77777777" w:rsidR="00D84D3B" w:rsidRPr="00D84D3B" w:rsidRDefault="00D84D3B" w:rsidP="004E0E8D">
      <w:pPr>
        <w:pStyle w:val="NormalInforme"/>
        <w:ind w:firstLine="0"/>
      </w:pPr>
      <w:r w:rsidRPr="00D84D3B">
        <w:t>El Defensor del Pueblo insiste en la necesidad de aumentar la dotación de recursos personales y materiales a los equipos de orientación educativa. Esta dotación reducirá los tiempos de los procesos de evaluación psicopedagógica del alumnado y, en consecuencia, permitirá la adopción de las medidas específicas al disponer del correspondiente informe psicopedagógico. Además, se ha de disponer de más profesorado especialista y personal de apoyo educativo en las aulas ordinarias para garantizar la educación de calidad de este alumnado.</w:t>
      </w:r>
    </w:p>
    <w:p w14:paraId="50096BF2" w14:textId="77777777" w:rsidR="00D84D3B" w:rsidRPr="00D84D3B" w:rsidRDefault="00D84D3B" w:rsidP="004E0E8D">
      <w:pPr>
        <w:pStyle w:val="NormalInforme"/>
      </w:pPr>
      <w:r w:rsidRPr="00D84D3B">
        <w:t>La institución presta especial atención a que los niños y niñas con discapacidad accedan a unas necesidades educativas especiales apropiadas, y dispongan de los servicios de orientación y apoyo educativos necesarios. La Administración procura, siempre manteniendo buena comunicación con los padres, y dentro de las posibilidades reales, escolarizar al alumnado en régimen ordinario. La decisión sobre la modalidad de escolarización (centro ordinario o unidades o centros de educación especial) se adopta por equipos técnicos especializados, decisión que deben motivar sólidamente en el interés superior del menor. No obstante, se precisan mejores procedimientos para resolver las discrepancias que puedan surgir al respecto entre las administraciones y los padres, madres o tutores legales.</w:t>
      </w:r>
    </w:p>
    <w:p w14:paraId="147F084C" w14:textId="77777777" w:rsidR="00D84D3B" w:rsidRPr="0045178B" w:rsidRDefault="00D84D3B" w:rsidP="004E0E8D">
      <w:pPr>
        <w:pStyle w:val="Heading3"/>
        <w:spacing w:before="120" w:after="120"/>
        <w:jc w:val="both"/>
        <w:rPr>
          <w:rFonts w:asciiTheme="minorHAnsi" w:hAnsiTheme="minorHAnsi" w:cstheme="minorHAnsi"/>
        </w:rPr>
      </w:pPr>
      <w:r w:rsidRPr="0045178B">
        <w:rPr>
          <w:rFonts w:asciiTheme="minorHAnsi" w:hAnsiTheme="minorHAnsi" w:cstheme="minorHAnsi"/>
        </w:rPr>
        <w:lastRenderedPageBreak/>
        <w:t xml:space="preserve">Formación Profesional para alumnos con necesidades educativas especiales </w:t>
      </w:r>
    </w:p>
    <w:p w14:paraId="686DF5DE" w14:textId="77777777" w:rsidR="00D84D3B" w:rsidRPr="00D84D3B" w:rsidRDefault="00D84D3B" w:rsidP="004E0E8D">
      <w:pPr>
        <w:pStyle w:val="NormalInforme"/>
        <w:ind w:firstLine="0"/>
      </w:pPr>
      <w:r w:rsidRPr="00D84D3B">
        <w:t>El Defensor del Pueblo considera que la integración social y laboral del alumnado con discapacidad exige ampliar la oferta de las enseñanzas de formación profesional básica para poder atender a alumnos mayores de 17 años, eliminando barreras que impidan el acceso, la permanencia y el aprendizaje, con el fin de garantizar su continuidad en el sistema educativo y la obtención de un título de formación profesional.</w:t>
      </w:r>
    </w:p>
    <w:p w14:paraId="5D7E3092" w14:textId="77777777" w:rsidR="00D84D3B" w:rsidRPr="00D84D3B" w:rsidRDefault="00D84D3B" w:rsidP="004E0E8D">
      <w:pPr>
        <w:pStyle w:val="Heading1"/>
        <w:spacing w:after="240"/>
        <w:jc w:val="both"/>
        <w:rPr>
          <w:rFonts w:asciiTheme="minorHAnsi" w:hAnsiTheme="minorHAnsi" w:cstheme="minorHAnsi"/>
          <w:b/>
          <w:sz w:val="28"/>
          <w:szCs w:val="28"/>
        </w:rPr>
      </w:pPr>
      <w:r w:rsidRPr="00D84D3B">
        <w:rPr>
          <w:rFonts w:asciiTheme="minorHAnsi" w:hAnsiTheme="minorHAnsi" w:cstheme="minorHAnsi"/>
          <w:b/>
          <w:sz w:val="28"/>
          <w:szCs w:val="28"/>
        </w:rPr>
        <w:t>VI. Salud básica y bienestar</w:t>
      </w:r>
    </w:p>
    <w:p w14:paraId="4D1A3298" w14:textId="77777777" w:rsidR="00D84D3B" w:rsidRPr="006E703B" w:rsidRDefault="00D84D3B" w:rsidP="004E0E8D">
      <w:pPr>
        <w:pStyle w:val="Heading2"/>
        <w:spacing w:before="120" w:after="120"/>
        <w:jc w:val="both"/>
        <w:rPr>
          <w:rFonts w:asciiTheme="minorHAnsi" w:hAnsiTheme="minorHAnsi" w:cstheme="minorHAnsi"/>
          <w:sz w:val="28"/>
          <w:szCs w:val="28"/>
        </w:rPr>
      </w:pPr>
      <w:r w:rsidRPr="006E703B">
        <w:rPr>
          <w:rFonts w:asciiTheme="minorHAnsi" w:hAnsiTheme="minorHAnsi" w:cstheme="minorHAnsi"/>
          <w:sz w:val="28"/>
          <w:szCs w:val="28"/>
        </w:rPr>
        <w:t>Salud y servicios sanitarios</w:t>
      </w:r>
    </w:p>
    <w:p w14:paraId="0113DE18" w14:textId="77777777" w:rsidR="00D84D3B" w:rsidRPr="0045178B" w:rsidRDefault="00D84D3B" w:rsidP="004E0E8D">
      <w:pPr>
        <w:pStyle w:val="Heading3"/>
        <w:spacing w:before="120" w:after="120"/>
        <w:jc w:val="both"/>
        <w:rPr>
          <w:rFonts w:asciiTheme="minorHAnsi" w:eastAsia="Times New Roman" w:hAnsiTheme="minorHAnsi" w:cstheme="minorHAnsi"/>
          <w:lang w:eastAsia="es-ES"/>
        </w:rPr>
      </w:pPr>
      <w:r w:rsidRPr="0045178B">
        <w:rPr>
          <w:rFonts w:asciiTheme="minorHAnsi" w:eastAsia="Times New Roman" w:hAnsiTheme="minorHAnsi" w:cstheme="minorHAnsi"/>
          <w:lang w:eastAsia="es-ES"/>
        </w:rPr>
        <w:t>Prestación por cuidado de menores afectados por cáncer u otra enfermedad grave e ingreso hospitalario de larga duración</w:t>
      </w:r>
    </w:p>
    <w:p w14:paraId="723BEF45" w14:textId="77777777" w:rsidR="00D84D3B" w:rsidRPr="00D84D3B" w:rsidRDefault="00D84D3B" w:rsidP="004E0E8D">
      <w:pPr>
        <w:pStyle w:val="NormalInforme"/>
        <w:ind w:firstLine="0"/>
      </w:pPr>
      <w:r w:rsidRPr="00D84D3B">
        <w:t>La prestación por cuidado de menores afectados por cáncer u otra enfermedad grave procede cuando los dos progenitores trabajan, requisito que, como el Defensor del Pueblo ha comprobado, se interpreta muy restrictivamente por las mutuas colaboradoras con la Seguridad Social (encargadas de la gestión de esta prestación), a pesar de la interpretación flexible del Tribunal Supremo para algunos supuestos (baja laboral de uno de los progenitores).</w:t>
      </w:r>
    </w:p>
    <w:p w14:paraId="00571EE3" w14:textId="77777777" w:rsidR="00D84D3B" w:rsidRPr="00D84D3B" w:rsidRDefault="00D84D3B" w:rsidP="004E0E8D">
      <w:pPr>
        <w:pStyle w:val="NormalInforme"/>
      </w:pPr>
      <w:r w:rsidRPr="00D84D3B">
        <w:t>El Defensor ha formulado varias recomendaciones a la Seguridad Social para la ampliación y mejora de esta prestación. Entre otras, la Administración aceptó la posibilidad de ampliar la edad de cobertura de la prestación a los hijos que cumplen los 18 años, y hasta que cumplen 23.</w:t>
      </w:r>
    </w:p>
    <w:p w14:paraId="29488A03" w14:textId="77777777" w:rsidR="00D84D3B" w:rsidRPr="006E703B" w:rsidRDefault="00D84D3B" w:rsidP="004E0E8D">
      <w:pPr>
        <w:pStyle w:val="Heading2"/>
        <w:spacing w:before="120" w:after="120"/>
        <w:jc w:val="both"/>
        <w:rPr>
          <w:rFonts w:asciiTheme="minorHAnsi" w:hAnsiTheme="minorHAnsi" w:cstheme="minorHAnsi"/>
          <w:sz w:val="28"/>
          <w:szCs w:val="28"/>
        </w:rPr>
      </w:pPr>
      <w:r w:rsidRPr="006E703B">
        <w:rPr>
          <w:rFonts w:asciiTheme="minorHAnsi" w:hAnsiTheme="minorHAnsi" w:cstheme="minorHAnsi"/>
          <w:sz w:val="28"/>
          <w:szCs w:val="28"/>
        </w:rPr>
        <w:t>Promoción de la salud en el ámbito educativo</w:t>
      </w:r>
    </w:p>
    <w:p w14:paraId="5EE35AA0" w14:textId="77777777" w:rsidR="00D84D3B" w:rsidRPr="0045178B" w:rsidRDefault="00D84D3B" w:rsidP="004E0E8D">
      <w:pPr>
        <w:pStyle w:val="Heading3"/>
        <w:spacing w:before="120" w:after="120"/>
        <w:jc w:val="both"/>
        <w:rPr>
          <w:rFonts w:asciiTheme="minorHAnsi" w:hAnsiTheme="minorHAnsi" w:cstheme="minorHAnsi"/>
        </w:rPr>
      </w:pPr>
      <w:r w:rsidRPr="0045178B">
        <w:rPr>
          <w:rFonts w:asciiTheme="minorHAnsi" w:hAnsiTheme="minorHAnsi" w:cstheme="minorHAnsi"/>
        </w:rPr>
        <w:t xml:space="preserve">Asistencia sanitaria en el contexto escolar </w:t>
      </w:r>
    </w:p>
    <w:p w14:paraId="53188391" w14:textId="77777777" w:rsidR="00D84D3B" w:rsidRPr="00D84D3B" w:rsidRDefault="00D84D3B" w:rsidP="004E0E8D">
      <w:pPr>
        <w:pStyle w:val="NormalInforme"/>
        <w:ind w:firstLine="0"/>
      </w:pPr>
      <w:r w:rsidRPr="00D84D3B">
        <w:t>El Defensor del Pueblo considera que las Administraciones educativas deben establecer protocolos eficaces de actuación que garanticen la debida asistencia sanitaria al alumnado que presente necesidades sanitarias durante el horario escolar, bien mediante mecanismos de coordinación entre las Administraciones educativa y sanitaria, las familias y la formación del profesorado, bien dotando de este personal a los centros educativos.</w:t>
      </w:r>
    </w:p>
    <w:p w14:paraId="6E7C2A8A" w14:textId="77777777" w:rsidR="00D84D3B" w:rsidRPr="00D84D3B" w:rsidRDefault="00D84D3B" w:rsidP="004E0E8D">
      <w:pPr>
        <w:pStyle w:val="NormalInforme"/>
      </w:pPr>
      <w:r w:rsidRPr="00D84D3B">
        <w:t>Además, en estos años la institución sigue observando algunas dificultades para prestar atención sanitaria a los alumnos con enfermedades crónicas, fundamental</w:t>
      </w:r>
      <w:r w:rsidR="001D204C">
        <w:t>-</w:t>
      </w:r>
      <w:r w:rsidRPr="00D84D3B">
        <w:lastRenderedPageBreak/>
        <w:t>mente los insulinodependientes, que por su edad no tienen autonomía para realizar controles de glucosa y administrarse la insulina. La razón es claramente estructural —la falta de personal sanitario</w:t>
      </w:r>
      <w:r w:rsidR="004E0E8D">
        <w:t>—</w:t>
      </w:r>
      <w:r w:rsidRPr="00D84D3B">
        <w:t>. Conviene insistir en que es necesaria una mayor colaboración al respecto entre la Administración educativa y la sanitaria.</w:t>
      </w:r>
    </w:p>
    <w:p w14:paraId="2C78DA4F" w14:textId="77777777" w:rsidR="00D84D3B" w:rsidRPr="006E703B" w:rsidRDefault="00D84D3B" w:rsidP="006E703B">
      <w:pPr>
        <w:pStyle w:val="Heading2"/>
        <w:spacing w:before="120" w:after="120"/>
        <w:jc w:val="both"/>
        <w:rPr>
          <w:rFonts w:asciiTheme="minorHAnsi" w:hAnsiTheme="minorHAnsi" w:cstheme="minorHAnsi"/>
          <w:sz w:val="28"/>
          <w:szCs w:val="28"/>
        </w:rPr>
      </w:pPr>
      <w:r w:rsidRPr="006E703B">
        <w:rPr>
          <w:rFonts w:asciiTheme="minorHAnsi" w:hAnsiTheme="minorHAnsi" w:cstheme="minorHAnsi"/>
          <w:sz w:val="28"/>
          <w:szCs w:val="28"/>
        </w:rPr>
        <w:t>Salud mental</w:t>
      </w:r>
    </w:p>
    <w:p w14:paraId="335BCB03" w14:textId="77777777" w:rsidR="00D84D3B" w:rsidRPr="0045178B" w:rsidRDefault="00D84D3B" w:rsidP="004E0E8D">
      <w:pPr>
        <w:pStyle w:val="Heading3"/>
        <w:spacing w:before="120" w:after="120"/>
        <w:jc w:val="both"/>
        <w:rPr>
          <w:rFonts w:asciiTheme="minorHAnsi" w:hAnsiTheme="minorHAnsi" w:cstheme="minorHAnsi"/>
        </w:rPr>
      </w:pPr>
      <w:r w:rsidRPr="0045178B">
        <w:rPr>
          <w:rFonts w:asciiTheme="minorHAnsi" w:hAnsiTheme="minorHAnsi" w:cstheme="minorHAnsi"/>
        </w:rPr>
        <w:t>Salud mental en el contexto escolar</w:t>
      </w:r>
    </w:p>
    <w:p w14:paraId="63880269" w14:textId="77777777" w:rsidR="00D84D3B" w:rsidRPr="00D84D3B" w:rsidRDefault="00D84D3B" w:rsidP="004E0E8D">
      <w:pPr>
        <w:pStyle w:val="NormalInforme"/>
        <w:ind w:firstLine="0"/>
      </w:pPr>
      <w:r w:rsidRPr="00D84D3B">
        <w:rPr>
          <w:rFonts w:eastAsiaTheme="majorEastAsia"/>
        </w:rPr>
        <w:t xml:space="preserve">El Defensor del Pueblo considera fundamental continuar </w:t>
      </w:r>
      <w:r w:rsidRPr="00D84D3B">
        <w:t>centrándo</w:t>
      </w:r>
      <w:r w:rsidRPr="00D84D3B">
        <w:rPr>
          <w:rFonts w:eastAsiaTheme="majorEastAsia"/>
        </w:rPr>
        <w:t xml:space="preserve">se en la prevención de problemas de salud mental y conductual en las aulas. Es crucial proporcionar formación tanto al profesorado como a los tutores legales para que puedan identificar y abordar estos problemas de manera efectiva. Además, la institución </w:t>
      </w:r>
      <w:r w:rsidRPr="00D84D3B">
        <w:t>ha</w:t>
      </w:r>
      <w:r w:rsidRPr="00D84D3B">
        <w:rPr>
          <w:rFonts w:eastAsiaTheme="majorEastAsia"/>
        </w:rPr>
        <w:t xml:space="preserve"> solicita</w:t>
      </w:r>
      <w:r w:rsidRPr="00D84D3B">
        <w:t>do</w:t>
      </w:r>
      <w:r w:rsidRPr="00D84D3B">
        <w:rPr>
          <w:rFonts w:eastAsiaTheme="majorEastAsia"/>
        </w:rPr>
        <w:t xml:space="preserve"> avanzar en la creación de mecanismos de coordinación claros y estructurados entre la Administración educativa y sanitaria, asegurando una respuesta integral y coherente a las necesidades de salud mental de los estudiantes.</w:t>
      </w:r>
    </w:p>
    <w:p w14:paraId="73D16B8E" w14:textId="77777777" w:rsidR="00D84D3B" w:rsidRPr="0045178B" w:rsidRDefault="00D84D3B" w:rsidP="004E0E8D">
      <w:pPr>
        <w:pStyle w:val="Heading3"/>
        <w:spacing w:before="120" w:after="120"/>
        <w:jc w:val="both"/>
        <w:rPr>
          <w:rFonts w:asciiTheme="minorHAnsi" w:hAnsiTheme="minorHAnsi" w:cstheme="minorHAnsi"/>
        </w:rPr>
      </w:pPr>
      <w:bookmarkStart w:id="5" w:name="_Hlk170290932"/>
      <w:r w:rsidRPr="0045178B">
        <w:rPr>
          <w:rFonts w:asciiTheme="minorHAnsi" w:hAnsiTheme="minorHAnsi" w:cstheme="minorHAnsi"/>
        </w:rPr>
        <w:t xml:space="preserve">Salud mental infanto-juvenil </w:t>
      </w:r>
    </w:p>
    <w:p w14:paraId="441818A0" w14:textId="77777777" w:rsidR="00D84D3B" w:rsidRPr="00D84D3B" w:rsidRDefault="00D84D3B" w:rsidP="004E0E8D">
      <w:pPr>
        <w:pStyle w:val="NormalInforme"/>
        <w:ind w:firstLine="0"/>
      </w:pPr>
      <w:r w:rsidRPr="00D84D3B">
        <w:t xml:space="preserve">En el sistema sanitario se ha observado un incremento notable de la demanda de atención para niños y jóvenes. </w:t>
      </w:r>
    </w:p>
    <w:p w14:paraId="6B759DA5" w14:textId="77777777" w:rsidR="00D84D3B" w:rsidRPr="00D84D3B" w:rsidRDefault="00D84D3B" w:rsidP="004E0E8D">
      <w:pPr>
        <w:pStyle w:val="NormalInforme"/>
      </w:pPr>
      <w:r w:rsidRPr="00D84D3B">
        <w:t>En muchos casos, se hace preciso un abordaje multidisciplinar e integral para la atención a menores, en especial en la etapa adolescente y ante padecimientos como la patología dual. Además resulta necesario ofrecer una dotación de recursos más especializada y en cantidad suficiente. Muchas familias acuden a entidades privadas y buscan soluciones de cofinanciación pública (como el seguro escolar que ofrece la Seguridad Social y algunas comunidades autónomas) para hacer frente al coste de esos servicios más especializados en adolescentes y jóvenes.</w:t>
      </w:r>
    </w:p>
    <w:p w14:paraId="1A2DB5E2" w14:textId="77777777" w:rsidR="00D84D3B" w:rsidRPr="00D84D3B" w:rsidRDefault="00D84D3B" w:rsidP="004E0E8D">
      <w:pPr>
        <w:pStyle w:val="NormalInforme"/>
      </w:pPr>
      <w:r w:rsidRPr="00D84D3B">
        <w:t>En lo referente a los profesionales del sistema, cabe celebrar el avance que ha supuesto la creación de la especialidad de psiquiatría infantil, si bien el Defensor del Pueblo ya ha planteado la necesidad de que sea acogida también la especialidad sanitaria de psicología clínica de la infancia y la adolescencia.</w:t>
      </w:r>
    </w:p>
    <w:bookmarkEnd w:id="5"/>
    <w:p w14:paraId="66A76B27" w14:textId="77777777" w:rsidR="00D84D3B" w:rsidRPr="00D84D3B" w:rsidRDefault="00D84D3B" w:rsidP="004E0E8D">
      <w:pPr>
        <w:pStyle w:val="Heading1"/>
        <w:spacing w:after="240"/>
        <w:jc w:val="both"/>
        <w:rPr>
          <w:rFonts w:asciiTheme="minorHAnsi" w:hAnsiTheme="minorHAnsi" w:cstheme="minorHAnsi"/>
          <w:b/>
          <w:sz w:val="28"/>
          <w:szCs w:val="28"/>
        </w:rPr>
      </w:pPr>
      <w:r w:rsidRPr="00D84D3B">
        <w:rPr>
          <w:rFonts w:asciiTheme="minorHAnsi" w:hAnsiTheme="minorHAnsi" w:cstheme="minorHAnsi"/>
          <w:b/>
          <w:sz w:val="28"/>
          <w:szCs w:val="28"/>
        </w:rPr>
        <w:lastRenderedPageBreak/>
        <w:t>VII. Educación, esparcimiento y actividades culturales</w:t>
      </w:r>
    </w:p>
    <w:p w14:paraId="3FC69F05" w14:textId="77777777" w:rsidR="00D84D3B" w:rsidRPr="0045178B" w:rsidRDefault="00D84D3B" w:rsidP="004E0E8D">
      <w:pPr>
        <w:pStyle w:val="Heading3"/>
        <w:spacing w:before="120" w:after="120"/>
        <w:jc w:val="both"/>
        <w:rPr>
          <w:rFonts w:asciiTheme="minorHAnsi" w:hAnsiTheme="minorHAnsi" w:cstheme="minorHAnsi"/>
        </w:rPr>
      </w:pPr>
      <w:r w:rsidRPr="0045178B">
        <w:rPr>
          <w:rFonts w:asciiTheme="minorHAnsi" w:hAnsiTheme="minorHAnsi" w:cstheme="minorHAnsi"/>
        </w:rPr>
        <w:t xml:space="preserve">Gratuidad de la escolarización en el primer ciclo (0-3 años) </w:t>
      </w:r>
    </w:p>
    <w:p w14:paraId="41CF5337" w14:textId="77777777" w:rsidR="00D84D3B" w:rsidRPr="00D84D3B" w:rsidRDefault="00D84D3B" w:rsidP="004E0E8D">
      <w:pPr>
        <w:pStyle w:val="NormalInforme"/>
        <w:ind w:firstLine="0"/>
      </w:pPr>
      <w:r w:rsidRPr="00D84D3B">
        <w:t xml:space="preserve">El Defensor del Pueblo viene recomendando a las administraciones una oferta suficiente de plazas públicas y la articulación de las medidas necesarias para asegurar que el acceso a esta enseñanza no se vea condicionado por la situación económica de las familias, garantizando la igualdad de oportunidades en el acceso a la educación. </w:t>
      </w:r>
    </w:p>
    <w:p w14:paraId="49B83AFF" w14:textId="77777777" w:rsidR="00D84D3B" w:rsidRPr="00D84D3B" w:rsidRDefault="00D84D3B" w:rsidP="004E0E8D">
      <w:pPr>
        <w:pStyle w:val="NormalInforme"/>
      </w:pPr>
      <w:r w:rsidRPr="00D84D3B">
        <w:t>El Defensor del Pueblo considera que resulta prioritario que las administraciones implicadas asuman el compromiso de ampliar la oferta pública de estos servicios educativos en las zonas rurales, en las que el sistema público tiene un mayor peso, debido al retraimiento de la oferta privada. Pero también, por la mayor rigidez financiera de dichos municipios, derivada de la escasez de ingresos o recursos propios para la financiación.</w:t>
      </w:r>
    </w:p>
    <w:p w14:paraId="3BBC368F" w14:textId="77777777" w:rsidR="00D84D3B" w:rsidRPr="00D84D3B" w:rsidRDefault="00D84D3B" w:rsidP="004E0E8D">
      <w:pPr>
        <w:pStyle w:val="NormalInforme"/>
      </w:pPr>
      <w:r w:rsidRPr="00D84D3B">
        <w:t>Además, la institución considera que el avance de las Administraciones educativas para la cobertura de las necesidades de escolarización en este ciclo formativo mediante plazas públicas suficientes con el objetivo, además, de extender su gratuidad, debe realizarse garantizando el acceso del alumnado en condiciones de igualdad en todo el territorio nacional y, en todo caso, la gratuidad del alumnado en condiciones socioeconómicas desfavorables.</w:t>
      </w:r>
    </w:p>
    <w:p w14:paraId="3E85D155" w14:textId="77777777" w:rsidR="00D84D3B" w:rsidRPr="0045178B" w:rsidRDefault="00D84D3B" w:rsidP="004E0E8D">
      <w:pPr>
        <w:pStyle w:val="Heading3"/>
        <w:spacing w:before="120" w:after="120"/>
        <w:jc w:val="both"/>
        <w:rPr>
          <w:rFonts w:asciiTheme="minorHAnsi" w:hAnsiTheme="minorHAnsi" w:cstheme="minorHAnsi"/>
        </w:rPr>
      </w:pPr>
      <w:r w:rsidRPr="0045178B">
        <w:rPr>
          <w:rFonts w:asciiTheme="minorHAnsi" w:hAnsiTheme="minorHAnsi" w:cstheme="minorHAnsi"/>
        </w:rPr>
        <w:t xml:space="preserve">Admisión del alumnado extranjero sin autorización administrativa de residencia </w:t>
      </w:r>
    </w:p>
    <w:p w14:paraId="2EBC8B5D" w14:textId="77777777" w:rsidR="00D84D3B" w:rsidRPr="00D84D3B" w:rsidRDefault="00D84D3B" w:rsidP="004E0E8D">
      <w:pPr>
        <w:pStyle w:val="NormalInforme"/>
        <w:ind w:firstLine="0"/>
      </w:pPr>
      <w:r w:rsidRPr="00D84D3B">
        <w:t>El Defensor del Pueblo ha realizado numerosas acciones debido a las dificultades para la escolarización de menores en situación de irregularidad administrativa en Melilla. Las autoridades del Ministerio de Educación y Formación Profesional permitieron la matriculación de todos los menores en edad de escolarización obligatoria que pudieron acreditar su residencia en la ciudad, sin importar su situación administrativa.</w:t>
      </w:r>
    </w:p>
    <w:p w14:paraId="123B2E54" w14:textId="77777777" w:rsidR="00D84D3B" w:rsidRPr="00D84D3B" w:rsidRDefault="00D84D3B" w:rsidP="004E0E8D">
      <w:pPr>
        <w:pStyle w:val="NormalInforme"/>
      </w:pPr>
      <w:r w:rsidRPr="00D84D3B">
        <w:t>La institución emitió varias Sugerencias para facilitar la escolarización de estos menores, en línea con las resoluciones del Comité de los Derechos del Niño, que solicitaba medidas provisionales para permitir su acceso inmediato al sistema educativo público mientras se evaluaban sus reclamaciones. Entre las sugerencias se incluía la escolarización inmediata de los menores que demostraron su residencia en Melilla mediante empadronamiento.</w:t>
      </w:r>
    </w:p>
    <w:p w14:paraId="036D0132" w14:textId="77777777" w:rsidR="00D84D3B" w:rsidRDefault="00D84D3B" w:rsidP="004E0E8D">
      <w:pPr>
        <w:pStyle w:val="NormalInforme"/>
      </w:pPr>
      <w:r w:rsidRPr="00D84D3B">
        <w:lastRenderedPageBreak/>
        <w:t>Además, pidió información sobre las medidas que las autoridades educativas españolas estaban tomando para reemplazar las normas de admisión de alumnos en Ceuta y Melilla, y los plazos previstos para su implementación, en consideración a los dictámenes del Comité relacionados con el Protocolo Facultativo de la Convención sobre los Derechos del Niño.</w:t>
      </w:r>
    </w:p>
    <w:p w14:paraId="07D382E1" w14:textId="77777777" w:rsidR="002421DB" w:rsidRPr="002421DB" w:rsidRDefault="002421DB" w:rsidP="002421DB">
      <w:pPr>
        <w:pStyle w:val="Heading3"/>
        <w:spacing w:before="120" w:after="120"/>
        <w:jc w:val="both"/>
        <w:rPr>
          <w:rFonts w:asciiTheme="minorHAnsi" w:hAnsiTheme="minorHAnsi" w:cstheme="minorHAnsi"/>
        </w:rPr>
      </w:pPr>
      <w:r w:rsidRPr="002421DB">
        <w:rPr>
          <w:rFonts w:asciiTheme="minorHAnsi" w:hAnsiTheme="minorHAnsi" w:cstheme="minorHAnsi"/>
        </w:rPr>
        <w:t>Lenguas cooficiales en el sistema educativo</w:t>
      </w:r>
    </w:p>
    <w:p w14:paraId="5850AF8E" w14:textId="77777777" w:rsidR="002421DB" w:rsidRPr="00D84D3B" w:rsidRDefault="002421DB" w:rsidP="002421DB">
      <w:pPr>
        <w:pStyle w:val="NormalInforme"/>
        <w:ind w:firstLine="0"/>
      </w:pPr>
      <w:r w:rsidRPr="002421DB">
        <w:t>Con la finalidad de atender la preocupación de personas y colectivos que se dirigen al Defensor del Pueblo en relación con el aprendizaje y uso del castellano en el ámbito escolar en territorios con lenguas cooficiales, esta institución está comprometida con el seguimiento y la garantía de un sistema educativo inclusivo, que evite cualquier perjuicio o discriminación en este sentido.</w:t>
      </w:r>
    </w:p>
    <w:p w14:paraId="2A6BAECF" w14:textId="77777777" w:rsidR="00D84D3B" w:rsidRPr="0045178B" w:rsidRDefault="00D84D3B" w:rsidP="004E0E8D">
      <w:pPr>
        <w:pStyle w:val="Heading3"/>
        <w:spacing w:before="120" w:after="120"/>
        <w:jc w:val="both"/>
        <w:rPr>
          <w:rFonts w:asciiTheme="minorHAnsi" w:hAnsiTheme="minorHAnsi" w:cstheme="minorHAnsi"/>
        </w:rPr>
      </w:pPr>
      <w:r w:rsidRPr="0045178B">
        <w:rPr>
          <w:rFonts w:asciiTheme="minorHAnsi" w:hAnsiTheme="minorHAnsi" w:cstheme="minorHAnsi"/>
        </w:rPr>
        <w:t xml:space="preserve">Convalidación de estudios universitarios con los de formación profesional de grado superior </w:t>
      </w:r>
    </w:p>
    <w:p w14:paraId="001DF4F9" w14:textId="77777777" w:rsidR="00D84D3B" w:rsidRPr="00D84D3B" w:rsidRDefault="00D84D3B" w:rsidP="004E0E8D">
      <w:pPr>
        <w:pStyle w:val="NormalInforme"/>
        <w:ind w:firstLine="0"/>
      </w:pPr>
      <w:r w:rsidRPr="00D84D3B">
        <w:t xml:space="preserve">En el marco de las actuaciones realizadas ante el </w:t>
      </w:r>
      <w:hyperlink r:id="rId28" w:history="1">
        <w:r w:rsidRPr="00D84D3B">
          <w:rPr>
            <w:rStyle w:val="Hyperlink"/>
            <w:rFonts w:cstheme="minorHAnsi"/>
            <w:szCs w:val="22"/>
          </w:rPr>
          <w:t>Ministerio de Educación y Formación Profesional, el Defensor del Pueblo formuló una Recomendación</w:t>
        </w:r>
      </w:hyperlink>
      <w:r w:rsidRPr="00D84D3B">
        <w:t>, en diciembre de 2019, instando la regulación reglamentaria de las convalidaciones que procedan entre los estudios universitarios de grado o equivalentes y los módulos profesionales de los ciclos formativos de grado superior, en cumplimiento de lo dispuesto en la disposición adicional primera de la Ley Orgánica 4/2011, de 11 de marzo, complementaria de la Ley de Economía Sostenible. La Secretaría General de Formación Profesional aceptó dicha recomendación y ha iniciado las actuaciones necesarias para dar cumplimiento a lo dispuesto en la referida disposición adicional, al objeto de poder facilitar la movilidad de todos los estudiantes en el ámbito de la educación superior, no solo de aquellos que cursan estudios de formación profesional al amparo de la Ley Orgánica 2/2006, de 3 de mayo, de Educación (LOE) y aportan estudios de grado, sino también de aquellos matriculados en ciclos formativos según la Ley Orgánica 1/1990, de 3 de octubre, de Ordenación General del Sistema Educativo (LOGSE) y que aportan titulaciones universitarias derivadas de leyes anteriores.</w:t>
      </w:r>
    </w:p>
    <w:p w14:paraId="184BA9A9" w14:textId="77777777" w:rsidR="00D84D3B" w:rsidRPr="0045178B" w:rsidRDefault="00D84D3B" w:rsidP="004E0E8D">
      <w:pPr>
        <w:pStyle w:val="Heading3"/>
        <w:spacing w:before="120" w:after="120"/>
        <w:jc w:val="both"/>
        <w:rPr>
          <w:rFonts w:asciiTheme="minorHAnsi" w:hAnsiTheme="minorHAnsi" w:cstheme="minorHAnsi"/>
        </w:rPr>
      </w:pPr>
      <w:bookmarkStart w:id="6" w:name="_Hlk170312529"/>
      <w:r w:rsidRPr="0045178B">
        <w:rPr>
          <w:rFonts w:asciiTheme="minorHAnsi" w:hAnsiTheme="minorHAnsi" w:cstheme="minorHAnsi"/>
        </w:rPr>
        <w:t>Deporte: derecho de los extranjeros sin autorización administrativa al deporte federado</w:t>
      </w:r>
      <w:bookmarkEnd w:id="6"/>
    </w:p>
    <w:p w14:paraId="29B86A86" w14:textId="77777777" w:rsidR="00D84D3B" w:rsidRPr="00D84D3B" w:rsidRDefault="00D84D3B" w:rsidP="004E0E8D">
      <w:pPr>
        <w:pStyle w:val="NormalInforme"/>
        <w:ind w:firstLine="0"/>
      </w:pPr>
      <w:r w:rsidRPr="00D84D3B">
        <w:t xml:space="preserve">El Defensor del Pueblo recibió </w:t>
      </w:r>
      <w:hyperlink r:id="rId29" w:anchor="s_documentos" w:history="1">
        <w:r w:rsidRPr="00D84D3B">
          <w:rPr>
            <w:rStyle w:val="Hyperlink"/>
            <w:rFonts w:cstheme="minorHAnsi"/>
            <w:szCs w:val="22"/>
          </w:rPr>
          <w:t xml:space="preserve">solicitudes para interponer un recurso de inconstitucionalidad contra los artículos 9, 48.3 y 49.5 de la Ley 39/2022, de 30 de </w:t>
        </w:r>
        <w:r w:rsidRPr="00D84D3B">
          <w:rPr>
            <w:rStyle w:val="Hyperlink"/>
            <w:rFonts w:cstheme="minorHAnsi"/>
            <w:szCs w:val="22"/>
          </w:rPr>
          <w:lastRenderedPageBreak/>
          <w:t>diciembre, del Deporte</w:t>
        </w:r>
      </w:hyperlink>
      <w:r w:rsidRPr="00D84D3B">
        <w:t>. Estos artículos tratan sobre la promoción de la práctica deportiva para personas extranjeras con residencia legal en España y la eliminación de obstáculos para su participación en actividades deportivas. Varias asociaciones argumentaron que estos artículos son discriminatorios y violan varios artículos de la Constitución y leyes orgánicas, así como tratados internacionales, al no incluir a los extranjeros en situación irregular.</w:t>
      </w:r>
    </w:p>
    <w:p w14:paraId="22DB6C62" w14:textId="77777777" w:rsidR="00D84D3B" w:rsidRPr="00D84D3B" w:rsidRDefault="00D84D3B" w:rsidP="004E0E8D">
      <w:pPr>
        <w:pStyle w:val="NormalInforme"/>
      </w:pPr>
      <w:r w:rsidRPr="00D84D3B">
        <w:t xml:space="preserve">El Defensor del Pueblo analizó la constitucionalidad de los preceptos impugnados, señalando que la promoción del deporte y la eliminación de obstáculos para su práctica están enmarcados dentro de las competencias del legislador, quien tiene un amplio margen de maniobra. Se enfatizó que los principios rectores de la política social y económica deben informar la legislación y la práctica judicial, pero no enuncian derechos fundamentales por sí mismos. </w:t>
      </w:r>
    </w:p>
    <w:p w14:paraId="56D99F27" w14:textId="77777777" w:rsidR="00D84D3B" w:rsidRPr="00D84D3B" w:rsidRDefault="00D84D3B" w:rsidP="004E0E8D">
      <w:pPr>
        <w:pStyle w:val="NormalInforme"/>
      </w:pPr>
      <w:r w:rsidRPr="00D84D3B">
        <w:t xml:space="preserve">La Ley del Deporte, en su artículo 2, reconoce el derecho a la práctica deportiva a todas las personas, independientemente de su situación administrativa. La Ley también establece obligaciones específicas para la promoción del deporte y la eliminación de obstáculos discriminatorios, sin que esto implique exclusión de otros colectivos. </w:t>
      </w:r>
    </w:p>
    <w:p w14:paraId="75BB73CE" w14:textId="77777777" w:rsidR="00D84D3B" w:rsidRPr="00D84D3B" w:rsidRDefault="00D84D3B" w:rsidP="004E0E8D">
      <w:pPr>
        <w:pStyle w:val="NormalInforme"/>
      </w:pPr>
      <w:r w:rsidRPr="00D84D3B">
        <w:rPr>
          <w:rFonts w:eastAsia="Arial Unicode MS"/>
        </w:rPr>
        <w:t xml:space="preserve">Aunque el Defensor del Pueblo decidió no interponer el recurso de inconstitucionalidad solicitado, sugirió </w:t>
      </w:r>
      <w:r w:rsidRPr="00D84D3B">
        <w:t xml:space="preserve">que el desarrollo reglamentario de la Ley del Deporte vigente debe expresar con claridad que los extranjeros sin autorización administrativa, incluidos los menores de edad, pueden practicar el deporte federado. Además, se recomendó modificar el reglamento federativo para que no sea necesaria la acreditación de la residencia legal en España para la inscripción de menores de edad en el ámbito del fútbol aficionado. </w:t>
      </w:r>
    </w:p>
    <w:p w14:paraId="3356A178" w14:textId="77777777" w:rsidR="00D84D3B" w:rsidRPr="00D84D3B" w:rsidRDefault="00D84D3B" w:rsidP="004E0E8D">
      <w:pPr>
        <w:pStyle w:val="NormalInforme"/>
      </w:pPr>
      <w:r w:rsidRPr="00D84D3B">
        <w:t>En su resolución, el Defensor ha instado una modificación legislativa para evitar interpretaciones que puedan limitar el ejercicio de los derechos en los términos señalados.</w:t>
      </w:r>
    </w:p>
    <w:p w14:paraId="1D7D4759" w14:textId="77777777" w:rsidR="00D84D3B" w:rsidRPr="00D84D3B" w:rsidRDefault="00D84D3B" w:rsidP="004E0E8D">
      <w:pPr>
        <w:pStyle w:val="Heading1"/>
        <w:spacing w:after="240"/>
        <w:jc w:val="both"/>
        <w:rPr>
          <w:rFonts w:asciiTheme="minorHAnsi" w:hAnsiTheme="minorHAnsi" w:cstheme="minorHAnsi"/>
          <w:b/>
          <w:sz w:val="28"/>
          <w:szCs w:val="28"/>
        </w:rPr>
      </w:pPr>
      <w:r w:rsidRPr="00D84D3B">
        <w:rPr>
          <w:rFonts w:asciiTheme="minorHAnsi" w:hAnsiTheme="minorHAnsi" w:cstheme="minorHAnsi"/>
          <w:b/>
          <w:sz w:val="28"/>
          <w:szCs w:val="28"/>
        </w:rPr>
        <w:lastRenderedPageBreak/>
        <w:t>VIII. Medidas especiales de protección</w:t>
      </w:r>
    </w:p>
    <w:p w14:paraId="6A26D122" w14:textId="77777777" w:rsidR="00D84D3B" w:rsidRPr="006E703B" w:rsidRDefault="00D84D3B" w:rsidP="004E0E8D">
      <w:pPr>
        <w:pStyle w:val="Heading2"/>
        <w:spacing w:before="120" w:after="120"/>
        <w:jc w:val="both"/>
        <w:rPr>
          <w:rFonts w:asciiTheme="minorHAnsi" w:hAnsiTheme="minorHAnsi" w:cstheme="minorHAnsi"/>
          <w:sz w:val="28"/>
          <w:szCs w:val="28"/>
        </w:rPr>
      </w:pPr>
      <w:r w:rsidRPr="006E703B">
        <w:rPr>
          <w:rFonts w:asciiTheme="minorHAnsi" w:hAnsiTheme="minorHAnsi" w:cstheme="minorHAnsi"/>
          <w:sz w:val="28"/>
          <w:szCs w:val="28"/>
        </w:rPr>
        <w:t>Niños solicitantes de asilo, refugiados y no acompañados</w:t>
      </w:r>
      <w:r w:rsidR="0041475A" w:rsidRPr="006E703B">
        <w:rPr>
          <w:rFonts w:asciiTheme="minorHAnsi" w:hAnsiTheme="minorHAnsi" w:cstheme="minorHAnsi"/>
          <w:sz w:val="28"/>
          <w:szCs w:val="28"/>
        </w:rPr>
        <w:t xml:space="preserve"> </w:t>
      </w:r>
      <w:r w:rsidRPr="006E703B">
        <w:rPr>
          <w:rFonts w:asciiTheme="minorHAnsi" w:hAnsiTheme="minorHAnsi" w:cstheme="minorHAnsi"/>
          <w:sz w:val="28"/>
          <w:szCs w:val="28"/>
        </w:rPr>
        <w:t>y niños en situación de migración</w:t>
      </w:r>
    </w:p>
    <w:p w14:paraId="6E320135" w14:textId="77777777" w:rsidR="00D84D3B" w:rsidRPr="0045178B" w:rsidRDefault="00D84D3B" w:rsidP="004E0E8D">
      <w:pPr>
        <w:pStyle w:val="Heading3"/>
        <w:spacing w:before="120" w:after="120"/>
        <w:jc w:val="both"/>
        <w:rPr>
          <w:rFonts w:asciiTheme="minorHAnsi" w:hAnsiTheme="minorHAnsi" w:cstheme="minorHAnsi"/>
        </w:rPr>
      </w:pPr>
      <w:r w:rsidRPr="0045178B">
        <w:rPr>
          <w:rFonts w:asciiTheme="minorHAnsi" w:hAnsiTheme="minorHAnsi" w:cstheme="minorHAnsi"/>
        </w:rPr>
        <w:t>Niños solicitantes de protección internacional</w:t>
      </w:r>
    </w:p>
    <w:p w14:paraId="0F6531C3" w14:textId="77777777" w:rsidR="00D84D3B" w:rsidRPr="00D84D3B" w:rsidRDefault="00D84D3B" w:rsidP="004E0E8D">
      <w:pPr>
        <w:pStyle w:val="NormalInforme"/>
        <w:ind w:firstLine="0"/>
      </w:pPr>
      <w:r w:rsidRPr="00D84D3B">
        <w:t>La respuesta ofrecida a la crisis humanitaria provocada por la guerra de Ucrania ha sido un ejemplo de coordinación, que debería ser replicado en la política migratoria y de protección internacional. La apuesta europea por favorecer una migración legal, ordenada y segura debe llevarnos a evaluar la situación en la que se encuentran las oficinas de extranjería y los consulados, reforzando sus medios y su coordinación. Otro de los grandes desafíos es la necesidad de identificar de manera ágil entre las personas que intentan acceder a Europa de forma irregular, a aquellas que tienen necesidades de protección internacional.</w:t>
      </w:r>
    </w:p>
    <w:p w14:paraId="3832C1B5" w14:textId="77777777" w:rsidR="00D84D3B" w:rsidRPr="00D84D3B" w:rsidRDefault="00D84D3B" w:rsidP="004E0E8D">
      <w:pPr>
        <w:pStyle w:val="NormalInforme"/>
      </w:pPr>
      <w:r w:rsidRPr="00D84D3B">
        <w:t xml:space="preserve">El Defensor del Pueblo sigue recomendando un trato diferenciado para las peticiones de protección internacional de menores de edad, como se indicó en el informe de 2017. En la queja abierta tras la visita al Centro de Menores La Purísima de Melilla, trasladó a la Fiscalía General del Estado que los menores enfrentan dificultades para solicitar protección internacional debido a la necesidad de esperar la determinación de su edad. Una interpretación errónea del procedimiento </w:t>
      </w:r>
      <w:r w:rsidRPr="00D84D3B">
        <w:rPr>
          <w:rFonts w:eastAsiaTheme="majorEastAsia"/>
          <w:bCs/>
        </w:rPr>
        <w:t>de protección internacional</w:t>
      </w:r>
      <w:r w:rsidRPr="00D84D3B">
        <w:rPr>
          <w:color w:val="C45911" w:themeColor="accent2" w:themeShade="BF"/>
        </w:rPr>
        <w:t xml:space="preserve"> </w:t>
      </w:r>
      <w:r w:rsidRPr="00D84D3B">
        <w:t>ha vinculado esta solicitud a la previa determinación de la edad.</w:t>
      </w:r>
    </w:p>
    <w:p w14:paraId="0E3E1B9E" w14:textId="77777777" w:rsidR="00D84D3B" w:rsidRPr="00D84D3B" w:rsidRDefault="00D84D3B" w:rsidP="004E0E8D">
      <w:pPr>
        <w:pStyle w:val="NormalInforme"/>
      </w:pPr>
      <w:r w:rsidRPr="00D84D3B">
        <w:t>La Fiscalía de Área de Melilla ha tomado medidas para asegurar que los menores puedan manifestar y registrar su voluntad de solicitar protección internacional durante el procedimiento de determinación de edad, informándoles de sus derechos y opciones disponibles.</w:t>
      </w:r>
    </w:p>
    <w:p w14:paraId="7FB62E39" w14:textId="77777777" w:rsidR="00D84D3B" w:rsidRPr="00D84D3B" w:rsidRDefault="00D84D3B" w:rsidP="004E0E8D">
      <w:pPr>
        <w:pStyle w:val="NormalInforme"/>
        <w:rPr>
          <w:rFonts w:cstheme="minorHAnsi"/>
          <w:szCs w:val="22"/>
        </w:rPr>
      </w:pPr>
      <w:r w:rsidRPr="00D84D3B">
        <w:rPr>
          <w:rFonts w:cstheme="minorHAnsi"/>
          <w:szCs w:val="22"/>
        </w:rPr>
        <w:t>A pesar de estos esfuerzos, siguen detectándose casos de menores en centros de protección que necesitan protección internacional, pero no pueden tramitar su solicitud. En el informe anual, el Defensor del Pueblo mencionó específicamente el caso de Canarias, destacando la dificultad de combinar la atención inmediata con la detección de necesidades de protección internacional o indicadores de trata de seres humanos. Se solicitó a la Secretaría de Estado de Derechos Sociales que en el próximo programa estratégico plurianual del Fondo Europeo de Asilo, Migración e Integración, se prioricen estas cuestiones.</w:t>
      </w:r>
    </w:p>
    <w:p w14:paraId="0B1838E5" w14:textId="77777777" w:rsidR="00D84D3B" w:rsidRPr="00D84D3B" w:rsidRDefault="00D84D3B" w:rsidP="004E0E8D">
      <w:pPr>
        <w:pStyle w:val="NormalInforme"/>
        <w:rPr>
          <w:rFonts w:cstheme="minorHAnsi"/>
          <w:szCs w:val="22"/>
        </w:rPr>
      </w:pPr>
      <w:r w:rsidRPr="00D84D3B">
        <w:rPr>
          <w:rFonts w:cstheme="minorHAnsi"/>
          <w:szCs w:val="22"/>
        </w:rPr>
        <w:lastRenderedPageBreak/>
        <w:t xml:space="preserve">En el caso de menores acompañados, muchas familias enfrentan largas esperas para obtener una cita de protección internacional y acceder al sistema de acogida. Estos problemas se han mencionado en los informes anuales del Defensor del Pueblo de 2022 y 2023. En 2024, se han formulado varias </w:t>
      </w:r>
      <w:hyperlink r:id="rId30" w:history="1">
        <w:r w:rsidRPr="00D84D3B">
          <w:rPr>
            <w:rStyle w:val="Hyperlink"/>
            <w:rFonts w:cstheme="minorHAnsi"/>
            <w:szCs w:val="22"/>
          </w:rPr>
          <w:t>resoluciones</w:t>
        </w:r>
      </w:hyperlink>
      <w:r w:rsidRPr="00D84D3B">
        <w:rPr>
          <w:rFonts w:cstheme="minorHAnsi"/>
          <w:szCs w:val="22"/>
        </w:rPr>
        <w:t xml:space="preserve"> sobre este tema, destacando la especial vulnerabilidad de los menores según la Ley 12/2009.</w:t>
      </w:r>
    </w:p>
    <w:p w14:paraId="3B4B6A28" w14:textId="77777777" w:rsidR="00D84D3B" w:rsidRPr="00D84D3B" w:rsidRDefault="00D84D3B" w:rsidP="004E0E8D">
      <w:pPr>
        <w:pStyle w:val="NormalInforme"/>
        <w:rPr>
          <w:rFonts w:cstheme="minorHAnsi"/>
          <w:szCs w:val="22"/>
        </w:rPr>
      </w:pPr>
      <w:r w:rsidRPr="00D84D3B">
        <w:rPr>
          <w:rFonts w:cstheme="minorHAnsi"/>
          <w:szCs w:val="22"/>
        </w:rPr>
        <w:t xml:space="preserve">En 2022, el Defensor del Pueblo </w:t>
      </w:r>
      <w:hyperlink r:id="rId31" w:history="1">
        <w:r w:rsidRPr="00D84D3B">
          <w:rPr>
            <w:rStyle w:val="Hyperlink"/>
            <w:rFonts w:cstheme="minorHAnsi"/>
            <w:szCs w:val="22"/>
          </w:rPr>
          <w:t>recordó al Ministerio de Inclusión, Seguridad Social y Migraciones</w:t>
        </w:r>
      </w:hyperlink>
      <w:r w:rsidRPr="00D84D3B">
        <w:rPr>
          <w:rFonts w:cstheme="minorHAnsi"/>
          <w:szCs w:val="22"/>
        </w:rPr>
        <w:t xml:space="preserve"> la necesidad de una respuesta más ágil para los grupos vulnerables. Aunque el Reglamento del sistema de acogida (Real Decreto 220/2022) prioriza la unidad familiar y el interés superior del menor, se han detectado deficiencias en recursos especializados y protocolos específicos de protección infantil.</w:t>
      </w:r>
    </w:p>
    <w:p w14:paraId="57344683" w14:textId="77777777" w:rsidR="00D84D3B" w:rsidRPr="00D84D3B" w:rsidRDefault="00D84D3B" w:rsidP="004E0E8D">
      <w:pPr>
        <w:pStyle w:val="NormalInforme"/>
      </w:pPr>
      <w:r w:rsidRPr="00D84D3B">
        <w:t xml:space="preserve">Se han formulado Sugerencias a la Dirección General de Atención Humanitaria y del Sistema de Acogida de Protección Internacional para mejorar la consideración del interés superior del menor y el derecho a la unidad familiar. Además, se </w:t>
      </w:r>
      <w:hyperlink r:id="rId32" w:history="1">
        <w:r w:rsidRPr="00D84D3B">
          <w:rPr>
            <w:rStyle w:val="Hyperlink"/>
            <w:rFonts w:cstheme="minorHAnsi"/>
            <w:szCs w:val="22"/>
          </w:rPr>
          <w:t>recomendó a la Dirección General de la Policía</w:t>
        </w:r>
      </w:hyperlink>
      <w:r w:rsidRPr="00D84D3B">
        <w:t xml:space="preserve"> facilitar el acceso al procedimiento </w:t>
      </w:r>
      <w:r w:rsidRPr="00D84D3B">
        <w:rPr>
          <w:rFonts w:eastAsiaTheme="majorEastAsia"/>
          <w:bCs/>
        </w:rPr>
        <w:t>de protección</w:t>
      </w:r>
      <w:r w:rsidRPr="00D84D3B">
        <w:rPr>
          <w:color w:val="C45911" w:themeColor="accent2" w:themeShade="BF"/>
        </w:rPr>
        <w:t xml:space="preserve"> </w:t>
      </w:r>
      <w:r w:rsidRPr="00D84D3B">
        <w:rPr>
          <w:rFonts w:eastAsiaTheme="majorEastAsia"/>
          <w:bCs/>
        </w:rPr>
        <w:t>internacional a menores</w:t>
      </w:r>
      <w:r w:rsidRPr="00D84D3B">
        <w:t xml:space="preserve">, </w:t>
      </w:r>
      <w:hyperlink r:id="rId33" w:history="1">
        <w:r w:rsidRPr="00D84D3B">
          <w:rPr>
            <w:rStyle w:val="Hyperlink"/>
            <w:rFonts w:cstheme="minorHAnsi"/>
            <w:szCs w:val="22"/>
          </w:rPr>
          <w:t>incluso cuando falta uno de los progenitores</w:t>
        </w:r>
      </w:hyperlink>
      <w:r w:rsidRPr="00D84D3B">
        <w:t>.</w:t>
      </w:r>
    </w:p>
    <w:p w14:paraId="0B820275" w14:textId="77777777" w:rsidR="00D84D3B" w:rsidRPr="00D84D3B" w:rsidRDefault="00D84D3B" w:rsidP="004E0E8D">
      <w:pPr>
        <w:pStyle w:val="NormalInforme"/>
      </w:pPr>
      <w:r w:rsidRPr="00D84D3B">
        <w:t xml:space="preserve">Durante las visitas de supervisión al puesto fronterizo del Aeropuerto Adolfo Suárez Madrid-Barajas, se ha prestado especial atención a las condiciones de los menores. En diciembre de 2023, el Defensor del Pueblo </w:t>
      </w:r>
      <w:hyperlink r:id="rId34" w:history="1">
        <w:r w:rsidRPr="00D84D3B">
          <w:rPr>
            <w:rStyle w:val="Hyperlink"/>
            <w:rFonts w:cstheme="minorHAnsi"/>
            <w:szCs w:val="22"/>
          </w:rPr>
          <w:t>sugirió a la Secretaría de Estado de Migraciones</w:t>
        </w:r>
      </w:hyperlink>
      <w:r w:rsidRPr="00D84D3B">
        <w:t xml:space="preserve"> coordinar acciones con otras administraciones para cumplir con la Directiva de Acogida, haciendo referencia a menores, incluyendo aquellos con discapacidades graves.</w:t>
      </w:r>
    </w:p>
    <w:p w14:paraId="15A50771" w14:textId="77777777" w:rsidR="00D84D3B" w:rsidRPr="0045178B" w:rsidRDefault="00D84D3B" w:rsidP="004E0E8D">
      <w:pPr>
        <w:pStyle w:val="Heading3"/>
        <w:spacing w:before="120" w:after="120"/>
        <w:jc w:val="both"/>
        <w:rPr>
          <w:rFonts w:asciiTheme="minorHAnsi" w:hAnsiTheme="minorHAnsi" w:cstheme="minorHAnsi"/>
        </w:rPr>
      </w:pPr>
      <w:r w:rsidRPr="0045178B">
        <w:rPr>
          <w:rFonts w:asciiTheme="minorHAnsi" w:hAnsiTheme="minorHAnsi" w:cstheme="minorHAnsi"/>
        </w:rPr>
        <w:t>Niños no acompañados</w:t>
      </w:r>
    </w:p>
    <w:p w14:paraId="771B31B8" w14:textId="77777777" w:rsidR="00D84D3B" w:rsidRPr="00D84D3B" w:rsidRDefault="00D84D3B" w:rsidP="004407E4">
      <w:pPr>
        <w:pStyle w:val="NormalInforme"/>
        <w:ind w:firstLine="0"/>
      </w:pPr>
      <w:r w:rsidRPr="00D84D3B">
        <w:t>El Pleno de la Sala de lo Civil del Tribunal Supremo, en su sentencia de 29 de septiembre de 2014, estableció como doctrina jurisprudencial que los niños cuya minoría de edad se desprenda de su pasaporte o documento de identidad válido no pueden ser considerados extranjeros indocumentados, ni ser sometidos a pruebas de determinación de edad sin una justificación razonable. Esta doctrina ha sido reiterada en numerosas sentencias posteriores.</w:t>
      </w:r>
    </w:p>
    <w:p w14:paraId="694F5E78" w14:textId="77777777" w:rsidR="00D84D3B" w:rsidRPr="00D84D3B" w:rsidRDefault="00D84D3B" w:rsidP="004E0E8D">
      <w:pPr>
        <w:pStyle w:val="NormalInforme"/>
      </w:pPr>
      <w:r w:rsidRPr="00D84D3B">
        <w:t xml:space="preserve">La Sala Primera del Tribunal Constitucional, en su </w:t>
      </w:r>
      <w:hyperlink r:id="rId35" w:history="1">
        <w:r w:rsidRPr="00D84D3B">
          <w:rPr>
            <w:rStyle w:val="Hyperlink"/>
            <w:rFonts w:cstheme="minorHAnsi"/>
            <w:szCs w:val="22"/>
          </w:rPr>
          <w:t>Sentencia 130/2022</w:t>
        </w:r>
      </w:hyperlink>
      <w:r w:rsidRPr="00D84D3B">
        <w:rPr>
          <w:rStyle w:val="Hyperlink"/>
          <w:rFonts w:cstheme="minorHAnsi"/>
          <w:szCs w:val="22"/>
        </w:rPr>
        <w:t>,</w:t>
      </w:r>
      <w:r w:rsidRPr="00D84D3B">
        <w:t xml:space="preserve"> de 24 de octubre, otorgó amparo a un menor sometido a un procedimiento de determinación de edad, destacando que este procedimiento solo es aplicable a extranjeros </w:t>
      </w:r>
      <w:r w:rsidRPr="00D84D3B">
        <w:lastRenderedPageBreak/>
        <w:t>indocumentados cuya minoría de edad no puede establecerse claramente. Este pronunciamiento es significativo, ya que no había precedentes del Tribunal Constitucional sobre el uso del artículo 780 de la Ley de Enjuiciamiento Civil para impugnar la determinación de edad dictada por el ministerio fiscal.</w:t>
      </w:r>
    </w:p>
    <w:p w14:paraId="24E820E6" w14:textId="77777777" w:rsidR="00D84D3B" w:rsidRPr="00D84D3B" w:rsidRDefault="00D84D3B" w:rsidP="004E0E8D">
      <w:pPr>
        <w:pStyle w:val="NormalInforme"/>
      </w:pPr>
      <w:r w:rsidRPr="00D84D3B">
        <w:t xml:space="preserve">En la </w:t>
      </w:r>
      <w:hyperlink r:id="rId36" w:history="1">
        <w:r w:rsidRPr="00D84D3B">
          <w:rPr>
            <w:rStyle w:val="Hyperlink"/>
            <w:rFonts w:cstheme="minorHAnsi"/>
            <w:szCs w:val="22"/>
          </w:rPr>
          <w:t>Sentencia 40/2023</w:t>
        </w:r>
      </w:hyperlink>
      <w:r w:rsidRPr="00D84D3B">
        <w:rPr>
          <w:rStyle w:val="Hyperlink"/>
          <w:rFonts w:cstheme="minorHAnsi"/>
          <w:szCs w:val="22"/>
        </w:rPr>
        <w:t>,</w:t>
      </w:r>
      <w:r w:rsidRPr="00D84D3B">
        <w:t xml:space="preserve"> de 8 de mayo, la misma sala del Tribunal Constitucional concedió amparo a un joven cuya mayoría de edad fue determinada por decreto de la fiscalía, a pesar de contar con documentación válida. El tribunal señaló que su derecho a la tutela judicial efectiva fue vulnerado, ya que el joven buscaba el reconocimiento de la autenticidad de su documentación.</w:t>
      </w:r>
    </w:p>
    <w:p w14:paraId="7842E254" w14:textId="77777777" w:rsidR="00D84D3B" w:rsidRPr="00D84D3B" w:rsidRDefault="00D84D3B" w:rsidP="004E0E8D">
      <w:pPr>
        <w:pStyle w:val="NormalInforme"/>
      </w:pPr>
      <w:r w:rsidRPr="00D84D3B">
        <w:t xml:space="preserve">A pesar de estas sentencias, siguen existiendo quejas sobre la falta de reconocimiento de pasaportes y otros documentos de identidad de menores procedentes de África occidental, incluso cuando estos documentos están certificados por las autoridades consulares. Estos menores son sometidos a procedimientos de determinación de edad que a menudo concluyen que son mayores de edad, en contradicción con su documentación. </w:t>
      </w:r>
    </w:p>
    <w:p w14:paraId="38F1BB5C" w14:textId="77777777" w:rsidR="00D84D3B" w:rsidRPr="00D84D3B" w:rsidRDefault="00D84D3B" w:rsidP="004E0E8D">
      <w:pPr>
        <w:pStyle w:val="NormalInforme"/>
      </w:pPr>
      <w:r w:rsidRPr="00D84D3B">
        <w:t>Esta institución ha señalado la improcedencia de incoar procedimientos de determinación de la edad a extranjeros documentados.</w:t>
      </w:r>
    </w:p>
    <w:p w14:paraId="2CAD823A" w14:textId="77777777" w:rsidR="00D84D3B" w:rsidRPr="006E703B" w:rsidRDefault="00D84D3B" w:rsidP="006E703B">
      <w:pPr>
        <w:pStyle w:val="Heading2"/>
        <w:spacing w:before="120" w:after="120"/>
        <w:jc w:val="both"/>
        <w:rPr>
          <w:rFonts w:asciiTheme="minorHAnsi" w:hAnsiTheme="minorHAnsi" w:cstheme="minorHAnsi"/>
          <w:sz w:val="28"/>
          <w:szCs w:val="28"/>
        </w:rPr>
      </w:pPr>
      <w:r w:rsidRPr="006E703B">
        <w:rPr>
          <w:rFonts w:asciiTheme="minorHAnsi" w:hAnsiTheme="minorHAnsi" w:cstheme="minorHAnsi"/>
          <w:sz w:val="28"/>
          <w:szCs w:val="28"/>
        </w:rPr>
        <w:t>Administración de la justicia juvenil</w:t>
      </w:r>
    </w:p>
    <w:p w14:paraId="1769C1B1" w14:textId="77777777" w:rsidR="00D84D3B" w:rsidRPr="0045178B" w:rsidRDefault="00D84D3B" w:rsidP="004E0E8D">
      <w:pPr>
        <w:pStyle w:val="Heading3"/>
        <w:spacing w:before="120" w:after="120"/>
        <w:jc w:val="both"/>
        <w:rPr>
          <w:rFonts w:asciiTheme="minorHAnsi" w:hAnsiTheme="minorHAnsi" w:cstheme="minorHAnsi"/>
        </w:rPr>
      </w:pPr>
      <w:r w:rsidRPr="0045178B">
        <w:rPr>
          <w:rFonts w:asciiTheme="minorHAnsi" w:hAnsiTheme="minorHAnsi" w:cstheme="minorHAnsi"/>
        </w:rPr>
        <w:t xml:space="preserve">Supresión de las contenciones mecánicas en los centros de internamiento de menores infractores (CIMI) </w:t>
      </w:r>
    </w:p>
    <w:p w14:paraId="4F3855E0" w14:textId="77777777" w:rsidR="00D84D3B" w:rsidRPr="00D84D3B" w:rsidRDefault="00D84D3B" w:rsidP="004E0E8D">
      <w:pPr>
        <w:pStyle w:val="NormalInforme"/>
        <w:ind w:firstLine="0"/>
      </w:pPr>
      <w:r w:rsidRPr="00D84D3B">
        <w:t>Entre las propuestas para una mejor garantía de los derechos de los ciudadanos, hechas por el Defensor del Pueblo en el ámbito de la Administración de Justicia, puede destacarse la Recomendación para la derogación del artículo 55.2 c) del Real Decreto 1774/2004, por el que se aprueba el Reglamento de la Ley Orgánica 5/2000, de responsabilidad penal de los menores, que permitía la sujeción mecánica como medio de contención empleable en los centros de internamiento de menores infractores (CIMI) de todo el territorio nacional, y que fue aceptada por el Ministerio de Justicia.</w:t>
      </w:r>
    </w:p>
    <w:p w14:paraId="3F436384" w14:textId="77777777" w:rsidR="00D84D3B" w:rsidRPr="00D84D3B" w:rsidRDefault="00D84D3B" w:rsidP="004E0E8D">
      <w:pPr>
        <w:pStyle w:val="NormalInforme"/>
      </w:pPr>
      <w:r w:rsidRPr="00D84D3B">
        <w:t xml:space="preserve">Esta Recomendación obedece a la convicción del Defensor del Pueblo de que la sujeción mecánica puede —y debe— sustituirse por métodos alternativos, más respetuosos con la dignidad de las personas y más acordes con la función educativa que deben desempeñar los centros de internamiento de menores infractores. La </w:t>
      </w:r>
      <w:r w:rsidRPr="00D84D3B">
        <w:lastRenderedPageBreak/>
        <w:t xml:space="preserve">Recomendación fue finalmente incluida en la Ley Orgánica 8/2021, de 4 de junio, de protección integral a la infancia y la adolescencia frente a la violencia, lo que </w:t>
      </w:r>
      <w:hyperlink r:id="rId37" w:history="1">
        <w:r w:rsidRPr="0029140D">
          <w:rPr>
            <w:rStyle w:val="Hyperlink"/>
          </w:rPr>
          <w:t xml:space="preserve">el Defensor ha </w:t>
        </w:r>
        <w:r w:rsidRPr="0029140D">
          <w:rPr>
            <w:rStyle w:val="Hyperlink"/>
            <w:rFonts w:cstheme="minorHAnsi"/>
            <w:szCs w:val="22"/>
          </w:rPr>
          <w:t>valorado positivamente</w:t>
        </w:r>
      </w:hyperlink>
      <w:r w:rsidRPr="00D84D3B">
        <w:t>, ya que esta medida es un avance significativo en la protección de los derechos de los menores privados de libertad y en la promoción de un enfoque rehabilitador en lugar de punitivo​.</w:t>
      </w:r>
    </w:p>
    <w:p w14:paraId="174DA36F" w14:textId="77777777" w:rsidR="00D84D3B" w:rsidRPr="006E703B" w:rsidRDefault="00263DA6" w:rsidP="004E0E8D">
      <w:pPr>
        <w:pStyle w:val="Heading2"/>
        <w:spacing w:before="120" w:after="120"/>
        <w:jc w:val="both"/>
        <w:rPr>
          <w:rFonts w:asciiTheme="minorHAnsi" w:hAnsiTheme="minorHAnsi" w:cstheme="minorHAnsi"/>
          <w:sz w:val="28"/>
          <w:szCs w:val="28"/>
        </w:rPr>
      </w:pPr>
      <w:r>
        <w:rPr>
          <w:rFonts w:asciiTheme="minorHAnsi" w:hAnsiTheme="minorHAnsi" w:cstheme="minorHAnsi"/>
          <w:sz w:val="28"/>
          <w:szCs w:val="28"/>
        </w:rPr>
        <w:t>A</w:t>
      </w:r>
      <w:r w:rsidR="00D84D3B" w:rsidRPr="006E703B">
        <w:rPr>
          <w:rFonts w:asciiTheme="minorHAnsi" w:hAnsiTheme="minorHAnsi" w:cstheme="minorHAnsi"/>
          <w:sz w:val="28"/>
          <w:szCs w:val="28"/>
        </w:rPr>
        <w:t>daptación de los centros docentes a las temperaturas extremas</w:t>
      </w:r>
    </w:p>
    <w:p w14:paraId="1883A30E" w14:textId="77777777" w:rsidR="00D84D3B" w:rsidRPr="00D84D3B" w:rsidRDefault="00D84D3B" w:rsidP="004E0E8D">
      <w:pPr>
        <w:pStyle w:val="NormalInforme"/>
        <w:ind w:firstLine="0"/>
      </w:pPr>
      <w:r w:rsidRPr="00D84D3B">
        <w:t>En 2023 se iniciaron actuaciones de oficio sobre la adaptación de los centros docentes a las temperaturas extremas. Los informes recibidos reflejan administraciones con protocolos muy elaborados —por ejemplo, Andalucía— y otras con escasas previsiones o pendientes de aprobar. Se constata una buena actitud en este asunto, pero, con carácter general, la planificación de las medidas es insuficiente.</w:t>
      </w:r>
    </w:p>
    <w:sectPr w:rsidR="00D84D3B" w:rsidRPr="00D84D3B" w:rsidSect="003825B1">
      <w:headerReference w:type="default" r:id="rId38"/>
      <w:footerReference w:type="default" r:id="rId39"/>
      <w:type w:val="continuous"/>
      <w:pgSz w:w="11906" w:h="16838"/>
      <w:pgMar w:top="2977" w:right="1701" w:bottom="1843"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857A00" w14:textId="77777777" w:rsidR="00F634F8" w:rsidRDefault="00F634F8" w:rsidP="00A46B59">
      <w:r>
        <w:separator/>
      </w:r>
    </w:p>
  </w:endnote>
  <w:endnote w:type="continuationSeparator" w:id="0">
    <w:p w14:paraId="45E07B41" w14:textId="77777777" w:rsidR="00F634F8" w:rsidRDefault="00F634F8" w:rsidP="00A46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Unicode MS">
    <w:panose1 w:val="020B0604020202020204"/>
    <w:charset w:val="00"/>
    <w:family w:val="roman"/>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2CA3B6" w14:textId="77777777" w:rsidR="006D356E" w:rsidRDefault="006D35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29472504"/>
      <w:docPartObj>
        <w:docPartGallery w:val="Page Numbers (Bottom of Page)"/>
        <w:docPartUnique/>
      </w:docPartObj>
    </w:sdtPr>
    <w:sdtEndPr/>
    <w:sdtContent>
      <w:p w14:paraId="60982C7B" w14:textId="77777777" w:rsidR="008F4EA4" w:rsidRDefault="008F4EA4">
        <w:pPr>
          <w:pStyle w:val="Footer"/>
          <w:jc w:val="right"/>
        </w:pPr>
        <w:r>
          <w:fldChar w:fldCharType="begin"/>
        </w:r>
        <w:r>
          <w:instrText>PAGE   \* MERGEFORMAT</w:instrText>
        </w:r>
        <w:r>
          <w:fldChar w:fldCharType="separate"/>
        </w:r>
        <w:r>
          <w:rPr>
            <w:lang w:val="es-ES"/>
          </w:rPr>
          <w:t>2</w:t>
        </w:r>
        <w:r>
          <w:fldChar w:fldCharType="end"/>
        </w:r>
      </w:p>
    </w:sdtContent>
  </w:sdt>
  <w:p w14:paraId="48EF4BDE" w14:textId="77777777" w:rsidR="008F4EA4" w:rsidRDefault="008F4E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86316038"/>
      <w:docPartObj>
        <w:docPartGallery w:val="Page Numbers (Bottom of Page)"/>
        <w:docPartUnique/>
      </w:docPartObj>
    </w:sdtPr>
    <w:sdtEndPr/>
    <w:sdtContent>
      <w:p w14:paraId="5D8F9C42" w14:textId="77777777" w:rsidR="003825B1" w:rsidRDefault="003825B1" w:rsidP="003825B1">
        <w:pPr>
          <w:pStyle w:val="Footer"/>
          <w:jc w:val="right"/>
        </w:pPr>
        <w:r>
          <w:fldChar w:fldCharType="begin"/>
        </w:r>
        <w:r>
          <w:instrText>PAGE   \* MERGEFORMAT</w:instrText>
        </w:r>
        <w:r>
          <w:fldChar w:fldCharType="separate"/>
        </w:r>
        <w:r>
          <w:t>2</w:t>
        </w:r>
        <w:r>
          <w:fldChar w:fldCharType="end"/>
        </w:r>
      </w:p>
    </w:sdtContent>
  </w:sdt>
  <w:p w14:paraId="696A69E3" w14:textId="77777777" w:rsidR="003825B1" w:rsidRDefault="003825B1">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95334525"/>
      <w:docPartObj>
        <w:docPartGallery w:val="Page Numbers (Bottom of Page)"/>
        <w:docPartUnique/>
      </w:docPartObj>
    </w:sdtPr>
    <w:sdtEndPr/>
    <w:sdtContent>
      <w:p w14:paraId="4208A0B2" w14:textId="77777777" w:rsidR="003825B1" w:rsidRDefault="003825B1">
        <w:pPr>
          <w:pStyle w:val="Footer"/>
          <w:jc w:val="right"/>
        </w:pPr>
        <w:r>
          <w:fldChar w:fldCharType="begin"/>
        </w:r>
        <w:r>
          <w:instrText>PAGE   \* MERGEFORMAT</w:instrText>
        </w:r>
        <w:r>
          <w:fldChar w:fldCharType="separate"/>
        </w:r>
        <w:r>
          <w:rPr>
            <w:lang w:val="es-ES"/>
          </w:rPr>
          <w:t>2</w:t>
        </w:r>
        <w:r>
          <w:fldChar w:fldCharType="end"/>
        </w:r>
      </w:p>
    </w:sdtContent>
  </w:sdt>
  <w:p w14:paraId="6009AA66" w14:textId="77777777" w:rsidR="003825B1" w:rsidRDefault="003825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131FBD" w14:textId="77777777" w:rsidR="00F634F8" w:rsidRDefault="00F634F8" w:rsidP="00A46B59">
      <w:r>
        <w:separator/>
      </w:r>
    </w:p>
  </w:footnote>
  <w:footnote w:type="continuationSeparator" w:id="0">
    <w:p w14:paraId="133F2FD4" w14:textId="77777777" w:rsidR="00F634F8" w:rsidRDefault="00F634F8" w:rsidP="00A46B59">
      <w:r>
        <w:continuationSeparator/>
      </w:r>
    </w:p>
  </w:footnote>
  <w:footnote w:id="1">
    <w:p w14:paraId="22E3589C" w14:textId="77777777" w:rsidR="00D84D3B" w:rsidRPr="00EB3EA6" w:rsidRDefault="00D84D3B" w:rsidP="001231CC">
      <w:pPr>
        <w:pStyle w:val="Footer"/>
        <w:ind w:hanging="170"/>
        <w:jc w:val="both"/>
        <w:rPr>
          <w:sz w:val="20"/>
          <w:szCs w:val="20"/>
        </w:rPr>
      </w:pPr>
      <w:r>
        <w:rPr>
          <w:rStyle w:val="FootnoteReference"/>
        </w:rPr>
        <w:footnoteRef/>
      </w:r>
      <w:r>
        <w:t xml:space="preserve"> </w:t>
      </w:r>
      <w:r w:rsidR="001231CC">
        <w:tab/>
      </w:r>
      <w:r w:rsidRPr="00EB3EA6">
        <w:rPr>
          <w:sz w:val="20"/>
          <w:szCs w:val="20"/>
        </w:rPr>
        <w:t xml:space="preserve">Vid. pág. 67: </w:t>
      </w:r>
      <w:hyperlink r:id="rId1" w:history="1">
        <w:r w:rsidRPr="00EB3EA6">
          <w:rPr>
            <w:rStyle w:val="Hyperlink"/>
            <w:sz w:val="20"/>
            <w:szCs w:val="20"/>
          </w:rPr>
          <w:t>Defensor</w:t>
        </w:r>
        <w:r w:rsidR="005A0BC3">
          <w:rPr>
            <w:rStyle w:val="Hyperlink"/>
            <w:sz w:val="20"/>
            <w:szCs w:val="20"/>
          </w:rPr>
          <w:t xml:space="preserve"> </w:t>
        </w:r>
        <w:r w:rsidRPr="00EB3EA6">
          <w:rPr>
            <w:rStyle w:val="Hyperlink"/>
            <w:sz w:val="20"/>
            <w:szCs w:val="20"/>
          </w:rPr>
          <w:t>del</w:t>
        </w:r>
        <w:r w:rsidR="005A0BC3">
          <w:rPr>
            <w:rStyle w:val="Hyperlink"/>
            <w:sz w:val="20"/>
            <w:szCs w:val="20"/>
          </w:rPr>
          <w:t xml:space="preserve"> </w:t>
        </w:r>
        <w:r w:rsidRPr="00EB3EA6">
          <w:rPr>
            <w:rStyle w:val="Hyperlink"/>
            <w:sz w:val="20"/>
            <w:szCs w:val="20"/>
          </w:rPr>
          <w:t>Pueblo</w:t>
        </w:r>
        <w:r w:rsidR="005A0BC3">
          <w:rPr>
            <w:rStyle w:val="Hyperlink"/>
            <w:sz w:val="20"/>
            <w:szCs w:val="20"/>
          </w:rPr>
          <w:t>,</w:t>
        </w:r>
        <w:r w:rsidR="001D204C">
          <w:rPr>
            <w:rStyle w:val="Hyperlink"/>
            <w:sz w:val="20"/>
            <w:szCs w:val="20"/>
          </w:rPr>
          <w:t xml:space="preserve"> </w:t>
        </w:r>
        <w:r w:rsidRPr="001D204C">
          <w:rPr>
            <w:rStyle w:val="Hyperlink"/>
            <w:i/>
            <w:sz w:val="20"/>
            <w:szCs w:val="20"/>
          </w:rPr>
          <w:t>Informe</w:t>
        </w:r>
        <w:r w:rsidR="005A0BC3" w:rsidRPr="001D204C">
          <w:rPr>
            <w:rStyle w:val="Hyperlink"/>
            <w:i/>
            <w:sz w:val="20"/>
            <w:szCs w:val="20"/>
          </w:rPr>
          <w:t xml:space="preserve"> </w:t>
        </w:r>
        <w:r w:rsidRPr="001D204C">
          <w:rPr>
            <w:rStyle w:val="Hyperlink"/>
            <w:i/>
            <w:sz w:val="20"/>
            <w:szCs w:val="20"/>
          </w:rPr>
          <w:t>anual</w:t>
        </w:r>
        <w:r w:rsidR="005A0BC3" w:rsidRPr="001D204C">
          <w:rPr>
            <w:rStyle w:val="Hyperlink"/>
            <w:i/>
            <w:sz w:val="20"/>
            <w:szCs w:val="20"/>
          </w:rPr>
          <w:t xml:space="preserve"> </w:t>
        </w:r>
        <w:r w:rsidRPr="001D204C">
          <w:rPr>
            <w:rStyle w:val="Hyperlink"/>
            <w:i/>
            <w:sz w:val="20"/>
            <w:szCs w:val="20"/>
          </w:rPr>
          <w:t>2023</w:t>
        </w:r>
      </w:hyperlink>
    </w:p>
  </w:footnote>
  <w:footnote w:id="2">
    <w:p w14:paraId="06CB25DA" w14:textId="77777777" w:rsidR="00D84D3B" w:rsidRPr="00EB3EA6" w:rsidRDefault="00D84D3B" w:rsidP="001231CC">
      <w:pPr>
        <w:pStyle w:val="Footer"/>
        <w:ind w:hanging="170"/>
        <w:jc w:val="both"/>
        <w:rPr>
          <w:sz w:val="20"/>
          <w:szCs w:val="20"/>
        </w:rPr>
      </w:pPr>
      <w:r w:rsidRPr="00EB3EA6">
        <w:rPr>
          <w:rStyle w:val="FootnoteReference"/>
          <w:sz w:val="20"/>
          <w:szCs w:val="20"/>
        </w:rPr>
        <w:footnoteRef/>
      </w:r>
      <w:r w:rsidRPr="00EB3EA6">
        <w:rPr>
          <w:sz w:val="20"/>
          <w:szCs w:val="20"/>
        </w:rPr>
        <w:t xml:space="preserve"> </w:t>
      </w:r>
      <w:r w:rsidR="001231CC">
        <w:rPr>
          <w:sz w:val="20"/>
          <w:szCs w:val="20"/>
        </w:rPr>
        <w:tab/>
      </w:r>
      <w:r w:rsidRPr="001231CC">
        <w:t>La atención a la infancia y la adolescencia ha sido mayoritariamente asumida por las comunidades autónomas (salvo en Ceuta y Melilla), amparándose en la Constitución española (bien a partir del artículo 148.1.20, relativo a la competencia en «asistencia social», y en virtud de las competencias asumidas por sus estatutos de autonomía).</w:t>
      </w:r>
      <w:r w:rsidRPr="00EB3EA6">
        <w:rPr>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CF562D" w14:textId="77777777" w:rsidR="006D356E" w:rsidRDefault="006D35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226E1E" w14:textId="77777777" w:rsidR="006D356E" w:rsidRDefault="006D356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36D15F" w14:textId="77777777" w:rsidR="003825B1" w:rsidRDefault="003825B1">
    <w:pPr>
      <w:pStyle w:val="Header"/>
    </w:pPr>
    <w:r>
      <w:rPr>
        <w:noProof/>
      </w:rPr>
      <w:drawing>
        <wp:anchor distT="0" distB="0" distL="114300" distR="114300" simplePos="0" relativeHeight="251659264" behindDoc="0" locked="0" layoutInCell="1" allowOverlap="1" wp14:anchorId="34458EBD" wp14:editId="6B81C413">
          <wp:simplePos x="0" y="0"/>
          <wp:positionH relativeFrom="column">
            <wp:posOffset>1950085</wp:posOffset>
          </wp:positionH>
          <wp:positionV relativeFrom="paragraph">
            <wp:posOffset>158252</wp:posOffset>
          </wp:positionV>
          <wp:extent cx="1601470" cy="695960"/>
          <wp:effectExtent l="0" t="0" r="0" b="8890"/>
          <wp:wrapThrough wrapText="bothSides">
            <wp:wrapPolygon edited="0">
              <wp:start x="0" y="0"/>
              <wp:lineTo x="0" y="21285"/>
              <wp:lineTo x="21326" y="21285"/>
              <wp:lineTo x="21326"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01470" cy="69596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B658DD" w14:textId="77777777" w:rsidR="003825B1" w:rsidRDefault="003825B1">
    <w:pPr>
      <w:pStyle w:val="Header"/>
    </w:pPr>
    <w:r>
      <w:rPr>
        <w:noProof/>
      </w:rPr>
      <w:drawing>
        <wp:anchor distT="0" distB="0" distL="114300" distR="114300" simplePos="0" relativeHeight="251660288" behindDoc="0" locked="0" layoutInCell="1" allowOverlap="1" wp14:anchorId="6C4BEE75" wp14:editId="3807EB86">
          <wp:simplePos x="0" y="0"/>
          <wp:positionH relativeFrom="column">
            <wp:posOffset>4187825</wp:posOffset>
          </wp:positionH>
          <wp:positionV relativeFrom="paragraph">
            <wp:posOffset>336360</wp:posOffset>
          </wp:positionV>
          <wp:extent cx="1169670" cy="508000"/>
          <wp:effectExtent l="0" t="0" r="0" b="6350"/>
          <wp:wrapThrough wrapText="bothSides">
            <wp:wrapPolygon edited="0">
              <wp:start x="0" y="0"/>
              <wp:lineTo x="0" y="21060"/>
              <wp:lineTo x="21107" y="21060"/>
              <wp:lineTo x="21107" y="0"/>
              <wp:lineTo x="0" y="0"/>
            </wp:wrapPolygon>
          </wp:wrapThrough>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9670" cy="50800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9D7D38C"/>
    <w:multiLevelType w:val="hybridMultilevel"/>
    <w:tmpl w:val="00ABEF6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949D6958"/>
    <w:multiLevelType w:val="hybridMultilevel"/>
    <w:tmpl w:val="0A6F1EB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E470956D"/>
    <w:multiLevelType w:val="hybridMultilevel"/>
    <w:tmpl w:val="58FC21D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E739E0C5"/>
    <w:multiLevelType w:val="hybridMultilevel"/>
    <w:tmpl w:val="8D71476B"/>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EC145E00"/>
    <w:multiLevelType w:val="hybridMultilevel"/>
    <w:tmpl w:val="7C4D273C"/>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C3B78B3"/>
    <w:multiLevelType w:val="hybridMultilevel"/>
    <w:tmpl w:val="554E2F8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63D0E08"/>
    <w:multiLevelType w:val="hybridMultilevel"/>
    <w:tmpl w:val="282A34D6"/>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EF3FB1"/>
    <w:multiLevelType w:val="hybridMultilevel"/>
    <w:tmpl w:val="0B2CF0E0"/>
    <w:lvl w:ilvl="0" w:tplc="0C0A0019">
      <w:start w:val="3"/>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829FCCD"/>
    <w:multiLevelType w:val="hybridMultilevel"/>
    <w:tmpl w:val="462D9EF5"/>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19EE6622"/>
    <w:multiLevelType w:val="hybridMultilevel"/>
    <w:tmpl w:val="95B27B86"/>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0" w15:restartNumberingAfterBreak="0">
    <w:nsid w:val="1C84B1E2"/>
    <w:multiLevelType w:val="hybridMultilevel"/>
    <w:tmpl w:val="6DC0D1C0"/>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1F053FAC"/>
    <w:multiLevelType w:val="hybridMultilevel"/>
    <w:tmpl w:val="BDC22E86"/>
    <w:lvl w:ilvl="0" w:tplc="28A0D33A">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05A66F7"/>
    <w:multiLevelType w:val="hybridMultilevel"/>
    <w:tmpl w:val="8EA2414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3" w15:restartNumberingAfterBreak="0">
    <w:nsid w:val="23C14B2B"/>
    <w:multiLevelType w:val="hybridMultilevel"/>
    <w:tmpl w:val="08224770"/>
    <w:lvl w:ilvl="0" w:tplc="ED3C9D5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833DAAF"/>
    <w:multiLevelType w:val="hybridMultilevel"/>
    <w:tmpl w:val="38AD982B"/>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33BE31F4"/>
    <w:multiLevelType w:val="hybridMultilevel"/>
    <w:tmpl w:val="4DAC29C0"/>
    <w:lvl w:ilvl="0" w:tplc="7B107906">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4F1310B"/>
    <w:multiLevelType w:val="hybridMultilevel"/>
    <w:tmpl w:val="7B7CC3A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3DD56207"/>
    <w:multiLevelType w:val="hybridMultilevel"/>
    <w:tmpl w:val="90DE2052"/>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start w:val="1"/>
      <w:numFmt w:val="bullet"/>
      <w:lvlText w:val=""/>
      <w:lvlJc w:val="left"/>
      <w:pPr>
        <w:ind w:left="2520" w:hanging="360"/>
      </w:pPr>
      <w:rPr>
        <w:rFonts w:ascii="Symbol" w:hAnsi="Symbol" w:hint="default"/>
      </w:rPr>
    </w:lvl>
    <w:lvl w:ilvl="4" w:tplc="0C0A0003">
      <w:start w:val="1"/>
      <w:numFmt w:val="bullet"/>
      <w:lvlText w:val="o"/>
      <w:lvlJc w:val="left"/>
      <w:pPr>
        <w:ind w:left="3240" w:hanging="360"/>
      </w:pPr>
      <w:rPr>
        <w:rFonts w:ascii="Courier New" w:hAnsi="Courier New" w:cs="Courier New" w:hint="default"/>
      </w:rPr>
    </w:lvl>
    <w:lvl w:ilvl="5" w:tplc="0C0A0005">
      <w:start w:val="1"/>
      <w:numFmt w:val="bullet"/>
      <w:lvlText w:val=""/>
      <w:lvlJc w:val="left"/>
      <w:pPr>
        <w:ind w:left="3960" w:hanging="360"/>
      </w:pPr>
      <w:rPr>
        <w:rFonts w:ascii="Wingdings" w:hAnsi="Wingdings" w:hint="default"/>
      </w:rPr>
    </w:lvl>
    <w:lvl w:ilvl="6" w:tplc="0C0A0001">
      <w:start w:val="1"/>
      <w:numFmt w:val="bullet"/>
      <w:lvlText w:val=""/>
      <w:lvlJc w:val="left"/>
      <w:pPr>
        <w:ind w:left="4680" w:hanging="360"/>
      </w:pPr>
      <w:rPr>
        <w:rFonts w:ascii="Symbol" w:hAnsi="Symbol" w:hint="default"/>
      </w:rPr>
    </w:lvl>
    <w:lvl w:ilvl="7" w:tplc="0C0A0003">
      <w:start w:val="1"/>
      <w:numFmt w:val="bullet"/>
      <w:lvlText w:val="o"/>
      <w:lvlJc w:val="left"/>
      <w:pPr>
        <w:ind w:left="5400" w:hanging="360"/>
      </w:pPr>
      <w:rPr>
        <w:rFonts w:ascii="Courier New" w:hAnsi="Courier New" w:cs="Courier New" w:hint="default"/>
      </w:rPr>
    </w:lvl>
    <w:lvl w:ilvl="8" w:tplc="0C0A0005">
      <w:start w:val="1"/>
      <w:numFmt w:val="bullet"/>
      <w:lvlText w:val=""/>
      <w:lvlJc w:val="left"/>
      <w:pPr>
        <w:ind w:left="6120" w:hanging="360"/>
      </w:pPr>
      <w:rPr>
        <w:rFonts w:ascii="Wingdings" w:hAnsi="Wingdings" w:hint="default"/>
      </w:rPr>
    </w:lvl>
  </w:abstractNum>
  <w:abstractNum w:abstractNumId="18" w15:restartNumberingAfterBreak="0">
    <w:nsid w:val="3E8C468E"/>
    <w:multiLevelType w:val="hybridMultilevel"/>
    <w:tmpl w:val="A0FEDCF0"/>
    <w:lvl w:ilvl="0" w:tplc="2CD2D7A0">
      <w:start w:val="2"/>
      <w:numFmt w:val="lowerLetter"/>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3FD34559"/>
    <w:multiLevelType w:val="hybridMultilevel"/>
    <w:tmpl w:val="40DC837A"/>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0" w15:restartNumberingAfterBreak="0">
    <w:nsid w:val="408CA90F"/>
    <w:multiLevelType w:val="hybridMultilevel"/>
    <w:tmpl w:val="E37F8FCA"/>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4183081A"/>
    <w:multiLevelType w:val="hybridMultilevel"/>
    <w:tmpl w:val="11487E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41F515B5"/>
    <w:multiLevelType w:val="hybridMultilevel"/>
    <w:tmpl w:val="78FCCE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A740B00"/>
    <w:multiLevelType w:val="hybridMultilevel"/>
    <w:tmpl w:val="D7349240"/>
    <w:lvl w:ilvl="0" w:tplc="0CD23716">
      <w:start w:val="1"/>
      <w:numFmt w:val="lowerLetter"/>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B5E25B1"/>
    <w:multiLevelType w:val="hybridMultilevel"/>
    <w:tmpl w:val="C7882D66"/>
    <w:lvl w:ilvl="0" w:tplc="08090019">
      <w:start w:val="1"/>
      <w:numFmt w:val="lowerLetter"/>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5" w15:restartNumberingAfterBreak="0">
    <w:nsid w:val="55DE6C76"/>
    <w:multiLevelType w:val="hybridMultilevel"/>
    <w:tmpl w:val="A566B0F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6" w15:restartNumberingAfterBreak="0">
    <w:nsid w:val="56471768"/>
    <w:multiLevelType w:val="hybridMultilevel"/>
    <w:tmpl w:val="100630BE"/>
    <w:lvl w:ilvl="0" w:tplc="23806D56">
      <w:start w:val="1"/>
      <w:numFmt w:val="upperRoman"/>
      <w:lvlText w:val="%1."/>
      <w:lvlJc w:val="left"/>
      <w:pPr>
        <w:ind w:left="720" w:hanging="72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7" w15:restartNumberingAfterBreak="0">
    <w:nsid w:val="58BD1C01"/>
    <w:multiLevelType w:val="hybridMultilevel"/>
    <w:tmpl w:val="2542A45C"/>
    <w:lvl w:ilvl="0" w:tplc="B0C29C26">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683E07"/>
    <w:multiLevelType w:val="hybridMultilevel"/>
    <w:tmpl w:val="870C1B8B"/>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9" w15:restartNumberingAfterBreak="0">
    <w:nsid w:val="62E93D5C"/>
    <w:multiLevelType w:val="hybridMultilevel"/>
    <w:tmpl w:val="D26E648C"/>
    <w:lvl w:ilvl="0" w:tplc="A0045D28">
      <w:numFmt w:val="bullet"/>
      <w:lvlText w:val="-"/>
      <w:lvlJc w:val="left"/>
      <w:pPr>
        <w:ind w:left="360" w:hanging="360"/>
      </w:pPr>
      <w:rPr>
        <w:rFonts w:ascii="Trebuchet MS" w:eastAsia="Times New Roman" w:hAnsi="Trebuchet MS" w:cs="Times New Roman"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30" w15:restartNumberingAfterBreak="0">
    <w:nsid w:val="689907F7"/>
    <w:multiLevelType w:val="hybridMultilevel"/>
    <w:tmpl w:val="1597DD87"/>
    <w:lvl w:ilvl="0" w:tplc="FFFFFFFF">
      <w:start w:val="1"/>
      <w:numFmt w:val="upp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15:restartNumberingAfterBreak="0">
    <w:nsid w:val="6F735EE4"/>
    <w:multiLevelType w:val="hybridMultilevel"/>
    <w:tmpl w:val="9FA065EA"/>
    <w:lvl w:ilvl="0" w:tplc="948AEDA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738D4240"/>
    <w:multiLevelType w:val="hybridMultilevel"/>
    <w:tmpl w:val="B43845F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8D00D53"/>
    <w:multiLevelType w:val="hybridMultilevel"/>
    <w:tmpl w:val="C8E81BF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30469763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643439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47736640">
    <w:abstractNumId w:val="14"/>
  </w:num>
  <w:num w:numId="4" w16cid:durableId="1646399277">
    <w:abstractNumId w:val="28"/>
  </w:num>
  <w:num w:numId="5" w16cid:durableId="1379814597">
    <w:abstractNumId w:val="6"/>
  </w:num>
  <w:num w:numId="6" w16cid:durableId="1782411780">
    <w:abstractNumId w:val="0"/>
  </w:num>
  <w:num w:numId="7" w16cid:durableId="1656301188">
    <w:abstractNumId w:val="1"/>
  </w:num>
  <w:num w:numId="8" w16cid:durableId="2018068927">
    <w:abstractNumId w:val="2"/>
  </w:num>
  <w:num w:numId="9" w16cid:durableId="678625334">
    <w:abstractNumId w:val="20"/>
  </w:num>
  <w:num w:numId="10" w16cid:durableId="316569220">
    <w:abstractNumId w:val="12"/>
  </w:num>
  <w:num w:numId="11" w16cid:durableId="488405771">
    <w:abstractNumId w:val="5"/>
  </w:num>
  <w:num w:numId="12" w16cid:durableId="1541242150">
    <w:abstractNumId w:val="4"/>
  </w:num>
  <w:num w:numId="13" w16cid:durableId="1564680618">
    <w:abstractNumId w:val="10"/>
  </w:num>
  <w:num w:numId="14" w16cid:durableId="1158303105">
    <w:abstractNumId w:val="3"/>
  </w:num>
  <w:num w:numId="15" w16cid:durableId="126512450">
    <w:abstractNumId w:val="8"/>
  </w:num>
  <w:num w:numId="16" w16cid:durableId="1054475358">
    <w:abstractNumId w:val="30"/>
  </w:num>
  <w:num w:numId="17" w16cid:durableId="286401068">
    <w:abstractNumId w:val="27"/>
  </w:num>
  <w:num w:numId="18" w16cid:durableId="1461919319">
    <w:abstractNumId w:val="17"/>
  </w:num>
  <w:num w:numId="19" w16cid:durableId="1606764156">
    <w:abstractNumId w:val="25"/>
  </w:num>
  <w:num w:numId="20" w16cid:durableId="1354918555">
    <w:abstractNumId w:val="22"/>
  </w:num>
  <w:num w:numId="21" w16cid:durableId="379092827">
    <w:abstractNumId w:val="19"/>
  </w:num>
  <w:num w:numId="22" w16cid:durableId="840899236">
    <w:abstractNumId w:val="32"/>
  </w:num>
  <w:num w:numId="23" w16cid:durableId="484124621">
    <w:abstractNumId w:val="16"/>
  </w:num>
  <w:num w:numId="24" w16cid:durableId="286011703">
    <w:abstractNumId w:val="9"/>
  </w:num>
  <w:num w:numId="25" w16cid:durableId="1856841537">
    <w:abstractNumId w:val="29"/>
  </w:num>
  <w:num w:numId="26" w16cid:durableId="952519856">
    <w:abstractNumId w:val="23"/>
  </w:num>
  <w:num w:numId="27" w16cid:durableId="642274814">
    <w:abstractNumId w:val="18"/>
  </w:num>
  <w:num w:numId="28" w16cid:durableId="376930205">
    <w:abstractNumId w:val="11"/>
  </w:num>
  <w:num w:numId="29" w16cid:durableId="1685861148">
    <w:abstractNumId w:val="21"/>
  </w:num>
  <w:num w:numId="30" w16cid:durableId="1925988906">
    <w:abstractNumId w:val="33"/>
  </w:num>
  <w:num w:numId="31" w16cid:durableId="917792851">
    <w:abstractNumId w:val="31"/>
  </w:num>
  <w:num w:numId="32" w16cid:durableId="1296524927">
    <w:abstractNumId w:val="15"/>
  </w:num>
  <w:num w:numId="33" w16cid:durableId="1305087580">
    <w:abstractNumId w:val="13"/>
  </w:num>
  <w:num w:numId="34" w16cid:durableId="62353933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683E"/>
    <w:rsid w:val="00017EB6"/>
    <w:rsid w:val="0002433E"/>
    <w:rsid w:val="000245F7"/>
    <w:rsid w:val="000247E8"/>
    <w:rsid w:val="0002654F"/>
    <w:rsid w:val="00026E25"/>
    <w:rsid w:val="00031D5F"/>
    <w:rsid w:val="00040032"/>
    <w:rsid w:val="00040E95"/>
    <w:rsid w:val="000441B8"/>
    <w:rsid w:val="000554F2"/>
    <w:rsid w:val="00065F75"/>
    <w:rsid w:val="00070EB2"/>
    <w:rsid w:val="00072137"/>
    <w:rsid w:val="00075BDA"/>
    <w:rsid w:val="00095CC2"/>
    <w:rsid w:val="00097BC9"/>
    <w:rsid w:val="000B38C7"/>
    <w:rsid w:val="000B535D"/>
    <w:rsid w:val="000D13AF"/>
    <w:rsid w:val="000E7A0A"/>
    <w:rsid w:val="001029B0"/>
    <w:rsid w:val="00107129"/>
    <w:rsid w:val="00112A8D"/>
    <w:rsid w:val="001130DC"/>
    <w:rsid w:val="00120704"/>
    <w:rsid w:val="00122206"/>
    <w:rsid w:val="00122CA2"/>
    <w:rsid w:val="001231CC"/>
    <w:rsid w:val="00137223"/>
    <w:rsid w:val="001374B6"/>
    <w:rsid w:val="00140FA7"/>
    <w:rsid w:val="00141014"/>
    <w:rsid w:val="00147C61"/>
    <w:rsid w:val="001511A1"/>
    <w:rsid w:val="001571DB"/>
    <w:rsid w:val="00163C8B"/>
    <w:rsid w:val="001741F8"/>
    <w:rsid w:val="001757E7"/>
    <w:rsid w:val="0019082B"/>
    <w:rsid w:val="00191219"/>
    <w:rsid w:val="00192687"/>
    <w:rsid w:val="001945E9"/>
    <w:rsid w:val="00194BFC"/>
    <w:rsid w:val="001A253F"/>
    <w:rsid w:val="001A32A2"/>
    <w:rsid w:val="001B3BA4"/>
    <w:rsid w:val="001D204C"/>
    <w:rsid w:val="00202EF7"/>
    <w:rsid w:val="00205D99"/>
    <w:rsid w:val="00217D2F"/>
    <w:rsid w:val="00222B0E"/>
    <w:rsid w:val="00222EA7"/>
    <w:rsid w:val="00224A6A"/>
    <w:rsid w:val="00226F94"/>
    <w:rsid w:val="0023492C"/>
    <w:rsid w:val="0023698C"/>
    <w:rsid w:val="002421DB"/>
    <w:rsid w:val="00244D29"/>
    <w:rsid w:val="00250600"/>
    <w:rsid w:val="002613A6"/>
    <w:rsid w:val="00263DA6"/>
    <w:rsid w:val="0027060A"/>
    <w:rsid w:val="00276B7B"/>
    <w:rsid w:val="00286784"/>
    <w:rsid w:val="0029140D"/>
    <w:rsid w:val="0029455C"/>
    <w:rsid w:val="002A34BC"/>
    <w:rsid w:val="002A4608"/>
    <w:rsid w:val="002B4855"/>
    <w:rsid w:val="002C2443"/>
    <w:rsid w:val="002C55DD"/>
    <w:rsid w:val="002D7A13"/>
    <w:rsid w:val="002E33FE"/>
    <w:rsid w:val="00306B95"/>
    <w:rsid w:val="00310605"/>
    <w:rsid w:val="00314E7E"/>
    <w:rsid w:val="00336311"/>
    <w:rsid w:val="00343EEC"/>
    <w:rsid w:val="003468F7"/>
    <w:rsid w:val="00370D22"/>
    <w:rsid w:val="00373C1C"/>
    <w:rsid w:val="00380CC1"/>
    <w:rsid w:val="00381221"/>
    <w:rsid w:val="003825B1"/>
    <w:rsid w:val="0038505E"/>
    <w:rsid w:val="00390B18"/>
    <w:rsid w:val="0039527F"/>
    <w:rsid w:val="0039778F"/>
    <w:rsid w:val="003A35A7"/>
    <w:rsid w:val="003A3E6F"/>
    <w:rsid w:val="003B2DC4"/>
    <w:rsid w:val="003B7686"/>
    <w:rsid w:val="003C2A17"/>
    <w:rsid w:val="003C3A91"/>
    <w:rsid w:val="003D3D08"/>
    <w:rsid w:val="003D536B"/>
    <w:rsid w:val="003E077A"/>
    <w:rsid w:val="003E6B9E"/>
    <w:rsid w:val="004005A5"/>
    <w:rsid w:val="00401383"/>
    <w:rsid w:val="00403320"/>
    <w:rsid w:val="0041475A"/>
    <w:rsid w:val="0043257F"/>
    <w:rsid w:val="004407E4"/>
    <w:rsid w:val="00450AFD"/>
    <w:rsid w:val="0045178B"/>
    <w:rsid w:val="00453326"/>
    <w:rsid w:val="00462514"/>
    <w:rsid w:val="00462B94"/>
    <w:rsid w:val="00467DBE"/>
    <w:rsid w:val="004728E0"/>
    <w:rsid w:val="00474FB4"/>
    <w:rsid w:val="00476B4F"/>
    <w:rsid w:val="00480832"/>
    <w:rsid w:val="0048414F"/>
    <w:rsid w:val="004C1B6C"/>
    <w:rsid w:val="004C1BCF"/>
    <w:rsid w:val="004D3208"/>
    <w:rsid w:val="004D3A78"/>
    <w:rsid w:val="004E0E8D"/>
    <w:rsid w:val="004E4859"/>
    <w:rsid w:val="004F2205"/>
    <w:rsid w:val="004F276C"/>
    <w:rsid w:val="005057F8"/>
    <w:rsid w:val="0050628D"/>
    <w:rsid w:val="0050630C"/>
    <w:rsid w:val="00507576"/>
    <w:rsid w:val="00517BB7"/>
    <w:rsid w:val="005258ED"/>
    <w:rsid w:val="00525B7A"/>
    <w:rsid w:val="00530494"/>
    <w:rsid w:val="00530ADB"/>
    <w:rsid w:val="00531549"/>
    <w:rsid w:val="005409DF"/>
    <w:rsid w:val="0054160D"/>
    <w:rsid w:val="005426CA"/>
    <w:rsid w:val="00546C4B"/>
    <w:rsid w:val="0055194D"/>
    <w:rsid w:val="005615F9"/>
    <w:rsid w:val="00566C77"/>
    <w:rsid w:val="00570A68"/>
    <w:rsid w:val="00573102"/>
    <w:rsid w:val="0057790F"/>
    <w:rsid w:val="005802B3"/>
    <w:rsid w:val="005810BD"/>
    <w:rsid w:val="00585920"/>
    <w:rsid w:val="00594ACA"/>
    <w:rsid w:val="00596E1E"/>
    <w:rsid w:val="00597ACD"/>
    <w:rsid w:val="005A0BC3"/>
    <w:rsid w:val="005A2A8B"/>
    <w:rsid w:val="005A308B"/>
    <w:rsid w:val="005A67A3"/>
    <w:rsid w:val="005B2E2C"/>
    <w:rsid w:val="005C4FA8"/>
    <w:rsid w:val="005C65DB"/>
    <w:rsid w:val="005D3A00"/>
    <w:rsid w:val="005D6437"/>
    <w:rsid w:val="005E0BC7"/>
    <w:rsid w:val="005E18AE"/>
    <w:rsid w:val="005E4949"/>
    <w:rsid w:val="005E7921"/>
    <w:rsid w:val="005F1457"/>
    <w:rsid w:val="005F3D81"/>
    <w:rsid w:val="005F4965"/>
    <w:rsid w:val="00617C10"/>
    <w:rsid w:val="006253F9"/>
    <w:rsid w:val="00630D5F"/>
    <w:rsid w:val="0063230F"/>
    <w:rsid w:val="00644DCF"/>
    <w:rsid w:val="00646E47"/>
    <w:rsid w:val="00660D00"/>
    <w:rsid w:val="00661FD1"/>
    <w:rsid w:val="00667BB3"/>
    <w:rsid w:val="00670B71"/>
    <w:rsid w:val="006723DC"/>
    <w:rsid w:val="00677EC6"/>
    <w:rsid w:val="00683EA0"/>
    <w:rsid w:val="00686FF7"/>
    <w:rsid w:val="00691D98"/>
    <w:rsid w:val="006A2362"/>
    <w:rsid w:val="006B42D4"/>
    <w:rsid w:val="006B663C"/>
    <w:rsid w:val="006B72DF"/>
    <w:rsid w:val="006B7F60"/>
    <w:rsid w:val="006C196E"/>
    <w:rsid w:val="006C2835"/>
    <w:rsid w:val="006C6B1D"/>
    <w:rsid w:val="006D0348"/>
    <w:rsid w:val="006D356E"/>
    <w:rsid w:val="006D3839"/>
    <w:rsid w:val="006D6385"/>
    <w:rsid w:val="006E59FC"/>
    <w:rsid w:val="006E703B"/>
    <w:rsid w:val="006F061B"/>
    <w:rsid w:val="006F1048"/>
    <w:rsid w:val="006F1D26"/>
    <w:rsid w:val="00700B2C"/>
    <w:rsid w:val="00707EB4"/>
    <w:rsid w:val="00710BDC"/>
    <w:rsid w:val="0071238E"/>
    <w:rsid w:val="00726D95"/>
    <w:rsid w:val="00731B4B"/>
    <w:rsid w:val="0073283D"/>
    <w:rsid w:val="00737EC3"/>
    <w:rsid w:val="007421A6"/>
    <w:rsid w:val="00757AF2"/>
    <w:rsid w:val="00757BFD"/>
    <w:rsid w:val="00760B98"/>
    <w:rsid w:val="00763042"/>
    <w:rsid w:val="007635B3"/>
    <w:rsid w:val="007907E6"/>
    <w:rsid w:val="007943E1"/>
    <w:rsid w:val="007A7FF3"/>
    <w:rsid w:val="007B4586"/>
    <w:rsid w:val="007C35BB"/>
    <w:rsid w:val="007C70B5"/>
    <w:rsid w:val="007D6FE0"/>
    <w:rsid w:val="007E2F72"/>
    <w:rsid w:val="007F6E84"/>
    <w:rsid w:val="00801E1B"/>
    <w:rsid w:val="00813733"/>
    <w:rsid w:val="0082373F"/>
    <w:rsid w:val="00823D82"/>
    <w:rsid w:val="00834EC1"/>
    <w:rsid w:val="00842A75"/>
    <w:rsid w:val="00842C02"/>
    <w:rsid w:val="00847E5C"/>
    <w:rsid w:val="008547CB"/>
    <w:rsid w:val="00856C97"/>
    <w:rsid w:val="008656D8"/>
    <w:rsid w:val="00866934"/>
    <w:rsid w:val="008674E8"/>
    <w:rsid w:val="00872750"/>
    <w:rsid w:val="00874BEC"/>
    <w:rsid w:val="008757DC"/>
    <w:rsid w:val="0088222D"/>
    <w:rsid w:val="0088483D"/>
    <w:rsid w:val="008861D9"/>
    <w:rsid w:val="008A2797"/>
    <w:rsid w:val="008B128B"/>
    <w:rsid w:val="008B50C2"/>
    <w:rsid w:val="008D2EA4"/>
    <w:rsid w:val="008D7030"/>
    <w:rsid w:val="008D7535"/>
    <w:rsid w:val="008E599C"/>
    <w:rsid w:val="008F4EA4"/>
    <w:rsid w:val="00904AD9"/>
    <w:rsid w:val="009161C1"/>
    <w:rsid w:val="00920A6F"/>
    <w:rsid w:val="00920E51"/>
    <w:rsid w:val="00926E64"/>
    <w:rsid w:val="00943E21"/>
    <w:rsid w:val="0094650A"/>
    <w:rsid w:val="0095306E"/>
    <w:rsid w:val="00953DEF"/>
    <w:rsid w:val="009648AD"/>
    <w:rsid w:val="00980147"/>
    <w:rsid w:val="009870F5"/>
    <w:rsid w:val="0098750D"/>
    <w:rsid w:val="00987ED8"/>
    <w:rsid w:val="00997FFA"/>
    <w:rsid w:val="009A1426"/>
    <w:rsid w:val="009A5291"/>
    <w:rsid w:val="009B0697"/>
    <w:rsid w:val="009B1E3C"/>
    <w:rsid w:val="009B7D09"/>
    <w:rsid w:val="009C29EA"/>
    <w:rsid w:val="009C5A9D"/>
    <w:rsid w:val="009D012A"/>
    <w:rsid w:val="009D2662"/>
    <w:rsid w:val="009D7697"/>
    <w:rsid w:val="009E2E24"/>
    <w:rsid w:val="009F30E7"/>
    <w:rsid w:val="009F4C14"/>
    <w:rsid w:val="009F554F"/>
    <w:rsid w:val="009F697A"/>
    <w:rsid w:val="00A10391"/>
    <w:rsid w:val="00A15BE9"/>
    <w:rsid w:val="00A166DB"/>
    <w:rsid w:val="00A236C3"/>
    <w:rsid w:val="00A23FCE"/>
    <w:rsid w:val="00A304BF"/>
    <w:rsid w:val="00A36A59"/>
    <w:rsid w:val="00A40F76"/>
    <w:rsid w:val="00A452B8"/>
    <w:rsid w:val="00A46B59"/>
    <w:rsid w:val="00A5648D"/>
    <w:rsid w:val="00A6552C"/>
    <w:rsid w:val="00A66668"/>
    <w:rsid w:val="00A71D90"/>
    <w:rsid w:val="00A905C3"/>
    <w:rsid w:val="00A92CF6"/>
    <w:rsid w:val="00AA0FF2"/>
    <w:rsid w:val="00AA1E51"/>
    <w:rsid w:val="00AC1EB4"/>
    <w:rsid w:val="00AC2F1F"/>
    <w:rsid w:val="00AC3207"/>
    <w:rsid w:val="00AC690B"/>
    <w:rsid w:val="00AC7F9D"/>
    <w:rsid w:val="00AF20C1"/>
    <w:rsid w:val="00AF6E74"/>
    <w:rsid w:val="00B03B63"/>
    <w:rsid w:val="00B13EDC"/>
    <w:rsid w:val="00B1689A"/>
    <w:rsid w:val="00B23D2D"/>
    <w:rsid w:val="00B240FE"/>
    <w:rsid w:val="00B279B6"/>
    <w:rsid w:val="00B36F30"/>
    <w:rsid w:val="00B423CD"/>
    <w:rsid w:val="00B5015E"/>
    <w:rsid w:val="00B501F6"/>
    <w:rsid w:val="00B538FD"/>
    <w:rsid w:val="00B612D4"/>
    <w:rsid w:val="00B64D76"/>
    <w:rsid w:val="00B65071"/>
    <w:rsid w:val="00B67E6B"/>
    <w:rsid w:val="00B73208"/>
    <w:rsid w:val="00B87066"/>
    <w:rsid w:val="00B94729"/>
    <w:rsid w:val="00B949E1"/>
    <w:rsid w:val="00B95569"/>
    <w:rsid w:val="00B960D7"/>
    <w:rsid w:val="00BA003D"/>
    <w:rsid w:val="00BA16FE"/>
    <w:rsid w:val="00BA2BE7"/>
    <w:rsid w:val="00BA33D2"/>
    <w:rsid w:val="00BB4011"/>
    <w:rsid w:val="00BC6ACF"/>
    <w:rsid w:val="00BD10D0"/>
    <w:rsid w:val="00BD31AC"/>
    <w:rsid w:val="00BE0B0C"/>
    <w:rsid w:val="00BE683E"/>
    <w:rsid w:val="00C000FB"/>
    <w:rsid w:val="00C03E6A"/>
    <w:rsid w:val="00C0776B"/>
    <w:rsid w:val="00C22BD3"/>
    <w:rsid w:val="00C42611"/>
    <w:rsid w:val="00C54682"/>
    <w:rsid w:val="00C56643"/>
    <w:rsid w:val="00C60C77"/>
    <w:rsid w:val="00C612E6"/>
    <w:rsid w:val="00C71BB6"/>
    <w:rsid w:val="00C72156"/>
    <w:rsid w:val="00C859A0"/>
    <w:rsid w:val="00C94DC5"/>
    <w:rsid w:val="00CA4AE1"/>
    <w:rsid w:val="00CA7F9F"/>
    <w:rsid w:val="00CB12BA"/>
    <w:rsid w:val="00CB28F9"/>
    <w:rsid w:val="00CB5041"/>
    <w:rsid w:val="00CC4B08"/>
    <w:rsid w:val="00CC60D4"/>
    <w:rsid w:val="00CC661E"/>
    <w:rsid w:val="00CC74A8"/>
    <w:rsid w:val="00CC7E20"/>
    <w:rsid w:val="00CE5625"/>
    <w:rsid w:val="00CF6E88"/>
    <w:rsid w:val="00D0369E"/>
    <w:rsid w:val="00D12CC8"/>
    <w:rsid w:val="00D21583"/>
    <w:rsid w:val="00D369F9"/>
    <w:rsid w:val="00D42652"/>
    <w:rsid w:val="00D50472"/>
    <w:rsid w:val="00D505AE"/>
    <w:rsid w:val="00D5260F"/>
    <w:rsid w:val="00D6497B"/>
    <w:rsid w:val="00D7447E"/>
    <w:rsid w:val="00D84D3B"/>
    <w:rsid w:val="00D92944"/>
    <w:rsid w:val="00DB05E3"/>
    <w:rsid w:val="00DB522E"/>
    <w:rsid w:val="00DB731B"/>
    <w:rsid w:val="00DE6A89"/>
    <w:rsid w:val="00DF19E3"/>
    <w:rsid w:val="00DF2F2C"/>
    <w:rsid w:val="00E17A90"/>
    <w:rsid w:val="00E21A7A"/>
    <w:rsid w:val="00E24320"/>
    <w:rsid w:val="00E32D3C"/>
    <w:rsid w:val="00E3628B"/>
    <w:rsid w:val="00E44CD1"/>
    <w:rsid w:val="00E62A29"/>
    <w:rsid w:val="00E67856"/>
    <w:rsid w:val="00E8162A"/>
    <w:rsid w:val="00E864B0"/>
    <w:rsid w:val="00EA01FD"/>
    <w:rsid w:val="00EA361A"/>
    <w:rsid w:val="00EA4773"/>
    <w:rsid w:val="00EA7673"/>
    <w:rsid w:val="00EB0C16"/>
    <w:rsid w:val="00EB3EA6"/>
    <w:rsid w:val="00EB7474"/>
    <w:rsid w:val="00EC2468"/>
    <w:rsid w:val="00EC57AE"/>
    <w:rsid w:val="00EE40DE"/>
    <w:rsid w:val="00EE7201"/>
    <w:rsid w:val="00EF032A"/>
    <w:rsid w:val="00EF1649"/>
    <w:rsid w:val="00EF188A"/>
    <w:rsid w:val="00F077A6"/>
    <w:rsid w:val="00F13846"/>
    <w:rsid w:val="00F1532A"/>
    <w:rsid w:val="00F15442"/>
    <w:rsid w:val="00F36CE1"/>
    <w:rsid w:val="00F41CF8"/>
    <w:rsid w:val="00F45A58"/>
    <w:rsid w:val="00F53E66"/>
    <w:rsid w:val="00F62D3E"/>
    <w:rsid w:val="00F634F8"/>
    <w:rsid w:val="00F67D1D"/>
    <w:rsid w:val="00F72E8F"/>
    <w:rsid w:val="00F922D9"/>
    <w:rsid w:val="00F92C89"/>
    <w:rsid w:val="00FA48F8"/>
    <w:rsid w:val="00FA5FED"/>
    <w:rsid w:val="00FA7E59"/>
    <w:rsid w:val="00FB0AB7"/>
    <w:rsid w:val="00FB1051"/>
    <w:rsid w:val="00FB490C"/>
    <w:rsid w:val="00FC7DBF"/>
    <w:rsid w:val="00FD015B"/>
    <w:rsid w:val="00FD73C0"/>
    <w:rsid w:val="00FD7EA7"/>
    <w:rsid w:val="00FE3776"/>
    <w:rsid w:val="00FF40DC"/>
    <w:rsid w:val="00FF512D"/>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50339DE4"/>
  <w15:chartTrackingRefBased/>
  <w15:docId w15:val="{313C20C1-4F1A-4267-8C9F-1E55210F84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683E"/>
    <w:pPr>
      <w:spacing w:after="0" w:line="240" w:lineRule="auto"/>
    </w:pPr>
    <w:rPr>
      <w:rFonts w:ascii="Calibri" w:hAnsi="Calibri" w:cs="Calibri"/>
      <w:lang w:val="es-ES_tradnl" w:eastAsia="en-GB"/>
    </w:rPr>
  </w:style>
  <w:style w:type="paragraph" w:styleId="Heading1">
    <w:name w:val="heading 1"/>
    <w:basedOn w:val="Normal"/>
    <w:next w:val="Normal"/>
    <w:link w:val="Heading1Char"/>
    <w:uiPriority w:val="9"/>
    <w:qFormat/>
    <w:rsid w:val="00D84D3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01E1B"/>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594AC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E683E"/>
    <w:pPr>
      <w:ind w:left="720"/>
    </w:pPr>
  </w:style>
  <w:style w:type="paragraph" w:customStyle="1" w:styleId="Default">
    <w:name w:val="Default"/>
    <w:basedOn w:val="Normal"/>
    <w:rsid w:val="00BE683E"/>
    <w:pPr>
      <w:autoSpaceDE w:val="0"/>
      <w:autoSpaceDN w:val="0"/>
    </w:pPr>
    <w:rPr>
      <w:rFonts w:ascii="Arial" w:hAnsi="Arial" w:cs="Arial"/>
      <w:color w:val="000000"/>
      <w:sz w:val="24"/>
      <w:szCs w:val="24"/>
      <w:lang w:eastAsia="en-US"/>
    </w:rPr>
  </w:style>
  <w:style w:type="paragraph" w:styleId="NormalWeb">
    <w:name w:val="Normal (Web)"/>
    <w:basedOn w:val="Normal"/>
    <w:uiPriority w:val="99"/>
    <w:unhideWhenUsed/>
    <w:rsid w:val="00C859A0"/>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46B59"/>
    <w:rPr>
      <w:color w:val="0563C1" w:themeColor="hyperlink"/>
      <w:u w:val="single"/>
    </w:rPr>
  </w:style>
  <w:style w:type="paragraph" w:styleId="FootnoteText">
    <w:name w:val="footnote text"/>
    <w:basedOn w:val="Normal"/>
    <w:link w:val="FootnoteTextChar"/>
    <w:uiPriority w:val="99"/>
    <w:unhideWhenUsed/>
    <w:rsid w:val="00A46B59"/>
    <w:rPr>
      <w:rFonts w:asciiTheme="minorHAnsi" w:hAnsiTheme="minorHAnsi" w:cstheme="minorBidi"/>
      <w:sz w:val="20"/>
      <w:szCs w:val="20"/>
      <w:lang w:val="es-ES" w:eastAsia="en-US"/>
    </w:rPr>
  </w:style>
  <w:style w:type="character" w:customStyle="1" w:styleId="FootnoteTextChar">
    <w:name w:val="Footnote Text Char"/>
    <w:basedOn w:val="DefaultParagraphFont"/>
    <w:link w:val="FootnoteText"/>
    <w:uiPriority w:val="99"/>
    <w:rsid w:val="00A46B59"/>
    <w:rPr>
      <w:sz w:val="20"/>
      <w:szCs w:val="20"/>
      <w:lang w:val="es-ES"/>
    </w:rPr>
  </w:style>
  <w:style w:type="character" w:styleId="FootnoteReference">
    <w:name w:val="footnote reference"/>
    <w:basedOn w:val="DefaultParagraphFont"/>
    <w:uiPriority w:val="99"/>
    <w:semiHidden/>
    <w:unhideWhenUsed/>
    <w:rsid w:val="00A46B59"/>
    <w:rPr>
      <w:vertAlign w:val="superscript"/>
    </w:rPr>
  </w:style>
  <w:style w:type="paragraph" w:styleId="BalloonText">
    <w:name w:val="Balloon Text"/>
    <w:basedOn w:val="Normal"/>
    <w:link w:val="BalloonTextChar"/>
    <w:uiPriority w:val="99"/>
    <w:semiHidden/>
    <w:unhideWhenUsed/>
    <w:rsid w:val="00DF19E3"/>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19E3"/>
    <w:rPr>
      <w:rFonts w:ascii="Segoe UI" w:hAnsi="Segoe UI" w:cs="Segoe UI"/>
      <w:sz w:val="18"/>
      <w:szCs w:val="18"/>
      <w:lang w:eastAsia="en-GB"/>
    </w:rPr>
  </w:style>
  <w:style w:type="paragraph" w:customStyle="1" w:styleId="PARRAFO">
    <w:name w:val="PARRAFO"/>
    <w:basedOn w:val="Normal"/>
    <w:rsid w:val="00C000FB"/>
    <w:pPr>
      <w:overflowPunct w:val="0"/>
      <w:autoSpaceDE w:val="0"/>
      <w:autoSpaceDN w:val="0"/>
      <w:adjustRightInd w:val="0"/>
      <w:spacing w:line="312" w:lineRule="auto"/>
      <w:ind w:firstLine="680"/>
      <w:jc w:val="both"/>
      <w:textAlignment w:val="baseline"/>
    </w:pPr>
    <w:rPr>
      <w:rFonts w:ascii="Trebuchet MS" w:eastAsia="Times New Roman" w:hAnsi="Trebuchet MS" w:cs="Times New Roman"/>
      <w:szCs w:val="20"/>
      <w:lang w:val="es-ES" w:eastAsia="es-ES"/>
    </w:rPr>
  </w:style>
  <w:style w:type="paragraph" w:customStyle="1" w:styleId="NormalInforme">
    <w:name w:val="NormalInforme"/>
    <w:basedOn w:val="Normal"/>
    <w:rsid w:val="0045178B"/>
    <w:pPr>
      <w:tabs>
        <w:tab w:val="left" w:pos="624"/>
      </w:tabs>
      <w:overflowPunct w:val="0"/>
      <w:autoSpaceDE w:val="0"/>
      <w:autoSpaceDN w:val="0"/>
      <w:adjustRightInd w:val="0"/>
      <w:spacing w:before="120" w:after="120" w:line="300" w:lineRule="auto"/>
      <w:ind w:firstLine="567"/>
      <w:jc w:val="both"/>
    </w:pPr>
    <w:rPr>
      <w:rFonts w:asciiTheme="minorHAnsi" w:eastAsia="Times New Roman" w:hAnsiTheme="minorHAnsi" w:cs="Times New Roman"/>
      <w:sz w:val="24"/>
      <w:szCs w:val="20"/>
      <w:lang w:eastAsia="es-ES"/>
    </w:rPr>
  </w:style>
  <w:style w:type="paragraph" w:styleId="Header">
    <w:name w:val="header"/>
    <w:basedOn w:val="Normal"/>
    <w:link w:val="HeaderChar"/>
    <w:uiPriority w:val="99"/>
    <w:unhideWhenUsed/>
    <w:rsid w:val="00686FF7"/>
    <w:pPr>
      <w:tabs>
        <w:tab w:val="center" w:pos="4252"/>
        <w:tab w:val="right" w:pos="8504"/>
      </w:tabs>
    </w:pPr>
  </w:style>
  <w:style w:type="character" w:customStyle="1" w:styleId="HeaderChar">
    <w:name w:val="Header Char"/>
    <w:basedOn w:val="DefaultParagraphFont"/>
    <w:link w:val="Header"/>
    <w:uiPriority w:val="99"/>
    <w:rsid w:val="00686FF7"/>
    <w:rPr>
      <w:rFonts w:ascii="Calibri" w:hAnsi="Calibri" w:cs="Calibri"/>
      <w:lang w:eastAsia="en-GB"/>
    </w:rPr>
  </w:style>
  <w:style w:type="paragraph" w:styleId="Footer">
    <w:name w:val="footer"/>
    <w:basedOn w:val="Normal"/>
    <w:link w:val="FooterChar"/>
    <w:uiPriority w:val="99"/>
    <w:unhideWhenUsed/>
    <w:rsid w:val="00EB3EA6"/>
    <w:pPr>
      <w:tabs>
        <w:tab w:val="center" w:pos="4252"/>
        <w:tab w:val="right" w:pos="8504"/>
      </w:tabs>
      <w:spacing w:before="120" w:after="120"/>
      <w:ind w:left="170"/>
    </w:pPr>
  </w:style>
  <w:style w:type="character" w:customStyle="1" w:styleId="FooterChar">
    <w:name w:val="Footer Char"/>
    <w:basedOn w:val="DefaultParagraphFont"/>
    <w:link w:val="Footer"/>
    <w:uiPriority w:val="99"/>
    <w:rsid w:val="00EB3EA6"/>
    <w:rPr>
      <w:rFonts w:ascii="Calibri" w:hAnsi="Calibri" w:cs="Calibri"/>
      <w:lang w:val="es-ES_tradnl" w:eastAsia="en-GB"/>
    </w:rPr>
  </w:style>
  <w:style w:type="character" w:styleId="Strong">
    <w:name w:val="Strong"/>
    <w:basedOn w:val="DefaultParagraphFont"/>
    <w:uiPriority w:val="22"/>
    <w:qFormat/>
    <w:rsid w:val="00A92CF6"/>
    <w:rPr>
      <w:b/>
      <w:bCs/>
    </w:rPr>
  </w:style>
  <w:style w:type="character" w:styleId="UnresolvedMention">
    <w:name w:val="Unresolved Mention"/>
    <w:basedOn w:val="DefaultParagraphFont"/>
    <w:uiPriority w:val="99"/>
    <w:semiHidden/>
    <w:unhideWhenUsed/>
    <w:rsid w:val="00A304BF"/>
    <w:rPr>
      <w:color w:val="605E5C"/>
      <w:shd w:val="clear" w:color="auto" w:fill="E1DFDD"/>
    </w:rPr>
  </w:style>
  <w:style w:type="character" w:customStyle="1" w:styleId="Heading2Char">
    <w:name w:val="Heading 2 Char"/>
    <w:basedOn w:val="DefaultParagraphFont"/>
    <w:link w:val="Heading2"/>
    <w:uiPriority w:val="9"/>
    <w:semiHidden/>
    <w:rsid w:val="00801E1B"/>
    <w:rPr>
      <w:rFonts w:asciiTheme="majorHAnsi" w:eastAsiaTheme="majorEastAsia" w:hAnsiTheme="majorHAnsi" w:cstheme="majorBidi"/>
      <w:color w:val="2F5496" w:themeColor="accent1" w:themeShade="BF"/>
      <w:sz w:val="26"/>
      <w:szCs w:val="26"/>
      <w:lang w:eastAsia="en-GB"/>
    </w:rPr>
  </w:style>
  <w:style w:type="character" w:customStyle="1" w:styleId="Heading3Char">
    <w:name w:val="Heading 3 Char"/>
    <w:basedOn w:val="DefaultParagraphFont"/>
    <w:link w:val="Heading3"/>
    <w:uiPriority w:val="9"/>
    <w:semiHidden/>
    <w:rsid w:val="00594ACA"/>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476B4F"/>
    <w:rPr>
      <w:color w:val="954F72" w:themeColor="followedHyperlink"/>
      <w:u w:val="single"/>
    </w:rPr>
  </w:style>
  <w:style w:type="paragraph" w:styleId="HTMLPreformatted">
    <w:name w:val="HTML Preformatted"/>
    <w:basedOn w:val="Normal"/>
    <w:link w:val="HTMLPreformattedChar"/>
    <w:uiPriority w:val="99"/>
    <w:semiHidden/>
    <w:unhideWhenUsed/>
    <w:rsid w:val="00202EF7"/>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202EF7"/>
    <w:rPr>
      <w:rFonts w:ascii="Consolas" w:hAnsi="Consolas" w:cs="Calibri"/>
      <w:sz w:val="20"/>
      <w:szCs w:val="20"/>
      <w:lang w:eastAsia="en-GB"/>
    </w:rPr>
  </w:style>
  <w:style w:type="character" w:customStyle="1" w:styleId="Heading1Char">
    <w:name w:val="Heading 1 Char"/>
    <w:basedOn w:val="DefaultParagraphFont"/>
    <w:link w:val="Heading1"/>
    <w:uiPriority w:val="9"/>
    <w:rsid w:val="00D84D3B"/>
    <w:rPr>
      <w:rFonts w:asciiTheme="majorHAnsi" w:eastAsiaTheme="majorEastAsia" w:hAnsiTheme="majorHAnsi" w:cstheme="majorBidi"/>
      <w:color w:val="2F5496" w:themeColor="accent1" w:themeShade="BF"/>
      <w:sz w:val="32"/>
      <w:szCs w:val="32"/>
      <w:lang w:eastAsia="en-GB"/>
    </w:rPr>
  </w:style>
  <w:style w:type="paragraph" w:styleId="Title">
    <w:name w:val="Title"/>
    <w:basedOn w:val="Normal"/>
    <w:next w:val="Normal"/>
    <w:link w:val="TitleChar"/>
    <w:uiPriority w:val="10"/>
    <w:qFormat/>
    <w:rsid w:val="00D84D3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sz w:val="52"/>
      <w:szCs w:val="52"/>
      <w:lang w:val="es-ES" w:eastAsia="en-US"/>
    </w:rPr>
  </w:style>
  <w:style w:type="character" w:customStyle="1" w:styleId="TitleChar">
    <w:name w:val="Title Char"/>
    <w:basedOn w:val="DefaultParagraphFont"/>
    <w:link w:val="Title"/>
    <w:uiPriority w:val="10"/>
    <w:rsid w:val="00D84D3B"/>
    <w:rPr>
      <w:rFonts w:asciiTheme="majorHAnsi" w:eastAsiaTheme="majorEastAsia" w:hAnsiTheme="majorHAnsi" w:cstheme="majorBidi"/>
      <w:color w:val="323E4F" w:themeColor="text2" w:themeShade="BF"/>
      <w:spacing w:val="5"/>
      <w:sz w:val="52"/>
      <w:szCs w:val="5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9325631">
      <w:bodyDiv w:val="1"/>
      <w:marLeft w:val="0"/>
      <w:marRight w:val="0"/>
      <w:marTop w:val="0"/>
      <w:marBottom w:val="0"/>
      <w:divBdr>
        <w:top w:val="none" w:sz="0" w:space="0" w:color="auto"/>
        <w:left w:val="none" w:sz="0" w:space="0" w:color="auto"/>
        <w:bottom w:val="none" w:sz="0" w:space="0" w:color="auto"/>
        <w:right w:val="none" w:sz="0" w:space="0" w:color="auto"/>
      </w:divBdr>
    </w:div>
    <w:div w:id="89668836">
      <w:bodyDiv w:val="1"/>
      <w:marLeft w:val="0"/>
      <w:marRight w:val="0"/>
      <w:marTop w:val="0"/>
      <w:marBottom w:val="0"/>
      <w:divBdr>
        <w:top w:val="none" w:sz="0" w:space="0" w:color="auto"/>
        <w:left w:val="none" w:sz="0" w:space="0" w:color="auto"/>
        <w:bottom w:val="none" w:sz="0" w:space="0" w:color="auto"/>
        <w:right w:val="none" w:sz="0" w:space="0" w:color="auto"/>
      </w:divBdr>
    </w:div>
    <w:div w:id="195696537">
      <w:bodyDiv w:val="1"/>
      <w:marLeft w:val="0"/>
      <w:marRight w:val="0"/>
      <w:marTop w:val="0"/>
      <w:marBottom w:val="0"/>
      <w:divBdr>
        <w:top w:val="none" w:sz="0" w:space="0" w:color="auto"/>
        <w:left w:val="none" w:sz="0" w:space="0" w:color="auto"/>
        <w:bottom w:val="none" w:sz="0" w:space="0" w:color="auto"/>
        <w:right w:val="none" w:sz="0" w:space="0" w:color="auto"/>
      </w:divBdr>
    </w:div>
    <w:div w:id="222451278">
      <w:bodyDiv w:val="1"/>
      <w:marLeft w:val="0"/>
      <w:marRight w:val="0"/>
      <w:marTop w:val="0"/>
      <w:marBottom w:val="0"/>
      <w:divBdr>
        <w:top w:val="none" w:sz="0" w:space="0" w:color="auto"/>
        <w:left w:val="none" w:sz="0" w:space="0" w:color="auto"/>
        <w:bottom w:val="none" w:sz="0" w:space="0" w:color="auto"/>
        <w:right w:val="none" w:sz="0" w:space="0" w:color="auto"/>
      </w:divBdr>
    </w:div>
    <w:div w:id="388260461">
      <w:bodyDiv w:val="1"/>
      <w:marLeft w:val="0"/>
      <w:marRight w:val="0"/>
      <w:marTop w:val="0"/>
      <w:marBottom w:val="0"/>
      <w:divBdr>
        <w:top w:val="none" w:sz="0" w:space="0" w:color="auto"/>
        <w:left w:val="none" w:sz="0" w:space="0" w:color="auto"/>
        <w:bottom w:val="none" w:sz="0" w:space="0" w:color="auto"/>
        <w:right w:val="none" w:sz="0" w:space="0" w:color="auto"/>
      </w:divBdr>
    </w:div>
    <w:div w:id="555510290">
      <w:bodyDiv w:val="1"/>
      <w:marLeft w:val="0"/>
      <w:marRight w:val="0"/>
      <w:marTop w:val="0"/>
      <w:marBottom w:val="0"/>
      <w:divBdr>
        <w:top w:val="none" w:sz="0" w:space="0" w:color="auto"/>
        <w:left w:val="none" w:sz="0" w:space="0" w:color="auto"/>
        <w:bottom w:val="none" w:sz="0" w:space="0" w:color="auto"/>
        <w:right w:val="none" w:sz="0" w:space="0" w:color="auto"/>
      </w:divBdr>
    </w:div>
    <w:div w:id="592322130">
      <w:bodyDiv w:val="1"/>
      <w:marLeft w:val="0"/>
      <w:marRight w:val="0"/>
      <w:marTop w:val="0"/>
      <w:marBottom w:val="0"/>
      <w:divBdr>
        <w:top w:val="none" w:sz="0" w:space="0" w:color="auto"/>
        <w:left w:val="none" w:sz="0" w:space="0" w:color="auto"/>
        <w:bottom w:val="none" w:sz="0" w:space="0" w:color="auto"/>
        <w:right w:val="none" w:sz="0" w:space="0" w:color="auto"/>
      </w:divBdr>
    </w:div>
    <w:div w:id="677275962">
      <w:bodyDiv w:val="1"/>
      <w:marLeft w:val="0"/>
      <w:marRight w:val="0"/>
      <w:marTop w:val="0"/>
      <w:marBottom w:val="0"/>
      <w:divBdr>
        <w:top w:val="none" w:sz="0" w:space="0" w:color="auto"/>
        <w:left w:val="none" w:sz="0" w:space="0" w:color="auto"/>
        <w:bottom w:val="none" w:sz="0" w:space="0" w:color="auto"/>
        <w:right w:val="none" w:sz="0" w:space="0" w:color="auto"/>
      </w:divBdr>
    </w:div>
    <w:div w:id="712459242">
      <w:bodyDiv w:val="1"/>
      <w:marLeft w:val="0"/>
      <w:marRight w:val="0"/>
      <w:marTop w:val="0"/>
      <w:marBottom w:val="0"/>
      <w:divBdr>
        <w:top w:val="none" w:sz="0" w:space="0" w:color="auto"/>
        <w:left w:val="none" w:sz="0" w:space="0" w:color="auto"/>
        <w:bottom w:val="none" w:sz="0" w:space="0" w:color="auto"/>
        <w:right w:val="none" w:sz="0" w:space="0" w:color="auto"/>
      </w:divBdr>
    </w:div>
    <w:div w:id="725224525">
      <w:bodyDiv w:val="1"/>
      <w:marLeft w:val="0"/>
      <w:marRight w:val="0"/>
      <w:marTop w:val="0"/>
      <w:marBottom w:val="0"/>
      <w:divBdr>
        <w:top w:val="none" w:sz="0" w:space="0" w:color="auto"/>
        <w:left w:val="none" w:sz="0" w:space="0" w:color="auto"/>
        <w:bottom w:val="none" w:sz="0" w:space="0" w:color="auto"/>
        <w:right w:val="none" w:sz="0" w:space="0" w:color="auto"/>
      </w:divBdr>
    </w:div>
    <w:div w:id="756562370">
      <w:bodyDiv w:val="1"/>
      <w:marLeft w:val="0"/>
      <w:marRight w:val="0"/>
      <w:marTop w:val="0"/>
      <w:marBottom w:val="0"/>
      <w:divBdr>
        <w:top w:val="none" w:sz="0" w:space="0" w:color="auto"/>
        <w:left w:val="none" w:sz="0" w:space="0" w:color="auto"/>
        <w:bottom w:val="none" w:sz="0" w:space="0" w:color="auto"/>
        <w:right w:val="none" w:sz="0" w:space="0" w:color="auto"/>
      </w:divBdr>
    </w:div>
    <w:div w:id="941375424">
      <w:bodyDiv w:val="1"/>
      <w:marLeft w:val="0"/>
      <w:marRight w:val="0"/>
      <w:marTop w:val="0"/>
      <w:marBottom w:val="0"/>
      <w:divBdr>
        <w:top w:val="none" w:sz="0" w:space="0" w:color="auto"/>
        <w:left w:val="none" w:sz="0" w:space="0" w:color="auto"/>
        <w:bottom w:val="none" w:sz="0" w:space="0" w:color="auto"/>
        <w:right w:val="none" w:sz="0" w:space="0" w:color="auto"/>
      </w:divBdr>
    </w:div>
    <w:div w:id="1103309068">
      <w:bodyDiv w:val="1"/>
      <w:marLeft w:val="0"/>
      <w:marRight w:val="0"/>
      <w:marTop w:val="0"/>
      <w:marBottom w:val="0"/>
      <w:divBdr>
        <w:top w:val="none" w:sz="0" w:space="0" w:color="auto"/>
        <w:left w:val="none" w:sz="0" w:space="0" w:color="auto"/>
        <w:bottom w:val="none" w:sz="0" w:space="0" w:color="auto"/>
        <w:right w:val="none" w:sz="0" w:space="0" w:color="auto"/>
      </w:divBdr>
    </w:div>
    <w:div w:id="1248878449">
      <w:bodyDiv w:val="1"/>
      <w:marLeft w:val="0"/>
      <w:marRight w:val="0"/>
      <w:marTop w:val="0"/>
      <w:marBottom w:val="0"/>
      <w:divBdr>
        <w:top w:val="none" w:sz="0" w:space="0" w:color="auto"/>
        <w:left w:val="none" w:sz="0" w:space="0" w:color="auto"/>
        <w:bottom w:val="none" w:sz="0" w:space="0" w:color="auto"/>
        <w:right w:val="none" w:sz="0" w:space="0" w:color="auto"/>
      </w:divBdr>
    </w:div>
    <w:div w:id="1306813076">
      <w:bodyDiv w:val="1"/>
      <w:marLeft w:val="0"/>
      <w:marRight w:val="0"/>
      <w:marTop w:val="0"/>
      <w:marBottom w:val="0"/>
      <w:divBdr>
        <w:top w:val="none" w:sz="0" w:space="0" w:color="auto"/>
        <w:left w:val="none" w:sz="0" w:space="0" w:color="auto"/>
        <w:bottom w:val="none" w:sz="0" w:space="0" w:color="auto"/>
        <w:right w:val="none" w:sz="0" w:space="0" w:color="auto"/>
      </w:divBdr>
    </w:div>
    <w:div w:id="1538006413">
      <w:bodyDiv w:val="1"/>
      <w:marLeft w:val="0"/>
      <w:marRight w:val="0"/>
      <w:marTop w:val="0"/>
      <w:marBottom w:val="0"/>
      <w:divBdr>
        <w:top w:val="none" w:sz="0" w:space="0" w:color="auto"/>
        <w:left w:val="none" w:sz="0" w:space="0" w:color="auto"/>
        <w:bottom w:val="none" w:sz="0" w:space="0" w:color="auto"/>
        <w:right w:val="none" w:sz="0" w:space="0" w:color="auto"/>
      </w:divBdr>
    </w:div>
    <w:div w:id="1613391937">
      <w:bodyDiv w:val="1"/>
      <w:marLeft w:val="0"/>
      <w:marRight w:val="0"/>
      <w:marTop w:val="0"/>
      <w:marBottom w:val="0"/>
      <w:divBdr>
        <w:top w:val="none" w:sz="0" w:space="0" w:color="auto"/>
        <w:left w:val="none" w:sz="0" w:space="0" w:color="auto"/>
        <w:bottom w:val="none" w:sz="0" w:space="0" w:color="auto"/>
        <w:right w:val="none" w:sz="0" w:space="0" w:color="auto"/>
      </w:divBdr>
    </w:div>
    <w:div w:id="1963219123">
      <w:bodyDiv w:val="1"/>
      <w:marLeft w:val="0"/>
      <w:marRight w:val="0"/>
      <w:marTop w:val="0"/>
      <w:marBottom w:val="0"/>
      <w:divBdr>
        <w:top w:val="none" w:sz="0" w:space="0" w:color="auto"/>
        <w:left w:val="none" w:sz="0" w:space="0" w:color="auto"/>
        <w:bottom w:val="none" w:sz="0" w:space="0" w:color="auto"/>
        <w:right w:val="none" w:sz="0" w:space="0" w:color="auto"/>
      </w:divBdr>
    </w:div>
    <w:div w:id="1970360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www.defensordelpueblo.es/resoluciones/reconocimiento-de-prestaciones-y-descansos-por-nacimiento-y-cuidado-de-menores-de-las-familias-monoparentales/" TargetMode="External"/><Relationship Id="rId26" Type="http://schemas.openxmlformats.org/officeDocument/2006/relationships/hyperlink" Target="https://www.boe.es/diario_boe/txt.php?id=BOE-A-2021-13605" TargetMode="External"/><Relationship Id="rId39" Type="http://schemas.openxmlformats.org/officeDocument/2006/relationships/footer" Target="footer4.xml"/><Relationship Id="rId21" Type="http://schemas.openxmlformats.org/officeDocument/2006/relationships/hyperlink" Target="https://www.defensordelpueblo.es/resoluciones/coordinacion-parental-y-plan-de-parentalidad-para-victimas-de-violencia-de-genero-2/" TargetMode="External"/><Relationship Id="rId34" Type="http://schemas.openxmlformats.org/officeDocument/2006/relationships/hyperlink" Target="https://www.defensordelpueblo.es/resoluciones/acogida-de-solicitantes-de-proteccion-internacional-que-se-encuentran-en-las-dependencias-habilitadas-en-el-puesto-fronterizo-adolfo-suarez-madrid-barajas/"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defensordelpueblo.es/noticias/la-clausura-las-xxxvi-jornadas-coordinacion-defensores-del-pueblo/" TargetMode="External"/><Relationship Id="rId20" Type="http://schemas.openxmlformats.org/officeDocument/2006/relationships/hyperlink" Target="https://www.defensordelpueblo.es/resoluciones/sistema-de-seguimiento-integral-en-los-casos-de-violencia-de-genero-contra-menores/" TargetMode="External"/><Relationship Id="rId29" Type="http://schemas.openxmlformats.org/officeDocument/2006/relationships/hyperlink" Target="https://www.defensordelpueblo.es/documentacion/resultados-busqueda-documentos/?palabra_clave=Deporte&amp;tipo_documento=recurso_tc&amp;select_order_direction=DESC&amp;select_administracion=&amp;select_expedient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defensordelpueblo.es/resoluciones/acogimiento-familiar-como-medida-de-proteccion-de-menores-prioritaria-6/" TargetMode="External"/><Relationship Id="rId32" Type="http://schemas.openxmlformats.org/officeDocument/2006/relationships/hyperlink" Target="https://www.defensordelpueblo.es/resoluciones/acceso-a-un-procedimiento-de-proteccion-internacional-de-un-menor-de-edad-3/" TargetMode="External"/><Relationship Id="rId37" Type="http://schemas.openxmlformats.org/officeDocument/2006/relationships/hyperlink" Target="https://www.defensordelpueblo.es/noticias/contenciones-centros-menores-infractores/"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defensordelpueblo.es/informes/resultados-busqueda-informes/?tipo_documento=informe_monografico&amp;tipo_informe_mono=separata" TargetMode="External"/><Relationship Id="rId23" Type="http://schemas.openxmlformats.org/officeDocument/2006/relationships/hyperlink" Target="https://www.defensordelpueblo.es/resoluciones/informes-periciales-de-los-institutos-de-medicina-legal/" TargetMode="External"/><Relationship Id="rId28" Type="http://schemas.openxmlformats.org/officeDocument/2006/relationships/hyperlink" Target="https://www.defensordelpueblo.es/resoluciones/convalidacion-de-estudios-universitarios-de-grado-con-modulos-de-formacion-profesional/" TargetMode="External"/><Relationship Id="rId36" Type="http://schemas.openxmlformats.org/officeDocument/2006/relationships/hyperlink" Target="https://hj.tribunalconstitucional.es/es/Resolucion/Show/29397" TargetMode="External"/><Relationship Id="rId10" Type="http://schemas.openxmlformats.org/officeDocument/2006/relationships/footer" Target="footer1.xml"/><Relationship Id="rId19" Type="http://schemas.openxmlformats.org/officeDocument/2006/relationships/hyperlink" Target="https://www.defensordelpueblo.es/resoluciones/reforma-del-articulo-132-del-codigo-penal-referido-a-la-prescripcion-de-los-delitos-contra-la-libertad-comedida-contra-menores/" TargetMode="External"/><Relationship Id="rId31" Type="http://schemas.openxmlformats.org/officeDocument/2006/relationships/hyperlink" Target="https://www.defensordelpueblo.es/resoluciones/sistema-de-acogida-de-un-nucleo-familiar-teniendo-en-cuenta-el-interes-superior-de-los-menores/"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s://www.defensordelpueblo.es/informe-comision-abusos-sexuales/" TargetMode="External"/><Relationship Id="rId22" Type="http://schemas.openxmlformats.org/officeDocument/2006/relationships/hyperlink" Target="https://www.defensordelpueblo.es/resoluciones/presencia-policial-durante-el-parto-de-las-mujeres-procedentes-de-centros-penitenciarios-que-se-encuentran-hospitalizadas/" TargetMode="External"/><Relationship Id="rId27" Type="http://schemas.openxmlformats.org/officeDocument/2006/relationships/hyperlink" Target="https://www.boe.es/buscar/pdf/2019/BOE-A-2019-1986-consolidado.pdf" TargetMode="External"/><Relationship Id="rId30" Type="http://schemas.openxmlformats.org/officeDocument/2006/relationships/hyperlink" Target="https://www.defensordelpueblo.es/resoluciones/tramitacion-de-los-procedimientos-de-proteccion-internacional/" TargetMode="External"/><Relationship Id="rId35" Type="http://schemas.openxmlformats.org/officeDocument/2006/relationships/hyperlink" Target="https://hj.tribunalconstitucional.es/es/Resolucion/Show/29107" TargetMode="Externa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openxmlformats.org/officeDocument/2006/relationships/hyperlink" Target="https://www.defensordelpueblo.es/resoluciones/inscripcion-de-nacimiento-en-los-terminos-que-permite-la-legislacion-vigente/" TargetMode="External"/><Relationship Id="rId25" Type="http://schemas.openxmlformats.org/officeDocument/2006/relationships/hyperlink" Target="https://www.boe.es/buscar/doc.php?id=BOE-A-2023-14347" TargetMode="External"/><Relationship Id="rId33" Type="http://schemas.openxmlformats.org/officeDocument/2006/relationships/hyperlink" Target="https://www.defensordelpueblo.es/resoluciones/acceso-a-un-procedimiento-de-proteccion-internacional-de-un-menor-de-edad-4/" TargetMode="External"/><Relationship Id="rId38" Type="http://schemas.openxmlformats.org/officeDocument/2006/relationships/header" Target="header4.xml"/></Relationships>
</file>

<file path=word/_rels/footnotes.xml.rels><?xml version="1.0" encoding="UTF-8" standalone="yes"?>
<Relationships xmlns="http://schemas.openxmlformats.org/package/2006/relationships"><Relationship Id="rId1" Type="http://schemas.openxmlformats.org/officeDocument/2006/relationships/hyperlink" Target="https://www.defensordelpueblo.es/wp-content/uploads/2024/03/Defensor-del-Pueblo_Informe-anual-2023.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44950F-A099-414F-AB9B-936D6E4846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21</Pages>
  <Words>7069</Words>
  <Characters>40297</Characters>
  <Application>Microsoft Office Word</Application>
  <DocSecurity>0</DocSecurity>
  <Lines>335</Lines>
  <Paragraphs>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47272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Ballestero Beltrán</dc:creator>
  <cp:keywords/>
  <dc:description/>
  <cp:lastModifiedBy>James Boit</cp:lastModifiedBy>
  <cp:revision>2</cp:revision>
  <cp:lastPrinted>2024-04-25T16:18:00Z</cp:lastPrinted>
  <dcterms:created xsi:type="dcterms:W3CDTF">2024-07-29T13:18:00Z</dcterms:created>
  <dcterms:modified xsi:type="dcterms:W3CDTF">2024-07-29T13:18:00Z</dcterms:modified>
</cp:coreProperties>
</file>