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5CB" w:rsidRPr="008A62CD" w:rsidRDefault="001205CB" w:rsidP="001205CB">
      <w:pPr>
        <w:spacing w:after="120" w:line="240" w:lineRule="auto"/>
        <w:ind w:firstLine="720"/>
        <w:jc w:val="right"/>
        <w:rPr>
          <w:rFonts w:ascii="Cambria" w:hAnsi="Cambria" w:cs="Arial"/>
          <w:sz w:val="40"/>
          <w:szCs w:val="40"/>
          <w:lang w:val="en-US"/>
        </w:rPr>
      </w:pPr>
      <w:bookmarkStart w:id="0" w:name="_GoBack"/>
      <w:bookmarkEnd w:id="0"/>
      <w:r>
        <w:rPr>
          <w:noProof/>
          <w:color w:val="17365D"/>
          <w:lang w:val="en-GB" w:eastAsia="en-GB"/>
        </w:rPr>
        <w:drawing>
          <wp:anchor distT="0" distB="0" distL="114300" distR="114300" simplePos="0" relativeHeight="251659264" behindDoc="0" locked="0" layoutInCell="1" allowOverlap="1" wp14:anchorId="45198359" wp14:editId="7ED0C239">
            <wp:simplePos x="0" y="0"/>
            <wp:positionH relativeFrom="column">
              <wp:posOffset>-461010</wp:posOffset>
            </wp:positionH>
            <wp:positionV relativeFrom="paragraph">
              <wp:posOffset>-384175</wp:posOffset>
            </wp:positionV>
            <wp:extent cx="885825" cy="895350"/>
            <wp:effectExtent l="0" t="0" r="9525" b="0"/>
            <wp:wrapSquare wrapText="bothSides"/>
            <wp:docPr id="4" name="Рисунок 4" descr="Описание: Описание: E:\Kuzjmin\Foto\Simvolika\L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E:\Kuzjmin\Foto\Simvolika\LCK.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49F3">
        <w:rPr>
          <w:rFonts w:ascii="Cambria" w:hAnsi="Cambria" w:cs="Arial"/>
          <w:color w:val="17365D"/>
          <w:sz w:val="40"/>
          <w:szCs w:val="40"/>
          <w:lang w:val="en-US"/>
        </w:rPr>
        <w:t xml:space="preserve">CLSF </w:t>
      </w:r>
      <w:r w:rsidRPr="008A62CD">
        <w:rPr>
          <w:rFonts w:ascii="Cambria" w:hAnsi="Cambria" w:cs="Arial"/>
          <w:color w:val="002060"/>
          <w:sz w:val="40"/>
          <w:szCs w:val="40"/>
          <w:lang w:val="en-US"/>
        </w:rPr>
        <w:t xml:space="preserve">Latvijas Cilvēktiesību </w:t>
      </w:r>
      <w:r>
        <w:rPr>
          <w:rFonts w:ascii="Cambria" w:hAnsi="Cambria" w:cs="Arial"/>
          <w:color w:val="002060"/>
          <w:sz w:val="40"/>
          <w:szCs w:val="40"/>
          <w:lang w:val="en-US"/>
        </w:rPr>
        <w:t>k</w:t>
      </w:r>
      <w:r w:rsidRPr="008A62CD">
        <w:rPr>
          <w:rFonts w:ascii="Cambria" w:hAnsi="Cambria" w:cs="Arial"/>
          <w:color w:val="002060"/>
          <w:sz w:val="40"/>
          <w:szCs w:val="40"/>
          <w:lang w:val="en-US"/>
        </w:rPr>
        <w:t>omiteja</w:t>
      </w:r>
    </w:p>
    <w:p w:rsidR="00104E39" w:rsidRDefault="001205CB" w:rsidP="00104E39">
      <w:pPr>
        <w:spacing w:after="120" w:line="240" w:lineRule="auto"/>
        <w:jc w:val="right"/>
        <w:rPr>
          <w:rFonts w:ascii="Cambria" w:hAnsi="Cambria" w:cs="Arial"/>
          <w:color w:val="002060"/>
          <w:sz w:val="40"/>
          <w:szCs w:val="40"/>
          <w:lang w:val="en-US"/>
        </w:rPr>
      </w:pPr>
      <w:r w:rsidRPr="008A62CD">
        <w:rPr>
          <w:rFonts w:ascii="Cambria" w:hAnsi="Cambria" w:cs="Arial"/>
          <w:color w:val="002060"/>
          <w:sz w:val="40"/>
          <w:szCs w:val="40"/>
          <w:lang w:val="en-US"/>
        </w:rPr>
        <w:t>F.I.D.H. Latvian Human Rights Committee</w:t>
      </w:r>
    </w:p>
    <w:p w:rsidR="001205CB" w:rsidRPr="00104E39" w:rsidRDefault="001205CB" w:rsidP="00104E39">
      <w:pPr>
        <w:spacing w:after="120" w:line="240" w:lineRule="auto"/>
        <w:jc w:val="right"/>
        <w:rPr>
          <w:rFonts w:ascii="Cambria" w:hAnsi="Cambria" w:cs="Arial"/>
          <w:color w:val="002060"/>
          <w:sz w:val="38"/>
          <w:szCs w:val="38"/>
        </w:rPr>
      </w:pPr>
      <w:r w:rsidRPr="00104E39">
        <w:rPr>
          <w:rFonts w:ascii="Cambria" w:hAnsi="Cambria" w:cs="Arial"/>
          <w:color w:val="002060"/>
          <w:sz w:val="38"/>
          <w:szCs w:val="38"/>
        </w:rPr>
        <w:t>МФП</w:t>
      </w:r>
      <w:r w:rsidR="00104E39">
        <w:rPr>
          <w:rFonts w:ascii="Cambria" w:hAnsi="Cambria" w:cs="Arial"/>
          <w:color w:val="002060"/>
          <w:sz w:val="38"/>
          <w:szCs w:val="38"/>
        </w:rPr>
        <w:t>Ч</w:t>
      </w:r>
      <w:r w:rsidRPr="00104E39">
        <w:rPr>
          <w:rFonts w:ascii="Cambria" w:hAnsi="Cambria" w:cs="Arial"/>
          <w:color w:val="002060"/>
          <w:sz w:val="38"/>
          <w:szCs w:val="38"/>
        </w:rPr>
        <w:t xml:space="preserve"> Латвийский комитет по правам</w:t>
      </w:r>
      <w:r w:rsidR="00104E39" w:rsidRPr="00104E39">
        <w:rPr>
          <w:rFonts w:ascii="Cambria" w:hAnsi="Cambria" w:cs="Arial"/>
          <w:color w:val="002060"/>
          <w:sz w:val="38"/>
          <w:szCs w:val="38"/>
          <w:lang w:val="lv-LV"/>
        </w:rPr>
        <w:t xml:space="preserve"> </w:t>
      </w:r>
      <w:r w:rsidR="00104E39" w:rsidRPr="00104E39">
        <w:rPr>
          <w:rFonts w:ascii="Cambria" w:hAnsi="Cambria" w:cs="Arial"/>
          <w:color w:val="002060"/>
          <w:sz w:val="38"/>
          <w:szCs w:val="38"/>
        </w:rPr>
        <w:t>ч</w:t>
      </w:r>
      <w:r w:rsidRPr="00104E39">
        <w:rPr>
          <w:rFonts w:ascii="Cambria" w:hAnsi="Cambria" w:cs="Arial"/>
          <w:color w:val="002060"/>
          <w:sz w:val="38"/>
          <w:szCs w:val="38"/>
        </w:rPr>
        <w:t>еловека</w:t>
      </w:r>
    </w:p>
    <w:p w:rsidR="001205CB" w:rsidRPr="003E348B" w:rsidRDefault="001205CB" w:rsidP="001205CB">
      <w:pPr>
        <w:ind w:firstLine="142"/>
        <w:jc w:val="center"/>
        <w:rPr>
          <w:rFonts w:ascii="Cambria" w:hAnsi="Cambria" w:cs="Arial"/>
          <w:color w:val="002060"/>
          <w:lang w:val="lv-LV"/>
        </w:rPr>
      </w:pPr>
      <w:r w:rsidRPr="003E348B">
        <w:rPr>
          <w:rFonts w:ascii="Cambria" w:hAnsi="Cambria" w:cs="Arial"/>
          <w:color w:val="002060"/>
          <w:lang w:val="lv-LV"/>
        </w:rPr>
        <w:t>Re</w:t>
      </w:r>
      <w:r>
        <w:rPr>
          <w:rFonts w:ascii="Cambria" w:hAnsi="Cambria" w:cs="Arial"/>
          <w:color w:val="002060"/>
          <w:lang w:val="lv-LV"/>
        </w:rPr>
        <w:t>g</w:t>
      </w:r>
      <w:r w:rsidRPr="003E348B">
        <w:rPr>
          <w:rFonts w:ascii="Cambria" w:hAnsi="Cambria" w:cs="Arial"/>
          <w:color w:val="002060"/>
          <w:lang w:val="lv-LV"/>
        </w:rPr>
        <w:t>.</w:t>
      </w:r>
      <w:r>
        <w:rPr>
          <w:rFonts w:ascii="Cambria" w:hAnsi="Cambria" w:cs="Arial"/>
          <w:color w:val="002060"/>
          <w:lang w:val="lv-LV"/>
        </w:rPr>
        <w:t xml:space="preserve"> No</w:t>
      </w:r>
      <w:r w:rsidRPr="003E348B">
        <w:rPr>
          <w:rFonts w:ascii="Cambria" w:hAnsi="Cambria" w:cs="Arial"/>
          <w:color w:val="002060"/>
          <w:lang w:val="lv-LV"/>
        </w:rPr>
        <w:t xml:space="preserve">. 40008010632, </w:t>
      </w:r>
      <w:r w:rsidR="00891E86">
        <w:rPr>
          <w:rFonts w:ascii="Cambria" w:hAnsi="Cambria" w:cs="Arial"/>
          <w:color w:val="002060"/>
          <w:lang w:val="lv-LV"/>
        </w:rPr>
        <w:t>Lacplesa</w:t>
      </w:r>
      <w:r>
        <w:rPr>
          <w:rFonts w:ascii="Cambria" w:hAnsi="Cambria" w:cs="Arial"/>
          <w:color w:val="002060"/>
          <w:lang w:val="lv-LV"/>
        </w:rPr>
        <w:t xml:space="preserve"> iela </w:t>
      </w:r>
      <w:r w:rsidR="00891E86">
        <w:rPr>
          <w:rFonts w:ascii="Cambria" w:hAnsi="Cambria" w:cs="Arial"/>
          <w:color w:val="002060"/>
          <w:lang w:val="lv-LV"/>
        </w:rPr>
        <w:t>87</w:t>
      </w:r>
      <w:r>
        <w:rPr>
          <w:rFonts w:ascii="Cambria" w:hAnsi="Cambria" w:cs="Arial"/>
          <w:color w:val="002060"/>
          <w:lang w:val="lv-LV"/>
        </w:rPr>
        <w:t>,</w:t>
      </w:r>
      <w:r w:rsidRPr="003E348B">
        <w:rPr>
          <w:rFonts w:ascii="Cambria" w:hAnsi="Cambria" w:cs="Arial"/>
          <w:color w:val="002060"/>
          <w:lang w:val="lv-LV"/>
        </w:rPr>
        <w:t xml:space="preserve"> R</w:t>
      </w:r>
      <w:r>
        <w:rPr>
          <w:rFonts w:ascii="Cambria" w:hAnsi="Cambria" w:cs="Arial"/>
          <w:color w:val="002060"/>
          <w:lang w:val="lv-LV"/>
        </w:rPr>
        <w:t>ī</w:t>
      </w:r>
      <w:r w:rsidRPr="003E348B">
        <w:rPr>
          <w:rFonts w:ascii="Cambria" w:hAnsi="Cambria" w:cs="Arial"/>
          <w:color w:val="002060"/>
          <w:lang w:val="lv-LV"/>
        </w:rPr>
        <w:t>ga, LV</w:t>
      </w:r>
      <w:r>
        <w:rPr>
          <w:rFonts w:ascii="Cambria" w:hAnsi="Cambria" w:cs="Arial"/>
          <w:color w:val="002060"/>
          <w:lang w:val="lv-LV"/>
        </w:rPr>
        <w:t>-</w:t>
      </w:r>
      <w:r w:rsidRPr="003E348B">
        <w:rPr>
          <w:rFonts w:ascii="Cambria" w:hAnsi="Cambria" w:cs="Arial"/>
          <w:color w:val="002060"/>
          <w:lang w:val="lv-LV"/>
        </w:rPr>
        <w:t>10</w:t>
      </w:r>
      <w:r w:rsidR="00891E86">
        <w:rPr>
          <w:rFonts w:ascii="Cambria" w:hAnsi="Cambria" w:cs="Arial"/>
          <w:color w:val="002060"/>
          <w:lang w:val="lv-LV"/>
        </w:rPr>
        <w:t>11</w:t>
      </w:r>
      <w:r w:rsidRPr="003E348B">
        <w:rPr>
          <w:rFonts w:ascii="Cambria" w:hAnsi="Cambria" w:cs="Arial"/>
          <w:color w:val="002060"/>
          <w:lang w:val="lv-LV"/>
        </w:rPr>
        <w:t>, Latvi</w:t>
      </w:r>
      <w:r>
        <w:rPr>
          <w:rFonts w:ascii="Cambria" w:hAnsi="Cambria" w:cs="Arial"/>
          <w:color w:val="002060"/>
          <w:lang w:val="lv-LV"/>
        </w:rPr>
        <w:t>j</w:t>
      </w:r>
      <w:r w:rsidRPr="003E348B">
        <w:rPr>
          <w:rFonts w:ascii="Cambria" w:hAnsi="Cambria" w:cs="Arial"/>
          <w:color w:val="002060"/>
          <w:lang w:val="lv-LV"/>
        </w:rPr>
        <w:t>a</w:t>
      </w:r>
      <w:r>
        <w:rPr>
          <w:rFonts w:ascii="Cambria" w:hAnsi="Cambria" w:cs="Arial"/>
          <w:color w:val="002060"/>
          <w:lang w:val="lv-LV"/>
        </w:rPr>
        <w:t xml:space="preserve">. Phone +371 26420477 </w:t>
      </w:r>
      <w:hyperlink r:id="rId9" w:history="1">
        <w:r w:rsidRPr="00EE3136">
          <w:rPr>
            <w:rStyle w:val="Hyperlink"/>
            <w:rFonts w:ascii="Cambria" w:hAnsi="Cambria" w:cs="Arial"/>
            <w:lang w:val="lv-LV"/>
          </w:rPr>
          <w:t>www.lhrc.lv</w:t>
        </w:r>
      </w:hyperlink>
      <w:r>
        <w:rPr>
          <w:rFonts w:ascii="Cambria" w:hAnsi="Cambria" w:cs="Arial"/>
          <w:color w:val="002060"/>
          <w:lang w:val="lv-LV"/>
        </w:rPr>
        <w:t xml:space="preserve"> e-mail: lhrc@lhrc.lv</w:t>
      </w:r>
    </w:p>
    <w:p w:rsidR="001205CB" w:rsidRPr="007C6660" w:rsidRDefault="00C416D1" w:rsidP="001205CB">
      <w:pPr>
        <w:spacing w:after="0" w:line="240" w:lineRule="auto"/>
        <w:jc w:val="both"/>
        <w:rPr>
          <w:rFonts w:ascii="Times New Roman" w:hAnsi="Times New Roman"/>
          <w:lang w:val="en-GB"/>
        </w:rPr>
      </w:pPr>
      <w:r>
        <w:rPr>
          <w:rFonts w:ascii="Times New Roman" w:hAnsi="Times New Roman"/>
          <w:lang w:val="en-GB"/>
        </w:rPr>
        <w:t>A</w:t>
      </w:r>
      <w:r w:rsidR="00F422DE">
        <w:rPr>
          <w:rFonts w:ascii="Times New Roman" w:hAnsi="Times New Roman"/>
          <w:lang w:val="en-GB"/>
        </w:rPr>
        <w:t xml:space="preserve">ugust </w:t>
      </w:r>
      <w:r w:rsidR="00FB0DB6">
        <w:rPr>
          <w:rFonts w:ascii="Times New Roman" w:hAnsi="Times New Roman"/>
          <w:lang w:val="en-GB"/>
        </w:rPr>
        <w:t>3</w:t>
      </w:r>
      <w:r w:rsidR="0067239B">
        <w:rPr>
          <w:rFonts w:ascii="Times New Roman" w:hAnsi="Times New Roman"/>
          <w:lang w:val="en-GB"/>
        </w:rPr>
        <w:t>1</w:t>
      </w:r>
      <w:r w:rsidR="001205CB" w:rsidRPr="007C6660">
        <w:rPr>
          <w:rFonts w:ascii="Times New Roman" w:hAnsi="Times New Roman"/>
          <w:lang w:val="en-GB"/>
        </w:rPr>
        <w:t>, 20</w:t>
      </w:r>
      <w:r>
        <w:rPr>
          <w:rFonts w:ascii="Times New Roman" w:hAnsi="Times New Roman"/>
          <w:lang w:val="en-GB"/>
        </w:rPr>
        <w:t>20</w:t>
      </w:r>
      <w:r w:rsidR="001205CB" w:rsidRPr="007C6660">
        <w:rPr>
          <w:rFonts w:ascii="Times New Roman" w:hAnsi="Times New Roman"/>
          <w:lang w:val="en-GB"/>
        </w:rPr>
        <w:t>, Riga</w:t>
      </w:r>
    </w:p>
    <w:p w:rsidR="00815BAB" w:rsidRPr="007C6660" w:rsidRDefault="00815BAB" w:rsidP="001205CB">
      <w:pPr>
        <w:spacing w:after="0" w:line="240" w:lineRule="auto"/>
        <w:jc w:val="right"/>
        <w:rPr>
          <w:rFonts w:ascii="Times New Roman" w:hAnsi="Times New Roman"/>
          <w:lang w:val="en-GB"/>
        </w:rPr>
      </w:pPr>
    </w:p>
    <w:p w:rsidR="00F422DE" w:rsidRDefault="00815BAB" w:rsidP="001205CB">
      <w:pPr>
        <w:spacing w:after="0" w:line="240" w:lineRule="auto"/>
        <w:jc w:val="right"/>
        <w:rPr>
          <w:rFonts w:ascii="Times New Roman" w:hAnsi="Times New Roman"/>
          <w:lang w:val="en-GB"/>
        </w:rPr>
      </w:pPr>
      <w:r w:rsidRPr="007C6660">
        <w:rPr>
          <w:rFonts w:ascii="Times New Roman" w:hAnsi="Times New Roman"/>
          <w:lang w:val="en-GB"/>
        </w:rPr>
        <w:t xml:space="preserve">To: </w:t>
      </w:r>
      <w:r w:rsidR="00FB0DB6" w:rsidRPr="00FB0DB6">
        <w:rPr>
          <w:rFonts w:ascii="Times New Roman" w:hAnsi="Times New Roman"/>
          <w:lang w:val="en-GB"/>
        </w:rPr>
        <w:t>Committee on Economic, Social and Cultural Rights</w:t>
      </w:r>
    </w:p>
    <w:p w:rsidR="00F422DE" w:rsidRDefault="00F422DE" w:rsidP="001205CB">
      <w:pPr>
        <w:spacing w:after="0" w:line="240" w:lineRule="auto"/>
        <w:jc w:val="right"/>
        <w:rPr>
          <w:rFonts w:ascii="Times New Roman" w:hAnsi="Times New Roman"/>
          <w:lang w:val="en-GB"/>
        </w:rPr>
      </w:pPr>
    </w:p>
    <w:p w:rsidR="00F422DE" w:rsidRDefault="00F422DE" w:rsidP="001205CB">
      <w:pPr>
        <w:spacing w:after="0" w:line="240" w:lineRule="auto"/>
        <w:jc w:val="right"/>
        <w:rPr>
          <w:rFonts w:ascii="Times New Roman" w:hAnsi="Times New Roman"/>
          <w:lang w:val="en-GB"/>
        </w:rPr>
      </w:pPr>
    </w:p>
    <w:p w:rsidR="001205CB" w:rsidRDefault="00256024" w:rsidP="004206C9">
      <w:pPr>
        <w:spacing w:after="0" w:line="240" w:lineRule="auto"/>
        <w:jc w:val="center"/>
        <w:rPr>
          <w:rFonts w:ascii="Times New Roman" w:hAnsi="Times New Roman"/>
          <w:b/>
          <w:sz w:val="24"/>
          <w:szCs w:val="24"/>
          <w:lang w:val="lv-LV"/>
        </w:rPr>
      </w:pPr>
      <w:r>
        <w:rPr>
          <w:rFonts w:ascii="Times New Roman" w:hAnsi="Times New Roman"/>
          <w:b/>
          <w:sz w:val="24"/>
          <w:szCs w:val="24"/>
          <w:lang w:val="lv-LV"/>
        </w:rPr>
        <w:t>PARALLEL REPORT:</w:t>
      </w:r>
    </w:p>
    <w:p w:rsidR="00FB0DB6" w:rsidRPr="001205CB" w:rsidRDefault="00FB0DB6" w:rsidP="004206C9">
      <w:pPr>
        <w:spacing w:after="0" w:line="240" w:lineRule="auto"/>
        <w:jc w:val="center"/>
        <w:rPr>
          <w:rFonts w:ascii="Times New Roman" w:hAnsi="Times New Roman"/>
          <w:b/>
          <w:sz w:val="24"/>
          <w:szCs w:val="24"/>
          <w:lang w:val="lv-LV"/>
        </w:rPr>
      </w:pPr>
      <w:r>
        <w:rPr>
          <w:rFonts w:ascii="Times New Roman" w:hAnsi="Times New Roman"/>
          <w:b/>
          <w:sz w:val="24"/>
          <w:szCs w:val="24"/>
          <w:lang w:val="lv-LV"/>
        </w:rPr>
        <w:t>Latvia 2020: implementation of economic, social and cultural rights</w:t>
      </w:r>
    </w:p>
    <w:p w:rsidR="00F422DE" w:rsidRDefault="00F422DE" w:rsidP="00256024">
      <w:pPr>
        <w:spacing w:after="0" w:line="240" w:lineRule="auto"/>
        <w:rPr>
          <w:rFonts w:ascii="Times New Roman" w:hAnsi="Times New Roman"/>
          <w:sz w:val="24"/>
          <w:szCs w:val="24"/>
          <w:lang w:val="en-GB"/>
        </w:rPr>
      </w:pPr>
    </w:p>
    <w:sdt>
      <w:sdtPr>
        <w:rPr>
          <w:rFonts w:asciiTheme="minorHAnsi" w:eastAsiaTheme="minorHAnsi" w:hAnsiTheme="minorHAnsi" w:cstheme="minorBidi"/>
          <w:color w:val="auto"/>
          <w:sz w:val="22"/>
          <w:szCs w:val="22"/>
          <w:lang w:val="ru-RU"/>
        </w:rPr>
        <w:id w:val="-281651222"/>
        <w:docPartObj>
          <w:docPartGallery w:val="Table of Contents"/>
          <w:docPartUnique/>
        </w:docPartObj>
      </w:sdtPr>
      <w:sdtEndPr>
        <w:rPr>
          <w:b/>
          <w:bCs/>
          <w:noProof/>
        </w:rPr>
      </w:sdtEndPr>
      <w:sdtContent>
        <w:p w:rsidR="00485538" w:rsidRDefault="00485538">
          <w:pPr>
            <w:pStyle w:val="TOCHeading"/>
          </w:pPr>
          <w:r>
            <w:t>Contents</w:t>
          </w:r>
        </w:p>
        <w:p w:rsidR="00985A99" w:rsidRDefault="00485538">
          <w:pPr>
            <w:pStyle w:val="TOC2"/>
            <w:tabs>
              <w:tab w:val="right" w:leader="dot" w:pos="9345"/>
            </w:tabs>
            <w:rPr>
              <w:rFonts w:eastAsiaTheme="minorEastAsia"/>
              <w:noProof/>
              <w:lang w:val="lv-LV" w:eastAsia="lv-LV"/>
            </w:rPr>
          </w:pPr>
          <w:r>
            <w:rPr>
              <w:b/>
              <w:bCs/>
              <w:noProof/>
            </w:rPr>
            <w:fldChar w:fldCharType="begin"/>
          </w:r>
          <w:r>
            <w:rPr>
              <w:b/>
              <w:bCs/>
              <w:noProof/>
            </w:rPr>
            <w:instrText xml:space="preserve"> TOC \o "1-3" \h \z \u </w:instrText>
          </w:r>
          <w:r>
            <w:rPr>
              <w:b/>
              <w:bCs/>
              <w:noProof/>
            </w:rPr>
            <w:fldChar w:fldCharType="separate"/>
          </w:r>
          <w:hyperlink w:anchor="_Toc49798592" w:history="1">
            <w:r w:rsidR="00985A99" w:rsidRPr="00996040">
              <w:rPr>
                <w:rStyle w:val="Hyperlink"/>
                <w:noProof/>
                <w:lang w:val="en-GB"/>
              </w:rPr>
              <w:t>Article 7: employment (</w:t>
            </w:r>
            <w:r w:rsidR="00985A99" w:rsidRPr="00996040">
              <w:rPr>
                <w:rStyle w:val="Hyperlink"/>
                <w:noProof/>
                <w:lang w:val="lv-LV"/>
              </w:rPr>
              <w:t>in conjunction with Article 2, non-discrimination</w:t>
            </w:r>
            <w:r w:rsidR="00985A99" w:rsidRPr="00996040">
              <w:rPr>
                <w:rStyle w:val="Hyperlink"/>
                <w:noProof/>
                <w:lang w:val="en-GB"/>
              </w:rPr>
              <w:t>)</w:t>
            </w:r>
            <w:r w:rsidR="00985A99">
              <w:rPr>
                <w:noProof/>
                <w:webHidden/>
              </w:rPr>
              <w:tab/>
            </w:r>
            <w:r w:rsidR="00985A99">
              <w:rPr>
                <w:noProof/>
                <w:webHidden/>
              </w:rPr>
              <w:fldChar w:fldCharType="begin"/>
            </w:r>
            <w:r w:rsidR="00985A99">
              <w:rPr>
                <w:noProof/>
                <w:webHidden/>
              </w:rPr>
              <w:instrText xml:space="preserve"> PAGEREF _Toc49798592 \h </w:instrText>
            </w:r>
            <w:r w:rsidR="00985A99">
              <w:rPr>
                <w:noProof/>
                <w:webHidden/>
              </w:rPr>
            </w:r>
            <w:r w:rsidR="00985A99">
              <w:rPr>
                <w:noProof/>
                <w:webHidden/>
              </w:rPr>
              <w:fldChar w:fldCharType="separate"/>
            </w:r>
            <w:r w:rsidR="00985A99">
              <w:rPr>
                <w:noProof/>
                <w:webHidden/>
              </w:rPr>
              <w:t>1</w:t>
            </w:r>
            <w:r w:rsidR="00985A99">
              <w:rPr>
                <w:noProof/>
                <w:webHidden/>
              </w:rPr>
              <w:fldChar w:fldCharType="end"/>
            </w:r>
          </w:hyperlink>
        </w:p>
        <w:p w:rsidR="00985A99" w:rsidRDefault="008D2F57">
          <w:pPr>
            <w:pStyle w:val="TOC2"/>
            <w:tabs>
              <w:tab w:val="right" w:leader="dot" w:pos="9345"/>
            </w:tabs>
            <w:rPr>
              <w:rFonts w:eastAsiaTheme="minorEastAsia"/>
              <w:noProof/>
              <w:lang w:val="lv-LV" w:eastAsia="lv-LV"/>
            </w:rPr>
          </w:pPr>
          <w:hyperlink w:anchor="_Toc49798593" w:history="1">
            <w:r w:rsidR="00985A99" w:rsidRPr="00996040">
              <w:rPr>
                <w:rStyle w:val="Hyperlink"/>
                <w:noProof/>
                <w:lang w:val="en-GB"/>
              </w:rPr>
              <w:t>Article 8: trade unions (in conjunction with Article 2, non-discrimination)</w:t>
            </w:r>
            <w:r w:rsidR="00985A99">
              <w:rPr>
                <w:noProof/>
                <w:webHidden/>
              </w:rPr>
              <w:tab/>
            </w:r>
            <w:r w:rsidR="00985A99">
              <w:rPr>
                <w:noProof/>
                <w:webHidden/>
              </w:rPr>
              <w:fldChar w:fldCharType="begin"/>
            </w:r>
            <w:r w:rsidR="00985A99">
              <w:rPr>
                <w:noProof/>
                <w:webHidden/>
              </w:rPr>
              <w:instrText xml:space="preserve"> PAGEREF _Toc49798593 \h </w:instrText>
            </w:r>
            <w:r w:rsidR="00985A99">
              <w:rPr>
                <w:noProof/>
                <w:webHidden/>
              </w:rPr>
            </w:r>
            <w:r w:rsidR="00985A99">
              <w:rPr>
                <w:noProof/>
                <w:webHidden/>
              </w:rPr>
              <w:fldChar w:fldCharType="separate"/>
            </w:r>
            <w:r w:rsidR="00985A99">
              <w:rPr>
                <w:noProof/>
                <w:webHidden/>
              </w:rPr>
              <w:t>2</w:t>
            </w:r>
            <w:r w:rsidR="00985A99">
              <w:rPr>
                <w:noProof/>
                <w:webHidden/>
              </w:rPr>
              <w:fldChar w:fldCharType="end"/>
            </w:r>
          </w:hyperlink>
        </w:p>
        <w:p w:rsidR="00985A99" w:rsidRDefault="008D2F57">
          <w:pPr>
            <w:pStyle w:val="TOC2"/>
            <w:tabs>
              <w:tab w:val="right" w:leader="dot" w:pos="9345"/>
            </w:tabs>
            <w:rPr>
              <w:rFonts w:eastAsiaTheme="minorEastAsia"/>
              <w:noProof/>
              <w:lang w:val="lv-LV" w:eastAsia="lv-LV"/>
            </w:rPr>
          </w:pPr>
          <w:hyperlink w:anchor="_Toc49798594" w:history="1">
            <w:r w:rsidR="00985A99" w:rsidRPr="00996040">
              <w:rPr>
                <w:rStyle w:val="Hyperlink"/>
                <w:noProof/>
                <w:lang w:val="lv-LV"/>
              </w:rPr>
              <w:t>Article 9: social insurance (in conjunction with Article 2, non-discrimination)</w:t>
            </w:r>
            <w:r w:rsidR="00985A99">
              <w:rPr>
                <w:noProof/>
                <w:webHidden/>
              </w:rPr>
              <w:tab/>
            </w:r>
            <w:r w:rsidR="00985A99">
              <w:rPr>
                <w:noProof/>
                <w:webHidden/>
              </w:rPr>
              <w:fldChar w:fldCharType="begin"/>
            </w:r>
            <w:r w:rsidR="00985A99">
              <w:rPr>
                <w:noProof/>
                <w:webHidden/>
              </w:rPr>
              <w:instrText xml:space="preserve"> PAGEREF _Toc49798594 \h </w:instrText>
            </w:r>
            <w:r w:rsidR="00985A99">
              <w:rPr>
                <w:noProof/>
                <w:webHidden/>
              </w:rPr>
            </w:r>
            <w:r w:rsidR="00985A99">
              <w:rPr>
                <w:noProof/>
                <w:webHidden/>
              </w:rPr>
              <w:fldChar w:fldCharType="separate"/>
            </w:r>
            <w:r w:rsidR="00985A99">
              <w:rPr>
                <w:noProof/>
                <w:webHidden/>
              </w:rPr>
              <w:t>3</w:t>
            </w:r>
            <w:r w:rsidR="00985A99">
              <w:rPr>
                <w:noProof/>
                <w:webHidden/>
              </w:rPr>
              <w:fldChar w:fldCharType="end"/>
            </w:r>
          </w:hyperlink>
        </w:p>
        <w:p w:rsidR="00985A99" w:rsidRDefault="008D2F57">
          <w:pPr>
            <w:pStyle w:val="TOC2"/>
            <w:tabs>
              <w:tab w:val="right" w:leader="dot" w:pos="9345"/>
            </w:tabs>
            <w:rPr>
              <w:rFonts w:eastAsiaTheme="minorEastAsia"/>
              <w:noProof/>
              <w:lang w:val="lv-LV" w:eastAsia="lv-LV"/>
            </w:rPr>
          </w:pPr>
          <w:hyperlink w:anchor="_Toc49798595" w:history="1">
            <w:r w:rsidR="00985A99" w:rsidRPr="00996040">
              <w:rPr>
                <w:rStyle w:val="Hyperlink"/>
                <w:noProof/>
                <w:lang w:val="lv-LV"/>
              </w:rPr>
              <w:t>Article 11: housing</w:t>
            </w:r>
            <w:r w:rsidR="00985A99">
              <w:rPr>
                <w:noProof/>
                <w:webHidden/>
              </w:rPr>
              <w:tab/>
            </w:r>
            <w:r w:rsidR="00985A99">
              <w:rPr>
                <w:noProof/>
                <w:webHidden/>
              </w:rPr>
              <w:fldChar w:fldCharType="begin"/>
            </w:r>
            <w:r w:rsidR="00985A99">
              <w:rPr>
                <w:noProof/>
                <w:webHidden/>
              </w:rPr>
              <w:instrText xml:space="preserve"> PAGEREF _Toc49798595 \h </w:instrText>
            </w:r>
            <w:r w:rsidR="00985A99">
              <w:rPr>
                <w:noProof/>
                <w:webHidden/>
              </w:rPr>
            </w:r>
            <w:r w:rsidR="00985A99">
              <w:rPr>
                <w:noProof/>
                <w:webHidden/>
              </w:rPr>
              <w:fldChar w:fldCharType="separate"/>
            </w:r>
            <w:r w:rsidR="00985A99">
              <w:rPr>
                <w:noProof/>
                <w:webHidden/>
              </w:rPr>
              <w:t>3</w:t>
            </w:r>
            <w:r w:rsidR="00985A99">
              <w:rPr>
                <w:noProof/>
                <w:webHidden/>
              </w:rPr>
              <w:fldChar w:fldCharType="end"/>
            </w:r>
          </w:hyperlink>
        </w:p>
        <w:p w:rsidR="00985A99" w:rsidRDefault="008D2F57">
          <w:pPr>
            <w:pStyle w:val="TOC2"/>
            <w:tabs>
              <w:tab w:val="right" w:leader="dot" w:pos="9345"/>
            </w:tabs>
            <w:rPr>
              <w:rFonts w:eastAsiaTheme="minorEastAsia"/>
              <w:noProof/>
              <w:lang w:val="lv-LV" w:eastAsia="lv-LV"/>
            </w:rPr>
          </w:pPr>
          <w:hyperlink w:anchor="_Toc49798596" w:history="1">
            <w:r w:rsidR="00985A99" w:rsidRPr="00996040">
              <w:rPr>
                <w:rStyle w:val="Hyperlink"/>
                <w:noProof/>
                <w:lang w:val="lv-LV"/>
              </w:rPr>
              <w:t>Article 12: healthcare</w:t>
            </w:r>
            <w:r w:rsidR="00985A99">
              <w:rPr>
                <w:noProof/>
                <w:webHidden/>
              </w:rPr>
              <w:tab/>
            </w:r>
            <w:r w:rsidR="00985A99">
              <w:rPr>
                <w:noProof/>
                <w:webHidden/>
              </w:rPr>
              <w:fldChar w:fldCharType="begin"/>
            </w:r>
            <w:r w:rsidR="00985A99">
              <w:rPr>
                <w:noProof/>
                <w:webHidden/>
              </w:rPr>
              <w:instrText xml:space="preserve"> PAGEREF _Toc49798596 \h </w:instrText>
            </w:r>
            <w:r w:rsidR="00985A99">
              <w:rPr>
                <w:noProof/>
                <w:webHidden/>
              </w:rPr>
            </w:r>
            <w:r w:rsidR="00985A99">
              <w:rPr>
                <w:noProof/>
                <w:webHidden/>
              </w:rPr>
              <w:fldChar w:fldCharType="separate"/>
            </w:r>
            <w:r w:rsidR="00985A99">
              <w:rPr>
                <w:noProof/>
                <w:webHidden/>
              </w:rPr>
              <w:t>4</w:t>
            </w:r>
            <w:r w:rsidR="00985A99">
              <w:rPr>
                <w:noProof/>
                <w:webHidden/>
              </w:rPr>
              <w:fldChar w:fldCharType="end"/>
            </w:r>
          </w:hyperlink>
        </w:p>
        <w:p w:rsidR="00985A99" w:rsidRDefault="008D2F57">
          <w:pPr>
            <w:pStyle w:val="TOC2"/>
            <w:tabs>
              <w:tab w:val="right" w:leader="dot" w:pos="9345"/>
            </w:tabs>
            <w:rPr>
              <w:rFonts w:eastAsiaTheme="minorEastAsia"/>
              <w:noProof/>
              <w:lang w:val="lv-LV" w:eastAsia="lv-LV"/>
            </w:rPr>
          </w:pPr>
          <w:hyperlink w:anchor="_Toc49798597" w:history="1">
            <w:r w:rsidR="00985A99" w:rsidRPr="00996040">
              <w:rPr>
                <w:rStyle w:val="Hyperlink"/>
                <w:noProof/>
                <w:lang w:val="lv-LV"/>
              </w:rPr>
              <w:t>Article 13: education (in conjunction with Article 2, non-discrimination)</w:t>
            </w:r>
            <w:r w:rsidR="00985A99">
              <w:rPr>
                <w:noProof/>
                <w:webHidden/>
              </w:rPr>
              <w:tab/>
            </w:r>
            <w:r w:rsidR="00985A99">
              <w:rPr>
                <w:noProof/>
                <w:webHidden/>
              </w:rPr>
              <w:fldChar w:fldCharType="begin"/>
            </w:r>
            <w:r w:rsidR="00985A99">
              <w:rPr>
                <w:noProof/>
                <w:webHidden/>
              </w:rPr>
              <w:instrText xml:space="preserve"> PAGEREF _Toc49798597 \h </w:instrText>
            </w:r>
            <w:r w:rsidR="00985A99">
              <w:rPr>
                <w:noProof/>
                <w:webHidden/>
              </w:rPr>
            </w:r>
            <w:r w:rsidR="00985A99">
              <w:rPr>
                <w:noProof/>
                <w:webHidden/>
              </w:rPr>
              <w:fldChar w:fldCharType="separate"/>
            </w:r>
            <w:r w:rsidR="00985A99">
              <w:rPr>
                <w:noProof/>
                <w:webHidden/>
              </w:rPr>
              <w:t>4</w:t>
            </w:r>
            <w:r w:rsidR="00985A99">
              <w:rPr>
                <w:noProof/>
                <w:webHidden/>
              </w:rPr>
              <w:fldChar w:fldCharType="end"/>
            </w:r>
          </w:hyperlink>
        </w:p>
        <w:p w:rsidR="00985A99" w:rsidRDefault="008D2F57">
          <w:pPr>
            <w:pStyle w:val="TOC3"/>
            <w:tabs>
              <w:tab w:val="right" w:leader="dot" w:pos="9345"/>
            </w:tabs>
            <w:rPr>
              <w:rFonts w:eastAsiaTheme="minorEastAsia"/>
              <w:noProof/>
              <w:lang w:val="lv-LV" w:eastAsia="lv-LV"/>
            </w:rPr>
          </w:pPr>
          <w:hyperlink w:anchor="_Toc49798598" w:history="1">
            <w:r w:rsidR="00985A99" w:rsidRPr="00996040">
              <w:rPr>
                <w:rStyle w:val="Hyperlink"/>
                <w:noProof/>
                <w:lang w:val="lv-LV"/>
              </w:rPr>
              <w:t>Context</w:t>
            </w:r>
            <w:r w:rsidR="00985A99">
              <w:rPr>
                <w:noProof/>
                <w:webHidden/>
              </w:rPr>
              <w:tab/>
            </w:r>
            <w:r w:rsidR="00985A99">
              <w:rPr>
                <w:noProof/>
                <w:webHidden/>
              </w:rPr>
              <w:fldChar w:fldCharType="begin"/>
            </w:r>
            <w:r w:rsidR="00985A99">
              <w:rPr>
                <w:noProof/>
                <w:webHidden/>
              </w:rPr>
              <w:instrText xml:space="preserve"> PAGEREF _Toc49798598 \h </w:instrText>
            </w:r>
            <w:r w:rsidR="00985A99">
              <w:rPr>
                <w:noProof/>
                <w:webHidden/>
              </w:rPr>
            </w:r>
            <w:r w:rsidR="00985A99">
              <w:rPr>
                <w:noProof/>
                <w:webHidden/>
              </w:rPr>
              <w:fldChar w:fldCharType="separate"/>
            </w:r>
            <w:r w:rsidR="00985A99">
              <w:rPr>
                <w:noProof/>
                <w:webHidden/>
              </w:rPr>
              <w:t>4</w:t>
            </w:r>
            <w:r w:rsidR="00985A99">
              <w:rPr>
                <w:noProof/>
                <w:webHidden/>
              </w:rPr>
              <w:fldChar w:fldCharType="end"/>
            </w:r>
          </w:hyperlink>
        </w:p>
        <w:p w:rsidR="00985A99" w:rsidRDefault="008D2F57">
          <w:pPr>
            <w:pStyle w:val="TOC3"/>
            <w:tabs>
              <w:tab w:val="right" w:leader="dot" w:pos="9345"/>
            </w:tabs>
            <w:rPr>
              <w:rFonts w:eastAsiaTheme="minorEastAsia"/>
              <w:noProof/>
              <w:lang w:val="lv-LV" w:eastAsia="lv-LV"/>
            </w:rPr>
          </w:pPr>
          <w:hyperlink w:anchor="_Toc49798599" w:history="1">
            <w:r w:rsidR="00985A99" w:rsidRPr="00996040">
              <w:rPr>
                <w:rStyle w:val="Hyperlink"/>
                <w:noProof/>
                <w:lang w:val="lv-LV"/>
              </w:rPr>
              <w:t>Minority schools under attack</w:t>
            </w:r>
            <w:r w:rsidR="00985A99">
              <w:rPr>
                <w:noProof/>
                <w:webHidden/>
              </w:rPr>
              <w:tab/>
            </w:r>
            <w:r w:rsidR="00985A99">
              <w:rPr>
                <w:noProof/>
                <w:webHidden/>
              </w:rPr>
              <w:fldChar w:fldCharType="begin"/>
            </w:r>
            <w:r w:rsidR="00985A99">
              <w:rPr>
                <w:noProof/>
                <w:webHidden/>
              </w:rPr>
              <w:instrText xml:space="preserve"> PAGEREF _Toc49798599 \h </w:instrText>
            </w:r>
            <w:r w:rsidR="00985A99">
              <w:rPr>
                <w:noProof/>
                <w:webHidden/>
              </w:rPr>
            </w:r>
            <w:r w:rsidR="00985A99">
              <w:rPr>
                <w:noProof/>
                <w:webHidden/>
              </w:rPr>
              <w:fldChar w:fldCharType="separate"/>
            </w:r>
            <w:r w:rsidR="00985A99">
              <w:rPr>
                <w:noProof/>
                <w:webHidden/>
              </w:rPr>
              <w:t>5</w:t>
            </w:r>
            <w:r w:rsidR="00985A99">
              <w:rPr>
                <w:noProof/>
                <w:webHidden/>
              </w:rPr>
              <w:fldChar w:fldCharType="end"/>
            </w:r>
          </w:hyperlink>
        </w:p>
        <w:p w:rsidR="00985A99" w:rsidRDefault="008D2F57">
          <w:pPr>
            <w:pStyle w:val="TOC3"/>
            <w:tabs>
              <w:tab w:val="right" w:leader="dot" w:pos="9345"/>
            </w:tabs>
            <w:rPr>
              <w:rFonts w:eastAsiaTheme="minorEastAsia"/>
              <w:noProof/>
              <w:lang w:val="lv-LV" w:eastAsia="lv-LV"/>
            </w:rPr>
          </w:pPr>
          <w:hyperlink w:anchor="_Toc49798600" w:history="1">
            <w:r w:rsidR="00985A99" w:rsidRPr="00996040">
              <w:rPr>
                <w:rStyle w:val="Hyperlink"/>
                <w:rFonts w:eastAsia="Calibri"/>
                <w:noProof/>
                <w:lang w:val="lv-LV"/>
              </w:rPr>
              <w:t>Minority tertiary education under attack</w:t>
            </w:r>
            <w:r w:rsidR="00985A99">
              <w:rPr>
                <w:noProof/>
                <w:webHidden/>
              </w:rPr>
              <w:tab/>
            </w:r>
            <w:r w:rsidR="00985A99">
              <w:rPr>
                <w:noProof/>
                <w:webHidden/>
              </w:rPr>
              <w:fldChar w:fldCharType="begin"/>
            </w:r>
            <w:r w:rsidR="00985A99">
              <w:rPr>
                <w:noProof/>
                <w:webHidden/>
              </w:rPr>
              <w:instrText xml:space="preserve"> PAGEREF _Toc49798600 \h </w:instrText>
            </w:r>
            <w:r w:rsidR="00985A99">
              <w:rPr>
                <w:noProof/>
                <w:webHidden/>
              </w:rPr>
            </w:r>
            <w:r w:rsidR="00985A99">
              <w:rPr>
                <w:noProof/>
                <w:webHidden/>
              </w:rPr>
              <w:fldChar w:fldCharType="separate"/>
            </w:r>
            <w:r w:rsidR="00985A99">
              <w:rPr>
                <w:noProof/>
                <w:webHidden/>
              </w:rPr>
              <w:t>6</w:t>
            </w:r>
            <w:r w:rsidR="00985A99">
              <w:rPr>
                <w:noProof/>
                <w:webHidden/>
              </w:rPr>
              <w:fldChar w:fldCharType="end"/>
            </w:r>
          </w:hyperlink>
        </w:p>
        <w:p w:rsidR="00985A99" w:rsidRDefault="008D2F57">
          <w:pPr>
            <w:pStyle w:val="TOC3"/>
            <w:tabs>
              <w:tab w:val="right" w:leader="dot" w:pos="9345"/>
            </w:tabs>
            <w:rPr>
              <w:rFonts w:eastAsiaTheme="minorEastAsia"/>
              <w:noProof/>
              <w:lang w:val="lv-LV" w:eastAsia="lv-LV"/>
            </w:rPr>
          </w:pPr>
          <w:hyperlink w:anchor="_Toc49798601" w:history="1">
            <w:r w:rsidR="00985A99" w:rsidRPr="00996040">
              <w:rPr>
                <w:rStyle w:val="Hyperlink"/>
                <w:rFonts w:eastAsia="Calibri"/>
                <w:noProof/>
                <w:lang w:val="lv-LV"/>
              </w:rPr>
              <w:t>Minority kindergartens under attack</w:t>
            </w:r>
            <w:r w:rsidR="00985A99">
              <w:rPr>
                <w:noProof/>
                <w:webHidden/>
              </w:rPr>
              <w:tab/>
            </w:r>
            <w:r w:rsidR="00985A99">
              <w:rPr>
                <w:noProof/>
                <w:webHidden/>
              </w:rPr>
              <w:fldChar w:fldCharType="begin"/>
            </w:r>
            <w:r w:rsidR="00985A99">
              <w:rPr>
                <w:noProof/>
                <w:webHidden/>
              </w:rPr>
              <w:instrText xml:space="preserve"> PAGEREF _Toc49798601 \h </w:instrText>
            </w:r>
            <w:r w:rsidR="00985A99">
              <w:rPr>
                <w:noProof/>
                <w:webHidden/>
              </w:rPr>
            </w:r>
            <w:r w:rsidR="00985A99">
              <w:rPr>
                <w:noProof/>
                <w:webHidden/>
              </w:rPr>
              <w:fldChar w:fldCharType="separate"/>
            </w:r>
            <w:r w:rsidR="00985A99">
              <w:rPr>
                <w:noProof/>
                <w:webHidden/>
              </w:rPr>
              <w:t>6</w:t>
            </w:r>
            <w:r w:rsidR="00985A99">
              <w:rPr>
                <w:noProof/>
                <w:webHidden/>
              </w:rPr>
              <w:fldChar w:fldCharType="end"/>
            </w:r>
          </w:hyperlink>
        </w:p>
        <w:p w:rsidR="00985A99" w:rsidRDefault="008D2F57">
          <w:pPr>
            <w:pStyle w:val="TOC3"/>
            <w:tabs>
              <w:tab w:val="right" w:leader="dot" w:pos="9345"/>
            </w:tabs>
            <w:rPr>
              <w:rFonts w:eastAsiaTheme="minorEastAsia"/>
              <w:noProof/>
              <w:lang w:val="lv-LV" w:eastAsia="lv-LV"/>
            </w:rPr>
          </w:pPr>
          <w:hyperlink w:anchor="_Toc49798602" w:history="1">
            <w:r w:rsidR="00985A99" w:rsidRPr="00996040">
              <w:rPr>
                <w:rStyle w:val="Hyperlink"/>
                <w:noProof/>
                <w:lang w:val="en-GB"/>
              </w:rPr>
              <w:t>Reference on the minority education crisis in its whole</w:t>
            </w:r>
            <w:r w:rsidR="00985A99">
              <w:rPr>
                <w:noProof/>
                <w:webHidden/>
              </w:rPr>
              <w:tab/>
            </w:r>
            <w:r w:rsidR="00985A99">
              <w:rPr>
                <w:noProof/>
                <w:webHidden/>
              </w:rPr>
              <w:fldChar w:fldCharType="begin"/>
            </w:r>
            <w:r w:rsidR="00985A99">
              <w:rPr>
                <w:noProof/>
                <w:webHidden/>
              </w:rPr>
              <w:instrText xml:space="preserve"> PAGEREF _Toc49798602 \h </w:instrText>
            </w:r>
            <w:r w:rsidR="00985A99">
              <w:rPr>
                <w:noProof/>
                <w:webHidden/>
              </w:rPr>
            </w:r>
            <w:r w:rsidR="00985A99">
              <w:rPr>
                <w:noProof/>
                <w:webHidden/>
              </w:rPr>
              <w:fldChar w:fldCharType="separate"/>
            </w:r>
            <w:r w:rsidR="00985A99">
              <w:rPr>
                <w:noProof/>
                <w:webHidden/>
              </w:rPr>
              <w:t>7</w:t>
            </w:r>
            <w:r w:rsidR="00985A99">
              <w:rPr>
                <w:noProof/>
                <w:webHidden/>
              </w:rPr>
              <w:fldChar w:fldCharType="end"/>
            </w:r>
          </w:hyperlink>
        </w:p>
        <w:p w:rsidR="00485538" w:rsidRDefault="00485538">
          <w:r>
            <w:rPr>
              <w:b/>
              <w:bCs/>
              <w:noProof/>
            </w:rPr>
            <w:fldChar w:fldCharType="end"/>
          </w:r>
        </w:p>
      </w:sdtContent>
    </w:sdt>
    <w:p w:rsidR="00F422DE" w:rsidRPr="00992016" w:rsidRDefault="00FB0DB6" w:rsidP="00E613F5">
      <w:pPr>
        <w:pStyle w:val="Heading2"/>
        <w:rPr>
          <w:lang w:val="en-GB"/>
        </w:rPr>
      </w:pPr>
      <w:bookmarkStart w:id="1" w:name="_Toc49798592"/>
      <w:r>
        <w:rPr>
          <w:lang w:val="en-GB"/>
        </w:rPr>
        <w:t>Article 7</w:t>
      </w:r>
      <w:r w:rsidR="00F422DE">
        <w:rPr>
          <w:lang w:val="en-GB"/>
        </w:rPr>
        <w:t>:</w:t>
      </w:r>
      <w:r>
        <w:rPr>
          <w:lang w:val="en-GB"/>
        </w:rPr>
        <w:t xml:space="preserve"> employment</w:t>
      </w:r>
      <w:r w:rsidR="00992016" w:rsidRPr="00992016">
        <w:rPr>
          <w:lang w:val="en-GB"/>
        </w:rPr>
        <w:t xml:space="preserve"> (</w:t>
      </w:r>
      <w:r w:rsidR="00992016">
        <w:rPr>
          <w:lang w:val="lv-LV"/>
        </w:rPr>
        <w:t>in conjunction with Article 2, non-discrimination</w:t>
      </w:r>
      <w:r w:rsidR="00992016" w:rsidRPr="00992016">
        <w:rPr>
          <w:lang w:val="en-GB"/>
        </w:rPr>
        <w:t>)</w:t>
      </w:r>
      <w:bookmarkEnd w:id="1"/>
    </w:p>
    <w:p w:rsidR="00F422DE" w:rsidRDefault="00F422DE" w:rsidP="000A65A7">
      <w:pPr>
        <w:spacing w:after="0" w:line="240" w:lineRule="auto"/>
        <w:jc w:val="both"/>
        <w:rPr>
          <w:rFonts w:ascii="Times New Roman" w:hAnsi="Times New Roman"/>
          <w:sz w:val="24"/>
          <w:szCs w:val="24"/>
          <w:lang w:val="en-GB"/>
        </w:rPr>
      </w:pPr>
    </w:p>
    <w:p w:rsidR="00FB0DB6" w:rsidRDefault="00FB0DB6" w:rsidP="000A65A7">
      <w:pPr>
        <w:spacing w:after="0" w:line="240" w:lineRule="auto"/>
        <w:jc w:val="both"/>
        <w:rPr>
          <w:rFonts w:ascii="Times New Roman" w:hAnsi="Times New Roman"/>
          <w:sz w:val="24"/>
          <w:szCs w:val="24"/>
          <w:lang w:val="en-GB"/>
        </w:rPr>
      </w:pPr>
    </w:p>
    <w:p w:rsidR="00225BAE" w:rsidRDefault="00256024" w:rsidP="000A65A7">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[1] </w:t>
      </w:r>
      <w:r w:rsidR="00225BAE">
        <w:rPr>
          <w:rFonts w:ascii="Times New Roman" w:hAnsi="Times New Roman"/>
          <w:sz w:val="24"/>
          <w:szCs w:val="24"/>
          <w:lang w:val="en-GB"/>
        </w:rPr>
        <w:t xml:space="preserve">There is a certain gender gap in unadjusted earnings. In 2019, it was 15.9 %, and it </w:t>
      </w:r>
      <w:r w:rsidR="00A15A1D">
        <w:rPr>
          <w:rFonts w:ascii="Times New Roman" w:hAnsi="Times New Roman"/>
          <w:sz w:val="24"/>
          <w:szCs w:val="24"/>
          <w:lang w:val="en-GB"/>
        </w:rPr>
        <w:t xml:space="preserve">has </w:t>
      </w:r>
      <w:r w:rsidR="00225BAE">
        <w:rPr>
          <w:rFonts w:ascii="Times New Roman" w:hAnsi="Times New Roman"/>
          <w:sz w:val="24"/>
          <w:szCs w:val="24"/>
          <w:lang w:val="en-GB"/>
        </w:rPr>
        <w:t>gr</w:t>
      </w:r>
      <w:r w:rsidR="00A15A1D">
        <w:rPr>
          <w:rFonts w:ascii="Times New Roman" w:hAnsi="Times New Roman"/>
          <w:sz w:val="24"/>
          <w:szCs w:val="24"/>
          <w:lang w:val="en-GB"/>
        </w:rPr>
        <w:t>o</w:t>
      </w:r>
      <w:r w:rsidR="00225BAE">
        <w:rPr>
          <w:rFonts w:ascii="Times New Roman" w:hAnsi="Times New Roman"/>
          <w:sz w:val="24"/>
          <w:szCs w:val="24"/>
          <w:lang w:val="en-GB"/>
        </w:rPr>
        <w:t>w</w:t>
      </w:r>
      <w:r w:rsidR="00A15A1D">
        <w:rPr>
          <w:rFonts w:ascii="Times New Roman" w:hAnsi="Times New Roman"/>
          <w:sz w:val="24"/>
          <w:szCs w:val="24"/>
          <w:lang w:val="en-GB"/>
        </w:rPr>
        <w:t>n</w:t>
      </w:r>
      <w:r w:rsidR="00225BAE">
        <w:rPr>
          <w:rFonts w:ascii="Times New Roman" w:hAnsi="Times New Roman"/>
          <w:sz w:val="24"/>
          <w:szCs w:val="24"/>
          <w:lang w:val="en-GB"/>
        </w:rPr>
        <w:t xml:space="preserve"> in comparison with 2018</w:t>
      </w:r>
      <w:r w:rsidR="00A15A1D">
        <w:rPr>
          <w:rFonts w:ascii="Times New Roman" w:hAnsi="Times New Roman"/>
          <w:sz w:val="24"/>
          <w:szCs w:val="24"/>
          <w:lang w:val="en-GB"/>
        </w:rPr>
        <w:t xml:space="preserve">, </w:t>
      </w:r>
      <w:r w:rsidR="00A15A1D" w:rsidRPr="00A15A1D">
        <w:rPr>
          <w:rFonts w:ascii="Times New Roman" w:hAnsi="Times New Roman"/>
          <w:sz w:val="24"/>
          <w:szCs w:val="24"/>
          <w:lang w:val="en-GB"/>
        </w:rPr>
        <w:t>by 1.8 percentage points</w:t>
      </w:r>
      <w:r w:rsidR="00225BAE">
        <w:rPr>
          <w:rFonts w:ascii="Times New Roman" w:hAnsi="Times New Roman"/>
          <w:sz w:val="24"/>
          <w:szCs w:val="24"/>
          <w:lang w:val="en-GB"/>
        </w:rPr>
        <w:t>.</w:t>
      </w:r>
      <w:r w:rsidR="00225BAE">
        <w:rPr>
          <w:rStyle w:val="FootnoteReference"/>
          <w:rFonts w:ascii="Times New Roman" w:hAnsi="Times New Roman"/>
          <w:sz w:val="24"/>
          <w:szCs w:val="24"/>
          <w:lang w:val="en-GB"/>
        </w:rPr>
        <w:footnoteReference w:id="1"/>
      </w:r>
    </w:p>
    <w:p w:rsidR="00225BAE" w:rsidRDefault="00225BAE" w:rsidP="000A65A7">
      <w:pPr>
        <w:spacing w:after="0" w:line="240" w:lineRule="auto"/>
        <w:jc w:val="both"/>
        <w:rPr>
          <w:rFonts w:ascii="Times New Roman" w:hAnsi="Times New Roman"/>
          <w:sz w:val="24"/>
          <w:szCs w:val="24"/>
          <w:lang w:val="en-GB"/>
        </w:rPr>
      </w:pPr>
    </w:p>
    <w:p w:rsidR="00877DB3" w:rsidRDefault="00256024" w:rsidP="000A65A7">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[2] </w:t>
      </w:r>
      <w:r w:rsidR="00877DB3">
        <w:rPr>
          <w:rFonts w:ascii="Times New Roman" w:hAnsi="Times New Roman"/>
          <w:sz w:val="24"/>
          <w:szCs w:val="24"/>
          <w:lang w:val="en-GB"/>
        </w:rPr>
        <w:t xml:space="preserve">Another systemic problem is </w:t>
      </w:r>
      <w:r w:rsidR="00485538">
        <w:rPr>
          <w:rFonts w:ascii="Times New Roman" w:hAnsi="Times New Roman"/>
          <w:sz w:val="24"/>
          <w:szCs w:val="24"/>
          <w:lang w:val="en-GB"/>
        </w:rPr>
        <w:t xml:space="preserve">the </w:t>
      </w:r>
      <w:r w:rsidR="00877DB3">
        <w:rPr>
          <w:rFonts w:ascii="Times New Roman" w:hAnsi="Times New Roman"/>
          <w:sz w:val="24"/>
          <w:szCs w:val="24"/>
          <w:lang w:val="en-GB"/>
        </w:rPr>
        <w:t xml:space="preserve">discrimination based on excessive requirements for </w:t>
      </w:r>
      <w:r w:rsidR="00877DB3" w:rsidRPr="00877DB3">
        <w:rPr>
          <w:rFonts w:ascii="Times New Roman" w:hAnsi="Times New Roman"/>
          <w:sz w:val="24"/>
          <w:szCs w:val="24"/>
          <w:lang w:val="en-GB"/>
        </w:rPr>
        <w:t>Latvian language skills</w:t>
      </w:r>
      <w:r w:rsidR="00877DB3">
        <w:rPr>
          <w:rFonts w:ascii="Times New Roman" w:hAnsi="Times New Roman"/>
          <w:sz w:val="24"/>
          <w:szCs w:val="24"/>
          <w:lang w:val="en-GB"/>
        </w:rPr>
        <w:t xml:space="preserve"> for many professions</w:t>
      </w:r>
      <w:r w:rsidR="00877DB3" w:rsidRPr="00BA66DD">
        <w:rPr>
          <w:rFonts w:ascii="Times New Roman" w:hAnsi="Times New Roman" w:cs="Times New Roman"/>
          <w:sz w:val="24"/>
          <w:szCs w:val="24"/>
          <w:lang w:val="en-GB"/>
        </w:rPr>
        <w:t>.</w:t>
      </w:r>
      <w:r w:rsidR="00BA66DD" w:rsidRPr="00BA66DD">
        <w:rPr>
          <w:rFonts w:ascii="Times New Roman" w:hAnsi="Times New Roman" w:cs="Times New Roman"/>
          <w:sz w:val="24"/>
          <w:szCs w:val="24"/>
          <w:lang w:val="en-GB"/>
        </w:rPr>
        <w:t xml:space="preserve"> The requirements are enshrined in</w:t>
      </w:r>
      <w:r w:rsidR="00BA66DD">
        <w:rPr>
          <w:lang w:val="en-GB"/>
        </w:rPr>
        <w:t xml:space="preserve"> </w:t>
      </w:r>
      <w:r w:rsidR="00BA66DD" w:rsidRPr="00BA66DD">
        <w:rPr>
          <w:rFonts w:ascii="Times New Roman" w:hAnsi="Times New Roman" w:cs="Times New Roman"/>
          <w:sz w:val="24"/>
          <w:szCs w:val="24"/>
          <w:lang w:val="en-GB"/>
        </w:rPr>
        <w:t>the</w:t>
      </w:r>
      <w:r w:rsidR="00BA66DD">
        <w:rPr>
          <w:lang w:val="en-GB"/>
        </w:rPr>
        <w:t xml:space="preserve"> </w:t>
      </w:r>
      <w:r w:rsidR="00BA66DD" w:rsidRPr="00BA66DD">
        <w:rPr>
          <w:rFonts w:ascii="Times New Roman" w:hAnsi="Times New Roman"/>
          <w:sz w:val="24"/>
          <w:szCs w:val="24"/>
          <w:lang w:val="en-GB"/>
        </w:rPr>
        <w:t>Cabinet regulation No. 733</w:t>
      </w:r>
      <w:r w:rsidR="00485538">
        <w:rPr>
          <w:rStyle w:val="FootnoteReference"/>
          <w:rFonts w:ascii="Times New Roman" w:hAnsi="Times New Roman"/>
          <w:sz w:val="24"/>
          <w:szCs w:val="24"/>
          <w:lang w:val="en-GB"/>
        </w:rPr>
        <w:footnoteReference w:id="2"/>
      </w:r>
      <w:r w:rsidR="00BA66DD" w:rsidRPr="00BA66DD">
        <w:rPr>
          <w:rFonts w:ascii="Times New Roman" w:hAnsi="Times New Roman"/>
          <w:sz w:val="24"/>
          <w:szCs w:val="24"/>
          <w:lang w:val="en-GB"/>
        </w:rPr>
        <w:t xml:space="preserve"> of July 7, 2009 (based on Secti</w:t>
      </w:r>
      <w:r w:rsidR="00BA66DD">
        <w:rPr>
          <w:rFonts w:ascii="Times New Roman" w:hAnsi="Times New Roman"/>
          <w:sz w:val="24"/>
          <w:szCs w:val="24"/>
          <w:lang w:val="en-GB"/>
        </w:rPr>
        <w:t>on 6 of the</w:t>
      </w:r>
      <w:r w:rsidR="00485538">
        <w:rPr>
          <w:rFonts w:ascii="Times New Roman" w:hAnsi="Times New Roman"/>
          <w:sz w:val="24"/>
          <w:szCs w:val="24"/>
          <w:lang w:val="en-GB"/>
        </w:rPr>
        <w:t xml:space="preserve"> Official</w:t>
      </w:r>
      <w:r w:rsidR="00BA66DD">
        <w:rPr>
          <w:rFonts w:ascii="Times New Roman" w:hAnsi="Times New Roman"/>
          <w:sz w:val="24"/>
          <w:szCs w:val="24"/>
          <w:lang w:val="en-GB"/>
        </w:rPr>
        <w:t xml:space="preserve"> Language Law). The</w:t>
      </w:r>
      <w:r>
        <w:rPr>
          <w:rFonts w:ascii="Times New Roman" w:hAnsi="Times New Roman"/>
          <w:sz w:val="24"/>
          <w:szCs w:val="24"/>
          <w:lang w:val="en-GB"/>
        </w:rPr>
        <w:t xml:space="preserve"> list of professions and offices subject to requirements, in Annex </w:t>
      </w:r>
      <w:r w:rsidR="00485538">
        <w:rPr>
          <w:rFonts w:ascii="Times New Roman" w:hAnsi="Times New Roman"/>
          <w:sz w:val="24"/>
          <w:szCs w:val="24"/>
          <w:lang w:val="en-GB"/>
        </w:rPr>
        <w:t>1</w:t>
      </w:r>
      <w:r>
        <w:rPr>
          <w:rFonts w:ascii="Times New Roman" w:hAnsi="Times New Roman"/>
          <w:sz w:val="24"/>
          <w:szCs w:val="24"/>
          <w:lang w:val="en-GB"/>
        </w:rPr>
        <w:t xml:space="preserve"> to the regulation, exceeds 1000. The requirements</w:t>
      </w:r>
      <w:r w:rsidR="00BA66DD">
        <w:rPr>
          <w:rFonts w:ascii="Times New Roman" w:hAnsi="Times New Roman"/>
          <w:sz w:val="24"/>
          <w:szCs w:val="24"/>
          <w:lang w:val="en-GB"/>
        </w:rPr>
        <w:t xml:space="preserve"> </w:t>
      </w:r>
      <w:r w:rsidR="00BA66DD">
        <w:rPr>
          <w:rFonts w:ascii="Times New Roman" w:hAnsi="Times New Roman"/>
          <w:sz w:val="24"/>
          <w:szCs w:val="24"/>
          <w:lang w:val="en-GB"/>
        </w:rPr>
        <w:lastRenderedPageBreak/>
        <w:t>have caused repeated concerns from international human rights bodies, including</w:t>
      </w:r>
      <w:r w:rsidR="00D761D9">
        <w:rPr>
          <w:rFonts w:ascii="Times New Roman" w:hAnsi="Times New Roman"/>
          <w:sz w:val="24"/>
          <w:szCs w:val="24"/>
          <w:lang w:val="en-GB"/>
        </w:rPr>
        <w:t xml:space="preserve"> the Human Rights Committee</w:t>
      </w:r>
      <w:r w:rsidR="00D761D9">
        <w:rPr>
          <w:rStyle w:val="FootnoteReference"/>
          <w:rFonts w:ascii="Times New Roman" w:hAnsi="Times New Roman"/>
          <w:sz w:val="24"/>
          <w:szCs w:val="24"/>
          <w:lang w:val="en-GB"/>
        </w:rPr>
        <w:footnoteReference w:id="3"/>
      </w:r>
      <w:r w:rsidR="00D761D9">
        <w:rPr>
          <w:rFonts w:ascii="Times New Roman" w:hAnsi="Times New Roman"/>
          <w:sz w:val="24"/>
          <w:szCs w:val="24"/>
          <w:lang w:val="en-GB"/>
        </w:rPr>
        <w:t>,</w:t>
      </w:r>
      <w:r w:rsidR="00BA66DD">
        <w:rPr>
          <w:rFonts w:ascii="Times New Roman" w:hAnsi="Times New Roman"/>
          <w:sz w:val="24"/>
          <w:szCs w:val="24"/>
          <w:lang w:val="en-GB"/>
        </w:rPr>
        <w:t xml:space="preserve"> CERD,</w:t>
      </w:r>
      <w:r w:rsidR="00BA66DD">
        <w:rPr>
          <w:rStyle w:val="FootnoteReference"/>
          <w:rFonts w:ascii="Times New Roman" w:hAnsi="Times New Roman"/>
          <w:sz w:val="24"/>
          <w:szCs w:val="24"/>
          <w:lang w:val="en-GB"/>
        </w:rPr>
        <w:footnoteReference w:id="4"/>
      </w:r>
      <w:r w:rsidR="00BA66DD">
        <w:rPr>
          <w:rFonts w:ascii="Times New Roman" w:hAnsi="Times New Roman"/>
          <w:sz w:val="24"/>
          <w:szCs w:val="24"/>
          <w:lang w:val="en-GB"/>
        </w:rPr>
        <w:t xml:space="preserve"> the Advisory Committee of the Framework Convention for the Protection of National Minorities</w:t>
      </w:r>
      <w:r w:rsidR="00BA66DD">
        <w:rPr>
          <w:rStyle w:val="FootnoteReference"/>
          <w:rFonts w:ascii="Times New Roman" w:hAnsi="Times New Roman"/>
          <w:sz w:val="24"/>
          <w:szCs w:val="24"/>
          <w:lang w:val="en-GB"/>
        </w:rPr>
        <w:footnoteReference w:id="5"/>
      </w:r>
      <w:r w:rsidR="00BA66DD">
        <w:rPr>
          <w:rFonts w:ascii="Times New Roman" w:hAnsi="Times New Roman"/>
          <w:sz w:val="24"/>
          <w:szCs w:val="24"/>
          <w:lang w:val="en-GB"/>
        </w:rPr>
        <w:t>, ILO CEACR</w:t>
      </w:r>
      <w:r w:rsidR="00BA66DD">
        <w:rPr>
          <w:rStyle w:val="FootnoteReference"/>
          <w:rFonts w:ascii="Times New Roman" w:hAnsi="Times New Roman"/>
          <w:sz w:val="24"/>
          <w:szCs w:val="24"/>
          <w:lang w:val="en-GB"/>
        </w:rPr>
        <w:footnoteReference w:id="6"/>
      </w:r>
      <w:r w:rsidR="00BA66DD">
        <w:rPr>
          <w:rFonts w:ascii="Times New Roman" w:hAnsi="Times New Roman"/>
          <w:sz w:val="24"/>
          <w:szCs w:val="24"/>
          <w:lang w:val="en-GB"/>
        </w:rPr>
        <w:t>,</w:t>
      </w:r>
      <w:r>
        <w:rPr>
          <w:rFonts w:ascii="Times New Roman" w:hAnsi="Times New Roman"/>
          <w:sz w:val="24"/>
          <w:szCs w:val="24"/>
          <w:lang w:val="en-GB"/>
        </w:rPr>
        <w:t xml:space="preserve"> the European Commission against Racism and Intolerance</w:t>
      </w:r>
      <w:r>
        <w:rPr>
          <w:rStyle w:val="FootnoteReference"/>
          <w:rFonts w:ascii="Times New Roman" w:hAnsi="Times New Roman"/>
          <w:sz w:val="24"/>
          <w:szCs w:val="24"/>
          <w:lang w:val="en-GB"/>
        </w:rPr>
        <w:footnoteReference w:id="7"/>
      </w:r>
      <w:r>
        <w:rPr>
          <w:rFonts w:ascii="Times New Roman" w:hAnsi="Times New Roman"/>
          <w:sz w:val="24"/>
          <w:szCs w:val="24"/>
          <w:lang w:val="en-GB"/>
        </w:rPr>
        <w:t>, the OSCE High Commissioner on National Minorities</w:t>
      </w:r>
      <w:r w:rsidR="00BA272B">
        <w:rPr>
          <w:rStyle w:val="FootnoteReference"/>
          <w:rFonts w:ascii="Times New Roman" w:hAnsi="Times New Roman"/>
          <w:sz w:val="24"/>
          <w:szCs w:val="24"/>
          <w:lang w:val="en-GB"/>
        </w:rPr>
        <w:footnoteReference w:id="8"/>
      </w:r>
      <w:r>
        <w:rPr>
          <w:rFonts w:ascii="Times New Roman" w:hAnsi="Times New Roman"/>
          <w:sz w:val="24"/>
          <w:szCs w:val="24"/>
          <w:lang w:val="en-GB"/>
        </w:rPr>
        <w:t>, the UN Independent Expert on</w:t>
      </w:r>
      <w:r w:rsidR="00BA272B">
        <w:rPr>
          <w:rFonts w:ascii="Times New Roman" w:hAnsi="Times New Roman"/>
          <w:sz w:val="24"/>
          <w:szCs w:val="24"/>
          <w:lang w:val="en-GB"/>
        </w:rPr>
        <w:t xml:space="preserve"> effects of</w:t>
      </w:r>
      <w:r>
        <w:rPr>
          <w:rFonts w:ascii="Times New Roman" w:hAnsi="Times New Roman"/>
          <w:sz w:val="24"/>
          <w:szCs w:val="24"/>
          <w:lang w:val="en-GB"/>
        </w:rPr>
        <w:t xml:space="preserve"> </w:t>
      </w:r>
      <w:r w:rsidR="00BA272B">
        <w:rPr>
          <w:rFonts w:ascii="Times New Roman" w:hAnsi="Times New Roman"/>
          <w:sz w:val="24"/>
          <w:szCs w:val="24"/>
          <w:lang w:val="en-GB"/>
        </w:rPr>
        <w:t>f</w:t>
      </w:r>
      <w:r>
        <w:rPr>
          <w:rFonts w:ascii="Times New Roman" w:hAnsi="Times New Roman"/>
          <w:sz w:val="24"/>
          <w:szCs w:val="24"/>
          <w:lang w:val="en-GB"/>
        </w:rPr>
        <w:t>oreign debt.</w:t>
      </w:r>
      <w:r>
        <w:rPr>
          <w:rStyle w:val="FootnoteReference"/>
          <w:rFonts w:ascii="Times New Roman" w:hAnsi="Times New Roman"/>
          <w:sz w:val="24"/>
          <w:szCs w:val="24"/>
          <w:lang w:val="en-GB"/>
        </w:rPr>
        <w:footnoteReference w:id="9"/>
      </w:r>
    </w:p>
    <w:p w:rsidR="00877DB3" w:rsidRDefault="00877DB3" w:rsidP="000A65A7">
      <w:pPr>
        <w:spacing w:after="0" w:line="240" w:lineRule="auto"/>
        <w:jc w:val="both"/>
        <w:rPr>
          <w:rFonts w:ascii="Times New Roman" w:hAnsi="Times New Roman"/>
          <w:sz w:val="24"/>
          <w:szCs w:val="24"/>
          <w:lang w:val="en-GB"/>
        </w:rPr>
      </w:pPr>
    </w:p>
    <w:p w:rsidR="00EE3B4F" w:rsidRPr="002C78EA" w:rsidRDefault="00EE3B4F" w:rsidP="000A65A7">
      <w:pPr>
        <w:spacing w:after="0" w:line="240" w:lineRule="auto"/>
        <w:jc w:val="both"/>
        <w:rPr>
          <w:rFonts w:ascii="Times New Roman" w:hAnsi="Times New Roman"/>
          <w:sz w:val="24"/>
          <w:szCs w:val="24"/>
          <w:lang w:val="en-GB"/>
        </w:rPr>
      </w:pPr>
      <w:r>
        <w:rPr>
          <w:rFonts w:ascii="Times New Roman" w:hAnsi="Times New Roman"/>
          <w:sz w:val="24"/>
          <w:szCs w:val="24"/>
          <w:lang w:val="lv-LV"/>
        </w:rPr>
        <w:t>[3]</w:t>
      </w:r>
      <w:r w:rsidRPr="00EE3B4F">
        <w:rPr>
          <w:rFonts w:ascii="Times New Roman" w:hAnsi="Times New Roman"/>
          <w:sz w:val="24"/>
          <w:szCs w:val="24"/>
          <w:lang w:val="lv-LV"/>
        </w:rPr>
        <w:t xml:space="preserve"> </w:t>
      </w:r>
      <w:r w:rsidR="00985A99">
        <w:rPr>
          <w:rFonts w:ascii="Times New Roman" w:hAnsi="Times New Roman"/>
          <w:sz w:val="24"/>
          <w:szCs w:val="24"/>
          <w:lang w:val="lv-LV"/>
        </w:rPr>
        <w:t xml:space="preserve">Over 200,000 people, or </w:t>
      </w:r>
      <w:r>
        <w:rPr>
          <w:rFonts w:ascii="Times New Roman" w:hAnsi="Times New Roman"/>
          <w:sz w:val="24"/>
          <w:szCs w:val="24"/>
          <w:lang w:val="lv-LV"/>
        </w:rPr>
        <w:t>10 % of the population of Latvia, as at 2020, are so-called “non-citizens of Latvia”</w:t>
      </w:r>
      <w:r>
        <w:rPr>
          <w:rStyle w:val="FootnoteReference"/>
          <w:rFonts w:ascii="Times New Roman" w:hAnsi="Times New Roman"/>
          <w:sz w:val="24"/>
          <w:szCs w:val="24"/>
          <w:lang w:val="lv-LV"/>
        </w:rPr>
        <w:footnoteReference w:id="10"/>
      </w:r>
      <w:r>
        <w:rPr>
          <w:rFonts w:ascii="Times New Roman" w:hAnsi="Times New Roman"/>
          <w:sz w:val="24"/>
          <w:szCs w:val="24"/>
          <w:lang w:val="lv-LV"/>
        </w:rPr>
        <w:t>, recognised by UNHCR as persons under its statelessness mandate. These are former USSR citizens and their descendant</w:t>
      </w:r>
      <w:r w:rsidR="00992016">
        <w:rPr>
          <w:rFonts w:ascii="Times New Roman" w:hAnsi="Times New Roman"/>
          <w:sz w:val="24"/>
          <w:szCs w:val="24"/>
          <w:lang w:val="lv-LV"/>
        </w:rPr>
        <w:t>s</w:t>
      </w:r>
      <w:r>
        <w:rPr>
          <w:rFonts w:ascii="Times New Roman" w:hAnsi="Times New Roman"/>
          <w:sz w:val="24"/>
          <w:szCs w:val="24"/>
          <w:lang w:val="lv-LV"/>
        </w:rPr>
        <w:t xml:space="preserve"> who were not recognised citizens of any state after the dissolution of the USSR.</w:t>
      </w:r>
      <w:r w:rsidR="002C78EA">
        <w:rPr>
          <w:rFonts w:ascii="Times New Roman" w:hAnsi="Times New Roman"/>
          <w:sz w:val="24"/>
          <w:szCs w:val="24"/>
          <w:lang w:val="lv-LV"/>
        </w:rPr>
        <w:t xml:space="preserve"> They are holders of Latvian passport and have an inherent right to reside in the country. As at 2020, 45 % of “non-citizens” residing in Latvia are people born in the country.</w:t>
      </w:r>
      <w:r w:rsidR="002C78EA">
        <w:rPr>
          <w:rStyle w:val="FootnoteReference"/>
          <w:rFonts w:ascii="Times New Roman" w:hAnsi="Times New Roman"/>
          <w:sz w:val="24"/>
          <w:szCs w:val="24"/>
          <w:lang w:val="lv-LV"/>
        </w:rPr>
        <w:footnoteReference w:id="11"/>
      </w:r>
      <w:r w:rsidR="002C78EA" w:rsidRPr="002C78EA">
        <w:rPr>
          <w:rFonts w:ascii="Times New Roman" w:hAnsi="Times New Roman"/>
          <w:sz w:val="24"/>
          <w:szCs w:val="24"/>
          <w:lang w:val="en-GB"/>
        </w:rPr>
        <w:t xml:space="preserve"> </w:t>
      </w:r>
      <w:r w:rsidR="002C78EA">
        <w:rPr>
          <w:rFonts w:ascii="Times New Roman" w:hAnsi="Times New Roman"/>
          <w:sz w:val="24"/>
          <w:szCs w:val="24"/>
          <w:lang w:val="en-GB"/>
        </w:rPr>
        <w:t>The “non-citizens” are not only blocked from public service – they are also prevented from some municipal officies or entering free legal professions – those of lawyers, notaries, court bailiffs. Under the EU law, the Latvian-citizen-only access to notary profession was found to be illegal.</w:t>
      </w:r>
      <w:r w:rsidR="002C78EA">
        <w:rPr>
          <w:rStyle w:val="FootnoteReference"/>
          <w:rFonts w:ascii="Times New Roman" w:hAnsi="Times New Roman"/>
          <w:sz w:val="24"/>
          <w:szCs w:val="24"/>
          <w:lang w:val="en-GB"/>
        </w:rPr>
        <w:footnoteReference w:id="12"/>
      </w:r>
      <w:r w:rsidR="002C78EA">
        <w:rPr>
          <w:rFonts w:ascii="Times New Roman" w:hAnsi="Times New Roman"/>
          <w:sz w:val="24"/>
          <w:szCs w:val="24"/>
          <w:lang w:val="en-GB"/>
        </w:rPr>
        <w:t xml:space="preserve"> However, Latvian authorities chose to allow it for EU citizens only, despite “non-citizens”</w:t>
      </w:r>
      <w:r w:rsidR="00A15A1D">
        <w:rPr>
          <w:rFonts w:ascii="Times New Roman" w:hAnsi="Times New Roman"/>
          <w:sz w:val="24"/>
          <w:szCs w:val="24"/>
          <w:lang w:val="en-GB"/>
        </w:rPr>
        <w:t xml:space="preserve"> having</w:t>
      </w:r>
      <w:r w:rsidR="002C78EA">
        <w:rPr>
          <w:rFonts w:ascii="Times New Roman" w:hAnsi="Times New Roman"/>
          <w:sz w:val="24"/>
          <w:szCs w:val="24"/>
          <w:lang w:val="en-GB"/>
        </w:rPr>
        <w:t xml:space="preserve"> closer link to the country. Moreover, Latvia maintains the prohibition for “non-citizens” to serve in</w:t>
      </w:r>
      <w:r w:rsidR="00A15A1D">
        <w:rPr>
          <w:rFonts w:ascii="Times New Roman" w:hAnsi="Times New Roman"/>
          <w:sz w:val="24"/>
          <w:szCs w:val="24"/>
          <w:lang w:val="en-GB"/>
        </w:rPr>
        <w:t xml:space="preserve"> the</w:t>
      </w:r>
      <w:r w:rsidR="002C78EA">
        <w:rPr>
          <w:rFonts w:ascii="Times New Roman" w:hAnsi="Times New Roman"/>
          <w:sz w:val="24"/>
          <w:szCs w:val="24"/>
          <w:lang w:val="en-GB"/>
        </w:rPr>
        <w:t xml:space="preserve"> municipal police, despite the European Commission against Racism and Intolerance findings that it constitutes “direct racial discrimination”.</w:t>
      </w:r>
      <w:r w:rsidR="002C78EA">
        <w:rPr>
          <w:rStyle w:val="FootnoteReference"/>
          <w:rFonts w:ascii="Times New Roman" w:hAnsi="Times New Roman"/>
          <w:sz w:val="24"/>
          <w:szCs w:val="24"/>
          <w:lang w:val="en-GB"/>
        </w:rPr>
        <w:footnoteReference w:id="13"/>
      </w:r>
    </w:p>
    <w:p w:rsidR="00992016" w:rsidRDefault="00992016" w:rsidP="000A65A7">
      <w:pPr>
        <w:spacing w:after="0" w:line="240" w:lineRule="auto"/>
        <w:jc w:val="both"/>
        <w:rPr>
          <w:rFonts w:ascii="Times New Roman" w:hAnsi="Times New Roman"/>
          <w:sz w:val="24"/>
          <w:szCs w:val="24"/>
          <w:lang w:val="lv-LV"/>
        </w:rPr>
      </w:pPr>
    </w:p>
    <w:p w:rsidR="0040639A" w:rsidRDefault="0040639A" w:rsidP="000A65A7">
      <w:pPr>
        <w:spacing w:after="0" w:line="240" w:lineRule="auto"/>
        <w:jc w:val="both"/>
        <w:rPr>
          <w:rFonts w:ascii="Times New Roman" w:hAnsi="Times New Roman"/>
          <w:sz w:val="24"/>
          <w:szCs w:val="24"/>
          <w:lang w:val="lv-LV"/>
        </w:rPr>
      </w:pPr>
      <w:r>
        <w:rPr>
          <w:rFonts w:ascii="Times New Roman" w:hAnsi="Times New Roman"/>
          <w:sz w:val="24"/>
          <w:szCs w:val="24"/>
          <w:lang w:val="lv-LV"/>
        </w:rPr>
        <w:t>[4] The Roma community in Latvia suffers from systemic high unemployment, as confirmed by monitoring bodies of the Council of Europe.</w:t>
      </w:r>
      <w:r>
        <w:rPr>
          <w:rStyle w:val="FootnoteReference"/>
          <w:rFonts w:ascii="Times New Roman" w:hAnsi="Times New Roman"/>
          <w:sz w:val="24"/>
          <w:szCs w:val="24"/>
          <w:lang w:val="lv-LV"/>
        </w:rPr>
        <w:footnoteReference w:id="14"/>
      </w:r>
      <w:r>
        <w:rPr>
          <w:rFonts w:ascii="Times New Roman" w:hAnsi="Times New Roman"/>
          <w:sz w:val="24"/>
          <w:szCs w:val="24"/>
          <w:lang w:val="lv-LV"/>
        </w:rPr>
        <w:t xml:space="preserve"> </w:t>
      </w:r>
      <w:r>
        <w:rPr>
          <w:rStyle w:val="FootnoteReference"/>
          <w:rFonts w:ascii="Times New Roman" w:hAnsi="Times New Roman"/>
          <w:sz w:val="24"/>
          <w:szCs w:val="24"/>
          <w:lang w:val="lv-LV"/>
        </w:rPr>
        <w:footnoteReference w:id="15"/>
      </w:r>
    </w:p>
    <w:p w:rsidR="00485538" w:rsidRPr="00EE3B4F" w:rsidRDefault="00485538" w:rsidP="000A65A7">
      <w:pPr>
        <w:spacing w:after="0" w:line="240" w:lineRule="auto"/>
        <w:jc w:val="both"/>
        <w:rPr>
          <w:rFonts w:ascii="Times New Roman" w:hAnsi="Times New Roman"/>
          <w:sz w:val="24"/>
          <w:szCs w:val="24"/>
          <w:lang w:val="lv-LV"/>
        </w:rPr>
      </w:pPr>
    </w:p>
    <w:p w:rsidR="00225BAE" w:rsidRDefault="00225BAE" w:rsidP="00FD136F">
      <w:pPr>
        <w:pStyle w:val="Heading2"/>
        <w:rPr>
          <w:lang w:val="en-GB"/>
        </w:rPr>
      </w:pPr>
      <w:bookmarkStart w:id="2" w:name="_Toc49798593"/>
      <w:r>
        <w:rPr>
          <w:lang w:val="en-GB"/>
        </w:rPr>
        <w:t>Article 8: trade unions</w:t>
      </w:r>
      <w:r w:rsidR="00992016">
        <w:rPr>
          <w:lang w:val="en-GB"/>
        </w:rPr>
        <w:t xml:space="preserve"> (in conjunction with Article 2, non-discrimination)</w:t>
      </w:r>
      <w:bookmarkEnd w:id="2"/>
    </w:p>
    <w:p w:rsidR="00225BAE" w:rsidRDefault="00225BAE" w:rsidP="000A65A7">
      <w:pPr>
        <w:spacing w:after="0" w:line="240" w:lineRule="auto"/>
        <w:jc w:val="both"/>
        <w:rPr>
          <w:rFonts w:ascii="Times New Roman" w:hAnsi="Times New Roman"/>
          <w:sz w:val="24"/>
          <w:szCs w:val="24"/>
          <w:lang w:val="en-GB"/>
        </w:rPr>
      </w:pPr>
    </w:p>
    <w:p w:rsidR="00225BAE" w:rsidRDefault="00EE3B4F" w:rsidP="000A65A7">
      <w:pPr>
        <w:spacing w:after="0" w:line="240" w:lineRule="auto"/>
        <w:jc w:val="both"/>
        <w:rPr>
          <w:rFonts w:ascii="Times New Roman" w:hAnsi="Times New Roman"/>
          <w:sz w:val="24"/>
          <w:szCs w:val="24"/>
          <w:lang w:val="en-GB"/>
        </w:rPr>
      </w:pPr>
      <w:r>
        <w:rPr>
          <w:rFonts w:ascii="Times New Roman" w:hAnsi="Times New Roman"/>
          <w:sz w:val="24"/>
          <w:szCs w:val="24"/>
          <w:lang w:val="en-GB"/>
        </w:rPr>
        <w:t>[</w:t>
      </w:r>
      <w:r w:rsidR="008415BB">
        <w:rPr>
          <w:rFonts w:ascii="Times New Roman" w:hAnsi="Times New Roman"/>
          <w:sz w:val="24"/>
          <w:szCs w:val="24"/>
          <w:lang w:val="en-GB"/>
        </w:rPr>
        <w:t>5</w:t>
      </w:r>
      <w:r w:rsidR="00A652F4">
        <w:rPr>
          <w:rFonts w:ascii="Times New Roman" w:hAnsi="Times New Roman"/>
          <w:sz w:val="24"/>
          <w:szCs w:val="24"/>
          <w:lang w:val="en-GB"/>
        </w:rPr>
        <w:t xml:space="preserve">] </w:t>
      </w:r>
      <w:r w:rsidR="00225BAE">
        <w:rPr>
          <w:rFonts w:ascii="Times New Roman" w:hAnsi="Times New Roman"/>
          <w:sz w:val="24"/>
          <w:szCs w:val="24"/>
          <w:lang w:val="en-GB"/>
        </w:rPr>
        <w:t>Cabinet regulation No. 733 of July 7, 2009</w:t>
      </w:r>
      <w:r w:rsidR="00485538">
        <w:rPr>
          <w:rStyle w:val="FootnoteReference"/>
          <w:rFonts w:ascii="Times New Roman" w:hAnsi="Times New Roman"/>
          <w:sz w:val="24"/>
          <w:szCs w:val="24"/>
          <w:lang w:val="en-GB"/>
        </w:rPr>
        <w:footnoteReference w:id="16"/>
      </w:r>
      <w:r w:rsidR="00BA66DD">
        <w:rPr>
          <w:rFonts w:ascii="Times New Roman" w:hAnsi="Times New Roman"/>
          <w:sz w:val="24"/>
          <w:szCs w:val="24"/>
          <w:lang w:val="en-GB"/>
        </w:rPr>
        <w:t xml:space="preserve"> (based on Section 6 of the </w:t>
      </w:r>
      <w:r w:rsidR="00485538">
        <w:rPr>
          <w:rFonts w:ascii="Times New Roman" w:hAnsi="Times New Roman"/>
          <w:sz w:val="24"/>
          <w:szCs w:val="24"/>
          <w:lang w:val="en-GB"/>
        </w:rPr>
        <w:t>Official</w:t>
      </w:r>
      <w:r w:rsidR="00BA66DD">
        <w:rPr>
          <w:rFonts w:ascii="Times New Roman" w:hAnsi="Times New Roman"/>
          <w:sz w:val="24"/>
          <w:szCs w:val="24"/>
          <w:lang w:val="en-GB"/>
        </w:rPr>
        <w:t xml:space="preserve"> Language Law)</w:t>
      </w:r>
      <w:r w:rsidR="00225BAE">
        <w:rPr>
          <w:rFonts w:ascii="Times New Roman" w:hAnsi="Times New Roman"/>
          <w:sz w:val="24"/>
          <w:szCs w:val="24"/>
          <w:lang w:val="en-GB"/>
        </w:rPr>
        <w:t>, provides for high Latvian language skills requirements (C1 level) for trade union leadership</w:t>
      </w:r>
      <w:r w:rsidR="00485538">
        <w:rPr>
          <w:rFonts w:ascii="Times New Roman" w:hAnsi="Times New Roman"/>
          <w:sz w:val="24"/>
          <w:szCs w:val="24"/>
          <w:lang w:val="en-GB"/>
        </w:rPr>
        <w:t>, in its Annex 1</w:t>
      </w:r>
      <w:r w:rsidR="00225BAE">
        <w:rPr>
          <w:rFonts w:ascii="Times New Roman" w:hAnsi="Times New Roman"/>
          <w:sz w:val="24"/>
          <w:szCs w:val="24"/>
          <w:lang w:val="en-GB"/>
        </w:rPr>
        <w:t>. This restricts freedom of association.</w:t>
      </w:r>
    </w:p>
    <w:p w:rsidR="00FB0DB6" w:rsidRDefault="00FB0DB6" w:rsidP="000A65A7">
      <w:pPr>
        <w:spacing w:after="0" w:line="240" w:lineRule="auto"/>
        <w:jc w:val="both"/>
        <w:rPr>
          <w:rFonts w:ascii="Times New Roman" w:hAnsi="Times New Roman"/>
          <w:sz w:val="24"/>
          <w:szCs w:val="24"/>
          <w:lang w:val="en-GB"/>
        </w:rPr>
      </w:pPr>
    </w:p>
    <w:p w:rsidR="00485538" w:rsidRDefault="00485538" w:rsidP="000A65A7">
      <w:pPr>
        <w:spacing w:after="0" w:line="240" w:lineRule="auto"/>
        <w:jc w:val="both"/>
        <w:rPr>
          <w:rFonts w:ascii="Times New Roman" w:hAnsi="Times New Roman"/>
          <w:sz w:val="24"/>
          <w:szCs w:val="24"/>
          <w:lang w:val="en-GB"/>
        </w:rPr>
      </w:pPr>
    </w:p>
    <w:p w:rsidR="00485538" w:rsidRDefault="00485538" w:rsidP="000A65A7">
      <w:pPr>
        <w:spacing w:after="0" w:line="240" w:lineRule="auto"/>
        <w:jc w:val="both"/>
        <w:rPr>
          <w:rFonts w:ascii="Times New Roman" w:hAnsi="Times New Roman"/>
          <w:sz w:val="24"/>
          <w:szCs w:val="24"/>
          <w:lang w:val="en-GB"/>
        </w:rPr>
      </w:pPr>
    </w:p>
    <w:p w:rsidR="00485538" w:rsidRDefault="00485538" w:rsidP="000A65A7">
      <w:pPr>
        <w:spacing w:after="0" w:line="240" w:lineRule="auto"/>
        <w:jc w:val="both"/>
        <w:rPr>
          <w:rFonts w:ascii="Times New Roman" w:hAnsi="Times New Roman"/>
          <w:sz w:val="24"/>
          <w:szCs w:val="24"/>
          <w:lang w:val="en-GB"/>
        </w:rPr>
      </w:pPr>
    </w:p>
    <w:p w:rsidR="00485538" w:rsidRDefault="00485538" w:rsidP="000A65A7">
      <w:pPr>
        <w:spacing w:after="0" w:line="240" w:lineRule="auto"/>
        <w:jc w:val="both"/>
        <w:rPr>
          <w:rFonts w:ascii="Times New Roman" w:hAnsi="Times New Roman"/>
          <w:sz w:val="24"/>
          <w:szCs w:val="24"/>
          <w:lang w:val="en-GB"/>
        </w:rPr>
      </w:pPr>
    </w:p>
    <w:p w:rsidR="00225BAE" w:rsidRDefault="00225BAE" w:rsidP="00FD136F">
      <w:pPr>
        <w:pStyle w:val="Heading2"/>
        <w:rPr>
          <w:lang w:val="lv-LV"/>
        </w:rPr>
      </w:pPr>
      <w:bookmarkStart w:id="3" w:name="_Toc49798594"/>
      <w:r>
        <w:rPr>
          <w:lang w:val="lv-LV"/>
        </w:rPr>
        <w:lastRenderedPageBreak/>
        <w:t>Article 9: social insurance</w:t>
      </w:r>
      <w:r w:rsidR="00485538">
        <w:rPr>
          <w:lang w:val="lv-LV"/>
        </w:rPr>
        <w:t xml:space="preserve"> (in conjunction with Article 2, non-discrimination)</w:t>
      </w:r>
      <w:bookmarkEnd w:id="3"/>
    </w:p>
    <w:p w:rsidR="00225BAE" w:rsidRDefault="00225BAE" w:rsidP="000A65A7">
      <w:pPr>
        <w:spacing w:after="0" w:line="240" w:lineRule="auto"/>
        <w:jc w:val="both"/>
        <w:rPr>
          <w:rFonts w:ascii="Times New Roman" w:hAnsi="Times New Roman"/>
          <w:sz w:val="24"/>
          <w:szCs w:val="24"/>
          <w:lang w:val="lv-LV"/>
        </w:rPr>
      </w:pPr>
    </w:p>
    <w:p w:rsidR="00FD136F" w:rsidRDefault="00A652F4" w:rsidP="000A65A7">
      <w:pPr>
        <w:spacing w:after="0" w:line="240" w:lineRule="auto"/>
        <w:jc w:val="both"/>
        <w:rPr>
          <w:rFonts w:ascii="Times New Roman" w:hAnsi="Times New Roman"/>
          <w:sz w:val="24"/>
          <w:szCs w:val="24"/>
          <w:lang w:val="lv-LV"/>
        </w:rPr>
      </w:pPr>
      <w:r>
        <w:rPr>
          <w:rFonts w:ascii="Times New Roman" w:hAnsi="Times New Roman"/>
          <w:sz w:val="24"/>
          <w:szCs w:val="24"/>
          <w:lang w:val="lv-LV"/>
        </w:rPr>
        <w:t>[</w:t>
      </w:r>
      <w:r w:rsidR="008415BB">
        <w:rPr>
          <w:rFonts w:ascii="Times New Roman" w:hAnsi="Times New Roman"/>
          <w:sz w:val="24"/>
          <w:szCs w:val="24"/>
          <w:lang w:val="lv-LV"/>
        </w:rPr>
        <w:t>6</w:t>
      </w:r>
      <w:r>
        <w:rPr>
          <w:rFonts w:ascii="Times New Roman" w:hAnsi="Times New Roman"/>
          <w:sz w:val="24"/>
          <w:szCs w:val="24"/>
          <w:lang w:val="lv-LV"/>
        </w:rPr>
        <w:t xml:space="preserve">] </w:t>
      </w:r>
      <w:r w:rsidR="00FD136F">
        <w:rPr>
          <w:rFonts w:ascii="Times New Roman" w:hAnsi="Times New Roman"/>
          <w:sz w:val="24"/>
          <w:szCs w:val="24"/>
          <w:lang w:val="lv-LV"/>
        </w:rPr>
        <w:t>A matter of concern is the low level of minimum old-age pensions in Latvia. For people with less than 20 years of insurance periods, it is 88 EUR a month. For those with 21-30 years, it’s EUR 104, for those with 31-40 years – EUR 120 and for those with 41 years and more – EUR 136.</w:t>
      </w:r>
      <w:r w:rsidR="00FD136F">
        <w:rPr>
          <w:rStyle w:val="FootnoteReference"/>
          <w:rFonts w:ascii="Times New Roman" w:hAnsi="Times New Roman"/>
          <w:sz w:val="24"/>
          <w:szCs w:val="24"/>
          <w:lang w:val="lv-LV"/>
        </w:rPr>
        <w:footnoteReference w:id="17"/>
      </w:r>
    </w:p>
    <w:p w:rsidR="00225BAE" w:rsidRDefault="00225BAE" w:rsidP="000A65A7">
      <w:pPr>
        <w:spacing w:after="0" w:line="240" w:lineRule="auto"/>
        <w:jc w:val="both"/>
        <w:rPr>
          <w:rFonts w:ascii="Times New Roman" w:hAnsi="Times New Roman"/>
          <w:sz w:val="24"/>
          <w:szCs w:val="24"/>
          <w:lang w:val="lv-LV"/>
        </w:rPr>
      </w:pPr>
    </w:p>
    <w:p w:rsidR="004464FD" w:rsidRPr="00225BAE" w:rsidRDefault="00A652F4" w:rsidP="000A65A7">
      <w:pPr>
        <w:spacing w:after="0" w:line="240" w:lineRule="auto"/>
        <w:jc w:val="both"/>
        <w:rPr>
          <w:rFonts w:ascii="Times New Roman" w:hAnsi="Times New Roman"/>
          <w:sz w:val="24"/>
          <w:szCs w:val="24"/>
          <w:lang w:val="lv-LV"/>
        </w:rPr>
      </w:pPr>
      <w:r>
        <w:rPr>
          <w:rFonts w:ascii="Times New Roman" w:hAnsi="Times New Roman"/>
          <w:sz w:val="24"/>
          <w:szCs w:val="24"/>
          <w:lang w:val="lv-LV"/>
        </w:rPr>
        <w:t>[</w:t>
      </w:r>
      <w:r w:rsidR="008415BB">
        <w:rPr>
          <w:rFonts w:ascii="Times New Roman" w:hAnsi="Times New Roman"/>
          <w:sz w:val="24"/>
          <w:szCs w:val="24"/>
          <w:lang w:val="lv-LV"/>
        </w:rPr>
        <w:t>7</w:t>
      </w:r>
      <w:r>
        <w:rPr>
          <w:rFonts w:ascii="Times New Roman" w:hAnsi="Times New Roman"/>
          <w:sz w:val="24"/>
          <w:szCs w:val="24"/>
          <w:lang w:val="lv-LV"/>
        </w:rPr>
        <w:t xml:space="preserve">] </w:t>
      </w:r>
      <w:r w:rsidR="00985A99">
        <w:rPr>
          <w:rFonts w:ascii="Times New Roman" w:hAnsi="Times New Roman"/>
          <w:sz w:val="24"/>
          <w:szCs w:val="24"/>
          <w:lang w:val="lv-LV"/>
        </w:rPr>
        <w:t xml:space="preserve">Over 200,000 people, or </w:t>
      </w:r>
      <w:r w:rsidR="00225BAE">
        <w:rPr>
          <w:rFonts w:ascii="Times New Roman" w:hAnsi="Times New Roman"/>
          <w:sz w:val="24"/>
          <w:szCs w:val="24"/>
          <w:lang w:val="lv-LV"/>
        </w:rPr>
        <w:t>10 % of the population of Latvia</w:t>
      </w:r>
      <w:r w:rsidR="00EE3B4F">
        <w:rPr>
          <w:rFonts w:ascii="Times New Roman" w:hAnsi="Times New Roman"/>
          <w:sz w:val="24"/>
          <w:szCs w:val="24"/>
          <w:lang w:val="lv-LV"/>
        </w:rPr>
        <w:t>, as at 2020,</w:t>
      </w:r>
      <w:r w:rsidR="00225BAE">
        <w:rPr>
          <w:rFonts w:ascii="Times New Roman" w:hAnsi="Times New Roman"/>
          <w:sz w:val="24"/>
          <w:szCs w:val="24"/>
          <w:lang w:val="lv-LV"/>
        </w:rPr>
        <w:t xml:space="preserve"> are so-called “non-citizens of Latvia”</w:t>
      </w:r>
      <w:r w:rsidR="00FD136F">
        <w:rPr>
          <w:rStyle w:val="FootnoteReference"/>
          <w:rFonts w:ascii="Times New Roman" w:hAnsi="Times New Roman"/>
          <w:sz w:val="24"/>
          <w:szCs w:val="24"/>
          <w:lang w:val="lv-LV"/>
        </w:rPr>
        <w:footnoteReference w:id="18"/>
      </w:r>
      <w:r w:rsidR="00225BAE">
        <w:rPr>
          <w:rFonts w:ascii="Times New Roman" w:hAnsi="Times New Roman"/>
          <w:sz w:val="24"/>
          <w:szCs w:val="24"/>
          <w:lang w:val="lv-LV"/>
        </w:rPr>
        <w:t>, recognised by UNHCR as persons under its statelessness mandate.</w:t>
      </w:r>
      <w:r w:rsidR="00EE3B4F">
        <w:rPr>
          <w:rFonts w:ascii="Times New Roman" w:hAnsi="Times New Roman"/>
          <w:sz w:val="24"/>
          <w:szCs w:val="24"/>
          <w:lang w:val="lv-LV"/>
        </w:rPr>
        <w:t xml:space="preserve"> These are former USSR citizens and their descendant</w:t>
      </w:r>
      <w:r w:rsidR="00992016">
        <w:rPr>
          <w:rFonts w:ascii="Times New Roman" w:hAnsi="Times New Roman"/>
          <w:sz w:val="24"/>
          <w:szCs w:val="24"/>
          <w:lang w:val="lv-LV"/>
        </w:rPr>
        <w:t>s</w:t>
      </w:r>
      <w:r w:rsidR="00EE3B4F">
        <w:rPr>
          <w:rFonts w:ascii="Times New Roman" w:hAnsi="Times New Roman"/>
          <w:sz w:val="24"/>
          <w:szCs w:val="24"/>
          <w:lang w:val="lv-LV"/>
        </w:rPr>
        <w:t xml:space="preserve"> who were not recognised citizens of any state after the dissolution of the USSR.</w:t>
      </w:r>
      <w:r w:rsidR="00225BAE">
        <w:rPr>
          <w:rFonts w:ascii="Times New Roman" w:hAnsi="Times New Roman"/>
          <w:sz w:val="24"/>
          <w:szCs w:val="24"/>
          <w:lang w:val="lv-LV"/>
        </w:rPr>
        <w:t xml:space="preserve"> Unlike Latvian citizens, “</w:t>
      </w:r>
      <w:r w:rsidR="00225BAE" w:rsidRPr="00225BAE">
        <w:rPr>
          <w:rFonts w:ascii="Times New Roman" w:hAnsi="Times New Roman"/>
          <w:sz w:val="24"/>
          <w:szCs w:val="24"/>
          <w:lang w:val="lv-LV"/>
        </w:rPr>
        <w:t>non-citizens of Latvia</w:t>
      </w:r>
      <w:r w:rsidR="00225BAE">
        <w:rPr>
          <w:rFonts w:ascii="Times New Roman" w:hAnsi="Times New Roman"/>
          <w:sz w:val="24"/>
          <w:szCs w:val="24"/>
          <w:lang w:val="lv-LV"/>
        </w:rPr>
        <w:t>” don’t get a</w:t>
      </w:r>
      <w:r w:rsidR="004464FD">
        <w:rPr>
          <w:rFonts w:ascii="Times New Roman" w:hAnsi="Times New Roman"/>
          <w:sz w:val="24"/>
          <w:szCs w:val="24"/>
          <w:lang w:val="lv-LV"/>
        </w:rPr>
        <w:t xml:space="preserve"> retirement</w:t>
      </w:r>
      <w:r w:rsidR="00225BAE">
        <w:rPr>
          <w:rFonts w:ascii="Times New Roman" w:hAnsi="Times New Roman"/>
          <w:sz w:val="24"/>
          <w:szCs w:val="24"/>
          <w:lang w:val="lv-LV"/>
        </w:rPr>
        <w:t xml:space="preserve"> pension for the time they had worked in the other republics of the former USSR, unless a specific international treaty provides for that. This distinction was found discriminatory in 2009 by the Grand Chamber of the European Court of Human Rights</w:t>
      </w:r>
      <w:r w:rsidR="00A15A1D">
        <w:rPr>
          <w:rFonts w:ascii="Times New Roman" w:hAnsi="Times New Roman"/>
          <w:sz w:val="24"/>
          <w:szCs w:val="24"/>
          <w:lang w:val="lv-LV"/>
        </w:rPr>
        <w:t xml:space="preserve"> (ECtHR)</w:t>
      </w:r>
      <w:r w:rsidR="004464FD">
        <w:rPr>
          <w:rFonts w:ascii="Times New Roman" w:hAnsi="Times New Roman"/>
          <w:sz w:val="24"/>
          <w:szCs w:val="24"/>
          <w:lang w:val="lv-LV"/>
        </w:rPr>
        <w:t xml:space="preserve">, in </w:t>
      </w:r>
      <w:r w:rsidR="004464FD" w:rsidRPr="00A15A1D">
        <w:rPr>
          <w:rFonts w:ascii="Times New Roman" w:hAnsi="Times New Roman"/>
          <w:i/>
          <w:sz w:val="24"/>
          <w:szCs w:val="24"/>
          <w:lang w:val="lv-LV"/>
        </w:rPr>
        <w:t>Andrejeva v. Latvia</w:t>
      </w:r>
      <w:r w:rsidR="00A15A1D">
        <w:rPr>
          <w:rFonts w:ascii="Times New Roman" w:hAnsi="Times New Roman"/>
          <w:sz w:val="24"/>
          <w:szCs w:val="24"/>
          <w:lang w:val="lv-LV"/>
        </w:rPr>
        <w:t xml:space="preserve"> (application No. 55707/00)</w:t>
      </w:r>
      <w:r w:rsidR="00225BAE">
        <w:rPr>
          <w:rFonts w:ascii="Times New Roman" w:hAnsi="Times New Roman"/>
          <w:sz w:val="24"/>
          <w:szCs w:val="24"/>
          <w:lang w:val="lv-LV"/>
        </w:rPr>
        <w:t xml:space="preserve">. Latvian authorities have only implemented the judgment in a narrow way, by </w:t>
      </w:r>
      <w:r w:rsidR="004464FD">
        <w:rPr>
          <w:rFonts w:ascii="Times New Roman" w:hAnsi="Times New Roman"/>
          <w:sz w:val="24"/>
          <w:szCs w:val="24"/>
          <w:lang w:val="lv-LV"/>
        </w:rPr>
        <w:t>agreements with Russia (the place of pensionable work in the case) and Belarus. Thus, the “non-citizens of Latvia” having worked in Central Asia or South Caucasus continue to suffer from disc</w:t>
      </w:r>
      <w:r w:rsidR="00FD1F6B">
        <w:rPr>
          <w:rFonts w:ascii="Times New Roman" w:hAnsi="Times New Roman"/>
          <w:sz w:val="24"/>
          <w:szCs w:val="24"/>
          <w:lang w:val="lv-LV"/>
        </w:rPr>
        <w:t>r</w:t>
      </w:r>
      <w:r w:rsidR="004464FD">
        <w:rPr>
          <w:rFonts w:ascii="Times New Roman" w:hAnsi="Times New Roman"/>
          <w:sz w:val="24"/>
          <w:szCs w:val="24"/>
          <w:lang w:val="lv-LV"/>
        </w:rPr>
        <w:t xml:space="preserve">imination. </w:t>
      </w:r>
      <w:r w:rsidR="00A15A1D">
        <w:rPr>
          <w:rFonts w:ascii="Times New Roman" w:hAnsi="Times New Roman"/>
          <w:sz w:val="24"/>
          <w:szCs w:val="24"/>
          <w:lang w:val="lv-LV"/>
        </w:rPr>
        <w:t>T</w:t>
      </w:r>
      <w:r w:rsidR="00A15A1D" w:rsidRPr="00A15A1D">
        <w:rPr>
          <w:rFonts w:ascii="Times New Roman" w:hAnsi="Times New Roman"/>
          <w:sz w:val="24"/>
          <w:szCs w:val="24"/>
          <w:lang w:val="lv-LV"/>
        </w:rPr>
        <w:t>he Advisory Committee on the Framework Convention for the Protection of National Minorities</w:t>
      </w:r>
      <w:r w:rsidR="00A15A1D">
        <w:rPr>
          <w:rFonts w:ascii="Times New Roman" w:hAnsi="Times New Roman"/>
          <w:sz w:val="24"/>
          <w:szCs w:val="24"/>
          <w:lang w:val="lv-LV"/>
        </w:rPr>
        <w:t xml:space="preserve"> has expressed regret and concern over this approach.</w:t>
      </w:r>
      <w:r w:rsidR="00A15A1D">
        <w:rPr>
          <w:rStyle w:val="FootnoteReference"/>
          <w:rFonts w:ascii="Times New Roman" w:hAnsi="Times New Roman"/>
          <w:sz w:val="24"/>
          <w:szCs w:val="24"/>
          <w:lang w:val="lv-LV"/>
        </w:rPr>
        <w:footnoteReference w:id="19"/>
      </w:r>
      <w:r w:rsidR="00A15A1D">
        <w:rPr>
          <w:rFonts w:ascii="Times New Roman" w:hAnsi="Times New Roman"/>
          <w:sz w:val="24"/>
          <w:szCs w:val="24"/>
          <w:lang w:val="lv-LV"/>
        </w:rPr>
        <w:t xml:space="preserve"> As a result of this insufficient government action,</w:t>
      </w:r>
      <w:r w:rsidR="00A15A1D" w:rsidRPr="00A15A1D">
        <w:rPr>
          <w:rFonts w:ascii="Times New Roman" w:hAnsi="Times New Roman"/>
          <w:sz w:val="24"/>
          <w:szCs w:val="24"/>
          <w:lang w:val="lv-LV"/>
        </w:rPr>
        <w:t xml:space="preserve"> </w:t>
      </w:r>
      <w:r w:rsidR="00A15A1D">
        <w:rPr>
          <w:rFonts w:ascii="Times New Roman" w:hAnsi="Times New Roman"/>
          <w:sz w:val="24"/>
          <w:szCs w:val="24"/>
          <w:lang w:val="lv-LV"/>
        </w:rPr>
        <w:t>a</w:t>
      </w:r>
      <w:r w:rsidR="004464FD">
        <w:rPr>
          <w:rFonts w:ascii="Times New Roman" w:hAnsi="Times New Roman"/>
          <w:sz w:val="24"/>
          <w:szCs w:val="24"/>
          <w:lang w:val="lv-LV"/>
        </w:rPr>
        <w:t xml:space="preserve">nother case, </w:t>
      </w:r>
      <w:r w:rsidR="004464FD" w:rsidRPr="00A15A1D">
        <w:rPr>
          <w:rFonts w:ascii="Times New Roman" w:hAnsi="Times New Roman"/>
          <w:i/>
          <w:sz w:val="24"/>
          <w:szCs w:val="24"/>
          <w:lang w:val="lv-LV"/>
        </w:rPr>
        <w:t>Savickis v. Latvia</w:t>
      </w:r>
      <w:r w:rsidR="00A15A1D">
        <w:rPr>
          <w:rFonts w:ascii="Times New Roman" w:hAnsi="Times New Roman"/>
          <w:sz w:val="24"/>
          <w:szCs w:val="24"/>
          <w:lang w:val="lv-LV"/>
        </w:rPr>
        <w:t xml:space="preserve"> (application No. 49270/11), is</w:t>
      </w:r>
      <w:r w:rsidR="004464FD">
        <w:rPr>
          <w:rFonts w:ascii="Times New Roman" w:hAnsi="Times New Roman"/>
          <w:sz w:val="24"/>
          <w:szCs w:val="24"/>
          <w:lang w:val="lv-LV"/>
        </w:rPr>
        <w:t xml:space="preserve"> ongoing before the ECtHR – with the assistance of our NGO.</w:t>
      </w:r>
    </w:p>
    <w:p w:rsidR="00225BAE" w:rsidRDefault="00225BAE" w:rsidP="000A65A7">
      <w:pPr>
        <w:spacing w:after="0" w:line="240" w:lineRule="auto"/>
        <w:jc w:val="both"/>
        <w:rPr>
          <w:rFonts w:ascii="Times New Roman" w:hAnsi="Times New Roman"/>
          <w:sz w:val="24"/>
          <w:szCs w:val="24"/>
          <w:lang w:val="en-GB"/>
        </w:rPr>
      </w:pPr>
    </w:p>
    <w:p w:rsidR="00FD136F" w:rsidRPr="00A15A1D" w:rsidRDefault="00FD136F" w:rsidP="000A65A7">
      <w:pPr>
        <w:spacing w:after="0" w:line="240" w:lineRule="auto"/>
        <w:jc w:val="both"/>
        <w:rPr>
          <w:rFonts w:ascii="Times New Roman" w:hAnsi="Times New Roman"/>
          <w:sz w:val="24"/>
          <w:szCs w:val="24"/>
          <w:lang w:val="en-GB"/>
        </w:rPr>
      </w:pPr>
    </w:p>
    <w:p w:rsidR="007300F3" w:rsidRDefault="007300F3" w:rsidP="00992016">
      <w:pPr>
        <w:pStyle w:val="Heading2"/>
        <w:rPr>
          <w:lang w:val="lv-LV"/>
        </w:rPr>
      </w:pPr>
      <w:bookmarkStart w:id="4" w:name="_Toc49798595"/>
      <w:r>
        <w:rPr>
          <w:lang w:val="lv-LV"/>
        </w:rPr>
        <w:t>Article 11: housing</w:t>
      </w:r>
      <w:bookmarkEnd w:id="4"/>
      <w:r>
        <w:rPr>
          <w:lang w:val="lv-LV"/>
        </w:rPr>
        <w:t xml:space="preserve"> </w:t>
      </w:r>
    </w:p>
    <w:p w:rsidR="007300F3" w:rsidRDefault="007300F3" w:rsidP="000A65A7">
      <w:pPr>
        <w:spacing w:after="0" w:line="240" w:lineRule="auto"/>
        <w:jc w:val="both"/>
        <w:rPr>
          <w:rFonts w:ascii="Times New Roman" w:hAnsi="Times New Roman"/>
          <w:sz w:val="24"/>
          <w:szCs w:val="24"/>
          <w:lang w:val="lv-LV"/>
        </w:rPr>
      </w:pPr>
    </w:p>
    <w:p w:rsidR="007300F3" w:rsidRDefault="008415BB" w:rsidP="000A65A7">
      <w:pPr>
        <w:spacing w:after="0" w:line="240" w:lineRule="auto"/>
        <w:jc w:val="both"/>
        <w:rPr>
          <w:rFonts w:ascii="Times New Roman" w:hAnsi="Times New Roman"/>
          <w:sz w:val="24"/>
          <w:szCs w:val="24"/>
          <w:lang w:val="lv-LV"/>
        </w:rPr>
      </w:pPr>
      <w:r>
        <w:rPr>
          <w:rFonts w:ascii="Times New Roman" w:hAnsi="Times New Roman"/>
          <w:sz w:val="24"/>
          <w:szCs w:val="24"/>
          <w:lang w:val="lv-LV"/>
        </w:rPr>
        <w:t>[8</w:t>
      </w:r>
      <w:r w:rsidR="002C78EA">
        <w:rPr>
          <w:rFonts w:ascii="Times New Roman" w:hAnsi="Times New Roman"/>
          <w:sz w:val="24"/>
          <w:szCs w:val="24"/>
          <w:lang w:val="lv-LV"/>
        </w:rPr>
        <w:t xml:space="preserve">] </w:t>
      </w:r>
      <w:r w:rsidR="007300F3">
        <w:rPr>
          <w:rFonts w:ascii="Times New Roman" w:hAnsi="Times New Roman"/>
          <w:sz w:val="24"/>
          <w:szCs w:val="24"/>
          <w:lang w:val="lv-LV"/>
        </w:rPr>
        <w:t xml:space="preserve">According to OECD estimate of 2020, </w:t>
      </w:r>
      <w:r w:rsidR="007300F3" w:rsidRPr="007300F3">
        <w:rPr>
          <w:rFonts w:ascii="Times New Roman" w:hAnsi="Times New Roman"/>
          <w:sz w:val="24"/>
          <w:szCs w:val="24"/>
          <w:lang w:val="lv-LV"/>
        </w:rPr>
        <w:t xml:space="preserve">Latvia has made progress </w:t>
      </w:r>
      <w:r w:rsidR="007300F3">
        <w:rPr>
          <w:rFonts w:ascii="Times New Roman" w:hAnsi="Times New Roman"/>
          <w:sz w:val="24"/>
          <w:szCs w:val="24"/>
          <w:lang w:val="lv-LV"/>
        </w:rPr>
        <w:t xml:space="preserve">on </w:t>
      </w:r>
      <w:r w:rsidR="007300F3" w:rsidRPr="007300F3">
        <w:rPr>
          <w:rFonts w:ascii="Times New Roman" w:hAnsi="Times New Roman"/>
          <w:sz w:val="24"/>
          <w:szCs w:val="24"/>
          <w:lang w:val="lv-LV"/>
        </w:rPr>
        <w:t xml:space="preserve">housing quality and affordability. Since 2005, the share of people living in poor quality housing has fallen </w:t>
      </w:r>
      <w:r w:rsidR="007300F3">
        <w:rPr>
          <w:rFonts w:ascii="Times New Roman" w:hAnsi="Times New Roman"/>
          <w:sz w:val="24"/>
          <w:szCs w:val="24"/>
          <w:lang w:val="lv-LV"/>
        </w:rPr>
        <w:t>from 40% to 24%. However, “</w:t>
      </w:r>
      <w:r w:rsidR="007300F3" w:rsidRPr="007300F3">
        <w:rPr>
          <w:rFonts w:ascii="Times New Roman" w:hAnsi="Times New Roman"/>
          <w:sz w:val="24"/>
          <w:szCs w:val="24"/>
          <w:lang w:val="lv-LV"/>
        </w:rPr>
        <w:t>over a third of Latvian households live in overcrowded dwellings. This is the largest share among OECD countries</w:t>
      </w:r>
      <w:r w:rsidR="007300F3">
        <w:rPr>
          <w:rFonts w:ascii="Times New Roman" w:hAnsi="Times New Roman"/>
          <w:sz w:val="24"/>
          <w:szCs w:val="24"/>
          <w:lang w:val="lv-LV"/>
        </w:rPr>
        <w:t>”</w:t>
      </w:r>
      <w:r w:rsidR="007300F3" w:rsidRPr="007300F3">
        <w:rPr>
          <w:rFonts w:ascii="Times New Roman" w:hAnsi="Times New Roman"/>
          <w:sz w:val="24"/>
          <w:szCs w:val="24"/>
          <w:lang w:val="lv-LV"/>
        </w:rPr>
        <w:t>.</w:t>
      </w:r>
      <w:r w:rsidR="007300F3">
        <w:rPr>
          <w:rStyle w:val="FootnoteReference"/>
          <w:rFonts w:ascii="Times New Roman" w:hAnsi="Times New Roman"/>
          <w:sz w:val="24"/>
          <w:szCs w:val="24"/>
          <w:lang w:val="lv-LV"/>
        </w:rPr>
        <w:footnoteReference w:id="20"/>
      </w:r>
    </w:p>
    <w:p w:rsidR="007300F3" w:rsidRDefault="007300F3" w:rsidP="000A65A7">
      <w:pPr>
        <w:spacing w:after="0" w:line="240" w:lineRule="auto"/>
        <w:jc w:val="both"/>
        <w:rPr>
          <w:rFonts w:ascii="Times New Roman" w:hAnsi="Times New Roman"/>
          <w:sz w:val="24"/>
          <w:szCs w:val="24"/>
          <w:lang w:val="lv-LV"/>
        </w:rPr>
      </w:pPr>
    </w:p>
    <w:p w:rsidR="007300F3" w:rsidRDefault="008415BB" w:rsidP="000A65A7">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[9] </w:t>
      </w:r>
      <w:r w:rsidR="007300F3">
        <w:rPr>
          <w:rFonts w:ascii="Times New Roman" w:hAnsi="Times New Roman"/>
          <w:sz w:val="24"/>
          <w:szCs w:val="24"/>
          <w:lang w:val="lv-LV"/>
        </w:rPr>
        <w:t xml:space="preserve">Currently, the parliament of Latvia is considering a draft of the new Law on Residential Tenancy. </w:t>
      </w:r>
      <w:r>
        <w:rPr>
          <w:rFonts w:ascii="Times New Roman" w:hAnsi="Times New Roman"/>
          <w:sz w:val="24"/>
          <w:szCs w:val="24"/>
          <w:lang w:val="lv-LV"/>
        </w:rPr>
        <w:t xml:space="preserve"> </w:t>
      </w:r>
      <w:r w:rsidR="007300F3">
        <w:rPr>
          <w:rFonts w:ascii="Times New Roman" w:hAnsi="Times New Roman"/>
          <w:sz w:val="24"/>
          <w:szCs w:val="24"/>
          <w:lang w:val="lv-LV"/>
        </w:rPr>
        <w:t>Tenancy stability is a key issue at stake. The draft law, as adopted in the first reading of the three</w:t>
      </w:r>
      <w:r w:rsidR="0040639A">
        <w:rPr>
          <w:rFonts w:ascii="Times New Roman" w:hAnsi="Times New Roman"/>
          <w:sz w:val="24"/>
          <w:szCs w:val="24"/>
          <w:lang w:val="lv-LV"/>
        </w:rPr>
        <w:t xml:space="preserve"> on 20 December 2018</w:t>
      </w:r>
      <w:r w:rsidR="0040639A">
        <w:rPr>
          <w:rStyle w:val="FootnoteReference"/>
          <w:rFonts w:ascii="Times New Roman" w:hAnsi="Times New Roman"/>
          <w:sz w:val="24"/>
          <w:szCs w:val="24"/>
          <w:lang w:val="lv-LV"/>
        </w:rPr>
        <w:footnoteReference w:id="21"/>
      </w:r>
      <w:r w:rsidR="007300F3">
        <w:rPr>
          <w:rFonts w:ascii="Times New Roman" w:hAnsi="Times New Roman"/>
          <w:sz w:val="24"/>
          <w:szCs w:val="24"/>
          <w:lang w:val="lv-LV"/>
        </w:rPr>
        <w:t>, provides for</w:t>
      </w:r>
      <w:r w:rsidR="0040639A">
        <w:rPr>
          <w:rFonts w:ascii="Times New Roman" w:hAnsi="Times New Roman"/>
          <w:sz w:val="24"/>
          <w:szCs w:val="24"/>
          <w:lang w:val="lv-LV"/>
        </w:rPr>
        <w:t xml:space="preserve"> the existing tenancy contracts to be re-negotiated. If the parties cannot agree, the court establishes the rules of rent, but its duration may not exceed 10</w:t>
      </w:r>
      <w:r w:rsidR="007300F3">
        <w:rPr>
          <w:rFonts w:ascii="Times New Roman" w:hAnsi="Times New Roman"/>
          <w:sz w:val="24"/>
          <w:szCs w:val="24"/>
          <w:lang w:val="lv-LV"/>
        </w:rPr>
        <w:t xml:space="preserve"> years</w:t>
      </w:r>
      <w:r w:rsidR="0040639A">
        <w:rPr>
          <w:rFonts w:ascii="Times New Roman" w:hAnsi="Times New Roman"/>
          <w:sz w:val="24"/>
          <w:szCs w:val="24"/>
          <w:lang w:val="lv-LV"/>
        </w:rPr>
        <w:t xml:space="preserve"> (Para. 4 of the Transitional Provisions of the draft law)</w:t>
      </w:r>
      <w:r w:rsidR="007300F3">
        <w:rPr>
          <w:rFonts w:ascii="Times New Roman" w:hAnsi="Times New Roman"/>
          <w:sz w:val="24"/>
          <w:szCs w:val="24"/>
          <w:lang w:val="lv-LV"/>
        </w:rPr>
        <w:t>. This generally undermines the right to housing. Moreover, it is of a special concern to the numerous tenants of “de-nationalised housing”</w:t>
      </w:r>
      <w:r w:rsidR="00B1570F">
        <w:rPr>
          <w:rFonts w:ascii="Times New Roman" w:hAnsi="Times New Roman"/>
          <w:sz w:val="24"/>
          <w:szCs w:val="24"/>
          <w:lang w:val="lv-LV"/>
        </w:rPr>
        <w:t>, tens of thousands at least</w:t>
      </w:r>
      <w:r w:rsidR="007300F3">
        <w:rPr>
          <w:rFonts w:ascii="Times New Roman" w:hAnsi="Times New Roman"/>
          <w:sz w:val="24"/>
          <w:szCs w:val="24"/>
          <w:lang w:val="lv-LV"/>
        </w:rPr>
        <w:t>. The apartments they rented in the Soviet time, like most urban dwellers did, were assigned to the heirs of pre-Soviet owners in 1990s. Thus, these people weren’t able to privatise their houding as most people did at the time. Now these tenants usually pay higher rents. The main safeguard for them no to fall victims to a forced eviction is that the old tenancy agreements, usually indeterminate in duration, have been left in force. This protection is under threat in the draft of the new law.</w:t>
      </w:r>
    </w:p>
    <w:p w:rsidR="00B1570F" w:rsidRDefault="00B1570F" w:rsidP="000A65A7">
      <w:pPr>
        <w:spacing w:after="0" w:line="240" w:lineRule="auto"/>
        <w:jc w:val="both"/>
        <w:rPr>
          <w:rFonts w:ascii="Times New Roman" w:hAnsi="Times New Roman"/>
          <w:sz w:val="24"/>
          <w:szCs w:val="24"/>
          <w:lang w:val="lv-LV"/>
        </w:rPr>
      </w:pPr>
    </w:p>
    <w:p w:rsidR="00B1570F" w:rsidRDefault="00B1570F" w:rsidP="000A65A7">
      <w:pPr>
        <w:spacing w:after="0" w:line="240" w:lineRule="auto"/>
        <w:jc w:val="both"/>
        <w:rPr>
          <w:rFonts w:ascii="Times New Roman" w:hAnsi="Times New Roman"/>
          <w:sz w:val="24"/>
          <w:szCs w:val="24"/>
          <w:lang w:val="lv-LV"/>
        </w:rPr>
      </w:pPr>
    </w:p>
    <w:p w:rsidR="00B1570F" w:rsidRDefault="00B1570F" w:rsidP="002C78EA">
      <w:pPr>
        <w:pStyle w:val="Heading2"/>
        <w:rPr>
          <w:lang w:val="lv-LV"/>
        </w:rPr>
      </w:pPr>
      <w:bookmarkStart w:id="5" w:name="_Toc49798596"/>
      <w:r>
        <w:rPr>
          <w:lang w:val="lv-LV"/>
        </w:rPr>
        <w:lastRenderedPageBreak/>
        <w:t>Article 12: health</w:t>
      </w:r>
      <w:r w:rsidR="002C78EA">
        <w:rPr>
          <w:lang w:val="lv-LV"/>
        </w:rPr>
        <w:t>care</w:t>
      </w:r>
      <w:bookmarkEnd w:id="5"/>
    </w:p>
    <w:p w:rsidR="00B1570F" w:rsidRDefault="00B1570F" w:rsidP="000A65A7">
      <w:pPr>
        <w:spacing w:after="0" w:line="240" w:lineRule="auto"/>
        <w:jc w:val="both"/>
        <w:rPr>
          <w:rFonts w:ascii="Times New Roman" w:hAnsi="Times New Roman"/>
          <w:sz w:val="24"/>
          <w:szCs w:val="24"/>
          <w:lang w:val="lv-LV"/>
        </w:rPr>
      </w:pPr>
    </w:p>
    <w:p w:rsidR="00B1570F" w:rsidRDefault="008415BB" w:rsidP="000A65A7">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[10] </w:t>
      </w:r>
      <w:r w:rsidR="00B1570F">
        <w:rPr>
          <w:rFonts w:ascii="Times New Roman" w:hAnsi="Times New Roman"/>
          <w:sz w:val="24"/>
          <w:szCs w:val="24"/>
          <w:lang w:val="lv-LV"/>
        </w:rPr>
        <w:t xml:space="preserve">According to the official statistics available, the healthy life expectance in Latvia was </w:t>
      </w:r>
      <w:r w:rsidR="00B1570F" w:rsidRPr="00B1570F">
        <w:rPr>
          <w:rFonts w:ascii="Times New Roman" w:hAnsi="Times New Roman"/>
          <w:sz w:val="24"/>
          <w:szCs w:val="24"/>
          <w:lang w:val="lv-LV"/>
        </w:rPr>
        <w:t>the lowest in the EU</w:t>
      </w:r>
      <w:r w:rsidR="00B1570F">
        <w:rPr>
          <w:rFonts w:ascii="Times New Roman" w:hAnsi="Times New Roman"/>
          <w:sz w:val="24"/>
          <w:szCs w:val="24"/>
          <w:lang w:val="lv-LV"/>
        </w:rPr>
        <w:t>, as at 2016. A long-term problem also noted by the official statistics is the fall of the number of physicians due to their aging and emigration of younger specialists.</w:t>
      </w:r>
      <w:r w:rsidR="00B1570F">
        <w:rPr>
          <w:rStyle w:val="FootnoteReference"/>
          <w:rFonts w:ascii="Times New Roman" w:hAnsi="Times New Roman"/>
          <w:sz w:val="24"/>
          <w:szCs w:val="24"/>
          <w:lang w:val="lv-LV"/>
        </w:rPr>
        <w:footnoteReference w:id="22"/>
      </w:r>
    </w:p>
    <w:p w:rsidR="00B1570F" w:rsidRDefault="00B1570F" w:rsidP="000A65A7">
      <w:pPr>
        <w:spacing w:after="0" w:line="240" w:lineRule="auto"/>
        <w:jc w:val="both"/>
        <w:rPr>
          <w:rFonts w:ascii="Times New Roman" w:hAnsi="Times New Roman"/>
          <w:sz w:val="24"/>
          <w:szCs w:val="24"/>
          <w:lang w:val="lv-LV"/>
        </w:rPr>
      </w:pPr>
    </w:p>
    <w:p w:rsidR="00B1570F" w:rsidRDefault="008415BB" w:rsidP="000A65A7">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[11] </w:t>
      </w:r>
      <w:r w:rsidR="00B1570F">
        <w:rPr>
          <w:rFonts w:ascii="Times New Roman" w:hAnsi="Times New Roman"/>
          <w:sz w:val="24"/>
          <w:szCs w:val="24"/>
          <w:lang w:val="lv-LV"/>
        </w:rPr>
        <w:t xml:space="preserve">At the time of the previous </w:t>
      </w:r>
      <w:r>
        <w:rPr>
          <w:rFonts w:ascii="Times New Roman" w:hAnsi="Times New Roman"/>
          <w:sz w:val="24"/>
          <w:szCs w:val="24"/>
          <w:lang w:val="lv-LV"/>
        </w:rPr>
        <w:t xml:space="preserve">ICESCR </w:t>
      </w:r>
      <w:r w:rsidR="00B1570F">
        <w:rPr>
          <w:rFonts w:ascii="Times New Roman" w:hAnsi="Times New Roman"/>
          <w:sz w:val="24"/>
          <w:szCs w:val="24"/>
          <w:lang w:val="lv-LV"/>
        </w:rPr>
        <w:t>review, in 2008, Latvia had</w:t>
      </w:r>
      <w:r>
        <w:rPr>
          <w:rFonts w:ascii="Times New Roman" w:hAnsi="Times New Roman"/>
          <w:sz w:val="24"/>
          <w:szCs w:val="24"/>
          <w:lang w:val="lv-LV"/>
        </w:rPr>
        <w:t xml:space="preserve"> had</w:t>
      </w:r>
      <w:r w:rsidR="00B1570F">
        <w:rPr>
          <w:rFonts w:ascii="Times New Roman" w:hAnsi="Times New Roman"/>
          <w:sz w:val="24"/>
          <w:szCs w:val="24"/>
          <w:lang w:val="lv-LV"/>
        </w:rPr>
        <w:t xml:space="preserve"> 77.7 hospital beds per 10,000 people. As the pandemics of 2020 in other countries has shown, there might be a need for a sudden use of numerous beds. Therefore, the </w:t>
      </w:r>
      <w:r>
        <w:rPr>
          <w:rFonts w:ascii="Times New Roman" w:hAnsi="Times New Roman"/>
          <w:sz w:val="24"/>
          <w:szCs w:val="24"/>
          <w:lang w:val="lv-LV"/>
        </w:rPr>
        <w:t xml:space="preserve">consistent </w:t>
      </w:r>
      <w:r w:rsidR="00B1570F">
        <w:rPr>
          <w:rFonts w:ascii="Times New Roman" w:hAnsi="Times New Roman"/>
          <w:sz w:val="24"/>
          <w:szCs w:val="24"/>
          <w:lang w:val="lv-LV"/>
        </w:rPr>
        <w:t>policy of reducing the “excessive” beds is a matter of concern. As at 2019, there are 54.2 beds per 10,000 people.</w:t>
      </w:r>
      <w:r w:rsidR="00B1570F">
        <w:rPr>
          <w:rStyle w:val="FootnoteReference"/>
          <w:rFonts w:ascii="Times New Roman" w:hAnsi="Times New Roman"/>
          <w:sz w:val="24"/>
          <w:szCs w:val="24"/>
          <w:lang w:val="lv-LV"/>
        </w:rPr>
        <w:footnoteReference w:id="23"/>
      </w:r>
    </w:p>
    <w:p w:rsidR="00B1570F" w:rsidRDefault="00B1570F" w:rsidP="000A65A7">
      <w:pPr>
        <w:spacing w:after="0" w:line="240" w:lineRule="auto"/>
        <w:jc w:val="both"/>
        <w:rPr>
          <w:rFonts w:ascii="Times New Roman" w:hAnsi="Times New Roman"/>
          <w:sz w:val="24"/>
          <w:szCs w:val="24"/>
          <w:lang w:val="lv-LV"/>
        </w:rPr>
      </w:pPr>
    </w:p>
    <w:p w:rsidR="007300F3" w:rsidRDefault="007300F3" w:rsidP="000A65A7">
      <w:pPr>
        <w:spacing w:after="0" w:line="240" w:lineRule="auto"/>
        <w:jc w:val="both"/>
        <w:rPr>
          <w:rFonts w:ascii="Times New Roman" w:hAnsi="Times New Roman"/>
          <w:sz w:val="24"/>
          <w:szCs w:val="24"/>
          <w:lang w:val="lv-LV"/>
        </w:rPr>
      </w:pPr>
    </w:p>
    <w:p w:rsidR="002C78EA" w:rsidRDefault="002C78EA" w:rsidP="002C78EA">
      <w:pPr>
        <w:pStyle w:val="Heading2"/>
        <w:rPr>
          <w:lang w:val="lv-LV"/>
        </w:rPr>
      </w:pPr>
      <w:bookmarkStart w:id="6" w:name="_Toc49798597"/>
      <w:r>
        <w:rPr>
          <w:lang w:val="lv-LV"/>
        </w:rPr>
        <w:t>Article 13: education (in conjunction with Article 2, non-discrimination)</w:t>
      </w:r>
      <w:bookmarkEnd w:id="6"/>
    </w:p>
    <w:p w:rsidR="002C78EA" w:rsidRDefault="002C78EA" w:rsidP="000A65A7">
      <w:pPr>
        <w:spacing w:after="0" w:line="240" w:lineRule="auto"/>
        <w:jc w:val="both"/>
        <w:rPr>
          <w:rFonts w:ascii="Times New Roman" w:hAnsi="Times New Roman"/>
          <w:sz w:val="24"/>
          <w:szCs w:val="24"/>
          <w:lang w:val="lv-LV"/>
        </w:rPr>
      </w:pPr>
    </w:p>
    <w:p w:rsidR="002C78EA" w:rsidRDefault="00E1001A" w:rsidP="00E1001A">
      <w:pPr>
        <w:pStyle w:val="Heading3"/>
        <w:rPr>
          <w:lang w:val="lv-LV"/>
        </w:rPr>
      </w:pPr>
      <w:bookmarkStart w:id="7" w:name="_Toc49798598"/>
      <w:r>
        <w:rPr>
          <w:lang w:val="lv-LV"/>
        </w:rPr>
        <w:t>Context</w:t>
      </w:r>
      <w:bookmarkEnd w:id="7"/>
    </w:p>
    <w:p w:rsidR="00E1001A" w:rsidRDefault="00E1001A" w:rsidP="000A65A7">
      <w:pPr>
        <w:spacing w:after="0" w:line="240" w:lineRule="auto"/>
        <w:jc w:val="both"/>
        <w:rPr>
          <w:rFonts w:ascii="Times New Roman" w:hAnsi="Times New Roman"/>
          <w:sz w:val="24"/>
          <w:szCs w:val="24"/>
          <w:lang w:val="lv-LV"/>
        </w:rPr>
      </w:pPr>
    </w:p>
    <w:p w:rsidR="00E1001A" w:rsidRDefault="00E1001A" w:rsidP="00E1001A">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It is universally recognised by experts that education in one’s native language is beneficial for children. To quote a few UNESCO documents, </w:t>
      </w:r>
      <w:r w:rsidRPr="00E1001A">
        <w:rPr>
          <w:rFonts w:ascii="Times New Roman" w:hAnsi="Times New Roman"/>
          <w:sz w:val="24"/>
          <w:szCs w:val="24"/>
          <w:lang w:val="lv-LV"/>
        </w:rPr>
        <w:t>"Mother tongue instruction is essential for initial instruction and literacy and should ‘be extended to as late a st</w:t>
      </w:r>
      <w:r>
        <w:rPr>
          <w:rFonts w:ascii="Times New Roman" w:hAnsi="Times New Roman"/>
          <w:sz w:val="24"/>
          <w:szCs w:val="24"/>
          <w:lang w:val="lv-LV"/>
        </w:rPr>
        <w:t>age in education as possible’"</w:t>
      </w:r>
      <w:r>
        <w:rPr>
          <w:rStyle w:val="FootnoteReference"/>
          <w:rFonts w:ascii="Times New Roman" w:hAnsi="Times New Roman"/>
          <w:sz w:val="24"/>
          <w:szCs w:val="24"/>
          <w:lang w:val="lv-LV"/>
        </w:rPr>
        <w:footnoteReference w:id="24"/>
      </w:r>
      <w:r>
        <w:rPr>
          <w:rFonts w:ascii="Times New Roman" w:hAnsi="Times New Roman"/>
          <w:sz w:val="24"/>
          <w:szCs w:val="24"/>
          <w:lang w:val="lv-LV"/>
        </w:rPr>
        <w:t xml:space="preserve">, </w:t>
      </w:r>
      <w:r w:rsidRPr="00E1001A">
        <w:rPr>
          <w:rFonts w:ascii="Times New Roman" w:hAnsi="Times New Roman"/>
          <w:sz w:val="24"/>
          <w:szCs w:val="24"/>
          <w:lang w:val="lv-LV"/>
        </w:rPr>
        <w:t>"In multilingual contexts, where possible and taking into account differing national and subnational realities, capacities and policies, teaching and learning in the first or home language should be encouraged"</w:t>
      </w:r>
      <w:r>
        <w:rPr>
          <w:rStyle w:val="FootnoteReference"/>
          <w:rFonts w:ascii="Times New Roman" w:hAnsi="Times New Roman"/>
          <w:sz w:val="24"/>
          <w:szCs w:val="24"/>
          <w:lang w:val="lv-LV"/>
        </w:rPr>
        <w:footnoteReference w:id="25"/>
      </w:r>
      <w:r>
        <w:rPr>
          <w:rFonts w:ascii="Times New Roman" w:hAnsi="Times New Roman"/>
          <w:sz w:val="24"/>
          <w:szCs w:val="24"/>
          <w:lang w:val="lv-LV"/>
        </w:rPr>
        <w:t xml:space="preserve">, </w:t>
      </w:r>
      <w:r w:rsidRPr="00E1001A">
        <w:rPr>
          <w:rFonts w:ascii="Times New Roman" w:hAnsi="Times New Roman"/>
          <w:sz w:val="24"/>
          <w:szCs w:val="24"/>
          <w:lang w:val="lv-LV"/>
        </w:rPr>
        <w:t>"3. At least six years of mother tongue instruction is needed to reduce learning gaps for minority language speakers"</w:t>
      </w:r>
      <w:r>
        <w:rPr>
          <w:rStyle w:val="FootnoteReference"/>
          <w:rFonts w:ascii="Times New Roman" w:hAnsi="Times New Roman"/>
          <w:sz w:val="24"/>
          <w:szCs w:val="24"/>
          <w:lang w:val="lv-LV"/>
        </w:rPr>
        <w:footnoteReference w:id="26"/>
      </w:r>
      <w:r>
        <w:rPr>
          <w:rFonts w:ascii="Times New Roman" w:hAnsi="Times New Roman"/>
          <w:sz w:val="24"/>
          <w:szCs w:val="24"/>
          <w:lang w:val="lv-LV"/>
        </w:rPr>
        <w:t>.</w:t>
      </w:r>
      <w:r w:rsidRPr="00E1001A">
        <w:rPr>
          <w:rFonts w:ascii="Times New Roman" w:hAnsi="Times New Roman"/>
          <w:sz w:val="24"/>
          <w:szCs w:val="24"/>
          <w:lang w:val="lv-LV"/>
        </w:rPr>
        <w:t xml:space="preserve"> </w:t>
      </w:r>
      <w:r w:rsidR="00292C10">
        <w:rPr>
          <w:rFonts w:ascii="Times New Roman" w:hAnsi="Times New Roman"/>
          <w:sz w:val="24"/>
          <w:szCs w:val="24"/>
          <w:lang w:val="lv-LV"/>
        </w:rPr>
        <w:t xml:space="preserve">Thus, the shrinking of existing possibilities to use native language in tuition goes agaiunst the best interests of a child. </w:t>
      </w:r>
      <w:r>
        <w:rPr>
          <w:rFonts w:ascii="Times New Roman" w:hAnsi="Times New Roman"/>
          <w:sz w:val="24"/>
          <w:szCs w:val="24"/>
          <w:lang w:val="lv-LV"/>
        </w:rPr>
        <w:t>OSCE Hague recommendations</w:t>
      </w:r>
      <w:r>
        <w:rPr>
          <w:rStyle w:val="FootnoteReference"/>
          <w:rFonts w:ascii="Times New Roman" w:hAnsi="Times New Roman"/>
          <w:sz w:val="24"/>
          <w:szCs w:val="24"/>
          <w:lang w:val="lv-LV"/>
        </w:rPr>
        <w:footnoteReference w:id="27"/>
      </w:r>
      <w:r>
        <w:rPr>
          <w:rFonts w:ascii="Times New Roman" w:hAnsi="Times New Roman"/>
          <w:sz w:val="24"/>
          <w:szCs w:val="24"/>
          <w:lang w:val="lv-LV"/>
        </w:rPr>
        <w:t xml:space="preserve"> concur</w:t>
      </w:r>
      <w:r w:rsidR="00292C10">
        <w:rPr>
          <w:rFonts w:ascii="Times New Roman" w:hAnsi="Times New Roman"/>
          <w:sz w:val="24"/>
          <w:szCs w:val="24"/>
          <w:lang w:val="lv-LV"/>
        </w:rPr>
        <w:t xml:space="preserve"> with UNESCO, as an authoritative interpretation of legal obligations of OSCE participants</w:t>
      </w:r>
      <w:r>
        <w:rPr>
          <w:rFonts w:ascii="Times New Roman" w:hAnsi="Times New Roman"/>
          <w:sz w:val="24"/>
          <w:szCs w:val="24"/>
          <w:lang w:val="lv-LV"/>
        </w:rPr>
        <w:t>.</w:t>
      </w:r>
    </w:p>
    <w:p w:rsidR="00E1001A" w:rsidRDefault="00E1001A" w:rsidP="00E1001A">
      <w:pPr>
        <w:spacing w:after="0" w:line="240" w:lineRule="auto"/>
        <w:jc w:val="both"/>
        <w:rPr>
          <w:rFonts w:ascii="Times New Roman" w:hAnsi="Times New Roman"/>
          <w:sz w:val="24"/>
          <w:szCs w:val="24"/>
          <w:lang w:val="lv-LV"/>
        </w:rPr>
      </w:pPr>
    </w:p>
    <w:p w:rsidR="00E1001A" w:rsidRDefault="00E1001A" w:rsidP="00E1001A">
      <w:pPr>
        <w:spacing w:after="0" w:line="240" w:lineRule="auto"/>
        <w:jc w:val="both"/>
        <w:rPr>
          <w:rFonts w:ascii="Times New Roman" w:hAnsi="Times New Roman"/>
          <w:sz w:val="24"/>
          <w:szCs w:val="24"/>
          <w:lang w:val="lv-LV"/>
        </w:rPr>
      </w:pPr>
      <w:r>
        <w:rPr>
          <w:rFonts w:ascii="Times New Roman" w:hAnsi="Times New Roman"/>
          <w:sz w:val="24"/>
          <w:szCs w:val="24"/>
          <w:lang w:val="lv-LV"/>
        </w:rPr>
        <w:t>Minority languages are native for 39.2 % of Latvia’s population, as at 2017. Mostly it’s Russian, native for 36 %.</w:t>
      </w:r>
      <w:r>
        <w:rPr>
          <w:rStyle w:val="FootnoteReference"/>
          <w:rFonts w:ascii="Times New Roman" w:hAnsi="Times New Roman"/>
          <w:sz w:val="24"/>
          <w:szCs w:val="24"/>
          <w:lang w:val="lv-LV"/>
        </w:rPr>
        <w:footnoteReference w:id="28"/>
      </w:r>
      <w:r>
        <w:rPr>
          <w:rFonts w:ascii="Times New Roman" w:hAnsi="Times New Roman"/>
          <w:sz w:val="24"/>
          <w:szCs w:val="24"/>
          <w:lang w:val="lv-LV"/>
        </w:rPr>
        <w:t xml:space="preserve"> There is a well-developed network of Russian minority schools</w:t>
      </w:r>
      <w:r w:rsidR="00883D4A" w:rsidRPr="00883D4A">
        <w:rPr>
          <w:rFonts w:ascii="Times New Roman" w:hAnsi="Times New Roman"/>
          <w:sz w:val="24"/>
          <w:szCs w:val="24"/>
          <w:lang w:val="en-GB"/>
        </w:rPr>
        <w:t xml:space="preserve"> (</w:t>
      </w:r>
      <w:r w:rsidR="00883D4A">
        <w:rPr>
          <w:rFonts w:ascii="Times New Roman" w:hAnsi="Times New Roman"/>
          <w:sz w:val="24"/>
          <w:szCs w:val="24"/>
          <w:lang w:val="en-GB"/>
        </w:rPr>
        <w:t>since 18</w:t>
      </w:r>
      <w:r w:rsidR="00883D4A" w:rsidRPr="00883D4A">
        <w:rPr>
          <w:rFonts w:ascii="Times New Roman" w:hAnsi="Times New Roman"/>
          <w:sz w:val="24"/>
          <w:szCs w:val="24"/>
          <w:vertAlign w:val="superscript"/>
          <w:lang w:val="en-GB"/>
        </w:rPr>
        <w:t>th</w:t>
      </w:r>
      <w:r w:rsidR="00883D4A">
        <w:rPr>
          <w:rFonts w:ascii="Times New Roman" w:hAnsi="Times New Roman"/>
          <w:sz w:val="24"/>
          <w:szCs w:val="24"/>
          <w:lang w:val="en-GB"/>
        </w:rPr>
        <w:t xml:space="preserve"> century</w:t>
      </w:r>
      <w:r w:rsidR="00883D4A" w:rsidRPr="00883D4A">
        <w:rPr>
          <w:rFonts w:ascii="Times New Roman" w:hAnsi="Times New Roman"/>
          <w:sz w:val="24"/>
          <w:szCs w:val="24"/>
          <w:lang w:val="en-GB"/>
        </w:rPr>
        <w:t>)</w:t>
      </w:r>
      <w:r w:rsidR="00883D4A">
        <w:rPr>
          <w:rFonts w:ascii="Times New Roman" w:hAnsi="Times New Roman"/>
          <w:sz w:val="24"/>
          <w:szCs w:val="24"/>
          <w:lang w:val="en-GB"/>
        </w:rPr>
        <w:t xml:space="preserve"> and pre-schools</w:t>
      </w:r>
      <w:r>
        <w:rPr>
          <w:rFonts w:ascii="Times New Roman" w:hAnsi="Times New Roman"/>
          <w:sz w:val="24"/>
          <w:szCs w:val="24"/>
          <w:lang w:val="lv-LV"/>
        </w:rPr>
        <w:t>, several Polish minority schools</w:t>
      </w:r>
      <w:r w:rsidR="00883D4A">
        <w:rPr>
          <w:rFonts w:ascii="Times New Roman" w:hAnsi="Times New Roman"/>
          <w:sz w:val="24"/>
          <w:szCs w:val="24"/>
          <w:lang w:val="lv-LV"/>
        </w:rPr>
        <w:t xml:space="preserve"> and pre-schools</w:t>
      </w:r>
      <w:r>
        <w:rPr>
          <w:rFonts w:ascii="Times New Roman" w:hAnsi="Times New Roman"/>
          <w:sz w:val="24"/>
          <w:szCs w:val="24"/>
          <w:lang w:val="lv-LV"/>
        </w:rPr>
        <w:t xml:space="preserve"> and a few other one</w:t>
      </w:r>
      <w:r w:rsidR="00883D4A">
        <w:rPr>
          <w:rFonts w:ascii="Times New Roman" w:hAnsi="Times New Roman"/>
          <w:sz w:val="24"/>
          <w:szCs w:val="24"/>
          <w:lang w:val="lv-LV"/>
        </w:rPr>
        <w:t>s, with the biggest among the latter being the</w:t>
      </w:r>
      <w:r>
        <w:rPr>
          <w:rFonts w:ascii="Times New Roman" w:hAnsi="Times New Roman"/>
          <w:sz w:val="24"/>
          <w:szCs w:val="24"/>
          <w:lang w:val="lv-LV"/>
        </w:rPr>
        <w:t xml:space="preserve"> </w:t>
      </w:r>
      <w:r w:rsidR="00883D4A">
        <w:rPr>
          <w:rFonts w:ascii="Times New Roman" w:hAnsi="Times New Roman"/>
          <w:sz w:val="24"/>
          <w:szCs w:val="24"/>
          <w:lang w:val="lv-LV"/>
        </w:rPr>
        <w:t xml:space="preserve">Jewish, </w:t>
      </w:r>
      <w:r>
        <w:rPr>
          <w:rFonts w:ascii="Times New Roman" w:hAnsi="Times New Roman"/>
          <w:sz w:val="24"/>
          <w:szCs w:val="24"/>
          <w:lang w:val="lv-LV"/>
        </w:rPr>
        <w:t>Ukrainian and Belarusian</w:t>
      </w:r>
      <w:r w:rsidR="00883D4A">
        <w:rPr>
          <w:rFonts w:ascii="Times New Roman" w:hAnsi="Times New Roman"/>
          <w:sz w:val="24"/>
          <w:szCs w:val="24"/>
          <w:lang w:val="lv-LV"/>
        </w:rPr>
        <w:t xml:space="preserve"> ones</w:t>
      </w:r>
      <w:r>
        <w:rPr>
          <w:rFonts w:ascii="Times New Roman" w:hAnsi="Times New Roman"/>
          <w:sz w:val="24"/>
          <w:szCs w:val="24"/>
          <w:lang w:val="lv-LV"/>
        </w:rPr>
        <w:t>.</w:t>
      </w:r>
      <w:r w:rsidR="00CC154B">
        <w:rPr>
          <w:rFonts w:ascii="Times New Roman" w:hAnsi="Times New Roman"/>
          <w:sz w:val="24"/>
          <w:szCs w:val="24"/>
          <w:lang w:val="lv-LV"/>
        </w:rPr>
        <w:t xml:space="preserve"> Over the last </w:t>
      </w:r>
      <w:r w:rsidR="003C656A">
        <w:rPr>
          <w:rFonts w:ascii="Times New Roman" w:hAnsi="Times New Roman"/>
          <w:sz w:val="24"/>
          <w:szCs w:val="24"/>
          <w:lang w:val="lv-LV"/>
        </w:rPr>
        <w:t xml:space="preserve">two </w:t>
      </w:r>
      <w:r w:rsidR="00CC154B">
        <w:rPr>
          <w:rFonts w:ascii="Times New Roman" w:hAnsi="Times New Roman"/>
          <w:sz w:val="24"/>
          <w:szCs w:val="24"/>
          <w:lang w:val="lv-LV"/>
        </w:rPr>
        <w:t xml:space="preserve">decades, most schools </w:t>
      </w:r>
      <w:r w:rsidR="003C656A">
        <w:rPr>
          <w:rFonts w:ascii="Times New Roman" w:hAnsi="Times New Roman"/>
          <w:sz w:val="24"/>
          <w:szCs w:val="24"/>
          <w:lang w:val="lv-LV"/>
        </w:rPr>
        <w:t xml:space="preserve">offering education (partly) in Russian </w:t>
      </w:r>
      <w:r w:rsidR="00CC154B">
        <w:rPr>
          <w:rFonts w:ascii="Times New Roman" w:hAnsi="Times New Roman"/>
          <w:sz w:val="24"/>
          <w:szCs w:val="24"/>
          <w:lang w:val="lv-LV"/>
        </w:rPr>
        <w:t>have been closed</w:t>
      </w:r>
      <w:r w:rsidR="003C656A">
        <w:rPr>
          <w:rFonts w:ascii="Times New Roman" w:hAnsi="Times New Roman"/>
          <w:sz w:val="24"/>
          <w:szCs w:val="24"/>
          <w:lang w:val="lv-LV"/>
        </w:rPr>
        <w:t>, - disproportionately harshly in comparison with the schools offering Latvian-language-only education</w:t>
      </w:r>
      <w:r w:rsidR="00CC154B">
        <w:rPr>
          <w:rFonts w:ascii="Times New Roman" w:hAnsi="Times New Roman"/>
          <w:sz w:val="24"/>
          <w:szCs w:val="24"/>
          <w:lang w:val="lv-LV"/>
        </w:rPr>
        <w:t>.</w:t>
      </w:r>
      <w:r w:rsidR="004F7E46">
        <w:rPr>
          <w:rFonts w:ascii="Times New Roman" w:hAnsi="Times New Roman"/>
          <w:sz w:val="24"/>
          <w:szCs w:val="24"/>
          <w:lang w:val="lv-LV"/>
        </w:rPr>
        <w:t xml:space="preserve"> From 340 schools having offered education in Russian in 1998, just 142 are left, as at 2019. With Polsih, the numbers are 5 and 4.</w:t>
      </w:r>
      <w:r w:rsidR="003C656A">
        <w:rPr>
          <w:rStyle w:val="FootnoteReference"/>
          <w:rFonts w:ascii="Times New Roman" w:hAnsi="Times New Roman"/>
          <w:sz w:val="24"/>
          <w:szCs w:val="24"/>
          <w:lang w:val="lv-LV"/>
        </w:rPr>
        <w:footnoteReference w:id="29"/>
      </w:r>
      <w:r w:rsidR="00CC154B">
        <w:rPr>
          <w:rFonts w:ascii="Times New Roman" w:hAnsi="Times New Roman"/>
          <w:sz w:val="24"/>
          <w:szCs w:val="24"/>
          <w:lang w:val="lv-LV"/>
        </w:rPr>
        <w:t xml:space="preserve"> Bilingual education was introduced in the remaining </w:t>
      </w:r>
      <w:r w:rsidR="003C656A">
        <w:rPr>
          <w:rFonts w:ascii="Times New Roman" w:hAnsi="Times New Roman"/>
          <w:sz w:val="24"/>
          <w:szCs w:val="24"/>
          <w:lang w:val="lv-LV"/>
        </w:rPr>
        <w:t>public Russian school</w:t>
      </w:r>
      <w:r w:rsidR="00CC154B">
        <w:rPr>
          <w:rFonts w:ascii="Times New Roman" w:hAnsi="Times New Roman"/>
          <w:sz w:val="24"/>
          <w:szCs w:val="24"/>
          <w:lang w:val="lv-LV"/>
        </w:rPr>
        <w:t>s</w:t>
      </w:r>
      <w:r w:rsidR="003C656A">
        <w:rPr>
          <w:rFonts w:ascii="Times New Roman" w:hAnsi="Times New Roman"/>
          <w:sz w:val="24"/>
          <w:szCs w:val="24"/>
          <w:lang w:val="lv-LV"/>
        </w:rPr>
        <w:t xml:space="preserve"> since 1996-1998</w:t>
      </w:r>
      <w:r w:rsidR="00883D4A">
        <w:rPr>
          <w:rFonts w:ascii="Times New Roman" w:hAnsi="Times New Roman"/>
          <w:sz w:val="24"/>
          <w:szCs w:val="24"/>
          <w:lang w:val="lv-LV"/>
        </w:rPr>
        <w:t>, with domination of Latvian in later grades</w:t>
      </w:r>
      <w:r w:rsidR="003C656A">
        <w:rPr>
          <w:rFonts w:ascii="Times New Roman" w:hAnsi="Times New Roman"/>
          <w:sz w:val="24"/>
          <w:szCs w:val="24"/>
          <w:lang w:val="lv-LV"/>
        </w:rPr>
        <w:t xml:space="preserve"> since 2004</w:t>
      </w:r>
      <w:r w:rsidR="00CC154B">
        <w:rPr>
          <w:rFonts w:ascii="Times New Roman" w:hAnsi="Times New Roman"/>
          <w:sz w:val="24"/>
          <w:szCs w:val="24"/>
          <w:lang w:val="lv-LV"/>
        </w:rPr>
        <w:t>.</w:t>
      </w:r>
      <w:r w:rsidR="00BE6B85">
        <w:rPr>
          <w:rStyle w:val="FootnoteReference"/>
          <w:rFonts w:ascii="Times New Roman" w:hAnsi="Times New Roman"/>
          <w:sz w:val="24"/>
          <w:szCs w:val="24"/>
          <w:lang w:val="lv-LV"/>
        </w:rPr>
        <w:footnoteReference w:id="30"/>
      </w:r>
      <w:r w:rsidR="00883D4A">
        <w:rPr>
          <w:rFonts w:ascii="Times New Roman" w:hAnsi="Times New Roman"/>
          <w:sz w:val="24"/>
          <w:szCs w:val="24"/>
          <w:lang w:val="lv-LV"/>
        </w:rPr>
        <w:t xml:space="preserve"> </w:t>
      </w:r>
      <w:r w:rsidR="00BE6B85">
        <w:rPr>
          <w:rFonts w:ascii="Times New Roman" w:hAnsi="Times New Roman"/>
          <w:sz w:val="24"/>
          <w:szCs w:val="24"/>
          <w:lang w:val="lv-LV"/>
        </w:rPr>
        <w:lastRenderedPageBreak/>
        <w:t>However, a few private minority schools were free to choose their language of instruction</w:t>
      </w:r>
      <w:r w:rsidR="00564308">
        <w:rPr>
          <w:rFonts w:ascii="Times New Roman" w:hAnsi="Times New Roman"/>
          <w:sz w:val="24"/>
          <w:szCs w:val="24"/>
          <w:lang w:val="lv-LV"/>
        </w:rPr>
        <w:t>, until recently</w:t>
      </w:r>
      <w:r w:rsidR="00BE6B85">
        <w:rPr>
          <w:rFonts w:ascii="Times New Roman" w:hAnsi="Times New Roman"/>
          <w:sz w:val="24"/>
          <w:szCs w:val="24"/>
          <w:lang w:val="lv-LV"/>
        </w:rPr>
        <w:t>.</w:t>
      </w:r>
    </w:p>
    <w:p w:rsidR="00CC154B" w:rsidRDefault="00CC154B" w:rsidP="00E1001A">
      <w:pPr>
        <w:spacing w:after="0" w:line="240" w:lineRule="auto"/>
        <w:jc w:val="both"/>
        <w:rPr>
          <w:rFonts w:ascii="Times New Roman" w:hAnsi="Times New Roman"/>
          <w:sz w:val="24"/>
          <w:szCs w:val="24"/>
          <w:lang w:val="lv-LV"/>
        </w:rPr>
      </w:pPr>
    </w:p>
    <w:p w:rsidR="00CC154B" w:rsidRDefault="00CC154B" w:rsidP="00E1001A">
      <w:pPr>
        <w:spacing w:after="0" w:line="240" w:lineRule="auto"/>
        <w:jc w:val="both"/>
        <w:rPr>
          <w:rFonts w:ascii="Times New Roman" w:hAnsi="Times New Roman"/>
          <w:sz w:val="24"/>
          <w:szCs w:val="24"/>
          <w:lang w:val="lv-LV"/>
        </w:rPr>
      </w:pPr>
      <w:r>
        <w:rPr>
          <w:rFonts w:ascii="Times New Roman" w:hAnsi="Times New Roman"/>
          <w:sz w:val="24"/>
          <w:szCs w:val="24"/>
          <w:lang w:val="lv-LV"/>
        </w:rPr>
        <w:t>While public tertiary education was mostly</w:t>
      </w:r>
      <w:r w:rsidR="00BE6B85">
        <w:rPr>
          <w:rFonts w:ascii="Times New Roman" w:hAnsi="Times New Roman"/>
          <w:sz w:val="24"/>
          <w:szCs w:val="24"/>
          <w:lang w:val="lv-LV"/>
        </w:rPr>
        <w:t xml:space="preserve"> switched to Latvian-only in 1990s, private institutions</w:t>
      </w:r>
      <w:r w:rsidR="00BE6B85" w:rsidRPr="00BE6B85">
        <w:rPr>
          <w:lang w:val="en-GB"/>
        </w:rPr>
        <w:t xml:space="preserve"> </w:t>
      </w:r>
      <w:r w:rsidR="00BE6B85" w:rsidRPr="00BE6B85">
        <w:rPr>
          <w:rFonts w:ascii="Times New Roman" w:hAnsi="Times New Roman"/>
          <w:sz w:val="24"/>
          <w:szCs w:val="24"/>
          <w:lang w:val="lv-LV"/>
        </w:rPr>
        <w:t>were free to choose their language of instruction</w:t>
      </w:r>
      <w:r w:rsidR="00564308">
        <w:rPr>
          <w:rFonts w:ascii="Times New Roman" w:hAnsi="Times New Roman"/>
          <w:sz w:val="24"/>
          <w:szCs w:val="24"/>
          <w:lang w:val="lv-LV"/>
        </w:rPr>
        <w:t>, with many using Russian and English</w:t>
      </w:r>
      <w:r w:rsidR="002D6DC9">
        <w:rPr>
          <w:rFonts w:ascii="Times New Roman" w:hAnsi="Times New Roman"/>
          <w:sz w:val="24"/>
          <w:szCs w:val="24"/>
          <w:lang w:val="lv-LV"/>
        </w:rPr>
        <w:t>.</w:t>
      </w:r>
      <w:r w:rsidR="00292C10">
        <w:rPr>
          <w:rStyle w:val="FootnoteReference"/>
          <w:rFonts w:ascii="Times New Roman" w:hAnsi="Times New Roman"/>
          <w:sz w:val="24"/>
          <w:szCs w:val="24"/>
          <w:lang w:val="lv-LV"/>
        </w:rPr>
        <w:footnoteReference w:id="31"/>
      </w:r>
    </w:p>
    <w:p w:rsidR="002D6DC9" w:rsidRDefault="002D6DC9" w:rsidP="00E1001A">
      <w:pPr>
        <w:spacing w:after="0" w:line="240" w:lineRule="auto"/>
        <w:jc w:val="both"/>
        <w:rPr>
          <w:rFonts w:ascii="Times New Roman" w:hAnsi="Times New Roman"/>
          <w:sz w:val="24"/>
          <w:szCs w:val="24"/>
          <w:lang w:val="lv-LV"/>
        </w:rPr>
      </w:pPr>
    </w:p>
    <w:p w:rsidR="002D6DC9" w:rsidRDefault="002D6DC9" w:rsidP="002D6DC9">
      <w:pPr>
        <w:pStyle w:val="Heading3"/>
        <w:rPr>
          <w:lang w:val="lv-LV"/>
        </w:rPr>
      </w:pPr>
      <w:bookmarkStart w:id="8" w:name="_Toc49798599"/>
      <w:r>
        <w:rPr>
          <w:lang w:val="lv-LV"/>
        </w:rPr>
        <w:t>Minority schools under attack</w:t>
      </w:r>
      <w:bookmarkEnd w:id="8"/>
    </w:p>
    <w:p w:rsidR="002D6DC9" w:rsidRDefault="002D6DC9" w:rsidP="00E1001A">
      <w:pPr>
        <w:spacing w:after="0" w:line="240" w:lineRule="auto"/>
        <w:jc w:val="both"/>
        <w:rPr>
          <w:rFonts w:ascii="Times New Roman" w:hAnsi="Times New Roman"/>
          <w:sz w:val="24"/>
          <w:szCs w:val="24"/>
          <w:lang w:val="lv-LV"/>
        </w:rPr>
      </w:pPr>
    </w:p>
    <w:p w:rsidR="002D6DC9" w:rsidRDefault="00973167" w:rsidP="00E1001A">
      <w:pPr>
        <w:spacing w:after="0" w:line="240" w:lineRule="auto"/>
        <w:jc w:val="both"/>
        <w:rPr>
          <w:rFonts w:ascii="Times New Roman" w:hAnsi="Times New Roman"/>
          <w:sz w:val="24"/>
          <w:szCs w:val="24"/>
          <w:lang w:val="lv-LV"/>
        </w:rPr>
      </w:pPr>
      <w:r w:rsidRPr="00973167">
        <w:rPr>
          <w:rFonts w:ascii="Times New Roman" w:hAnsi="Times New Roman"/>
          <w:sz w:val="24"/>
          <w:szCs w:val="24"/>
          <w:lang w:val="lv-LV"/>
        </w:rPr>
        <w:t>Amendments of 22.03.2018 to the Education Law. Instruction in Latvian</w:t>
      </w:r>
      <w:r>
        <w:rPr>
          <w:rFonts w:ascii="Times New Roman" w:hAnsi="Times New Roman"/>
          <w:sz w:val="24"/>
          <w:szCs w:val="24"/>
          <w:lang w:val="lv-LV"/>
        </w:rPr>
        <w:t xml:space="preserve"> only is introduced for high schools (grades 10-12)</w:t>
      </w:r>
      <w:r w:rsidRPr="00973167">
        <w:rPr>
          <w:rFonts w:ascii="Times New Roman" w:hAnsi="Times New Roman"/>
          <w:sz w:val="24"/>
          <w:szCs w:val="24"/>
          <w:lang w:val="lv-LV"/>
        </w:rPr>
        <w:t>, with exceptions for EU official languages &amp; ethno-cultural lessons</w:t>
      </w:r>
      <w:r>
        <w:rPr>
          <w:rFonts w:ascii="Times New Roman" w:hAnsi="Times New Roman"/>
          <w:sz w:val="24"/>
          <w:szCs w:val="24"/>
          <w:lang w:val="lv-LV"/>
        </w:rPr>
        <w:t xml:space="preserve">. A minimum of 80 % instruction in Latvian </w:t>
      </w:r>
      <w:r w:rsidRPr="00973167">
        <w:rPr>
          <w:rFonts w:ascii="Times New Roman" w:hAnsi="Times New Roman"/>
          <w:sz w:val="24"/>
          <w:szCs w:val="24"/>
          <w:lang w:val="lv-LV"/>
        </w:rPr>
        <w:t>is introduced for</w:t>
      </w:r>
      <w:r>
        <w:rPr>
          <w:rFonts w:ascii="Times New Roman" w:hAnsi="Times New Roman"/>
          <w:sz w:val="24"/>
          <w:szCs w:val="24"/>
          <w:lang w:val="lv-LV"/>
        </w:rPr>
        <w:t xml:space="preserve"> grades 7-9</w:t>
      </w:r>
      <w:r w:rsidRPr="00973167">
        <w:rPr>
          <w:rFonts w:ascii="Times New Roman" w:hAnsi="Times New Roman"/>
          <w:sz w:val="24"/>
          <w:szCs w:val="24"/>
          <w:lang w:val="lv-LV"/>
        </w:rPr>
        <w:t>, with exceptions for EU official languages</w:t>
      </w:r>
      <w:r w:rsidR="0099732E">
        <w:rPr>
          <w:rFonts w:ascii="Times New Roman" w:hAnsi="Times New Roman"/>
          <w:sz w:val="24"/>
          <w:szCs w:val="24"/>
          <w:lang w:val="lv-LV"/>
        </w:rPr>
        <w:t>.</w:t>
      </w:r>
      <w:r w:rsidR="0099732E" w:rsidRPr="0099732E">
        <w:rPr>
          <w:lang w:val="en-GB"/>
        </w:rPr>
        <w:t xml:space="preserve"> </w:t>
      </w:r>
      <w:r w:rsidR="0099732E" w:rsidRPr="0099732E">
        <w:rPr>
          <w:rFonts w:ascii="Times New Roman" w:hAnsi="Times New Roman"/>
          <w:sz w:val="24"/>
          <w:szCs w:val="24"/>
          <w:lang w:val="lv-LV"/>
        </w:rPr>
        <w:t xml:space="preserve">A minimum of </w:t>
      </w:r>
      <w:r w:rsidR="0099732E">
        <w:rPr>
          <w:rFonts w:ascii="Times New Roman" w:hAnsi="Times New Roman"/>
          <w:sz w:val="24"/>
          <w:szCs w:val="24"/>
          <w:lang w:val="lv-LV"/>
        </w:rPr>
        <w:t>5</w:t>
      </w:r>
      <w:r w:rsidR="0099732E" w:rsidRPr="0099732E">
        <w:rPr>
          <w:rFonts w:ascii="Times New Roman" w:hAnsi="Times New Roman"/>
          <w:sz w:val="24"/>
          <w:szCs w:val="24"/>
          <w:lang w:val="lv-LV"/>
        </w:rPr>
        <w:t xml:space="preserve">0 % instruction in Latvian is introduced for grades </w:t>
      </w:r>
      <w:r w:rsidR="0099732E">
        <w:rPr>
          <w:rFonts w:ascii="Times New Roman" w:hAnsi="Times New Roman"/>
          <w:sz w:val="24"/>
          <w:szCs w:val="24"/>
          <w:lang w:val="lv-LV"/>
        </w:rPr>
        <w:t>1</w:t>
      </w:r>
      <w:r w:rsidR="0099732E" w:rsidRPr="0099732E">
        <w:rPr>
          <w:rFonts w:ascii="Times New Roman" w:hAnsi="Times New Roman"/>
          <w:sz w:val="24"/>
          <w:szCs w:val="24"/>
          <w:lang w:val="lv-LV"/>
        </w:rPr>
        <w:t>-</w:t>
      </w:r>
      <w:r w:rsidR="0099732E">
        <w:rPr>
          <w:rFonts w:ascii="Times New Roman" w:hAnsi="Times New Roman"/>
          <w:sz w:val="24"/>
          <w:szCs w:val="24"/>
          <w:lang w:val="lv-LV"/>
        </w:rPr>
        <w:t>6</w:t>
      </w:r>
      <w:r w:rsidR="0099732E" w:rsidRPr="0099732E">
        <w:rPr>
          <w:rFonts w:ascii="Times New Roman" w:hAnsi="Times New Roman"/>
          <w:sz w:val="24"/>
          <w:szCs w:val="24"/>
          <w:lang w:val="lv-LV"/>
        </w:rPr>
        <w:t>, with exceptions for EU official languages</w:t>
      </w:r>
      <w:r w:rsidR="0099732E">
        <w:rPr>
          <w:rFonts w:ascii="Times New Roman" w:hAnsi="Times New Roman"/>
          <w:sz w:val="24"/>
          <w:szCs w:val="24"/>
          <w:lang w:val="lv-LV"/>
        </w:rPr>
        <w:t>. All these measures apply to private schools as well.</w:t>
      </w:r>
      <w:r w:rsidR="00D3239C">
        <w:rPr>
          <w:rFonts w:ascii="Times New Roman" w:hAnsi="Times New Roman"/>
          <w:sz w:val="24"/>
          <w:szCs w:val="24"/>
          <w:lang w:val="lv-LV"/>
        </w:rPr>
        <w:t xml:space="preserve"> Entry into force is planned for 2019-2021.</w:t>
      </w:r>
    </w:p>
    <w:p w:rsidR="0099732E" w:rsidRDefault="0099732E" w:rsidP="00E1001A">
      <w:pPr>
        <w:spacing w:after="0" w:line="240" w:lineRule="auto"/>
        <w:jc w:val="both"/>
        <w:rPr>
          <w:rFonts w:ascii="Times New Roman" w:hAnsi="Times New Roman"/>
          <w:sz w:val="24"/>
          <w:szCs w:val="24"/>
          <w:lang w:val="lv-LV"/>
        </w:rPr>
      </w:pPr>
    </w:p>
    <w:p w:rsidR="0099732E" w:rsidRPr="0099732E" w:rsidRDefault="0099732E" w:rsidP="0099732E">
      <w:pPr>
        <w:spacing w:after="0" w:line="240" w:lineRule="auto"/>
        <w:jc w:val="both"/>
        <w:rPr>
          <w:rFonts w:ascii="Times New Roman" w:hAnsi="Times New Roman"/>
          <w:sz w:val="24"/>
          <w:szCs w:val="24"/>
          <w:lang w:val="lv-LV"/>
        </w:rPr>
      </w:pPr>
      <w:r>
        <w:rPr>
          <w:rFonts w:ascii="Times New Roman" w:hAnsi="Times New Roman"/>
          <w:sz w:val="24"/>
          <w:szCs w:val="24"/>
          <w:lang w:val="lv-LV"/>
        </w:rPr>
        <w:t>Several international human rights organisations criticize the amendments</w:t>
      </w:r>
      <w:r w:rsidR="00D3239C">
        <w:rPr>
          <w:rFonts w:ascii="Times New Roman" w:hAnsi="Times New Roman"/>
          <w:sz w:val="24"/>
          <w:szCs w:val="24"/>
          <w:lang w:val="lv-LV"/>
        </w:rPr>
        <w:t>, most including the issue of discrimination</w:t>
      </w:r>
      <w:r>
        <w:rPr>
          <w:rFonts w:ascii="Times New Roman" w:hAnsi="Times New Roman"/>
          <w:sz w:val="24"/>
          <w:szCs w:val="24"/>
          <w:lang w:val="lv-LV"/>
        </w:rPr>
        <w:t>: CERD</w:t>
      </w:r>
      <w:r>
        <w:rPr>
          <w:rStyle w:val="FootnoteReference"/>
          <w:rFonts w:ascii="Times New Roman" w:hAnsi="Times New Roman"/>
          <w:sz w:val="24"/>
          <w:szCs w:val="24"/>
          <w:lang w:val="lv-LV"/>
        </w:rPr>
        <w:footnoteReference w:id="32"/>
      </w:r>
      <w:r w:rsidRPr="0099732E">
        <w:rPr>
          <w:rFonts w:ascii="Times New Roman" w:hAnsi="Times New Roman"/>
          <w:sz w:val="24"/>
          <w:szCs w:val="24"/>
          <w:lang w:val="lv-LV"/>
        </w:rPr>
        <w:t>;</w:t>
      </w:r>
      <w:r>
        <w:rPr>
          <w:rFonts w:ascii="Times New Roman" w:hAnsi="Times New Roman"/>
          <w:sz w:val="24"/>
          <w:szCs w:val="24"/>
          <w:lang w:val="lv-LV"/>
        </w:rPr>
        <w:t xml:space="preserve"> three </w:t>
      </w:r>
      <w:r w:rsidRPr="0099732E">
        <w:rPr>
          <w:rFonts w:ascii="Times New Roman" w:hAnsi="Times New Roman"/>
          <w:sz w:val="24"/>
          <w:szCs w:val="24"/>
          <w:lang w:val="lv-LV"/>
        </w:rPr>
        <w:t>UN</w:t>
      </w:r>
      <w:r>
        <w:rPr>
          <w:rFonts w:ascii="Times New Roman" w:hAnsi="Times New Roman"/>
          <w:sz w:val="24"/>
          <w:szCs w:val="24"/>
          <w:lang w:val="lv-LV"/>
        </w:rPr>
        <w:t xml:space="preserve"> Special Rapporteurs</w:t>
      </w:r>
      <w:r>
        <w:rPr>
          <w:rStyle w:val="FootnoteReference"/>
          <w:rFonts w:ascii="Times New Roman" w:hAnsi="Times New Roman"/>
          <w:sz w:val="24"/>
          <w:szCs w:val="24"/>
          <w:lang w:val="lv-LV"/>
        </w:rPr>
        <w:footnoteReference w:id="33"/>
      </w:r>
      <w:r w:rsidRPr="0099732E">
        <w:rPr>
          <w:rFonts w:ascii="Times New Roman" w:hAnsi="Times New Roman"/>
          <w:sz w:val="24"/>
          <w:szCs w:val="24"/>
          <w:lang w:val="lv-LV"/>
        </w:rPr>
        <w:t>;</w:t>
      </w:r>
      <w:r>
        <w:rPr>
          <w:rFonts w:ascii="Times New Roman" w:hAnsi="Times New Roman"/>
          <w:sz w:val="24"/>
          <w:szCs w:val="24"/>
          <w:lang w:val="lv-LV"/>
        </w:rPr>
        <w:t xml:space="preserve"> </w:t>
      </w:r>
      <w:r w:rsidRPr="0099732E">
        <w:rPr>
          <w:rFonts w:ascii="Times New Roman" w:hAnsi="Times New Roman"/>
          <w:sz w:val="24"/>
          <w:szCs w:val="24"/>
          <w:lang w:val="lv-LV"/>
        </w:rPr>
        <w:t>OSCE H</w:t>
      </w:r>
      <w:r>
        <w:rPr>
          <w:rFonts w:ascii="Times New Roman" w:hAnsi="Times New Roman"/>
          <w:sz w:val="24"/>
          <w:szCs w:val="24"/>
          <w:lang w:val="lv-LV"/>
        </w:rPr>
        <w:t xml:space="preserve">igh </w:t>
      </w:r>
      <w:r w:rsidRPr="0099732E">
        <w:rPr>
          <w:rFonts w:ascii="Times New Roman" w:hAnsi="Times New Roman"/>
          <w:sz w:val="24"/>
          <w:szCs w:val="24"/>
          <w:lang w:val="lv-LV"/>
        </w:rPr>
        <w:t>C</w:t>
      </w:r>
      <w:r>
        <w:rPr>
          <w:rFonts w:ascii="Times New Roman" w:hAnsi="Times New Roman"/>
          <w:sz w:val="24"/>
          <w:szCs w:val="24"/>
          <w:lang w:val="lv-LV"/>
        </w:rPr>
        <w:t xml:space="preserve">ommissioner on </w:t>
      </w:r>
      <w:r w:rsidRPr="0099732E">
        <w:rPr>
          <w:rFonts w:ascii="Times New Roman" w:hAnsi="Times New Roman"/>
          <w:sz w:val="24"/>
          <w:szCs w:val="24"/>
          <w:lang w:val="lv-LV"/>
        </w:rPr>
        <w:t>N</w:t>
      </w:r>
      <w:r>
        <w:rPr>
          <w:rFonts w:ascii="Times New Roman" w:hAnsi="Times New Roman"/>
          <w:sz w:val="24"/>
          <w:szCs w:val="24"/>
          <w:lang w:val="lv-LV"/>
        </w:rPr>
        <w:t xml:space="preserve">ational </w:t>
      </w:r>
      <w:r w:rsidRPr="0099732E">
        <w:rPr>
          <w:rFonts w:ascii="Times New Roman" w:hAnsi="Times New Roman"/>
          <w:sz w:val="24"/>
          <w:szCs w:val="24"/>
          <w:lang w:val="lv-LV"/>
        </w:rPr>
        <w:t>M</w:t>
      </w:r>
      <w:r>
        <w:rPr>
          <w:rFonts w:ascii="Times New Roman" w:hAnsi="Times New Roman"/>
          <w:sz w:val="24"/>
          <w:szCs w:val="24"/>
          <w:lang w:val="lv-LV"/>
        </w:rPr>
        <w:t>inorities</w:t>
      </w:r>
      <w:r>
        <w:rPr>
          <w:rStyle w:val="FootnoteReference"/>
          <w:rFonts w:ascii="Times New Roman" w:hAnsi="Times New Roman"/>
          <w:sz w:val="24"/>
          <w:szCs w:val="24"/>
          <w:lang w:val="lv-LV"/>
        </w:rPr>
        <w:footnoteReference w:id="34"/>
      </w:r>
      <w:r w:rsidRPr="0099732E">
        <w:rPr>
          <w:rFonts w:ascii="Times New Roman" w:hAnsi="Times New Roman"/>
          <w:sz w:val="24"/>
          <w:szCs w:val="24"/>
          <w:lang w:val="lv-LV"/>
        </w:rPr>
        <w:t xml:space="preserve">, </w:t>
      </w:r>
      <w:r>
        <w:rPr>
          <w:rFonts w:ascii="Times New Roman" w:hAnsi="Times New Roman"/>
          <w:sz w:val="24"/>
          <w:szCs w:val="24"/>
          <w:lang w:val="lv-LV"/>
        </w:rPr>
        <w:t>A</w:t>
      </w:r>
      <w:r w:rsidRPr="0099732E">
        <w:rPr>
          <w:rFonts w:ascii="Times New Roman" w:hAnsi="Times New Roman"/>
          <w:sz w:val="24"/>
          <w:szCs w:val="24"/>
          <w:lang w:val="lv-LV"/>
        </w:rPr>
        <w:t xml:space="preserve">dvisory Committee </w:t>
      </w:r>
      <w:r>
        <w:rPr>
          <w:rFonts w:ascii="Times New Roman" w:hAnsi="Times New Roman"/>
          <w:sz w:val="24"/>
          <w:szCs w:val="24"/>
          <w:lang w:val="lv-LV"/>
        </w:rPr>
        <w:t>of the Framework Convention for the Protection of National Minorities</w:t>
      </w:r>
      <w:r>
        <w:rPr>
          <w:rStyle w:val="FootnoteReference"/>
          <w:rFonts w:ascii="Times New Roman" w:hAnsi="Times New Roman"/>
          <w:sz w:val="24"/>
          <w:szCs w:val="24"/>
          <w:lang w:val="lv-LV"/>
        </w:rPr>
        <w:footnoteReference w:id="35"/>
      </w:r>
      <w:r w:rsidRPr="0099732E">
        <w:rPr>
          <w:rFonts w:ascii="Times New Roman" w:hAnsi="Times New Roman"/>
          <w:sz w:val="24"/>
          <w:szCs w:val="24"/>
          <w:lang w:val="lv-LV"/>
        </w:rPr>
        <w:t xml:space="preserve">, </w:t>
      </w:r>
      <w:r w:rsidR="009E0A82">
        <w:rPr>
          <w:rFonts w:ascii="Times New Roman" w:hAnsi="Times New Roman"/>
          <w:sz w:val="24"/>
          <w:szCs w:val="24"/>
          <w:lang w:val="lv-LV"/>
        </w:rPr>
        <w:t xml:space="preserve">and also the </w:t>
      </w:r>
      <w:r w:rsidRPr="0099732E">
        <w:rPr>
          <w:rFonts w:ascii="Times New Roman" w:hAnsi="Times New Roman"/>
          <w:sz w:val="24"/>
          <w:szCs w:val="24"/>
          <w:lang w:val="lv-LV"/>
        </w:rPr>
        <w:t>E</w:t>
      </w:r>
      <w:r>
        <w:rPr>
          <w:rFonts w:ascii="Times New Roman" w:hAnsi="Times New Roman"/>
          <w:sz w:val="24"/>
          <w:szCs w:val="24"/>
          <w:lang w:val="lv-LV"/>
        </w:rPr>
        <w:t xml:space="preserve">uropean </w:t>
      </w:r>
      <w:r w:rsidRPr="0099732E">
        <w:rPr>
          <w:rFonts w:ascii="Times New Roman" w:hAnsi="Times New Roman"/>
          <w:sz w:val="24"/>
          <w:szCs w:val="24"/>
          <w:lang w:val="lv-LV"/>
        </w:rPr>
        <w:t>P</w:t>
      </w:r>
      <w:r>
        <w:rPr>
          <w:rFonts w:ascii="Times New Roman" w:hAnsi="Times New Roman"/>
          <w:sz w:val="24"/>
          <w:szCs w:val="24"/>
          <w:lang w:val="lv-LV"/>
        </w:rPr>
        <w:t>arliament</w:t>
      </w:r>
      <w:r w:rsidR="009E0A82">
        <w:rPr>
          <w:rFonts w:ascii="Times New Roman" w:hAnsi="Times New Roman"/>
          <w:sz w:val="24"/>
          <w:szCs w:val="24"/>
          <w:lang w:val="lv-LV"/>
        </w:rPr>
        <w:t>’s</w:t>
      </w:r>
      <w:r>
        <w:rPr>
          <w:rFonts w:ascii="Times New Roman" w:hAnsi="Times New Roman"/>
          <w:sz w:val="24"/>
          <w:szCs w:val="24"/>
          <w:lang w:val="lv-LV"/>
        </w:rPr>
        <w:t xml:space="preserve"> Committee on Culture and Education.</w:t>
      </w:r>
      <w:r>
        <w:rPr>
          <w:rStyle w:val="FootnoteReference"/>
          <w:rFonts w:ascii="Times New Roman" w:hAnsi="Times New Roman"/>
          <w:sz w:val="24"/>
          <w:szCs w:val="24"/>
          <w:lang w:val="lv-LV"/>
        </w:rPr>
        <w:footnoteReference w:id="36"/>
      </w:r>
    </w:p>
    <w:p w:rsidR="002C78EA" w:rsidRPr="007300F3" w:rsidRDefault="002C78EA" w:rsidP="000A65A7">
      <w:pPr>
        <w:spacing w:after="0" w:line="240" w:lineRule="auto"/>
        <w:jc w:val="both"/>
        <w:rPr>
          <w:rFonts w:ascii="Times New Roman" w:hAnsi="Times New Roman"/>
          <w:sz w:val="24"/>
          <w:szCs w:val="24"/>
          <w:lang w:val="lv-LV"/>
        </w:rPr>
      </w:pPr>
    </w:p>
    <w:p w:rsidR="009219AE" w:rsidRDefault="002D6DC9" w:rsidP="000A65A7">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April </w:t>
      </w:r>
      <w:r w:rsidR="00355398">
        <w:rPr>
          <w:rFonts w:ascii="Times New Roman" w:hAnsi="Times New Roman"/>
          <w:sz w:val="24"/>
          <w:szCs w:val="24"/>
          <w:lang w:val="en-GB"/>
        </w:rPr>
        <w:t>23</w:t>
      </w:r>
      <w:r w:rsidR="00973167">
        <w:rPr>
          <w:rFonts w:ascii="Times New Roman" w:hAnsi="Times New Roman"/>
          <w:sz w:val="24"/>
          <w:szCs w:val="24"/>
          <w:lang w:val="en-GB"/>
        </w:rPr>
        <w:t xml:space="preserve">, 2019 </w:t>
      </w:r>
      <w:r w:rsidR="00973167" w:rsidRPr="00973167">
        <w:rPr>
          <w:rFonts w:ascii="Times New Roman" w:hAnsi="Times New Roman"/>
          <w:sz w:val="24"/>
          <w:szCs w:val="24"/>
          <w:lang w:val="en-GB"/>
        </w:rPr>
        <w:t>- the Constitutional Court delivers a judgment on the langu</w:t>
      </w:r>
      <w:r w:rsidR="00973167">
        <w:rPr>
          <w:rFonts w:ascii="Times New Roman" w:hAnsi="Times New Roman"/>
          <w:sz w:val="24"/>
          <w:szCs w:val="24"/>
          <w:lang w:val="en-GB"/>
        </w:rPr>
        <w:t>age use restrictions for public</w:t>
      </w:r>
      <w:r w:rsidR="00973167" w:rsidRPr="00973167">
        <w:rPr>
          <w:rFonts w:ascii="Times New Roman" w:hAnsi="Times New Roman"/>
          <w:sz w:val="24"/>
          <w:szCs w:val="24"/>
          <w:lang w:val="en-GB"/>
        </w:rPr>
        <w:t xml:space="preserve"> schools, in the case No. 2018-</w:t>
      </w:r>
      <w:r w:rsidR="00973167">
        <w:rPr>
          <w:rFonts w:ascii="Times New Roman" w:hAnsi="Times New Roman"/>
          <w:sz w:val="24"/>
          <w:szCs w:val="24"/>
          <w:lang w:val="en-GB"/>
        </w:rPr>
        <w:t>1</w:t>
      </w:r>
      <w:r w:rsidR="00973167" w:rsidRPr="00973167">
        <w:rPr>
          <w:rFonts w:ascii="Times New Roman" w:hAnsi="Times New Roman"/>
          <w:sz w:val="24"/>
          <w:szCs w:val="24"/>
          <w:lang w:val="en-GB"/>
        </w:rPr>
        <w:t>2-01</w:t>
      </w:r>
      <w:r w:rsidR="00973167">
        <w:rPr>
          <w:rFonts w:ascii="Times New Roman" w:hAnsi="Times New Roman"/>
          <w:sz w:val="24"/>
          <w:szCs w:val="24"/>
          <w:lang w:val="en-GB"/>
        </w:rPr>
        <w:t>.</w:t>
      </w:r>
      <w:r w:rsidR="00355398">
        <w:rPr>
          <w:rStyle w:val="FootnoteReference"/>
          <w:rFonts w:ascii="Times New Roman" w:hAnsi="Times New Roman"/>
          <w:sz w:val="24"/>
          <w:szCs w:val="24"/>
          <w:lang w:val="en-GB"/>
        </w:rPr>
        <w:footnoteReference w:id="37"/>
      </w:r>
      <w:r w:rsidR="00973167">
        <w:rPr>
          <w:rFonts w:ascii="Times New Roman" w:hAnsi="Times New Roman"/>
          <w:sz w:val="24"/>
          <w:szCs w:val="24"/>
          <w:lang w:val="en-GB"/>
        </w:rPr>
        <w:t xml:space="preserve"> </w:t>
      </w:r>
      <w:r w:rsidR="00973167" w:rsidRPr="00973167">
        <w:rPr>
          <w:rFonts w:ascii="Times New Roman" w:hAnsi="Times New Roman"/>
          <w:sz w:val="24"/>
          <w:szCs w:val="24"/>
          <w:lang w:val="en-GB"/>
        </w:rPr>
        <w:t>The Court finds the restrictions constitutional</w:t>
      </w:r>
      <w:r w:rsidR="00355398">
        <w:rPr>
          <w:rFonts w:ascii="Times New Roman" w:hAnsi="Times New Roman"/>
          <w:sz w:val="24"/>
          <w:szCs w:val="24"/>
          <w:lang w:val="en-GB"/>
        </w:rPr>
        <w:t xml:space="preserve">. In particular, in </w:t>
      </w:r>
      <w:r w:rsidR="00355398" w:rsidRPr="00355398">
        <w:rPr>
          <w:rFonts w:ascii="Times New Roman" w:hAnsi="Times New Roman"/>
          <w:sz w:val="24"/>
          <w:szCs w:val="24"/>
          <w:lang w:val="en-GB"/>
        </w:rPr>
        <w:t>para. 23.2.</w:t>
      </w:r>
      <w:r w:rsidR="00355398">
        <w:rPr>
          <w:rFonts w:ascii="Times New Roman" w:hAnsi="Times New Roman"/>
          <w:sz w:val="24"/>
          <w:szCs w:val="24"/>
          <w:lang w:val="en-GB"/>
        </w:rPr>
        <w:t xml:space="preserve"> it</w:t>
      </w:r>
      <w:r w:rsidR="00355398" w:rsidRPr="00355398">
        <w:rPr>
          <w:rFonts w:ascii="Times New Roman" w:hAnsi="Times New Roman"/>
          <w:sz w:val="24"/>
          <w:szCs w:val="24"/>
          <w:lang w:val="en-GB"/>
        </w:rPr>
        <w:t xml:space="preserve"> dismissed CERD and FCNM AC criticism by parroting MFA and Ombudsman’s claims that the international expert bodies “do not have full and comprehensive information and legal reasoning at their disposal”, despite both MFA and Ombudsman having participated in both reviews</w:t>
      </w:r>
      <w:r w:rsidR="00355398">
        <w:rPr>
          <w:rFonts w:ascii="Times New Roman" w:hAnsi="Times New Roman"/>
          <w:sz w:val="24"/>
          <w:szCs w:val="24"/>
          <w:lang w:val="en-GB"/>
        </w:rPr>
        <w:t>.</w:t>
      </w:r>
      <w:r w:rsidR="0086663A">
        <w:rPr>
          <w:rFonts w:ascii="Times New Roman" w:hAnsi="Times New Roman"/>
          <w:sz w:val="24"/>
          <w:szCs w:val="24"/>
          <w:lang w:val="en-GB"/>
        </w:rPr>
        <w:t xml:space="preserve"> Besides, in para. 21.1, the Court decides that “in </w:t>
      </w:r>
      <w:r w:rsidR="0086663A" w:rsidRPr="0086663A">
        <w:rPr>
          <w:rFonts w:ascii="Times New Roman" w:hAnsi="Times New Roman"/>
          <w:sz w:val="24"/>
          <w:szCs w:val="24"/>
          <w:lang w:val="en-GB"/>
        </w:rPr>
        <w:t>Latvi</w:t>
      </w:r>
      <w:r w:rsidR="0086663A">
        <w:rPr>
          <w:rFonts w:ascii="Times New Roman" w:hAnsi="Times New Roman"/>
          <w:sz w:val="24"/>
          <w:szCs w:val="24"/>
          <w:lang w:val="en-GB"/>
        </w:rPr>
        <w:t>a, pupils whose native language is a language other than the official one, are not in comparable circumstances with pupils whose native language is the official language”. This dangerous approach allows to whitewash many kinds of discrimination based on language.</w:t>
      </w:r>
    </w:p>
    <w:p w:rsidR="002D6DC9" w:rsidRDefault="002D6DC9" w:rsidP="000A65A7">
      <w:pPr>
        <w:spacing w:after="0" w:line="240" w:lineRule="auto"/>
        <w:jc w:val="both"/>
        <w:rPr>
          <w:rFonts w:ascii="Times New Roman" w:hAnsi="Times New Roman"/>
          <w:sz w:val="24"/>
          <w:szCs w:val="24"/>
          <w:lang w:val="en-GB"/>
        </w:rPr>
      </w:pPr>
    </w:p>
    <w:p w:rsidR="009219AE" w:rsidRDefault="009219AE" w:rsidP="000A65A7">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November </w:t>
      </w:r>
      <w:r w:rsidR="00941B3A">
        <w:rPr>
          <w:rFonts w:ascii="Times New Roman" w:hAnsi="Times New Roman"/>
          <w:sz w:val="24"/>
          <w:szCs w:val="24"/>
          <w:lang w:val="en-GB"/>
        </w:rPr>
        <w:t xml:space="preserve">13, </w:t>
      </w:r>
      <w:r>
        <w:rPr>
          <w:rFonts w:ascii="Times New Roman" w:hAnsi="Times New Roman"/>
          <w:sz w:val="24"/>
          <w:szCs w:val="24"/>
          <w:lang w:val="en-GB"/>
        </w:rPr>
        <w:t>2019</w:t>
      </w:r>
      <w:r w:rsidR="00941B3A">
        <w:rPr>
          <w:rFonts w:ascii="Times New Roman" w:hAnsi="Times New Roman"/>
          <w:sz w:val="24"/>
          <w:szCs w:val="24"/>
          <w:lang w:val="en-GB"/>
        </w:rPr>
        <w:t xml:space="preserve"> </w:t>
      </w:r>
      <w:r w:rsidR="00941B3A" w:rsidRPr="00941B3A">
        <w:rPr>
          <w:rFonts w:ascii="Times New Roman" w:hAnsi="Times New Roman"/>
          <w:sz w:val="24"/>
          <w:szCs w:val="24"/>
          <w:lang w:val="en-GB"/>
        </w:rPr>
        <w:t>- the Constitutional Court delivers a judgment on the language</w:t>
      </w:r>
      <w:r w:rsidR="0014368B">
        <w:rPr>
          <w:rFonts w:ascii="Times New Roman" w:hAnsi="Times New Roman"/>
          <w:sz w:val="24"/>
          <w:szCs w:val="24"/>
          <w:lang w:val="en-GB"/>
        </w:rPr>
        <w:t xml:space="preserve"> use</w:t>
      </w:r>
      <w:r w:rsidR="00941B3A" w:rsidRPr="00941B3A">
        <w:rPr>
          <w:rFonts w:ascii="Times New Roman" w:hAnsi="Times New Roman"/>
          <w:sz w:val="24"/>
          <w:szCs w:val="24"/>
          <w:lang w:val="en-GB"/>
        </w:rPr>
        <w:t xml:space="preserve"> restrictions for private </w:t>
      </w:r>
      <w:r w:rsidR="00941B3A">
        <w:rPr>
          <w:rFonts w:ascii="Times New Roman" w:hAnsi="Times New Roman"/>
          <w:sz w:val="24"/>
          <w:szCs w:val="24"/>
          <w:lang w:val="en-GB"/>
        </w:rPr>
        <w:t xml:space="preserve">schools, in the case No. </w:t>
      </w:r>
      <w:r w:rsidR="00941B3A" w:rsidRPr="00941B3A">
        <w:rPr>
          <w:rFonts w:ascii="Times New Roman" w:hAnsi="Times New Roman"/>
          <w:sz w:val="24"/>
          <w:szCs w:val="24"/>
          <w:lang w:val="en-GB"/>
        </w:rPr>
        <w:t>2018-22-01</w:t>
      </w:r>
      <w:r w:rsidR="00941B3A">
        <w:rPr>
          <w:rFonts w:ascii="Times New Roman" w:hAnsi="Times New Roman"/>
          <w:sz w:val="24"/>
          <w:szCs w:val="24"/>
          <w:lang w:val="en-GB"/>
        </w:rPr>
        <w:t>. The Court finds the restrictions constitutional – same as it did in April with the same restrictions as concerned public schools. A difference is that in the case of private schools, two judges submit separate opinions.</w:t>
      </w:r>
      <w:r w:rsidR="00941B3A">
        <w:rPr>
          <w:rStyle w:val="FootnoteReference"/>
          <w:rFonts w:ascii="Times New Roman" w:hAnsi="Times New Roman"/>
          <w:sz w:val="24"/>
          <w:szCs w:val="24"/>
          <w:lang w:val="en-GB"/>
        </w:rPr>
        <w:footnoteReference w:id="38"/>
      </w:r>
      <w:r w:rsidR="0014368B">
        <w:rPr>
          <w:rFonts w:ascii="Times New Roman" w:hAnsi="Times New Roman"/>
          <w:sz w:val="24"/>
          <w:szCs w:val="24"/>
          <w:lang w:val="en-GB"/>
        </w:rPr>
        <w:t xml:space="preserve"> </w:t>
      </w:r>
      <w:r>
        <w:rPr>
          <w:rFonts w:ascii="Times New Roman" w:hAnsi="Times New Roman"/>
          <w:sz w:val="24"/>
          <w:szCs w:val="24"/>
          <w:lang w:val="en-GB"/>
        </w:rPr>
        <w:t xml:space="preserve">An English translation of the </w:t>
      </w:r>
      <w:r w:rsidR="0014368B">
        <w:rPr>
          <w:rFonts w:ascii="Times New Roman" w:hAnsi="Times New Roman"/>
          <w:sz w:val="24"/>
          <w:szCs w:val="24"/>
          <w:lang w:val="en-GB"/>
        </w:rPr>
        <w:t xml:space="preserve">private schools </w:t>
      </w:r>
      <w:r>
        <w:rPr>
          <w:rFonts w:ascii="Times New Roman" w:hAnsi="Times New Roman"/>
          <w:sz w:val="24"/>
          <w:szCs w:val="24"/>
          <w:lang w:val="en-GB"/>
        </w:rPr>
        <w:t xml:space="preserve">judgment has been published </w:t>
      </w:r>
      <w:r w:rsidR="00F74087">
        <w:rPr>
          <w:rFonts w:ascii="Times New Roman" w:hAnsi="Times New Roman"/>
          <w:sz w:val="24"/>
          <w:szCs w:val="24"/>
          <w:lang w:val="en-GB"/>
        </w:rPr>
        <w:t>in spring 2020.</w:t>
      </w:r>
      <w:r w:rsidR="00941B3A">
        <w:rPr>
          <w:rStyle w:val="FootnoteReference"/>
          <w:rFonts w:ascii="Times New Roman" w:hAnsi="Times New Roman"/>
          <w:sz w:val="24"/>
          <w:szCs w:val="24"/>
          <w:lang w:val="en-GB"/>
        </w:rPr>
        <w:footnoteReference w:id="39"/>
      </w:r>
      <w:r w:rsidR="00941B3A">
        <w:rPr>
          <w:rFonts w:ascii="Times New Roman" w:hAnsi="Times New Roman"/>
          <w:sz w:val="24"/>
          <w:szCs w:val="24"/>
          <w:lang w:val="en-GB"/>
        </w:rPr>
        <w:t xml:space="preserve"> </w:t>
      </w:r>
    </w:p>
    <w:p w:rsidR="009219AE" w:rsidRDefault="009219AE" w:rsidP="000A65A7">
      <w:pPr>
        <w:spacing w:after="0" w:line="240" w:lineRule="auto"/>
        <w:jc w:val="both"/>
        <w:rPr>
          <w:rFonts w:ascii="Times New Roman" w:hAnsi="Times New Roman"/>
          <w:sz w:val="24"/>
          <w:szCs w:val="24"/>
          <w:lang w:val="en-GB"/>
        </w:rPr>
      </w:pPr>
    </w:p>
    <w:p w:rsidR="00D3239C" w:rsidRDefault="00D3239C" w:rsidP="000A65A7">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Over 130 complaints have been submitted by parents to the </w:t>
      </w:r>
      <w:r w:rsidRPr="00D3239C">
        <w:rPr>
          <w:rFonts w:ascii="Times New Roman" w:hAnsi="Times New Roman"/>
          <w:sz w:val="24"/>
          <w:szCs w:val="24"/>
          <w:lang w:val="en-GB"/>
        </w:rPr>
        <w:t>E</w:t>
      </w:r>
      <w:r>
        <w:rPr>
          <w:rFonts w:ascii="Times New Roman" w:hAnsi="Times New Roman"/>
          <w:sz w:val="24"/>
          <w:szCs w:val="24"/>
          <w:lang w:val="en-GB"/>
        </w:rPr>
        <w:t xml:space="preserve">uropean </w:t>
      </w:r>
      <w:r w:rsidRPr="00D3239C">
        <w:rPr>
          <w:rFonts w:ascii="Times New Roman" w:hAnsi="Times New Roman"/>
          <w:sz w:val="24"/>
          <w:szCs w:val="24"/>
          <w:lang w:val="en-GB"/>
        </w:rPr>
        <w:t>C</w:t>
      </w:r>
      <w:r>
        <w:rPr>
          <w:rFonts w:ascii="Times New Roman" w:hAnsi="Times New Roman"/>
          <w:sz w:val="24"/>
          <w:szCs w:val="24"/>
          <w:lang w:val="en-GB"/>
        </w:rPr>
        <w:t>our</w:t>
      </w:r>
      <w:r w:rsidRPr="00D3239C">
        <w:rPr>
          <w:rFonts w:ascii="Times New Roman" w:hAnsi="Times New Roman"/>
          <w:sz w:val="24"/>
          <w:szCs w:val="24"/>
          <w:lang w:val="en-GB"/>
        </w:rPr>
        <w:t>t</w:t>
      </w:r>
      <w:r>
        <w:rPr>
          <w:rFonts w:ascii="Times New Roman" w:hAnsi="Times New Roman"/>
          <w:sz w:val="24"/>
          <w:szCs w:val="24"/>
          <w:lang w:val="en-GB"/>
        </w:rPr>
        <w:t xml:space="preserve"> of </w:t>
      </w:r>
      <w:r w:rsidRPr="00D3239C">
        <w:rPr>
          <w:rFonts w:ascii="Times New Roman" w:hAnsi="Times New Roman"/>
          <w:sz w:val="24"/>
          <w:szCs w:val="24"/>
          <w:lang w:val="en-GB"/>
        </w:rPr>
        <w:t>H</w:t>
      </w:r>
      <w:r>
        <w:rPr>
          <w:rFonts w:ascii="Times New Roman" w:hAnsi="Times New Roman"/>
          <w:sz w:val="24"/>
          <w:szCs w:val="24"/>
          <w:lang w:val="en-GB"/>
        </w:rPr>
        <w:t xml:space="preserve">uman </w:t>
      </w:r>
      <w:r w:rsidRPr="00D3239C">
        <w:rPr>
          <w:rFonts w:ascii="Times New Roman" w:hAnsi="Times New Roman"/>
          <w:sz w:val="24"/>
          <w:szCs w:val="24"/>
          <w:lang w:val="en-GB"/>
        </w:rPr>
        <w:t>R</w:t>
      </w:r>
      <w:r>
        <w:rPr>
          <w:rFonts w:ascii="Times New Roman" w:hAnsi="Times New Roman"/>
          <w:sz w:val="24"/>
          <w:szCs w:val="24"/>
          <w:lang w:val="en-GB"/>
        </w:rPr>
        <w:t>ights</w:t>
      </w:r>
      <w:r w:rsidRPr="00D3239C">
        <w:rPr>
          <w:rFonts w:ascii="Times New Roman" w:hAnsi="Times New Roman"/>
          <w:sz w:val="24"/>
          <w:szCs w:val="24"/>
          <w:lang w:val="en-GB"/>
        </w:rPr>
        <w:t xml:space="preserve"> on public schools, with the assistance of </w:t>
      </w:r>
      <w:r>
        <w:rPr>
          <w:rFonts w:ascii="Times New Roman" w:hAnsi="Times New Roman"/>
          <w:sz w:val="24"/>
          <w:szCs w:val="24"/>
          <w:lang w:val="en-GB"/>
        </w:rPr>
        <w:t>our NGO</w:t>
      </w:r>
      <w:r w:rsidR="00A15A1D">
        <w:rPr>
          <w:rFonts w:ascii="Times New Roman" w:hAnsi="Times New Roman"/>
          <w:sz w:val="24"/>
          <w:szCs w:val="24"/>
          <w:lang w:val="en-GB"/>
        </w:rPr>
        <w:t xml:space="preserve"> (e.g. </w:t>
      </w:r>
      <w:r w:rsidR="00A15A1D" w:rsidRPr="00A15A1D">
        <w:rPr>
          <w:rFonts w:ascii="Times New Roman" w:hAnsi="Times New Roman"/>
          <w:i/>
          <w:sz w:val="24"/>
          <w:szCs w:val="24"/>
          <w:lang w:val="en-GB"/>
        </w:rPr>
        <w:t>Sohina v. Latvia</w:t>
      </w:r>
      <w:r w:rsidR="00A15A1D">
        <w:rPr>
          <w:rFonts w:ascii="Times New Roman" w:hAnsi="Times New Roman"/>
          <w:sz w:val="24"/>
          <w:szCs w:val="24"/>
          <w:lang w:val="en-GB"/>
        </w:rPr>
        <w:t xml:space="preserve">, </w:t>
      </w:r>
      <w:r w:rsidR="00A15A1D">
        <w:rPr>
          <w:rFonts w:ascii="Times New Roman" w:hAnsi="Times New Roman"/>
          <w:sz w:val="24"/>
          <w:szCs w:val="24"/>
          <w:lang w:val="lv-LV"/>
        </w:rPr>
        <w:t xml:space="preserve">application </w:t>
      </w:r>
      <w:r w:rsidR="00A15A1D">
        <w:rPr>
          <w:rFonts w:ascii="Times New Roman" w:hAnsi="Times New Roman"/>
          <w:sz w:val="24"/>
          <w:szCs w:val="24"/>
          <w:lang w:val="en-GB"/>
        </w:rPr>
        <w:t xml:space="preserve">No. </w:t>
      </w:r>
      <w:r w:rsidR="00A15A1D" w:rsidRPr="00A15A1D">
        <w:rPr>
          <w:rFonts w:ascii="Times New Roman" w:hAnsi="Times New Roman"/>
          <w:sz w:val="24"/>
          <w:szCs w:val="24"/>
          <w:lang w:val="en-GB"/>
        </w:rPr>
        <w:t>56996</w:t>
      </w:r>
      <w:r w:rsidR="00A15A1D">
        <w:rPr>
          <w:rFonts w:ascii="Times New Roman" w:hAnsi="Times New Roman"/>
          <w:sz w:val="24"/>
          <w:szCs w:val="24"/>
          <w:lang w:val="en-GB"/>
        </w:rPr>
        <w:t>/19)</w:t>
      </w:r>
      <w:r w:rsidRPr="00D3239C">
        <w:rPr>
          <w:rFonts w:ascii="Times New Roman" w:hAnsi="Times New Roman"/>
          <w:sz w:val="24"/>
          <w:szCs w:val="24"/>
          <w:lang w:val="en-GB"/>
        </w:rPr>
        <w:t>. Some have been submitted on private schools, without our assistance.</w:t>
      </w:r>
    </w:p>
    <w:p w:rsidR="00F422DE" w:rsidRDefault="00355398" w:rsidP="00355398">
      <w:pPr>
        <w:pStyle w:val="Heading3"/>
        <w:rPr>
          <w:rFonts w:eastAsia="Calibri"/>
          <w:lang w:val="lv-LV"/>
        </w:rPr>
      </w:pPr>
      <w:bookmarkStart w:id="9" w:name="_Toc49798600"/>
      <w:r>
        <w:rPr>
          <w:rFonts w:eastAsia="Calibri"/>
          <w:lang w:val="lv-LV"/>
        </w:rPr>
        <w:t>Minority tertiary education under attack</w:t>
      </w:r>
      <w:bookmarkEnd w:id="9"/>
    </w:p>
    <w:p w:rsidR="00355398" w:rsidRDefault="00355398" w:rsidP="00F422DE">
      <w:pPr>
        <w:spacing w:after="0" w:line="240" w:lineRule="auto"/>
        <w:jc w:val="both"/>
        <w:rPr>
          <w:rFonts w:ascii="Times New Roman" w:eastAsia="Calibri" w:hAnsi="Times New Roman" w:cs="Times New Roman"/>
          <w:sz w:val="24"/>
          <w:szCs w:val="24"/>
          <w:lang w:val="lv-LV"/>
        </w:rPr>
      </w:pPr>
    </w:p>
    <w:p w:rsidR="00D3239C" w:rsidRDefault="00D3239C" w:rsidP="00F422DE">
      <w:pPr>
        <w:spacing w:after="0" w:line="240" w:lineRule="auto"/>
        <w:jc w:val="both"/>
        <w:rPr>
          <w:rFonts w:ascii="Times New Roman" w:eastAsia="Calibri" w:hAnsi="Times New Roman" w:cs="Times New Roman"/>
          <w:sz w:val="24"/>
          <w:szCs w:val="24"/>
          <w:lang w:val="lv-LV"/>
        </w:rPr>
      </w:pPr>
      <w:r w:rsidRPr="00D3239C">
        <w:rPr>
          <w:rFonts w:ascii="Times New Roman" w:eastAsia="Calibri" w:hAnsi="Times New Roman" w:cs="Times New Roman"/>
          <w:sz w:val="24"/>
          <w:szCs w:val="24"/>
          <w:lang w:val="lv-LV"/>
        </w:rPr>
        <w:t>Amendments of 21.06.2018 to the Law on Institutions of Higher Education. Instruction in Latvian</w:t>
      </w:r>
      <w:r>
        <w:rPr>
          <w:rFonts w:ascii="Times New Roman" w:eastAsia="Calibri" w:hAnsi="Times New Roman" w:cs="Times New Roman"/>
          <w:sz w:val="24"/>
          <w:szCs w:val="24"/>
          <w:lang w:val="lv-LV"/>
        </w:rPr>
        <w:t xml:space="preserve"> only is introduced for private sector</w:t>
      </w:r>
      <w:r w:rsidRPr="00D3239C">
        <w:rPr>
          <w:rFonts w:ascii="Times New Roman" w:eastAsia="Calibri" w:hAnsi="Times New Roman" w:cs="Times New Roman"/>
          <w:sz w:val="24"/>
          <w:szCs w:val="24"/>
          <w:lang w:val="lv-LV"/>
        </w:rPr>
        <w:t>, with exceptions for EU official languages and philology (same restrictions as long applied for most public tertiary education)</w:t>
      </w:r>
      <w:r>
        <w:rPr>
          <w:rFonts w:ascii="Times New Roman" w:eastAsia="Calibri" w:hAnsi="Times New Roman" w:cs="Times New Roman"/>
          <w:sz w:val="24"/>
          <w:szCs w:val="24"/>
          <w:lang w:val="lv-LV"/>
        </w:rPr>
        <w:t xml:space="preserve">. </w:t>
      </w:r>
      <w:r w:rsidRPr="00D3239C">
        <w:rPr>
          <w:rFonts w:ascii="Times New Roman" w:eastAsia="Calibri" w:hAnsi="Times New Roman" w:cs="Times New Roman"/>
          <w:sz w:val="24"/>
          <w:szCs w:val="24"/>
          <w:lang w:val="lv-LV"/>
        </w:rPr>
        <w:t>Entry into force is planned for 2019-202</w:t>
      </w:r>
      <w:r>
        <w:rPr>
          <w:rFonts w:ascii="Times New Roman" w:eastAsia="Calibri" w:hAnsi="Times New Roman" w:cs="Times New Roman"/>
          <w:sz w:val="24"/>
          <w:szCs w:val="24"/>
          <w:lang w:val="lv-LV"/>
        </w:rPr>
        <w:t>2</w:t>
      </w:r>
      <w:r w:rsidRPr="00D3239C">
        <w:rPr>
          <w:rFonts w:ascii="Times New Roman" w:eastAsia="Calibri" w:hAnsi="Times New Roman" w:cs="Times New Roman"/>
          <w:sz w:val="24"/>
          <w:szCs w:val="24"/>
          <w:lang w:val="lv-LV"/>
        </w:rPr>
        <w:t>.</w:t>
      </w:r>
    </w:p>
    <w:p w:rsidR="00D3239C" w:rsidRDefault="00D3239C" w:rsidP="00F422DE">
      <w:pPr>
        <w:spacing w:after="0" w:line="240" w:lineRule="auto"/>
        <w:jc w:val="both"/>
        <w:rPr>
          <w:rFonts w:ascii="Times New Roman" w:eastAsia="Calibri" w:hAnsi="Times New Roman" w:cs="Times New Roman"/>
          <w:sz w:val="24"/>
          <w:szCs w:val="24"/>
          <w:lang w:val="lv-LV"/>
        </w:rPr>
      </w:pPr>
    </w:p>
    <w:p w:rsidR="00D3239C" w:rsidRDefault="00D3239C" w:rsidP="00F422DE">
      <w:pPr>
        <w:spacing w:after="0" w:line="240" w:lineRule="auto"/>
        <w:jc w:val="both"/>
        <w:rPr>
          <w:rFonts w:ascii="Times New Roman" w:eastAsia="Calibri" w:hAnsi="Times New Roman" w:cs="Times New Roman"/>
          <w:sz w:val="24"/>
          <w:szCs w:val="24"/>
          <w:lang w:val="lv-LV"/>
        </w:rPr>
      </w:pPr>
      <w:r>
        <w:rPr>
          <w:rFonts w:ascii="Times New Roman" w:hAnsi="Times New Roman"/>
          <w:sz w:val="24"/>
          <w:szCs w:val="24"/>
          <w:lang w:val="lv-LV"/>
        </w:rPr>
        <w:t xml:space="preserve">Several international human rights organisations criticize the amendments, including the issue of discrimination: </w:t>
      </w:r>
      <w:r w:rsidRPr="00D3239C">
        <w:rPr>
          <w:rFonts w:ascii="Times New Roman" w:hAnsi="Times New Roman"/>
          <w:sz w:val="24"/>
          <w:szCs w:val="24"/>
          <w:lang w:val="lv-LV"/>
        </w:rPr>
        <w:t>three UN Special Rapporteurs</w:t>
      </w:r>
      <w:r>
        <w:rPr>
          <w:rStyle w:val="FootnoteReference"/>
          <w:rFonts w:ascii="Times New Roman" w:hAnsi="Times New Roman"/>
          <w:sz w:val="24"/>
          <w:szCs w:val="24"/>
          <w:lang w:val="lv-LV"/>
        </w:rPr>
        <w:footnoteReference w:id="40"/>
      </w:r>
      <w:r>
        <w:rPr>
          <w:rFonts w:ascii="Times New Roman" w:hAnsi="Times New Roman"/>
          <w:sz w:val="24"/>
          <w:szCs w:val="24"/>
          <w:lang w:val="lv-LV"/>
        </w:rPr>
        <w:t xml:space="preserve"> and Council of Europe’s Venice Commission.</w:t>
      </w:r>
      <w:r>
        <w:rPr>
          <w:rStyle w:val="FootnoteReference"/>
          <w:rFonts w:ascii="Times New Roman" w:hAnsi="Times New Roman"/>
          <w:sz w:val="24"/>
          <w:szCs w:val="24"/>
          <w:lang w:val="lv-LV"/>
        </w:rPr>
        <w:footnoteReference w:id="41"/>
      </w:r>
    </w:p>
    <w:p w:rsidR="00D3239C" w:rsidRPr="00F422DE" w:rsidRDefault="00D3239C" w:rsidP="00F422DE">
      <w:pPr>
        <w:spacing w:after="0" w:line="240" w:lineRule="auto"/>
        <w:jc w:val="both"/>
        <w:rPr>
          <w:rFonts w:ascii="Times New Roman" w:eastAsia="Calibri" w:hAnsi="Times New Roman" w:cs="Times New Roman"/>
          <w:sz w:val="24"/>
          <w:szCs w:val="24"/>
          <w:lang w:val="lv-LV"/>
        </w:rPr>
      </w:pPr>
    </w:p>
    <w:p w:rsidR="00F422DE" w:rsidRPr="00F422DE" w:rsidRDefault="00F422DE" w:rsidP="00F422DE">
      <w:pPr>
        <w:spacing w:after="0" w:line="240" w:lineRule="auto"/>
        <w:jc w:val="both"/>
        <w:rPr>
          <w:rFonts w:ascii="Times New Roman" w:eastAsia="Calibri" w:hAnsi="Times New Roman" w:cs="Times New Roman"/>
          <w:sz w:val="24"/>
          <w:szCs w:val="24"/>
          <w:lang w:val="en-GB"/>
        </w:rPr>
      </w:pPr>
      <w:r w:rsidRPr="00F422DE">
        <w:rPr>
          <w:rFonts w:ascii="Times New Roman" w:eastAsia="Calibri" w:hAnsi="Times New Roman" w:cs="Times New Roman"/>
          <w:sz w:val="24"/>
          <w:szCs w:val="24"/>
          <w:lang w:val="lv-LV"/>
        </w:rPr>
        <w:t>June 11</w:t>
      </w:r>
      <w:r w:rsidR="009219AE">
        <w:rPr>
          <w:rFonts w:ascii="Times New Roman" w:eastAsia="Calibri" w:hAnsi="Times New Roman" w:cs="Times New Roman"/>
          <w:sz w:val="24"/>
          <w:szCs w:val="24"/>
          <w:lang w:val="lv-LV"/>
        </w:rPr>
        <w:t>, 2020</w:t>
      </w:r>
      <w:r w:rsidRPr="00F422DE">
        <w:rPr>
          <w:rFonts w:ascii="Times New Roman" w:eastAsia="Calibri" w:hAnsi="Times New Roman" w:cs="Times New Roman"/>
          <w:sz w:val="24"/>
          <w:szCs w:val="24"/>
          <w:lang w:val="lv-LV"/>
        </w:rPr>
        <w:t xml:space="preserve"> - the Constitutional Court delivers a judgment on the language restrictions for private institutions of tertiary </w:t>
      </w:r>
      <w:r w:rsidR="002D6DC9">
        <w:rPr>
          <w:rFonts w:ascii="Times New Roman" w:eastAsia="Calibri" w:hAnsi="Times New Roman" w:cs="Times New Roman"/>
          <w:sz w:val="24"/>
          <w:szCs w:val="24"/>
          <w:lang w:val="lv-LV"/>
        </w:rPr>
        <w:t>education (case No. 2019-12-01)</w:t>
      </w:r>
      <w:r w:rsidRPr="00F422DE">
        <w:rPr>
          <w:rFonts w:ascii="Times New Roman" w:eastAsia="Calibri" w:hAnsi="Times New Roman" w:cs="Times New Roman"/>
          <w:sz w:val="24"/>
          <w:szCs w:val="24"/>
          <w:lang w:val="lv-LV"/>
        </w:rPr>
        <w:t>. The restrictions are found to be unconstitutional</w:t>
      </w:r>
      <w:r w:rsidR="00941B3A">
        <w:rPr>
          <w:rFonts w:ascii="Times New Roman" w:eastAsia="Calibri" w:hAnsi="Times New Roman" w:cs="Times New Roman"/>
          <w:sz w:val="24"/>
          <w:szCs w:val="24"/>
          <w:lang w:val="lv-LV"/>
        </w:rPr>
        <w:t xml:space="preserve"> </w:t>
      </w:r>
      <w:r w:rsidR="00941B3A" w:rsidRPr="00941B3A">
        <w:rPr>
          <w:rFonts w:ascii="Times New Roman" w:eastAsia="Calibri" w:hAnsi="Times New Roman" w:cs="Times New Roman"/>
          <w:sz w:val="24"/>
          <w:szCs w:val="24"/>
          <w:lang w:val="lv-LV"/>
        </w:rPr>
        <w:t>- based on the right to education and academic freedoms</w:t>
      </w:r>
      <w:r w:rsidRPr="00F422DE">
        <w:rPr>
          <w:rFonts w:ascii="Times New Roman" w:eastAsia="Calibri" w:hAnsi="Times New Roman" w:cs="Times New Roman"/>
          <w:sz w:val="24"/>
          <w:szCs w:val="24"/>
          <w:lang w:val="lv-LV"/>
        </w:rPr>
        <w:t>. However, they are left in force until May 1, 2021, to give the Parliament a time to elaborate new regulation</w:t>
      </w:r>
      <w:r w:rsidR="00D3239C">
        <w:rPr>
          <w:rFonts w:ascii="Times New Roman" w:eastAsia="Calibri" w:hAnsi="Times New Roman" w:cs="Times New Roman"/>
          <w:sz w:val="24"/>
          <w:szCs w:val="24"/>
          <w:lang w:val="lv-LV"/>
        </w:rPr>
        <w:t>, the content of which is not prescribed in any detail</w:t>
      </w:r>
      <w:r w:rsidRPr="00F422DE">
        <w:rPr>
          <w:rFonts w:ascii="Times New Roman" w:eastAsia="Calibri" w:hAnsi="Times New Roman" w:cs="Times New Roman"/>
          <w:sz w:val="24"/>
          <w:szCs w:val="24"/>
          <w:lang w:val="lv-LV"/>
        </w:rPr>
        <w:t>.</w:t>
      </w:r>
      <w:r w:rsidRPr="00F422DE">
        <w:rPr>
          <w:rFonts w:ascii="Times New Roman" w:eastAsia="Calibri" w:hAnsi="Times New Roman" w:cs="Times New Roman"/>
          <w:sz w:val="24"/>
          <w:szCs w:val="24"/>
          <w:vertAlign w:val="superscript"/>
          <w:lang w:val="lv-LV"/>
        </w:rPr>
        <w:footnoteReference w:id="42"/>
      </w:r>
      <w:r w:rsidRPr="00F422DE">
        <w:rPr>
          <w:rFonts w:ascii="Times New Roman" w:eastAsia="Calibri" w:hAnsi="Times New Roman" w:cs="Times New Roman"/>
          <w:sz w:val="24"/>
          <w:szCs w:val="24"/>
          <w:lang w:val="lv-LV"/>
        </w:rPr>
        <w:t xml:space="preserve"> </w:t>
      </w:r>
      <w:r w:rsidR="00D3239C">
        <w:rPr>
          <w:rFonts w:ascii="Times New Roman" w:eastAsia="Calibri" w:hAnsi="Times New Roman" w:cs="Times New Roman"/>
          <w:sz w:val="24"/>
          <w:szCs w:val="24"/>
          <w:lang w:val="lv-LV"/>
        </w:rPr>
        <w:t>Besides</w:t>
      </w:r>
      <w:r w:rsidRPr="00F422DE">
        <w:rPr>
          <w:rFonts w:ascii="Times New Roman" w:eastAsia="Calibri" w:hAnsi="Times New Roman" w:cs="Times New Roman"/>
          <w:sz w:val="24"/>
          <w:szCs w:val="24"/>
          <w:lang w:val="lv-LV"/>
        </w:rPr>
        <w:t>, the Constitutional Court decides to apply to the European Court of Justice on the issue of property rights.</w:t>
      </w:r>
      <w:r w:rsidRPr="00F422DE">
        <w:rPr>
          <w:rFonts w:ascii="Times New Roman" w:eastAsia="Calibri" w:hAnsi="Times New Roman" w:cs="Times New Roman"/>
          <w:sz w:val="24"/>
          <w:szCs w:val="24"/>
          <w:vertAlign w:val="superscript"/>
          <w:lang w:val="lv-LV"/>
        </w:rPr>
        <w:footnoteReference w:id="43"/>
      </w:r>
    </w:p>
    <w:p w:rsidR="00F422DE" w:rsidRPr="00F422DE" w:rsidRDefault="00F422DE" w:rsidP="00F422DE">
      <w:pPr>
        <w:spacing w:after="0" w:line="240" w:lineRule="auto"/>
        <w:jc w:val="both"/>
        <w:rPr>
          <w:rFonts w:ascii="Times New Roman" w:eastAsia="Calibri" w:hAnsi="Times New Roman" w:cs="Times New Roman"/>
          <w:sz w:val="24"/>
          <w:szCs w:val="24"/>
          <w:lang w:val="en-GB"/>
        </w:rPr>
      </w:pPr>
    </w:p>
    <w:p w:rsidR="00F422DE" w:rsidRDefault="00D3239C" w:rsidP="007F4860">
      <w:pPr>
        <w:pStyle w:val="Heading3"/>
        <w:rPr>
          <w:rFonts w:eastAsia="Calibri"/>
          <w:lang w:val="lv-LV"/>
        </w:rPr>
      </w:pPr>
      <w:bookmarkStart w:id="10" w:name="_Toc49798601"/>
      <w:r>
        <w:rPr>
          <w:rFonts w:eastAsia="Calibri"/>
          <w:lang w:val="lv-LV"/>
        </w:rPr>
        <w:t>Minority kindergartens under attack</w:t>
      </w:r>
      <w:bookmarkEnd w:id="10"/>
    </w:p>
    <w:p w:rsidR="00D3239C" w:rsidRDefault="00D3239C" w:rsidP="00F422DE">
      <w:pPr>
        <w:spacing w:after="0" w:line="240" w:lineRule="auto"/>
        <w:jc w:val="both"/>
        <w:rPr>
          <w:rFonts w:ascii="Times New Roman" w:eastAsia="Calibri" w:hAnsi="Times New Roman" w:cs="Times New Roman"/>
          <w:sz w:val="24"/>
          <w:szCs w:val="24"/>
          <w:lang w:val="lv-LV"/>
        </w:rPr>
      </w:pPr>
    </w:p>
    <w:p w:rsidR="00D3239C" w:rsidRDefault="00D3239C" w:rsidP="00F422DE">
      <w:pPr>
        <w:spacing w:after="0" w:line="240" w:lineRule="auto"/>
        <w:jc w:val="both"/>
        <w:rPr>
          <w:rFonts w:ascii="Times New Roman" w:eastAsia="Calibri" w:hAnsi="Times New Roman" w:cs="Times New Roman"/>
          <w:sz w:val="24"/>
          <w:szCs w:val="24"/>
          <w:lang w:val="lv-LV"/>
        </w:rPr>
      </w:pPr>
      <w:r w:rsidRPr="00D3239C">
        <w:rPr>
          <w:rFonts w:ascii="Times New Roman" w:eastAsia="Calibri" w:hAnsi="Times New Roman" w:cs="Times New Roman"/>
          <w:sz w:val="24"/>
          <w:szCs w:val="24"/>
          <w:lang w:val="lv-LV"/>
        </w:rPr>
        <w:t>Cabinet Regulation No. 716 of 21.11.2018</w:t>
      </w:r>
      <w:r>
        <w:rPr>
          <w:rFonts w:ascii="Times New Roman" w:eastAsia="Calibri" w:hAnsi="Times New Roman" w:cs="Times New Roman"/>
          <w:sz w:val="24"/>
          <w:szCs w:val="24"/>
          <w:lang w:val="lv-LV"/>
        </w:rPr>
        <w:t xml:space="preserve"> provides for</w:t>
      </w:r>
      <w:r w:rsidRPr="00D3239C">
        <w:rPr>
          <w:rFonts w:ascii="Times New Roman" w:eastAsia="Calibri" w:hAnsi="Times New Roman" w:cs="Times New Roman"/>
          <w:sz w:val="24"/>
          <w:szCs w:val="24"/>
          <w:lang w:val="lv-LV"/>
        </w:rPr>
        <w:t xml:space="preserve"> Latvian as the main medium of instruction</w:t>
      </w:r>
      <w:r>
        <w:rPr>
          <w:rFonts w:ascii="Times New Roman" w:eastAsia="Calibri" w:hAnsi="Times New Roman" w:cs="Times New Roman"/>
          <w:sz w:val="24"/>
          <w:szCs w:val="24"/>
          <w:lang w:val="lv-LV"/>
        </w:rPr>
        <w:t xml:space="preserve"> for minority pre-schools</w:t>
      </w:r>
      <w:r w:rsidRPr="00D3239C">
        <w:rPr>
          <w:rFonts w:ascii="Times New Roman" w:eastAsia="Calibri" w:hAnsi="Times New Roman" w:cs="Times New Roman"/>
          <w:sz w:val="24"/>
          <w:szCs w:val="24"/>
          <w:lang w:val="lv-LV"/>
        </w:rPr>
        <w:t xml:space="preserve"> (except ethnocultural lessons)</w:t>
      </w:r>
      <w:r>
        <w:rPr>
          <w:rFonts w:ascii="Times New Roman" w:eastAsia="Calibri" w:hAnsi="Times New Roman" w:cs="Times New Roman"/>
          <w:sz w:val="24"/>
          <w:szCs w:val="24"/>
          <w:lang w:val="lv-LV"/>
        </w:rPr>
        <w:t xml:space="preserve"> since age of 5, instead of earlier general requirements of a bilingual approach.</w:t>
      </w:r>
      <w:r w:rsidR="00A452A6" w:rsidRPr="00A452A6">
        <w:rPr>
          <w:lang w:val="en-GB"/>
        </w:rPr>
        <w:t xml:space="preserve"> </w:t>
      </w:r>
      <w:r w:rsidR="00A452A6" w:rsidRPr="00A452A6">
        <w:rPr>
          <w:rFonts w:ascii="Times New Roman" w:hAnsi="Times New Roman" w:cs="Times New Roman"/>
          <w:sz w:val="24"/>
          <w:szCs w:val="24"/>
          <w:lang w:val="en-GB"/>
        </w:rPr>
        <w:t>The provisions e</w:t>
      </w:r>
      <w:r w:rsidR="00A452A6" w:rsidRPr="00A452A6">
        <w:rPr>
          <w:rFonts w:ascii="Times New Roman" w:eastAsia="Calibri" w:hAnsi="Times New Roman" w:cs="Times New Roman"/>
          <w:sz w:val="24"/>
          <w:szCs w:val="24"/>
          <w:lang w:val="lv-LV"/>
        </w:rPr>
        <w:t>n</w:t>
      </w:r>
      <w:r w:rsidR="00A452A6">
        <w:rPr>
          <w:rFonts w:ascii="Times New Roman" w:eastAsia="Calibri" w:hAnsi="Times New Roman" w:cs="Times New Roman"/>
          <w:sz w:val="24"/>
          <w:szCs w:val="24"/>
          <w:lang w:val="lv-LV"/>
        </w:rPr>
        <w:t>tered into force took place in 2019.</w:t>
      </w:r>
    </w:p>
    <w:p w:rsidR="00D3239C" w:rsidRDefault="00D3239C" w:rsidP="00F422DE">
      <w:pPr>
        <w:spacing w:after="0" w:line="240" w:lineRule="auto"/>
        <w:jc w:val="both"/>
        <w:rPr>
          <w:rFonts w:ascii="Times New Roman" w:eastAsia="Calibri" w:hAnsi="Times New Roman" w:cs="Times New Roman"/>
          <w:sz w:val="24"/>
          <w:szCs w:val="24"/>
          <w:lang w:val="lv-LV"/>
        </w:rPr>
      </w:pPr>
    </w:p>
    <w:p w:rsidR="00D3239C" w:rsidRDefault="00D3239C" w:rsidP="00F422DE">
      <w:pPr>
        <w:spacing w:after="0" w:line="240" w:lineRule="auto"/>
        <w:jc w:val="both"/>
        <w:rPr>
          <w:rFonts w:ascii="Times New Roman" w:eastAsia="Calibri" w:hAnsi="Times New Roman" w:cs="Times New Roman"/>
          <w:sz w:val="24"/>
          <w:szCs w:val="24"/>
          <w:lang w:val="lv-LV"/>
        </w:rPr>
      </w:pPr>
      <w:r>
        <w:rPr>
          <w:rFonts w:ascii="Times New Roman" w:hAnsi="Times New Roman"/>
          <w:sz w:val="24"/>
          <w:szCs w:val="24"/>
          <w:lang w:val="lv-LV"/>
        </w:rPr>
        <w:t>Several international human rights organisations criticize the move, invoking the issue of discrimination – the CERD</w:t>
      </w:r>
      <w:r>
        <w:rPr>
          <w:rStyle w:val="FootnoteReference"/>
          <w:rFonts w:ascii="Times New Roman" w:hAnsi="Times New Roman"/>
          <w:sz w:val="24"/>
          <w:szCs w:val="24"/>
          <w:lang w:val="lv-LV"/>
        </w:rPr>
        <w:footnoteReference w:id="44"/>
      </w:r>
      <w:r>
        <w:rPr>
          <w:rFonts w:ascii="Times New Roman" w:hAnsi="Times New Roman"/>
          <w:sz w:val="24"/>
          <w:szCs w:val="24"/>
          <w:lang w:val="lv-LV"/>
        </w:rPr>
        <w:t>, three UN Special Rapporteurs</w:t>
      </w:r>
      <w:r>
        <w:rPr>
          <w:rStyle w:val="FootnoteReference"/>
          <w:rFonts w:ascii="Times New Roman" w:hAnsi="Times New Roman"/>
          <w:sz w:val="24"/>
          <w:szCs w:val="24"/>
          <w:lang w:val="lv-LV"/>
        </w:rPr>
        <w:footnoteReference w:id="45"/>
      </w:r>
      <w:r>
        <w:rPr>
          <w:rFonts w:ascii="Times New Roman" w:hAnsi="Times New Roman"/>
          <w:sz w:val="24"/>
          <w:szCs w:val="24"/>
          <w:lang w:val="lv-LV"/>
        </w:rPr>
        <w:t xml:space="preserve">, </w:t>
      </w:r>
      <w:r w:rsidRPr="00D3239C">
        <w:rPr>
          <w:rFonts w:ascii="Times New Roman" w:hAnsi="Times New Roman"/>
          <w:sz w:val="24"/>
          <w:szCs w:val="24"/>
          <w:lang w:val="lv-LV"/>
        </w:rPr>
        <w:t>and Council of Europe’s Venice Commission</w:t>
      </w:r>
      <w:r>
        <w:rPr>
          <w:rFonts w:ascii="Times New Roman" w:hAnsi="Times New Roman"/>
          <w:sz w:val="24"/>
          <w:szCs w:val="24"/>
          <w:lang w:val="lv-LV"/>
        </w:rPr>
        <w:t>.</w:t>
      </w:r>
      <w:r w:rsidR="0009721C">
        <w:rPr>
          <w:rStyle w:val="FootnoteReference"/>
          <w:rFonts w:ascii="Times New Roman" w:hAnsi="Times New Roman"/>
          <w:sz w:val="24"/>
          <w:szCs w:val="24"/>
          <w:lang w:val="lv-LV"/>
        </w:rPr>
        <w:footnoteReference w:id="46"/>
      </w:r>
    </w:p>
    <w:p w:rsidR="00D3239C" w:rsidRPr="00F422DE" w:rsidRDefault="00D3239C" w:rsidP="00F422DE">
      <w:pPr>
        <w:spacing w:after="0" w:line="240" w:lineRule="auto"/>
        <w:jc w:val="both"/>
        <w:rPr>
          <w:rFonts w:ascii="Times New Roman" w:eastAsia="Calibri" w:hAnsi="Times New Roman" w:cs="Times New Roman"/>
          <w:sz w:val="24"/>
          <w:szCs w:val="24"/>
          <w:lang w:val="lv-LV"/>
        </w:rPr>
      </w:pPr>
    </w:p>
    <w:p w:rsidR="00F422DE" w:rsidRPr="00F422DE" w:rsidRDefault="00F422DE" w:rsidP="00F422DE">
      <w:pPr>
        <w:spacing w:after="0" w:line="240" w:lineRule="auto"/>
        <w:jc w:val="both"/>
        <w:rPr>
          <w:rFonts w:ascii="Times New Roman" w:eastAsia="Calibri" w:hAnsi="Times New Roman" w:cs="Times New Roman"/>
          <w:sz w:val="24"/>
          <w:szCs w:val="24"/>
          <w:lang w:val="lv-LV"/>
        </w:rPr>
      </w:pPr>
      <w:r w:rsidRPr="00F422DE">
        <w:rPr>
          <w:rFonts w:ascii="Times New Roman" w:eastAsia="Calibri" w:hAnsi="Times New Roman" w:cs="Times New Roman"/>
          <w:sz w:val="24"/>
          <w:szCs w:val="24"/>
          <w:lang w:val="lv-LV"/>
        </w:rPr>
        <w:t>June 19</w:t>
      </w:r>
      <w:r w:rsidR="009219AE">
        <w:rPr>
          <w:rFonts w:ascii="Times New Roman" w:eastAsia="Calibri" w:hAnsi="Times New Roman" w:cs="Times New Roman"/>
          <w:sz w:val="24"/>
          <w:szCs w:val="24"/>
          <w:lang w:val="lv-LV"/>
        </w:rPr>
        <w:t>, 2020</w:t>
      </w:r>
      <w:r w:rsidRPr="00F422DE">
        <w:rPr>
          <w:rFonts w:ascii="Times New Roman" w:eastAsia="Calibri" w:hAnsi="Times New Roman" w:cs="Times New Roman"/>
          <w:sz w:val="24"/>
          <w:szCs w:val="24"/>
          <w:lang w:val="lv-LV"/>
        </w:rPr>
        <w:t xml:space="preserve"> - the Constitutional Court delivers a judgment on the new language restrictions for kindergartens (case No. 2019-20-03)</w:t>
      </w:r>
      <w:r w:rsidRPr="00F422DE">
        <w:rPr>
          <w:rFonts w:ascii="Times New Roman" w:eastAsia="Calibri" w:hAnsi="Times New Roman" w:cs="Times New Roman"/>
          <w:sz w:val="24"/>
          <w:szCs w:val="24"/>
          <w:vertAlign w:val="superscript"/>
          <w:lang w:val="lv-LV"/>
        </w:rPr>
        <w:footnoteReference w:id="47"/>
      </w:r>
      <w:r w:rsidRPr="00F422DE">
        <w:rPr>
          <w:rFonts w:ascii="Times New Roman" w:eastAsia="Calibri" w:hAnsi="Times New Roman" w:cs="Times New Roman"/>
          <w:sz w:val="24"/>
          <w:szCs w:val="24"/>
          <w:lang w:val="lv-LV"/>
        </w:rPr>
        <w:t>.</w:t>
      </w:r>
      <w:r w:rsidRPr="00F422DE">
        <w:rPr>
          <w:rFonts w:ascii="Calibri" w:eastAsia="Calibri" w:hAnsi="Calibri" w:cs="Times New Roman"/>
          <w:lang w:val="en-GB"/>
        </w:rPr>
        <w:t xml:space="preserve"> </w:t>
      </w:r>
      <w:r w:rsidRPr="00F422DE">
        <w:rPr>
          <w:rFonts w:ascii="Times New Roman" w:eastAsia="Calibri" w:hAnsi="Times New Roman" w:cs="Times New Roman"/>
          <w:sz w:val="24"/>
          <w:szCs w:val="24"/>
          <w:lang w:val="lv-LV"/>
        </w:rPr>
        <w:t>The restrictions are found to be constitutional. The applicants, supported by our Latvian Human Rights Committee, are planning to apply to the ECtHR. The following statements of the court deserve special attention</w:t>
      </w:r>
      <w:r w:rsidR="0014368B">
        <w:rPr>
          <w:rFonts w:ascii="Times New Roman" w:eastAsia="Calibri" w:hAnsi="Times New Roman" w:cs="Times New Roman"/>
          <w:sz w:val="24"/>
          <w:szCs w:val="24"/>
          <w:lang w:val="lv-LV"/>
        </w:rPr>
        <w:t>, as concerns disrespect to international expertise and narrow understanding of discrimination</w:t>
      </w:r>
      <w:r w:rsidRPr="00F422DE">
        <w:rPr>
          <w:rFonts w:ascii="Times New Roman" w:eastAsia="Calibri" w:hAnsi="Times New Roman" w:cs="Times New Roman"/>
          <w:sz w:val="24"/>
          <w:szCs w:val="24"/>
          <w:lang w:val="lv-LV"/>
        </w:rPr>
        <w:t>:</w:t>
      </w:r>
    </w:p>
    <w:p w:rsidR="00F422DE" w:rsidRPr="00F422DE" w:rsidRDefault="00F422DE" w:rsidP="00F422DE">
      <w:pPr>
        <w:spacing w:after="0" w:line="240" w:lineRule="auto"/>
        <w:jc w:val="both"/>
        <w:rPr>
          <w:rFonts w:ascii="Times New Roman" w:eastAsia="Calibri" w:hAnsi="Times New Roman" w:cs="Times New Roman"/>
          <w:sz w:val="24"/>
          <w:szCs w:val="24"/>
          <w:lang w:val="lv-LV"/>
        </w:rPr>
      </w:pPr>
    </w:p>
    <w:p w:rsidR="00F422DE" w:rsidRPr="00F422DE" w:rsidRDefault="00F422DE" w:rsidP="00F422DE">
      <w:pPr>
        <w:spacing w:after="0" w:line="240" w:lineRule="auto"/>
        <w:ind w:left="284"/>
        <w:jc w:val="both"/>
        <w:rPr>
          <w:rFonts w:ascii="Times New Roman" w:eastAsia="Calibri" w:hAnsi="Times New Roman" w:cs="Times New Roman"/>
          <w:i/>
          <w:sz w:val="24"/>
          <w:szCs w:val="24"/>
          <w:lang w:val="lv-LV"/>
        </w:rPr>
      </w:pPr>
      <w:r w:rsidRPr="00F422DE">
        <w:rPr>
          <w:rFonts w:ascii="Times New Roman" w:eastAsia="Calibri" w:hAnsi="Times New Roman" w:cs="Times New Roman"/>
          <w:i/>
          <w:sz w:val="24"/>
          <w:szCs w:val="24"/>
          <w:lang w:val="lv-LV"/>
        </w:rPr>
        <w:t>18.3. [..] The Constitutional Court concludes that it follows from the letters of the Committee on the Elimination of Racial Discrimination and Special Rapporteurs that those United Nations bodies did not have available, when elaborating those letters, a full information about the scope of the Regulation No. 716, which is being clarified in the present judgment. Those letters shall be considered as an invitation to dialogue between the Latvian government and the relevant United Nations bodies.</w:t>
      </w:r>
    </w:p>
    <w:p w:rsidR="00F422DE" w:rsidRPr="00F422DE" w:rsidRDefault="00F422DE" w:rsidP="00F422DE">
      <w:pPr>
        <w:spacing w:after="0" w:line="240" w:lineRule="auto"/>
        <w:ind w:left="284"/>
        <w:jc w:val="both"/>
        <w:rPr>
          <w:rFonts w:ascii="Times New Roman" w:eastAsia="Calibri" w:hAnsi="Times New Roman" w:cs="Times New Roman"/>
          <w:i/>
          <w:sz w:val="24"/>
          <w:szCs w:val="24"/>
          <w:lang w:val="lv-LV"/>
        </w:rPr>
      </w:pPr>
    </w:p>
    <w:p w:rsidR="00F422DE" w:rsidRPr="00F422DE" w:rsidRDefault="00F422DE" w:rsidP="00F422DE">
      <w:pPr>
        <w:spacing w:after="0" w:line="240" w:lineRule="auto"/>
        <w:ind w:left="284"/>
        <w:jc w:val="both"/>
        <w:rPr>
          <w:rFonts w:ascii="Times New Roman" w:eastAsia="Calibri" w:hAnsi="Times New Roman" w:cs="Times New Roman"/>
          <w:i/>
          <w:sz w:val="24"/>
          <w:szCs w:val="24"/>
          <w:lang w:val="lv-LV"/>
        </w:rPr>
      </w:pPr>
      <w:r w:rsidRPr="00F422DE">
        <w:rPr>
          <w:rFonts w:ascii="Times New Roman" w:eastAsia="Calibri" w:hAnsi="Times New Roman" w:cs="Times New Roman"/>
          <w:i/>
          <w:sz w:val="24"/>
          <w:szCs w:val="24"/>
          <w:lang w:val="lv-LV"/>
        </w:rPr>
        <w:t>[..]</w:t>
      </w:r>
    </w:p>
    <w:p w:rsidR="00F422DE" w:rsidRPr="00F422DE" w:rsidRDefault="00F422DE" w:rsidP="00F422DE">
      <w:pPr>
        <w:spacing w:after="0" w:line="240" w:lineRule="auto"/>
        <w:ind w:left="284"/>
        <w:jc w:val="both"/>
        <w:rPr>
          <w:rFonts w:ascii="Times New Roman" w:eastAsia="Calibri" w:hAnsi="Times New Roman" w:cs="Times New Roman"/>
          <w:i/>
          <w:sz w:val="24"/>
          <w:szCs w:val="24"/>
          <w:lang w:val="lv-LV"/>
        </w:rPr>
      </w:pPr>
    </w:p>
    <w:p w:rsidR="00F422DE" w:rsidRPr="00A452A6" w:rsidRDefault="00F422DE" w:rsidP="00F422DE">
      <w:pPr>
        <w:spacing w:after="0" w:line="240" w:lineRule="auto"/>
        <w:ind w:left="284"/>
        <w:jc w:val="both"/>
        <w:rPr>
          <w:rFonts w:ascii="Times New Roman" w:eastAsia="Calibri" w:hAnsi="Times New Roman" w:cs="Times New Roman"/>
          <w:i/>
          <w:color w:val="FF0000"/>
          <w:sz w:val="24"/>
          <w:szCs w:val="24"/>
          <w:lang w:val="lv-LV"/>
        </w:rPr>
      </w:pPr>
      <w:r w:rsidRPr="00485538">
        <w:rPr>
          <w:rFonts w:ascii="Times New Roman" w:eastAsia="Calibri" w:hAnsi="Times New Roman" w:cs="Times New Roman"/>
          <w:i/>
          <w:sz w:val="24"/>
          <w:szCs w:val="24"/>
          <w:lang w:val="lv-LV"/>
        </w:rPr>
        <w:t>21. [..] Thus, in the circumstances of the present case, educatees belonging to the constituent nation and educatees belonging to national minorities do not form comparable groups.</w:t>
      </w:r>
    </w:p>
    <w:p w:rsidR="00F422DE" w:rsidRPr="00A452A6" w:rsidRDefault="00F422DE" w:rsidP="00F422DE">
      <w:pPr>
        <w:spacing w:after="0" w:line="240" w:lineRule="auto"/>
        <w:jc w:val="both"/>
        <w:rPr>
          <w:rFonts w:ascii="Times New Roman" w:eastAsia="Calibri" w:hAnsi="Times New Roman" w:cs="Times New Roman"/>
          <w:color w:val="FF0000"/>
          <w:sz w:val="24"/>
          <w:szCs w:val="24"/>
          <w:lang w:val="lv-LV"/>
        </w:rPr>
      </w:pPr>
    </w:p>
    <w:p w:rsidR="00F422DE" w:rsidRDefault="00F422DE" w:rsidP="00F422DE">
      <w:pPr>
        <w:spacing w:after="0" w:line="240" w:lineRule="auto"/>
        <w:jc w:val="both"/>
        <w:rPr>
          <w:rFonts w:ascii="Times New Roman" w:eastAsia="Calibri" w:hAnsi="Times New Roman" w:cs="Times New Roman"/>
          <w:sz w:val="24"/>
          <w:szCs w:val="24"/>
          <w:lang w:val="lv-LV"/>
        </w:rPr>
      </w:pPr>
    </w:p>
    <w:p w:rsidR="00B94B3F" w:rsidRDefault="007F4860" w:rsidP="00F422DE">
      <w:pPr>
        <w:spacing w:after="0" w:line="240" w:lineRule="auto"/>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 xml:space="preserve">In addition, on </w:t>
      </w:r>
      <w:r w:rsidR="00F74087" w:rsidRPr="00F74087">
        <w:rPr>
          <w:rFonts w:ascii="Times New Roman" w:eastAsia="Calibri" w:hAnsi="Times New Roman" w:cs="Times New Roman"/>
          <w:sz w:val="24"/>
          <w:szCs w:val="24"/>
          <w:lang w:val="lv-LV"/>
        </w:rPr>
        <w:t>May 14</w:t>
      </w:r>
      <w:r w:rsidR="00ED5721">
        <w:rPr>
          <w:rFonts w:ascii="Times New Roman" w:eastAsia="Calibri" w:hAnsi="Times New Roman" w:cs="Times New Roman"/>
          <w:sz w:val="24"/>
          <w:szCs w:val="24"/>
          <w:lang w:val="lv-LV"/>
        </w:rPr>
        <w:t>,</w:t>
      </w:r>
      <w:r>
        <w:rPr>
          <w:rFonts w:ascii="Times New Roman" w:eastAsia="Calibri" w:hAnsi="Times New Roman" w:cs="Times New Roman"/>
          <w:sz w:val="24"/>
          <w:szCs w:val="24"/>
          <w:lang w:val="lv-LV"/>
        </w:rPr>
        <w:t xml:space="preserve"> 2020</w:t>
      </w:r>
      <w:r w:rsidR="00F74087" w:rsidRPr="00F74087">
        <w:rPr>
          <w:rFonts w:ascii="Times New Roman" w:eastAsia="Calibri" w:hAnsi="Times New Roman" w:cs="Times New Roman"/>
          <w:sz w:val="24"/>
          <w:szCs w:val="24"/>
          <w:lang w:val="lv-LV"/>
        </w:rPr>
        <w:t>, the parliament adopt</w:t>
      </w:r>
      <w:r>
        <w:rPr>
          <w:rFonts w:ascii="Times New Roman" w:eastAsia="Calibri" w:hAnsi="Times New Roman" w:cs="Times New Roman"/>
          <w:sz w:val="24"/>
          <w:szCs w:val="24"/>
          <w:lang w:val="lv-LV"/>
        </w:rPr>
        <w:t>ed</w:t>
      </w:r>
      <w:r w:rsidR="00F74087" w:rsidRPr="00F74087">
        <w:rPr>
          <w:rFonts w:ascii="Times New Roman" w:eastAsia="Calibri" w:hAnsi="Times New Roman" w:cs="Times New Roman"/>
          <w:sz w:val="24"/>
          <w:szCs w:val="24"/>
          <w:lang w:val="lv-LV"/>
        </w:rPr>
        <w:t xml:space="preserve"> amendments to the General Education Law prescribing all municipal kindergartens to provide an opportunity for learning in Latvian, starting from 2021.</w:t>
      </w:r>
      <w:r w:rsidR="00E873AA">
        <w:rPr>
          <w:rStyle w:val="FootnoteReference"/>
          <w:rFonts w:ascii="Times New Roman" w:eastAsia="Calibri" w:hAnsi="Times New Roman" w:cs="Times New Roman"/>
          <w:sz w:val="24"/>
          <w:szCs w:val="24"/>
          <w:lang w:val="lv-LV"/>
        </w:rPr>
        <w:footnoteReference w:id="48"/>
      </w:r>
      <w:r w:rsidR="00F74087" w:rsidRPr="00F74087">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 xml:space="preserve"> It was reported on </w:t>
      </w:r>
      <w:r w:rsidR="00B94B3F" w:rsidRPr="00B94B3F">
        <w:rPr>
          <w:rFonts w:ascii="Times New Roman" w:eastAsia="Calibri" w:hAnsi="Times New Roman" w:cs="Times New Roman"/>
          <w:sz w:val="24"/>
          <w:szCs w:val="24"/>
          <w:lang w:val="lv-LV"/>
        </w:rPr>
        <w:t>June 8, 2020</w:t>
      </w:r>
      <w:r>
        <w:rPr>
          <w:rFonts w:ascii="Times New Roman" w:eastAsia="Calibri" w:hAnsi="Times New Roman" w:cs="Times New Roman"/>
          <w:sz w:val="24"/>
          <w:szCs w:val="24"/>
          <w:lang w:val="lv-LV"/>
        </w:rPr>
        <w:t xml:space="preserve">, that, </w:t>
      </w:r>
      <w:r w:rsidR="00B94B3F" w:rsidRPr="00B94B3F">
        <w:rPr>
          <w:rFonts w:ascii="Times New Roman" w:eastAsia="Calibri" w:hAnsi="Times New Roman" w:cs="Times New Roman"/>
          <w:sz w:val="24"/>
          <w:szCs w:val="24"/>
          <w:lang w:val="lv-LV"/>
        </w:rPr>
        <w:t>as a result of the amendments in the General Education Law, Liepaja city education board predicts that two kindergartens will have to switch from Russian-language programme to a Latvian-language one, as they are too small to have both</w:t>
      </w:r>
      <w:r w:rsidR="00B94B3F">
        <w:rPr>
          <w:rFonts w:ascii="Times New Roman" w:eastAsia="Calibri" w:hAnsi="Times New Roman" w:cs="Times New Roman"/>
          <w:sz w:val="24"/>
          <w:szCs w:val="24"/>
          <w:lang w:val="lv-LV"/>
        </w:rPr>
        <w:t>.</w:t>
      </w:r>
      <w:r w:rsidR="00B94B3F">
        <w:rPr>
          <w:rStyle w:val="FootnoteReference"/>
          <w:rFonts w:ascii="Times New Roman" w:eastAsia="Calibri" w:hAnsi="Times New Roman" w:cs="Times New Roman"/>
          <w:sz w:val="24"/>
          <w:szCs w:val="24"/>
          <w:lang w:val="lv-LV"/>
        </w:rPr>
        <w:footnoteReference w:id="49"/>
      </w:r>
    </w:p>
    <w:p w:rsidR="007F4860" w:rsidRDefault="007F4860" w:rsidP="00F422DE">
      <w:pPr>
        <w:spacing w:after="0" w:line="240" w:lineRule="auto"/>
        <w:jc w:val="both"/>
        <w:rPr>
          <w:rFonts w:ascii="Times New Roman" w:eastAsia="Calibri" w:hAnsi="Times New Roman" w:cs="Times New Roman"/>
          <w:sz w:val="24"/>
          <w:szCs w:val="24"/>
          <w:lang w:val="lv-LV"/>
        </w:rPr>
      </w:pPr>
    </w:p>
    <w:p w:rsidR="007F4860" w:rsidRDefault="007F4860" w:rsidP="007F4860">
      <w:pPr>
        <w:spacing w:after="0" w:line="240" w:lineRule="auto"/>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These amendments have also met international criticism during their adoption process – the OSCE High Commissioner on National Minorities has shared his concerns with the parliament.</w:t>
      </w:r>
      <w:r>
        <w:rPr>
          <w:rStyle w:val="FootnoteReference"/>
          <w:rFonts w:ascii="Times New Roman" w:eastAsia="Calibri" w:hAnsi="Times New Roman" w:cs="Times New Roman"/>
          <w:sz w:val="24"/>
          <w:szCs w:val="24"/>
          <w:lang w:val="lv-LV"/>
        </w:rPr>
        <w:footnoteReference w:id="50"/>
      </w:r>
      <w:r>
        <w:rPr>
          <w:rFonts w:ascii="Times New Roman" w:eastAsia="Calibri" w:hAnsi="Times New Roman" w:cs="Times New Roman"/>
          <w:sz w:val="24"/>
          <w:szCs w:val="24"/>
          <w:lang w:val="lv-LV"/>
        </w:rPr>
        <w:t xml:space="preserve"> As a result, the wording of the amendment was slightly changed. Before, it spoke about a municipality’s “</w:t>
      </w:r>
      <w:r w:rsidRPr="007F4860">
        <w:rPr>
          <w:rFonts w:ascii="Times New Roman" w:eastAsia="Calibri" w:hAnsi="Times New Roman" w:cs="Times New Roman"/>
          <w:sz w:val="24"/>
          <w:szCs w:val="24"/>
          <w:lang w:val="lv-LV"/>
        </w:rPr>
        <w:t>duty to ensure acquisition of pre-school education programmes in the official language in all the pre-school educational institutions subordinated thereto</w:t>
      </w:r>
      <w:r>
        <w:rPr>
          <w:rFonts w:ascii="Times New Roman" w:eastAsia="Calibri" w:hAnsi="Times New Roman" w:cs="Times New Roman"/>
          <w:sz w:val="24"/>
          <w:szCs w:val="24"/>
          <w:lang w:val="lv-LV"/>
        </w:rPr>
        <w:t>”. Afterewards, it became “</w:t>
      </w:r>
      <w:r w:rsidRPr="007F4860">
        <w:rPr>
          <w:rFonts w:ascii="Times New Roman" w:eastAsia="Calibri" w:hAnsi="Times New Roman" w:cs="Times New Roman"/>
          <w:sz w:val="24"/>
          <w:szCs w:val="24"/>
          <w:lang w:val="lv-LV"/>
        </w:rPr>
        <w:t>duty to ensure an opportunity to acquire pre-school</w:t>
      </w:r>
      <w:r>
        <w:rPr>
          <w:rFonts w:ascii="Times New Roman" w:eastAsia="Calibri" w:hAnsi="Times New Roman" w:cs="Times New Roman"/>
          <w:sz w:val="24"/>
          <w:szCs w:val="24"/>
          <w:lang w:val="lv-LV"/>
        </w:rPr>
        <w:t xml:space="preserve"> </w:t>
      </w:r>
      <w:r w:rsidRPr="007F4860">
        <w:rPr>
          <w:rFonts w:ascii="Times New Roman" w:eastAsia="Calibri" w:hAnsi="Times New Roman" w:cs="Times New Roman"/>
          <w:sz w:val="24"/>
          <w:szCs w:val="24"/>
          <w:lang w:val="lv-LV"/>
        </w:rPr>
        <w:t>education programmes in the official language in all the pre-school</w:t>
      </w:r>
      <w:r>
        <w:rPr>
          <w:rFonts w:ascii="Times New Roman" w:eastAsia="Calibri" w:hAnsi="Times New Roman" w:cs="Times New Roman"/>
          <w:sz w:val="24"/>
          <w:szCs w:val="24"/>
          <w:lang w:val="lv-LV"/>
        </w:rPr>
        <w:t xml:space="preserve"> </w:t>
      </w:r>
      <w:r w:rsidRPr="007F4860">
        <w:rPr>
          <w:rFonts w:ascii="Times New Roman" w:eastAsia="Calibri" w:hAnsi="Times New Roman" w:cs="Times New Roman"/>
          <w:sz w:val="24"/>
          <w:szCs w:val="24"/>
          <w:lang w:val="lv-LV"/>
        </w:rPr>
        <w:t>educational institutions subordinated thereto</w:t>
      </w:r>
      <w:r>
        <w:rPr>
          <w:rFonts w:ascii="Times New Roman" w:eastAsia="Calibri" w:hAnsi="Times New Roman" w:cs="Times New Roman"/>
          <w:sz w:val="24"/>
          <w:szCs w:val="24"/>
          <w:lang w:val="lv-LV"/>
        </w:rPr>
        <w:t>”.</w:t>
      </w:r>
    </w:p>
    <w:p w:rsidR="00B94B3F" w:rsidRDefault="00B94B3F" w:rsidP="00F422DE">
      <w:pPr>
        <w:spacing w:after="0" w:line="240" w:lineRule="auto"/>
        <w:jc w:val="both"/>
        <w:rPr>
          <w:rFonts w:ascii="Times New Roman" w:eastAsia="Calibri" w:hAnsi="Times New Roman" w:cs="Times New Roman"/>
          <w:sz w:val="24"/>
          <w:szCs w:val="24"/>
          <w:lang w:val="lv-LV"/>
        </w:rPr>
      </w:pPr>
    </w:p>
    <w:p w:rsidR="00F422DE" w:rsidRDefault="00485538" w:rsidP="00485538">
      <w:pPr>
        <w:pStyle w:val="Heading3"/>
        <w:rPr>
          <w:lang w:val="en-GB"/>
        </w:rPr>
      </w:pPr>
      <w:bookmarkStart w:id="11" w:name="_Toc49798602"/>
      <w:r>
        <w:rPr>
          <w:lang w:val="en-GB"/>
        </w:rPr>
        <w:t>Reference on the minority education crisis in its whole</w:t>
      </w:r>
      <w:bookmarkEnd w:id="11"/>
    </w:p>
    <w:p w:rsidR="007F4860" w:rsidRDefault="007F4860" w:rsidP="000A65A7">
      <w:pPr>
        <w:spacing w:after="0" w:line="240" w:lineRule="auto"/>
        <w:jc w:val="both"/>
        <w:rPr>
          <w:rFonts w:ascii="Times New Roman" w:hAnsi="Times New Roman"/>
          <w:sz w:val="24"/>
          <w:szCs w:val="24"/>
          <w:lang w:val="en-GB"/>
        </w:rPr>
      </w:pPr>
    </w:p>
    <w:p w:rsidR="007F4860" w:rsidRDefault="007F4860" w:rsidP="007F4860">
      <w:pPr>
        <w:spacing w:after="0" w:line="240" w:lineRule="auto"/>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For an overview of 2018-2020 “reforms”, relevant international concerns and constitutional review cases, please see an updated table on the LHRC website</w:t>
      </w:r>
      <w:r>
        <w:rPr>
          <w:rStyle w:val="FootnoteReference"/>
          <w:rFonts w:ascii="Times New Roman" w:eastAsia="Calibri" w:hAnsi="Times New Roman" w:cs="Times New Roman"/>
          <w:sz w:val="24"/>
          <w:szCs w:val="24"/>
          <w:lang w:val="lv-LV"/>
        </w:rPr>
        <w:footnoteReference w:id="51"/>
      </w:r>
      <w:r>
        <w:rPr>
          <w:rFonts w:ascii="Times New Roman" w:eastAsia="Calibri" w:hAnsi="Times New Roman" w:cs="Times New Roman"/>
          <w:sz w:val="24"/>
          <w:szCs w:val="24"/>
          <w:lang w:val="lv-LV"/>
        </w:rPr>
        <w:t>.</w:t>
      </w:r>
    </w:p>
    <w:p w:rsidR="007F4860" w:rsidRPr="007F4860" w:rsidRDefault="007F4860" w:rsidP="000A65A7">
      <w:pPr>
        <w:spacing w:after="0" w:line="240" w:lineRule="auto"/>
        <w:jc w:val="both"/>
        <w:rPr>
          <w:rFonts w:ascii="Times New Roman" w:hAnsi="Times New Roman"/>
          <w:sz w:val="24"/>
          <w:szCs w:val="24"/>
          <w:lang w:val="lv-LV"/>
        </w:rPr>
      </w:pPr>
    </w:p>
    <w:p w:rsidR="00C416D1" w:rsidRPr="00AA7E9E" w:rsidRDefault="00C416D1" w:rsidP="000A65A7">
      <w:pPr>
        <w:spacing w:after="0" w:line="240" w:lineRule="auto"/>
        <w:jc w:val="both"/>
        <w:rPr>
          <w:rFonts w:ascii="Times New Roman" w:hAnsi="Times New Roman"/>
          <w:sz w:val="24"/>
          <w:szCs w:val="24"/>
          <w:lang w:val="en-GB"/>
        </w:rPr>
      </w:pPr>
    </w:p>
    <w:p w:rsidR="001B3C3E" w:rsidRPr="003147F2" w:rsidRDefault="003147F2" w:rsidP="000A65A7">
      <w:pPr>
        <w:spacing w:after="0" w:line="240" w:lineRule="auto"/>
        <w:jc w:val="both"/>
        <w:rPr>
          <w:rFonts w:ascii="Times New Roman" w:eastAsia="Calibri" w:hAnsi="Times New Roman" w:cs="Times New Roman"/>
          <w:sz w:val="24"/>
          <w:szCs w:val="24"/>
          <w:lang w:val="en-US"/>
        </w:rPr>
      </w:pPr>
      <w:r w:rsidRPr="003147F2">
        <w:rPr>
          <w:rFonts w:ascii="Times New Roman" w:eastAsia="Calibri" w:hAnsi="Times New Roman" w:cs="Times New Roman"/>
          <w:sz w:val="24"/>
          <w:szCs w:val="24"/>
          <w:lang w:val="en-US"/>
        </w:rPr>
        <w:t>Sincerely yours,</w:t>
      </w:r>
    </w:p>
    <w:p w:rsidR="00E315B0" w:rsidRDefault="00356E87" w:rsidP="00B7269C">
      <w:pPr>
        <w:spacing w:after="0" w:line="240" w:lineRule="auto"/>
        <w:rPr>
          <w:rFonts w:ascii="Times New Roman" w:hAnsi="Times New Roman" w:cs="Times New Roman"/>
          <w:sz w:val="24"/>
          <w:szCs w:val="24"/>
          <w:lang w:val="en-GB"/>
        </w:rPr>
      </w:pPr>
      <w:r w:rsidRPr="003147F2">
        <w:rPr>
          <w:rStyle w:val="Emphasis"/>
          <w:rFonts w:ascii="Times New Roman" w:hAnsi="Times New Roman" w:cs="Times New Roman"/>
          <w:sz w:val="24"/>
          <w:szCs w:val="24"/>
          <w:lang w:val="en-GB"/>
        </w:rPr>
        <w:tab/>
      </w:r>
      <w:r w:rsidRPr="003147F2">
        <w:rPr>
          <w:rStyle w:val="Emphasis"/>
          <w:rFonts w:ascii="Times New Roman" w:hAnsi="Times New Roman" w:cs="Times New Roman"/>
          <w:sz w:val="24"/>
          <w:szCs w:val="24"/>
          <w:lang w:val="en-GB"/>
        </w:rPr>
        <w:tab/>
      </w:r>
      <w:r w:rsidRPr="003147F2">
        <w:rPr>
          <w:rStyle w:val="Emphasis"/>
          <w:rFonts w:ascii="Times New Roman" w:hAnsi="Times New Roman" w:cs="Times New Roman"/>
          <w:sz w:val="24"/>
          <w:szCs w:val="24"/>
          <w:lang w:val="en-GB"/>
        </w:rPr>
        <w:tab/>
      </w:r>
      <w:r w:rsidRPr="003147F2">
        <w:rPr>
          <w:rStyle w:val="Emphasis"/>
          <w:rFonts w:ascii="Times New Roman" w:hAnsi="Times New Roman" w:cs="Times New Roman"/>
          <w:sz w:val="24"/>
          <w:szCs w:val="24"/>
          <w:lang w:val="en-GB"/>
        </w:rPr>
        <w:tab/>
      </w:r>
      <w:r w:rsidRPr="00EE18CE">
        <w:rPr>
          <w:rStyle w:val="Emphasis"/>
          <w:rFonts w:ascii="Times New Roman" w:hAnsi="Times New Roman" w:cs="Times New Roman"/>
          <w:sz w:val="24"/>
          <w:szCs w:val="24"/>
          <w:lang w:val="en-GB"/>
        </w:rPr>
        <w:tab/>
      </w:r>
      <w:r w:rsidRPr="00EE18CE">
        <w:rPr>
          <w:rStyle w:val="Emphasis"/>
          <w:rFonts w:ascii="Times New Roman" w:hAnsi="Times New Roman" w:cs="Times New Roman"/>
          <w:sz w:val="24"/>
          <w:szCs w:val="24"/>
          <w:lang w:val="en-GB"/>
        </w:rPr>
        <w:tab/>
      </w:r>
      <w:r w:rsidRPr="00EE18CE">
        <w:rPr>
          <w:rStyle w:val="Emphasis"/>
          <w:rFonts w:ascii="Times New Roman" w:hAnsi="Times New Roman" w:cs="Times New Roman"/>
          <w:sz w:val="24"/>
          <w:szCs w:val="24"/>
          <w:lang w:val="en-GB"/>
        </w:rPr>
        <w:tab/>
      </w:r>
      <w:r w:rsidRPr="00EE18CE">
        <w:rPr>
          <w:rFonts w:ascii="Times New Roman" w:hAnsi="Times New Roman" w:cs="Times New Roman"/>
          <w:sz w:val="24"/>
          <w:szCs w:val="24"/>
          <w:lang w:val="en-GB"/>
        </w:rPr>
        <w:t>Aleksandrs Kuzmins</w:t>
      </w:r>
      <w:r w:rsidR="00314B93" w:rsidRPr="00EE18CE">
        <w:rPr>
          <w:rFonts w:ascii="Times New Roman" w:hAnsi="Times New Roman" w:cs="Times New Roman"/>
          <w:sz w:val="24"/>
          <w:szCs w:val="24"/>
          <w:lang w:val="en-GB"/>
        </w:rPr>
        <w:t xml:space="preserve">, </w:t>
      </w:r>
      <w:r w:rsidRPr="00EE18CE">
        <w:rPr>
          <w:rFonts w:ascii="Times New Roman" w:hAnsi="Times New Roman" w:cs="Times New Roman"/>
          <w:sz w:val="24"/>
          <w:szCs w:val="24"/>
          <w:lang w:val="en-GB"/>
        </w:rPr>
        <w:t>secretary-executive</w:t>
      </w:r>
    </w:p>
    <w:sectPr w:rsidR="00E315B0" w:rsidSect="00AC67FD">
      <w:footerReference w:type="default" r:id="rId10"/>
      <w:endnotePr>
        <w:numFmt w:val="decimal"/>
      </w:endnotePr>
      <w:type w:val="continuous"/>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575" w:rsidRDefault="00E11575" w:rsidP="004206C9">
      <w:pPr>
        <w:spacing w:after="0" w:line="240" w:lineRule="auto"/>
      </w:pPr>
      <w:r>
        <w:separator/>
      </w:r>
    </w:p>
  </w:endnote>
  <w:endnote w:type="continuationSeparator" w:id="0">
    <w:p w:rsidR="00E11575" w:rsidRDefault="00E11575" w:rsidP="00420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3660443"/>
      <w:docPartObj>
        <w:docPartGallery w:val="Page Numbers (Bottom of Page)"/>
        <w:docPartUnique/>
      </w:docPartObj>
    </w:sdtPr>
    <w:sdtEndPr/>
    <w:sdtContent>
      <w:p w:rsidR="00485538" w:rsidRDefault="00485538">
        <w:pPr>
          <w:pStyle w:val="Footer"/>
          <w:jc w:val="right"/>
        </w:pPr>
        <w:r>
          <w:fldChar w:fldCharType="begin"/>
        </w:r>
        <w:r>
          <w:instrText>PAGE   \* MERGEFORMAT</w:instrText>
        </w:r>
        <w:r>
          <w:fldChar w:fldCharType="separate"/>
        </w:r>
        <w:r w:rsidR="008D2F57">
          <w:rPr>
            <w:noProof/>
          </w:rPr>
          <w:t>2</w:t>
        </w:r>
        <w:r>
          <w:fldChar w:fldCharType="end"/>
        </w:r>
      </w:p>
    </w:sdtContent>
  </w:sdt>
  <w:p w:rsidR="00485538" w:rsidRDefault="00485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575" w:rsidRDefault="00E11575" w:rsidP="004206C9">
      <w:pPr>
        <w:spacing w:after="0" w:line="240" w:lineRule="auto"/>
      </w:pPr>
      <w:r>
        <w:separator/>
      </w:r>
    </w:p>
  </w:footnote>
  <w:footnote w:type="continuationSeparator" w:id="0">
    <w:p w:rsidR="00E11575" w:rsidRDefault="00E11575" w:rsidP="004206C9">
      <w:pPr>
        <w:spacing w:after="0" w:line="240" w:lineRule="auto"/>
      </w:pPr>
      <w:r>
        <w:continuationSeparator/>
      </w:r>
    </w:p>
  </w:footnote>
  <w:footnote w:id="1">
    <w:p w:rsidR="00485538" w:rsidRPr="00225BAE" w:rsidRDefault="00485538">
      <w:pPr>
        <w:pStyle w:val="FootnoteText"/>
        <w:rPr>
          <w:lang w:val="lv-LV"/>
        </w:rPr>
      </w:pPr>
      <w:r>
        <w:rPr>
          <w:rStyle w:val="FootnoteReference"/>
        </w:rPr>
        <w:footnoteRef/>
      </w:r>
      <w:r>
        <w:t xml:space="preserve"> </w:t>
      </w:r>
      <w:hyperlink r:id="rId1" w:history="1">
        <w:r w:rsidRPr="00EB1024">
          <w:rPr>
            <w:rStyle w:val="Hyperlink"/>
          </w:rPr>
          <w:t>https://bnn-news.com/csp-women-in-latvia-earn-an-average-of-15-9-less-than-men-214534</w:t>
        </w:r>
      </w:hyperlink>
      <w:r>
        <w:rPr>
          <w:lang w:val="lv-LV"/>
        </w:rPr>
        <w:t xml:space="preserve"> </w:t>
      </w:r>
    </w:p>
  </w:footnote>
  <w:footnote w:id="2">
    <w:p w:rsidR="00485538" w:rsidRPr="00485538" w:rsidRDefault="00485538">
      <w:pPr>
        <w:pStyle w:val="FootnoteText"/>
        <w:rPr>
          <w:lang w:val="lv-LV"/>
        </w:rPr>
      </w:pPr>
      <w:r>
        <w:rPr>
          <w:rStyle w:val="FootnoteReference"/>
        </w:rPr>
        <w:footnoteRef/>
      </w:r>
      <w:r w:rsidRPr="00485538">
        <w:rPr>
          <w:lang w:val="lv-LV"/>
        </w:rPr>
        <w:t xml:space="preserve"> </w:t>
      </w:r>
      <w:hyperlink r:id="rId2" w:history="1">
        <w:r w:rsidRPr="003C3500">
          <w:rPr>
            <w:rStyle w:val="Hyperlink"/>
            <w:lang w:val="lv-LV"/>
          </w:rPr>
          <w:t>https://likumi.lv/ta/en/en/id/194735-regulations-regarding-the-extent-of-the-knowledge-of-the-official-language-the-procedures-for-examining-the-proficiency-in-the-official-language-and-the-state-fee-for-examining-the-proficiency-in-the-official-language</w:t>
        </w:r>
      </w:hyperlink>
      <w:r>
        <w:rPr>
          <w:lang w:val="lv-LV"/>
        </w:rPr>
        <w:t xml:space="preserve"> </w:t>
      </w:r>
    </w:p>
  </w:footnote>
  <w:footnote w:id="3">
    <w:p w:rsidR="00485538" w:rsidRPr="00D761D9" w:rsidRDefault="00485538">
      <w:pPr>
        <w:pStyle w:val="FootnoteText"/>
        <w:rPr>
          <w:lang w:val="en-GB"/>
        </w:rPr>
      </w:pPr>
      <w:r>
        <w:rPr>
          <w:rStyle w:val="FootnoteReference"/>
        </w:rPr>
        <w:footnoteRef/>
      </w:r>
      <w:r w:rsidRPr="00D761D9">
        <w:rPr>
          <w:lang w:val="en-GB"/>
        </w:rPr>
        <w:t xml:space="preserve"> CCPR/C/LVA/CO/3,</w:t>
      </w:r>
      <w:r>
        <w:rPr>
          <w:lang w:val="en-GB"/>
        </w:rPr>
        <w:t xml:space="preserve"> para. 7</w:t>
      </w:r>
    </w:p>
  </w:footnote>
  <w:footnote w:id="4">
    <w:p w:rsidR="00485538" w:rsidRPr="00BA66DD" w:rsidRDefault="00485538">
      <w:pPr>
        <w:pStyle w:val="FootnoteText"/>
        <w:rPr>
          <w:lang w:val="lv-LV"/>
        </w:rPr>
      </w:pPr>
      <w:r>
        <w:rPr>
          <w:rStyle w:val="FootnoteReference"/>
        </w:rPr>
        <w:footnoteRef/>
      </w:r>
      <w:r w:rsidRPr="00BA66DD">
        <w:rPr>
          <w:lang w:val="lv-LV"/>
        </w:rPr>
        <w:t xml:space="preserve"> CERD/C/LVA/CO/6-12</w:t>
      </w:r>
      <w:r>
        <w:rPr>
          <w:lang w:val="lv-LV"/>
        </w:rPr>
        <w:t xml:space="preserve"> paras. 16-17 </w:t>
      </w:r>
    </w:p>
  </w:footnote>
  <w:footnote w:id="5">
    <w:p w:rsidR="00485538" w:rsidRPr="00BA66DD" w:rsidRDefault="00485538">
      <w:pPr>
        <w:pStyle w:val="FootnoteText"/>
        <w:rPr>
          <w:lang w:val="lv-LV"/>
        </w:rPr>
      </w:pPr>
      <w:r>
        <w:rPr>
          <w:rStyle w:val="FootnoteReference"/>
        </w:rPr>
        <w:footnoteRef/>
      </w:r>
      <w:r w:rsidRPr="00BA66DD">
        <w:rPr>
          <w:lang w:val="lv-LV"/>
        </w:rPr>
        <w:t xml:space="preserve"> ACFC/OP/III(2018)001</w:t>
      </w:r>
      <w:r>
        <w:rPr>
          <w:lang w:val="lv-LV"/>
        </w:rPr>
        <w:t xml:space="preserve">, paras. 48-50 </w:t>
      </w:r>
      <w:hyperlink r:id="rId3" w:history="1">
        <w:r w:rsidRPr="00EB1024">
          <w:rPr>
            <w:rStyle w:val="Hyperlink"/>
            <w:lang w:val="lv-LV"/>
          </w:rPr>
          <w:t>https://rm.coe.int/revised-version-of-the-english-language-version-of-the-opinion/1680901e79</w:t>
        </w:r>
      </w:hyperlink>
      <w:r>
        <w:rPr>
          <w:lang w:val="lv-LV"/>
        </w:rPr>
        <w:t xml:space="preserve"> </w:t>
      </w:r>
    </w:p>
  </w:footnote>
  <w:footnote w:id="6">
    <w:p w:rsidR="00485538" w:rsidRPr="00BA66DD" w:rsidRDefault="00485538">
      <w:pPr>
        <w:pStyle w:val="FootnoteText"/>
        <w:rPr>
          <w:lang w:val="lv-LV"/>
        </w:rPr>
      </w:pPr>
      <w:r>
        <w:rPr>
          <w:rStyle w:val="FootnoteReference"/>
        </w:rPr>
        <w:footnoteRef/>
      </w:r>
      <w:r w:rsidRPr="00BA66DD">
        <w:rPr>
          <w:lang w:val="lv-LV"/>
        </w:rPr>
        <w:t xml:space="preserve"> </w:t>
      </w:r>
      <w:r>
        <w:rPr>
          <w:lang w:val="lv-LV"/>
        </w:rPr>
        <w:t>Observation on Latvia under ILO Convention No. 111</w:t>
      </w:r>
      <w:r w:rsidRPr="00BA66DD">
        <w:rPr>
          <w:lang w:val="lv-LV"/>
        </w:rPr>
        <w:t xml:space="preserve"> </w:t>
      </w:r>
      <w:hyperlink r:id="rId4" w:history="1">
        <w:r w:rsidRPr="00EB1024">
          <w:rPr>
            <w:rStyle w:val="Hyperlink"/>
            <w:lang w:val="lv-LV"/>
          </w:rPr>
          <w:t>http://www.ilo.org/dyn/normlex/en/f?p=1000:13100:0::NO:13100:P13100_COMMENT_ID:3340488</w:t>
        </w:r>
      </w:hyperlink>
      <w:r>
        <w:rPr>
          <w:lang w:val="lv-LV"/>
        </w:rPr>
        <w:t xml:space="preserve"> </w:t>
      </w:r>
    </w:p>
  </w:footnote>
  <w:footnote w:id="7">
    <w:p w:rsidR="00485538" w:rsidRPr="00256024" w:rsidRDefault="00485538">
      <w:pPr>
        <w:pStyle w:val="FootnoteText"/>
        <w:rPr>
          <w:lang w:val="lv-LV"/>
        </w:rPr>
      </w:pPr>
      <w:r>
        <w:rPr>
          <w:rStyle w:val="FootnoteReference"/>
        </w:rPr>
        <w:footnoteRef/>
      </w:r>
      <w:r w:rsidRPr="00256024">
        <w:rPr>
          <w:lang w:val="lv-LV"/>
        </w:rPr>
        <w:t xml:space="preserve"> </w:t>
      </w:r>
      <w:r>
        <w:rPr>
          <w:lang w:val="lv-LV"/>
        </w:rPr>
        <w:t xml:space="preserve">CRI(2012)3, paras. 62-66, </w:t>
      </w:r>
      <w:hyperlink r:id="rId5" w:history="1">
        <w:r w:rsidRPr="00EB1024">
          <w:rPr>
            <w:rStyle w:val="Hyperlink"/>
            <w:lang w:val="lv-LV"/>
          </w:rPr>
          <w:t>https://rm.coe.int/fourth-report-on-latvia/16808b58b6</w:t>
        </w:r>
      </w:hyperlink>
      <w:r>
        <w:rPr>
          <w:lang w:val="lv-LV"/>
        </w:rPr>
        <w:t xml:space="preserve"> </w:t>
      </w:r>
    </w:p>
  </w:footnote>
  <w:footnote w:id="8">
    <w:p w:rsidR="00485538" w:rsidRPr="00BA272B" w:rsidRDefault="00485538">
      <w:pPr>
        <w:pStyle w:val="FootnoteText"/>
        <w:rPr>
          <w:lang w:val="en-GB"/>
        </w:rPr>
      </w:pPr>
      <w:r>
        <w:rPr>
          <w:rStyle w:val="FootnoteReference"/>
        </w:rPr>
        <w:footnoteRef/>
      </w:r>
      <w:r w:rsidRPr="00BA272B">
        <w:rPr>
          <w:lang w:val="en-GB"/>
        </w:rPr>
        <w:t xml:space="preserve"> </w:t>
      </w:r>
      <w:r>
        <w:rPr>
          <w:lang w:val="en-GB"/>
        </w:rPr>
        <w:t>S</w:t>
      </w:r>
      <w:r w:rsidRPr="00BA272B">
        <w:rPr>
          <w:lang w:val="en-GB"/>
        </w:rPr>
        <w:t>tatement to the 868th Meeting of the OSCE Permanent Counci</w:t>
      </w:r>
      <w:r>
        <w:rPr>
          <w:lang w:val="en-GB"/>
        </w:rPr>
        <w:t xml:space="preserve">l, 2011. </w:t>
      </w:r>
      <w:hyperlink r:id="rId6" w:history="1">
        <w:r w:rsidRPr="00EB1024">
          <w:rPr>
            <w:rStyle w:val="Hyperlink"/>
            <w:lang w:val="en-GB"/>
          </w:rPr>
          <w:t>http://www.osce.org/hcnm/78915?download=true</w:t>
        </w:r>
      </w:hyperlink>
      <w:r>
        <w:rPr>
          <w:lang w:val="en-GB"/>
        </w:rPr>
        <w:t xml:space="preserve"> </w:t>
      </w:r>
    </w:p>
  </w:footnote>
  <w:footnote w:id="9">
    <w:p w:rsidR="00485538" w:rsidRPr="00256024" w:rsidRDefault="00485538">
      <w:pPr>
        <w:pStyle w:val="FootnoteText"/>
        <w:rPr>
          <w:lang w:val="lv-LV"/>
        </w:rPr>
      </w:pPr>
      <w:r>
        <w:rPr>
          <w:rStyle w:val="FootnoteReference"/>
        </w:rPr>
        <w:footnoteRef/>
      </w:r>
      <w:r w:rsidRPr="00256024">
        <w:rPr>
          <w:lang w:val="lv-LV"/>
        </w:rPr>
        <w:t xml:space="preserve"> A/HRC/23/37/Add.1</w:t>
      </w:r>
      <w:r>
        <w:rPr>
          <w:lang w:val="lv-LV"/>
        </w:rPr>
        <w:t xml:space="preserve">, paras. 77 and 90 </w:t>
      </w:r>
    </w:p>
  </w:footnote>
  <w:footnote w:id="10">
    <w:p w:rsidR="00485538" w:rsidRPr="00FD136F" w:rsidRDefault="00485538" w:rsidP="00EE3B4F">
      <w:pPr>
        <w:pStyle w:val="FootnoteText"/>
        <w:rPr>
          <w:lang w:val="lv-LV"/>
        </w:rPr>
      </w:pPr>
      <w:r>
        <w:rPr>
          <w:rStyle w:val="FootnoteReference"/>
        </w:rPr>
        <w:footnoteRef/>
      </w:r>
      <w:r w:rsidRPr="00FD136F">
        <w:rPr>
          <w:lang w:val="lv-LV"/>
        </w:rPr>
        <w:t xml:space="preserve"> </w:t>
      </w:r>
      <w:hyperlink r:id="rId7" w:history="1">
        <w:r w:rsidRPr="00EB1024">
          <w:rPr>
            <w:rStyle w:val="Hyperlink"/>
            <w:lang w:val="lv-LV"/>
          </w:rPr>
          <w:t>https://www.pmlp.gov.lv/lv/assets/ISVP_Latvija_pec_VPD.pdf</w:t>
        </w:r>
      </w:hyperlink>
      <w:r>
        <w:rPr>
          <w:lang w:val="lv-LV"/>
        </w:rPr>
        <w:t xml:space="preserve"> </w:t>
      </w:r>
      <w:r w:rsidR="00985A99" w:rsidRPr="00985A99">
        <w:rPr>
          <w:lang w:val="lv-LV"/>
        </w:rPr>
        <w:t xml:space="preserve">Population by nationality </w:t>
      </w:r>
      <w:r w:rsidR="00985A99">
        <w:rPr>
          <w:lang w:val="lv-LV"/>
        </w:rPr>
        <w:t xml:space="preserve">(LV) </w:t>
      </w:r>
      <w:r>
        <w:rPr>
          <w:lang w:val="lv-LV"/>
        </w:rPr>
        <w:t>See the row “Latvijas nepilsonis”</w:t>
      </w:r>
    </w:p>
  </w:footnote>
  <w:footnote w:id="11">
    <w:p w:rsidR="00485538" w:rsidRPr="002C78EA" w:rsidRDefault="00485538">
      <w:pPr>
        <w:pStyle w:val="FootnoteText"/>
        <w:rPr>
          <w:lang w:val="lv-LV"/>
        </w:rPr>
      </w:pPr>
      <w:r>
        <w:rPr>
          <w:rStyle w:val="FootnoteReference"/>
        </w:rPr>
        <w:footnoteRef/>
      </w:r>
      <w:r w:rsidRPr="002C78EA">
        <w:rPr>
          <w:lang w:val="lv-LV"/>
        </w:rPr>
        <w:t xml:space="preserve"> </w:t>
      </w:r>
      <w:hyperlink r:id="rId8" w:history="1">
        <w:r w:rsidRPr="00EB1024">
          <w:rPr>
            <w:rStyle w:val="Hyperlink"/>
            <w:lang w:val="lv-LV"/>
          </w:rPr>
          <w:t>https://www.csb.gov.lv/en/statistics/statistics-by-theme/population/characteristics/tables/irg140/population-citizenship-and-country-birth</w:t>
        </w:r>
      </w:hyperlink>
      <w:r>
        <w:rPr>
          <w:lang w:val="lv-LV"/>
        </w:rPr>
        <w:t xml:space="preserve"> </w:t>
      </w:r>
    </w:p>
  </w:footnote>
  <w:footnote w:id="12">
    <w:p w:rsidR="00485538" w:rsidRPr="002C78EA" w:rsidRDefault="00485538">
      <w:pPr>
        <w:pStyle w:val="FootnoteText"/>
        <w:rPr>
          <w:lang w:val="lv-LV"/>
        </w:rPr>
      </w:pPr>
      <w:r>
        <w:rPr>
          <w:rStyle w:val="FootnoteReference"/>
        </w:rPr>
        <w:footnoteRef/>
      </w:r>
      <w:r w:rsidRPr="002C78EA">
        <w:rPr>
          <w:lang w:val="lv-LV"/>
        </w:rPr>
        <w:t xml:space="preserve"> Judgment in Case C‑151/14</w:t>
      </w:r>
      <w:r>
        <w:rPr>
          <w:lang w:val="lv-LV"/>
        </w:rPr>
        <w:t xml:space="preserve"> </w:t>
      </w:r>
      <w:r w:rsidRPr="002C78EA">
        <w:rPr>
          <w:lang w:val="lv-LV"/>
        </w:rPr>
        <w:t>ECLI:EU:C:2</w:t>
      </w:r>
      <w:r>
        <w:rPr>
          <w:lang w:val="lv-LV"/>
        </w:rPr>
        <w:t xml:space="preserve">015:577, 10.09.2015. </w:t>
      </w:r>
      <w:r w:rsidRPr="002C78EA">
        <w:rPr>
          <w:lang w:val="lv-LV"/>
        </w:rPr>
        <w:t xml:space="preserve"> </w:t>
      </w:r>
      <w:hyperlink r:id="rId9" w:history="1">
        <w:r w:rsidRPr="00EB1024">
          <w:rPr>
            <w:rStyle w:val="Hyperlink"/>
            <w:lang w:val="lv-LV"/>
          </w:rPr>
          <w:t>http://curia.europa.eu/juris/document/document.jsf?text=&amp;docid=167285&amp;pageIndex=0&amp;doclang=en</w:t>
        </w:r>
      </w:hyperlink>
      <w:r>
        <w:rPr>
          <w:lang w:val="lv-LV"/>
        </w:rPr>
        <w:t xml:space="preserve"> </w:t>
      </w:r>
    </w:p>
  </w:footnote>
  <w:footnote w:id="13">
    <w:p w:rsidR="00485538" w:rsidRPr="002C78EA" w:rsidRDefault="00485538">
      <w:pPr>
        <w:pStyle w:val="FootnoteText"/>
        <w:rPr>
          <w:lang w:val="lv-LV"/>
        </w:rPr>
      </w:pPr>
      <w:r>
        <w:rPr>
          <w:rStyle w:val="FootnoteReference"/>
        </w:rPr>
        <w:footnoteRef/>
      </w:r>
      <w:r w:rsidRPr="002C78EA">
        <w:rPr>
          <w:lang w:val="lv-LV"/>
        </w:rPr>
        <w:t xml:space="preserve"> </w:t>
      </w:r>
      <w:r>
        <w:rPr>
          <w:lang w:val="lv-LV"/>
        </w:rPr>
        <w:t xml:space="preserve"> </w:t>
      </w:r>
      <w:r w:rsidRPr="002C78EA">
        <w:rPr>
          <w:lang w:val="lv-LV"/>
        </w:rPr>
        <w:t>CRI(2012)3</w:t>
      </w:r>
      <w:r>
        <w:rPr>
          <w:lang w:val="lv-LV"/>
        </w:rPr>
        <w:t>,</w:t>
      </w:r>
      <w:r w:rsidRPr="002C78EA">
        <w:rPr>
          <w:lang w:val="lv-LV"/>
        </w:rPr>
        <w:t xml:space="preserve"> </w:t>
      </w:r>
      <w:r>
        <w:rPr>
          <w:lang w:val="lv-LV"/>
        </w:rPr>
        <w:t>paras. 124-125</w:t>
      </w:r>
      <w:r w:rsidRPr="002C78EA">
        <w:rPr>
          <w:lang w:val="lv-LV"/>
        </w:rPr>
        <w:t xml:space="preserve"> </w:t>
      </w:r>
      <w:hyperlink r:id="rId10" w:history="1">
        <w:r w:rsidR="00985A99" w:rsidRPr="003C3500">
          <w:rPr>
            <w:rStyle w:val="Hyperlink"/>
            <w:lang w:val="lv-LV"/>
          </w:rPr>
          <w:t>https://rm.coe.int/fourth-report-on-latvia/16808b58b6</w:t>
        </w:r>
      </w:hyperlink>
      <w:r w:rsidR="00985A99">
        <w:rPr>
          <w:lang w:val="lv-LV"/>
        </w:rPr>
        <w:t xml:space="preserve"> </w:t>
      </w:r>
    </w:p>
  </w:footnote>
  <w:footnote w:id="14">
    <w:p w:rsidR="00485538" w:rsidRPr="0040639A" w:rsidRDefault="00485538">
      <w:pPr>
        <w:pStyle w:val="FootnoteText"/>
        <w:rPr>
          <w:lang w:val="lv-LV"/>
        </w:rPr>
      </w:pPr>
      <w:r>
        <w:rPr>
          <w:rStyle w:val="FootnoteReference"/>
        </w:rPr>
        <w:footnoteRef/>
      </w:r>
      <w:r w:rsidRPr="0040639A">
        <w:rPr>
          <w:lang w:val="lv-LV"/>
        </w:rPr>
        <w:t xml:space="preserve"> ACFC/OP/III(2018)001, para. </w:t>
      </w:r>
      <w:r>
        <w:rPr>
          <w:lang w:val="lv-LV"/>
        </w:rPr>
        <w:t>1</w:t>
      </w:r>
      <w:r w:rsidRPr="0040639A">
        <w:rPr>
          <w:lang w:val="lv-LV"/>
        </w:rPr>
        <w:t xml:space="preserve">80 </w:t>
      </w:r>
      <w:hyperlink r:id="rId11" w:history="1">
        <w:r w:rsidRPr="00EB1024">
          <w:rPr>
            <w:rStyle w:val="Hyperlink"/>
            <w:lang w:val="lv-LV"/>
          </w:rPr>
          <w:t>https://rm.coe.int/revised-version-of-the-english-language-version-of-the-opinion/1680901e79</w:t>
        </w:r>
      </w:hyperlink>
      <w:r>
        <w:rPr>
          <w:lang w:val="lv-LV"/>
        </w:rPr>
        <w:t xml:space="preserve"> </w:t>
      </w:r>
    </w:p>
  </w:footnote>
  <w:footnote w:id="15">
    <w:p w:rsidR="00485538" w:rsidRPr="0040639A" w:rsidRDefault="00485538">
      <w:pPr>
        <w:pStyle w:val="FootnoteText"/>
        <w:rPr>
          <w:lang w:val="lv-LV"/>
        </w:rPr>
      </w:pPr>
      <w:r>
        <w:rPr>
          <w:rStyle w:val="FootnoteReference"/>
        </w:rPr>
        <w:footnoteRef/>
      </w:r>
      <w:r w:rsidRPr="0040639A">
        <w:rPr>
          <w:lang w:val="lv-LV"/>
        </w:rPr>
        <w:t xml:space="preserve"> CRI(2019)1</w:t>
      </w:r>
      <w:r>
        <w:rPr>
          <w:lang w:val="lv-LV"/>
        </w:rPr>
        <w:t>, paras. 70-72</w:t>
      </w:r>
      <w:r w:rsidRPr="0040639A">
        <w:rPr>
          <w:lang w:val="lv-LV"/>
        </w:rPr>
        <w:t xml:space="preserve"> </w:t>
      </w:r>
      <w:hyperlink r:id="rId12" w:history="1">
        <w:r w:rsidRPr="00EB1024">
          <w:rPr>
            <w:rStyle w:val="Hyperlink"/>
            <w:lang w:val="lv-LV"/>
          </w:rPr>
          <w:t>https://rm.coe.int/fifth-report-on-latvia/1680934a9f</w:t>
        </w:r>
      </w:hyperlink>
      <w:r>
        <w:rPr>
          <w:lang w:val="lv-LV"/>
        </w:rPr>
        <w:t xml:space="preserve"> </w:t>
      </w:r>
    </w:p>
  </w:footnote>
  <w:footnote w:id="16">
    <w:p w:rsidR="00485538" w:rsidRPr="00485538" w:rsidRDefault="00485538">
      <w:pPr>
        <w:pStyle w:val="FootnoteText"/>
        <w:rPr>
          <w:lang w:val="lv-LV"/>
        </w:rPr>
      </w:pPr>
      <w:r>
        <w:rPr>
          <w:rStyle w:val="FootnoteReference"/>
        </w:rPr>
        <w:footnoteRef/>
      </w:r>
      <w:r w:rsidRPr="00485538">
        <w:rPr>
          <w:lang w:val="lv-LV"/>
        </w:rPr>
        <w:t xml:space="preserve"> </w:t>
      </w:r>
      <w:r>
        <w:rPr>
          <w:lang w:val="lv-LV"/>
        </w:rPr>
        <w:t xml:space="preserve">See </w:t>
      </w:r>
      <w:r w:rsidRPr="00485538">
        <w:rPr>
          <w:i/>
          <w:lang w:val="lv-LV"/>
        </w:rPr>
        <w:t>supra</w:t>
      </w:r>
      <w:r>
        <w:rPr>
          <w:lang w:val="lv-LV"/>
        </w:rPr>
        <w:t xml:space="preserve"> footnote 2</w:t>
      </w:r>
    </w:p>
  </w:footnote>
  <w:footnote w:id="17">
    <w:p w:rsidR="00485538" w:rsidRPr="00FD136F" w:rsidRDefault="00485538">
      <w:pPr>
        <w:pStyle w:val="FootnoteText"/>
        <w:rPr>
          <w:lang w:val="lv-LV"/>
        </w:rPr>
      </w:pPr>
      <w:r>
        <w:rPr>
          <w:rStyle w:val="FootnoteReference"/>
        </w:rPr>
        <w:footnoteRef/>
      </w:r>
      <w:r w:rsidRPr="00FD136F">
        <w:rPr>
          <w:lang w:val="lv-LV"/>
        </w:rPr>
        <w:t xml:space="preserve"> </w:t>
      </w:r>
      <w:hyperlink r:id="rId13" w:history="1">
        <w:r w:rsidRPr="00EB1024">
          <w:rPr>
            <w:rStyle w:val="Hyperlink"/>
            <w:lang w:val="lv-LV"/>
          </w:rPr>
          <w:t>https://www.vsaa.gov.lv/en/services/for-seniors/old-age-pension/</w:t>
        </w:r>
      </w:hyperlink>
      <w:r>
        <w:rPr>
          <w:lang w:val="lv-LV"/>
        </w:rPr>
        <w:t xml:space="preserve"> </w:t>
      </w:r>
    </w:p>
  </w:footnote>
  <w:footnote w:id="18">
    <w:p w:rsidR="00485538" w:rsidRPr="00FD136F" w:rsidRDefault="00485538">
      <w:pPr>
        <w:pStyle w:val="FootnoteText"/>
        <w:rPr>
          <w:lang w:val="lv-LV"/>
        </w:rPr>
      </w:pPr>
      <w:r>
        <w:rPr>
          <w:rStyle w:val="FootnoteReference"/>
        </w:rPr>
        <w:footnoteRef/>
      </w:r>
      <w:r w:rsidRPr="00FD136F">
        <w:rPr>
          <w:lang w:val="lv-LV"/>
        </w:rPr>
        <w:t xml:space="preserve"> </w:t>
      </w:r>
      <w:hyperlink r:id="rId14" w:history="1">
        <w:r w:rsidRPr="00EB1024">
          <w:rPr>
            <w:rStyle w:val="Hyperlink"/>
            <w:lang w:val="lv-LV"/>
          </w:rPr>
          <w:t>https://www.pmlp.gov.lv/lv/assets/ISVP_Latvija_pec_VPD.pdf</w:t>
        </w:r>
      </w:hyperlink>
      <w:r>
        <w:rPr>
          <w:lang w:val="lv-LV"/>
        </w:rPr>
        <w:t xml:space="preserve"> </w:t>
      </w:r>
      <w:r w:rsidR="00985A99">
        <w:rPr>
          <w:lang w:val="lv-LV"/>
        </w:rPr>
        <w:t xml:space="preserve">Population by nationality (LV) </w:t>
      </w:r>
      <w:r>
        <w:rPr>
          <w:lang w:val="lv-LV"/>
        </w:rPr>
        <w:t>See the row “Latvijas nepilsonis”</w:t>
      </w:r>
    </w:p>
  </w:footnote>
  <w:footnote w:id="19">
    <w:p w:rsidR="00485538" w:rsidRPr="00A15A1D" w:rsidRDefault="00485538">
      <w:pPr>
        <w:pStyle w:val="FootnoteText"/>
        <w:rPr>
          <w:lang w:val="lv-LV"/>
        </w:rPr>
      </w:pPr>
      <w:r>
        <w:rPr>
          <w:rStyle w:val="FootnoteReference"/>
        </w:rPr>
        <w:footnoteRef/>
      </w:r>
      <w:r w:rsidRPr="00A15A1D">
        <w:rPr>
          <w:lang w:val="lv-LV"/>
        </w:rPr>
        <w:t xml:space="preserve"> ACFC/OP/II(2013)001 </w:t>
      </w:r>
      <w:hyperlink r:id="rId15" w:history="1">
        <w:r w:rsidRPr="003C3500">
          <w:rPr>
            <w:rStyle w:val="Hyperlink"/>
            <w:lang w:val="lv-LV"/>
          </w:rPr>
          <w:t>https://rm.coe.int/168008c1a1</w:t>
        </w:r>
      </w:hyperlink>
      <w:r>
        <w:rPr>
          <w:lang w:val="lv-LV"/>
        </w:rPr>
        <w:t xml:space="preserve"> </w:t>
      </w:r>
      <w:r w:rsidRPr="00A15A1D">
        <w:rPr>
          <w:lang w:val="lv-LV"/>
        </w:rPr>
        <w:t>— Para. 139</w:t>
      </w:r>
    </w:p>
  </w:footnote>
  <w:footnote w:id="20">
    <w:p w:rsidR="00485538" w:rsidRPr="007300F3" w:rsidRDefault="00485538">
      <w:pPr>
        <w:pStyle w:val="FootnoteText"/>
        <w:rPr>
          <w:lang w:val="lv-LV"/>
        </w:rPr>
      </w:pPr>
      <w:r>
        <w:rPr>
          <w:rStyle w:val="FootnoteReference"/>
        </w:rPr>
        <w:footnoteRef/>
      </w:r>
      <w:r w:rsidRPr="007300F3">
        <w:rPr>
          <w:lang w:val="lv-LV"/>
        </w:rPr>
        <w:t xml:space="preserve"> </w:t>
      </w:r>
      <w:hyperlink r:id="rId16" w:history="1">
        <w:r w:rsidRPr="00EB1024">
          <w:rPr>
            <w:rStyle w:val="Hyperlink"/>
            <w:lang w:val="lv-LV"/>
          </w:rPr>
          <w:t>https://www.oecd.org/latvia/launch-of-oecd-report-policy-actions-for-housing-affordability-in-latvia-june-2020.htm</w:t>
        </w:r>
      </w:hyperlink>
      <w:r>
        <w:rPr>
          <w:lang w:val="lv-LV"/>
        </w:rPr>
        <w:t xml:space="preserve"> </w:t>
      </w:r>
    </w:p>
  </w:footnote>
  <w:footnote w:id="21">
    <w:p w:rsidR="00485538" w:rsidRPr="0040639A" w:rsidRDefault="00485538">
      <w:pPr>
        <w:pStyle w:val="FootnoteText"/>
        <w:rPr>
          <w:lang w:val="lv-LV"/>
        </w:rPr>
      </w:pPr>
      <w:r>
        <w:rPr>
          <w:rStyle w:val="FootnoteReference"/>
        </w:rPr>
        <w:footnoteRef/>
      </w:r>
      <w:r w:rsidRPr="0040639A">
        <w:rPr>
          <w:lang w:val="lv-LV"/>
        </w:rPr>
        <w:t xml:space="preserve"> </w:t>
      </w:r>
      <w:hyperlink r:id="rId17" w:history="1">
        <w:r w:rsidRPr="00EB1024">
          <w:rPr>
            <w:rStyle w:val="Hyperlink"/>
            <w:lang w:val="lv-LV"/>
          </w:rPr>
          <w:t>https://titania.saeima.lv/LIVS13/saeimalivs13.nsf/0/5CC3EC2243A22CA7C2258593003D3809?OpenDocument</w:t>
        </w:r>
      </w:hyperlink>
      <w:r>
        <w:rPr>
          <w:lang w:val="lv-LV"/>
        </w:rPr>
        <w:t xml:space="preserve"> (LV) Left column – as adopted in the first reading</w:t>
      </w:r>
    </w:p>
  </w:footnote>
  <w:footnote w:id="22">
    <w:p w:rsidR="00485538" w:rsidRPr="0040639A" w:rsidRDefault="00485538">
      <w:pPr>
        <w:pStyle w:val="FootnoteText"/>
        <w:rPr>
          <w:lang w:val="lv-LV"/>
        </w:rPr>
      </w:pPr>
      <w:r>
        <w:rPr>
          <w:rStyle w:val="FootnoteReference"/>
        </w:rPr>
        <w:footnoteRef/>
      </w:r>
      <w:r w:rsidRPr="00B1570F">
        <w:rPr>
          <w:lang w:val="lv-LV"/>
        </w:rPr>
        <w:t xml:space="preserve"> </w:t>
      </w:r>
      <w:hyperlink r:id="rId18" w:history="1">
        <w:r w:rsidRPr="00EB1024">
          <w:rPr>
            <w:rStyle w:val="Hyperlink"/>
            <w:lang w:val="lv-LV"/>
          </w:rPr>
          <w:t>https://www.csb.gov.lv/en/statistics/statistics-by-theme/social-conditions/health/key-indicator/number-medical-practitioners-keeps-declining</w:t>
        </w:r>
      </w:hyperlink>
      <w:r>
        <w:rPr>
          <w:lang w:val="lv-LV"/>
        </w:rPr>
        <w:t xml:space="preserve"> </w:t>
      </w:r>
    </w:p>
  </w:footnote>
  <w:footnote w:id="23">
    <w:p w:rsidR="00485538" w:rsidRPr="00B1570F" w:rsidRDefault="00485538">
      <w:pPr>
        <w:pStyle w:val="FootnoteText"/>
        <w:rPr>
          <w:lang w:val="lv-LV"/>
        </w:rPr>
      </w:pPr>
      <w:r>
        <w:rPr>
          <w:rStyle w:val="FootnoteReference"/>
        </w:rPr>
        <w:footnoteRef/>
      </w:r>
      <w:r w:rsidRPr="00B1570F">
        <w:rPr>
          <w:lang w:val="lv-LV"/>
        </w:rPr>
        <w:t xml:space="preserve"> </w:t>
      </w:r>
      <w:hyperlink r:id="rId19" w:history="1">
        <w:r w:rsidRPr="00EB1024">
          <w:rPr>
            <w:rStyle w:val="Hyperlink"/>
            <w:lang w:val="lv-LV"/>
          </w:rPr>
          <w:t>https://data.csb.gov.lv/pxweb/en/sociala/sociala__veseliba__iestades/VAG170.px/table/tableViewLayout1/</w:t>
        </w:r>
      </w:hyperlink>
      <w:r>
        <w:rPr>
          <w:lang w:val="lv-LV"/>
        </w:rPr>
        <w:t xml:space="preserve"> Central Statistical Bureau of Latvia </w:t>
      </w:r>
    </w:p>
  </w:footnote>
  <w:footnote w:id="24">
    <w:p w:rsidR="00485538" w:rsidRPr="00E1001A" w:rsidRDefault="00485538">
      <w:pPr>
        <w:pStyle w:val="FootnoteText"/>
        <w:rPr>
          <w:lang w:val="lv-LV"/>
        </w:rPr>
      </w:pPr>
      <w:r>
        <w:rPr>
          <w:rStyle w:val="FootnoteReference"/>
        </w:rPr>
        <w:footnoteRef/>
      </w:r>
      <w:r w:rsidRPr="00E1001A">
        <w:rPr>
          <w:lang w:val="lv-LV"/>
        </w:rPr>
        <w:t xml:space="preserve"> </w:t>
      </w:r>
      <w:hyperlink r:id="rId20" w:history="1">
        <w:r w:rsidRPr="00EB1024">
          <w:rPr>
            <w:rStyle w:val="Hyperlink"/>
            <w:lang w:val="lv-LV"/>
          </w:rPr>
          <w:t>http://unesdoc.unesco.org/images/0012/001297/129728e.pdf</w:t>
        </w:r>
      </w:hyperlink>
      <w:r>
        <w:rPr>
          <w:lang w:val="lv-LV"/>
        </w:rPr>
        <w:t xml:space="preserve"> </w:t>
      </w:r>
      <w:r w:rsidRPr="00E1001A">
        <w:rPr>
          <w:lang w:val="lv-LV"/>
        </w:rPr>
        <w:t xml:space="preserve"> (р. 31)</w:t>
      </w:r>
      <w:r>
        <w:rPr>
          <w:lang w:val="lv-LV"/>
        </w:rPr>
        <w:t xml:space="preserve"> </w:t>
      </w:r>
    </w:p>
  </w:footnote>
  <w:footnote w:id="25">
    <w:p w:rsidR="00485538" w:rsidRPr="00E1001A" w:rsidRDefault="00485538">
      <w:pPr>
        <w:pStyle w:val="FootnoteText"/>
        <w:rPr>
          <w:lang w:val="lv-LV"/>
        </w:rPr>
      </w:pPr>
      <w:r>
        <w:rPr>
          <w:rStyle w:val="FootnoteReference"/>
        </w:rPr>
        <w:footnoteRef/>
      </w:r>
      <w:r w:rsidRPr="00E1001A">
        <w:rPr>
          <w:lang w:val="lv-LV"/>
        </w:rPr>
        <w:t xml:space="preserve"> </w:t>
      </w:r>
      <w:hyperlink r:id="rId21" w:history="1">
        <w:r w:rsidRPr="00EB1024">
          <w:rPr>
            <w:rStyle w:val="Hyperlink"/>
            <w:lang w:val="lv-LV"/>
          </w:rPr>
          <w:t>http://unesdoc.unesco.org/images/0024/002456/245656E.pdf</w:t>
        </w:r>
      </w:hyperlink>
      <w:r>
        <w:rPr>
          <w:lang w:val="lv-LV"/>
        </w:rPr>
        <w:t xml:space="preserve"> </w:t>
      </w:r>
      <w:r w:rsidRPr="00E1001A">
        <w:rPr>
          <w:lang w:val="lv-LV"/>
        </w:rPr>
        <w:t>(para. 32 on page 37)</w:t>
      </w:r>
      <w:r>
        <w:rPr>
          <w:lang w:val="lv-LV"/>
        </w:rPr>
        <w:t xml:space="preserve"> </w:t>
      </w:r>
    </w:p>
  </w:footnote>
  <w:footnote w:id="26">
    <w:p w:rsidR="00485538" w:rsidRPr="00E1001A" w:rsidRDefault="00485538">
      <w:pPr>
        <w:pStyle w:val="FootnoteText"/>
        <w:rPr>
          <w:lang w:val="lv-LV"/>
        </w:rPr>
      </w:pPr>
      <w:r>
        <w:rPr>
          <w:rStyle w:val="FootnoteReference"/>
        </w:rPr>
        <w:footnoteRef/>
      </w:r>
      <w:r w:rsidRPr="00E1001A">
        <w:rPr>
          <w:lang w:val="lv-LV"/>
        </w:rPr>
        <w:t xml:space="preserve"> </w:t>
      </w:r>
      <w:hyperlink r:id="rId22" w:history="1">
        <w:r w:rsidRPr="00EB1024">
          <w:rPr>
            <w:rStyle w:val="Hyperlink"/>
            <w:lang w:val="lv-LV"/>
          </w:rPr>
          <w:t>http://unesdoc.unesco.org/images/0024/002437/243713E.pdf</w:t>
        </w:r>
      </w:hyperlink>
      <w:r>
        <w:rPr>
          <w:lang w:val="lv-LV"/>
        </w:rPr>
        <w:t xml:space="preserve"> </w:t>
      </w:r>
    </w:p>
  </w:footnote>
  <w:footnote w:id="27">
    <w:p w:rsidR="00485538" w:rsidRPr="00E1001A" w:rsidRDefault="00485538">
      <w:pPr>
        <w:pStyle w:val="FootnoteText"/>
        <w:rPr>
          <w:lang w:val="lv-LV"/>
        </w:rPr>
      </w:pPr>
      <w:r>
        <w:rPr>
          <w:rStyle w:val="FootnoteReference"/>
        </w:rPr>
        <w:footnoteRef/>
      </w:r>
      <w:r w:rsidRPr="00E1001A">
        <w:rPr>
          <w:lang w:val="lv-LV"/>
        </w:rPr>
        <w:t xml:space="preserve"> </w:t>
      </w:r>
      <w:hyperlink r:id="rId23" w:history="1">
        <w:r w:rsidRPr="00EB1024">
          <w:rPr>
            <w:rStyle w:val="Hyperlink"/>
            <w:lang w:val="lv-LV"/>
          </w:rPr>
          <w:t>https://www.osce.org/files/f/documents/e/2/32180_0.pdf</w:t>
        </w:r>
      </w:hyperlink>
      <w:r>
        <w:rPr>
          <w:lang w:val="lv-LV"/>
        </w:rPr>
        <w:t xml:space="preserve"> , paras. 11-13 and 17</w:t>
      </w:r>
    </w:p>
  </w:footnote>
  <w:footnote w:id="28">
    <w:p w:rsidR="00485538" w:rsidRPr="00E1001A" w:rsidRDefault="00485538">
      <w:pPr>
        <w:pStyle w:val="FootnoteText"/>
        <w:rPr>
          <w:lang w:val="lv-LV"/>
        </w:rPr>
      </w:pPr>
      <w:r>
        <w:rPr>
          <w:rStyle w:val="FootnoteReference"/>
        </w:rPr>
        <w:footnoteRef/>
      </w:r>
      <w:r w:rsidRPr="00E1001A">
        <w:rPr>
          <w:lang w:val="lv-LV"/>
        </w:rPr>
        <w:t xml:space="preserve"> </w:t>
      </w:r>
      <w:hyperlink r:id="rId24" w:history="1">
        <w:r w:rsidRPr="00EB1024">
          <w:rPr>
            <w:rStyle w:val="Hyperlink"/>
            <w:lang w:val="lv-LV"/>
          </w:rPr>
          <w:t>https://www.csb.gov.lv/en/statistics/statistics-by-theme/population/search-in-theme/2747-latvian-mother-tongue-608-population-latvia</w:t>
        </w:r>
      </w:hyperlink>
      <w:r>
        <w:rPr>
          <w:lang w:val="lv-LV"/>
        </w:rPr>
        <w:t xml:space="preserve"> </w:t>
      </w:r>
    </w:p>
  </w:footnote>
  <w:footnote w:id="29">
    <w:p w:rsidR="00485538" w:rsidRPr="004F7E46" w:rsidRDefault="00485538">
      <w:pPr>
        <w:pStyle w:val="FootnoteText"/>
        <w:rPr>
          <w:lang w:val="en-GB"/>
        </w:rPr>
      </w:pPr>
      <w:r>
        <w:rPr>
          <w:rStyle w:val="FootnoteReference"/>
        </w:rPr>
        <w:footnoteRef/>
      </w:r>
      <w:r>
        <w:rPr>
          <w:lang w:val="lv-LV"/>
        </w:rPr>
        <w:t xml:space="preserve"> Ministry of Education and Science statistics</w:t>
      </w:r>
      <w:r w:rsidRPr="003C656A">
        <w:rPr>
          <w:lang w:val="lv-LV"/>
        </w:rPr>
        <w:t xml:space="preserve"> </w:t>
      </w:r>
      <w:hyperlink r:id="rId25" w:history="1">
        <w:r w:rsidRPr="003C3500">
          <w:rPr>
            <w:rStyle w:val="Hyperlink"/>
            <w:lang w:val="lv-LV"/>
          </w:rPr>
          <w:t>https://www.izm.gov.lv/images/VS_skolu_sk_19.xlsx</w:t>
        </w:r>
      </w:hyperlink>
      <w:r>
        <w:rPr>
          <w:lang w:val="lv-LV"/>
        </w:rPr>
        <w:t xml:space="preserve"> (LV). See the sheet “</w:t>
      </w:r>
      <w:r w:rsidRPr="00292C10">
        <w:rPr>
          <w:i/>
          <w:lang w:val="lv-LV"/>
        </w:rPr>
        <w:t>pa plūsmām</w:t>
      </w:r>
      <w:r>
        <w:rPr>
          <w:lang w:val="lv-LV"/>
        </w:rPr>
        <w:t>” (i.e., by [language] “streams”). Columns “</w:t>
      </w:r>
      <w:r w:rsidRPr="00292C10">
        <w:rPr>
          <w:i/>
          <w:lang w:val="lv-LV"/>
        </w:rPr>
        <w:t>latviešu</w:t>
      </w:r>
      <w:r>
        <w:rPr>
          <w:lang w:val="lv-LV"/>
        </w:rPr>
        <w:t>” (i.e., Latvian [language]), “</w:t>
      </w:r>
      <w:r w:rsidRPr="00292C10">
        <w:rPr>
          <w:i/>
          <w:lang w:val="lv-LV"/>
        </w:rPr>
        <w:t>krievu</w:t>
      </w:r>
      <w:r>
        <w:rPr>
          <w:lang w:val="lv-LV"/>
        </w:rPr>
        <w:t>” (i.e., Russian) and “</w:t>
      </w:r>
      <w:r w:rsidRPr="00292C10">
        <w:rPr>
          <w:i/>
          <w:lang w:val="lv-LV"/>
        </w:rPr>
        <w:t>Divplūsmu - latviešu/krievu</w:t>
      </w:r>
      <w:r>
        <w:rPr>
          <w:lang w:val="lv-LV"/>
        </w:rPr>
        <w:t>” (i.e., dual stream – Latvian/Russian)</w:t>
      </w:r>
      <w:r w:rsidR="004F7E46">
        <w:rPr>
          <w:lang w:val="lv-LV"/>
        </w:rPr>
        <w:t>, “</w:t>
      </w:r>
      <w:r w:rsidR="004F7E46" w:rsidRPr="004F7E46">
        <w:rPr>
          <w:i/>
          <w:lang w:val="lv-LV"/>
        </w:rPr>
        <w:t>poļu</w:t>
      </w:r>
      <w:r w:rsidR="004F7E46">
        <w:rPr>
          <w:lang w:val="lv-LV"/>
        </w:rPr>
        <w:t>” (i.e., Polish)</w:t>
      </w:r>
      <w:r>
        <w:rPr>
          <w:lang w:val="lv-LV"/>
        </w:rPr>
        <w:t>. Compare the data in the rows for 2019/2020</w:t>
      </w:r>
      <w:r w:rsidR="004F7E46">
        <w:rPr>
          <w:lang w:val="lv-LV"/>
        </w:rPr>
        <w:t xml:space="preserve"> (</w:t>
      </w:r>
      <w:r w:rsidR="004F7E46" w:rsidRPr="004F7E46">
        <w:rPr>
          <w:i/>
          <w:lang w:val="lv-LV"/>
        </w:rPr>
        <w:t>Valstī kopā</w:t>
      </w:r>
      <w:r w:rsidR="004F7E46">
        <w:rPr>
          <w:lang w:val="lv-LV"/>
        </w:rPr>
        <w:t>, i.e., Total in the state)</w:t>
      </w:r>
      <w:r>
        <w:rPr>
          <w:lang w:val="lv-LV"/>
        </w:rPr>
        <w:t xml:space="preserve"> and 1998/1999 academic years</w:t>
      </w:r>
    </w:p>
  </w:footnote>
  <w:footnote w:id="30">
    <w:p w:rsidR="00485538" w:rsidRPr="00A15A1D" w:rsidRDefault="00485538">
      <w:pPr>
        <w:pStyle w:val="FootnoteText"/>
        <w:rPr>
          <w:lang w:val="lv-LV"/>
        </w:rPr>
      </w:pPr>
      <w:r>
        <w:rPr>
          <w:rStyle w:val="FootnoteReference"/>
        </w:rPr>
        <w:footnoteRef/>
      </w:r>
      <w:r w:rsidRPr="00BE6B85">
        <w:rPr>
          <w:lang w:val="lv-LV"/>
        </w:rPr>
        <w:t xml:space="preserve"> </w:t>
      </w:r>
      <w:hyperlink r:id="rId26" w:history="1">
        <w:r w:rsidRPr="00EB1024">
          <w:rPr>
            <w:rStyle w:val="Hyperlink"/>
            <w:lang w:val="lv-LV"/>
          </w:rPr>
          <w:t>http://minorities-latvia.info/2020/02/21/booklet-on-dismantling-minority-education-in-latvia-2019/</w:t>
        </w:r>
      </w:hyperlink>
      <w:r>
        <w:rPr>
          <w:lang w:val="lv-LV"/>
        </w:rPr>
        <w:t xml:space="preserve"> </w:t>
      </w:r>
    </w:p>
  </w:footnote>
  <w:footnote w:id="31">
    <w:p w:rsidR="00485538" w:rsidRPr="00292C10" w:rsidRDefault="00485538">
      <w:pPr>
        <w:pStyle w:val="FootnoteText"/>
        <w:rPr>
          <w:lang w:val="lv-LV"/>
        </w:rPr>
      </w:pPr>
      <w:r>
        <w:rPr>
          <w:rStyle w:val="FootnoteReference"/>
        </w:rPr>
        <w:footnoteRef/>
      </w:r>
      <w:r w:rsidRPr="00292C10">
        <w:rPr>
          <w:lang w:val="lv-LV"/>
        </w:rPr>
        <w:t xml:space="preserve"> (</w:t>
      </w:r>
      <w:r>
        <w:rPr>
          <w:lang w:val="lv-LV"/>
        </w:rPr>
        <w:t>LV</w:t>
      </w:r>
      <w:r w:rsidRPr="00292C10">
        <w:rPr>
          <w:lang w:val="lv-LV"/>
        </w:rPr>
        <w:t>)</w:t>
      </w:r>
      <w:r>
        <w:rPr>
          <w:lang w:val="lv-LV"/>
        </w:rPr>
        <w:t xml:space="preserve"> The review of tertiary education in Latvia for 2018</w:t>
      </w:r>
      <w:r w:rsidRPr="00292C10">
        <w:rPr>
          <w:lang w:val="lv-LV"/>
        </w:rPr>
        <w:t xml:space="preserve"> </w:t>
      </w:r>
      <w:hyperlink r:id="rId27" w:history="1">
        <w:r w:rsidRPr="003C3500">
          <w:rPr>
            <w:rStyle w:val="Hyperlink"/>
            <w:lang w:val="lv-LV"/>
          </w:rPr>
          <w:t>https://www.izm.gov.lv/images/Augstakas_izglitibas_LV_parskats_2018.pdf</w:t>
        </w:r>
      </w:hyperlink>
      <w:r w:rsidRPr="00292C10">
        <w:rPr>
          <w:lang w:val="lv-LV"/>
        </w:rPr>
        <w:t xml:space="preserve"> </w:t>
      </w:r>
      <w:r w:rsidR="00985A99">
        <w:rPr>
          <w:lang w:val="lv-LV"/>
        </w:rPr>
        <w:t xml:space="preserve">(LV) </w:t>
      </w:r>
      <w:r>
        <w:rPr>
          <w:lang w:val="lv-LV"/>
        </w:rPr>
        <w:t>See pp. 71-73, the numbers of student per language and institution. The columns “angļu valodā” (i.e., in English), “krievu valodā” (i.e., in Russian)</w:t>
      </w:r>
    </w:p>
  </w:footnote>
  <w:footnote w:id="32">
    <w:p w:rsidR="00485538" w:rsidRPr="0099732E" w:rsidRDefault="00485538">
      <w:pPr>
        <w:pStyle w:val="FootnoteText"/>
        <w:rPr>
          <w:lang w:val="lv-LV"/>
        </w:rPr>
      </w:pPr>
      <w:r>
        <w:rPr>
          <w:rStyle w:val="FootnoteReference"/>
        </w:rPr>
        <w:footnoteRef/>
      </w:r>
      <w:r w:rsidRPr="0099732E">
        <w:rPr>
          <w:lang w:val="en-GB"/>
        </w:rPr>
        <w:t xml:space="preserve"> CERD/C/LVA/CO/6-12, paras. 16-17</w:t>
      </w:r>
      <w:r>
        <w:rPr>
          <w:lang w:val="lv-LV"/>
        </w:rPr>
        <w:t xml:space="preserve"> </w:t>
      </w:r>
    </w:p>
  </w:footnote>
  <w:footnote w:id="33">
    <w:p w:rsidR="00485538" w:rsidRPr="0099732E" w:rsidRDefault="00485538">
      <w:pPr>
        <w:pStyle w:val="FootnoteText"/>
        <w:rPr>
          <w:lang w:val="en-GB"/>
        </w:rPr>
      </w:pPr>
      <w:r>
        <w:rPr>
          <w:rStyle w:val="FootnoteReference"/>
        </w:rPr>
        <w:footnoteRef/>
      </w:r>
      <w:r w:rsidRPr="0099732E">
        <w:rPr>
          <w:lang w:val="en-GB"/>
        </w:rPr>
        <w:t xml:space="preserve"> OL LVA 1/2018 of 26.01.2018</w:t>
      </w:r>
      <w:r>
        <w:rPr>
          <w:lang w:val="en-GB"/>
        </w:rPr>
        <w:t xml:space="preserve"> </w:t>
      </w:r>
    </w:p>
  </w:footnote>
  <w:footnote w:id="34">
    <w:p w:rsidR="00485538" w:rsidRPr="0099732E" w:rsidRDefault="00485538">
      <w:pPr>
        <w:pStyle w:val="FootnoteText"/>
        <w:rPr>
          <w:lang w:val="en-GB"/>
        </w:rPr>
      </w:pPr>
      <w:r>
        <w:rPr>
          <w:rStyle w:val="FootnoteReference"/>
        </w:rPr>
        <w:footnoteRef/>
      </w:r>
      <w:r w:rsidRPr="0099732E">
        <w:rPr>
          <w:lang w:val="en-GB"/>
        </w:rPr>
        <w:t xml:space="preserve"> </w:t>
      </w:r>
      <w:r>
        <w:rPr>
          <w:lang w:val="en-GB"/>
        </w:rPr>
        <w:t>S</w:t>
      </w:r>
      <w:r w:rsidRPr="0099732E">
        <w:rPr>
          <w:lang w:val="en-GB"/>
        </w:rPr>
        <w:t>tatement to the 1229th Permanent Council</w:t>
      </w:r>
      <w:r w:rsidR="00985A99">
        <w:rPr>
          <w:lang w:val="en-GB"/>
        </w:rPr>
        <w:t>, 2019</w:t>
      </w:r>
      <w:r>
        <w:rPr>
          <w:lang w:val="en-GB"/>
        </w:rPr>
        <w:t xml:space="preserve"> </w:t>
      </w:r>
      <w:hyperlink r:id="rId28" w:history="1">
        <w:r w:rsidRPr="00EB1024">
          <w:rPr>
            <w:rStyle w:val="Hyperlink"/>
            <w:lang w:val="en-GB"/>
          </w:rPr>
          <w:t>https://www.osce.org/permanent-council/420572?download=true</w:t>
        </w:r>
      </w:hyperlink>
      <w:r>
        <w:rPr>
          <w:lang w:val="en-GB"/>
        </w:rPr>
        <w:t xml:space="preserve"> </w:t>
      </w:r>
    </w:p>
  </w:footnote>
  <w:footnote w:id="35">
    <w:p w:rsidR="00485538" w:rsidRPr="0099732E" w:rsidRDefault="00485538">
      <w:pPr>
        <w:pStyle w:val="FootnoteText"/>
        <w:rPr>
          <w:lang w:val="en-GB"/>
        </w:rPr>
      </w:pPr>
      <w:r>
        <w:rPr>
          <w:rStyle w:val="FootnoteReference"/>
        </w:rPr>
        <w:footnoteRef/>
      </w:r>
      <w:r w:rsidRPr="0099732E">
        <w:rPr>
          <w:lang w:val="en-GB"/>
        </w:rPr>
        <w:t xml:space="preserve"> ACFC/OP/III(2018)001REV , summary</w:t>
      </w:r>
      <w:r>
        <w:rPr>
          <w:lang w:val="en-GB"/>
        </w:rPr>
        <w:t xml:space="preserve"> and chapter on Article 14</w:t>
      </w:r>
      <w:r w:rsidRPr="0099732E">
        <w:rPr>
          <w:lang w:val="en-GB"/>
        </w:rPr>
        <w:t>;</w:t>
      </w:r>
      <w:r>
        <w:rPr>
          <w:lang w:val="en-GB"/>
        </w:rPr>
        <w:t xml:space="preserve"> </w:t>
      </w:r>
      <w:hyperlink r:id="rId29" w:history="1">
        <w:r w:rsidRPr="00EB1024">
          <w:rPr>
            <w:rStyle w:val="Hyperlink"/>
            <w:lang w:val="en-GB"/>
          </w:rPr>
          <w:t>https://rm.coe.int/revised-version-of-the-english-language-version-of-the-opinion/1680901e79</w:t>
        </w:r>
      </w:hyperlink>
      <w:r>
        <w:rPr>
          <w:lang w:val="en-GB"/>
        </w:rPr>
        <w:t xml:space="preserve"> </w:t>
      </w:r>
    </w:p>
  </w:footnote>
  <w:footnote w:id="36">
    <w:p w:rsidR="00485538" w:rsidRPr="0099732E" w:rsidRDefault="00485538">
      <w:pPr>
        <w:pStyle w:val="FootnoteText"/>
        <w:rPr>
          <w:lang w:val="en-GB"/>
        </w:rPr>
      </w:pPr>
      <w:r>
        <w:rPr>
          <w:rStyle w:val="FootnoteReference"/>
        </w:rPr>
        <w:footnoteRef/>
      </w:r>
      <w:r w:rsidRPr="0099732E">
        <w:rPr>
          <w:lang w:val="en-GB"/>
        </w:rPr>
        <w:t xml:space="preserve"> </w:t>
      </w:r>
      <w:r>
        <w:rPr>
          <w:lang w:val="en-GB"/>
        </w:rPr>
        <w:t>L</w:t>
      </w:r>
      <w:r w:rsidRPr="0099732E">
        <w:rPr>
          <w:lang w:val="en-GB"/>
        </w:rPr>
        <w:t>etter IPLO-COM-CULT D (2019) 8190</w:t>
      </w:r>
      <w:r>
        <w:rPr>
          <w:lang w:val="en-GB"/>
        </w:rPr>
        <w:t xml:space="preserve"> of 01.03.2019 </w:t>
      </w:r>
      <w:hyperlink r:id="rId30" w:history="1">
        <w:r w:rsidRPr="00EB1024">
          <w:rPr>
            <w:rStyle w:val="Hyperlink"/>
            <w:lang w:val="en-GB"/>
          </w:rPr>
          <w:t>http://minorities-latvia.info/2019/03/01/ep-culture-and-education-committee-letter-to-latvia-2019/</w:t>
        </w:r>
      </w:hyperlink>
      <w:r>
        <w:rPr>
          <w:lang w:val="en-GB"/>
        </w:rPr>
        <w:t xml:space="preserve"> </w:t>
      </w:r>
    </w:p>
  </w:footnote>
  <w:footnote w:id="37">
    <w:p w:rsidR="00485538" w:rsidRPr="00355398" w:rsidRDefault="00485538">
      <w:pPr>
        <w:pStyle w:val="FootnoteText"/>
        <w:rPr>
          <w:lang w:val="en-GB"/>
        </w:rPr>
      </w:pPr>
      <w:r>
        <w:rPr>
          <w:rStyle w:val="FootnoteReference"/>
        </w:rPr>
        <w:footnoteRef/>
      </w:r>
      <w:r w:rsidRPr="00355398">
        <w:rPr>
          <w:lang w:val="en-GB"/>
        </w:rPr>
        <w:t xml:space="preserve"> </w:t>
      </w:r>
      <w:hyperlink r:id="rId31" w:history="1">
        <w:r w:rsidRPr="00EB1024">
          <w:rPr>
            <w:rStyle w:val="Hyperlink"/>
            <w:lang w:val="en-GB"/>
          </w:rPr>
          <w:t>http://www.satv.tiesa.gov.lv/web/viewer.html?file=%2Fwp-content%2Fuploads%2F2018%2F07%2F2018-12-01-12.-Saeimas-dep_latvie%C5%A1u-valoda-valsts-skol%C4%81s_ENG.pdf</w:t>
        </w:r>
      </w:hyperlink>
      <w:r>
        <w:rPr>
          <w:lang w:val="en-GB"/>
        </w:rPr>
        <w:t xml:space="preserve"> </w:t>
      </w:r>
    </w:p>
  </w:footnote>
  <w:footnote w:id="38">
    <w:p w:rsidR="00485538" w:rsidRPr="00941B3A" w:rsidRDefault="00485538">
      <w:pPr>
        <w:pStyle w:val="FootnoteText"/>
        <w:rPr>
          <w:lang w:val="lv-LV"/>
        </w:rPr>
      </w:pPr>
      <w:r>
        <w:rPr>
          <w:rStyle w:val="FootnoteReference"/>
        </w:rPr>
        <w:footnoteRef/>
      </w:r>
      <w:r w:rsidRPr="00FD136F">
        <w:rPr>
          <w:lang w:val="lv-LV"/>
        </w:rPr>
        <w:t xml:space="preserve"> </w:t>
      </w:r>
      <w:hyperlink r:id="rId32" w:history="1">
        <w:r w:rsidRPr="00FD136F">
          <w:rPr>
            <w:rStyle w:val="Hyperlink"/>
            <w:lang w:val="lv-LV"/>
          </w:rPr>
          <w:t>http://www.satv.tiesa.gov.lv/web/viewer.html?file=/wp-content/uploads/2018/11/2018-22-01_dissenting-opinion_Ku%C4%8Ds.pdf</w:t>
        </w:r>
      </w:hyperlink>
      <w:r>
        <w:rPr>
          <w:lang w:val="lv-LV"/>
        </w:rPr>
        <w:t xml:space="preserve"> &amp; </w:t>
      </w:r>
      <w:hyperlink r:id="rId33" w:history="1">
        <w:r w:rsidRPr="007F6DB2">
          <w:rPr>
            <w:rStyle w:val="Hyperlink"/>
            <w:lang w:val="lv-LV"/>
          </w:rPr>
          <w:t>http://www.satv.tiesa.gov.lv/web/viewer.html?file=/wp-content/uploads/2018/11/2018-22-01_dissenting_opinion_Neimanis.pdf</w:t>
        </w:r>
      </w:hyperlink>
      <w:r>
        <w:rPr>
          <w:lang w:val="lv-LV"/>
        </w:rPr>
        <w:t xml:space="preserve"> </w:t>
      </w:r>
    </w:p>
  </w:footnote>
  <w:footnote w:id="39">
    <w:p w:rsidR="00485538" w:rsidRPr="00941B3A" w:rsidRDefault="00485538">
      <w:pPr>
        <w:pStyle w:val="FootnoteText"/>
        <w:rPr>
          <w:lang w:val="lv-LV"/>
        </w:rPr>
      </w:pPr>
      <w:r>
        <w:rPr>
          <w:rStyle w:val="FootnoteReference"/>
        </w:rPr>
        <w:footnoteRef/>
      </w:r>
      <w:r w:rsidRPr="00941B3A">
        <w:rPr>
          <w:lang w:val="lv-LV"/>
        </w:rPr>
        <w:t xml:space="preserve"> </w:t>
      </w:r>
      <w:hyperlink r:id="rId34" w:history="1">
        <w:r w:rsidRPr="00941B3A">
          <w:rPr>
            <w:rStyle w:val="Hyperlink"/>
            <w:lang w:val="lv-LV"/>
          </w:rPr>
          <w:t>http://www.satv.tiesa.gov.lv/web/viewer.html?file=/wp-content/uploads/2018/11/Judgment-in-the-case-2018-22-01_EN-1.pdf</w:t>
        </w:r>
      </w:hyperlink>
      <w:r>
        <w:rPr>
          <w:lang w:val="lv-LV"/>
        </w:rPr>
        <w:t xml:space="preserve"> </w:t>
      </w:r>
    </w:p>
  </w:footnote>
  <w:footnote w:id="40">
    <w:p w:rsidR="00485538" w:rsidRPr="00D3239C" w:rsidRDefault="00485538">
      <w:pPr>
        <w:pStyle w:val="FootnoteText"/>
        <w:rPr>
          <w:lang w:val="lv-LV"/>
        </w:rPr>
      </w:pPr>
      <w:r>
        <w:rPr>
          <w:rStyle w:val="FootnoteReference"/>
        </w:rPr>
        <w:footnoteRef/>
      </w:r>
      <w:r w:rsidRPr="00D3239C">
        <w:rPr>
          <w:lang w:val="lv-LV"/>
        </w:rPr>
        <w:t xml:space="preserve"> OL LVA 3/2018 of 08.11.2018.;</w:t>
      </w:r>
      <w:r>
        <w:rPr>
          <w:lang w:val="lv-LV"/>
        </w:rPr>
        <w:t xml:space="preserve"> </w:t>
      </w:r>
    </w:p>
  </w:footnote>
  <w:footnote w:id="41">
    <w:p w:rsidR="00485538" w:rsidRPr="00D3239C" w:rsidRDefault="00485538">
      <w:pPr>
        <w:pStyle w:val="FootnoteText"/>
        <w:rPr>
          <w:lang w:val="en-GB"/>
        </w:rPr>
      </w:pPr>
      <w:r>
        <w:rPr>
          <w:rStyle w:val="FootnoteReference"/>
        </w:rPr>
        <w:footnoteRef/>
      </w:r>
      <w:r w:rsidRPr="00D3239C">
        <w:rPr>
          <w:lang w:val="en-GB"/>
        </w:rPr>
        <w:t xml:space="preserve"> Opinion No. 975/2020; CDL-AD(2020)012. Para. </w:t>
      </w:r>
      <w:r w:rsidRPr="007F4860">
        <w:rPr>
          <w:lang w:val="en-GB"/>
        </w:rPr>
        <w:t xml:space="preserve">98-100, </w:t>
      </w:r>
      <w:r w:rsidRPr="00D3239C">
        <w:rPr>
          <w:lang w:val="en-GB"/>
        </w:rPr>
        <w:t xml:space="preserve">120; </w:t>
      </w:r>
      <w:r>
        <w:rPr>
          <w:lang w:val="en-GB"/>
        </w:rPr>
        <w:t xml:space="preserve">  </w:t>
      </w:r>
      <w:hyperlink r:id="rId35" w:history="1">
        <w:r w:rsidRPr="00EB1024">
          <w:rPr>
            <w:rStyle w:val="Hyperlink"/>
            <w:lang w:val="en-GB"/>
          </w:rPr>
          <w:t>https://www.venice.coe.int/webforms/documents/?pdf=CDL-AD(2020)012-e</w:t>
        </w:r>
      </w:hyperlink>
      <w:r>
        <w:rPr>
          <w:lang w:val="en-GB"/>
        </w:rPr>
        <w:t xml:space="preserve"> </w:t>
      </w:r>
    </w:p>
  </w:footnote>
  <w:footnote w:id="42">
    <w:p w:rsidR="00485538" w:rsidRPr="00941B3A" w:rsidRDefault="00485538" w:rsidP="00F422DE">
      <w:pPr>
        <w:pStyle w:val="FootnoteText"/>
        <w:rPr>
          <w:lang w:val="lv-LV"/>
        </w:rPr>
      </w:pPr>
      <w:r>
        <w:rPr>
          <w:rStyle w:val="FootnoteReference"/>
        </w:rPr>
        <w:footnoteRef/>
      </w:r>
      <w:r w:rsidRPr="00941B3A">
        <w:rPr>
          <w:lang w:val="lv-LV"/>
        </w:rPr>
        <w:t xml:space="preserve"> </w:t>
      </w:r>
      <w:hyperlink r:id="rId36" w:history="1">
        <w:r w:rsidRPr="00941B3A">
          <w:rPr>
            <w:rStyle w:val="Hyperlink"/>
            <w:lang w:val="lv-LV"/>
          </w:rPr>
          <w:t>http://www.satv.tiesa.gov.lv/en/press-release/norms-that-provide-that-the-language-of-instruction-in-study-programmes-of-private-institutions-of-higher-education-is-the-official-language-are-incompatible-with-article-112-and-article-113-of-the-s/</w:t>
        </w:r>
      </w:hyperlink>
      <w:r w:rsidRPr="00941B3A">
        <w:rPr>
          <w:lang w:val="lv-LV"/>
        </w:rPr>
        <w:t xml:space="preserve"> </w:t>
      </w:r>
    </w:p>
  </w:footnote>
  <w:footnote w:id="43">
    <w:p w:rsidR="00485538" w:rsidRPr="000F43DB" w:rsidRDefault="00485538" w:rsidP="00F422DE">
      <w:pPr>
        <w:pStyle w:val="FootnoteText"/>
        <w:rPr>
          <w:lang w:val="lv-LV"/>
        </w:rPr>
      </w:pPr>
      <w:r>
        <w:rPr>
          <w:rStyle w:val="FootnoteReference"/>
        </w:rPr>
        <w:footnoteRef/>
      </w:r>
      <w:r w:rsidRPr="000F43DB">
        <w:rPr>
          <w:lang w:val="lv-LV"/>
        </w:rPr>
        <w:t xml:space="preserve"> </w:t>
      </w:r>
      <w:hyperlink r:id="rId37" w:history="1">
        <w:r w:rsidRPr="000F43DB">
          <w:rPr>
            <w:rStyle w:val="Hyperlink"/>
            <w:lang w:val="lv-LV"/>
          </w:rPr>
          <w:t>http://www.satv.tiesa.gov.lv/en/press-release/the-constitutional-court-turns-to-the-court-of-justice-of-the-european-union-concerning-the-freedom-of-establishment-of-private-institutions-of-higher-education-and-suspends-legal-proceedings-in-a-cas/</w:t>
        </w:r>
      </w:hyperlink>
      <w:r w:rsidRPr="000F43DB">
        <w:rPr>
          <w:lang w:val="lv-LV"/>
        </w:rPr>
        <w:t xml:space="preserve"> </w:t>
      </w:r>
    </w:p>
  </w:footnote>
  <w:footnote w:id="44">
    <w:p w:rsidR="00485538" w:rsidRPr="00D3239C" w:rsidRDefault="00485538">
      <w:pPr>
        <w:pStyle w:val="FootnoteText"/>
        <w:rPr>
          <w:lang w:val="lv-LV"/>
        </w:rPr>
      </w:pPr>
      <w:r>
        <w:rPr>
          <w:rStyle w:val="FootnoteReference"/>
        </w:rPr>
        <w:footnoteRef/>
      </w:r>
      <w:r w:rsidRPr="00D3239C">
        <w:rPr>
          <w:lang w:val="lv-LV"/>
        </w:rPr>
        <w:t xml:space="preserve"> </w:t>
      </w:r>
      <w:r>
        <w:rPr>
          <w:lang w:val="lv-LV"/>
        </w:rPr>
        <w:t>U</w:t>
      </w:r>
      <w:r w:rsidRPr="00D3239C">
        <w:rPr>
          <w:lang w:val="lv-LV"/>
        </w:rPr>
        <w:t>rgent procedure letters CERD/EWUAP/98th session/Latvia/JP/ks of 10.05.2019 and CERD/EWUAP/99th session/Latvia/JP/ks of 29.08.2019;</w:t>
      </w:r>
    </w:p>
  </w:footnote>
  <w:footnote w:id="45">
    <w:p w:rsidR="00485538" w:rsidRPr="00D3239C" w:rsidRDefault="00485538">
      <w:pPr>
        <w:pStyle w:val="FootnoteText"/>
        <w:rPr>
          <w:lang w:val="lv-LV"/>
        </w:rPr>
      </w:pPr>
      <w:r>
        <w:rPr>
          <w:rStyle w:val="FootnoteReference"/>
        </w:rPr>
        <w:footnoteRef/>
      </w:r>
      <w:r w:rsidRPr="00D3239C">
        <w:rPr>
          <w:lang w:val="lv-LV"/>
        </w:rPr>
        <w:t xml:space="preserve"> OL LVA 1/2019 of 24.09.2019</w:t>
      </w:r>
      <w:r>
        <w:rPr>
          <w:lang w:val="lv-LV"/>
        </w:rPr>
        <w:t xml:space="preserve"> </w:t>
      </w:r>
    </w:p>
  </w:footnote>
  <w:footnote w:id="46">
    <w:p w:rsidR="00485538" w:rsidRPr="0009721C" w:rsidRDefault="00485538">
      <w:pPr>
        <w:pStyle w:val="FootnoteText"/>
        <w:rPr>
          <w:lang w:val="en-GB"/>
        </w:rPr>
      </w:pPr>
      <w:r>
        <w:rPr>
          <w:rStyle w:val="FootnoteReference"/>
        </w:rPr>
        <w:footnoteRef/>
      </w:r>
      <w:r w:rsidRPr="0009721C">
        <w:rPr>
          <w:lang w:val="en-GB"/>
        </w:rPr>
        <w:t xml:space="preserve"> Opinion No. 975/2020; CDL-AD(2020)012. Para. 85-87, 120;   </w:t>
      </w:r>
      <w:hyperlink r:id="rId38" w:history="1">
        <w:r w:rsidRPr="00EB1024">
          <w:rPr>
            <w:rStyle w:val="Hyperlink"/>
            <w:lang w:val="en-GB"/>
          </w:rPr>
          <w:t>https://www.venice.coe.int/webforms/documents/?pdf=CDL-AD(2020)012-e</w:t>
        </w:r>
      </w:hyperlink>
      <w:r>
        <w:rPr>
          <w:lang w:val="en-GB"/>
        </w:rPr>
        <w:t xml:space="preserve"> </w:t>
      </w:r>
    </w:p>
  </w:footnote>
  <w:footnote w:id="47">
    <w:p w:rsidR="00485538" w:rsidRPr="009743DA" w:rsidRDefault="00485538" w:rsidP="00F422DE">
      <w:pPr>
        <w:pStyle w:val="FootnoteText"/>
        <w:rPr>
          <w:lang w:val="lv-LV"/>
        </w:rPr>
      </w:pPr>
      <w:r>
        <w:rPr>
          <w:rStyle w:val="FootnoteReference"/>
        </w:rPr>
        <w:footnoteRef/>
      </w:r>
      <w:r w:rsidRPr="009743DA">
        <w:rPr>
          <w:lang w:val="lv-LV"/>
        </w:rPr>
        <w:t xml:space="preserve"> </w:t>
      </w:r>
      <w:hyperlink r:id="rId39" w:history="1">
        <w:r w:rsidRPr="00D44625">
          <w:rPr>
            <w:rStyle w:val="Hyperlink"/>
            <w:lang w:val="lv-LV"/>
          </w:rPr>
          <w:t>http://www.satv.tiesa.gov.lv/en/press-release/the-norms-that-determine-the-language-of-instruction-in-pre-school-institutions-comply-with-the-satversme/</w:t>
        </w:r>
      </w:hyperlink>
      <w:r>
        <w:rPr>
          <w:lang w:val="lv-LV"/>
        </w:rPr>
        <w:t xml:space="preserve"> </w:t>
      </w:r>
    </w:p>
  </w:footnote>
  <w:footnote w:id="48">
    <w:p w:rsidR="00485538" w:rsidRPr="00E873AA" w:rsidRDefault="00485538">
      <w:pPr>
        <w:pStyle w:val="FootnoteText"/>
        <w:rPr>
          <w:lang w:val="lv-LV"/>
        </w:rPr>
      </w:pPr>
      <w:r>
        <w:rPr>
          <w:rStyle w:val="FootnoteReference"/>
        </w:rPr>
        <w:footnoteRef/>
      </w:r>
      <w:r w:rsidRPr="00E873AA">
        <w:rPr>
          <w:lang w:val="lv-LV"/>
        </w:rPr>
        <w:t xml:space="preserve"> </w:t>
      </w:r>
      <w:hyperlink r:id="rId40" w:history="1">
        <w:r w:rsidRPr="007F6DB2">
          <w:rPr>
            <w:rStyle w:val="Hyperlink"/>
            <w:lang w:val="lv-LV"/>
          </w:rPr>
          <w:t>http://minorities-latvia.info/2020/05/14/draft-amendment-to-the-general-education-law-2020/</w:t>
        </w:r>
      </w:hyperlink>
      <w:r>
        <w:rPr>
          <w:lang w:val="lv-LV"/>
        </w:rPr>
        <w:t xml:space="preserve"> (EN) See also a media report </w:t>
      </w:r>
      <w:hyperlink r:id="rId41" w:history="1">
        <w:r w:rsidRPr="007F6DB2">
          <w:rPr>
            <w:rStyle w:val="Hyperlink"/>
            <w:lang w:val="lv-LV"/>
          </w:rPr>
          <w:t>https://rus.delfi.lv/news/daily/latvia/s-2021-goda-vse-municipalnye-detskie-sady-dolzhny-obespechivat-obuchenie-na-latyshskom-yazyke.d?id=52140389</w:t>
        </w:r>
      </w:hyperlink>
      <w:r>
        <w:rPr>
          <w:lang w:val="lv-LV"/>
        </w:rPr>
        <w:t xml:space="preserve"> (RU)</w:t>
      </w:r>
    </w:p>
  </w:footnote>
  <w:footnote w:id="49">
    <w:p w:rsidR="00485538" w:rsidRPr="00B94B3F" w:rsidRDefault="00485538">
      <w:pPr>
        <w:pStyle w:val="FootnoteText"/>
        <w:rPr>
          <w:lang w:val="en-GB"/>
        </w:rPr>
      </w:pPr>
      <w:r>
        <w:rPr>
          <w:rStyle w:val="FootnoteReference"/>
        </w:rPr>
        <w:footnoteRef/>
      </w:r>
      <w:r w:rsidRPr="00B94B3F">
        <w:rPr>
          <w:lang w:val="en-GB"/>
        </w:rPr>
        <w:t xml:space="preserve"> Media report </w:t>
      </w:r>
      <w:r w:rsidR="00985A99">
        <w:rPr>
          <w:lang w:val="en-GB"/>
        </w:rPr>
        <w:t>(LV)</w:t>
      </w:r>
      <w:r w:rsidRPr="00B94B3F">
        <w:rPr>
          <w:lang w:val="en-GB"/>
        </w:rPr>
        <w:t xml:space="preserve"> </w:t>
      </w:r>
      <w:hyperlink r:id="rId42" w:history="1">
        <w:r w:rsidRPr="007F6DB2">
          <w:rPr>
            <w:rStyle w:val="Hyperlink"/>
            <w:lang w:val="en-GB"/>
          </w:rPr>
          <w:t>https://www.diena.lv/raksts/latvija/zinas/ne-visi-darzini-gatavi-atvert-latviesu-grupas-14242474</w:t>
        </w:r>
      </w:hyperlink>
      <w:r>
        <w:rPr>
          <w:lang w:val="en-GB"/>
        </w:rPr>
        <w:t xml:space="preserve"> </w:t>
      </w:r>
      <w:r w:rsidRPr="00B94B3F">
        <w:rPr>
          <w:lang w:val="en-GB"/>
        </w:rPr>
        <w:t xml:space="preserve"> Retelling </w:t>
      </w:r>
      <w:r w:rsidR="00985A99">
        <w:rPr>
          <w:lang w:val="en-GB"/>
        </w:rPr>
        <w:t>(RU)</w:t>
      </w:r>
      <w:r w:rsidRPr="00B94B3F">
        <w:rPr>
          <w:lang w:val="en-GB"/>
        </w:rPr>
        <w:t xml:space="preserve"> </w:t>
      </w:r>
      <w:hyperlink r:id="rId43" w:history="1">
        <w:r w:rsidRPr="007F6DB2">
          <w:rPr>
            <w:rStyle w:val="Hyperlink"/>
            <w:lang w:val="en-GB"/>
          </w:rPr>
          <w:t>https://lv.sputniknews.ru/Latvia/20200610/13877202/Eto-budet-neprosto-dva-russkikh-detsada-v-Liepae-polnostyu-perevedut-na-latyshskiy.html</w:t>
        </w:r>
      </w:hyperlink>
      <w:r>
        <w:rPr>
          <w:lang w:val="en-GB"/>
        </w:rPr>
        <w:t xml:space="preserve"> </w:t>
      </w:r>
    </w:p>
  </w:footnote>
  <w:footnote w:id="50">
    <w:p w:rsidR="00485538" w:rsidRPr="007F4860" w:rsidRDefault="00485538">
      <w:pPr>
        <w:pStyle w:val="FootnoteText"/>
        <w:rPr>
          <w:lang w:val="en-GB"/>
        </w:rPr>
      </w:pPr>
      <w:r>
        <w:rPr>
          <w:rStyle w:val="FootnoteReference"/>
        </w:rPr>
        <w:footnoteRef/>
      </w:r>
      <w:r w:rsidRPr="007F4860">
        <w:rPr>
          <w:lang w:val="en-GB"/>
        </w:rPr>
        <w:t xml:space="preserve"> </w:t>
      </w:r>
      <w:hyperlink r:id="rId44" w:history="1">
        <w:r w:rsidRPr="00EB1024">
          <w:rPr>
            <w:rStyle w:val="Hyperlink"/>
            <w:lang w:val="en-GB"/>
          </w:rPr>
          <w:t>https://titania.saeima.lv/LIVS13/saeimalivs13.nsf/0/C1C551C2C2ADCCF1C22585040051641D?OpenDocument</w:t>
        </w:r>
      </w:hyperlink>
      <w:r>
        <w:rPr>
          <w:lang w:val="en-GB"/>
        </w:rPr>
        <w:t xml:space="preserve"> (LV, EN)</w:t>
      </w:r>
    </w:p>
  </w:footnote>
  <w:footnote w:id="51">
    <w:p w:rsidR="00485538" w:rsidRPr="009965F6" w:rsidRDefault="00485538" w:rsidP="007F4860">
      <w:pPr>
        <w:pStyle w:val="FootnoteText"/>
        <w:rPr>
          <w:lang w:val="en-GB"/>
        </w:rPr>
      </w:pPr>
      <w:r>
        <w:rPr>
          <w:rStyle w:val="FootnoteReference"/>
        </w:rPr>
        <w:footnoteRef/>
      </w:r>
      <w:r w:rsidRPr="009965F6">
        <w:rPr>
          <w:lang w:val="en-GB"/>
        </w:rPr>
        <w:t xml:space="preserve"> 2018-2020 legislatives changes in Latvia: restricting the minority rights to learn in their mother tongue</w:t>
      </w:r>
      <w:r>
        <w:rPr>
          <w:lang w:val="en-GB"/>
        </w:rPr>
        <w:t xml:space="preserve"> </w:t>
      </w:r>
      <w:hyperlink r:id="rId45" w:history="1">
        <w:r w:rsidRPr="003965A5">
          <w:rPr>
            <w:rStyle w:val="Hyperlink"/>
            <w:lang w:val="en-GB"/>
          </w:rPr>
          <w:t>http://lhrc.lv/arxiv/EduRef_table.docx</w:t>
        </w:r>
      </w:hyperlink>
      <w:r>
        <w:rPr>
          <w:lang w:val="en-GB"/>
        </w:rPr>
        <w:t xml:space="preserve">  (EN)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7D58"/>
    <w:multiLevelType w:val="hybridMultilevel"/>
    <w:tmpl w:val="28C691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1761B3"/>
    <w:multiLevelType w:val="hybridMultilevel"/>
    <w:tmpl w:val="A1CA65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6C31F79"/>
    <w:multiLevelType w:val="hybridMultilevel"/>
    <w:tmpl w:val="390289A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3D2507F2"/>
    <w:multiLevelType w:val="hybridMultilevel"/>
    <w:tmpl w:val="EC74B2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A2F3DB6"/>
    <w:multiLevelType w:val="hybridMultilevel"/>
    <w:tmpl w:val="75525B1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6C9"/>
    <w:rsid w:val="00011B51"/>
    <w:rsid w:val="000145DD"/>
    <w:rsid w:val="000156E2"/>
    <w:rsid w:val="00020BE3"/>
    <w:rsid w:val="0002111D"/>
    <w:rsid w:val="00034F33"/>
    <w:rsid w:val="00040FDC"/>
    <w:rsid w:val="00041E5E"/>
    <w:rsid w:val="00045393"/>
    <w:rsid w:val="000522AF"/>
    <w:rsid w:val="00055909"/>
    <w:rsid w:val="0005611F"/>
    <w:rsid w:val="00064709"/>
    <w:rsid w:val="0006513F"/>
    <w:rsid w:val="00067C62"/>
    <w:rsid w:val="0007541F"/>
    <w:rsid w:val="00081E8F"/>
    <w:rsid w:val="000827D0"/>
    <w:rsid w:val="00086A93"/>
    <w:rsid w:val="00096501"/>
    <w:rsid w:val="0009721C"/>
    <w:rsid w:val="000A0864"/>
    <w:rsid w:val="000A1324"/>
    <w:rsid w:val="000A4075"/>
    <w:rsid w:val="000A65A7"/>
    <w:rsid w:val="000A6CA9"/>
    <w:rsid w:val="000A72CA"/>
    <w:rsid w:val="000B28A1"/>
    <w:rsid w:val="000C289C"/>
    <w:rsid w:val="000C60D5"/>
    <w:rsid w:val="000C6450"/>
    <w:rsid w:val="000E0487"/>
    <w:rsid w:val="000F2E8F"/>
    <w:rsid w:val="000F43DB"/>
    <w:rsid w:val="000F68B5"/>
    <w:rsid w:val="000F7FB6"/>
    <w:rsid w:val="00102C76"/>
    <w:rsid w:val="00104E39"/>
    <w:rsid w:val="00115D00"/>
    <w:rsid w:val="001205CB"/>
    <w:rsid w:val="001252FB"/>
    <w:rsid w:val="00131208"/>
    <w:rsid w:val="001313BD"/>
    <w:rsid w:val="001318F9"/>
    <w:rsid w:val="001405E2"/>
    <w:rsid w:val="0014368B"/>
    <w:rsid w:val="0014542A"/>
    <w:rsid w:val="00155138"/>
    <w:rsid w:val="00157273"/>
    <w:rsid w:val="0016112F"/>
    <w:rsid w:val="00165904"/>
    <w:rsid w:val="00167AE8"/>
    <w:rsid w:val="001747FF"/>
    <w:rsid w:val="00182C93"/>
    <w:rsid w:val="00183321"/>
    <w:rsid w:val="0019078A"/>
    <w:rsid w:val="001922FC"/>
    <w:rsid w:val="00192D87"/>
    <w:rsid w:val="001A1905"/>
    <w:rsid w:val="001B3C3E"/>
    <w:rsid w:val="001B5441"/>
    <w:rsid w:val="001B609A"/>
    <w:rsid w:val="001C12ED"/>
    <w:rsid w:val="001C2F33"/>
    <w:rsid w:val="001C7C6A"/>
    <w:rsid w:val="001D7F4E"/>
    <w:rsid w:val="001D7FAA"/>
    <w:rsid w:val="001E1949"/>
    <w:rsid w:val="001E294C"/>
    <w:rsid w:val="001E39DB"/>
    <w:rsid w:val="001E447A"/>
    <w:rsid w:val="001F04E5"/>
    <w:rsid w:val="001F0A0F"/>
    <w:rsid w:val="001F5561"/>
    <w:rsid w:val="00201319"/>
    <w:rsid w:val="00201CCF"/>
    <w:rsid w:val="002027EA"/>
    <w:rsid w:val="002050C9"/>
    <w:rsid w:val="002141D4"/>
    <w:rsid w:val="00215043"/>
    <w:rsid w:val="00217C44"/>
    <w:rsid w:val="002205B7"/>
    <w:rsid w:val="00223E82"/>
    <w:rsid w:val="00223EE7"/>
    <w:rsid w:val="00225BAE"/>
    <w:rsid w:val="00227BC1"/>
    <w:rsid w:val="00234563"/>
    <w:rsid w:val="00242C3C"/>
    <w:rsid w:val="002459BF"/>
    <w:rsid w:val="00251C86"/>
    <w:rsid w:val="002549B8"/>
    <w:rsid w:val="00255BC8"/>
    <w:rsid w:val="00256024"/>
    <w:rsid w:val="0025715A"/>
    <w:rsid w:val="00260A03"/>
    <w:rsid w:val="0026197E"/>
    <w:rsid w:val="00270EB7"/>
    <w:rsid w:val="00277913"/>
    <w:rsid w:val="00277A79"/>
    <w:rsid w:val="0028006E"/>
    <w:rsid w:val="00282E6A"/>
    <w:rsid w:val="00286E5D"/>
    <w:rsid w:val="00292C10"/>
    <w:rsid w:val="00294289"/>
    <w:rsid w:val="00294929"/>
    <w:rsid w:val="00294A69"/>
    <w:rsid w:val="002A0EE6"/>
    <w:rsid w:val="002A1310"/>
    <w:rsid w:val="002A2E14"/>
    <w:rsid w:val="002A303E"/>
    <w:rsid w:val="002A4369"/>
    <w:rsid w:val="002A7DFE"/>
    <w:rsid w:val="002B06B4"/>
    <w:rsid w:val="002B2DBF"/>
    <w:rsid w:val="002B3221"/>
    <w:rsid w:val="002C3023"/>
    <w:rsid w:val="002C78EA"/>
    <w:rsid w:val="002D6DC9"/>
    <w:rsid w:val="002E1BFE"/>
    <w:rsid w:val="002E394F"/>
    <w:rsid w:val="002E5533"/>
    <w:rsid w:val="002E5ACE"/>
    <w:rsid w:val="002F0F26"/>
    <w:rsid w:val="003048B6"/>
    <w:rsid w:val="00307205"/>
    <w:rsid w:val="003116AC"/>
    <w:rsid w:val="003147F2"/>
    <w:rsid w:val="00314B93"/>
    <w:rsid w:val="00315D86"/>
    <w:rsid w:val="00321B19"/>
    <w:rsid w:val="003261C3"/>
    <w:rsid w:val="00327190"/>
    <w:rsid w:val="003274D3"/>
    <w:rsid w:val="00332538"/>
    <w:rsid w:val="003326E9"/>
    <w:rsid w:val="003357BD"/>
    <w:rsid w:val="0034422C"/>
    <w:rsid w:val="00347CB3"/>
    <w:rsid w:val="00355398"/>
    <w:rsid w:val="00356A7F"/>
    <w:rsid w:val="00356E87"/>
    <w:rsid w:val="00364944"/>
    <w:rsid w:val="00367C6B"/>
    <w:rsid w:val="003747F2"/>
    <w:rsid w:val="00375B27"/>
    <w:rsid w:val="0038052E"/>
    <w:rsid w:val="0038406B"/>
    <w:rsid w:val="003958E9"/>
    <w:rsid w:val="00397AAC"/>
    <w:rsid w:val="003A1AE1"/>
    <w:rsid w:val="003A37B2"/>
    <w:rsid w:val="003A3EC3"/>
    <w:rsid w:val="003A531E"/>
    <w:rsid w:val="003B00D9"/>
    <w:rsid w:val="003B03BF"/>
    <w:rsid w:val="003B42D1"/>
    <w:rsid w:val="003B523E"/>
    <w:rsid w:val="003B7FAC"/>
    <w:rsid w:val="003C2FBA"/>
    <w:rsid w:val="003C656A"/>
    <w:rsid w:val="003D27D7"/>
    <w:rsid w:val="003E0578"/>
    <w:rsid w:val="003E44D6"/>
    <w:rsid w:val="003F0CDE"/>
    <w:rsid w:val="003F274E"/>
    <w:rsid w:val="003F2C09"/>
    <w:rsid w:val="003F422A"/>
    <w:rsid w:val="003F4899"/>
    <w:rsid w:val="003F4D1C"/>
    <w:rsid w:val="003F56EF"/>
    <w:rsid w:val="00403C16"/>
    <w:rsid w:val="0040639A"/>
    <w:rsid w:val="00416AE5"/>
    <w:rsid w:val="004206C9"/>
    <w:rsid w:val="004222A5"/>
    <w:rsid w:val="00423011"/>
    <w:rsid w:val="00423649"/>
    <w:rsid w:val="00427E61"/>
    <w:rsid w:val="00443D10"/>
    <w:rsid w:val="004464FD"/>
    <w:rsid w:val="00446904"/>
    <w:rsid w:val="004518D5"/>
    <w:rsid w:val="0045262E"/>
    <w:rsid w:val="00452738"/>
    <w:rsid w:val="004617C2"/>
    <w:rsid w:val="00466A75"/>
    <w:rsid w:val="00467387"/>
    <w:rsid w:val="004702D1"/>
    <w:rsid w:val="0047622C"/>
    <w:rsid w:val="00477750"/>
    <w:rsid w:val="0048062E"/>
    <w:rsid w:val="00483565"/>
    <w:rsid w:val="00485538"/>
    <w:rsid w:val="00485C09"/>
    <w:rsid w:val="00485E83"/>
    <w:rsid w:val="00490634"/>
    <w:rsid w:val="00495949"/>
    <w:rsid w:val="004C02D9"/>
    <w:rsid w:val="004C1F88"/>
    <w:rsid w:val="004C21EE"/>
    <w:rsid w:val="004C3CBB"/>
    <w:rsid w:val="004C4919"/>
    <w:rsid w:val="004C49B1"/>
    <w:rsid w:val="004C6874"/>
    <w:rsid w:val="004C7AAB"/>
    <w:rsid w:val="004D0FE2"/>
    <w:rsid w:val="004D204E"/>
    <w:rsid w:val="004D49F2"/>
    <w:rsid w:val="004D5F31"/>
    <w:rsid w:val="004E25FC"/>
    <w:rsid w:val="004E4138"/>
    <w:rsid w:val="004E48D2"/>
    <w:rsid w:val="004E5F36"/>
    <w:rsid w:val="004F0904"/>
    <w:rsid w:val="004F60C1"/>
    <w:rsid w:val="004F7E46"/>
    <w:rsid w:val="00500086"/>
    <w:rsid w:val="00504681"/>
    <w:rsid w:val="00505332"/>
    <w:rsid w:val="00511C5B"/>
    <w:rsid w:val="00511E3D"/>
    <w:rsid w:val="00512F6F"/>
    <w:rsid w:val="005266F1"/>
    <w:rsid w:val="005320CB"/>
    <w:rsid w:val="00532B40"/>
    <w:rsid w:val="00532EFA"/>
    <w:rsid w:val="00534C07"/>
    <w:rsid w:val="0053701B"/>
    <w:rsid w:val="00537E4C"/>
    <w:rsid w:val="005465A5"/>
    <w:rsid w:val="00550359"/>
    <w:rsid w:val="005541B2"/>
    <w:rsid w:val="00564308"/>
    <w:rsid w:val="00566067"/>
    <w:rsid w:val="00566B5A"/>
    <w:rsid w:val="00573B38"/>
    <w:rsid w:val="00576F9E"/>
    <w:rsid w:val="005827B9"/>
    <w:rsid w:val="00584F26"/>
    <w:rsid w:val="0058553E"/>
    <w:rsid w:val="00594BB4"/>
    <w:rsid w:val="005977A5"/>
    <w:rsid w:val="005A2B20"/>
    <w:rsid w:val="005A2ECA"/>
    <w:rsid w:val="005A534F"/>
    <w:rsid w:val="005A5D2E"/>
    <w:rsid w:val="005A6FAB"/>
    <w:rsid w:val="005B2453"/>
    <w:rsid w:val="005B5E0E"/>
    <w:rsid w:val="005C3A2D"/>
    <w:rsid w:val="005C6617"/>
    <w:rsid w:val="005D075A"/>
    <w:rsid w:val="005D385A"/>
    <w:rsid w:val="005E7BE1"/>
    <w:rsid w:val="005E7C6E"/>
    <w:rsid w:val="006026ED"/>
    <w:rsid w:val="00605535"/>
    <w:rsid w:val="00606E72"/>
    <w:rsid w:val="006101A5"/>
    <w:rsid w:val="00611691"/>
    <w:rsid w:val="00616216"/>
    <w:rsid w:val="0062072A"/>
    <w:rsid w:val="006302C8"/>
    <w:rsid w:val="00632B14"/>
    <w:rsid w:val="00640380"/>
    <w:rsid w:val="0064378C"/>
    <w:rsid w:val="006439F4"/>
    <w:rsid w:val="0064591E"/>
    <w:rsid w:val="00646B58"/>
    <w:rsid w:val="006470CE"/>
    <w:rsid w:val="006470F4"/>
    <w:rsid w:val="0065138F"/>
    <w:rsid w:val="00651734"/>
    <w:rsid w:val="00652188"/>
    <w:rsid w:val="006666FB"/>
    <w:rsid w:val="00670A62"/>
    <w:rsid w:val="0067239B"/>
    <w:rsid w:val="0067332A"/>
    <w:rsid w:val="00683778"/>
    <w:rsid w:val="00690A48"/>
    <w:rsid w:val="00693781"/>
    <w:rsid w:val="006A0824"/>
    <w:rsid w:val="006A4D02"/>
    <w:rsid w:val="006B01A8"/>
    <w:rsid w:val="006B08C2"/>
    <w:rsid w:val="006B148C"/>
    <w:rsid w:val="006C251B"/>
    <w:rsid w:val="006C3DEF"/>
    <w:rsid w:val="006C5AF1"/>
    <w:rsid w:val="006C5BB0"/>
    <w:rsid w:val="006D025F"/>
    <w:rsid w:val="006D4E44"/>
    <w:rsid w:val="006E4532"/>
    <w:rsid w:val="006F0186"/>
    <w:rsid w:val="006F26D4"/>
    <w:rsid w:val="006F5D6A"/>
    <w:rsid w:val="006F60F6"/>
    <w:rsid w:val="007027DB"/>
    <w:rsid w:val="00715F94"/>
    <w:rsid w:val="00722D41"/>
    <w:rsid w:val="007253D5"/>
    <w:rsid w:val="00725572"/>
    <w:rsid w:val="007300F3"/>
    <w:rsid w:val="00731415"/>
    <w:rsid w:val="007360CD"/>
    <w:rsid w:val="00740ED8"/>
    <w:rsid w:val="007447B4"/>
    <w:rsid w:val="00746BD9"/>
    <w:rsid w:val="00751BE3"/>
    <w:rsid w:val="007521A9"/>
    <w:rsid w:val="00753E0F"/>
    <w:rsid w:val="00754154"/>
    <w:rsid w:val="0075487A"/>
    <w:rsid w:val="007575D9"/>
    <w:rsid w:val="007605EC"/>
    <w:rsid w:val="00764F50"/>
    <w:rsid w:val="00773273"/>
    <w:rsid w:val="0078356C"/>
    <w:rsid w:val="00783901"/>
    <w:rsid w:val="0078461C"/>
    <w:rsid w:val="0078691D"/>
    <w:rsid w:val="007873AA"/>
    <w:rsid w:val="00793393"/>
    <w:rsid w:val="00795412"/>
    <w:rsid w:val="00795503"/>
    <w:rsid w:val="007A1D37"/>
    <w:rsid w:val="007A2B99"/>
    <w:rsid w:val="007A33FF"/>
    <w:rsid w:val="007A7A71"/>
    <w:rsid w:val="007A7F8B"/>
    <w:rsid w:val="007B19BA"/>
    <w:rsid w:val="007C0D6D"/>
    <w:rsid w:val="007C2D62"/>
    <w:rsid w:val="007C62D6"/>
    <w:rsid w:val="007C6660"/>
    <w:rsid w:val="007D15B1"/>
    <w:rsid w:val="007D4C72"/>
    <w:rsid w:val="007E4ED6"/>
    <w:rsid w:val="007E6D97"/>
    <w:rsid w:val="007F0DA3"/>
    <w:rsid w:val="007F1FC6"/>
    <w:rsid w:val="007F39AC"/>
    <w:rsid w:val="007F4860"/>
    <w:rsid w:val="007F515D"/>
    <w:rsid w:val="008004D7"/>
    <w:rsid w:val="008024E4"/>
    <w:rsid w:val="00802AAF"/>
    <w:rsid w:val="00802E53"/>
    <w:rsid w:val="00810542"/>
    <w:rsid w:val="00812D4E"/>
    <w:rsid w:val="00814F0E"/>
    <w:rsid w:val="00815BAB"/>
    <w:rsid w:val="00827AF7"/>
    <w:rsid w:val="00830B5C"/>
    <w:rsid w:val="00831A75"/>
    <w:rsid w:val="008415BB"/>
    <w:rsid w:val="0084165D"/>
    <w:rsid w:val="00841C79"/>
    <w:rsid w:val="00845E3D"/>
    <w:rsid w:val="00846E3C"/>
    <w:rsid w:val="0085107D"/>
    <w:rsid w:val="008510DA"/>
    <w:rsid w:val="00861615"/>
    <w:rsid w:val="0086663A"/>
    <w:rsid w:val="00877DB3"/>
    <w:rsid w:val="0088195C"/>
    <w:rsid w:val="00883D4A"/>
    <w:rsid w:val="00891E86"/>
    <w:rsid w:val="008923C8"/>
    <w:rsid w:val="008927D8"/>
    <w:rsid w:val="00894D7D"/>
    <w:rsid w:val="00897468"/>
    <w:rsid w:val="008A6021"/>
    <w:rsid w:val="008B0B2B"/>
    <w:rsid w:val="008C42C3"/>
    <w:rsid w:val="008C78AE"/>
    <w:rsid w:val="008D2F57"/>
    <w:rsid w:val="008D4D20"/>
    <w:rsid w:val="008D58F1"/>
    <w:rsid w:val="008D6CA2"/>
    <w:rsid w:val="008F1C35"/>
    <w:rsid w:val="008F6998"/>
    <w:rsid w:val="0090571F"/>
    <w:rsid w:val="0091541D"/>
    <w:rsid w:val="009216C4"/>
    <w:rsid w:val="009219AE"/>
    <w:rsid w:val="009229F3"/>
    <w:rsid w:val="009233FF"/>
    <w:rsid w:val="0092496B"/>
    <w:rsid w:val="00931128"/>
    <w:rsid w:val="009329EF"/>
    <w:rsid w:val="0093491E"/>
    <w:rsid w:val="00941B3A"/>
    <w:rsid w:val="00942010"/>
    <w:rsid w:val="00943B68"/>
    <w:rsid w:val="00946A81"/>
    <w:rsid w:val="00952A12"/>
    <w:rsid w:val="00956558"/>
    <w:rsid w:val="00956669"/>
    <w:rsid w:val="00956D15"/>
    <w:rsid w:val="009624F4"/>
    <w:rsid w:val="0096330C"/>
    <w:rsid w:val="00964DFE"/>
    <w:rsid w:val="00973167"/>
    <w:rsid w:val="00977AF8"/>
    <w:rsid w:val="00980966"/>
    <w:rsid w:val="00983307"/>
    <w:rsid w:val="00985A99"/>
    <w:rsid w:val="009867EF"/>
    <w:rsid w:val="009907D1"/>
    <w:rsid w:val="00992016"/>
    <w:rsid w:val="009925F1"/>
    <w:rsid w:val="00992C97"/>
    <w:rsid w:val="009965F6"/>
    <w:rsid w:val="0099732E"/>
    <w:rsid w:val="00997C22"/>
    <w:rsid w:val="009A0151"/>
    <w:rsid w:val="009A1D0B"/>
    <w:rsid w:val="009B65B2"/>
    <w:rsid w:val="009B70B5"/>
    <w:rsid w:val="009C259F"/>
    <w:rsid w:val="009D08B5"/>
    <w:rsid w:val="009D521A"/>
    <w:rsid w:val="009E0A82"/>
    <w:rsid w:val="009E14F8"/>
    <w:rsid w:val="009E7C96"/>
    <w:rsid w:val="009F4541"/>
    <w:rsid w:val="009F5898"/>
    <w:rsid w:val="009F65E0"/>
    <w:rsid w:val="00A13879"/>
    <w:rsid w:val="00A145EB"/>
    <w:rsid w:val="00A15A1D"/>
    <w:rsid w:val="00A2668D"/>
    <w:rsid w:val="00A319C1"/>
    <w:rsid w:val="00A359C7"/>
    <w:rsid w:val="00A44A35"/>
    <w:rsid w:val="00A452A6"/>
    <w:rsid w:val="00A47B3D"/>
    <w:rsid w:val="00A50758"/>
    <w:rsid w:val="00A53330"/>
    <w:rsid w:val="00A57AE7"/>
    <w:rsid w:val="00A60433"/>
    <w:rsid w:val="00A60799"/>
    <w:rsid w:val="00A60887"/>
    <w:rsid w:val="00A64778"/>
    <w:rsid w:val="00A652F4"/>
    <w:rsid w:val="00A66824"/>
    <w:rsid w:val="00A710A5"/>
    <w:rsid w:val="00A74986"/>
    <w:rsid w:val="00A866E9"/>
    <w:rsid w:val="00A876B0"/>
    <w:rsid w:val="00A91556"/>
    <w:rsid w:val="00A95AB2"/>
    <w:rsid w:val="00AA7E9E"/>
    <w:rsid w:val="00AB0616"/>
    <w:rsid w:val="00AB19AF"/>
    <w:rsid w:val="00AB6540"/>
    <w:rsid w:val="00AB6BCA"/>
    <w:rsid w:val="00AC3667"/>
    <w:rsid w:val="00AC3B3F"/>
    <w:rsid w:val="00AC67FD"/>
    <w:rsid w:val="00AD06E6"/>
    <w:rsid w:val="00AD4316"/>
    <w:rsid w:val="00AD51E0"/>
    <w:rsid w:val="00AE3757"/>
    <w:rsid w:val="00AE6CE3"/>
    <w:rsid w:val="00AF024C"/>
    <w:rsid w:val="00AF7BC7"/>
    <w:rsid w:val="00B02CF8"/>
    <w:rsid w:val="00B037D7"/>
    <w:rsid w:val="00B1570F"/>
    <w:rsid w:val="00B16491"/>
    <w:rsid w:val="00B204C3"/>
    <w:rsid w:val="00B247F4"/>
    <w:rsid w:val="00B26B84"/>
    <w:rsid w:val="00B31450"/>
    <w:rsid w:val="00B34C20"/>
    <w:rsid w:val="00B45B9B"/>
    <w:rsid w:val="00B45D21"/>
    <w:rsid w:val="00B53F73"/>
    <w:rsid w:val="00B564C9"/>
    <w:rsid w:val="00B60A39"/>
    <w:rsid w:val="00B646AF"/>
    <w:rsid w:val="00B6547C"/>
    <w:rsid w:val="00B67F28"/>
    <w:rsid w:val="00B7269C"/>
    <w:rsid w:val="00B77EFE"/>
    <w:rsid w:val="00B80515"/>
    <w:rsid w:val="00B818AA"/>
    <w:rsid w:val="00B81904"/>
    <w:rsid w:val="00B864EB"/>
    <w:rsid w:val="00B94B3F"/>
    <w:rsid w:val="00BA272B"/>
    <w:rsid w:val="00BA4481"/>
    <w:rsid w:val="00BA66DD"/>
    <w:rsid w:val="00BC66B1"/>
    <w:rsid w:val="00BD27DF"/>
    <w:rsid w:val="00BD3979"/>
    <w:rsid w:val="00BD4234"/>
    <w:rsid w:val="00BD6F9E"/>
    <w:rsid w:val="00BE566F"/>
    <w:rsid w:val="00BE6B85"/>
    <w:rsid w:val="00BF0613"/>
    <w:rsid w:val="00BF131B"/>
    <w:rsid w:val="00BF6493"/>
    <w:rsid w:val="00C00A6A"/>
    <w:rsid w:val="00C02572"/>
    <w:rsid w:val="00C14508"/>
    <w:rsid w:val="00C15A1F"/>
    <w:rsid w:val="00C16EFE"/>
    <w:rsid w:val="00C25968"/>
    <w:rsid w:val="00C27CBE"/>
    <w:rsid w:val="00C416D1"/>
    <w:rsid w:val="00C43C06"/>
    <w:rsid w:val="00C5299E"/>
    <w:rsid w:val="00C544BB"/>
    <w:rsid w:val="00C55173"/>
    <w:rsid w:val="00C56A33"/>
    <w:rsid w:val="00C60FBB"/>
    <w:rsid w:val="00C64D1C"/>
    <w:rsid w:val="00C8336D"/>
    <w:rsid w:val="00C87753"/>
    <w:rsid w:val="00C91671"/>
    <w:rsid w:val="00C94762"/>
    <w:rsid w:val="00C94DC2"/>
    <w:rsid w:val="00C959AB"/>
    <w:rsid w:val="00C97664"/>
    <w:rsid w:val="00C97BB0"/>
    <w:rsid w:val="00CA1BE5"/>
    <w:rsid w:val="00CA4C95"/>
    <w:rsid w:val="00CB0E5A"/>
    <w:rsid w:val="00CB1780"/>
    <w:rsid w:val="00CB1DC8"/>
    <w:rsid w:val="00CB2A50"/>
    <w:rsid w:val="00CC051F"/>
    <w:rsid w:val="00CC154B"/>
    <w:rsid w:val="00CC3A46"/>
    <w:rsid w:val="00CC5EEF"/>
    <w:rsid w:val="00CE1B6F"/>
    <w:rsid w:val="00CE7044"/>
    <w:rsid w:val="00CF4736"/>
    <w:rsid w:val="00CF47A2"/>
    <w:rsid w:val="00CF70A1"/>
    <w:rsid w:val="00D0063B"/>
    <w:rsid w:val="00D01343"/>
    <w:rsid w:val="00D06A92"/>
    <w:rsid w:val="00D156FA"/>
    <w:rsid w:val="00D16866"/>
    <w:rsid w:val="00D26F2A"/>
    <w:rsid w:val="00D32181"/>
    <w:rsid w:val="00D3239C"/>
    <w:rsid w:val="00D333A0"/>
    <w:rsid w:val="00D36C39"/>
    <w:rsid w:val="00D40F64"/>
    <w:rsid w:val="00D53F53"/>
    <w:rsid w:val="00D63EA7"/>
    <w:rsid w:val="00D761D9"/>
    <w:rsid w:val="00D80676"/>
    <w:rsid w:val="00D85EFC"/>
    <w:rsid w:val="00D90AAD"/>
    <w:rsid w:val="00D95593"/>
    <w:rsid w:val="00D96574"/>
    <w:rsid w:val="00DA29FF"/>
    <w:rsid w:val="00DA3FE3"/>
    <w:rsid w:val="00DA6085"/>
    <w:rsid w:val="00DA6887"/>
    <w:rsid w:val="00DA77F5"/>
    <w:rsid w:val="00DB0628"/>
    <w:rsid w:val="00DB0E26"/>
    <w:rsid w:val="00DB288B"/>
    <w:rsid w:val="00DB3B67"/>
    <w:rsid w:val="00DB4D25"/>
    <w:rsid w:val="00DC1EBD"/>
    <w:rsid w:val="00DC7CFD"/>
    <w:rsid w:val="00DD1316"/>
    <w:rsid w:val="00DD341C"/>
    <w:rsid w:val="00DD449E"/>
    <w:rsid w:val="00DD5A31"/>
    <w:rsid w:val="00DE1F47"/>
    <w:rsid w:val="00DF0152"/>
    <w:rsid w:val="00DF1284"/>
    <w:rsid w:val="00DF6D3A"/>
    <w:rsid w:val="00E0183E"/>
    <w:rsid w:val="00E1001A"/>
    <w:rsid w:val="00E10AD4"/>
    <w:rsid w:val="00E11575"/>
    <w:rsid w:val="00E15FB1"/>
    <w:rsid w:val="00E27E0A"/>
    <w:rsid w:val="00E315B0"/>
    <w:rsid w:val="00E42960"/>
    <w:rsid w:val="00E447DE"/>
    <w:rsid w:val="00E57F1A"/>
    <w:rsid w:val="00E603A4"/>
    <w:rsid w:val="00E613F5"/>
    <w:rsid w:val="00E66C2F"/>
    <w:rsid w:val="00E748CD"/>
    <w:rsid w:val="00E84B05"/>
    <w:rsid w:val="00E8582F"/>
    <w:rsid w:val="00E859F0"/>
    <w:rsid w:val="00E86A0D"/>
    <w:rsid w:val="00E873AA"/>
    <w:rsid w:val="00E87DFD"/>
    <w:rsid w:val="00E90B59"/>
    <w:rsid w:val="00E90BCA"/>
    <w:rsid w:val="00E90FFE"/>
    <w:rsid w:val="00E9106C"/>
    <w:rsid w:val="00E91726"/>
    <w:rsid w:val="00E919B1"/>
    <w:rsid w:val="00E91B63"/>
    <w:rsid w:val="00E96125"/>
    <w:rsid w:val="00E97ADB"/>
    <w:rsid w:val="00EA7332"/>
    <w:rsid w:val="00EB0E59"/>
    <w:rsid w:val="00EB4739"/>
    <w:rsid w:val="00EB6D44"/>
    <w:rsid w:val="00EC0396"/>
    <w:rsid w:val="00EC0514"/>
    <w:rsid w:val="00EC2573"/>
    <w:rsid w:val="00EC73BE"/>
    <w:rsid w:val="00ED1DE6"/>
    <w:rsid w:val="00ED3E26"/>
    <w:rsid w:val="00ED5721"/>
    <w:rsid w:val="00ED6F1B"/>
    <w:rsid w:val="00EE18CE"/>
    <w:rsid w:val="00EE2F62"/>
    <w:rsid w:val="00EE3B4F"/>
    <w:rsid w:val="00EE5467"/>
    <w:rsid w:val="00EF4780"/>
    <w:rsid w:val="00EF64CD"/>
    <w:rsid w:val="00F00482"/>
    <w:rsid w:val="00F007F9"/>
    <w:rsid w:val="00F0664D"/>
    <w:rsid w:val="00F13840"/>
    <w:rsid w:val="00F17E62"/>
    <w:rsid w:val="00F24628"/>
    <w:rsid w:val="00F27760"/>
    <w:rsid w:val="00F30ECA"/>
    <w:rsid w:val="00F317F3"/>
    <w:rsid w:val="00F326E5"/>
    <w:rsid w:val="00F33D5E"/>
    <w:rsid w:val="00F35044"/>
    <w:rsid w:val="00F362B0"/>
    <w:rsid w:val="00F37D16"/>
    <w:rsid w:val="00F41913"/>
    <w:rsid w:val="00F41B71"/>
    <w:rsid w:val="00F422DE"/>
    <w:rsid w:val="00F44C96"/>
    <w:rsid w:val="00F56972"/>
    <w:rsid w:val="00F60B0B"/>
    <w:rsid w:val="00F63A7D"/>
    <w:rsid w:val="00F657D9"/>
    <w:rsid w:val="00F70C0C"/>
    <w:rsid w:val="00F72159"/>
    <w:rsid w:val="00F74087"/>
    <w:rsid w:val="00F7510D"/>
    <w:rsid w:val="00F83E00"/>
    <w:rsid w:val="00F84B2E"/>
    <w:rsid w:val="00F90104"/>
    <w:rsid w:val="00F93EC9"/>
    <w:rsid w:val="00F974C4"/>
    <w:rsid w:val="00FA0D66"/>
    <w:rsid w:val="00FA0E37"/>
    <w:rsid w:val="00FA3560"/>
    <w:rsid w:val="00FA524B"/>
    <w:rsid w:val="00FA7E67"/>
    <w:rsid w:val="00FB0C5A"/>
    <w:rsid w:val="00FB0DB6"/>
    <w:rsid w:val="00FB39E0"/>
    <w:rsid w:val="00FC4F78"/>
    <w:rsid w:val="00FC61C3"/>
    <w:rsid w:val="00FD136F"/>
    <w:rsid w:val="00FD15FE"/>
    <w:rsid w:val="00FD1F6B"/>
    <w:rsid w:val="00FD516F"/>
    <w:rsid w:val="00FD54A4"/>
    <w:rsid w:val="00FD6DB2"/>
    <w:rsid w:val="00FD6E67"/>
    <w:rsid w:val="00FE2B0E"/>
    <w:rsid w:val="00FE57F5"/>
    <w:rsid w:val="00FE7BB6"/>
    <w:rsid w:val="00FF321A"/>
    <w:rsid w:val="00FF3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650594-6867-4BFD-ADB2-8D306692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6C9"/>
  </w:style>
  <w:style w:type="paragraph" w:styleId="Heading1">
    <w:name w:val="heading 1"/>
    <w:basedOn w:val="Normal"/>
    <w:link w:val="Heading1Char"/>
    <w:uiPriority w:val="9"/>
    <w:qFormat/>
    <w:rsid w:val="002050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Heading2">
    <w:name w:val="heading 2"/>
    <w:basedOn w:val="Normal"/>
    <w:next w:val="Normal"/>
    <w:link w:val="Heading2Char"/>
    <w:uiPriority w:val="9"/>
    <w:unhideWhenUsed/>
    <w:qFormat/>
    <w:rsid w:val="007A2B9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D341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30EC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Char Char,Footnote,Fußnote,Footnote Text Char2 Char,Footnote Text Char Char1 Char,Footnote Text Char2 Char Char Char,Footnote Text Char1 Char Char Char Char,Footnote Text Char Char Char Char Char Char,Footno, Char Char"/>
    <w:basedOn w:val="Normal"/>
    <w:link w:val="FootnoteTextChar"/>
    <w:uiPriority w:val="99"/>
    <w:rsid w:val="004206C9"/>
    <w:pPr>
      <w:spacing w:after="0" w:line="240" w:lineRule="auto"/>
    </w:pPr>
    <w:rPr>
      <w:rFonts w:ascii="Times New Roman" w:eastAsia="Times New Roman" w:hAnsi="Times New Roman" w:cs="Times New Roman"/>
      <w:sz w:val="20"/>
      <w:szCs w:val="20"/>
      <w:lang w:eastAsia="ru-RU"/>
    </w:rPr>
  </w:style>
  <w:style w:type="character" w:customStyle="1" w:styleId="FootnoteTextChar">
    <w:name w:val="Footnote Text Char"/>
    <w:aliases w:val=" Char Char1,Char Char Char,Footnote Char,Fußnote Char,Footnote Text Char2 Char Char,Footnote Text Char Char1 Char Char,Footnote Text Char2 Char Char Char Char,Footnote Text Char1 Char Char Char Char Char,Footno Char, Char Char Char"/>
    <w:basedOn w:val="DefaultParagraphFont"/>
    <w:link w:val="FootnoteText"/>
    <w:uiPriority w:val="99"/>
    <w:rsid w:val="004206C9"/>
    <w:rPr>
      <w:rFonts w:ascii="Times New Roman" w:eastAsia="Times New Roman" w:hAnsi="Times New Roman" w:cs="Times New Roman"/>
      <w:sz w:val="20"/>
      <w:szCs w:val="20"/>
      <w:lang w:eastAsia="ru-RU"/>
    </w:rPr>
  </w:style>
  <w:style w:type="character" w:styleId="FootnoteReference">
    <w:name w:val="footnote reference"/>
    <w:aliases w:val="Footnote Refernece,Footnote Reference Number"/>
    <w:uiPriority w:val="99"/>
    <w:rsid w:val="004206C9"/>
    <w:rPr>
      <w:vertAlign w:val="superscript"/>
    </w:rPr>
  </w:style>
  <w:style w:type="character" w:styleId="Hyperlink">
    <w:name w:val="Hyperlink"/>
    <w:uiPriority w:val="99"/>
    <w:unhideWhenUsed/>
    <w:rsid w:val="0075487A"/>
    <w:rPr>
      <w:color w:val="0000FF"/>
      <w:u w:val="single"/>
    </w:rPr>
  </w:style>
  <w:style w:type="table" w:styleId="TableGrid">
    <w:name w:val="Table Grid"/>
    <w:basedOn w:val="TableNormal"/>
    <w:uiPriority w:val="59"/>
    <w:rsid w:val="0069378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ftside">
    <w:name w:val="left_side"/>
    <w:basedOn w:val="DefaultParagraphFont"/>
    <w:rsid w:val="00693781"/>
  </w:style>
  <w:style w:type="paragraph" w:styleId="BalloonText">
    <w:name w:val="Balloon Text"/>
    <w:basedOn w:val="Normal"/>
    <w:link w:val="BalloonTextChar"/>
    <w:uiPriority w:val="99"/>
    <w:semiHidden/>
    <w:unhideWhenUsed/>
    <w:rsid w:val="00DD1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316"/>
    <w:rPr>
      <w:rFonts w:ascii="Tahoma" w:hAnsi="Tahoma" w:cs="Tahoma"/>
      <w:sz w:val="16"/>
      <w:szCs w:val="16"/>
    </w:rPr>
  </w:style>
  <w:style w:type="character" w:customStyle="1" w:styleId="textexposedshow">
    <w:name w:val="text_exposed_show"/>
    <w:rsid w:val="00504681"/>
  </w:style>
  <w:style w:type="paragraph" w:styleId="EndnoteText">
    <w:name w:val="endnote text"/>
    <w:basedOn w:val="Normal"/>
    <w:link w:val="EndnoteTextChar"/>
    <w:uiPriority w:val="99"/>
    <w:unhideWhenUsed/>
    <w:rsid w:val="002459BF"/>
    <w:pPr>
      <w:spacing w:after="0" w:line="240" w:lineRule="auto"/>
      <w:ind w:firstLine="709"/>
      <w:jc w:val="both"/>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2459BF"/>
    <w:rPr>
      <w:rFonts w:ascii="Calibri" w:eastAsia="Calibri" w:hAnsi="Calibri" w:cs="Times New Roman"/>
      <w:sz w:val="20"/>
      <w:szCs w:val="20"/>
    </w:rPr>
  </w:style>
  <w:style w:type="character" w:customStyle="1" w:styleId="Heading1Char">
    <w:name w:val="Heading 1 Char"/>
    <w:basedOn w:val="DefaultParagraphFont"/>
    <w:link w:val="Heading1"/>
    <w:uiPriority w:val="9"/>
    <w:rsid w:val="002050C9"/>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DefaultParagraphFont"/>
    <w:rsid w:val="00A53330"/>
  </w:style>
  <w:style w:type="paragraph" w:styleId="NormalWeb">
    <w:name w:val="Normal (Web)"/>
    <w:basedOn w:val="Normal"/>
    <w:uiPriority w:val="99"/>
    <w:rsid w:val="00A533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3958E9"/>
    <w:rPr>
      <w:i/>
      <w:iCs/>
    </w:rPr>
  </w:style>
  <w:style w:type="paragraph" w:customStyle="1" w:styleId="Default">
    <w:name w:val="Default"/>
    <w:rsid w:val="003958E9"/>
    <w:pPr>
      <w:autoSpaceDE w:val="0"/>
      <w:autoSpaceDN w:val="0"/>
      <w:adjustRightInd w:val="0"/>
      <w:spacing w:after="0" w:line="240" w:lineRule="auto"/>
    </w:pPr>
    <w:rPr>
      <w:rFonts w:ascii="Times New Roman" w:hAnsi="Times New Roman" w:cs="Times New Roman"/>
      <w:color w:val="000000"/>
      <w:sz w:val="24"/>
      <w:szCs w:val="24"/>
    </w:rPr>
  </w:style>
  <w:style w:type="paragraph" w:styleId="BodyText3">
    <w:name w:val="Body Text 3"/>
    <w:basedOn w:val="Normal"/>
    <w:link w:val="BodyText3Char"/>
    <w:unhideWhenUsed/>
    <w:rsid w:val="007A7A71"/>
    <w:pPr>
      <w:spacing w:after="120" w:line="240" w:lineRule="auto"/>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7A7A71"/>
    <w:rPr>
      <w:rFonts w:ascii="Times New Roman" w:eastAsia="Times New Roman" w:hAnsi="Times New Roman" w:cs="Times New Roman"/>
      <w:sz w:val="16"/>
      <w:szCs w:val="16"/>
      <w:lang w:val="lv-LV" w:eastAsia="lv-LV"/>
    </w:rPr>
  </w:style>
  <w:style w:type="paragraph" w:customStyle="1" w:styleId="1">
    <w:name w:val="Текст сноски1"/>
    <w:basedOn w:val="Normal"/>
    <w:link w:val="FootnotetextChar0"/>
    <w:rsid w:val="007A7A71"/>
    <w:pPr>
      <w:tabs>
        <w:tab w:val="left" w:pos="284"/>
      </w:tabs>
      <w:spacing w:after="0" w:line="240" w:lineRule="auto"/>
      <w:ind w:left="284" w:hanging="284"/>
    </w:pPr>
    <w:rPr>
      <w:rFonts w:ascii="Arial" w:eastAsia="Times New Roman" w:hAnsi="Arial" w:cs="Times New Roman"/>
      <w:bCs/>
      <w:noProof/>
      <w:sz w:val="18"/>
      <w:szCs w:val="24"/>
      <w:lang w:val="lv-LV" w:eastAsia="lv-LV"/>
    </w:rPr>
  </w:style>
  <w:style w:type="character" w:customStyle="1" w:styleId="FootnotetextChar0">
    <w:name w:val="Footnote text Char"/>
    <w:link w:val="1"/>
    <w:rsid w:val="007A7A71"/>
    <w:rPr>
      <w:rFonts w:ascii="Arial" w:eastAsia="Times New Roman" w:hAnsi="Arial" w:cs="Times New Roman"/>
      <w:bCs/>
      <w:noProof/>
      <w:sz w:val="18"/>
      <w:szCs w:val="24"/>
      <w:lang w:val="lv-LV" w:eastAsia="lv-LV"/>
    </w:rPr>
  </w:style>
  <w:style w:type="character" w:customStyle="1" w:styleId="fontstyle39">
    <w:name w:val="fontstyle39"/>
    <w:basedOn w:val="DefaultParagraphFont"/>
    <w:rsid w:val="003261C3"/>
    <w:rPr>
      <w:rFonts w:ascii="Microsoft Sans Serif" w:hAnsi="Microsoft Sans Serif" w:cs="Microsoft Sans Serif" w:hint="default"/>
    </w:rPr>
  </w:style>
  <w:style w:type="character" w:customStyle="1" w:styleId="Heading4Char">
    <w:name w:val="Heading 4 Char"/>
    <w:basedOn w:val="DefaultParagraphFont"/>
    <w:link w:val="Heading4"/>
    <w:uiPriority w:val="9"/>
    <w:rsid w:val="00F30ECA"/>
    <w:rPr>
      <w:rFonts w:asciiTheme="majorHAnsi" w:eastAsiaTheme="majorEastAsia" w:hAnsiTheme="majorHAnsi" w:cstheme="majorBidi"/>
      <w:b/>
      <w:bCs/>
      <w:i/>
      <w:iCs/>
      <w:color w:val="4F81BD" w:themeColor="accent1"/>
    </w:rPr>
  </w:style>
  <w:style w:type="character" w:customStyle="1" w:styleId="section-shall">
    <w:name w:val="section - shall"/>
    <w:rsid w:val="00FD15FE"/>
    <w:rPr>
      <w:noProof w:val="0"/>
      <w:lang w:val="en-GB"/>
    </w:rPr>
  </w:style>
  <w:style w:type="character" w:styleId="Strong">
    <w:name w:val="Strong"/>
    <w:basedOn w:val="DefaultParagraphFont"/>
    <w:uiPriority w:val="22"/>
    <w:qFormat/>
    <w:rsid w:val="008A6021"/>
    <w:rPr>
      <w:b/>
      <w:bCs/>
    </w:rPr>
  </w:style>
  <w:style w:type="character" w:customStyle="1" w:styleId="Heading3Char">
    <w:name w:val="Heading 3 Char"/>
    <w:basedOn w:val="DefaultParagraphFont"/>
    <w:link w:val="Heading3"/>
    <w:uiPriority w:val="9"/>
    <w:rsid w:val="00DD341C"/>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FE7BB6"/>
    <w:rPr>
      <w:color w:val="800080" w:themeColor="followedHyperlink"/>
      <w:u w:val="single"/>
    </w:rPr>
  </w:style>
  <w:style w:type="character" w:customStyle="1" w:styleId="-">
    <w:name w:val="Интернет-ссылка"/>
    <w:basedOn w:val="DefaultParagraphFont"/>
    <w:uiPriority w:val="99"/>
    <w:unhideWhenUsed/>
    <w:rsid w:val="00D95593"/>
    <w:rPr>
      <w:color w:val="0000FF" w:themeColor="hyperlink"/>
      <w:u w:val="single"/>
    </w:rPr>
  </w:style>
  <w:style w:type="character" w:customStyle="1" w:styleId="Heading2Char">
    <w:name w:val="Heading 2 Char"/>
    <w:basedOn w:val="DefaultParagraphFont"/>
    <w:link w:val="Heading2"/>
    <w:uiPriority w:val="9"/>
    <w:rsid w:val="007A2B99"/>
    <w:rPr>
      <w:rFonts w:asciiTheme="majorHAnsi" w:eastAsiaTheme="majorEastAsia" w:hAnsiTheme="majorHAnsi" w:cstheme="majorBidi"/>
      <w:b/>
      <w:bCs/>
      <w:color w:val="4F81BD" w:themeColor="accent1"/>
      <w:sz w:val="26"/>
      <w:szCs w:val="26"/>
    </w:rPr>
  </w:style>
  <w:style w:type="character" w:customStyle="1" w:styleId="contentpagetitle1">
    <w:name w:val="contentpagetitle1"/>
    <w:basedOn w:val="DefaultParagraphFont"/>
    <w:rsid w:val="001F0A0F"/>
    <w:rPr>
      <w:rFonts w:ascii="Arial" w:hAnsi="Arial" w:cs="Arial" w:hint="default"/>
      <w:b w:val="0"/>
      <w:bCs w:val="0"/>
      <w:color w:val="333333"/>
    </w:rPr>
  </w:style>
  <w:style w:type="paragraph" w:styleId="TOCHeading">
    <w:name w:val="TOC Heading"/>
    <w:basedOn w:val="Heading1"/>
    <w:next w:val="Normal"/>
    <w:uiPriority w:val="39"/>
    <w:unhideWhenUsed/>
    <w:qFormat/>
    <w:rsid w:val="001205CB"/>
    <w:pPr>
      <w:keepNext/>
      <w:keepLines/>
      <w:spacing w:before="240" w:beforeAutospacing="0" w:after="0" w:afterAutospacing="0" w:line="259" w:lineRule="auto"/>
      <w:outlineLvl w:val="9"/>
    </w:pPr>
    <w:rPr>
      <w:rFonts w:ascii="Calibri Light" w:hAnsi="Calibri Light"/>
      <w:b w:val="0"/>
      <w:bCs w:val="0"/>
      <w:color w:val="2E74B5"/>
      <w:kern w:val="0"/>
      <w:sz w:val="32"/>
      <w:szCs w:val="32"/>
      <w:lang w:val="en-US" w:eastAsia="en-US"/>
    </w:rPr>
  </w:style>
  <w:style w:type="paragraph" w:styleId="TOC1">
    <w:name w:val="toc 1"/>
    <w:basedOn w:val="Normal"/>
    <w:next w:val="Normal"/>
    <w:autoRedefine/>
    <w:uiPriority w:val="39"/>
    <w:unhideWhenUsed/>
    <w:rsid w:val="001205CB"/>
    <w:rPr>
      <w:rFonts w:ascii="Calibri" w:eastAsia="Calibri" w:hAnsi="Calibri" w:cs="Times New Roman"/>
    </w:rPr>
  </w:style>
  <w:style w:type="paragraph" w:styleId="Header">
    <w:name w:val="header"/>
    <w:basedOn w:val="Normal"/>
    <w:link w:val="HeaderChar"/>
    <w:uiPriority w:val="99"/>
    <w:unhideWhenUsed/>
    <w:rsid w:val="00B26B84"/>
    <w:pPr>
      <w:tabs>
        <w:tab w:val="center" w:pos="4677"/>
        <w:tab w:val="right" w:pos="9355"/>
      </w:tabs>
      <w:spacing w:after="0" w:line="240" w:lineRule="auto"/>
    </w:pPr>
  </w:style>
  <w:style w:type="character" w:customStyle="1" w:styleId="HeaderChar">
    <w:name w:val="Header Char"/>
    <w:basedOn w:val="DefaultParagraphFont"/>
    <w:link w:val="Header"/>
    <w:uiPriority w:val="99"/>
    <w:rsid w:val="00B26B84"/>
  </w:style>
  <w:style w:type="paragraph" w:styleId="Footer">
    <w:name w:val="footer"/>
    <w:basedOn w:val="Normal"/>
    <w:link w:val="FooterChar"/>
    <w:uiPriority w:val="99"/>
    <w:unhideWhenUsed/>
    <w:rsid w:val="00B26B84"/>
    <w:pPr>
      <w:tabs>
        <w:tab w:val="center" w:pos="4677"/>
        <w:tab w:val="right" w:pos="9355"/>
      </w:tabs>
      <w:spacing w:after="0" w:line="240" w:lineRule="auto"/>
    </w:pPr>
  </w:style>
  <w:style w:type="character" w:customStyle="1" w:styleId="FooterChar">
    <w:name w:val="Footer Char"/>
    <w:basedOn w:val="DefaultParagraphFont"/>
    <w:link w:val="Footer"/>
    <w:uiPriority w:val="99"/>
    <w:rsid w:val="00B26B84"/>
  </w:style>
  <w:style w:type="character" w:styleId="EndnoteReference">
    <w:name w:val="endnote reference"/>
    <w:basedOn w:val="DefaultParagraphFont"/>
    <w:uiPriority w:val="99"/>
    <w:semiHidden/>
    <w:unhideWhenUsed/>
    <w:rsid w:val="00AC67FD"/>
    <w:rPr>
      <w:vertAlign w:val="superscript"/>
    </w:rPr>
  </w:style>
  <w:style w:type="paragraph" w:styleId="TOC2">
    <w:name w:val="toc 2"/>
    <w:basedOn w:val="Normal"/>
    <w:next w:val="Normal"/>
    <w:autoRedefine/>
    <w:uiPriority w:val="39"/>
    <w:unhideWhenUsed/>
    <w:rsid w:val="005B5E0E"/>
    <w:pPr>
      <w:spacing w:after="100"/>
      <w:ind w:left="220"/>
    </w:pPr>
  </w:style>
  <w:style w:type="paragraph" w:styleId="ListParagraph">
    <w:name w:val="List Paragraph"/>
    <w:basedOn w:val="Normal"/>
    <w:uiPriority w:val="34"/>
    <w:qFormat/>
    <w:rsid w:val="00891E86"/>
    <w:pPr>
      <w:ind w:left="720"/>
      <w:contextualSpacing/>
    </w:pPr>
  </w:style>
  <w:style w:type="paragraph" w:styleId="TOC3">
    <w:name w:val="toc 3"/>
    <w:basedOn w:val="Normal"/>
    <w:next w:val="Normal"/>
    <w:autoRedefine/>
    <w:uiPriority w:val="39"/>
    <w:unhideWhenUsed/>
    <w:rsid w:val="006513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395193">
      <w:bodyDiv w:val="1"/>
      <w:marLeft w:val="0"/>
      <w:marRight w:val="0"/>
      <w:marTop w:val="0"/>
      <w:marBottom w:val="0"/>
      <w:divBdr>
        <w:top w:val="none" w:sz="0" w:space="0" w:color="auto"/>
        <w:left w:val="none" w:sz="0" w:space="0" w:color="auto"/>
        <w:bottom w:val="none" w:sz="0" w:space="0" w:color="auto"/>
        <w:right w:val="none" w:sz="0" w:space="0" w:color="auto"/>
      </w:divBdr>
    </w:div>
    <w:div w:id="905603522">
      <w:bodyDiv w:val="1"/>
      <w:marLeft w:val="0"/>
      <w:marRight w:val="0"/>
      <w:marTop w:val="0"/>
      <w:marBottom w:val="0"/>
      <w:divBdr>
        <w:top w:val="none" w:sz="0" w:space="0" w:color="auto"/>
        <w:left w:val="none" w:sz="0" w:space="0" w:color="auto"/>
        <w:bottom w:val="none" w:sz="0" w:space="0" w:color="auto"/>
        <w:right w:val="none" w:sz="0" w:space="0" w:color="auto"/>
      </w:divBdr>
    </w:div>
    <w:div w:id="938608916">
      <w:bodyDiv w:val="1"/>
      <w:marLeft w:val="0"/>
      <w:marRight w:val="0"/>
      <w:marTop w:val="0"/>
      <w:marBottom w:val="0"/>
      <w:divBdr>
        <w:top w:val="none" w:sz="0" w:space="0" w:color="auto"/>
        <w:left w:val="none" w:sz="0" w:space="0" w:color="auto"/>
        <w:bottom w:val="none" w:sz="0" w:space="0" w:color="auto"/>
        <w:right w:val="none" w:sz="0" w:space="0" w:color="auto"/>
      </w:divBdr>
    </w:div>
    <w:div w:id="1145508081">
      <w:bodyDiv w:val="1"/>
      <w:marLeft w:val="0"/>
      <w:marRight w:val="0"/>
      <w:marTop w:val="0"/>
      <w:marBottom w:val="0"/>
      <w:divBdr>
        <w:top w:val="none" w:sz="0" w:space="0" w:color="auto"/>
        <w:left w:val="none" w:sz="0" w:space="0" w:color="auto"/>
        <w:bottom w:val="none" w:sz="0" w:space="0" w:color="auto"/>
        <w:right w:val="none" w:sz="0" w:space="0" w:color="auto"/>
      </w:divBdr>
    </w:div>
    <w:div w:id="1335575855">
      <w:bodyDiv w:val="1"/>
      <w:marLeft w:val="0"/>
      <w:marRight w:val="0"/>
      <w:marTop w:val="0"/>
      <w:marBottom w:val="0"/>
      <w:divBdr>
        <w:top w:val="none" w:sz="0" w:space="0" w:color="auto"/>
        <w:left w:val="none" w:sz="0" w:space="0" w:color="auto"/>
        <w:bottom w:val="none" w:sz="0" w:space="0" w:color="auto"/>
        <w:right w:val="none" w:sz="0" w:space="0" w:color="auto"/>
      </w:divBdr>
    </w:div>
    <w:div w:id="165591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hrc.lv"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csb.gov.lv/en/statistics/statistics-by-theme/population/characteristics/tables/irg140/population-citizenship-and-country-birth" TargetMode="External"/><Relationship Id="rId13" Type="http://schemas.openxmlformats.org/officeDocument/2006/relationships/hyperlink" Target="https://www.vsaa.gov.lv/en/services/for-seniors/old-age-pension/" TargetMode="External"/><Relationship Id="rId18" Type="http://schemas.openxmlformats.org/officeDocument/2006/relationships/hyperlink" Target="https://www.csb.gov.lv/en/statistics/statistics-by-theme/social-conditions/health/key-indicator/number-medical-practitioners-keeps-declining" TargetMode="External"/><Relationship Id="rId26" Type="http://schemas.openxmlformats.org/officeDocument/2006/relationships/hyperlink" Target="http://minorities-latvia.info/2020/02/21/booklet-on-dismantling-minority-education-in-latvia-2019/" TargetMode="External"/><Relationship Id="rId39" Type="http://schemas.openxmlformats.org/officeDocument/2006/relationships/hyperlink" Target="http://www.satv.tiesa.gov.lv/en/press-release/the-norms-that-determine-the-language-of-instruction-in-pre-school-institutions-comply-with-the-satversme/" TargetMode="External"/><Relationship Id="rId3" Type="http://schemas.openxmlformats.org/officeDocument/2006/relationships/hyperlink" Target="https://rm.coe.int/revised-version-of-the-english-language-version-of-the-opinion/1680901e79" TargetMode="External"/><Relationship Id="rId21" Type="http://schemas.openxmlformats.org/officeDocument/2006/relationships/hyperlink" Target="http://unesdoc.unesco.org/images/0024/002456/245656E.pdf" TargetMode="External"/><Relationship Id="rId34" Type="http://schemas.openxmlformats.org/officeDocument/2006/relationships/hyperlink" Target="http://www.satv.tiesa.gov.lv/web/viewer.html?file=/wp-content/uploads/2018/11/Judgment-in-the-case-2018-22-01_EN-1.pdf" TargetMode="External"/><Relationship Id="rId42" Type="http://schemas.openxmlformats.org/officeDocument/2006/relationships/hyperlink" Target="https://www.diena.lv/raksts/latvija/zinas/ne-visi-darzini-gatavi-atvert-latviesu-grupas-14242474" TargetMode="External"/><Relationship Id="rId7" Type="http://schemas.openxmlformats.org/officeDocument/2006/relationships/hyperlink" Target="https://www.pmlp.gov.lv/lv/assets/ISVP_Latvija_pec_VPD.pdf" TargetMode="External"/><Relationship Id="rId12" Type="http://schemas.openxmlformats.org/officeDocument/2006/relationships/hyperlink" Target="https://rm.coe.int/fifth-report-on-latvia/1680934a9f" TargetMode="External"/><Relationship Id="rId17" Type="http://schemas.openxmlformats.org/officeDocument/2006/relationships/hyperlink" Target="https://titania.saeima.lv/LIVS13/saeimalivs13.nsf/0/5CC3EC2243A22CA7C2258593003D3809?OpenDocument" TargetMode="External"/><Relationship Id="rId25" Type="http://schemas.openxmlformats.org/officeDocument/2006/relationships/hyperlink" Target="https://www.izm.gov.lv/images/VS_skolu_sk_19.xlsx" TargetMode="External"/><Relationship Id="rId33" Type="http://schemas.openxmlformats.org/officeDocument/2006/relationships/hyperlink" Target="http://www.satv.tiesa.gov.lv/web/viewer.html?file=/wp-content/uploads/2018/11/2018-22-01_dissenting_opinion_Neimanis.pdf" TargetMode="External"/><Relationship Id="rId38" Type="http://schemas.openxmlformats.org/officeDocument/2006/relationships/hyperlink" Target="https://www.venice.coe.int/webforms/documents/?pdf=CDL-AD(2020)012-e" TargetMode="External"/><Relationship Id="rId2" Type="http://schemas.openxmlformats.org/officeDocument/2006/relationships/hyperlink" Target="https://likumi.lv/ta/en/en/id/194735-regulations-regarding-the-extent-of-the-knowledge-of-the-official-language-the-procedures-for-examining-the-proficiency-in-the-official-language-and-the-state-fee-for-examining-the-proficiency-in-the-official-language" TargetMode="External"/><Relationship Id="rId16" Type="http://schemas.openxmlformats.org/officeDocument/2006/relationships/hyperlink" Target="https://www.oecd.org/latvia/launch-of-oecd-report-policy-actions-for-housing-affordability-in-latvia-june-2020.htm" TargetMode="External"/><Relationship Id="rId20" Type="http://schemas.openxmlformats.org/officeDocument/2006/relationships/hyperlink" Target="http://unesdoc.unesco.org/images/0012/001297/129728e.pdf" TargetMode="External"/><Relationship Id="rId29" Type="http://schemas.openxmlformats.org/officeDocument/2006/relationships/hyperlink" Target="https://rm.coe.int/revised-version-of-the-english-language-version-of-the-opinion/1680901e79" TargetMode="External"/><Relationship Id="rId41" Type="http://schemas.openxmlformats.org/officeDocument/2006/relationships/hyperlink" Target="https://rus.delfi.lv/news/daily/latvia/s-2021-goda-vse-municipalnye-detskie-sady-dolzhny-obespechivat-obuchenie-na-latyshskom-yazyke.d?id=52140389" TargetMode="External"/><Relationship Id="rId1" Type="http://schemas.openxmlformats.org/officeDocument/2006/relationships/hyperlink" Target="https://bnn-news.com/csp-women-in-latvia-earn-an-average-of-15-9-less-than-men-214534" TargetMode="External"/><Relationship Id="rId6" Type="http://schemas.openxmlformats.org/officeDocument/2006/relationships/hyperlink" Target="http://www.osce.org/hcnm/78915?download=true" TargetMode="External"/><Relationship Id="rId11" Type="http://schemas.openxmlformats.org/officeDocument/2006/relationships/hyperlink" Target="https://rm.coe.int/revised-version-of-the-english-language-version-of-the-opinion/1680901e79" TargetMode="External"/><Relationship Id="rId24" Type="http://schemas.openxmlformats.org/officeDocument/2006/relationships/hyperlink" Target="https://www.csb.gov.lv/en/statistics/statistics-by-theme/population/search-in-theme/2747-latvian-mother-tongue-608-population-latvia" TargetMode="External"/><Relationship Id="rId32" Type="http://schemas.openxmlformats.org/officeDocument/2006/relationships/hyperlink" Target="http://www.satv.tiesa.gov.lv/web/viewer.html?file=/wp-content/uploads/2018/11/2018-22-01_dissenting-opinion_Ku%C4%8Ds.pdf" TargetMode="External"/><Relationship Id="rId37" Type="http://schemas.openxmlformats.org/officeDocument/2006/relationships/hyperlink" Target="http://www.satv.tiesa.gov.lv/en/press-release/the-constitutional-court-turns-to-the-court-of-justice-of-the-european-union-concerning-the-freedom-of-establishment-of-private-institutions-of-higher-education-and-suspends-legal-proceedings-in-a-cas/" TargetMode="External"/><Relationship Id="rId40" Type="http://schemas.openxmlformats.org/officeDocument/2006/relationships/hyperlink" Target="http://minorities-latvia.info/2020/05/14/draft-amendment-to-the-general-education-law-2020/" TargetMode="External"/><Relationship Id="rId45" Type="http://schemas.openxmlformats.org/officeDocument/2006/relationships/hyperlink" Target="http://lhrc.lv/arxiv/EduRef_table.docx" TargetMode="External"/><Relationship Id="rId5" Type="http://schemas.openxmlformats.org/officeDocument/2006/relationships/hyperlink" Target="https://rm.coe.int/fourth-report-on-latvia/16808b58b6" TargetMode="External"/><Relationship Id="rId15" Type="http://schemas.openxmlformats.org/officeDocument/2006/relationships/hyperlink" Target="https://rm.coe.int/168008c1a1" TargetMode="External"/><Relationship Id="rId23" Type="http://schemas.openxmlformats.org/officeDocument/2006/relationships/hyperlink" Target="https://www.osce.org/files/f/documents/e/2/32180_0.pdf" TargetMode="External"/><Relationship Id="rId28" Type="http://schemas.openxmlformats.org/officeDocument/2006/relationships/hyperlink" Target="https://www.osce.org/permanent-council/420572?download=true" TargetMode="External"/><Relationship Id="rId36" Type="http://schemas.openxmlformats.org/officeDocument/2006/relationships/hyperlink" Target="http://www.satv.tiesa.gov.lv/en/press-release/norms-that-provide-that-the-language-of-instruction-in-study-programmes-of-private-institutions-of-higher-education-is-the-official-language-are-incompatible-with-article-112-and-article-113-of-the-s/" TargetMode="External"/><Relationship Id="rId10" Type="http://schemas.openxmlformats.org/officeDocument/2006/relationships/hyperlink" Target="https://rm.coe.int/fourth-report-on-latvia/16808b58b6" TargetMode="External"/><Relationship Id="rId19" Type="http://schemas.openxmlformats.org/officeDocument/2006/relationships/hyperlink" Target="https://data.csb.gov.lv/pxweb/en/sociala/sociala__veseliba__iestades/VAG170.px/table/tableViewLayout1/" TargetMode="External"/><Relationship Id="rId31" Type="http://schemas.openxmlformats.org/officeDocument/2006/relationships/hyperlink" Target="http://www.satv.tiesa.gov.lv/web/viewer.html?file=%2Fwp-content%2Fuploads%2F2018%2F07%2F2018-12-01-12.-Saeimas-dep_latvie%C5%A1u-valoda-valsts-skol%C4%81s_ENG.pdf" TargetMode="External"/><Relationship Id="rId44" Type="http://schemas.openxmlformats.org/officeDocument/2006/relationships/hyperlink" Target="https://titania.saeima.lv/LIVS13/saeimalivs13.nsf/0/C1C551C2C2ADCCF1C22585040051641D?OpenDocument" TargetMode="External"/><Relationship Id="rId4" Type="http://schemas.openxmlformats.org/officeDocument/2006/relationships/hyperlink" Target="http://www.ilo.org/dyn/normlex/en/f?p=1000:13100:0::NO:13100:P13100_COMMENT_ID:3340488" TargetMode="External"/><Relationship Id="rId9" Type="http://schemas.openxmlformats.org/officeDocument/2006/relationships/hyperlink" Target="http://curia.europa.eu/juris/document/document.jsf?text=&amp;docid=167285&amp;pageIndex=0&amp;doclang=en" TargetMode="External"/><Relationship Id="rId14" Type="http://schemas.openxmlformats.org/officeDocument/2006/relationships/hyperlink" Target="https://www.pmlp.gov.lv/lv/assets/ISVP_Latvija_pec_VPD.pdf" TargetMode="External"/><Relationship Id="rId22" Type="http://schemas.openxmlformats.org/officeDocument/2006/relationships/hyperlink" Target="http://unesdoc.unesco.org/images/0024/002437/243713E.pdf" TargetMode="External"/><Relationship Id="rId27" Type="http://schemas.openxmlformats.org/officeDocument/2006/relationships/hyperlink" Target="https://www.izm.gov.lv/images/Augstakas_izglitibas_LV_parskats_2018.pdf" TargetMode="External"/><Relationship Id="rId30" Type="http://schemas.openxmlformats.org/officeDocument/2006/relationships/hyperlink" Target="http://minorities-latvia.info/2019/03/01/ep-culture-and-education-committee-letter-to-latvia-2019/" TargetMode="External"/><Relationship Id="rId35" Type="http://schemas.openxmlformats.org/officeDocument/2006/relationships/hyperlink" Target="https://www.venice.coe.int/webforms/documents/?pdf=CDL-AD(2020)012-e" TargetMode="External"/><Relationship Id="rId43" Type="http://schemas.openxmlformats.org/officeDocument/2006/relationships/hyperlink" Target="https://lv.sputniknews.ru/Latvia/20200610/13877202/Eto-budet-neprosto-dva-russkikh-detsada-v-Liepae-polnostyu-perevedut-na-latyshski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F613C-0E74-4122-8E1F-6FDB6AF7E611}">
  <ds:schemaRefs>
    <ds:schemaRef ds:uri="http://schemas.openxmlformats.org/officeDocument/2006/bibliography"/>
  </ds:schemaRefs>
</ds:datastoreItem>
</file>

<file path=customXml/itemProps2.xml><?xml version="1.0" encoding="utf-8"?>
<ds:datastoreItem xmlns:ds="http://schemas.openxmlformats.org/officeDocument/2006/customXml" ds:itemID="{E967851E-6687-4D09-8B9B-6B4F5F3826E7}"/>
</file>

<file path=customXml/itemProps3.xml><?xml version="1.0" encoding="utf-8"?>
<ds:datastoreItem xmlns:ds="http://schemas.openxmlformats.org/officeDocument/2006/customXml" ds:itemID="{FA0A9C74-9CBE-48A7-8593-B333E579BB42}"/>
</file>

<file path=customXml/itemProps4.xml><?xml version="1.0" encoding="utf-8"?>
<ds:datastoreItem xmlns:ds="http://schemas.openxmlformats.org/officeDocument/2006/customXml" ds:itemID="{A3DEA9C7-1830-431B-B6BD-1B3973BBABC1}"/>
</file>

<file path=docProps/app.xml><?xml version="1.0" encoding="utf-8"?>
<Properties xmlns="http://schemas.openxmlformats.org/officeDocument/2006/extended-properties" xmlns:vt="http://schemas.openxmlformats.org/officeDocument/2006/docPropsVTypes">
  <Template>Normal.dotm</Template>
  <TotalTime>0</TotalTime>
  <Pages>7</Pages>
  <Words>2507</Words>
  <Characters>14294</Characters>
  <Application>Microsoft Office Word</Application>
  <DocSecurity>0</DocSecurity>
  <Lines>119</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Tolaïni Sabine</cp:lastModifiedBy>
  <cp:revision>2</cp:revision>
  <cp:lastPrinted>2017-11-20T11:37:00Z</cp:lastPrinted>
  <dcterms:created xsi:type="dcterms:W3CDTF">2020-09-07T14:32:00Z</dcterms:created>
  <dcterms:modified xsi:type="dcterms:W3CDTF">2020-09-07T14:32:00Z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