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FE5C675" w14:textId="77777777" w:rsidTr="00CA1AEA">
        <w:trPr>
          <w:cantSplit/>
          <w:trHeight w:hRule="exact" w:val="851"/>
        </w:trPr>
        <w:tc>
          <w:tcPr>
            <w:tcW w:w="1276" w:type="dxa"/>
            <w:tcBorders>
              <w:bottom w:val="single" w:sz="4" w:space="0" w:color="auto"/>
            </w:tcBorders>
            <w:vAlign w:val="bottom"/>
          </w:tcPr>
          <w:p w14:paraId="6485F0E6" w14:textId="77777777" w:rsidR="00165C15" w:rsidRDefault="00165C15" w:rsidP="00CA1AEA">
            <w:pPr>
              <w:spacing w:after="80"/>
            </w:pPr>
          </w:p>
        </w:tc>
        <w:tc>
          <w:tcPr>
            <w:tcW w:w="2268" w:type="dxa"/>
            <w:tcBorders>
              <w:bottom w:val="single" w:sz="4" w:space="0" w:color="auto"/>
            </w:tcBorders>
            <w:vAlign w:val="bottom"/>
          </w:tcPr>
          <w:p w14:paraId="017783F2" w14:textId="3CE32585" w:rsidR="00165C15" w:rsidRPr="00B97172" w:rsidRDefault="00165C15" w:rsidP="00CA1AEA">
            <w:pPr>
              <w:spacing w:after="80" w:line="300" w:lineRule="exact"/>
              <w:rPr>
                <w:b/>
                <w:sz w:val="24"/>
                <w:szCs w:val="24"/>
              </w:rPr>
            </w:pPr>
          </w:p>
        </w:tc>
        <w:tc>
          <w:tcPr>
            <w:tcW w:w="6095" w:type="dxa"/>
            <w:gridSpan w:val="2"/>
            <w:tcBorders>
              <w:bottom w:val="single" w:sz="4" w:space="0" w:color="auto"/>
            </w:tcBorders>
            <w:vAlign w:val="bottom"/>
          </w:tcPr>
          <w:p w14:paraId="610D8CF7" w14:textId="712332EF" w:rsidR="00165C15" w:rsidRPr="00D47EEA" w:rsidRDefault="00342D59" w:rsidP="008E59A6">
            <w:pPr>
              <w:suppressAutoHyphens w:val="0"/>
              <w:spacing w:after="20"/>
              <w:jc w:val="right"/>
            </w:pPr>
            <w:r w:rsidRPr="00342D59">
              <w:rPr>
                <w:sz w:val="40"/>
              </w:rPr>
              <w:t>CCPR</w:t>
            </w:r>
            <w:r>
              <w:t>/C/</w:t>
            </w:r>
            <w:r w:rsidR="00154BE6">
              <w:t>140</w:t>
            </w:r>
            <w:r w:rsidRPr="000C4B08">
              <w:t>/</w:t>
            </w:r>
            <w:r>
              <w:t>D</w:t>
            </w:r>
            <w:r w:rsidR="000C4B08">
              <w:t>/</w:t>
            </w:r>
            <w:r w:rsidR="00154BE6">
              <w:t>3</w:t>
            </w:r>
            <w:r w:rsidR="00752620">
              <w:t>011</w:t>
            </w:r>
            <w:r w:rsidR="006F1C91">
              <w:t>/201</w:t>
            </w:r>
            <w:r w:rsidR="00752620">
              <w:t>7</w:t>
            </w:r>
          </w:p>
        </w:tc>
      </w:tr>
      <w:tr w:rsidR="00165C15" w14:paraId="44FE5AA9" w14:textId="77777777" w:rsidTr="00CA1AEA">
        <w:trPr>
          <w:cantSplit/>
          <w:trHeight w:hRule="exact" w:val="2835"/>
        </w:trPr>
        <w:tc>
          <w:tcPr>
            <w:tcW w:w="1276" w:type="dxa"/>
            <w:tcBorders>
              <w:top w:val="single" w:sz="4" w:space="0" w:color="auto"/>
              <w:bottom w:val="single" w:sz="12" w:space="0" w:color="auto"/>
            </w:tcBorders>
          </w:tcPr>
          <w:p w14:paraId="0CFB5CEF" w14:textId="6E65EFEF" w:rsidR="00165C15" w:rsidRDefault="00165C15" w:rsidP="00CA1AEA">
            <w:pPr>
              <w:spacing w:before="120"/>
            </w:pPr>
          </w:p>
        </w:tc>
        <w:tc>
          <w:tcPr>
            <w:tcW w:w="5528" w:type="dxa"/>
            <w:gridSpan w:val="2"/>
            <w:tcBorders>
              <w:top w:val="single" w:sz="4" w:space="0" w:color="auto"/>
              <w:bottom w:val="single" w:sz="12" w:space="0" w:color="auto"/>
            </w:tcBorders>
          </w:tcPr>
          <w:p w14:paraId="7C9B21E6" w14:textId="51F8F312" w:rsidR="00165C15" w:rsidRDefault="00165C15" w:rsidP="00CA1AEA">
            <w:pPr>
              <w:spacing w:before="120" w:line="380" w:lineRule="exact"/>
              <w:rPr>
                <w:b/>
                <w:sz w:val="34"/>
                <w:szCs w:val="40"/>
              </w:rPr>
            </w:pPr>
          </w:p>
          <w:p w14:paraId="41557687" w14:textId="77777777" w:rsidR="005B01CF" w:rsidRDefault="005B01CF" w:rsidP="00CA1AEA">
            <w:pPr>
              <w:spacing w:before="120" w:line="380" w:lineRule="exact"/>
              <w:rPr>
                <w:b/>
                <w:sz w:val="34"/>
                <w:szCs w:val="40"/>
              </w:rPr>
            </w:pPr>
          </w:p>
          <w:p w14:paraId="2228FBEA" w14:textId="788DFFE2" w:rsidR="005B01CF" w:rsidRPr="00267F5F" w:rsidRDefault="005B01CF" w:rsidP="00CA1AEA">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1955179A" w14:textId="35AE87A8" w:rsidR="00165C15" w:rsidRDefault="00342D59" w:rsidP="00342D59">
            <w:pPr>
              <w:suppressAutoHyphens w:val="0"/>
              <w:spacing w:before="240"/>
            </w:pPr>
            <w:r>
              <w:t xml:space="preserve">Distr.: </w:t>
            </w:r>
            <w:r w:rsidR="00B10B83">
              <w:t>General</w:t>
            </w:r>
          </w:p>
          <w:p w14:paraId="70772F62" w14:textId="261D232E" w:rsidR="00342D59" w:rsidRPr="000C4B08" w:rsidRDefault="00BC0937" w:rsidP="00342D59">
            <w:pPr>
              <w:suppressAutoHyphens w:val="0"/>
            </w:pPr>
            <w:r>
              <w:t>1</w:t>
            </w:r>
            <w:r w:rsidR="005B01CF">
              <w:t>8</w:t>
            </w:r>
            <w:r>
              <w:t xml:space="preserve"> March</w:t>
            </w:r>
            <w:r w:rsidR="007C44B9">
              <w:t xml:space="preserve"> 2024</w:t>
            </w:r>
          </w:p>
          <w:p w14:paraId="2761A489" w14:textId="18951449" w:rsidR="00342D59" w:rsidRDefault="00342D59" w:rsidP="00342D59">
            <w:pPr>
              <w:suppressAutoHyphens w:val="0"/>
            </w:pPr>
          </w:p>
          <w:p w14:paraId="67F1DED4" w14:textId="56A0BDA8" w:rsidR="000E1C4E" w:rsidRDefault="007C63AA" w:rsidP="005B01CF">
            <w:pPr>
              <w:suppressAutoHyphens w:val="0"/>
            </w:pPr>
            <w:r w:rsidRPr="007C63AA">
              <w:t>English</w:t>
            </w:r>
            <w:r w:rsidR="007711E9">
              <w:t xml:space="preserve"> </w:t>
            </w:r>
          </w:p>
        </w:tc>
      </w:tr>
    </w:tbl>
    <w:p w14:paraId="7588A576" w14:textId="77777777" w:rsidR="00BC0937" w:rsidRDefault="00D43B04" w:rsidP="00BC0937">
      <w:pPr>
        <w:rPr>
          <w:b/>
          <w:bCs/>
          <w:sz w:val="24"/>
        </w:rPr>
      </w:pPr>
      <w:r w:rsidRPr="007E2028">
        <w:rPr>
          <w:b/>
          <w:bCs/>
          <w:sz w:val="24"/>
        </w:rPr>
        <w:t>Human Rights Committee</w:t>
      </w:r>
    </w:p>
    <w:p w14:paraId="2A9CD759" w14:textId="325697C0" w:rsidR="00D43B04" w:rsidRPr="00501B87" w:rsidRDefault="00D43B04" w:rsidP="009A7626">
      <w:pPr>
        <w:pStyle w:val="HChG"/>
      </w:pPr>
      <w:r w:rsidRPr="002F3906">
        <w:tab/>
      </w:r>
      <w:r w:rsidRPr="002F3906">
        <w:tab/>
      </w:r>
      <w:r w:rsidR="00B10B83" w:rsidRPr="00B10B83">
        <w:t>Views adopted by the Committee under article 5 (4) of the Optional Protocol, concerning communication No. </w:t>
      </w:r>
      <w:r w:rsidRPr="002F3906">
        <w:t xml:space="preserve"> </w:t>
      </w:r>
      <w:r w:rsidR="00752620">
        <w:t>3011/2017</w:t>
      </w:r>
      <w:r w:rsidR="005B01CF" w:rsidRPr="0045367B">
        <w:rPr>
          <w:rStyle w:val="FootnoteReference"/>
          <w:sz w:val="20"/>
          <w:vertAlign w:val="baseline"/>
        </w:rPr>
        <w:footnoteReference w:customMarkFollows="1" w:id="1"/>
        <w:t>*</w:t>
      </w:r>
      <w:r w:rsidR="005B01CF" w:rsidRPr="0045367B">
        <w:rPr>
          <w:sz w:val="20"/>
          <w:vertAlign w:val="superscript"/>
        </w:rPr>
        <w:t>,</w:t>
      </w:r>
      <w:r w:rsidR="005B01CF" w:rsidRPr="0045367B">
        <w:rPr>
          <w:rStyle w:val="FootnoteReference"/>
          <w:sz w:val="20"/>
          <w:vertAlign w:val="baseline"/>
        </w:rPr>
        <w:footnoteReference w:customMarkFollows="1" w:id="2"/>
        <w:t>**</w:t>
      </w:r>
      <w:r w:rsidR="005B01CF" w:rsidRPr="0045367B">
        <w:rPr>
          <w:sz w:val="20"/>
          <w:vertAlign w:val="superscript"/>
        </w:rPr>
        <w:t>,</w:t>
      </w:r>
      <w:r w:rsidR="005B01CF" w:rsidRPr="0045367B">
        <w:rPr>
          <w:rStyle w:val="FootnoteReference"/>
          <w:sz w:val="20"/>
          <w:vertAlign w:val="baseline"/>
        </w:rPr>
        <w:footnoteReference w:customMarkFollows="1" w:id="3"/>
        <w:t>***</w:t>
      </w:r>
    </w:p>
    <w:p w14:paraId="5DFE4939" w14:textId="17E85182" w:rsidR="00D43B04" w:rsidRPr="00A905E5" w:rsidRDefault="00D43B04" w:rsidP="009A7626">
      <w:pPr>
        <w:pStyle w:val="H1G"/>
        <w:rPr>
          <w:rFonts w:eastAsia="MS Mincho"/>
        </w:rPr>
      </w:pPr>
      <w:r w:rsidRPr="002F3906">
        <w:rPr>
          <w:rFonts w:eastAsia="MS Mincho"/>
        </w:rPr>
        <w:tab/>
      </w:r>
      <w:r w:rsidRPr="002F3906">
        <w:rPr>
          <w:rFonts w:eastAsia="MS Mincho"/>
        </w:rPr>
        <w:tab/>
      </w:r>
    </w:p>
    <w:p w14:paraId="3E771E8E" w14:textId="0B5663F8" w:rsidR="00154BE6" w:rsidRDefault="00AE7DAA" w:rsidP="00716538">
      <w:pPr>
        <w:pStyle w:val="SingleTxtG"/>
        <w:ind w:left="4536" w:hanging="3402"/>
        <w:rPr>
          <w:lang w:eastAsia="en-US"/>
        </w:rPr>
      </w:pPr>
      <w:r w:rsidRPr="007F4B1A">
        <w:rPr>
          <w:i/>
        </w:rPr>
        <w:t>Communication submitted by:</w:t>
      </w:r>
      <w:r>
        <w:rPr>
          <w:i/>
        </w:rPr>
        <w:tab/>
      </w:r>
      <w:r w:rsidR="00FF1998">
        <w:t xml:space="preserve">A.K. </w:t>
      </w:r>
      <w:r w:rsidR="00154BE6" w:rsidRPr="005909EB">
        <w:t xml:space="preserve">(represented by </w:t>
      </w:r>
      <w:r w:rsidR="00B63E1C" w:rsidRPr="005909EB">
        <w:t xml:space="preserve">counsel, </w:t>
      </w:r>
      <w:proofErr w:type="spellStart"/>
      <w:r w:rsidR="005909EB" w:rsidRPr="005909EB">
        <w:t>Mandivavarira</w:t>
      </w:r>
      <w:proofErr w:type="spellEnd"/>
      <w:r w:rsidR="005909EB" w:rsidRPr="005909EB">
        <w:t xml:space="preserve"> Mudarikwa </w:t>
      </w:r>
      <w:r w:rsidR="00B3796A" w:rsidRPr="005909EB">
        <w:t>of Amnesty International</w:t>
      </w:r>
      <w:r w:rsidR="00154BE6" w:rsidRPr="005909EB">
        <w:t>)</w:t>
      </w:r>
    </w:p>
    <w:p w14:paraId="3578DCBB" w14:textId="1DF6D4F3" w:rsidR="00AE7DAA" w:rsidRPr="00D549B4" w:rsidRDefault="00AE7DAA" w:rsidP="00D66BCD">
      <w:pPr>
        <w:pStyle w:val="SingleTxtG"/>
        <w:ind w:left="4536" w:hanging="3402"/>
        <w:jc w:val="left"/>
        <w:rPr>
          <w:iCs/>
        </w:rPr>
      </w:pPr>
      <w:r w:rsidRPr="00D549B4">
        <w:rPr>
          <w:i/>
        </w:rPr>
        <w:t>Alleged victim:</w:t>
      </w:r>
      <w:r w:rsidRPr="00D549B4">
        <w:rPr>
          <w:i/>
        </w:rPr>
        <w:tab/>
      </w:r>
      <w:r w:rsidR="00FF1998" w:rsidRPr="00FF1998">
        <w:rPr>
          <w:bCs/>
        </w:rPr>
        <w:t>Mohamed Nabeel</w:t>
      </w:r>
    </w:p>
    <w:p w14:paraId="78B8C7CC" w14:textId="1F2F9E5C" w:rsidR="00AE7DAA" w:rsidRPr="00D549B4" w:rsidRDefault="00AE7DAA" w:rsidP="00D66BCD">
      <w:pPr>
        <w:pStyle w:val="SingleTxtG"/>
        <w:ind w:left="4536" w:hanging="3402"/>
        <w:jc w:val="left"/>
      </w:pPr>
      <w:r w:rsidRPr="00D549B4">
        <w:rPr>
          <w:i/>
        </w:rPr>
        <w:t>State party:</w:t>
      </w:r>
      <w:r w:rsidRPr="00D549B4">
        <w:rPr>
          <w:i/>
        </w:rPr>
        <w:tab/>
      </w:r>
      <w:r w:rsidR="00B552BC">
        <w:t>Maldives</w:t>
      </w:r>
    </w:p>
    <w:p w14:paraId="63D5E374" w14:textId="64042B38" w:rsidR="00AE7DAA" w:rsidRPr="00D549B4" w:rsidRDefault="00AE7DAA" w:rsidP="00D66BCD">
      <w:pPr>
        <w:pStyle w:val="SingleTxtG"/>
        <w:ind w:left="4536" w:hanging="3402"/>
        <w:jc w:val="left"/>
      </w:pPr>
      <w:r w:rsidRPr="00D549B4">
        <w:rPr>
          <w:i/>
        </w:rPr>
        <w:t>Date of communication:</w:t>
      </w:r>
      <w:r w:rsidRPr="00D549B4">
        <w:rPr>
          <w:i/>
        </w:rPr>
        <w:tab/>
      </w:r>
      <w:r w:rsidR="00B552BC">
        <w:t>24 July 2017</w:t>
      </w:r>
      <w:r w:rsidR="00501B87" w:rsidRPr="00D549B4">
        <w:t xml:space="preserve"> </w:t>
      </w:r>
      <w:r w:rsidRPr="00D549B4">
        <w:t>(initial submission)</w:t>
      </w:r>
    </w:p>
    <w:p w14:paraId="1F83CD35" w14:textId="79E9FF7B" w:rsidR="00AE7DAA" w:rsidRPr="00D549B4" w:rsidRDefault="00AE7DAA" w:rsidP="00D66BCD">
      <w:pPr>
        <w:pStyle w:val="SingleTxtG"/>
        <w:ind w:left="4536" w:hanging="3402"/>
        <w:jc w:val="left"/>
      </w:pPr>
      <w:r w:rsidRPr="00D549B4">
        <w:rPr>
          <w:i/>
        </w:rPr>
        <w:t>Document references:</w:t>
      </w:r>
      <w:r w:rsidRPr="00D549B4">
        <w:rPr>
          <w:i/>
        </w:rPr>
        <w:tab/>
      </w:r>
      <w:r w:rsidRPr="00D549B4">
        <w:t>Decision taken pursuant to rule</w:t>
      </w:r>
      <w:r w:rsidR="00477617">
        <w:t>s</w:t>
      </w:r>
      <w:r w:rsidRPr="00D549B4">
        <w:t xml:space="preserve"> 92 </w:t>
      </w:r>
      <w:r w:rsidR="00477617">
        <w:t xml:space="preserve">and 94 </w:t>
      </w:r>
      <w:r w:rsidRPr="00D549B4">
        <w:t xml:space="preserve">of the Committee’s rules of procedure, transmitted to the State party on </w:t>
      </w:r>
      <w:r w:rsidR="00B552BC">
        <w:t>24 July 2017</w:t>
      </w:r>
      <w:r w:rsidRPr="00D549B4">
        <w:t xml:space="preserve"> (not issued in</w:t>
      </w:r>
      <w:r w:rsidR="00D66BCD" w:rsidRPr="00D549B4">
        <w:t xml:space="preserve"> </w:t>
      </w:r>
      <w:r w:rsidRPr="00D549B4">
        <w:t>document form)</w:t>
      </w:r>
      <w:r w:rsidR="009571AB">
        <w:t xml:space="preserve"> </w:t>
      </w:r>
    </w:p>
    <w:p w14:paraId="1E642B98" w14:textId="468BB3AE" w:rsidR="00AE7DAA" w:rsidRPr="00EF5317" w:rsidRDefault="00AE7DAA" w:rsidP="00D66BCD">
      <w:pPr>
        <w:pStyle w:val="SingleTxtG"/>
        <w:ind w:left="4536" w:hanging="3402"/>
        <w:jc w:val="left"/>
      </w:pPr>
      <w:r w:rsidRPr="00EF5317">
        <w:rPr>
          <w:i/>
        </w:rPr>
        <w:t xml:space="preserve">Date of adoption </w:t>
      </w:r>
      <w:r w:rsidRPr="00D9121E">
        <w:rPr>
          <w:i/>
        </w:rPr>
        <w:t xml:space="preserve">of </w:t>
      </w:r>
      <w:r w:rsidR="00B552BC">
        <w:rPr>
          <w:i/>
        </w:rPr>
        <w:t>Views</w:t>
      </w:r>
      <w:r w:rsidRPr="00D9121E">
        <w:rPr>
          <w:i/>
        </w:rPr>
        <w:t>:</w:t>
      </w:r>
      <w:r w:rsidRPr="00EF5317">
        <w:rPr>
          <w:i/>
        </w:rPr>
        <w:tab/>
      </w:r>
      <w:r w:rsidR="00785E93" w:rsidRPr="00785E93">
        <w:rPr>
          <w:iCs/>
        </w:rPr>
        <w:t>18 March 2024</w:t>
      </w:r>
    </w:p>
    <w:p w14:paraId="03E928AF" w14:textId="218F69F4" w:rsidR="00AE7DAA" w:rsidRPr="00EF5317" w:rsidRDefault="00AE7DAA" w:rsidP="00D66BCD">
      <w:pPr>
        <w:pStyle w:val="SingleTxtG"/>
        <w:ind w:left="4536" w:hanging="3402"/>
        <w:jc w:val="left"/>
      </w:pPr>
      <w:r w:rsidRPr="00B552BC">
        <w:rPr>
          <w:i/>
          <w:iCs/>
        </w:rPr>
        <w:t>Subject matter:</w:t>
      </w:r>
      <w:r w:rsidRPr="00B552BC">
        <w:rPr>
          <w:i/>
        </w:rPr>
        <w:tab/>
      </w:r>
      <w:r w:rsidR="00B552BC" w:rsidRPr="00B552BC">
        <w:t>Arbitrary deprivation of life</w:t>
      </w:r>
    </w:p>
    <w:p w14:paraId="22CA7979" w14:textId="68B4F05E" w:rsidR="00AE7DAA" w:rsidRPr="00EF5317" w:rsidRDefault="00AE7DAA" w:rsidP="00D66BCD">
      <w:pPr>
        <w:pStyle w:val="SingleTxtG"/>
        <w:ind w:left="4536" w:hanging="3402"/>
        <w:jc w:val="left"/>
      </w:pPr>
      <w:r w:rsidRPr="00B63E1C">
        <w:rPr>
          <w:i/>
          <w:iCs/>
        </w:rPr>
        <w:t>Procedural issues</w:t>
      </w:r>
      <w:r w:rsidRPr="00B63E1C">
        <w:rPr>
          <w:i/>
        </w:rPr>
        <w:t>:</w:t>
      </w:r>
      <w:r w:rsidRPr="00B63E1C">
        <w:rPr>
          <w:i/>
          <w:iCs/>
        </w:rPr>
        <w:tab/>
      </w:r>
      <w:r w:rsidR="00B63E1C" w:rsidRPr="00B63E1C">
        <w:t>Level of</w:t>
      </w:r>
      <w:r w:rsidR="00B63E1C">
        <w:t xml:space="preserve"> substantiation of claims</w:t>
      </w:r>
    </w:p>
    <w:p w14:paraId="63D45000" w14:textId="33D2D3BA" w:rsidR="00E81622" w:rsidRDefault="00AE7DAA" w:rsidP="00B552BC">
      <w:pPr>
        <w:pStyle w:val="SingleTxtG"/>
        <w:ind w:left="4524" w:hanging="3390"/>
        <w:rPr>
          <w:i/>
          <w:iCs/>
        </w:rPr>
      </w:pPr>
      <w:r w:rsidRPr="00EF5317">
        <w:rPr>
          <w:i/>
          <w:iCs/>
        </w:rPr>
        <w:t>Substantive issues:</w:t>
      </w:r>
      <w:r w:rsidRPr="00EF5317">
        <w:rPr>
          <w:i/>
          <w:iCs/>
        </w:rPr>
        <w:tab/>
      </w:r>
      <w:r w:rsidR="00947AA3">
        <w:t>Death penalty</w:t>
      </w:r>
      <w:r w:rsidR="00B552BC">
        <w:t>; t</w:t>
      </w:r>
      <w:r w:rsidR="00B552BC" w:rsidRPr="00B552BC">
        <w:rPr>
          <w:iCs/>
        </w:rPr>
        <w:t>orture</w:t>
      </w:r>
      <w:r w:rsidR="00B552BC">
        <w:rPr>
          <w:iCs/>
        </w:rPr>
        <w:t>,</w:t>
      </w:r>
      <w:r w:rsidR="00B552BC" w:rsidRPr="00B552BC">
        <w:rPr>
          <w:iCs/>
        </w:rPr>
        <w:t xml:space="preserve"> cruel, </w:t>
      </w:r>
      <w:proofErr w:type="gramStart"/>
      <w:r w:rsidR="00B552BC" w:rsidRPr="00B552BC">
        <w:rPr>
          <w:iCs/>
        </w:rPr>
        <w:t>inhuman</w:t>
      </w:r>
      <w:proofErr w:type="gramEnd"/>
      <w:r w:rsidR="00B552BC" w:rsidRPr="00B552BC">
        <w:rPr>
          <w:iCs/>
        </w:rPr>
        <w:t xml:space="preserve"> or degrading treatment or punishment; </w:t>
      </w:r>
      <w:r w:rsidR="00273B76">
        <w:rPr>
          <w:iCs/>
        </w:rPr>
        <w:t>right to fair trial</w:t>
      </w:r>
    </w:p>
    <w:p w14:paraId="46C842B9" w14:textId="3F9F283F" w:rsidR="00154BE6" w:rsidRDefault="00AE7DAA" w:rsidP="00D66BCD">
      <w:pPr>
        <w:pStyle w:val="SingleTxtG"/>
        <w:ind w:left="4536" w:hanging="3402"/>
        <w:jc w:val="left"/>
        <w:rPr>
          <w:iCs/>
        </w:rPr>
      </w:pPr>
      <w:r w:rsidRPr="00FC5AD3">
        <w:rPr>
          <w:i/>
          <w:iCs/>
        </w:rPr>
        <w:t>Articles of the Covenant</w:t>
      </w:r>
      <w:r w:rsidRPr="00FC5AD3">
        <w:rPr>
          <w:i/>
        </w:rPr>
        <w:t>:</w:t>
      </w:r>
      <w:r w:rsidRPr="00FC5AD3">
        <w:rPr>
          <w:i/>
          <w:iCs/>
        </w:rPr>
        <w:tab/>
      </w:r>
      <w:r w:rsidR="00B552BC">
        <w:rPr>
          <w:iCs/>
        </w:rPr>
        <w:t>6</w:t>
      </w:r>
      <w:r w:rsidR="00B317AA">
        <w:rPr>
          <w:iCs/>
        </w:rPr>
        <w:t xml:space="preserve"> (1), 6 (4), 6 (6)</w:t>
      </w:r>
      <w:r w:rsidR="00B552BC">
        <w:rPr>
          <w:iCs/>
        </w:rPr>
        <w:t xml:space="preserve">, 7 and </w:t>
      </w:r>
      <w:r w:rsidR="00B552BC" w:rsidRPr="00B92379">
        <w:rPr>
          <w:iCs/>
        </w:rPr>
        <w:t>14</w:t>
      </w:r>
      <w:r w:rsidR="004850BD">
        <w:rPr>
          <w:iCs/>
        </w:rPr>
        <w:t xml:space="preserve"> (3)</w:t>
      </w:r>
    </w:p>
    <w:p w14:paraId="07E128D2" w14:textId="3A115DA3" w:rsidR="00AE7DAA" w:rsidRPr="00D549B4" w:rsidRDefault="00AE7DAA" w:rsidP="00D66BCD">
      <w:pPr>
        <w:pStyle w:val="SingleTxtG"/>
        <w:ind w:left="4536" w:hanging="3402"/>
        <w:jc w:val="left"/>
      </w:pPr>
      <w:r w:rsidRPr="00B63E1C">
        <w:rPr>
          <w:i/>
          <w:iCs/>
        </w:rPr>
        <w:t>Article of the Optional Protocol:</w:t>
      </w:r>
      <w:r w:rsidRPr="00B63E1C">
        <w:rPr>
          <w:i/>
          <w:iCs/>
        </w:rPr>
        <w:tab/>
      </w:r>
      <w:r w:rsidR="00B63E1C" w:rsidRPr="00B63E1C">
        <w:t xml:space="preserve">2 </w:t>
      </w:r>
    </w:p>
    <w:p w14:paraId="50B331AB" w14:textId="52B60E37" w:rsidR="00154BE6" w:rsidRPr="00154BE6" w:rsidRDefault="00154BE6" w:rsidP="00154BE6">
      <w:pPr>
        <w:pStyle w:val="SingleTxtG"/>
        <w:spacing w:before="240"/>
      </w:pPr>
      <w:r w:rsidRPr="00154BE6">
        <w:t>1.1</w:t>
      </w:r>
      <w:r w:rsidRPr="00154BE6">
        <w:tab/>
        <w:t xml:space="preserve">The author of the communication is </w:t>
      </w:r>
      <w:r w:rsidR="00FF1998">
        <w:t xml:space="preserve">A.K. He is submitting the communication on behalf of his brother </w:t>
      </w:r>
      <w:r w:rsidR="00B552BC" w:rsidRPr="00B552BC">
        <w:rPr>
          <w:bCs/>
        </w:rPr>
        <w:t>Mohamed Nabeel</w:t>
      </w:r>
      <w:r w:rsidRPr="00154BE6">
        <w:t xml:space="preserve">, a national of </w:t>
      </w:r>
      <w:r w:rsidR="00B552BC">
        <w:t>the Maldives</w:t>
      </w:r>
      <w:r w:rsidRPr="00154BE6">
        <w:t xml:space="preserve"> born in 19</w:t>
      </w:r>
      <w:r w:rsidR="00B552BC">
        <w:t>87</w:t>
      </w:r>
      <w:r w:rsidR="00B92379">
        <w:t xml:space="preserve">, </w:t>
      </w:r>
      <w:r w:rsidR="00B92379" w:rsidRPr="00B92379">
        <w:t xml:space="preserve">who is currently detained in prison, having been sentenced to the death penalty. </w:t>
      </w:r>
      <w:r w:rsidR="00B92379">
        <w:t xml:space="preserve">The </w:t>
      </w:r>
      <w:r w:rsidR="00B92379" w:rsidRPr="00B92379">
        <w:t xml:space="preserve">sentence was confirmed by the Supreme Court of </w:t>
      </w:r>
      <w:r w:rsidR="00273B76">
        <w:t xml:space="preserve">the </w:t>
      </w:r>
      <w:r w:rsidR="00B92379" w:rsidRPr="00B92379">
        <w:t xml:space="preserve">Maldives on </w:t>
      </w:r>
      <w:r w:rsidR="00B92379">
        <w:t>27 July</w:t>
      </w:r>
      <w:r w:rsidR="00B92379" w:rsidRPr="00B92379">
        <w:t xml:space="preserve"> 2016</w:t>
      </w:r>
      <w:r w:rsidR="008A1BC1" w:rsidRPr="008A1BC1">
        <w:t>.</w:t>
      </w:r>
      <w:r w:rsidR="00B63E1C">
        <w:t xml:space="preserve"> </w:t>
      </w:r>
      <w:r w:rsidR="00B92379">
        <w:t>The author</w:t>
      </w:r>
      <w:r w:rsidRPr="00154BE6">
        <w:t xml:space="preserve"> claims </w:t>
      </w:r>
      <w:r w:rsidR="00B92379">
        <w:t>a violation of</w:t>
      </w:r>
      <w:r w:rsidRPr="00154BE6">
        <w:t xml:space="preserve"> his</w:t>
      </w:r>
      <w:r w:rsidR="00B240BC">
        <w:t xml:space="preserve"> brother’s</w:t>
      </w:r>
      <w:r w:rsidRPr="00154BE6">
        <w:t xml:space="preserve"> rights under </w:t>
      </w:r>
      <w:r w:rsidR="005A4379" w:rsidRPr="005A4379">
        <w:t>article 6 (1), read</w:t>
      </w:r>
      <w:r w:rsidR="005909EB">
        <w:t xml:space="preserve"> alone and</w:t>
      </w:r>
      <w:r w:rsidR="005A4379" w:rsidRPr="005A4379">
        <w:t xml:space="preserve"> in conjunction with article 14</w:t>
      </w:r>
      <w:r w:rsidR="005A4379">
        <w:t xml:space="preserve">; </w:t>
      </w:r>
      <w:r w:rsidR="005A4379" w:rsidRPr="005A4379">
        <w:t>article 6 (4)</w:t>
      </w:r>
      <w:r w:rsidR="005A4379">
        <w:t xml:space="preserve">; </w:t>
      </w:r>
      <w:r w:rsidR="005A4379" w:rsidRPr="005A4379">
        <w:t>article 6 (6), read in conjunction with article 7</w:t>
      </w:r>
      <w:r w:rsidR="005A4379">
        <w:t xml:space="preserve">; and </w:t>
      </w:r>
      <w:r w:rsidR="005A4379" w:rsidRPr="005A4379">
        <w:t xml:space="preserve">article 14, read in </w:t>
      </w:r>
      <w:r w:rsidR="005A4379" w:rsidRPr="005A4379">
        <w:lastRenderedPageBreak/>
        <w:t xml:space="preserve">conjunction with article 7 </w:t>
      </w:r>
      <w:r w:rsidRPr="00154BE6">
        <w:t xml:space="preserve">of the Covenant. The Optional Protocol entered into force for the State </w:t>
      </w:r>
      <w:r w:rsidRPr="00273B76">
        <w:t xml:space="preserve">party on </w:t>
      </w:r>
      <w:r w:rsidR="00273B76" w:rsidRPr="00273B76">
        <w:t>19 December</w:t>
      </w:r>
      <w:r w:rsidR="00273B76">
        <w:t xml:space="preserve"> 2006</w:t>
      </w:r>
      <w:r w:rsidRPr="00154BE6">
        <w:t>. The author is represented by counsel.</w:t>
      </w:r>
      <w:r w:rsidR="00D63DF4" w:rsidRPr="00B92379">
        <w:t xml:space="preserve"> </w:t>
      </w:r>
      <w:r w:rsidRPr="00154BE6">
        <w:t xml:space="preserve"> </w:t>
      </w:r>
    </w:p>
    <w:p w14:paraId="0AB977C9" w14:textId="7E76162F" w:rsidR="008A1BC1" w:rsidRPr="008A1BC1" w:rsidRDefault="00154BE6" w:rsidP="008A1BC1">
      <w:pPr>
        <w:pStyle w:val="SingleTxtG"/>
        <w:spacing w:before="240"/>
      </w:pPr>
      <w:r w:rsidRPr="00154BE6">
        <w:t>1.2</w:t>
      </w:r>
      <w:r w:rsidRPr="00154BE6">
        <w:tab/>
      </w:r>
      <w:r w:rsidR="008A1BC1" w:rsidRPr="008A1BC1">
        <w:rPr>
          <w:lang w:val="x-none"/>
        </w:rPr>
        <w:t xml:space="preserve">On </w:t>
      </w:r>
      <w:r w:rsidR="008A1BC1">
        <w:t>24 July 2017</w:t>
      </w:r>
      <w:r w:rsidR="008A1BC1" w:rsidRPr="008A1BC1">
        <w:rPr>
          <w:lang w:val="x-none"/>
        </w:rPr>
        <w:t>, pursuant to rule 9</w:t>
      </w:r>
      <w:r w:rsidR="008A1BC1" w:rsidRPr="008A1BC1">
        <w:t>4</w:t>
      </w:r>
      <w:r w:rsidR="008A1BC1" w:rsidRPr="008A1BC1">
        <w:rPr>
          <w:lang w:val="x-none"/>
        </w:rPr>
        <w:t xml:space="preserve"> of its rules of procedure, the Committee, acting through its Special Rapporteur on new communications and interim measures, requested the State party </w:t>
      </w:r>
      <w:r w:rsidR="00EC2ABE" w:rsidRPr="00EC2ABE">
        <w:rPr>
          <w:lang w:val="x-none"/>
        </w:rPr>
        <w:t>to ensure that the death sentence</w:t>
      </w:r>
      <w:r w:rsidR="00EC2ABE">
        <w:t xml:space="preserve"> against</w:t>
      </w:r>
      <w:r w:rsidR="008A1BC1">
        <w:t xml:space="preserve"> the </w:t>
      </w:r>
      <w:r w:rsidR="00B240BC">
        <w:t xml:space="preserve">alleged victim </w:t>
      </w:r>
      <w:r w:rsidR="00EC2ABE">
        <w:t xml:space="preserve">was not carried out </w:t>
      </w:r>
      <w:r w:rsidR="008A1BC1" w:rsidRPr="008A1BC1">
        <w:rPr>
          <w:lang w:val="x-none"/>
        </w:rPr>
        <w:t xml:space="preserve">while his case was under consideration by the Committee. </w:t>
      </w:r>
    </w:p>
    <w:p w14:paraId="6DDB82F2" w14:textId="06CFF3C3" w:rsidR="00F11B5A" w:rsidRDefault="00B152AD" w:rsidP="00F11B5A">
      <w:pPr>
        <w:pStyle w:val="H23G"/>
      </w:pPr>
      <w:r>
        <w:tab/>
      </w:r>
      <w:r>
        <w:tab/>
      </w:r>
      <w:r w:rsidR="00F11B5A">
        <w:t>F</w:t>
      </w:r>
      <w:r w:rsidR="00611FE2" w:rsidRPr="00611FE2">
        <w:t xml:space="preserve">acts as presented by the </w:t>
      </w:r>
      <w:proofErr w:type="gramStart"/>
      <w:r w:rsidR="00611FE2" w:rsidRPr="00611FE2">
        <w:t>author</w:t>
      </w:r>
      <w:proofErr w:type="gramEnd"/>
    </w:p>
    <w:p w14:paraId="34B6FF4A" w14:textId="2C53C115" w:rsidR="00947AA3" w:rsidRPr="00947AA3" w:rsidRDefault="00DD2BCC" w:rsidP="00947AA3">
      <w:pPr>
        <w:pStyle w:val="SingleTxtG"/>
        <w:rPr>
          <w:lang w:eastAsia="en-GB"/>
        </w:rPr>
      </w:pPr>
      <w:r>
        <w:tab/>
      </w:r>
      <w:r w:rsidR="00213B59">
        <w:t>2.1</w:t>
      </w:r>
      <w:r>
        <w:tab/>
      </w:r>
      <w:r w:rsidR="008A1BC1">
        <w:rPr>
          <w:lang w:eastAsia="en-GB"/>
        </w:rPr>
        <w:t>On 10</w:t>
      </w:r>
      <w:r w:rsidR="00947AA3" w:rsidRPr="00947AA3">
        <w:rPr>
          <w:lang w:eastAsia="en-GB"/>
        </w:rPr>
        <w:t xml:space="preserve"> March 2009, </w:t>
      </w:r>
      <w:r w:rsidR="008A1BC1">
        <w:rPr>
          <w:lang w:eastAsia="en-GB"/>
        </w:rPr>
        <w:t xml:space="preserve">the </w:t>
      </w:r>
      <w:r w:rsidR="00496DF8" w:rsidRPr="00496DF8">
        <w:rPr>
          <w:lang w:eastAsia="en-GB"/>
        </w:rPr>
        <w:t>alleged victim</w:t>
      </w:r>
      <w:r w:rsidR="008A1BC1">
        <w:rPr>
          <w:lang w:eastAsia="en-GB"/>
        </w:rPr>
        <w:t xml:space="preserve"> </w:t>
      </w:r>
      <w:r w:rsidR="00947AA3" w:rsidRPr="00947AA3">
        <w:rPr>
          <w:lang w:eastAsia="en-GB"/>
        </w:rPr>
        <w:t xml:space="preserve">was arrested in connection to </w:t>
      </w:r>
      <w:r w:rsidR="00496DF8">
        <w:rPr>
          <w:lang w:eastAsia="en-GB"/>
        </w:rPr>
        <w:t>a</w:t>
      </w:r>
      <w:r w:rsidR="00947AA3" w:rsidRPr="00947AA3">
        <w:rPr>
          <w:lang w:eastAsia="en-GB"/>
        </w:rPr>
        <w:t xml:space="preserve"> murder. </w:t>
      </w:r>
      <w:r w:rsidR="008A1BC1">
        <w:rPr>
          <w:lang w:eastAsia="en-GB"/>
        </w:rPr>
        <w:t>On 8</w:t>
      </w:r>
      <w:r w:rsidR="00947AA3" w:rsidRPr="00947AA3">
        <w:rPr>
          <w:lang w:eastAsia="en-GB"/>
        </w:rPr>
        <w:t xml:space="preserve"> April 2009, </w:t>
      </w:r>
      <w:r w:rsidR="00974F07">
        <w:rPr>
          <w:lang w:eastAsia="en-GB"/>
        </w:rPr>
        <w:t xml:space="preserve">during </w:t>
      </w:r>
      <w:r w:rsidR="00496DF8">
        <w:rPr>
          <w:lang w:eastAsia="en-GB"/>
        </w:rPr>
        <w:t xml:space="preserve">the </w:t>
      </w:r>
      <w:r w:rsidR="00974F07">
        <w:rPr>
          <w:lang w:eastAsia="en-GB"/>
        </w:rPr>
        <w:t xml:space="preserve">police investigation, </w:t>
      </w:r>
      <w:r w:rsidR="007565C2">
        <w:rPr>
          <w:lang w:eastAsia="en-GB"/>
        </w:rPr>
        <w:t>he</w:t>
      </w:r>
      <w:r w:rsidR="007565C2" w:rsidRPr="00947AA3">
        <w:rPr>
          <w:lang w:eastAsia="en-GB"/>
        </w:rPr>
        <w:t xml:space="preserve"> gave</w:t>
      </w:r>
      <w:r w:rsidR="00947AA3" w:rsidRPr="00947AA3">
        <w:rPr>
          <w:lang w:eastAsia="en-GB"/>
        </w:rPr>
        <w:t xml:space="preserve"> </w:t>
      </w:r>
      <w:r w:rsidR="008A1BC1">
        <w:rPr>
          <w:lang w:eastAsia="en-GB"/>
        </w:rPr>
        <w:t>a</w:t>
      </w:r>
      <w:r w:rsidR="00947AA3" w:rsidRPr="00947AA3">
        <w:rPr>
          <w:lang w:eastAsia="en-GB"/>
        </w:rPr>
        <w:t xml:space="preserve"> </w:t>
      </w:r>
      <w:r w:rsidR="00496DF8">
        <w:rPr>
          <w:lang w:eastAsia="en-GB"/>
        </w:rPr>
        <w:t xml:space="preserve">self-incriminating </w:t>
      </w:r>
      <w:r w:rsidR="00947AA3" w:rsidRPr="00947AA3">
        <w:rPr>
          <w:lang w:eastAsia="en-GB"/>
        </w:rPr>
        <w:t>statement to the police.</w:t>
      </w:r>
    </w:p>
    <w:p w14:paraId="3E85FC3A" w14:textId="54AB7AD7" w:rsidR="00947AA3" w:rsidRPr="00947AA3" w:rsidRDefault="00947AA3" w:rsidP="00947AA3">
      <w:pPr>
        <w:pStyle w:val="SingleTxtG"/>
        <w:rPr>
          <w:lang w:eastAsia="en-GB"/>
        </w:rPr>
      </w:pPr>
      <w:r w:rsidRPr="00947AA3">
        <w:rPr>
          <w:lang w:eastAsia="en-GB"/>
        </w:rPr>
        <w:t>2.2</w:t>
      </w:r>
      <w:r w:rsidRPr="00947AA3">
        <w:rPr>
          <w:lang w:eastAsia="en-GB"/>
        </w:rPr>
        <w:tab/>
      </w:r>
      <w:r w:rsidR="008A1BC1">
        <w:rPr>
          <w:lang w:eastAsia="en-GB"/>
        </w:rPr>
        <w:t xml:space="preserve">On 8 December </w:t>
      </w:r>
      <w:r w:rsidRPr="00947AA3">
        <w:rPr>
          <w:lang w:eastAsia="en-GB"/>
        </w:rPr>
        <w:t xml:space="preserve">2009, </w:t>
      </w:r>
      <w:r w:rsidR="00A32DF8" w:rsidRPr="00947AA3">
        <w:rPr>
          <w:lang w:eastAsia="en-GB"/>
        </w:rPr>
        <w:t xml:space="preserve">the </w:t>
      </w:r>
      <w:r w:rsidR="00A32DF8">
        <w:rPr>
          <w:lang w:eastAsia="en-GB"/>
        </w:rPr>
        <w:t>case</w:t>
      </w:r>
      <w:r w:rsidRPr="00947AA3">
        <w:rPr>
          <w:lang w:eastAsia="en-GB"/>
        </w:rPr>
        <w:t xml:space="preserve"> </w:t>
      </w:r>
      <w:r w:rsidR="008A1BC1">
        <w:rPr>
          <w:lang w:eastAsia="en-GB"/>
        </w:rPr>
        <w:t>was</w:t>
      </w:r>
      <w:r w:rsidRPr="00947AA3">
        <w:rPr>
          <w:lang w:eastAsia="en-GB"/>
        </w:rPr>
        <w:t xml:space="preserve"> submitted to the Criminal Court. </w:t>
      </w:r>
      <w:r w:rsidR="008A1BC1">
        <w:rPr>
          <w:lang w:eastAsia="en-GB"/>
        </w:rPr>
        <w:t>On 22</w:t>
      </w:r>
      <w:r w:rsidRPr="00947AA3">
        <w:rPr>
          <w:lang w:eastAsia="en-GB"/>
        </w:rPr>
        <w:t xml:space="preserve"> November 2010, </w:t>
      </w:r>
      <w:r w:rsidR="008A1BC1">
        <w:rPr>
          <w:lang w:eastAsia="en-GB"/>
        </w:rPr>
        <w:t xml:space="preserve">the </w:t>
      </w:r>
      <w:r w:rsidR="00D97D14" w:rsidRPr="00D97D14">
        <w:rPr>
          <w:lang w:eastAsia="en-GB"/>
        </w:rPr>
        <w:t>alleged victim</w:t>
      </w:r>
      <w:r w:rsidR="008A1BC1">
        <w:rPr>
          <w:lang w:eastAsia="en-GB"/>
        </w:rPr>
        <w:t xml:space="preserve"> was</w:t>
      </w:r>
      <w:r w:rsidRPr="00947AA3">
        <w:rPr>
          <w:lang w:eastAsia="en-GB"/>
        </w:rPr>
        <w:t xml:space="preserve"> convicted by the Criminal Court </w:t>
      </w:r>
      <w:r w:rsidR="00191CE9">
        <w:rPr>
          <w:lang w:eastAsia="en-GB"/>
        </w:rPr>
        <w:t xml:space="preserve">on the charge of “intentional murder” </w:t>
      </w:r>
      <w:r w:rsidRPr="00947AA3">
        <w:rPr>
          <w:lang w:eastAsia="en-GB"/>
        </w:rPr>
        <w:t>and sentenced to death.</w:t>
      </w:r>
    </w:p>
    <w:p w14:paraId="352A0707" w14:textId="2EF752E8" w:rsidR="00947AA3" w:rsidRDefault="00947AA3" w:rsidP="00947AA3">
      <w:pPr>
        <w:pStyle w:val="SingleTxtG"/>
        <w:rPr>
          <w:lang w:eastAsia="en-GB"/>
        </w:rPr>
      </w:pPr>
      <w:r w:rsidRPr="00947AA3">
        <w:rPr>
          <w:lang w:eastAsia="en-GB"/>
        </w:rPr>
        <w:t>2.3</w:t>
      </w:r>
      <w:r w:rsidRPr="00947AA3">
        <w:rPr>
          <w:lang w:eastAsia="en-GB"/>
        </w:rPr>
        <w:tab/>
      </w:r>
      <w:r w:rsidR="007B2DB9">
        <w:rPr>
          <w:lang w:eastAsia="en-GB"/>
        </w:rPr>
        <w:t>T</w:t>
      </w:r>
      <w:r w:rsidR="008A1BC1">
        <w:rPr>
          <w:lang w:eastAsia="en-GB"/>
        </w:rPr>
        <w:t xml:space="preserve">he </w:t>
      </w:r>
      <w:r w:rsidR="00D97D14" w:rsidRPr="00D97D14">
        <w:rPr>
          <w:lang w:eastAsia="en-GB"/>
        </w:rPr>
        <w:t>alleged victim</w:t>
      </w:r>
      <w:r w:rsidR="008A1BC1">
        <w:rPr>
          <w:lang w:eastAsia="en-GB"/>
        </w:rPr>
        <w:t xml:space="preserve"> appealed </w:t>
      </w:r>
      <w:r w:rsidRPr="00947AA3">
        <w:rPr>
          <w:lang w:eastAsia="en-GB"/>
        </w:rPr>
        <w:t xml:space="preserve">the </w:t>
      </w:r>
      <w:r w:rsidR="008A1BC1">
        <w:rPr>
          <w:lang w:eastAsia="en-GB"/>
        </w:rPr>
        <w:t xml:space="preserve">judgment of the </w:t>
      </w:r>
      <w:r w:rsidRPr="00947AA3">
        <w:rPr>
          <w:lang w:eastAsia="en-GB"/>
        </w:rPr>
        <w:t xml:space="preserve">Criminal Court </w:t>
      </w:r>
      <w:r w:rsidR="007B2DB9">
        <w:rPr>
          <w:lang w:eastAsia="en-GB"/>
        </w:rPr>
        <w:t>to</w:t>
      </w:r>
      <w:r w:rsidRPr="00947AA3">
        <w:rPr>
          <w:lang w:eastAsia="en-GB"/>
        </w:rPr>
        <w:t xml:space="preserve"> the High Court</w:t>
      </w:r>
      <w:r w:rsidR="00191CE9">
        <w:rPr>
          <w:lang w:eastAsia="en-GB"/>
        </w:rPr>
        <w:t xml:space="preserve"> of the Maldives</w:t>
      </w:r>
      <w:r w:rsidRPr="00947AA3">
        <w:rPr>
          <w:lang w:eastAsia="en-GB"/>
        </w:rPr>
        <w:t xml:space="preserve">. </w:t>
      </w:r>
      <w:r w:rsidR="008A1BC1">
        <w:rPr>
          <w:lang w:eastAsia="en-GB"/>
        </w:rPr>
        <w:t>On</w:t>
      </w:r>
      <w:r w:rsidRPr="00947AA3">
        <w:rPr>
          <w:lang w:eastAsia="en-GB"/>
        </w:rPr>
        <w:t xml:space="preserve"> 25 November 2015</w:t>
      </w:r>
      <w:r w:rsidR="007B2DB9">
        <w:rPr>
          <w:lang w:eastAsia="en-GB"/>
        </w:rPr>
        <w:t>,</w:t>
      </w:r>
      <w:r w:rsidRPr="00947AA3">
        <w:rPr>
          <w:lang w:eastAsia="en-GB"/>
        </w:rPr>
        <w:t xml:space="preserve"> the High Court uph</w:t>
      </w:r>
      <w:r w:rsidR="008A1BC1">
        <w:rPr>
          <w:lang w:eastAsia="en-GB"/>
        </w:rPr>
        <w:t>eld</w:t>
      </w:r>
      <w:r w:rsidRPr="00947AA3">
        <w:rPr>
          <w:lang w:eastAsia="en-GB"/>
        </w:rPr>
        <w:t xml:space="preserve"> the conviction and </w:t>
      </w:r>
      <w:r w:rsidR="00191CE9">
        <w:rPr>
          <w:lang w:eastAsia="en-GB"/>
        </w:rPr>
        <w:t xml:space="preserve">the </w:t>
      </w:r>
      <w:r w:rsidRPr="00947AA3">
        <w:rPr>
          <w:lang w:eastAsia="en-GB"/>
        </w:rPr>
        <w:t>death sentence imposed. The</w:t>
      </w:r>
      <w:r w:rsidR="002D3FE8">
        <w:rPr>
          <w:lang w:eastAsia="en-GB"/>
        </w:rPr>
        <w:t xml:space="preserve"> judgment was upheld by final judgment by the Supreme Court on </w:t>
      </w:r>
      <w:r w:rsidRPr="00947AA3">
        <w:rPr>
          <w:lang w:eastAsia="en-GB"/>
        </w:rPr>
        <w:t>27 July 2016.</w:t>
      </w:r>
      <w:r w:rsidR="00B240BC" w:rsidRPr="00B240BC">
        <w:rPr>
          <w:rFonts w:eastAsia="Times New Roman"/>
          <w:sz w:val="18"/>
          <w:vertAlign w:val="superscript"/>
          <w:lang w:eastAsia="en-US"/>
        </w:rPr>
        <w:t xml:space="preserve"> </w:t>
      </w:r>
      <w:r w:rsidR="00B240BC" w:rsidRPr="00B240BC">
        <w:rPr>
          <w:vertAlign w:val="superscript"/>
          <w:lang w:eastAsia="en-GB"/>
        </w:rPr>
        <w:footnoteReference w:id="4"/>
      </w:r>
      <w:r w:rsidRPr="00947AA3">
        <w:rPr>
          <w:lang w:eastAsia="en-GB"/>
        </w:rPr>
        <w:t xml:space="preserve"> The</w:t>
      </w:r>
      <w:r w:rsidR="002D3FE8">
        <w:rPr>
          <w:lang w:eastAsia="en-GB"/>
        </w:rPr>
        <w:t xml:space="preserve"> author notes that at the time of his submission of the complaint a</w:t>
      </w:r>
      <w:r w:rsidRPr="00947AA3">
        <w:rPr>
          <w:lang w:eastAsia="en-GB"/>
        </w:rPr>
        <w:t xml:space="preserve"> mediation process between </w:t>
      </w:r>
      <w:r w:rsidR="00D97D14">
        <w:rPr>
          <w:lang w:eastAsia="en-GB"/>
        </w:rPr>
        <w:t xml:space="preserve">the </w:t>
      </w:r>
      <w:r w:rsidR="00D97D14" w:rsidRPr="00D97D14">
        <w:rPr>
          <w:lang w:eastAsia="en-GB"/>
        </w:rPr>
        <w:t>alleged victim</w:t>
      </w:r>
      <w:r w:rsidR="00191CE9">
        <w:rPr>
          <w:lang w:eastAsia="en-GB"/>
        </w:rPr>
        <w:t xml:space="preserve"> and the </w:t>
      </w:r>
      <w:r w:rsidR="007565C2">
        <w:rPr>
          <w:lang w:eastAsia="en-GB"/>
        </w:rPr>
        <w:t xml:space="preserve">murder </w:t>
      </w:r>
      <w:r w:rsidR="00191CE9">
        <w:rPr>
          <w:lang w:eastAsia="en-GB"/>
        </w:rPr>
        <w:t>victim’s family</w:t>
      </w:r>
      <w:r w:rsidRPr="00947AA3">
        <w:rPr>
          <w:lang w:eastAsia="en-GB"/>
        </w:rPr>
        <w:t xml:space="preserve"> had not been initiated</w:t>
      </w:r>
      <w:r w:rsidR="00191CE9">
        <w:rPr>
          <w:lang w:eastAsia="en-GB"/>
        </w:rPr>
        <w:t>, a practice provided for under domestic law</w:t>
      </w:r>
      <w:r w:rsidRPr="00947AA3">
        <w:rPr>
          <w:lang w:eastAsia="en-GB"/>
        </w:rPr>
        <w:t xml:space="preserve">. </w:t>
      </w:r>
      <w:r w:rsidR="002D3FE8">
        <w:rPr>
          <w:lang w:eastAsia="en-GB"/>
        </w:rPr>
        <w:t xml:space="preserve">He </w:t>
      </w:r>
      <w:r w:rsidR="00191CE9">
        <w:rPr>
          <w:lang w:eastAsia="en-GB"/>
        </w:rPr>
        <w:t xml:space="preserve">however </w:t>
      </w:r>
      <w:r w:rsidR="002D3FE8">
        <w:rPr>
          <w:lang w:eastAsia="en-GB"/>
        </w:rPr>
        <w:t>submits that in</w:t>
      </w:r>
      <w:r w:rsidRPr="00947AA3">
        <w:rPr>
          <w:lang w:eastAsia="en-GB"/>
        </w:rPr>
        <w:t xml:space="preserve"> line with </w:t>
      </w:r>
      <w:r w:rsidR="002D3FE8">
        <w:rPr>
          <w:lang w:eastAsia="en-GB"/>
        </w:rPr>
        <w:t xml:space="preserve">the Committee’s </w:t>
      </w:r>
      <w:r w:rsidRPr="00947AA3">
        <w:rPr>
          <w:lang w:eastAsia="en-GB"/>
        </w:rPr>
        <w:t xml:space="preserve">jurisprudence, </w:t>
      </w:r>
      <w:r w:rsidR="00191CE9">
        <w:rPr>
          <w:lang w:eastAsia="en-GB"/>
        </w:rPr>
        <w:t xml:space="preserve">such </w:t>
      </w:r>
      <w:r w:rsidRPr="00947AA3">
        <w:rPr>
          <w:lang w:eastAsia="en-GB"/>
        </w:rPr>
        <w:t>pardon procedures</w:t>
      </w:r>
      <w:r w:rsidR="00191CE9">
        <w:rPr>
          <w:lang w:eastAsia="en-GB"/>
        </w:rPr>
        <w:t xml:space="preserve"> </w:t>
      </w:r>
      <w:proofErr w:type="gramStart"/>
      <w:r w:rsidRPr="00947AA3">
        <w:rPr>
          <w:lang w:eastAsia="en-GB"/>
        </w:rPr>
        <w:t xml:space="preserve">are </w:t>
      </w:r>
      <w:r w:rsidR="00191CE9">
        <w:rPr>
          <w:lang w:eastAsia="en-GB"/>
        </w:rPr>
        <w:t>considered to be</w:t>
      </w:r>
      <w:proofErr w:type="gramEnd"/>
      <w:r w:rsidR="00191CE9">
        <w:rPr>
          <w:lang w:eastAsia="en-GB"/>
        </w:rPr>
        <w:t xml:space="preserve"> </w:t>
      </w:r>
      <w:r w:rsidRPr="00947AA3">
        <w:rPr>
          <w:lang w:eastAsia="en-GB"/>
        </w:rPr>
        <w:t>an extraordinary remedy and do not constitute</w:t>
      </w:r>
      <w:r w:rsidR="00273B76">
        <w:rPr>
          <w:lang w:eastAsia="en-GB"/>
        </w:rPr>
        <w:t xml:space="preserve"> an</w:t>
      </w:r>
      <w:r w:rsidRPr="00947AA3">
        <w:rPr>
          <w:lang w:eastAsia="en-GB"/>
        </w:rPr>
        <w:t xml:space="preserve"> effective remedy for the purposes of article </w:t>
      </w:r>
      <w:r w:rsidR="002D3FE8" w:rsidRPr="00947AA3">
        <w:rPr>
          <w:lang w:eastAsia="en-GB"/>
        </w:rPr>
        <w:t>5</w:t>
      </w:r>
      <w:r w:rsidR="002D3FE8">
        <w:rPr>
          <w:lang w:eastAsia="en-GB"/>
        </w:rPr>
        <w:t xml:space="preserve"> (2)</w:t>
      </w:r>
      <w:r w:rsidR="002D3FE8" w:rsidRPr="00947AA3">
        <w:rPr>
          <w:lang w:eastAsia="en-GB"/>
        </w:rPr>
        <w:t xml:space="preserve"> (b)</w:t>
      </w:r>
      <w:r w:rsidRPr="00947AA3">
        <w:rPr>
          <w:lang w:eastAsia="en-GB"/>
        </w:rPr>
        <w:t xml:space="preserve"> of the Optional Protocol.</w:t>
      </w:r>
      <w:r w:rsidR="00D97D14">
        <w:rPr>
          <w:rStyle w:val="FootnoteReference"/>
          <w:lang w:eastAsia="en-GB"/>
        </w:rPr>
        <w:footnoteReference w:id="5"/>
      </w:r>
    </w:p>
    <w:p w14:paraId="2A0A32F7" w14:textId="72FB0C84" w:rsidR="00B76298" w:rsidRPr="00947AA3" w:rsidRDefault="00B76298" w:rsidP="00947AA3">
      <w:pPr>
        <w:pStyle w:val="SingleTxtG"/>
        <w:rPr>
          <w:lang w:eastAsia="en-GB"/>
        </w:rPr>
      </w:pPr>
      <w:r>
        <w:rPr>
          <w:lang w:eastAsia="en-GB"/>
        </w:rPr>
        <w:t>2.4</w:t>
      </w:r>
      <w:r>
        <w:rPr>
          <w:lang w:eastAsia="en-GB"/>
        </w:rPr>
        <w:tab/>
      </w:r>
      <w:r w:rsidRPr="00B76298">
        <w:rPr>
          <w:lang w:eastAsia="en-GB"/>
        </w:rPr>
        <w:t>The author claims that there were serious concerns about the fairness of the trial and other proceedings through which the alleged victim’s conviction and death sentence were imposed, and he argues that the alleged victim</w:t>
      </w:r>
      <w:r>
        <w:rPr>
          <w:lang w:eastAsia="en-GB"/>
        </w:rPr>
        <w:t xml:space="preserve"> </w:t>
      </w:r>
      <w:r w:rsidRPr="00B76298">
        <w:rPr>
          <w:lang w:eastAsia="en-GB"/>
        </w:rPr>
        <w:t xml:space="preserve">provided his statement to the police </w:t>
      </w:r>
      <w:r>
        <w:rPr>
          <w:lang w:eastAsia="en-GB"/>
        </w:rPr>
        <w:t>without</w:t>
      </w:r>
      <w:r w:rsidRPr="00B76298">
        <w:rPr>
          <w:lang w:eastAsia="en-GB"/>
        </w:rPr>
        <w:t xml:space="preserve"> the assistance of a legal representative</w:t>
      </w:r>
      <w:r>
        <w:rPr>
          <w:lang w:eastAsia="en-GB"/>
        </w:rPr>
        <w:t>. He later withdrew the statement at trial stating he had provided it out of fear, n</w:t>
      </w:r>
      <w:r w:rsidRPr="00B76298">
        <w:rPr>
          <w:lang w:eastAsia="en-GB"/>
        </w:rPr>
        <w:t>evertheless, the statement was taken into consideration by the courts and used to convict him. Similarly, the alleged victim’s sister, who was a witness in the case, also retracted her previous testimony against the alleged victim, but this was not taken into consideration by the courts</w:t>
      </w:r>
      <w:r>
        <w:rPr>
          <w:lang w:eastAsia="en-GB"/>
        </w:rPr>
        <w:t xml:space="preserve">. </w:t>
      </w:r>
    </w:p>
    <w:p w14:paraId="703B479C" w14:textId="135CFF45" w:rsidR="00611FE2" w:rsidRPr="00947AA3" w:rsidRDefault="00213B59" w:rsidP="00947AA3">
      <w:pPr>
        <w:pStyle w:val="SingleTxtG"/>
        <w:rPr>
          <w:b/>
          <w:bCs/>
        </w:rPr>
      </w:pPr>
      <w:r w:rsidRPr="00947AA3">
        <w:rPr>
          <w:b/>
          <w:bCs/>
        </w:rPr>
        <w:tab/>
      </w:r>
      <w:r w:rsidR="00F11B5A" w:rsidRPr="00947AA3">
        <w:rPr>
          <w:b/>
          <w:bCs/>
        </w:rPr>
        <w:t>C</w:t>
      </w:r>
      <w:r w:rsidR="00611FE2" w:rsidRPr="00947AA3">
        <w:rPr>
          <w:b/>
          <w:bCs/>
        </w:rPr>
        <w:t>omplaint</w:t>
      </w:r>
    </w:p>
    <w:p w14:paraId="5A182E7B" w14:textId="4123FF17" w:rsidR="00947AA3" w:rsidRDefault="00DD2BCC" w:rsidP="00947AA3">
      <w:pPr>
        <w:pStyle w:val="SingleTxtG"/>
      </w:pPr>
      <w:r>
        <w:t>3.</w:t>
      </w:r>
      <w:r w:rsidR="00947AA3">
        <w:t>1</w:t>
      </w:r>
      <w:r>
        <w:tab/>
      </w:r>
      <w:r w:rsidR="00213B59">
        <w:t xml:space="preserve">The author claims </w:t>
      </w:r>
      <w:r w:rsidR="001E12B2">
        <w:t xml:space="preserve">a violation of </w:t>
      </w:r>
      <w:r w:rsidR="00D34080">
        <w:t xml:space="preserve">the alleged victim’s </w:t>
      </w:r>
      <w:r w:rsidR="001E12B2">
        <w:t>rights under</w:t>
      </w:r>
      <w:r w:rsidR="00947AA3" w:rsidRPr="00947AA3">
        <w:t xml:space="preserve"> article 6</w:t>
      </w:r>
      <w:r w:rsidR="00B317AA">
        <w:t xml:space="preserve"> (1), read in conjunction with article</w:t>
      </w:r>
      <w:r w:rsidR="00947AA3" w:rsidRPr="00947AA3">
        <w:t xml:space="preserve"> 14 </w:t>
      </w:r>
      <w:r w:rsidR="001E12B2">
        <w:t>of the Covenant</w:t>
      </w:r>
      <w:r w:rsidR="00B317AA">
        <w:t xml:space="preserve"> and argues that the imposition of the death penalty upon the conclusion of a trial, in which the provisions of article 14 were not respected, </w:t>
      </w:r>
      <w:proofErr w:type="gramStart"/>
      <w:r w:rsidR="00B317AA">
        <w:t xml:space="preserve">constitutes </w:t>
      </w:r>
      <w:r w:rsidR="00B317AA" w:rsidRPr="00B317AA">
        <w:t>also</w:t>
      </w:r>
      <w:proofErr w:type="gramEnd"/>
      <w:r w:rsidR="00B317AA" w:rsidRPr="00B317AA">
        <w:t xml:space="preserve"> a violation of </w:t>
      </w:r>
      <w:r w:rsidR="00B13BC5">
        <w:t>the</w:t>
      </w:r>
      <w:r w:rsidR="00B13BC5" w:rsidRPr="00B317AA">
        <w:t xml:space="preserve"> </w:t>
      </w:r>
      <w:r w:rsidR="00B317AA" w:rsidRPr="00B317AA">
        <w:t>right to life</w:t>
      </w:r>
      <w:r w:rsidR="00B317AA">
        <w:t>.</w:t>
      </w:r>
    </w:p>
    <w:p w14:paraId="5AF68DBB" w14:textId="3A85C6AF" w:rsidR="00B317AA" w:rsidRDefault="00B317AA" w:rsidP="008950EB">
      <w:pPr>
        <w:pStyle w:val="SingleTxtG"/>
      </w:pPr>
      <w:r>
        <w:t>3.2</w:t>
      </w:r>
      <w:r>
        <w:tab/>
        <w:t xml:space="preserve">The author further claims a violation of </w:t>
      </w:r>
      <w:r w:rsidR="00D34080" w:rsidRPr="00D34080">
        <w:t xml:space="preserve">the alleged victim’s </w:t>
      </w:r>
      <w:r>
        <w:t xml:space="preserve">rights under </w:t>
      </w:r>
      <w:r w:rsidR="00F03C97">
        <w:t xml:space="preserve">article 6 (4) of the Covenant. He notes that </w:t>
      </w:r>
      <w:r w:rsidR="008950EB">
        <w:t xml:space="preserve">prior to 2014, the President of the Maldives had the power </w:t>
      </w:r>
      <w:r w:rsidR="00F03C97" w:rsidRPr="00F03C97">
        <w:t xml:space="preserve">to commute death sentences </w:t>
      </w:r>
      <w:r w:rsidR="008950EB">
        <w:t xml:space="preserve">under articles 5.1 and 21 of Clemency Act No. 2/2010. </w:t>
      </w:r>
      <w:r w:rsidR="00EA35BC">
        <w:t>However, on</w:t>
      </w:r>
      <w:r w:rsidR="00EA35BC" w:rsidRPr="00EA35BC">
        <w:rPr>
          <w:rFonts w:eastAsia="Times New Roman"/>
          <w:bCs/>
          <w:iCs/>
          <w:lang w:eastAsia="en-US"/>
        </w:rPr>
        <w:t xml:space="preserve"> </w:t>
      </w:r>
      <w:r w:rsidR="00EA35BC" w:rsidRPr="00EA35BC">
        <w:rPr>
          <w:bCs/>
          <w:iCs/>
        </w:rPr>
        <w:t xml:space="preserve">27 April 2014 </w:t>
      </w:r>
      <w:r w:rsidR="008950EB">
        <w:t>Regulation No.</w:t>
      </w:r>
      <w:r w:rsidR="008950EB" w:rsidRPr="008950EB">
        <w:rPr>
          <w:rFonts w:eastAsia="Times New Roman"/>
          <w:bCs/>
          <w:iCs/>
          <w:lang w:eastAsia="en-US"/>
        </w:rPr>
        <w:t xml:space="preserve"> </w:t>
      </w:r>
      <w:r w:rsidR="008950EB" w:rsidRPr="008950EB">
        <w:rPr>
          <w:bCs/>
          <w:iCs/>
        </w:rPr>
        <w:t>R-33/2014</w:t>
      </w:r>
      <w:r w:rsidR="008950EB">
        <w:rPr>
          <w:bCs/>
          <w:iCs/>
        </w:rPr>
        <w:t xml:space="preserve"> on</w:t>
      </w:r>
      <w:r w:rsidR="008950EB" w:rsidRPr="008950EB">
        <w:rPr>
          <w:bCs/>
          <w:iCs/>
        </w:rPr>
        <w:t xml:space="preserve"> ‘the Regulation on the procedure of investigating the crime of committing international murder and enforcing the sentence’</w:t>
      </w:r>
      <w:r w:rsidR="00EA35BC">
        <w:rPr>
          <w:bCs/>
          <w:iCs/>
        </w:rPr>
        <w:t xml:space="preserve"> came into force, which together with a</w:t>
      </w:r>
      <w:r w:rsidR="008950EB">
        <w:rPr>
          <w:bCs/>
          <w:iCs/>
        </w:rPr>
        <w:t xml:space="preserve"> decision of the High Court on 29 November 2015 in related </w:t>
      </w:r>
      <w:r w:rsidR="008950EB">
        <w:rPr>
          <w:bCs/>
          <w:iCs/>
        </w:rPr>
        <w:lastRenderedPageBreak/>
        <w:t>litigation,</w:t>
      </w:r>
      <w:r w:rsidR="008950EB">
        <w:rPr>
          <w:rStyle w:val="FootnoteReference"/>
          <w:bCs/>
          <w:iCs/>
        </w:rPr>
        <w:footnoteReference w:id="6"/>
      </w:r>
      <w:r w:rsidR="008950EB">
        <w:rPr>
          <w:bCs/>
          <w:iCs/>
        </w:rPr>
        <w:t xml:space="preserve"> resulted in the removal of the power of the President to grant clemency in cases of intentional murder and placed it instead with the family of </w:t>
      </w:r>
      <w:r w:rsidR="00EA35BC">
        <w:rPr>
          <w:bCs/>
          <w:iCs/>
        </w:rPr>
        <w:t>the</w:t>
      </w:r>
      <w:r w:rsidR="008950EB">
        <w:rPr>
          <w:bCs/>
          <w:iCs/>
        </w:rPr>
        <w:t xml:space="preserve"> victim. As a result, those facing the death penalty in the State party for intentional murder, such as the </w:t>
      </w:r>
      <w:r w:rsidR="00B13BC5">
        <w:rPr>
          <w:bCs/>
          <w:iCs/>
        </w:rPr>
        <w:t>alleged victim</w:t>
      </w:r>
      <w:r w:rsidR="008950EB">
        <w:rPr>
          <w:bCs/>
          <w:iCs/>
        </w:rPr>
        <w:t xml:space="preserve">, are denied the possibility </w:t>
      </w:r>
      <w:r w:rsidR="00EA35BC">
        <w:rPr>
          <w:bCs/>
          <w:iCs/>
        </w:rPr>
        <w:t>of</w:t>
      </w:r>
      <w:r w:rsidR="008950EB">
        <w:rPr>
          <w:bCs/>
          <w:iCs/>
        </w:rPr>
        <w:t xml:space="preserve"> exercising their right to </w:t>
      </w:r>
      <w:r w:rsidR="00F03C97" w:rsidRPr="00F03C97">
        <w:t>seek pardon or commutation of the</w:t>
      </w:r>
      <w:r w:rsidR="00EA35BC">
        <w:t>ir</w:t>
      </w:r>
      <w:r w:rsidR="00F03C97" w:rsidRPr="00F03C97">
        <w:t xml:space="preserve"> sentence</w:t>
      </w:r>
      <w:r w:rsidR="008950EB">
        <w:t xml:space="preserve"> in violation of article 6 (4) of the Covenant.</w:t>
      </w:r>
      <w:r w:rsidR="00FD66D3">
        <w:t xml:space="preserve"> The author further argues that the system introduced under </w:t>
      </w:r>
      <w:r w:rsidR="00FD66D3" w:rsidRPr="00FD66D3">
        <w:t>Regulation No.</w:t>
      </w:r>
      <w:r w:rsidR="00FD66D3" w:rsidRPr="00FD66D3">
        <w:rPr>
          <w:bCs/>
          <w:iCs/>
        </w:rPr>
        <w:t xml:space="preserve"> R-33/2014</w:t>
      </w:r>
      <w:r w:rsidR="00FD66D3">
        <w:rPr>
          <w:bCs/>
          <w:iCs/>
        </w:rPr>
        <w:t xml:space="preserve"> results in an arbitrary exercise of power of pardon. </w:t>
      </w:r>
      <w:r w:rsidR="007565C2">
        <w:rPr>
          <w:bCs/>
          <w:iCs/>
        </w:rPr>
        <w:t>T</w:t>
      </w:r>
      <w:r w:rsidR="00FD66D3">
        <w:rPr>
          <w:bCs/>
          <w:iCs/>
        </w:rPr>
        <w:t xml:space="preserve">he regulation does not </w:t>
      </w:r>
      <w:r w:rsidR="007B2DB9">
        <w:rPr>
          <w:bCs/>
          <w:iCs/>
        </w:rPr>
        <w:t>indicate</w:t>
      </w:r>
      <w:r w:rsidR="00FD66D3">
        <w:rPr>
          <w:bCs/>
          <w:iCs/>
        </w:rPr>
        <w:t xml:space="preserve"> the grounds on which the Supreme Court might refuse to commute a death sentence, should the victim’s family decide to pardon the offender. The regulation also makes the commutation of a death sentence dependant on factors such as the socio-economical background of the convicted person’s family, external to his or her personal circumstances or the circumstances of the crime.</w:t>
      </w:r>
      <w:r w:rsidR="004850BD" w:rsidRPr="004850BD">
        <w:rPr>
          <w:bCs/>
          <w:iCs/>
          <w:vertAlign w:val="superscript"/>
        </w:rPr>
        <w:footnoteReference w:id="7"/>
      </w:r>
      <w:r w:rsidR="00FD66D3">
        <w:rPr>
          <w:bCs/>
          <w:iCs/>
        </w:rPr>
        <w:t xml:space="preserve"> </w:t>
      </w:r>
      <w:r w:rsidR="00EA35BC">
        <w:rPr>
          <w:bCs/>
          <w:iCs/>
        </w:rPr>
        <w:t>The author</w:t>
      </w:r>
      <w:r w:rsidR="00FD66D3">
        <w:rPr>
          <w:bCs/>
          <w:iCs/>
        </w:rPr>
        <w:t xml:space="preserve"> further argues that the system is discriminatory based on the type of offence committed, does not provide procedural guidance as to the timeframe for the negotiations, and is not transparent in relation to the appointment of mediators by the Ministry of Islamic Affairs.</w:t>
      </w:r>
    </w:p>
    <w:p w14:paraId="316337BA" w14:textId="09BD1969" w:rsidR="00B317AA" w:rsidRPr="00947AA3" w:rsidRDefault="00C016B8" w:rsidP="00947AA3">
      <w:pPr>
        <w:pStyle w:val="SingleTxtG"/>
      </w:pPr>
      <w:r w:rsidRPr="00C016B8">
        <w:t>3.3</w:t>
      </w:r>
      <w:r w:rsidRPr="00C016B8">
        <w:tab/>
        <w:t xml:space="preserve">The author </w:t>
      </w:r>
      <w:r>
        <w:t xml:space="preserve">claims a violation of </w:t>
      </w:r>
      <w:r w:rsidR="00D34080" w:rsidRPr="00D34080">
        <w:t>the alleged victim’s</w:t>
      </w:r>
      <w:r>
        <w:t xml:space="preserve"> rights under article 6 (6), read in conjunction with article 7</w:t>
      </w:r>
      <w:r w:rsidRPr="00C016B8">
        <w:rPr>
          <w:rFonts w:eastAsia="Times New Roman"/>
          <w:lang w:eastAsia="en-US"/>
        </w:rPr>
        <w:t xml:space="preserve"> </w:t>
      </w:r>
      <w:r w:rsidRPr="00C016B8">
        <w:t>of the Covenant</w:t>
      </w:r>
      <w:r>
        <w:t xml:space="preserve">. He </w:t>
      </w:r>
      <w:r w:rsidRPr="00C016B8">
        <w:t>argues that the move</w:t>
      </w:r>
      <w:r w:rsidR="00FD5EFF">
        <w:rPr>
          <w:rStyle w:val="FootnoteReference"/>
        </w:rPr>
        <w:footnoteReference w:id="8"/>
      </w:r>
      <w:r w:rsidRPr="00C016B8">
        <w:t>, at the time of the submission of his complaint, to resume executions in the State party after decades without executions having been carried out is inconsistent with article 6 (6) of the Covenant, which sets out the desirability of the abolition of the death penalty as goal for State</w:t>
      </w:r>
      <w:r w:rsidR="004850BD">
        <w:t>s</w:t>
      </w:r>
      <w:r w:rsidRPr="00C016B8">
        <w:t xml:space="preserve"> parties to the Covenant. </w:t>
      </w:r>
      <w:r w:rsidR="00D07156">
        <w:t xml:space="preserve">He argues that the </w:t>
      </w:r>
      <w:r w:rsidR="004850BD">
        <w:t xml:space="preserve">fact that the </w:t>
      </w:r>
      <w:r w:rsidR="00D07156">
        <w:t xml:space="preserve">State party has had a six-decades long policy </w:t>
      </w:r>
      <w:r w:rsidR="004850BD">
        <w:t>of</w:t>
      </w:r>
      <w:r w:rsidR="00D07156">
        <w:t xml:space="preserve"> not implement</w:t>
      </w:r>
      <w:r w:rsidR="004850BD">
        <w:t>ing</w:t>
      </w:r>
      <w:r w:rsidR="00D07156">
        <w:t xml:space="preserve"> death sentences, has created a legitimate expectation that no further executions would be carried out. The author also</w:t>
      </w:r>
      <w:r w:rsidRPr="00C016B8">
        <w:t xml:space="preserve"> </w:t>
      </w:r>
      <w:r>
        <w:t xml:space="preserve">claims that </w:t>
      </w:r>
      <w:r w:rsidR="00D07156">
        <w:t>the repeated statements by the authorities and legislative changes aimed at the resumption of executions, coupled with the lack of transparency in relation to the timing of scheduled executions, have</w:t>
      </w:r>
      <w:r w:rsidRPr="00C016B8">
        <w:t xml:space="preserve"> caused </w:t>
      </w:r>
      <w:r w:rsidR="00FD5EFF">
        <w:t>the alleged victim</w:t>
      </w:r>
      <w:r w:rsidR="00FD5EFF" w:rsidRPr="00C016B8">
        <w:t xml:space="preserve"> </w:t>
      </w:r>
      <w:r w:rsidRPr="00C016B8">
        <w:t xml:space="preserve">and his family </w:t>
      </w:r>
      <w:r w:rsidR="00D07156">
        <w:t>enormous</w:t>
      </w:r>
      <w:r w:rsidRPr="00C016B8">
        <w:t xml:space="preserve"> distress in violation of </w:t>
      </w:r>
      <w:r w:rsidR="00D07156">
        <w:t>their</w:t>
      </w:r>
      <w:r w:rsidRPr="00C016B8">
        <w:t xml:space="preserve"> rights under article 7 of the Covenant.</w:t>
      </w:r>
      <w:r w:rsidR="007565C2">
        <w:rPr>
          <w:rStyle w:val="FootnoteReference"/>
        </w:rPr>
        <w:footnoteReference w:id="9"/>
      </w:r>
    </w:p>
    <w:p w14:paraId="59D33682" w14:textId="2D4C2714" w:rsidR="00286E6A" w:rsidRDefault="003A13A9" w:rsidP="00947AA3">
      <w:pPr>
        <w:pStyle w:val="SingleTxtG"/>
      </w:pPr>
      <w:r>
        <w:t>3.4</w:t>
      </w:r>
      <w:r>
        <w:tab/>
        <w:t xml:space="preserve">The author claims a violation of </w:t>
      </w:r>
      <w:r w:rsidR="00D34080" w:rsidRPr="00D34080">
        <w:t>the alleged victim’s</w:t>
      </w:r>
      <w:r w:rsidR="00D34080">
        <w:t xml:space="preserve"> </w:t>
      </w:r>
      <w:r>
        <w:t xml:space="preserve">rights under article 14, read in conjunction with article 7 of the Covenant. He claims that </w:t>
      </w:r>
      <w:r w:rsidR="00D07156">
        <w:t xml:space="preserve">there were serious concerns about the fairness of the trial and other proceedings through which </w:t>
      </w:r>
      <w:r w:rsidR="00D34080" w:rsidRPr="00D34080">
        <w:t xml:space="preserve">the alleged victim’s </w:t>
      </w:r>
      <w:r w:rsidR="00D07156">
        <w:t xml:space="preserve">conviction and death sentence were imposed and upheld, and he argues that </w:t>
      </w:r>
      <w:r w:rsidR="00D34080" w:rsidRPr="00D34080">
        <w:t xml:space="preserve">the alleged </w:t>
      </w:r>
      <w:r w:rsidR="00520CAD" w:rsidRPr="00D34080">
        <w:t>victim</w:t>
      </w:r>
      <w:r w:rsidR="00520CAD" w:rsidRPr="00286E6A">
        <w:t xml:space="preserve"> provided</w:t>
      </w:r>
      <w:r w:rsidR="00286E6A" w:rsidRPr="00286E6A">
        <w:t xml:space="preserve"> his statement to the police in circumstances which may have amounted to cruel, inhuman or degrading treatment or punishment. </w:t>
      </w:r>
      <w:r w:rsidR="00D07156">
        <w:t xml:space="preserve">Despite </w:t>
      </w:r>
      <w:r w:rsidR="00D34080" w:rsidRPr="00D34080">
        <w:t xml:space="preserve">the alleged victim’s </w:t>
      </w:r>
      <w:r w:rsidR="009306DE">
        <w:t>request to receive legal counsel, he did not have the assistance of a legal representative during the police interrogation</w:t>
      </w:r>
      <w:r w:rsidR="00D34080">
        <w:t xml:space="preserve"> and </w:t>
      </w:r>
      <w:r w:rsidR="009306DE">
        <w:t xml:space="preserve">“confessed” to the crime, only to </w:t>
      </w:r>
      <w:r w:rsidR="00286E6A" w:rsidRPr="00286E6A">
        <w:t>later retract said statement at trial</w:t>
      </w:r>
      <w:r w:rsidR="00EA35BC">
        <w:t>,</w:t>
      </w:r>
      <w:r w:rsidR="00286E6A" w:rsidRPr="00286E6A">
        <w:t xml:space="preserve"> </w:t>
      </w:r>
      <w:r w:rsidR="009306DE">
        <w:t xml:space="preserve">stating that he had signed the statement without thoroughly reading it because he felt fearful, thus raising concerns under article 7 of the Covenant. </w:t>
      </w:r>
      <w:r w:rsidR="009306DE" w:rsidRPr="00286E6A">
        <w:t>Nevertheless</w:t>
      </w:r>
      <w:r w:rsidR="00286E6A" w:rsidRPr="00286E6A">
        <w:t xml:space="preserve">, the statement was taken into consideration by the courts and used to convict him. </w:t>
      </w:r>
      <w:r w:rsidR="009306DE">
        <w:t xml:space="preserve">Similarly, </w:t>
      </w:r>
      <w:r w:rsidR="00B76298" w:rsidRPr="00B76298">
        <w:t>the alleged victim’s</w:t>
      </w:r>
      <w:r w:rsidR="009306DE">
        <w:t xml:space="preserve"> sister</w:t>
      </w:r>
      <w:r w:rsidR="00AF0A4F">
        <w:t>’s</w:t>
      </w:r>
      <w:r w:rsidR="003E2B19">
        <w:t xml:space="preserve"> retractation</w:t>
      </w:r>
      <w:r w:rsidR="009306DE">
        <w:t xml:space="preserve"> </w:t>
      </w:r>
      <w:r w:rsidR="003E2B19">
        <w:t xml:space="preserve">(para. 2.4) </w:t>
      </w:r>
      <w:r w:rsidR="009306DE">
        <w:t xml:space="preserve">was not </w:t>
      </w:r>
      <w:r w:rsidR="003E2B19">
        <w:t>considered</w:t>
      </w:r>
      <w:r w:rsidR="009306DE">
        <w:t xml:space="preserve"> by the courts which referred to the video tape of her interrogation at the police station as evidence. The author notes that in line with articles 7 and 14 (3) of the Covenant, statements elicited </w:t>
      </w:r>
      <w:proofErr w:type="gramStart"/>
      <w:r w:rsidR="009306DE">
        <w:t>as a result of</w:t>
      </w:r>
      <w:proofErr w:type="gramEnd"/>
      <w:r w:rsidR="009306DE">
        <w:t xml:space="preserve"> torture or other ill-treatment must be excluded as evidence in criminal proceedings.</w:t>
      </w:r>
      <w:r w:rsidR="00F03569">
        <w:rPr>
          <w:rStyle w:val="FootnoteReference"/>
        </w:rPr>
        <w:footnoteReference w:id="10"/>
      </w:r>
      <w:r w:rsidR="009306DE">
        <w:t xml:space="preserve"> </w:t>
      </w:r>
    </w:p>
    <w:p w14:paraId="49A29836" w14:textId="7CB4F45E" w:rsidR="00947AA3" w:rsidRPr="00947AA3" w:rsidRDefault="00947AA3" w:rsidP="00947AA3">
      <w:pPr>
        <w:pStyle w:val="SingleTxtG"/>
      </w:pPr>
      <w:r w:rsidRPr="00947AA3">
        <w:t>3.</w:t>
      </w:r>
      <w:r w:rsidR="009306DE">
        <w:t>5</w:t>
      </w:r>
      <w:r w:rsidRPr="00947AA3">
        <w:tab/>
        <w:t xml:space="preserve">The author </w:t>
      </w:r>
      <w:r w:rsidR="007B02E7">
        <w:t xml:space="preserve">requests the Committee to recommend to the State party to: a) </w:t>
      </w:r>
      <w:r w:rsidRPr="00947AA3">
        <w:t xml:space="preserve">grant </w:t>
      </w:r>
      <w:r w:rsidR="00FE315B">
        <w:t>the alleged victim</w:t>
      </w:r>
      <w:r w:rsidR="00FE315B" w:rsidRPr="00947AA3">
        <w:t xml:space="preserve"> </w:t>
      </w:r>
      <w:r w:rsidRPr="00947AA3">
        <w:t>a retrial that fully complies with the fair trial provisions set out in the Covenant and which does not resort to the death penalty;</w:t>
      </w:r>
      <w:r w:rsidR="007B02E7">
        <w:t xml:space="preserve"> b) </w:t>
      </w:r>
      <w:r w:rsidRPr="00947AA3">
        <w:t>to reinstate procedures for executive clemency, which must be fair and transparent, and ensure that, pending the abolition of the death penalty, all persons under sentence of death can exercise their right to seek pardon or commutation of their death sentences</w:t>
      </w:r>
      <w:r w:rsidR="000B4D50">
        <w:t xml:space="preserve">; and c) </w:t>
      </w:r>
      <w:r w:rsidRPr="00947AA3">
        <w:t xml:space="preserve">to halt all executions, and grant those in similar circumstances </w:t>
      </w:r>
      <w:r w:rsidR="003E5E4C">
        <w:t>as the</w:t>
      </w:r>
      <w:r w:rsidR="00FE315B" w:rsidRPr="00FE315B">
        <w:t xml:space="preserve"> alleged victim</w:t>
      </w:r>
      <w:r w:rsidR="003E5E4C">
        <w:t xml:space="preserve"> </w:t>
      </w:r>
      <w:r w:rsidRPr="00947AA3">
        <w:t>the opportunity and the means to request interim measures from the Committee.</w:t>
      </w:r>
    </w:p>
    <w:p w14:paraId="380AEDE3" w14:textId="5E6ED6EB" w:rsidR="005C21B5" w:rsidRPr="005C21B5" w:rsidRDefault="007711E9" w:rsidP="007711E9">
      <w:pPr>
        <w:pStyle w:val="H23G"/>
      </w:pPr>
      <w:r>
        <w:lastRenderedPageBreak/>
        <w:tab/>
      </w:r>
      <w:r>
        <w:tab/>
      </w:r>
      <w:r w:rsidR="005C21B5" w:rsidRPr="005C21B5">
        <w:t>State party’s observations on admissibility</w:t>
      </w:r>
      <w:r w:rsidR="00947AA3">
        <w:t xml:space="preserve"> and merits</w:t>
      </w:r>
    </w:p>
    <w:p w14:paraId="18426EB4" w14:textId="041EC446" w:rsidR="00D123B7" w:rsidRDefault="00E9560D" w:rsidP="00F33255">
      <w:pPr>
        <w:pStyle w:val="SingleTxtG"/>
        <w:rPr>
          <w:bCs/>
          <w:iCs/>
        </w:rPr>
      </w:pPr>
      <w:r>
        <w:rPr>
          <w:bCs/>
          <w:iCs/>
        </w:rPr>
        <w:t>4</w:t>
      </w:r>
      <w:r w:rsidR="005C21B5">
        <w:rPr>
          <w:bCs/>
          <w:iCs/>
        </w:rPr>
        <w:t>.1</w:t>
      </w:r>
      <w:r w:rsidR="005C21B5">
        <w:rPr>
          <w:bCs/>
          <w:iCs/>
        </w:rPr>
        <w:tab/>
      </w:r>
      <w:r w:rsidR="00351F15">
        <w:rPr>
          <w:bCs/>
          <w:iCs/>
        </w:rPr>
        <w:t xml:space="preserve">On </w:t>
      </w:r>
      <w:r w:rsidR="00EC2ABE">
        <w:rPr>
          <w:bCs/>
          <w:iCs/>
        </w:rPr>
        <w:t>15 July 2019</w:t>
      </w:r>
      <w:r w:rsidR="00351F15">
        <w:rPr>
          <w:bCs/>
          <w:iCs/>
        </w:rPr>
        <w:t>, the State party submitted its observations on the admissibility</w:t>
      </w:r>
      <w:r w:rsidR="00F33255">
        <w:rPr>
          <w:bCs/>
          <w:iCs/>
        </w:rPr>
        <w:t xml:space="preserve"> and merits of the communication</w:t>
      </w:r>
      <w:r w:rsidR="00351F15">
        <w:rPr>
          <w:bCs/>
          <w:iCs/>
        </w:rPr>
        <w:t xml:space="preserve">. </w:t>
      </w:r>
      <w:r w:rsidR="00445AC9">
        <w:rPr>
          <w:bCs/>
          <w:iCs/>
        </w:rPr>
        <w:t xml:space="preserve">It submits that the claims should be found inadmissible as insufficiently substantiated. </w:t>
      </w:r>
    </w:p>
    <w:p w14:paraId="10B2250B" w14:textId="6911BF63" w:rsidR="00155857" w:rsidRDefault="00155857" w:rsidP="00F33255">
      <w:pPr>
        <w:pStyle w:val="SingleTxtG"/>
        <w:rPr>
          <w:bCs/>
          <w:iCs/>
        </w:rPr>
      </w:pPr>
      <w:r>
        <w:rPr>
          <w:bCs/>
          <w:iCs/>
        </w:rPr>
        <w:t>4.2</w:t>
      </w:r>
      <w:r>
        <w:rPr>
          <w:bCs/>
          <w:iCs/>
        </w:rPr>
        <w:tab/>
        <w:t xml:space="preserve">The State party notes that the </w:t>
      </w:r>
      <w:bookmarkStart w:id="0" w:name="_Hlk155804064"/>
      <w:r w:rsidR="00827900" w:rsidRPr="00827900">
        <w:rPr>
          <w:bCs/>
          <w:iCs/>
        </w:rPr>
        <w:t>alleged victim</w:t>
      </w:r>
      <w:bookmarkEnd w:id="0"/>
      <w:r>
        <w:rPr>
          <w:bCs/>
          <w:iCs/>
        </w:rPr>
        <w:t xml:space="preserve"> was </w:t>
      </w:r>
      <w:r w:rsidRPr="007B2DB9">
        <w:rPr>
          <w:bCs/>
          <w:iCs/>
        </w:rPr>
        <w:t xml:space="preserve">arrested </w:t>
      </w:r>
      <w:r w:rsidR="007B2DB9" w:rsidRPr="007B2DB9">
        <w:rPr>
          <w:bCs/>
          <w:iCs/>
        </w:rPr>
        <w:t>in</w:t>
      </w:r>
      <w:r w:rsidRPr="007B2DB9">
        <w:rPr>
          <w:bCs/>
          <w:iCs/>
        </w:rPr>
        <w:t xml:space="preserve"> March 2009</w:t>
      </w:r>
      <w:r>
        <w:rPr>
          <w:bCs/>
          <w:iCs/>
        </w:rPr>
        <w:t xml:space="preserve"> on suspicion of participating in a gang fight. During the fight </w:t>
      </w:r>
      <w:r w:rsidR="00827900">
        <w:rPr>
          <w:bCs/>
          <w:iCs/>
        </w:rPr>
        <w:t>he</w:t>
      </w:r>
      <w:r>
        <w:rPr>
          <w:bCs/>
          <w:iCs/>
        </w:rPr>
        <w:t xml:space="preserve"> was observed beating the </w:t>
      </w:r>
      <w:r w:rsidR="00827900">
        <w:rPr>
          <w:bCs/>
          <w:iCs/>
        </w:rPr>
        <w:t xml:space="preserve">murder </w:t>
      </w:r>
      <w:r>
        <w:rPr>
          <w:bCs/>
          <w:iCs/>
        </w:rPr>
        <w:t xml:space="preserve">victim and throwing an approximately </w:t>
      </w:r>
      <w:r w:rsidR="003B6310">
        <w:rPr>
          <w:bCs/>
          <w:iCs/>
        </w:rPr>
        <w:t>6-inch-long</w:t>
      </w:r>
      <w:r>
        <w:rPr>
          <w:bCs/>
          <w:iCs/>
        </w:rPr>
        <w:t xml:space="preserve"> knife-like weapon at the victim, which lodged into the victim’s back, slashing through major </w:t>
      </w:r>
      <w:proofErr w:type="gramStart"/>
      <w:r>
        <w:rPr>
          <w:bCs/>
          <w:iCs/>
        </w:rPr>
        <w:t>arteries</w:t>
      </w:r>
      <w:proofErr w:type="gramEnd"/>
      <w:r>
        <w:rPr>
          <w:bCs/>
          <w:iCs/>
        </w:rPr>
        <w:t xml:space="preserve"> and causing the victim’s lung to collapse</w:t>
      </w:r>
      <w:r w:rsidR="00520CAD">
        <w:rPr>
          <w:bCs/>
          <w:iCs/>
        </w:rPr>
        <w:t xml:space="preserve">, resulting in his death </w:t>
      </w:r>
      <w:r>
        <w:rPr>
          <w:bCs/>
          <w:iCs/>
        </w:rPr>
        <w:t xml:space="preserve">in hospital on 9 March 2009. </w:t>
      </w:r>
    </w:p>
    <w:p w14:paraId="0FB505C4" w14:textId="415112D7" w:rsidR="004C1B44" w:rsidRDefault="00155857" w:rsidP="00155857">
      <w:pPr>
        <w:pStyle w:val="SingleTxtG"/>
        <w:rPr>
          <w:bCs/>
          <w:iCs/>
        </w:rPr>
      </w:pPr>
      <w:r>
        <w:rPr>
          <w:bCs/>
          <w:iCs/>
        </w:rPr>
        <w:t>4.3</w:t>
      </w:r>
      <w:r>
        <w:rPr>
          <w:bCs/>
          <w:iCs/>
        </w:rPr>
        <w:tab/>
      </w:r>
      <w:r w:rsidRPr="00155857">
        <w:rPr>
          <w:bCs/>
          <w:iCs/>
        </w:rPr>
        <w:t>The State party asserts that at the time of the arrest</w:t>
      </w:r>
      <w:r>
        <w:rPr>
          <w:bCs/>
          <w:iCs/>
        </w:rPr>
        <w:t xml:space="preserve">, </w:t>
      </w:r>
      <w:r w:rsidRPr="00155857">
        <w:rPr>
          <w:bCs/>
          <w:iCs/>
        </w:rPr>
        <w:t xml:space="preserve">the </w:t>
      </w:r>
      <w:r w:rsidR="00827900" w:rsidRPr="00827900">
        <w:rPr>
          <w:bCs/>
          <w:iCs/>
        </w:rPr>
        <w:t>alleged victim</w:t>
      </w:r>
      <w:r w:rsidRPr="00155857">
        <w:rPr>
          <w:bCs/>
          <w:iCs/>
        </w:rPr>
        <w:t xml:space="preserve"> was informed of his rights under the Constitution, the reason for his arrest, where he was being taken, the right to remain silent and the right to seek legal representation. </w:t>
      </w:r>
      <w:r w:rsidR="007B2DB9">
        <w:rPr>
          <w:bCs/>
          <w:iCs/>
        </w:rPr>
        <w:t>H</w:t>
      </w:r>
      <w:r>
        <w:rPr>
          <w:bCs/>
          <w:iCs/>
        </w:rPr>
        <w:t>e was charged with murder by the Criminal Court</w:t>
      </w:r>
      <w:r w:rsidR="007B2DB9">
        <w:rPr>
          <w:bCs/>
          <w:iCs/>
        </w:rPr>
        <w:t xml:space="preserve"> on the date of arrest</w:t>
      </w:r>
      <w:r>
        <w:rPr>
          <w:bCs/>
          <w:iCs/>
        </w:rPr>
        <w:t xml:space="preserve">. On 14 March 2009, </w:t>
      </w:r>
      <w:r w:rsidR="00827900">
        <w:rPr>
          <w:bCs/>
          <w:iCs/>
        </w:rPr>
        <w:t>he</w:t>
      </w:r>
      <w:r>
        <w:rPr>
          <w:bCs/>
          <w:iCs/>
        </w:rPr>
        <w:t xml:space="preserve"> was provided with all documents relating to the charges. On 20 December 2009, a hearing was held in which the charges were presented by the prosecution and refuted by the </w:t>
      </w:r>
      <w:r w:rsidR="00827900" w:rsidRPr="00827900">
        <w:rPr>
          <w:bCs/>
          <w:iCs/>
        </w:rPr>
        <w:t>alleged victim</w:t>
      </w:r>
      <w:r>
        <w:rPr>
          <w:bCs/>
          <w:iCs/>
        </w:rPr>
        <w:t xml:space="preserve">. The </w:t>
      </w:r>
      <w:r w:rsidR="00811CDC">
        <w:rPr>
          <w:bCs/>
          <w:iCs/>
        </w:rPr>
        <w:t xml:space="preserve">alleged victim </w:t>
      </w:r>
      <w:r>
        <w:rPr>
          <w:bCs/>
          <w:iCs/>
        </w:rPr>
        <w:t>was represented by a defence attorney appointed by him during the hearing. Additional time for the preparation of the defence was requested during the hearing, which was granted by the Criminal Court</w:t>
      </w:r>
      <w:r w:rsidR="00992C53">
        <w:rPr>
          <w:bCs/>
          <w:iCs/>
        </w:rPr>
        <w:t>.</w:t>
      </w:r>
      <w:r>
        <w:rPr>
          <w:bCs/>
          <w:iCs/>
        </w:rPr>
        <w:t xml:space="preserve"> </w:t>
      </w:r>
      <w:r w:rsidR="000400EE">
        <w:rPr>
          <w:bCs/>
          <w:iCs/>
        </w:rPr>
        <w:t xml:space="preserve">Following the hearing the appointed defence attorney withdrew from the case. On 12 January 2010, a new defence attorney was appointed by the </w:t>
      </w:r>
      <w:r w:rsidR="00827900" w:rsidRPr="00827900">
        <w:rPr>
          <w:bCs/>
          <w:iCs/>
        </w:rPr>
        <w:t>alleged victim</w:t>
      </w:r>
      <w:r w:rsidR="00B91915">
        <w:rPr>
          <w:bCs/>
          <w:iCs/>
        </w:rPr>
        <w:t xml:space="preserve"> to represent him </w:t>
      </w:r>
      <w:r w:rsidR="005B23E9">
        <w:rPr>
          <w:bCs/>
          <w:iCs/>
        </w:rPr>
        <w:t>at the</w:t>
      </w:r>
      <w:r w:rsidR="00B91915">
        <w:rPr>
          <w:bCs/>
          <w:iCs/>
        </w:rPr>
        <w:t xml:space="preserve"> </w:t>
      </w:r>
      <w:r w:rsidR="00992C53">
        <w:rPr>
          <w:bCs/>
          <w:iCs/>
        </w:rPr>
        <w:t>next</w:t>
      </w:r>
      <w:r w:rsidR="00B91915">
        <w:rPr>
          <w:bCs/>
          <w:iCs/>
        </w:rPr>
        <w:t xml:space="preserve"> </w:t>
      </w:r>
      <w:proofErr w:type="gramStart"/>
      <w:r w:rsidR="00B91915">
        <w:rPr>
          <w:bCs/>
          <w:iCs/>
        </w:rPr>
        <w:t>hearing  held</w:t>
      </w:r>
      <w:proofErr w:type="gramEnd"/>
      <w:r w:rsidR="00B91915">
        <w:rPr>
          <w:bCs/>
          <w:iCs/>
        </w:rPr>
        <w:t xml:space="preserve"> on 17 March 2010, and the trial concluded on 22 November 2010. </w:t>
      </w:r>
    </w:p>
    <w:p w14:paraId="5D19D6E7" w14:textId="5E4C93DA" w:rsidR="00155857" w:rsidRDefault="004C1B44" w:rsidP="00155857">
      <w:pPr>
        <w:pStyle w:val="SingleTxtG"/>
        <w:rPr>
          <w:bCs/>
          <w:iCs/>
        </w:rPr>
      </w:pPr>
      <w:r w:rsidRPr="00827900">
        <w:rPr>
          <w:bCs/>
          <w:iCs/>
        </w:rPr>
        <w:t>4.4</w:t>
      </w:r>
      <w:r w:rsidR="00827900">
        <w:rPr>
          <w:b/>
          <w:iCs/>
        </w:rPr>
        <w:tab/>
      </w:r>
      <w:r w:rsidR="00B91915">
        <w:rPr>
          <w:bCs/>
          <w:iCs/>
        </w:rPr>
        <w:t xml:space="preserve">During the hearings </w:t>
      </w:r>
      <w:r w:rsidR="00152ACD">
        <w:rPr>
          <w:bCs/>
          <w:iCs/>
        </w:rPr>
        <w:t>five</w:t>
      </w:r>
      <w:r w:rsidR="00B91915">
        <w:rPr>
          <w:bCs/>
          <w:iCs/>
        </w:rPr>
        <w:t xml:space="preserve"> witnesses were heard, as well as a medical expert who attested to the cause of death. In the interest of protecting the witnesses, they were heard via live video conference. The </w:t>
      </w:r>
      <w:r w:rsidR="00827900" w:rsidRPr="00827900">
        <w:rPr>
          <w:bCs/>
          <w:iCs/>
        </w:rPr>
        <w:t>alleged victim</w:t>
      </w:r>
      <w:r w:rsidR="00B91915">
        <w:rPr>
          <w:bCs/>
          <w:iCs/>
        </w:rPr>
        <w:t xml:space="preserve"> and his counsel did not object to this measure. </w:t>
      </w:r>
      <w:r w:rsidR="00005024">
        <w:rPr>
          <w:bCs/>
          <w:iCs/>
        </w:rPr>
        <w:t>T</w:t>
      </w:r>
      <w:r w:rsidR="00B91915">
        <w:rPr>
          <w:bCs/>
          <w:iCs/>
        </w:rPr>
        <w:t xml:space="preserve">he defence had the opportunity to cross-examine the witnesses, however the defence did not pose any questions to the witnesses. During the hearings the </w:t>
      </w:r>
      <w:r w:rsidR="00827900" w:rsidRPr="00827900">
        <w:rPr>
          <w:bCs/>
          <w:iCs/>
        </w:rPr>
        <w:t>alleged victim</w:t>
      </w:r>
      <w:r w:rsidR="00B91915">
        <w:rPr>
          <w:bCs/>
          <w:iCs/>
        </w:rPr>
        <w:t xml:space="preserve"> refuted the statement he had given to the police </w:t>
      </w:r>
      <w:r w:rsidR="00005024">
        <w:rPr>
          <w:bCs/>
          <w:iCs/>
        </w:rPr>
        <w:t>during the</w:t>
      </w:r>
      <w:r w:rsidR="00B91915">
        <w:rPr>
          <w:bCs/>
          <w:iCs/>
        </w:rPr>
        <w:t xml:space="preserve"> investigation</w:t>
      </w:r>
      <w:r w:rsidR="00A66FAC">
        <w:rPr>
          <w:bCs/>
          <w:iCs/>
        </w:rPr>
        <w:t>, citing fear as the reason for his statement during the investigation stage</w:t>
      </w:r>
      <w:r w:rsidR="00B91915">
        <w:rPr>
          <w:bCs/>
          <w:iCs/>
        </w:rPr>
        <w:t>.</w:t>
      </w:r>
      <w:r w:rsidR="00A66FAC">
        <w:rPr>
          <w:bCs/>
          <w:iCs/>
        </w:rPr>
        <w:t xml:space="preserve"> The State party notes that the </w:t>
      </w:r>
      <w:r w:rsidR="00827900" w:rsidRPr="00827900">
        <w:rPr>
          <w:bCs/>
          <w:iCs/>
        </w:rPr>
        <w:t>alleged victim</w:t>
      </w:r>
      <w:r w:rsidR="00A66FAC">
        <w:rPr>
          <w:bCs/>
          <w:iCs/>
        </w:rPr>
        <w:t xml:space="preserve"> was informed of his right to legal counsel during the investigation. However, according to case file documents he declined this right on 8 April 2009, and consented to interrogation without the presence of counsel. </w:t>
      </w:r>
      <w:r w:rsidR="00152ACD">
        <w:rPr>
          <w:bCs/>
          <w:iCs/>
        </w:rPr>
        <w:t xml:space="preserve">On 22 November 2010, the Criminal Court found the </w:t>
      </w:r>
      <w:r w:rsidR="00827900" w:rsidRPr="00827900">
        <w:rPr>
          <w:bCs/>
          <w:iCs/>
        </w:rPr>
        <w:t>alleged victim</w:t>
      </w:r>
      <w:r w:rsidR="00152ACD">
        <w:rPr>
          <w:bCs/>
          <w:iCs/>
        </w:rPr>
        <w:t xml:space="preserve"> guilty of </w:t>
      </w:r>
      <w:r w:rsidR="00BB115C">
        <w:rPr>
          <w:bCs/>
          <w:iCs/>
        </w:rPr>
        <w:t xml:space="preserve">intentional </w:t>
      </w:r>
      <w:r w:rsidR="00152ACD">
        <w:rPr>
          <w:bCs/>
          <w:iCs/>
        </w:rPr>
        <w:t>murder and sentenced him to death under Section 88 (d) of the Penal Code of Maldives, Law No. 1/66.</w:t>
      </w:r>
      <w:r w:rsidR="00152ACD">
        <w:rPr>
          <w:rStyle w:val="FootnoteReference"/>
          <w:bCs/>
          <w:iCs/>
        </w:rPr>
        <w:footnoteReference w:id="11"/>
      </w:r>
      <w:r w:rsidR="00152ACD">
        <w:rPr>
          <w:bCs/>
          <w:iCs/>
        </w:rPr>
        <w:t xml:space="preserve"> In its assessment the Court found that witness statements, as well as the </w:t>
      </w:r>
      <w:r w:rsidR="00827900" w:rsidRPr="00827900">
        <w:rPr>
          <w:bCs/>
          <w:iCs/>
        </w:rPr>
        <w:t>alleged victim</w:t>
      </w:r>
      <w:r w:rsidR="00827900">
        <w:rPr>
          <w:bCs/>
          <w:iCs/>
        </w:rPr>
        <w:t>’s</w:t>
      </w:r>
      <w:r w:rsidR="00152ACD">
        <w:rPr>
          <w:bCs/>
          <w:iCs/>
        </w:rPr>
        <w:t xml:space="preserve"> statement in the course of the police investigation, established that the </w:t>
      </w:r>
      <w:r w:rsidR="00827900">
        <w:rPr>
          <w:bCs/>
          <w:iCs/>
        </w:rPr>
        <w:t xml:space="preserve">murder </w:t>
      </w:r>
      <w:r w:rsidR="00152ACD">
        <w:rPr>
          <w:bCs/>
          <w:iCs/>
        </w:rPr>
        <w:t xml:space="preserve">victim had died as a result of the </w:t>
      </w:r>
      <w:r w:rsidR="00827900" w:rsidRPr="00827900">
        <w:rPr>
          <w:bCs/>
          <w:iCs/>
        </w:rPr>
        <w:t>alleged victim</w:t>
      </w:r>
      <w:r w:rsidR="00152ACD">
        <w:rPr>
          <w:bCs/>
          <w:iCs/>
        </w:rPr>
        <w:t xml:space="preserve"> throwing a sharp object at the </w:t>
      </w:r>
      <w:r w:rsidR="00A22F48">
        <w:rPr>
          <w:bCs/>
          <w:iCs/>
        </w:rPr>
        <w:t xml:space="preserve">murder </w:t>
      </w:r>
      <w:r w:rsidR="00152ACD">
        <w:rPr>
          <w:bCs/>
          <w:iCs/>
        </w:rPr>
        <w:t>victim, which caused him severe injuries resulting in his death.</w:t>
      </w:r>
    </w:p>
    <w:p w14:paraId="0F828ED3" w14:textId="33C90C77" w:rsidR="00152ACD" w:rsidRDefault="008605CC" w:rsidP="00155857">
      <w:pPr>
        <w:pStyle w:val="SingleTxtG"/>
        <w:rPr>
          <w:bCs/>
          <w:iCs/>
        </w:rPr>
      </w:pPr>
      <w:r>
        <w:rPr>
          <w:bCs/>
          <w:iCs/>
        </w:rPr>
        <w:t>4.</w:t>
      </w:r>
      <w:r w:rsidR="004C1B44">
        <w:rPr>
          <w:bCs/>
          <w:iCs/>
        </w:rPr>
        <w:t>5</w:t>
      </w:r>
      <w:r>
        <w:rPr>
          <w:bCs/>
          <w:iCs/>
        </w:rPr>
        <w:tab/>
        <w:t>On 23 February 2011, the</w:t>
      </w:r>
      <w:r w:rsidR="00827900">
        <w:rPr>
          <w:bCs/>
          <w:iCs/>
        </w:rPr>
        <w:t xml:space="preserve"> </w:t>
      </w:r>
      <w:r w:rsidR="00827900" w:rsidRPr="00827900">
        <w:rPr>
          <w:bCs/>
          <w:iCs/>
        </w:rPr>
        <w:t xml:space="preserve">alleged </w:t>
      </w:r>
      <w:r w:rsidR="00310ABA" w:rsidRPr="00827900">
        <w:rPr>
          <w:bCs/>
          <w:iCs/>
        </w:rPr>
        <w:t>victim</w:t>
      </w:r>
      <w:r w:rsidR="00310ABA">
        <w:rPr>
          <w:bCs/>
          <w:iCs/>
        </w:rPr>
        <w:t xml:space="preserve"> appealed</w:t>
      </w:r>
      <w:r>
        <w:rPr>
          <w:bCs/>
          <w:iCs/>
        </w:rPr>
        <w:t xml:space="preserve"> the judgment of the Criminal Court to the Hight Court of the Maldives. On 25 November 2015, the High Court upheld the judgment of the Criminal Court. </w:t>
      </w:r>
      <w:r w:rsidR="00935A1D">
        <w:rPr>
          <w:bCs/>
          <w:iCs/>
        </w:rPr>
        <w:t>On 21 February 2016, the Prosecutor General appealed the judgment to the Supreme Court to confirm the sentence. The Supreme Court confirmed the sentence on 27 July 2016</w:t>
      </w:r>
      <w:r w:rsidR="005D212D">
        <w:rPr>
          <w:bCs/>
          <w:iCs/>
        </w:rPr>
        <w:t xml:space="preserve"> and upheld the judgment of the Criminal Court</w:t>
      </w:r>
      <w:r w:rsidR="00935A1D">
        <w:rPr>
          <w:bCs/>
          <w:iCs/>
        </w:rPr>
        <w:t>.</w:t>
      </w:r>
    </w:p>
    <w:p w14:paraId="691A5645" w14:textId="35FF6E41" w:rsidR="008F0BAC" w:rsidRDefault="008F0BAC" w:rsidP="00155857">
      <w:pPr>
        <w:pStyle w:val="SingleTxtG"/>
        <w:rPr>
          <w:bCs/>
          <w:iCs/>
        </w:rPr>
      </w:pPr>
      <w:r>
        <w:rPr>
          <w:bCs/>
          <w:iCs/>
        </w:rPr>
        <w:t>4.</w:t>
      </w:r>
      <w:r w:rsidR="004C1B44">
        <w:rPr>
          <w:bCs/>
          <w:iCs/>
        </w:rPr>
        <w:t>6</w:t>
      </w:r>
      <w:r>
        <w:rPr>
          <w:bCs/>
          <w:iCs/>
        </w:rPr>
        <w:tab/>
      </w:r>
      <w:r w:rsidR="008152D0">
        <w:rPr>
          <w:bCs/>
          <w:iCs/>
        </w:rPr>
        <w:t xml:space="preserve">The State party notes that the infliction of the death penalty is arbitrary where it lacks legal basis and fails to adhere to procedural guarantees and safeguards. </w:t>
      </w:r>
      <w:r w:rsidR="001478F7">
        <w:rPr>
          <w:bCs/>
          <w:iCs/>
        </w:rPr>
        <w:t>T</w:t>
      </w:r>
      <w:r w:rsidR="008152D0">
        <w:rPr>
          <w:bCs/>
          <w:iCs/>
        </w:rPr>
        <w:t xml:space="preserve">he death penalty can only be imposed in relation to the most serious of offences, and in a manner that does not contravene articles 7 and 14 of the Covenant. </w:t>
      </w:r>
      <w:r w:rsidR="001478F7">
        <w:rPr>
          <w:bCs/>
          <w:iCs/>
        </w:rPr>
        <w:t>I</w:t>
      </w:r>
      <w:r w:rsidR="008152D0">
        <w:rPr>
          <w:bCs/>
          <w:iCs/>
        </w:rPr>
        <w:t xml:space="preserve">n the present case, the sentence was imposed on the </w:t>
      </w:r>
      <w:r w:rsidR="00827900" w:rsidRPr="00827900">
        <w:rPr>
          <w:bCs/>
          <w:iCs/>
        </w:rPr>
        <w:t>alleged victim</w:t>
      </w:r>
      <w:r w:rsidR="008152D0">
        <w:rPr>
          <w:bCs/>
          <w:iCs/>
        </w:rPr>
        <w:t xml:space="preserve"> in accordance with law, namely Section 88 (a) and (d) of the then applicable Penal Code. </w:t>
      </w:r>
      <w:r w:rsidR="00CE0596">
        <w:rPr>
          <w:bCs/>
          <w:iCs/>
        </w:rPr>
        <w:t>It notes that while the Penal Code has since been amended, the authority to prescribe ‘</w:t>
      </w:r>
      <w:proofErr w:type="spellStart"/>
      <w:r w:rsidR="00CE0596" w:rsidRPr="00CE0596">
        <w:rPr>
          <w:bCs/>
          <w:i/>
        </w:rPr>
        <w:t>hadd</w:t>
      </w:r>
      <w:proofErr w:type="spellEnd"/>
      <w:r w:rsidR="00CE0596">
        <w:rPr>
          <w:bCs/>
          <w:iCs/>
        </w:rPr>
        <w:t>’ punishments, including the death penalty, is retained in the Section 1205 of the Penal Code.</w:t>
      </w:r>
    </w:p>
    <w:p w14:paraId="132593E4" w14:textId="12EF9FAA" w:rsidR="005D212D" w:rsidRDefault="005D212D" w:rsidP="00155857">
      <w:pPr>
        <w:pStyle w:val="SingleTxtG"/>
        <w:rPr>
          <w:bCs/>
          <w:iCs/>
        </w:rPr>
      </w:pPr>
      <w:r>
        <w:rPr>
          <w:bCs/>
          <w:iCs/>
        </w:rPr>
        <w:t>4.</w:t>
      </w:r>
      <w:r w:rsidR="006C01D9">
        <w:rPr>
          <w:bCs/>
          <w:iCs/>
        </w:rPr>
        <w:t>7</w:t>
      </w:r>
      <w:r>
        <w:rPr>
          <w:bCs/>
          <w:iCs/>
        </w:rPr>
        <w:tab/>
      </w:r>
      <w:r w:rsidR="00796848">
        <w:rPr>
          <w:bCs/>
          <w:iCs/>
        </w:rPr>
        <w:t xml:space="preserve">The State party notes that author’s claims under articles 6, 7 and 14 (3) of the Covenant. The State party argues that the author’s claims are unfounded as </w:t>
      </w:r>
      <w:r w:rsidR="00067E53">
        <w:rPr>
          <w:bCs/>
          <w:iCs/>
        </w:rPr>
        <w:t xml:space="preserve">it submits that </w:t>
      </w:r>
      <w:r w:rsidR="00796848">
        <w:rPr>
          <w:bCs/>
          <w:iCs/>
        </w:rPr>
        <w:t>the</w:t>
      </w:r>
      <w:r w:rsidR="00067E53">
        <w:rPr>
          <w:bCs/>
          <w:iCs/>
        </w:rPr>
        <w:t xml:space="preserve"> police</w:t>
      </w:r>
      <w:r w:rsidR="00796848">
        <w:rPr>
          <w:bCs/>
          <w:iCs/>
        </w:rPr>
        <w:t xml:space="preserve"> investigation and </w:t>
      </w:r>
      <w:r w:rsidR="00067E53">
        <w:rPr>
          <w:bCs/>
          <w:iCs/>
        </w:rPr>
        <w:t>court</w:t>
      </w:r>
      <w:r w:rsidR="00796848">
        <w:rPr>
          <w:bCs/>
          <w:iCs/>
        </w:rPr>
        <w:t xml:space="preserve"> hearings </w:t>
      </w:r>
      <w:r w:rsidR="00BB115C">
        <w:rPr>
          <w:bCs/>
          <w:iCs/>
        </w:rPr>
        <w:t>i</w:t>
      </w:r>
      <w:r w:rsidR="00796848">
        <w:rPr>
          <w:bCs/>
          <w:iCs/>
        </w:rPr>
        <w:t xml:space="preserve">n the </w:t>
      </w:r>
      <w:r w:rsidR="00827900" w:rsidRPr="00827900">
        <w:rPr>
          <w:bCs/>
          <w:iCs/>
        </w:rPr>
        <w:t>alleged victim</w:t>
      </w:r>
      <w:r w:rsidR="00796848">
        <w:rPr>
          <w:bCs/>
          <w:iCs/>
        </w:rPr>
        <w:t>’s case adhered to domestic law, international standards</w:t>
      </w:r>
      <w:r w:rsidR="004C1B44">
        <w:rPr>
          <w:bCs/>
          <w:iCs/>
        </w:rPr>
        <w:t>,</w:t>
      </w:r>
      <w:r w:rsidR="00796848">
        <w:rPr>
          <w:bCs/>
          <w:iCs/>
        </w:rPr>
        <w:t xml:space="preserve"> and fundamental safeguards inherent to the Covenant. </w:t>
      </w:r>
      <w:r w:rsidR="00067E53">
        <w:rPr>
          <w:bCs/>
          <w:iCs/>
        </w:rPr>
        <w:t xml:space="preserve">It argues that </w:t>
      </w:r>
      <w:r w:rsidR="00067E53">
        <w:rPr>
          <w:bCs/>
          <w:iCs/>
        </w:rPr>
        <w:lastRenderedPageBreak/>
        <w:t xml:space="preserve">the domestic courts’ adverse findings against the </w:t>
      </w:r>
      <w:r w:rsidR="00827900" w:rsidRPr="00827900">
        <w:rPr>
          <w:bCs/>
          <w:iCs/>
        </w:rPr>
        <w:t>alleged victim</w:t>
      </w:r>
      <w:r w:rsidR="00067E53">
        <w:rPr>
          <w:bCs/>
          <w:iCs/>
        </w:rPr>
        <w:t xml:space="preserve"> resulted from </w:t>
      </w:r>
      <w:proofErr w:type="gramStart"/>
      <w:r w:rsidR="00067E53" w:rsidRPr="004C1B44">
        <w:rPr>
          <w:bCs/>
          <w:iCs/>
        </w:rPr>
        <w:t>careful</w:t>
      </w:r>
      <w:r w:rsidR="00067E53">
        <w:rPr>
          <w:bCs/>
          <w:iCs/>
        </w:rPr>
        <w:t xml:space="preserve"> scrutiny</w:t>
      </w:r>
      <w:proofErr w:type="gramEnd"/>
      <w:r w:rsidR="00067E53">
        <w:rPr>
          <w:bCs/>
          <w:iCs/>
        </w:rPr>
        <w:t xml:space="preserve"> of the evidence presented before the courts. It submits that contrary to the author’s claims, </w:t>
      </w:r>
      <w:r w:rsidR="00827900">
        <w:rPr>
          <w:bCs/>
          <w:iCs/>
        </w:rPr>
        <w:t xml:space="preserve">the </w:t>
      </w:r>
      <w:r w:rsidR="00827900" w:rsidRPr="00827900">
        <w:rPr>
          <w:bCs/>
          <w:iCs/>
        </w:rPr>
        <w:t>alleged victim</w:t>
      </w:r>
      <w:r w:rsidR="00827900">
        <w:rPr>
          <w:bCs/>
          <w:iCs/>
        </w:rPr>
        <w:t xml:space="preserve"> </w:t>
      </w:r>
      <w:r w:rsidR="00067E53">
        <w:rPr>
          <w:bCs/>
          <w:iCs/>
        </w:rPr>
        <w:t>was “offered the opportunity to appoint legal representation during the investigation”, which he refused, and it notes that he was represented during the court hearings at first instance and on appeal</w:t>
      </w:r>
      <w:r w:rsidR="00187E82">
        <w:rPr>
          <w:bCs/>
          <w:iCs/>
        </w:rPr>
        <w:t>.</w:t>
      </w:r>
      <w:r w:rsidR="008D3B7F">
        <w:rPr>
          <w:bCs/>
          <w:iCs/>
        </w:rPr>
        <w:t xml:space="preserve"> </w:t>
      </w:r>
      <w:r w:rsidR="00187E82">
        <w:rPr>
          <w:bCs/>
          <w:iCs/>
        </w:rPr>
        <w:t>I</w:t>
      </w:r>
      <w:r w:rsidR="001E2813">
        <w:rPr>
          <w:bCs/>
          <w:iCs/>
        </w:rPr>
        <w:t xml:space="preserve">t submits </w:t>
      </w:r>
      <w:r w:rsidR="008D3B7F">
        <w:rPr>
          <w:bCs/>
          <w:iCs/>
        </w:rPr>
        <w:t xml:space="preserve">that there are no grounds to conclude that an arbitrary sentence </w:t>
      </w:r>
      <w:r w:rsidR="00BB115C">
        <w:rPr>
          <w:bCs/>
          <w:iCs/>
        </w:rPr>
        <w:t xml:space="preserve">was </w:t>
      </w:r>
      <w:r w:rsidR="008D3B7F">
        <w:rPr>
          <w:bCs/>
          <w:iCs/>
        </w:rPr>
        <w:t xml:space="preserve">issued against the </w:t>
      </w:r>
      <w:r w:rsidR="00827900" w:rsidRPr="00827900">
        <w:rPr>
          <w:bCs/>
          <w:iCs/>
        </w:rPr>
        <w:t>alleged victim</w:t>
      </w:r>
      <w:r w:rsidR="008D3B7F">
        <w:rPr>
          <w:bCs/>
          <w:iCs/>
        </w:rPr>
        <w:t>.</w:t>
      </w:r>
    </w:p>
    <w:p w14:paraId="7C92BC05" w14:textId="23358C7B" w:rsidR="008D3B7F" w:rsidRDefault="008D3B7F" w:rsidP="00155857">
      <w:pPr>
        <w:pStyle w:val="SingleTxtG"/>
        <w:rPr>
          <w:bCs/>
          <w:iCs/>
        </w:rPr>
      </w:pPr>
      <w:r>
        <w:rPr>
          <w:bCs/>
          <w:iCs/>
        </w:rPr>
        <w:t>4.</w:t>
      </w:r>
      <w:r w:rsidR="006C01D9">
        <w:rPr>
          <w:bCs/>
          <w:iCs/>
        </w:rPr>
        <w:t>8</w:t>
      </w:r>
      <w:r>
        <w:rPr>
          <w:bCs/>
          <w:iCs/>
        </w:rPr>
        <w:tab/>
        <w:t xml:space="preserve">The State party notes, that notwithstanding its observations on the claims raised by the author, it has since 1954 observed a moratorium </w:t>
      </w:r>
      <w:r w:rsidR="00D279CF">
        <w:rPr>
          <w:bCs/>
          <w:iCs/>
        </w:rPr>
        <w:t>on the</w:t>
      </w:r>
      <w:r w:rsidR="00187E82">
        <w:rPr>
          <w:bCs/>
          <w:iCs/>
        </w:rPr>
        <w:t xml:space="preserve"> </w:t>
      </w:r>
      <w:r>
        <w:rPr>
          <w:bCs/>
          <w:iCs/>
        </w:rPr>
        <w:t>implement</w:t>
      </w:r>
      <w:r w:rsidR="00187E82">
        <w:rPr>
          <w:bCs/>
          <w:iCs/>
        </w:rPr>
        <w:t>ation</w:t>
      </w:r>
      <w:r>
        <w:rPr>
          <w:bCs/>
          <w:iCs/>
        </w:rPr>
        <w:t xml:space="preserve"> </w:t>
      </w:r>
      <w:r w:rsidR="001E2813">
        <w:rPr>
          <w:bCs/>
          <w:iCs/>
        </w:rPr>
        <w:t>of</w:t>
      </w:r>
      <w:r>
        <w:rPr>
          <w:bCs/>
          <w:iCs/>
        </w:rPr>
        <w:t xml:space="preserve"> death penalty sentence</w:t>
      </w:r>
      <w:r w:rsidR="001E2813">
        <w:rPr>
          <w:bCs/>
          <w:iCs/>
        </w:rPr>
        <w:t>s</w:t>
      </w:r>
      <w:r>
        <w:rPr>
          <w:bCs/>
          <w:iCs/>
        </w:rPr>
        <w:t xml:space="preserve">. Even though death penalty sentences have been imposed after 1954, such sentences have not been implemented. It notes that it is proud of this moratorium and committed to upholding it. </w:t>
      </w:r>
      <w:r w:rsidR="00E41084">
        <w:rPr>
          <w:bCs/>
          <w:iCs/>
        </w:rPr>
        <w:t>W</w:t>
      </w:r>
      <w:r>
        <w:rPr>
          <w:bCs/>
          <w:iCs/>
        </w:rPr>
        <w:t>hile amending and re-enacting laws concerning tenets of Islamic Sharia will require large</w:t>
      </w:r>
      <w:r w:rsidR="00BB115C">
        <w:rPr>
          <w:bCs/>
          <w:iCs/>
        </w:rPr>
        <w:t>r</w:t>
      </w:r>
      <w:r>
        <w:rPr>
          <w:bCs/>
          <w:iCs/>
        </w:rPr>
        <w:t xml:space="preserve"> consensus and public dialogue, the threshold for prescribing the death penalty “is rendered almost dormant by the high evidentiary threshold required to warrant such a penalty” as under Islamic Sharia guil</w:t>
      </w:r>
      <w:r w:rsidR="00BB115C">
        <w:rPr>
          <w:bCs/>
          <w:iCs/>
        </w:rPr>
        <w:t>t</w:t>
      </w:r>
      <w:r>
        <w:rPr>
          <w:bCs/>
          <w:iCs/>
        </w:rPr>
        <w:t xml:space="preserve"> need to be “established beyond a shadow of doubt” to necessitate the imposition of the death penalty. Islamic Sharia also awards the last say to the victim’s family by affording them the opportunity to forgive the accused, even if the death penalty has already been imposed by the competent courts.</w:t>
      </w:r>
      <w:r w:rsidR="00674C0C">
        <w:rPr>
          <w:bCs/>
          <w:iCs/>
        </w:rPr>
        <w:t xml:space="preserve"> </w:t>
      </w:r>
    </w:p>
    <w:p w14:paraId="49DA4B63" w14:textId="3847E060" w:rsidR="00A013F7" w:rsidRDefault="00253F56" w:rsidP="00E72998">
      <w:pPr>
        <w:pStyle w:val="SingleTxtG"/>
        <w:rPr>
          <w:bCs/>
          <w:iCs/>
        </w:rPr>
      </w:pPr>
      <w:r>
        <w:rPr>
          <w:bCs/>
          <w:iCs/>
        </w:rPr>
        <w:t>4.</w:t>
      </w:r>
      <w:r w:rsidR="006C01D9">
        <w:rPr>
          <w:bCs/>
          <w:iCs/>
        </w:rPr>
        <w:t>9</w:t>
      </w:r>
      <w:r>
        <w:rPr>
          <w:bCs/>
          <w:iCs/>
        </w:rPr>
        <w:tab/>
      </w:r>
      <w:r w:rsidR="009E08AD" w:rsidRPr="009E08AD">
        <w:rPr>
          <w:bCs/>
          <w:iCs/>
        </w:rPr>
        <w:t>The State party notes the author’s submission that the interpretation of Section</w:t>
      </w:r>
      <w:r w:rsidR="00674C0C">
        <w:rPr>
          <w:bCs/>
          <w:iCs/>
        </w:rPr>
        <w:t>s</w:t>
      </w:r>
      <w:r w:rsidR="009E08AD" w:rsidRPr="009E08AD">
        <w:rPr>
          <w:bCs/>
          <w:iCs/>
        </w:rPr>
        <w:t xml:space="preserve"> 5 and 21 of the Clemency Act by the High Court and Regulation No. R-33/2014 negatively impacts the power afforded to the President of the Maldives to grant an executive pardon or clemency.</w:t>
      </w:r>
      <w:r w:rsidR="0091787E">
        <w:rPr>
          <w:bCs/>
          <w:iCs/>
        </w:rPr>
        <w:t xml:space="preserve"> It notes that </w:t>
      </w:r>
      <w:r w:rsidR="00007962">
        <w:rPr>
          <w:bCs/>
          <w:iCs/>
        </w:rPr>
        <w:t xml:space="preserve">under </w:t>
      </w:r>
      <w:r w:rsidR="0091787E">
        <w:rPr>
          <w:bCs/>
          <w:iCs/>
        </w:rPr>
        <w:t xml:space="preserve">the Clemency Act the President has the discretionary power to commute a sentence of a convicted person, based on the person’s age, health, personal circumstances and for humanitarian reasons. </w:t>
      </w:r>
      <w:r w:rsidR="00A013F7">
        <w:rPr>
          <w:bCs/>
          <w:iCs/>
        </w:rPr>
        <w:t>On 8 August 2012, the constitutionality of Section</w:t>
      </w:r>
      <w:r w:rsidR="002D60E9">
        <w:rPr>
          <w:bCs/>
          <w:iCs/>
        </w:rPr>
        <w:t>s</w:t>
      </w:r>
      <w:r w:rsidR="00A013F7">
        <w:rPr>
          <w:bCs/>
          <w:iCs/>
        </w:rPr>
        <w:t xml:space="preserve"> 5 and 21 </w:t>
      </w:r>
      <w:r w:rsidR="00A22F48">
        <w:rPr>
          <w:bCs/>
          <w:iCs/>
        </w:rPr>
        <w:t xml:space="preserve">of </w:t>
      </w:r>
      <w:r w:rsidR="00A013F7">
        <w:rPr>
          <w:bCs/>
          <w:iCs/>
        </w:rPr>
        <w:t xml:space="preserve">the Clemency Act was challenged before the High Court on the basis that a pardon or commutation </w:t>
      </w:r>
      <w:r w:rsidR="0023089D">
        <w:rPr>
          <w:bCs/>
          <w:iCs/>
        </w:rPr>
        <w:t xml:space="preserve">of sentence </w:t>
      </w:r>
      <w:r w:rsidR="00A013F7">
        <w:rPr>
          <w:bCs/>
          <w:iCs/>
        </w:rPr>
        <w:t xml:space="preserve">for </w:t>
      </w:r>
      <w:r w:rsidR="0023089D">
        <w:rPr>
          <w:bCs/>
          <w:iCs/>
        </w:rPr>
        <w:t>a person convicted of</w:t>
      </w:r>
      <w:r w:rsidR="002D60E9">
        <w:rPr>
          <w:bCs/>
          <w:iCs/>
        </w:rPr>
        <w:t xml:space="preserve"> intentional</w:t>
      </w:r>
      <w:r w:rsidR="0023089D">
        <w:rPr>
          <w:bCs/>
          <w:iCs/>
        </w:rPr>
        <w:t xml:space="preserve"> </w:t>
      </w:r>
      <w:r w:rsidR="00A013F7">
        <w:rPr>
          <w:bCs/>
          <w:iCs/>
        </w:rPr>
        <w:t>murder were in contravention of the principle</w:t>
      </w:r>
      <w:r w:rsidR="0023089D">
        <w:rPr>
          <w:bCs/>
          <w:iCs/>
        </w:rPr>
        <w:t>s</w:t>
      </w:r>
      <w:r w:rsidR="00A013F7">
        <w:rPr>
          <w:bCs/>
          <w:iCs/>
        </w:rPr>
        <w:t xml:space="preserve"> </w:t>
      </w:r>
      <w:r w:rsidR="002D60E9">
        <w:rPr>
          <w:bCs/>
          <w:iCs/>
        </w:rPr>
        <w:t>of</w:t>
      </w:r>
      <w:r w:rsidR="00A013F7">
        <w:rPr>
          <w:bCs/>
          <w:iCs/>
        </w:rPr>
        <w:t xml:space="preserve"> Islamic Sharia. </w:t>
      </w:r>
      <w:r w:rsidR="002B2339">
        <w:rPr>
          <w:bCs/>
          <w:iCs/>
        </w:rPr>
        <w:t xml:space="preserve">In that respect the </w:t>
      </w:r>
      <w:r w:rsidR="00DF5C3A">
        <w:rPr>
          <w:bCs/>
          <w:iCs/>
        </w:rPr>
        <w:t>State party notes that</w:t>
      </w:r>
      <w:r w:rsidR="002B2339">
        <w:rPr>
          <w:bCs/>
          <w:iCs/>
        </w:rPr>
        <w:t xml:space="preserve"> under article 10 (b) of the Constitution, no law contrary to any tenet of Islam shall be enacted in the </w:t>
      </w:r>
      <w:r w:rsidR="0023089D">
        <w:rPr>
          <w:bCs/>
          <w:iCs/>
        </w:rPr>
        <w:t>State party</w:t>
      </w:r>
      <w:r w:rsidR="002B2339">
        <w:rPr>
          <w:bCs/>
          <w:iCs/>
        </w:rPr>
        <w:t xml:space="preserve">. </w:t>
      </w:r>
      <w:r w:rsidR="00E41084">
        <w:rPr>
          <w:bCs/>
          <w:iCs/>
        </w:rPr>
        <w:t>W</w:t>
      </w:r>
      <w:r w:rsidR="00DF5C3A">
        <w:rPr>
          <w:bCs/>
          <w:iCs/>
        </w:rPr>
        <w:t xml:space="preserve">hile Sections 5 and 21 were not struck down or declared unconstitutional </w:t>
      </w:r>
      <w:r w:rsidR="00DF5C3A" w:rsidRPr="00DF5C3A">
        <w:rPr>
          <w:bCs/>
          <w:iCs/>
        </w:rPr>
        <w:t>by the High Court</w:t>
      </w:r>
      <w:r w:rsidR="00FA4F78">
        <w:rPr>
          <w:bCs/>
          <w:iCs/>
        </w:rPr>
        <w:t>,</w:t>
      </w:r>
      <w:r w:rsidR="00DF5C3A" w:rsidRPr="00DF5C3A">
        <w:rPr>
          <w:bCs/>
          <w:iCs/>
        </w:rPr>
        <w:t xml:space="preserve"> </w:t>
      </w:r>
      <w:r w:rsidR="00DF5C3A">
        <w:rPr>
          <w:bCs/>
          <w:iCs/>
        </w:rPr>
        <w:t>as this could have affected death sentences issued in cases other th</w:t>
      </w:r>
      <w:r w:rsidR="0023089D">
        <w:rPr>
          <w:bCs/>
          <w:iCs/>
        </w:rPr>
        <w:t>an</w:t>
      </w:r>
      <w:r w:rsidR="00DF5C3A">
        <w:rPr>
          <w:bCs/>
          <w:iCs/>
        </w:rPr>
        <w:t xml:space="preserve"> intentional murder</w:t>
      </w:r>
      <w:r w:rsidR="002B2339">
        <w:rPr>
          <w:bCs/>
          <w:iCs/>
        </w:rPr>
        <w:t>, the Court ruled that based on the principles of Islamic Sharia the right to pardon lies with the victim’s family</w:t>
      </w:r>
      <w:r w:rsidR="00E72998">
        <w:rPr>
          <w:bCs/>
          <w:iCs/>
        </w:rPr>
        <w:t>, not the executive.</w:t>
      </w:r>
      <w:r w:rsidR="00BA0F2A">
        <w:rPr>
          <w:bCs/>
          <w:iCs/>
        </w:rPr>
        <w:t xml:space="preserve"> The State party however argues, that in the present case its domestic courts conducted a free and fair </w:t>
      </w:r>
      <w:r w:rsidR="002D60E9">
        <w:rPr>
          <w:bCs/>
          <w:iCs/>
        </w:rPr>
        <w:t>trial,</w:t>
      </w:r>
      <w:r w:rsidR="00BA0F2A">
        <w:rPr>
          <w:bCs/>
          <w:iCs/>
        </w:rPr>
        <w:t xml:space="preserve"> and the wish</w:t>
      </w:r>
      <w:r w:rsidR="0023089D">
        <w:rPr>
          <w:bCs/>
          <w:iCs/>
        </w:rPr>
        <w:t>es</w:t>
      </w:r>
      <w:r w:rsidR="00BA0F2A">
        <w:rPr>
          <w:bCs/>
          <w:iCs/>
        </w:rPr>
        <w:t xml:space="preserve"> of the </w:t>
      </w:r>
      <w:r w:rsidR="00A22F48">
        <w:rPr>
          <w:bCs/>
          <w:iCs/>
        </w:rPr>
        <w:t xml:space="preserve">murder </w:t>
      </w:r>
      <w:r w:rsidR="00BA0F2A">
        <w:rPr>
          <w:bCs/>
          <w:iCs/>
        </w:rPr>
        <w:t xml:space="preserve">victim’s family was not the singular factor in the decision to impose the death penalty on the </w:t>
      </w:r>
      <w:r w:rsidR="00827900" w:rsidRPr="00827900">
        <w:rPr>
          <w:bCs/>
          <w:iCs/>
        </w:rPr>
        <w:t>alleged victim</w:t>
      </w:r>
      <w:r w:rsidR="00BA0F2A">
        <w:rPr>
          <w:bCs/>
          <w:iCs/>
        </w:rPr>
        <w:t xml:space="preserve">. </w:t>
      </w:r>
    </w:p>
    <w:p w14:paraId="446468C4" w14:textId="5D4B869A" w:rsidR="00D860CB" w:rsidRDefault="0005792D" w:rsidP="00E72998">
      <w:pPr>
        <w:pStyle w:val="SingleTxtG"/>
        <w:rPr>
          <w:bCs/>
          <w:iCs/>
        </w:rPr>
      </w:pPr>
      <w:r>
        <w:rPr>
          <w:bCs/>
          <w:iCs/>
        </w:rPr>
        <w:t>4.</w:t>
      </w:r>
      <w:r w:rsidR="006C01D9">
        <w:rPr>
          <w:bCs/>
          <w:iCs/>
        </w:rPr>
        <w:t>10</w:t>
      </w:r>
      <w:r>
        <w:rPr>
          <w:bCs/>
          <w:iCs/>
        </w:rPr>
        <w:tab/>
        <w:t>The State party notes the author’s claims under article 6 (6) of the Covenant that the legislative changes undertaken by the previous</w:t>
      </w:r>
      <w:r w:rsidR="00D860CB">
        <w:rPr>
          <w:bCs/>
          <w:iCs/>
        </w:rPr>
        <w:t xml:space="preserve"> State party administration and assertions made by the previous Government, breached </w:t>
      </w:r>
      <w:r w:rsidR="00827900">
        <w:rPr>
          <w:bCs/>
          <w:iCs/>
        </w:rPr>
        <w:t xml:space="preserve">the </w:t>
      </w:r>
      <w:r w:rsidR="00827900" w:rsidRPr="00827900">
        <w:rPr>
          <w:bCs/>
          <w:iCs/>
        </w:rPr>
        <w:t>alleged victim</w:t>
      </w:r>
      <w:r w:rsidR="00827900">
        <w:rPr>
          <w:bCs/>
          <w:iCs/>
        </w:rPr>
        <w:t xml:space="preserve">’s </w:t>
      </w:r>
      <w:r w:rsidR="00D860CB">
        <w:rPr>
          <w:bCs/>
          <w:iCs/>
        </w:rPr>
        <w:t xml:space="preserve">legitimate expectations that the death penalty imposed in his case would not be enforced, and his claims that the distress caused by these legislative changes and statements amounted to ill-treatment under article 7 of the Covenant. The State party submits that these statements on the resumption of capital punishment should be attributable to the previous administration in the State party and that since the presidential election in 2018, the current Government has highlighted the long-standing moratorium on the death penalty and expressed its wish to uphold it. </w:t>
      </w:r>
      <w:r w:rsidR="00E41084">
        <w:rPr>
          <w:bCs/>
          <w:iCs/>
        </w:rPr>
        <w:t>W</w:t>
      </w:r>
      <w:r w:rsidR="00D860CB">
        <w:rPr>
          <w:bCs/>
          <w:iCs/>
        </w:rPr>
        <w:t>hile the death penalty as a sentence is retained under domestic law, judicial reform and the strengthening of the legal framework is of utmost priority to the State party.</w:t>
      </w:r>
    </w:p>
    <w:p w14:paraId="600E1058" w14:textId="43FB018A" w:rsidR="0005792D" w:rsidRDefault="00D860CB" w:rsidP="00E72998">
      <w:pPr>
        <w:pStyle w:val="SingleTxtG"/>
        <w:rPr>
          <w:bCs/>
          <w:iCs/>
        </w:rPr>
      </w:pPr>
      <w:r>
        <w:rPr>
          <w:bCs/>
          <w:iCs/>
        </w:rPr>
        <w:t>4.1</w:t>
      </w:r>
      <w:r w:rsidR="006C01D9">
        <w:rPr>
          <w:bCs/>
          <w:iCs/>
        </w:rPr>
        <w:t>1</w:t>
      </w:r>
      <w:r>
        <w:rPr>
          <w:bCs/>
          <w:iCs/>
        </w:rPr>
        <w:tab/>
      </w:r>
      <w:r w:rsidR="00076298">
        <w:rPr>
          <w:bCs/>
          <w:iCs/>
        </w:rPr>
        <w:t xml:space="preserve">Regarding the author’s claims under article 14 (3), the State party argues that </w:t>
      </w:r>
      <w:r w:rsidR="00607149">
        <w:rPr>
          <w:bCs/>
          <w:iCs/>
        </w:rPr>
        <w:t xml:space="preserve">the </w:t>
      </w:r>
      <w:r w:rsidR="00607149" w:rsidRPr="00607149">
        <w:rPr>
          <w:bCs/>
          <w:iCs/>
        </w:rPr>
        <w:t>alleged victim</w:t>
      </w:r>
      <w:r w:rsidR="00076298">
        <w:rPr>
          <w:bCs/>
          <w:iCs/>
        </w:rPr>
        <w:t xml:space="preserve"> was informed of his rights under the Constitution upon arrest, promptly informed of the charges against him and informed of his right to</w:t>
      </w:r>
      <w:r>
        <w:rPr>
          <w:bCs/>
          <w:iCs/>
        </w:rPr>
        <w:t xml:space="preserve"> </w:t>
      </w:r>
      <w:r w:rsidR="00076298">
        <w:rPr>
          <w:bCs/>
          <w:iCs/>
        </w:rPr>
        <w:t xml:space="preserve">request legal representation at the time of arrest. The same information was conveyed to him in writing within 24 hours of arrest. These factors were also </w:t>
      </w:r>
      <w:proofErr w:type="gramStart"/>
      <w:r w:rsidR="00076298">
        <w:rPr>
          <w:bCs/>
          <w:iCs/>
        </w:rPr>
        <w:t>taken into account</w:t>
      </w:r>
      <w:proofErr w:type="gramEnd"/>
      <w:r w:rsidR="00076298">
        <w:rPr>
          <w:bCs/>
          <w:iCs/>
        </w:rPr>
        <w:t xml:space="preserve"> by the Criminal Court in its judgment. </w:t>
      </w:r>
      <w:r w:rsidR="0023089D">
        <w:rPr>
          <w:bCs/>
          <w:iCs/>
        </w:rPr>
        <w:t xml:space="preserve">The State party </w:t>
      </w:r>
      <w:r w:rsidR="00076298">
        <w:rPr>
          <w:bCs/>
          <w:iCs/>
        </w:rPr>
        <w:t xml:space="preserve">reiterates its argument that the </w:t>
      </w:r>
      <w:r w:rsidR="00607149" w:rsidRPr="00607149">
        <w:rPr>
          <w:bCs/>
          <w:iCs/>
        </w:rPr>
        <w:t>alleged victim</w:t>
      </w:r>
      <w:r w:rsidR="00076298">
        <w:rPr>
          <w:bCs/>
          <w:iCs/>
        </w:rPr>
        <w:t xml:space="preserve"> declined legal representation on 8 April 2009, and its argument that during the hearings the </w:t>
      </w:r>
      <w:r w:rsidR="00607149" w:rsidRPr="00607149">
        <w:rPr>
          <w:bCs/>
          <w:iCs/>
        </w:rPr>
        <w:t>alleged victim</w:t>
      </w:r>
      <w:r w:rsidR="00076298">
        <w:rPr>
          <w:bCs/>
          <w:iCs/>
        </w:rPr>
        <w:t xml:space="preserve"> was represented by counsel. It refers to its observations on the facts of the </w:t>
      </w:r>
      <w:r w:rsidR="00140D96">
        <w:rPr>
          <w:bCs/>
          <w:iCs/>
        </w:rPr>
        <w:t>complaint and</w:t>
      </w:r>
      <w:r w:rsidR="00076298">
        <w:rPr>
          <w:bCs/>
          <w:iCs/>
        </w:rPr>
        <w:t xml:space="preserve"> submits that the timeline of the hearings substantiate that the </w:t>
      </w:r>
      <w:r w:rsidR="00607149" w:rsidRPr="00607149">
        <w:rPr>
          <w:bCs/>
          <w:iCs/>
        </w:rPr>
        <w:t>alleged victim</w:t>
      </w:r>
      <w:r w:rsidR="00076298">
        <w:rPr>
          <w:bCs/>
          <w:iCs/>
        </w:rPr>
        <w:t xml:space="preserve"> had sufficient time to prepare his defence and </w:t>
      </w:r>
      <w:r w:rsidR="00B34E8A">
        <w:rPr>
          <w:bCs/>
          <w:iCs/>
        </w:rPr>
        <w:t>analyse</w:t>
      </w:r>
      <w:r w:rsidR="00076298">
        <w:rPr>
          <w:bCs/>
          <w:iCs/>
        </w:rPr>
        <w:t xml:space="preserve"> documentation and evidence submitted by the State party authorities. </w:t>
      </w:r>
      <w:r w:rsidR="00140D96">
        <w:rPr>
          <w:bCs/>
          <w:iCs/>
        </w:rPr>
        <w:t xml:space="preserve">The State party therefore submits that the requirements under article 14 have been fulfilled. </w:t>
      </w:r>
    </w:p>
    <w:p w14:paraId="141161A6" w14:textId="153C1B5F" w:rsidR="006C01D9" w:rsidRDefault="00140D96" w:rsidP="00E72998">
      <w:pPr>
        <w:pStyle w:val="SingleTxtG"/>
        <w:rPr>
          <w:bCs/>
          <w:iCs/>
        </w:rPr>
      </w:pPr>
      <w:r>
        <w:rPr>
          <w:bCs/>
          <w:iCs/>
        </w:rPr>
        <w:lastRenderedPageBreak/>
        <w:t>4.1</w:t>
      </w:r>
      <w:r w:rsidR="006C01D9">
        <w:rPr>
          <w:bCs/>
          <w:iCs/>
        </w:rPr>
        <w:t>2</w:t>
      </w:r>
      <w:r>
        <w:rPr>
          <w:bCs/>
          <w:iCs/>
        </w:rPr>
        <w:tab/>
        <w:t xml:space="preserve">The State party further notes the author’s claims that the admission of </w:t>
      </w:r>
      <w:r w:rsidR="00607149">
        <w:rPr>
          <w:bCs/>
          <w:iCs/>
        </w:rPr>
        <w:t xml:space="preserve">the </w:t>
      </w:r>
      <w:r w:rsidR="00607149" w:rsidRPr="00607149">
        <w:rPr>
          <w:bCs/>
          <w:iCs/>
        </w:rPr>
        <w:t>alleged victim</w:t>
      </w:r>
      <w:r w:rsidR="00607149">
        <w:rPr>
          <w:bCs/>
          <w:iCs/>
        </w:rPr>
        <w:t xml:space="preserve">’s </w:t>
      </w:r>
      <w:r>
        <w:rPr>
          <w:bCs/>
          <w:iCs/>
        </w:rPr>
        <w:t xml:space="preserve">statement </w:t>
      </w:r>
      <w:proofErr w:type="gramStart"/>
      <w:r>
        <w:rPr>
          <w:bCs/>
          <w:iCs/>
        </w:rPr>
        <w:t>in the course of</w:t>
      </w:r>
      <w:proofErr w:type="gramEnd"/>
      <w:r>
        <w:rPr>
          <w:bCs/>
          <w:iCs/>
        </w:rPr>
        <w:t xml:space="preserve"> the police investigation amounted to a violation of articles 7 and 14 of the Covenant. It also notes the author’s argument that the Criminal Court failed to </w:t>
      </w:r>
      <w:proofErr w:type="gramStart"/>
      <w:r>
        <w:rPr>
          <w:bCs/>
          <w:iCs/>
        </w:rPr>
        <w:t>take into account</w:t>
      </w:r>
      <w:proofErr w:type="gramEnd"/>
      <w:r>
        <w:rPr>
          <w:bCs/>
          <w:iCs/>
        </w:rPr>
        <w:t xml:space="preserve"> that one of the witnesses retracted a statement she had made to the police in the course of the investigation, during the trial hearing. The State party argues that </w:t>
      </w:r>
      <w:r w:rsidR="0023089D">
        <w:rPr>
          <w:bCs/>
          <w:iCs/>
        </w:rPr>
        <w:t xml:space="preserve">the </w:t>
      </w:r>
      <w:r>
        <w:rPr>
          <w:bCs/>
          <w:iCs/>
        </w:rPr>
        <w:t xml:space="preserve">admission of the statements </w:t>
      </w:r>
      <w:r w:rsidR="00F90754">
        <w:rPr>
          <w:bCs/>
          <w:iCs/>
        </w:rPr>
        <w:t>was</w:t>
      </w:r>
      <w:r>
        <w:rPr>
          <w:bCs/>
          <w:iCs/>
        </w:rPr>
        <w:t xml:space="preserve"> in accordance with domestic and international law. It notes that in the admission of the </w:t>
      </w:r>
      <w:r w:rsidR="00691B52" w:rsidRPr="00691B52">
        <w:rPr>
          <w:bCs/>
          <w:iCs/>
        </w:rPr>
        <w:t>alleged victim</w:t>
      </w:r>
      <w:r>
        <w:rPr>
          <w:bCs/>
          <w:iCs/>
        </w:rPr>
        <w:t>’s statement as evidence, it is important to note that the Court, in addition to his statement, also considered statements from three witness</w:t>
      </w:r>
      <w:r w:rsidR="00F90754">
        <w:rPr>
          <w:bCs/>
          <w:iCs/>
        </w:rPr>
        <w:t>es</w:t>
      </w:r>
      <w:r>
        <w:rPr>
          <w:bCs/>
          <w:iCs/>
        </w:rPr>
        <w:t xml:space="preserve"> present at the incident, the medical report of the victim, and video recordings of the police interrogations. It notes that under article 52 of the</w:t>
      </w:r>
      <w:r w:rsidR="00F90754">
        <w:rPr>
          <w:bCs/>
          <w:iCs/>
        </w:rPr>
        <w:t xml:space="preserve"> Constitution</w:t>
      </w:r>
      <w:r>
        <w:rPr>
          <w:bCs/>
          <w:iCs/>
        </w:rPr>
        <w:t xml:space="preserve"> </w:t>
      </w:r>
      <w:r w:rsidR="00636E1F">
        <w:rPr>
          <w:bCs/>
          <w:iCs/>
        </w:rPr>
        <w:t>n</w:t>
      </w:r>
      <w:r w:rsidR="00636E1F" w:rsidRPr="005D0285">
        <w:rPr>
          <w:bCs/>
          <w:iCs/>
        </w:rPr>
        <w:t>o confession shall be admissible in evidence unless made in court by an accused who is in a sound state of mind</w:t>
      </w:r>
      <w:r w:rsidR="00636E1F">
        <w:rPr>
          <w:bCs/>
          <w:iCs/>
        </w:rPr>
        <w:t>, and additionally that</w:t>
      </w:r>
      <w:r w:rsidR="00636E1F" w:rsidRPr="005D0285">
        <w:rPr>
          <w:bCs/>
          <w:iCs/>
        </w:rPr>
        <w:t xml:space="preserve"> </w:t>
      </w:r>
      <w:r>
        <w:rPr>
          <w:bCs/>
          <w:iCs/>
        </w:rPr>
        <w:t xml:space="preserve">no statement must be obtained by compulsion or by unlawful means, and that any such statement is inadmissible. In the present case the State party notes that the Criminal Court </w:t>
      </w:r>
      <w:r w:rsidR="002C1CB5">
        <w:rPr>
          <w:bCs/>
          <w:iCs/>
        </w:rPr>
        <w:t xml:space="preserve">in finding the </w:t>
      </w:r>
      <w:r w:rsidR="00691B52" w:rsidRPr="00691B52">
        <w:rPr>
          <w:bCs/>
          <w:iCs/>
        </w:rPr>
        <w:t>alleged victim</w:t>
      </w:r>
      <w:r w:rsidR="002C1CB5">
        <w:rPr>
          <w:bCs/>
          <w:iCs/>
        </w:rPr>
        <w:t xml:space="preserve">’s statement to the police to be admissible, noted the following: a) when questioned about the statement during trial, the </w:t>
      </w:r>
      <w:r w:rsidR="00691B52" w:rsidRPr="00691B52">
        <w:rPr>
          <w:bCs/>
          <w:iCs/>
        </w:rPr>
        <w:t>alleged victim</w:t>
      </w:r>
      <w:r w:rsidR="002C1CB5">
        <w:rPr>
          <w:bCs/>
          <w:iCs/>
        </w:rPr>
        <w:t xml:space="preserve"> stated that he had given the statement freely at his own discretion; b) while the </w:t>
      </w:r>
      <w:r w:rsidR="00691B52" w:rsidRPr="00691B52">
        <w:rPr>
          <w:bCs/>
          <w:iCs/>
        </w:rPr>
        <w:t>alleged victim</w:t>
      </w:r>
      <w:r w:rsidR="002C1CB5">
        <w:rPr>
          <w:bCs/>
          <w:iCs/>
        </w:rPr>
        <w:t xml:space="preserve"> claims that the statement during the investigation was induced by fear, video recordings of the interrogation show </w:t>
      </w:r>
      <w:r w:rsidR="00691B52">
        <w:rPr>
          <w:bCs/>
          <w:iCs/>
        </w:rPr>
        <w:t>him</w:t>
      </w:r>
      <w:r w:rsidR="002C1CB5">
        <w:rPr>
          <w:bCs/>
          <w:iCs/>
        </w:rPr>
        <w:t xml:space="preserve"> spending a good amount of time reading the statement; c) the </w:t>
      </w:r>
      <w:r w:rsidR="00691B52" w:rsidRPr="00691B52">
        <w:rPr>
          <w:bCs/>
          <w:iCs/>
        </w:rPr>
        <w:t>alleged victim was</w:t>
      </w:r>
      <w:r w:rsidR="002C1CB5">
        <w:rPr>
          <w:bCs/>
          <w:iCs/>
        </w:rPr>
        <w:t xml:space="preserve"> aware of the fate of the </w:t>
      </w:r>
      <w:r w:rsidR="00A22F48">
        <w:rPr>
          <w:bCs/>
          <w:iCs/>
        </w:rPr>
        <w:t xml:space="preserve">murder </w:t>
      </w:r>
      <w:r w:rsidR="002C1CB5">
        <w:rPr>
          <w:bCs/>
          <w:iCs/>
        </w:rPr>
        <w:t xml:space="preserve">victim when he gave the police statement; d) the </w:t>
      </w:r>
      <w:r w:rsidR="00691B52" w:rsidRPr="00691B52">
        <w:rPr>
          <w:bCs/>
          <w:iCs/>
        </w:rPr>
        <w:t>alleged victim</w:t>
      </w:r>
      <w:r w:rsidR="002C1CB5">
        <w:rPr>
          <w:bCs/>
          <w:iCs/>
        </w:rPr>
        <w:t>’s statement match</w:t>
      </w:r>
      <w:r w:rsidR="001F18F9">
        <w:rPr>
          <w:bCs/>
          <w:iCs/>
        </w:rPr>
        <w:t>ed</w:t>
      </w:r>
      <w:r w:rsidR="002C1CB5">
        <w:rPr>
          <w:bCs/>
          <w:iCs/>
        </w:rPr>
        <w:t xml:space="preserve"> the statements of witnesses as to the facts of the case; and e) the </w:t>
      </w:r>
      <w:r w:rsidR="00691B52" w:rsidRPr="00691B52">
        <w:rPr>
          <w:bCs/>
          <w:iCs/>
        </w:rPr>
        <w:t>alleged victim</w:t>
      </w:r>
      <w:r w:rsidR="002C1CB5">
        <w:rPr>
          <w:bCs/>
          <w:iCs/>
        </w:rPr>
        <w:t xml:space="preserve"> was unable to establish reasonable grounds as to why he would have made a false statement during the investigation.</w:t>
      </w:r>
      <w:r w:rsidR="00034238">
        <w:rPr>
          <w:bCs/>
          <w:iCs/>
        </w:rPr>
        <w:t xml:space="preserve"> </w:t>
      </w:r>
      <w:r w:rsidR="006C01D9">
        <w:rPr>
          <w:bCs/>
          <w:iCs/>
        </w:rPr>
        <w:t xml:space="preserve">The State party therefore submits that </w:t>
      </w:r>
      <w:r w:rsidR="00310ABA">
        <w:rPr>
          <w:bCs/>
          <w:iCs/>
        </w:rPr>
        <w:t>the claim</w:t>
      </w:r>
      <w:r w:rsidR="006C01D9">
        <w:rPr>
          <w:bCs/>
          <w:iCs/>
        </w:rPr>
        <w:t xml:space="preserve"> that </w:t>
      </w:r>
      <w:r w:rsidR="00A22F48">
        <w:rPr>
          <w:bCs/>
          <w:iCs/>
        </w:rPr>
        <w:t>t</w:t>
      </w:r>
      <w:r w:rsidR="006C01D9">
        <w:rPr>
          <w:bCs/>
          <w:iCs/>
        </w:rPr>
        <w:t xml:space="preserve">he </w:t>
      </w:r>
      <w:r w:rsidR="00A22F48">
        <w:rPr>
          <w:bCs/>
          <w:iCs/>
        </w:rPr>
        <w:t xml:space="preserve">alleged victim </w:t>
      </w:r>
      <w:r w:rsidR="006C01D9">
        <w:rPr>
          <w:bCs/>
          <w:iCs/>
        </w:rPr>
        <w:t>gave a statement to the police under duress is unfounded.</w:t>
      </w:r>
      <w:r w:rsidR="00691B52">
        <w:rPr>
          <w:bCs/>
          <w:iCs/>
        </w:rPr>
        <w:t xml:space="preserve">  </w:t>
      </w:r>
    </w:p>
    <w:p w14:paraId="6D05A1C3" w14:textId="3577B39D" w:rsidR="00140D96" w:rsidRDefault="006C01D9" w:rsidP="00E72998">
      <w:pPr>
        <w:pStyle w:val="SingleTxtG"/>
        <w:rPr>
          <w:bCs/>
          <w:iCs/>
        </w:rPr>
      </w:pPr>
      <w:r>
        <w:rPr>
          <w:bCs/>
          <w:iCs/>
        </w:rPr>
        <w:t xml:space="preserve">4.13 </w:t>
      </w:r>
      <w:r w:rsidR="00691B52">
        <w:rPr>
          <w:bCs/>
          <w:iCs/>
        </w:rPr>
        <w:tab/>
      </w:r>
      <w:r w:rsidR="00034238">
        <w:rPr>
          <w:bCs/>
          <w:iCs/>
        </w:rPr>
        <w:t>Regarding the author’s argument that one witness retracted her statement to the police during the trial, the State party notes that as said witness was a minor at</w:t>
      </w:r>
      <w:r w:rsidR="001F18F9">
        <w:rPr>
          <w:bCs/>
          <w:iCs/>
        </w:rPr>
        <w:t xml:space="preserve"> the</w:t>
      </w:r>
      <w:r w:rsidR="00034238">
        <w:rPr>
          <w:bCs/>
          <w:iCs/>
        </w:rPr>
        <w:t xml:space="preserve"> time of the incident, appropriate procedures were followed in obtaining her statement. As such, her father was present during the questioning and the statement was recorded on video. In deciding to admit her statement the Criminal Court noted the following; a) the witness is question is the </w:t>
      </w:r>
      <w:r w:rsidR="00691B52" w:rsidRPr="00691B52">
        <w:rPr>
          <w:bCs/>
          <w:iCs/>
        </w:rPr>
        <w:t>alleged victim</w:t>
      </w:r>
      <w:r w:rsidR="00034238">
        <w:rPr>
          <w:bCs/>
          <w:iCs/>
        </w:rPr>
        <w:t xml:space="preserve">’s sister; b) the witness had read the statement before signing it, and her father admitted to the same during the hearing; c) video recording of </w:t>
      </w:r>
      <w:r w:rsidR="00636247">
        <w:rPr>
          <w:bCs/>
          <w:iCs/>
        </w:rPr>
        <w:t xml:space="preserve">the </w:t>
      </w:r>
      <w:r w:rsidR="00034238">
        <w:rPr>
          <w:bCs/>
          <w:iCs/>
        </w:rPr>
        <w:t xml:space="preserve">statement show the witness narrating the facts of the case; d) </w:t>
      </w:r>
      <w:r w:rsidR="00AF6A3B">
        <w:rPr>
          <w:bCs/>
          <w:iCs/>
        </w:rPr>
        <w:t>the statement matche</w:t>
      </w:r>
      <w:r w:rsidR="001F18F9">
        <w:rPr>
          <w:bCs/>
          <w:iCs/>
        </w:rPr>
        <w:t>d</w:t>
      </w:r>
      <w:r w:rsidR="00AF6A3B">
        <w:rPr>
          <w:bCs/>
          <w:iCs/>
        </w:rPr>
        <w:t xml:space="preserve"> that of the other witnesses; e) the statement was obtained soon after the incident and the witness was aware of the victim’s fate at the time of the statement; f) the witness’ father was present when the statement was given: and g) the witness failed to establish reasonable grounds as to why she would</w:t>
      </w:r>
      <w:r w:rsidR="00636247">
        <w:rPr>
          <w:bCs/>
          <w:iCs/>
        </w:rPr>
        <w:t xml:space="preserve"> have</w:t>
      </w:r>
      <w:r w:rsidR="00AF6A3B">
        <w:rPr>
          <w:bCs/>
          <w:iCs/>
        </w:rPr>
        <w:t xml:space="preserve"> give</w:t>
      </w:r>
      <w:r w:rsidR="00636247">
        <w:rPr>
          <w:bCs/>
          <w:iCs/>
        </w:rPr>
        <w:t>n</w:t>
      </w:r>
      <w:r w:rsidR="00AF6A3B">
        <w:rPr>
          <w:bCs/>
          <w:iCs/>
        </w:rPr>
        <w:t xml:space="preserve"> a false statement during the investigation. The State party finally notes that</w:t>
      </w:r>
      <w:r w:rsidR="00636247">
        <w:rPr>
          <w:bCs/>
          <w:iCs/>
        </w:rPr>
        <w:t xml:space="preserve"> the</w:t>
      </w:r>
      <w:r w:rsidR="00AF6A3B">
        <w:rPr>
          <w:bCs/>
          <w:iCs/>
        </w:rPr>
        <w:t xml:space="preserve"> judgment of the Criminal Court was upheld on appeal and that in the appeal submitted to the High Court, 21 points of appeal were raised by the </w:t>
      </w:r>
      <w:r w:rsidR="00691B52" w:rsidRPr="00691B52">
        <w:rPr>
          <w:bCs/>
          <w:iCs/>
        </w:rPr>
        <w:t>alleged victim</w:t>
      </w:r>
      <w:r w:rsidR="00AF6A3B">
        <w:rPr>
          <w:bCs/>
          <w:iCs/>
        </w:rPr>
        <w:t xml:space="preserve"> concerning both the facts of the case and the application of law. All the points raised by were addressed by the High Court in its judgment</w:t>
      </w:r>
      <w:r w:rsidR="00826D39">
        <w:rPr>
          <w:bCs/>
          <w:iCs/>
        </w:rPr>
        <w:t xml:space="preserve"> </w:t>
      </w:r>
      <w:r w:rsidR="00FA4F78">
        <w:rPr>
          <w:bCs/>
          <w:iCs/>
        </w:rPr>
        <w:t>and</w:t>
      </w:r>
      <w:r w:rsidR="00826D39">
        <w:rPr>
          <w:bCs/>
          <w:iCs/>
        </w:rPr>
        <w:t xml:space="preserve"> subsequently</w:t>
      </w:r>
      <w:r w:rsidR="00A22F48">
        <w:rPr>
          <w:bCs/>
          <w:iCs/>
        </w:rPr>
        <w:t xml:space="preserve"> upheld</w:t>
      </w:r>
      <w:r w:rsidR="00826D39">
        <w:rPr>
          <w:bCs/>
          <w:iCs/>
        </w:rPr>
        <w:t xml:space="preserve"> by the Supreme Court. </w:t>
      </w:r>
    </w:p>
    <w:p w14:paraId="4133CE7E" w14:textId="686E35E1" w:rsidR="000F121D" w:rsidRPr="000F121D" w:rsidRDefault="007711E9" w:rsidP="007711E9">
      <w:pPr>
        <w:pStyle w:val="H23G"/>
      </w:pPr>
      <w:r>
        <w:tab/>
      </w:r>
      <w:r>
        <w:tab/>
      </w:r>
      <w:r w:rsidR="000F121D" w:rsidRPr="000F121D">
        <w:t>Author</w:t>
      </w:r>
      <w:r w:rsidR="00CC06BB">
        <w:t>’</w:t>
      </w:r>
      <w:r w:rsidR="000F121D" w:rsidRPr="000F121D">
        <w:t xml:space="preserve">s comments on the State party’s </w:t>
      </w:r>
      <w:r w:rsidR="00CC06BB">
        <w:t>observations</w:t>
      </w:r>
      <w:r w:rsidR="000F121D" w:rsidRPr="000F121D">
        <w:t xml:space="preserve"> on admissibility</w:t>
      </w:r>
      <w:r w:rsidR="00F33255">
        <w:t xml:space="preserve"> and merits</w:t>
      </w:r>
    </w:p>
    <w:p w14:paraId="60EE834E" w14:textId="12483FFF" w:rsidR="00CD3A1A" w:rsidRDefault="00E9560D" w:rsidP="00716538">
      <w:pPr>
        <w:pStyle w:val="SingleTxtG"/>
        <w:rPr>
          <w:iCs/>
        </w:rPr>
      </w:pPr>
      <w:r>
        <w:rPr>
          <w:bCs/>
          <w:iCs/>
        </w:rPr>
        <w:t>5</w:t>
      </w:r>
      <w:r w:rsidR="000F121D">
        <w:rPr>
          <w:bCs/>
          <w:iCs/>
        </w:rPr>
        <w:t>.1</w:t>
      </w:r>
      <w:r w:rsidR="000F121D">
        <w:rPr>
          <w:bCs/>
          <w:iCs/>
        </w:rPr>
        <w:tab/>
      </w:r>
      <w:r w:rsidR="005B23E9">
        <w:rPr>
          <w:bCs/>
          <w:iCs/>
        </w:rPr>
        <w:t xml:space="preserve">In its </w:t>
      </w:r>
      <w:r w:rsidR="00CC06BB">
        <w:rPr>
          <w:bCs/>
          <w:iCs/>
        </w:rPr>
        <w:t>2</w:t>
      </w:r>
      <w:r w:rsidR="003D6D6D">
        <w:rPr>
          <w:bCs/>
          <w:iCs/>
        </w:rPr>
        <w:t>1</w:t>
      </w:r>
      <w:r w:rsidR="00CC06BB">
        <w:rPr>
          <w:bCs/>
          <w:iCs/>
        </w:rPr>
        <w:t xml:space="preserve"> August </w:t>
      </w:r>
      <w:r w:rsidR="00716538">
        <w:rPr>
          <w:bCs/>
          <w:iCs/>
        </w:rPr>
        <w:t>and 3 October 2022</w:t>
      </w:r>
      <w:r w:rsidR="005B23E9">
        <w:rPr>
          <w:bCs/>
          <w:iCs/>
        </w:rPr>
        <w:t xml:space="preserve"> submissions</w:t>
      </w:r>
      <w:r w:rsidR="00CC06BB">
        <w:rPr>
          <w:bCs/>
          <w:iCs/>
        </w:rPr>
        <w:t xml:space="preserve">, the author </w:t>
      </w:r>
      <w:r w:rsidR="00716538">
        <w:rPr>
          <w:iCs/>
        </w:rPr>
        <w:t xml:space="preserve">maintains that the communication is admissible. </w:t>
      </w:r>
    </w:p>
    <w:p w14:paraId="6F4AE029" w14:textId="7EA8FFB8" w:rsidR="00716538" w:rsidRDefault="00716538" w:rsidP="00D32AA0">
      <w:pPr>
        <w:pStyle w:val="SingleTxtG"/>
        <w:rPr>
          <w:rFonts w:eastAsia="Times New Roman"/>
          <w:iCs/>
          <w:sz w:val="18"/>
          <w:vertAlign w:val="superscript"/>
          <w:lang w:eastAsia="en-US"/>
        </w:rPr>
      </w:pPr>
      <w:r>
        <w:rPr>
          <w:iCs/>
        </w:rPr>
        <w:t>5.2</w:t>
      </w:r>
      <w:r>
        <w:rPr>
          <w:iCs/>
        </w:rPr>
        <w:tab/>
      </w:r>
      <w:r w:rsidRPr="00716538">
        <w:rPr>
          <w:iCs/>
        </w:rPr>
        <w:t xml:space="preserve">The author </w:t>
      </w:r>
      <w:r w:rsidR="005B23E9">
        <w:rPr>
          <w:iCs/>
        </w:rPr>
        <w:t xml:space="preserve">welcomes the State party’s </w:t>
      </w:r>
      <w:proofErr w:type="gramStart"/>
      <w:r w:rsidR="005B23E9">
        <w:rPr>
          <w:iCs/>
        </w:rPr>
        <w:t xml:space="preserve">expressed </w:t>
      </w:r>
      <w:r w:rsidRPr="00716538">
        <w:rPr>
          <w:iCs/>
        </w:rPr>
        <w:t xml:space="preserve"> commitment</w:t>
      </w:r>
      <w:proofErr w:type="gramEnd"/>
      <w:r w:rsidRPr="00716538">
        <w:rPr>
          <w:iCs/>
        </w:rPr>
        <w:t xml:space="preserve">, to uphold the moratorium on executions. However, he notes that until the death penalty is fully abolished in law and all existing death sentences commuted, the risk of causing irreparable harm through execution remains in place for </w:t>
      </w:r>
      <w:r w:rsidR="00562697">
        <w:rPr>
          <w:iCs/>
        </w:rPr>
        <w:t xml:space="preserve">the </w:t>
      </w:r>
      <w:r w:rsidR="00562697" w:rsidRPr="00562697">
        <w:rPr>
          <w:bCs/>
          <w:iCs/>
        </w:rPr>
        <w:t>alleged victim</w:t>
      </w:r>
      <w:r w:rsidRPr="00716538">
        <w:rPr>
          <w:iCs/>
        </w:rPr>
        <w:t xml:space="preserve">, as well as others under sentence of death in the State party. </w:t>
      </w:r>
      <w:r w:rsidR="00A5702A">
        <w:rPr>
          <w:iCs/>
        </w:rPr>
        <w:t xml:space="preserve">He notes the observations by the State party that </w:t>
      </w:r>
      <w:r w:rsidRPr="00716538">
        <w:rPr>
          <w:iCs/>
        </w:rPr>
        <w:t>steps taken by the authorities towards resuming executions should be attributed to the previous administration</w:t>
      </w:r>
      <w:r w:rsidR="00A5702A">
        <w:rPr>
          <w:iCs/>
        </w:rPr>
        <w:t>.</w:t>
      </w:r>
      <w:r w:rsidRPr="00716538">
        <w:rPr>
          <w:iCs/>
        </w:rPr>
        <w:t xml:space="preserve"> </w:t>
      </w:r>
      <w:r w:rsidR="00A5702A">
        <w:rPr>
          <w:iCs/>
        </w:rPr>
        <w:t>The author argues that w</w:t>
      </w:r>
      <w:r w:rsidRPr="00716538">
        <w:rPr>
          <w:iCs/>
        </w:rPr>
        <w:t xml:space="preserve">hile the change in position by </w:t>
      </w:r>
      <w:r w:rsidRPr="00D32AA0">
        <w:rPr>
          <w:iCs/>
        </w:rPr>
        <w:t xml:space="preserve">the current administration is positively noted, the statements further emphasize the volatile nature of non-binding policies on moratorium on executions, which can involve an additional element of arbitrariness when executions are carried out </w:t>
      </w:r>
      <w:proofErr w:type="gramStart"/>
      <w:r w:rsidRPr="00D32AA0">
        <w:rPr>
          <w:iCs/>
        </w:rPr>
        <w:t>as a result of</w:t>
      </w:r>
      <w:proofErr w:type="gramEnd"/>
      <w:r w:rsidRPr="00D32AA0">
        <w:rPr>
          <w:iCs/>
        </w:rPr>
        <w:t xml:space="preserve"> a change in policy that is linked </w:t>
      </w:r>
      <w:r w:rsidRPr="00D32AA0">
        <w:rPr>
          <w:iCs/>
        </w:rPr>
        <w:lastRenderedPageBreak/>
        <w:t>to extraneous developments not relating to the crime or</w:t>
      </w:r>
      <w:r w:rsidR="00F70A63">
        <w:rPr>
          <w:iCs/>
        </w:rPr>
        <w:t xml:space="preserve"> the</w:t>
      </w:r>
      <w:r w:rsidRPr="00D32AA0">
        <w:rPr>
          <w:iCs/>
        </w:rPr>
        <w:t xml:space="preserve"> individual offender</w:t>
      </w:r>
      <w:r w:rsidR="00A5702A" w:rsidRPr="00D32AA0">
        <w:rPr>
          <w:iCs/>
        </w:rPr>
        <w:t>.</w:t>
      </w:r>
      <w:r w:rsidR="00D32AA0">
        <w:rPr>
          <w:iCs/>
        </w:rPr>
        <w:t xml:space="preserve"> In this connection the author refers to </w:t>
      </w:r>
      <w:r w:rsidR="00D32AA0" w:rsidRPr="00D32AA0">
        <w:rPr>
          <w:iCs/>
        </w:rPr>
        <w:t>General Comment 36</w:t>
      </w:r>
      <w:r w:rsidR="005B23E9">
        <w:rPr>
          <w:iCs/>
        </w:rPr>
        <w:t>.</w:t>
      </w:r>
      <w:r w:rsidR="00D32AA0" w:rsidRPr="00D32AA0">
        <w:rPr>
          <w:iCs/>
          <w:vertAlign w:val="superscript"/>
        </w:rPr>
        <w:footnoteReference w:id="12"/>
      </w:r>
    </w:p>
    <w:p w14:paraId="51980B80" w14:textId="79CCC172" w:rsidR="00D221DD" w:rsidRPr="00D221DD" w:rsidRDefault="0081371A" w:rsidP="00D221DD">
      <w:pPr>
        <w:pStyle w:val="SingleTxtG"/>
      </w:pPr>
      <w:r>
        <w:t>5.3</w:t>
      </w:r>
      <w:r>
        <w:tab/>
      </w:r>
      <w:bookmarkStart w:id="1" w:name="_Hlk152166678"/>
      <w:r w:rsidR="00D221DD">
        <w:t>The author notes that a</w:t>
      </w:r>
      <w:r w:rsidR="00D221DD" w:rsidRPr="00D221DD">
        <w:t>s domestic legal avenues have been exhausted</w:t>
      </w:r>
      <w:r w:rsidR="001F18F9">
        <w:t>,</w:t>
      </w:r>
      <w:r w:rsidR="00D221DD" w:rsidRPr="00D221DD">
        <w:t xml:space="preserve"> and even if a moratorium on executions is in place, </w:t>
      </w:r>
      <w:r w:rsidR="009863FF">
        <w:t>t</w:t>
      </w:r>
      <w:r w:rsidR="00D221DD">
        <w:t>he</w:t>
      </w:r>
      <w:r w:rsidR="009863FF">
        <w:t xml:space="preserve"> </w:t>
      </w:r>
      <w:r w:rsidR="009863FF" w:rsidRPr="009863FF">
        <w:rPr>
          <w:bCs/>
          <w:iCs/>
        </w:rPr>
        <w:t>alleged victim</w:t>
      </w:r>
      <w:r w:rsidR="00D221DD" w:rsidRPr="00D221DD">
        <w:t xml:space="preserve"> remains in limbo on death row, still facing the prospect of execution. The uncertainty and anxiety that he and his family members </w:t>
      </w:r>
      <w:r w:rsidR="00F70A63" w:rsidRPr="00D221DD">
        <w:t>must</w:t>
      </w:r>
      <w:r w:rsidR="00D221DD" w:rsidRPr="00D221DD">
        <w:t xml:space="preserve"> endure amount to a </w:t>
      </w:r>
      <w:r w:rsidR="00D221DD" w:rsidRPr="00D221DD">
        <w:rPr>
          <w:bCs/>
        </w:rPr>
        <w:t>violation of their right not to be subjected to cruel, inhuman</w:t>
      </w:r>
      <w:r w:rsidR="005D3887">
        <w:rPr>
          <w:bCs/>
        </w:rPr>
        <w:t>,</w:t>
      </w:r>
      <w:r w:rsidR="00D221DD" w:rsidRPr="00D221DD">
        <w:rPr>
          <w:bCs/>
        </w:rPr>
        <w:t xml:space="preserve"> or degrading treatment or punishment</w:t>
      </w:r>
      <w:r w:rsidR="00D221DD" w:rsidRPr="00D221DD">
        <w:t xml:space="preserve">, </w:t>
      </w:r>
      <w:r w:rsidR="00F70A63">
        <w:t xml:space="preserve">as </w:t>
      </w:r>
      <w:r w:rsidR="00D221DD" w:rsidRPr="00D221DD">
        <w:t xml:space="preserve">guaranteed under </w:t>
      </w:r>
      <w:r w:rsidR="00D221DD">
        <w:rPr>
          <w:bCs/>
        </w:rPr>
        <w:t>a</w:t>
      </w:r>
      <w:r w:rsidR="00D221DD" w:rsidRPr="00D221DD">
        <w:rPr>
          <w:bCs/>
        </w:rPr>
        <w:t xml:space="preserve">rticle 7 </w:t>
      </w:r>
      <w:r w:rsidR="00D221DD" w:rsidRPr="00D221DD">
        <w:t>of the Covenant</w:t>
      </w:r>
      <w:r w:rsidR="001F18F9">
        <w:t>.</w:t>
      </w:r>
      <w:r w:rsidR="00D221DD">
        <w:rPr>
          <w:rStyle w:val="FootnoteReference"/>
        </w:rPr>
        <w:footnoteReference w:id="13"/>
      </w:r>
      <w:r w:rsidR="00D221DD" w:rsidRPr="00D221DD">
        <w:t xml:space="preserve"> </w:t>
      </w:r>
    </w:p>
    <w:p w14:paraId="7256ACEA" w14:textId="78DC2382" w:rsidR="00D221DD" w:rsidRPr="00D221DD" w:rsidRDefault="00D221DD" w:rsidP="00D221DD">
      <w:pPr>
        <w:pStyle w:val="SingleTxtG"/>
      </w:pPr>
      <w:r>
        <w:t>5.4</w:t>
      </w:r>
      <w:r>
        <w:tab/>
        <w:t>The author</w:t>
      </w:r>
      <w:r w:rsidRPr="00D221DD">
        <w:t xml:space="preserve"> submits that the information provided </w:t>
      </w:r>
      <w:r>
        <w:t>by the State party in its observations</w:t>
      </w:r>
      <w:r w:rsidRPr="00D221DD">
        <w:t xml:space="preserve"> fails to address concerns of human rights violations committed against </w:t>
      </w:r>
      <w:r w:rsidR="009863FF">
        <w:t xml:space="preserve">the </w:t>
      </w:r>
      <w:r w:rsidR="009863FF" w:rsidRPr="009863FF">
        <w:rPr>
          <w:bCs/>
          <w:iCs/>
        </w:rPr>
        <w:t>alleged victim</w:t>
      </w:r>
      <w:r w:rsidRPr="00D221DD">
        <w:t>, which contributed to and resulted in the imposition of a death sentence in violation of articles 6 (1)</w:t>
      </w:r>
      <w:r w:rsidR="00F70A63">
        <w:t>,</w:t>
      </w:r>
      <w:r w:rsidRPr="00D221DD">
        <w:t xml:space="preserve"> read in conjunction with article</w:t>
      </w:r>
      <w:r w:rsidR="001F18F9">
        <w:t>s</w:t>
      </w:r>
      <w:r w:rsidRPr="00D221DD">
        <w:t xml:space="preserve"> 7 and 14 of the Covenant. Regarding the right to access effective legal representation from the time of arrest, the observations by the State party makes it unequivocal that </w:t>
      </w:r>
      <w:r w:rsidR="009863FF">
        <w:t>t</w:t>
      </w:r>
      <w:r w:rsidR="001F18F9">
        <w:t>he</w:t>
      </w:r>
      <w:r w:rsidRPr="00D221DD">
        <w:t xml:space="preserve"> </w:t>
      </w:r>
      <w:r w:rsidR="009863FF" w:rsidRPr="009863FF">
        <w:rPr>
          <w:bCs/>
          <w:iCs/>
        </w:rPr>
        <w:t>alleged victim</w:t>
      </w:r>
      <w:r w:rsidR="009863FF">
        <w:rPr>
          <w:bCs/>
          <w:iCs/>
        </w:rPr>
        <w:t xml:space="preserve"> </w:t>
      </w:r>
      <w:r w:rsidRPr="00D221DD">
        <w:t>was unrepresented between the time of his arrest on 10 March 2009 and the beginning of the criminal trial in December 2009. This period includes 8 April 2009, when a self-incriminating statement, later retracted at trial</w:t>
      </w:r>
      <w:r w:rsidR="001F18F9">
        <w:t>,</w:t>
      </w:r>
      <w:r w:rsidRPr="00D221DD">
        <w:t xml:space="preserve"> </w:t>
      </w:r>
      <w:r w:rsidR="008B67F2">
        <w:t>was</w:t>
      </w:r>
      <w:r w:rsidRPr="00D221DD">
        <w:t xml:space="preserve"> taken. </w:t>
      </w:r>
      <w:r w:rsidR="001F18F9">
        <w:t xml:space="preserve">The author </w:t>
      </w:r>
      <w:r w:rsidR="005D3887">
        <w:t xml:space="preserve">stresses </w:t>
      </w:r>
      <w:r w:rsidR="001F18F9">
        <w:t>that l</w:t>
      </w:r>
      <w:r w:rsidRPr="00D221DD">
        <w:t xml:space="preserve">egal representation is an important safeguard against torture and other ill-treatment, and against coerced confessions or other self-incriminating statements. </w:t>
      </w:r>
      <w:r w:rsidR="001F18F9">
        <w:t>He</w:t>
      </w:r>
      <w:r>
        <w:t xml:space="preserve"> note</w:t>
      </w:r>
      <w:r w:rsidR="008B67F2">
        <w:t>s</w:t>
      </w:r>
      <w:r>
        <w:t xml:space="preserve"> the State party’s submission that </w:t>
      </w:r>
      <w:r w:rsidR="009863FF">
        <w:t>t</w:t>
      </w:r>
      <w:r>
        <w:t xml:space="preserve">he </w:t>
      </w:r>
      <w:r w:rsidR="009863FF" w:rsidRPr="009863FF">
        <w:rPr>
          <w:bCs/>
          <w:iCs/>
        </w:rPr>
        <w:t>alleged victim</w:t>
      </w:r>
      <w:r w:rsidR="009863FF">
        <w:rPr>
          <w:bCs/>
          <w:iCs/>
        </w:rPr>
        <w:t xml:space="preserve"> </w:t>
      </w:r>
      <w:r>
        <w:t xml:space="preserve">had </w:t>
      </w:r>
      <w:r w:rsidRPr="00D221DD">
        <w:t>abandoned his right to be represented by a lawyer during March-December 2009</w:t>
      </w:r>
      <w:r>
        <w:t xml:space="preserve">. He however </w:t>
      </w:r>
      <w:r w:rsidR="005D3887">
        <w:t xml:space="preserve">highlights </w:t>
      </w:r>
      <w:r w:rsidR="008B67F2">
        <w:t xml:space="preserve">that in </w:t>
      </w:r>
      <w:r w:rsidRPr="00D221DD">
        <w:t xml:space="preserve">the Case Report of the Criminal Court </w:t>
      </w:r>
      <w:r w:rsidR="008B67F2">
        <w:t xml:space="preserve">it is </w:t>
      </w:r>
      <w:r w:rsidRPr="00D221DD">
        <w:t>note</w:t>
      </w:r>
      <w:r>
        <w:t>d</w:t>
      </w:r>
      <w:r w:rsidRPr="00D221DD">
        <w:t xml:space="preserve">, based on official documents, </w:t>
      </w:r>
      <w:r>
        <w:t xml:space="preserve">that </w:t>
      </w:r>
      <w:r w:rsidR="009863FF">
        <w:t>t</w:t>
      </w:r>
      <w:r>
        <w:t>he</w:t>
      </w:r>
      <w:r w:rsidRPr="00D221DD">
        <w:t xml:space="preserve"> </w:t>
      </w:r>
      <w:r w:rsidR="009863FF" w:rsidRPr="009863FF">
        <w:rPr>
          <w:bCs/>
          <w:iCs/>
        </w:rPr>
        <w:t>alleged victim</w:t>
      </w:r>
      <w:r w:rsidR="009863FF">
        <w:rPr>
          <w:bCs/>
          <w:iCs/>
        </w:rPr>
        <w:t xml:space="preserve"> </w:t>
      </w:r>
      <w:r w:rsidRPr="00D221DD">
        <w:t>had indicated that he wanted legal counsel, but eventually consented to be interrogated without the presence of a lawyer on 8 April 2009.</w:t>
      </w:r>
      <w:r>
        <w:rPr>
          <w:rStyle w:val="FootnoteReference"/>
        </w:rPr>
        <w:footnoteReference w:id="14"/>
      </w:r>
      <w:r w:rsidRPr="00D221DD">
        <w:t xml:space="preserve"> </w:t>
      </w:r>
      <w:r w:rsidR="005D0285">
        <w:t>He argues that n</w:t>
      </w:r>
      <w:r w:rsidRPr="00D221DD">
        <w:t xml:space="preserve">o information </w:t>
      </w:r>
      <w:r w:rsidR="005D0285">
        <w:t>on file</w:t>
      </w:r>
      <w:r w:rsidRPr="00D221DD">
        <w:t xml:space="preserve"> suggests that the courts duly examined this claim or the reasons for </w:t>
      </w:r>
      <w:r w:rsidR="005D0285">
        <w:t>why</w:t>
      </w:r>
      <w:r w:rsidRPr="00D221DD">
        <w:t xml:space="preserve"> a lawyer </w:t>
      </w:r>
      <w:r w:rsidR="005D0285">
        <w:t xml:space="preserve">was not present </w:t>
      </w:r>
      <w:r w:rsidRPr="00D221DD">
        <w:t xml:space="preserve">during police interrogation. The statements of the police officials appear to have been taken at face value. </w:t>
      </w:r>
      <w:r w:rsidR="008B67F2">
        <w:t xml:space="preserve">He </w:t>
      </w:r>
      <w:r w:rsidR="008B67F2" w:rsidRPr="00D45F3B">
        <w:t xml:space="preserve">additionally </w:t>
      </w:r>
      <w:r w:rsidR="009863FF" w:rsidRPr="00654F12">
        <w:t>argues</w:t>
      </w:r>
      <w:r w:rsidR="008B67F2" w:rsidRPr="00D45F3B">
        <w:t xml:space="preserve"> that</w:t>
      </w:r>
      <w:r w:rsidRPr="00D221DD">
        <w:t xml:space="preserve"> it is also relevant to </w:t>
      </w:r>
      <w:proofErr w:type="gramStart"/>
      <w:r w:rsidR="009863FF">
        <w:t>take into account</w:t>
      </w:r>
      <w:proofErr w:type="gramEnd"/>
      <w:r w:rsidR="009863FF" w:rsidRPr="00D221DD">
        <w:t xml:space="preserve"> </w:t>
      </w:r>
      <w:r w:rsidRPr="00D221DD">
        <w:t xml:space="preserve">that the Case Report of the Criminal Court further highlights that previous self-incriminating statements </w:t>
      </w:r>
      <w:r w:rsidR="00EC5DEB">
        <w:t>by</w:t>
      </w:r>
      <w:r w:rsidRPr="00D221DD">
        <w:t xml:space="preserve"> </w:t>
      </w:r>
      <w:r w:rsidR="005D0285">
        <w:t xml:space="preserve">the </w:t>
      </w:r>
      <w:r w:rsidR="009863FF" w:rsidRPr="009863FF">
        <w:rPr>
          <w:bCs/>
          <w:iCs/>
        </w:rPr>
        <w:t>alleged victim</w:t>
      </w:r>
      <w:r w:rsidRPr="00D221DD">
        <w:t xml:space="preserve"> </w:t>
      </w:r>
      <w:r w:rsidR="00EC5DEB">
        <w:t xml:space="preserve">were taken </w:t>
      </w:r>
      <w:r w:rsidRPr="00D221DD">
        <w:t xml:space="preserve">during police interrogation, without a lawyer present, and used as basis to extend police custody beyond the first 24 hours. </w:t>
      </w:r>
      <w:r w:rsidR="005D0285">
        <w:t>He argues that w</w:t>
      </w:r>
      <w:r w:rsidRPr="00D221DD">
        <w:t xml:space="preserve">hile the </w:t>
      </w:r>
      <w:r w:rsidR="005D0285">
        <w:t>State party make</w:t>
      </w:r>
      <w:r w:rsidR="008B67F2">
        <w:t>s</w:t>
      </w:r>
      <w:r w:rsidRPr="00D221DD">
        <w:t xml:space="preserve"> no reference to these</w:t>
      </w:r>
      <w:r w:rsidR="005D0285">
        <w:t xml:space="preserve"> statements in its observations</w:t>
      </w:r>
      <w:r w:rsidRPr="00D221DD">
        <w:t xml:space="preserve">, these prior statements should have led the judiciary to examine the reasons behind </w:t>
      </w:r>
      <w:r w:rsidR="009863FF">
        <w:t xml:space="preserve">the </w:t>
      </w:r>
      <w:r w:rsidR="009863FF" w:rsidRPr="009863FF">
        <w:rPr>
          <w:bCs/>
          <w:iCs/>
        </w:rPr>
        <w:t xml:space="preserve">alleged </w:t>
      </w:r>
      <w:r w:rsidR="004A480A" w:rsidRPr="009863FF">
        <w:rPr>
          <w:bCs/>
          <w:iCs/>
        </w:rPr>
        <w:t>victim</w:t>
      </w:r>
      <w:r w:rsidR="004A480A">
        <w:rPr>
          <w:bCs/>
          <w:iCs/>
        </w:rPr>
        <w:t>’s</w:t>
      </w:r>
      <w:r w:rsidR="004A480A">
        <w:t xml:space="preserve"> </w:t>
      </w:r>
      <w:r w:rsidR="004A480A" w:rsidRPr="00D221DD">
        <w:t>lack</w:t>
      </w:r>
      <w:r w:rsidRPr="00D221DD">
        <w:t xml:space="preserve"> of legal representation up until the first hearing in December 2009, and of his subsequent retraction of the self-incriminating statement of April 2009. </w:t>
      </w:r>
    </w:p>
    <w:p w14:paraId="69854DFB" w14:textId="21C72531" w:rsidR="005D0285" w:rsidRPr="005D0285" w:rsidRDefault="005D0285" w:rsidP="00471E1C">
      <w:pPr>
        <w:pStyle w:val="SingleTxtG"/>
      </w:pPr>
      <w:r>
        <w:t>5.5</w:t>
      </w:r>
      <w:r>
        <w:tab/>
        <w:t>The author argues that o</w:t>
      </w:r>
      <w:r w:rsidR="00D221DD" w:rsidRPr="00D221DD">
        <w:t xml:space="preserve">f further concern is the fact that the lawyer first appointed to represent </w:t>
      </w:r>
      <w:r w:rsidR="009863FF">
        <w:t xml:space="preserve">the </w:t>
      </w:r>
      <w:r w:rsidR="009863FF" w:rsidRPr="009863FF">
        <w:rPr>
          <w:bCs/>
          <w:iCs/>
        </w:rPr>
        <w:t>alleged victim</w:t>
      </w:r>
      <w:r w:rsidR="009863FF" w:rsidRPr="00D221DD">
        <w:t xml:space="preserve"> </w:t>
      </w:r>
      <w:r w:rsidR="00D221DD" w:rsidRPr="00D221DD">
        <w:t xml:space="preserve">at the hearing on 20 December 2009, at which he pled not guilty, told the court that there were </w:t>
      </w:r>
      <w:r w:rsidR="00D221DD" w:rsidRPr="005D0285">
        <w:t>“small components</w:t>
      </w:r>
      <w:r w:rsidRPr="005D0285">
        <w:t xml:space="preserve"> of the assault” that could be admitted to. The lawyer withdrew from the case immediately after the first hearing, but nonetheless the court gave weight to his statement including to dismiss </w:t>
      </w:r>
      <w:r>
        <w:t xml:space="preserve">the </w:t>
      </w:r>
      <w:r w:rsidR="009863FF" w:rsidRPr="009863FF">
        <w:rPr>
          <w:bCs/>
          <w:iCs/>
        </w:rPr>
        <w:t>alleged victim</w:t>
      </w:r>
      <w:r>
        <w:t>’s</w:t>
      </w:r>
      <w:r w:rsidRPr="005D0285">
        <w:t xml:space="preserve"> retraction of his </w:t>
      </w:r>
      <w:r w:rsidR="008207C7">
        <w:t>self-incriminating statement</w:t>
      </w:r>
      <w:r>
        <w:t>.</w:t>
      </w:r>
      <w:r>
        <w:rPr>
          <w:rStyle w:val="FootnoteReference"/>
        </w:rPr>
        <w:footnoteReference w:id="15"/>
      </w:r>
      <w:r w:rsidRPr="005D0285">
        <w:t xml:space="preserve"> </w:t>
      </w:r>
      <w:r w:rsidR="008207C7">
        <w:t>The author</w:t>
      </w:r>
      <w:r w:rsidR="00471E1C">
        <w:t xml:space="preserve"> further </w:t>
      </w:r>
      <w:r w:rsidR="009863FF">
        <w:t xml:space="preserve">highlights </w:t>
      </w:r>
      <w:r w:rsidR="00471E1C">
        <w:t xml:space="preserve">that after the first counsel withdrew from the case, </w:t>
      </w:r>
      <w:r w:rsidR="009863FF">
        <w:t>t</w:t>
      </w:r>
      <w:r w:rsidR="00471E1C">
        <w:t xml:space="preserve">he </w:t>
      </w:r>
      <w:r w:rsidR="009863FF" w:rsidRPr="009863FF">
        <w:rPr>
          <w:bCs/>
          <w:iCs/>
        </w:rPr>
        <w:t>alleged victim</w:t>
      </w:r>
      <w:r w:rsidR="009863FF">
        <w:rPr>
          <w:bCs/>
          <w:iCs/>
        </w:rPr>
        <w:t xml:space="preserve"> </w:t>
      </w:r>
      <w:r w:rsidRPr="005D0285">
        <w:t xml:space="preserve">appointed a second lawyer on 12 January 2010, who had under two months to prepare for the trial ahead of the second hearing on 8 March 2010. </w:t>
      </w:r>
      <w:r w:rsidR="00F70A63">
        <w:t>T</w:t>
      </w:r>
      <w:r w:rsidR="00471E1C">
        <w:t>he author</w:t>
      </w:r>
      <w:r w:rsidRPr="005D0285">
        <w:t xml:space="preserve"> submits that two months is an inadequate period to become acquainted with the case and </w:t>
      </w:r>
      <w:r w:rsidR="0065575A">
        <w:t>ensure</w:t>
      </w:r>
      <w:r w:rsidRPr="005D0285">
        <w:t xml:space="preserve"> effective legal representation in a capital trial.</w:t>
      </w:r>
      <w:r w:rsidR="00471E1C">
        <w:rPr>
          <w:rStyle w:val="FootnoteReference"/>
        </w:rPr>
        <w:footnoteReference w:id="16"/>
      </w:r>
    </w:p>
    <w:p w14:paraId="6FD2548D" w14:textId="34673D77" w:rsidR="007F6C89" w:rsidRDefault="00636E1F" w:rsidP="005D0285">
      <w:pPr>
        <w:pStyle w:val="SingleTxtG"/>
      </w:pPr>
      <w:r>
        <w:t>5.6</w:t>
      </w:r>
      <w:r>
        <w:tab/>
        <w:t xml:space="preserve">The author </w:t>
      </w:r>
      <w:r w:rsidR="009863FF">
        <w:t xml:space="preserve">argues </w:t>
      </w:r>
      <w:r>
        <w:t xml:space="preserve">that as concerns </w:t>
      </w:r>
      <w:r w:rsidR="005D0285" w:rsidRPr="005D0285">
        <w:t xml:space="preserve">the admission into evidence of the self-incriminating statement by </w:t>
      </w:r>
      <w:r w:rsidR="009863FF">
        <w:t>the alleged victim</w:t>
      </w:r>
      <w:r w:rsidR="005D0285" w:rsidRPr="005D0285">
        <w:t xml:space="preserve">, the </w:t>
      </w:r>
      <w:r>
        <w:t>observations by the State party</w:t>
      </w:r>
      <w:r w:rsidR="005D0285" w:rsidRPr="005D0285">
        <w:t xml:space="preserve"> offer no information to show that his claim of having signed it out of fear was thoroughly examined </w:t>
      </w:r>
      <w:r w:rsidR="005D0285" w:rsidRPr="005D0285">
        <w:lastRenderedPageBreak/>
        <w:t xml:space="preserve">by the courts or other independent authorities. The </w:t>
      </w:r>
      <w:r>
        <w:t>State party</w:t>
      </w:r>
      <w:r w:rsidR="005D0285" w:rsidRPr="005D0285">
        <w:t xml:space="preserve"> rejects that the statement was coerced, on the basis that it was as captured on video by the police, ignoring the possibility that the statement could have been the result of ill-treatment and coaching by police before the recording, after </w:t>
      </w:r>
      <w:r>
        <w:t xml:space="preserve">the </w:t>
      </w:r>
      <w:r w:rsidR="009863FF" w:rsidRPr="009863FF">
        <w:rPr>
          <w:bCs/>
          <w:iCs/>
        </w:rPr>
        <w:t>alleged victim</w:t>
      </w:r>
      <w:r w:rsidR="005D0285" w:rsidRPr="005D0285">
        <w:t xml:space="preserve"> had been kept in police custody for approximately one month with no legal representa</w:t>
      </w:r>
      <w:r w:rsidR="008B67F2">
        <w:t>tion</w:t>
      </w:r>
      <w:r w:rsidR="005D0285" w:rsidRPr="005D0285">
        <w:t xml:space="preserve">. </w:t>
      </w:r>
      <w:r>
        <w:t xml:space="preserve">He </w:t>
      </w:r>
      <w:r w:rsidR="008207C7">
        <w:t xml:space="preserve">reiterates </w:t>
      </w:r>
      <w:r w:rsidR="00F70A63">
        <w:t>h</w:t>
      </w:r>
      <w:r w:rsidR="008207C7">
        <w:t xml:space="preserve">is argument </w:t>
      </w:r>
      <w:r w:rsidR="005D0285" w:rsidRPr="005D0285">
        <w:t xml:space="preserve">that, even if no coercion is alleged in a case, </w:t>
      </w:r>
      <w:r>
        <w:t>a</w:t>
      </w:r>
      <w:r w:rsidR="005D0285" w:rsidRPr="005D0285">
        <w:t xml:space="preserve">rticle 52 </w:t>
      </w:r>
      <w:r>
        <w:t xml:space="preserve">of the Constitution </w:t>
      </w:r>
      <w:r w:rsidR="005D0285" w:rsidRPr="005D0285">
        <w:t xml:space="preserve">deems inadmissible confessions made outside of court. </w:t>
      </w:r>
      <w:r w:rsidR="009863FF">
        <w:t xml:space="preserve">The </w:t>
      </w:r>
      <w:r w:rsidR="009863FF" w:rsidRPr="009863FF">
        <w:rPr>
          <w:bCs/>
          <w:iCs/>
        </w:rPr>
        <w:t>alleged victim</w:t>
      </w:r>
      <w:r w:rsidR="009863FF">
        <w:rPr>
          <w:bCs/>
          <w:iCs/>
        </w:rPr>
        <w:t>’s</w:t>
      </w:r>
      <w:r w:rsidR="009863FF">
        <w:t xml:space="preserve"> </w:t>
      </w:r>
      <w:r w:rsidR="005D0285" w:rsidRPr="005D0285">
        <w:t xml:space="preserve">statement should </w:t>
      </w:r>
      <w:r>
        <w:t xml:space="preserve">thus </w:t>
      </w:r>
      <w:r w:rsidR="005D0285" w:rsidRPr="005D0285">
        <w:t xml:space="preserve">have been excluded from evidence regardless of any claims of coercion – and </w:t>
      </w:r>
      <w:r w:rsidR="005B23E9" w:rsidRPr="005D0285">
        <w:t>more</w:t>
      </w:r>
      <w:r w:rsidR="005D0285" w:rsidRPr="005D0285">
        <w:t xml:space="preserve"> so as coercion was alleged. </w:t>
      </w:r>
      <w:r w:rsidR="009863FF">
        <w:t xml:space="preserve">The author </w:t>
      </w:r>
      <w:r w:rsidR="00827672">
        <w:t>further argues that t</w:t>
      </w:r>
      <w:r w:rsidR="005D0285" w:rsidRPr="005D0285">
        <w:t xml:space="preserve">he Case Report of the Criminal Court does not appear to suggest that the Court made </w:t>
      </w:r>
      <w:r w:rsidR="00827672">
        <w:t xml:space="preserve">any </w:t>
      </w:r>
      <w:r w:rsidR="005D0285" w:rsidRPr="005D0285">
        <w:t xml:space="preserve">enquiries into </w:t>
      </w:r>
      <w:r w:rsidR="009863FF">
        <w:t xml:space="preserve">the </w:t>
      </w:r>
      <w:r w:rsidR="009863FF" w:rsidRPr="009863FF">
        <w:rPr>
          <w:bCs/>
          <w:iCs/>
        </w:rPr>
        <w:t>alleged victim</w:t>
      </w:r>
      <w:r w:rsidR="009863FF">
        <w:rPr>
          <w:bCs/>
          <w:iCs/>
        </w:rPr>
        <w:t>’s</w:t>
      </w:r>
      <w:r w:rsidR="005D0285" w:rsidRPr="005D0285">
        <w:t xml:space="preserve"> claim. The Court accepted the confession as not made under coercion, based on the analysis of the </w:t>
      </w:r>
      <w:proofErr w:type="gramStart"/>
      <w:r w:rsidR="005D0285" w:rsidRPr="005D0285">
        <w:t>video</w:t>
      </w:r>
      <w:proofErr w:type="gramEnd"/>
      <w:r w:rsidR="005D0285" w:rsidRPr="005D0285">
        <w:t xml:space="preserve"> and questioning of the defendant, but did not give weight to his claim that he had signed the confession out of fear and his rejection of the contents of the statements. The Court turned to Islamic Law to determine the</w:t>
      </w:r>
      <w:r w:rsidR="00827672">
        <w:t xml:space="preserve"> </w:t>
      </w:r>
      <w:r w:rsidR="00827672" w:rsidRPr="00827672">
        <w:t>circumstances in which a confession made without coercion could be retracted, concluding that in a murder case this would not be possible</w:t>
      </w:r>
      <w:r w:rsidR="00827672">
        <w:t>.</w:t>
      </w:r>
      <w:r w:rsidR="00827672">
        <w:rPr>
          <w:rStyle w:val="FootnoteReference"/>
        </w:rPr>
        <w:footnoteReference w:id="17"/>
      </w:r>
    </w:p>
    <w:bookmarkEnd w:id="1"/>
    <w:p w14:paraId="55ED9043" w14:textId="61F2164C" w:rsidR="00F46995" w:rsidRDefault="00F46995" w:rsidP="00F46995">
      <w:pPr>
        <w:pStyle w:val="SingleTxtG"/>
      </w:pPr>
      <w:r>
        <w:t>5.7</w:t>
      </w:r>
      <w:r>
        <w:tab/>
        <w:t xml:space="preserve">Regarding the witness statement by the </w:t>
      </w:r>
      <w:r w:rsidR="009863FF" w:rsidRPr="009863FF">
        <w:rPr>
          <w:bCs/>
          <w:iCs/>
        </w:rPr>
        <w:t>alleged victim</w:t>
      </w:r>
      <w:r>
        <w:t xml:space="preserve">’s sister, which she later retracted at trial, the author argues that the presence of a parent </w:t>
      </w:r>
      <w:r w:rsidR="008207C7">
        <w:t>does</w:t>
      </w:r>
      <w:r>
        <w:t xml:space="preserve"> not guarantee the same level of effective legal counsel as that of a qualified legal representative, which would have been critical for a key witness in a murder case. He further </w:t>
      </w:r>
      <w:r w:rsidR="00F41B53">
        <w:t xml:space="preserve">argues </w:t>
      </w:r>
      <w:r>
        <w:t xml:space="preserve">that the report of the Criminal Court indicates that </w:t>
      </w:r>
      <w:r w:rsidR="008207C7">
        <w:t>the witness’</w:t>
      </w:r>
      <w:r>
        <w:t xml:space="preserve"> father claimed at trial that it had come to his knowledge that his daughter was interrogated by the police also without his presence; and that he had read the statement taken after her interrogation, but not thoroughly and therefore did not know the full extent of what was written in that statement. In response to the State party’s information that the police statement was video recorded, the author reiterates his argument that while video-recordings of police interrogation enhance safeguards against torture or other ill-treatment, they do not fully remove the possibility that statements be made </w:t>
      </w:r>
      <w:proofErr w:type="gramStart"/>
      <w:r>
        <w:t xml:space="preserve">as </w:t>
      </w:r>
      <w:r w:rsidR="007943E9">
        <w:t xml:space="preserve">a </w:t>
      </w:r>
      <w:r>
        <w:t>result of</w:t>
      </w:r>
      <w:proofErr w:type="gramEnd"/>
      <w:r>
        <w:t xml:space="preserve"> coercion. He argues that the retraction of the statement at trial should have led to the exclusion of the statement from evidence. </w:t>
      </w:r>
      <w:r w:rsidRPr="00D45F3B">
        <w:t xml:space="preserve">He </w:t>
      </w:r>
      <w:r w:rsidR="004A480A" w:rsidRPr="00654F12">
        <w:t>stresses that</w:t>
      </w:r>
      <w:r w:rsidRPr="00D45F3B">
        <w:t xml:space="preserve"> with</w:t>
      </w:r>
      <w:r>
        <w:t xml:space="preserve"> the retraction of these two statements, the evidence against </w:t>
      </w:r>
      <w:r w:rsidR="0063086E">
        <w:t xml:space="preserve">the </w:t>
      </w:r>
      <w:r w:rsidR="0063086E" w:rsidRPr="0063086E">
        <w:rPr>
          <w:bCs/>
          <w:iCs/>
        </w:rPr>
        <w:t>alleged victim</w:t>
      </w:r>
      <w:r w:rsidR="0063086E">
        <w:t xml:space="preserve"> </w:t>
      </w:r>
      <w:r>
        <w:t>is constituted primarily by the statements of three other witnesses. Those facing the death penalty must be presumed innocent until their guilt has been proven based upon clear and convincing evidence leaving no room for an alternative explanation of the facts.</w:t>
      </w:r>
      <w:r>
        <w:rPr>
          <w:rStyle w:val="FootnoteReference"/>
        </w:rPr>
        <w:footnoteReference w:id="18"/>
      </w:r>
      <w:r>
        <w:t xml:space="preserve"> </w:t>
      </w:r>
    </w:p>
    <w:p w14:paraId="512F5D55" w14:textId="5399E259" w:rsidR="00F46995" w:rsidRDefault="009C18F4" w:rsidP="00F46995">
      <w:pPr>
        <w:pStyle w:val="SingleTxtG"/>
      </w:pPr>
      <w:r>
        <w:t>5.8</w:t>
      </w:r>
      <w:r>
        <w:tab/>
        <w:t>Regarding</w:t>
      </w:r>
      <w:r w:rsidR="00F46995">
        <w:t xml:space="preserve"> </w:t>
      </w:r>
      <w:r>
        <w:t>the claims raised under a</w:t>
      </w:r>
      <w:r w:rsidR="00F46995">
        <w:t>rticle 6</w:t>
      </w:r>
      <w:r>
        <w:t xml:space="preserve"> </w:t>
      </w:r>
      <w:r w:rsidR="00F46995">
        <w:t xml:space="preserve">(4) of the Covenant, the </w:t>
      </w:r>
      <w:r>
        <w:t xml:space="preserve">author </w:t>
      </w:r>
      <w:r w:rsidR="004A480A">
        <w:t>argues</w:t>
      </w:r>
      <w:r w:rsidR="0063086E">
        <w:t xml:space="preserve"> </w:t>
      </w:r>
      <w:r>
        <w:t xml:space="preserve">that the observations by the State party </w:t>
      </w:r>
      <w:r w:rsidR="00F46995">
        <w:t>makes it clear that Section</w:t>
      </w:r>
      <w:r w:rsidR="007943E9">
        <w:t>s</w:t>
      </w:r>
      <w:r w:rsidR="00F46995">
        <w:t xml:space="preserve"> 5 and 21 of the Clemency Act remain the applicable procedure in cases involving offences other than intentional murder; and that for intentional murder the authority of pardon rests with the family of the murder victim, </w:t>
      </w:r>
      <w:r w:rsidR="00E34AFC">
        <w:t>contrary to the Committee’s jurisprudence</w:t>
      </w:r>
      <w:r w:rsidRPr="009C18F4">
        <w:t>.</w:t>
      </w:r>
      <w:r>
        <w:rPr>
          <w:rStyle w:val="FootnoteReference"/>
        </w:rPr>
        <w:footnoteReference w:id="19"/>
      </w:r>
    </w:p>
    <w:p w14:paraId="533BB82D" w14:textId="09AD762D" w:rsidR="000F41AD" w:rsidRDefault="000F41AD" w:rsidP="000F41AD">
      <w:pPr>
        <w:pStyle w:val="SingleTxtG"/>
      </w:pPr>
      <w:r>
        <w:t>5.9</w:t>
      </w:r>
      <w:r>
        <w:tab/>
        <w:t xml:space="preserve">The author also </w:t>
      </w:r>
      <w:r w:rsidR="0063086E">
        <w:t xml:space="preserve">submits </w:t>
      </w:r>
      <w:r>
        <w:t>that of further</w:t>
      </w:r>
      <w:r w:rsidRPr="000F41AD">
        <w:t xml:space="preserve"> concern is the fact that under Regulation 2014/R-33 the punishment for intentional </w:t>
      </w:r>
      <w:r w:rsidR="00C668E3">
        <w:t>murder</w:t>
      </w:r>
      <w:r w:rsidRPr="000F41AD">
        <w:t xml:space="preserve"> is </w:t>
      </w:r>
      <w:r>
        <w:t>a</w:t>
      </w:r>
      <w:r w:rsidRPr="000F41AD">
        <w:t xml:space="preserve"> </w:t>
      </w:r>
      <w:r w:rsidRPr="000F41AD">
        <w:rPr>
          <w:bCs/>
        </w:rPr>
        <w:t>mandatory death penalty</w:t>
      </w:r>
      <w:r>
        <w:rPr>
          <w:bCs/>
        </w:rPr>
        <w:t xml:space="preserve"> sentence</w:t>
      </w:r>
      <w:r w:rsidRPr="000F41AD">
        <w:t xml:space="preserve">, which violates rights guaranteed under </w:t>
      </w:r>
      <w:r>
        <w:rPr>
          <w:bCs/>
        </w:rPr>
        <w:t>a</w:t>
      </w:r>
      <w:r w:rsidRPr="000F41AD">
        <w:rPr>
          <w:bCs/>
        </w:rPr>
        <w:t>rticles 6</w:t>
      </w:r>
      <w:r>
        <w:rPr>
          <w:bCs/>
        </w:rPr>
        <w:t xml:space="preserve"> </w:t>
      </w:r>
      <w:r w:rsidRPr="000F41AD">
        <w:rPr>
          <w:bCs/>
        </w:rPr>
        <w:t xml:space="preserve">(1), 7 and 26 </w:t>
      </w:r>
      <w:r w:rsidRPr="000F41AD">
        <w:t>of the Covenant. This is because the mandatory death penalty does not allow “any possibility of taking into account the defendant’s personal circumstances or the circumstances of the particular offence”.</w:t>
      </w:r>
      <w:r>
        <w:rPr>
          <w:rStyle w:val="FootnoteReference"/>
        </w:rPr>
        <w:footnoteReference w:id="20"/>
      </w:r>
      <w:r w:rsidRPr="000F41AD">
        <w:t xml:space="preserve"> </w:t>
      </w:r>
    </w:p>
    <w:p w14:paraId="5B9CBEEC" w14:textId="69355C8E" w:rsidR="00754115" w:rsidRPr="00754115" w:rsidRDefault="007711E9" w:rsidP="007711E9">
      <w:pPr>
        <w:pStyle w:val="H23G"/>
      </w:pPr>
      <w:r>
        <w:tab/>
      </w:r>
      <w:r>
        <w:tab/>
      </w:r>
      <w:r w:rsidR="00754115" w:rsidRPr="00754115">
        <w:t>State party’s further observations</w:t>
      </w:r>
    </w:p>
    <w:p w14:paraId="38E58176" w14:textId="54793082" w:rsidR="00B70869" w:rsidRDefault="00B63E1C" w:rsidP="00B70869">
      <w:pPr>
        <w:pStyle w:val="SingleTxtG"/>
        <w:rPr>
          <w:lang w:val="en-US"/>
        </w:rPr>
      </w:pPr>
      <w:r>
        <w:t>6.1</w:t>
      </w:r>
      <w:r>
        <w:tab/>
        <w:t xml:space="preserve">On 26 December 2022, the State party </w:t>
      </w:r>
      <w:r w:rsidR="00B70869" w:rsidRPr="00B70869">
        <w:rPr>
          <w:lang w:val="en-US"/>
        </w:rPr>
        <w:t>reiterate</w:t>
      </w:r>
      <w:r w:rsidR="005B23E9">
        <w:rPr>
          <w:lang w:val="en-US"/>
        </w:rPr>
        <w:t>d</w:t>
      </w:r>
      <w:r w:rsidR="00B70869" w:rsidRPr="00B70869">
        <w:rPr>
          <w:lang w:val="en-US"/>
        </w:rPr>
        <w:t xml:space="preserve"> </w:t>
      </w:r>
      <w:r w:rsidR="00B70869">
        <w:rPr>
          <w:lang w:val="en-US"/>
        </w:rPr>
        <w:t xml:space="preserve">its </w:t>
      </w:r>
      <w:r w:rsidR="005B23E9">
        <w:rPr>
          <w:lang w:val="en-US"/>
        </w:rPr>
        <w:t xml:space="preserve">previous </w:t>
      </w:r>
      <w:r w:rsidR="00B70869">
        <w:rPr>
          <w:lang w:val="en-US"/>
        </w:rPr>
        <w:t xml:space="preserve">submission </w:t>
      </w:r>
      <w:r w:rsidR="005B23E9">
        <w:rPr>
          <w:lang w:val="en-US"/>
        </w:rPr>
        <w:t>about guarantees offered to the alleged victim</w:t>
      </w:r>
      <w:r w:rsidR="00B70869" w:rsidRPr="00B70869">
        <w:rPr>
          <w:lang w:val="en-US"/>
        </w:rPr>
        <w:t xml:space="preserve">. </w:t>
      </w:r>
    </w:p>
    <w:p w14:paraId="54EEF2C5" w14:textId="4160D740" w:rsidR="00177AB9" w:rsidRDefault="00B70869" w:rsidP="00177AB9">
      <w:pPr>
        <w:pStyle w:val="SingleTxtG"/>
        <w:rPr>
          <w:lang w:val="en-US"/>
        </w:rPr>
      </w:pPr>
      <w:r>
        <w:rPr>
          <w:lang w:val="en-US"/>
        </w:rPr>
        <w:t>6.2</w:t>
      </w:r>
      <w:r>
        <w:rPr>
          <w:lang w:val="en-US"/>
        </w:rPr>
        <w:tab/>
        <w:t>The State party notes the author’s claims under a</w:t>
      </w:r>
      <w:r w:rsidRPr="00B70869">
        <w:rPr>
          <w:lang w:val="en-US"/>
        </w:rPr>
        <w:t>rticles 6</w:t>
      </w:r>
      <w:r>
        <w:rPr>
          <w:lang w:val="en-US"/>
        </w:rPr>
        <w:t xml:space="preserve"> </w:t>
      </w:r>
      <w:r w:rsidRPr="00B70869">
        <w:rPr>
          <w:lang w:val="en-US"/>
        </w:rPr>
        <w:t>(1), 6</w:t>
      </w:r>
      <w:r>
        <w:rPr>
          <w:lang w:val="en-US"/>
        </w:rPr>
        <w:t xml:space="preserve"> </w:t>
      </w:r>
      <w:r w:rsidRPr="00B70869">
        <w:rPr>
          <w:lang w:val="en-US"/>
        </w:rPr>
        <w:t>(4), 6</w:t>
      </w:r>
      <w:r>
        <w:rPr>
          <w:lang w:val="en-US"/>
        </w:rPr>
        <w:t xml:space="preserve"> </w:t>
      </w:r>
      <w:r w:rsidRPr="00B70869">
        <w:rPr>
          <w:lang w:val="en-US"/>
        </w:rPr>
        <w:t>(6) and 7 of the Covenant</w:t>
      </w:r>
      <w:r>
        <w:rPr>
          <w:lang w:val="en-US"/>
        </w:rPr>
        <w:t xml:space="preserve"> and it</w:t>
      </w:r>
      <w:r w:rsidRPr="00B70869">
        <w:rPr>
          <w:lang w:val="en-US"/>
        </w:rPr>
        <w:t xml:space="preserve"> reiterates </w:t>
      </w:r>
      <w:r>
        <w:rPr>
          <w:lang w:val="en-US"/>
        </w:rPr>
        <w:t xml:space="preserve">its submission </w:t>
      </w:r>
      <w:r w:rsidRPr="00B70869">
        <w:rPr>
          <w:lang w:val="en-US"/>
        </w:rPr>
        <w:t xml:space="preserve">that the legislation and regulations of the </w:t>
      </w:r>
      <w:r>
        <w:rPr>
          <w:lang w:val="en-US"/>
        </w:rPr>
        <w:t xml:space="preserve">State party </w:t>
      </w:r>
      <w:r w:rsidRPr="00B70869">
        <w:rPr>
          <w:lang w:val="en-US"/>
        </w:rPr>
        <w:t xml:space="preserve">adheres to </w:t>
      </w:r>
      <w:r>
        <w:rPr>
          <w:lang w:val="en-US"/>
        </w:rPr>
        <w:t>its</w:t>
      </w:r>
      <w:r w:rsidRPr="00B70869">
        <w:rPr>
          <w:lang w:val="en-US"/>
        </w:rPr>
        <w:t xml:space="preserve"> obligations </w:t>
      </w:r>
      <w:r>
        <w:rPr>
          <w:lang w:val="en-US"/>
        </w:rPr>
        <w:t>under</w:t>
      </w:r>
      <w:r w:rsidRPr="00B70869">
        <w:rPr>
          <w:lang w:val="en-US"/>
        </w:rPr>
        <w:t xml:space="preserve"> the Covenant</w:t>
      </w:r>
      <w:r w:rsidR="007943E9">
        <w:rPr>
          <w:lang w:val="en-US"/>
        </w:rPr>
        <w:t>,</w:t>
      </w:r>
      <w:r w:rsidRPr="00B70869">
        <w:rPr>
          <w:lang w:val="en-US"/>
        </w:rPr>
        <w:t xml:space="preserve"> ensuring that the i</w:t>
      </w:r>
      <w:r>
        <w:rPr>
          <w:lang w:val="en-US"/>
        </w:rPr>
        <w:t>mposition</w:t>
      </w:r>
      <w:r w:rsidRPr="00B70869">
        <w:rPr>
          <w:lang w:val="en-US"/>
        </w:rPr>
        <w:t xml:space="preserve"> of </w:t>
      </w:r>
      <w:r>
        <w:rPr>
          <w:lang w:val="en-US"/>
        </w:rPr>
        <w:t xml:space="preserve">the </w:t>
      </w:r>
      <w:r w:rsidRPr="00B70869">
        <w:rPr>
          <w:lang w:val="en-US"/>
        </w:rPr>
        <w:t>death penalty is not arbitrary in nature.</w:t>
      </w:r>
      <w:r>
        <w:rPr>
          <w:lang w:val="en-US"/>
        </w:rPr>
        <w:t xml:space="preserve"> It </w:t>
      </w:r>
      <w:r w:rsidRPr="00B70869">
        <w:rPr>
          <w:lang w:val="en-US"/>
        </w:rPr>
        <w:t xml:space="preserve">reaffirms </w:t>
      </w:r>
      <w:r>
        <w:rPr>
          <w:lang w:val="en-US"/>
        </w:rPr>
        <w:t>its</w:t>
      </w:r>
      <w:r w:rsidRPr="00B70869">
        <w:rPr>
          <w:lang w:val="en-US"/>
        </w:rPr>
        <w:t xml:space="preserve"> position on the informal moratorium on</w:t>
      </w:r>
      <w:r>
        <w:rPr>
          <w:lang w:val="en-US"/>
        </w:rPr>
        <w:t xml:space="preserve"> the</w:t>
      </w:r>
      <w:r w:rsidRPr="00B70869">
        <w:rPr>
          <w:lang w:val="en-US"/>
        </w:rPr>
        <w:t xml:space="preserve"> </w:t>
      </w:r>
      <w:r w:rsidRPr="00B70869">
        <w:rPr>
          <w:lang w:val="en-US"/>
        </w:rPr>
        <w:lastRenderedPageBreak/>
        <w:t>death penalty</w:t>
      </w:r>
      <w:r w:rsidR="007943E9">
        <w:rPr>
          <w:lang w:val="en-US"/>
        </w:rPr>
        <w:t>,</w:t>
      </w:r>
      <w:r w:rsidR="00B37BA1">
        <w:rPr>
          <w:lang w:val="en-US"/>
        </w:rPr>
        <w:t xml:space="preserve"> </w:t>
      </w:r>
      <w:r w:rsidR="00C668E3">
        <w:rPr>
          <w:lang w:val="en-US"/>
        </w:rPr>
        <w:t>but</w:t>
      </w:r>
      <w:r w:rsidR="00B37BA1">
        <w:rPr>
          <w:lang w:val="en-US"/>
        </w:rPr>
        <w:t xml:space="preserve"> however states that the abolishment</w:t>
      </w:r>
      <w:r w:rsidR="00B37BA1" w:rsidRPr="00B37BA1">
        <w:t xml:space="preserve"> of </w:t>
      </w:r>
      <w:r w:rsidR="00B37BA1">
        <w:t xml:space="preserve">the </w:t>
      </w:r>
      <w:r w:rsidR="00B37BA1" w:rsidRPr="00B37BA1">
        <w:t xml:space="preserve">death </w:t>
      </w:r>
      <w:r w:rsidR="00B37BA1">
        <w:t>penalty would</w:t>
      </w:r>
      <w:r w:rsidR="00B37BA1" w:rsidRPr="00B37BA1">
        <w:t xml:space="preserve"> be in contradiction with the Constitution and principles of Islamic Shariah</w:t>
      </w:r>
      <w:r w:rsidR="00B37BA1">
        <w:t xml:space="preserve">. </w:t>
      </w:r>
      <w:r w:rsidR="00177AB9">
        <w:rPr>
          <w:lang w:val="en-US"/>
        </w:rPr>
        <w:t xml:space="preserve">The State party further </w:t>
      </w:r>
      <w:r w:rsidR="00D66F27">
        <w:rPr>
          <w:lang w:val="en-US"/>
        </w:rPr>
        <w:t>argues</w:t>
      </w:r>
      <w:r w:rsidR="00177AB9">
        <w:rPr>
          <w:lang w:val="en-US"/>
        </w:rPr>
        <w:t xml:space="preserve"> that </w:t>
      </w:r>
      <w:r w:rsidR="00177AB9" w:rsidRPr="00177AB9">
        <w:rPr>
          <w:lang w:val="en-US"/>
        </w:rPr>
        <w:t xml:space="preserve">with the enactment of Law Number 11/2022 (Evidence Act), the current procedure for cases involving </w:t>
      </w:r>
      <w:r w:rsidR="00177AB9">
        <w:rPr>
          <w:lang w:val="en-US"/>
        </w:rPr>
        <w:t xml:space="preserve">the </w:t>
      </w:r>
      <w:r w:rsidR="00177AB9" w:rsidRPr="00177AB9">
        <w:rPr>
          <w:lang w:val="en-US"/>
        </w:rPr>
        <w:t xml:space="preserve">death penalty </w:t>
      </w:r>
      <w:r w:rsidR="00177AB9">
        <w:rPr>
          <w:lang w:val="en-US"/>
        </w:rPr>
        <w:t xml:space="preserve">have been </w:t>
      </w:r>
      <w:r w:rsidR="00177AB9" w:rsidRPr="00177AB9">
        <w:rPr>
          <w:lang w:val="en-US"/>
        </w:rPr>
        <w:t xml:space="preserve">made more stringent. To that end, in accordance with </w:t>
      </w:r>
      <w:r w:rsidR="00177AB9">
        <w:rPr>
          <w:lang w:val="en-US"/>
        </w:rPr>
        <w:t>a</w:t>
      </w:r>
      <w:r w:rsidR="00177AB9" w:rsidRPr="00177AB9">
        <w:rPr>
          <w:lang w:val="en-US"/>
        </w:rPr>
        <w:t>rticle 140</w:t>
      </w:r>
      <w:r w:rsidR="00177AB9">
        <w:rPr>
          <w:lang w:val="en-US"/>
        </w:rPr>
        <w:t xml:space="preserve"> </w:t>
      </w:r>
      <w:r w:rsidR="00177AB9" w:rsidRPr="00177AB9">
        <w:rPr>
          <w:lang w:val="en-US"/>
        </w:rPr>
        <w:t xml:space="preserve">(a) of </w:t>
      </w:r>
      <w:r w:rsidR="00177AB9">
        <w:rPr>
          <w:lang w:val="en-US"/>
        </w:rPr>
        <w:t xml:space="preserve">the </w:t>
      </w:r>
      <w:r w:rsidR="00177AB9" w:rsidRPr="00177AB9">
        <w:rPr>
          <w:lang w:val="en-US"/>
        </w:rPr>
        <w:t xml:space="preserve">Act, </w:t>
      </w:r>
      <w:proofErr w:type="gramStart"/>
      <w:r w:rsidR="00177AB9" w:rsidRPr="00177AB9">
        <w:rPr>
          <w:lang w:val="en-US"/>
        </w:rPr>
        <w:t>in order to</w:t>
      </w:r>
      <w:proofErr w:type="gramEnd"/>
      <w:r w:rsidR="00177AB9" w:rsidRPr="00177AB9">
        <w:rPr>
          <w:lang w:val="en-US"/>
        </w:rPr>
        <w:t xml:space="preserve"> convict a</w:t>
      </w:r>
      <w:r w:rsidR="00177AB9">
        <w:rPr>
          <w:lang w:val="en-US"/>
        </w:rPr>
        <w:t xml:space="preserve">nd impose the death penalty on a defendant </w:t>
      </w:r>
      <w:r w:rsidR="00177AB9" w:rsidRPr="00177AB9">
        <w:rPr>
          <w:lang w:val="en-US"/>
        </w:rPr>
        <w:t xml:space="preserve">guilt must be established </w:t>
      </w:r>
      <w:r w:rsidR="00177AB9">
        <w:rPr>
          <w:lang w:val="en-US"/>
        </w:rPr>
        <w:t>“</w:t>
      </w:r>
      <w:r w:rsidR="00177AB9" w:rsidRPr="00177AB9">
        <w:rPr>
          <w:lang w:val="en-US"/>
        </w:rPr>
        <w:t>beyond any doubt</w:t>
      </w:r>
      <w:r w:rsidR="00177AB9">
        <w:rPr>
          <w:lang w:val="en-US"/>
        </w:rPr>
        <w:t>”</w:t>
      </w:r>
      <w:r w:rsidR="00177AB9" w:rsidRPr="00177AB9">
        <w:rPr>
          <w:lang w:val="en-US"/>
        </w:rPr>
        <w:t xml:space="preserve">. Further, in accordance with </w:t>
      </w:r>
      <w:r w:rsidR="00177AB9">
        <w:rPr>
          <w:lang w:val="en-US"/>
        </w:rPr>
        <w:t>a</w:t>
      </w:r>
      <w:r w:rsidR="00177AB9" w:rsidRPr="00177AB9">
        <w:rPr>
          <w:lang w:val="en-US"/>
        </w:rPr>
        <w:t>rticle 140</w:t>
      </w:r>
      <w:r w:rsidR="00177AB9">
        <w:rPr>
          <w:lang w:val="en-US"/>
        </w:rPr>
        <w:t xml:space="preserve"> </w:t>
      </w:r>
      <w:r w:rsidR="00177AB9" w:rsidRPr="00177AB9">
        <w:rPr>
          <w:lang w:val="en-US"/>
        </w:rPr>
        <w:t xml:space="preserve">(c) of </w:t>
      </w:r>
      <w:r w:rsidR="00177AB9">
        <w:rPr>
          <w:lang w:val="en-US"/>
        </w:rPr>
        <w:t>the</w:t>
      </w:r>
      <w:r w:rsidR="00177AB9" w:rsidRPr="00177AB9">
        <w:rPr>
          <w:lang w:val="en-US"/>
        </w:rPr>
        <w:t xml:space="preserve"> Act </w:t>
      </w:r>
      <w:r w:rsidR="00177AB9">
        <w:rPr>
          <w:lang w:val="en-US"/>
        </w:rPr>
        <w:t>the offence</w:t>
      </w:r>
      <w:r w:rsidR="00177AB9" w:rsidRPr="00177AB9">
        <w:rPr>
          <w:lang w:val="en-US"/>
        </w:rPr>
        <w:t xml:space="preserve"> must be proven by the testimony of two male eyewitnesses or by </w:t>
      </w:r>
      <w:r w:rsidR="00177AB9">
        <w:rPr>
          <w:lang w:val="en-US"/>
        </w:rPr>
        <w:t>a confession</w:t>
      </w:r>
      <w:r w:rsidR="00177AB9" w:rsidRPr="00177AB9">
        <w:rPr>
          <w:lang w:val="en-US"/>
        </w:rPr>
        <w:t xml:space="preserve">. </w:t>
      </w:r>
    </w:p>
    <w:p w14:paraId="5805BCB0" w14:textId="4846DA1F" w:rsidR="00177AB9" w:rsidRPr="00B70869" w:rsidRDefault="00B511F7" w:rsidP="00B70869">
      <w:pPr>
        <w:pStyle w:val="SingleTxtG"/>
        <w:rPr>
          <w:lang w:val="en-US"/>
        </w:rPr>
      </w:pPr>
      <w:r>
        <w:rPr>
          <w:lang w:val="en-US"/>
        </w:rPr>
        <w:t>6.3</w:t>
      </w:r>
      <w:r>
        <w:rPr>
          <w:lang w:val="en-US"/>
        </w:rPr>
        <w:tab/>
        <w:t xml:space="preserve">Regarding articles 7 and 14 of the Covenant, the State party reiterates its submission that the </w:t>
      </w:r>
      <w:r w:rsidR="00C401D8" w:rsidRPr="00C401D8">
        <w:rPr>
          <w:bCs/>
          <w:iCs/>
        </w:rPr>
        <w:t>alleged victim</w:t>
      </w:r>
      <w:r>
        <w:rPr>
          <w:lang w:val="en-US"/>
        </w:rPr>
        <w:t xml:space="preserve"> </w:t>
      </w:r>
      <w:r w:rsidRPr="00B511F7">
        <w:rPr>
          <w:lang w:val="en-US"/>
        </w:rPr>
        <w:t xml:space="preserve">was afforded the right to legal representation in accordance with </w:t>
      </w:r>
      <w:r>
        <w:rPr>
          <w:lang w:val="en-US"/>
        </w:rPr>
        <w:t xml:space="preserve">the provisions of the </w:t>
      </w:r>
      <w:r w:rsidRPr="00B511F7">
        <w:rPr>
          <w:lang w:val="en-US"/>
        </w:rPr>
        <w:t>Criminal Procedure Code.</w:t>
      </w:r>
      <w:r w:rsidR="00D40B06">
        <w:rPr>
          <w:lang w:val="en-US"/>
        </w:rPr>
        <w:t xml:space="preserve"> The State party </w:t>
      </w:r>
      <w:r w:rsidR="00C401D8">
        <w:rPr>
          <w:lang w:val="en-US"/>
        </w:rPr>
        <w:t xml:space="preserve">argues </w:t>
      </w:r>
      <w:r w:rsidR="00D40B06">
        <w:rPr>
          <w:lang w:val="en-US"/>
        </w:rPr>
        <w:t xml:space="preserve">that </w:t>
      </w:r>
      <w:r w:rsidR="00D40B06" w:rsidRPr="00D40B06">
        <w:rPr>
          <w:lang w:val="en-US"/>
        </w:rPr>
        <w:t>throughout the hearing conducted in</w:t>
      </w:r>
      <w:r w:rsidR="00D40B06">
        <w:rPr>
          <w:lang w:val="en-US"/>
        </w:rPr>
        <w:t xml:space="preserve"> the</w:t>
      </w:r>
      <w:r w:rsidR="00D40B06" w:rsidRPr="00D40B06">
        <w:rPr>
          <w:lang w:val="en-US"/>
        </w:rPr>
        <w:t xml:space="preserve"> Criminal Court, </w:t>
      </w:r>
      <w:r w:rsidR="004A480A">
        <w:rPr>
          <w:lang w:val="en-US"/>
        </w:rPr>
        <w:t>he</w:t>
      </w:r>
      <w:r w:rsidR="00D40B06">
        <w:rPr>
          <w:lang w:val="en-US"/>
        </w:rPr>
        <w:t xml:space="preserve"> did not retract</w:t>
      </w:r>
      <w:r w:rsidR="00D40B06" w:rsidRPr="00D40B06">
        <w:rPr>
          <w:lang w:val="en-US"/>
        </w:rPr>
        <w:t xml:space="preserve"> his confession for physical assault. </w:t>
      </w:r>
      <w:r w:rsidR="00D40B06">
        <w:rPr>
          <w:lang w:val="en-US"/>
        </w:rPr>
        <w:t xml:space="preserve">It notes the argument that </w:t>
      </w:r>
      <w:r w:rsidR="004A480A">
        <w:rPr>
          <w:lang w:val="en-US"/>
        </w:rPr>
        <w:t>the alleged</w:t>
      </w:r>
      <w:r w:rsidR="00C401D8" w:rsidRPr="00C401D8">
        <w:rPr>
          <w:bCs/>
          <w:iCs/>
        </w:rPr>
        <w:t xml:space="preserve"> victim</w:t>
      </w:r>
      <w:r w:rsidR="00C401D8">
        <w:rPr>
          <w:bCs/>
          <w:iCs/>
        </w:rPr>
        <w:t xml:space="preserve">’s </w:t>
      </w:r>
      <w:r w:rsidR="00D40B06">
        <w:rPr>
          <w:lang w:val="en-US"/>
        </w:rPr>
        <w:t xml:space="preserve">previous counsel’s statement </w:t>
      </w:r>
      <w:r w:rsidR="008E21CE">
        <w:rPr>
          <w:lang w:val="en-US"/>
        </w:rPr>
        <w:t>was</w:t>
      </w:r>
      <w:r w:rsidR="00D40B06">
        <w:rPr>
          <w:lang w:val="en-US"/>
        </w:rPr>
        <w:t xml:space="preserve"> attributed to </w:t>
      </w:r>
      <w:r w:rsidR="00834600">
        <w:rPr>
          <w:lang w:val="en-US"/>
        </w:rPr>
        <w:t>him but</w:t>
      </w:r>
      <w:r w:rsidR="00D40B06">
        <w:rPr>
          <w:lang w:val="en-US"/>
        </w:rPr>
        <w:t xml:space="preserve"> argues that said statement was “</w:t>
      </w:r>
      <w:r w:rsidR="00D40B06" w:rsidRPr="00D40B06">
        <w:rPr>
          <w:lang w:val="en-US"/>
        </w:rPr>
        <w:t>deemed as a valid confession</w:t>
      </w:r>
      <w:r w:rsidR="00D40B06">
        <w:rPr>
          <w:lang w:val="en-US"/>
        </w:rPr>
        <w:t>”</w:t>
      </w:r>
      <w:r w:rsidR="00D40B06" w:rsidRPr="00D40B06">
        <w:rPr>
          <w:lang w:val="en-US"/>
        </w:rPr>
        <w:t xml:space="preserve"> as there was no retraction by either the </w:t>
      </w:r>
      <w:r w:rsidR="00C401D8" w:rsidRPr="00C401D8">
        <w:rPr>
          <w:bCs/>
          <w:iCs/>
        </w:rPr>
        <w:t>alleged victim</w:t>
      </w:r>
      <w:r w:rsidR="00D40B06" w:rsidRPr="00D40B06">
        <w:rPr>
          <w:lang w:val="en-US"/>
        </w:rPr>
        <w:t xml:space="preserve">or </w:t>
      </w:r>
      <w:r w:rsidR="00834600">
        <w:rPr>
          <w:lang w:val="en-US"/>
        </w:rPr>
        <w:t>his</w:t>
      </w:r>
      <w:r w:rsidR="00D40B06" w:rsidRPr="00D40B06">
        <w:rPr>
          <w:lang w:val="en-US"/>
        </w:rPr>
        <w:t xml:space="preserve"> </w:t>
      </w:r>
      <w:r w:rsidR="00674D22">
        <w:rPr>
          <w:lang w:val="en-US"/>
        </w:rPr>
        <w:t>second counsel</w:t>
      </w:r>
      <w:r w:rsidR="00D40B06" w:rsidRPr="00D40B06">
        <w:rPr>
          <w:lang w:val="en-US"/>
        </w:rPr>
        <w:t xml:space="preserve"> </w:t>
      </w:r>
      <w:proofErr w:type="gramStart"/>
      <w:r w:rsidR="00D40B06" w:rsidRPr="00D40B06">
        <w:rPr>
          <w:lang w:val="en-US"/>
        </w:rPr>
        <w:t>during the course of</w:t>
      </w:r>
      <w:proofErr w:type="gramEnd"/>
      <w:r w:rsidR="00D40B06" w:rsidRPr="00D40B06">
        <w:rPr>
          <w:lang w:val="en-US"/>
        </w:rPr>
        <w:t xml:space="preserve"> the trial.</w:t>
      </w:r>
      <w:r w:rsidR="008E21CE" w:rsidRPr="008E21CE">
        <w:t xml:space="preserve"> </w:t>
      </w:r>
      <w:r w:rsidR="008E21CE">
        <w:rPr>
          <w:lang w:val="en-US"/>
        </w:rPr>
        <w:t xml:space="preserve">Regarding the claim that </w:t>
      </w:r>
      <w:r w:rsidR="00C401D8">
        <w:rPr>
          <w:lang w:val="en-US"/>
        </w:rPr>
        <w:t>t</w:t>
      </w:r>
      <w:r w:rsidR="008E21CE">
        <w:rPr>
          <w:lang w:val="en-US"/>
        </w:rPr>
        <w:t xml:space="preserve">he </w:t>
      </w:r>
      <w:r w:rsidR="00C401D8" w:rsidRPr="00C401D8">
        <w:rPr>
          <w:bCs/>
          <w:iCs/>
        </w:rPr>
        <w:t>alleged victim</w:t>
      </w:r>
      <w:r w:rsidR="00C401D8">
        <w:rPr>
          <w:bCs/>
          <w:iCs/>
        </w:rPr>
        <w:t xml:space="preserve"> </w:t>
      </w:r>
      <w:r w:rsidR="008E21CE">
        <w:rPr>
          <w:lang w:val="en-US"/>
        </w:rPr>
        <w:t>was not afforded</w:t>
      </w:r>
      <w:r w:rsidR="008E21CE" w:rsidRPr="008E21CE">
        <w:rPr>
          <w:lang w:val="en-US"/>
        </w:rPr>
        <w:t xml:space="preserve"> adequate time for the preparation </w:t>
      </w:r>
      <w:r w:rsidR="008E21CE">
        <w:rPr>
          <w:lang w:val="en-US"/>
        </w:rPr>
        <w:t>of his defense</w:t>
      </w:r>
      <w:r w:rsidR="008E21CE" w:rsidRPr="008E21CE">
        <w:rPr>
          <w:lang w:val="en-US"/>
        </w:rPr>
        <w:t xml:space="preserve">, </w:t>
      </w:r>
      <w:r w:rsidR="00C668E3">
        <w:rPr>
          <w:lang w:val="en-US"/>
        </w:rPr>
        <w:t>the State party</w:t>
      </w:r>
      <w:r w:rsidR="008E21CE">
        <w:rPr>
          <w:lang w:val="en-US"/>
        </w:rPr>
        <w:t xml:space="preserve"> </w:t>
      </w:r>
      <w:r w:rsidR="00C401D8">
        <w:rPr>
          <w:lang w:val="en-US"/>
        </w:rPr>
        <w:t xml:space="preserve">argues </w:t>
      </w:r>
      <w:r w:rsidR="008E21CE">
        <w:rPr>
          <w:lang w:val="en-US"/>
        </w:rPr>
        <w:t xml:space="preserve">that </w:t>
      </w:r>
      <w:r w:rsidR="00834600">
        <w:rPr>
          <w:lang w:val="en-US"/>
        </w:rPr>
        <w:t xml:space="preserve">neither </w:t>
      </w:r>
      <w:r w:rsidR="004A480A">
        <w:rPr>
          <w:lang w:val="en-US"/>
        </w:rPr>
        <w:t>he</w:t>
      </w:r>
      <w:r w:rsidR="00834600">
        <w:rPr>
          <w:lang w:val="en-US"/>
        </w:rPr>
        <w:t xml:space="preserve"> nor his</w:t>
      </w:r>
      <w:r w:rsidR="008E21CE">
        <w:rPr>
          <w:lang w:val="en-US"/>
        </w:rPr>
        <w:t xml:space="preserve"> counsel</w:t>
      </w:r>
      <w:r w:rsidR="008E21CE" w:rsidRPr="008E21CE">
        <w:rPr>
          <w:lang w:val="en-US"/>
        </w:rPr>
        <w:t xml:space="preserve"> submit</w:t>
      </w:r>
      <w:r w:rsidR="00834600">
        <w:rPr>
          <w:lang w:val="en-US"/>
        </w:rPr>
        <w:t>ted</w:t>
      </w:r>
      <w:r w:rsidR="008E21CE" w:rsidRPr="008E21CE">
        <w:rPr>
          <w:lang w:val="en-US"/>
        </w:rPr>
        <w:t xml:space="preserve"> any complaints about the</w:t>
      </w:r>
      <w:r w:rsidR="008E21CE">
        <w:rPr>
          <w:lang w:val="en-US"/>
        </w:rPr>
        <w:t xml:space="preserve"> alleged</w:t>
      </w:r>
      <w:r w:rsidR="008E21CE" w:rsidRPr="008E21CE">
        <w:rPr>
          <w:lang w:val="en-US"/>
        </w:rPr>
        <w:t xml:space="preserve"> inadequacy of time to prepare the defense. </w:t>
      </w:r>
      <w:r w:rsidR="008E21CE">
        <w:rPr>
          <w:lang w:val="en-US"/>
        </w:rPr>
        <w:t>It notes</w:t>
      </w:r>
      <w:r w:rsidR="008E21CE" w:rsidRPr="008E21CE">
        <w:rPr>
          <w:lang w:val="en-US"/>
        </w:rPr>
        <w:t xml:space="preserve"> that an extension of time </w:t>
      </w:r>
      <w:r w:rsidR="00C668E3">
        <w:rPr>
          <w:lang w:val="en-US"/>
        </w:rPr>
        <w:t>is</w:t>
      </w:r>
      <w:r w:rsidR="008E21CE" w:rsidRPr="008E21CE">
        <w:rPr>
          <w:lang w:val="en-US"/>
        </w:rPr>
        <w:t xml:space="preserve"> granted on a case by case by basis </w:t>
      </w:r>
      <w:r w:rsidR="008E21CE">
        <w:rPr>
          <w:lang w:val="en-US"/>
        </w:rPr>
        <w:t>if</w:t>
      </w:r>
      <w:r w:rsidR="008E21CE" w:rsidRPr="008E21CE">
        <w:rPr>
          <w:lang w:val="en-US"/>
        </w:rPr>
        <w:t xml:space="preserve"> reasonable grounds to that end</w:t>
      </w:r>
      <w:r w:rsidR="008E21CE">
        <w:rPr>
          <w:lang w:val="en-US"/>
        </w:rPr>
        <w:t xml:space="preserve"> are presented by a defendant or his or her counsel</w:t>
      </w:r>
      <w:r w:rsidR="008E21CE" w:rsidRPr="008E21CE">
        <w:rPr>
          <w:lang w:val="en-US"/>
        </w:rPr>
        <w:t xml:space="preserve">.  </w:t>
      </w:r>
    </w:p>
    <w:p w14:paraId="19CAC414" w14:textId="7D7BA9A2" w:rsidR="000F41AD" w:rsidRDefault="00754115" w:rsidP="00CD3A1A">
      <w:pPr>
        <w:pStyle w:val="H23G"/>
        <w:ind w:left="0" w:firstLine="0"/>
      </w:pPr>
      <w:r>
        <w:tab/>
      </w:r>
      <w:r>
        <w:tab/>
        <w:t>Author’s further comments</w:t>
      </w:r>
    </w:p>
    <w:p w14:paraId="187FBC5C" w14:textId="65C694F0" w:rsidR="001926E3" w:rsidRDefault="002862D4" w:rsidP="007711E9">
      <w:pPr>
        <w:pStyle w:val="SingleTxtG"/>
      </w:pPr>
      <w:r>
        <w:tab/>
        <w:t>7.1</w:t>
      </w:r>
      <w:r>
        <w:tab/>
      </w:r>
      <w:r w:rsidR="005B23E9">
        <w:t xml:space="preserve">In its </w:t>
      </w:r>
      <w:r>
        <w:t>3 April 2023</w:t>
      </w:r>
      <w:r w:rsidR="005B23E9">
        <w:t xml:space="preserve"> submission</w:t>
      </w:r>
      <w:r>
        <w:t xml:space="preserve">, the author </w:t>
      </w:r>
      <w:r w:rsidR="001926E3" w:rsidRPr="001926E3">
        <w:t>emphasize</w:t>
      </w:r>
      <w:r w:rsidR="005B23E9">
        <w:t>s</w:t>
      </w:r>
      <w:r w:rsidR="001926E3" w:rsidRPr="001926E3">
        <w:t xml:space="preserve"> the need for the Committee to request the commutation of </w:t>
      </w:r>
      <w:r w:rsidR="00D772D8">
        <w:t xml:space="preserve">the </w:t>
      </w:r>
      <w:r w:rsidR="00D772D8" w:rsidRPr="00D772D8">
        <w:rPr>
          <w:bCs/>
          <w:iCs/>
        </w:rPr>
        <w:t>alleged victim</w:t>
      </w:r>
      <w:r w:rsidR="00D772D8">
        <w:rPr>
          <w:bCs/>
          <w:iCs/>
        </w:rPr>
        <w:t xml:space="preserve">’s </w:t>
      </w:r>
      <w:r w:rsidR="001926E3" w:rsidRPr="001926E3">
        <w:t xml:space="preserve">sentence, as </w:t>
      </w:r>
      <w:r w:rsidR="001926E3">
        <w:t>the State party’s</w:t>
      </w:r>
      <w:r w:rsidR="001926E3" w:rsidRPr="001926E3">
        <w:t xml:space="preserve"> </w:t>
      </w:r>
      <w:r w:rsidR="001926E3">
        <w:t>observations</w:t>
      </w:r>
      <w:r w:rsidR="001926E3" w:rsidRPr="001926E3">
        <w:t xml:space="preserve"> provide no assurances that the execution might not be carried out. </w:t>
      </w:r>
      <w:r w:rsidR="001926E3">
        <w:t xml:space="preserve">He reiterates </w:t>
      </w:r>
      <w:r w:rsidR="001926E3" w:rsidRPr="001926E3">
        <w:t>that non-binding policies on moratorium on executions are volatile</w:t>
      </w:r>
      <w:r w:rsidR="001926E3">
        <w:t xml:space="preserve"> and argues that the position of the State party highlights the informality of the </w:t>
      </w:r>
      <w:r w:rsidR="00D772D8">
        <w:t>position and</w:t>
      </w:r>
      <w:r w:rsidR="001926E3">
        <w:t xml:space="preserve"> fails </w:t>
      </w:r>
      <w:r w:rsidR="00C668E3">
        <w:t xml:space="preserve">to </w:t>
      </w:r>
      <w:proofErr w:type="gramStart"/>
      <w:r w:rsidR="00C668E3">
        <w:t>take</w:t>
      </w:r>
      <w:r w:rsidR="001926E3">
        <w:t xml:space="preserve"> into account</w:t>
      </w:r>
      <w:proofErr w:type="gramEnd"/>
      <w:r w:rsidR="001926E3">
        <w:t xml:space="preserve"> the fact that in 2016 and 2017 the then government made repeated public announcements indicating that executions would resume. </w:t>
      </w:r>
      <w:r w:rsidR="00C668E3">
        <w:t>He argues that</w:t>
      </w:r>
      <w:r w:rsidR="001926E3">
        <w:t xml:space="preserve"> the observations by the State party offer no information on the modalities that guide or inform the decision-making on the informal moratorium policy, nor on how it is being enforced across state institutions. He argues that without this information, the policy appears to be entirely discretionary and informal and therefore continuously at risk of being reverted, including </w:t>
      </w:r>
      <w:r w:rsidR="005B23E9">
        <w:t>because of</w:t>
      </w:r>
      <w:r w:rsidR="001926E3">
        <w:t xml:space="preserve"> changes in government.</w:t>
      </w:r>
    </w:p>
    <w:p w14:paraId="58B3879C" w14:textId="5B4874B4" w:rsidR="00C04B90" w:rsidRDefault="001926E3" w:rsidP="007711E9">
      <w:pPr>
        <w:pStyle w:val="SingleTxtG"/>
      </w:pPr>
      <w:r>
        <w:t>7.2</w:t>
      </w:r>
      <w:r>
        <w:tab/>
        <w:t xml:space="preserve">The author </w:t>
      </w:r>
      <w:r w:rsidR="00F234BF">
        <w:t xml:space="preserve">challenges </w:t>
      </w:r>
      <w:r>
        <w:t xml:space="preserve">the State party’s submission that with the enactment of Law Number 11/2022, the procedure for cases involving </w:t>
      </w:r>
      <w:r w:rsidR="00C668E3">
        <w:t xml:space="preserve">the </w:t>
      </w:r>
      <w:r>
        <w:t>death penalty ha</w:t>
      </w:r>
      <w:r w:rsidR="00C668E3">
        <w:t>s</w:t>
      </w:r>
      <w:r>
        <w:t xml:space="preserve"> been made more stringent.  </w:t>
      </w:r>
      <w:r w:rsidR="00F234BF">
        <w:t>T</w:t>
      </w:r>
      <w:r>
        <w:t xml:space="preserve">he proceedings against </w:t>
      </w:r>
      <w:r w:rsidR="00D772D8">
        <w:t xml:space="preserve">the </w:t>
      </w:r>
      <w:r w:rsidR="00D772D8" w:rsidRPr="00D772D8">
        <w:rPr>
          <w:bCs/>
          <w:iCs/>
        </w:rPr>
        <w:t>alleged victim</w:t>
      </w:r>
      <w:r w:rsidR="00D772D8">
        <w:t xml:space="preserve"> </w:t>
      </w:r>
      <w:r>
        <w:t xml:space="preserve">pre-date the adoption of the Evidence Act, so its relevance </w:t>
      </w:r>
      <w:r w:rsidR="00834600">
        <w:t>to</w:t>
      </w:r>
      <w:r>
        <w:t xml:space="preserve"> the communication appears limited. </w:t>
      </w:r>
      <w:r w:rsidR="00D8504A">
        <w:t xml:space="preserve">He further claims that in its observations the State party has failed to address </w:t>
      </w:r>
      <w:r w:rsidR="00D772D8">
        <w:t xml:space="preserve">the </w:t>
      </w:r>
      <w:r w:rsidR="00D8504A">
        <w:t xml:space="preserve">claims raised under article 6 (4) and </w:t>
      </w:r>
      <w:r>
        <w:t>6</w:t>
      </w:r>
      <w:r w:rsidR="00D8504A">
        <w:t xml:space="preserve"> </w:t>
      </w:r>
      <w:r>
        <w:t>(1)</w:t>
      </w:r>
      <w:r w:rsidR="00D8504A">
        <w:t xml:space="preserve">, </w:t>
      </w:r>
      <w:r>
        <w:t xml:space="preserve">read </w:t>
      </w:r>
      <w:r w:rsidR="00D8504A">
        <w:t>in conjunction with articles</w:t>
      </w:r>
      <w:r>
        <w:t xml:space="preserve"> 7 and 14 of the Covenant</w:t>
      </w:r>
      <w:r w:rsidR="00D8504A">
        <w:t xml:space="preserve">. </w:t>
      </w:r>
    </w:p>
    <w:p w14:paraId="0C27A623" w14:textId="3F3914B9" w:rsidR="00754115" w:rsidRDefault="00C04B90" w:rsidP="007711E9">
      <w:pPr>
        <w:pStyle w:val="SingleTxtG"/>
      </w:pPr>
      <w:r>
        <w:t>7.3</w:t>
      </w:r>
      <w:r>
        <w:tab/>
        <w:t xml:space="preserve">The author finally </w:t>
      </w:r>
      <w:r w:rsidR="00D772D8">
        <w:t xml:space="preserve">submits </w:t>
      </w:r>
      <w:r>
        <w:t>that in its observations the State party has not addressed his claim</w:t>
      </w:r>
      <w:r w:rsidR="001926E3">
        <w:t xml:space="preserve"> that that under Regulation 2014/R-33 the punishment for intentional </w:t>
      </w:r>
      <w:r w:rsidR="00310B8A">
        <w:t>murder</w:t>
      </w:r>
      <w:r w:rsidR="001926E3">
        <w:t xml:space="preserve"> is </w:t>
      </w:r>
      <w:r w:rsidR="00310B8A">
        <w:t>a</w:t>
      </w:r>
      <w:r w:rsidR="001926E3">
        <w:t xml:space="preserve"> mandatory death penalty</w:t>
      </w:r>
      <w:r w:rsidR="00310B8A">
        <w:t xml:space="preserve"> sentence</w:t>
      </w:r>
      <w:r w:rsidR="001926E3">
        <w:t xml:space="preserve">.   </w:t>
      </w:r>
    </w:p>
    <w:p w14:paraId="3AA160BF" w14:textId="49D55FD8" w:rsidR="00575BF6" w:rsidRPr="00575BF6" w:rsidRDefault="00CD3A1A" w:rsidP="00CD3A1A">
      <w:pPr>
        <w:pStyle w:val="H23G"/>
        <w:ind w:left="0" w:firstLine="0"/>
      </w:pPr>
      <w:r>
        <w:tab/>
      </w:r>
      <w:r>
        <w:tab/>
      </w:r>
      <w:r w:rsidR="00575BF6" w:rsidRPr="00575BF6">
        <w:t>Issues and proceedings before the Committee</w:t>
      </w:r>
    </w:p>
    <w:p w14:paraId="5C0944FE" w14:textId="0A5BE2FA" w:rsidR="00575BF6" w:rsidRPr="00575BF6" w:rsidRDefault="00575BF6" w:rsidP="004B0B43">
      <w:pPr>
        <w:pStyle w:val="H4G"/>
      </w:pPr>
      <w:r>
        <w:tab/>
      </w:r>
      <w:r w:rsidR="004B0B43">
        <w:tab/>
      </w:r>
      <w:r w:rsidR="004B0B43">
        <w:tab/>
      </w:r>
      <w:r w:rsidRPr="00575BF6">
        <w:t>Consideration of admissibility</w:t>
      </w:r>
    </w:p>
    <w:p w14:paraId="6AA8BAA8" w14:textId="0ED0CD2F" w:rsidR="00575BF6" w:rsidRDefault="005A72BF" w:rsidP="00575BF6">
      <w:pPr>
        <w:pStyle w:val="SingleTxtG"/>
        <w:rPr>
          <w:bCs/>
          <w:iCs/>
          <w:lang w:val="x-none"/>
        </w:rPr>
      </w:pPr>
      <w:r>
        <w:rPr>
          <w:bCs/>
          <w:iCs/>
        </w:rPr>
        <w:t>8.1</w:t>
      </w:r>
      <w:r>
        <w:rPr>
          <w:bCs/>
          <w:iCs/>
        </w:rPr>
        <w:tab/>
      </w:r>
      <w:r w:rsidR="00575BF6" w:rsidRPr="00575BF6">
        <w:rPr>
          <w:bCs/>
          <w:iCs/>
          <w:lang w:val="x-none"/>
        </w:rPr>
        <w:t>Before considering any claims contained in a communication, the Committee must decide, in accordance with rule 97 of its rules of procedure, whether the communication is admissible under the Optional Protocol.</w:t>
      </w:r>
    </w:p>
    <w:p w14:paraId="14515BA4" w14:textId="7692D62A" w:rsidR="005A72BF" w:rsidRDefault="005A72BF" w:rsidP="007711E9">
      <w:pPr>
        <w:pStyle w:val="SingleTxtG"/>
      </w:pPr>
      <w:r>
        <w:t>8.2</w:t>
      </w:r>
      <w:r>
        <w:tab/>
      </w:r>
      <w:r w:rsidRPr="007711E9">
        <w:t>The</w:t>
      </w:r>
      <w:r w:rsidRPr="005A72BF">
        <w:t xml:space="preserve"> Committee has ascertained, as required under article 5</w:t>
      </w:r>
      <w:r>
        <w:t xml:space="preserve"> (</w:t>
      </w:r>
      <w:r w:rsidRPr="005A72BF">
        <w:t>2</w:t>
      </w:r>
      <w:r>
        <w:t>)</w:t>
      </w:r>
      <w:r w:rsidRPr="005A72BF">
        <w:t xml:space="preserve"> (a) of the</w:t>
      </w:r>
      <w:r>
        <w:t xml:space="preserve"> </w:t>
      </w:r>
      <w:r w:rsidRPr="005A72BF">
        <w:t>Optional Protocol, that the same matter is not being examined under another procedure of</w:t>
      </w:r>
      <w:r>
        <w:t xml:space="preserve"> </w:t>
      </w:r>
      <w:r w:rsidRPr="005A72BF">
        <w:t xml:space="preserve">international investigation or settlement. </w:t>
      </w:r>
    </w:p>
    <w:p w14:paraId="7A2FDA05" w14:textId="2421F76D" w:rsidR="005A72BF" w:rsidRDefault="005A72BF" w:rsidP="007711E9">
      <w:pPr>
        <w:pStyle w:val="SingleTxtG"/>
      </w:pPr>
      <w:r>
        <w:t>8.3</w:t>
      </w:r>
      <w:r>
        <w:tab/>
      </w:r>
      <w:r w:rsidR="00507EA8" w:rsidRPr="00507EA8">
        <w:t xml:space="preserve">The Committee notes the author’s claim that all effective domestic remedies available </w:t>
      </w:r>
      <w:r w:rsidR="00907D03">
        <w:t xml:space="preserve">have been </w:t>
      </w:r>
      <w:r w:rsidR="00C24278" w:rsidRPr="007711E9">
        <w:t>exhausted</w:t>
      </w:r>
      <w:r w:rsidR="00507EA8" w:rsidRPr="00507EA8">
        <w:t>. In the absence of any objection by the State party in that connection, the Committee considers that the requirements of article 5 (2) (b) of the Optional Protocol have been met.</w:t>
      </w:r>
    </w:p>
    <w:p w14:paraId="51032CA5" w14:textId="714EC2CB" w:rsidR="00295389" w:rsidRDefault="005A72BF" w:rsidP="007711E9">
      <w:pPr>
        <w:pStyle w:val="SingleTxtG"/>
      </w:pPr>
      <w:r>
        <w:lastRenderedPageBreak/>
        <w:t>8.4</w:t>
      </w:r>
      <w:r>
        <w:tab/>
      </w:r>
      <w:r w:rsidRPr="005A72BF">
        <w:t xml:space="preserve">The Committee </w:t>
      </w:r>
      <w:r>
        <w:t xml:space="preserve">notes the author’s claims that </w:t>
      </w:r>
      <w:r w:rsidR="00210677">
        <w:t xml:space="preserve">the alleged victim’s </w:t>
      </w:r>
      <w:r>
        <w:t>rights under</w:t>
      </w:r>
      <w:r w:rsidRPr="005A72BF">
        <w:t xml:space="preserve"> </w:t>
      </w:r>
      <w:r w:rsidRPr="005A4379">
        <w:t xml:space="preserve">article 14, read in conjunction with article 7 </w:t>
      </w:r>
      <w:r w:rsidRPr="005A72BF">
        <w:t xml:space="preserve">of the </w:t>
      </w:r>
      <w:r w:rsidRPr="007711E9">
        <w:t>Covenant</w:t>
      </w:r>
      <w:r>
        <w:t xml:space="preserve"> have been violated as h</w:t>
      </w:r>
      <w:r w:rsidR="001B39B3">
        <w:t>e</w:t>
      </w:r>
      <w:r>
        <w:t xml:space="preserve"> claims that procedural safeguards were not observed during the </w:t>
      </w:r>
      <w:r w:rsidR="00210677">
        <w:t xml:space="preserve">domestic </w:t>
      </w:r>
      <w:r>
        <w:t xml:space="preserve">proceedings and as </w:t>
      </w:r>
      <w:r w:rsidR="00210677">
        <w:t>t</w:t>
      </w:r>
      <w:r>
        <w:t xml:space="preserve">he </w:t>
      </w:r>
      <w:r w:rsidR="00210677" w:rsidRPr="00210677">
        <w:t>alleged victim</w:t>
      </w:r>
      <w:r w:rsidR="00210677">
        <w:t xml:space="preserve"> </w:t>
      </w:r>
      <w:r w:rsidRPr="005A72BF">
        <w:t xml:space="preserve">provided his statement </w:t>
      </w:r>
      <w:r>
        <w:t>in the course of the</w:t>
      </w:r>
      <w:r w:rsidRPr="005A72BF">
        <w:t xml:space="preserve"> police</w:t>
      </w:r>
      <w:r>
        <w:t xml:space="preserve"> investigations</w:t>
      </w:r>
      <w:r w:rsidRPr="005A72BF">
        <w:t xml:space="preserve"> in circumstances which may have amounted to cruel, inhuman or degrading treatment or punishment</w:t>
      </w:r>
      <w:r w:rsidR="00295389">
        <w:t>, as well as his claim that the informal</w:t>
      </w:r>
      <w:r w:rsidR="00295389" w:rsidRPr="00295389">
        <w:t xml:space="preserve"> moratorium on executions </w:t>
      </w:r>
      <w:r w:rsidR="00295389">
        <w:t>in the State party</w:t>
      </w:r>
      <w:r w:rsidR="00295389" w:rsidRPr="00295389">
        <w:t xml:space="preserve">, </w:t>
      </w:r>
      <w:r w:rsidR="00295389">
        <w:t xml:space="preserve">causes </w:t>
      </w:r>
      <w:r w:rsidR="00210677">
        <w:t xml:space="preserve">the </w:t>
      </w:r>
      <w:r w:rsidR="00210677" w:rsidRPr="00210677">
        <w:t>alleged victim</w:t>
      </w:r>
      <w:r w:rsidR="00210677">
        <w:t xml:space="preserve"> </w:t>
      </w:r>
      <w:r w:rsidR="00295389">
        <w:t>to endure</w:t>
      </w:r>
      <w:r w:rsidR="00295389" w:rsidRPr="00295389">
        <w:t xml:space="preserve"> uncertainty and anxiety</w:t>
      </w:r>
      <w:r w:rsidRPr="005A72BF">
        <w:t>.</w:t>
      </w:r>
      <w:r>
        <w:t xml:space="preserve"> </w:t>
      </w:r>
      <w:r w:rsidR="00EA35BC" w:rsidRPr="00227538">
        <w:t xml:space="preserve">The Committee notes that the author has not specified the provisions of article 14 which he claims have been violated, but it notes his claims that: </w:t>
      </w:r>
      <w:r w:rsidR="00227538">
        <w:t>a)</w:t>
      </w:r>
      <w:r w:rsidR="00227538" w:rsidRPr="00227538">
        <w:t xml:space="preserve"> </w:t>
      </w:r>
      <w:r w:rsidR="00210677">
        <w:t>t</w:t>
      </w:r>
      <w:r w:rsidR="00227538" w:rsidRPr="00227538">
        <w:t>he</w:t>
      </w:r>
      <w:r w:rsidR="00210677">
        <w:t xml:space="preserve"> </w:t>
      </w:r>
      <w:r w:rsidR="00210677" w:rsidRPr="00210677">
        <w:t>alleged victim</w:t>
      </w:r>
      <w:r w:rsidR="00227538" w:rsidRPr="00227538">
        <w:t xml:space="preserve"> did not have the assistance of a legal representative during the police interrogation</w:t>
      </w:r>
      <w:r w:rsidR="00C24278">
        <w:t xml:space="preserve"> and investigation</w:t>
      </w:r>
      <w:r w:rsidR="00227538">
        <w:t xml:space="preserve">; b) a statement made by </w:t>
      </w:r>
      <w:r w:rsidR="00316B84">
        <w:t xml:space="preserve">the </w:t>
      </w:r>
      <w:r w:rsidR="00316B84" w:rsidRPr="00316B84">
        <w:t>alleged victim</w:t>
      </w:r>
      <w:r w:rsidR="00227538">
        <w:t xml:space="preserve"> during the police investigation</w:t>
      </w:r>
      <w:r w:rsidR="001B39B3">
        <w:t>,</w:t>
      </w:r>
      <w:r w:rsidR="00227538">
        <w:t xml:space="preserve"> </w:t>
      </w:r>
      <w:r w:rsidR="00295389">
        <w:t>at a time when he was not provided with legal assistance</w:t>
      </w:r>
      <w:r w:rsidR="001B39B3">
        <w:t>,</w:t>
      </w:r>
      <w:r w:rsidR="00295389">
        <w:t xml:space="preserve"> </w:t>
      </w:r>
      <w:r w:rsidR="00227538">
        <w:t xml:space="preserve">was admitted as evidence </w:t>
      </w:r>
      <w:r w:rsidR="00295389">
        <w:t xml:space="preserve">against him, </w:t>
      </w:r>
      <w:r w:rsidR="00227538">
        <w:t>despite him retracting the statement at trial</w:t>
      </w:r>
      <w:r w:rsidR="001B39B3">
        <w:t xml:space="preserve"> stating that he gave the self-incriminating statement under duress</w:t>
      </w:r>
      <w:r w:rsidR="00227538">
        <w:t>; c)</w:t>
      </w:r>
      <w:r w:rsidR="00227538" w:rsidRPr="00227538">
        <w:t xml:space="preserve"> </w:t>
      </w:r>
      <w:r w:rsidR="00227538">
        <w:t xml:space="preserve">a statement made by a witness in the course of the police investigation was also admitted as evidence, despite the statement being retracted at trial; </w:t>
      </w:r>
      <w:r w:rsidR="00174D26">
        <w:t xml:space="preserve">and d) </w:t>
      </w:r>
      <w:r w:rsidR="00316B84">
        <w:t xml:space="preserve">the </w:t>
      </w:r>
      <w:r w:rsidR="00316B84" w:rsidRPr="00316B84">
        <w:t>alleged victim</w:t>
      </w:r>
      <w:r w:rsidR="00316B84">
        <w:t xml:space="preserve"> </w:t>
      </w:r>
      <w:r w:rsidR="00174D26">
        <w:t xml:space="preserve">did not have adequate time for the preparation of his defence. </w:t>
      </w:r>
    </w:p>
    <w:p w14:paraId="170A9FBB" w14:textId="1CAB5E55" w:rsidR="001B39B3" w:rsidRDefault="00295389" w:rsidP="005D5BDC">
      <w:pPr>
        <w:pStyle w:val="SingleTxtG"/>
        <w:rPr>
          <w:bCs/>
          <w:iCs/>
          <w:lang w:val="en-US"/>
        </w:rPr>
      </w:pPr>
      <w:r>
        <w:rPr>
          <w:bCs/>
          <w:iCs/>
        </w:rPr>
        <w:t>8.5</w:t>
      </w:r>
      <w:r>
        <w:rPr>
          <w:bCs/>
          <w:iCs/>
        </w:rPr>
        <w:tab/>
      </w:r>
      <w:r w:rsidR="00174D26">
        <w:rPr>
          <w:bCs/>
          <w:iCs/>
        </w:rPr>
        <w:t xml:space="preserve">In respect of the author’s claims that </w:t>
      </w:r>
      <w:r w:rsidR="00DB3DAF">
        <w:rPr>
          <w:bCs/>
          <w:iCs/>
        </w:rPr>
        <w:t>t</w:t>
      </w:r>
      <w:r w:rsidR="00174D26">
        <w:rPr>
          <w:bCs/>
          <w:iCs/>
        </w:rPr>
        <w:t xml:space="preserve">he </w:t>
      </w:r>
      <w:r w:rsidR="00DB3DAF" w:rsidRPr="00DB3DAF">
        <w:rPr>
          <w:bCs/>
          <w:iCs/>
        </w:rPr>
        <w:t>alleged victim</w:t>
      </w:r>
      <w:r w:rsidR="00DB3DAF">
        <w:rPr>
          <w:bCs/>
          <w:iCs/>
        </w:rPr>
        <w:t xml:space="preserve"> </w:t>
      </w:r>
      <w:r w:rsidR="00174D26">
        <w:rPr>
          <w:bCs/>
          <w:iCs/>
        </w:rPr>
        <w:t>did not have adequate time for the preparation of his defence the Committee notes the author’s information that counsel</w:t>
      </w:r>
      <w:r w:rsidR="00174D26" w:rsidRPr="006B2CC4">
        <w:rPr>
          <w:bCs/>
          <w:iCs/>
        </w:rPr>
        <w:t xml:space="preserve"> had under two months to prepare for the trial ahead of the second hearing on 8 March 2010</w:t>
      </w:r>
      <w:r w:rsidR="00174D26">
        <w:rPr>
          <w:bCs/>
          <w:iCs/>
        </w:rPr>
        <w:t xml:space="preserve"> and </w:t>
      </w:r>
      <w:r w:rsidR="00DB3DAF">
        <w:rPr>
          <w:bCs/>
          <w:iCs/>
        </w:rPr>
        <w:t xml:space="preserve">the </w:t>
      </w:r>
      <w:r w:rsidR="00174D26">
        <w:rPr>
          <w:bCs/>
          <w:iCs/>
        </w:rPr>
        <w:t>submission</w:t>
      </w:r>
      <w:r w:rsidR="00174D26" w:rsidRPr="006B2CC4">
        <w:rPr>
          <w:bCs/>
          <w:iCs/>
        </w:rPr>
        <w:t xml:space="preserve"> that two months is an inadequate period to become acquainted with the case and mount an effective legal representation in a capital trial.</w:t>
      </w:r>
      <w:r w:rsidR="00174D26">
        <w:rPr>
          <w:bCs/>
          <w:iCs/>
        </w:rPr>
        <w:t xml:space="preserve"> The Committee also notes the State party’s information that neither the </w:t>
      </w:r>
      <w:r w:rsidR="00DB3DAF" w:rsidRPr="00DB3DAF">
        <w:rPr>
          <w:bCs/>
          <w:iCs/>
        </w:rPr>
        <w:t>alleged victim</w:t>
      </w:r>
      <w:r w:rsidR="00174D26">
        <w:rPr>
          <w:bCs/>
          <w:iCs/>
          <w:lang w:val="en-US"/>
        </w:rPr>
        <w:t xml:space="preserve"> nor his</w:t>
      </w:r>
      <w:r w:rsidR="00174D26" w:rsidRPr="00174D26">
        <w:rPr>
          <w:bCs/>
          <w:iCs/>
          <w:lang w:val="en-US"/>
        </w:rPr>
        <w:t xml:space="preserve"> counsel </w:t>
      </w:r>
      <w:r w:rsidR="00174D26">
        <w:rPr>
          <w:bCs/>
          <w:iCs/>
          <w:lang w:val="en-US"/>
        </w:rPr>
        <w:t xml:space="preserve">requested </w:t>
      </w:r>
      <w:r>
        <w:rPr>
          <w:bCs/>
          <w:iCs/>
          <w:lang w:val="en-US"/>
        </w:rPr>
        <w:t>the hearing to be postponed</w:t>
      </w:r>
      <w:r w:rsidR="00174D26">
        <w:rPr>
          <w:bCs/>
          <w:iCs/>
          <w:lang w:val="en-US"/>
        </w:rPr>
        <w:t xml:space="preserve">, as well as its information </w:t>
      </w:r>
      <w:r w:rsidR="00174D26" w:rsidRPr="00174D26">
        <w:rPr>
          <w:bCs/>
          <w:iCs/>
          <w:lang w:val="en-US"/>
        </w:rPr>
        <w:t xml:space="preserve">that an extension of time </w:t>
      </w:r>
      <w:r w:rsidR="00174D26">
        <w:rPr>
          <w:bCs/>
          <w:iCs/>
          <w:lang w:val="en-US"/>
        </w:rPr>
        <w:t>is</w:t>
      </w:r>
      <w:r w:rsidR="00174D26" w:rsidRPr="00174D26">
        <w:rPr>
          <w:bCs/>
          <w:iCs/>
          <w:lang w:val="en-US"/>
        </w:rPr>
        <w:t xml:space="preserve"> granted on a case by case by basis if</w:t>
      </w:r>
      <w:r w:rsidR="00174D26">
        <w:rPr>
          <w:bCs/>
          <w:iCs/>
          <w:lang w:val="en-US"/>
        </w:rPr>
        <w:t xml:space="preserve"> there</w:t>
      </w:r>
      <w:r w:rsidR="00174D26" w:rsidRPr="00174D26">
        <w:rPr>
          <w:bCs/>
          <w:iCs/>
          <w:lang w:val="en-US"/>
        </w:rPr>
        <w:t xml:space="preserve"> are reasonable grounds presented </w:t>
      </w:r>
      <w:r w:rsidR="00174D26">
        <w:rPr>
          <w:bCs/>
          <w:iCs/>
          <w:lang w:val="en-US"/>
        </w:rPr>
        <w:t xml:space="preserve">in </w:t>
      </w:r>
      <w:r>
        <w:rPr>
          <w:bCs/>
          <w:iCs/>
          <w:lang w:val="en-US"/>
        </w:rPr>
        <w:t>a case</w:t>
      </w:r>
      <w:r w:rsidR="00174D26" w:rsidRPr="00174D26">
        <w:rPr>
          <w:bCs/>
          <w:iCs/>
          <w:lang w:val="en-US"/>
        </w:rPr>
        <w:t>.</w:t>
      </w:r>
      <w:r w:rsidR="00174D26">
        <w:rPr>
          <w:bCs/>
          <w:iCs/>
          <w:lang w:val="en-US"/>
        </w:rPr>
        <w:t xml:space="preserve"> In view of this information, the Committee considers that the author has not sufficiently substantiated his claim </w:t>
      </w:r>
      <w:r w:rsidR="00A328FD">
        <w:rPr>
          <w:bCs/>
          <w:iCs/>
          <w:lang w:val="en-US"/>
        </w:rPr>
        <w:t>under article 14 (3) (b) for the purposes of admissibility</w:t>
      </w:r>
      <w:r w:rsidR="001B39B3">
        <w:rPr>
          <w:bCs/>
          <w:iCs/>
          <w:lang w:val="en-US"/>
        </w:rPr>
        <w:t xml:space="preserve"> under article 2 of the Optional Protocol</w:t>
      </w:r>
      <w:r w:rsidR="00174D26">
        <w:rPr>
          <w:bCs/>
          <w:iCs/>
          <w:lang w:val="en-US"/>
        </w:rPr>
        <w:t xml:space="preserve">. </w:t>
      </w:r>
    </w:p>
    <w:p w14:paraId="16C067DB" w14:textId="77777777" w:rsidR="00DE1BA2" w:rsidRDefault="001B39B3" w:rsidP="001B39B3">
      <w:pPr>
        <w:pStyle w:val="SingleTxtG"/>
        <w:rPr>
          <w:bCs/>
          <w:iCs/>
          <w:lang w:val="en-CA"/>
        </w:rPr>
      </w:pPr>
      <w:bookmarkStart w:id="2" w:name="_Hlk159942529"/>
      <w:r>
        <w:rPr>
          <w:bCs/>
          <w:iCs/>
          <w:lang w:val="en-US"/>
        </w:rPr>
        <w:t>8.6</w:t>
      </w:r>
      <w:r>
        <w:rPr>
          <w:bCs/>
          <w:iCs/>
          <w:lang w:val="en-US"/>
        </w:rPr>
        <w:tab/>
      </w:r>
      <w:r w:rsidR="00295389">
        <w:rPr>
          <w:bCs/>
          <w:iCs/>
          <w:lang w:val="en-US"/>
        </w:rPr>
        <w:t xml:space="preserve">As concerns the author’s claim that the retracted witness statement should not have been admitted as evidence in his case, the Committee notes the State party’s information that the courts took several factors into consideration in admitting the statement, including </w:t>
      </w:r>
      <w:r w:rsidR="00295389">
        <w:rPr>
          <w:bCs/>
          <w:iCs/>
        </w:rPr>
        <w:t xml:space="preserve">that the statement was recorded on video, that the </w:t>
      </w:r>
      <w:r w:rsidR="00295389" w:rsidRPr="00295389">
        <w:rPr>
          <w:bCs/>
          <w:iCs/>
        </w:rPr>
        <w:t>witness</w:t>
      </w:r>
      <w:r w:rsidR="00295389">
        <w:rPr>
          <w:bCs/>
          <w:iCs/>
        </w:rPr>
        <w:t xml:space="preserve">’ father was present when the statement was taken, that the statement matched that of other witnesses, and </w:t>
      </w:r>
      <w:r>
        <w:rPr>
          <w:bCs/>
          <w:iCs/>
        </w:rPr>
        <w:t xml:space="preserve">that </w:t>
      </w:r>
      <w:r w:rsidR="00295389">
        <w:rPr>
          <w:bCs/>
          <w:iCs/>
        </w:rPr>
        <w:t xml:space="preserve">the witness </w:t>
      </w:r>
      <w:r w:rsidR="00295389" w:rsidRPr="00295389">
        <w:rPr>
          <w:bCs/>
          <w:iCs/>
        </w:rPr>
        <w:t xml:space="preserve">read the statement before signing it, </w:t>
      </w:r>
      <w:r w:rsidR="00295389">
        <w:rPr>
          <w:bCs/>
          <w:iCs/>
        </w:rPr>
        <w:t>as did</w:t>
      </w:r>
      <w:r w:rsidR="00295389" w:rsidRPr="00295389">
        <w:rPr>
          <w:bCs/>
          <w:iCs/>
        </w:rPr>
        <w:t xml:space="preserve"> her father</w:t>
      </w:r>
      <w:r w:rsidR="00295389">
        <w:rPr>
          <w:bCs/>
          <w:iCs/>
        </w:rPr>
        <w:t>.</w:t>
      </w:r>
      <w:r w:rsidR="005D5BDC" w:rsidRPr="005D5BDC">
        <w:rPr>
          <w:bCs/>
          <w:iCs/>
        </w:rPr>
        <w:t xml:space="preserve"> </w:t>
      </w:r>
      <w:r w:rsidR="005D5BDC" w:rsidRPr="005D5BDC">
        <w:rPr>
          <w:bCs/>
          <w:iCs/>
          <w:lang w:val="en-CA"/>
        </w:rPr>
        <w:t xml:space="preserve">The Committee recalls its jurisprudence according to which it is for the organs of States parties to evaluate the facts and the evidence or the application of domestic legislation in a particular case, unless it can be shown that such evaluation or application </w:t>
      </w:r>
      <w:bookmarkStart w:id="3" w:name="_Hlk132902807"/>
      <w:r w:rsidR="005D5BDC" w:rsidRPr="005D5BDC">
        <w:rPr>
          <w:bCs/>
          <w:iCs/>
          <w:lang w:val="en-CA"/>
        </w:rPr>
        <w:t>was clearly arbitrary or amounted to a manifest error or denial of justice, or that the court otherwise violated its obligation of independence and impartiality</w:t>
      </w:r>
      <w:bookmarkEnd w:id="3"/>
      <w:r w:rsidR="005D5BDC" w:rsidRPr="005D5BDC">
        <w:rPr>
          <w:bCs/>
          <w:iCs/>
          <w:lang w:val="en-CA"/>
        </w:rPr>
        <w:t>.</w:t>
      </w:r>
      <w:r w:rsidR="005D5BDC" w:rsidRPr="005D5BDC">
        <w:rPr>
          <w:bCs/>
          <w:iCs/>
          <w:vertAlign w:val="superscript"/>
          <w:lang w:val="en-CA"/>
        </w:rPr>
        <w:footnoteReference w:id="21"/>
      </w:r>
      <w:r w:rsidR="005D5BDC" w:rsidRPr="005D5BDC">
        <w:rPr>
          <w:bCs/>
          <w:iCs/>
          <w:lang w:val="en-CA"/>
        </w:rPr>
        <w:t xml:space="preserve"> In the present case the Committee finds that the author has not presented any information to substantiate that the </w:t>
      </w:r>
      <w:r w:rsidR="005D5BDC">
        <w:rPr>
          <w:bCs/>
          <w:iCs/>
          <w:lang w:val="en-CA"/>
        </w:rPr>
        <w:t xml:space="preserve">admission into evidence of the witness statement against </w:t>
      </w:r>
      <w:r w:rsidR="00E0729D">
        <w:rPr>
          <w:bCs/>
          <w:iCs/>
          <w:lang w:val="en-CA"/>
        </w:rPr>
        <w:t>the</w:t>
      </w:r>
      <w:r w:rsidR="00C24278">
        <w:rPr>
          <w:bCs/>
          <w:iCs/>
          <w:lang w:val="en-CA"/>
        </w:rPr>
        <w:t xml:space="preserve"> </w:t>
      </w:r>
      <w:r w:rsidR="00E0729D" w:rsidRPr="00E0729D">
        <w:rPr>
          <w:bCs/>
          <w:iCs/>
        </w:rPr>
        <w:t>alleged victim</w:t>
      </w:r>
      <w:r w:rsidR="00E0729D">
        <w:rPr>
          <w:bCs/>
          <w:iCs/>
          <w:lang w:val="en-CA"/>
        </w:rPr>
        <w:t xml:space="preserve">  </w:t>
      </w:r>
      <w:r w:rsidR="005D5BDC">
        <w:rPr>
          <w:bCs/>
          <w:iCs/>
          <w:lang w:val="en-CA"/>
        </w:rPr>
        <w:t>was</w:t>
      </w:r>
      <w:r w:rsidR="005D5BDC" w:rsidRPr="005D5BDC">
        <w:rPr>
          <w:bCs/>
          <w:iCs/>
          <w:lang w:val="en-CA"/>
        </w:rPr>
        <w:t xml:space="preserve"> clearly arbitrary or amounted to a manifest error or denial of justice, or that the court otherwise violated its obligation of independence and impartiality</w:t>
      </w:r>
      <w:r w:rsidR="005D5BDC">
        <w:rPr>
          <w:bCs/>
          <w:iCs/>
          <w:lang w:val="en-CA"/>
        </w:rPr>
        <w:t>, and it therefore finds th</w:t>
      </w:r>
      <w:r>
        <w:rPr>
          <w:bCs/>
          <w:iCs/>
          <w:lang w:val="en-CA"/>
        </w:rPr>
        <w:t>is</w:t>
      </w:r>
      <w:r w:rsidR="005D5BDC">
        <w:rPr>
          <w:bCs/>
          <w:iCs/>
          <w:lang w:val="en-CA"/>
        </w:rPr>
        <w:t xml:space="preserve"> claim inadmissible for lack of substantiation under article 2 of the Optional Protocol. </w:t>
      </w:r>
    </w:p>
    <w:p w14:paraId="011670EF" w14:textId="34EAAD09" w:rsidR="001B39B3" w:rsidRPr="001B39B3" w:rsidRDefault="00DE1BA2" w:rsidP="001B39B3">
      <w:pPr>
        <w:pStyle w:val="SingleTxtG"/>
        <w:rPr>
          <w:bCs/>
          <w:iCs/>
        </w:rPr>
      </w:pPr>
      <w:r>
        <w:rPr>
          <w:bCs/>
          <w:iCs/>
          <w:lang w:val="en-CA"/>
        </w:rPr>
        <w:t>8.7</w:t>
      </w:r>
      <w:r>
        <w:rPr>
          <w:bCs/>
          <w:iCs/>
          <w:lang w:val="en-CA"/>
        </w:rPr>
        <w:tab/>
      </w:r>
      <w:r w:rsidR="001B39B3" w:rsidRPr="001B39B3">
        <w:rPr>
          <w:bCs/>
          <w:iCs/>
        </w:rPr>
        <w:t xml:space="preserve">The Committee </w:t>
      </w:r>
      <w:r>
        <w:rPr>
          <w:bCs/>
          <w:iCs/>
        </w:rPr>
        <w:t>further notes the author’s claims that he did not have access to legal representation during the police investigation as well as his claim that he gave a</w:t>
      </w:r>
      <w:r w:rsidRPr="00DE1BA2">
        <w:rPr>
          <w:bCs/>
          <w:iCs/>
        </w:rPr>
        <w:t xml:space="preserve"> self-incriminating statement under </w:t>
      </w:r>
      <w:r w:rsidR="009972F5" w:rsidRPr="00DE1BA2">
        <w:rPr>
          <w:bCs/>
          <w:iCs/>
        </w:rPr>
        <w:t>duress</w:t>
      </w:r>
      <w:r w:rsidR="00FD67B6">
        <w:rPr>
          <w:bCs/>
          <w:iCs/>
        </w:rPr>
        <w:t>, which was subsequently admitted as evidence against him by the domestic courts despite him having withdrawn it at trial</w:t>
      </w:r>
      <w:r w:rsidR="009972F5" w:rsidRPr="00DE1BA2">
        <w:rPr>
          <w:bCs/>
          <w:iCs/>
        </w:rPr>
        <w:t>,</w:t>
      </w:r>
      <w:r>
        <w:rPr>
          <w:bCs/>
          <w:iCs/>
        </w:rPr>
        <w:t xml:space="preserve"> and it</w:t>
      </w:r>
      <w:r w:rsidRPr="001B39B3">
        <w:rPr>
          <w:bCs/>
          <w:iCs/>
        </w:rPr>
        <w:t xml:space="preserve"> </w:t>
      </w:r>
      <w:r w:rsidR="001B39B3" w:rsidRPr="001B39B3">
        <w:rPr>
          <w:bCs/>
          <w:iCs/>
        </w:rPr>
        <w:t xml:space="preserve">considers that the author has sufficiently substantiated </w:t>
      </w:r>
      <w:r>
        <w:rPr>
          <w:bCs/>
          <w:iCs/>
        </w:rPr>
        <w:t xml:space="preserve">these </w:t>
      </w:r>
      <w:r w:rsidR="001B39B3" w:rsidRPr="001B39B3">
        <w:rPr>
          <w:bCs/>
          <w:iCs/>
        </w:rPr>
        <w:t>claim</w:t>
      </w:r>
      <w:r w:rsidR="00832BA5">
        <w:rPr>
          <w:bCs/>
          <w:iCs/>
        </w:rPr>
        <w:t>s</w:t>
      </w:r>
      <w:r w:rsidR="001B39B3" w:rsidRPr="001B39B3">
        <w:rPr>
          <w:bCs/>
          <w:iCs/>
        </w:rPr>
        <w:t xml:space="preserve"> under article 14 </w:t>
      </w:r>
      <w:r w:rsidR="00322769">
        <w:rPr>
          <w:bCs/>
          <w:iCs/>
        </w:rPr>
        <w:t xml:space="preserve">(3) </w:t>
      </w:r>
      <w:r w:rsidR="00E0729D" w:rsidRPr="00E0729D">
        <w:rPr>
          <w:bCs/>
          <w:iCs/>
        </w:rPr>
        <w:t xml:space="preserve">(d) and (g) </w:t>
      </w:r>
      <w:r w:rsidR="001B39B3" w:rsidRPr="001B39B3">
        <w:rPr>
          <w:bCs/>
          <w:iCs/>
        </w:rPr>
        <w:t>for the purposes of admissibility.</w:t>
      </w:r>
      <w:r w:rsidR="00360C31">
        <w:rPr>
          <w:rStyle w:val="FootnoteReference"/>
          <w:bCs/>
          <w:iCs/>
        </w:rPr>
        <w:footnoteReference w:id="22"/>
      </w:r>
    </w:p>
    <w:p w14:paraId="2C7A8B76" w14:textId="29FCF08A" w:rsidR="005A07A7" w:rsidRPr="005A07A7" w:rsidRDefault="001B39B3" w:rsidP="005A07A7">
      <w:pPr>
        <w:pStyle w:val="SingleTxtG"/>
        <w:rPr>
          <w:bCs/>
          <w:iCs/>
        </w:rPr>
      </w:pPr>
      <w:r>
        <w:rPr>
          <w:bCs/>
          <w:iCs/>
          <w:lang w:val="en-CA"/>
        </w:rPr>
        <w:t>8.</w:t>
      </w:r>
      <w:r w:rsidR="00DE1BA2">
        <w:rPr>
          <w:bCs/>
          <w:iCs/>
          <w:lang w:val="en-CA"/>
        </w:rPr>
        <w:t>8</w:t>
      </w:r>
      <w:r>
        <w:rPr>
          <w:bCs/>
          <w:iCs/>
          <w:lang w:val="en-CA"/>
        </w:rPr>
        <w:tab/>
      </w:r>
      <w:r w:rsidR="00F234BF" w:rsidRPr="00C24278">
        <w:rPr>
          <w:bCs/>
          <w:iCs/>
          <w:lang w:val="en-CA"/>
        </w:rPr>
        <w:t>Re</w:t>
      </w:r>
      <w:r w:rsidR="00F234BF" w:rsidRPr="00286F92">
        <w:rPr>
          <w:bCs/>
          <w:iCs/>
          <w:lang w:val="en-CA"/>
        </w:rPr>
        <w:t>gard</w:t>
      </w:r>
      <w:r w:rsidR="00F234BF" w:rsidRPr="00C24278">
        <w:rPr>
          <w:bCs/>
          <w:iCs/>
          <w:lang w:val="en-CA"/>
        </w:rPr>
        <w:t xml:space="preserve">ing </w:t>
      </w:r>
      <w:r w:rsidR="005D5BDC" w:rsidRPr="00C24278">
        <w:rPr>
          <w:bCs/>
          <w:iCs/>
          <w:lang w:val="en-CA"/>
        </w:rPr>
        <w:t xml:space="preserve">the author’s claims under article 7 of the Covenant, the Committee </w:t>
      </w:r>
      <w:r w:rsidR="00174D26" w:rsidRPr="00C24278">
        <w:rPr>
          <w:bCs/>
          <w:iCs/>
          <w:lang w:val="en-US"/>
        </w:rPr>
        <w:t xml:space="preserve">observes that the author </w:t>
      </w:r>
      <w:r w:rsidR="005A72BF" w:rsidRPr="00C24278">
        <w:rPr>
          <w:bCs/>
          <w:iCs/>
        </w:rPr>
        <w:t>has not provided any specific information as to his</w:t>
      </w:r>
      <w:r w:rsidR="005A07A7">
        <w:rPr>
          <w:bCs/>
          <w:iCs/>
        </w:rPr>
        <w:t xml:space="preserve"> article 7</w:t>
      </w:r>
      <w:r w:rsidR="005A72BF" w:rsidRPr="00C24278">
        <w:rPr>
          <w:bCs/>
          <w:iCs/>
        </w:rPr>
        <w:t xml:space="preserve"> </w:t>
      </w:r>
      <w:r w:rsidR="00872792">
        <w:rPr>
          <w:bCs/>
          <w:iCs/>
        </w:rPr>
        <w:t xml:space="preserve">claims </w:t>
      </w:r>
      <w:r w:rsidR="00DC7CA2" w:rsidRPr="00DC7CA2">
        <w:rPr>
          <w:bCs/>
          <w:iCs/>
        </w:rPr>
        <w:t xml:space="preserve">such as for example any specific alleged ill-treatment </w:t>
      </w:r>
      <w:r w:rsidR="004D1979" w:rsidRPr="00C24278">
        <w:rPr>
          <w:bCs/>
          <w:iCs/>
        </w:rPr>
        <w:t xml:space="preserve">or any </w:t>
      </w:r>
      <w:r w:rsidR="00872792">
        <w:rPr>
          <w:bCs/>
          <w:iCs/>
        </w:rPr>
        <w:t xml:space="preserve">specific </w:t>
      </w:r>
      <w:r w:rsidR="004D1979" w:rsidRPr="00C24278">
        <w:rPr>
          <w:bCs/>
          <w:iCs/>
        </w:rPr>
        <w:t xml:space="preserve">information on </w:t>
      </w:r>
      <w:r w:rsidR="009A46DC" w:rsidRPr="00C24278">
        <w:rPr>
          <w:bCs/>
          <w:iCs/>
        </w:rPr>
        <w:t>conditions of imprisonment</w:t>
      </w:r>
      <w:r w:rsidR="00045FF4">
        <w:rPr>
          <w:bCs/>
          <w:iCs/>
        </w:rPr>
        <w:t xml:space="preserve">, nor any specific information substantiating his claim that the </w:t>
      </w:r>
      <w:r w:rsidR="00045FF4" w:rsidRPr="00045FF4">
        <w:rPr>
          <w:bCs/>
          <w:iCs/>
        </w:rPr>
        <w:t xml:space="preserve">statements </w:t>
      </w:r>
      <w:r w:rsidR="00045FF4">
        <w:rPr>
          <w:bCs/>
          <w:iCs/>
        </w:rPr>
        <w:t xml:space="preserve">by the previous government on the resumption of executions in the State party </w:t>
      </w:r>
      <w:r w:rsidR="00045FF4">
        <w:rPr>
          <w:bCs/>
          <w:iCs/>
        </w:rPr>
        <w:lastRenderedPageBreak/>
        <w:t>would</w:t>
      </w:r>
      <w:r w:rsidR="00045FF4" w:rsidRPr="00045FF4">
        <w:rPr>
          <w:bCs/>
          <w:iCs/>
        </w:rPr>
        <w:t xml:space="preserve"> have created such a psychological toll</w:t>
      </w:r>
      <w:r w:rsidR="00045FF4">
        <w:rPr>
          <w:bCs/>
          <w:iCs/>
        </w:rPr>
        <w:t xml:space="preserve"> as to amount to a violation of article 7 of the Covenant</w:t>
      </w:r>
      <w:r w:rsidR="00A328FD" w:rsidRPr="00C24278">
        <w:rPr>
          <w:bCs/>
          <w:iCs/>
        </w:rPr>
        <w:t>.</w:t>
      </w:r>
      <w:r w:rsidR="00DC7CA2" w:rsidRPr="00DC7CA2">
        <w:rPr>
          <w:bCs/>
          <w:iCs/>
          <w:vertAlign w:val="superscript"/>
        </w:rPr>
        <w:footnoteReference w:id="23"/>
      </w:r>
      <w:r w:rsidR="00DC7CA2" w:rsidRPr="00DC7CA2">
        <w:rPr>
          <w:bCs/>
          <w:iCs/>
        </w:rPr>
        <w:t xml:space="preserve"> </w:t>
      </w:r>
      <w:r w:rsidR="00A328FD" w:rsidRPr="00C24278">
        <w:rPr>
          <w:bCs/>
          <w:iCs/>
        </w:rPr>
        <w:t xml:space="preserve"> </w:t>
      </w:r>
      <w:r w:rsidR="005A07A7" w:rsidRPr="005A07A7">
        <w:rPr>
          <w:bCs/>
          <w:iCs/>
        </w:rPr>
        <w:t xml:space="preserve">It therefore finds these claims insufficiently substantiated and inadmissible under article 2 of the Optional Protocol. </w:t>
      </w:r>
      <w:r w:rsidR="005A29AB">
        <w:rPr>
          <w:bCs/>
          <w:iCs/>
        </w:rPr>
        <w:t xml:space="preserve">The Committee further notes the author’s argument that the move by the previous government in the State party to take steps to resume executions amounts to a violation of his rights under article 6 (6) of the Covenant. However, </w:t>
      </w:r>
      <w:proofErr w:type="gramStart"/>
      <w:r w:rsidR="005A29AB">
        <w:rPr>
          <w:bCs/>
          <w:iCs/>
        </w:rPr>
        <w:t>taking into account</w:t>
      </w:r>
      <w:proofErr w:type="gramEnd"/>
      <w:r w:rsidR="005A29AB">
        <w:rPr>
          <w:bCs/>
          <w:iCs/>
        </w:rPr>
        <w:t xml:space="preserve"> the State party’s observations on its position on a moratorium on executions, the Committee considers that the author has failed to substantiate this claim for the purpose of admissibility and finds it inadmissible under article 2 of the Optional Protocol.</w:t>
      </w:r>
    </w:p>
    <w:p w14:paraId="61CE3482" w14:textId="3291FB64" w:rsidR="00227538" w:rsidRDefault="00A328FD" w:rsidP="007711E9">
      <w:pPr>
        <w:pStyle w:val="SingleTxtG"/>
      </w:pPr>
      <w:r>
        <w:t>8.</w:t>
      </w:r>
      <w:r w:rsidR="00DE1BA2">
        <w:t>9</w:t>
      </w:r>
      <w:r>
        <w:tab/>
      </w:r>
      <w:r w:rsidR="00B03C5A">
        <w:t>The Committee further n</w:t>
      </w:r>
      <w:r w:rsidR="00F94E85">
        <w:t xml:space="preserve">otes </w:t>
      </w:r>
      <w:r w:rsidR="00B03C5A">
        <w:t>the author’s</w:t>
      </w:r>
      <w:r w:rsidR="00F94E85">
        <w:t xml:space="preserve"> claims that </w:t>
      </w:r>
      <w:r w:rsidR="00F94E85" w:rsidRPr="00F94E85">
        <w:t xml:space="preserve">the imposition of a death sentence </w:t>
      </w:r>
      <w:r w:rsidR="00F94E85">
        <w:t>following a trial in which procedural safeguards were not observed amount</w:t>
      </w:r>
      <w:r w:rsidR="001B39B3">
        <w:t>s</w:t>
      </w:r>
      <w:r w:rsidR="00F94E85">
        <w:t xml:space="preserve"> to a </w:t>
      </w:r>
      <w:r w:rsidR="00F94E85" w:rsidRPr="00F94E85">
        <w:t xml:space="preserve">violation of </w:t>
      </w:r>
      <w:r w:rsidR="00CB497C">
        <w:t xml:space="preserve">the alleged </w:t>
      </w:r>
      <w:r w:rsidR="00126845">
        <w:t>victim’s</w:t>
      </w:r>
      <w:r w:rsidR="00126845" w:rsidRPr="00CB497C">
        <w:t xml:space="preserve"> </w:t>
      </w:r>
      <w:r w:rsidR="00126845">
        <w:t>rights</w:t>
      </w:r>
      <w:r w:rsidR="00F94E85" w:rsidRPr="00F94E85">
        <w:t xml:space="preserve"> under article 6 (1) read in conjunction with </w:t>
      </w:r>
      <w:r w:rsidR="00C24278">
        <w:t xml:space="preserve">article </w:t>
      </w:r>
      <w:r w:rsidR="00F94E85" w:rsidRPr="00F94E85">
        <w:t>14 of the Covenant</w:t>
      </w:r>
      <w:r w:rsidR="00B03C5A">
        <w:t>, as well as</w:t>
      </w:r>
      <w:r w:rsidR="00F1210B">
        <w:t xml:space="preserve"> his </w:t>
      </w:r>
      <w:r w:rsidR="00832BA5">
        <w:t xml:space="preserve">further </w:t>
      </w:r>
      <w:r w:rsidR="00F1210B">
        <w:t xml:space="preserve">claims under articles </w:t>
      </w:r>
      <w:r w:rsidR="00832BA5">
        <w:t>6 (1)</w:t>
      </w:r>
      <w:r w:rsidR="00962372">
        <w:t xml:space="preserve"> and</w:t>
      </w:r>
      <w:r w:rsidR="00832BA5">
        <w:t xml:space="preserve"> </w:t>
      </w:r>
      <w:r w:rsidR="00F1210B">
        <w:t xml:space="preserve">6 (4) of the </w:t>
      </w:r>
      <w:r w:rsidR="00B03C5A">
        <w:t xml:space="preserve">Covenant. </w:t>
      </w:r>
      <w:r w:rsidR="00227538" w:rsidRPr="00227538">
        <w:t xml:space="preserve">The Committee considers that the </w:t>
      </w:r>
      <w:r w:rsidR="00F1210B">
        <w:t>author has</w:t>
      </w:r>
      <w:r w:rsidR="00227538" w:rsidRPr="00227538">
        <w:t xml:space="preserve"> sufficiently substantiated</w:t>
      </w:r>
      <w:r w:rsidR="00F1210B">
        <w:t xml:space="preserve"> these claims</w:t>
      </w:r>
      <w:r w:rsidR="00227538" w:rsidRPr="00227538">
        <w:t xml:space="preserve"> for the purposes of admissibility. Accordingly, the Committee declares the communication admissible as concerns </w:t>
      </w:r>
      <w:r w:rsidR="00D412C7" w:rsidRPr="00227538">
        <w:t>the claims</w:t>
      </w:r>
      <w:r w:rsidR="00227538" w:rsidRPr="00227538">
        <w:t xml:space="preserve"> under article 6 (1), read </w:t>
      </w:r>
      <w:r w:rsidR="00832BA5">
        <w:t xml:space="preserve">alone and </w:t>
      </w:r>
      <w:r w:rsidR="00227538" w:rsidRPr="00227538">
        <w:t>in conjunction with article 14; article 6 (4)</w:t>
      </w:r>
      <w:r w:rsidR="00227538" w:rsidRPr="00FB77C4">
        <w:t>;</w:t>
      </w:r>
      <w:r w:rsidR="00227538" w:rsidRPr="00227538">
        <w:t xml:space="preserve"> and article 14</w:t>
      </w:r>
      <w:r w:rsidR="00BD0832">
        <w:t xml:space="preserve"> (3)</w:t>
      </w:r>
      <w:r>
        <w:t xml:space="preserve"> (d) </w:t>
      </w:r>
      <w:r w:rsidRPr="007711E9">
        <w:t>and</w:t>
      </w:r>
      <w:r w:rsidRPr="00FC055D">
        <w:t xml:space="preserve"> (g)</w:t>
      </w:r>
      <w:r w:rsidR="00812F02">
        <w:t xml:space="preserve"> of the Covenant</w:t>
      </w:r>
      <w:r w:rsidR="00227538" w:rsidRPr="00227538">
        <w:t xml:space="preserve"> and proceeds to its examination on the merits.</w:t>
      </w:r>
    </w:p>
    <w:bookmarkEnd w:id="2"/>
    <w:p w14:paraId="24BB282A" w14:textId="77777777" w:rsidR="00453A20" w:rsidRPr="00453A20" w:rsidRDefault="00453A20" w:rsidP="00453A20">
      <w:pPr>
        <w:pStyle w:val="SingleTxtG"/>
        <w:rPr>
          <w:bCs/>
          <w:i/>
        </w:rPr>
      </w:pPr>
      <w:r w:rsidRPr="00453A20">
        <w:rPr>
          <w:bCs/>
          <w:i/>
        </w:rPr>
        <w:t xml:space="preserve">Consideration of the merits </w:t>
      </w:r>
    </w:p>
    <w:p w14:paraId="03118890" w14:textId="541F09E2" w:rsidR="00453A20" w:rsidRPr="00453A20" w:rsidRDefault="00453A20" w:rsidP="00453A20">
      <w:pPr>
        <w:pStyle w:val="SingleTxtG"/>
        <w:rPr>
          <w:bCs/>
          <w:iCs/>
        </w:rPr>
      </w:pPr>
      <w:r w:rsidRPr="00453A20">
        <w:rPr>
          <w:bCs/>
          <w:iCs/>
        </w:rPr>
        <w:t xml:space="preserve">9.1 </w:t>
      </w:r>
      <w:r>
        <w:rPr>
          <w:bCs/>
          <w:iCs/>
        </w:rPr>
        <w:tab/>
      </w:r>
      <w:r w:rsidRPr="00453A20">
        <w:rPr>
          <w:bCs/>
          <w:iCs/>
        </w:rPr>
        <w:t>The Committee has considered th</w:t>
      </w:r>
      <w:r w:rsidR="009B0DFF">
        <w:rPr>
          <w:bCs/>
          <w:iCs/>
        </w:rPr>
        <w:t>e</w:t>
      </w:r>
      <w:r w:rsidRPr="00453A20">
        <w:rPr>
          <w:bCs/>
          <w:iCs/>
        </w:rPr>
        <w:t xml:space="preserve"> communication in the light of all the information submitted to it by the parties, in accordance with article 5 (1) of the Optional Protocol. </w:t>
      </w:r>
    </w:p>
    <w:p w14:paraId="10D144C3" w14:textId="01ED8500" w:rsidR="0067591D" w:rsidRPr="004D1979" w:rsidRDefault="00453A20" w:rsidP="00D45F3B">
      <w:pPr>
        <w:pStyle w:val="SingleTxtG"/>
        <w:rPr>
          <w:bCs/>
          <w:iCs/>
        </w:rPr>
      </w:pPr>
      <w:r w:rsidRPr="00453A20">
        <w:rPr>
          <w:bCs/>
          <w:iCs/>
        </w:rPr>
        <w:t xml:space="preserve">9.2 </w:t>
      </w:r>
      <w:r>
        <w:rPr>
          <w:bCs/>
          <w:iCs/>
        </w:rPr>
        <w:tab/>
      </w:r>
      <w:r w:rsidRPr="00453A20">
        <w:rPr>
          <w:bCs/>
          <w:iCs/>
        </w:rPr>
        <w:t xml:space="preserve">The Committee notes the author’s claims under </w:t>
      </w:r>
      <w:r w:rsidR="00BA4BAE">
        <w:rPr>
          <w:bCs/>
          <w:iCs/>
        </w:rPr>
        <w:t>a</w:t>
      </w:r>
      <w:r w:rsidR="00D45F3B">
        <w:rPr>
          <w:bCs/>
          <w:iCs/>
        </w:rPr>
        <w:t xml:space="preserve">rticle </w:t>
      </w:r>
      <w:r w:rsidRPr="00453A20">
        <w:rPr>
          <w:bCs/>
          <w:iCs/>
        </w:rPr>
        <w:t>14 of the Covenant that</w:t>
      </w:r>
      <w:r w:rsidR="0039726B">
        <w:rPr>
          <w:bCs/>
          <w:iCs/>
        </w:rPr>
        <w:t xml:space="preserve"> </w:t>
      </w:r>
      <w:r w:rsidR="004D1979" w:rsidRPr="004D1979">
        <w:rPr>
          <w:bCs/>
          <w:iCs/>
        </w:rPr>
        <w:t xml:space="preserve">there were serious concerns about the fairness of the trial and other proceedings through which </w:t>
      </w:r>
      <w:r w:rsidR="00CB497C">
        <w:rPr>
          <w:bCs/>
          <w:iCs/>
        </w:rPr>
        <w:t xml:space="preserve">the </w:t>
      </w:r>
      <w:r w:rsidR="00CB497C" w:rsidRPr="00CB497C">
        <w:rPr>
          <w:bCs/>
          <w:iCs/>
        </w:rPr>
        <w:t>alleged victim</w:t>
      </w:r>
      <w:r w:rsidR="00CB497C">
        <w:rPr>
          <w:bCs/>
          <w:iCs/>
        </w:rPr>
        <w:t>’s</w:t>
      </w:r>
      <w:r w:rsidR="00CB497C" w:rsidRPr="004D1979">
        <w:rPr>
          <w:bCs/>
          <w:iCs/>
        </w:rPr>
        <w:t xml:space="preserve"> </w:t>
      </w:r>
      <w:r w:rsidR="004D1979" w:rsidRPr="004D1979">
        <w:rPr>
          <w:bCs/>
          <w:iCs/>
        </w:rPr>
        <w:t xml:space="preserve">conviction and death sentence were imposed and upheld. </w:t>
      </w:r>
      <w:r w:rsidR="004D1979">
        <w:rPr>
          <w:bCs/>
          <w:iCs/>
        </w:rPr>
        <w:t>It notes his claim that d</w:t>
      </w:r>
      <w:r w:rsidR="004D1979" w:rsidRPr="004D1979">
        <w:rPr>
          <w:bCs/>
          <w:iCs/>
        </w:rPr>
        <w:t xml:space="preserve">espite </w:t>
      </w:r>
      <w:r w:rsidR="00CB497C">
        <w:rPr>
          <w:bCs/>
          <w:iCs/>
        </w:rPr>
        <w:t xml:space="preserve">the </w:t>
      </w:r>
      <w:r w:rsidR="00CB497C" w:rsidRPr="00CB497C">
        <w:rPr>
          <w:bCs/>
          <w:iCs/>
        </w:rPr>
        <w:t>alleged victim</w:t>
      </w:r>
      <w:r w:rsidR="00CB497C">
        <w:rPr>
          <w:bCs/>
          <w:iCs/>
        </w:rPr>
        <w:t>’s</w:t>
      </w:r>
      <w:r w:rsidR="00CB497C" w:rsidRPr="004D1979">
        <w:rPr>
          <w:bCs/>
          <w:iCs/>
        </w:rPr>
        <w:t xml:space="preserve"> </w:t>
      </w:r>
      <w:r w:rsidR="004D1979" w:rsidRPr="004D1979">
        <w:rPr>
          <w:bCs/>
          <w:iCs/>
        </w:rPr>
        <w:t>request to receive legal counsel, he did not have the assistance of a legal representative during the police interrogation</w:t>
      </w:r>
      <w:r w:rsidR="004D1979">
        <w:rPr>
          <w:bCs/>
          <w:iCs/>
        </w:rPr>
        <w:t xml:space="preserve"> in which he gave a self-incriminating statement which he later </w:t>
      </w:r>
      <w:r w:rsidR="004D1979" w:rsidRPr="004D1979">
        <w:rPr>
          <w:bCs/>
          <w:iCs/>
        </w:rPr>
        <w:t>retract</w:t>
      </w:r>
      <w:r w:rsidR="004D1979">
        <w:rPr>
          <w:bCs/>
          <w:iCs/>
        </w:rPr>
        <w:t>ed</w:t>
      </w:r>
      <w:r w:rsidR="004D1979" w:rsidRPr="004D1979">
        <w:rPr>
          <w:bCs/>
          <w:iCs/>
        </w:rPr>
        <w:t xml:space="preserve"> at trial, </w:t>
      </w:r>
      <w:r w:rsidR="009B0DFF">
        <w:rPr>
          <w:bCs/>
          <w:iCs/>
        </w:rPr>
        <w:t xml:space="preserve">and his claim </w:t>
      </w:r>
      <w:r w:rsidR="004D1979" w:rsidRPr="004D1979">
        <w:rPr>
          <w:bCs/>
          <w:iCs/>
        </w:rPr>
        <w:t xml:space="preserve">that </w:t>
      </w:r>
      <w:r w:rsidR="00BA4BAE">
        <w:rPr>
          <w:bCs/>
          <w:iCs/>
        </w:rPr>
        <w:t>t</w:t>
      </w:r>
      <w:r w:rsidR="004D1979" w:rsidRPr="004D1979">
        <w:rPr>
          <w:bCs/>
          <w:iCs/>
        </w:rPr>
        <w:t>he</w:t>
      </w:r>
      <w:r w:rsidR="00BA4BAE">
        <w:rPr>
          <w:bCs/>
          <w:iCs/>
        </w:rPr>
        <w:t xml:space="preserve"> alleged victim</w:t>
      </w:r>
      <w:r w:rsidR="004D1979" w:rsidRPr="004D1979">
        <w:rPr>
          <w:bCs/>
          <w:iCs/>
        </w:rPr>
        <w:t xml:space="preserve"> had signed the statement without thoroughly reading it </w:t>
      </w:r>
      <w:r w:rsidR="008C25D4">
        <w:rPr>
          <w:bCs/>
          <w:iCs/>
        </w:rPr>
        <w:t>due to fear</w:t>
      </w:r>
      <w:r w:rsidR="004D1979" w:rsidRPr="004D1979">
        <w:rPr>
          <w:bCs/>
          <w:iCs/>
        </w:rPr>
        <w:t xml:space="preserve">. </w:t>
      </w:r>
      <w:r w:rsidR="008C25D4">
        <w:rPr>
          <w:bCs/>
          <w:iCs/>
        </w:rPr>
        <w:t xml:space="preserve">It additionally notes </w:t>
      </w:r>
      <w:r w:rsidR="0067591D">
        <w:rPr>
          <w:bCs/>
          <w:iCs/>
        </w:rPr>
        <w:t>the author’s</w:t>
      </w:r>
      <w:r w:rsidR="0067591D" w:rsidRPr="0067591D">
        <w:rPr>
          <w:bCs/>
          <w:iCs/>
        </w:rPr>
        <w:t xml:space="preserve"> argument</w:t>
      </w:r>
      <w:r w:rsidR="0067591D" w:rsidRPr="004D1979">
        <w:rPr>
          <w:bCs/>
          <w:iCs/>
        </w:rPr>
        <w:t xml:space="preserve"> that no information on file suggests that the </w:t>
      </w:r>
      <w:r w:rsidR="00445FEF">
        <w:rPr>
          <w:bCs/>
          <w:iCs/>
        </w:rPr>
        <w:t xml:space="preserve">domestic </w:t>
      </w:r>
      <w:r w:rsidR="0067591D" w:rsidRPr="004D1979">
        <w:rPr>
          <w:bCs/>
          <w:iCs/>
        </w:rPr>
        <w:t xml:space="preserve">courts duly examined </w:t>
      </w:r>
      <w:r w:rsidR="00CB497C">
        <w:rPr>
          <w:bCs/>
          <w:iCs/>
        </w:rPr>
        <w:t xml:space="preserve">the </w:t>
      </w:r>
      <w:r w:rsidR="00CB497C" w:rsidRPr="00CB497C">
        <w:rPr>
          <w:bCs/>
          <w:iCs/>
        </w:rPr>
        <w:t>alleged victim</w:t>
      </w:r>
      <w:r w:rsidR="00CB497C">
        <w:rPr>
          <w:bCs/>
          <w:iCs/>
        </w:rPr>
        <w:t>’s</w:t>
      </w:r>
      <w:r w:rsidR="00CB497C" w:rsidRPr="0067591D">
        <w:rPr>
          <w:bCs/>
          <w:iCs/>
        </w:rPr>
        <w:t xml:space="preserve"> </w:t>
      </w:r>
      <w:r w:rsidR="0067591D" w:rsidRPr="0067591D">
        <w:rPr>
          <w:bCs/>
          <w:iCs/>
        </w:rPr>
        <w:t xml:space="preserve">claim that he made the self-incriminating statement </w:t>
      </w:r>
      <w:r w:rsidR="00445FEF">
        <w:rPr>
          <w:bCs/>
          <w:iCs/>
        </w:rPr>
        <w:t>under duress</w:t>
      </w:r>
      <w:r w:rsidR="009B0DFF">
        <w:rPr>
          <w:bCs/>
          <w:iCs/>
        </w:rPr>
        <w:t>,</w:t>
      </w:r>
      <w:r w:rsidR="0067591D" w:rsidRPr="0067591D">
        <w:rPr>
          <w:bCs/>
          <w:iCs/>
        </w:rPr>
        <w:t xml:space="preserve"> as well as his argument that a statement made by the counsel</w:t>
      </w:r>
      <w:r w:rsidR="0067591D" w:rsidRPr="004D1979">
        <w:rPr>
          <w:bCs/>
          <w:iCs/>
        </w:rPr>
        <w:t xml:space="preserve"> first appointed to represent </w:t>
      </w:r>
      <w:r w:rsidR="00CB497C">
        <w:rPr>
          <w:bCs/>
          <w:iCs/>
        </w:rPr>
        <w:t xml:space="preserve">the </w:t>
      </w:r>
      <w:r w:rsidR="00CB497C" w:rsidRPr="00CB497C">
        <w:rPr>
          <w:bCs/>
          <w:iCs/>
        </w:rPr>
        <w:t>alleged victim</w:t>
      </w:r>
      <w:r w:rsidR="00CB497C" w:rsidRPr="004D1979">
        <w:rPr>
          <w:bCs/>
          <w:iCs/>
        </w:rPr>
        <w:t xml:space="preserve"> </w:t>
      </w:r>
      <w:r w:rsidR="0067591D" w:rsidRPr="004D1979">
        <w:rPr>
          <w:bCs/>
          <w:iCs/>
        </w:rPr>
        <w:t xml:space="preserve">at </w:t>
      </w:r>
      <w:r w:rsidR="0067591D" w:rsidRPr="0067591D">
        <w:rPr>
          <w:bCs/>
          <w:iCs/>
        </w:rPr>
        <w:t>a</w:t>
      </w:r>
      <w:r w:rsidR="0067591D" w:rsidRPr="004D1979">
        <w:rPr>
          <w:bCs/>
          <w:iCs/>
        </w:rPr>
        <w:t xml:space="preserve"> hearing on 20 December 2009</w:t>
      </w:r>
      <w:r w:rsidR="00445FEF">
        <w:rPr>
          <w:bCs/>
          <w:iCs/>
        </w:rPr>
        <w:t>,</w:t>
      </w:r>
      <w:r w:rsidR="0067591D" w:rsidRPr="0067591D">
        <w:rPr>
          <w:bCs/>
          <w:iCs/>
        </w:rPr>
        <w:t xml:space="preserve"> and who subsequently immediately withdrew from the case</w:t>
      </w:r>
      <w:r w:rsidR="0067591D" w:rsidRPr="004D1979">
        <w:rPr>
          <w:bCs/>
          <w:iCs/>
        </w:rPr>
        <w:t xml:space="preserve">, </w:t>
      </w:r>
      <w:r w:rsidR="0067591D" w:rsidRPr="0067591D">
        <w:rPr>
          <w:bCs/>
          <w:iCs/>
        </w:rPr>
        <w:t xml:space="preserve">was used against </w:t>
      </w:r>
      <w:r w:rsidR="00CB497C">
        <w:rPr>
          <w:bCs/>
          <w:iCs/>
        </w:rPr>
        <w:t xml:space="preserve">the </w:t>
      </w:r>
      <w:r w:rsidR="00CB497C" w:rsidRPr="00CB497C">
        <w:rPr>
          <w:bCs/>
          <w:iCs/>
        </w:rPr>
        <w:t>alleged victim</w:t>
      </w:r>
      <w:r w:rsidR="00CB497C" w:rsidRPr="0067591D">
        <w:rPr>
          <w:bCs/>
          <w:iCs/>
        </w:rPr>
        <w:t xml:space="preserve"> </w:t>
      </w:r>
      <w:r w:rsidR="0067591D" w:rsidRPr="0067591D">
        <w:rPr>
          <w:bCs/>
          <w:iCs/>
        </w:rPr>
        <w:t>in order to</w:t>
      </w:r>
      <w:r w:rsidR="0067591D" w:rsidRPr="004D1979">
        <w:rPr>
          <w:bCs/>
          <w:iCs/>
        </w:rPr>
        <w:t xml:space="preserve"> dismiss </w:t>
      </w:r>
      <w:r w:rsidR="00445FEF">
        <w:rPr>
          <w:bCs/>
          <w:iCs/>
        </w:rPr>
        <w:t>his</w:t>
      </w:r>
      <w:r w:rsidR="0067591D" w:rsidRPr="004D1979">
        <w:rPr>
          <w:bCs/>
          <w:iCs/>
        </w:rPr>
        <w:t xml:space="preserve"> retraction of </w:t>
      </w:r>
      <w:r w:rsidR="00445FEF">
        <w:rPr>
          <w:bCs/>
          <w:iCs/>
        </w:rPr>
        <w:t>the self-incriminating statement</w:t>
      </w:r>
      <w:r w:rsidR="0067591D" w:rsidRPr="004D1979">
        <w:rPr>
          <w:bCs/>
          <w:iCs/>
        </w:rPr>
        <w:t>.</w:t>
      </w:r>
      <w:r w:rsidR="0067591D" w:rsidRPr="0067591D">
        <w:rPr>
          <w:bCs/>
          <w:iCs/>
        </w:rPr>
        <w:t xml:space="preserve"> Finally</w:t>
      </w:r>
      <w:r w:rsidR="0067591D">
        <w:rPr>
          <w:bCs/>
          <w:iCs/>
        </w:rPr>
        <w:t>,</w:t>
      </w:r>
      <w:r w:rsidR="0067591D" w:rsidRPr="0067591D">
        <w:rPr>
          <w:bCs/>
          <w:iCs/>
        </w:rPr>
        <w:t xml:space="preserve"> the Committee notes </w:t>
      </w:r>
      <w:r w:rsidR="00BA4BAE" w:rsidRPr="0067591D">
        <w:rPr>
          <w:bCs/>
          <w:iCs/>
        </w:rPr>
        <w:t>the argument</w:t>
      </w:r>
      <w:r w:rsidR="0067591D" w:rsidRPr="0067591D">
        <w:rPr>
          <w:bCs/>
          <w:iCs/>
        </w:rPr>
        <w:t xml:space="preserve"> that </w:t>
      </w:r>
      <w:r w:rsidR="0067591D" w:rsidRPr="004D1979">
        <w:rPr>
          <w:bCs/>
          <w:iCs/>
        </w:rPr>
        <w:t xml:space="preserve">the admission of </w:t>
      </w:r>
      <w:r w:rsidR="00CB497C" w:rsidRPr="00CB497C">
        <w:rPr>
          <w:bCs/>
          <w:iCs/>
        </w:rPr>
        <w:t xml:space="preserve">alleged </w:t>
      </w:r>
      <w:r w:rsidR="00BA4BAE" w:rsidRPr="00CB497C">
        <w:rPr>
          <w:bCs/>
          <w:iCs/>
        </w:rPr>
        <w:t>victim</w:t>
      </w:r>
      <w:r w:rsidR="00BA4BAE">
        <w:rPr>
          <w:bCs/>
          <w:iCs/>
        </w:rPr>
        <w:t xml:space="preserve">’s </w:t>
      </w:r>
      <w:r w:rsidR="00BA4BAE" w:rsidRPr="004D1979">
        <w:rPr>
          <w:bCs/>
          <w:iCs/>
        </w:rPr>
        <w:t>statement</w:t>
      </w:r>
      <w:r w:rsidR="0067591D" w:rsidRPr="004D1979">
        <w:rPr>
          <w:bCs/>
          <w:iCs/>
        </w:rPr>
        <w:t xml:space="preserve"> </w:t>
      </w:r>
      <w:r w:rsidR="0067591D" w:rsidRPr="0067591D">
        <w:rPr>
          <w:bCs/>
          <w:iCs/>
        </w:rPr>
        <w:t xml:space="preserve">as evidence </w:t>
      </w:r>
      <w:r w:rsidR="0067591D" w:rsidRPr="004D1979">
        <w:rPr>
          <w:bCs/>
          <w:iCs/>
        </w:rPr>
        <w:t xml:space="preserve">was also contrary </w:t>
      </w:r>
      <w:r w:rsidR="0067591D" w:rsidRPr="0067591D">
        <w:rPr>
          <w:bCs/>
          <w:iCs/>
        </w:rPr>
        <w:t>to</w:t>
      </w:r>
      <w:r w:rsidR="0067591D" w:rsidRPr="004D1979">
        <w:rPr>
          <w:bCs/>
          <w:iCs/>
        </w:rPr>
        <w:t xml:space="preserve"> article 52 of the Constitution</w:t>
      </w:r>
      <w:r w:rsidR="0067591D">
        <w:rPr>
          <w:bCs/>
          <w:iCs/>
        </w:rPr>
        <w:t>,</w:t>
      </w:r>
      <w:r w:rsidR="0067591D" w:rsidRPr="004D1979">
        <w:rPr>
          <w:bCs/>
          <w:iCs/>
        </w:rPr>
        <w:t xml:space="preserve"> </w:t>
      </w:r>
      <w:r w:rsidR="0067591D" w:rsidRPr="0067591D">
        <w:rPr>
          <w:bCs/>
          <w:iCs/>
        </w:rPr>
        <w:t xml:space="preserve">which </w:t>
      </w:r>
      <w:r w:rsidR="0067591D" w:rsidRPr="004D1979">
        <w:rPr>
          <w:bCs/>
          <w:iCs/>
        </w:rPr>
        <w:t>explicitly stipulates that</w:t>
      </w:r>
      <w:r w:rsidR="0067591D" w:rsidRPr="0067591D">
        <w:rPr>
          <w:bCs/>
          <w:iCs/>
        </w:rPr>
        <w:t xml:space="preserve"> n</w:t>
      </w:r>
      <w:r w:rsidR="0067591D" w:rsidRPr="004D1979">
        <w:rPr>
          <w:bCs/>
          <w:iCs/>
        </w:rPr>
        <w:t xml:space="preserve">o confession shall be admissible </w:t>
      </w:r>
      <w:r w:rsidR="00445FEF">
        <w:rPr>
          <w:bCs/>
          <w:iCs/>
        </w:rPr>
        <w:t>as</w:t>
      </w:r>
      <w:r w:rsidR="0067591D" w:rsidRPr="004D1979">
        <w:rPr>
          <w:bCs/>
          <w:iCs/>
        </w:rPr>
        <w:t xml:space="preserve"> evidence unless made in court by an accused who is in a sound state of mind.</w:t>
      </w:r>
    </w:p>
    <w:p w14:paraId="05F5E63C" w14:textId="3F58FD16" w:rsidR="00EE3371" w:rsidRDefault="0067591D" w:rsidP="00EE3371">
      <w:pPr>
        <w:pStyle w:val="SingleTxtG"/>
        <w:rPr>
          <w:bCs/>
          <w:iCs/>
        </w:rPr>
      </w:pPr>
      <w:r>
        <w:rPr>
          <w:bCs/>
          <w:iCs/>
        </w:rPr>
        <w:t>9.3</w:t>
      </w:r>
      <w:r>
        <w:rPr>
          <w:bCs/>
          <w:iCs/>
        </w:rPr>
        <w:tab/>
      </w:r>
      <w:r w:rsidR="00EE3371" w:rsidRPr="00EE3371">
        <w:rPr>
          <w:bCs/>
          <w:iCs/>
        </w:rPr>
        <w:t xml:space="preserve">The Committee recalls that, once a complaint </w:t>
      </w:r>
      <w:r w:rsidR="00EE3371" w:rsidRPr="00BA4BAE">
        <w:rPr>
          <w:bCs/>
          <w:iCs/>
        </w:rPr>
        <w:t>about ill-treatment</w:t>
      </w:r>
      <w:r w:rsidR="00D45F3B" w:rsidRPr="00BA4BAE">
        <w:rPr>
          <w:bCs/>
          <w:iCs/>
        </w:rPr>
        <w:t xml:space="preserve">, such as </w:t>
      </w:r>
      <w:r w:rsidR="00EE3371" w:rsidRPr="00EE3371">
        <w:rPr>
          <w:bCs/>
          <w:iCs/>
        </w:rPr>
        <w:t>psychological pressure to make a confession, a State party must investigate it promptly and impartially.</w:t>
      </w:r>
      <w:r w:rsidR="00EE3371">
        <w:rPr>
          <w:rStyle w:val="FootnoteReference"/>
          <w:bCs/>
          <w:iCs/>
        </w:rPr>
        <w:footnoteReference w:id="24"/>
      </w:r>
      <w:r w:rsidR="00EE3371" w:rsidRPr="00EE3371">
        <w:rPr>
          <w:bCs/>
          <w:iCs/>
        </w:rPr>
        <w:t xml:space="preserve"> </w:t>
      </w:r>
      <w:r w:rsidR="00F93413" w:rsidRPr="00F93413">
        <w:rPr>
          <w:bCs/>
          <w:iCs/>
        </w:rPr>
        <w:t>It further recalls that the safeguard set out in article 14 (3) (g) of the Covenant must be understood in terms of the absence of any direct or indirect physical or undue psychological pressure from the investigating authorities on the accused, with a view to obtaining a confession of guilt</w:t>
      </w:r>
      <w:r w:rsidR="00EE3371" w:rsidRPr="00EE3371">
        <w:rPr>
          <w:bCs/>
          <w:iCs/>
        </w:rPr>
        <w:t>.</w:t>
      </w:r>
      <w:r w:rsidR="00F93413">
        <w:rPr>
          <w:rStyle w:val="FootnoteReference"/>
          <w:bCs/>
          <w:iCs/>
        </w:rPr>
        <w:footnoteReference w:id="25"/>
      </w:r>
      <w:r w:rsidR="00EE3371" w:rsidRPr="00EE3371">
        <w:rPr>
          <w:bCs/>
          <w:iCs/>
        </w:rPr>
        <w:t xml:space="preserve"> The Committee notes that, despite </w:t>
      </w:r>
      <w:r w:rsidR="00F5625C">
        <w:rPr>
          <w:bCs/>
          <w:iCs/>
        </w:rPr>
        <w:t>the</w:t>
      </w:r>
      <w:r w:rsidR="00EE3371" w:rsidRPr="00EE3371">
        <w:rPr>
          <w:bCs/>
          <w:iCs/>
        </w:rPr>
        <w:t xml:space="preserve"> claims </w:t>
      </w:r>
      <w:r w:rsidR="00F5625C">
        <w:rPr>
          <w:bCs/>
          <w:iCs/>
        </w:rPr>
        <w:t xml:space="preserve">made by the </w:t>
      </w:r>
      <w:r w:rsidR="00CB497C" w:rsidRPr="00CB497C">
        <w:rPr>
          <w:bCs/>
          <w:iCs/>
        </w:rPr>
        <w:t>alleged victim</w:t>
      </w:r>
      <w:r w:rsidR="00EE3371" w:rsidRPr="00EE3371">
        <w:rPr>
          <w:bCs/>
          <w:iCs/>
        </w:rPr>
        <w:t xml:space="preserve"> that </w:t>
      </w:r>
      <w:r w:rsidR="00F5625C">
        <w:rPr>
          <w:bCs/>
          <w:iCs/>
        </w:rPr>
        <w:t>h</w:t>
      </w:r>
      <w:r w:rsidR="00141CAB">
        <w:rPr>
          <w:bCs/>
          <w:iCs/>
        </w:rPr>
        <w:t>e</w:t>
      </w:r>
      <w:r w:rsidR="00F5625C">
        <w:rPr>
          <w:bCs/>
          <w:iCs/>
        </w:rPr>
        <w:t xml:space="preserve"> gave the self-incriminating statement due to fear</w:t>
      </w:r>
      <w:r w:rsidR="00EE3371" w:rsidRPr="00EE3371">
        <w:rPr>
          <w:bCs/>
          <w:iCs/>
        </w:rPr>
        <w:t>, the State party did not conduct any investigation into those allegations</w:t>
      </w:r>
      <w:r w:rsidR="00A97B6C">
        <w:rPr>
          <w:bCs/>
          <w:iCs/>
        </w:rPr>
        <w:t xml:space="preserve">, but on the contrary attributed a statement made by the </w:t>
      </w:r>
      <w:r w:rsidR="00CB497C" w:rsidRPr="00CB497C">
        <w:rPr>
          <w:bCs/>
          <w:iCs/>
        </w:rPr>
        <w:t>alleged victim</w:t>
      </w:r>
      <w:r w:rsidR="00A97B6C">
        <w:rPr>
          <w:bCs/>
          <w:iCs/>
        </w:rPr>
        <w:t xml:space="preserve">’s previous counsel to </w:t>
      </w:r>
      <w:r w:rsidR="00CB497C">
        <w:rPr>
          <w:bCs/>
          <w:iCs/>
        </w:rPr>
        <w:t>him</w:t>
      </w:r>
      <w:r w:rsidR="00A97B6C">
        <w:rPr>
          <w:bCs/>
          <w:iCs/>
        </w:rPr>
        <w:t xml:space="preserve"> in order to establish his confession in the case</w:t>
      </w:r>
      <w:r w:rsidR="00EE3371" w:rsidRPr="00EE3371">
        <w:rPr>
          <w:bCs/>
          <w:iCs/>
        </w:rPr>
        <w:t xml:space="preserve">. </w:t>
      </w:r>
      <w:r w:rsidR="00F5625C">
        <w:rPr>
          <w:bCs/>
          <w:iCs/>
        </w:rPr>
        <w:t>In this connection t</w:t>
      </w:r>
      <w:r w:rsidR="00EE3371" w:rsidRPr="00EE3371">
        <w:rPr>
          <w:bCs/>
          <w:iCs/>
        </w:rPr>
        <w:t>he Committee recalls that it is implicit in article 14 (3) (g) that, once a defendant raises credible claims that a confession was made under duress, the prosecution bears responsibility for establishing that the confession was given voluntarily.</w:t>
      </w:r>
      <w:r w:rsidR="00F5625C">
        <w:rPr>
          <w:rStyle w:val="FootnoteReference"/>
          <w:bCs/>
          <w:iCs/>
        </w:rPr>
        <w:footnoteReference w:id="26"/>
      </w:r>
      <w:r w:rsidR="00EE3371" w:rsidRPr="00EE3371">
        <w:rPr>
          <w:bCs/>
          <w:iCs/>
        </w:rPr>
        <w:t xml:space="preserve"> The Committee concludes that, by </w:t>
      </w:r>
      <w:r w:rsidR="00F5625C">
        <w:rPr>
          <w:bCs/>
          <w:iCs/>
        </w:rPr>
        <w:t xml:space="preserve">failing to investigate </w:t>
      </w:r>
      <w:r w:rsidR="00A97B6C">
        <w:rPr>
          <w:bCs/>
          <w:iCs/>
        </w:rPr>
        <w:t xml:space="preserve">the </w:t>
      </w:r>
      <w:r w:rsidR="00CB497C" w:rsidRPr="00CB497C">
        <w:rPr>
          <w:bCs/>
          <w:iCs/>
        </w:rPr>
        <w:t>alleged victim</w:t>
      </w:r>
      <w:r w:rsidR="00A97B6C">
        <w:rPr>
          <w:bCs/>
          <w:iCs/>
        </w:rPr>
        <w:t>’s</w:t>
      </w:r>
      <w:r w:rsidR="00F5625C">
        <w:rPr>
          <w:bCs/>
          <w:iCs/>
        </w:rPr>
        <w:t xml:space="preserve"> claim</w:t>
      </w:r>
      <w:r w:rsidR="00CB497C">
        <w:rPr>
          <w:bCs/>
          <w:iCs/>
        </w:rPr>
        <w:t xml:space="preserve"> that he </w:t>
      </w:r>
      <w:r w:rsidR="00CB497C">
        <w:rPr>
          <w:bCs/>
          <w:iCs/>
        </w:rPr>
        <w:lastRenderedPageBreak/>
        <w:t>gave the self-incriminating statement involuntarily and under duress</w:t>
      </w:r>
      <w:r w:rsidR="00BF30D2">
        <w:rPr>
          <w:bCs/>
          <w:iCs/>
        </w:rPr>
        <w:t xml:space="preserve"> </w:t>
      </w:r>
      <w:r w:rsidR="00EE3371" w:rsidRPr="00EE3371">
        <w:rPr>
          <w:bCs/>
          <w:iCs/>
        </w:rPr>
        <w:t xml:space="preserve">the State party violated </w:t>
      </w:r>
      <w:r w:rsidR="00CB497C">
        <w:rPr>
          <w:bCs/>
          <w:iCs/>
        </w:rPr>
        <w:t>his</w:t>
      </w:r>
      <w:r w:rsidR="00F5625C">
        <w:rPr>
          <w:bCs/>
          <w:iCs/>
        </w:rPr>
        <w:t xml:space="preserve"> rights under </w:t>
      </w:r>
      <w:r w:rsidR="00EE3371" w:rsidRPr="00EE3371">
        <w:rPr>
          <w:bCs/>
          <w:iCs/>
        </w:rPr>
        <w:t>article 14 (3) (g)</w:t>
      </w:r>
      <w:r w:rsidR="00F5625C">
        <w:rPr>
          <w:bCs/>
          <w:iCs/>
        </w:rPr>
        <w:t xml:space="preserve"> of the Covenant</w:t>
      </w:r>
      <w:r w:rsidR="00EE3371" w:rsidRPr="00EE3371">
        <w:rPr>
          <w:bCs/>
          <w:iCs/>
        </w:rPr>
        <w:t>. Accordingly, the Committee concludes that the facts before it disclose</w:t>
      </w:r>
      <w:r w:rsidR="00F5625C">
        <w:rPr>
          <w:bCs/>
          <w:iCs/>
        </w:rPr>
        <w:t>s</w:t>
      </w:r>
      <w:r w:rsidR="00EE3371" w:rsidRPr="00EE3371">
        <w:rPr>
          <w:bCs/>
          <w:iCs/>
        </w:rPr>
        <w:t xml:space="preserve"> a violation of </w:t>
      </w:r>
      <w:r w:rsidR="00F5625C">
        <w:rPr>
          <w:bCs/>
          <w:iCs/>
        </w:rPr>
        <w:t xml:space="preserve">the </w:t>
      </w:r>
      <w:r w:rsidR="00CB497C" w:rsidRPr="00CB497C">
        <w:rPr>
          <w:bCs/>
          <w:iCs/>
        </w:rPr>
        <w:t>alleged victim</w:t>
      </w:r>
      <w:r w:rsidR="00F5625C">
        <w:rPr>
          <w:bCs/>
          <w:iCs/>
        </w:rPr>
        <w:t>’s</w:t>
      </w:r>
      <w:r w:rsidR="00EE3371" w:rsidRPr="00EE3371">
        <w:rPr>
          <w:bCs/>
          <w:iCs/>
        </w:rPr>
        <w:t xml:space="preserve"> rights under article 14 (3) (g) of the Covenant.</w:t>
      </w:r>
    </w:p>
    <w:p w14:paraId="54FFF896" w14:textId="58115A84" w:rsidR="004D1979" w:rsidRPr="004D1979" w:rsidRDefault="0067591D" w:rsidP="00EE3371">
      <w:pPr>
        <w:pStyle w:val="SingleTxtG"/>
        <w:rPr>
          <w:bCs/>
          <w:iCs/>
        </w:rPr>
      </w:pPr>
      <w:r>
        <w:rPr>
          <w:bCs/>
          <w:iCs/>
        </w:rPr>
        <w:t>9.4</w:t>
      </w:r>
      <w:r>
        <w:rPr>
          <w:bCs/>
          <w:iCs/>
        </w:rPr>
        <w:tab/>
      </w:r>
      <w:r w:rsidRPr="0067591D">
        <w:rPr>
          <w:bCs/>
          <w:iCs/>
        </w:rPr>
        <w:t xml:space="preserve">The Committee, next, notes the author’s allegation that, during the pretrial investigation stage, </w:t>
      </w:r>
      <w:r w:rsidR="00CB497C">
        <w:rPr>
          <w:bCs/>
          <w:iCs/>
        </w:rPr>
        <w:t>the alleged victim</w:t>
      </w:r>
      <w:r w:rsidR="00CB497C" w:rsidRPr="0067591D">
        <w:rPr>
          <w:bCs/>
          <w:iCs/>
        </w:rPr>
        <w:t xml:space="preserve"> </w:t>
      </w:r>
      <w:r w:rsidRPr="0067591D">
        <w:rPr>
          <w:bCs/>
          <w:iCs/>
        </w:rPr>
        <w:t>was not afforded effective and continuous assistance of a lawyer, in violation of his rights under article 14 (3) (d).</w:t>
      </w:r>
      <w:r>
        <w:rPr>
          <w:bCs/>
          <w:iCs/>
        </w:rPr>
        <w:t xml:space="preserve"> </w:t>
      </w:r>
      <w:r w:rsidR="004D1979">
        <w:rPr>
          <w:bCs/>
          <w:iCs/>
        </w:rPr>
        <w:t xml:space="preserve">The Committee notes that it is undisputed that the </w:t>
      </w:r>
      <w:r w:rsidR="00CB497C" w:rsidRPr="00CB497C">
        <w:rPr>
          <w:bCs/>
          <w:iCs/>
        </w:rPr>
        <w:t>alleged victim</w:t>
      </w:r>
      <w:r w:rsidR="004D1979">
        <w:rPr>
          <w:bCs/>
          <w:iCs/>
        </w:rPr>
        <w:t xml:space="preserve"> was </w:t>
      </w:r>
      <w:r w:rsidR="004D1979" w:rsidRPr="004D1979">
        <w:rPr>
          <w:bCs/>
          <w:iCs/>
        </w:rPr>
        <w:t xml:space="preserve">unrepresented between the time of his arrest on 10 March 2009 </w:t>
      </w:r>
      <w:r w:rsidR="004D1979">
        <w:rPr>
          <w:bCs/>
          <w:iCs/>
        </w:rPr>
        <w:t xml:space="preserve">until </w:t>
      </w:r>
      <w:r w:rsidR="004D1979" w:rsidRPr="004D1979">
        <w:rPr>
          <w:bCs/>
          <w:iCs/>
        </w:rPr>
        <w:t>the beginning of the criminal trial in December 2009</w:t>
      </w:r>
      <w:r w:rsidR="004D1979">
        <w:rPr>
          <w:bCs/>
          <w:iCs/>
        </w:rPr>
        <w:t>,</w:t>
      </w:r>
      <w:r w:rsidR="004D1979" w:rsidRPr="004D1979">
        <w:rPr>
          <w:bCs/>
          <w:iCs/>
        </w:rPr>
        <w:t xml:space="preserve"> </w:t>
      </w:r>
      <w:r w:rsidR="004D1979">
        <w:rPr>
          <w:bCs/>
          <w:iCs/>
        </w:rPr>
        <w:t>including on</w:t>
      </w:r>
      <w:r w:rsidR="004D1979" w:rsidRPr="004D1979">
        <w:rPr>
          <w:bCs/>
          <w:iCs/>
        </w:rPr>
        <w:t xml:space="preserve"> 8 April 2009, when </w:t>
      </w:r>
      <w:r>
        <w:rPr>
          <w:bCs/>
          <w:iCs/>
        </w:rPr>
        <w:t>the</w:t>
      </w:r>
      <w:r w:rsidR="004D1979" w:rsidRPr="004D1979">
        <w:rPr>
          <w:bCs/>
          <w:iCs/>
        </w:rPr>
        <w:t xml:space="preserve"> self-incriminating statement</w:t>
      </w:r>
      <w:r>
        <w:rPr>
          <w:bCs/>
          <w:iCs/>
        </w:rPr>
        <w:t xml:space="preserve"> </w:t>
      </w:r>
      <w:r w:rsidR="004D1979" w:rsidRPr="004D1979">
        <w:rPr>
          <w:bCs/>
          <w:iCs/>
        </w:rPr>
        <w:t xml:space="preserve">was </w:t>
      </w:r>
      <w:r>
        <w:rPr>
          <w:bCs/>
          <w:iCs/>
        </w:rPr>
        <w:t>recorded</w:t>
      </w:r>
      <w:r w:rsidR="004D1979" w:rsidRPr="004D1979">
        <w:rPr>
          <w:bCs/>
          <w:iCs/>
        </w:rPr>
        <w:t xml:space="preserve">. The </w:t>
      </w:r>
      <w:r w:rsidR="004D1979">
        <w:rPr>
          <w:bCs/>
          <w:iCs/>
        </w:rPr>
        <w:t>Committee notes</w:t>
      </w:r>
      <w:r w:rsidR="004D1979" w:rsidRPr="004D1979">
        <w:rPr>
          <w:bCs/>
          <w:iCs/>
        </w:rPr>
        <w:t xml:space="preserve"> the State party’s </w:t>
      </w:r>
      <w:r w:rsidR="004D1979">
        <w:rPr>
          <w:bCs/>
          <w:iCs/>
        </w:rPr>
        <w:t>argument</w:t>
      </w:r>
      <w:r w:rsidR="004D1979" w:rsidRPr="004D1979">
        <w:rPr>
          <w:bCs/>
          <w:iCs/>
        </w:rPr>
        <w:t xml:space="preserve"> that </w:t>
      </w:r>
      <w:r>
        <w:rPr>
          <w:bCs/>
          <w:iCs/>
        </w:rPr>
        <w:t>t</w:t>
      </w:r>
      <w:r w:rsidR="004D1979" w:rsidRPr="004D1979">
        <w:rPr>
          <w:bCs/>
          <w:iCs/>
        </w:rPr>
        <w:t xml:space="preserve">he </w:t>
      </w:r>
      <w:r w:rsidR="00CB497C" w:rsidRPr="00CB497C">
        <w:rPr>
          <w:bCs/>
          <w:iCs/>
        </w:rPr>
        <w:t>alleged victim</w:t>
      </w:r>
      <w:r>
        <w:rPr>
          <w:bCs/>
          <w:iCs/>
        </w:rPr>
        <w:t xml:space="preserve"> </w:t>
      </w:r>
      <w:r w:rsidR="004D1979" w:rsidRPr="004D1979">
        <w:rPr>
          <w:bCs/>
          <w:iCs/>
        </w:rPr>
        <w:t xml:space="preserve">had </w:t>
      </w:r>
      <w:r w:rsidR="004D1979">
        <w:rPr>
          <w:bCs/>
          <w:iCs/>
        </w:rPr>
        <w:t>declined the</w:t>
      </w:r>
      <w:r w:rsidR="004D1979" w:rsidRPr="004D1979">
        <w:rPr>
          <w:bCs/>
          <w:iCs/>
        </w:rPr>
        <w:t xml:space="preserve"> right to be represented by </w:t>
      </w:r>
      <w:r>
        <w:rPr>
          <w:bCs/>
          <w:iCs/>
        </w:rPr>
        <w:t>counsel</w:t>
      </w:r>
      <w:r w:rsidR="004D1979" w:rsidRPr="004D1979">
        <w:rPr>
          <w:bCs/>
          <w:iCs/>
        </w:rPr>
        <w:t xml:space="preserve"> during th</w:t>
      </w:r>
      <w:r w:rsidR="004D1979">
        <w:rPr>
          <w:bCs/>
          <w:iCs/>
        </w:rPr>
        <w:t>is</w:t>
      </w:r>
      <w:r w:rsidR="004D1979" w:rsidRPr="004D1979">
        <w:rPr>
          <w:bCs/>
          <w:iCs/>
        </w:rPr>
        <w:t xml:space="preserve"> period. </w:t>
      </w:r>
      <w:r w:rsidRPr="0067591D">
        <w:rPr>
          <w:bCs/>
          <w:iCs/>
        </w:rPr>
        <w:t>The Committee recalls its general comment No. 32 (2007) on the right to equality before courts and tribunals and to a fair trial, in which it state</w:t>
      </w:r>
      <w:r w:rsidR="00625D84">
        <w:rPr>
          <w:bCs/>
          <w:iCs/>
        </w:rPr>
        <w:t>d</w:t>
      </w:r>
      <w:r w:rsidRPr="0067591D">
        <w:rPr>
          <w:bCs/>
          <w:iCs/>
        </w:rPr>
        <w:t xml:space="preserve"> that, in cases involving capital punishment, it is axiomatic that the accused must be effectively assisted by a lawyer at all stages of the proceedings.</w:t>
      </w:r>
      <w:r w:rsidR="005019A0">
        <w:rPr>
          <w:rStyle w:val="FootnoteReference"/>
          <w:bCs/>
          <w:iCs/>
        </w:rPr>
        <w:footnoteReference w:id="27"/>
      </w:r>
      <w:r w:rsidR="005019A0">
        <w:rPr>
          <w:bCs/>
          <w:iCs/>
        </w:rPr>
        <w:t xml:space="preserve"> </w:t>
      </w:r>
      <w:r w:rsidR="005019A0" w:rsidRPr="005019A0">
        <w:rPr>
          <w:bCs/>
          <w:iCs/>
        </w:rPr>
        <w:t xml:space="preserve">In this connection </w:t>
      </w:r>
      <w:r w:rsidR="005019A0">
        <w:rPr>
          <w:bCs/>
          <w:iCs/>
        </w:rPr>
        <w:t>the Committee notes</w:t>
      </w:r>
      <w:r w:rsidR="005019A0" w:rsidRPr="004D1979">
        <w:rPr>
          <w:bCs/>
          <w:iCs/>
        </w:rPr>
        <w:t xml:space="preserve"> </w:t>
      </w:r>
      <w:r w:rsidR="005019A0" w:rsidRPr="005019A0">
        <w:rPr>
          <w:bCs/>
          <w:iCs/>
        </w:rPr>
        <w:t xml:space="preserve">the author’s information that it is documented in </w:t>
      </w:r>
      <w:r w:rsidR="005019A0" w:rsidRPr="004D1979">
        <w:rPr>
          <w:bCs/>
          <w:iCs/>
        </w:rPr>
        <w:t xml:space="preserve">in the Case Report of the Criminal Court that </w:t>
      </w:r>
      <w:r w:rsidR="00625D84">
        <w:rPr>
          <w:bCs/>
          <w:iCs/>
        </w:rPr>
        <w:t xml:space="preserve">before the interrogation was carried out </w:t>
      </w:r>
      <w:r w:rsidR="00CB497C">
        <w:rPr>
          <w:bCs/>
          <w:iCs/>
        </w:rPr>
        <w:t xml:space="preserve">the </w:t>
      </w:r>
      <w:r w:rsidR="00CB497C" w:rsidRPr="00CB497C">
        <w:rPr>
          <w:bCs/>
          <w:iCs/>
        </w:rPr>
        <w:t>alleged victim</w:t>
      </w:r>
      <w:r w:rsidR="00CB497C">
        <w:rPr>
          <w:bCs/>
          <w:iCs/>
        </w:rPr>
        <w:t xml:space="preserve"> </w:t>
      </w:r>
      <w:r w:rsidR="00625D84">
        <w:rPr>
          <w:bCs/>
          <w:iCs/>
        </w:rPr>
        <w:t>had</w:t>
      </w:r>
      <w:r w:rsidR="005019A0" w:rsidRPr="005019A0">
        <w:rPr>
          <w:bCs/>
          <w:iCs/>
        </w:rPr>
        <w:t xml:space="preserve"> requested</w:t>
      </w:r>
      <w:r w:rsidR="005019A0" w:rsidRPr="004D1979">
        <w:rPr>
          <w:bCs/>
          <w:iCs/>
        </w:rPr>
        <w:t xml:space="preserve"> legal counsel, but eventually consented to be interrogated without the presence of </w:t>
      </w:r>
      <w:r w:rsidR="005019A0" w:rsidRPr="005019A0">
        <w:rPr>
          <w:bCs/>
          <w:iCs/>
        </w:rPr>
        <w:t>counsel</w:t>
      </w:r>
      <w:r w:rsidR="005019A0" w:rsidRPr="004D1979">
        <w:rPr>
          <w:bCs/>
          <w:iCs/>
        </w:rPr>
        <w:t xml:space="preserve"> on 8 April 2009</w:t>
      </w:r>
      <w:r w:rsidR="005019A0" w:rsidRPr="005019A0">
        <w:rPr>
          <w:bCs/>
          <w:iCs/>
        </w:rPr>
        <w:t>.</w:t>
      </w:r>
      <w:r w:rsidR="005019A0">
        <w:rPr>
          <w:bCs/>
          <w:iCs/>
        </w:rPr>
        <w:t xml:space="preserve"> </w:t>
      </w:r>
      <w:r w:rsidR="005019A0" w:rsidRPr="005019A0">
        <w:rPr>
          <w:bCs/>
          <w:iCs/>
        </w:rPr>
        <w:t xml:space="preserve">In these circumstances, the Committee concludes that the facts as submitted reveal a violation of </w:t>
      </w:r>
      <w:r w:rsidR="00CB497C">
        <w:rPr>
          <w:bCs/>
          <w:iCs/>
        </w:rPr>
        <w:t xml:space="preserve">the </w:t>
      </w:r>
      <w:r w:rsidR="00CB497C" w:rsidRPr="00CB497C">
        <w:rPr>
          <w:bCs/>
          <w:iCs/>
        </w:rPr>
        <w:t>alleged victim</w:t>
      </w:r>
      <w:r w:rsidR="00CB497C">
        <w:rPr>
          <w:bCs/>
          <w:iCs/>
        </w:rPr>
        <w:t>’s</w:t>
      </w:r>
      <w:r w:rsidR="00CB497C" w:rsidRPr="005019A0">
        <w:rPr>
          <w:bCs/>
          <w:iCs/>
        </w:rPr>
        <w:t xml:space="preserve"> </w:t>
      </w:r>
      <w:r w:rsidR="005019A0" w:rsidRPr="005019A0">
        <w:rPr>
          <w:bCs/>
          <w:iCs/>
        </w:rPr>
        <w:t>rights under article 14 (3) (d) of the Covenant.</w:t>
      </w:r>
    </w:p>
    <w:p w14:paraId="0D8A3B36" w14:textId="6715F162" w:rsidR="008B34D3" w:rsidRDefault="008B34D3" w:rsidP="00795D1E">
      <w:pPr>
        <w:pStyle w:val="SingleTxtG"/>
        <w:rPr>
          <w:bCs/>
          <w:iCs/>
        </w:rPr>
      </w:pPr>
      <w:r>
        <w:rPr>
          <w:bCs/>
          <w:iCs/>
        </w:rPr>
        <w:t xml:space="preserve">9.5 </w:t>
      </w:r>
      <w:r w:rsidRPr="00795D1E">
        <w:rPr>
          <w:bCs/>
          <w:i/>
        </w:rPr>
        <w:tab/>
      </w:r>
      <w:r w:rsidR="00795D1E" w:rsidRPr="00795D1E">
        <w:rPr>
          <w:bCs/>
          <w:iCs/>
        </w:rPr>
        <w:t xml:space="preserve">The </w:t>
      </w:r>
      <w:r>
        <w:rPr>
          <w:bCs/>
          <w:iCs/>
        </w:rPr>
        <w:t xml:space="preserve">Committee further notes the author’s claim that </w:t>
      </w:r>
      <w:r w:rsidR="00CB497C">
        <w:rPr>
          <w:bCs/>
          <w:iCs/>
        </w:rPr>
        <w:t xml:space="preserve">the </w:t>
      </w:r>
      <w:r w:rsidR="00CB497C" w:rsidRPr="00CB497C">
        <w:rPr>
          <w:bCs/>
          <w:iCs/>
        </w:rPr>
        <w:t>alleged victim</w:t>
      </w:r>
      <w:r w:rsidR="00CB497C">
        <w:rPr>
          <w:bCs/>
          <w:iCs/>
        </w:rPr>
        <w:t xml:space="preserve">’s </w:t>
      </w:r>
      <w:r w:rsidR="00795D1E" w:rsidRPr="00795D1E">
        <w:rPr>
          <w:bCs/>
          <w:iCs/>
        </w:rPr>
        <w:t>right to life under article 6 (1) of the Covenant</w:t>
      </w:r>
      <w:r>
        <w:rPr>
          <w:bCs/>
          <w:iCs/>
        </w:rPr>
        <w:t xml:space="preserve"> was violated</w:t>
      </w:r>
      <w:r w:rsidR="00795D1E" w:rsidRPr="00795D1E">
        <w:rPr>
          <w:bCs/>
          <w:iCs/>
        </w:rPr>
        <w:t>, since he was sentenced to death after an unfair trial. The Committee notes the State party</w:t>
      </w:r>
      <w:r>
        <w:rPr>
          <w:bCs/>
          <w:iCs/>
        </w:rPr>
        <w:t xml:space="preserve">’s argument that </w:t>
      </w:r>
      <w:r w:rsidRPr="008B34D3">
        <w:rPr>
          <w:bCs/>
          <w:iCs/>
        </w:rPr>
        <w:t xml:space="preserve">the police investigation and court hearings in the </w:t>
      </w:r>
      <w:r w:rsidR="00CB497C" w:rsidRPr="00CB497C">
        <w:rPr>
          <w:bCs/>
          <w:iCs/>
        </w:rPr>
        <w:t>alleged victim</w:t>
      </w:r>
      <w:r w:rsidRPr="008B34D3">
        <w:rPr>
          <w:bCs/>
          <w:iCs/>
        </w:rPr>
        <w:t xml:space="preserve">’s case adhered to domestic law, international </w:t>
      </w:r>
      <w:proofErr w:type="gramStart"/>
      <w:r w:rsidRPr="008B34D3">
        <w:rPr>
          <w:bCs/>
          <w:iCs/>
        </w:rPr>
        <w:t>standards</w:t>
      </w:r>
      <w:proofErr w:type="gramEnd"/>
      <w:r w:rsidRPr="008B34D3">
        <w:rPr>
          <w:bCs/>
          <w:iCs/>
        </w:rPr>
        <w:t xml:space="preserve"> and fundamental safeguards inherent to the Covenant. </w:t>
      </w:r>
    </w:p>
    <w:p w14:paraId="3611E1D3" w14:textId="101E01B9" w:rsidR="008B34D3" w:rsidRPr="008B34D3" w:rsidRDefault="008B34D3" w:rsidP="008B34D3">
      <w:pPr>
        <w:pStyle w:val="SingleTxtG"/>
        <w:rPr>
          <w:bCs/>
          <w:iCs/>
        </w:rPr>
      </w:pPr>
      <w:r>
        <w:rPr>
          <w:bCs/>
          <w:iCs/>
        </w:rPr>
        <w:t>9.6</w:t>
      </w:r>
      <w:r>
        <w:rPr>
          <w:bCs/>
          <w:iCs/>
        </w:rPr>
        <w:tab/>
      </w:r>
      <w:r w:rsidRPr="008B34D3">
        <w:rPr>
          <w:bCs/>
          <w:iCs/>
        </w:rPr>
        <w:t xml:space="preserve">The Committee notes the statement by the State party that the death penalty is not prohibited </w:t>
      </w:r>
      <w:r w:rsidR="008150FE">
        <w:rPr>
          <w:bCs/>
          <w:iCs/>
        </w:rPr>
        <w:t xml:space="preserve">under </w:t>
      </w:r>
      <w:r w:rsidR="008150FE" w:rsidRPr="008150FE">
        <w:rPr>
          <w:bCs/>
          <w:iCs/>
        </w:rPr>
        <w:t xml:space="preserve">article 6 (2) of the Covenant </w:t>
      </w:r>
      <w:r w:rsidRPr="008B34D3">
        <w:rPr>
          <w:bCs/>
          <w:iCs/>
        </w:rPr>
        <w:t>when imposed for the most serious crimes</w:t>
      </w:r>
      <w:r w:rsidR="008150FE">
        <w:rPr>
          <w:bCs/>
          <w:iCs/>
        </w:rPr>
        <w:t>.</w:t>
      </w:r>
      <w:r w:rsidRPr="008B34D3">
        <w:rPr>
          <w:bCs/>
          <w:iCs/>
        </w:rPr>
        <w:t xml:space="preserve"> The Committee recalls that the term “the most serious crimes” must be read restrictively and </w:t>
      </w:r>
      <w:r w:rsidRPr="008B34D3">
        <w:rPr>
          <w:bCs/>
          <w:iCs/>
        </w:rPr>
        <w:lastRenderedPageBreak/>
        <w:t>appertain only to crimes of extreme gravity involving intentional killing.</w:t>
      </w:r>
      <w:r>
        <w:rPr>
          <w:rStyle w:val="FootnoteReference"/>
          <w:bCs/>
          <w:iCs/>
        </w:rPr>
        <w:footnoteReference w:id="28"/>
      </w:r>
      <w:r w:rsidRPr="008B34D3">
        <w:rPr>
          <w:bCs/>
          <w:iCs/>
        </w:rPr>
        <w:t xml:space="preserve"> </w:t>
      </w:r>
      <w:r>
        <w:rPr>
          <w:bCs/>
          <w:iCs/>
        </w:rPr>
        <w:t xml:space="preserve">In the present case the </w:t>
      </w:r>
      <w:r w:rsidR="00CB497C" w:rsidRPr="00CB497C">
        <w:rPr>
          <w:bCs/>
          <w:iCs/>
        </w:rPr>
        <w:t>alleged victim</w:t>
      </w:r>
      <w:r w:rsidRPr="008B34D3">
        <w:rPr>
          <w:bCs/>
          <w:iCs/>
        </w:rPr>
        <w:t xml:space="preserve"> was sentenced to death after a conviction for murder, which qualifies as a most serious crime. However, the </w:t>
      </w:r>
      <w:r w:rsidR="008150FE">
        <w:rPr>
          <w:bCs/>
          <w:iCs/>
        </w:rPr>
        <w:t>Committee also recalls</w:t>
      </w:r>
      <w:r w:rsidRPr="008B34D3">
        <w:rPr>
          <w:bCs/>
          <w:iCs/>
        </w:rPr>
        <w:t xml:space="preserve"> that stringent fair trial requirements must be met before the death penalty may be imposed, to comply with article 6 of the Covenant.</w:t>
      </w:r>
      <w:r w:rsidR="008806F9">
        <w:rPr>
          <w:rStyle w:val="FootnoteReference"/>
          <w:bCs/>
          <w:iCs/>
        </w:rPr>
        <w:footnoteReference w:id="29"/>
      </w:r>
      <w:r w:rsidRPr="008B34D3">
        <w:rPr>
          <w:bCs/>
          <w:iCs/>
        </w:rPr>
        <w:t xml:space="preserve"> </w:t>
      </w:r>
    </w:p>
    <w:p w14:paraId="72568C43" w14:textId="768BBD27" w:rsidR="002B66A5" w:rsidRDefault="008806F9" w:rsidP="00795D1E">
      <w:pPr>
        <w:pStyle w:val="SingleTxtG"/>
        <w:rPr>
          <w:bCs/>
          <w:i/>
        </w:rPr>
      </w:pPr>
      <w:r>
        <w:rPr>
          <w:bCs/>
          <w:iCs/>
        </w:rPr>
        <w:t>9.7</w:t>
      </w:r>
      <w:r>
        <w:rPr>
          <w:bCs/>
          <w:iCs/>
        </w:rPr>
        <w:tab/>
      </w:r>
      <w:r w:rsidR="00795D1E" w:rsidRPr="00795D1E">
        <w:rPr>
          <w:bCs/>
          <w:iCs/>
        </w:rPr>
        <w:t xml:space="preserve">The Committee recalls </w:t>
      </w:r>
      <w:r w:rsidRPr="008806F9">
        <w:rPr>
          <w:bCs/>
          <w:iCs/>
        </w:rPr>
        <w:t>its jurisprudence, according to which the imposition of a sentence of death upon the conclusion of a trial in which the provisions of article 14 of the Covenant have not been respected constitutes a violation of article 6 of the Covenant.</w:t>
      </w:r>
      <w:r>
        <w:rPr>
          <w:rStyle w:val="FootnoteReference"/>
          <w:bCs/>
          <w:iCs/>
        </w:rPr>
        <w:footnoteReference w:id="30"/>
      </w:r>
      <w:r w:rsidRPr="008806F9">
        <w:rPr>
          <w:bCs/>
          <w:iCs/>
        </w:rPr>
        <w:t xml:space="preserve"> The Committee </w:t>
      </w:r>
      <w:r w:rsidR="008150FE">
        <w:rPr>
          <w:bCs/>
          <w:iCs/>
        </w:rPr>
        <w:t xml:space="preserve">further </w:t>
      </w:r>
      <w:r w:rsidRPr="008806F9">
        <w:rPr>
          <w:bCs/>
          <w:iCs/>
        </w:rPr>
        <w:t>recalls that, in cases of trials leading to the imposition of the death penalty, scrupulous respect of the guarantees of fair trial is particularly important.</w:t>
      </w:r>
      <w:r>
        <w:rPr>
          <w:rStyle w:val="FootnoteReference"/>
          <w:bCs/>
          <w:iCs/>
        </w:rPr>
        <w:footnoteReference w:id="31"/>
      </w:r>
      <w:r w:rsidRPr="008806F9">
        <w:rPr>
          <w:bCs/>
          <w:iCs/>
        </w:rPr>
        <w:t xml:space="preserve"> In addition, the Committee also recalls that </w:t>
      </w:r>
      <w:r w:rsidR="008150FE">
        <w:rPr>
          <w:bCs/>
          <w:iCs/>
        </w:rPr>
        <w:t xml:space="preserve">a </w:t>
      </w:r>
      <w:r w:rsidRPr="008806F9">
        <w:rPr>
          <w:bCs/>
          <w:iCs/>
        </w:rPr>
        <w:t>violation of the fair trial guarantees provided for in article 14 of the Covenant in proceedings resulting in the imposition of the death penalty render</w:t>
      </w:r>
      <w:r w:rsidR="008150FE">
        <w:rPr>
          <w:bCs/>
          <w:iCs/>
        </w:rPr>
        <w:t>s</w:t>
      </w:r>
      <w:r w:rsidRPr="008806F9">
        <w:rPr>
          <w:bCs/>
          <w:iCs/>
        </w:rPr>
        <w:t xml:space="preserve"> the sentence arbitrary in nature, and in violation of article 6 of the Covenant. Such violations might involve</w:t>
      </w:r>
      <w:r w:rsidR="008226D4">
        <w:rPr>
          <w:bCs/>
          <w:iCs/>
        </w:rPr>
        <w:t xml:space="preserve"> </w:t>
      </w:r>
      <w:r w:rsidR="008226D4" w:rsidRPr="008226D4">
        <w:rPr>
          <w:bCs/>
          <w:iCs/>
        </w:rPr>
        <w:t>the use of forced confessions</w:t>
      </w:r>
      <w:r w:rsidR="008226D4">
        <w:rPr>
          <w:bCs/>
          <w:iCs/>
        </w:rPr>
        <w:t xml:space="preserve"> and l</w:t>
      </w:r>
      <w:r w:rsidR="008226D4" w:rsidRPr="008226D4">
        <w:rPr>
          <w:bCs/>
          <w:iCs/>
        </w:rPr>
        <w:t>ack of effective</w:t>
      </w:r>
      <w:r w:rsidR="008150FE">
        <w:rPr>
          <w:bCs/>
          <w:iCs/>
        </w:rPr>
        <w:t xml:space="preserve"> legal representation</w:t>
      </w:r>
      <w:r w:rsidR="008226D4" w:rsidRPr="008226D4">
        <w:rPr>
          <w:bCs/>
          <w:iCs/>
        </w:rPr>
        <w:t xml:space="preserve"> during all stages of the criminal proceedings, including criminal interrogation</w:t>
      </w:r>
      <w:r w:rsidR="008150FE">
        <w:rPr>
          <w:bCs/>
          <w:iCs/>
        </w:rPr>
        <w:t>.</w:t>
      </w:r>
      <w:r w:rsidR="008226D4">
        <w:rPr>
          <w:rStyle w:val="FootnoteReference"/>
          <w:bCs/>
          <w:iCs/>
        </w:rPr>
        <w:footnoteReference w:id="32"/>
      </w:r>
      <w:r w:rsidRPr="008806F9">
        <w:rPr>
          <w:bCs/>
          <w:iCs/>
        </w:rPr>
        <w:t xml:space="preserve"> In the light of the Committee’s findings of a violation of article 14 (3) (</w:t>
      </w:r>
      <w:r w:rsidR="008226D4">
        <w:rPr>
          <w:bCs/>
          <w:iCs/>
        </w:rPr>
        <w:t>d</w:t>
      </w:r>
      <w:r w:rsidRPr="008806F9">
        <w:rPr>
          <w:bCs/>
          <w:iCs/>
        </w:rPr>
        <w:t>)</w:t>
      </w:r>
      <w:r w:rsidR="008226D4">
        <w:rPr>
          <w:bCs/>
          <w:iCs/>
        </w:rPr>
        <w:t xml:space="preserve"> and (g)</w:t>
      </w:r>
      <w:r w:rsidRPr="008806F9">
        <w:rPr>
          <w:bCs/>
          <w:iCs/>
        </w:rPr>
        <w:t xml:space="preserve"> of the Covenant</w:t>
      </w:r>
      <w:r w:rsidR="008226D4">
        <w:rPr>
          <w:bCs/>
          <w:iCs/>
        </w:rPr>
        <w:t>,</w:t>
      </w:r>
      <w:r w:rsidR="008226D4" w:rsidRPr="008226D4">
        <w:rPr>
          <w:color w:val="000000"/>
        </w:rPr>
        <w:t xml:space="preserve"> </w:t>
      </w:r>
      <w:r w:rsidR="008226D4" w:rsidRPr="008226D4">
        <w:rPr>
          <w:bCs/>
          <w:iCs/>
        </w:rPr>
        <w:t xml:space="preserve">the Committee </w:t>
      </w:r>
      <w:r w:rsidR="008226D4">
        <w:rPr>
          <w:bCs/>
          <w:iCs/>
        </w:rPr>
        <w:t>concludes</w:t>
      </w:r>
      <w:r w:rsidR="008226D4" w:rsidRPr="008226D4">
        <w:rPr>
          <w:bCs/>
          <w:iCs/>
        </w:rPr>
        <w:t xml:space="preserve"> that, in sentencing </w:t>
      </w:r>
      <w:r w:rsidR="008226D4">
        <w:rPr>
          <w:bCs/>
          <w:iCs/>
        </w:rPr>
        <w:t xml:space="preserve">the </w:t>
      </w:r>
      <w:r w:rsidR="00CB497C" w:rsidRPr="00CB497C">
        <w:rPr>
          <w:bCs/>
          <w:iCs/>
        </w:rPr>
        <w:t>alleged victim</w:t>
      </w:r>
      <w:r w:rsidR="008226D4" w:rsidRPr="008226D4">
        <w:rPr>
          <w:bCs/>
          <w:iCs/>
        </w:rPr>
        <w:t xml:space="preserve"> to death following a trial that </w:t>
      </w:r>
      <w:r w:rsidR="008226D4" w:rsidRPr="008226D4">
        <w:rPr>
          <w:bCs/>
          <w:iCs/>
        </w:rPr>
        <w:lastRenderedPageBreak/>
        <w:t xml:space="preserve">suffered from </w:t>
      </w:r>
      <w:r w:rsidR="008226D4">
        <w:rPr>
          <w:bCs/>
          <w:iCs/>
        </w:rPr>
        <w:t>procedural</w:t>
      </w:r>
      <w:r w:rsidR="008226D4" w:rsidRPr="008226D4">
        <w:rPr>
          <w:bCs/>
          <w:iCs/>
        </w:rPr>
        <w:t xml:space="preserve"> deficiencies, the State party has violated its obligations under article 6 (1) of the Covenant.</w:t>
      </w:r>
    </w:p>
    <w:p w14:paraId="3F235D57" w14:textId="7FECE9C5" w:rsidR="00D75FF4" w:rsidRDefault="000044C9" w:rsidP="006A0B12">
      <w:pPr>
        <w:pStyle w:val="SingleTxtG"/>
      </w:pPr>
      <w:r>
        <w:t>9.8</w:t>
      </w:r>
      <w:r>
        <w:tab/>
      </w:r>
      <w:r w:rsidRPr="000044C9">
        <w:rPr>
          <w:bCs/>
          <w:iCs/>
        </w:rPr>
        <w:t xml:space="preserve">The </w:t>
      </w:r>
      <w:r>
        <w:rPr>
          <w:bCs/>
          <w:iCs/>
        </w:rPr>
        <w:t>Committee</w:t>
      </w:r>
      <w:r w:rsidRPr="000044C9">
        <w:rPr>
          <w:bCs/>
          <w:iCs/>
        </w:rPr>
        <w:t xml:space="preserve"> notes </w:t>
      </w:r>
      <w:r>
        <w:rPr>
          <w:bCs/>
          <w:iCs/>
        </w:rPr>
        <w:t>the author’s claim that under</w:t>
      </w:r>
      <w:r w:rsidRPr="000044C9">
        <w:rPr>
          <w:bCs/>
          <w:iCs/>
        </w:rPr>
        <w:t xml:space="preserve"> Regulation 2014/R-33 the punishment for intentional </w:t>
      </w:r>
      <w:r w:rsidR="00145F3F">
        <w:rPr>
          <w:bCs/>
          <w:iCs/>
        </w:rPr>
        <w:t>murder</w:t>
      </w:r>
      <w:r w:rsidRPr="000044C9">
        <w:rPr>
          <w:bCs/>
          <w:iCs/>
        </w:rPr>
        <w:t xml:space="preserve"> is a mandatory death penalty sentence, </w:t>
      </w:r>
      <w:r>
        <w:rPr>
          <w:bCs/>
          <w:iCs/>
        </w:rPr>
        <w:t xml:space="preserve">amounting to a violation of </w:t>
      </w:r>
      <w:r w:rsidRPr="000044C9">
        <w:rPr>
          <w:bCs/>
          <w:iCs/>
        </w:rPr>
        <w:t>article 6 (1</w:t>
      </w:r>
      <w:r>
        <w:rPr>
          <w:bCs/>
          <w:iCs/>
        </w:rPr>
        <w:t>)</w:t>
      </w:r>
      <w:r w:rsidRPr="000044C9">
        <w:rPr>
          <w:bCs/>
          <w:iCs/>
        </w:rPr>
        <w:t xml:space="preserve"> the Covenant. </w:t>
      </w:r>
      <w:r>
        <w:rPr>
          <w:bCs/>
          <w:iCs/>
        </w:rPr>
        <w:t xml:space="preserve">It notes that the State party has not refuted the author’s submission that the mandatory sentence for murder under said regulation is the death penalty. It also notes the author’s argument that the current informal moratorium on the death penalty in the State party does not </w:t>
      </w:r>
      <w:r w:rsidR="00D75FF4">
        <w:t xml:space="preserve">guarantee that </w:t>
      </w:r>
      <w:r>
        <w:t>the</w:t>
      </w:r>
      <w:r w:rsidR="00D75FF4">
        <w:t xml:space="preserve"> sentence will not be carried out at a</w:t>
      </w:r>
      <w:r>
        <w:t xml:space="preserve"> </w:t>
      </w:r>
      <w:r w:rsidR="00D75FF4">
        <w:t xml:space="preserve">later point. </w:t>
      </w:r>
      <w:r>
        <w:t xml:space="preserve">The Committee recalls that </w:t>
      </w:r>
      <w:r>
        <w:rPr>
          <w:bCs/>
          <w:iCs/>
        </w:rPr>
        <w:t>i</w:t>
      </w:r>
      <w:r w:rsidRPr="000044C9">
        <w:rPr>
          <w:bCs/>
          <w:iCs/>
        </w:rPr>
        <w:t xml:space="preserve">n all cases involving the application of the death penalty, the personal circumstances of the offender and the </w:t>
      </w:r>
      <w:proofErr w:type="gramStart"/>
      <w:r w:rsidRPr="000044C9">
        <w:rPr>
          <w:bCs/>
          <w:iCs/>
        </w:rPr>
        <w:t>particular circumstances</w:t>
      </w:r>
      <w:proofErr w:type="gramEnd"/>
      <w:r w:rsidRPr="000044C9">
        <w:rPr>
          <w:bCs/>
          <w:iCs/>
        </w:rPr>
        <w:t xml:space="preserve"> of the offence, including its specific attenuating elements, must be considered by the sentencing court. Hence, mandatory death sentences that leave domestic courts with no discretion as to whether to designate the offence as a crime warranting the death penalty, and whether to issue the death sentence in the particular circumstances of the offender, are arbitrary in nature.</w:t>
      </w:r>
      <w:r>
        <w:rPr>
          <w:rStyle w:val="FootnoteReference"/>
          <w:bCs/>
          <w:iCs/>
        </w:rPr>
        <w:footnoteReference w:id="33"/>
      </w:r>
      <w:r w:rsidR="00953455">
        <w:rPr>
          <w:bCs/>
          <w:iCs/>
        </w:rPr>
        <w:t xml:space="preserve"> </w:t>
      </w:r>
      <w:r w:rsidR="00D75FF4">
        <w:t>The existence of a de facto</w:t>
      </w:r>
      <w:r w:rsidR="00953455">
        <w:t xml:space="preserve"> </w:t>
      </w:r>
      <w:r w:rsidR="00D75FF4">
        <w:t>moratorium on the death penalty is not sufficient to make a mandatory death sentence</w:t>
      </w:r>
      <w:r w:rsidR="00953455">
        <w:t xml:space="preserve"> </w:t>
      </w:r>
      <w:r w:rsidR="00D75FF4">
        <w:t>consistent with the Covenant.</w:t>
      </w:r>
      <w:r w:rsidR="00953455">
        <w:rPr>
          <w:rStyle w:val="FootnoteReference"/>
        </w:rPr>
        <w:footnoteReference w:id="34"/>
      </w:r>
      <w:r w:rsidR="00D75FF4">
        <w:rPr>
          <w:sz w:val="12"/>
          <w:szCs w:val="12"/>
        </w:rPr>
        <w:t xml:space="preserve"> </w:t>
      </w:r>
      <w:r w:rsidR="006A0B12">
        <w:t>In the absence of any further observations by the State party as to the author’s claims under article 6 (1),</w:t>
      </w:r>
      <w:r w:rsidR="00D75FF4">
        <w:t xml:space="preserve"> the </w:t>
      </w:r>
      <w:r w:rsidR="006A0B12">
        <w:t xml:space="preserve">Committee concludes that the mandatory </w:t>
      </w:r>
      <w:r w:rsidR="00D75FF4">
        <w:t xml:space="preserve">imposition of the death penalty in the </w:t>
      </w:r>
      <w:r w:rsidR="00BF5888">
        <w:t>present</w:t>
      </w:r>
      <w:r w:rsidR="00FD57FB">
        <w:t xml:space="preserve"> </w:t>
      </w:r>
      <w:r w:rsidR="00D75FF4">
        <w:t xml:space="preserve">case, </w:t>
      </w:r>
      <w:r w:rsidR="006A0B12">
        <w:t xml:space="preserve">without allowing for any assessment of the </w:t>
      </w:r>
      <w:r w:rsidR="00FD57FB" w:rsidRPr="00FD57FB">
        <w:rPr>
          <w:bCs/>
          <w:iCs/>
        </w:rPr>
        <w:t>alleged victim</w:t>
      </w:r>
      <w:r w:rsidR="006A0B12">
        <w:t xml:space="preserve">’s </w:t>
      </w:r>
      <w:r w:rsidR="006A0B12" w:rsidRPr="006A0B12">
        <w:rPr>
          <w:bCs/>
          <w:iCs/>
        </w:rPr>
        <w:t>personal circumstances and the particular circumstances of the offence</w:t>
      </w:r>
      <w:r w:rsidR="00D75FF4">
        <w:t xml:space="preserve">, violated the </w:t>
      </w:r>
      <w:r w:rsidR="00FD57FB" w:rsidRPr="00FD57FB">
        <w:rPr>
          <w:bCs/>
          <w:iCs/>
        </w:rPr>
        <w:t>alleged victim</w:t>
      </w:r>
      <w:r w:rsidR="00D75FF4">
        <w:t>’s rights under article 6</w:t>
      </w:r>
      <w:r w:rsidR="006A0B12">
        <w:t xml:space="preserve"> (1)</w:t>
      </w:r>
      <w:r w:rsidR="00D75FF4">
        <w:t xml:space="preserve"> of the </w:t>
      </w:r>
      <w:r w:rsidR="0067583D">
        <w:t>Covenant</w:t>
      </w:r>
      <w:r w:rsidR="00D75FF4">
        <w:t>.</w:t>
      </w:r>
      <w:r w:rsidR="00FD57FB">
        <w:t xml:space="preserve"> </w:t>
      </w:r>
    </w:p>
    <w:p w14:paraId="47383F46" w14:textId="308BD794" w:rsidR="006504B4" w:rsidRDefault="00D22E2A" w:rsidP="008A776B">
      <w:pPr>
        <w:pStyle w:val="SingleTxtG"/>
        <w:rPr>
          <w:bCs/>
          <w:iCs/>
        </w:rPr>
      </w:pPr>
      <w:r w:rsidRPr="00D22E2A">
        <w:rPr>
          <w:bCs/>
          <w:iCs/>
        </w:rPr>
        <w:t>9.9</w:t>
      </w:r>
      <w:r w:rsidRPr="00D22E2A">
        <w:rPr>
          <w:bCs/>
          <w:iCs/>
        </w:rPr>
        <w:tab/>
        <w:t xml:space="preserve">The </w:t>
      </w:r>
      <w:r>
        <w:rPr>
          <w:bCs/>
          <w:iCs/>
        </w:rPr>
        <w:t xml:space="preserve">Committee further notes the </w:t>
      </w:r>
      <w:r w:rsidRPr="00D22E2A">
        <w:rPr>
          <w:bCs/>
          <w:iCs/>
        </w:rPr>
        <w:t>author</w:t>
      </w:r>
      <w:r>
        <w:rPr>
          <w:bCs/>
          <w:iCs/>
        </w:rPr>
        <w:t>’s</w:t>
      </w:r>
      <w:r w:rsidRPr="00D22E2A">
        <w:rPr>
          <w:bCs/>
          <w:iCs/>
        </w:rPr>
        <w:t xml:space="preserve"> claim</w:t>
      </w:r>
      <w:r>
        <w:rPr>
          <w:bCs/>
          <w:iCs/>
        </w:rPr>
        <w:t xml:space="preserve"> that </w:t>
      </w:r>
      <w:r w:rsidR="00FD57FB">
        <w:rPr>
          <w:bCs/>
          <w:iCs/>
        </w:rPr>
        <w:t xml:space="preserve">the </w:t>
      </w:r>
      <w:r w:rsidR="00FD57FB" w:rsidRPr="00FD57FB">
        <w:rPr>
          <w:bCs/>
          <w:iCs/>
        </w:rPr>
        <w:t>alleged victim</w:t>
      </w:r>
      <w:r w:rsidR="00FD57FB">
        <w:rPr>
          <w:bCs/>
          <w:iCs/>
        </w:rPr>
        <w:t>’s</w:t>
      </w:r>
      <w:r w:rsidR="00FD57FB" w:rsidRPr="00FD57FB">
        <w:rPr>
          <w:bCs/>
          <w:iCs/>
        </w:rPr>
        <w:t xml:space="preserve"> </w:t>
      </w:r>
      <w:r>
        <w:rPr>
          <w:bCs/>
          <w:iCs/>
        </w:rPr>
        <w:t xml:space="preserve">inability under domestic law to </w:t>
      </w:r>
      <w:r w:rsidRPr="00D22E2A">
        <w:rPr>
          <w:bCs/>
          <w:iCs/>
        </w:rPr>
        <w:t xml:space="preserve">seek </w:t>
      </w:r>
      <w:r>
        <w:rPr>
          <w:bCs/>
          <w:iCs/>
        </w:rPr>
        <w:t xml:space="preserve">a </w:t>
      </w:r>
      <w:r w:rsidRPr="00D22E2A">
        <w:rPr>
          <w:bCs/>
          <w:iCs/>
        </w:rPr>
        <w:t xml:space="preserve">pardon or commutation of </w:t>
      </w:r>
      <w:r>
        <w:rPr>
          <w:bCs/>
          <w:iCs/>
        </w:rPr>
        <w:t>the</w:t>
      </w:r>
      <w:r w:rsidRPr="00D22E2A">
        <w:rPr>
          <w:bCs/>
          <w:iCs/>
        </w:rPr>
        <w:t xml:space="preserve"> death sentence</w:t>
      </w:r>
      <w:r>
        <w:rPr>
          <w:bCs/>
          <w:iCs/>
        </w:rPr>
        <w:t xml:space="preserve"> amounts to</w:t>
      </w:r>
      <w:r w:rsidRPr="00D22E2A">
        <w:rPr>
          <w:bCs/>
          <w:iCs/>
        </w:rPr>
        <w:t xml:space="preserve"> a violation of his rights under article 6 (4) of the Covenant. </w:t>
      </w:r>
    </w:p>
    <w:p w14:paraId="751263B0" w14:textId="77777777" w:rsidR="00126845" w:rsidRDefault="006504B4" w:rsidP="008A776B">
      <w:pPr>
        <w:pStyle w:val="SingleTxtG"/>
        <w:rPr>
          <w:bCs/>
          <w:iCs/>
        </w:rPr>
      </w:pPr>
      <w:r>
        <w:rPr>
          <w:bCs/>
          <w:iCs/>
        </w:rPr>
        <w:t>9.10</w:t>
      </w:r>
      <w:r>
        <w:rPr>
          <w:bCs/>
          <w:iCs/>
        </w:rPr>
        <w:tab/>
        <w:t xml:space="preserve">The Committee </w:t>
      </w:r>
      <w:r w:rsidR="00D22E2A" w:rsidRPr="00D22E2A">
        <w:rPr>
          <w:bCs/>
          <w:iCs/>
        </w:rPr>
        <w:t xml:space="preserve">notes </w:t>
      </w:r>
      <w:r w:rsidR="00D22E2A">
        <w:rPr>
          <w:bCs/>
          <w:iCs/>
        </w:rPr>
        <w:t>the parties’ information that following the enactment of</w:t>
      </w:r>
      <w:r w:rsidR="00D22E2A" w:rsidRPr="00D22E2A">
        <w:rPr>
          <w:bCs/>
          <w:iCs/>
        </w:rPr>
        <w:t xml:space="preserve"> Regulation No. R-33/2014 </w:t>
      </w:r>
      <w:r w:rsidR="00D22E2A">
        <w:rPr>
          <w:bCs/>
          <w:iCs/>
        </w:rPr>
        <w:t xml:space="preserve">and the </w:t>
      </w:r>
      <w:r w:rsidR="00D22E2A" w:rsidRPr="00D22E2A">
        <w:rPr>
          <w:bCs/>
          <w:iCs/>
        </w:rPr>
        <w:t>decision of the High Court o</w:t>
      </w:r>
      <w:r w:rsidR="00D22E2A">
        <w:rPr>
          <w:bCs/>
          <w:iCs/>
        </w:rPr>
        <w:t>f</w:t>
      </w:r>
      <w:r w:rsidR="00D22E2A" w:rsidRPr="00D22E2A">
        <w:rPr>
          <w:bCs/>
          <w:iCs/>
        </w:rPr>
        <w:t xml:space="preserve"> 29 November 2015,</w:t>
      </w:r>
      <w:r w:rsidR="00D22E2A" w:rsidRPr="00D22E2A">
        <w:rPr>
          <w:bCs/>
          <w:iCs/>
          <w:vertAlign w:val="superscript"/>
        </w:rPr>
        <w:footnoteReference w:id="35"/>
      </w:r>
      <w:r w:rsidR="00D22E2A" w:rsidRPr="00D22E2A">
        <w:rPr>
          <w:bCs/>
          <w:iCs/>
        </w:rPr>
        <w:t xml:space="preserve"> the power of the President to grant clemency in cases of intentional murder </w:t>
      </w:r>
      <w:r w:rsidR="00235C96">
        <w:rPr>
          <w:bCs/>
          <w:iCs/>
        </w:rPr>
        <w:t xml:space="preserve">was removed </w:t>
      </w:r>
      <w:r w:rsidR="00D22E2A" w:rsidRPr="00D22E2A">
        <w:rPr>
          <w:bCs/>
          <w:iCs/>
        </w:rPr>
        <w:t xml:space="preserve">and </w:t>
      </w:r>
      <w:r w:rsidR="00D22E2A" w:rsidRPr="00D22E2A">
        <w:rPr>
          <w:bCs/>
          <w:iCs/>
        </w:rPr>
        <w:lastRenderedPageBreak/>
        <w:t>placed instead with the family of the victim.</w:t>
      </w:r>
      <w:r w:rsidR="00235C96">
        <w:rPr>
          <w:bCs/>
          <w:iCs/>
        </w:rPr>
        <w:t xml:space="preserve"> The Committee</w:t>
      </w:r>
      <w:r w:rsidR="00D22E2A">
        <w:rPr>
          <w:bCs/>
          <w:iCs/>
        </w:rPr>
        <w:t xml:space="preserve"> additionally notes the author’s argument that t</w:t>
      </w:r>
      <w:r w:rsidR="00D22E2A" w:rsidRPr="00D22E2A">
        <w:rPr>
          <w:bCs/>
          <w:iCs/>
        </w:rPr>
        <w:t xml:space="preserve">he </w:t>
      </w:r>
      <w:r w:rsidR="00235C96">
        <w:rPr>
          <w:bCs/>
          <w:iCs/>
        </w:rPr>
        <w:t xml:space="preserve">newly enacted </w:t>
      </w:r>
      <w:r w:rsidR="00D22E2A" w:rsidRPr="00D22E2A">
        <w:rPr>
          <w:bCs/>
          <w:iCs/>
        </w:rPr>
        <w:t xml:space="preserve">regulation makes the commutation of a death sentence dependant on factors such as the socio-economical background of the convicted person’s family, </w:t>
      </w:r>
      <w:r w:rsidR="00235C96">
        <w:rPr>
          <w:bCs/>
          <w:iCs/>
        </w:rPr>
        <w:t xml:space="preserve">and thus </w:t>
      </w:r>
      <w:r w:rsidR="00D22E2A" w:rsidRPr="00D22E2A">
        <w:rPr>
          <w:bCs/>
          <w:iCs/>
        </w:rPr>
        <w:t xml:space="preserve">external to his or her personal circumstances or the circumstances of the crime. </w:t>
      </w:r>
      <w:r w:rsidR="006D2515" w:rsidRPr="006D2515">
        <w:rPr>
          <w:bCs/>
          <w:iCs/>
        </w:rPr>
        <w:t xml:space="preserve">The Committee recalls </w:t>
      </w:r>
      <w:r w:rsidR="00E27C94">
        <w:rPr>
          <w:bCs/>
          <w:iCs/>
        </w:rPr>
        <w:t xml:space="preserve">that </w:t>
      </w:r>
      <w:r w:rsidR="00E27C94" w:rsidRPr="00E27C94">
        <w:rPr>
          <w:bCs/>
          <w:iCs/>
        </w:rPr>
        <w:t>States parties are required pursuant to article 6 (4) to allow individuals sentenced to death to seek pardon or commutation, to ensure that amnesties, pardons and commutation can be granted to them in appropriate circumstances, and to ensure that sentences are not carried out before requests for pardon or commutation have been meaningfully considered and conclusively decided upon according to applicable procedures.</w:t>
      </w:r>
      <w:r w:rsidR="00E27C94">
        <w:rPr>
          <w:rStyle w:val="FootnoteReference"/>
          <w:bCs/>
          <w:iCs/>
        </w:rPr>
        <w:footnoteReference w:id="36"/>
      </w:r>
      <w:r w:rsidR="00E27C94" w:rsidRPr="00E27C94">
        <w:rPr>
          <w:bCs/>
          <w:iCs/>
        </w:rPr>
        <w:t xml:space="preserve"> No category of sentenced persons can be a priori excluded from such measures of relief, nor should the conditions for attainment of relief be ineffective, unnecessarily burdensome, discriminatory in nature or applied in an arbitrary manner.</w:t>
      </w:r>
      <w:r w:rsidR="008A776B">
        <w:rPr>
          <w:rStyle w:val="FootnoteReference"/>
          <w:bCs/>
          <w:iCs/>
        </w:rPr>
        <w:footnoteReference w:id="37"/>
      </w:r>
      <w:r w:rsidR="008A776B">
        <w:rPr>
          <w:bCs/>
          <w:iCs/>
        </w:rPr>
        <w:t xml:space="preserve"> The Committee recalls that while a</w:t>
      </w:r>
      <w:r w:rsidR="00E27C94" w:rsidRPr="00E27C94">
        <w:rPr>
          <w:bCs/>
          <w:iCs/>
        </w:rPr>
        <w:t>rticle 6 (4) does not prescribe a particular procedure for the exercise of the right to seek pardon or commutation</w:t>
      </w:r>
      <w:r w:rsidR="008A776B">
        <w:rPr>
          <w:bCs/>
          <w:iCs/>
        </w:rPr>
        <w:t xml:space="preserve">, </w:t>
      </w:r>
      <w:r w:rsidR="00E27C94" w:rsidRPr="00E27C94">
        <w:rPr>
          <w:bCs/>
          <w:iCs/>
        </w:rPr>
        <w:t>such procedures should be specified in domestic legislation and they should not afford the families of victims of crime a preponderant role in determining whether the death sentence should be carried out.</w:t>
      </w:r>
      <w:r w:rsidR="008A776B">
        <w:rPr>
          <w:rStyle w:val="FootnoteReference"/>
          <w:bCs/>
          <w:iCs/>
        </w:rPr>
        <w:footnoteReference w:id="38"/>
      </w:r>
      <w:r w:rsidR="00E27C94" w:rsidRPr="00E27C94">
        <w:rPr>
          <w:bCs/>
          <w:iCs/>
        </w:rPr>
        <w:t xml:space="preserve"> Furthermore, pardon or commutation procedures must offer certain essential guarantees, including certainty about the processes followed and the substantive criteria applied and the rights for individuals sentenced to death to initiate pardon or commutation procedures and to make representations about their personal or other relevant circumstances, to be informed in advance when the request will be considered, and to be informed promptly about the outcome of the procedure.</w:t>
      </w:r>
      <w:r w:rsidR="008A776B">
        <w:rPr>
          <w:rStyle w:val="FootnoteReference"/>
          <w:bCs/>
          <w:iCs/>
        </w:rPr>
        <w:footnoteReference w:id="39"/>
      </w:r>
      <w:r w:rsidR="00E27C94" w:rsidRPr="00E27C94">
        <w:rPr>
          <w:bCs/>
          <w:iCs/>
        </w:rPr>
        <w:t xml:space="preserve"> </w:t>
      </w:r>
      <w:r w:rsidR="008A776B">
        <w:rPr>
          <w:bCs/>
          <w:iCs/>
        </w:rPr>
        <w:t xml:space="preserve">Taking into account the information that the current regulation in the State party prevents the </w:t>
      </w:r>
      <w:r w:rsidR="00FD57FB" w:rsidRPr="00FD57FB">
        <w:rPr>
          <w:bCs/>
          <w:iCs/>
        </w:rPr>
        <w:t>alleged victim</w:t>
      </w:r>
      <w:r w:rsidR="00FD57FB" w:rsidRPr="00FD57FB" w:rsidDel="00FD57FB">
        <w:rPr>
          <w:bCs/>
          <w:iCs/>
        </w:rPr>
        <w:t xml:space="preserve"> </w:t>
      </w:r>
      <w:r w:rsidR="008A776B">
        <w:rPr>
          <w:bCs/>
          <w:iCs/>
        </w:rPr>
        <w:t xml:space="preserve"> from initiating a pardon or commutation procedure and the fact that the</w:t>
      </w:r>
      <w:r w:rsidR="008A776B" w:rsidRPr="008A776B">
        <w:rPr>
          <w:bCs/>
          <w:iCs/>
        </w:rPr>
        <w:t xml:space="preserve"> preponderant role in determining whether the death sentence </w:t>
      </w:r>
      <w:r w:rsidR="00235C96">
        <w:rPr>
          <w:bCs/>
          <w:iCs/>
        </w:rPr>
        <w:t>is to</w:t>
      </w:r>
      <w:r w:rsidR="008A776B" w:rsidRPr="008A776B">
        <w:rPr>
          <w:bCs/>
          <w:iCs/>
        </w:rPr>
        <w:t xml:space="preserve"> be carried out</w:t>
      </w:r>
      <w:r w:rsidR="008A776B">
        <w:rPr>
          <w:bCs/>
          <w:iCs/>
        </w:rPr>
        <w:t xml:space="preserve"> is placed with the victim’s family,</w:t>
      </w:r>
      <w:r w:rsidR="006D2515" w:rsidRPr="006D2515">
        <w:rPr>
          <w:bCs/>
          <w:iCs/>
        </w:rPr>
        <w:t xml:space="preserve"> the Committee considers that the State party has not met its obligations under article 6 (4) of the Covenant.</w:t>
      </w:r>
      <w:r w:rsidR="006228FC">
        <w:rPr>
          <w:bCs/>
          <w:iCs/>
        </w:rPr>
        <w:t xml:space="preserve"> </w:t>
      </w:r>
      <w:r w:rsidR="006D2515" w:rsidRPr="006D2515">
        <w:rPr>
          <w:bCs/>
          <w:iCs/>
        </w:rPr>
        <w:t xml:space="preserve"> </w:t>
      </w:r>
    </w:p>
    <w:p w14:paraId="1195874D" w14:textId="08497CF0" w:rsidR="006D2515" w:rsidRPr="006D2515" w:rsidRDefault="008033C3" w:rsidP="006D2515">
      <w:pPr>
        <w:pStyle w:val="SingleTxtG"/>
        <w:rPr>
          <w:bCs/>
          <w:iCs/>
        </w:rPr>
      </w:pPr>
      <w:r>
        <w:rPr>
          <w:bCs/>
          <w:iCs/>
        </w:rPr>
        <w:t>10.</w:t>
      </w:r>
      <w:r>
        <w:rPr>
          <w:bCs/>
          <w:iCs/>
        </w:rPr>
        <w:tab/>
      </w:r>
      <w:r w:rsidR="006D2515" w:rsidRPr="006D2515">
        <w:rPr>
          <w:bCs/>
          <w:iCs/>
        </w:rPr>
        <w:t xml:space="preserve">The Committee, acting under article 5 (4) of the Optional Protocol, is of the view that the information before it discloses a violation by the State party of </w:t>
      </w:r>
      <w:r w:rsidR="00F4104A">
        <w:rPr>
          <w:bCs/>
          <w:iCs/>
        </w:rPr>
        <w:t xml:space="preserve">the </w:t>
      </w:r>
      <w:r w:rsidR="00A94CDD">
        <w:rPr>
          <w:bCs/>
          <w:iCs/>
        </w:rPr>
        <w:t>alleged victim’s</w:t>
      </w:r>
      <w:r w:rsidR="006D2515" w:rsidRPr="006D2515">
        <w:rPr>
          <w:bCs/>
          <w:iCs/>
        </w:rPr>
        <w:t xml:space="preserve"> rights under articles 6 (1) and (4), </w:t>
      </w:r>
      <w:r w:rsidR="007B0683">
        <w:rPr>
          <w:bCs/>
          <w:iCs/>
        </w:rPr>
        <w:t>read alone and in conjunction with article</w:t>
      </w:r>
      <w:r w:rsidR="0016558A">
        <w:rPr>
          <w:bCs/>
          <w:iCs/>
        </w:rPr>
        <w:t xml:space="preserve"> </w:t>
      </w:r>
      <w:r w:rsidR="006D2515" w:rsidRPr="006D2515">
        <w:rPr>
          <w:bCs/>
          <w:iCs/>
        </w:rPr>
        <w:t>14 (3) (d)</w:t>
      </w:r>
      <w:r w:rsidR="00F4104A">
        <w:rPr>
          <w:bCs/>
          <w:iCs/>
        </w:rPr>
        <w:t xml:space="preserve"> </w:t>
      </w:r>
      <w:r w:rsidR="006D2515" w:rsidRPr="006D2515">
        <w:rPr>
          <w:bCs/>
          <w:iCs/>
        </w:rPr>
        <w:t xml:space="preserve">and (g) of the Covenant. </w:t>
      </w:r>
    </w:p>
    <w:p w14:paraId="30745962" w14:textId="70EB9681" w:rsidR="006D2515" w:rsidRPr="006D2515" w:rsidRDefault="006D2515" w:rsidP="006D2515">
      <w:pPr>
        <w:pStyle w:val="SingleTxtG"/>
        <w:rPr>
          <w:bCs/>
          <w:iCs/>
        </w:rPr>
      </w:pPr>
      <w:r w:rsidRPr="006D2515">
        <w:rPr>
          <w:bCs/>
          <w:iCs/>
        </w:rPr>
        <w:t>11.</w:t>
      </w:r>
      <w:r w:rsidR="007C44B9">
        <w:rPr>
          <w:bCs/>
          <w:iCs/>
        </w:rPr>
        <w:tab/>
      </w:r>
      <w:r w:rsidRPr="006D2515">
        <w:rPr>
          <w:bCs/>
          <w:iCs/>
        </w:rPr>
        <w:t xml:space="preserve">Pursuant to article 2 (3) (a) of the Covenant, the State party is under an obligation to provide the </w:t>
      </w:r>
      <w:r w:rsidR="00182444">
        <w:rPr>
          <w:bCs/>
          <w:iCs/>
        </w:rPr>
        <w:t>alleged victim</w:t>
      </w:r>
      <w:r w:rsidRPr="006D2515">
        <w:rPr>
          <w:bCs/>
          <w:iCs/>
        </w:rPr>
        <w:t xml:space="preserve"> with an effective remedy. This requires it to make full reparation to individuals whose Covenant rights have been violated. Accordingly, the State party is obligated to</w:t>
      </w:r>
      <w:r w:rsidR="00082FE5" w:rsidRPr="00082FE5">
        <w:rPr>
          <w:sz w:val="24"/>
          <w:szCs w:val="24"/>
        </w:rPr>
        <w:t xml:space="preserve"> </w:t>
      </w:r>
      <w:r w:rsidR="00192C7F">
        <w:rPr>
          <w:bCs/>
          <w:iCs/>
        </w:rPr>
        <w:t xml:space="preserve">a) </w:t>
      </w:r>
      <w:r w:rsidR="00FD57FB">
        <w:rPr>
          <w:bCs/>
          <w:iCs/>
        </w:rPr>
        <w:t>t</w:t>
      </w:r>
      <w:r w:rsidR="00FD57FB" w:rsidRPr="00FD57FB">
        <w:rPr>
          <w:bCs/>
          <w:iCs/>
        </w:rPr>
        <w:t xml:space="preserve">ake immediate steps to quash </w:t>
      </w:r>
      <w:r w:rsidR="00126845">
        <w:rPr>
          <w:bCs/>
          <w:iCs/>
        </w:rPr>
        <w:t>the alleged victim</w:t>
      </w:r>
      <w:r w:rsidR="00FD57FB" w:rsidRPr="00FD57FB">
        <w:rPr>
          <w:bCs/>
          <w:iCs/>
        </w:rPr>
        <w:t xml:space="preserve">’s conviction and sentence and immediately order a retrial of </w:t>
      </w:r>
      <w:r w:rsidR="00FD57FB">
        <w:rPr>
          <w:bCs/>
          <w:iCs/>
        </w:rPr>
        <w:t>his</w:t>
      </w:r>
      <w:r w:rsidR="00FD57FB" w:rsidRPr="00FD57FB">
        <w:rPr>
          <w:bCs/>
          <w:iCs/>
        </w:rPr>
        <w:t xml:space="preserve"> case, ensuring that the proceedings comply with all fair trial guarantees in accordance with </w:t>
      </w:r>
      <w:r w:rsidR="005257AB">
        <w:rPr>
          <w:bCs/>
          <w:iCs/>
        </w:rPr>
        <w:t>its</w:t>
      </w:r>
      <w:r w:rsidR="00FD57FB" w:rsidRPr="00FD57FB">
        <w:rPr>
          <w:bCs/>
          <w:iCs/>
        </w:rPr>
        <w:t xml:space="preserve"> obligations under articles 6 and 14 of the Covenant </w:t>
      </w:r>
      <w:r w:rsidR="001A4002">
        <w:rPr>
          <w:bCs/>
          <w:iCs/>
        </w:rPr>
        <w:t xml:space="preserve">and </w:t>
      </w:r>
      <w:r w:rsidR="00FD57FB">
        <w:rPr>
          <w:bCs/>
          <w:iCs/>
        </w:rPr>
        <w:t>b</w:t>
      </w:r>
      <w:r w:rsidR="00192C7F">
        <w:rPr>
          <w:bCs/>
          <w:iCs/>
        </w:rPr>
        <w:t xml:space="preserve">) </w:t>
      </w:r>
      <w:r w:rsidR="001A4002">
        <w:rPr>
          <w:bCs/>
          <w:iCs/>
        </w:rPr>
        <w:t xml:space="preserve">provide </w:t>
      </w:r>
      <w:r w:rsidR="00126845">
        <w:rPr>
          <w:bCs/>
          <w:iCs/>
        </w:rPr>
        <w:t xml:space="preserve">the alleged victim </w:t>
      </w:r>
      <w:r w:rsidR="00082FE5">
        <w:rPr>
          <w:bCs/>
          <w:iCs/>
        </w:rPr>
        <w:t>w</w:t>
      </w:r>
      <w:r w:rsidRPr="006D2515">
        <w:rPr>
          <w:bCs/>
          <w:iCs/>
        </w:rPr>
        <w:t>ith adequate compensation. The State party is also under an obligation to take all steps necessary to prevent similar violations from occurring in the future</w:t>
      </w:r>
      <w:r w:rsidR="00CB193E">
        <w:rPr>
          <w:rFonts w:eastAsia="Times New Roman"/>
          <w:lang w:eastAsia="en-US"/>
        </w:rPr>
        <w:t>, including by ensuring that</w:t>
      </w:r>
      <w:r w:rsidR="00E97F18" w:rsidRPr="00E97F18">
        <w:rPr>
          <w:rFonts w:eastAsia="Times New Roman"/>
          <w:lang w:eastAsia="en-US"/>
        </w:rPr>
        <w:t xml:space="preserve"> </w:t>
      </w:r>
      <w:r w:rsidR="00E97F18">
        <w:rPr>
          <w:rFonts w:eastAsia="Times New Roman"/>
          <w:lang w:eastAsia="en-US"/>
        </w:rPr>
        <w:t>an</w:t>
      </w:r>
      <w:r w:rsidR="00E97F18" w:rsidRPr="00E97F18">
        <w:rPr>
          <w:rFonts w:eastAsia="Times New Roman"/>
          <w:lang w:eastAsia="en-US"/>
        </w:rPr>
        <w:t xml:space="preserve"> assessment of </w:t>
      </w:r>
      <w:r w:rsidR="00E97F18">
        <w:rPr>
          <w:rFonts w:eastAsia="Times New Roman"/>
          <w:lang w:eastAsia="en-US"/>
        </w:rPr>
        <w:t>a defendant’s</w:t>
      </w:r>
      <w:r w:rsidR="00E97F18" w:rsidRPr="00E97F18">
        <w:rPr>
          <w:rFonts w:eastAsia="Times New Roman"/>
          <w:lang w:eastAsia="en-US"/>
        </w:rPr>
        <w:t xml:space="preserve"> </w:t>
      </w:r>
      <w:r w:rsidR="00E97F18" w:rsidRPr="00E97F18">
        <w:rPr>
          <w:rFonts w:eastAsia="Times New Roman"/>
          <w:bCs/>
          <w:iCs/>
          <w:lang w:eastAsia="en-US"/>
        </w:rPr>
        <w:t>personal circumstances and the particular circumstances of the offence</w:t>
      </w:r>
      <w:r w:rsidR="00E97F18">
        <w:rPr>
          <w:rFonts w:eastAsia="Times New Roman"/>
          <w:bCs/>
          <w:iCs/>
          <w:lang w:eastAsia="en-US"/>
        </w:rPr>
        <w:t xml:space="preserve"> are taken into account in sentencing for the offence of murder</w:t>
      </w:r>
      <w:r w:rsidR="00E97F18" w:rsidRPr="00E97F18">
        <w:rPr>
          <w:rFonts w:eastAsia="Times New Roman"/>
          <w:lang w:eastAsia="en-US"/>
        </w:rPr>
        <w:t xml:space="preserve">, </w:t>
      </w:r>
      <w:r w:rsidR="00E97F18">
        <w:rPr>
          <w:rFonts w:eastAsia="Times New Roman"/>
          <w:lang w:eastAsia="en-US"/>
        </w:rPr>
        <w:t>in accordance with its obligations</w:t>
      </w:r>
      <w:r w:rsidR="00E97F18" w:rsidRPr="00E97F18">
        <w:rPr>
          <w:rFonts w:eastAsia="Times New Roman"/>
          <w:lang w:eastAsia="en-US"/>
        </w:rPr>
        <w:t xml:space="preserve"> under article 6 (1) of the Covenant</w:t>
      </w:r>
      <w:r w:rsidR="00E97F18">
        <w:rPr>
          <w:rFonts w:eastAsia="Times New Roman"/>
          <w:lang w:eastAsia="en-US"/>
        </w:rPr>
        <w:t xml:space="preserve">, as well as ensuring that </w:t>
      </w:r>
      <w:r w:rsidR="00CB193E" w:rsidRPr="00CB193E">
        <w:rPr>
          <w:bCs/>
          <w:iCs/>
        </w:rPr>
        <w:t xml:space="preserve">all persons under sentence of death </w:t>
      </w:r>
      <w:r w:rsidR="00CB193E">
        <w:rPr>
          <w:bCs/>
          <w:iCs/>
        </w:rPr>
        <w:t xml:space="preserve">in the State party are able to </w:t>
      </w:r>
      <w:r w:rsidR="00CB193E" w:rsidRPr="00CB193E">
        <w:rPr>
          <w:bCs/>
          <w:iCs/>
        </w:rPr>
        <w:t>exercise their right to seek pardon or commutation of their sentences</w:t>
      </w:r>
      <w:r w:rsidR="007B0683">
        <w:rPr>
          <w:bCs/>
          <w:iCs/>
        </w:rPr>
        <w:t>,</w:t>
      </w:r>
      <w:r w:rsidR="00CB193E" w:rsidRPr="00CB193E">
        <w:rPr>
          <w:bCs/>
          <w:iCs/>
        </w:rPr>
        <w:t xml:space="preserve"> as guaranteed by</w:t>
      </w:r>
      <w:r w:rsidR="00CB193E">
        <w:rPr>
          <w:bCs/>
          <w:iCs/>
        </w:rPr>
        <w:t xml:space="preserve"> article 6 (4) of</w:t>
      </w:r>
      <w:r w:rsidR="00CB193E" w:rsidRPr="00CB193E">
        <w:rPr>
          <w:bCs/>
          <w:iCs/>
        </w:rPr>
        <w:t xml:space="preserve"> the Covenant</w:t>
      </w:r>
      <w:r w:rsidRPr="006D2515">
        <w:rPr>
          <w:bCs/>
          <w:iCs/>
        </w:rPr>
        <w:t xml:space="preserve">. </w:t>
      </w:r>
    </w:p>
    <w:p w14:paraId="584E7A2A" w14:textId="7CEFC971" w:rsidR="00227538" w:rsidRDefault="006D2515" w:rsidP="006D2515">
      <w:pPr>
        <w:pStyle w:val="SingleTxtG"/>
        <w:rPr>
          <w:bCs/>
          <w:iCs/>
        </w:rPr>
      </w:pPr>
      <w:r w:rsidRPr="006D2515">
        <w:rPr>
          <w:bCs/>
          <w:iCs/>
        </w:rPr>
        <w:t xml:space="preserve">12. </w:t>
      </w:r>
      <w:r w:rsidR="007B0683">
        <w:rPr>
          <w:bCs/>
          <w:iCs/>
        </w:rPr>
        <w:tab/>
      </w:r>
      <w:r w:rsidRPr="006D2515">
        <w:rPr>
          <w:bCs/>
          <w:iCs/>
        </w:rPr>
        <w:t xml:space="preserve">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w:t>
      </w:r>
      <w:r w:rsidRPr="006D2515">
        <w:rPr>
          <w:bCs/>
          <w:iCs/>
        </w:rPr>
        <w:lastRenderedPageBreak/>
        <w:t>Committee’s Views. The State party is also requested to publish the present Views and to have them widely disseminated in the official language</w:t>
      </w:r>
      <w:r w:rsidR="00400533">
        <w:rPr>
          <w:bCs/>
          <w:iCs/>
        </w:rPr>
        <w:t>s</w:t>
      </w:r>
      <w:r w:rsidRPr="006D2515">
        <w:rPr>
          <w:bCs/>
          <w:iCs/>
        </w:rPr>
        <w:t xml:space="preserve"> of the State party.</w:t>
      </w:r>
    </w:p>
    <w:p w14:paraId="7971BA15" w14:textId="0FB72234" w:rsidR="005B01CF" w:rsidRDefault="005B01CF" w:rsidP="005B01CF">
      <w:pPr>
        <w:pStyle w:val="SingleTxtG"/>
        <w:spacing w:before="240" w:after="0"/>
        <w:jc w:val="center"/>
        <w:rPr>
          <w:bCs/>
          <w:iCs/>
          <w:u w:val="single"/>
        </w:rPr>
        <w:sectPr w:rsidR="005B01CF" w:rsidSect="00C54B93">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pPr>
    </w:p>
    <w:p w14:paraId="55B55778" w14:textId="4E8D2315" w:rsidR="005B01CF" w:rsidRDefault="005B01CF" w:rsidP="005B01CF">
      <w:pPr>
        <w:pStyle w:val="HChG"/>
        <w:rPr>
          <w:rFonts w:eastAsia="SimSun"/>
          <w:lang w:eastAsia="zh-CN"/>
        </w:rPr>
      </w:pPr>
      <w:r>
        <w:lastRenderedPageBreak/>
        <w:tab/>
      </w:r>
      <w:r w:rsidRPr="005D6548">
        <w:rPr>
          <w:rFonts w:eastAsia="SimSun"/>
          <w:lang w:eastAsia="zh-CN"/>
        </w:rPr>
        <w:t>Annex</w:t>
      </w:r>
    </w:p>
    <w:p w14:paraId="5F780929" w14:textId="7FA7D42B" w:rsidR="005B01CF" w:rsidRPr="00344821" w:rsidRDefault="005B01CF" w:rsidP="0045367B">
      <w:pPr>
        <w:pStyle w:val="H1G"/>
      </w:pPr>
      <w:r>
        <w:tab/>
      </w:r>
      <w:r>
        <w:tab/>
      </w:r>
      <w:r w:rsidRPr="00344821">
        <w:t xml:space="preserve">Joint opinion </w:t>
      </w:r>
      <w:r w:rsidR="00400533">
        <w:t xml:space="preserve">by Committee members </w:t>
      </w:r>
      <w:r w:rsidRPr="00344821">
        <w:t xml:space="preserve">José Santos Pais, </w:t>
      </w:r>
      <w:r>
        <w:t>Carlos Gomez, Kobauyah Tchamdja and Koji Teraya</w:t>
      </w:r>
      <w:r w:rsidRPr="00344821">
        <w:t xml:space="preserve"> (</w:t>
      </w:r>
      <w:r>
        <w:t xml:space="preserve">partially </w:t>
      </w:r>
      <w:r w:rsidRPr="00344821">
        <w:t>dissenting)</w:t>
      </w:r>
      <w:r>
        <w:t>.</w:t>
      </w:r>
      <w:r>
        <w:tab/>
      </w:r>
    </w:p>
    <w:p w14:paraId="7C699220" w14:textId="0D75C094" w:rsidR="005B01CF" w:rsidRDefault="005B01CF" w:rsidP="005B01CF">
      <w:pPr>
        <w:pStyle w:val="SingleTxtG"/>
      </w:pPr>
      <w:r w:rsidRPr="003552FB">
        <w:t>1.</w:t>
      </w:r>
      <w:r>
        <w:t xml:space="preserve"> </w:t>
      </w:r>
      <w:r>
        <w:tab/>
      </w:r>
      <w:r w:rsidRPr="003552FB">
        <w:t xml:space="preserve">We concur with the finding by the Committee of a violation of the alleged victim’s rights under articles 6 (1) and (4), read alone and in conjunction with article 14 (3) (d) of the Covenant. We regret however not being able to concur with the violation </w:t>
      </w:r>
      <w:r>
        <w:t>of</w:t>
      </w:r>
      <w:r w:rsidRPr="003552FB">
        <w:t xml:space="preserve"> article 14 (3) (g) of the Covenant.</w:t>
      </w:r>
    </w:p>
    <w:p w14:paraId="7917C869" w14:textId="77777777" w:rsidR="005B01CF" w:rsidRDefault="005B01CF" w:rsidP="005B01CF">
      <w:pPr>
        <w:pStyle w:val="SingleTxtG"/>
      </w:pPr>
      <w:r>
        <w:t xml:space="preserve">2. </w:t>
      </w:r>
      <w:r>
        <w:tab/>
        <w:t>Under article 14 (3) (g) of the Covenant:</w:t>
      </w:r>
    </w:p>
    <w:p w14:paraId="20706ED7" w14:textId="77777777" w:rsidR="005B01CF" w:rsidRDefault="005B01CF" w:rsidP="005B01CF">
      <w:pPr>
        <w:pStyle w:val="SingleTxtG"/>
      </w:pPr>
      <w:r>
        <w:t xml:space="preserve">“3. In the </w:t>
      </w:r>
      <w:r w:rsidRPr="00D359CE">
        <w:t>determination</w:t>
      </w:r>
      <w:r>
        <w:t xml:space="preserve"> of any criminal charge against him, everyone shall be entitled to the following minimum </w:t>
      </w:r>
      <w:r w:rsidRPr="00D359CE">
        <w:t>guarantees</w:t>
      </w:r>
      <w:r>
        <w:t>, in full equality:</w:t>
      </w:r>
    </w:p>
    <w:p w14:paraId="1458E9FA" w14:textId="77777777" w:rsidR="005B01CF" w:rsidRDefault="005B01CF" w:rsidP="005B01CF">
      <w:pPr>
        <w:pStyle w:val="SingleTxtG"/>
      </w:pPr>
      <w:r>
        <w:tab/>
        <w:t xml:space="preserve">g) Not be </w:t>
      </w:r>
      <w:r w:rsidRPr="00D359CE">
        <w:t>compelled</w:t>
      </w:r>
      <w:r>
        <w:t xml:space="preserve"> to testify against himself or to confess guilt.” </w:t>
      </w:r>
    </w:p>
    <w:p w14:paraId="3214D451" w14:textId="77777777" w:rsidR="005B01CF" w:rsidRDefault="005B01CF" w:rsidP="005B01CF">
      <w:pPr>
        <w:pStyle w:val="SingleTxtG"/>
      </w:pPr>
      <w:r>
        <w:t>The question therefore to solve is whether the alleged victim was compelled or not to testify against himself or to confess guilt.</w:t>
      </w:r>
    </w:p>
    <w:p w14:paraId="6421FF9D" w14:textId="77777777" w:rsidR="005B01CF" w:rsidRDefault="005B01CF" w:rsidP="005B01CF">
      <w:pPr>
        <w:pStyle w:val="SingleTxtG"/>
      </w:pPr>
      <w:r>
        <w:t xml:space="preserve">3. </w:t>
      </w:r>
      <w:r>
        <w:tab/>
        <w:t xml:space="preserve">In the present case, </w:t>
      </w:r>
      <w:r w:rsidRPr="007B3DAD">
        <w:t xml:space="preserve">the alleged victim was arrested in connection to a murder. </w:t>
      </w:r>
      <w:r>
        <w:t>D</w:t>
      </w:r>
      <w:r w:rsidRPr="007B3DAD">
        <w:t>uring the police investigation, he gave a self-incriminating statement to the police</w:t>
      </w:r>
      <w:r>
        <w:t xml:space="preserve"> (para 2.1). He</w:t>
      </w:r>
      <w:r w:rsidRPr="007B3DAD">
        <w:t xml:space="preserve"> was </w:t>
      </w:r>
      <w:r>
        <w:t xml:space="preserve">later </w:t>
      </w:r>
      <w:r w:rsidRPr="007B3DAD">
        <w:t>convicted by the Criminal Court on the charge of “intentional murder” and sentenced to death</w:t>
      </w:r>
      <w:r>
        <w:t xml:space="preserve"> (para 2.2)</w:t>
      </w:r>
      <w:r w:rsidRPr="007B3DAD">
        <w:t>.</w:t>
      </w:r>
      <w:r>
        <w:t xml:space="preserve"> </w:t>
      </w:r>
      <w:r w:rsidRPr="00CA6D01">
        <w:t xml:space="preserve">The alleged </w:t>
      </w:r>
      <w:r w:rsidRPr="00D359CE">
        <w:t>victim</w:t>
      </w:r>
      <w:r w:rsidRPr="00CA6D01">
        <w:t xml:space="preserve"> appealed the judgment to the High Court of the Maldives</w:t>
      </w:r>
      <w:r>
        <w:t>, which</w:t>
      </w:r>
      <w:r w:rsidRPr="00CA6D01">
        <w:t xml:space="preserve"> upheld the conviction and the death sentence imposed. The judgment was upheld by final judgment by the Supreme Court</w:t>
      </w:r>
      <w:r>
        <w:t xml:space="preserve"> (para 2.3).</w:t>
      </w:r>
    </w:p>
    <w:p w14:paraId="07582239" w14:textId="77777777" w:rsidR="005B01CF" w:rsidRDefault="005B01CF" w:rsidP="005B01CF">
      <w:pPr>
        <w:pStyle w:val="SingleTxtG"/>
      </w:pPr>
      <w:r>
        <w:t xml:space="preserve">4. </w:t>
      </w:r>
      <w:r>
        <w:tab/>
        <w:t xml:space="preserve">The alleged victim later </w:t>
      </w:r>
      <w:r w:rsidRPr="00CA6D01">
        <w:t xml:space="preserve">withdrew the statement at trial stating </w:t>
      </w:r>
      <w:r w:rsidRPr="00B16DC6">
        <w:t>he had signed the statement without thoroughly reading it because he felt fearful</w:t>
      </w:r>
      <w:r>
        <w:t>.</w:t>
      </w:r>
      <w:r w:rsidRPr="00B16DC6">
        <w:t xml:space="preserve"> </w:t>
      </w:r>
      <w:r>
        <w:t>T</w:t>
      </w:r>
      <w:r w:rsidRPr="00CA6D01">
        <w:t xml:space="preserve">he statement was </w:t>
      </w:r>
      <w:r w:rsidRPr="00D359CE">
        <w:t>however</w:t>
      </w:r>
      <w:r>
        <w:t xml:space="preserve"> allegedly </w:t>
      </w:r>
      <w:r w:rsidRPr="00CA6D01">
        <w:t xml:space="preserve">taken into consideration by the </w:t>
      </w:r>
      <w:r w:rsidRPr="00D359CE">
        <w:rPr>
          <w:bCs/>
          <w:iCs/>
        </w:rPr>
        <w:t>courts</w:t>
      </w:r>
      <w:r w:rsidRPr="00CA6D01">
        <w:t xml:space="preserve"> and used to convict him</w:t>
      </w:r>
      <w:r>
        <w:t xml:space="preserve"> (paras 2.4, 3.4). From such state of fearfulness, the conclusion is drawn that </w:t>
      </w:r>
      <w:r w:rsidRPr="0088766E">
        <w:t xml:space="preserve">statements elicited </w:t>
      </w:r>
      <w:proofErr w:type="gramStart"/>
      <w:r w:rsidRPr="0088766E">
        <w:t>as a result of</w:t>
      </w:r>
      <w:proofErr w:type="gramEnd"/>
      <w:r w:rsidRPr="0088766E">
        <w:t xml:space="preserve"> torture or other ill-treatment must be excluded as evidence in criminal proceedings</w:t>
      </w:r>
      <w:r>
        <w:t>. A state of fearfulness is however something much different than a situation of torture and of course the consequences of both situations should not be the same.</w:t>
      </w:r>
    </w:p>
    <w:p w14:paraId="5B25A5AB" w14:textId="77777777" w:rsidR="005B01CF" w:rsidRDefault="005B01CF" w:rsidP="005B01CF">
      <w:pPr>
        <w:pStyle w:val="SingleTxtG"/>
      </w:pPr>
      <w:r>
        <w:t xml:space="preserve">5. </w:t>
      </w:r>
      <w:r>
        <w:tab/>
      </w:r>
      <w:r w:rsidRPr="0062784D">
        <w:t xml:space="preserve">The State party notes that the alleged victim was arrested on suspicion of participating in a gang fight. During the fight he was </w:t>
      </w:r>
      <w:r w:rsidRPr="00D359CE">
        <w:t>observed</w:t>
      </w:r>
      <w:r w:rsidRPr="0062784D">
        <w:t xml:space="preserve"> beating the murder victim and throwing an approximately 6-inch-long knife-like weapon into the victim’s back, resulting in his death in hospital</w:t>
      </w:r>
      <w:r>
        <w:t xml:space="preserve"> (para 4.2). The defendant enjoyed due process guarantees during the trial, was able to refute the charges presented by the prosecution, was represented by counsels throughout the whole trial and granted additional time to prepare his defence (paras 4.3, 4.7, 4.11, 6.3).</w:t>
      </w:r>
    </w:p>
    <w:p w14:paraId="4E517D78" w14:textId="77777777" w:rsidR="005B01CF" w:rsidRDefault="005B01CF" w:rsidP="005B01CF">
      <w:pPr>
        <w:pStyle w:val="SingleTxtG"/>
      </w:pPr>
      <w:r>
        <w:t xml:space="preserve">6. </w:t>
      </w:r>
      <w:r>
        <w:tab/>
        <w:t xml:space="preserve"> </w:t>
      </w:r>
      <w:r w:rsidRPr="000F513A">
        <w:t>During the hearings five witnesses were heard, as well as a medical expert who attested to the cause of death. In the interest of protecting the witnesses, they were heard via live video conference. The alleged victim and his counsel did not object to this measure. The defence had the opportunity to cross-examine the witnesses, however the defence did not pose any questions to the</w:t>
      </w:r>
      <w:r>
        <w:t xml:space="preserve">m. Regarding the statement the alleged victim had given during the investigation phase, he </w:t>
      </w:r>
      <w:r w:rsidRPr="004E3CE7">
        <w:t xml:space="preserve">was informed </w:t>
      </w:r>
      <w:r w:rsidRPr="00D359CE">
        <w:t>of</w:t>
      </w:r>
      <w:r w:rsidRPr="004E3CE7">
        <w:t xml:space="preserve"> his right to legal counsel during the investigation</w:t>
      </w:r>
      <w:r>
        <w:t>, but</w:t>
      </w:r>
      <w:r w:rsidRPr="004E3CE7">
        <w:t xml:space="preserve"> he declined this right and consented to interrogation without the presence of counsel</w:t>
      </w:r>
      <w:r>
        <w:t xml:space="preserve">. </w:t>
      </w:r>
      <w:r w:rsidRPr="004E3CE7">
        <w:t xml:space="preserve">In its assessment the Court found that witness statements, as well as the alleged victim’s statement </w:t>
      </w:r>
      <w:proofErr w:type="gramStart"/>
      <w:r w:rsidRPr="004E3CE7">
        <w:t>in the course of</w:t>
      </w:r>
      <w:proofErr w:type="gramEnd"/>
      <w:r w:rsidRPr="004E3CE7">
        <w:t xml:space="preserve"> the police </w:t>
      </w:r>
      <w:r w:rsidRPr="00D359CE">
        <w:t>investigation</w:t>
      </w:r>
      <w:r w:rsidRPr="004E3CE7">
        <w:t>, established that the murder victim had died as a result of the alleged victim throwing a sharp object at the murder victim, which caused him severe injuries resulting in his death</w:t>
      </w:r>
      <w:r>
        <w:t xml:space="preserve"> (paras 4.4, 4.11).</w:t>
      </w:r>
    </w:p>
    <w:p w14:paraId="27473119" w14:textId="77777777" w:rsidR="005B01CF" w:rsidRDefault="005B01CF" w:rsidP="005B01CF">
      <w:pPr>
        <w:pStyle w:val="SingleTxtG"/>
      </w:pPr>
      <w:r>
        <w:t xml:space="preserve">Therefore, according to the State party, </w:t>
      </w:r>
      <w:r w:rsidRPr="0030576B">
        <w:t xml:space="preserve">domestic courts’ adverse findings against the alleged victim </w:t>
      </w:r>
      <w:r w:rsidRPr="00D359CE">
        <w:t>resulted</w:t>
      </w:r>
      <w:r w:rsidRPr="0030576B">
        <w:t xml:space="preserve"> from </w:t>
      </w:r>
      <w:proofErr w:type="gramStart"/>
      <w:r w:rsidRPr="0030576B">
        <w:t>careful scrutiny</w:t>
      </w:r>
      <w:proofErr w:type="gramEnd"/>
      <w:r w:rsidRPr="0030576B">
        <w:t xml:space="preserve"> of the evidence presented before the courts</w:t>
      </w:r>
      <w:r>
        <w:t xml:space="preserve"> (para 4.7).</w:t>
      </w:r>
    </w:p>
    <w:p w14:paraId="71335103" w14:textId="77777777" w:rsidR="005B01CF" w:rsidRDefault="005B01CF" w:rsidP="005B01CF">
      <w:pPr>
        <w:pStyle w:val="SingleTxtG"/>
      </w:pPr>
      <w:r>
        <w:t xml:space="preserve">7. </w:t>
      </w:r>
      <w:r>
        <w:tab/>
        <w:t xml:space="preserve">We note that </w:t>
      </w:r>
      <w:r w:rsidRPr="0070183B">
        <w:t xml:space="preserve">the Court, in addition to </w:t>
      </w:r>
      <w:r>
        <w:t>the alleged victim’s</w:t>
      </w:r>
      <w:r w:rsidRPr="0070183B">
        <w:t xml:space="preserve"> statement, also considered statements from three witnesses present at the incident, the medical report of the victim, and video recordings of the police interrogations</w:t>
      </w:r>
      <w:r>
        <w:t xml:space="preserve">. We also find reasonable the Court’s findings </w:t>
      </w:r>
      <w:r>
        <w:lastRenderedPageBreak/>
        <w:t xml:space="preserve">that </w:t>
      </w:r>
      <w:r w:rsidRPr="00695AF8">
        <w:t xml:space="preserve">when questioned about the statement during trial, the alleged victim stated that he had given the statement freely at his own discretion; video recordings of the interrogation show him spending a good amount of time reading the statement; the alleged </w:t>
      </w:r>
      <w:r w:rsidRPr="00D359CE">
        <w:t>victim</w:t>
      </w:r>
      <w:r w:rsidRPr="00695AF8">
        <w:t xml:space="preserve"> was aware of the fate of the murder victim when he gave the police statement; the alleged victim’s statement matched the statements of witnesses as to the facts of the case; and the alleged victim was unable to establish reasonable grounds as to why he would have made a false statement during the investigation</w:t>
      </w:r>
      <w:r>
        <w:t xml:space="preserve"> (para 4.12).</w:t>
      </w:r>
    </w:p>
    <w:p w14:paraId="58B7E47D" w14:textId="77777777" w:rsidR="005B01CF" w:rsidRDefault="005B01CF" w:rsidP="005B01CF">
      <w:pPr>
        <w:pStyle w:val="SingleTxtG"/>
      </w:pPr>
      <w:r>
        <w:t xml:space="preserve">8. </w:t>
      </w:r>
      <w:r>
        <w:tab/>
        <w:t xml:space="preserve">Contrary to the present View’s conclusion (para 9.3), we therefore don’t find any reason to suspect that the alleged victim’s statement was given under duress, thus entailing an obligation for the State party to launch an investigation into such allegations. Otherwise, the threshold for launching an </w:t>
      </w:r>
      <w:r w:rsidRPr="00D359CE">
        <w:t>investigation</w:t>
      </w:r>
      <w:r>
        <w:t xml:space="preserve"> would be unattainable by most criminal jurisdictions, since alleging statements under duress are the most frequent line of defence by defendants in criminal proceedings.</w:t>
      </w:r>
    </w:p>
    <w:p w14:paraId="21C567C1" w14:textId="77777777" w:rsidR="005B01CF" w:rsidRPr="006E0AAB" w:rsidRDefault="005B01CF" w:rsidP="005B01CF">
      <w:pPr>
        <w:pStyle w:val="SingleTxtG"/>
      </w:pPr>
      <w:bookmarkStart w:id="4" w:name="_Hlk162938167"/>
      <w:r w:rsidRPr="006E0AAB">
        <w:t xml:space="preserve">It is further </w:t>
      </w:r>
      <w:r w:rsidRPr="00D359CE">
        <w:t>doubtful</w:t>
      </w:r>
      <w:r w:rsidRPr="006E0AAB">
        <w:t xml:space="preserve"> if and to what extent domestic courts relied on the alleged victim’s statement for determining his conviction. In any event, should such statement have been excluded for having been given under duress, the courts still had other decisive available evidence to rely on to convict him. Particularly because </w:t>
      </w:r>
      <w:r w:rsidRPr="006E0AAB">
        <w:rPr>
          <w:lang w:val="en-US"/>
        </w:rPr>
        <w:t>throughout the hearing conducted in the Criminal Court, the alleged victim did not retract his confession for physical assault</w:t>
      </w:r>
      <w:r w:rsidRPr="006E0AAB">
        <w:t xml:space="preserve"> (para 6.3). </w:t>
      </w:r>
    </w:p>
    <w:bookmarkEnd w:id="4"/>
    <w:p w14:paraId="6E47FE11" w14:textId="54E44F18" w:rsidR="000B2497" w:rsidRDefault="005B01CF" w:rsidP="005B01CF">
      <w:pPr>
        <w:pStyle w:val="SingleTxtG"/>
      </w:pPr>
      <w:r>
        <w:t xml:space="preserve">We would </w:t>
      </w:r>
      <w:r w:rsidRPr="00D359CE">
        <w:t>therefore</w:t>
      </w:r>
      <w:r>
        <w:t xml:space="preserve"> not have concluded for a violation of </w:t>
      </w:r>
      <w:r w:rsidRPr="004370F7">
        <w:t>article 14 (3) (g) of the Covenant</w:t>
      </w:r>
      <w:r>
        <w:t xml:space="preserve"> in the present case.</w:t>
      </w:r>
    </w:p>
    <w:p w14:paraId="29762B93" w14:textId="30A4DFC1" w:rsidR="005B01CF" w:rsidRPr="005B01CF" w:rsidRDefault="005B01CF" w:rsidP="005B01CF">
      <w:pPr>
        <w:pStyle w:val="SingleTxtG"/>
        <w:spacing w:before="240" w:after="0"/>
        <w:jc w:val="center"/>
        <w:rPr>
          <w:bCs/>
          <w:iCs/>
          <w:u w:val="single"/>
        </w:rPr>
      </w:pPr>
      <w:r>
        <w:rPr>
          <w:u w:val="single"/>
        </w:rPr>
        <w:tab/>
      </w:r>
      <w:r>
        <w:rPr>
          <w:u w:val="single"/>
        </w:rPr>
        <w:tab/>
      </w:r>
      <w:r>
        <w:rPr>
          <w:u w:val="single"/>
        </w:rPr>
        <w:tab/>
      </w:r>
    </w:p>
    <w:sectPr w:rsidR="005B01CF" w:rsidRPr="005B01CF" w:rsidSect="0045367B">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F3B60" w14:textId="77777777" w:rsidR="008B38F5" w:rsidRPr="00B903E5" w:rsidRDefault="008B38F5" w:rsidP="00B903E5">
      <w:pPr>
        <w:pStyle w:val="Footer"/>
      </w:pPr>
    </w:p>
  </w:endnote>
  <w:endnote w:type="continuationSeparator" w:id="0">
    <w:p w14:paraId="624E4A71" w14:textId="77777777" w:rsidR="008B38F5" w:rsidRPr="00B903E5" w:rsidRDefault="008B38F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F1B9" w14:textId="25081676" w:rsidR="00A925EC" w:rsidRDefault="00A925EC" w:rsidP="009A7626">
    <w:pPr>
      <w:pStyle w:val="Footer"/>
      <w:tabs>
        <w:tab w:val="right" w:pos="9638"/>
      </w:tabs>
    </w:pPr>
    <w:r w:rsidRPr="00342D59">
      <w:rPr>
        <w:b/>
        <w:bCs/>
        <w:sz w:val="18"/>
      </w:rPr>
      <w:fldChar w:fldCharType="begin"/>
    </w:r>
    <w:r w:rsidRPr="00342D59">
      <w:rPr>
        <w:b/>
        <w:bCs/>
        <w:sz w:val="18"/>
      </w:rPr>
      <w:instrText xml:space="preserve"> PAGE  \* MERGEFORMAT </w:instrText>
    </w:r>
    <w:r w:rsidRPr="00342D59">
      <w:rPr>
        <w:b/>
        <w:bCs/>
        <w:sz w:val="18"/>
      </w:rPr>
      <w:fldChar w:fldCharType="separate"/>
    </w:r>
    <w:r w:rsidR="00970566">
      <w:rPr>
        <w:b/>
        <w:bCs/>
        <w:noProof/>
        <w:sz w:val="18"/>
      </w:rPr>
      <w:t>8</w:t>
    </w:r>
    <w:r w:rsidRPr="00342D5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7F054" w14:textId="58F8266A" w:rsidR="00A925EC" w:rsidRDefault="00A925EC" w:rsidP="00342D59">
    <w:pPr>
      <w:pStyle w:val="Footer"/>
      <w:tabs>
        <w:tab w:val="right" w:pos="9638"/>
      </w:tabs>
    </w:pPr>
    <w:r>
      <w:tab/>
    </w:r>
    <w:r w:rsidRPr="00342D59">
      <w:rPr>
        <w:b/>
        <w:bCs/>
        <w:sz w:val="18"/>
      </w:rPr>
      <w:fldChar w:fldCharType="begin"/>
    </w:r>
    <w:r w:rsidRPr="00342D59">
      <w:rPr>
        <w:b/>
        <w:bCs/>
        <w:sz w:val="18"/>
      </w:rPr>
      <w:instrText xml:space="preserve"> PAGE  \* MERGEFORMAT </w:instrText>
    </w:r>
    <w:r w:rsidRPr="00342D59">
      <w:rPr>
        <w:b/>
        <w:bCs/>
        <w:sz w:val="18"/>
      </w:rPr>
      <w:fldChar w:fldCharType="separate"/>
    </w:r>
    <w:r w:rsidR="00970566">
      <w:rPr>
        <w:b/>
        <w:bCs/>
        <w:noProof/>
        <w:sz w:val="18"/>
      </w:rPr>
      <w:t>7</w:t>
    </w:r>
    <w:r w:rsidRPr="00342D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B2F44" w14:textId="64B69B72" w:rsidR="00A925EC" w:rsidRDefault="00A925EC" w:rsidP="00B07827">
    <w:pPr>
      <w:pStyle w:val="Footer"/>
    </w:pPr>
  </w:p>
  <w:p w14:paraId="4E1E29A3" w14:textId="028030DF" w:rsidR="00A925EC" w:rsidRDefault="00A925EC" w:rsidP="003008FE">
    <w:pPr>
      <w:pStyle w:val="Footer"/>
      <w:ind w:right="1134"/>
      <w:rPr>
        <w:sz w:val="20"/>
      </w:rPr>
    </w:pPr>
  </w:p>
  <w:p w14:paraId="0ADF88DF" w14:textId="05032532" w:rsidR="003008FE" w:rsidRPr="003008FE" w:rsidRDefault="003008FE" w:rsidP="003008FE">
    <w:pPr>
      <w:pStyle w:val="Footer"/>
      <w:ind w:right="1134"/>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E46B0" w14:textId="77777777" w:rsidR="008B38F5" w:rsidRPr="00B903E5" w:rsidRDefault="008B38F5" w:rsidP="00B903E5">
      <w:pPr>
        <w:tabs>
          <w:tab w:val="right" w:pos="2155"/>
        </w:tabs>
        <w:spacing w:after="80" w:line="240" w:lineRule="auto"/>
        <w:ind w:left="680"/>
      </w:pPr>
      <w:r>
        <w:rPr>
          <w:u w:val="single"/>
        </w:rPr>
        <w:tab/>
      </w:r>
    </w:p>
  </w:footnote>
  <w:footnote w:type="continuationSeparator" w:id="0">
    <w:p w14:paraId="007B2596" w14:textId="77777777" w:rsidR="008B38F5" w:rsidRPr="00B903E5" w:rsidRDefault="008B38F5" w:rsidP="00B903E5">
      <w:pPr>
        <w:tabs>
          <w:tab w:val="right" w:pos="2155"/>
        </w:tabs>
        <w:spacing w:after="80" w:line="240" w:lineRule="auto"/>
        <w:ind w:left="680"/>
      </w:pPr>
      <w:r>
        <w:rPr>
          <w:u w:val="single"/>
        </w:rPr>
        <w:tab/>
      </w:r>
    </w:p>
  </w:footnote>
  <w:footnote w:id="1">
    <w:p w14:paraId="68FFEF3A" w14:textId="132E689A" w:rsidR="005B01CF" w:rsidRPr="005B01CF" w:rsidRDefault="005B01CF">
      <w:pPr>
        <w:pStyle w:val="FootnoteText"/>
      </w:pPr>
      <w:r>
        <w:rPr>
          <w:rStyle w:val="FootnoteReference"/>
        </w:rPr>
        <w:tab/>
      </w:r>
      <w:r w:rsidRPr="0045367B">
        <w:rPr>
          <w:rStyle w:val="FootnoteReference"/>
          <w:sz w:val="20"/>
          <w:vertAlign w:val="baseline"/>
        </w:rPr>
        <w:t>*</w:t>
      </w:r>
      <w:r>
        <w:rPr>
          <w:rStyle w:val="FootnoteReference"/>
          <w:sz w:val="20"/>
          <w:vertAlign w:val="baseline"/>
        </w:rPr>
        <w:tab/>
      </w:r>
      <w:r w:rsidRPr="00B10B83">
        <w:t>Adopted by the Committee at its 140th session (4-28 March 2024).</w:t>
      </w:r>
    </w:p>
  </w:footnote>
  <w:footnote w:id="2">
    <w:p w14:paraId="61D43DB3" w14:textId="3FA71F04" w:rsidR="005B01CF" w:rsidRPr="005B01CF" w:rsidRDefault="005B01CF">
      <w:pPr>
        <w:pStyle w:val="FootnoteText"/>
      </w:pPr>
      <w:r>
        <w:rPr>
          <w:rStyle w:val="FootnoteReference"/>
        </w:rPr>
        <w:tab/>
      </w:r>
      <w:r w:rsidRPr="0045367B">
        <w:rPr>
          <w:rStyle w:val="FootnoteReference"/>
          <w:sz w:val="20"/>
          <w:vertAlign w:val="baseline"/>
        </w:rPr>
        <w:t>**</w:t>
      </w:r>
      <w:r>
        <w:rPr>
          <w:rStyle w:val="FootnoteReference"/>
          <w:sz w:val="20"/>
          <w:vertAlign w:val="baseline"/>
        </w:rPr>
        <w:tab/>
      </w:r>
      <w:r w:rsidRPr="00B10B83">
        <w:t xml:space="preserve">The following members of the Committee participated in the examination of the communication: </w:t>
      </w:r>
      <w:hyperlink r:id="rId1" w:history="1">
        <w:r w:rsidRPr="0045367B">
          <w:t>Tania María Abdo Rocholl,</w:t>
        </w:r>
      </w:hyperlink>
      <w:r w:rsidRPr="00B10B83">
        <w:t xml:space="preserve"> Wafaa Ashraf Moharram Bassim, </w:t>
      </w:r>
      <w:r w:rsidRPr="0045367B">
        <w:t xml:space="preserve">Rodrigo A. Carazo,  Yvonne Donders, Mahjoub El Haiba, </w:t>
      </w:r>
      <w:r w:rsidRPr="005B01CF">
        <w:t>Laurenc</w:t>
      </w:r>
      <w:r w:rsidRPr="00B10B83">
        <w:rPr>
          <w:bCs/>
        </w:rPr>
        <w:t xml:space="preserve">e R. Helfer, </w:t>
      </w:r>
      <w:r w:rsidRPr="00B10B83">
        <w:rPr>
          <w:bCs/>
          <w:lang w:val="en-US"/>
        </w:rPr>
        <w:t xml:space="preserve">Carlos Gomez Martinez, Bacre Waly Ndiaye, Marcia V.J. Kran, Hernan Quezada Cabrera, José Manuel Santos Pais, </w:t>
      </w:r>
      <w:r w:rsidRPr="00B10B83">
        <w:t>Changrok Soh,</w:t>
      </w:r>
      <w:r w:rsidRPr="00B10B83">
        <w:rPr>
          <w:b/>
          <w:bCs/>
        </w:rPr>
        <w:t xml:space="preserve"> </w:t>
      </w:r>
      <w:r w:rsidRPr="00B10B83">
        <w:rPr>
          <w:bCs/>
          <w:lang w:val="en-US"/>
        </w:rPr>
        <w:t xml:space="preserve">Tijana Surlan, </w:t>
      </w:r>
      <w:proofErr w:type="spellStart"/>
      <w:r w:rsidRPr="00B10B83">
        <w:rPr>
          <w:bCs/>
          <w:lang w:val="en-US"/>
        </w:rPr>
        <w:t>Kobaujah</w:t>
      </w:r>
      <w:proofErr w:type="spellEnd"/>
      <w:r w:rsidRPr="00B10B83">
        <w:rPr>
          <w:bCs/>
          <w:lang w:val="en-US"/>
        </w:rPr>
        <w:t xml:space="preserve"> Tchamdja Kpatcha, Koji Teraya, Hélène Tigroudja and Imeru Tamerat Yigezu</w:t>
      </w:r>
    </w:p>
  </w:footnote>
  <w:footnote w:id="3">
    <w:p w14:paraId="7C7CEAB8" w14:textId="5DCCECC0" w:rsidR="005B01CF" w:rsidRPr="005B01CF" w:rsidRDefault="005B01CF">
      <w:pPr>
        <w:pStyle w:val="FootnoteText"/>
      </w:pPr>
      <w:r>
        <w:rPr>
          <w:rStyle w:val="FootnoteReference"/>
        </w:rPr>
        <w:tab/>
      </w:r>
      <w:r w:rsidRPr="0045367B">
        <w:rPr>
          <w:rStyle w:val="FootnoteReference"/>
          <w:sz w:val="20"/>
          <w:vertAlign w:val="baseline"/>
        </w:rPr>
        <w:t>***</w:t>
      </w:r>
      <w:r>
        <w:rPr>
          <w:rStyle w:val="FootnoteReference"/>
          <w:sz w:val="20"/>
          <w:vertAlign w:val="baseline"/>
        </w:rPr>
        <w:tab/>
      </w:r>
      <w:r>
        <w:t>A joint</w:t>
      </w:r>
      <w:r w:rsidRPr="00FD664B">
        <w:t xml:space="preserve"> opinion by Committee member</w:t>
      </w:r>
      <w:r>
        <w:t>s</w:t>
      </w:r>
      <w:r w:rsidRPr="00FD664B">
        <w:t xml:space="preserve"> </w:t>
      </w:r>
      <w:r w:rsidRPr="005B01CF">
        <w:t xml:space="preserve">José Santos Pais, Carlos Gomez, Kobauyah Tchamdja and Koji Teraya (partially </w:t>
      </w:r>
      <w:proofErr w:type="gramStart"/>
      <w:r w:rsidRPr="005B01CF">
        <w:t>dissenting)</w:t>
      </w:r>
      <w:r w:rsidRPr="005D7348">
        <w:t>is</w:t>
      </w:r>
      <w:proofErr w:type="gramEnd"/>
      <w:r w:rsidRPr="00FD664B">
        <w:t xml:space="preserve"> annexed to the present </w:t>
      </w:r>
      <w:r>
        <w:t>Views.</w:t>
      </w:r>
    </w:p>
  </w:footnote>
  <w:footnote w:id="4">
    <w:p w14:paraId="7E3AEA43" w14:textId="38833F44" w:rsidR="00B240BC" w:rsidRDefault="007711E9" w:rsidP="007711E9">
      <w:pPr>
        <w:pStyle w:val="FootnoteText"/>
      </w:pPr>
      <w:r>
        <w:tab/>
      </w:r>
      <w:r w:rsidR="00B240BC">
        <w:rPr>
          <w:rStyle w:val="FootnoteReference"/>
        </w:rPr>
        <w:footnoteRef/>
      </w:r>
      <w:r w:rsidR="00B240BC">
        <w:t xml:space="preserve"> </w:t>
      </w:r>
      <w:r>
        <w:tab/>
      </w:r>
      <w:r>
        <w:tab/>
      </w:r>
      <w:r w:rsidR="00B240BC" w:rsidRPr="007711E9">
        <w:t>Counsel</w:t>
      </w:r>
      <w:r w:rsidR="00B240BC">
        <w:t xml:space="preserve"> notes that the last execution carried out in the Maldives was in 1953. However, in 2014 the then </w:t>
      </w:r>
      <w:r w:rsidR="00A32DF8">
        <w:t>g</w:t>
      </w:r>
      <w:r w:rsidR="00B240BC">
        <w:t xml:space="preserve">overnment announced that executions would resume, and regulations were put in place for the implementation of death sentences. </w:t>
      </w:r>
      <w:r w:rsidR="005B23E9">
        <w:t>In</w:t>
      </w:r>
      <w:r w:rsidR="00B240BC">
        <w:t xml:space="preserve"> 2017 </w:t>
      </w:r>
      <w:proofErr w:type="gramStart"/>
      <w:r w:rsidR="005B23E9">
        <w:t xml:space="preserve">Counsel </w:t>
      </w:r>
      <w:r w:rsidR="00B240BC">
        <w:t xml:space="preserve"> received</w:t>
      </w:r>
      <w:proofErr w:type="gramEnd"/>
      <w:r w:rsidR="00B240BC">
        <w:t xml:space="preserve"> credible reports that executions could be imminent and could take place starting from 21 July 2017. The </w:t>
      </w:r>
      <w:r w:rsidR="00126845">
        <w:t>alleged victim</w:t>
      </w:r>
      <w:r w:rsidR="00B240BC">
        <w:t xml:space="preserve"> was singled out as being among the death row prisoners at particular risk. In its observations on the complaint, the State party notes the statements made by the previous administration, but states that said statements should not be attributed to the current government </w:t>
      </w:r>
      <w:r>
        <w:tab/>
      </w:r>
      <w:r w:rsidR="00B240BC">
        <w:t>which is committed to upholding the moratorium on the death penalty.</w:t>
      </w:r>
    </w:p>
  </w:footnote>
  <w:footnote w:id="5">
    <w:p w14:paraId="6D84BBE3" w14:textId="6C609F17" w:rsidR="00D97D14" w:rsidRPr="005A29AB" w:rsidRDefault="007711E9" w:rsidP="007711E9">
      <w:pPr>
        <w:pStyle w:val="FootnoteText"/>
        <w:rPr>
          <w:lang w:val="es-ES"/>
        </w:rPr>
      </w:pPr>
      <w:r>
        <w:tab/>
      </w:r>
      <w:r w:rsidR="00D97D14">
        <w:rPr>
          <w:rStyle w:val="FootnoteReference"/>
        </w:rPr>
        <w:footnoteRef/>
      </w:r>
      <w:r w:rsidR="00D97D14" w:rsidRPr="007C44B9">
        <w:rPr>
          <w:lang w:val="es-ES"/>
        </w:rPr>
        <w:t xml:space="preserve"> </w:t>
      </w:r>
      <w:r w:rsidRPr="007C44B9">
        <w:rPr>
          <w:lang w:val="es-ES"/>
        </w:rPr>
        <w:tab/>
      </w:r>
      <w:r w:rsidRPr="007C44B9">
        <w:rPr>
          <w:lang w:val="es-ES"/>
        </w:rPr>
        <w:tab/>
      </w:r>
      <w:proofErr w:type="spellStart"/>
      <w:r w:rsidR="00D97D14" w:rsidRPr="007C44B9">
        <w:rPr>
          <w:lang w:val="es-ES"/>
        </w:rPr>
        <w:t>Nallaratnam</w:t>
      </w:r>
      <w:proofErr w:type="spellEnd"/>
      <w:r w:rsidR="00D97D14" w:rsidRPr="007C44B9">
        <w:rPr>
          <w:i/>
          <w:iCs/>
          <w:lang w:val="es-ES"/>
        </w:rPr>
        <w:t xml:space="preserve"> v. Sri Lanka</w:t>
      </w:r>
      <w:r w:rsidR="00D97D14" w:rsidRPr="007C44B9">
        <w:rPr>
          <w:lang w:val="es-ES"/>
        </w:rPr>
        <w:t xml:space="preserve"> (CCPR/C/81/D/1033/2021), para. 6.4</w:t>
      </w:r>
      <w:r w:rsidR="00D97D14" w:rsidRPr="007C44B9">
        <w:rPr>
          <w:i/>
          <w:iCs/>
          <w:lang w:val="es-ES"/>
        </w:rPr>
        <w:t xml:space="preserve">, </w:t>
      </w:r>
      <w:proofErr w:type="spellStart"/>
      <w:r w:rsidR="00D97D14" w:rsidRPr="007C44B9">
        <w:rPr>
          <w:i/>
          <w:iCs/>
          <w:lang w:val="es-ES"/>
        </w:rPr>
        <w:t>Chisanga</w:t>
      </w:r>
      <w:proofErr w:type="spellEnd"/>
      <w:r w:rsidR="00D97D14" w:rsidRPr="007C44B9">
        <w:rPr>
          <w:i/>
          <w:iCs/>
          <w:lang w:val="es-ES"/>
        </w:rPr>
        <w:t xml:space="preserve"> v. Zambia</w:t>
      </w:r>
      <w:r w:rsidR="00D97D14" w:rsidRPr="007C44B9">
        <w:rPr>
          <w:lang w:val="es-ES"/>
        </w:rPr>
        <w:t xml:space="preserve"> (CCPR/C/85/D/1132/2022), para. 6.3, </w:t>
      </w:r>
      <w:proofErr w:type="spellStart"/>
      <w:r w:rsidR="00D97D14" w:rsidRPr="007C44B9">
        <w:rPr>
          <w:i/>
          <w:iCs/>
          <w:lang w:val="es-ES"/>
        </w:rPr>
        <w:t>Kovaleva</w:t>
      </w:r>
      <w:proofErr w:type="spellEnd"/>
      <w:r w:rsidR="00D97D14" w:rsidRPr="007C44B9">
        <w:rPr>
          <w:i/>
          <w:iCs/>
          <w:lang w:val="es-ES"/>
        </w:rPr>
        <w:t xml:space="preserve"> et al v. Belarus</w:t>
      </w:r>
      <w:r w:rsidR="00D97D14" w:rsidRPr="007C44B9">
        <w:rPr>
          <w:lang w:val="es-ES"/>
        </w:rPr>
        <w:t xml:space="preserve"> (CCPR/C/106/D/2120/2011), para. 10.4 and </w:t>
      </w:r>
      <w:proofErr w:type="spellStart"/>
      <w:r w:rsidR="00D97D14" w:rsidRPr="007C44B9">
        <w:rPr>
          <w:i/>
          <w:iCs/>
          <w:lang w:val="es-ES"/>
        </w:rPr>
        <w:t>Khalilova</w:t>
      </w:r>
      <w:proofErr w:type="spellEnd"/>
      <w:r w:rsidR="00D97D14" w:rsidRPr="007C44B9">
        <w:rPr>
          <w:i/>
          <w:iCs/>
          <w:lang w:val="es-ES"/>
        </w:rPr>
        <w:t xml:space="preserve"> v. Tajikistan</w:t>
      </w:r>
      <w:r w:rsidR="00D97D14" w:rsidRPr="007C44B9">
        <w:rPr>
          <w:lang w:val="es-ES"/>
        </w:rPr>
        <w:t xml:space="preserve"> (CCPR/C/83/D/973/2001), para. </w:t>
      </w:r>
      <w:r w:rsidR="00D97D14" w:rsidRPr="005A29AB">
        <w:rPr>
          <w:lang w:val="es-ES"/>
        </w:rPr>
        <w:t>7.6</w:t>
      </w:r>
    </w:p>
  </w:footnote>
  <w:footnote w:id="6">
    <w:p w14:paraId="681A980C" w14:textId="2F89D95F" w:rsidR="008950EB" w:rsidRPr="005A29AB" w:rsidRDefault="007711E9" w:rsidP="007711E9">
      <w:pPr>
        <w:pStyle w:val="FootnoteText"/>
        <w:rPr>
          <w:lang w:val="es-ES"/>
        </w:rPr>
      </w:pPr>
      <w:r w:rsidRPr="005A29AB">
        <w:rPr>
          <w:lang w:val="es-ES"/>
        </w:rPr>
        <w:tab/>
      </w:r>
      <w:r w:rsidR="008950EB">
        <w:rPr>
          <w:rStyle w:val="FootnoteReference"/>
        </w:rPr>
        <w:footnoteRef/>
      </w:r>
      <w:r w:rsidR="008950EB" w:rsidRPr="005A29AB">
        <w:rPr>
          <w:lang w:val="es-ES"/>
        </w:rPr>
        <w:t xml:space="preserve"> </w:t>
      </w:r>
      <w:r w:rsidRPr="005A29AB">
        <w:rPr>
          <w:lang w:val="es-ES"/>
        </w:rPr>
        <w:tab/>
      </w:r>
      <w:r w:rsidRPr="005A29AB">
        <w:rPr>
          <w:lang w:val="es-ES"/>
        </w:rPr>
        <w:tab/>
      </w:r>
      <w:proofErr w:type="spellStart"/>
      <w:r w:rsidR="008950EB" w:rsidRPr="005A29AB">
        <w:rPr>
          <w:lang w:val="es-ES"/>
        </w:rPr>
        <w:t>Decision</w:t>
      </w:r>
      <w:proofErr w:type="spellEnd"/>
      <w:r w:rsidR="008950EB" w:rsidRPr="005A29AB">
        <w:rPr>
          <w:lang w:val="es-ES"/>
        </w:rPr>
        <w:t xml:space="preserve"> 2012/HC-DM-08, 29 </w:t>
      </w:r>
      <w:proofErr w:type="spellStart"/>
      <w:r w:rsidR="008950EB" w:rsidRPr="005A29AB">
        <w:rPr>
          <w:lang w:val="es-ES"/>
        </w:rPr>
        <w:t>November</w:t>
      </w:r>
      <w:proofErr w:type="spellEnd"/>
      <w:r w:rsidR="008950EB" w:rsidRPr="005A29AB">
        <w:rPr>
          <w:lang w:val="es-ES"/>
        </w:rPr>
        <w:t xml:space="preserve"> 2015.</w:t>
      </w:r>
    </w:p>
  </w:footnote>
  <w:footnote w:id="7">
    <w:p w14:paraId="3A8F2ECF" w14:textId="40318D35" w:rsidR="004850BD" w:rsidRDefault="007711E9" w:rsidP="007711E9">
      <w:pPr>
        <w:pStyle w:val="FootnoteText"/>
      </w:pPr>
      <w:r w:rsidRPr="005A29AB">
        <w:rPr>
          <w:lang w:val="es-ES"/>
        </w:rPr>
        <w:tab/>
      </w:r>
      <w:r w:rsidR="004850BD">
        <w:rPr>
          <w:rStyle w:val="FootnoteReference"/>
        </w:rPr>
        <w:footnoteRef/>
      </w:r>
      <w:r w:rsidR="004850BD">
        <w:t xml:space="preserve"> </w:t>
      </w:r>
      <w:r>
        <w:tab/>
      </w:r>
      <w:r>
        <w:tab/>
      </w:r>
      <w:r w:rsidR="004850BD">
        <w:t xml:space="preserve">The </w:t>
      </w:r>
      <w:r w:rsidR="004850BD" w:rsidRPr="007711E9">
        <w:t>author</w:t>
      </w:r>
      <w:r w:rsidR="004850BD">
        <w:t xml:space="preserve"> refers to a report by the Special Rapporteur on Extrajudicial, Summary or Arbitrary Executions, A/HRC/8/3, 2008, paras. 59-67.</w:t>
      </w:r>
    </w:p>
  </w:footnote>
  <w:footnote w:id="8">
    <w:p w14:paraId="6F90D99C" w14:textId="066DFE09" w:rsidR="007565C2" w:rsidRDefault="007711E9" w:rsidP="007711E9">
      <w:pPr>
        <w:pStyle w:val="FootnoteText"/>
      </w:pPr>
      <w:r>
        <w:tab/>
      </w:r>
      <w:r w:rsidR="00FD5EFF">
        <w:rPr>
          <w:rStyle w:val="FootnoteReference"/>
        </w:rPr>
        <w:footnoteRef/>
      </w:r>
      <w:r w:rsidR="00FD5EFF">
        <w:t xml:space="preserve"> </w:t>
      </w:r>
      <w:r>
        <w:tab/>
      </w:r>
      <w:r>
        <w:tab/>
      </w:r>
      <w:r w:rsidR="00FD5EFF" w:rsidRPr="00FD5EFF">
        <w:t xml:space="preserve">See </w:t>
      </w:r>
      <w:r w:rsidR="00FD5EFF" w:rsidRPr="007711E9">
        <w:t>footnote</w:t>
      </w:r>
      <w:r w:rsidR="00FD5EFF" w:rsidRPr="00FD5EFF">
        <w:t xml:space="preserve"> </w:t>
      </w:r>
      <w:proofErr w:type="gramStart"/>
      <w:r w:rsidR="00A32DF8">
        <w:t>2</w:t>
      </w:r>
      <w:proofErr w:type="gramEnd"/>
    </w:p>
  </w:footnote>
  <w:footnote w:id="9">
    <w:p w14:paraId="5E9B5995" w14:textId="75DF1C94" w:rsidR="007565C2" w:rsidRDefault="007711E9" w:rsidP="007711E9">
      <w:pPr>
        <w:pStyle w:val="FootnoteText"/>
      </w:pPr>
      <w:r>
        <w:tab/>
      </w:r>
      <w:r w:rsidR="007565C2">
        <w:rPr>
          <w:rStyle w:val="FootnoteReference"/>
        </w:rPr>
        <w:footnoteRef/>
      </w:r>
      <w:r w:rsidR="007565C2">
        <w:t xml:space="preserve"> </w:t>
      </w:r>
      <w:r>
        <w:tab/>
      </w:r>
      <w:r>
        <w:tab/>
      </w:r>
      <w:r w:rsidR="007565C2" w:rsidRPr="007565C2">
        <w:t xml:space="preserve">The </w:t>
      </w:r>
      <w:r w:rsidR="007565C2" w:rsidRPr="007711E9">
        <w:t>author</w:t>
      </w:r>
      <w:r w:rsidR="007565C2" w:rsidRPr="007565C2">
        <w:t xml:space="preserve"> refers to report of the </w:t>
      </w:r>
      <w:r w:rsidR="00A22F48">
        <w:t xml:space="preserve">then </w:t>
      </w:r>
      <w:r w:rsidR="007565C2" w:rsidRPr="007565C2">
        <w:t xml:space="preserve">Special Rapporteur on extrajudicial, </w:t>
      </w:r>
      <w:proofErr w:type="gramStart"/>
      <w:r w:rsidR="007565C2" w:rsidRPr="007565C2">
        <w:t>summary</w:t>
      </w:r>
      <w:proofErr w:type="gramEnd"/>
      <w:r w:rsidR="007565C2" w:rsidRPr="007565C2">
        <w:t xml:space="preserve"> or arbitrary execution, </w:t>
      </w:r>
      <w:r w:rsidR="00A22F48" w:rsidRPr="00A22F48">
        <w:rPr>
          <w:iCs/>
        </w:rPr>
        <w:t xml:space="preserve">C. </w:t>
      </w:r>
      <w:proofErr w:type="spellStart"/>
      <w:r w:rsidR="00A22F48" w:rsidRPr="00A22F48">
        <w:rPr>
          <w:iCs/>
        </w:rPr>
        <w:t>Heyns</w:t>
      </w:r>
      <w:proofErr w:type="spellEnd"/>
      <w:r w:rsidR="00A22F48">
        <w:rPr>
          <w:iCs/>
        </w:rPr>
        <w:t>,</w:t>
      </w:r>
      <w:r w:rsidR="00A22F48" w:rsidRPr="00A22F48">
        <w:rPr>
          <w:iCs/>
        </w:rPr>
        <w:t xml:space="preserve"> </w:t>
      </w:r>
      <w:r w:rsidR="007565C2" w:rsidRPr="007565C2">
        <w:t>A/69/265, 6 August 2014, paras 105-106</w:t>
      </w:r>
      <w:r w:rsidR="00A95434">
        <w:t>.</w:t>
      </w:r>
    </w:p>
  </w:footnote>
  <w:footnote w:id="10">
    <w:p w14:paraId="5C2BA7EC" w14:textId="53FC9965" w:rsidR="00F03569" w:rsidRDefault="007711E9" w:rsidP="007711E9">
      <w:pPr>
        <w:pStyle w:val="FootnoteText"/>
      </w:pPr>
      <w:r>
        <w:tab/>
      </w:r>
      <w:r w:rsidR="00F03569">
        <w:rPr>
          <w:rStyle w:val="FootnoteReference"/>
        </w:rPr>
        <w:footnoteRef/>
      </w:r>
      <w:r w:rsidR="00F03569">
        <w:t xml:space="preserve"> </w:t>
      </w:r>
      <w:r>
        <w:tab/>
      </w:r>
      <w:r>
        <w:tab/>
      </w:r>
      <w:r w:rsidR="00F03569">
        <w:t xml:space="preserve">The author notes that </w:t>
      </w:r>
      <w:r w:rsidR="00F03569" w:rsidRPr="00F03569">
        <w:t>article 52 of the Constitution explicitly stipulates that: “No confession shall be admissible in evidence unless made in court by an accused who is in a sound state of mind”.</w:t>
      </w:r>
    </w:p>
  </w:footnote>
  <w:footnote w:id="11">
    <w:p w14:paraId="58A4B4A3" w14:textId="0390F218" w:rsidR="00152ACD" w:rsidRDefault="007711E9" w:rsidP="007711E9">
      <w:pPr>
        <w:pStyle w:val="FootnoteText"/>
      </w:pPr>
      <w:r>
        <w:tab/>
      </w:r>
      <w:r w:rsidR="00152ACD">
        <w:rPr>
          <w:rStyle w:val="FootnoteReference"/>
        </w:rPr>
        <w:footnoteRef/>
      </w:r>
      <w:r>
        <w:tab/>
      </w:r>
      <w:r>
        <w:tab/>
      </w:r>
      <w:r w:rsidR="00152ACD">
        <w:t xml:space="preserve"> Law No. 1/66 has since been repealed and replaced by Law No. 9/2014.</w:t>
      </w:r>
    </w:p>
  </w:footnote>
  <w:footnote w:id="12">
    <w:p w14:paraId="7BEB27C5" w14:textId="6FF22A20" w:rsidR="00D32AA0" w:rsidRDefault="00D32AA0" w:rsidP="00D221DD">
      <w:pPr>
        <w:pStyle w:val="FootnoteText"/>
        <w:jc w:val="both"/>
      </w:pPr>
      <w:r>
        <w:tab/>
      </w:r>
      <w:r>
        <w:rPr>
          <w:rStyle w:val="FootnoteReference"/>
        </w:rPr>
        <w:footnoteRef/>
      </w:r>
      <w:r>
        <w:t xml:space="preserve"> </w:t>
      </w:r>
      <w:r w:rsidR="007711E9">
        <w:tab/>
      </w:r>
      <w:r w:rsidRPr="00D32AA0">
        <w:rPr>
          <w:iCs/>
        </w:rPr>
        <w:t xml:space="preserve">General </w:t>
      </w:r>
      <w:r w:rsidR="00EC5DEB">
        <w:rPr>
          <w:iCs/>
        </w:rPr>
        <w:t>c</w:t>
      </w:r>
      <w:r w:rsidRPr="00D32AA0">
        <w:rPr>
          <w:iCs/>
        </w:rPr>
        <w:t xml:space="preserve">omment </w:t>
      </w:r>
      <w:r w:rsidR="00EC5DEB">
        <w:rPr>
          <w:iCs/>
        </w:rPr>
        <w:t xml:space="preserve">No. </w:t>
      </w:r>
      <w:r w:rsidRPr="00D32AA0">
        <w:rPr>
          <w:iCs/>
        </w:rPr>
        <w:t xml:space="preserve">36 (2018) on the right to life, para. 50. The author also refers to a report of the </w:t>
      </w:r>
      <w:r w:rsidR="005D3887">
        <w:rPr>
          <w:iCs/>
        </w:rPr>
        <w:t xml:space="preserve">then </w:t>
      </w:r>
      <w:r w:rsidRPr="00D32AA0">
        <w:rPr>
          <w:iCs/>
        </w:rPr>
        <w:t xml:space="preserve">Special Rapporteur on extrajudicial, </w:t>
      </w:r>
      <w:proofErr w:type="gramStart"/>
      <w:r w:rsidRPr="00D32AA0">
        <w:rPr>
          <w:iCs/>
        </w:rPr>
        <w:t>summary</w:t>
      </w:r>
      <w:proofErr w:type="gramEnd"/>
      <w:r w:rsidRPr="00D32AA0">
        <w:rPr>
          <w:iCs/>
        </w:rPr>
        <w:t xml:space="preserve"> or arbitrary executions, A/69/265, 6 August 2014, paras.</w:t>
      </w:r>
      <w:r w:rsidR="00A22F48">
        <w:rPr>
          <w:iCs/>
        </w:rPr>
        <w:t xml:space="preserve"> </w:t>
      </w:r>
      <w:r w:rsidRPr="00D32AA0">
        <w:rPr>
          <w:iCs/>
        </w:rPr>
        <w:t>102-103</w:t>
      </w:r>
      <w:r w:rsidR="009D16FF">
        <w:rPr>
          <w:iCs/>
        </w:rPr>
        <w:t>.</w:t>
      </w:r>
      <w:r w:rsidRPr="00D32AA0">
        <w:rPr>
          <w:iCs/>
        </w:rPr>
        <w:t>”</w:t>
      </w:r>
    </w:p>
  </w:footnote>
  <w:footnote w:id="13">
    <w:p w14:paraId="2806519B" w14:textId="5EB47EF8" w:rsidR="00D221DD" w:rsidRDefault="007711E9" w:rsidP="007711E9">
      <w:pPr>
        <w:pStyle w:val="FootnoteText"/>
      </w:pPr>
      <w:r>
        <w:tab/>
      </w:r>
      <w:r w:rsidR="00D221DD">
        <w:rPr>
          <w:rStyle w:val="FootnoteReference"/>
        </w:rPr>
        <w:footnoteRef/>
      </w:r>
      <w:r w:rsidR="00D221DD">
        <w:t xml:space="preserve"> </w:t>
      </w:r>
      <w:r>
        <w:tab/>
      </w:r>
      <w:r>
        <w:tab/>
      </w:r>
      <w:r w:rsidR="00D221DD" w:rsidRPr="007711E9">
        <w:t>General</w:t>
      </w:r>
      <w:r w:rsidR="00D221DD">
        <w:t xml:space="preserve"> </w:t>
      </w:r>
      <w:r w:rsidR="00EC5DEB">
        <w:t>c</w:t>
      </w:r>
      <w:r w:rsidR="00D221DD">
        <w:t xml:space="preserve">omment </w:t>
      </w:r>
      <w:r w:rsidR="00EC5DEB">
        <w:t xml:space="preserve">No. </w:t>
      </w:r>
      <w:r w:rsidR="00D221DD">
        <w:t>36, para. 40.</w:t>
      </w:r>
    </w:p>
  </w:footnote>
  <w:footnote w:id="14">
    <w:p w14:paraId="78D1AAD2" w14:textId="7887EF08" w:rsidR="00D221DD" w:rsidRDefault="007711E9" w:rsidP="007711E9">
      <w:pPr>
        <w:pStyle w:val="FootnoteText"/>
      </w:pPr>
      <w:r>
        <w:tab/>
      </w:r>
      <w:r w:rsidR="00D221DD">
        <w:rPr>
          <w:rStyle w:val="FootnoteReference"/>
        </w:rPr>
        <w:footnoteRef/>
      </w:r>
      <w:r w:rsidR="00D221DD">
        <w:t xml:space="preserve"> </w:t>
      </w:r>
      <w:r>
        <w:tab/>
      </w:r>
      <w:r>
        <w:tab/>
      </w:r>
      <w:r w:rsidR="00D221DD">
        <w:t xml:space="preserve">The author </w:t>
      </w:r>
      <w:r w:rsidR="00D221DD" w:rsidRPr="007711E9">
        <w:t>refers</w:t>
      </w:r>
      <w:r w:rsidR="00D221DD">
        <w:t xml:space="preserve"> to the </w:t>
      </w:r>
      <w:r w:rsidR="00D221DD" w:rsidRPr="00D221DD">
        <w:t>Case Report of the Criminal Court</w:t>
      </w:r>
      <w:r w:rsidR="00D221DD">
        <w:t>,</w:t>
      </w:r>
      <w:r w:rsidR="00D221DD" w:rsidRPr="00D221DD">
        <w:t xml:space="preserve"> case number 585/Cr-C/2010, p.18, </w:t>
      </w:r>
      <w:r w:rsidR="00D221DD">
        <w:t xml:space="preserve">which he notes reads (author’s </w:t>
      </w:r>
      <w:r w:rsidR="005D0285">
        <w:t xml:space="preserve">unofficial </w:t>
      </w:r>
      <w:r w:rsidR="00D221DD" w:rsidRPr="00D221DD">
        <w:t>translation</w:t>
      </w:r>
      <w:r w:rsidR="00D221DD">
        <w:t>)</w:t>
      </w:r>
      <w:r w:rsidR="00D221DD" w:rsidRPr="00D221DD">
        <w:t xml:space="preserve">: “Even though Nabeel had said that he wanted legal counsel, it should be noted that Mohamed Nabeel had given his consent to carrying out the interrogation process without the presence of a lawyer and had given his statement stating so, on 8 April 2009”.  </w:t>
      </w:r>
    </w:p>
  </w:footnote>
  <w:footnote w:id="15">
    <w:p w14:paraId="0D127B35" w14:textId="16DEA58E" w:rsidR="005D0285" w:rsidRDefault="005D0285" w:rsidP="007711E9">
      <w:pPr>
        <w:pStyle w:val="FootnoteText"/>
      </w:pPr>
      <w:r>
        <w:tab/>
      </w:r>
      <w:r>
        <w:rPr>
          <w:rStyle w:val="FootnoteReference"/>
        </w:rPr>
        <w:footnoteRef/>
      </w:r>
      <w:r>
        <w:t xml:space="preserve"> </w:t>
      </w:r>
      <w:r w:rsidR="007711E9">
        <w:tab/>
      </w:r>
      <w:r>
        <w:t xml:space="preserve">The author refers to </w:t>
      </w:r>
      <w:r w:rsidRPr="007711E9">
        <w:t>Case</w:t>
      </w:r>
      <w:r w:rsidRPr="005D0285">
        <w:t xml:space="preserve"> Report of the Criminal Court case number 585/Cr-C/2010, p.13</w:t>
      </w:r>
    </w:p>
  </w:footnote>
  <w:footnote w:id="16">
    <w:p w14:paraId="2A178609" w14:textId="0EFCC129" w:rsidR="00471E1C" w:rsidRDefault="00471E1C" w:rsidP="00471E1C">
      <w:pPr>
        <w:pStyle w:val="FootnoteText"/>
        <w:ind w:firstLine="0"/>
      </w:pPr>
      <w:r>
        <w:rPr>
          <w:rStyle w:val="FootnoteReference"/>
        </w:rPr>
        <w:footnoteRef/>
      </w:r>
      <w:r>
        <w:t xml:space="preserve"> </w:t>
      </w:r>
      <w:r w:rsidRPr="00471E1C">
        <w:t xml:space="preserve">General </w:t>
      </w:r>
      <w:r w:rsidR="008207C7">
        <w:t>c</w:t>
      </w:r>
      <w:r w:rsidRPr="00471E1C">
        <w:t xml:space="preserve">omment No. 32 on </w:t>
      </w:r>
      <w:r>
        <w:t>a</w:t>
      </w:r>
      <w:r w:rsidRPr="00471E1C">
        <w:t>rticle 14: Right to equality before courts and tribunals and to a fair trial, 2007, para.32.</w:t>
      </w:r>
    </w:p>
  </w:footnote>
  <w:footnote w:id="17">
    <w:p w14:paraId="21FEEB80" w14:textId="28595901" w:rsidR="00827672" w:rsidRDefault="007711E9" w:rsidP="007711E9">
      <w:pPr>
        <w:pStyle w:val="FootnoteText"/>
      </w:pPr>
      <w:r>
        <w:tab/>
      </w:r>
      <w:r w:rsidR="00827672">
        <w:rPr>
          <w:rStyle w:val="FootnoteReference"/>
        </w:rPr>
        <w:footnoteRef/>
      </w:r>
      <w:r w:rsidR="00827672">
        <w:t xml:space="preserve"> </w:t>
      </w:r>
      <w:r>
        <w:tab/>
      </w:r>
      <w:r>
        <w:tab/>
      </w:r>
      <w:r w:rsidR="00827672" w:rsidRPr="00827672">
        <w:t>Case Report of the Criminal Court case number 585/Cr-C/2010, p.13</w:t>
      </w:r>
      <w:r w:rsidR="00827672">
        <w:t xml:space="preserve"> </w:t>
      </w:r>
      <w:r w:rsidR="00827672" w:rsidRPr="00827672">
        <w:t>and p.18</w:t>
      </w:r>
      <w:r w:rsidR="00827672">
        <w:t>.</w:t>
      </w:r>
      <w:r w:rsidR="00827672" w:rsidRPr="00827672">
        <w:t xml:space="preserve"> </w:t>
      </w:r>
    </w:p>
  </w:footnote>
  <w:footnote w:id="18">
    <w:p w14:paraId="5456376E" w14:textId="6705D071" w:rsidR="00F46995" w:rsidRDefault="00F46995" w:rsidP="007711E9">
      <w:pPr>
        <w:pStyle w:val="FootnoteText"/>
      </w:pPr>
      <w:r>
        <w:tab/>
      </w:r>
      <w:r>
        <w:rPr>
          <w:rStyle w:val="FootnoteReference"/>
        </w:rPr>
        <w:footnoteRef/>
      </w:r>
      <w:r>
        <w:t xml:space="preserve"> </w:t>
      </w:r>
      <w:r w:rsidR="007711E9">
        <w:tab/>
      </w:r>
      <w:r w:rsidRPr="007711E9">
        <w:t>Safeguard</w:t>
      </w:r>
      <w:r w:rsidRPr="00F46995">
        <w:t xml:space="preserve"> no.5 of the UN Safeguards guaranteeing protection of the rights of those facing the death penalty, approved by Economic and Social Council resolution 1984/50 of 25 May 1984. </w:t>
      </w:r>
    </w:p>
  </w:footnote>
  <w:footnote w:id="19">
    <w:p w14:paraId="3354698B" w14:textId="08BCB8D6" w:rsidR="009C18F4" w:rsidRDefault="007711E9" w:rsidP="007711E9">
      <w:pPr>
        <w:pStyle w:val="FootnoteText"/>
      </w:pPr>
      <w:r>
        <w:tab/>
      </w:r>
      <w:r w:rsidR="009C18F4">
        <w:rPr>
          <w:rStyle w:val="FootnoteReference"/>
        </w:rPr>
        <w:footnoteRef/>
      </w:r>
      <w:r w:rsidR="009C18F4">
        <w:t xml:space="preserve"> </w:t>
      </w:r>
      <w:r>
        <w:tab/>
      </w:r>
      <w:r>
        <w:tab/>
      </w:r>
      <w:r w:rsidR="00842371" w:rsidRPr="007711E9">
        <w:t>General</w:t>
      </w:r>
      <w:r w:rsidR="00842371" w:rsidRPr="00842371">
        <w:t xml:space="preserve"> </w:t>
      </w:r>
      <w:r w:rsidR="00E34AFC">
        <w:t>c</w:t>
      </w:r>
      <w:r w:rsidR="00842371" w:rsidRPr="00842371">
        <w:t xml:space="preserve">omment </w:t>
      </w:r>
      <w:r w:rsidR="00E34AFC">
        <w:t xml:space="preserve">No. </w:t>
      </w:r>
      <w:r w:rsidR="00842371" w:rsidRPr="00842371">
        <w:t>36</w:t>
      </w:r>
      <w:r w:rsidR="00842371">
        <w:t>, para. 47</w:t>
      </w:r>
      <w:r w:rsidR="00E34AFC">
        <w:t xml:space="preserve"> and </w:t>
      </w:r>
      <w:proofErr w:type="spellStart"/>
      <w:r w:rsidR="00E34AFC" w:rsidRPr="00E34AFC">
        <w:rPr>
          <w:i/>
        </w:rPr>
        <w:t>Humaam</w:t>
      </w:r>
      <w:proofErr w:type="spellEnd"/>
      <w:r w:rsidR="00E34AFC" w:rsidRPr="00E34AFC">
        <w:rPr>
          <w:i/>
        </w:rPr>
        <w:t xml:space="preserve"> Ahmed v. the Maldives</w:t>
      </w:r>
      <w:r w:rsidR="00E34AFC" w:rsidRPr="00E34AFC">
        <w:t xml:space="preserve"> (CCPR/C/123/D/2785/2016)</w:t>
      </w:r>
      <w:r w:rsidR="00E34AFC">
        <w:t>, para. 9.9.</w:t>
      </w:r>
    </w:p>
  </w:footnote>
  <w:footnote w:id="20">
    <w:p w14:paraId="18E6389C" w14:textId="7CDC7496" w:rsidR="000F41AD" w:rsidRDefault="007711E9" w:rsidP="007711E9">
      <w:pPr>
        <w:pStyle w:val="FootnoteText"/>
      </w:pPr>
      <w:r>
        <w:tab/>
      </w:r>
      <w:r w:rsidR="000F41AD">
        <w:rPr>
          <w:rStyle w:val="FootnoteReference"/>
        </w:rPr>
        <w:footnoteRef/>
      </w:r>
      <w:r w:rsidR="000F41AD">
        <w:t xml:space="preserve"> </w:t>
      </w:r>
      <w:r>
        <w:tab/>
      </w:r>
      <w:r>
        <w:tab/>
      </w:r>
      <w:r w:rsidR="000F41AD" w:rsidRPr="007711E9">
        <w:t>General</w:t>
      </w:r>
      <w:r w:rsidR="000F41AD">
        <w:t xml:space="preserve"> </w:t>
      </w:r>
      <w:r w:rsidR="00E34AFC">
        <w:t>c</w:t>
      </w:r>
      <w:r w:rsidR="000F41AD">
        <w:t xml:space="preserve">omment </w:t>
      </w:r>
      <w:r w:rsidR="00E34AFC">
        <w:t xml:space="preserve">No. </w:t>
      </w:r>
      <w:r w:rsidR="000F41AD">
        <w:t>36, para. 37.</w:t>
      </w:r>
    </w:p>
  </w:footnote>
  <w:footnote w:id="21">
    <w:p w14:paraId="2B356BF5" w14:textId="0A510916" w:rsidR="005D5BDC" w:rsidRDefault="001B39B3" w:rsidP="007711E9">
      <w:pPr>
        <w:pStyle w:val="FootnoteText"/>
        <w:rPr>
          <w:rFonts w:asciiTheme="minorHAnsi" w:hAnsiTheme="minorHAnsi" w:cstheme="minorBidi"/>
          <w:sz w:val="20"/>
          <w:lang w:eastAsia="en-US"/>
        </w:rPr>
      </w:pPr>
      <w:r>
        <w:tab/>
      </w:r>
      <w:r w:rsidR="005D5BDC">
        <w:rPr>
          <w:rStyle w:val="FootnoteReference"/>
          <w:rFonts w:cstheme="minorBidi"/>
        </w:rPr>
        <w:footnoteRef/>
      </w:r>
      <w:r>
        <w:t xml:space="preserve"> </w:t>
      </w:r>
      <w:r w:rsidR="007711E9">
        <w:tab/>
      </w:r>
      <w:r w:rsidR="005D5BDC">
        <w:t>See, inter alia</w:t>
      </w:r>
      <w:r w:rsidR="005D5BDC">
        <w:rPr>
          <w:i/>
          <w:iCs/>
        </w:rPr>
        <w:t xml:space="preserve">, </w:t>
      </w:r>
      <w:proofErr w:type="spellStart"/>
      <w:r w:rsidR="005D5BDC">
        <w:rPr>
          <w:i/>
          <w:iCs/>
        </w:rPr>
        <w:t>Riedl-Riedenstein</w:t>
      </w:r>
      <w:proofErr w:type="spellEnd"/>
      <w:r w:rsidR="005D5BDC">
        <w:rPr>
          <w:i/>
          <w:iCs/>
        </w:rPr>
        <w:t xml:space="preserve"> et al. v. Germany</w:t>
      </w:r>
      <w:r w:rsidR="005D5BDC">
        <w:t xml:space="preserve"> (CCPR/C/82/D/1188/2003), para. 7.3</w:t>
      </w:r>
      <w:r w:rsidR="005D5BDC">
        <w:rPr>
          <w:i/>
          <w:iCs/>
        </w:rPr>
        <w:t xml:space="preserve">, </w:t>
      </w:r>
      <w:proofErr w:type="spellStart"/>
      <w:r w:rsidR="005D5BDC">
        <w:rPr>
          <w:i/>
          <w:iCs/>
        </w:rPr>
        <w:t>Arenz</w:t>
      </w:r>
      <w:proofErr w:type="spellEnd"/>
      <w:r w:rsidR="005D5BDC">
        <w:rPr>
          <w:i/>
          <w:iCs/>
        </w:rPr>
        <w:t xml:space="preserve"> et al. v. Germany</w:t>
      </w:r>
      <w:r w:rsidR="005D5BDC">
        <w:t xml:space="preserve"> (CCPR/C/80/D/1138/2002), para. 8.6; </w:t>
      </w:r>
      <w:r w:rsidR="005D5BDC">
        <w:rPr>
          <w:i/>
          <w:iCs/>
        </w:rPr>
        <w:t>Tyan v. Kazakhstan</w:t>
      </w:r>
      <w:r w:rsidR="005D5BDC">
        <w:t xml:space="preserve"> (CCPR/C/119/D/2125/2011), para. 8.10. See also the Committee’s </w:t>
      </w:r>
      <w:r>
        <w:t>G</w:t>
      </w:r>
      <w:r w:rsidR="005D5BDC">
        <w:t>eneral comment No. 32, para. 26.</w:t>
      </w:r>
    </w:p>
  </w:footnote>
  <w:footnote w:id="22">
    <w:p w14:paraId="3B8B8878" w14:textId="21F664FD" w:rsidR="00360C31" w:rsidRDefault="00360C31" w:rsidP="00360C31">
      <w:pPr>
        <w:pStyle w:val="FootnoteText"/>
        <w:ind w:hanging="283"/>
      </w:pPr>
      <w:r>
        <w:rPr>
          <w:rStyle w:val="FootnoteReference"/>
        </w:rPr>
        <w:footnoteRef/>
      </w:r>
      <w:r>
        <w:t xml:space="preserve">  See, e.g., </w:t>
      </w:r>
      <w:proofErr w:type="spellStart"/>
      <w:r w:rsidRPr="00360C31">
        <w:rPr>
          <w:i/>
          <w:iCs/>
        </w:rPr>
        <w:t>Humaam</w:t>
      </w:r>
      <w:proofErr w:type="spellEnd"/>
      <w:r w:rsidRPr="00360C31">
        <w:rPr>
          <w:i/>
          <w:iCs/>
        </w:rPr>
        <w:t xml:space="preserve"> Ahmed v. the Maldives</w:t>
      </w:r>
      <w:r w:rsidRPr="00360C31">
        <w:t xml:space="preserve"> (CCPR/C/123/D/2785/2016), para. 8.</w:t>
      </w:r>
      <w:r>
        <w:t>7.</w:t>
      </w:r>
    </w:p>
  </w:footnote>
  <w:footnote w:id="23">
    <w:p w14:paraId="72B4F886" w14:textId="65C04D0C" w:rsidR="00DC7CA2" w:rsidRPr="005D5BDC" w:rsidRDefault="00DC7CA2" w:rsidP="00DC7CA2">
      <w:pPr>
        <w:pStyle w:val="FootnoteText"/>
        <w:ind w:firstLine="0"/>
        <w:jc w:val="both"/>
      </w:pPr>
      <w:r>
        <w:rPr>
          <w:rStyle w:val="FootnoteReference"/>
        </w:rPr>
        <w:footnoteRef/>
      </w:r>
      <w:r>
        <w:t xml:space="preserve"> </w:t>
      </w:r>
      <w:proofErr w:type="spellStart"/>
      <w:r w:rsidRPr="005D5BDC">
        <w:rPr>
          <w:i/>
          <w:iCs/>
        </w:rPr>
        <w:t>Humaam</w:t>
      </w:r>
      <w:proofErr w:type="spellEnd"/>
      <w:r w:rsidRPr="005D5BDC">
        <w:rPr>
          <w:i/>
          <w:iCs/>
        </w:rPr>
        <w:t xml:space="preserve"> Ahmed v. the Maldives</w:t>
      </w:r>
      <w:r w:rsidRPr="005D5BDC">
        <w:rPr>
          <w:iCs/>
        </w:rPr>
        <w:t>, para. 8.6</w:t>
      </w:r>
    </w:p>
  </w:footnote>
  <w:footnote w:id="24">
    <w:p w14:paraId="2884E01E" w14:textId="58E247BE" w:rsidR="00EE3371" w:rsidRPr="00C36761" w:rsidRDefault="007711E9" w:rsidP="007711E9">
      <w:pPr>
        <w:pStyle w:val="FootnoteText"/>
      </w:pPr>
      <w:r>
        <w:tab/>
      </w:r>
      <w:r w:rsidR="00EE3371">
        <w:rPr>
          <w:rStyle w:val="FootnoteReference"/>
        </w:rPr>
        <w:footnoteRef/>
      </w:r>
      <w:r w:rsidR="00EE3371">
        <w:t xml:space="preserve"> </w:t>
      </w:r>
      <w:r>
        <w:tab/>
      </w:r>
      <w:r>
        <w:tab/>
      </w:r>
      <w:r w:rsidR="00EE3371" w:rsidRPr="00EE3371">
        <w:t xml:space="preserve">See </w:t>
      </w:r>
      <w:r w:rsidR="00F93413">
        <w:t xml:space="preserve">for </w:t>
      </w:r>
      <w:r w:rsidR="009B0DFF">
        <w:t>example</w:t>
      </w:r>
      <w:r w:rsidR="00C36761">
        <w:t>,</w:t>
      </w:r>
      <w:r w:rsidR="00EE3371">
        <w:t xml:space="preserve"> </w:t>
      </w:r>
      <w:proofErr w:type="spellStart"/>
      <w:r w:rsidR="00EE3371" w:rsidRPr="00EE3371">
        <w:rPr>
          <w:i/>
          <w:iCs/>
        </w:rPr>
        <w:t>Amanklychev</w:t>
      </w:r>
      <w:proofErr w:type="spellEnd"/>
      <w:r w:rsidR="00EE3371" w:rsidRPr="00EE3371">
        <w:rPr>
          <w:i/>
          <w:iCs/>
        </w:rPr>
        <w:t xml:space="preserve"> v. Turkmenistan </w:t>
      </w:r>
      <w:r w:rsidR="00EE3371" w:rsidRPr="00EE3371">
        <w:t>(CCPR/C/116/D/2078/2011)</w:t>
      </w:r>
      <w:r w:rsidR="00C36761">
        <w:t xml:space="preserve">, </w:t>
      </w:r>
      <w:r w:rsidR="00C36761" w:rsidRPr="00D41B8C">
        <w:t xml:space="preserve">para </w:t>
      </w:r>
      <w:r w:rsidR="00D41B8C" w:rsidRPr="00D41B8C">
        <w:t>7.2</w:t>
      </w:r>
      <w:r w:rsidR="00C36761" w:rsidRPr="00D41B8C">
        <w:t>,</w:t>
      </w:r>
      <w:r w:rsidR="00C36761">
        <w:t xml:space="preserve"> </w:t>
      </w:r>
      <w:proofErr w:type="spellStart"/>
      <w:r w:rsidR="00C36761" w:rsidRPr="00C36761">
        <w:rPr>
          <w:i/>
          <w:iCs/>
        </w:rPr>
        <w:t>Humaam</w:t>
      </w:r>
      <w:proofErr w:type="spellEnd"/>
      <w:r w:rsidR="00C36761" w:rsidRPr="00C36761">
        <w:rPr>
          <w:i/>
          <w:iCs/>
        </w:rPr>
        <w:t xml:space="preserve"> Ahmed v. the Maldives</w:t>
      </w:r>
      <w:r w:rsidR="00C36761">
        <w:t>, para. 9.3</w:t>
      </w:r>
      <w:r w:rsidR="00D41B8C">
        <w:t xml:space="preserve"> and G</w:t>
      </w:r>
      <w:r w:rsidR="00D41B8C" w:rsidRPr="00D41B8C">
        <w:t xml:space="preserve">eneral comment No. 20 (1992) on the prohibition of torture or other cruel, </w:t>
      </w:r>
      <w:proofErr w:type="gramStart"/>
      <w:r w:rsidR="00D41B8C" w:rsidRPr="00D41B8C">
        <w:t>inhuman</w:t>
      </w:r>
      <w:proofErr w:type="gramEnd"/>
      <w:r w:rsidR="00D41B8C" w:rsidRPr="00D41B8C">
        <w:t xml:space="preserve"> or degrading treatment or punishment, para. 14.</w:t>
      </w:r>
    </w:p>
  </w:footnote>
  <w:footnote w:id="25">
    <w:p w14:paraId="66738A6B" w14:textId="632D42B5" w:rsidR="00F93413" w:rsidRDefault="000B2497" w:rsidP="007711E9">
      <w:pPr>
        <w:pStyle w:val="FootnoteText"/>
      </w:pPr>
      <w:r>
        <w:tab/>
      </w:r>
      <w:r w:rsidR="00F93413">
        <w:rPr>
          <w:rStyle w:val="FootnoteReference"/>
        </w:rPr>
        <w:footnoteRef/>
      </w:r>
      <w:r w:rsidR="00F93413">
        <w:t xml:space="preserve"> </w:t>
      </w:r>
      <w:r>
        <w:tab/>
      </w:r>
      <w:r>
        <w:tab/>
      </w:r>
      <w:r w:rsidR="00374604">
        <w:t>G</w:t>
      </w:r>
      <w:r w:rsidR="00F93413" w:rsidRPr="00F93413">
        <w:t xml:space="preserve">eneral </w:t>
      </w:r>
      <w:r w:rsidR="00F93413" w:rsidRPr="007711E9">
        <w:t>comment</w:t>
      </w:r>
      <w:r w:rsidR="00F93413" w:rsidRPr="00F93413">
        <w:t xml:space="preserve"> No. 32 (2007) on the right to equality before courts and tribunals and to a fair trial, para. 41</w:t>
      </w:r>
      <w:r w:rsidR="00374604">
        <w:t>.</w:t>
      </w:r>
      <w:r w:rsidR="00F93413" w:rsidRPr="00F93413">
        <w:t xml:space="preserve"> </w:t>
      </w:r>
    </w:p>
  </w:footnote>
  <w:footnote w:id="26">
    <w:p w14:paraId="1EEFAA9B" w14:textId="37CA3228" w:rsidR="00F5625C" w:rsidRDefault="000B2497" w:rsidP="007711E9">
      <w:pPr>
        <w:pStyle w:val="FootnoteText"/>
      </w:pPr>
      <w:r>
        <w:tab/>
      </w:r>
      <w:r w:rsidR="00F5625C">
        <w:rPr>
          <w:rStyle w:val="FootnoteReference"/>
        </w:rPr>
        <w:footnoteRef/>
      </w:r>
      <w:r w:rsidR="00F5625C">
        <w:t xml:space="preserve"> </w:t>
      </w:r>
      <w:r>
        <w:tab/>
      </w:r>
      <w:r>
        <w:tab/>
      </w:r>
      <w:proofErr w:type="spellStart"/>
      <w:r w:rsidR="00F5625C" w:rsidRPr="005B2954">
        <w:rPr>
          <w:i/>
          <w:iCs/>
        </w:rPr>
        <w:t>Humaam</w:t>
      </w:r>
      <w:proofErr w:type="spellEnd"/>
      <w:r w:rsidR="00F5625C" w:rsidRPr="005B2954">
        <w:rPr>
          <w:i/>
          <w:iCs/>
        </w:rPr>
        <w:t xml:space="preserve"> Ahmed v. the Maldives</w:t>
      </w:r>
      <w:r w:rsidR="00F5625C" w:rsidRPr="00F5625C">
        <w:t>, para. 9.3.</w:t>
      </w:r>
    </w:p>
  </w:footnote>
  <w:footnote w:id="27">
    <w:p w14:paraId="7627361C" w14:textId="6B912607" w:rsidR="005019A0" w:rsidRDefault="000B2497" w:rsidP="007711E9">
      <w:pPr>
        <w:pStyle w:val="FootnoteText"/>
      </w:pPr>
      <w:r>
        <w:tab/>
      </w:r>
      <w:r w:rsidR="005019A0">
        <w:rPr>
          <w:rStyle w:val="FootnoteReference"/>
        </w:rPr>
        <w:footnoteRef/>
      </w:r>
      <w:r w:rsidR="005019A0">
        <w:t xml:space="preserve"> </w:t>
      </w:r>
      <w:r>
        <w:tab/>
      </w:r>
      <w:r>
        <w:tab/>
      </w:r>
      <w:r w:rsidR="005019A0">
        <w:t xml:space="preserve">General </w:t>
      </w:r>
      <w:r w:rsidR="00625D84">
        <w:t>c</w:t>
      </w:r>
      <w:r w:rsidR="005019A0">
        <w:t xml:space="preserve">omment </w:t>
      </w:r>
      <w:r w:rsidR="008B34D3">
        <w:t xml:space="preserve">No. </w:t>
      </w:r>
      <w:r w:rsidR="005019A0">
        <w:t>32, para. 38.</w:t>
      </w:r>
    </w:p>
  </w:footnote>
  <w:footnote w:id="28">
    <w:p w14:paraId="3C1C1C14" w14:textId="1B0669ED" w:rsidR="008B34D3" w:rsidRDefault="000B2497" w:rsidP="000B2497">
      <w:pPr>
        <w:pStyle w:val="FootnoteText"/>
      </w:pPr>
      <w:r>
        <w:tab/>
      </w:r>
      <w:r w:rsidR="008B34D3">
        <w:rPr>
          <w:rStyle w:val="FootnoteReference"/>
        </w:rPr>
        <w:footnoteRef/>
      </w:r>
      <w:r w:rsidR="008B34D3">
        <w:t xml:space="preserve"> </w:t>
      </w:r>
      <w:r>
        <w:tab/>
      </w:r>
      <w:r>
        <w:tab/>
      </w:r>
      <w:r w:rsidR="008B34D3" w:rsidRPr="008B34D3">
        <w:t xml:space="preserve">General </w:t>
      </w:r>
      <w:r w:rsidR="008B34D3" w:rsidRPr="000B2497">
        <w:t>comment</w:t>
      </w:r>
      <w:r w:rsidR="008B34D3" w:rsidRPr="008B34D3">
        <w:t xml:space="preserve"> No. 36, para. 35.  </w:t>
      </w:r>
    </w:p>
  </w:footnote>
  <w:footnote w:id="29">
    <w:p w14:paraId="6DC71416" w14:textId="03BD5702" w:rsidR="008806F9" w:rsidRDefault="000B2497" w:rsidP="000B2497">
      <w:pPr>
        <w:pStyle w:val="FootnoteText"/>
      </w:pPr>
      <w:r>
        <w:tab/>
      </w:r>
      <w:r w:rsidR="008806F9">
        <w:rPr>
          <w:rStyle w:val="FootnoteReference"/>
        </w:rPr>
        <w:footnoteRef/>
      </w:r>
      <w:r w:rsidR="008806F9">
        <w:t xml:space="preserve"> </w:t>
      </w:r>
      <w:r>
        <w:tab/>
      </w:r>
      <w:r>
        <w:tab/>
      </w:r>
      <w:r w:rsidR="008806F9" w:rsidRPr="008806F9">
        <w:t xml:space="preserve">Ibid., </w:t>
      </w:r>
      <w:r w:rsidR="008806F9" w:rsidRPr="000B2497">
        <w:t>para</w:t>
      </w:r>
      <w:r w:rsidR="008806F9" w:rsidRPr="008806F9">
        <w:t xml:space="preserve">. 41.  </w:t>
      </w:r>
    </w:p>
  </w:footnote>
  <w:footnote w:id="30">
    <w:p w14:paraId="6EF556E3" w14:textId="23DCD5F6" w:rsidR="008806F9" w:rsidRPr="007C44B9" w:rsidRDefault="000B2497" w:rsidP="000B2497">
      <w:pPr>
        <w:pStyle w:val="FootnoteText"/>
        <w:rPr>
          <w:lang w:val="es-ES"/>
        </w:rPr>
      </w:pPr>
      <w:r>
        <w:tab/>
      </w:r>
      <w:r w:rsidR="008806F9">
        <w:rPr>
          <w:rStyle w:val="FootnoteReference"/>
        </w:rPr>
        <w:footnoteRef/>
      </w:r>
      <w:r w:rsidR="008806F9">
        <w:t xml:space="preserve"> </w:t>
      </w:r>
      <w:r>
        <w:tab/>
      </w:r>
      <w:r>
        <w:tab/>
      </w:r>
      <w:r w:rsidR="008806F9" w:rsidRPr="008806F9">
        <w:t xml:space="preserve">General </w:t>
      </w:r>
      <w:r w:rsidR="008806F9" w:rsidRPr="000B2497">
        <w:t>comment</w:t>
      </w:r>
      <w:r w:rsidR="008806F9" w:rsidRPr="008806F9">
        <w:t xml:space="preserve"> No. 32, para. 59. See also</w:t>
      </w:r>
      <w:r w:rsidR="008150FE">
        <w:t xml:space="preserve"> for example</w:t>
      </w:r>
      <w:r w:rsidR="008806F9" w:rsidRPr="008806F9">
        <w:t xml:space="preserve"> </w:t>
      </w:r>
      <w:r w:rsidR="008806F9" w:rsidRPr="008806F9">
        <w:rPr>
          <w:i/>
          <w:iCs/>
        </w:rPr>
        <w:t xml:space="preserve">Levy v. Jamaica </w:t>
      </w:r>
      <w:r w:rsidR="008806F9" w:rsidRPr="008806F9">
        <w:t xml:space="preserve">(CCPR/C/64/D/719/1996), para. </w:t>
      </w:r>
      <w:r w:rsidR="008806F9" w:rsidRPr="007C44B9">
        <w:rPr>
          <w:lang w:val="es-ES"/>
        </w:rPr>
        <w:t xml:space="preserve">7.3; </w:t>
      </w:r>
      <w:proofErr w:type="spellStart"/>
      <w:r w:rsidR="008806F9" w:rsidRPr="007C44B9">
        <w:rPr>
          <w:i/>
          <w:iCs/>
          <w:lang w:val="es-ES"/>
        </w:rPr>
        <w:t>Kurbanova</w:t>
      </w:r>
      <w:proofErr w:type="spellEnd"/>
      <w:r w:rsidR="008806F9" w:rsidRPr="007C44B9">
        <w:rPr>
          <w:i/>
          <w:iCs/>
          <w:lang w:val="es-ES"/>
        </w:rPr>
        <w:t xml:space="preserve"> v. Tajikistan </w:t>
      </w:r>
      <w:r w:rsidR="008806F9" w:rsidRPr="007C44B9">
        <w:rPr>
          <w:lang w:val="es-ES"/>
        </w:rPr>
        <w:t xml:space="preserve">(CCPR/C/79/D/1096/2002), para. 7.7; </w:t>
      </w:r>
      <w:proofErr w:type="spellStart"/>
      <w:r w:rsidR="008806F9" w:rsidRPr="007C44B9">
        <w:rPr>
          <w:i/>
          <w:iCs/>
          <w:lang w:val="es-ES"/>
        </w:rPr>
        <w:t>Shukurova</w:t>
      </w:r>
      <w:proofErr w:type="spellEnd"/>
      <w:r w:rsidR="008806F9" w:rsidRPr="007C44B9">
        <w:rPr>
          <w:i/>
          <w:iCs/>
          <w:lang w:val="es-ES"/>
        </w:rPr>
        <w:t xml:space="preserve"> v. Tajikistan </w:t>
      </w:r>
      <w:r w:rsidR="008806F9" w:rsidRPr="007C44B9">
        <w:rPr>
          <w:lang w:val="es-ES"/>
        </w:rPr>
        <w:t xml:space="preserve">(CCPR/C/86/D/1044/2002), para. 8.6; </w:t>
      </w:r>
      <w:proofErr w:type="spellStart"/>
      <w:r w:rsidR="008806F9" w:rsidRPr="007C44B9">
        <w:rPr>
          <w:i/>
          <w:iCs/>
          <w:lang w:val="es-ES"/>
        </w:rPr>
        <w:t>Khoroshenko</w:t>
      </w:r>
      <w:proofErr w:type="spellEnd"/>
      <w:r w:rsidR="008806F9" w:rsidRPr="007C44B9">
        <w:rPr>
          <w:i/>
          <w:iCs/>
          <w:lang w:val="es-ES"/>
        </w:rPr>
        <w:t xml:space="preserve"> v. </w:t>
      </w:r>
      <w:proofErr w:type="spellStart"/>
      <w:r w:rsidR="008806F9" w:rsidRPr="007C44B9">
        <w:rPr>
          <w:i/>
          <w:iCs/>
          <w:lang w:val="es-ES"/>
        </w:rPr>
        <w:t>Russian</w:t>
      </w:r>
      <w:proofErr w:type="spellEnd"/>
      <w:r w:rsidR="008806F9" w:rsidRPr="007C44B9">
        <w:rPr>
          <w:i/>
          <w:iCs/>
          <w:lang w:val="es-ES"/>
        </w:rPr>
        <w:t xml:space="preserve"> </w:t>
      </w:r>
      <w:proofErr w:type="spellStart"/>
      <w:r w:rsidR="008806F9" w:rsidRPr="007C44B9">
        <w:rPr>
          <w:i/>
          <w:iCs/>
          <w:lang w:val="es-ES"/>
        </w:rPr>
        <w:t>Federation</w:t>
      </w:r>
      <w:proofErr w:type="spellEnd"/>
      <w:r w:rsidR="008806F9" w:rsidRPr="007C44B9">
        <w:rPr>
          <w:i/>
          <w:iCs/>
          <w:lang w:val="es-ES"/>
        </w:rPr>
        <w:t xml:space="preserve"> </w:t>
      </w:r>
      <w:r w:rsidR="008806F9" w:rsidRPr="007C44B9">
        <w:rPr>
          <w:lang w:val="es-ES"/>
        </w:rPr>
        <w:t xml:space="preserve">(CCPR/C/101/D/1304/2004), para. 9.11; </w:t>
      </w:r>
      <w:proofErr w:type="spellStart"/>
      <w:r w:rsidR="008806F9" w:rsidRPr="007C44B9">
        <w:rPr>
          <w:i/>
          <w:iCs/>
          <w:lang w:val="es-ES"/>
        </w:rPr>
        <w:t>Gunan</w:t>
      </w:r>
      <w:proofErr w:type="spellEnd"/>
      <w:r w:rsidR="008806F9" w:rsidRPr="007C44B9">
        <w:rPr>
          <w:i/>
          <w:iCs/>
          <w:lang w:val="es-ES"/>
        </w:rPr>
        <w:t xml:space="preserve"> v. Kyrgyzstan </w:t>
      </w:r>
      <w:r w:rsidR="008806F9" w:rsidRPr="007C44B9">
        <w:rPr>
          <w:lang w:val="es-ES"/>
        </w:rPr>
        <w:t xml:space="preserve">(CCPR/C/102/D/1545/2007), para. 6.5; and </w:t>
      </w:r>
      <w:proofErr w:type="spellStart"/>
      <w:r w:rsidR="008806F9" w:rsidRPr="007C44B9">
        <w:rPr>
          <w:i/>
          <w:iCs/>
          <w:lang w:val="es-ES"/>
        </w:rPr>
        <w:t>Grunov</w:t>
      </w:r>
      <w:proofErr w:type="spellEnd"/>
      <w:r w:rsidR="008806F9" w:rsidRPr="007C44B9">
        <w:rPr>
          <w:i/>
          <w:iCs/>
          <w:lang w:val="es-ES"/>
        </w:rPr>
        <w:t xml:space="preserve"> and </w:t>
      </w:r>
      <w:proofErr w:type="spellStart"/>
      <w:r w:rsidR="008806F9" w:rsidRPr="007C44B9">
        <w:rPr>
          <w:i/>
          <w:iCs/>
          <w:lang w:val="es-ES"/>
        </w:rPr>
        <w:t>Grunova</w:t>
      </w:r>
      <w:proofErr w:type="spellEnd"/>
      <w:r w:rsidR="008806F9" w:rsidRPr="007C44B9">
        <w:rPr>
          <w:i/>
          <w:iCs/>
          <w:lang w:val="es-ES"/>
        </w:rPr>
        <w:t xml:space="preserve"> v. Belarus </w:t>
      </w:r>
      <w:r w:rsidR="008806F9" w:rsidRPr="007C44B9">
        <w:rPr>
          <w:lang w:val="es-ES"/>
        </w:rPr>
        <w:t xml:space="preserve">(CCPR/C/123/D/2375/2014-CCPR/C/123/D/2690/2015), para. 8.6.  </w:t>
      </w:r>
    </w:p>
  </w:footnote>
  <w:footnote w:id="31">
    <w:p w14:paraId="4182B580" w14:textId="07E06CE0" w:rsidR="008806F9" w:rsidRPr="007C44B9" w:rsidRDefault="000B2497" w:rsidP="000B2497">
      <w:pPr>
        <w:pStyle w:val="FootnoteText"/>
        <w:rPr>
          <w:lang w:val="es-ES"/>
        </w:rPr>
      </w:pPr>
      <w:r w:rsidRPr="007C44B9">
        <w:rPr>
          <w:lang w:val="es-ES"/>
        </w:rPr>
        <w:tab/>
      </w:r>
      <w:r w:rsidR="008806F9">
        <w:rPr>
          <w:rStyle w:val="FootnoteReference"/>
        </w:rPr>
        <w:footnoteRef/>
      </w:r>
      <w:r w:rsidR="008806F9" w:rsidRPr="007C44B9">
        <w:rPr>
          <w:lang w:val="es-ES"/>
        </w:rPr>
        <w:t xml:space="preserve"> </w:t>
      </w:r>
      <w:r w:rsidRPr="007C44B9">
        <w:rPr>
          <w:lang w:val="es-ES"/>
        </w:rPr>
        <w:tab/>
      </w:r>
      <w:r w:rsidRPr="007C44B9">
        <w:rPr>
          <w:lang w:val="es-ES"/>
        </w:rPr>
        <w:tab/>
      </w:r>
      <w:r w:rsidR="008806F9" w:rsidRPr="007C44B9">
        <w:rPr>
          <w:lang w:val="es-ES"/>
        </w:rPr>
        <w:t xml:space="preserve">General </w:t>
      </w:r>
      <w:proofErr w:type="spellStart"/>
      <w:r w:rsidR="008806F9" w:rsidRPr="007C44B9">
        <w:rPr>
          <w:lang w:val="es-ES"/>
        </w:rPr>
        <w:t>comment</w:t>
      </w:r>
      <w:proofErr w:type="spellEnd"/>
      <w:r w:rsidR="008806F9" w:rsidRPr="007C44B9">
        <w:rPr>
          <w:lang w:val="es-ES"/>
        </w:rPr>
        <w:t xml:space="preserve"> No. 32, para. 59.  </w:t>
      </w:r>
    </w:p>
  </w:footnote>
  <w:footnote w:id="32">
    <w:p w14:paraId="20B37968" w14:textId="66B21519" w:rsidR="008226D4" w:rsidRPr="007C44B9" w:rsidRDefault="000B2497" w:rsidP="000B2497">
      <w:pPr>
        <w:pStyle w:val="FootnoteText"/>
        <w:rPr>
          <w:lang w:val="es-ES"/>
        </w:rPr>
      </w:pPr>
      <w:r w:rsidRPr="007C44B9">
        <w:rPr>
          <w:lang w:val="es-ES"/>
        </w:rPr>
        <w:tab/>
      </w:r>
      <w:r w:rsidR="008226D4">
        <w:rPr>
          <w:rStyle w:val="FootnoteReference"/>
        </w:rPr>
        <w:footnoteRef/>
      </w:r>
      <w:r w:rsidR="008226D4" w:rsidRPr="007C44B9">
        <w:rPr>
          <w:lang w:val="es-ES"/>
        </w:rPr>
        <w:t xml:space="preserve"> </w:t>
      </w:r>
      <w:r w:rsidRPr="007C44B9">
        <w:rPr>
          <w:lang w:val="es-ES"/>
        </w:rPr>
        <w:tab/>
      </w:r>
      <w:r w:rsidRPr="007C44B9">
        <w:rPr>
          <w:lang w:val="es-ES"/>
        </w:rPr>
        <w:tab/>
      </w:r>
      <w:r w:rsidR="008226D4" w:rsidRPr="007C44B9">
        <w:rPr>
          <w:lang w:val="es-ES"/>
        </w:rPr>
        <w:t xml:space="preserve">General </w:t>
      </w:r>
      <w:proofErr w:type="spellStart"/>
      <w:r w:rsidR="008226D4" w:rsidRPr="007C44B9">
        <w:rPr>
          <w:lang w:val="es-ES"/>
        </w:rPr>
        <w:t>comment</w:t>
      </w:r>
      <w:proofErr w:type="spellEnd"/>
      <w:r w:rsidR="008226D4" w:rsidRPr="007C44B9">
        <w:rPr>
          <w:lang w:val="es-ES"/>
        </w:rPr>
        <w:t xml:space="preserve"> No. 36, para. 41.  </w:t>
      </w:r>
    </w:p>
  </w:footnote>
  <w:footnote w:id="33">
    <w:p w14:paraId="613E1023" w14:textId="75690571" w:rsidR="000044C9" w:rsidRPr="007C44B9" w:rsidRDefault="000B2497" w:rsidP="000B2497">
      <w:pPr>
        <w:pStyle w:val="FootnoteText"/>
        <w:rPr>
          <w:lang w:val="es-ES"/>
        </w:rPr>
      </w:pPr>
      <w:r w:rsidRPr="007C44B9">
        <w:rPr>
          <w:lang w:val="es-ES"/>
        </w:rPr>
        <w:tab/>
      </w:r>
      <w:r w:rsidR="000044C9">
        <w:rPr>
          <w:rStyle w:val="FootnoteReference"/>
        </w:rPr>
        <w:footnoteRef/>
      </w:r>
      <w:r w:rsidR="000044C9" w:rsidRPr="007C44B9">
        <w:rPr>
          <w:lang w:val="es-ES"/>
        </w:rPr>
        <w:t xml:space="preserve"> </w:t>
      </w:r>
      <w:r w:rsidRPr="007C44B9">
        <w:rPr>
          <w:lang w:val="es-ES"/>
        </w:rPr>
        <w:tab/>
      </w:r>
      <w:r w:rsidRPr="007C44B9">
        <w:rPr>
          <w:lang w:val="es-ES"/>
        </w:rPr>
        <w:tab/>
      </w:r>
      <w:r w:rsidR="000044C9" w:rsidRPr="007C44B9">
        <w:rPr>
          <w:lang w:val="es-ES"/>
        </w:rPr>
        <w:t xml:space="preserve">General </w:t>
      </w:r>
      <w:proofErr w:type="spellStart"/>
      <w:r w:rsidR="000044C9" w:rsidRPr="007C44B9">
        <w:rPr>
          <w:lang w:val="es-ES"/>
        </w:rPr>
        <w:t>comment</w:t>
      </w:r>
      <w:proofErr w:type="spellEnd"/>
      <w:r w:rsidR="000044C9" w:rsidRPr="007C44B9">
        <w:rPr>
          <w:lang w:val="es-ES"/>
        </w:rPr>
        <w:t xml:space="preserve"> No. 36, para. 37.</w:t>
      </w:r>
    </w:p>
  </w:footnote>
  <w:footnote w:id="34">
    <w:p w14:paraId="1EE35584" w14:textId="58881B84" w:rsidR="00953455" w:rsidRPr="007C44B9" w:rsidRDefault="00953455" w:rsidP="00145F3F">
      <w:pPr>
        <w:pStyle w:val="FootnoteText"/>
        <w:rPr>
          <w:lang w:val="es-ES"/>
        </w:rPr>
      </w:pPr>
      <w:r w:rsidRPr="007C44B9">
        <w:rPr>
          <w:lang w:val="es-ES"/>
        </w:rPr>
        <w:tab/>
      </w:r>
      <w:r>
        <w:rPr>
          <w:rStyle w:val="FootnoteReference"/>
        </w:rPr>
        <w:footnoteRef/>
      </w:r>
      <w:r w:rsidRPr="007C44B9">
        <w:rPr>
          <w:lang w:val="es-ES"/>
        </w:rPr>
        <w:t xml:space="preserve"> </w:t>
      </w:r>
      <w:r w:rsidR="000B2497" w:rsidRPr="007C44B9">
        <w:rPr>
          <w:lang w:val="es-ES"/>
        </w:rPr>
        <w:tab/>
      </w:r>
      <w:r w:rsidRPr="007C44B9">
        <w:rPr>
          <w:i/>
          <w:iCs/>
          <w:lang w:val="es-ES"/>
        </w:rPr>
        <w:t>Johnson v. Ghana</w:t>
      </w:r>
      <w:r w:rsidRPr="007C44B9">
        <w:rPr>
          <w:lang w:val="es-ES"/>
        </w:rPr>
        <w:t xml:space="preserve"> (CCPR/C/110/D/2177/2012), para. 7.3,</w:t>
      </w:r>
      <w:r w:rsidRPr="007C44B9">
        <w:rPr>
          <w:b/>
          <w:bCs/>
          <w:lang w:val="es-ES"/>
        </w:rPr>
        <w:t xml:space="preserve"> </w:t>
      </w:r>
      <w:proofErr w:type="spellStart"/>
      <w:r w:rsidRPr="007C44B9">
        <w:rPr>
          <w:i/>
          <w:iCs/>
          <w:lang w:val="es-ES"/>
        </w:rPr>
        <w:t>Weerawansa</w:t>
      </w:r>
      <w:proofErr w:type="spellEnd"/>
      <w:r w:rsidRPr="007C44B9">
        <w:rPr>
          <w:i/>
          <w:iCs/>
          <w:lang w:val="es-ES"/>
        </w:rPr>
        <w:t xml:space="preserve"> </w:t>
      </w:r>
      <w:r w:rsidRPr="007C44B9">
        <w:rPr>
          <w:lang w:val="es-ES"/>
        </w:rPr>
        <w:t xml:space="preserve">v. </w:t>
      </w:r>
      <w:r w:rsidRPr="007C44B9">
        <w:rPr>
          <w:i/>
          <w:iCs/>
          <w:lang w:val="es-ES"/>
        </w:rPr>
        <w:t>Sri Lanka</w:t>
      </w:r>
      <w:r w:rsidR="00145F3F" w:rsidRPr="007C44B9">
        <w:rPr>
          <w:i/>
          <w:iCs/>
          <w:lang w:val="es-ES"/>
        </w:rPr>
        <w:t xml:space="preserve"> </w:t>
      </w:r>
      <w:r w:rsidR="00145F3F" w:rsidRPr="007C44B9">
        <w:rPr>
          <w:lang w:val="es-ES"/>
        </w:rPr>
        <w:t xml:space="preserve">(CCPR/C/95/D/1406/2005), </w:t>
      </w:r>
      <w:r w:rsidRPr="007C44B9">
        <w:rPr>
          <w:lang w:val="es-ES"/>
        </w:rPr>
        <w:t>para. 7.2.</w:t>
      </w:r>
    </w:p>
  </w:footnote>
  <w:footnote w:id="35">
    <w:p w14:paraId="23EB5EA9" w14:textId="07F5AA08" w:rsidR="00D22E2A" w:rsidRPr="007C44B9" w:rsidRDefault="000B2497" w:rsidP="000B2497">
      <w:pPr>
        <w:pStyle w:val="FootnoteText"/>
        <w:rPr>
          <w:lang w:val="es-ES"/>
        </w:rPr>
      </w:pPr>
      <w:r w:rsidRPr="007C44B9">
        <w:rPr>
          <w:lang w:val="es-ES"/>
        </w:rPr>
        <w:tab/>
      </w:r>
      <w:r w:rsidR="00D22E2A">
        <w:rPr>
          <w:rStyle w:val="FootnoteReference"/>
        </w:rPr>
        <w:footnoteRef/>
      </w:r>
      <w:r w:rsidR="00D22E2A" w:rsidRPr="007C44B9">
        <w:rPr>
          <w:lang w:val="es-ES"/>
        </w:rPr>
        <w:t xml:space="preserve"> </w:t>
      </w:r>
      <w:r w:rsidRPr="007C44B9">
        <w:rPr>
          <w:lang w:val="es-ES"/>
        </w:rPr>
        <w:tab/>
      </w:r>
      <w:r w:rsidRPr="007C44B9">
        <w:rPr>
          <w:lang w:val="es-ES"/>
        </w:rPr>
        <w:tab/>
      </w:r>
      <w:proofErr w:type="spellStart"/>
      <w:r w:rsidR="00D22E2A" w:rsidRPr="007C44B9">
        <w:rPr>
          <w:lang w:val="es-ES"/>
        </w:rPr>
        <w:t>Decision</w:t>
      </w:r>
      <w:proofErr w:type="spellEnd"/>
      <w:r w:rsidR="00D22E2A" w:rsidRPr="007C44B9">
        <w:rPr>
          <w:lang w:val="es-ES"/>
        </w:rPr>
        <w:t xml:space="preserve"> 2012/HC-DM-08, 29 </w:t>
      </w:r>
      <w:proofErr w:type="spellStart"/>
      <w:r w:rsidR="00D22E2A" w:rsidRPr="007C44B9">
        <w:rPr>
          <w:lang w:val="es-ES"/>
        </w:rPr>
        <w:t>November</w:t>
      </w:r>
      <w:proofErr w:type="spellEnd"/>
      <w:r w:rsidR="00D22E2A" w:rsidRPr="007C44B9">
        <w:rPr>
          <w:lang w:val="es-ES"/>
        </w:rPr>
        <w:t xml:space="preserve"> 2015.</w:t>
      </w:r>
    </w:p>
  </w:footnote>
  <w:footnote w:id="36">
    <w:p w14:paraId="6265A7D5" w14:textId="5C43C829" w:rsidR="00E27C94" w:rsidRPr="007C44B9" w:rsidRDefault="000B2497" w:rsidP="000B2497">
      <w:pPr>
        <w:pStyle w:val="FootnoteText"/>
        <w:rPr>
          <w:lang w:val="es-ES"/>
        </w:rPr>
      </w:pPr>
      <w:r w:rsidRPr="007C44B9">
        <w:rPr>
          <w:lang w:val="es-ES"/>
        </w:rPr>
        <w:tab/>
      </w:r>
      <w:r w:rsidR="00E27C94">
        <w:rPr>
          <w:rStyle w:val="FootnoteReference"/>
        </w:rPr>
        <w:footnoteRef/>
      </w:r>
      <w:r w:rsidR="00E27C94" w:rsidRPr="007C44B9">
        <w:rPr>
          <w:lang w:val="es-ES"/>
        </w:rPr>
        <w:t xml:space="preserve"> </w:t>
      </w:r>
      <w:r w:rsidRPr="007C44B9">
        <w:rPr>
          <w:lang w:val="es-ES"/>
        </w:rPr>
        <w:tab/>
      </w:r>
      <w:r w:rsidRPr="007C44B9">
        <w:rPr>
          <w:lang w:val="es-ES"/>
        </w:rPr>
        <w:tab/>
      </w:r>
      <w:r w:rsidR="00E27C94" w:rsidRPr="007C44B9">
        <w:rPr>
          <w:lang w:val="es-ES"/>
        </w:rPr>
        <w:t xml:space="preserve">General </w:t>
      </w:r>
      <w:proofErr w:type="spellStart"/>
      <w:r w:rsidR="00E27C94" w:rsidRPr="007C44B9">
        <w:rPr>
          <w:lang w:val="es-ES"/>
        </w:rPr>
        <w:t>comment</w:t>
      </w:r>
      <w:proofErr w:type="spellEnd"/>
      <w:r w:rsidR="00E27C94" w:rsidRPr="007C44B9">
        <w:rPr>
          <w:lang w:val="es-ES"/>
        </w:rPr>
        <w:t xml:space="preserve"> No. 36, para. 47.</w:t>
      </w:r>
    </w:p>
  </w:footnote>
  <w:footnote w:id="37">
    <w:p w14:paraId="0C5BCE04" w14:textId="774FC435" w:rsidR="008A776B" w:rsidRPr="007C44B9" w:rsidRDefault="000B2497" w:rsidP="000B2497">
      <w:pPr>
        <w:pStyle w:val="FootnoteText"/>
        <w:rPr>
          <w:lang w:val="es-ES"/>
        </w:rPr>
      </w:pPr>
      <w:r w:rsidRPr="007C44B9">
        <w:rPr>
          <w:lang w:val="es-ES"/>
        </w:rPr>
        <w:tab/>
      </w:r>
      <w:r w:rsidR="008A776B">
        <w:rPr>
          <w:rStyle w:val="FootnoteReference"/>
        </w:rPr>
        <w:footnoteRef/>
      </w:r>
      <w:r w:rsidR="008A776B" w:rsidRPr="007C44B9">
        <w:rPr>
          <w:lang w:val="es-ES"/>
        </w:rPr>
        <w:t xml:space="preserve"> </w:t>
      </w:r>
      <w:r w:rsidRPr="007C44B9">
        <w:rPr>
          <w:lang w:val="es-ES"/>
        </w:rPr>
        <w:tab/>
      </w:r>
      <w:r w:rsidR="008A776B" w:rsidRPr="007C44B9">
        <w:rPr>
          <w:lang w:val="es-ES"/>
        </w:rPr>
        <w:t>Ibid.</w:t>
      </w:r>
    </w:p>
  </w:footnote>
  <w:footnote w:id="38">
    <w:p w14:paraId="2023649D" w14:textId="5329F4C4" w:rsidR="008A776B" w:rsidRPr="007C44B9" w:rsidRDefault="000B2497" w:rsidP="000B2497">
      <w:pPr>
        <w:pStyle w:val="FootnoteText"/>
        <w:rPr>
          <w:lang w:val="es-ES"/>
        </w:rPr>
      </w:pPr>
      <w:r w:rsidRPr="007C44B9">
        <w:rPr>
          <w:lang w:val="es-ES"/>
        </w:rPr>
        <w:tab/>
      </w:r>
      <w:r w:rsidR="008A776B">
        <w:rPr>
          <w:rStyle w:val="FootnoteReference"/>
        </w:rPr>
        <w:footnoteRef/>
      </w:r>
      <w:r w:rsidRPr="007C44B9">
        <w:rPr>
          <w:lang w:val="es-ES"/>
        </w:rPr>
        <w:tab/>
      </w:r>
      <w:r w:rsidRPr="007C44B9">
        <w:rPr>
          <w:lang w:val="es-ES"/>
        </w:rPr>
        <w:tab/>
      </w:r>
      <w:r w:rsidR="008A776B" w:rsidRPr="007C44B9">
        <w:rPr>
          <w:lang w:val="es-ES"/>
        </w:rPr>
        <w:t>Ibid.</w:t>
      </w:r>
    </w:p>
  </w:footnote>
  <w:footnote w:id="39">
    <w:p w14:paraId="7A2FB64D" w14:textId="46C93D95" w:rsidR="008A776B" w:rsidRPr="007C44B9" w:rsidRDefault="000B2497" w:rsidP="000B2497">
      <w:pPr>
        <w:pStyle w:val="FootnoteText"/>
        <w:rPr>
          <w:lang w:val="es-ES"/>
        </w:rPr>
      </w:pPr>
      <w:r w:rsidRPr="007C44B9">
        <w:rPr>
          <w:lang w:val="es-ES"/>
        </w:rPr>
        <w:tab/>
      </w:r>
      <w:r w:rsidR="008A776B">
        <w:rPr>
          <w:rStyle w:val="FootnoteReference"/>
        </w:rPr>
        <w:footnoteRef/>
      </w:r>
      <w:r w:rsidR="008A776B" w:rsidRPr="007C44B9">
        <w:rPr>
          <w:lang w:val="es-ES"/>
        </w:rPr>
        <w:t xml:space="preserve"> </w:t>
      </w:r>
      <w:r w:rsidRPr="007C44B9">
        <w:rPr>
          <w:lang w:val="es-ES"/>
        </w:rPr>
        <w:tab/>
      </w:r>
      <w:r w:rsidRPr="007C44B9">
        <w:rPr>
          <w:lang w:val="es-ES"/>
        </w:rPr>
        <w:tab/>
      </w:r>
      <w:r w:rsidR="008A776B" w:rsidRPr="007C44B9">
        <w:rPr>
          <w:lang w:val="es-E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C7CCB" w14:textId="7C3246B9" w:rsidR="00A925EC" w:rsidRPr="003008FE" w:rsidRDefault="00A925EC" w:rsidP="00342D59">
    <w:pPr>
      <w:pStyle w:val="Header"/>
    </w:pPr>
    <w:r>
      <w:t>CCPR/C/</w:t>
    </w:r>
    <w:r w:rsidR="00154BE6">
      <w:t>140</w:t>
    </w:r>
    <w:r>
      <w:t>/D</w:t>
    </w:r>
    <w:r w:rsidR="00947AA3">
      <w:t>3011/2017</w:t>
    </w:r>
    <w:r w:rsidR="005B01CF" w:rsidRPr="005B01CF">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BF01D" w14:textId="2FD01BF2" w:rsidR="00A925EC" w:rsidRDefault="00A925EC" w:rsidP="00342D59">
    <w:pPr>
      <w:pStyle w:val="Header"/>
      <w:jc w:val="right"/>
    </w:pPr>
    <w:r>
      <w:t>CCPR/C/1</w:t>
    </w:r>
    <w:r w:rsidR="00154BE6">
      <w:t>40</w:t>
    </w:r>
    <w:r>
      <w:t>/D/</w:t>
    </w:r>
    <w:r w:rsidR="00947AA3">
      <w:t>3011/2017</w:t>
    </w:r>
    <w:r w:rsidR="005B01CF" w:rsidRPr="005B01CF">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97BD183"/>
    <w:multiLevelType w:val="hybridMultilevel"/>
    <w:tmpl w:val="21ED7579"/>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8E0940"/>
    <w:multiLevelType w:val="multilevel"/>
    <w:tmpl w:val="3710F164"/>
    <w:lvl w:ilvl="0">
      <w:start w:val="3"/>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 w15:restartNumberingAfterBreak="0">
    <w:nsid w:val="09885F4F"/>
    <w:multiLevelType w:val="hybridMultilevel"/>
    <w:tmpl w:val="CB0079DC"/>
    <w:lvl w:ilvl="0" w:tplc="775205EE">
      <w:start w:val="7"/>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15:restartNumberingAfterBreak="0">
    <w:nsid w:val="0B28365E"/>
    <w:multiLevelType w:val="hybridMultilevel"/>
    <w:tmpl w:val="E67241CA"/>
    <w:lvl w:ilvl="0" w:tplc="8214D340">
      <w:start w:val="1"/>
      <w:numFmt w:val="decimal"/>
      <w:pStyle w:val="NoSpacing"/>
      <w:lvlText w:val="%1."/>
      <w:lvlJc w:val="left"/>
      <w:pPr>
        <w:ind w:left="720" w:hanging="360"/>
      </w:pPr>
      <w:rPr>
        <w:rFonts w:ascii="Times New Roman" w:hAnsi="Times New Roman" w:cs="Times New Roman" w:hint="default"/>
        <w:b w:val="0"/>
      </w:rPr>
    </w:lvl>
    <w:lvl w:ilvl="1" w:tplc="1500F8EE">
      <w:start w:val="1"/>
      <w:numFmt w:val="lowerLetter"/>
      <w:lvlText w:val="(%2)"/>
      <w:lvlJc w:val="left"/>
      <w:pPr>
        <w:ind w:left="1440" w:hanging="360"/>
      </w:pPr>
      <w:rPr>
        <w:b w:val="0"/>
      </w:rPr>
    </w:lvl>
    <w:lvl w:ilvl="2" w:tplc="2648DC3E">
      <w:start w:val="1"/>
      <w:numFmt w:val="lowerRoman"/>
      <w:lvlText w:val="%3."/>
      <w:lvlJc w:val="right"/>
      <w:pPr>
        <w:ind w:left="2160" w:hanging="180"/>
      </w:pPr>
    </w:lvl>
    <w:lvl w:ilvl="3" w:tplc="E1367A9C">
      <w:start w:val="1"/>
      <w:numFmt w:val="decimal"/>
      <w:lvlText w:val="%4."/>
      <w:lvlJc w:val="left"/>
      <w:pPr>
        <w:ind w:left="2880" w:hanging="360"/>
      </w:pPr>
    </w:lvl>
    <w:lvl w:ilvl="4" w:tplc="1DF6ACB4">
      <w:start w:val="1"/>
      <w:numFmt w:val="lowerLetter"/>
      <w:lvlText w:val="%5."/>
      <w:lvlJc w:val="left"/>
      <w:pPr>
        <w:ind w:left="3600" w:hanging="360"/>
      </w:pPr>
    </w:lvl>
    <w:lvl w:ilvl="5" w:tplc="2BB8A054">
      <w:start w:val="1"/>
      <w:numFmt w:val="lowerRoman"/>
      <w:lvlText w:val="%6."/>
      <w:lvlJc w:val="right"/>
      <w:pPr>
        <w:ind w:left="4320" w:hanging="180"/>
      </w:pPr>
    </w:lvl>
    <w:lvl w:ilvl="6" w:tplc="52E6D214">
      <w:start w:val="1"/>
      <w:numFmt w:val="decimal"/>
      <w:lvlText w:val="%7."/>
      <w:lvlJc w:val="left"/>
      <w:pPr>
        <w:ind w:left="5040" w:hanging="360"/>
      </w:pPr>
    </w:lvl>
    <w:lvl w:ilvl="7" w:tplc="E6C6F5A6">
      <w:start w:val="1"/>
      <w:numFmt w:val="lowerLetter"/>
      <w:lvlText w:val="%8."/>
      <w:lvlJc w:val="left"/>
      <w:pPr>
        <w:ind w:left="5760" w:hanging="360"/>
      </w:pPr>
    </w:lvl>
    <w:lvl w:ilvl="8" w:tplc="90D835BE">
      <w:start w:val="1"/>
      <w:numFmt w:val="lowerRoman"/>
      <w:lvlText w:val="%9."/>
      <w:lvlJc w:val="right"/>
      <w:pPr>
        <w:ind w:left="6480" w:hanging="180"/>
      </w:pPr>
    </w:lvl>
  </w:abstractNum>
  <w:abstractNum w:abstractNumId="5" w15:restartNumberingAfterBreak="0">
    <w:nsid w:val="0DA701B2"/>
    <w:multiLevelType w:val="hybridMultilevel"/>
    <w:tmpl w:val="19A890F2"/>
    <w:lvl w:ilvl="0" w:tplc="1DFA5CD0">
      <w:start w:val="1"/>
      <w:numFmt w:val="decimal"/>
      <w:lvlText w:val="%1"/>
      <w:lvlJc w:val="left"/>
      <w:pPr>
        <w:tabs>
          <w:tab w:val="num" w:pos="357"/>
        </w:tabs>
        <w:ind w:left="357" w:hanging="357"/>
      </w:pPr>
      <w:rPr>
        <w:rFonts w:ascii="Arial" w:hAnsi="Arial" w:cs="Times New Roman" w:hint="default"/>
        <w:b/>
        <w:i w:val="0"/>
        <w:sz w:val="22"/>
      </w:rPr>
    </w:lvl>
    <w:lvl w:ilvl="1" w:tplc="04070019">
      <w:start w:val="1"/>
      <w:numFmt w:val="lowerLetter"/>
      <w:lvlText w:val="%2."/>
      <w:lvlJc w:val="left"/>
      <w:pPr>
        <w:tabs>
          <w:tab w:val="num" w:pos="1440"/>
        </w:tabs>
        <w:ind w:left="1440" w:hanging="360"/>
      </w:pPr>
      <w:rPr>
        <w:rFonts w:cs="Times New Roman"/>
      </w:rPr>
    </w:lvl>
    <w:lvl w:ilvl="2" w:tplc="93D02C02">
      <w:start w:val="1"/>
      <w:numFmt w:val="bullet"/>
      <w:lvlText w:val="–"/>
      <w:lvlJc w:val="left"/>
      <w:pPr>
        <w:tabs>
          <w:tab w:val="num" w:pos="2340"/>
        </w:tabs>
        <w:ind w:left="2340" w:hanging="360"/>
      </w:pPr>
      <w:rPr>
        <w:rFonts w:ascii="Times New Roman" w:eastAsia="Times New Roman" w:hAnsi="Times New Roman" w:cs="Times New Roman" w:hint="default"/>
      </w:r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6" w15:restartNumberingAfterBreak="0">
    <w:nsid w:val="11C26DA3"/>
    <w:multiLevelType w:val="hybridMultilevel"/>
    <w:tmpl w:val="A5923D12"/>
    <w:lvl w:ilvl="0" w:tplc="08090019">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7" w15:restartNumberingAfterBreak="0">
    <w:nsid w:val="1380426A"/>
    <w:multiLevelType w:val="hybridMultilevel"/>
    <w:tmpl w:val="4478FB12"/>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03282A"/>
    <w:multiLevelType w:val="multilevel"/>
    <w:tmpl w:val="0DBE9F2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797497"/>
    <w:multiLevelType w:val="hybridMultilevel"/>
    <w:tmpl w:val="1E42311E"/>
    <w:lvl w:ilvl="0" w:tplc="AF9C6A16">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BE5660"/>
    <w:multiLevelType w:val="hybridMultilevel"/>
    <w:tmpl w:val="5EAA112E"/>
    <w:lvl w:ilvl="0" w:tplc="37AC1434">
      <w:start w:val="1"/>
      <w:numFmt w:val="decimal"/>
      <w:lvlText w:val="%1."/>
      <w:lvlJc w:val="left"/>
      <w:pPr>
        <w:ind w:left="360" w:hanging="360"/>
      </w:pPr>
      <w:rPr>
        <w:rFonts w:ascii="Palatino Linotype" w:hAnsi="Palatino Linotype" w:hint="default"/>
      </w:rPr>
    </w:lvl>
    <w:lvl w:ilvl="1" w:tplc="8594FE48">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0B6D5A"/>
    <w:multiLevelType w:val="hybridMultilevel"/>
    <w:tmpl w:val="4764581C"/>
    <w:lvl w:ilvl="0" w:tplc="0809000F">
      <w:start w:val="3"/>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29E6EE8"/>
    <w:multiLevelType w:val="hybridMultilevel"/>
    <w:tmpl w:val="0BC6E87A"/>
    <w:lvl w:ilvl="0" w:tplc="2ED8927C">
      <w:start w:val="3"/>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48273F38"/>
    <w:multiLevelType w:val="multilevel"/>
    <w:tmpl w:val="127692D8"/>
    <w:lvl w:ilvl="0">
      <w:start w:val="3"/>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7" w15:restartNumberingAfterBreak="0">
    <w:nsid w:val="511A67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30A754E"/>
    <w:multiLevelType w:val="hybridMultilevel"/>
    <w:tmpl w:val="92F68282"/>
    <w:lvl w:ilvl="0" w:tplc="502896E0">
      <w:start w:val="8"/>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59027BC4"/>
    <w:multiLevelType w:val="hybridMultilevel"/>
    <w:tmpl w:val="1DC0AA3E"/>
    <w:lvl w:ilvl="0" w:tplc="97A05EA0">
      <w:start w:val="1"/>
      <w:numFmt w:val="decimal"/>
      <w:lvlText w:val="3.%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E2D0EF1"/>
    <w:multiLevelType w:val="hybridMultilevel"/>
    <w:tmpl w:val="31AC19F2"/>
    <w:lvl w:ilvl="0" w:tplc="0FB28D16">
      <w:start w:val="6"/>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3" w15:restartNumberingAfterBreak="0">
    <w:nsid w:val="6F1A06AA"/>
    <w:multiLevelType w:val="hybridMultilevel"/>
    <w:tmpl w:val="50DECED6"/>
    <w:lvl w:ilvl="0" w:tplc="085ADEA0">
      <w:start w:val="7"/>
      <w:numFmt w:val="bullet"/>
      <w:lvlText w:val="-"/>
      <w:lvlJc w:val="left"/>
      <w:pPr>
        <w:ind w:left="1494" w:hanging="360"/>
      </w:pPr>
      <w:rPr>
        <w:rFonts w:ascii="Times New Roman" w:eastAsia="SimSun" w:hAnsi="Times New Roman" w:cs="Times New Roman" w:hint="default"/>
      </w:rPr>
    </w:lvl>
    <w:lvl w:ilvl="1" w:tplc="08090003">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4" w15:restartNumberingAfterBreak="0">
    <w:nsid w:val="72EB77C4"/>
    <w:multiLevelType w:val="multilevel"/>
    <w:tmpl w:val="3236B342"/>
    <w:lvl w:ilvl="0">
      <w:start w:val="2"/>
      <w:numFmt w:val="decimal"/>
      <w:lvlText w:val="%1"/>
      <w:lvlJc w:val="left"/>
      <w:pPr>
        <w:ind w:left="360" w:hanging="360"/>
      </w:pPr>
      <w:rPr>
        <w:rFonts w:hint="default"/>
      </w:rPr>
    </w:lvl>
    <w:lvl w:ilvl="1">
      <w:start w:val="1"/>
      <w:numFmt w:val="decimal"/>
      <w:lvlText w:val="%1.%2"/>
      <w:lvlJc w:val="left"/>
      <w:pPr>
        <w:ind w:left="1494" w:hanging="360"/>
      </w:pPr>
      <w:rPr>
        <w:rFonts w:hint="default"/>
        <w:b w:val="0"/>
        <w:bCs w:val="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5" w15:restartNumberingAfterBreak="0">
    <w:nsid w:val="73067148"/>
    <w:multiLevelType w:val="multilevel"/>
    <w:tmpl w:val="3710F164"/>
    <w:lvl w:ilvl="0">
      <w:start w:val="3"/>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6" w15:restartNumberingAfterBreak="0">
    <w:nsid w:val="7396214A"/>
    <w:multiLevelType w:val="multilevel"/>
    <w:tmpl w:val="BD98131C"/>
    <w:lvl w:ilvl="0">
      <w:start w:val="2"/>
      <w:numFmt w:val="decimal"/>
      <w:lvlText w:val="%1"/>
      <w:lvlJc w:val="left"/>
      <w:pPr>
        <w:ind w:left="360" w:hanging="360"/>
      </w:pPr>
    </w:lvl>
    <w:lvl w:ilvl="1">
      <w:start w:val="2"/>
      <w:numFmt w:val="decimal"/>
      <w:lvlText w:val="%1.%2"/>
      <w:lvlJc w:val="left"/>
      <w:pPr>
        <w:ind w:left="319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C1A4804"/>
    <w:multiLevelType w:val="hybridMultilevel"/>
    <w:tmpl w:val="AB86CB48"/>
    <w:lvl w:ilvl="0" w:tplc="4F8883E0">
      <w:start w:val="8"/>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9" w15:restartNumberingAfterBreak="0">
    <w:nsid w:val="7D9D514A"/>
    <w:multiLevelType w:val="hybridMultilevel"/>
    <w:tmpl w:val="84D0AE76"/>
    <w:lvl w:ilvl="0" w:tplc="D75EE812">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7FCC19FF"/>
    <w:multiLevelType w:val="multilevel"/>
    <w:tmpl w:val="233E7470"/>
    <w:lvl w:ilvl="0">
      <w:start w:val="3"/>
      <w:numFmt w:val="decimal"/>
      <w:lvlText w:val="%1"/>
      <w:lvlJc w:val="left"/>
      <w:pPr>
        <w:ind w:left="360" w:hanging="360"/>
      </w:pPr>
      <w:rPr>
        <w:rFonts w:hint="default"/>
        <w:b w:val="0"/>
      </w:rPr>
    </w:lvl>
    <w:lvl w:ilvl="1">
      <w:start w:val="6"/>
      <w:numFmt w:val="decimal"/>
      <w:lvlText w:val="%1.%2"/>
      <w:lvlJc w:val="left"/>
      <w:pPr>
        <w:ind w:left="1494" w:hanging="360"/>
      </w:pPr>
      <w:rPr>
        <w:rFonts w:hint="default"/>
        <w:b w:val="0"/>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val="0"/>
      </w:rPr>
    </w:lvl>
    <w:lvl w:ilvl="4">
      <w:start w:val="1"/>
      <w:numFmt w:val="decimal"/>
      <w:lvlText w:val="%1.%2.%3.%4.%5"/>
      <w:lvlJc w:val="left"/>
      <w:pPr>
        <w:ind w:left="5256" w:hanging="720"/>
      </w:pPr>
      <w:rPr>
        <w:rFonts w:hint="default"/>
        <w:b w:val="0"/>
      </w:rPr>
    </w:lvl>
    <w:lvl w:ilvl="5">
      <w:start w:val="1"/>
      <w:numFmt w:val="decimal"/>
      <w:lvlText w:val="%1.%2.%3.%4.%5.%6"/>
      <w:lvlJc w:val="left"/>
      <w:pPr>
        <w:ind w:left="6750" w:hanging="1080"/>
      </w:pPr>
      <w:rPr>
        <w:rFonts w:hint="default"/>
        <w:b w:val="0"/>
      </w:rPr>
    </w:lvl>
    <w:lvl w:ilvl="6">
      <w:start w:val="1"/>
      <w:numFmt w:val="decimal"/>
      <w:lvlText w:val="%1.%2.%3.%4.%5.%6.%7"/>
      <w:lvlJc w:val="left"/>
      <w:pPr>
        <w:ind w:left="7884" w:hanging="1080"/>
      </w:pPr>
      <w:rPr>
        <w:rFonts w:hint="default"/>
        <w:b w:val="0"/>
      </w:rPr>
    </w:lvl>
    <w:lvl w:ilvl="7">
      <w:start w:val="1"/>
      <w:numFmt w:val="decimal"/>
      <w:lvlText w:val="%1.%2.%3.%4.%5.%6.%7.%8"/>
      <w:lvlJc w:val="left"/>
      <w:pPr>
        <w:ind w:left="9378" w:hanging="1440"/>
      </w:pPr>
      <w:rPr>
        <w:rFonts w:hint="default"/>
        <w:b w:val="0"/>
      </w:rPr>
    </w:lvl>
    <w:lvl w:ilvl="8">
      <w:start w:val="1"/>
      <w:numFmt w:val="decimal"/>
      <w:lvlText w:val="%1.%2.%3.%4.%5.%6.%7.%8.%9"/>
      <w:lvlJc w:val="left"/>
      <w:pPr>
        <w:ind w:left="10512" w:hanging="1440"/>
      </w:pPr>
      <w:rPr>
        <w:rFonts w:hint="default"/>
        <w:b w:val="0"/>
      </w:rPr>
    </w:lvl>
  </w:abstractNum>
  <w:num w:numId="1" w16cid:durableId="1862745460">
    <w:abstractNumId w:val="13"/>
  </w:num>
  <w:num w:numId="2" w16cid:durableId="1039741119">
    <w:abstractNumId w:val="10"/>
  </w:num>
  <w:num w:numId="3" w16cid:durableId="2014452976">
    <w:abstractNumId w:val="1"/>
  </w:num>
  <w:num w:numId="4" w16cid:durableId="823087676">
    <w:abstractNumId w:val="20"/>
  </w:num>
  <w:num w:numId="5" w16cid:durableId="1095442578">
    <w:abstractNumId w:val="21"/>
  </w:num>
  <w:num w:numId="6" w16cid:durableId="1212570278">
    <w:abstractNumId w:val="27"/>
  </w:num>
  <w:num w:numId="7" w16cid:durableId="397022636">
    <w:abstractNumId w:val="8"/>
  </w:num>
  <w:num w:numId="8" w16cid:durableId="1851021227">
    <w:abstractNumId w:val="6"/>
  </w:num>
  <w:num w:numId="9" w16cid:durableId="1254822828">
    <w:abstractNumId w:val="9"/>
  </w:num>
  <w:num w:numId="10" w16cid:durableId="1497917873">
    <w:abstractNumId w:val="14"/>
  </w:num>
  <w:num w:numId="11" w16cid:durableId="1436756217">
    <w:abstractNumId w:val="29"/>
  </w:num>
  <w:num w:numId="12" w16cid:durableId="1164668528">
    <w:abstractNumId w:val="2"/>
  </w:num>
  <w:num w:numId="13" w16cid:durableId="1288387137">
    <w:abstractNumId w:val="25"/>
  </w:num>
  <w:num w:numId="14" w16cid:durableId="305087131">
    <w:abstractNumId w:val="2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1720699">
    <w:abstractNumId w:val="0"/>
    <w:lvlOverride w:ilvl="0">
      <w:startOverride w:val="1"/>
    </w:lvlOverride>
    <w:lvlOverride w:ilvl="1"/>
    <w:lvlOverride w:ilvl="2"/>
    <w:lvlOverride w:ilvl="3"/>
    <w:lvlOverride w:ilvl="4"/>
    <w:lvlOverride w:ilvl="5"/>
    <w:lvlOverride w:ilvl="6"/>
    <w:lvlOverride w:ilvl="7"/>
    <w:lvlOverride w:ilvl="8"/>
  </w:num>
  <w:num w:numId="16" w16cid:durableId="1412778463">
    <w:abstractNumId w:val="17"/>
  </w:num>
  <w:num w:numId="17" w16cid:durableId="15542835">
    <w:abstractNumId w:val="7"/>
  </w:num>
  <w:num w:numId="18" w16cid:durableId="1628975581">
    <w:abstractNumId w:val="28"/>
  </w:num>
  <w:num w:numId="19" w16cid:durableId="15668433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084274">
    <w:abstractNumId w:val="11"/>
  </w:num>
  <w:num w:numId="21" w16cid:durableId="433676186">
    <w:abstractNumId w:val="19"/>
  </w:num>
  <w:num w:numId="22" w16cid:durableId="1459909019">
    <w:abstractNumId w:val="24"/>
  </w:num>
  <w:num w:numId="23" w16cid:durableId="1187018830">
    <w:abstractNumId w:val="18"/>
  </w:num>
  <w:num w:numId="24" w16cid:durableId="826166218">
    <w:abstractNumId w:val="30"/>
  </w:num>
  <w:num w:numId="25" w16cid:durableId="122503468">
    <w:abstractNumId w:val="16"/>
  </w:num>
  <w:num w:numId="26" w16cid:durableId="175770685">
    <w:abstractNumId w:val="3"/>
  </w:num>
  <w:num w:numId="27" w16cid:durableId="1324432204">
    <w:abstractNumId w:val="22"/>
  </w:num>
  <w:num w:numId="28" w16cid:durableId="1353337446">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88635626">
    <w:abstractNumId w:val="23"/>
  </w:num>
  <w:num w:numId="30" w16cid:durableId="1052995625">
    <w:abstractNumId w:val="15"/>
  </w:num>
  <w:num w:numId="31" w16cid:durableId="15991749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s-ES_tradnl" w:vendorID="64" w:dllVersion="6" w:nlCheck="1" w:checkStyle="0"/>
  <w:activeWritingStyle w:appName="MSWord" w:lang="es-ES" w:vendorID="64" w:dllVersion="6" w:nlCheck="1" w:checkStyle="0"/>
  <w:activeWritingStyle w:appName="MSWord" w:lang="en-GB" w:vendorID="64" w:dllVersion="6" w:nlCheck="1" w:checkStyle="1"/>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CO"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fr-FR" w:vendorID="64" w:dllVersion="6" w:nlCheck="1" w:checkStyle="0"/>
  <w:activeWritingStyle w:appName="MSWord" w:lang="en-ZA" w:vendorID="64" w:dllVersion="0" w:nlCheck="1" w:checkStyle="0"/>
  <w:activeWritingStyle w:appName="MSWord" w:lang="es-AR" w:vendorID="64" w:dllVersion="0" w:nlCheck="1" w:checkStyle="0"/>
  <w:activeWritingStyle w:appName="MSWord" w:lang="en-CA" w:vendorID="64" w:dllVersion="0" w:nlCheck="1" w:checkStyle="0"/>
  <w:activeWritingStyle w:appName="MSWord" w:lang="fr-FR" w:vendorID="64" w:dllVersion="0" w:nlCheck="1" w:checkStyle="0"/>
  <w:proofState w:spelling="clean" w:grammar="clean"/>
  <w:documentProtection w:edit="trackedChanges" w:enforcement="0"/>
  <w:defaultTabStop w:val="567"/>
  <w:hyphenationZone w:val="425"/>
  <w:evenAndOddHeaders/>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12F"/>
    <w:rsid w:val="00000D65"/>
    <w:rsid w:val="0000112F"/>
    <w:rsid w:val="000011A9"/>
    <w:rsid w:val="000044C9"/>
    <w:rsid w:val="00005024"/>
    <w:rsid w:val="00007962"/>
    <w:rsid w:val="000146EE"/>
    <w:rsid w:val="0002502D"/>
    <w:rsid w:val="000267B0"/>
    <w:rsid w:val="0002769E"/>
    <w:rsid w:val="00027C21"/>
    <w:rsid w:val="00033C0C"/>
    <w:rsid w:val="00034238"/>
    <w:rsid w:val="00034346"/>
    <w:rsid w:val="00035E53"/>
    <w:rsid w:val="000400EE"/>
    <w:rsid w:val="00045147"/>
    <w:rsid w:val="00045FF4"/>
    <w:rsid w:val="00046E92"/>
    <w:rsid w:val="00052A73"/>
    <w:rsid w:val="00056EFC"/>
    <w:rsid w:val="000572A3"/>
    <w:rsid w:val="0005792D"/>
    <w:rsid w:val="00065008"/>
    <w:rsid w:val="0006523D"/>
    <w:rsid w:val="00067E07"/>
    <w:rsid w:val="00067E53"/>
    <w:rsid w:val="00071229"/>
    <w:rsid w:val="000737DD"/>
    <w:rsid w:val="00074033"/>
    <w:rsid w:val="00076298"/>
    <w:rsid w:val="0007657A"/>
    <w:rsid w:val="000769AA"/>
    <w:rsid w:val="00077CB7"/>
    <w:rsid w:val="00080DFB"/>
    <w:rsid w:val="00082FE5"/>
    <w:rsid w:val="000835C2"/>
    <w:rsid w:val="00084280"/>
    <w:rsid w:val="00085355"/>
    <w:rsid w:val="00086472"/>
    <w:rsid w:val="000900DB"/>
    <w:rsid w:val="0009796A"/>
    <w:rsid w:val="000B2497"/>
    <w:rsid w:val="000B4D50"/>
    <w:rsid w:val="000B61F7"/>
    <w:rsid w:val="000B6707"/>
    <w:rsid w:val="000B68DE"/>
    <w:rsid w:val="000B7DA4"/>
    <w:rsid w:val="000C0558"/>
    <w:rsid w:val="000C0B32"/>
    <w:rsid w:val="000C17CB"/>
    <w:rsid w:val="000C1B6A"/>
    <w:rsid w:val="000C2D45"/>
    <w:rsid w:val="000C3EDB"/>
    <w:rsid w:val="000C4B08"/>
    <w:rsid w:val="000C4F5E"/>
    <w:rsid w:val="000C6238"/>
    <w:rsid w:val="000D1A6D"/>
    <w:rsid w:val="000D1B8A"/>
    <w:rsid w:val="000D594C"/>
    <w:rsid w:val="000E1B0E"/>
    <w:rsid w:val="000E1C4E"/>
    <w:rsid w:val="000E419C"/>
    <w:rsid w:val="000E61B0"/>
    <w:rsid w:val="000F121D"/>
    <w:rsid w:val="000F41AD"/>
    <w:rsid w:val="000F5E5C"/>
    <w:rsid w:val="001045C9"/>
    <w:rsid w:val="00105F24"/>
    <w:rsid w:val="00106358"/>
    <w:rsid w:val="001066B5"/>
    <w:rsid w:val="0011356D"/>
    <w:rsid w:val="00124DD0"/>
    <w:rsid w:val="00126845"/>
    <w:rsid w:val="00126E6E"/>
    <w:rsid w:val="0013047D"/>
    <w:rsid w:val="0013064E"/>
    <w:rsid w:val="00131D7A"/>
    <w:rsid w:val="001327EE"/>
    <w:rsid w:val="00133599"/>
    <w:rsid w:val="001342E5"/>
    <w:rsid w:val="00135E76"/>
    <w:rsid w:val="00140D96"/>
    <w:rsid w:val="00141CAB"/>
    <w:rsid w:val="00145F3F"/>
    <w:rsid w:val="001478F7"/>
    <w:rsid w:val="00150EE9"/>
    <w:rsid w:val="00152068"/>
    <w:rsid w:val="001523E6"/>
    <w:rsid w:val="00152ACD"/>
    <w:rsid w:val="00152B02"/>
    <w:rsid w:val="00153763"/>
    <w:rsid w:val="00154BE6"/>
    <w:rsid w:val="00155857"/>
    <w:rsid w:val="00162698"/>
    <w:rsid w:val="00165443"/>
    <w:rsid w:val="0016558A"/>
    <w:rsid w:val="00165C15"/>
    <w:rsid w:val="00170288"/>
    <w:rsid w:val="00172D1D"/>
    <w:rsid w:val="00173592"/>
    <w:rsid w:val="00174D26"/>
    <w:rsid w:val="00177AB9"/>
    <w:rsid w:val="00180BB1"/>
    <w:rsid w:val="00182444"/>
    <w:rsid w:val="00183591"/>
    <w:rsid w:val="0018439E"/>
    <w:rsid w:val="00184B93"/>
    <w:rsid w:val="00187E82"/>
    <w:rsid w:val="0019173D"/>
    <w:rsid w:val="00191CE9"/>
    <w:rsid w:val="001926E3"/>
    <w:rsid w:val="00192C7F"/>
    <w:rsid w:val="0019595E"/>
    <w:rsid w:val="001A11DB"/>
    <w:rsid w:val="001A4002"/>
    <w:rsid w:val="001A6819"/>
    <w:rsid w:val="001A7D98"/>
    <w:rsid w:val="001B39B3"/>
    <w:rsid w:val="001B3D0E"/>
    <w:rsid w:val="001B4A8B"/>
    <w:rsid w:val="001B7589"/>
    <w:rsid w:val="001C00D7"/>
    <w:rsid w:val="001C1340"/>
    <w:rsid w:val="001D0DD5"/>
    <w:rsid w:val="001D5DD1"/>
    <w:rsid w:val="001D7A39"/>
    <w:rsid w:val="001D7C86"/>
    <w:rsid w:val="001E01F1"/>
    <w:rsid w:val="001E0676"/>
    <w:rsid w:val="001E08CA"/>
    <w:rsid w:val="001E0E6D"/>
    <w:rsid w:val="001E12B2"/>
    <w:rsid w:val="001E13CA"/>
    <w:rsid w:val="001E2813"/>
    <w:rsid w:val="001E4C12"/>
    <w:rsid w:val="001E4FBB"/>
    <w:rsid w:val="001F18F9"/>
    <w:rsid w:val="001F19A3"/>
    <w:rsid w:val="001F554B"/>
    <w:rsid w:val="001F65E2"/>
    <w:rsid w:val="00203BD2"/>
    <w:rsid w:val="00206C11"/>
    <w:rsid w:val="0020772F"/>
    <w:rsid w:val="00207E4A"/>
    <w:rsid w:val="00210677"/>
    <w:rsid w:val="002107FE"/>
    <w:rsid w:val="0021187B"/>
    <w:rsid w:val="00212AD8"/>
    <w:rsid w:val="00213ACE"/>
    <w:rsid w:val="00213B59"/>
    <w:rsid w:val="002171CE"/>
    <w:rsid w:val="00227538"/>
    <w:rsid w:val="0023089D"/>
    <w:rsid w:val="002328CD"/>
    <w:rsid w:val="00235C96"/>
    <w:rsid w:val="00235FA9"/>
    <w:rsid w:val="00236F79"/>
    <w:rsid w:val="00237017"/>
    <w:rsid w:val="00244C14"/>
    <w:rsid w:val="00247E2C"/>
    <w:rsid w:val="00251522"/>
    <w:rsid w:val="00252D95"/>
    <w:rsid w:val="002533CF"/>
    <w:rsid w:val="00253F56"/>
    <w:rsid w:val="00255520"/>
    <w:rsid w:val="00255D64"/>
    <w:rsid w:val="00263891"/>
    <w:rsid w:val="00266DED"/>
    <w:rsid w:val="002716DE"/>
    <w:rsid w:val="00272132"/>
    <w:rsid w:val="002733B4"/>
    <w:rsid w:val="00273B76"/>
    <w:rsid w:val="00273C52"/>
    <w:rsid w:val="00275FB7"/>
    <w:rsid w:val="00277328"/>
    <w:rsid w:val="00281D88"/>
    <w:rsid w:val="00284C27"/>
    <w:rsid w:val="002862D4"/>
    <w:rsid w:val="00286E6A"/>
    <w:rsid w:val="00286F92"/>
    <w:rsid w:val="002877DC"/>
    <w:rsid w:val="0029159A"/>
    <w:rsid w:val="002936C6"/>
    <w:rsid w:val="00293A80"/>
    <w:rsid w:val="00294236"/>
    <w:rsid w:val="00294AB9"/>
    <w:rsid w:val="00295389"/>
    <w:rsid w:val="00296C12"/>
    <w:rsid w:val="002A56CA"/>
    <w:rsid w:val="002A62C4"/>
    <w:rsid w:val="002B2339"/>
    <w:rsid w:val="002B2FF9"/>
    <w:rsid w:val="002B3C19"/>
    <w:rsid w:val="002B66A5"/>
    <w:rsid w:val="002B78A4"/>
    <w:rsid w:val="002C1CB5"/>
    <w:rsid w:val="002C2755"/>
    <w:rsid w:val="002C495C"/>
    <w:rsid w:val="002C7143"/>
    <w:rsid w:val="002D1B90"/>
    <w:rsid w:val="002D3FE8"/>
    <w:rsid w:val="002D60E9"/>
    <w:rsid w:val="002D6881"/>
    <w:rsid w:val="002D6C53"/>
    <w:rsid w:val="002E0382"/>
    <w:rsid w:val="002F00AB"/>
    <w:rsid w:val="002F2163"/>
    <w:rsid w:val="002F5595"/>
    <w:rsid w:val="003008FE"/>
    <w:rsid w:val="00307350"/>
    <w:rsid w:val="0030749C"/>
    <w:rsid w:val="00307A92"/>
    <w:rsid w:val="0031046C"/>
    <w:rsid w:val="003107E7"/>
    <w:rsid w:val="00310ABA"/>
    <w:rsid w:val="00310B8A"/>
    <w:rsid w:val="00313259"/>
    <w:rsid w:val="00313FD9"/>
    <w:rsid w:val="00316B84"/>
    <w:rsid w:val="00317B18"/>
    <w:rsid w:val="00322769"/>
    <w:rsid w:val="00325EA2"/>
    <w:rsid w:val="00332BBB"/>
    <w:rsid w:val="00334ECF"/>
    <w:rsid w:val="00334F6A"/>
    <w:rsid w:val="0034258C"/>
    <w:rsid w:val="00342AC8"/>
    <w:rsid w:val="00342D59"/>
    <w:rsid w:val="00351F15"/>
    <w:rsid w:val="00354A22"/>
    <w:rsid w:val="00356515"/>
    <w:rsid w:val="00356626"/>
    <w:rsid w:val="00360463"/>
    <w:rsid w:val="00360C31"/>
    <w:rsid w:val="0036178D"/>
    <w:rsid w:val="00362169"/>
    <w:rsid w:val="0036286D"/>
    <w:rsid w:val="00362D04"/>
    <w:rsid w:val="00362E3F"/>
    <w:rsid w:val="00364C44"/>
    <w:rsid w:val="003655EC"/>
    <w:rsid w:val="003709BB"/>
    <w:rsid w:val="00374604"/>
    <w:rsid w:val="00380754"/>
    <w:rsid w:val="00382AA5"/>
    <w:rsid w:val="00383A29"/>
    <w:rsid w:val="003841DF"/>
    <w:rsid w:val="00390E1F"/>
    <w:rsid w:val="00391082"/>
    <w:rsid w:val="00393A28"/>
    <w:rsid w:val="00394114"/>
    <w:rsid w:val="00395786"/>
    <w:rsid w:val="00396E23"/>
    <w:rsid w:val="0039726B"/>
    <w:rsid w:val="003A13A9"/>
    <w:rsid w:val="003A2574"/>
    <w:rsid w:val="003A52C9"/>
    <w:rsid w:val="003B28D5"/>
    <w:rsid w:val="003B4550"/>
    <w:rsid w:val="003B45B8"/>
    <w:rsid w:val="003B6310"/>
    <w:rsid w:val="003B7931"/>
    <w:rsid w:val="003C4B23"/>
    <w:rsid w:val="003D5A40"/>
    <w:rsid w:val="003D6D6D"/>
    <w:rsid w:val="003E2B19"/>
    <w:rsid w:val="003E31BE"/>
    <w:rsid w:val="003E405C"/>
    <w:rsid w:val="003E5E4C"/>
    <w:rsid w:val="003F14C4"/>
    <w:rsid w:val="003F457F"/>
    <w:rsid w:val="00400533"/>
    <w:rsid w:val="004102DD"/>
    <w:rsid w:val="00412711"/>
    <w:rsid w:val="00420C26"/>
    <w:rsid w:val="004212CD"/>
    <w:rsid w:val="0042698A"/>
    <w:rsid w:val="00431935"/>
    <w:rsid w:val="00441D4F"/>
    <w:rsid w:val="004446BA"/>
    <w:rsid w:val="00444F1B"/>
    <w:rsid w:val="00445AC9"/>
    <w:rsid w:val="00445FEF"/>
    <w:rsid w:val="00446025"/>
    <w:rsid w:val="0045036E"/>
    <w:rsid w:val="0045367B"/>
    <w:rsid w:val="00453A20"/>
    <w:rsid w:val="00455CC1"/>
    <w:rsid w:val="00455D70"/>
    <w:rsid w:val="00461253"/>
    <w:rsid w:val="00466A6A"/>
    <w:rsid w:val="00467B39"/>
    <w:rsid w:val="004704E7"/>
    <w:rsid w:val="00471E1C"/>
    <w:rsid w:val="00472FED"/>
    <w:rsid w:val="00477617"/>
    <w:rsid w:val="00483213"/>
    <w:rsid w:val="004850BD"/>
    <w:rsid w:val="00486BBD"/>
    <w:rsid w:val="00490B06"/>
    <w:rsid w:val="004918F3"/>
    <w:rsid w:val="00492501"/>
    <w:rsid w:val="00494B81"/>
    <w:rsid w:val="00496DF8"/>
    <w:rsid w:val="00496E1C"/>
    <w:rsid w:val="004A1853"/>
    <w:rsid w:val="004A304C"/>
    <w:rsid w:val="004A480A"/>
    <w:rsid w:val="004B0B43"/>
    <w:rsid w:val="004B1717"/>
    <w:rsid w:val="004B52E4"/>
    <w:rsid w:val="004C079C"/>
    <w:rsid w:val="004C1B44"/>
    <w:rsid w:val="004D0A2A"/>
    <w:rsid w:val="004D1979"/>
    <w:rsid w:val="004D4609"/>
    <w:rsid w:val="004D5D41"/>
    <w:rsid w:val="004D5F4E"/>
    <w:rsid w:val="004E5810"/>
    <w:rsid w:val="004F0118"/>
    <w:rsid w:val="004F0D46"/>
    <w:rsid w:val="004F3BE6"/>
    <w:rsid w:val="004F4EEB"/>
    <w:rsid w:val="004F7301"/>
    <w:rsid w:val="0050154F"/>
    <w:rsid w:val="005019A0"/>
    <w:rsid w:val="00501B87"/>
    <w:rsid w:val="005042C2"/>
    <w:rsid w:val="00507EA8"/>
    <w:rsid w:val="005137C5"/>
    <w:rsid w:val="0051600B"/>
    <w:rsid w:val="00520CAD"/>
    <w:rsid w:val="00521BCF"/>
    <w:rsid w:val="0052532F"/>
    <w:rsid w:val="005257AB"/>
    <w:rsid w:val="00526B3F"/>
    <w:rsid w:val="00534158"/>
    <w:rsid w:val="0054370B"/>
    <w:rsid w:val="00546402"/>
    <w:rsid w:val="00555E45"/>
    <w:rsid w:val="00562697"/>
    <w:rsid w:val="00566680"/>
    <w:rsid w:val="00566939"/>
    <w:rsid w:val="005678D6"/>
    <w:rsid w:val="00575BF6"/>
    <w:rsid w:val="00580A2E"/>
    <w:rsid w:val="00587231"/>
    <w:rsid w:val="005872F2"/>
    <w:rsid w:val="005909EB"/>
    <w:rsid w:val="00591AAE"/>
    <w:rsid w:val="00592675"/>
    <w:rsid w:val="0059413C"/>
    <w:rsid w:val="00597381"/>
    <w:rsid w:val="005A07A7"/>
    <w:rsid w:val="005A29AB"/>
    <w:rsid w:val="005A4379"/>
    <w:rsid w:val="005A608A"/>
    <w:rsid w:val="005A6F84"/>
    <w:rsid w:val="005A72BF"/>
    <w:rsid w:val="005B01CF"/>
    <w:rsid w:val="005B23E9"/>
    <w:rsid w:val="005B2954"/>
    <w:rsid w:val="005B7DB4"/>
    <w:rsid w:val="005C0190"/>
    <w:rsid w:val="005C21B5"/>
    <w:rsid w:val="005C3887"/>
    <w:rsid w:val="005C4274"/>
    <w:rsid w:val="005C485A"/>
    <w:rsid w:val="005C540B"/>
    <w:rsid w:val="005D0285"/>
    <w:rsid w:val="005D1754"/>
    <w:rsid w:val="005D175C"/>
    <w:rsid w:val="005D212D"/>
    <w:rsid w:val="005D3887"/>
    <w:rsid w:val="005D478E"/>
    <w:rsid w:val="005D5BDC"/>
    <w:rsid w:val="005D65FD"/>
    <w:rsid w:val="005E0FC4"/>
    <w:rsid w:val="005E1297"/>
    <w:rsid w:val="005E2E6C"/>
    <w:rsid w:val="005E39FA"/>
    <w:rsid w:val="005F13F2"/>
    <w:rsid w:val="005F191B"/>
    <w:rsid w:val="005F2E3A"/>
    <w:rsid w:val="005F4537"/>
    <w:rsid w:val="005F60DF"/>
    <w:rsid w:val="0060240A"/>
    <w:rsid w:val="006045A4"/>
    <w:rsid w:val="006051A3"/>
    <w:rsid w:val="00607149"/>
    <w:rsid w:val="00611FE2"/>
    <w:rsid w:val="00614ED8"/>
    <w:rsid w:val="0061520C"/>
    <w:rsid w:val="006153A3"/>
    <w:rsid w:val="006155FF"/>
    <w:rsid w:val="00620EB9"/>
    <w:rsid w:val="00621D61"/>
    <w:rsid w:val="006228FC"/>
    <w:rsid w:val="00624265"/>
    <w:rsid w:val="00625D84"/>
    <w:rsid w:val="00625F43"/>
    <w:rsid w:val="0063086E"/>
    <w:rsid w:val="00631904"/>
    <w:rsid w:val="00633C52"/>
    <w:rsid w:val="00635B98"/>
    <w:rsid w:val="00636247"/>
    <w:rsid w:val="00636E1F"/>
    <w:rsid w:val="00641C03"/>
    <w:rsid w:val="006443FA"/>
    <w:rsid w:val="00646844"/>
    <w:rsid w:val="006504B4"/>
    <w:rsid w:val="00651C86"/>
    <w:rsid w:val="00652A29"/>
    <w:rsid w:val="00653954"/>
    <w:rsid w:val="00653C0E"/>
    <w:rsid w:val="00654746"/>
    <w:rsid w:val="00654F12"/>
    <w:rsid w:val="0065575A"/>
    <w:rsid w:val="006557B1"/>
    <w:rsid w:val="00657475"/>
    <w:rsid w:val="006638A7"/>
    <w:rsid w:val="0066543C"/>
    <w:rsid w:val="00671529"/>
    <w:rsid w:val="006717F6"/>
    <w:rsid w:val="00671BBC"/>
    <w:rsid w:val="00672E6E"/>
    <w:rsid w:val="006743C9"/>
    <w:rsid w:val="00674C0C"/>
    <w:rsid w:val="00674D22"/>
    <w:rsid w:val="0067583D"/>
    <w:rsid w:val="0067591D"/>
    <w:rsid w:val="00677251"/>
    <w:rsid w:val="006777FA"/>
    <w:rsid w:val="00683B2C"/>
    <w:rsid w:val="00684144"/>
    <w:rsid w:val="00691B52"/>
    <w:rsid w:val="00691C63"/>
    <w:rsid w:val="00696BF0"/>
    <w:rsid w:val="00697429"/>
    <w:rsid w:val="006A016A"/>
    <w:rsid w:val="006A0256"/>
    <w:rsid w:val="006A0B12"/>
    <w:rsid w:val="006A2983"/>
    <w:rsid w:val="006A5F6B"/>
    <w:rsid w:val="006A649A"/>
    <w:rsid w:val="006B0AEB"/>
    <w:rsid w:val="006B2CC4"/>
    <w:rsid w:val="006B46C4"/>
    <w:rsid w:val="006B5069"/>
    <w:rsid w:val="006B751B"/>
    <w:rsid w:val="006C01D9"/>
    <w:rsid w:val="006C037B"/>
    <w:rsid w:val="006C45FF"/>
    <w:rsid w:val="006C4B06"/>
    <w:rsid w:val="006C78A6"/>
    <w:rsid w:val="006D1F4C"/>
    <w:rsid w:val="006D2515"/>
    <w:rsid w:val="006D29A7"/>
    <w:rsid w:val="006D5FB7"/>
    <w:rsid w:val="006D7B57"/>
    <w:rsid w:val="006F16D3"/>
    <w:rsid w:val="006F1C91"/>
    <w:rsid w:val="006F4CAA"/>
    <w:rsid w:val="00700A1D"/>
    <w:rsid w:val="00700DBD"/>
    <w:rsid w:val="00702506"/>
    <w:rsid w:val="00703962"/>
    <w:rsid w:val="0071058A"/>
    <w:rsid w:val="007131E2"/>
    <w:rsid w:val="0071578B"/>
    <w:rsid w:val="00716538"/>
    <w:rsid w:val="0072014E"/>
    <w:rsid w:val="00722039"/>
    <w:rsid w:val="007268F9"/>
    <w:rsid w:val="00730206"/>
    <w:rsid w:val="007327A0"/>
    <w:rsid w:val="00733D13"/>
    <w:rsid w:val="0073448C"/>
    <w:rsid w:val="00747C51"/>
    <w:rsid w:val="00751F0C"/>
    <w:rsid w:val="007522C7"/>
    <w:rsid w:val="00752620"/>
    <w:rsid w:val="007538B4"/>
    <w:rsid w:val="00754115"/>
    <w:rsid w:val="00755020"/>
    <w:rsid w:val="0075513E"/>
    <w:rsid w:val="007565C2"/>
    <w:rsid w:val="007577B1"/>
    <w:rsid w:val="00757D7D"/>
    <w:rsid w:val="007711E9"/>
    <w:rsid w:val="00771DBC"/>
    <w:rsid w:val="007726C1"/>
    <w:rsid w:val="00775EDA"/>
    <w:rsid w:val="00776DC8"/>
    <w:rsid w:val="00777276"/>
    <w:rsid w:val="0078024B"/>
    <w:rsid w:val="00783D2E"/>
    <w:rsid w:val="00785E93"/>
    <w:rsid w:val="007863EB"/>
    <w:rsid w:val="007872E8"/>
    <w:rsid w:val="007878B8"/>
    <w:rsid w:val="007943E9"/>
    <w:rsid w:val="00795D1E"/>
    <w:rsid w:val="00796848"/>
    <w:rsid w:val="007A01C4"/>
    <w:rsid w:val="007A1746"/>
    <w:rsid w:val="007A3A74"/>
    <w:rsid w:val="007A3E54"/>
    <w:rsid w:val="007A546F"/>
    <w:rsid w:val="007A570D"/>
    <w:rsid w:val="007B02E7"/>
    <w:rsid w:val="007B0683"/>
    <w:rsid w:val="007B1EEB"/>
    <w:rsid w:val="007B2DB9"/>
    <w:rsid w:val="007C44B9"/>
    <w:rsid w:val="007C52B0"/>
    <w:rsid w:val="007C63AA"/>
    <w:rsid w:val="007C6A25"/>
    <w:rsid w:val="007D63E5"/>
    <w:rsid w:val="007D740F"/>
    <w:rsid w:val="007D789D"/>
    <w:rsid w:val="007F007F"/>
    <w:rsid w:val="007F23AB"/>
    <w:rsid w:val="007F4F5E"/>
    <w:rsid w:val="007F6C89"/>
    <w:rsid w:val="007F76CF"/>
    <w:rsid w:val="008007AF"/>
    <w:rsid w:val="00801120"/>
    <w:rsid w:val="00801134"/>
    <w:rsid w:val="008033C3"/>
    <w:rsid w:val="0080343D"/>
    <w:rsid w:val="0081094F"/>
    <w:rsid w:val="0081143F"/>
    <w:rsid w:val="00811CDC"/>
    <w:rsid w:val="00812722"/>
    <w:rsid w:val="008127BE"/>
    <w:rsid w:val="00812F02"/>
    <w:rsid w:val="0081364F"/>
    <w:rsid w:val="0081371A"/>
    <w:rsid w:val="00813DF2"/>
    <w:rsid w:val="008150FE"/>
    <w:rsid w:val="008152D0"/>
    <w:rsid w:val="00817E57"/>
    <w:rsid w:val="008207C7"/>
    <w:rsid w:val="008226D4"/>
    <w:rsid w:val="00823B09"/>
    <w:rsid w:val="00824364"/>
    <w:rsid w:val="00826D39"/>
    <w:rsid w:val="00827672"/>
    <w:rsid w:val="00827900"/>
    <w:rsid w:val="0082797D"/>
    <w:rsid w:val="00832345"/>
    <w:rsid w:val="00832BA5"/>
    <w:rsid w:val="00834600"/>
    <w:rsid w:val="00836C82"/>
    <w:rsid w:val="00842371"/>
    <w:rsid w:val="00842AF6"/>
    <w:rsid w:val="00851236"/>
    <w:rsid w:val="008513A2"/>
    <w:rsid w:val="00852ECC"/>
    <w:rsid w:val="00855B61"/>
    <w:rsid w:val="008605CC"/>
    <w:rsid w:val="00870502"/>
    <w:rsid w:val="00872792"/>
    <w:rsid w:val="008752A4"/>
    <w:rsid w:val="008806B5"/>
    <w:rsid w:val="008806F9"/>
    <w:rsid w:val="00886902"/>
    <w:rsid w:val="008901CB"/>
    <w:rsid w:val="00891C6D"/>
    <w:rsid w:val="00891F36"/>
    <w:rsid w:val="008950EB"/>
    <w:rsid w:val="008A1BC1"/>
    <w:rsid w:val="008A66B3"/>
    <w:rsid w:val="008A776B"/>
    <w:rsid w:val="008A7C36"/>
    <w:rsid w:val="008B34D3"/>
    <w:rsid w:val="008B38F5"/>
    <w:rsid w:val="008B5F36"/>
    <w:rsid w:val="008B67F2"/>
    <w:rsid w:val="008C25D4"/>
    <w:rsid w:val="008C2D49"/>
    <w:rsid w:val="008C781F"/>
    <w:rsid w:val="008D0B72"/>
    <w:rsid w:val="008D3450"/>
    <w:rsid w:val="008D36EB"/>
    <w:rsid w:val="008D3B7F"/>
    <w:rsid w:val="008D570B"/>
    <w:rsid w:val="008E21CE"/>
    <w:rsid w:val="008E3949"/>
    <w:rsid w:val="008E59A6"/>
    <w:rsid w:val="008E7C02"/>
    <w:rsid w:val="008F0BAC"/>
    <w:rsid w:val="00902189"/>
    <w:rsid w:val="00902401"/>
    <w:rsid w:val="00903A54"/>
    <w:rsid w:val="00907D03"/>
    <w:rsid w:val="00915520"/>
    <w:rsid w:val="00916E7B"/>
    <w:rsid w:val="0091787E"/>
    <w:rsid w:val="0092319B"/>
    <w:rsid w:val="0092361E"/>
    <w:rsid w:val="00924BEB"/>
    <w:rsid w:val="009306DE"/>
    <w:rsid w:val="0093549E"/>
    <w:rsid w:val="009357B5"/>
    <w:rsid w:val="00935A1D"/>
    <w:rsid w:val="009367CF"/>
    <w:rsid w:val="009411B4"/>
    <w:rsid w:val="00943AB8"/>
    <w:rsid w:val="00945A09"/>
    <w:rsid w:val="009478F6"/>
    <w:rsid w:val="00947AA3"/>
    <w:rsid w:val="009512C1"/>
    <w:rsid w:val="00953455"/>
    <w:rsid w:val="00956373"/>
    <w:rsid w:val="009571AB"/>
    <w:rsid w:val="009601E7"/>
    <w:rsid w:val="00962372"/>
    <w:rsid w:val="00965EF5"/>
    <w:rsid w:val="00970566"/>
    <w:rsid w:val="00971508"/>
    <w:rsid w:val="00973BD6"/>
    <w:rsid w:val="00974F07"/>
    <w:rsid w:val="009778FC"/>
    <w:rsid w:val="00983737"/>
    <w:rsid w:val="00984891"/>
    <w:rsid w:val="009856AB"/>
    <w:rsid w:val="009863FF"/>
    <w:rsid w:val="009865E4"/>
    <w:rsid w:val="00987D33"/>
    <w:rsid w:val="00990158"/>
    <w:rsid w:val="009926BA"/>
    <w:rsid w:val="00992C53"/>
    <w:rsid w:val="00993016"/>
    <w:rsid w:val="009972F5"/>
    <w:rsid w:val="009A089D"/>
    <w:rsid w:val="009A11E7"/>
    <w:rsid w:val="009A46DC"/>
    <w:rsid w:val="009A4CD2"/>
    <w:rsid w:val="009A7626"/>
    <w:rsid w:val="009B0DFF"/>
    <w:rsid w:val="009B1D98"/>
    <w:rsid w:val="009C0F2C"/>
    <w:rsid w:val="009C18F4"/>
    <w:rsid w:val="009C263F"/>
    <w:rsid w:val="009C645A"/>
    <w:rsid w:val="009D0139"/>
    <w:rsid w:val="009D16FF"/>
    <w:rsid w:val="009D2518"/>
    <w:rsid w:val="009D6644"/>
    <w:rsid w:val="009D71D3"/>
    <w:rsid w:val="009E08AD"/>
    <w:rsid w:val="009E1322"/>
    <w:rsid w:val="009E1449"/>
    <w:rsid w:val="009E39E4"/>
    <w:rsid w:val="009E465B"/>
    <w:rsid w:val="009F0215"/>
    <w:rsid w:val="009F151B"/>
    <w:rsid w:val="009F5CDC"/>
    <w:rsid w:val="009F65AA"/>
    <w:rsid w:val="009F6829"/>
    <w:rsid w:val="00A013F7"/>
    <w:rsid w:val="00A116F0"/>
    <w:rsid w:val="00A141C0"/>
    <w:rsid w:val="00A16443"/>
    <w:rsid w:val="00A22F40"/>
    <w:rsid w:val="00A22F48"/>
    <w:rsid w:val="00A2336C"/>
    <w:rsid w:val="00A23459"/>
    <w:rsid w:val="00A2498E"/>
    <w:rsid w:val="00A267B4"/>
    <w:rsid w:val="00A328FD"/>
    <w:rsid w:val="00A32DF8"/>
    <w:rsid w:val="00A338C1"/>
    <w:rsid w:val="00A35F3B"/>
    <w:rsid w:val="00A461F5"/>
    <w:rsid w:val="00A467A9"/>
    <w:rsid w:val="00A50C31"/>
    <w:rsid w:val="00A510B2"/>
    <w:rsid w:val="00A52DB9"/>
    <w:rsid w:val="00A541FC"/>
    <w:rsid w:val="00A569BE"/>
    <w:rsid w:val="00A56C46"/>
    <w:rsid w:val="00A5702A"/>
    <w:rsid w:val="00A61048"/>
    <w:rsid w:val="00A614FE"/>
    <w:rsid w:val="00A61FF9"/>
    <w:rsid w:val="00A6394A"/>
    <w:rsid w:val="00A66FAC"/>
    <w:rsid w:val="00A67869"/>
    <w:rsid w:val="00A70C2C"/>
    <w:rsid w:val="00A719E8"/>
    <w:rsid w:val="00A734FF"/>
    <w:rsid w:val="00A749D8"/>
    <w:rsid w:val="00A775CF"/>
    <w:rsid w:val="00A905E5"/>
    <w:rsid w:val="00A90B1C"/>
    <w:rsid w:val="00A925EC"/>
    <w:rsid w:val="00A943F2"/>
    <w:rsid w:val="00A94CDD"/>
    <w:rsid w:val="00A95434"/>
    <w:rsid w:val="00A959F6"/>
    <w:rsid w:val="00A96F60"/>
    <w:rsid w:val="00A97B6C"/>
    <w:rsid w:val="00AA1299"/>
    <w:rsid w:val="00AA321E"/>
    <w:rsid w:val="00AB14F1"/>
    <w:rsid w:val="00AB41B5"/>
    <w:rsid w:val="00AB45EA"/>
    <w:rsid w:val="00AB547B"/>
    <w:rsid w:val="00AB5B09"/>
    <w:rsid w:val="00AC054B"/>
    <w:rsid w:val="00AC0887"/>
    <w:rsid w:val="00AC2B2C"/>
    <w:rsid w:val="00AC5B81"/>
    <w:rsid w:val="00AD0B6B"/>
    <w:rsid w:val="00AD211F"/>
    <w:rsid w:val="00AD68B4"/>
    <w:rsid w:val="00AD7190"/>
    <w:rsid w:val="00AD71DC"/>
    <w:rsid w:val="00AE2D34"/>
    <w:rsid w:val="00AE33C5"/>
    <w:rsid w:val="00AE344E"/>
    <w:rsid w:val="00AE7DAA"/>
    <w:rsid w:val="00AF0A4F"/>
    <w:rsid w:val="00AF40CD"/>
    <w:rsid w:val="00AF6A3B"/>
    <w:rsid w:val="00AF79B8"/>
    <w:rsid w:val="00B03C5A"/>
    <w:rsid w:val="00B06045"/>
    <w:rsid w:val="00B07827"/>
    <w:rsid w:val="00B1024C"/>
    <w:rsid w:val="00B1034C"/>
    <w:rsid w:val="00B10B83"/>
    <w:rsid w:val="00B10D5D"/>
    <w:rsid w:val="00B13BC5"/>
    <w:rsid w:val="00B152AD"/>
    <w:rsid w:val="00B1717A"/>
    <w:rsid w:val="00B216B4"/>
    <w:rsid w:val="00B22984"/>
    <w:rsid w:val="00B240BC"/>
    <w:rsid w:val="00B26BBB"/>
    <w:rsid w:val="00B317AA"/>
    <w:rsid w:val="00B326D7"/>
    <w:rsid w:val="00B34E8A"/>
    <w:rsid w:val="00B3796A"/>
    <w:rsid w:val="00B37BA1"/>
    <w:rsid w:val="00B43CD8"/>
    <w:rsid w:val="00B46933"/>
    <w:rsid w:val="00B50787"/>
    <w:rsid w:val="00B511F7"/>
    <w:rsid w:val="00B53AA5"/>
    <w:rsid w:val="00B552BC"/>
    <w:rsid w:val="00B60693"/>
    <w:rsid w:val="00B63E1C"/>
    <w:rsid w:val="00B64B25"/>
    <w:rsid w:val="00B66BC4"/>
    <w:rsid w:val="00B70869"/>
    <w:rsid w:val="00B72733"/>
    <w:rsid w:val="00B76298"/>
    <w:rsid w:val="00B82076"/>
    <w:rsid w:val="00B837F2"/>
    <w:rsid w:val="00B864F2"/>
    <w:rsid w:val="00B903E5"/>
    <w:rsid w:val="00B91915"/>
    <w:rsid w:val="00B92379"/>
    <w:rsid w:val="00B927EF"/>
    <w:rsid w:val="00B93305"/>
    <w:rsid w:val="00B94F3A"/>
    <w:rsid w:val="00BA0F2A"/>
    <w:rsid w:val="00BA1876"/>
    <w:rsid w:val="00BA3913"/>
    <w:rsid w:val="00BA3926"/>
    <w:rsid w:val="00BA4BAE"/>
    <w:rsid w:val="00BA73E8"/>
    <w:rsid w:val="00BB115C"/>
    <w:rsid w:val="00BC0937"/>
    <w:rsid w:val="00BC39A4"/>
    <w:rsid w:val="00BC4CED"/>
    <w:rsid w:val="00BD080C"/>
    <w:rsid w:val="00BD0832"/>
    <w:rsid w:val="00BD1694"/>
    <w:rsid w:val="00BD6E7C"/>
    <w:rsid w:val="00BE3392"/>
    <w:rsid w:val="00BE3A16"/>
    <w:rsid w:val="00BE3F92"/>
    <w:rsid w:val="00BE50EE"/>
    <w:rsid w:val="00BF30D2"/>
    <w:rsid w:val="00BF35A5"/>
    <w:rsid w:val="00BF4283"/>
    <w:rsid w:val="00BF43AF"/>
    <w:rsid w:val="00BF5888"/>
    <w:rsid w:val="00BF72BC"/>
    <w:rsid w:val="00C016B8"/>
    <w:rsid w:val="00C04B26"/>
    <w:rsid w:val="00C04B90"/>
    <w:rsid w:val="00C05073"/>
    <w:rsid w:val="00C1143E"/>
    <w:rsid w:val="00C1205A"/>
    <w:rsid w:val="00C120B9"/>
    <w:rsid w:val="00C20848"/>
    <w:rsid w:val="00C234CE"/>
    <w:rsid w:val="00C24278"/>
    <w:rsid w:val="00C25B3D"/>
    <w:rsid w:val="00C266F7"/>
    <w:rsid w:val="00C27B1A"/>
    <w:rsid w:val="00C34A4D"/>
    <w:rsid w:val="00C35A27"/>
    <w:rsid w:val="00C35A7E"/>
    <w:rsid w:val="00C36761"/>
    <w:rsid w:val="00C401D8"/>
    <w:rsid w:val="00C40B02"/>
    <w:rsid w:val="00C42D56"/>
    <w:rsid w:val="00C440CE"/>
    <w:rsid w:val="00C47AEB"/>
    <w:rsid w:val="00C47F14"/>
    <w:rsid w:val="00C54307"/>
    <w:rsid w:val="00C54B93"/>
    <w:rsid w:val="00C66599"/>
    <w:rsid w:val="00C668E3"/>
    <w:rsid w:val="00C735E4"/>
    <w:rsid w:val="00C75687"/>
    <w:rsid w:val="00C759F9"/>
    <w:rsid w:val="00C80145"/>
    <w:rsid w:val="00C9214E"/>
    <w:rsid w:val="00C931BB"/>
    <w:rsid w:val="00C93BF6"/>
    <w:rsid w:val="00CA1AEA"/>
    <w:rsid w:val="00CA53E5"/>
    <w:rsid w:val="00CA606F"/>
    <w:rsid w:val="00CB140C"/>
    <w:rsid w:val="00CB193E"/>
    <w:rsid w:val="00CB21A3"/>
    <w:rsid w:val="00CB2B64"/>
    <w:rsid w:val="00CB497C"/>
    <w:rsid w:val="00CC06BB"/>
    <w:rsid w:val="00CC0755"/>
    <w:rsid w:val="00CC0F8C"/>
    <w:rsid w:val="00CC723D"/>
    <w:rsid w:val="00CD1E4C"/>
    <w:rsid w:val="00CD3A1A"/>
    <w:rsid w:val="00CD5B60"/>
    <w:rsid w:val="00CE0596"/>
    <w:rsid w:val="00CE1691"/>
    <w:rsid w:val="00CE32CF"/>
    <w:rsid w:val="00CE48D2"/>
    <w:rsid w:val="00CF1771"/>
    <w:rsid w:val="00D003F7"/>
    <w:rsid w:val="00D02B94"/>
    <w:rsid w:val="00D03329"/>
    <w:rsid w:val="00D07156"/>
    <w:rsid w:val="00D10D02"/>
    <w:rsid w:val="00D123B7"/>
    <w:rsid w:val="00D124C1"/>
    <w:rsid w:val="00D12C6D"/>
    <w:rsid w:val="00D207F4"/>
    <w:rsid w:val="00D20D0B"/>
    <w:rsid w:val="00D221DD"/>
    <w:rsid w:val="00D22E2A"/>
    <w:rsid w:val="00D25C37"/>
    <w:rsid w:val="00D279CF"/>
    <w:rsid w:val="00D30136"/>
    <w:rsid w:val="00D32AA0"/>
    <w:rsid w:val="00D34080"/>
    <w:rsid w:val="00D341F9"/>
    <w:rsid w:val="00D3447D"/>
    <w:rsid w:val="00D40B06"/>
    <w:rsid w:val="00D412C7"/>
    <w:rsid w:val="00D41B8C"/>
    <w:rsid w:val="00D43B04"/>
    <w:rsid w:val="00D44590"/>
    <w:rsid w:val="00D45F3B"/>
    <w:rsid w:val="00D53F63"/>
    <w:rsid w:val="00D542CE"/>
    <w:rsid w:val="00D549B4"/>
    <w:rsid w:val="00D56023"/>
    <w:rsid w:val="00D60C80"/>
    <w:rsid w:val="00D63DF4"/>
    <w:rsid w:val="00D66710"/>
    <w:rsid w:val="00D66BCD"/>
    <w:rsid w:val="00D66F27"/>
    <w:rsid w:val="00D70FF7"/>
    <w:rsid w:val="00D71506"/>
    <w:rsid w:val="00D72D02"/>
    <w:rsid w:val="00D75D7D"/>
    <w:rsid w:val="00D75FF4"/>
    <w:rsid w:val="00D772D8"/>
    <w:rsid w:val="00D82FD7"/>
    <w:rsid w:val="00D8485D"/>
    <w:rsid w:val="00D8504A"/>
    <w:rsid w:val="00D8531B"/>
    <w:rsid w:val="00D860CB"/>
    <w:rsid w:val="00D873FA"/>
    <w:rsid w:val="00D9121E"/>
    <w:rsid w:val="00D93C49"/>
    <w:rsid w:val="00D94FBA"/>
    <w:rsid w:val="00D97D14"/>
    <w:rsid w:val="00DA5E1D"/>
    <w:rsid w:val="00DA6952"/>
    <w:rsid w:val="00DA6D98"/>
    <w:rsid w:val="00DB0E92"/>
    <w:rsid w:val="00DB1088"/>
    <w:rsid w:val="00DB16FB"/>
    <w:rsid w:val="00DB2ACF"/>
    <w:rsid w:val="00DB3DAF"/>
    <w:rsid w:val="00DB66C6"/>
    <w:rsid w:val="00DB6F1D"/>
    <w:rsid w:val="00DC025F"/>
    <w:rsid w:val="00DC1AD2"/>
    <w:rsid w:val="00DC3746"/>
    <w:rsid w:val="00DC7CA2"/>
    <w:rsid w:val="00DD2BCC"/>
    <w:rsid w:val="00DD2BDD"/>
    <w:rsid w:val="00DD630D"/>
    <w:rsid w:val="00DE1BA2"/>
    <w:rsid w:val="00DE1D32"/>
    <w:rsid w:val="00DE2869"/>
    <w:rsid w:val="00DE494F"/>
    <w:rsid w:val="00DE4D3C"/>
    <w:rsid w:val="00DE6CAE"/>
    <w:rsid w:val="00DF1A50"/>
    <w:rsid w:val="00DF2973"/>
    <w:rsid w:val="00DF5978"/>
    <w:rsid w:val="00DF5C3A"/>
    <w:rsid w:val="00DF6E0D"/>
    <w:rsid w:val="00DF774E"/>
    <w:rsid w:val="00E02C2B"/>
    <w:rsid w:val="00E064C9"/>
    <w:rsid w:val="00E0729D"/>
    <w:rsid w:val="00E1266B"/>
    <w:rsid w:val="00E14344"/>
    <w:rsid w:val="00E15026"/>
    <w:rsid w:val="00E17BEB"/>
    <w:rsid w:val="00E17E53"/>
    <w:rsid w:val="00E22969"/>
    <w:rsid w:val="00E25674"/>
    <w:rsid w:val="00E26403"/>
    <w:rsid w:val="00E271A6"/>
    <w:rsid w:val="00E27C94"/>
    <w:rsid w:val="00E34AFC"/>
    <w:rsid w:val="00E41084"/>
    <w:rsid w:val="00E42608"/>
    <w:rsid w:val="00E445B4"/>
    <w:rsid w:val="00E53331"/>
    <w:rsid w:val="00E6393A"/>
    <w:rsid w:val="00E668AE"/>
    <w:rsid w:val="00E66E2C"/>
    <w:rsid w:val="00E67525"/>
    <w:rsid w:val="00E72998"/>
    <w:rsid w:val="00E72ED2"/>
    <w:rsid w:val="00E761CB"/>
    <w:rsid w:val="00E80CC9"/>
    <w:rsid w:val="00E81622"/>
    <w:rsid w:val="00E81FC5"/>
    <w:rsid w:val="00E83AD0"/>
    <w:rsid w:val="00E856E4"/>
    <w:rsid w:val="00E878C4"/>
    <w:rsid w:val="00E93B6F"/>
    <w:rsid w:val="00E94F0D"/>
    <w:rsid w:val="00E9560D"/>
    <w:rsid w:val="00E96A47"/>
    <w:rsid w:val="00E972FA"/>
    <w:rsid w:val="00E97F18"/>
    <w:rsid w:val="00EA35BC"/>
    <w:rsid w:val="00EB11EE"/>
    <w:rsid w:val="00EB53A5"/>
    <w:rsid w:val="00EB6F89"/>
    <w:rsid w:val="00EC2ABE"/>
    <w:rsid w:val="00EC3FBE"/>
    <w:rsid w:val="00EC4D2A"/>
    <w:rsid w:val="00EC5DEB"/>
    <w:rsid w:val="00EC6BEA"/>
    <w:rsid w:val="00EC7704"/>
    <w:rsid w:val="00ED285B"/>
    <w:rsid w:val="00ED4071"/>
    <w:rsid w:val="00ED6C48"/>
    <w:rsid w:val="00EE2A74"/>
    <w:rsid w:val="00EE3371"/>
    <w:rsid w:val="00EE4048"/>
    <w:rsid w:val="00EE5711"/>
    <w:rsid w:val="00EE7879"/>
    <w:rsid w:val="00EF3062"/>
    <w:rsid w:val="00EF5317"/>
    <w:rsid w:val="00EF5C94"/>
    <w:rsid w:val="00F03569"/>
    <w:rsid w:val="00F03957"/>
    <w:rsid w:val="00F03C97"/>
    <w:rsid w:val="00F07EE9"/>
    <w:rsid w:val="00F10C37"/>
    <w:rsid w:val="00F11B5A"/>
    <w:rsid w:val="00F1210B"/>
    <w:rsid w:val="00F12DAF"/>
    <w:rsid w:val="00F137E1"/>
    <w:rsid w:val="00F13D54"/>
    <w:rsid w:val="00F167C2"/>
    <w:rsid w:val="00F17D0A"/>
    <w:rsid w:val="00F2012A"/>
    <w:rsid w:val="00F20743"/>
    <w:rsid w:val="00F2136C"/>
    <w:rsid w:val="00F21463"/>
    <w:rsid w:val="00F231F9"/>
    <w:rsid w:val="00F234BF"/>
    <w:rsid w:val="00F24D54"/>
    <w:rsid w:val="00F30701"/>
    <w:rsid w:val="00F33255"/>
    <w:rsid w:val="00F334FF"/>
    <w:rsid w:val="00F33E65"/>
    <w:rsid w:val="00F37F60"/>
    <w:rsid w:val="00F4051F"/>
    <w:rsid w:val="00F4104A"/>
    <w:rsid w:val="00F41B53"/>
    <w:rsid w:val="00F41F0F"/>
    <w:rsid w:val="00F45781"/>
    <w:rsid w:val="00F46995"/>
    <w:rsid w:val="00F50F36"/>
    <w:rsid w:val="00F51C56"/>
    <w:rsid w:val="00F52CCA"/>
    <w:rsid w:val="00F5625C"/>
    <w:rsid w:val="00F61772"/>
    <w:rsid w:val="00F62C6C"/>
    <w:rsid w:val="00F65A38"/>
    <w:rsid w:val="00F65F5D"/>
    <w:rsid w:val="00F70A63"/>
    <w:rsid w:val="00F70CDA"/>
    <w:rsid w:val="00F767A9"/>
    <w:rsid w:val="00F76F03"/>
    <w:rsid w:val="00F86A3A"/>
    <w:rsid w:val="00F90754"/>
    <w:rsid w:val="00F90FE0"/>
    <w:rsid w:val="00F93413"/>
    <w:rsid w:val="00F94E85"/>
    <w:rsid w:val="00FA4F78"/>
    <w:rsid w:val="00FB14AF"/>
    <w:rsid w:val="00FB3D3F"/>
    <w:rsid w:val="00FB77C4"/>
    <w:rsid w:val="00FB77E2"/>
    <w:rsid w:val="00FC055D"/>
    <w:rsid w:val="00FC0C4A"/>
    <w:rsid w:val="00FC5907"/>
    <w:rsid w:val="00FC5AD3"/>
    <w:rsid w:val="00FD0846"/>
    <w:rsid w:val="00FD57FB"/>
    <w:rsid w:val="00FD5EFF"/>
    <w:rsid w:val="00FD66D3"/>
    <w:rsid w:val="00FD67B6"/>
    <w:rsid w:val="00FE315B"/>
    <w:rsid w:val="00FE3762"/>
    <w:rsid w:val="00FE3895"/>
    <w:rsid w:val="00FF1998"/>
    <w:rsid w:val="00FF3B22"/>
    <w:rsid w:val="00FF41ED"/>
    <w:rsid w:val="00FF4C33"/>
    <w:rsid w:val="00FF6E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718A579"/>
  <w15:docId w15:val="{6302FCB7-51F4-4EA8-BE3D-3FF5F7F01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
    <w:link w:val="Appelnotedebasd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AE7DAA"/>
    <w:rPr>
      <w:rFonts w:ascii="Times New Roman" w:hAnsi="Times New Roman" w:cs="Times New Roman"/>
      <w:sz w:val="20"/>
      <w:szCs w:val="20"/>
    </w:rPr>
  </w:style>
  <w:style w:type="character" w:styleId="CommentReference">
    <w:name w:val="annotation reference"/>
    <w:basedOn w:val="DefaultParagraphFont"/>
    <w:semiHidden/>
    <w:unhideWhenUsed/>
    <w:rsid w:val="00180BB1"/>
    <w:rPr>
      <w:sz w:val="16"/>
      <w:szCs w:val="16"/>
    </w:rPr>
  </w:style>
  <w:style w:type="paragraph" w:styleId="CommentText">
    <w:name w:val="annotation text"/>
    <w:basedOn w:val="Normal"/>
    <w:link w:val="CommentTextChar"/>
    <w:unhideWhenUsed/>
    <w:rsid w:val="00180BB1"/>
    <w:pPr>
      <w:spacing w:line="240" w:lineRule="auto"/>
    </w:pPr>
  </w:style>
  <w:style w:type="character" w:customStyle="1" w:styleId="CommentTextChar">
    <w:name w:val="Comment Text Char"/>
    <w:basedOn w:val="DefaultParagraphFont"/>
    <w:link w:val="CommentText"/>
    <w:rsid w:val="00180BB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80BB1"/>
    <w:rPr>
      <w:b/>
      <w:bCs/>
    </w:rPr>
  </w:style>
  <w:style w:type="character" w:customStyle="1" w:styleId="CommentSubjectChar">
    <w:name w:val="Comment Subject Char"/>
    <w:basedOn w:val="CommentTextChar"/>
    <w:link w:val="CommentSubject"/>
    <w:uiPriority w:val="99"/>
    <w:semiHidden/>
    <w:rsid w:val="00180BB1"/>
    <w:rPr>
      <w:rFonts w:ascii="Times New Roman" w:eastAsia="Times New Roman" w:hAnsi="Times New Roman" w:cs="Times New Roman"/>
      <w:b/>
      <w:bCs/>
      <w:sz w:val="20"/>
      <w:szCs w:val="20"/>
      <w:lang w:eastAsia="en-US"/>
    </w:rPr>
  </w:style>
  <w:style w:type="paragraph" w:styleId="Revision">
    <w:name w:val="Revision"/>
    <w:hidden/>
    <w:uiPriority w:val="99"/>
    <w:semiHidden/>
    <w:rsid w:val="00A70C2C"/>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qFormat/>
    <w:rsid w:val="00F11B5A"/>
    <w:pPr>
      <w:suppressAutoHyphens w:val="0"/>
      <w:spacing w:line="240" w:lineRule="auto"/>
      <w:ind w:left="720"/>
      <w:contextualSpacing/>
    </w:pPr>
    <w:rPr>
      <w:lang w:val="en-US"/>
    </w:rPr>
  </w:style>
  <w:style w:type="paragraph" w:styleId="NoSpacing">
    <w:name w:val="No Spacing"/>
    <w:aliases w:val="Numbered"/>
    <w:basedOn w:val="ListParagraph"/>
    <w:uiPriority w:val="1"/>
    <w:qFormat/>
    <w:rsid w:val="008E7C02"/>
    <w:pPr>
      <w:numPr>
        <w:numId w:val="19"/>
      </w:numPr>
      <w:spacing w:after="240" w:line="360" w:lineRule="auto"/>
      <w:contextualSpacing w:val="0"/>
      <w:jc w:val="both"/>
    </w:pPr>
    <w:rPr>
      <w:rFonts w:eastAsiaTheme="minorEastAsia"/>
      <w:sz w:val="24"/>
      <w:szCs w:val="24"/>
      <w:lang w:val="en-GB" w:eastAsia="zh-CN"/>
    </w:rPr>
  </w:style>
  <w:style w:type="character" w:styleId="Hyperlink">
    <w:name w:val="Hyperlink"/>
    <w:basedOn w:val="DefaultParagraphFont"/>
    <w:uiPriority w:val="99"/>
    <w:unhideWhenUsed/>
    <w:rsid w:val="00B326D7"/>
    <w:rPr>
      <w:color w:val="0000FF" w:themeColor="hyperlink"/>
      <w:u w:val="single"/>
    </w:rPr>
  </w:style>
  <w:style w:type="character" w:styleId="UnresolvedMention">
    <w:name w:val="Unresolved Mention"/>
    <w:basedOn w:val="DefaultParagraphFont"/>
    <w:uiPriority w:val="99"/>
    <w:semiHidden/>
    <w:unhideWhenUsed/>
    <w:rsid w:val="00B326D7"/>
    <w:rPr>
      <w:color w:val="605E5C"/>
      <w:shd w:val="clear" w:color="auto" w:fill="E1DFDD"/>
    </w:rPr>
  </w:style>
  <w:style w:type="paragraph" w:styleId="NormalWeb">
    <w:name w:val="Normal (Web)"/>
    <w:basedOn w:val="Normal"/>
    <w:uiPriority w:val="99"/>
    <w:semiHidden/>
    <w:unhideWhenUsed/>
    <w:rsid w:val="005E1297"/>
    <w:rPr>
      <w:sz w:val="24"/>
      <w:szCs w:val="24"/>
    </w:rPr>
  </w:style>
  <w:style w:type="paragraph" w:customStyle="1" w:styleId="Default">
    <w:name w:val="Default"/>
    <w:rsid w:val="002B66A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7711E9"/>
    <w:pPr>
      <w:suppressAutoHyphens w:val="0"/>
      <w:spacing w:before="120" w:after="120" w:line="240" w:lineRule="auto"/>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6429">
      <w:bodyDiv w:val="1"/>
      <w:marLeft w:val="0"/>
      <w:marRight w:val="0"/>
      <w:marTop w:val="0"/>
      <w:marBottom w:val="0"/>
      <w:divBdr>
        <w:top w:val="none" w:sz="0" w:space="0" w:color="auto"/>
        <w:left w:val="none" w:sz="0" w:space="0" w:color="auto"/>
        <w:bottom w:val="none" w:sz="0" w:space="0" w:color="auto"/>
        <w:right w:val="none" w:sz="0" w:space="0" w:color="auto"/>
      </w:divBdr>
    </w:div>
    <w:div w:id="69085697">
      <w:bodyDiv w:val="1"/>
      <w:marLeft w:val="0"/>
      <w:marRight w:val="0"/>
      <w:marTop w:val="0"/>
      <w:marBottom w:val="0"/>
      <w:divBdr>
        <w:top w:val="none" w:sz="0" w:space="0" w:color="auto"/>
        <w:left w:val="none" w:sz="0" w:space="0" w:color="auto"/>
        <w:bottom w:val="none" w:sz="0" w:space="0" w:color="auto"/>
        <w:right w:val="none" w:sz="0" w:space="0" w:color="auto"/>
      </w:divBdr>
    </w:div>
    <w:div w:id="133791631">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46094917">
      <w:bodyDiv w:val="1"/>
      <w:marLeft w:val="0"/>
      <w:marRight w:val="0"/>
      <w:marTop w:val="0"/>
      <w:marBottom w:val="0"/>
      <w:divBdr>
        <w:top w:val="none" w:sz="0" w:space="0" w:color="auto"/>
        <w:left w:val="none" w:sz="0" w:space="0" w:color="auto"/>
        <w:bottom w:val="none" w:sz="0" w:space="0" w:color="auto"/>
        <w:right w:val="none" w:sz="0" w:space="0" w:color="auto"/>
      </w:divBdr>
    </w:div>
    <w:div w:id="238752170">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6372132">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95934677">
      <w:bodyDiv w:val="1"/>
      <w:marLeft w:val="0"/>
      <w:marRight w:val="0"/>
      <w:marTop w:val="0"/>
      <w:marBottom w:val="0"/>
      <w:divBdr>
        <w:top w:val="none" w:sz="0" w:space="0" w:color="auto"/>
        <w:left w:val="none" w:sz="0" w:space="0" w:color="auto"/>
        <w:bottom w:val="none" w:sz="0" w:space="0" w:color="auto"/>
        <w:right w:val="none" w:sz="0" w:space="0" w:color="auto"/>
      </w:divBdr>
    </w:div>
    <w:div w:id="554975073">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48368771">
      <w:bodyDiv w:val="1"/>
      <w:marLeft w:val="0"/>
      <w:marRight w:val="0"/>
      <w:marTop w:val="0"/>
      <w:marBottom w:val="0"/>
      <w:divBdr>
        <w:top w:val="none" w:sz="0" w:space="0" w:color="auto"/>
        <w:left w:val="none" w:sz="0" w:space="0" w:color="auto"/>
        <w:bottom w:val="none" w:sz="0" w:space="0" w:color="auto"/>
        <w:right w:val="none" w:sz="0" w:space="0" w:color="auto"/>
      </w:divBdr>
    </w:div>
    <w:div w:id="676804952">
      <w:bodyDiv w:val="1"/>
      <w:marLeft w:val="0"/>
      <w:marRight w:val="0"/>
      <w:marTop w:val="0"/>
      <w:marBottom w:val="0"/>
      <w:divBdr>
        <w:top w:val="none" w:sz="0" w:space="0" w:color="auto"/>
        <w:left w:val="none" w:sz="0" w:space="0" w:color="auto"/>
        <w:bottom w:val="none" w:sz="0" w:space="0" w:color="auto"/>
        <w:right w:val="none" w:sz="0" w:space="0" w:color="auto"/>
      </w:divBdr>
    </w:div>
    <w:div w:id="694767323">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72898440">
      <w:bodyDiv w:val="1"/>
      <w:marLeft w:val="0"/>
      <w:marRight w:val="0"/>
      <w:marTop w:val="0"/>
      <w:marBottom w:val="0"/>
      <w:divBdr>
        <w:top w:val="none" w:sz="0" w:space="0" w:color="auto"/>
        <w:left w:val="none" w:sz="0" w:space="0" w:color="auto"/>
        <w:bottom w:val="none" w:sz="0" w:space="0" w:color="auto"/>
        <w:right w:val="none" w:sz="0" w:space="0" w:color="auto"/>
      </w:divBdr>
    </w:div>
    <w:div w:id="794831236">
      <w:bodyDiv w:val="1"/>
      <w:marLeft w:val="0"/>
      <w:marRight w:val="0"/>
      <w:marTop w:val="0"/>
      <w:marBottom w:val="0"/>
      <w:divBdr>
        <w:top w:val="none" w:sz="0" w:space="0" w:color="auto"/>
        <w:left w:val="none" w:sz="0" w:space="0" w:color="auto"/>
        <w:bottom w:val="none" w:sz="0" w:space="0" w:color="auto"/>
        <w:right w:val="none" w:sz="0" w:space="0" w:color="auto"/>
      </w:divBdr>
    </w:div>
    <w:div w:id="811413035">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883449676">
      <w:bodyDiv w:val="1"/>
      <w:marLeft w:val="0"/>
      <w:marRight w:val="0"/>
      <w:marTop w:val="0"/>
      <w:marBottom w:val="0"/>
      <w:divBdr>
        <w:top w:val="none" w:sz="0" w:space="0" w:color="auto"/>
        <w:left w:val="none" w:sz="0" w:space="0" w:color="auto"/>
        <w:bottom w:val="none" w:sz="0" w:space="0" w:color="auto"/>
        <w:right w:val="none" w:sz="0" w:space="0" w:color="auto"/>
      </w:divBdr>
    </w:div>
    <w:div w:id="888149076">
      <w:bodyDiv w:val="1"/>
      <w:marLeft w:val="0"/>
      <w:marRight w:val="0"/>
      <w:marTop w:val="0"/>
      <w:marBottom w:val="0"/>
      <w:divBdr>
        <w:top w:val="none" w:sz="0" w:space="0" w:color="auto"/>
        <w:left w:val="none" w:sz="0" w:space="0" w:color="auto"/>
        <w:bottom w:val="none" w:sz="0" w:space="0" w:color="auto"/>
        <w:right w:val="none" w:sz="0" w:space="0" w:color="auto"/>
      </w:divBdr>
    </w:div>
    <w:div w:id="910773811">
      <w:bodyDiv w:val="1"/>
      <w:marLeft w:val="0"/>
      <w:marRight w:val="0"/>
      <w:marTop w:val="0"/>
      <w:marBottom w:val="0"/>
      <w:divBdr>
        <w:top w:val="none" w:sz="0" w:space="0" w:color="auto"/>
        <w:left w:val="none" w:sz="0" w:space="0" w:color="auto"/>
        <w:bottom w:val="none" w:sz="0" w:space="0" w:color="auto"/>
        <w:right w:val="none" w:sz="0" w:space="0" w:color="auto"/>
      </w:divBdr>
    </w:div>
    <w:div w:id="953827902">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51534511">
      <w:bodyDiv w:val="1"/>
      <w:marLeft w:val="0"/>
      <w:marRight w:val="0"/>
      <w:marTop w:val="0"/>
      <w:marBottom w:val="0"/>
      <w:divBdr>
        <w:top w:val="none" w:sz="0" w:space="0" w:color="auto"/>
        <w:left w:val="none" w:sz="0" w:space="0" w:color="auto"/>
        <w:bottom w:val="none" w:sz="0" w:space="0" w:color="auto"/>
        <w:right w:val="none" w:sz="0" w:space="0" w:color="auto"/>
      </w:divBdr>
    </w:div>
    <w:div w:id="1083575341">
      <w:bodyDiv w:val="1"/>
      <w:marLeft w:val="0"/>
      <w:marRight w:val="0"/>
      <w:marTop w:val="0"/>
      <w:marBottom w:val="0"/>
      <w:divBdr>
        <w:top w:val="none" w:sz="0" w:space="0" w:color="auto"/>
        <w:left w:val="none" w:sz="0" w:space="0" w:color="auto"/>
        <w:bottom w:val="none" w:sz="0" w:space="0" w:color="auto"/>
        <w:right w:val="none" w:sz="0" w:space="0" w:color="auto"/>
      </w:divBdr>
    </w:div>
    <w:div w:id="1164589984">
      <w:bodyDiv w:val="1"/>
      <w:marLeft w:val="0"/>
      <w:marRight w:val="0"/>
      <w:marTop w:val="0"/>
      <w:marBottom w:val="0"/>
      <w:divBdr>
        <w:top w:val="none" w:sz="0" w:space="0" w:color="auto"/>
        <w:left w:val="none" w:sz="0" w:space="0" w:color="auto"/>
        <w:bottom w:val="none" w:sz="0" w:space="0" w:color="auto"/>
        <w:right w:val="none" w:sz="0" w:space="0" w:color="auto"/>
      </w:divBdr>
    </w:div>
    <w:div w:id="1281182030">
      <w:bodyDiv w:val="1"/>
      <w:marLeft w:val="0"/>
      <w:marRight w:val="0"/>
      <w:marTop w:val="0"/>
      <w:marBottom w:val="0"/>
      <w:divBdr>
        <w:top w:val="none" w:sz="0" w:space="0" w:color="auto"/>
        <w:left w:val="none" w:sz="0" w:space="0" w:color="auto"/>
        <w:bottom w:val="none" w:sz="0" w:space="0" w:color="auto"/>
        <w:right w:val="none" w:sz="0" w:space="0" w:color="auto"/>
      </w:divBdr>
    </w:div>
    <w:div w:id="134775261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48040885">
      <w:bodyDiv w:val="1"/>
      <w:marLeft w:val="0"/>
      <w:marRight w:val="0"/>
      <w:marTop w:val="0"/>
      <w:marBottom w:val="0"/>
      <w:divBdr>
        <w:top w:val="none" w:sz="0" w:space="0" w:color="auto"/>
        <w:left w:val="none" w:sz="0" w:space="0" w:color="auto"/>
        <w:bottom w:val="none" w:sz="0" w:space="0" w:color="auto"/>
        <w:right w:val="none" w:sz="0" w:space="0" w:color="auto"/>
      </w:divBdr>
    </w:div>
    <w:div w:id="1471632615">
      <w:bodyDiv w:val="1"/>
      <w:marLeft w:val="0"/>
      <w:marRight w:val="0"/>
      <w:marTop w:val="0"/>
      <w:marBottom w:val="0"/>
      <w:divBdr>
        <w:top w:val="none" w:sz="0" w:space="0" w:color="auto"/>
        <w:left w:val="none" w:sz="0" w:space="0" w:color="auto"/>
        <w:bottom w:val="none" w:sz="0" w:space="0" w:color="auto"/>
        <w:right w:val="none" w:sz="0" w:space="0" w:color="auto"/>
      </w:divBdr>
    </w:div>
    <w:div w:id="1521505252">
      <w:bodyDiv w:val="1"/>
      <w:marLeft w:val="0"/>
      <w:marRight w:val="0"/>
      <w:marTop w:val="0"/>
      <w:marBottom w:val="0"/>
      <w:divBdr>
        <w:top w:val="none" w:sz="0" w:space="0" w:color="auto"/>
        <w:left w:val="none" w:sz="0" w:space="0" w:color="auto"/>
        <w:bottom w:val="none" w:sz="0" w:space="0" w:color="auto"/>
        <w:right w:val="none" w:sz="0" w:space="0" w:color="auto"/>
      </w:divBdr>
    </w:div>
    <w:div w:id="1590381534">
      <w:bodyDiv w:val="1"/>
      <w:marLeft w:val="0"/>
      <w:marRight w:val="0"/>
      <w:marTop w:val="0"/>
      <w:marBottom w:val="0"/>
      <w:divBdr>
        <w:top w:val="none" w:sz="0" w:space="0" w:color="auto"/>
        <w:left w:val="none" w:sz="0" w:space="0" w:color="auto"/>
        <w:bottom w:val="none" w:sz="0" w:space="0" w:color="auto"/>
        <w:right w:val="none" w:sz="0" w:space="0" w:color="auto"/>
      </w:divBdr>
    </w:div>
    <w:div w:id="1601449690">
      <w:bodyDiv w:val="1"/>
      <w:marLeft w:val="0"/>
      <w:marRight w:val="0"/>
      <w:marTop w:val="0"/>
      <w:marBottom w:val="0"/>
      <w:divBdr>
        <w:top w:val="none" w:sz="0" w:space="0" w:color="auto"/>
        <w:left w:val="none" w:sz="0" w:space="0" w:color="auto"/>
        <w:bottom w:val="none" w:sz="0" w:space="0" w:color="auto"/>
        <w:right w:val="none" w:sz="0" w:space="0" w:color="auto"/>
      </w:divBdr>
    </w:div>
    <w:div w:id="1603147686">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18752815">
      <w:bodyDiv w:val="1"/>
      <w:marLeft w:val="0"/>
      <w:marRight w:val="0"/>
      <w:marTop w:val="0"/>
      <w:marBottom w:val="0"/>
      <w:divBdr>
        <w:top w:val="none" w:sz="0" w:space="0" w:color="auto"/>
        <w:left w:val="none" w:sz="0" w:space="0" w:color="auto"/>
        <w:bottom w:val="none" w:sz="0" w:space="0" w:color="auto"/>
        <w:right w:val="none" w:sz="0" w:space="0" w:color="auto"/>
      </w:divBdr>
    </w:div>
    <w:div w:id="162662282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75572016">
      <w:bodyDiv w:val="1"/>
      <w:marLeft w:val="0"/>
      <w:marRight w:val="0"/>
      <w:marTop w:val="0"/>
      <w:marBottom w:val="0"/>
      <w:divBdr>
        <w:top w:val="none" w:sz="0" w:space="0" w:color="auto"/>
        <w:left w:val="none" w:sz="0" w:space="0" w:color="auto"/>
        <w:bottom w:val="none" w:sz="0" w:space="0" w:color="auto"/>
        <w:right w:val="none" w:sz="0" w:space="0" w:color="auto"/>
      </w:divBdr>
    </w:div>
    <w:div w:id="1763843546">
      <w:bodyDiv w:val="1"/>
      <w:marLeft w:val="0"/>
      <w:marRight w:val="0"/>
      <w:marTop w:val="0"/>
      <w:marBottom w:val="0"/>
      <w:divBdr>
        <w:top w:val="none" w:sz="0" w:space="0" w:color="auto"/>
        <w:left w:val="none" w:sz="0" w:space="0" w:color="auto"/>
        <w:bottom w:val="none" w:sz="0" w:space="0" w:color="auto"/>
        <w:right w:val="none" w:sz="0" w:space="0" w:color="auto"/>
      </w:divBdr>
    </w:div>
    <w:div w:id="1831095469">
      <w:bodyDiv w:val="1"/>
      <w:marLeft w:val="0"/>
      <w:marRight w:val="0"/>
      <w:marTop w:val="0"/>
      <w:marBottom w:val="0"/>
      <w:divBdr>
        <w:top w:val="none" w:sz="0" w:space="0" w:color="auto"/>
        <w:left w:val="none" w:sz="0" w:space="0" w:color="auto"/>
        <w:bottom w:val="none" w:sz="0" w:space="0" w:color="auto"/>
        <w:right w:val="none" w:sz="0" w:space="0" w:color="auto"/>
      </w:divBdr>
    </w:div>
    <w:div w:id="1866020228">
      <w:bodyDiv w:val="1"/>
      <w:marLeft w:val="0"/>
      <w:marRight w:val="0"/>
      <w:marTop w:val="0"/>
      <w:marBottom w:val="0"/>
      <w:divBdr>
        <w:top w:val="none" w:sz="0" w:space="0" w:color="auto"/>
        <w:left w:val="none" w:sz="0" w:space="0" w:color="auto"/>
        <w:bottom w:val="none" w:sz="0" w:space="0" w:color="auto"/>
        <w:right w:val="none" w:sz="0" w:space="0" w:color="auto"/>
      </w:divBdr>
    </w:div>
    <w:div w:id="1889104236">
      <w:bodyDiv w:val="1"/>
      <w:marLeft w:val="0"/>
      <w:marRight w:val="0"/>
      <w:marTop w:val="0"/>
      <w:marBottom w:val="0"/>
      <w:divBdr>
        <w:top w:val="none" w:sz="0" w:space="0" w:color="auto"/>
        <w:left w:val="none" w:sz="0" w:space="0" w:color="auto"/>
        <w:bottom w:val="none" w:sz="0" w:space="0" w:color="auto"/>
        <w:right w:val="none" w:sz="0" w:space="0" w:color="auto"/>
      </w:divBdr>
    </w:div>
    <w:div w:id="1903172928">
      <w:bodyDiv w:val="1"/>
      <w:marLeft w:val="0"/>
      <w:marRight w:val="0"/>
      <w:marTop w:val="0"/>
      <w:marBottom w:val="0"/>
      <w:divBdr>
        <w:top w:val="none" w:sz="0" w:space="0" w:color="auto"/>
        <w:left w:val="none" w:sz="0" w:space="0" w:color="auto"/>
        <w:bottom w:val="none" w:sz="0" w:space="0" w:color="auto"/>
        <w:right w:val="none" w:sz="0" w:space="0" w:color="auto"/>
      </w:divBdr>
    </w:div>
    <w:div w:id="1936669039">
      <w:bodyDiv w:val="1"/>
      <w:marLeft w:val="0"/>
      <w:marRight w:val="0"/>
      <w:marTop w:val="0"/>
      <w:marBottom w:val="0"/>
      <w:divBdr>
        <w:top w:val="none" w:sz="0" w:space="0" w:color="auto"/>
        <w:left w:val="none" w:sz="0" w:space="0" w:color="auto"/>
        <w:bottom w:val="none" w:sz="0" w:space="0" w:color="auto"/>
        <w:right w:val="none" w:sz="0" w:space="0" w:color="auto"/>
      </w:divBdr>
    </w:div>
    <w:div w:id="1967856408">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25937649">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088845927">
      <w:bodyDiv w:val="1"/>
      <w:marLeft w:val="0"/>
      <w:marRight w:val="0"/>
      <w:marTop w:val="0"/>
      <w:marBottom w:val="0"/>
      <w:divBdr>
        <w:top w:val="none" w:sz="0" w:space="0" w:color="auto"/>
        <w:left w:val="none" w:sz="0" w:space="0" w:color="auto"/>
        <w:bottom w:val="none" w:sz="0" w:space="0" w:color="auto"/>
        <w:right w:val="none" w:sz="0" w:space="0" w:color="auto"/>
      </w:divBdr>
    </w:div>
    <w:div w:id="2110075502">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CPR/Membership/CV_ABDO_ROCHOLL.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hamber_2 xmlns="d0e6e1dd-cead-4b20-a8ab-6c17962cc4ab">false</Chamber_2>
    <Inadmissibility xmlns="d0e6e1dd-cead-4b20-a8ab-6c17962cc4ab">false</Inadmissibility>
    <Chamber_1 xmlns="d0e6e1dd-cead-4b20-a8ab-6c17962cc4ab">false</Chamber_1>
    <Cover_x0020_page xmlns="843519ee-602c-4a77-9f98-e0b2d1df032d">false</Cover_x0020_page>
    <Follow_x002d_up xmlns="d0e6e1dd-cead-4b20-a8ab-6c17962cc4ab">false</Follow_x002d_up>
    <Repetitive xmlns="d0e6e1dd-cead-4b20-a8ab-6c17962cc4ab">false</Repetitive>
    <Case xmlns="1bb7588e-e247-4215-aaaa-8ddb8e8e8079" xsi:nil="true"/>
    <Folder xmlns="843519ee-602c-4a77-9f98-e0b2d1df032d">Folder 2</Folder>
    <Drafts_x0020_adopted_x0020_by_x0020_the_x0020_chambers xmlns="2d113eb4-e65a-468c-82cb-a0357bc1037f">false</Drafts_x0020_adopted_x0020_by_x0020_the_x0020_chambers>
    <Admissible xmlns="2d113eb4-e65a-468c-82cb-a0357bc1037f">false</Admissible>
    <Discontinuance xmlns="d0e6e1dd-cead-4b20-a8ab-6c17962cc4ab">false</Discontinuance>
    <List_x0020_of_x0020_documents xmlns="d0e6e1dd-cead-4b20-a8ab-6c17962cc4ab">false</List_x0020_of_x0020_document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se document" ma:contentTypeID="0x010100A70BC505B2949A43BBFACEE4A972077000658B853B9CE8DB4C815E7AC43D07FD8C" ma:contentTypeVersion="17" ma:contentTypeDescription="" ma:contentTypeScope="" ma:versionID="0f6613984e94297a6df0629ffe4bcae6">
  <xsd:schema xmlns:xsd="http://www.w3.org/2001/XMLSchema" xmlns:xs="http://www.w3.org/2001/XMLSchema" xmlns:p="http://schemas.microsoft.com/office/2006/metadata/properties" xmlns:ns2="843519ee-602c-4a77-9f98-e0b2d1df032d" xmlns:ns3="1bb7588e-e247-4215-aaaa-8ddb8e8e8079" xmlns:ns4="d0e6e1dd-cead-4b20-a8ab-6c17962cc4ab" xmlns:ns5="2d113eb4-e65a-468c-82cb-a0357bc1037f" targetNamespace="http://schemas.microsoft.com/office/2006/metadata/properties" ma:root="true" ma:fieldsID="9c21b8c842bae9d1267c904587dc4f63" ns2:_="" ns3:_="" ns4:_="" ns5:_="">
    <xsd:import namespace="843519ee-602c-4a77-9f98-e0b2d1df032d"/>
    <xsd:import namespace="1bb7588e-e247-4215-aaaa-8ddb8e8e8079"/>
    <xsd:import namespace="d0e6e1dd-cead-4b20-a8ab-6c17962cc4ab"/>
    <xsd:import namespace="2d113eb4-e65a-468c-82cb-a0357bc1037f"/>
    <xsd:element name="properties">
      <xsd:complexType>
        <xsd:sequence>
          <xsd:element name="documentManagement">
            <xsd:complexType>
              <xsd:all>
                <xsd:element ref="ns2:Folder" minOccurs="0"/>
                <xsd:element ref="ns2:Cover_x0020_page" minOccurs="0"/>
                <xsd:element ref="ns3:Case" minOccurs="0"/>
                <xsd:element ref="ns4:Follow_x002d_up" minOccurs="0"/>
                <xsd:element ref="ns4:Inadmissibility" minOccurs="0"/>
                <xsd:element ref="ns4:Discontinuance" minOccurs="0"/>
                <xsd:element ref="ns4:List_x0020_of_x0020_documents" minOccurs="0"/>
                <xsd:element ref="ns4:Repetitive" minOccurs="0"/>
                <xsd:element ref="ns4:Chamber_1" minOccurs="0"/>
                <xsd:element ref="ns4:Chamber_2" minOccurs="0"/>
                <xsd:element ref="ns5:Drafts_x0020_adopted_x0020_by_x0020_the_x0020_chambers" minOccurs="0"/>
                <xsd:element ref="ns5:Admis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enumeration value="Folder 9"/>
          <xsd:enumeration value="Discontinuance Report"/>
          <xsd:enumeration value="Follow Up To Views"/>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b7588e-e247-4215-aaaa-8ddb8e8e8079" elementFormDefault="qualified">
    <xsd:import namespace="http://schemas.microsoft.com/office/2006/documentManagement/types"/>
    <xsd:import namespace="http://schemas.microsoft.com/office/infopath/2007/PartnerControls"/>
    <xsd:element name="Case" ma:index="10" nillable="true" ma:displayName="Case" ma:description="Please select a case" ma:list="{544f8d53-f405-494b-9312-94ad2f3a27a5}" ma:internalName="Cas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d0e6e1dd-cead-4b20-a8ab-6c17962cc4ab" elementFormDefault="qualified">
    <xsd:import namespace="http://schemas.microsoft.com/office/2006/documentManagement/types"/>
    <xsd:import namespace="http://schemas.microsoft.com/office/infopath/2007/PartnerControls"/>
    <xsd:element name="Follow_x002d_up" ma:index="11" nillable="true" ma:displayName="Follow-up" ma:default="0" ma:description="Check the box if it is a follow-up report" ma:internalName="Follow_x002d_up">
      <xsd:simpleType>
        <xsd:restriction base="dms:Boolean"/>
      </xsd:simpleType>
    </xsd:element>
    <xsd:element name="Inadmissibility" ma:index="12" nillable="true" ma:displayName="Inadmissibility" ma:default="0" ma:description="Check the box if it is Indadmissibility" ma:internalName="Inadmissibility">
      <xsd:simpleType>
        <xsd:restriction base="dms:Boolean"/>
      </xsd:simpleType>
    </xsd:element>
    <xsd:element name="Discontinuance" ma:index="13" nillable="true" ma:displayName="Discontinuance" ma:default="0" ma:description="Select the box if it is Discontinuance" ma:internalName="Discontinuance">
      <xsd:simpleType>
        <xsd:restriction base="dms:Boolean"/>
      </xsd:simpleType>
    </xsd:element>
    <xsd:element name="List_x0020_of_x0020_documents" ma:index="14" nillable="true" ma:displayName="Drafts on the merits" ma:default="0" ma:description="Select the box if it is a Draft on the merits" ma:internalName="List_x0020_of_x0020_documents">
      <xsd:simpleType>
        <xsd:restriction base="dms:Boolean"/>
      </xsd:simpleType>
    </xsd:element>
    <xsd:element name="Repetitive" ma:index="15" nillable="true" ma:displayName="Repetitive" ma:default="0" ma:description="Select the box if it is repetive" ma:internalName="Repetitive">
      <xsd:simpleType>
        <xsd:restriction base="dms:Boolean"/>
      </xsd:simpleType>
    </xsd:element>
    <xsd:element name="Chamber_1" ma:index="16" nillable="true" ma:displayName="Chamber_1" ma:default="0" ma:description="Select the box if it is Chamber 1" ma:internalName="Chamber_1">
      <xsd:simpleType>
        <xsd:restriction base="dms:Boolean"/>
      </xsd:simpleType>
    </xsd:element>
    <xsd:element name="Chamber_2" ma:index="17" nillable="true" ma:displayName="Chamber_2" ma:default="0" ma:description="Select the box if it is Chamber 2" ma:internalName="Chamber_2">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113eb4-e65a-468c-82cb-a0357bc1037f" elementFormDefault="qualified">
    <xsd:import namespace="http://schemas.microsoft.com/office/2006/documentManagement/types"/>
    <xsd:import namespace="http://schemas.microsoft.com/office/infopath/2007/PartnerControls"/>
    <xsd:element name="Drafts_x0020_adopted_x0020_by_x0020_the_x0020_chambers" ma:index="18" nillable="true" ma:displayName="Drafts adopted by the chambers" ma:default="0" ma:internalName="Drafts_x0020_adopted_x0020_by_x0020_the_x0020_chambers">
      <xsd:simpleType>
        <xsd:restriction base="dms:Boolean"/>
      </xsd:simpleType>
    </xsd:element>
    <xsd:element name="Admissible" ma:index="19" nillable="true" ma:displayName="Admissible" ma:default="0" ma:internalName="Admissibl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D908E-F2FB-4973-BA81-8499B8A3EA17}">
  <ds:schemaRefs>
    <ds:schemaRef ds:uri="http://schemas.microsoft.com/office/2006/metadata/properties"/>
    <ds:schemaRef ds:uri="http://schemas.microsoft.com/office/infopath/2007/PartnerControls"/>
    <ds:schemaRef ds:uri="d0e6e1dd-cead-4b20-a8ab-6c17962cc4ab"/>
    <ds:schemaRef ds:uri="843519ee-602c-4a77-9f98-e0b2d1df032d"/>
    <ds:schemaRef ds:uri="1bb7588e-e247-4215-aaaa-8ddb8e8e8079"/>
    <ds:schemaRef ds:uri="2d113eb4-e65a-468c-82cb-a0357bc1037f"/>
  </ds:schemaRefs>
</ds:datastoreItem>
</file>

<file path=customXml/itemProps2.xml><?xml version="1.0" encoding="utf-8"?>
<ds:datastoreItem xmlns:ds="http://schemas.openxmlformats.org/officeDocument/2006/customXml" ds:itemID="{A2E6736C-97D9-4EFB-A966-003ABD926269}">
  <ds:schemaRefs>
    <ds:schemaRef ds:uri="http://schemas.microsoft.com/sharepoint/v3/contenttype/forms"/>
  </ds:schemaRefs>
</ds:datastoreItem>
</file>

<file path=customXml/itemProps3.xml><?xml version="1.0" encoding="utf-8"?>
<ds:datastoreItem xmlns:ds="http://schemas.openxmlformats.org/officeDocument/2006/customXml" ds:itemID="{F37FD492-E30C-4D59-B2DF-216012FA2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1bb7588e-e247-4215-aaaa-8ddb8e8e8079"/>
    <ds:schemaRef ds:uri="d0e6e1dd-cead-4b20-a8ab-6c17962cc4ab"/>
    <ds:schemaRef ds:uri="2d113eb4-e65a-468c-82cb-a0357bc10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8CE587-D5D9-4875-8768-2DA7E4D37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9141</Words>
  <Characters>52109</Characters>
  <DocSecurity>0</DocSecurity>
  <Lines>434</Lines>
  <Paragraphs>122</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CCPR/C/139/DR/3178/2018</vt:lpstr>
      <vt:lpstr>CCPR/C/139/DR/3178/2018</vt:lpstr>
      <vt:lpstr>CCPR/C/WG/SS/DR/####/YYYY</vt:lpstr>
    </vt:vector>
  </TitlesOfParts>
  <LinksUpToDate>false</LinksUpToDate>
  <CharactersWithSpaces>61128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2024-03-15T14:10:00Z</cp:lastPrinted>
  <dcterms:created xsi:type="dcterms:W3CDTF">2024-04-09T15:00:00Z</dcterms:created>
  <dcterms:modified xsi:type="dcterms:W3CDTF">2024-04-09T15:00:00Z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0x010100A70BC505B2949A43BBFACEE4A972077000658B853B9CE8DB4C815E7AC43D07FD8C</vt:lpwstr>
  </property>
</Properties>
</file>