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54D7C" w:rsidRDefault="00F54D7C">
      <w:pPr>
        <w:spacing w:after="240" w:line="276" w:lineRule="auto"/>
        <w:rPr>
          <w:rFonts w:ascii="Times New Roman" w:eastAsia="Times New Roman" w:hAnsi="Times New Roman" w:cs="Times New Roman"/>
        </w:rPr>
      </w:pPr>
    </w:p>
    <w:p w:rsidR="00F54D7C" w:rsidRDefault="00000000">
      <w:pPr>
        <w:spacing w:line="276" w:lineRule="auto"/>
        <w:rPr>
          <w:rFonts w:ascii="Times New Roman" w:eastAsia="Times New Roman" w:hAnsi="Times New Roman" w:cs="Times New Roman"/>
          <w:b/>
        </w:rPr>
      </w:pPr>
      <w:r>
        <w:rPr>
          <w:rFonts w:ascii="Times New Roman" w:eastAsia="Times New Roman" w:hAnsi="Times New Roman" w:cs="Times New Roman"/>
          <w:b/>
          <w:color w:val="000000"/>
        </w:rPr>
        <w:t>INFORME ALTERNATIVO DE COALICIÓN DE SOCIEDAD CIVIL URUGUAY AL COMITÉ CEDAW 86 Sesi</w:t>
      </w:r>
      <w:r>
        <w:rPr>
          <w:rFonts w:ascii="Times New Roman" w:eastAsia="Times New Roman" w:hAnsi="Times New Roman" w:cs="Times New Roman"/>
          <w:b/>
        </w:rPr>
        <w:t>ón</w:t>
      </w:r>
    </w:p>
    <w:p w:rsidR="00F54D7C" w:rsidRDefault="00F54D7C">
      <w:pPr>
        <w:spacing w:line="276" w:lineRule="auto"/>
        <w:rPr>
          <w:rFonts w:ascii="Times New Roman" w:eastAsia="Times New Roman" w:hAnsi="Times New Roman" w:cs="Times New Roman"/>
          <w:b/>
        </w:rPr>
      </w:pPr>
    </w:p>
    <w:p w:rsidR="00F54D7C" w:rsidRDefault="00F54D7C">
      <w:pPr>
        <w:spacing w:line="276" w:lineRule="auto"/>
        <w:rPr>
          <w:rFonts w:ascii="Times New Roman" w:eastAsia="Times New Roman" w:hAnsi="Times New Roman" w:cs="Times New Roman"/>
        </w:rPr>
      </w:pPr>
    </w:p>
    <w:p w:rsidR="00F54D7C" w:rsidRDefault="00000000">
      <w:pPr>
        <w:spacing w:line="276" w:lineRule="auto"/>
        <w:ind w:left="360"/>
        <w:jc w:val="center"/>
        <w:rPr>
          <w:rFonts w:ascii="Times New Roman" w:eastAsia="Times New Roman" w:hAnsi="Times New Roman" w:cs="Times New Roman"/>
          <w:b/>
        </w:rPr>
      </w:pPr>
      <w:r>
        <w:rPr>
          <w:rFonts w:ascii="Times New Roman" w:eastAsia="Times New Roman" w:hAnsi="Times New Roman" w:cs="Times New Roman"/>
          <w:b/>
        </w:rPr>
        <w:t>PRESENTACIÓN</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Conformamos una coalición</w:t>
      </w:r>
      <w:r>
        <w:rPr>
          <w:rFonts w:ascii="Times New Roman" w:eastAsia="Times New Roman" w:hAnsi="Times New Roman" w:cs="Times New Roman"/>
          <w:b/>
          <w:vertAlign w:val="superscript"/>
        </w:rPr>
        <w:footnoteReference w:id="1"/>
      </w:r>
      <w:r>
        <w:rPr>
          <w:rFonts w:ascii="Times New Roman" w:eastAsia="Times New Roman" w:hAnsi="Times New Roman" w:cs="Times New Roman"/>
        </w:rPr>
        <w:t xml:space="preserve"> comprometida con la defensa de los Derechos Humanos acorde con la Convención. </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Este Informe se focaliza en cuestiones relevantes respecto al cumplimiento del Estado uruguayo de las recomendaciones del Comité en 2016 (CEDAW/C/URY/CO/8-9), y en la lista de preguntas (CEDAW/C/URY/QPR/10), con el propósito de enriquecer constructivamente el diálogo del Comité con el Estado. </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Se estructura en capítulos relativos a: I) Cumplimiento de Tratados; II) Análisis de Contexto; III) Violencia Basada en Género; IV) Explotación Sexual y Trata; V) Participación en Vida Política y Pública; VI) Acceso a la Justicia; VII) Mecanismos Nacionales para el adelanto de la Mujer; VIII) Medidas Especiales de carácter Temporal IX) Estereotipos; X) Educación; XI) Salud Sexual y Salud Reproductiva; XII</w:t>
      </w:r>
      <w:r>
        <w:rPr>
          <w:rFonts w:ascii="Times New Roman" w:eastAsia="Times New Roman" w:hAnsi="Times New Roman" w:cs="Times New Roman"/>
          <w:color w:val="434343"/>
        </w:rPr>
        <w:t xml:space="preserve">) Privadas de Libertad; XIII) Empleo y Seguridad Social. </w:t>
      </w:r>
      <w:r>
        <w:rPr>
          <w:rFonts w:ascii="Times New Roman" w:eastAsia="Times New Roman" w:hAnsi="Times New Roman" w:cs="Times New Roman"/>
        </w:rPr>
        <w:t xml:space="preserve"> </w:t>
      </w:r>
    </w:p>
    <w:p w:rsidR="00F54D7C"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b/>
        </w:rPr>
        <w:t>I) Cumplimiento de los Tratados de Derechos Humanos del Estado Uruguayo.</w:t>
      </w:r>
    </w:p>
    <w:p w:rsidR="00F54D7C" w:rsidRDefault="00000000">
      <w:pPr>
        <w:spacing w:after="120" w:line="276" w:lineRule="auto"/>
        <w:ind w:left="80"/>
        <w:jc w:val="both"/>
        <w:rPr>
          <w:rFonts w:ascii="Times New Roman" w:eastAsia="Times New Roman" w:hAnsi="Times New Roman" w:cs="Times New Roman"/>
        </w:rPr>
      </w:pPr>
      <w:r>
        <w:rPr>
          <w:rFonts w:ascii="Times New Roman" w:eastAsia="Times New Roman" w:hAnsi="Times New Roman" w:cs="Times New Roman"/>
        </w:rPr>
        <w:t>Reconocemos el avance realizado por el Estado al actualizar su presentación de informes periódicos a los distintos mecanismos monitores. Ha presentado tres informes país en el marco del Examen Periódico Universal y dos informes de avance al Consejo de Derechos Humanos (entre la primera y segunda revisión del EPU 2012, 2016), y, en 2023 al Comité CERD (110 Sesión). No obstante, el Estado uruguayo no ha adecuado, o implementado de manera eficaz el monitoreo del cumplimiento de las recomendaciones de los comités monitores.</w:t>
      </w:r>
    </w:p>
    <w:p w:rsidR="00F54D7C" w:rsidRDefault="00000000">
      <w:pPr>
        <w:spacing w:after="120" w:line="276" w:lineRule="auto"/>
        <w:ind w:left="80"/>
        <w:jc w:val="both"/>
        <w:rPr>
          <w:rFonts w:ascii="Times New Roman" w:eastAsia="Times New Roman" w:hAnsi="Times New Roman" w:cs="Times New Roman"/>
        </w:rPr>
      </w:pPr>
      <w:r>
        <w:rPr>
          <w:rFonts w:ascii="Times New Roman" w:eastAsia="Times New Roman" w:hAnsi="Times New Roman" w:cs="Times New Roman"/>
        </w:rPr>
        <w:t xml:space="preserve">En el Ministerio de Relaciones Exteriores, Dirección de Derechos Humanos, el espacio de Diálogo y Consulta para estas instancias de seguimiento a Tratados, desde 2020 no se ha convocado. </w:t>
      </w:r>
    </w:p>
    <w:p w:rsidR="00F54D7C" w:rsidRDefault="00F54D7C">
      <w:pPr>
        <w:spacing w:after="220" w:line="276" w:lineRule="auto"/>
        <w:ind w:left="80"/>
        <w:rPr>
          <w:rFonts w:ascii="Times New Roman" w:eastAsia="Times New Roman" w:hAnsi="Times New Roman" w:cs="Times New Roman"/>
        </w:rPr>
      </w:pPr>
    </w:p>
    <w:tbl>
      <w:tblPr>
        <w:tblStyle w:val="a5"/>
        <w:tblW w:w="8700" w:type="dxa"/>
        <w:tblInd w:w="13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00"/>
      </w:tblGrid>
      <w:tr w:rsidR="00F54D7C">
        <w:trPr>
          <w:trHeight w:val="2093"/>
        </w:trPr>
        <w:tc>
          <w:tcPr>
            <w:tcW w:w="8700" w:type="dxa"/>
            <w:shd w:val="clear" w:color="auto" w:fill="auto"/>
            <w:tcMar>
              <w:top w:w="100" w:type="dxa"/>
              <w:left w:w="100" w:type="dxa"/>
              <w:bottom w:w="100" w:type="dxa"/>
              <w:right w:w="100" w:type="dxa"/>
            </w:tcMar>
          </w:tcPr>
          <w:p w:rsidR="00F54D7C" w:rsidRDefault="00000000">
            <w:pPr>
              <w:spacing w:after="220" w:line="276" w:lineRule="auto"/>
              <w:ind w:left="80"/>
              <w:rPr>
                <w:rFonts w:ascii="Times New Roman" w:eastAsia="Times New Roman" w:hAnsi="Times New Roman" w:cs="Times New Roman"/>
                <w:b/>
              </w:rPr>
            </w:pPr>
            <w:r>
              <w:rPr>
                <w:rFonts w:ascii="Times New Roman" w:eastAsia="Times New Roman" w:hAnsi="Times New Roman" w:cs="Times New Roman"/>
                <w:b/>
              </w:rPr>
              <w:lastRenderedPageBreak/>
              <w:t>RECOMENDACIÓN.</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Que el Estado acelere el funcionamiento eficaz del Sistema de Diálogo y Consulta creado con el cometido de monitorear las Recomendaciones de los Órganos de Tratados, convocando a la sociedad civil organizada para su plena participación, actualizando en el Sistema de Seguimiento y Monitoreo (SIMORE) la información de todos los organismos estatales.</w:t>
            </w:r>
          </w:p>
        </w:tc>
      </w:tr>
    </w:tbl>
    <w:p w:rsidR="00F54D7C" w:rsidRDefault="00F54D7C">
      <w:pPr>
        <w:spacing w:after="120" w:line="276" w:lineRule="auto"/>
        <w:ind w:left="80"/>
        <w:jc w:val="both"/>
        <w:rPr>
          <w:rFonts w:ascii="Times New Roman" w:eastAsia="Times New Roman" w:hAnsi="Times New Roman" w:cs="Times New Roman"/>
          <w:b/>
        </w:rPr>
      </w:pPr>
    </w:p>
    <w:p w:rsidR="00F54D7C"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b/>
        </w:rPr>
        <w:t>II) Análisis de contexto</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Uruguay, tiene una población de</w:t>
      </w:r>
      <w:r>
        <w:rPr>
          <w:rFonts w:ascii="Times New Roman" w:eastAsia="Times New Roman" w:hAnsi="Times New Roman" w:cs="Times New Roman"/>
          <w:b/>
        </w:rPr>
        <w:t xml:space="preserve"> </w:t>
      </w:r>
      <w:r>
        <w:rPr>
          <w:rFonts w:ascii="Times New Roman" w:eastAsia="Times New Roman" w:hAnsi="Times New Roman" w:cs="Times New Roman"/>
        </w:rPr>
        <w:t>3.426.260</w:t>
      </w:r>
      <w:r>
        <w:rPr>
          <w:rFonts w:ascii="Times New Roman" w:eastAsia="Times New Roman" w:hAnsi="Times New Roman" w:cs="Times New Roman"/>
          <w:b/>
        </w:rPr>
        <w:t xml:space="preserve"> </w:t>
      </w:r>
      <w:r>
        <w:rPr>
          <w:rFonts w:ascii="Times New Roman" w:eastAsia="Times New Roman" w:hAnsi="Times New Roman" w:cs="Times New Roman"/>
        </w:rPr>
        <w:t xml:space="preserve">personas. </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En diciembre de 2019 se declaró el estado de emergencia nacional en materia de violencia basada en género </w:t>
      </w:r>
      <w:r>
        <w:rPr>
          <w:rFonts w:ascii="Times New Roman" w:eastAsia="Times New Roman" w:hAnsi="Times New Roman" w:cs="Times New Roman"/>
          <w:vertAlign w:val="superscript"/>
        </w:rPr>
        <w:footnoteReference w:id="2"/>
      </w:r>
      <w:r>
        <w:rPr>
          <w:rFonts w:ascii="Times New Roman" w:eastAsia="Times New Roman" w:hAnsi="Times New Roman" w:cs="Times New Roman"/>
        </w:rPr>
        <w:t>.</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En marzo de 2020 asumió el nuevo gobierno que llevó adelante un cambio de los marcos legales, políticas públicas y reestructuración de los organismos estatales, así como recortes en los presupuestos asignados. </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Desde el gobierno se cerró el diálogo con las organizaciones de sociedad civil con experticia y trayectoria en derechos humanos.</w:t>
      </w:r>
    </w:p>
    <w:p w:rsidR="00F54D7C"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rPr>
        <w:t>La Ley de Urgente Consideración (LUC ) No. 19.889, del 9 de julio de 2020</w:t>
      </w:r>
      <w:r>
        <w:rPr>
          <w:rFonts w:ascii="Times New Roman" w:eastAsia="Times New Roman" w:hAnsi="Times New Roman" w:cs="Times New Roman"/>
          <w:vertAlign w:val="superscript"/>
        </w:rPr>
        <w:footnoteReference w:id="3"/>
      </w:r>
      <w:r>
        <w:rPr>
          <w:rFonts w:ascii="Times New Roman" w:eastAsia="Times New Roman" w:hAnsi="Times New Roman" w:cs="Times New Roman"/>
        </w:rPr>
        <w:t>, incluye más de 400 artículos de temas que no revisten urgencia, sino que constituyen la hoja de ruta y prioridades programáticas del gobierno.</w:t>
      </w:r>
    </w:p>
    <w:p w:rsidR="00F54D7C"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rPr>
        <w:t>Uruguay es uno de los países de la región que menos recursos destinó para enfrentar la crisis social producto de la pandemia por COVID 19, 0,7% del Producto Bruto Interno (PBI) CEPAL</w:t>
      </w:r>
      <w:r>
        <w:rPr>
          <w:rFonts w:ascii="Times New Roman" w:eastAsia="Times New Roman" w:hAnsi="Times New Roman" w:cs="Times New Roman"/>
          <w:vertAlign w:val="superscript"/>
        </w:rPr>
        <w:footnoteReference w:id="4"/>
      </w:r>
      <w:r>
        <w:rPr>
          <w:rFonts w:ascii="Times New Roman" w:eastAsia="Times New Roman" w:hAnsi="Times New Roman" w:cs="Times New Roman"/>
        </w:rPr>
        <w:t xml:space="preserve">. </w:t>
      </w:r>
    </w:p>
    <w:p w:rsidR="00F54D7C" w:rsidRDefault="00000000">
      <w:pPr>
        <w:spacing w:after="120" w:line="276" w:lineRule="auto"/>
        <w:jc w:val="both"/>
        <w:rPr>
          <w:rFonts w:ascii="Times New Roman" w:eastAsia="Times New Roman" w:hAnsi="Times New Roman" w:cs="Times New Roman"/>
          <w:vertAlign w:val="superscript"/>
        </w:rPr>
      </w:pPr>
      <w:r>
        <w:rPr>
          <w:rFonts w:ascii="Times New Roman" w:eastAsia="Times New Roman" w:hAnsi="Times New Roman" w:cs="Times New Roman"/>
        </w:rPr>
        <w:t>La respuesta estatal se enfocó en el aspecto epidemiológico, y delegó en la población la decisión de permanecer o no en los hogares, restringió la actividad pública y la movilidad, sin considerar la situación de la población más vulnerable. Durante los meses de abril- mayo- junio 2021, Uruguay se ubicó entre los primeros lugares en el mundo por el número de contagios y muertes cada 100.000 habitantes, incluso con aumento de muertes maternas por dicha razón, evidenciando que las medidas adoptadas fueron insuficientes.</w:t>
      </w:r>
      <w:r>
        <w:rPr>
          <w:rFonts w:ascii="Times New Roman" w:eastAsia="Times New Roman" w:hAnsi="Times New Roman" w:cs="Times New Roman"/>
          <w:vertAlign w:val="superscript"/>
        </w:rPr>
        <w:footnoteReference w:id="5"/>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lastRenderedPageBreak/>
        <w:t>En medio del confinamiento se desató una sobrecarga de trabajo para las mujeres y un incremento de las violencias contra las mujeres, niñas y adolescentes en los espacios domésticos, incluida la violencia sexual.</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Los servicios de atención a mujeres víctimas de violencias también sufrieron el impacto de la pandemia.</w:t>
      </w:r>
      <w:r>
        <w:rPr>
          <w:rFonts w:ascii="Times New Roman" w:eastAsia="Times New Roman" w:hAnsi="Times New Roman" w:cs="Times New Roman"/>
          <w:vertAlign w:val="superscript"/>
        </w:rPr>
        <w:footnoteReference w:id="6"/>
      </w:r>
      <w:r>
        <w:rPr>
          <w:rFonts w:ascii="Times New Roman" w:eastAsia="Times New Roman" w:hAnsi="Times New Roman" w:cs="Times New Roman"/>
        </w:rPr>
        <w:t xml:space="preserve"> La Red de Primer Nivel de Atención de la Administración de Servicios de Salud del Estado se vio afectada por el cierre de 60</w:t>
      </w:r>
      <w:r>
        <w:rPr>
          <w:rFonts w:ascii="Times New Roman" w:eastAsia="Times New Roman" w:hAnsi="Times New Roman" w:cs="Times New Roman"/>
          <w:vertAlign w:val="superscript"/>
        </w:rPr>
        <w:footnoteReference w:id="7"/>
      </w:r>
      <w:r>
        <w:rPr>
          <w:rFonts w:ascii="Times New Roman" w:eastAsia="Times New Roman" w:hAnsi="Times New Roman" w:cs="Times New Roman"/>
        </w:rPr>
        <w:t xml:space="preserve"> policlínicas donde funcionaban los Equipos de Referencia de Salud para la atención a situaciones de Violencia basada en Género</w:t>
      </w:r>
      <w:r>
        <w:rPr>
          <w:rFonts w:ascii="Times New Roman" w:eastAsia="Times New Roman" w:hAnsi="Times New Roman" w:cs="Times New Roman"/>
          <w:vertAlign w:val="superscript"/>
        </w:rPr>
        <w:footnoteReference w:id="8"/>
      </w:r>
      <w:r>
        <w:rPr>
          <w:rFonts w:ascii="Times New Roman" w:eastAsia="Times New Roman" w:hAnsi="Times New Roman" w:cs="Times New Roman"/>
        </w:rPr>
        <w:t xml:space="preserve">. A eso se sumó las dificultades de acceso por las restricciones del transporte público. </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Para hacer frente a la inseguridad alimentaria que creció exponencialmente en 2020, las personas en los barrios se autoorganizaron y generaron ollas populares</w:t>
      </w:r>
      <w:r>
        <w:rPr>
          <w:rFonts w:ascii="Times New Roman" w:eastAsia="Times New Roman" w:hAnsi="Times New Roman" w:cs="Times New Roman"/>
          <w:vertAlign w:val="superscript"/>
        </w:rPr>
        <w:footnoteReference w:id="9"/>
      </w:r>
      <w:r>
        <w:rPr>
          <w:rFonts w:ascii="Times New Roman" w:eastAsia="Times New Roman" w:hAnsi="Times New Roman" w:cs="Times New Roman"/>
        </w:rPr>
        <w:t xml:space="preserve">, para elaborar y distribuir alimentos. </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La pandemia dejó 100.000 nuevos pobres. Según los datos del Instituto Nacional de Estadística (INE), en 2021 35.000 personas estaban nuevamente por encima de la línea de pobreza, es decir aún hay 65.000 nuevos pobres más que en 2019. </w:t>
      </w:r>
    </w:p>
    <w:p w:rsidR="00F54D7C" w:rsidRDefault="00000000">
      <w:pPr>
        <w:spacing w:after="120" w:line="276" w:lineRule="auto"/>
        <w:jc w:val="both"/>
        <w:rPr>
          <w:rFonts w:ascii="Times New Roman" w:eastAsia="Times New Roman" w:hAnsi="Times New Roman" w:cs="Times New Roman"/>
          <w:color w:val="444746"/>
        </w:rPr>
      </w:pPr>
      <w:r>
        <w:rPr>
          <w:rFonts w:ascii="Times New Roman" w:eastAsia="Times New Roman" w:hAnsi="Times New Roman" w:cs="Times New Roman"/>
          <w:color w:val="444746"/>
        </w:rPr>
        <w:t xml:space="preserve">Un 68% de los 88.000 hogares pobres del país tienen una mujer al frente y solo la mitad de esas mujeres está empleada. </w:t>
      </w:r>
    </w:p>
    <w:p w:rsidR="00F54D7C"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color w:val="444746"/>
        </w:rPr>
        <w:t>“Las características de las mujeres jefas de hogar que se han señalado (las bajas tasas de actividad, la inserción laboral precaria, informal y sin cobertura de seguridad social, el muy bajo capital educativo,la alta dedicación a los cuidados, etc.) impiden, o al menos dificultan gravemente, generar los ingresos necesarios para escapar a la condición de pobreza.”</w:t>
      </w:r>
      <w:r>
        <w:rPr>
          <w:rFonts w:ascii="Times New Roman" w:eastAsia="Times New Roman" w:hAnsi="Times New Roman" w:cs="Times New Roman"/>
          <w:color w:val="444746"/>
          <w:vertAlign w:val="superscript"/>
        </w:rPr>
        <w:footnoteReference w:id="10"/>
      </w:r>
    </w:p>
    <w:p w:rsidR="00F54D7C" w:rsidRDefault="00000000">
      <w:pPr>
        <w:spacing w:after="120" w:line="276" w:lineRule="auto"/>
        <w:jc w:val="both"/>
        <w:rPr>
          <w:rFonts w:ascii="Times New Roman" w:eastAsia="Times New Roman" w:hAnsi="Times New Roman" w:cs="Times New Roman"/>
          <w:color w:val="141414"/>
        </w:rPr>
      </w:pPr>
      <w:r>
        <w:rPr>
          <w:rFonts w:ascii="Times New Roman" w:eastAsia="Times New Roman" w:hAnsi="Times New Roman" w:cs="Times New Roman"/>
        </w:rPr>
        <w:t>Uruguay atravesó una grave crisis hídrica</w:t>
      </w:r>
      <w:r>
        <w:rPr>
          <w:rFonts w:ascii="Times New Roman" w:eastAsia="Times New Roman" w:hAnsi="Times New Roman" w:cs="Times New Roman"/>
          <w:color w:val="434343"/>
        </w:rPr>
        <w:t xml:space="preserve">. </w:t>
      </w:r>
      <w:r>
        <w:rPr>
          <w:rFonts w:ascii="Times New Roman" w:eastAsia="Times New Roman" w:hAnsi="Times New Roman" w:cs="Times New Roman"/>
          <w:color w:val="3C4245"/>
        </w:rPr>
        <w:t>La</w:t>
      </w:r>
      <w:r>
        <w:rPr>
          <w:rFonts w:ascii="Times New Roman" w:eastAsia="Times New Roman" w:hAnsi="Times New Roman" w:cs="Times New Roman"/>
          <w:color w:val="141414"/>
        </w:rPr>
        <w:t xml:space="preserve"> calidad del agua en Montevideo y Área Metropolitana, donde reside el 60% de la población del país, empeoró a lo largo del año 2023 por la falta de lluvias que afectó a la principal reserva de agua dulce, por lo que el gobierno ordenó en el mes de abril que Obras Sanitarias del Estado (OSE), responsable del abastecimiento de agua potable, mezclara agua proveniente del Río de la Plata, lo que generó mayor concentración de sal y cloro. </w:t>
      </w:r>
    </w:p>
    <w:p w:rsidR="00F54D7C" w:rsidRDefault="00000000">
      <w:pPr>
        <w:spacing w:after="120" w:line="276" w:lineRule="auto"/>
        <w:jc w:val="both"/>
        <w:rPr>
          <w:rFonts w:ascii="Times New Roman" w:eastAsia="Times New Roman" w:hAnsi="Times New Roman" w:cs="Times New Roman"/>
          <w:color w:val="3C4245"/>
        </w:rPr>
      </w:pPr>
      <w:r>
        <w:rPr>
          <w:rFonts w:ascii="Times New Roman" w:eastAsia="Times New Roman" w:hAnsi="Times New Roman" w:cs="Times New Roman"/>
          <w:color w:val="434343"/>
        </w:rPr>
        <w:t xml:space="preserve">El gobierno </w:t>
      </w:r>
      <w:r>
        <w:rPr>
          <w:rFonts w:ascii="Times New Roman" w:eastAsia="Times New Roman" w:hAnsi="Times New Roman" w:cs="Times New Roman"/>
          <w:color w:val="141414"/>
        </w:rPr>
        <w:t xml:space="preserve">declaró la emergencia hídrica recién en el mes de junio y decretó su fin el 23 de agosto.  </w:t>
      </w:r>
      <w:r>
        <w:rPr>
          <w:rFonts w:ascii="Times New Roman" w:eastAsia="Times New Roman" w:hAnsi="Times New Roman" w:cs="Times New Roman"/>
          <w:color w:val="292929"/>
          <w:highlight w:val="white"/>
        </w:rPr>
        <w:t xml:space="preserve">Actores académicos y de sociedad civil coinciden en que la sequía no es la única </w:t>
      </w:r>
      <w:r>
        <w:rPr>
          <w:rFonts w:ascii="Times New Roman" w:eastAsia="Times New Roman" w:hAnsi="Times New Roman" w:cs="Times New Roman"/>
          <w:color w:val="292929"/>
          <w:highlight w:val="white"/>
        </w:rPr>
        <w:lastRenderedPageBreak/>
        <w:t xml:space="preserve">variable para entender la situación actual. </w:t>
      </w:r>
      <w:r>
        <w:rPr>
          <w:rFonts w:ascii="Times New Roman" w:eastAsia="Times New Roman" w:hAnsi="Times New Roman" w:cs="Times New Roman"/>
          <w:color w:val="4A4A4A"/>
          <w:highlight w:val="white"/>
        </w:rPr>
        <w:t>Expertos de ONU han advertido “[...] durante años que la expansión de las concesiones a industrias intensivas en agua estaba llevando a la contaminación y escasez de agua en el país”</w:t>
      </w:r>
      <w:r>
        <w:rPr>
          <w:rFonts w:ascii="Times New Roman" w:eastAsia="Times New Roman" w:hAnsi="Times New Roman" w:cs="Times New Roman"/>
          <w:color w:val="4A4A4A"/>
          <w:highlight w:val="white"/>
          <w:vertAlign w:val="superscript"/>
        </w:rPr>
        <w:footnoteReference w:id="11"/>
      </w:r>
      <w:r>
        <w:rPr>
          <w:rFonts w:ascii="Times New Roman" w:eastAsia="Times New Roman" w:hAnsi="Times New Roman" w:cs="Times New Roman"/>
          <w:color w:val="4A4A4A"/>
          <w:highlight w:val="white"/>
        </w:rPr>
        <w:t xml:space="preserve">. </w:t>
      </w:r>
      <w:r>
        <w:rPr>
          <w:rFonts w:ascii="Times New Roman" w:eastAsia="Times New Roman" w:hAnsi="Times New Roman" w:cs="Times New Roman"/>
          <w:color w:val="3C4245"/>
        </w:rPr>
        <w:t>La crisis impacta en las poblaciones más vulnerables en momentos de mayor empobrecimiento, con políticas sociales desarticuladas y afectando particularmente a hogares con jefatura de mujeres con hijos a cargo.</w:t>
      </w:r>
    </w:p>
    <w:p w:rsidR="00F54D7C" w:rsidRDefault="00000000">
      <w:pPr>
        <w:spacing w:after="120" w:line="276" w:lineRule="auto"/>
        <w:jc w:val="both"/>
        <w:rPr>
          <w:rFonts w:ascii="Times New Roman" w:eastAsia="Times New Roman" w:hAnsi="Times New Roman" w:cs="Times New Roman"/>
          <w:color w:val="3C4245"/>
        </w:rPr>
      </w:pPr>
      <w:r>
        <w:rPr>
          <w:rFonts w:ascii="Times New Roman" w:eastAsia="Times New Roman" w:hAnsi="Times New Roman" w:cs="Times New Roman"/>
          <w:color w:val="3C4245"/>
        </w:rPr>
        <w:t>Uruguay ocupaba el primer lugar en la región en indicadores de igualdad de género y ODS y 31 en lo global en el periodo 2015-2020</w:t>
      </w:r>
      <w:r>
        <w:rPr>
          <w:rFonts w:ascii="Times New Roman" w:eastAsia="Times New Roman" w:hAnsi="Times New Roman" w:cs="Times New Roman"/>
          <w:color w:val="3C4245"/>
          <w:vertAlign w:val="superscript"/>
        </w:rPr>
        <w:footnoteReference w:id="12"/>
      </w:r>
      <w:r>
        <w:rPr>
          <w:rFonts w:ascii="Times New Roman" w:eastAsia="Times New Roman" w:hAnsi="Times New Roman" w:cs="Times New Roman"/>
          <w:color w:val="3C4245"/>
        </w:rPr>
        <w:t xml:space="preserve">. Volver a la normalidad será insuficiente. </w:t>
      </w:r>
    </w:p>
    <w:p w:rsidR="00F54D7C" w:rsidRDefault="00000000">
      <w:pPr>
        <w:spacing w:after="120" w:line="276" w:lineRule="auto"/>
        <w:jc w:val="both"/>
        <w:rPr>
          <w:rFonts w:ascii="Times New Roman" w:eastAsia="Times New Roman" w:hAnsi="Times New Roman" w:cs="Times New Roman"/>
          <w:i/>
          <w:sz w:val="22"/>
          <w:szCs w:val="22"/>
        </w:rPr>
      </w:pPr>
      <w:r>
        <w:rPr>
          <w:rFonts w:ascii="Times New Roman" w:eastAsia="Times New Roman" w:hAnsi="Times New Roman" w:cs="Times New Roman"/>
          <w:b/>
        </w:rPr>
        <w:t>III) Violencia basada en Género</w:t>
      </w:r>
      <w:r>
        <w:rPr>
          <w:rFonts w:ascii="Times New Roman" w:eastAsia="Times New Roman" w:hAnsi="Times New Roman" w:cs="Times New Roman"/>
          <w:b/>
          <w:highlight w:val="white"/>
          <w:vertAlign w:val="superscript"/>
        </w:rPr>
        <w:footnoteReference w:id="13"/>
      </w:r>
      <w:r>
        <w:rPr>
          <w:rFonts w:ascii="Times New Roman" w:eastAsia="Times New Roman" w:hAnsi="Times New Roman" w:cs="Times New Roman"/>
          <w:b/>
          <w:highlight w:val="white"/>
        </w:rPr>
        <w:t xml:space="preserve"> </w:t>
      </w:r>
      <w:r>
        <w:rPr>
          <w:rFonts w:ascii="Times New Roman" w:eastAsia="Times New Roman" w:hAnsi="Times New Roman" w:cs="Times New Roman"/>
          <w:i/>
          <w:sz w:val="22"/>
          <w:szCs w:val="22"/>
        </w:rPr>
        <w:t xml:space="preserve">CEDAW/C/URY/QPR/10 Par 11  </w:t>
      </w:r>
    </w:p>
    <w:p w:rsidR="00F54D7C" w:rsidRDefault="00000000">
      <w:pPr>
        <w:spacing w:after="120" w:line="276" w:lineRule="auto"/>
        <w:jc w:val="both"/>
        <w:rPr>
          <w:rFonts w:ascii="Times New Roman" w:eastAsia="Times New Roman" w:hAnsi="Times New Roman" w:cs="Times New Roman"/>
          <w:color w:val="262626"/>
        </w:rPr>
      </w:pPr>
      <w:r>
        <w:rPr>
          <w:rFonts w:ascii="Times New Roman" w:eastAsia="Times New Roman" w:hAnsi="Times New Roman" w:cs="Times New Roman"/>
        </w:rPr>
        <w:t>La Segunda Encuesta Nacional de Prevalencia sobre Violencia basada en Género y Generaciones</w:t>
      </w:r>
      <w:r>
        <w:rPr>
          <w:rFonts w:ascii="Times New Roman" w:eastAsia="Times New Roman" w:hAnsi="Times New Roman" w:cs="Times New Roman"/>
          <w:vertAlign w:val="superscript"/>
        </w:rPr>
        <w:footnoteReference w:id="14"/>
      </w:r>
      <w:r>
        <w:rPr>
          <w:rFonts w:ascii="Times New Roman" w:eastAsia="Times New Roman" w:hAnsi="Times New Roman" w:cs="Times New Roman"/>
          <w:vertAlign w:val="superscript"/>
        </w:rPr>
        <w:t xml:space="preserve"> </w:t>
      </w:r>
      <w:r>
        <w:rPr>
          <w:rFonts w:ascii="Times New Roman" w:eastAsia="Times New Roman" w:hAnsi="Times New Roman" w:cs="Times New Roman"/>
        </w:rPr>
        <w:t xml:space="preserve">(2019) </w:t>
      </w:r>
      <w:r>
        <w:rPr>
          <w:rFonts w:ascii="Times New Roman" w:eastAsia="Times New Roman" w:hAnsi="Times New Roman" w:cs="Times New Roman"/>
          <w:color w:val="262626"/>
        </w:rPr>
        <w:t>incluyó mujeres con discapacidad, pertenencia étnico-racial afrodescendiente, población migrante, identidades de género y orientaciones sexuales no hegemónicas.</w:t>
      </w:r>
    </w:p>
    <w:p w:rsidR="00F54D7C" w:rsidRDefault="00000000">
      <w:pPr>
        <w:spacing w:after="120" w:line="276" w:lineRule="auto"/>
        <w:jc w:val="both"/>
        <w:rPr>
          <w:rFonts w:ascii="Times New Roman" w:eastAsia="Times New Roman" w:hAnsi="Times New Roman" w:cs="Times New Roman"/>
          <w:color w:val="262626"/>
        </w:rPr>
      </w:pPr>
      <w:r>
        <w:rPr>
          <w:rFonts w:ascii="Times New Roman" w:eastAsia="Times New Roman" w:hAnsi="Times New Roman" w:cs="Times New Roman"/>
          <w:color w:val="262626"/>
        </w:rPr>
        <w:t xml:space="preserve">“El 76,7% de las mujeres de 15 años y más que residen en Uruguay reportan situaciones de violencia basada en género (VBG), a lo largo de la vida, en alguno de los ámbitos relevados. Representa aproximadamente 1,1 millón de mujeres. </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No se asignaron</w:t>
      </w:r>
      <w:r>
        <w:rPr>
          <w:rFonts w:ascii="Times New Roman" w:eastAsia="Times New Roman" w:hAnsi="Times New Roman" w:cs="Times New Roman"/>
          <w:color w:val="FF0000"/>
        </w:rPr>
        <w:t xml:space="preserve">  </w:t>
      </w:r>
      <w:r>
        <w:rPr>
          <w:rFonts w:ascii="Times New Roman" w:eastAsia="Times New Roman" w:hAnsi="Times New Roman" w:cs="Times New Roman"/>
        </w:rPr>
        <w:t xml:space="preserve">recursos humanos y financieros suficientes para la implementación de la ley 19.580.  </w:t>
      </w:r>
      <w:r>
        <w:rPr>
          <w:rFonts w:ascii="Times New Roman" w:eastAsia="Times New Roman" w:hAnsi="Times New Roman" w:cs="Times New Roman"/>
          <w:color w:val="434343"/>
        </w:rPr>
        <w:t>Los procedimientos no se han simplificado ni son gratuitos, las mujeres deben seguir una ruta crítica en distintos tribunales,  con distintos defensores y con enormes gastos.</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No se fortaleció la defensoría pública. No se crearon los juzgados especializados suficientes en violencia basada en género, (ley 19.580). </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Los dos</w:t>
      </w:r>
      <w:r>
        <w:rPr>
          <w:rFonts w:ascii="Times New Roman" w:eastAsia="Times New Roman" w:hAnsi="Times New Roman" w:cs="Times New Roman"/>
          <w:color w:val="FF0000"/>
        </w:rPr>
        <w:t xml:space="preserve"> </w:t>
      </w:r>
      <w:r>
        <w:rPr>
          <w:rFonts w:ascii="Times New Roman" w:eastAsia="Times New Roman" w:hAnsi="Times New Roman" w:cs="Times New Roman"/>
          <w:color w:val="666666"/>
          <w:highlight w:val="white"/>
        </w:rPr>
        <w:t xml:space="preserve">Juzgados creados en 2022, en la ciudada de San Carlos, </w:t>
      </w:r>
      <w:r>
        <w:rPr>
          <w:rFonts w:ascii="Times New Roman" w:eastAsia="Times New Roman" w:hAnsi="Times New Roman" w:cs="Times New Roman"/>
          <w:color w:val="434343"/>
        </w:rPr>
        <w:t>tienen estructura edilicia deficiente para proteger la seguridad personal, la dignidad y privacidad de las víctimas y sobrecarga laboral al concentrar la atención a la población de todo del Departamento de 164.000 habitantes aproximadamente que deben trasladarse desde distintos lugares.</w:t>
      </w:r>
      <w:r>
        <w:rPr>
          <w:rFonts w:ascii="Times New Roman" w:eastAsia="Times New Roman" w:hAnsi="Times New Roman" w:cs="Times New Roman"/>
          <w:color w:val="434343"/>
          <w:vertAlign w:val="superscript"/>
        </w:rPr>
        <w:footnoteReference w:id="15"/>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lastRenderedPageBreak/>
        <w:t xml:space="preserve">Del </w:t>
      </w:r>
      <w:r>
        <w:rPr>
          <w:rFonts w:ascii="Times New Roman" w:eastAsia="Times New Roman" w:hAnsi="Times New Roman" w:cs="Times New Roman"/>
          <w:color w:val="434343"/>
          <w:highlight w:val="white"/>
        </w:rPr>
        <w:t>Observatorio Nacional sobre Violencia y Criminalidad del Ministerio del Interior</w:t>
      </w:r>
      <w:r>
        <w:rPr>
          <w:rFonts w:ascii="Times New Roman" w:eastAsia="Times New Roman" w:hAnsi="Times New Roman" w:cs="Times New Roman"/>
          <w:vertAlign w:val="superscript"/>
        </w:rPr>
        <w:footnoteReference w:id="16"/>
      </w:r>
      <w:r>
        <w:rPr>
          <w:rFonts w:ascii="Times New Roman" w:eastAsia="Times New Roman" w:hAnsi="Times New Roman" w:cs="Times New Roman"/>
        </w:rPr>
        <w:t xml:space="preserve">  surge que en 2022 se registraron 33. 350 denuncias por v</w:t>
      </w:r>
      <w:r>
        <w:rPr>
          <w:rFonts w:ascii="Times New Roman" w:eastAsia="Times New Roman" w:hAnsi="Times New Roman" w:cs="Times New Roman"/>
          <w:b/>
        </w:rPr>
        <w:t>iolencia doméstica y basada en género</w:t>
      </w:r>
      <w:r>
        <w:rPr>
          <w:rFonts w:ascii="Times New Roman" w:eastAsia="Times New Roman" w:hAnsi="Times New Roman" w:cs="Times New Roman"/>
        </w:rPr>
        <w:t xml:space="preserve"> y en el primer semestre de 2023 </w:t>
      </w:r>
      <w:r>
        <w:rPr>
          <w:rFonts w:ascii="Times New Roman" w:eastAsia="Times New Roman" w:hAnsi="Times New Roman" w:cs="Times New Roman"/>
          <w:color w:val="434343"/>
        </w:rPr>
        <w:t>subieron las de violencia doméstica (4,8%) en relación a 2022.</w:t>
      </w:r>
      <w:r>
        <w:rPr>
          <w:rFonts w:ascii="Times New Roman" w:eastAsia="Times New Roman" w:hAnsi="Times New Roman" w:cs="Times New Roman"/>
        </w:rPr>
        <w:t xml:space="preserve"> En relación al número de </w:t>
      </w:r>
      <w:r>
        <w:rPr>
          <w:rFonts w:ascii="Times New Roman" w:eastAsia="Times New Roman" w:hAnsi="Times New Roman" w:cs="Times New Roman"/>
          <w:b/>
        </w:rPr>
        <w:t>mujeres asesinadas</w:t>
      </w:r>
      <w:r>
        <w:rPr>
          <w:rFonts w:ascii="Times New Roman" w:eastAsia="Times New Roman" w:hAnsi="Times New Roman" w:cs="Times New Roman"/>
        </w:rPr>
        <w:t xml:space="preserve"> a manos de sus parejas, ex parejas o familiares en el año 2019 fueron 48, por lo que se declaró el </w:t>
      </w:r>
      <w:r>
        <w:rPr>
          <w:rFonts w:ascii="Times New Roman" w:eastAsia="Times New Roman" w:hAnsi="Times New Roman" w:cs="Times New Roman"/>
          <w:b/>
        </w:rPr>
        <w:t>estado de emergencia</w:t>
      </w:r>
      <w:r>
        <w:rPr>
          <w:rFonts w:ascii="Times New Roman" w:eastAsia="Times New Roman" w:hAnsi="Times New Roman" w:cs="Times New Roman"/>
        </w:rPr>
        <w:t>.</w:t>
      </w:r>
      <w:r>
        <w:rPr>
          <w:rFonts w:ascii="Times New Roman" w:eastAsia="Times New Roman" w:hAnsi="Times New Roman" w:cs="Times New Roman"/>
          <w:vertAlign w:val="superscript"/>
        </w:rPr>
        <w:footnoteReference w:id="17"/>
      </w:r>
      <w:r>
        <w:rPr>
          <w:rFonts w:ascii="Times New Roman" w:eastAsia="Times New Roman" w:hAnsi="Times New Roman" w:cs="Times New Roman"/>
        </w:rPr>
        <w:t xml:space="preserve">  En 2020, 38: en 2021, 40 y en 2022, 48 según misma fuente. entre ellas 8 niños y niñas. Entre 2001 y 2022 hubo 13 trans femicidios, muchos de ellos sin aclarar</w:t>
      </w:r>
      <w:r>
        <w:rPr>
          <w:rFonts w:ascii="Times New Roman" w:eastAsia="Times New Roman" w:hAnsi="Times New Roman" w:cs="Times New Roman"/>
          <w:vertAlign w:val="superscript"/>
        </w:rPr>
        <w:footnoteReference w:id="18"/>
      </w:r>
      <w:r>
        <w:rPr>
          <w:rFonts w:ascii="Times New Roman" w:eastAsia="Times New Roman" w:hAnsi="Times New Roman" w:cs="Times New Roman"/>
        </w:rPr>
        <w:t xml:space="preserve">. </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Existe disparidad en la información según la fuente que se consulte, esto indica la deficiencia en la recolección de datos por parte del Estado.</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A agosto de 2023, 29 mujeres fueron asesinadas. De estos casos, hasta ahora siete fueron considerados feminicidios.</w:t>
      </w:r>
      <w:r>
        <w:rPr>
          <w:rFonts w:ascii="Times New Roman" w:eastAsia="Times New Roman" w:hAnsi="Times New Roman" w:cs="Times New Roman"/>
          <w:vertAlign w:val="superscript"/>
        </w:rPr>
        <w:footnoteReference w:id="19"/>
      </w:r>
    </w:p>
    <w:p w:rsidR="00F54D7C"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b/>
        </w:rPr>
        <w:t>VIOLENCIA SEXUAL</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De la Segunda Encuesta Nacional de Prevalencia sobre Violencia basada en Género y Generaciones 2019 _ Instituto Nacional de Estadisticas (INE), Instituto Nacional de las Mujeres,  del Ministerio de Desarrollo Social- (INMUJERES, MIDES) se desprende que la violencia sexual es el tipo más frecuente con un aumento de 8,3 puntos porcentuales respecto a 2013 (36,5% en 2013 y 44,8% en 2019). El principal agresor es una persona desconocida, en general de género masculino (97,8%). Un tercio de las encuestadas  reporta haber vivido VBG en la calle o vereda; el 13,1% en el transporte público (13,1%) y el 9,6% en fiestas, boliches, bares, pubs y conciertos.</w:t>
      </w:r>
    </w:p>
    <w:p w:rsidR="00F54D7C" w:rsidRDefault="00000000">
      <w:pPr>
        <w:spacing w:after="120" w:line="276" w:lineRule="auto"/>
        <w:jc w:val="both"/>
        <w:rPr>
          <w:rFonts w:ascii="Times New Roman" w:eastAsia="Times New Roman" w:hAnsi="Times New Roman" w:cs="Times New Roman"/>
          <w:vertAlign w:val="superscript"/>
        </w:rPr>
      </w:pPr>
      <w:r>
        <w:rPr>
          <w:rFonts w:ascii="Times New Roman" w:eastAsia="Times New Roman" w:hAnsi="Times New Roman" w:cs="Times New Roman"/>
        </w:rPr>
        <w:t>La mitad de las mujeres mayores de 15 años reporta algún tipo de violencia sexual en el espacio público a lo largo de toda la vida .</w:t>
      </w:r>
      <w:r>
        <w:rPr>
          <w:rFonts w:ascii="Times New Roman" w:eastAsia="Times New Roman" w:hAnsi="Times New Roman" w:cs="Times New Roman"/>
          <w:vertAlign w:val="superscript"/>
        </w:rPr>
        <w:footnoteReference w:id="20"/>
      </w:r>
    </w:p>
    <w:p w:rsidR="00F54D7C" w:rsidRDefault="00000000">
      <w:pPr>
        <w:spacing w:after="120" w:line="276" w:lineRule="auto"/>
        <w:jc w:val="both"/>
        <w:rPr>
          <w:rFonts w:ascii="Times New Roman" w:eastAsia="Times New Roman" w:hAnsi="Times New Roman" w:cs="Times New Roman"/>
          <w:color w:val="434343"/>
          <w:highlight w:val="white"/>
        </w:rPr>
      </w:pPr>
      <w:r>
        <w:rPr>
          <w:rFonts w:ascii="Times New Roman" w:eastAsia="Times New Roman" w:hAnsi="Times New Roman" w:cs="Times New Roman"/>
          <w:color w:val="434343"/>
          <w:highlight w:val="white"/>
        </w:rPr>
        <w:t xml:space="preserve">Si se mantiene esa tendencia, ninguna niña nacida en 2022 verá en toda su vida a mujeres uruguayas sentirse seguras caminando solas de noche. </w:t>
      </w:r>
      <w:r>
        <w:rPr>
          <w:rFonts w:ascii="Times New Roman" w:eastAsia="Times New Roman" w:hAnsi="Times New Roman" w:cs="Times New Roman"/>
          <w:color w:val="434343"/>
          <w:highlight w:val="white"/>
          <w:vertAlign w:val="superscript"/>
        </w:rPr>
        <w:footnoteReference w:id="21"/>
      </w:r>
      <w:r>
        <w:rPr>
          <w:rFonts w:ascii="Times New Roman" w:eastAsia="Times New Roman" w:hAnsi="Times New Roman" w:cs="Times New Roman"/>
          <w:color w:val="434343"/>
          <w:highlight w:val="white"/>
        </w:rPr>
        <w:t xml:space="preserve">  </w:t>
      </w:r>
    </w:p>
    <w:p w:rsidR="00F54D7C" w:rsidRDefault="00000000">
      <w:pPr>
        <w:spacing w:after="12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highlight w:val="white"/>
        </w:rPr>
        <w:lastRenderedPageBreak/>
        <w:t>El Observatorio Nacional sobre Violencia y Criminalidad del Ministerio del Interior, informa de 2440  d</w:t>
      </w:r>
      <w:r>
        <w:rPr>
          <w:rFonts w:ascii="Times New Roman" w:eastAsia="Times New Roman" w:hAnsi="Times New Roman" w:cs="Times New Roman"/>
          <w:color w:val="434343"/>
        </w:rPr>
        <w:t>enuncias por abuso sexual , atentado violento al pudor y violación</w:t>
      </w:r>
      <w:r>
        <w:rPr>
          <w:rFonts w:ascii="Times New Roman" w:eastAsia="Times New Roman" w:hAnsi="Times New Roman" w:cs="Times New Roman"/>
          <w:color w:val="434343"/>
          <w:vertAlign w:val="superscript"/>
        </w:rPr>
        <w:footnoteReference w:id="22"/>
      </w:r>
      <w:r>
        <w:rPr>
          <w:rFonts w:ascii="Times New Roman" w:eastAsia="Times New Roman" w:hAnsi="Times New Roman" w:cs="Times New Roman"/>
          <w:color w:val="434343"/>
          <w:vertAlign w:val="superscript"/>
        </w:rPr>
        <w:t xml:space="preserve"> </w:t>
      </w:r>
      <w:r>
        <w:rPr>
          <w:rFonts w:ascii="Times New Roman" w:eastAsia="Times New Roman" w:hAnsi="Times New Roman" w:cs="Times New Roman"/>
          <w:color w:val="434343"/>
        </w:rPr>
        <w:t xml:space="preserve"> </w:t>
      </w:r>
      <w:r>
        <w:rPr>
          <w:rFonts w:ascii="Times New Roman" w:eastAsia="Times New Roman" w:hAnsi="Times New Roman" w:cs="Times New Roman"/>
          <w:color w:val="434343"/>
          <w:highlight w:val="white"/>
        </w:rPr>
        <w:t xml:space="preserve">en el  año 2019, en 2020, fueron 2449, en 2021 se realizaron 2520 denuncias y en 2022, 2766. </w:t>
      </w:r>
      <w:r>
        <w:rPr>
          <w:rFonts w:ascii="Times New Roman" w:eastAsia="Times New Roman" w:hAnsi="Times New Roman" w:cs="Times New Roman"/>
          <w:color w:val="434343"/>
        </w:rPr>
        <w:t>Al desagregar los datos por sexo y edad, encontramos que a mayor edad aumenta la brecha entre los sexos. Las víctimas de 0 a 5 años son 64,5% mujeres y 35,5% varones. De 4 a 12 años, 70,1% son mujeres y 29,9 % varones. De 13 a 17 años 88,7% son mujeres y 11,3% varones. Prevalece la violencia sexual contra las mujeres en los tramos de mayor edad.</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Según datos del 2020 del Sistema Integral de Protección a la Infancia y Adolescencia contra la Violencia (SIPIAV)</w:t>
      </w:r>
      <w:r>
        <w:rPr>
          <w:rFonts w:ascii="Times New Roman" w:eastAsia="Times New Roman" w:hAnsi="Times New Roman" w:cs="Times New Roman"/>
          <w:vertAlign w:val="superscript"/>
        </w:rPr>
        <w:footnoteReference w:id="23"/>
      </w:r>
      <w:r>
        <w:rPr>
          <w:rFonts w:ascii="Times New Roman" w:eastAsia="Times New Roman" w:hAnsi="Times New Roman" w:cs="Times New Roman"/>
        </w:rPr>
        <w:t>, que atiende mayoritariamente sectores vulnerados, 3 de cada 4 personas que sufren situaciones de abuso sexual en Uruguay son niñas y adolescentes mujeres. En 2018 se atendieron 4131 casos y en 2022 continuó en aumento atendiendo 7473.</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Con los datos disponibles, CLADEM realizó una investigación que abarca 2018 - 2020 incorporando la categoria de violencia sexual femicida, constatando la interrelación entre la violencia sexual a niñas y muerte por suicidio y/o asesinato.</w:t>
      </w:r>
      <w:r>
        <w:rPr>
          <w:rFonts w:ascii="Times New Roman" w:eastAsia="Times New Roman" w:hAnsi="Times New Roman" w:cs="Times New Roman"/>
          <w:vertAlign w:val="superscript"/>
        </w:rPr>
        <w:footnoteReference w:id="24"/>
      </w:r>
      <w:r>
        <w:rPr>
          <w:rFonts w:ascii="Times New Roman" w:eastAsia="Times New Roman" w:hAnsi="Times New Roman" w:cs="Times New Roman"/>
        </w:rPr>
        <w:t xml:space="preserve"> La ley de violencia hacia las mujeres basada en género incorporó los delitos sexuales siguiendo estándares internacionales y prevé la imprescriptibilidad de la acción penal, no del delito. </w:t>
      </w:r>
    </w:p>
    <w:p w:rsidR="00F54D7C" w:rsidRDefault="00F54D7C">
      <w:pPr>
        <w:spacing w:after="120" w:line="276" w:lineRule="auto"/>
        <w:jc w:val="both"/>
        <w:rPr>
          <w:rFonts w:ascii="Times New Roman" w:eastAsia="Times New Roman" w:hAnsi="Times New Roman" w:cs="Times New Roman"/>
        </w:rPr>
      </w:pPr>
    </w:p>
    <w:tbl>
      <w:tblPr>
        <w:tblStyle w:val="a6"/>
        <w:tblpPr w:leftFromText="180" w:rightFromText="180" w:topFromText="180" w:bottomFromText="180" w:vertAnchor="text"/>
        <w:tblW w:w="810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00"/>
      </w:tblGrid>
      <w:tr w:rsidR="00F54D7C">
        <w:tc>
          <w:tcPr>
            <w:tcW w:w="8100" w:type="dxa"/>
          </w:tcPr>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RECOMENDACIONES</w:t>
            </w:r>
            <w:r>
              <w:rPr>
                <w:rFonts w:ascii="Times New Roman" w:eastAsia="Times New Roman" w:hAnsi="Times New Roman" w:cs="Times New Roman"/>
              </w:rPr>
              <w:t>.</w:t>
            </w:r>
          </w:p>
          <w:p w:rsidR="00F54D7C" w:rsidRDefault="00000000">
            <w:pPr>
              <w:numPr>
                <w:ilvl w:val="0"/>
                <w:numId w:val="1"/>
              </w:numPr>
              <w:spacing w:line="276" w:lineRule="auto"/>
              <w:jc w:val="both"/>
              <w:rPr>
                <w:rFonts w:ascii="Times New Roman" w:eastAsia="Times New Roman" w:hAnsi="Times New Roman" w:cs="Times New Roman"/>
              </w:rPr>
            </w:pPr>
            <w:r>
              <w:rPr>
                <w:rFonts w:ascii="Times New Roman" w:eastAsia="Times New Roman" w:hAnsi="Times New Roman" w:cs="Times New Roman"/>
              </w:rPr>
              <w:t xml:space="preserve">Que el Estado fortalezca el sistema de respuesta para un abordaje oportuno, eficaz e integral, </w:t>
            </w:r>
            <w:r>
              <w:rPr>
                <w:rFonts w:ascii="Times New Roman" w:eastAsia="Times New Roman" w:hAnsi="Times New Roman" w:cs="Times New Roman"/>
                <w:highlight w:val="white"/>
              </w:rPr>
              <w:t>consolidando la articulación y coordinación intersectorial, entre los organismos competentes.</w:t>
            </w:r>
          </w:p>
          <w:p w:rsidR="00F54D7C" w:rsidRDefault="00000000">
            <w:pPr>
              <w:numPr>
                <w:ilvl w:val="0"/>
                <w:numId w:val="1"/>
              </w:numPr>
              <w:spacing w:after="120" w:line="276" w:lineRule="auto"/>
              <w:jc w:val="both"/>
              <w:rPr>
                <w:rFonts w:ascii="Times New Roman" w:eastAsia="Times New Roman" w:hAnsi="Times New Roman" w:cs="Times New Roman"/>
                <w:highlight w:val="white"/>
              </w:rPr>
            </w:pPr>
            <w:r>
              <w:rPr>
                <w:rFonts w:ascii="Times New Roman" w:eastAsia="Times New Roman" w:hAnsi="Times New Roman" w:cs="Times New Roman"/>
              </w:rPr>
              <w:t>Que el Estado asigne p</w:t>
            </w:r>
            <w:r>
              <w:rPr>
                <w:rFonts w:ascii="Times New Roman" w:eastAsia="Times New Roman" w:hAnsi="Times New Roman" w:cs="Times New Roman"/>
                <w:color w:val="434343"/>
                <w:highlight w:val="white"/>
              </w:rPr>
              <w:t>resupuesto genuino para implementar la Ley No 19.580 atendiendo especialmente a la declaración de emergencia nacional.</w:t>
            </w:r>
          </w:p>
          <w:p w:rsidR="00F54D7C" w:rsidRDefault="00000000">
            <w:pPr>
              <w:numPr>
                <w:ilvl w:val="0"/>
                <w:numId w:val="1"/>
              </w:numPr>
              <w:spacing w:after="120" w:line="276" w:lineRule="auto"/>
              <w:jc w:val="both"/>
              <w:rPr>
                <w:rFonts w:ascii="Times New Roman" w:eastAsia="Times New Roman" w:hAnsi="Times New Roman" w:cs="Times New Roman"/>
                <w:highlight w:val="white"/>
              </w:rPr>
            </w:pPr>
            <w:r>
              <w:rPr>
                <w:rFonts w:ascii="Times New Roman" w:eastAsia="Times New Roman" w:hAnsi="Times New Roman" w:cs="Times New Roman"/>
                <w:color w:val="434343"/>
                <w:highlight w:val="white"/>
              </w:rPr>
              <w:t xml:space="preserve">Que </w:t>
            </w:r>
            <w:r>
              <w:rPr>
                <w:rFonts w:ascii="Times New Roman" w:eastAsia="Times New Roman" w:hAnsi="Times New Roman" w:cs="Times New Roman"/>
              </w:rPr>
              <w:t xml:space="preserve">el Estado consolide </w:t>
            </w:r>
            <w:r>
              <w:rPr>
                <w:rFonts w:ascii="Times New Roman" w:eastAsia="Times New Roman" w:hAnsi="Times New Roman" w:cs="Times New Roman"/>
                <w:color w:val="434343"/>
                <w:highlight w:val="white"/>
              </w:rPr>
              <w:t xml:space="preserve">el Observatorio sobre Violencia basada en género hacia las Mujeres. </w:t>
            </w:r>
          </w:p>
          <w:p w:rsidR="00F54D7C" w:rsidRDefault="00000000">
            <w:pPr>
              <w:numPr>
                <w:ilvl w:val="0"/>
                <w:numId w:val="1"/>
              </w:numPr>
              <w:spacing w:after="120" w:line="276" w:lineRule="auto"/>
              <w:jc w:val="both"/>
              <w:rPr>
                <w:rFonts w:ascii="Times New Roman" w:eastAsia="Times New Roman" w:hAnsi="Times New Roman" w:cs="Times New Roman"/>
                <w:highlight w:val="white"/>
              </w:rPr>
            </w:pPr>
            <w:r>
              <w:rPr>
                <w:rFonts w:ascii="Times New Roman" w:eastAsia="Times New Roman" w:hAnsi="Times New Roman" w:cs="Times New Roman"/>
              </w:rPr>
              <w:t>Que el Estado promueva la capacitación y formación continua de los funcionarios públicos.</w:t>
            </w:r>
          </w:p>
          <w:p w:rsidR="00F54D7C" w:rsidRDefault="00000000">
            <w:pPr>
              <w:numPr>
                <w:ilvl w:val="0"/>
                <w:numId w:val="1"/>
              </w:numPr>
              <w:spacing w:after="120" w:line="276" w:lineRule="auto"/>
              <w:jc w:val="both"/>
              <w:rPr>
                <w:rFonts w:ascii="Times New Roman" w:eastAsia="Times New Roman" w:hAnsi="Times New Roman" w:cs="Times New Roman"/>
              </w:rPr>
            </w:pPr>
            <w:r>
              <w:rPr>
                <w:rFonts w:ascii="Times New Roman" w:eastAsia="Times New Roman" w:hAnsi="Times New Roman" w:cs="Times New Roman"/>
                <w:color w:val="1F1F1F"/>
                <w:highlight w:val="white"/>
              </w:rPr>
              <w:t>Que el Estado unifique la normativa penal de acuerdo a estándares internacionales.</w:t>
            </w:r>
          </w:p>
          <w:p w:rsidR="00F54D7C" w:rsidRDefault="00000000">
            <w:pPr>
              <w:numPr>
                <w:ilvl w:val="0"/>
                <w:numId w:val="1"/>
              </w:num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Que el Parlamento Uruguayo, en un plazo de un año apruebe la imprescriptibilidad de los delitos sexuales. </w:t>
            </w:r>
          </w:p>
        </w:tc>
      </w:tr>
    </w:tbl>
    <w:p w:rsidR="00F54D7C" w:rsidRDefault="00F54D7C">
      <w:pPr>
        <w:spacing w:after="120" w:line="276" w:lineRule="auto"/>
        <w:jc w:val="both"/>
        <w:rPr>
          <w:rFonts w:ascii="Times New Roman" w:eastAsia="Times New Roman" w:hAnsi="Times New Roman" w:cs="Times New Roman"/>
        </w:rPr>
      </w:pPr>
    </w:p>
    <w:p w:rsidR="00F54D7C" w:rsidRDefault="00F54D7C">
      <w:pPr>
        <w:spacing w:after="120" w:line="276" w:lineRule="auto"/>
        <w:jc w:val="both"/>
        <w:rPr>
          <w:rFonts w:ascii="Times New Roman" w:eastAsia="Times New Roman" w:hAnsi="Times New Roman" w:cs="Times New Roman"/>
        </w:rPr>
      </w:pPr>
    </w:p>
    <w:p w:rsidR="00F54D7C" w:rsidRDefault="00F54D7C">
      <w:pPr>
        <w:spacing w:after="120" w:line="276" w:lineRule="auto"/>
        <w:jc w:val="both"/>
        <w:rPr>
          <w:rFonts w:ascii="Times New Roman" w:eastAsia="Times New Roman" w:hAnsi="Times New Roman" w:cs="Times New Roman"/>
        </w:rPr>
      </w:pPr>
    </w:p>
    <w:p w:rsidR="00F54D7C" w:rsidRDefault="00000000">
      <w:pPr>
        <w:spacing w:after="120" w:line="276" w:lineRule="auto"/>
        <w:jc w:val="both"/>
        <w:rPr>
          <w:rFonts w:ascii="Times New Roman" w:eastAsia="Times New Roman" w:hAnsi="Times New Roman" w:cs="Times New Roman"/>
          <w:i/>
          <w:sz w:val="22"/>
          <w:szCs w:val="22"/>
        </w:rPr>
      </w:pPr>
      <w:r>
        <w:rPr>
          <w:rFonts w:ascii="Times New Roman" w:eastAsia="Times New Roman" w:hAnsi="Times New Roman" w:cs="Times New Roman"/>
          <w:b/>
        </w:rPr>
        <w:lastRenderedPageBreak/>
        <w:t xml:space="preserve">IV. Explotación Sexual  y Trata </w:t>
      </w:r>
      <w:r>
        <w:rPr>
          <w:rFonts w:ascii="Times New Roman" w:eastAsia="Times New Roman" w:hAnsi="Times New Roman" w:cs="Times New Roman"/>
          <w:highlight w:val="white"/>
        </w:rPr>
        <w:t xml:space="preserve">Ley 19643 </w:t>
      </w:r>
      <w:r>
        <w:rPr>
          <w:rFonts w:ascii="Times New Roman" w:eastAsia="Times New Roman" w:hAnsi="Times New Roman" w:cs="Times New Roman"/>
          <w:highlight w:val="white"/>
          <w:vertAlign w:val="superscript"/>
        </w:rPr>
        <w:footnoteReference w:id="25"/>
      </w:r>
      <w:r>
        <w:rPr>
          <w:rFonts w:ascii="Times New Roman" w:eastAsia="Times New Roman" w:hAnsi="Times New Roman" w:cs="Times New Roman"/>
          <w:i/>
          <w:sz w:val="22"/>
          <w:szCs w:val="22"/>
        </w:rPr>
        <w:t xml:space="preserve">CEDAW/C/URY/QPR/10 Par 12 </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En 2019 fueron 80 las denuncias por contribución, retribución o promesa de retribución a la explotación sexual contra niños, niñas y adolescentes (NNA) según el</w:t>
      </w:r>
      <w:r>
        <w:rPr>
          <w:rFonts w:ascii="Times New Roman" w:eastAsia="Times New Roman" w:hAnsi="Times New Roman" w:cs="Times New Roman"/>
          <w:color w:val="434343"/>
          <w:highlight w:val="white"/>
        </w:rPr>
        <w:t xml:space="preserve"> Observatorio Nacional sobre Violencia y Criminalidad del MI. Esta cifra aumentó a 115 en 2020, volviendo a registrar 80 denuncias en 2021 y 75 en 2022. </w:t>
      </w:r>
      <w:r>
        <w:rPr>
          <w:rFonts w:ascii="Times New Roman" w:eastAsia="Times New Roman" w:hAnsi="Times New Roman" w:cs="Times New Roman"/>
        </w:rPr>
        <w:t>El 81% de las víctimas son mujeres.</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color w:val="262626"/>
        </w:rPr>
        <w:t>Los datos del informe elaborado por el proyecto “Autonomías Colectivas”</w:t>
      </w:r>
      <w:r>
        <w:rPr>
          <w:rFonts w:ascii="Times New Roman" w:eastAsia="Times New Roman" w:hAnsi="Times New Roman" w:cs="Times New Roman"/>
          <w:color w:val="262626"/>
          <w:vertAlign w:val="superscript"/>
        </w:rPr>
        <w:footnoteReference w:id="26"/>
      </w:r>
      <w:r>
        <w:rPr>
          <w:rFonts w:ascii="Times New Roman" w:eastAsia="Times New Roman" w:hAnsi="Times New Roman" w:cs="Times New Roman"/>
          <w:color w:val="262626"/>
        </w:rPr>
        <w:t xml:space="preserve"> muestran que </w:t>
      </w:r>
      <w:r>
        <w:rPr>
          <w:rFonts w:ascii="Times New Roman" w:eastAsia="Times New Roman" w:hAnsi="Times New Roman" w:cs="Times New Roman"/>
        </w:rPr>
        <w:t>en 2018</w:t>
      </w:r>
      <w:r>
        <w:rPr>
          <w:rFonts w:ascii="Times New Roman" w:eastAsia="Times New Roman" w:hAnsi="Times New Roman" w:cs="Times New Roman"/>
          <w:color w:val="262626"/>
        </w:rPr>
        <w:t xml:space="preserve"> se atendieron 73 mujeres y 82 en 2019. En 2020 se atendió a 37 mujeres y 39 en 2021. Este descenso se produjo por la afectación de los servicios producto de la pandemia. En el año 2022 se asistieron 69 mujeres en todo el país, 62,7% de ellas son migrantes.</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Nuestro país cuenta con herramientas de política pública para enfrentar el fenómeno de la trata sexual, sin embargo, la respuesta desde el Estado es insuficiente en los territorios. La insuficiencia de esas respuestas llevó a la formación del </w:t>
      </w:r>
      <w:r>
        <w:rPr>
          <w:rFonts w:ascii="Times New Roman" w:eastAsia="Times New Roman" w:hAnsi="Times New Roman" w:cs="Times New Roman"/>
          <w:color w:val="262626"/>
        </w:rPr>
        <w:t xml:space="preserve">colectivo feminista “¿Dónde están nuestras gurisas?” en el año 2018 (DENG), en apoyo a madres de mujeres desaparecidas y que hoy tiene alcance nacional. </w:t>
      </w:r>
      <w:r>
        <w:rPr>
          <w:rFonts w:ascii="Times New Roman" w:eastAsia="Times New Roman" w:hAnsi="Times New Roman" w:cs="Times New Roman"/>
          <w:color w:val="262626"/>
          <w:vertAlign w:val="superscript"/>
        </w:rPr>
        <w:footnoteReference w:id="27"/>
      </w:r>
    </w:p>
    <w:p w:rsidR="00F54D7C" w:rsidRDefault="00000000">
      <w:pPr>
        <w:spacing w:after="120" w:line="276" w:lineRule="auto"/>
        <w:jc w:val="both"/>
        <w:rPr>
          <w:rFonts w:ascii="Times New Roman" w:eastAsia="Times New Roman" w:hAnsi="Times New Roman" w:cs="Times New Roman"/>
          <w:color w:val="262626"/>
        </w:rPr>
      </w:pPr>
      <w:r>
        <w:rPr>
          <w:rFonts w:ascii="Times New Roman" w:eastAsia="Times New Roman" w:hAnsi="Times New Roman" w:cs="Times New Roman"/>
          <w:color w:val="262626"/>
        </w:rPr>
        <w:t>El departamento de Registro y Búsqueda de Personas Ausentes del Ministerio del Interior (MI), creado en 2004 y desde 2009 dependiente de la Unidad de Lucha Contra el Crimen Organizado e Interpol, lleva un registro</w:t>
      </w:r>
      <w:r>
        <w:rPr>
          <w:rFonts w:ascii="Times New Roman" w:eastAsia="Times New Roman" w:hAnsi="Times New Roman" w:cs="Times New Roman"/>
          <w:color w:val="262626"/>
          <w:vertAlign w:val="superscript"/>
        </w:rPr>
        <w:footnoteReference w:id="28"/>
      </w:r>
      <w:r>
        <w:rPr>
          <w:rFonts w:ascii="Times New Roman" w:eastAsia="Times New Roman" w:hAnsi="Times New Roman" w:cs="Times New Roman"/>
          <w:color w:val="262626"/>
          <w:vertAlign w:val="superscript"/>
        </w:rPr>
        <w:t xml:space="preserve"> </w:t>
      </w:r>
      <w:r>
        <w:rPr>
          <w:rFonts w:ascii="Times New Roman" w:eastAsia="Times New Roman" w:hAnsi="Times New Roman" w:cs="Times New Roman"/>
          <w:color w:val="262626"/>
        </w:rPr>
        <w:t>incompleto, con criterios de desagregación de difícil comprensión por lo que es imposible obtener información confiable.</w:t>
      </w:r>
    </w:p>
    <w:p w:rsidR="00F54D7C" w:rsidRDefault="00000000">
      <w:pPr>
        <w:spacing w:after="120" w:line="276" w:lineRule="auto"/>
        <w:jc w:val="both"/>
        <w:rPr>
          <w:rFonts w:ascii="Times New Roman" w:eastAsia="Times New Roman" w:hAnsi="Times New Roman" w:cs="Times New Roman"/>
          <w:color w:val="262626"/>
        </w:rPr>
      </w:pPr>
      <w:r>
        <w:rPr>
          <w:rFonts w:ascii="Times New Roman" w:eastAsia="Times New Roman" w:hAnsi="Times New Roman" w:cs="Times New Roman"/>
          <w:color w:val="262626"/>
        </w:rPr>
        <w:t>El colectivo DENG registró 280 casos entre principios de 2018 y agosto de 2022, de esos, 243 mujeres desaparecieron de manera intermitente o por períodos cortos, un fenómeno que es recurrente y ha sido detectado por las organizaciones de sociedad civil que trabajan en territorio</w:t>
      </w:r>
      <w:r>
        <w:rPr>
          <w:rFonts w:ascii="Times New Roman" w:eastAsia="Times New Roman" w:hAnsi="Times New Roman" w:cs="Times New Roman"/>
          <w:color w:val="262626"/>
          <w:vertAlign w:val="superscript"/>
        </w:rPr>
        <w:footnoteReference w:id="29"/>
      </w:r>
      <w:r>
        <w:rPr>
          <w:rFonts w:ascii="Times New Roman" w:eastAsia="Times New Roman" w:hAnsi="Times New Roman" w:cs="Times New Roman"/>
          <w:color w:val="262626"/>
        </w:rPr>
        <w:t xml:space="preserve"> 20 aparecieron muertas y 17 siguen desaparecidas.</w:t>
      </w:r>
    </w:p>
    <w:p w:rsidR="00F54D7C" w:rsidRDefault="00000000">
      <w:pPr>
        <w:spacing w:after="120" w:line="276" w:lineRule="auto"/>
        <w:jc w:val="both"/>
        <w:rPr>
          <w:rFonts w:ascii="Times New Roman" w:eastAsia="Times New Roman" w:hAnsi="Times New Roman" w:cs="Times New Roman"/>
          <w:b/>
          <w:color w:val="434343"/>
          <w:highlight w:val="white"/>
        </w:rPr>
      </w:pPr>
      <w:r>
        <w:rPr>
          <w:rFonts w:ascii="Times New Roman" w:eastAsia="Times New Roman" w:hAnsi="Times New Roman" w:cs="Times New Roman"/>
          <w:color w:val="262626"/>
        </w:rPr>
        <w:t>A diciembre de 2022 denunció la desaparición de 40 jóvenes por causas relacionadas con la trata o la explotación sexual.</w:t>
      </w:r>
      <w:r>
        <w:rPr>
          <w:rFonts w:ascii="Times New Roman" w:eastAsia="Times New Roman" w:hAnsi="Times New Roman" w:cs="Times New Roman"/>
          <w:color w:val="262626"/>
          <w:vertAlign w:val="superscript"/>
        </w:rPr>
        <w:footnoteReference w:id="30"/>
      </w:r>
    </w:p>
    <w:p w:rsidR="00F54D7C" w:rsidRDefault="00F54D7C">
      <w:pPr>
        <w:spacing w:after="120" w:line="276" w:lineRule="auto"/>
        <w:jc w:val="both"/>
        <w:rPr>
          <w:rFonts w:ascii="Times New Roman" w:eastAsia="Times New Roman" w:hAnsi="Times New Roman" w:cs="Times New Roman"/>
          <w:b/>
          <w:color w:val="434343"/>
          <w:highlight w:val="white"/>
        </w:rPr>
      </w:pPr>
    </w:p>
    <w:tbl>
      <w:tblPr>
        <w:tblStyle w:val="a7"/>
        <w:tblW w:w="8844" w:type="dxa"/>
        <w:tblInd w:w="-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44"/>
      </w:tblGrid>
      <w:tr w:rsidR="00F54D7C">
        <w:tc>
          <w:tcPr>
            <w:tcW w:w="8844" w:type="dxa"/>
            <w:shd w:val="clear" w:color="auto" w:fill="auto"/>
            <w:tcMar>
              <w:top w:w="100" w:type="dxa"/>
              <w:left w:w="100" w:type="dxa"/>
              <w:bottom w:w="100" w:type="dxa"/>
              <w:right w:w="100" w:type="dxa"/>
            </w:tcMar>
          </w:tcPr>
          <w:p w:rsidR="00F54D7C" w:rsidRDefault="00000000">
            <w:pPr>
              <w:spacing w:after="120" w:line="276" w:lineRule="auto"/>
              <w:jc w:val="both"/>
              <w:rPr>
                <w:rFonts w:ascii="Times New Roman" w:eastAsia="Times New Roman" w:hAnsi="Times New Roman" w:cs="Times New Roman"/>
                <w:b/>
                <w:color w:val="434343"/>
                <w:highlight w:val="white"/>
              </w:rPr>
            </w:pPr>
            <w:r>
              <w:rPr>
                <w:rFonts w:ascii="Times New Roman" w:eastAsia="Times New Roman" w:hAnsi="Times New Roman" w:cs="Times New Roman"/>
                <w:b/>
                <w:color w:val="434343"/>
                <w:highlight w:val="white"/>
              </w:rPr>
              <w:t>RECOMENDACIONES</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lastRenderedPageBreak/>
              <w:t xml:space="preserve">1. </w:t>
            </w:r>
            <w:r>
              <w:rPr>
                <w:rFonts w:ascii="Times New Roman" w:eastAsia="Times New Roman" w:hAnsi="Times New Roman" w:cs="Times New Roman"/>
              </w:rPr>
              <w:t>Que el Estado actúe con debida diligencia recibiendo las denuncias de desapariciones  sin estereotipos discriminatorios.</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2.</w:t>
            </w:r>
            <w:r>
              <w:rPr>
                <w:rFonts w:ascii="Times New Roman" w:eastAsia="Times New Roman" w:hAnsi="Times New Roman" w:cs="Times New Roman"/>
              </w:rPr>
              <w:t xml:space="preserve"> Que el Estado implemente registros confiables y útiles para la investigación en casos de jóvenes desaparecidas. </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3.</w:t>
            </w:r>
            <w:r>
              <w:rPr>
                <w:rFonts w:ascii="Times New Roman" w:eastAsia="Times New Roman" w:hAnsi="Times New Roman" w:cs="Times New Roman"/>
              </w:rPr>
              <w:t xml:space="preserve"> Que el Estado proceda a la investigación de manera seria, imparcial y sostenida hasta encontrarlas, articulando con organismos de búsqueda e investigación de crimen organizado.</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4. </w:t>
            </w:r>
            <w:r>
              <w:rPr>
                <w:rFonts w:ascii="Times New Roman" w:eastAsia="Times New Roman" w:hAnsi="Times New Roman" w:cs="Times New Roman"/>
              </w:rPr>
              <w:t xml:space="preserve">Que el Estado implemente alertas tempranas para la búsqueda, articulando con sociedad civil con trayectoria en la temática. </w:t>
            </w:r>
          </w:p>
        </w:tc>
      </w:tr>
    </w:tbl>
    <w:p w:rsidR="00F54D7C" w:rsidRDefault="00F54D7C">
      <w:pPr>
        <w:spacing w:after="120" w:line="276" w:lineRule="auto"/>
        <w:jc w:val="both"/>
        <w:rPr>
          <w:rFonts w:ascii="Times New Roman" w:eastAsia="Times New Roman" w:hAnsi="Times New Roman" w:cs="Times New Roman"/>
          <w:b/>
          <w:color w:val="434343"/>
          <w:highlight w:val="white"/>
        </w:rPr>
      </w:pP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V. Participación en Vida Política y Pública.</w:t>
      </w:r>
      <w:r>
        <w:rPr>
          <w:rFonts w:ascii="Times New Roman" w:eastAsia="Times New Roman" w:hAnsi="Times New Roman" w:cs="Times New Roman"/>
        </w:rPr>
        <w:t xml:space="preserve">   </w:t>
      </w:r>
      <w:r>
        <w:rPr>
          <w:rFonts w:ascii="Times New Roman" w:eastAsia="Times New Roman" w:hAnsi="Times New Roman" w:cs="Times New Roman"/>
          <w:i/>
          <w:sz w:val="22"/>
          <w:szCs w:val="22"/>
        </w:rPr>
        <w:t>CEDAW/C/URY/QPR/10 Pár 13, 14</w:t>
      </w:r>
      <w:r>
        <w:rPr>
          <w:rFonts w:ascii="Times New Roman" w:eastAsia="Times New Roman" w:hAnsi="Times New Roman" w:cs="Times New Roman"/>
        </w:rPr>
        <w:t>.</w:t>
      </w:r>
    </w:p>
    <w:p w:rsidR="00F54D7C" w:rsidRDefault="00000000">
      <w:pPr>
        <w:widowControl w:val="0"/>
        <w:spacing w:line="276"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Persiste la baja representación y participación política de las mujeres en los cargos jerárquicos y de decisión política a pesar de ser 52% de la población. </w:t>
      </w:r>
    </w:p>
    <w:p w:rsidR="00F54D7C" w:rsidRDefault="00000000">
      <w:pPr>
        <w:widowControl w:val="0"/>
        <w:spacing w:line="276" w:lineRule="auto"/>
        <w:ind w:hanging="2"/>
        <w:jc w:val="both"/>
        <w:rPr>
          <w:rFonts w:ascii="Times New Roman" w:eastAsia="Times New Roman" w:hAnsi="Times New Roman" w:cs="Times New Roman"/>
        </w:rPr>
      </w:pPr>
      <w:r>
        <w:rPr>
          <w:rFonts w:ascii="Times New Roman" w:eastAsia="Times New Roman" w:hAnsi="Times New Roman" w:cs="Times New Roman"/>
        </w:rPr>
        <w:t>En las últimas elecciones de 2019, las candidatas a la vicepresidencia por primera vez fueron mujeres por la coalición de partidos que hoy gobierna al igual que el partido opositor.</w:t>
      </w:r>
    </w:p>
    <w:p w:rsidR="00F54D7C" w:rsidRDefault="00000000">
      <w:pPr>
        <w:widowControl w:val="0"/>
        <w:spacing w:line="276" w:lineRule="auto"/>
        <w:ind w:hanging="2"/>
        <w:jc w:val="both"/>
        <w:rPr>
          <w:rFonts w:ascii="Times New Roman" w:eastAsia="Times New Roman" w:hAnsi="Times New Roman" w:cs="Times New Roman"/>
        </w:rPr>
      </w:pPr>
      <w:r>
        <w:rPr>
          <w:rFonts w:ascii="Times New Roman" w:eastAsia="Times New Roman" w:hAnsi="Times New Roman" w:cs="Times New Roman"/>
        </w:rPr>
        <w:t>Actualmente, hay dos mujeres como titulares de Ministerios.</w:t>
      </w:r>
    </w:p>
    <w:p w:rsidR="00F54D7C" w:rsidRDefault="00000000">
      <w:pPr>
        <w:widowControl w:val="0"/>
        <w:spacing w:line="276"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De la investigación de ONU MUJERES (2019) </w:t>
      </w:r>
      <w:r>
        <w:rPr>
          <w:rFonts w:ascii="Times New Roman" w:eastAsia="Times New Roman" w:hAnsi="Times New Roman" w:cs="Times New Roman"/>
          <w:vertAlign w:val="superscript"/>
        </w:rPr>
        <w:footnoteReference w:id="31"/>
      </w:r>
      <w:r>
        <w:rPr>
          <w:rFonts w:ascii="Times New Roman" w:eastAsia="Times New Roman" w:hAnsi="Times New Roman" w:cs="Times New Roman"/>
        </w:rPr>
        <w:t>surge que:</w:t>
      </w:r>
    </w:p>
    <w:p w:rsidR="00F54D7C" w:rsidRDefault="00000000">
      <w:pPr>
        <w:widowControl w:val="0"/>
        <w:spacing w:line="276"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Los hombres en los espacios de conducción en el Poder Ejecutivo representan un 85%, incluso en casos donde son mayoría las mujeres como en el Ministerio de Desarrollo Social (74% del total del funcionariado) sin ocupar lugares de decisión. </w:t>
      </w:r>
    </w:p>
    <w:p w:rsidR="00F54D7C" w:rsidRDefault="00000000">
      <w:pPr>
        <w:widowControl w:val="0"/>
        <w:spacing w:line="276"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En el Ministerio de Relaciones Exteriores, las mujeres ocupan el 9% del total de embajadores del país a nivel mundial. </w:t>
      </w:r>
    </w:p>
    <w:p w:rsidR="00F54D7C" w:rsidRDefault="00000000">
      <w:pPr>
        <w:widowControl w:val="0"/>
        <w:spacing w:line="276" w:lineRule="auto"/>
        <w:ind w:hanging="2"/>
        <w:jc w:val="both"/>
        <w:rPr>
          <w:rFonts w:ascii="Times New Roman" w:eastAsia="Times New Roman" w:hAnsi="Times New Roman" w:cs="Times New Roman"/>
        </w:rPr>
      </w:pPr>
      <w:r>
        <w:rPr>
          <w:rFonts w:ascii="Times New Roman" w:eastAsia="Times New Roman" w:hAnsi="Times New Roman" w:cs="Times New Roman"/>
        </w:rPr>
        <w:t>En las elecciones del 2019 debido a la ley de cuotas No.18476 hubo un leve aumento de presencia de mujeres en el Parlamento, especialmente en el Senado de 19.4% a 21%.</w:t>
      </w:r>
      <w:r>
        <w:rPr>
          <w:rFonts w:ascii="Times New Roman" w:eastAsia="Times New Roman" w:hAnsi="Times New Roman" w:cs="Times New Roman"/>
          <w:vertAlign w:val="superscript"/>
        </w:rPr>
        <w:footnoteReference w:id="32"/>
      </w:r>
      <w:r>
        <w:rPr>
          <w:rFonts w:ascii="Times New Roman" w:eastAsia="Times New Roman" w:hAnsi="Times New Roman" w:cs="Times New Roman"/>
        </w:rPr>
        <w:t xml:space="preserve"> </w:t>
      </w:r>
    </w:p>
    <w:p w:rsidR="00F54D7C" w:rsidRDefault="00000000">
      <w:pPr>
        <w:widowControl w:val="0"/>
        <w:spacing w:line="276" w:lineRule="auto"/>
        <w:ind w:hanging="2"/>
        <w:jc w:val="both"/>
        <w:rPr>
          <w:rFonts w:ascii="Times New Roman" w:eastAsia="Times New Roman" w:hAnsi="Times New Roman" w:cs="Times New Roman"/>
        </w:rPr>
      </w:pPr>
      <w:r>
        <w:rPr>
          <w:rFonts w:ascii="Times New Roman" w:eastAsia="Times New Roman" w:hAnsi="Times New Roman" w:cs="Times New Roman"/>
        </w:rPr>
        <w:t xml:space="preserve">La Universidad de la República (UDELAR) mantiene la subrepresentación femenina. Las mujeres ocupan el 54% de los cargos docentes pero sólo 34% en el Grado 5, 57% en el Grado 1 y en el Grado 2 el 58%. </w:t>
      </w:r>
    </w:p>
    <w:p w:rsidR="00F54D7C" w:rsidRDefault="00000000">
      <w:pPr>
        <w:widowControl w:val="0"/>
        <w:spacing w:line="276" w:lineRule="auto"/>
        <w:ind w:hanging="2"/>
        <w:jc w:val="both"/>
        <w:rPr>
          <w:rFonts w:ascii="Times New Roman" w:eastAsia="Times New Roman" w:hAnsi="Times New Roman" w:cs="Times New Roman"/>
        </w:rPr>
      </w:pPr>
      <w:r>
        <w:rPr>
          <w:rFonts w:ascii="Times New Roman" w:eastAsia="Times New Roman" w:hAnsi="Times New Roman" w:cs="Times New Roman"/>
        </w:rPr>
        <w:t>En lo que refiere a la paridad de género en cargos de representación política hay dos proyectos de ley a estudio del Parlamento los que enfrentan resistencias violentas de algunos legisladores.</w:t>
      </w:r>
      <w:r>
        <w:rPr>
          <w:rFonts w:ascii="Times New Roman" w:eastAsia="Times New Roman" w:hAnsi="Times New Roman" w:cs="Times New Roman"/>
          <w:vertAlign w:val="superscript"/>
        </w:rPr>
        <w:footnoteReference w:id="33"/>
      </w:r>
      <w:r>
        <w:rPr>
          <w:rFonts w:ascii="Times New Roman" w:eastAsia="Times New Roman" w:hAnsi="Times New Roman" w:cs="Times New Roman"/>
        </w:rPr>
        <w:t xml:space="preserve"> La implementación de las cuotas enfrenta obstáculos y malas prácticas que </w:t>
      </w:r>
      <w:r>
        <w:rPr>
          <w:rFonts w:ascii="Times New Roman" w:eastAsia="Times New Roman" w:hAnsi="Times New Roman" w:cs="Times New Roman"/>
        </w:rPr>
        <w:lastRenderedPageBreak/>
        <w:t>dificultan la inclusión de las mujeres en las listas electorales en primeros lugares para ocupar las bancas.</w:t>
      </w:r>
      <w:r>
        <w:rPr>
          <w:rFonts w:ascii="Times New Roman" w:eastAsia="Times New Roman" w:hAnsi="Times New Roman" w:cs="Times New Roman"/>
          <w:vertAlign w:val="superscript"/>
        </w:rPr>
        <w:footnoteReference w:id="34"/>
      </w:r>
    </w:p>
    <w:p w:rsidR="00F54D7C" w:rsidRDefault="00000000">
      <w:pPr>
        <w:widowControl w:val="0"/>
        <w:spacing w:line="276" w:lineRule="auto"/>
        <w:ind w:hanging="2"/>
        <w:jc w:val="both"/>
        <w:rPr>
          <w:rFonts w:ascii="Times New Roman" w:eastAsia="Times New Roman" w:hAnsi="Times New Roman" w:cs="Times New Roman"/>
        </w:rPr>
      </w:pPr>
      <w:r>
        <w:rPr>
          <w:rFonts w:ascii="Times New Roman" w:eastAsia="Times New Roman" w:hAnsi="Times New Roman" w:cs="Times New Roman"/>
        </w:rPr>
        <w:t>Persisten prácticas discriminatorias contra las mujeres en todos estos ámbitos, incluso de acoso sexual, que obstaculizan sus carreras y que son investigadas sin perspectiva de género y en general no son sancionadas, a pesar de la existencia de protocolos de actuación como en la UDELAR</w:t>
      </w:r>
      <w:r>
        <w:rPr>
          <w:rFonts w:ascii="Times New Roman" w:eastAsia="Times New Roman" w:hAnsi="Times New Roman" w:cs="Times New Roman"/>
          <w:vertAlign w:val="superscript"/>
        </w:rPr>
        <w:footnoteReference w:id="35"/>
      </w:r>
      <w:r>
        <w:rPr>
          <w:rFonts w:ascii="Times New Roman" w:eastAsia="Times New Roman" w:hAnsi="Times New Roman" w:cs="Times New Roman"/>
        </w:rPr>
        <w:t xml:space="preserve">.    </w:t>
      </w:r>
    </w:p>
    <w:p w:rsidR="00F54D7C" w:rsidRDefault="00000000">
      <w:pPr>
        <w:widowControl w:val="0"/>
        <w:spacing w:line="276" w:lineRule="auto"/>
        <w:ind w:hanging="2"/>
        <w:jc w:val="both"/>
        <w:rPr>
          <w:rFonts w:ascii="Times New Roman" w:eastAsia="Times New Roman" w:hAnsi="Times New Roman" w:cs="Times New Roman"/>
        </w:rPr>
      </w:pPr>
      <w:r>
        <w:rPr>
          <w:rFonts w:ascii="Times New Roman" w:eastAsia="Times New Roman" w:hAnsi="Times New Roman" w:cs="Times New Roman"/>
        </w:rPr>
        <w:t>Las mujeres afrodescendientes están subrepresentadas en todos los ámbitos políticos y de decisión sin que se cuente con registros que permitan monitorear esta situación.</w:t>
      </w:r>
    </w:p>
    <w:p w:rsidR="00F54D7C" w:rsidRDefault="00F54D7C">
      <w:pPr>
        <w:widowControl w:val="0"/>
        <w:spacing w:line="276" w:lineRule="auto"/>
        <w:ind w:hanging="2"/>
        <w:jc w:val="both"/>
        <w:rPr>
          <w:rFonts w:ascii="Times New Roman" w:eastAsia="Times New Roman" w:hAnsi="Times New Roman" w:cs="Times New Roman"/>
        </w:rPr>
      </w:pPr>
    </w:p>
    <w:tbl>
      <w:tblPr>
        <w:tblStyle w:val="a8"/>
        <w:tblW w:w="88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F54D7C">
        <w:tc>
          <w:tcPr>
            <w:tcW w:w="8838" w:type="dxa"/>
            <w:shd w:val="clear" w:color="auto" w:fill="auto"/>
            <w:tcMar>
              <w:top w:w="100" w:type="dxa"/>
              <w:left w:w="100" w:type="dxa"/>
              <w:bottom w:w="100" w:type="dxa"/>
              <w:right w:w="100" w:type="dxa"/>
            </w:tcMar>
          </w:tcPr>
          <w:p w:rsidR="00F54D7C" w:rsidRDefault="00000000">
            <w:pPr>
              <w:widowControl w:val="0"/>
              <w:spacing w:line="276" w:lineRule="auto"/>
              <w:ind w:hanging="2"/>
              <w:jc w:val="both"/>
              <w:rPr>
                <w:rFonts w:ascii="Times New Roman" w:eastAsia="Times New Roman" w:hAnsi="Times New Roman" w:cs="Times New Roman"/>
                <w:b/>
              </w:rPr>
            </w:pPr>
            <w:r>
              <w:rPr>
                <w:rFonts w:ascii="Times New Roman" w:eastAsia="Times New Roman" w:hAnsi="Times New Roman" w:cs="Times New Roman"/>
                <w:b/>
              </w:rPr>
              <w:t>RECOMENDACIONES</w:t>
            </w:r>
          </w:p>
          <w:p w:rsidR="00F54D7C" w:rsidRDefault="00000000">
            <w:pPr>
              <w:widowControl w:val="0"/>
              <w:spacing w:line="276" w:lineRule="auto"/>
              <w:jc w:val="both"/>
              <w:rPr>
                <w:rFonts w:ascii="Times New Roman" w:eastAsia="Times New Roman" w:hAnsi="Times New Roman" w:cs="Times New Roman"/>
              </w:rPr>
            </w:pPr>
            <w:r>
              <w:rPr>
                <w:rFonts w:ascii="Times New Roman" w:eastAsia="Times New Roman" w:hAnsi="Times New Roman" w:cs="Times New Roman"/>
                <w:b/>
              </w:rPr>
              <w:t xml:space="preserve">1 </w:t>
            </w:r>
            <w:r>
              <w:rPr>
                <w:rFonts w:ascii="Times New Roman" w:eastAsia="Times New Roman" w:hAnsi="Times New Roman" w:cs="Times New Roman"/>
              </w:rPr>
              <w:t>Que el Parlamento adopte con urgencia una ley de paridad que asegure la participación de las mujeres en condiciones de igualdad en los cargos de representación política.</w:t>
            </w:r>
          </w:p>
          <w:p w:rsidR="00F54D7C" w:rsidRDefault="00000000">
            <w:pPr>
              <w:widowControl w:val="0"/>
              <w:spacing w:line="276" w:lineRule="auto"/>
              <w:jc w:val="both"/>
              <w:rPr>
                <w:rFonts w:ascii="Times New Roman" w:eastAsia="Times New Roman" w:hAnsi="Times New Roman" w:cs="Times New Roman"/>
              </w:rPr>
            </w:pPr>
            <w:r>
              <w:rPr>
                <w:rFonts w:ascii="Times New Roman" w:eastAsia="Times New Roman" w:hAnsi="Times New Roman" w:cs="Times New Roman"/>
                <w:b/>
              </w:rPr>
              <w:t xml:space="preserve">2 </w:t>
            </w:r>
            <w:r>
              <w:rPr>
                <w:rFonts w:ascii="Times New Roman" w:eastAsia="Times New Roman" w:hAnsi="Times New Roman" w:cs="Times New Roman"/>
              </w:rPr>
              <w:t>Que el Poder Ejecutivo asegure la paridad en los cargos de decisión y dirección en todos sus mecanismos institucionales.</w:t>
            </w:r>
          </w:p>
          <w:p w:rsidR="00F54D7C" w:rsidRDefault="00000000">
            <w:pPr>
              <w:widowControl w:val="0"/>
              <w:spacing w:line="276" w:lineRule="auto"/>
              <w:jc w:val="both"/>
              <w:rPr>
                <w:rFonts w:ascii="Times New Roman" w:eastAsia="Times New Roman" w:hAnsi="Times New Roman" w:cs="Times New Roman"/>
              </w:rPr>
            </w:pPr>
            <w:r>
              <w:rPr>
                <w:rFonts w:ascii="Times New Roman" w:eastAsia="Times New Roman" w:hAnsi="Times New Roman" w:cs="Times New Roman"/>
                <w:b/>
              </w:rPr>
              <w:t xml:space="preserve">3. </w:t>
            </w:r>
            <w:r>
              <w:rPr>
                <w:rFonts w:ascii="Times New Roman" w:eastAsia="Times New Roman" w:hAnsi="Times New Roman" w:cs="Times New Roman"/>
              </w:rPr>
              <w:t>Que el Estado implemente registros confiables sobre participación política de las mujeres desagregando la variable raza/etnia.</w:t>
            </w:r>
          </w:p>
          <w:p w:rsidR="00F54D7C" w:rsidRDefault="00000000">
            <w:pPr>
              <w:widowControl w:val="0"/>
              <w:spacing w:line="276" w:lineRule="auto"/>
              <w:jc w:val="both"/>
              <w:rPr>
                <w:rFonts w:ascii="Times New Roman" w:eastAsia="Times New Roman" w:hAnsi="Times New Roman" w:cs="Times New Roman"/>
              </w:rPr>
            </w:pPr>
            <w:r>
              <w:rPr>
                <w:rFonts w:ascii="Times New Roman" w:eastAsia="Times New Roman" w:hAnsi="Times New Roman" w:cs="Times New Roman"/>
                <w:b/>
              </w:rPr>
              <w:t>4.</w:t>
            </w:r>
            <w:r>
              <w:rPr>
                <w:rFonts w:ascii="Times New Roman" w:eastAsia="Times New Roman" w:hAnsi="Times New Roman" w:cs="Times New Roman"/>
              </w:rPr>
              <w:t>Que la UDELAR implemente un mecanismo igualitario para la designación de mujeres en los grados superiores así como en los consejos y decanatos.</w:t>
            </w:r>
          </w:p>
          <w:p w:rsidR="00F54D7C" w:rsidRDefault="00000000">
            <w:pPr>
              <w:widowControl w:val="0"/>
              <w:spacing w:line="276" w:lineRule="auto"/>
              <w:jc w:val="both"/>
              <w:rPr>
                <w:rFonts w:ascii="Times New Roman" w:eastAsia="Times New Roman" w:hAnsi="Times New Roman" w:cs="Times New Roman"/>
              </w:rPr>
            </w:pPr>
            <w:r>
              <w:rPr>
                <w:rFonts w:ascii="Times New Roman" w:eastAsia="Times New Roman" w:hAnsi="Times New Roman" w:cs="Times New Roman"/>
                <w:b/>
              </w:rPr>
              <w:t xml:space="preserve">5. </w:t>
            </w:r>
            <w:r>
              <w:rPr>
                <w:rFonts w:ascii="Times New Roman" w:eastAsia="Times New Roman" w:hAnsi="Times New Roman" w:cs="Times New Roman"/>
              </w:rPr>
              <w:t xml:space="preserve">Que el Estado adopte y aplique protocolos de actuación con perspectiva de género para eliminar el acoso, aplicando sanciones acordes a la gravedad de la conducta. </w:t>
            </w:r>
          </w:p>
        </w:tc>
      </w:tr>
    </w:tbl>
    <w:p w:rsidR="00F54D7C" w:rsidRDefault="00000000">
      <w:pPr>
        <w:pStyle w:val="Ttulo3"/>
        <w:spacing w:line="276" w:lineRule="auto"/>
        <w:rPr>
          <w:rFonts w:ascii="Times New Roman" w:eastAsia="Times New Roman" w:hAnsi="Times New Roman" w:cs="Times New Roman"/>
          <w:b w:val="0"/>
          <w:sz w:val="24"/>
          <w:szCs w:val="24"/>
        </w:rPr>
      </w:pPr>
      <w:bookmarkStart w:id="0" w:name="_heading=h.w2ie8vw0ab9e" w:colFirst="0" w:colLast="0"/>
      <w:bookmarkEnd w:id="0"/>
      <w:r>
        <w:rPr>
          <w:rFonts w:ascii="Times New Roman" w:eastAsia="Times New Roman" w:hAnsi="Times New Roman" w:cs="Times New Roman"/>
          <w:sz w:val="24"/>
          <w:szCs w:val="24"/>
        </w:rPr>
        <w:t xml:space="preserve">VI. Acceso a la justicia  </w:t>
      </w:r>
      <w:r>
        <w:rPr>
          <w:rFonts w:ascii="Times New Roman" w:eastAsia="Times New Roman" w:hAnsi="Times New Roman" w:cs="Times New Roman"/>
          <w:b w:val="0"/>
          <w:i/>
          <w:sz w:val="22"/>
          <w:szCs w:val="22"/>
        </w:rPr>
        <w:t xml:space="preserve">CEDAW/C/URY/QPR/10 Pár 4,5 </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La falta de recursos humanos, presupuestales y capacitación a jueces, funcionariado judicial y policial  afecta la implementación de la ley 19.580.</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La Unidad Especializada en Género del Poder Judicial</w:t>
      </w:r>
      <w:r>
        <w:rPr>
          <w:rFonts w:ascii="Times New Roman" w:eastAsia="Times New Roman" w:hAnsi="Times New Roman" w:cs="Times New Roman"/>
          <w:color w:val="434343"/>
          <w:vertAlign w:val="superscript"/>
        </w:rPr>
        <w:footnoteReference w:id="36"/>
      </w:r>
      <w:r>
        <w:rPr>
          <w:rFonts w:ascii="Times New Roman" w:eastAsia="Times New Roman" w:hAnsi="Times New Roman" w:cs="Times New Roman"/>
          <w:color w:val="434343"/>
          <w:vertAlign w:val="superscript"/>
        </w:rPr>
        <w:t xml:space="preserve"> </w:t>
      </w:r>
      <w:r>
        <w:rPr>
          <w:rFonts w:ascii="Times New Roman" w:eastAsia="Times New Roman" w:hAnsi="Times New Roman" w:cs="Times New Roman"/>
          <w:color w:val="434343"/>
        </w:rPr>
        <w:t xml:space="preserve">impartió solamente 4 horas de taller de sensibilización a funcionarios en 2022. </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La formación de jueces está a cargo del Centro de Estudios Judiciales (CEJU). Depende de la SCJ que decide el contenido y los docentes a cargo de las 20 horas anuales obligatorias de las que no hay información pública. La Asociación de Magistrados del Uruguay (AMU) interviene proponiendo temáticas y formato de cursos. Los docentes son superiores procesales que revisarán las sentencias de los asistentes en el ejercicio de su función judicial. </w:t>
      </w:r>
      <w:r>
        <w:rPr>
          <w:rFonts w:ascii="Times New Roman" w:eastAsia="Times New Roman" w:hAnsi="Times New Roman" w:cs="Times New Roman"/>
          <w:color w:val="434343"/>
        </w:rPr>
        <w:lastRenderedPageBreak/>
        <w:t>En la grilla curricular, derechos humanos de las mujeres, género, derecho de familia suelen ser un curso optativo de máximo 6 horas en formato magistral.</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La carrera judicial, el mecanismo de ascensos y traslados, no tiene transparencia para la población y los jueces.</w:t>
      </w:r>
      <w:r>
        <w:rPr>
          <w:rFonts w:ascii="Times New Roman" w:eastAsia="Times New Roman" w:hAnsi="Times New Roman" w:cs="Times New Roman"/>
          <w:color w:val="434343"/>
          <w:vertAlign w:val="superscript"/>
        </w:rPr>
        <w:footnoteReference w:id="37"/>
      </w:r>
      <w:r>
        <w:rPr>
          <w:rFonts w:ascii="Times New Roman" w:eastAsia="Times New Roman" w:hAnsi="Times New Roman" w:cs="Times New Roman"/>
          <w:color w:val="434343"/>
        </w:rPr>
        <w:t xml:space="preserve"> Un reciente diagnóstico mostró esas fallas y la falta de independencia de los jueces a la interna del Poder Judicial.</w:t>
      </w:r>
      <w:r>
        <w:rPr>
          <w:rFonts w:ascii="Times New Roman" w:eastAsia="Times New Roman" w:hAnsi="Times New Roman" w:cs="Times New Roman"/>
          <w:color w:val="434343"/>
          <w:vertAlign w:val="superscript"/>
        </w:rPr>
        <w:footnoteReference w:id="38"/>
      </w:r>
      <w:r>
        <w:rPr>
          <w:rFonts w:ascii="Times New Roman" w:eastAsia="Times New Roman" w:hAnsi="Times New Roman" w:cs="Times New Roman"/>
          <w:color w:val="434343"/>
        </w:rPr>
        <w:t xml:space="preserve"> </w:t>
      </w:r>
    </w:p>
    <w:p w:rsidR="00F54D7C" w:rsidRDefault="00F54D7C">
      <w:pPr>
        <w:spacing w:line="276" w:lineRule="auto"/>
        <w:jc w:val="both"/>
        <w:rPr>
          <w:rFonts w:ascii="Times New Roman" w:eastAsia="Times New Roman" w:hAnsi="Times New Roman" w:cs="Times New Roman"/>
          <w:b/>
          <w:color w:val="434343"/>
        </w:rPr>
      </w:pPr>
    </w:p>
    <w:tbl>
      <w:tblPr>
        <w:tblStyle w:val="a9"/>
        <w:tblW w:w="8790" w:type="dxa"/>
        <w:tblInd w:w="2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790"/>
      </w:tblGrid>
      <w:tr w:rsidR="00F54D7C">
        <w:trPr>
          <w:trHeight w:val="1906"/>
        </w:trPr>
        <w:tc>
          <w:tcPr>
            <w:tcW w:w="8790" w:type="dxa"/>
            <w:shd w:val="clear" w:color="auto" w:fill="auto"/>
            <w:tcMar>
              <w:top w:w="100" w:type="dxa"/>
              <w:left w:w="100" w:type="dxa"/>
              <w:bottom w:w="100" w:type="dxa"/>
              <w:right w:w="100" w:type="dxa"/>
            </w:tcMar>
          </w:tcPr>
          <w:p w:rsidR="00F54D7C" w:rsidRDefault="00000000">
            <w:pPr>
              <w:spacing w:line="276" w:lineRule="auto"/>
              <w:jc w:val="both"/>
              <w:rPr>
                <w:rFonts w:ascii="Times New Roman" w:eastAsia="Times New Roman" w:hAnsi="Times New Roman" w:cs="Times New Roman"/>
                <w:b/>
                <w:color w:val="434343"/>
              </w:rPr>
            </w:pPr>
            <w:r>
              <w:rPr>
                <w:rFonts w:ascii="Times New Roman" w:eastAsia="Times New Roman" w:hAnsi="Times New Roman" w:cs="Times New Roman"/>
                <w:b/>
                <w:color w:val="434343"/>
              </w:rPr>
              <w:t>Recomendaciones</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b/>
                <w:color w:val="434343"/>
              </w:rPr>
              <w:t xml:space="preserve">1. </w:t>
            </w:r>
            <w:r>
              <w:rPr>
                <w:rFonts w:ascii="Times New Roman" w:eastAsia="Times New Roman" w:hAnsi="Times New Roman" w:cs="Times New Roman"/>
                <w:color w:val="434343"/>
              </w:rPr>
              <w:t xml:space="preserve">Que la SCJ implemente la capacitación de los jueces según la Recomendación No 33 de ese Comité incluyendo leyes de familia sin discirminación. </w:t>
            </w:r>
          </w:p>
          <w:p w:rsidR="00F54D7C" w:rsidRDefault="00000000">
            <w:pPr>
              <w:spacing w:line="276" w:lineRule="auto"/>
              <w:jc w:val="both"/>
              <w:rPr>
                <w:rFonts w:ascii="Times New Roman" w:eastAsia="Times New Roman" w:hAnsi="Times New Roman" w:cs="Times New Roman"/>
                <w:color w:val="FF0000"/>
              </w:rPr>
            </w:pPr>
            <w:r>
              <w:rPr>
                <w:rFonts w:ascii="Times New Roman" w:eastAsia="Times New Roman" w:hAnsi="Times New Roman" w:cs="Times New Roman"/>
                <w:b/>
                <w:color w:val="434343"/>
              </w:rPr>
              <w:t>2.</w:t>
            </w:r>
            <w:r>
              <w:rPr>
                <w:rFonts w:ascii="Times New Roman" w:eastAsia="Times New Roman" w:hAnsi="Times New Roman" w:cs="Times New Roman"/>
                <w:color w:val="434343"/>
              </w:rPr>
              <w:t xml:space="preserve"> </w:t>
            </w:r>
            <w:r>
              <w:rPr>
                <w:rFonts w:ascii="Times New Roman" w:eastAsia="Times New Roman" w:hAnsi="Times New Roman" w:cs="Times New Roman"/>
                <w:color w:val="434343"/>
                <w:highlight w:val="white"/>
              </w:rPr>
              <w:t>Que el Estado asigne recursos al Poder Judicial para que éste designe suficientes jueces para atender el alto número de denuncias de violencia de género.</w:t>
            </w:r>
          </w:p>
          <w:p w:rsidR="00F54D7C" w:rsidRDefault="00F54D7C">
            <w:pPr>
              <w:spacing w:line="276" w:lineRule="auto"/>
              <w:ind w:left="720"/>
              <w:jc w:val="both"/>
              <w:rPr>
                <w:rFonts w:ascii="Times New Roman" w:eastAsia="Times New Roman" w:hAnsi="Times New Roman" w:cs="Times New Roman"/>
                <w:color w:val="FF0000"/>
              </w:rPr>
            </w:pPr>
          </w:p>
          <w:p w:rsidR="00F54D7C" w:rsidRDefault="00F54D7C">
            <w:pPr>
              <w:widowControl w:val="0"/>
              <w:pBdr>
                <w:top w:val="nil"/>
                <w:left w:val="nil"/>
                <w:bottom w:val="nil"/>
                <w:right w:val="nil"/>
                <w:between w:val="nil"/>
              </w:pBdr>
              <w:spacing w:line="276" w:lineRule="auto"/>
              <w:rPr>
                <w:rFonts w:ascii="Times New Roman" w:eastAsia="Times New Roman" w:hAnsi="Times New Roman" w:cs="Times New Roman"/>
                <w:b/>
                <w:color w:val="FF0000"/>
              </w:rPr>
            </w:pPr>
          </w:p>
        </w:tc>
      </w:tr>
    </w:tbl>
    <w:p w:rsidR="00F54D7C" w:rsidRDefault="00F54D7C">
      <w:pPr>
        <w:spacing w:line="276" w:lineRule="auto"/>
        <w:jc w:val="both"/>
        <w:rPr>
          <w:rFonts w:ascii="Times New Roman" w:eastAsia="Times New Roman" w:hAnsi="Times New Roman" w:cs="Times New Roman"/>
          <w:b/>
          <w:color w:val="FF0000"/>
        </w:rPr>
      </w:pPr>
    </w:p>
    <w:p w:rsidR="00F54D7C" w:rsidRDefault="00F54D7C">
      <w:pPr>
        <w:spacing w:line="276" w:lineRule="auto"/>
        <w:jc w:val="both"/>
        <w:rPr>
          <w:rFonts w:ascii="Times New Roman" w:eastAsia="Times New Roman" w:hAnsi="Times New Roman" w:cs="Times New Roman"/>
          <w:b/>
          <w:color w:val="FF0000"/>
        </w:rPr>
      </w:pP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b/>
        </w:rPr>
        <w:t>VII.- Mecanismos nacionales para el adelanto de la mujer (</w:t>
      </w:r>
      <w:r>
        <w:rPr>
          <w:rFonts w:ascii="Times New Roman" w:eastAsia="Times New Roman" w:hAnsi="Times New Roman" w:cs="Times New Roman"/>
          <w:i/>
          <w:sz w:val="22"/>
          <w:szCs w:val="22"/>
        </w:rPr>
        <w:t xml:space="preserve">CEDAW/C/URY/QPR/10 </w:t>
      </w:r>
      <w:r>
        <w:rPr>
          <w:rFonts w:ascii="Times New Roman" w:eastAsia="Times New Roman" w:hAnsi="Times New Roman" w:cs="Times New Roman"/>
        </w:rPr>
        <w:t>Pár. 7,8)</w:t>
      </w:r>
      <w:r>
        <w:rPr>
          <w:rFonts w:ascii="Times New Roman" w:eastAsia="Times New Roman" w:hAnsi="Times New Roman" w:cs="Times New Roman"/>
          <w:b/>
        </w:rPr>
        <w:br/>
      </w:r>
      <w:r>
        <w:rPr>
          <w:rFonts w:ascii="Times New Roman" w:eastAsia="Times New Roman" w:hAnsi="Times New Roman" w:cs="Times New Roman"/>
          <w:color w:val="434343"/>
        </w:rPr>
        <w:t xml:space="preserve">El Instituto Nacional de las Mujeres (INMUJERES, se mantiene en la estructura del Ministerio de Desarrollo Social MIDES, se le han retirado recursos humanos y presupuestales al prescindir  de integrantes de los equipos técnicos en marzo 2020 y no pagarles sus salarios. </w:t>
      </w:r>
      <w:r>
        <w:rPr>
          <w:rFonts w:ascii="Times New Roman" w:eastAsia="Times New Roman" w:hAnsi="Times New Roman" w:cs="Times New Roman"/>
          <w:color w:val="434343"/>
          <w:vertAlign w:val="superscript"/>
        </w:rPr>
        <w:footnoteReference w:id="39"/>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Se ha debilitado el Sistema Nacional de Cuidados</w:t>
      </w:r>
      <w:r>
        <w:rPr>
          <w:rFonts w:ascii="Times New Roman" w:eastAsia="Times New Roman" w:hAnsi="Times New Roman" w:cs="Times New Roman"/>
          <w:color w:val="434343"/>
          <w:vertAlign w:val="superscript"/>
        </w:rPr>
        <w:footnoteReference w:id="40"/>
      </w:r>
      <w:r>
        <w:rPr>
          <w:rFonts w:ascii="Times New Roman" w:eastAsia="Times New Roman" w:hAnsi="Times New Roman" w:cs="Times New Roman"/>
          <w:color w:val="434343"/>
        </w:rPr>
        <w:t>, para el que se elaboró un Plan Nacional de Cuidados 2016 -2020, con perspectiva de género, para avanzar en la corresponsabilidad Estado, familias, comunidad y mercado. En marzo de 2020 el gobierno lo colocó institucionalmente en el área de discapacidad del MIDES, recortando recursos materiales y humanos en perjuicio sobre todo de las mujeres con mayor vulnerabilidad.</w:t>
      </w:r>
    </w:p>
    <w:p w:rsidR="00F54D7C" w:rsidRDefault="00F54D7C">
      <w:pPr>
        <w:spacing w:line="276" w:lineRule="auto"/>
        <w:ind w:left="720"/>
        <w:jc w:val="both"/>
        <w:rPr>
          <w:rFonts w:ascii="Times New Roman" w:eastAsia="Times New Roman" w:hAnsi="Times New Roman" w:cs="Times New Roman"/>
          <w:color w:val="FF0000"/>
        </w:rPr>
      </w:pPr>
    </w:p>
    <w:tbl>
      <w:tblPr>
        <w:tblStyle w:val="aa"/>
        <w:tblW w:w="8118"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18"/>
      </w:tblGrid>
      <w:tr w:rsidR="00F54D7C">
        <w:tc>
          <w:tcPr>
            <w:tcW w:w="8118" w:type="dxa"/>
            <w:shd w:val="clear" w:color="auto" w:fill="auto"/>
            <w:tcMar>
              <w:top w:w="100" w:type="dxa"/>
              <w:left w:w="100" w:type="dxa"/>
              <w:bottom w:w="100" w:type="dxa"/>
              <w:right w:w="100" w:type="dxa"/>
            </w:tcMar>
          </w:tcPr>
          <w:p w:rsidR="00F54D7C" w:rsidRDefault="00000000">
            <w:pPr>
              <w:spacing w:line="276" w:lineRule="auto"/>
              <w:jc w:val="both"/>
              <w:rPr>
                <w:rFonts w:ascii="Times New Roman" w:eastAsia="Times New Roman" w:hAnsi="Times New Roman" w:cs="Times New Roman"/>
                <w:b/>
                <w:color w:val="434343"/>
              </w:rPr>
            </w:pPr>
            <w:r>
              <w:rPr>
                <w:rFonts w:ascii="Times New Roman" w:eastAsia="Times New Roman" w:hAnsi="Times New Roman" w:cs="Times New Roman"/>
                <w:b/>
                <w:color w:val="434343"/>
              </w:rPr>
              <w:t xml:space="preserve">RECOMENDACIONES. </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b/>
                <w:color w:val="434343"/>
              </w:rPr>
              <w:t>1.</w:t>
            </w:r>
            <w:r>
              <w:rPr>
                <w:rFonts w:ascii="Times New Roman" w:eastAsia="Times New Roman" w:hAnsi="Times New Roman" w:cs="Times New Roman"/>
                <w:color w:val="434343"/>
              </w:rPr>
              <w:t>Que se jerarquice como Ministerio el INMUJERES con recursos genuinos.</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b/>
                <w:color w:val="434343"/>
              </w:rPr>
              <w:lastRenderedPageBreak/>
              <w:t>2.</w:t>
            </w:r>
            <w:r>
              <w:rPr>
                <w:rFonts w:ascii="Times New Roman" w:eastAsia="Times New Roman" w:hAnsi="Times New Roman" w:cs="Times New Roman"/>
                <w:color w:val="434343"/>
              </w:rPr>
              <w:t xml:space="preserve"> Que el Estado informe sobre el avance del Plan Nacional de Cuidados 2016 -2020, su mantenimiento y fortalecimiento por el periodo 2020-2024.</w:t>
            </w:r>
          </w:p>
          <w:p w:rsidR="00F54D7C" w:rsidRDefault="00F54D7C">
            <w:pPr>
              <w:widowControl w:val="0"/>
              <w:pBdr>
                <w:top w:val="nil"/>
                <w:left w:val="nil"/>
                <w:bottom w:val="nil"/>
                <w:right w:val="nil"/>
                <w:between w:val="nil"/>
              </w:pBdr>
              <w:spacing w:line="276" w:lineRule="auto"/>
              <w:rPr>
                <w:rFonts w:ascii="Times New Roman" w:eastAsia="Times New Roman" w:hAnsi="Times New Roman" w:cs="Times New Roman"/>
                <w:color w:val="FF0000"/>
              </w:rPr>
            </w:pPr>
          </w:p>
        </w:tc>
      </w:tr>
    </w:tbl>
    <w:p w:rsidR="00F54D7C" w:rsidRDefault="00000000">
      <w:pPr>
        <w:pStyle w:val="Ttulo3"/>
        <w:spacing w:line="276" w:lineRule="auto"/>
        <w:jc w:val="both"/>
        <w:rPr>
          <w:rFonts w:ascii="Times New Roman" w:eastAsia="Times New Roman" w:hAnsi="Times New Roman" w:cs="Times New Roman"/>
          <w:sz w:val="24"/>
          <w:szCs w:val="24"/>
        </w:rPr>
      </w:pPr>
      <w:bookmarkStart w:id="1" w:name="_heading=h.l1vir37noh7g" w:colFirst="0" w:colLast="0"/>
      <w:bookmarkEnd w:id="1"/>
      <w:r>
        <w:rPr>
          <w:rFonts w:ascii="Times New Roman" w:eastAsia="Times New Roman" w:hAnsi="Times New Roman" w:cs="Times New Roman"/>
          <w:sz w:val="24"/>
          <w:szCs w:val="24"/>
        </w:rPr>
        <w:lastRenderedPageBreak/>
        <w:t>VIII. Medidas especiales de carácter temporal (</w:t>
      </w:r>
      <w:r>
        <w:rPr>
          <w:rFonts w:ascii="Times New Roman" w:eastAsia="Times New Roman" w:hAnsi="Times New Roman" w:cs="Times New Roman"/>
          <w:b w:val="0"/>
          <w:i/>
          <w:sz w:val="22"/>
          <w:szCs w:val="22"/>
        </w:rPr>
        <w:t>CEDAW/C/URY/QPR/10 Pár. 9)</w:t>
      </w:r>
    </w:p>
    <w:p w:rsidR="00F54D7C" w:rsidRDefault="00000000">
      <w:pPr>
        <w:spacing w:after="24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En 2020 se creó la División de Promoción de Políticas Públicas para Afrodescendientes dentro del MIDES, asignándole presupuesto para solventar las acciones afirmativas para personas afrodescendientes. Si bien esto fortaleció el mecanismo de equidad racial, en paralelo se eliminó el Departamento de Mujeres Afrodescendientes del INMUJERES, el único mecanismo de equidad racial focalizado. Esto implica un doble retroceso: se perdió el organismo de políticas públicas específicas para las mujeres afrodescendientes y se volvió al paradigma de políticas públicas generales para la población afrodescendiente.</w:t>
      </w:r>
      <w:r>
        <w:rPr>
          <w:rFonts w:ascii="Times New Roman" w:eastAsia="Times New Roman" w:hAnsi="Times New Roman" w:cs="Times New Roman"/>
          <w:color w:val="434343"/>
        </w:rPr>
        <w:tab/>
      </w:r>
    </w:p>
    <w:p w:rsidR="00F54D7C" w:rsidRDefault="00000000">
      <w:pPr>
        <w:spacing w:after="24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El Estado no ha cumplido con la Ley 19.122 de acciones afirmativas para favorecer la participación de afrodescendientes en las áreas educativa y laboral, particularmente la cuota de 8% en los nuevos ingresos al empleo público.</w:t>
      </w:r>
    </w:p>
    <w:p w:rsidR="00F54D7C" w:rsidRDefault="00000000">
      <w:pPr>
        <w:spacing w:after="24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El 21 de abril de 2023 en sesión ampliada del Consejo de Equidad Étnico Racial y Afrodescendencia (CENERA) se presentó el informe</w:t>
      </w:r>
      <w:r>
        <w:rPr>
          <w:rFonts w:ascii="Times New Roman" w:eastAsia="Times New Roman" w:hAnsi="Times New Roman" w:cs="Times New Roman"/>
          <w:color w:val="434343"/>
          <w:vertAlign w:val="superscript"/>
        </w:rPr>
        <w:footnoteReference w:id="41"/>
      </w:r>
      <w:r>
        <w:rPr>
          <w:rFonts w:ascii="Times New Roman" w:eastAsia="Times New Roman" w:hAnsi="Times New Roman" w:cs="Times New Roman"/>
          <w:color w:val="434343"/>
        </w:rPr>
        <w:t xml:space="preserve"> sobre el estado de situación de la implementación de los mecanismos de acción afirmativa dirigidos a la población afrodescendiente en Uruguay. El mismo indica que la implementación de los cupos del 8% ha sido decreciente en términos absolutos y relativos. En 2020 fue el más bajo y en 2021, solo 1.88% de los ingresos en empleos en el Poder Ejecutivo fueron de personas afrodescendientes, y en los gobiernos departamentales 0.33% . </w:t>
      </w:r>
    </w:p>
    <w:p w:rsidR="00F54D7C" w:rsidRDefault="00000000">
      <w:pPr>
        <w:spacing w:after="24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En tanto en la incorporación de la variable étnica racial (VER) y afrodescendiente (VERA) hay rezago con dificultades de implementación a la hora de incorporar efectivamente a las personas, hay desconocimiento del mecanismo y no se comprende la utilidad de la variable étnico racial afrodescendiente (VERA) en los distintos organismos, por lo que es necesario profundizar y sensibilizar al funcionariado en la importancia y la razón de su incorporación</w:t>
      </w:r>
      <w:r>
        <w:rPr>
          <w:rFonts w:ascii="Times New Roman" w:eastAsia="Times New Roman" w:hAnsi="Times New Roman" w:cs="Times New Roman"/>
          <w:color w:val="434343"/>
          <w:vertAlign w:val="superscript"/>
        </w:rPr>
        <w:footnoteReference w:id="42"/>
      </w:r>
      <w:r>
        <w:rPr>
          <w:rFonts w:ascii="Times New Roman" w:eastAsia="Times New Roman" w:hAnsi="Times New Roman" w:cs="Times New Roman"/>
          <w:color w:val="434343"/>
        </w:rPr>
        <w:t>.</w:t>
      </w:r>
    </w:p>
    <w:p w:rsidR="00F54D7C" w:rsidRDefault="00000000">
      <w:pPr>
        <w:spacing w:after="24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La ley No. 19.684 Integral para Personas Trans dispone un cupo del 1 % de los puestos de trabajo para ser ocupados en el año por estas en todos los organismos del Estado, lo que se ha cumplido en forma deficitaria.</w:t>
      </w:r>
    </w:p>
    <w:p w:rsidR="00F54D7C" w:rsidRDefault="00F54D7C">
      <w:pPr>
        <w:spacing w:after="240" w:line="276" w:lineRule="auto"/>
        <w:jc w:val="both"/>
        <w:rPr>
          <w:rFonts w:ascii="Times New Roman" w:eastAsia="Times New Roman" w:hAnsi="Times New Roman" w:cs="Times New Roman"/>
          <w:color w:val="38761D"/>
        </w:rPr>
      </w:pPr>
    </w:p>
    <w:tbl>
      <w:tblPr>
        <w:tblStyle w:val="ab"/>
        <w:tblW w:w="88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F54D7C">
        <w:tc>
          <w:tcPr>
            <w:tcW w:w="8838" w:type="dxa"/>
            <w:shd w:val="clear" w:color="auto" w:fill="auto"/>
            <w:tcMar>
              <w:top w:w="100" w:type="dxa"/>
              <w:left w:w="100" w:type="dxa"/>
              <w:bottom w:w="100" w:type="dxa"/>
              <w:right w:w="100" w:type="dxa"/>
            </w:tcMar>
          </w:tcPr>
          <w:p w:rsidR="00F54D7C" w:rsidRDefault="00000000">
            <w:pPr>
              <w:spacing w:after="240" w:line="276" w:lineRule="auto"/>
              <w:jc w:val="both"/>
              <w:rPr>
                <w:rFonts w:ascii="Times New Roman" w:eastAsia="Times New Roman" w:hAnsi="Times New Roman" w:cs="Times New Roman"/>
                <w:b/>
                <w:color w:val="434343"/>
              </w:rPr>
            </w:pPr>
            <w:r>
              <w:rPr>
                <w:rFonts w:ascii="Times New Roman" w:eastAsia="Times New Roman" w:hAnsi="Times New Roman" w:cs="Times New Roman"/>
                <w:b/>
                <w:color w:val="434343"/>
              </w:rPr>
              <w:lastRenderedPageBreak/>
              <w:t>RECOMENDACIONES</w:t>
            </w:r>
          </w:p>
          <w:p w:rsidR="00F54D7C" w:rsidRDefault="00000000">
            <w:pPr>
              <w:spacing w:after="240"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Que el Estado implemente de forma efectiva medidas especiales de carácter temporal previstas en las leyes, especialmente en los cupos educativos y laborales para personas afrodescendientes, trans y con discapacidad.</w:t>
            </w:r>
          </w:p>
        </w:tc>
      </w:tr>
    </w:tbl>
    <w:p w:rsidR="00F54D7C" w:rsidRDefault="00F54D7C">
      <w:pPr>
        <w:spacing w:line="276" w:lineRule="auto"/>
        <w:jc w:val="both"/>
        <w:rPr>
          <w:rFonts w:ascii="Times New Roman" w:eastAsia="Times New Roman" w:hAnsi="Times New Roman" w:cs="Times New Roman"/>
          <w:color w:val="434343"/>
        </w:rPr>
      </w:pP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b/>
        </w:rPr>
        <w:t>IX. Estereotipos y prácticas perjudiciales (</w:t>
      </w:r>
      <w:r>
        <w:rPr>
          <w:rFonts w:ascii="Times New Roman" w:eastAsia="Times New Roman" w:hAnsi="Times New Roman" w:cs="Times New Roman"/>
          <w:i/>
          <w:sz w:val="22"/>
          <w:szCs w:val="22"/>
        </w:rPr>
        <w:t>CEDAW/C/URY/QPR/10</w:t>
      </w:r>
      <w:r>
        <w:rPr>
          <w:rFonts w:ascii="Times New Roman" w:eastAsia="Times New Roman" w:hAnsi="Times New Roman" w:cs="Times New Roman"/>
        </w:rPr>
        <w:t xml:space="preserve"> Pár.10)</w:t>
      </w:r>
      <w:r>
        <w:rPr>
          <w:rFonts w:ascii="Times New Roman" w:eastAsia="Times New Roman" w:hAnsi="Times New Roman" w:cs="Times New Roman"/>
          <w:b/>
        </w:rPr>
        <w:br/>
      </w:r>
      <w:r>
        <w:rPr>
          <w:rFonts w:ascii="Times New Roman" w:eastAsia="Times New Roman" w:hAnsi="Times New Roman" w:cs="Times New Roman"/>
          <w:color w:val="434343"/>
        </w:rPr>
        <w:t>Los ataques a la igualdad de género, la ley 19580 y la ley integral Trans han aumentado desde grupos como “Con mis hijos no te metas”, “Stop Abuso” entre otros, con el apoyo explícito de parlamentarios, Ministros, periodistas, personas públicas y en redes sociales. Son graves las manifestaciones regresivas de senadores y diputados ante femicidios culpando a las mujeres por conductas inapropiadas, justificando el asesinato por “exceso de amor” o atribuyéndolos a la naturaleza humana.</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La expresión más clara de ello es la la ley No 20141 de corresponsabilidad en la crianza</w:t>
      </w:r>
      <w:r>
        <w:rPr>
          <w:rFonts w:ascii="Times New Roman" w:eastAsia="Times New Roman" w:hAnsi="Times New Roman" w:cs="Times New Roman"/>
          <w:color w:val="434343"/>
          <w:vertAlign w:val="superscript"/>
        </w:rPr>
        <w:footnoteReference w:id="43"/>
      </w:r>
      <w:r>
        <w:rPr>
          <w:rFonts w:ascii="Times New Roman" w:eastAsia="Times New Roman" w:hAnsi="Times New Roman" w:cs="Times New Roman"/>
          <w:color w:val="434343"/>
        </w:rPr>
        <w:t xml:space="preserve"> . El proyecto fue presentado por el actual Presidente de la República en 2016, a pedido de un grupo de varones, grupos fundamentalistas religiosos y conservadores. La exposición  de motivos plantea sin evidencia la existencia de denuncias falsas, que priva a los padres del contacto con sus hijos por una justicia sesgada a favor de las mujeres . Esta ley es innecesaria, regresiva y daña la infancia </w:t>
      </w:r>
      <w:r>
        <w:rPr>
          <w:rFonts w:ascii="Times New Roman" w:eastAsia="Times New Roman" w:hAnsi="Times New Roman" w:cs="Times New Roman"/>
          <w:color w:val="434343"/>
          <w:vertAlign w:val="superscript"/>
        </w:rPr>
        <w:footnoteReference w:id="44"/>
      </w:r>
      <w:r>
        <w:rPr>
          <w:rFonts w:ascii="Times New Roman" w:eastAsia="Times New Roman" w:hAnsi="Times New Roman" w:cs="Times New Roman"/>
          <w:color w:val="434343"/>
        </w:rPr>
        <w:t xml:space="preserve">. Creó el principio de corresponsabilidad en la crianza, como rector para los jueces en juicios de tenencia y visitas. En sus artículos 3, 4 y 5 privilegia con carácter general la tenencia compartida y mantiene las visitas entre niños y progenitores incluso denunciados por violencia, abuso o maltrato. El interés superior del niño queda sujeto a su voluntad reflexiva y autónoma, instalando el pseudo síndrome de alienación parental. </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El proyecto fue rechazado por UNICEF, academia, magistrados judiciales, organizaciones de sociedad civil, entre otros, sin ser escuchados. </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En Diputados quedo explicito el motivo real para aprobarla: lo que consideran denuncias falsas de violencia y violencia sexual de las mujeres contra padres y la alienación parental de los niños por sus madres y eliminar la ley 19580. </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Permite la mediación y conciliación, incluye la agravante del delito de simulación de delito en casos que la denuncia (de violencia) sea contra la persona con quien se tenga hijos en común y por eso se haya dispuesto medidas cautelares en aplicación de la ley 19.580.</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Según una diputada se trata de el cambio de paradigma de la mujer sobre quien siempre estarán por encima los derechos del niño. </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Esta ley refuerza la desconfianza de los magistrados judiciales que ordenan sucesivas pericias psiquiátricas y psicológicas a los niños para descartar manipulaciones de las madres. Ejemplo: “(..) </w:t>
      </w:r>
      <w:r>
        <w:rPr>
          <w:rFonts w:ascii="Times New Roman" w:eastAsia="Times New Roman" w:hAnsi="Times New Roman" w:cs="Times New Roman"/>
          <w:color w:val="434343"/>
          <w:shd w:val="clear" w:color="auto" w:fill="F0F0F0"/>
        </w:rPr>
        <w:t xml:space="preserve">COMO PRUEBA DE LA SEDE EN USO DE LAS FACULTADES </w:t>
      </w:r>
      <w:r>
        <w:rPr>
          <w:rFonts w:ascii="Times New Roman" w:eastAsia="Times New Roman" w:hAnsi="Times New Roman" w:cs="Times New Roman"/>
          <w:color w:val="434343"/>
          <w:shd w:val="clear" w:color="auto" w:fill="F0F0F0"/>
        </w:rPr>
        <w:lastRenderedPageBreak/>
        <w:t xml:space="preserve">CONSAGRADAS EN EL ART. 350.5 DEL CGP SE DISPONDRÁ UNA PERICIA PSICOLÓGICA A XX MENOR DE AUTOS SOLICITÁNDOLE ESPECIALMENTE QUE SE SIRVA INDICAR SI LA VOLUNTAD DE XXX SE ENCUENTRA INFLUENCIADA POR SU MADRE EN LA NEGATIVA DE RELACIONARSE CON… </w:t>
      </w:r>
      <w:r>
        <w:rPr>
          <w:rFonts w:ascii="Times New Roman" w:eastAsia="Times New Roman" w:hAnsi="Times New Roman" w:cs="Times New Roman"/>
          <w:color w:val="434343"/>
          <w:shd w:val="clear" w:color="auto" w:fill="F0F0F0"/>
          <w:vertAlign w:val="superscript"/>
        </w:rPr>
        <w:footnoteReference w:id="45"/>
      </w:r>
    </w:p>
    <w:p w:rsidR="00F54D7C" w:rsidRDefault="00000000">
      <w:pPr>
        <w:widowControl w:val="0"/>
        <w:spacing w:before="26" w:line="344" w:lineRule="auto"/>
        <w:ind w:right="-6"/>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No han existido campañas públicas sostenidas para modificar los patrones estructurales de  discriminación hacia las mujeres en general y en particular hacia las mujeres afrodescendientes. En abril  de 2021 la Junta Nacional de Drogas (JND) inició una campaña en prevención de riesgo y daño por el  consumo de drogas.</w:t>
      </w:r>
      <w:r>
        <w:rPr>
          <w:rFonts w:ascii="Times New Roman" w:eastAsia="Times New Roman" w:hAnsi="Times New Roman" w:cs="Times New Roman"/>
          <w:sz w:val="22"/>
          <w:szCs w:val="22"/>
          <w:vertAlign w:val="superscript"/>
        </w:rPr>
        <w:footnoteReference w:id="46"/>
      </w:r>
      <w:r>
        <w:rPr>
          <w:rFonts w:ascii="Times New Roman" w:eastAsia="Times New Roman" w:hAnsi="Times New Roman" w:cs="Times New Roman"/>
          <w:sz w:val="23"/>
          <w:szCs w:val="23"/>
          <w:vertAlign w:val="superscript"/>
        </w:rPr>
        <w:t xml:space="preserve"> </w:t>
      </w:r>
    </w:p>
    <w:p w:rsidR="00F54D7C" w:rsidRDefault="00000000">
      <w:pPr>
        <w:widowControl w:val="0"/>
        <w:spacing w:before="27" w:line="345" w:lineRule="auto"/>
        <w:ind w:right="-6"/>
        <w:rPr>
          <w:rFonts w:ascii="Times New Roman" w:eastAsia="Times New Roman" w:hAnsi="Times New Roman" w:cs="Times New Roman"/>
          <w:sz w:val="22"/>
          <w:szCs w:val="22"/>
        </w:rPr>
      </w:pPr>
      <w:r>
        <w:rPr>
          <w:rFonts w:ascii="Times New Roman" w:eastAsia="Times New Roman" w:hAnsi="Times New Roman" w:cs="Times New Roman"/>
          <w:sz w:val="22"/>
          <w:szCs w:val="22"/>
        </w:rPr>
        <w:t>CLADEM y COLECTIVAMUJERES presentamos una denuncia ante la Institución Nacional de Derechos Humanos INDDHH aplicando la  Convención CERD y las Recomendaciones del Comité.</w:t>
      </w:r>
      <w:r>
        <w:rPr>
          <w:rFonts w:ascii="Times New Roman" w:eastAsia="Times New Roman" w:hAnsi="Times New Roman" w:cs="Times New Roman"/>
          <w:sz w:val="22"/>
          <w:szCs w:val="22"/>
          <w:vertAlign w:val="superscript"/>
        </w:rPr>
        <w:footnoteReference w:id="47"/>
      </w:r>
      <w:r>
        <w:rPr>
          <w:rFonts w:ascii="Times New Roman" w:eastAsia="Times New Roman" w:hAnsi="Times New Roman" w:cs="Times New Roman"/>
          <w:sz w:val="22"/>
          <w:szCs w:val="22"/>
        </w:rPr>
        <w:t xml:space="preserve"> </w:t>
      </w:r>
    </w:p>
    <w:p w:rsidR="00F54D7C" w:rsidRDefault="00000000">
      <w:pPr>
        <w:widowControl w:val="0"/>
        <w:spacing w:line="344" w:lineRule="auto"/>
        <w:ind w:right="-9"/>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La INDDHH resolvió que el  organismo vulneró los derechos de la población afrouruguaya así como recomendó que la JND realice  capacitaciones. No hubo aceptación expresa de la Recomendación . </w:t>
      </w:r>
    </w:p>
    <w:p w:rsidR="00F54D7C" w:rsidRDefault="00F54D7C">
      <w:pPr>
        <w:widowControl w:val="0"/>
        <w:spacing w:before="27"/>
        <w:rPr>
          <w:rFonts w:ascii="Times New Roman" w:eastAsia="Times New Roman" w:hAnsi="Times New Roman" w:cs="Times New Roman"/>
          <w:b/>
          <w:sz w:val="22"/>
          <w:szCs w:val="22"/>
        </w:rPr>
      </w:pPr>
    </w:p>
    <w:tbl>
      <w:tblPr>
        <w:tblStyle w:val="ac"/>
        <w:tblW w:w="88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F54D7C">
        <w:tc>
          <w:tcPr>
            <w:tcW w:w="8838" w:type="dxa"/>
            <w:shd w:val="clear" w:color="auto" w:fill="auto"/>
            <w:tcMar>
              <w:top w:w="100" w:type="dxa"/>
              <w:left w:w="100" w:type="dxa"/>
              <w:bottom w:w="100" w:type="dxa"/>
              <w:right w:w="100" w:type="dxa"/>
            </w:tcMar>
          </w:tcPr>
          <w:p w:rsidR="00F54D7C" w:rsidRDefault="00000000">
            <w:pPr>
              <w:widowControl w:val="0"/>
              <w:spacing w:before="27"/>
              <w:rPr>
                <w:rFonts w:ascii="Times New Roman" w:eastAsia="Times New Roman" w:hAnsi="Times New Roman" w:cs="Times New Roman"/>
                <w:b/>
                <w:sz w:val="22"/>
                <w:szCs w:val="22"/>
              </w:rPr>
            </w:pPr>
            <w:r>
              <w:rPr>
                <w:rFonts w:ascii="Times New Roman" w:eastAsia="Times New Roman" w:hAnsi="Times New Roman" w:cs="Times New Roman"/>
                <w:b/>
                <w:sz w:val="22"/>
                <w:szCs w:val="22"/>
              </w:rPr>
              <w:t>RECOMENDACIÓN</w:t>
            </w:r>
          </w:p>
          <w:p w:rsidR="00F54D7C" w:rsidRDefault="00000000">
            <w:pPr>
              <w:widowControl w:val="0"/>
              <w:spacing w:before="123" w:line="345" w:lineRule="auto"/>
              <w:ind w:right="-1"/>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Que el Estado implemente campañas sostenidas para modificar los patrones socioculturales  discriminatorios incluyendo especialmente las mujeres  afrodescendientes.</w:t>
            </w:r>
          </w:p>
          <w:p w:rsidR="00F54D7C" w:rsidRDefault="00000000">
            <w:pPr>
              <w:widowControl w:val="0"/>
              <w:pBdr>
                <w:top w:val="nil"/>
                <w:left w:val="nil"/>
                <w:bottom w:val="nil"/>
                <w:right w:val="nil"/>
                <w:between w:val="nil"/>
              </w:pBdr>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p>
        </w:tc>
      </w:tr>
    </w:tbl>
    <w:p w:rsidR="00F54D7C" w:rsidRDefault="00F54D7C">
      <w:pPr>
        <w:widowControl w:val="0"/>
        <w:spacing w:before="27"/>
        <w:rPr>
          <w:rFonts w:ascii="Times New Roman" w:eastAsia="Times New Roman" w:hAnsi="Times New Roman" w:cs="Times New Roman"/>
          <w:b/>
          <w:sz w:val="22"/>
          <w:szCs w:val="22"/>
        </w:rPr>
      </w:pPr>
    </w:p>
    <w:p w:rsidR="00F54D7C" w:rsidRDefault="00F54D7C">
      <w:pPr>
        <w:widowControl w:val="0"/>
        <w:spacing w:before="27"/>
        <w:rPr>
          <w:rFonts w:ascii="Times New Roman" w:eastAsia="Times New Roman" w:hAnsi="Times New Roman" w:cs="Times New Roman"/>
          <w:b/>
          <w:sz w:val="22"/>
          <w:szCs w:val="22"/>
        </w:rPr>
      </w:pPr>
    </w:p>
    <w:p w:rsidR="00F54D7C" w:rsidRDefault="00000000">
      <w:pPr>
        <w:spacing w:line="276" w:lineRule="auto"/>
        <w:jc w:val="both"/>
        <w:rPr>
          <w:rFonts w:ascii="Times New Roman" w:eastAsia="Times New Roman" w:hAnsi="Times New Roman" w:cs="Times New Roman"/>
          <w:b/>
        </w:rPr>
      </w:pPr>
      <w:r>
        <w:rPr>
          <w:rFonts w:ascii="Times New Roman" w:eastAsia="Times New Roman" w:hAnsi="Times New Roman" w:cs="Times New Roman"/>
          <w:b/>
        </w:rPr>
        <w:t>X. EDUCACIÓN (</w:t>
      </w:r>
      <w:r>
        <w:rPr>
          <w:rFonts w:ascii="Times New Roman" w:eastAsia="Times New Roman" w:hAnsi="Times New Roman" w:cs="Times New Roman"/>
          <w:i/>
          <w:sz w:val="22"/>
          <w:szCs w:val="22"/>
        </w:rPr>
        <w:t>CEDAW/C/URY/QPR/10 Pár 16,17)</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La adopción de la Transformación Educativa por el actual gobierno sin coordinación con docentes y estudiantes, mantiene la educación sexual integral como eje transversal, sin incluirla en los planes curriculares como eje específico. En secundaria queda a criterio de figuras pedagógicas como talleres optativos</w:t>
      </w:r>
      <w:r>
        <w:rPr>
          <w:rFonts w:ascii="Times New Roman" w:eastAsia="Times New Roman" w:hAnsi="Times New Roman" w:cs="Times New Roman"/>
          <w:color w:val="434343"/>
          <w:vertAlign w:val="superscript"/>
        </w:rPr>
        <w:footnoteReference w:id="48"/>
      </w:r>
      <w:r>
        <w:rPr>
          <w:rFonts w:ascii="Times New Roman" w:eastAsia="Times New Roman" w:hAnsi="Times New Roman" w:cs="Times New Roman"/>
          <w:color w:val="434343"/>
        </w:rPr>
        <w:t xml:space="preserve">.  En primaria no está en la malla curricular, depende de docentes y se refiere a familias y roles de género. </w:t>
      </w:r>
    </w:p>
    <w:p w:rsidR="00F54D7C" w:rsidRDefault="00000000">
      <w:pPr>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lastRenderedPageBreak/>
        <w:t>La expresión más clara del incumplimiento estatal es la adopción de medidas por las organizaciones estudiantiles reclamando equipos multidisciplinarios, psicólogos y educadores sexuales para prevenir y evitar la violencia</w:t>
      </w:r>
      <w:r>
        <w:rPr>
          <w:rFonts w:ascii="Times New Roman" w:eastAsia="Times New Roman" w:hAnsi="Times New Roman" w:cs="Times New Roman"/>
          <w:color w:val="434343"/>
          <w:vertAlign w:val="superscript"/>
        </w:rPr>
        <w:footnoteReference w:id="49"/>
      </w:r>
      <w:r>
        <w:rPr>
          <w:rFonts w:ascii="Times New Roman" w:eastAsia="Times New Roman" w:hAnsi="Times New Roman" w:cs="Times New Roman"/>
          <w:color w:val="434343"/>
        </w:rPr>
        <w:t xml:space="preserve">. </w:t>
      </w:r>
    </w:p>
    <w:p w:rsidR="00F54D7C" w:rsidRDefault="00000000">
      <w:pPr>
        <w:widowControl w:val="0"/>
        <w:spacing w:line="276" w:lineRule="auto"/>
        <w:ind w:right="-8"/>
        <w:jc w:val="both"/>
        <w:rPr>
          <w:rFonts w:ascii="Times New Roman" w:eastAsia="Times New Roman" w:hAnsi="Times New Roman" w:cs="Times New Roman"/>
          <w:sz w:val="22"/>
          <w:szCs w:val="22"/>
        </w:rPr>
      </w:pPr>
      <w:r>
        <w:rPr>
          <w:rFonts w:ascii="Times New Roman" w:eastAsia="Times New Roman" w:hAnsi="Times New Roman" w:cs="Times New Roman"/>
        </w:rPr>
        <w:t>En relación a población afrodescendientes,</w:t>
      </w:r>
      <w:r>
        <w:rPr>
          <w:rFonts w:ascii="Times New Roman" w:eastAsia="Times New Roman" w:hAnsi="Times New Roman" w:cs="Times New Roman"/>
          <w:b/>
        </w:rPr>
        <w:t xml:space="preserve">  </w:t>
      </w:r>
      <w:r>
        <w:rPr>
          <w:rFonts w:ascii="Times New Roman" w:eastAsia="Times New Roman" w:hAnsi="Times New Roman" w:cs="Times New Roman"/>
        </w:rPr>
        <w:t>los logros educativos actuales de la población afro se asemejan a los de la población no  afro hace 40 años (De Armas</w:t>
      </w:r>
      <w:r>
        <w:rPr>
          <w:rFonts w:ascii="Times New Roman" w:eastAsia="Times New Roman" w:hAnsi="Times New Roman" w:cs="Times New Roman"/>
          <w:sz w:val="22"/>
          <w:szCs w:val="22"/>
        </w:rPr>
        <w:t>, 2019)</w:t>
      </w:r>
      <w:r>
        <w:rPr>
          <w:rFonts w:ascii="Times New Roman" w:eastAsia="Times New Roman" w:hAnsi="Times New Roman" w:cs="Times New Roman"/>
          <w:sz w:val="23"/>
          <w:szCs w:val="23"/>
          <w:vertAlign w:val="superscript"/>
        </w:rPr>
        <w:footnoteReference w:id="50"/>
      </w:r>
      <w:r>
        <w:rPr>
          <w:rFonts w:ascii="Times New Roman" w:eastAsia="Times New Roman" w:hAnsi="Times New Roman" w:cs="Times New Roman"/>
          <w:sz w:val="22"/>
          <w:szCs w:val="22"/>
        </w:rPr>
        <w:t xml:space="preserve">. </w:t>
      </w:r>
    </w:p>
    <w:p w:rsidR="00F54D7C" w:rsidRDefault="00000000">
      <w:pPr>
        <w:widowControl w:val="0"/>
        <w:spacing w:before="26" w:line="276" w:lineRule="auto"/>
        <w:ind w:left="15" w:right="-5" w:firstLine="3"/>
        <w:rPr>
          <w:rFonts w:ascii="Times New Roman" w:eastAsia="Times New Roman" w:hAnsi="Times New Roman" w:cs="Times New Roman"/>
        </w:rPr>
      </w:pPr>
      <w:r>
        <w:rPr>
          <w:rFonts w:ascii="Times New Roman" w:eastAsia="Times New Roman" w:hAnsi="Times New Roman" w:cs="Times New Roman"/>
        </w:rPr>
        <w:t xml:space="preserve">Esa desigualdad perpetúa la discriminación con impacto en el acceso a empleos de calidad, vivienda y  brechas salariales, entre otros, en perjuicio de la población afrodescendiente. </w:t>
      </w:r>
    </w:p>
    <w:p w:rsidR="00F54D7C" w:rsidRDefault="00000000">
      <w:pPr>
        <w:widowControl w:val="0"/>
        <w:spacing w:before="31" w:line="276" w:lineRule="auto"/>
        <w:ind w:left="19" w:right="-8" w:hanging="1"/>
        <w:jc w:val="both"/>
        <w:rPr>
          <w:rFonts w:ascii="Times New Roman" w:eastAsia="Times New Roman" w:hAnsi="Times New Roman" w:cs="Times New Roman"/>
        </w:rPr>
      </w:pPr>
      <w:r>
        <w:rPr>
          <w:rFonts w:ascii="Times New Roman" w:eastAsia="Times New Roman" w:hAnsi="Times New Roman" w:cs="Times New Roman"/>
        </w:rPr>
        <w:t xml:space="preserve">La ausencia de políticas públicas para el acceso y permanencia de la población afrodescendiente, en  especial de las adolescencias a establecimientos educativos de calidad, afecta negativamente el desempeño  escolar y alienta el abandono del sistema educativo. Uruguay no ha cumplido con la Recomendación de ese Comité (CEDAW/C/URY/CO/7, párr. 33) respecto a la implementación de medidas  especiales de carácter temporal para reducir y eliminar las causas expulsivas que generan el abandono del  sistema educativo. </w:t>
      </w:r>
    </w:p>
    <w:p w:rsidR="00F54D7C" w:rsidRDefault="00000000">
      <w:pPr>
        <w:widowControl w:val="0"/>
        <w:spacing w:before="26" w:line="276" w:lineRule="auto"/>
        <w:ind w:left="18" w:right="-6"/>
        <w:jc w:val="both"/>
        <w:rPr>
          <w:rFonts w:ascii="Times New Roman" w:eastAsia="Times New Roman" w:hAnsi="Times New Roman" w:cs="Times New Roman"/>
        </w:rPr>
      </w:pPr>
      <w:r>
        <w:rPr>
          <w:rFonts w:ascii="Times New Roman" w:eastAsia="Times New Roman" w:hAnsi="Times New Roman" w:cs="Times New Roman"/>
        </w:rPr>
        <w:t>Analizamos la razón de la deserción del ámbito educativo y concluimos que no abandonan, el sistema discriminatorio expulsa a la población afrodescendiente de los centros educativos, diariamente, un 33.9%  de los estudiantes son discriminadas por su pelo y/o color de piel</w:t>
      </w:r>
      <w:r>
        <w:rPr>
          <w:rFonts w:ascii="Times New Roman" w:eastAsia="Times New Roman" w:hAnsi="Times New Roman" w:cs="Times New Roman"/>
          <w:sz w:val="25"/>
          <w:szCs w:val="25"/>
          <w:vertAlign w:val="superscript"/>
        </w:rPr>
        <w:footnoteReference w:id="51"/>
      </w:r>
      <w:r>
        <w:rPr>
          <w:rFonts w:ascii="Times New Roman" w:eastAsia="Times New Roman" w:hAnsi="Times New Roman" w:cs="Times New Roman"/>
        </w:rPr>
        <w:t>. Esto significa que las estrategias para  lograr la permanencia resultan ineficaces y deben profundizar la construcción de la identidad afrodescendiente.</w:t>
      </w:r>
    </w:p>
    <w:p w:rsidR="00F54D7C" w:rsidRDefault="00F54D7C">
      <w:pPr>
        <w:widowControl w:val="0"/>
        <w:spacing w:before="27"/>
        <w:rPr>
          <w:rFonts w:ascii="Times New Roman" w:eastAsia="Times New Roman" w:hAnsi="Times New Roman" w:cs="Times New Roman"/>
          <w:b/>
          <w:sz w:val="22"/>
          <w:szCs w:val="22"/>
        </w:rPr>
      </w:pPr>
    </w:p>
    <w:tbl>
      <w:tblPr>
        <w:tblStyle w:val="ad"/>
        <w:tblW w:w="88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F54D7C">
        <w:tc>
          <w:tcPr>
            <w:tcW w:w="8838" w:type="dxa"/>
            <w:shd w:val="clear" w:color="auto" w:fill="auto"/>
            <w:tcMar>
              <w:top w:w="100" w:type="dxa"/>
              <w:left w:w="100" w:type="dxa"/>
              <w:bottom w:w="100" w:type="dxa"/>
              <w:right w:w="100" w:type="dxa"/>
            </w:tcMar>
          </w:tcPr>
          <w:p w:rsidR="00F54D7C" w:rsidRDefault="00000000">
            <w:pPr>
              <w:widowControl w:val="0"/>
              <w:spacing w:before="27"/>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 </w:t>
            </w:r>
          </w:p>
          <w:p w:rsidR="00F54D7C" w:rsidRDefault="00000000">
            <w:pPr>
              <w:widowControl w:val="0"/>
              <w:spacing w:before="123" w:line="343" w:lineRule="auto"/>
              <w:ind w:right="-6"/>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RECOMENDACIONES</w:t>
            </w:r>
          </w:p>
          <w:p w:rsidR="00F54D7C" w:rsidRDefault="00000000">
            <w:pPr>
              <w:widowControl w:val="0"/>
              <w:spacing w:before="123" w:line="343" w:lineRule="auto"/>
              <w:ind w:right="-6"/>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1. </w:t>
            </w:r>
            <w:r>
              <w:rPr>
                <w:rFonts w:ascii="Times New Roman" w:eastAsia="Times New Roman" w:hAnsi="Times New Roman" w:cs="Times New Roman"/>
                <w:sz w:val="22"/>
                <w:szCs w:val="22"/>
              </w:rPr>
              <w:t xml:space="preserve">Que el Estado adopte medidas especiales de carácter temporal para revertir la expulsión educativa, capacite a los docentes para educar en relaciones étnicos raciales, por orientación sexual e identidad de  género. </w:t>
            </w:r>
          </w:p>
          <w:p w:rsidR="00F54D7C" w:rsidRDefault="00000000">
            <w:pPr>
              <w:widowControl w:val="0"/>
              <w:spacing w:before="123" w:line="343" w:lineRule="auto"/>
              <w:ind w:right="-6"/>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2. </w:t>
            </w:r>
            <w:r>
              <w:rPr>
                <w:rFonts w:ascii="Times New Roman" w:eastAsia="Times New Roman" w:hAnsi="Times New Roman" w:cs="Times New Roman"/>
                <w:sz w:val="22"/>
                <w:szCs w:val="22"/>
              </w:rPr>
              <w:t>Que el Estado haga públicos y efectivos los protocolos de acción antidiscriminatoria y las medidas de  protección de trayectorias educativas de las poblaciones afro y trans.</w:t>
            </w:r>
          </w:p>
          <w:p w:rsidR="00F54D7C" w:rsidRDefault="00000000">
            <w:pPr>
              <w:widowControl w:val="0"/>
              <w:spacing w:before="123" w:line="343" w:lineRule="auto"/>
              <w:ind w:right="-6"/>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3. </w:t>
            </w:r>
            <w:r>
              <w:rPr>
                <w:rFonts w:ascii="Times New Roman" w:eastAsia="Times New Roman" w:hAnsi="Times New Roman" w:cs="Times New Roman"/>
                <w:sz w:val="22"/>
                <w:szCs w:val="22"/>
              </w:rPr>
              <w:t xml:space="preserve">Que el Estado implemente la educación sexual integral en todos los niveles de enseñanza, </w:t>
            </w:r>
            <w:r>
              <w:rPr>
                <w:rFonts w:ascii="Times New Roman" w:eastAsia="Times New Roman" w:hAnsi="Times New Roman" w:cs="Times New Roman"/>
                <w:sz w:val="22"/>
                <w:szCs w:val="22"/>
              </w:rPr>
              <w:lastRenderedPageBreak/>
              <w:t xml:space="preserve">jerarquizando su importancia en la prevención de violencia de género y asegurando referentes educativos formados. </w:t>
            </w:r>
          </w:p>
          <w:p w:rsidR="00F54D7C" w:rsidRDefault="00000000">
            <w:pPr>
              <w:widowControl w:val="0"/>
              <w:spacing w:before="123" w:line="343" w:lineRule="auto"/>
              <w:ind w:right="-6"/>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4. </w:t>
            </w:r>
            <w:r>
              <w:rPr>
                <w:rFonts w:ascii="Times New Roman" w:eastAsia="Times New Roman" w:hAnsi="Times New Roman" w:cs="Times New Roman"/>
                <w:sz w:val="22"/>
                <w:szCs w:val="22"/>
              </w:rPr>
              <w:t xml:space="preserve">Que el Estado aliente e implemente la incorporación de las mujeres a carreras de ciencias y tecnología asegurando políticas de igualdad en el empleo. </w:t>
            </w:r>
          </w:p>
        </w:tc>
      </w:tr>
    </w:tbl>
    <w:p w:rsidR="00F54D7C" w:rsidRDefault="00F54D7C">
      <w:pPr>
        <w:widowControl w:val="0"/>
        <w:spacing w:before="27"/>
        <w:rPr>
          <w:rFonts w:ascii="Times New Roman" w:eastAsia="Times New Roman" w:hAnsi="Times New Roman" w:cs="Times New Roman"/>
          <w:b/>
          <w:sz w:val="22"/>
          <w:szCs w:val="22"/>
        </w:rPr>
      </w:pPr>
    </w:p>
    <w:p w:rsidR="00F54D7C" w:rsidRDefault="00000000">
      <w:pPr>
        <w:widowControl w:val="0"/>
        <w:spacing w:before="123" w:line="343" w:lineRule="auto"/>
        <w:ind w:right="-6"/>
        <w:jc w:val="both"/>
        <w:rPr>
          <w:rFonts w:ascii="Times New Roman" w:eastAsia="Times New Roman" w:hAnsi="Times New Roman" w:cs="Times New Roman"/>
          <w:b/>
        </w:rPr>
      </w:pPr>
      <w:r>
        <w:rPr>
          <w:rFonts w:ascii="Times New Roman" w:eastAsia="Times New Roman" w:hAnsi="Times New Roman" w:cs="Times New Roman"/>
          <w:b/>
          <w:sz w:val="22"/>
          <w:szCs w:val="22"/>
        </w:rPr>
        <w:t xml:space="preserve">XI. </w:t>
      </w:r>
      <w:r>
        <w:rPr>
          <w:rFonts w:ascii="Times New Roman" w:eastAsia="Times New Roman" w:hAnsi="Times New Roman" w:cs="Times New Roman"/>
          <w:b/>
        </w:rPr>
        <w:t>Salud Sexual y Salud Reproductiva  (</w:t>
      </w:r>
      <w:r>
        <w:rPr>
          <w:rFonts w:ascii="Times New Roman" w:eastAsia="Times New Roman" w:hAnsi="Times New Roman" w:cs="Times New Roman"/>
          <w:i/>
          <w:sz w:val="22"/>
          <w:szCs w:val="22"/>
        </w:rPr>
        <w:t>CEDAW/C/URY/QPR/10 Pár.20,21)</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Uruguay en los últimos años ha desarrollado en materia de salud sexual y reproductiva acciones que se han traducido en el reconocimiento de los derechos sexuales y reproductivos y en programas y servicios para la implementación de los mismos. A pesar de estos logros se identifica la persistencia de desigualdades que se profundizaron con el impacto que tuvo la pandemia por COVID-19 en el proceso reproductivo, reflejándose a través de los indicadores de mortalidad materna, el  parto pretérmino, bajo peso al nacer.</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La Mortalidad Materna (MM) durante la emergencia sanitaria tuvo un incremento respecto a 2019, asociada de forma directa con el COVID , pasando de 20 a 100 MM/100.000 RNV en el sector público y 15 a 23 en el sector privado. Teniendo en cuenta que en el subsector público de salud se atiende la población de los primeros quintiles de ingreso. </w:t>
      </w:r>
      <w:r>
        <w:rPr>
          <w:rFonts w:ascii="Times New Roman" w:eastAsia="Times New Roman" w:hAnsi="Times New Roman" w:cs="Times New Roman"/>
          <w:vertAlign w:val="superscript"/>
        </w:rPr>
        <w:footnoteReference w:id="52"/>
      </w:r>
      <w:r>
        <w:rPr>
          <w:rFonts w:ascii="Times New Roman" w:eastAsia="Times New Roman" w:hAnsi="Times New Roman" w:cs="Times New Roman"/>
        </w:rPr>
        <w:t>Si bien este indicador experimentó mejoras, queda en evidencia la inequidad persistente en el acceso a una salud de calidad para las mujeres de los niveles socioeconómicos más precarios en contextos de crisis.</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Otros indicadores reproductivos como el parto pretérmino o el bajo peso al nacer presentan la misma tendencia,  aumentan en el sub sector público donde se atienden las mujeres más pobres La prematurez pasó de 10% a 11,4% del total de los embarazos en 2019 y 2020 en el sub sector público, mientras que en el privado disminuyó de 10.2% a 9.9% para el mismo período.  El bajo peso al nacer pasó de 5.4% en 2019 a 6.3% en 2020 en el sector público y disminuyó en el privado de 5.8% a 5.4%.</w:t>
      </w:r>
      <w:r>
        <w:rPr>
          <w:rFonts w:ascii="Times New Roman" w:eastAsia="Times New Roman" w:hAnsi="Times New Roman" w:cs="Times New Roman"/>
          <w:vertAlign w:val="superscript"/>
        </w:rPr>
        <w:footnoteReference w:id="53"/>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El aumento de la sífilis congénita es otro indicador de injusticia reproductiva, si bien desde 2018 se observa un incremento importante, en 2020 en el subsector público la situación se profundiza. De acuerdo a la auditoría del MSP sobre sífilis gestacional y congénita (SC) , la SC se incrementó dentro del sector público y en la pandemia fundamentalmente en el área metropolitana, pasando de 3,46 casos/100 RNV en el quinquenio  2015 – 2019 a 7,8 casos </w:t>
      </w:r>
      <w:r>
        <w:rPr>
          <w:rFonts w:ascii="Times New Roman" w:eastAsia="Times New Roman" w:hAnsi="Times New Roman" w:cs="Times New Roman"/>
        </w:rPr>
        <w:lastRenderedPageBreak/>
        <w:t>en el 2020, es decir aumentó 4,34 puntos. Mientras que en el interior pasó de 3,4 casos/100 RNV en el quinquenio 2015-2019 a 6,7 en el 2020, con un incremento de 3,3 puntos.</w:t>
      </w:r>
    </w:p>
    <w:p w:rsidR="00F54D7C" w:rsidRDefault="00000000">
      <w:pPr>
        <w:spacing w:after="120" w:line="276" w:lineRule="auto"/>
        <w:jc w:val="both"/>
        <w:rPr>
          <w:rFonts w:ascii="Times New Roman" w:eastAsia="Times New Roman" w:hAnsi="Times New Roman" w:cs="Times New Roman"/>
          <w:highlight w:val="yellow"/>
        </w:rPr>
      </w:pPr>
      <w:r>
        <w:rPr>
          <w:rFonts w:ascii="Times New Roman" w:eastAsia="Times New Roman" w:hAnsi="Times New Roman" w:cs="Times New Roman"/>
        </w:rPr>
        <w:t xml:space="preserve">Todos estos indicadores reflejan como frente a contextos de crisis, la inequidad se profundiza producto de la desigual respuesta del sistema de salud que deteriora las condiciones sociosanitarias de las personas más vulneradas en sus derechos. </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 xml:space="preserve">En términos de acceso a servicios de Interrupción Voluntaria del Embarazo, continuan registrando en términos globales  un descenso, mostrando una tendencia decreciente en el número total de interrupciones desde que se despenalizó el aborto, lograr mantener esta tendencia es clave en lo que refiere al éxito de los programas de educación sexual y acceso a servicios seguros y de calidad. Sin embargo se percibe un estancamiento en la políticas vinculadas al embarazo en menores de 15 años, reflejándose en el número de niñas y adolescentes menores de 15 que quedaron embarazadas en 2021 108 y 2022 93, de las cuales en 2021 50 continuaron con el embarazo y 58 lo interrumpieron, mientras que en 2022 55 continuaron con el embarazo y 38 interrumpieron. Estos datos indican que a pesar de que los nacimientos en este tramo etario se reducen las interrupciones se mantienen, dando cuenta de que el embarazo se produce y que es siempre resultado de un contexto de vulneración de derechos y de violencia. </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En términos de acceso a la IVE, aún persisten ciertas barreras por un lado normativas asociadas a las restricciones que tiene la ley 18987</w:t>
      </w:r>
      <w:r>
        <w:rPr>
          <w:rFonts w:ascii="Times New Roman" w:eastAsia="Times New Roman" w:hAnsi="Times New Roman" w:cs="Times New Roman"/>
          <w:vertAlign w:val="superscript"/>
        </w:rPr>
        <w:footnoteReference w:id="54"/>
      </w:r>
      <w:r>
        <w:rPr>
          <w:rFonts w:ascii="Times New Roman" w:eastAsia="Times New Roman" w:hAnsi="Times New Roman" w:cs="Times New Roman"/>
        </w:rPr>
        <w:t xml:space="preserve"> , ya que en su artículo 13  habilita a que accedan a este derecho a las ciudadanas uruguayas naturales o legales o las extranjeras que acrediten residencia habitual en el país durante un período no inferior a un año. Si bien la Ley 19580  contempla que accedan al IVE, las mismas deben haber sido víctimas de violencia de género en el territorio nacional, con lo cual su derecho se ve limitado.</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Una segunda barrera tiene que ver con el ejercicio de la violencia en las consultas, si bien  el número de denuncias reportadas por las autoridades sanitarias asociadas a acceso al IVE  entre 2014 y 2022 no son significativas (8)</w:t>
      </w:r>
      <w:r>
        <w:rPr>
          <w:rFonts w:ascii="Times New Roman" w:eastAsia="Times New Roman" w:hAnsi="Times New Roman" w:cs="Times New Roman"/>
          <w:vertAlign w:val="superscript"/>
        </w:rPr>
        <w:footnoteReference w:id="55"/>
      </w:r>
      <w:r>
        <w:rPr>
          <w:rFonts w:ascii="Times New Roman" w:eastAsia="Times New Roman" w:hAnsi="Times New Roman" w:cs="Times New Roman"/>
        </w:rPr>
        <w:t xml:space="preserve"> se constata la ausencia de un registro adecuado de las quejas/denuncias recibidas en el proceso del aborto. Este dato es fundamental teniendo en cuenta que la última encuesta disponible a nivel nacional de violencia de género, identificó que 54,4% de las mujeres mayores de 15 años que transitaron por el proceso de IVE (después de 2012) manifestaron haber sufrido violencia de género (incumplimiento de plazos previstos en la ley, intentos de presión para evitar la interrupción del embarazo en curso, haciéndola sentir culpable, haber recibido comentarios ofensivos o descalificadores, insinuaciones sobre </w:t>
      </w:r>
      <w:r>
        <w:rPr>
          <w:rFonts w:ascii="Times New Roman" w:eastAsia="Times New Roman" w:hAnsi="Times New Roman" w:cs="Times New Roman"/>
        </w:rPr>
        <w:lastRenderedPageBreak/>
        <w:t xml:space="preserve">su capacidad para la toma de decisión, amenazas de no respetar la confidencialidad de la consulta y del procedimiento y por la divulgación del caso). </w:t>
      </w:r>
      <w:r>
        <w:rPr>
          <w:rFonts w:ascii="Times New Roman" w:eastAsia="Times New Roman" w:hAnsi="Times New Roman" w:cs="Times New Roman"/>
          <w:vertAlign w:val="superscript"/>
        </w:rPr>
        <w:footnoteReference w:id="56"/>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rPr>
        <w:t>Una tercer barrera, se asocia a la persistencia de algunas instituciones de  salud pública que tienen un n° importante de profesionales objetores de conciencia, situación que preocupa especialmente en algunos departamentos del interior del país como Paysandú y Rio Negro en los cuáles los Hospitales de Young (Rio Negro), Hospital de Mercedes (Soriando) y Paysandú reportan un 10%% de ginecólogos/as objetores en guardias o policlínicas</w:t>
      </w:r>
      <w:r>
        <w:rPr>
          <w:rFonts w:ascii="Times New Roman" w:eastAsia="Times New Roman" w:hAnsi="Times New Roman" w:cs="Times New Roman"/>
          <w:vertAlign w:val="superscript"/>
        </w:rPr>
        <w:footnoteReference w:id="57"/>
      </w:r>
      <w:r>
        <w:rPr>
          <w:rFonts w:ascii="Times New Roman" w:eastAsia="Times New Roman" w:hAnsi="Times New Roman" w:cs="Times New Roman"/>
        </w:rPr>
        <w:t xml:space="preserve">. </w:t>
      </w:r>
    </w:p>
    <w:tbl>
      <w:tblPr>
        <w:tblStyle w:val="ae"/>
        <w:tblW w:w="8118"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18"/>
      </w:tblGrid>
      <w:tr w:rsidR="00F54D7C">
        <w:tc>
          <w:tcPr>
            <w:tcW w:w="8118" w:type="dxa"/>
            <w:shd w:val="clear" w:color="auto" w:fill="auto"/>
            <w:tcMar>
              <w:top w:w="100" w:type="dxa"/>
              <w:left w:w="100" w:type="dxa"/>
              <w:bottom w:w="100" w:type="dxa"/>
              <w:right w:w="100" w:type="dxa"/>
            </w:tcMar>
          </w:tcPr>
          <w:p w:rsidR="00F54D7C" w:rsidRDefault="00000000">
            <w:pPr>
              <w:spacing w:after="120" w:line="276" w:lineRule="auto"/>
              <w:jc w:val="both"/>
              <w:rPr>
                <w:rFonts w:ascii="Times New Roman" w:eastAsia="Times New Roman" w:hAnsi="Times New Roman" w:cs="Times New Roman"/>
                <w:b/>
              </w:rPr>
            </w:pPr>
            <w:r>
              <w:rPr>
                <w:rFonts w:ascii="Times New Roman" w:eastAsia="Times New Roman" w:hAnsi="Times New Roman" w:cs="Times New Roman"/>
                <w:b/>
              </w:rPr>
              <w:t>RECOMENDACIONES:</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1.</w:t>
            </w:r>
            <w:r>
              <w:rPr>
                <w:rFonts w:ascii="Times New Roman" w:eastAsia="Times New Roman" w:hAnsi="Times New Roman" w:cs="Times New Roman"/>
              </w:rPr>
              <w:t>Diseñar sistemas de respuestas integrales que jerarquicen las políticas de salud sexual y reproductiva invirtiendo en el proceso reproductivo, embarazo, nacimiento y crianza así como en la implementación de la Educación Sexual Integral en todos los niveles de enseñanza</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2.</w:t>
            </w:r>
            <w:r>
              <w:rPr>
                <w:rFonts w:ascii="Times New Roman" w:eastAsia="Times New Roman" w:hAnsi="Times New Roman" w:cs="Times New Roman"/>
              </w:rPr>
              <w:t xml:space="preserve">Mejorar los sistemas de registro e indicadores de salud sexual y reproductivas incluidas la vulneración de derechos en el proceso de embarazo, parto, puerperio y servicios de IVE , los cuales deben desagregarse por  variables de género, edad, raza, condición de migrante, zona, etc. </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3. </w:t>
            </w:r>
            <w:r>
              <w:rPr>
                <w:rFonts w:ascii="Times New Roman" w:eastAsia="Times New Roman" w:hAnsi="Times New Roman" w:cs="Times New Roman"/>
              </w:rPr>
              <w:t>Promover la formación continua de los equipos a través de la  capacitación y actualización del personal en temas clave como embarazo en la adolescencia, embarazo infantil, anticoncepción, IVE, violencia de género y diversidad sexual.</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4. </w:t>
            </w:r>
            <w:r>
              <w:rPr>
                <w:rFonts w:ascii="Times New Roman" w:eastAsia="Times New Roman" w:hAnsi="Times New Roman" w:cs="Times New Roman"/>
              </w:rPr>
              <w:t>Regular el ejercicio de objeción de conciencia a través de mecanismos de control genuinos y auténticos, que no impidan la prestación de este servicio, evitando causar daño a las usuarias.</w:t>
            </w:r>
          </w:p>
          <w:p w:rsidR="00F54D7C" w:rsidRDefault="00000000">
            <w:pPr>
              <w:spacing w:after="120" w:line="276" w:lineRule="auto"/>
              <w:jc w:val="both"/>
              <w:rPr>
                <w:rFonts w:ascii="Times New Roman" w:eastAsia="Times New Roman" w:hAnsi="Times New Roman" w:cs="Times New Roman"/>
              </w:rPr>
            </w:pPr>
            <w:r>
              <w:rPr>
                <w:rFonts w:ascii="Times New Roman" w:eastAsia="Times New Roman" w:hAnsi="Times New Roman" w:cs="Times New Roman"/>
                <w:b/>
              </w:rPr>
              <w:t xml:space="preserve">5. </w:t>
            </w:r>
            <w:r>
              <w:rPr>
                <w:rFonts w:ascii="Times New Roman" w:eastAsia="Times New Roman" w:hAnsi="Times New Roman" w:cs="Times New Roman"/>
              </w:rPr>
              <w:t>Asegurar a las usuarias de las instituciones donde se ha hecho uso de la objeción de conciencia una derivación oportuna</w:t>
            </w:r>
          </w:p>
          <w:p w:rsidR="00F54D7C" w:rsidRDefault="00F54D7C">
            <w:pPr>
              <w:spacing w:line="276" w:lineRule="auto"/>
              <w:jc w:val="both"/>
              <w:rPr>
                <w:rFonts w:ascii="Times New Roman" w:eastAsia="Times New Roman" w:hAnsi="Times New Roman" w:cs="Times New Roman"/>
                <w:color w:val="FF0000"/>
              </w:rPr>
            </w:pPr>
          </w:p>
          <w:p w:rsidR="00F54D7C" w:rsidRDefault="00F54D7C">
            <w:pPr>
              <w:widowControl w:val="0"/>
              <w:pBdr>
                <w:top w:val="nil"/>
                <w:left w:val="nil"/>
                <w:bottom w:val="nil"/>
                <w:right w:val="nil"/>
                <w:between w:val="nil"/>
              </w:pBdr>
              <w:spacing w:line="276" w:lineRule="auto"/>
              <w:rPr>
                <w:rFonts w:ascii="Times New Roman" w:eastAsia="Times New Roman" w:hAnsi="Times New Roman" w:cs="Times New Roman"/>
              </w:rPr>
            </w:pPr>
          </w:p>
        </w:tc>
      </w:tr>
    </w:tbl>
    <w:p w:rsidR="00F54D7C" w:rsidRDefault="00000000">
      <w:pPr>
        <w:pStyle w:val="Ttulo3"/>
        <w:spacing w:line="276" w:lineRule="auto"/>
        <w:jc w:val="both"/>
        <w:rPr>
          <w:rFonts w:ascii="Times New Roman" w:eastAsia="Times New Roman" w:hAnsi="Times New Roman" w:cs="Times New Roman"/>
          <w:b w:val="0"/>
          <w:sz w:val="24"/>
          <w:szCs w:val="24"/>
        </w:rPr>
      </w:pPr>
      <w:bookmarkStart w:id="2" w:name="_heading=h.nhlkb95wddfg" w:colFirst="0" w:colLast="0"/>
      <w:bookmarkEnd w:id="2"/>
      <w:r>
        <w:rPr>
          <w:rFonts w:ascii="Times New Roman" w:eastAsia="Times New Roman" w:hAnsi="Times New Roman" w:cs="Times New Roman"/>
          <w:sz w:val="24"/>
          <w:szCs w:val="24"/>
        </w:rPr>
        <w:t xml:space="preserve">XII. Mujeres privadas de libertad  </w:t>
      </w:r>
      <w:r>
        <w:rPr>
          <w:rFonts w:ascii="Times New Roman" w:eastAsia="Times New Roman" w:hAnsi="Times New Roman" w:cs="Times New Roman"/>
          <w:b w:val="0"/>
          <w:i/>
          <w:sz w:val="22"/>
          <w:szCs w:val="22"/>
        </w:rPr>
        <w:t>CEDAW/C/URY/QPR/10</w:t>
      </w:r>
      <w:r>
        <w:rPr>
          <w:rFonts w:ascii="Times New Roman" w:eastAsia="Times New Roman" w:hAnsi="Times New Roman" w:cs="Times New Roman"/>
          <w:sz w:val="24"/>
          <w:szCs w:val="24"/>
        </w:rPr>
        <w:t xml:space="preserve"> </w:t>
      </w:r>
      <w:r>
        <w:rPr>
          <w:rFonts w:ascii="Times New Roman" w:eastAsia="Times New Roman" w:hAnsi="Times New Roman" w:cs="Times New Roman"/>
          <w:b w:val="0"/>
          <w:sz w:val="24"/>
          <w:szCs w:val="24"/>
        </w:rPr>
        <w:t>Pár. 23</w:t>
      </w:r>
    </w:p>
    <w:p w:rsidR="00F54D7C" w:rsidRDefault="00000000">
      <w:pPr>
        <w:widowControl w:val="0"/>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En agosto de 2016 se creó el Departamento de Género y Diversidad (DGD) que depende del </w:t>
      </w:r>
      <w:r>
        <w:rPr>
          <w:rFonts w:ascii="Times New Roman" w:eastAsia="Times New Roman" w:hAnsi="Times New Roman" w:cs="Times New Roman"/>
          <w:color w:val="434343"/>
        </w:rPr>
        <w:lastRenderedPageBreak/>
        <w:t xml:space="preserve">Instituto Nacional de Rehabilitación (INR). Según nos informó su responsable se integra con 5 personas, 3 de ellas técnicas, para todo el país. El Departamento no cuenta con presupuesto. </w:t>
      </w:r>
    </w:p>
    <w:p w:rsidR="00F54D7C" w:rsidRDefault="00000000">
      <w:pPr>
        <w:widowControl w:val="0"/>
        <w:spacing w:line="276" w:lineRule="auto"/>
        <w:jc w:val="both"/>
        <w:rPr>
          <w:rFonts w:ascii="Times New Roman" w:eastAsia="Times New Roman" w:hAnsi="Times New Roman" w:cs="Times New Roman"/>
          <w:color w:val="434343"/>
        </w:rPr>
      </w:pPr>
      <w:r>
        <w:rPr>
          <w:rFonts w:ascii="Times New Roman" w:eastAsia="Times New Roman" w:hAnsi="Times New Roman" w:cs="Times New Roman"/>
          <w:color w:val="434343"/>
        </w:rPr>
        <w:t xml:space="preserve">También informó que al 8 de junio de 2023, el total de la población carcelaria es: 14.964 más 48 niños, de la que 13.981 son varones, incluyendo 10 hombres transgenero y 325 migrantes, 1073 son mujeres incluyendo 16 mujeres gestantes,  22 mujeres trans y 326 migrantes. </w:t>
      </w:r>
    </w:p>
    <w:p w:rsidR="00F54D7C" w:rsidRDefault="00000000">
      <w:pPr>
        <w:widowControl w:val="0"/>
        <w:spacing w:line="276" w:lineRule="auto"/>
        <w:jc w:val="both"/>
        <w:rPr>
          <w:rFonts w:ascii="Times New Roman" w:eastAsia="Times New Roman" w:hAnsi="Times New Roman" w:cs="Times New Roman"/>
          <w:vertAlign w:val="superscript"/>
        </w:rPr>
      </w:pPr>
      <w:r>
        <w:rPr>
          <w:rFonts w:ascii="Times New Roman" w:eastAsia="Times New Roman" w:hAnsi="Times New Roman" w:cs="Times New Roman"/>
        </w:rPr>
        <w:t>La población</w:t>
      </w:r>
      <w:r>
        <w:rPr>
          <w:rFonts w:ascii="Times New Roman" w:eastAsia="Times New Roman" w:hAnsi="Times New Roman" w:cs="Times New Roman"/>
          <w:i/>
        </w:rPr>
        <w:t xml:space="preserve"> penitenciaria en Uruguay se ha triplicado  en términos muy diferenciales  de género lo que surge de los datos antes mencionados.</w:t>
      </w:r>
      <w:r>
        <w:rPr>
          <w:rFonts w:ascii="Times New Roman" w:eastAsia="Times New Roman" w:hAnsi="Times New Roman" w:cs="Times New Roman"/>
          <w:vertAlign w:val="superscript"/>
        </w:rPr>
        <w:footnoteReference w:id="58"/>
      </w:r>
      <w:r>
        <w:rPr>
          <w:rFonts w:ascii="Times New Roman" w:eastAsia="Times New Roman" w:hAnsi="Times New Roman" w:cs="Times New Roman"/>
          <w:vertAlign w:val="superscript"/>
        </w:rPr>
        <w:t xml:space="preserve">  </w:t>
      </w:r>
    </w:p>
    <w:p w:rsidR="00F54D7C" w:rsidRDefault="00000000">
      <w:pPr>
        <w:spacing w:line="276" w:lineRule="auto"/>
        <w:jc w:val="both"/>
        <w:rPr>
          <w:rFonts w:ascii="Times New Roman" w:eastAsia="Times New Roman" w:hAnsi="Times New Roman" w:cs="Times New Roman"/>
          <w:i/>
        </w:rPr>
      </w:pPr>
      <w:r>
        <w:rPr>
          <w:rFonts w:ascii="Times New Roman" w:eastAsia="Times New Roman" w:hAnsi="Times New Roman" w:cs="Times New Roman"/>
          <w:i/>
        </w:rPr>
        <w:t>De las 1.073 mujeres presas más de un 90% son madres, 41 niños o niñas menores de cuatro años viviendo con sus madres en prisión y más de 1.280 niños o niñas y adolescentes con madre privada de libertad.</w:t>
      </w:r>
      <w:r>
        <w:rPr>
          <w:rFonts w:ascii="Times New Roman" w:eastAsia="Times New Roman" w:hAnsi="Times New Roman" w:cs="Times New Roman"/>
          <w:i/>
          <w:vertAlign w:val="superscript"/>
        </w:rPr>
        <w:footnoteReference w:id="59"/>
      </w:r>
      <w:r>
        <w:rPr>
          <w:rFonts w:ascii="Times New Roman" w:eastAsia="Times New Roman" w:hAnsi="Times New Roman" w:cs="Times New Roman"/>
          <w:i/>
        </w:rPr>
        <w:t xml:space="preserve"> E</w:t>
      </w:r>
      <w:r>
        <w:rPr>
          <w:rFonts w:ascii="Times New Roman" w:eastAsia="Times New Roman" w:hAnsi="Times New Roman" w:cs="Times New Roman"/>
        </w:rPr>
        <w:t>l 50% de las mujeres presas son primarias, el 95% es de origen humilde y poco más de la mitad están por causas vinculadas al microtráfico</w:t>
      </w:r>
      <w:r>
        <w:rPr>
          <w:rFonts w:ascii="Times New Roman" w:eastAsia="Times New Roman" w:hAnsi="Times New Roman" w:cs="Times New Roman"/>
          <w:vertAlign w:val="superscript"/>
        </w:rPr>
        <w:footnoteReference w:id="60"/>
      </w:r>
      <w:r>
        <w:rPr>
          <w:rFonts w:ascii="Times New Roman" w:eastAsia="Times New Roman" w:hAnsi="Times New Roman" w:cs="Times New Roman"/>
        </w:rPr>
        <w:t xml:space="preserve">. </w:t>
      </w:r>
    </w:p>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rPr>
        <w:t xml:space="preserve">A partir de abril de 2022, la densidad promedio masculina es de 128 reclusos cada 100 plazas frente a la femenina con un promedio de 158 mujeres para cada 100 lugares en perjuicio de las mujeres en un sistema con graves debilidades en los programas de rehabilitación. </w:t>
      </w:r>
    </w:p>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rPr>
        <w:t>La Unidad N° 5, Centro Metropolitano Femenino tiene un hacinamiento crítico de 165% de densidad cada 100 lugares, donde hay 750 mujeres, el deterioro del edificio determina condiciones inaceptables de convivencia en muchos sectores.</w:t>
      </w:r>
    </w:p>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rPr>
        <w:t>Tampoco hay personal ginecológico ni un lugar especializado en salud mental como si lo hay para varones.</w:t>
      </w:r>
      <w:r>
        <w:rPr>
          <w:rFonts w:ascii="Times New Roman" w:eastAsia="Times New Roman" w:hAnsi="Times New Roman" w:cs="Times New Roman"/>
          <w:vertAlign w:val="superscript"/>
        </w:rPr>
        <w:footnoteReference w:id="61"/>
      </w:r>
      <w:r>
        <w:rPr>
          <w:rFonts w:ascii="Times New Roman" w:eastAsia="Times New Roman" w:hAnsi="Times New Roman" w:cs="Times New Roman"/>
        </w:rPr>
        <w:t xml:space="preserve"> </w:t>
      </w:r>
    </w:p>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rPr>
        <w:t xml:space="preserve">En la Unidad 5, donde hay mujeres jóvenes con problemas de salud mental que no son posibles de contener y tratar en una cárcel, el lugar es inadecuado y no hay personal especializado. </w:t>
      </w:r>
    </w:p>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rPr>
        <w:t>Recientemente, el Comisionado denunció que desde la Administración de Servicios de Salud del Estado (ASSE) no se autoriza al Servicio de Atención Integral de las Personas Privadas de Libertad (SAIPPL) a consultar las historias clínicas de los internos cuando se necesita para desarrollar su tarea a pesar de la autorización de la persona.</w:t>
      </w:r>
      <w:r>
        <w:rPr>
          <w:rFonts w:ascii="Times New Roman" w:eastAsia="Times New Roman" w:hAnsi="Times New Roman" w:cs="Times New Roman"/>
          <w:vertAlign w:val="superscript"/>
        </w:rPr>
        <w:footnoteReference w:id="62"/>
      </w:r>
    </w:p>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rPr>
        <w:t xml:space="preserve">En este contexto, en agosto de 2022 una mujer de 31 años, en prisión preventiva, falleció en esa Unidad lo que provocó un fuerte reclamo de sus compañeras que denunciaron omisión de asistencia y reclamaron mayor asistencia en salud y salud mental. </w:t>
      </w:r>
    </w:p>
    <w:p w:rsidR="00F54D7C" w:rsidRDefault="00000000">
      <w:pPr>
        <w:widowControl w:val="0"/>
        <w:spacing w:line="276" w:lineRule="auto"/>
        <w:jc w:val="both"/>
        <w:rPr>
          <w:rFonts w:ascii="Times New Roman" w:eastAsia="Times New Roman" w:hAnsi="Times New Roman" w:cs="Times New Roman"/>
        </w:rPr>
      </w:pPr>
      <w:r>
        <w:rPr>
          <w:rFonts w:ascii="Times New Roman" w:eastAsia="Times New Roman" w:hAnsi="Times New Roman" w:cs="Times New Roman"/>
        </w:rPr>
        <w:t xml:space="preserve">Las causas del aumento exponencial se deben mayormente al micro narcomenudeo. Un 74% de estos casos están vinculados a este tipo de delitos, lo que representó un aumento de 26% </w:t>
      </w:r>
      <w:r>
        <w:rPr>
          <w:rFonts w:ascii="Times New Roman" w:eastAsia="Times New Roman" w:hAnsi="Times New Roman" w:cs="Times New Roman"/>
        </w:rPr>
        <w:lastRenderedPageBreak/>
        <w:t xml:space="preserve">de la población de mujeres privadas de libertad en el último año. </w:t>
      </w:r>
    </w:p>
    <w:p w:rsidR="00F54D7C" w:rsidRDefault="00000000">
      <w:pPr>
        <w:widowControl w:val="0"/>
        <w:spacing w:line="276" w:lineRule="auto"/>
        <w:jc w:val="both"/>
        <w:rPr>
          <w:rFonts w:ascii="Times New Roman" w:eastAsia="Times New Roman" w:hAnsi="Times New Roman" w:cs="Times New Roman"/>
        </w:rPr>
      </w:pPr>
      <w:r>
        <w:rPr>
          <w:rFonts w:ascii="Times New Roman" w:eastAsia="Times New Roman" w:hAnsi="Times New Roman" w:cs="Times New Roman"/>
        </w:rPr>
        <w:t xml:space="preserve">La tasa de encarcelamiento femenina aumentó exponencialmente debido a que la Ley N° 19.889 de Urgente Consideración (2020) establece penas de 4 a 15 años de penitenciaría, en los delitos de microtráfico que impide la excarcelación en los casos de introducción de cantidades mínimas de sustancias estupefacientes a las cárceles. </w:t>
      </w:r>
    </w:p>
    <w:p w:rsidR="00F54D7C" w:rsidRDefault="00000000">
      <w:pPr>
        <w:widowControl w:val="0"/>
        <w:spacing w:line="276" w:lineRule="auto"/>
        <w:jc w:val="both"/>
        <w:rPr>
          <w:rFonts w:ascii="Times New Roman" w:eastAsia="Times New Roman" w:hAnsi="Times New Roman" w:cs="Times New Roman"/>
        </w:rPr>
      </w:pPr>
      <w:r>
        <w:rPr>
          <w:rFonts w:ascii="Times New Roman" w:eastAsia="Times New Roman" w:hAnsi="Times New Roman" w:cs="Times New Roman"/>
        </w:rPr>
        <w:t xml:space="preserve">Esto impactó en las mujeres, mayormente jóvenes con hijos a cargo, que lo hacen como estrategia de supervivencia y en otros casos, se ven obligadas. </w:t>
      </w:r>
    </w:p>
    <w:p w:rsidR="00F54D7C" w:rsidRDefault="00000000">
      <w:pPr>
        <w:widowControl w:val="0"/>
        <w:spacing w:line="276" w:lineRule="auto"/>
        <w:jc w:val="both"/>
        <w:rPr>
          <w:rFonts w:ascii="Times New Roman" w:eastAsia="Times New Roman" w:hAnsi="Times New Roman" w:cs="Times New Roman"/>
        </w:rPr>
      </w:pPr>
      <w:r>
        <w:rPr>
          <w:rFonts w:ascii="Times New Roman" w:eastAsia="Times New Roman" w:hAnsi="Times New Roman" w:cs="Times New Roman"/>
        </w:rPr>
        <w:t>Las trayectorias vitales de estas mujeres están signadas por la violencia y distintas vulnerabilidades desde su infancia.</w:t>
      </w:r>
    </w:p>
    <w:p w:rsidR="00F54D7C" w:rsidRDefault="00000000">
      <w:pPr>
        <w:widowControl w:val="0"/>
        <w:spacing w:line="276" w:lineRule="auto"/>
        <w:jc w:val="both"/>
        <w:rPr>
          <w:rFonts w:ascii="Times New Roman" w:eastAsia="Times New Roman" w:hAnsi="Times New Roman" w:cs="Times New Roman"/>
        </w:rPr>
      </w:pPr>
      <w:r>
        <w:rPr>
          <w:rFonts w:ascii="Times New Roman" w:eastAsia="Times New Roman" w:hAnsi="Times New Roman" w:cs="Times New Roman"/>
        </w:rPr>
        <w:t>Sanciona también los casos donde se use el hogar como lugar de expendio de estupefacientes, lo que también impactó mayormente en las mujeres que lo hacen como forma de sostén familiar en contextos vulnerables.</w:t>
      </w:r>
    </w:p>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rPr>
        <w:t>En cuanto a mujeres afrodescendientes el</w:t>
      </w:r>
      <w:r>
        <w:rPr>
          <w:rFonts w:ascii="Times New Roman" w:eastAsia="Times New Roman" w:hAnsi="Times New Roman" w:cs="Times New Roman"/>
          <w:color w:val="FF0000"/>
        </w:rPr>
        <w:t xml:space="preserve"> </w:t>
      </w:r>
      <w:r>
        <w:rPr>
          <w:rFonts w:ascii="Times New Roman" w:eastAsia="Times New Roman" w:hAnsi="Times New Roman" w:cs="Times New Roman"/>
        </w:rPr>
        <w:t xml:space="preserve">Estado admitió al reportar ante el Comité CERD el 10 y 11/8/23, que no están sistematizados los datos de la población afrodescendiente, a pesar que al ingresar al sistema hay un formulario que recoge la variable. </w:t>
      </w:r>
    </w:p>
    <w:p w:rsidR="00F54D7C" w:rsidRDefault="00F54D7C">
      <w:pPr>
        <w:spacing w:line="276" w:lineRule="auto"/>
        <w:jc w:val="both"/>
        <w:rPr>
          <w:rFonts w:ascii="Times New Roman" w:eastAsia="Times New Roman" w:hAnsi="Times New Roman" w:cs="Times New Roman"/>
        </w:rPr>
      </w:pPr>
    </w:p>
    <w:p w:rsidR="00F54D7C" w:rsidRDefault="00F54D7C">
      <w:pPr>
        <w:spacing w:line="276" w:lineRule="auto"/>
        <w:jc w:val="both"/>
        <w:rPr>
          <w:rFonts w:ascii="Times New Roman" w:eastAsia="Times New Roman" w:hAnsi="Times New Roman" w:cs="Times New Roman"/>
        </w:rPr>
      </w:pPr>
    </w:p>
    <w:p w:rsidR="00F54D7C" w:rsidRDefault="00F54D7C">
      <w:pPr>
        <w:spacing w:line="276" w:lineRule="auto"/>
        <w:jc w:val="both"/>
        <w:rPr>
          <w:rFonts w:ascii="Times New Roman" w:eastAsia="Times New Roman" w:hAnsi="Times New Roman" w:cs="Times New Roman"/>
        </w:rPr>
      </w:pPr>
    </w:p>
    <w:tbl>
      <w:tblPr>
        <w:tblStyle w:val="af"/>
        <w:tblW w:w="88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F54D7C">
        <w:tc>
          <w:tcPr>
            <w:tcW w:w="8838" w:type="dxa"/>
            <w:shd w:val="clear" w:color="auto" w:fill="auto"/>
            <w:tcMar>
              <w:top w:w="100" w:type="dxa"/>
              <w:left w:w="100" w:type="dxa"/>
              <w:bottom w:w="100" w:type="dxa"/>
              <w:right w:w="100" w:type="dxa"/>
            </w:tcMar>
          </w:tcPr>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b/>
              </w:rPr>
              <w:t>RECOMENDACIONES:</w:t>
            </w:r>
            <w:r>
              <w:rPr>
                <w:rFonts w:ascii="Times New Roman" w:eastAsia="Times New Roman" w:hAnsi="Times New Roman" w:cs="Times New Roman"/>
              </w:rPr>
              <w:t xml:space="preserve"> </w:t>
            </w:r>
          </w:p>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b/>
              </w:rPr>
              <w:t>1.</w:t>
            </w:r>
            <w:r>
              <w:rPr>
                <w:rFonts w:ascii="Times New Roman" w:eastAsia="Times New Roman" w:hAnsi="Times New Roman" w:cs="Times New Roman"/>
              </w:rPr>
              <w:t xml:space="preserve"> Que el Parlamento busque urgente una solución legislativa que permita la excarcelación de mujeres presas por microtráfico cuando el delito no revista gravedad.</w:t>
            </w:r>
          </w:p>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b/>
              </w:rPr>
              <w:t xml:space="preserve">2 </w:t>
            </w:r>
            <w:r>
              <w:rPr>
                <w:rFonts w:ascii="Times New Roman" w:eastAsia="Times New Roman" w:hAnsi="Times New Roman" w:cs="Times New Roman"/>
              </w:rPr>
              <w:t>Que se garantice a las mujeres sin discriminación el acceso a la atención en salud de manera eficaz y oportuna.</w:t>
            </w:r>
          </w:p>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b/>
              </w:rPr>
              <w:t>3.</w:t>
            </w:r>
            <w:r>
              <w:rPr>
                <w:rFonts w:ascii="Times New Roman" w:eastAsia="Times New Roman" w:hAnsi="Times New Roman" w:cs="Times New Roman"/>
              </w:rPr>
              <w:t xml:space="preserve"> Que el Estado invierta en edificios adecuados para la reclusión en condiciones dignas y acordes con los estándares internacionales de derechos humanos y las especificidades de las mujeres, lo que deberá informar en un plazo de tres años.</w:t>
            </w:r>
          </w:p>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b/>
              </w:rPr>
              <w:t>4</w:t>
            </w:r>
            <w:r>
              <w:rPr>
                <w:rFonts w:ascii="Times New Roman" w:eastAsia="Times New Roman" w:hAnsi="Times New Roman" w:cs="Times New Roman"/>
              </w:rPr>
              <w:t xml:space="preserve">. Que el Estado implemente soluciones integrales para las mujeres que permanecen en prisión con sus hijos. </w:t>
            </w:r>
          </w:p>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b/>
              </w:rPr>
              <w:t>5.</w:t>
            </w:r>
            <w:r>
              <w:rPr>
                <w:rFonts w:ascii="Times New Roman" w:eastAsia="Times New Roman" w:hAnsi="Times New Roman" w:cs="Times New Roman"/>
              </w:rPr>
              <w:t xml:space="preserve"> Que el estado implemente alternativas de apoyo laborales y de vivienda para el momento del egreso, especialmente asesoramiento para las mujeres en riesgo de sufrir violencia basada en género. </w:t>
            </w:r>
          </w:p>
          <w:p w:rsidR="00F54D7C" w:rsidRDefault="00000000">
            <w:pPr>
              <w:spacing w:line="276" w:lineRule="auto"/>
              <w:jc w:val="both"/>
              <w:rPr>
                <w:rFonts w:ascii="Times New Roman" w:eastAsia="Times New Roman" w:hAnsi="Times New Roman" w:cs="Times New Roman"/>
              </w:rPr>
            </w:pPr>
            <w:r>
              <w:rPr>
                <w:rFonts w:ascii="Times New Roman" w:eastAsia="Times New Roman" w:hAnsi="Times New Roman" w:cs="Times New Roman"/>
                <w:b/>
              </w:rPr>
              <w:t xml:space="preserve">6. </w:t>
            </w:r>
            <w:r>
              <w:rPr>
                <w:rFonts w:ascii="Times New Roman" w:eastAsia="Times New Roman" w:hAnsi="Times New Roman" w:cs="Times New Roman"/>
              </w:rPr>
              <w:t xml:space="preserve">Que se dote al Departamento de Género y Diversidad del INR en un plazo de un año, de recursos genuinos, humanos y materiales.   </w:t>
            </w:r>
          </w:p>
          <w:p w:rsidR="00F54D7C" w:rsidRDefault="00F54D7C">
            <w:pPr>
              <w:widowControl w:val="0"/>
              <w:pBdr>
                <w:top w:val="nil"/>
                <w:left w:val="nil"/>
                <w:bottom w:val="nil"/>
                <w:right w:val="nil"/>
                <w:between w:val="nil"/>
              </w:pBdr>
              <w:spacing w:line="276" w:lineRule="auto"/>
              <w:rPr>
                <w:rFonts w:ascii="Times New Roman" w:eastAsia="Times New Roman" w:hAnsi="Times New Roman" w:cs="Times New Roman"/>
              </w:rPr>
            </w:pPr>
          </w:p>
        </w:tc>
      </w:tr>
    </w:tbl>
    <w:p w:rsidR="00F54D7C" w:rsidRDefault="00F54D7C">
      <w:pPr>
        <w:spacing w:line="276" w:lineRule="auto"/>
        <w:jc w:val="both"/>
        <w:rPr>
          <w:rFonts w:ascii="Times New Roman" w:eastAsia="Times New Roman" w:hAnsi="Times New Roman" w:cs="Times New Roman"/>
        </w:rPr>
      </w:pPr>
    </w:p>
    <w:p w:rsidR="00F54D7C" w:rsidRDefault="00000000">
      <w:pPr>
        <w:spacing w:line="276" w:lineRule="auto"/>
        <w:jc w:val="both"/>
        <w:rPr>
          <w:rFonts w:ascii="Times New Roman" w:eastAsia="Times New Roman" w:hAnsi="Times New Roman" w:cs="Times New Roman"/>
          <w:i/>
          <w:sz w:val="22"/>
          <w:szCs w:val="22"/>
        </w:rPr>
      </w:pPr>
      <w:r>
        <w:rPr>
          <w:rFonts w:ascii="Times New Roman" w:eastAsia="Times New Roman" w:hAnsi="Times New Roman" w:cs="Times New Roman"/>
          <w:b/>
        </w:rPr>
        <w:t>XIII. Empleo y seguridad social (</w:t>
      </w:r>
      <w:r>
        <w:rPr>
          <w:rFonts w:ascii="Times New Roman" w:eastAsia="Times New Roman" w:hAnsi="Times New Roman" w:cs="Times New Roman"/>
          <w:i/>
          <w:sz w:val="22"/>
          <w:szCs w:val="22"/>
        </w:rPr>
        <w:t>CEDAW/C/URY/QPR/10 Pár 18 y 19)</w:t>
      </w:r>
    </w:p>
    <w:p w:rsidR="00F54D7C" w:rsidRDefault="00000000">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sz w:val="22"/>
          <w:szCs w:val="22"/>
        </w:rPr>
        <w:t xml:space="preserve">Los retrocesos señalados en el contexto del país en párrafo II como consecuencia de las medidas insuficientes durante la pandemia y crisis hídrica, las cifras de pobreza de las mujeres, especialmente jefas de hogar y con hijos a cargo que quedó al descubierto por la informalidad en los trabajos e </w:t>
      </w:r>
      <w:r>
        <w:rPr>
          <w:rFonts w:ascii="Times New Roman" w:eastAsia="Times New Roman" w:hAnsi="Times New Roman" w:cs="Times New Roman"/>
          <w:sz w:val="22"/>
          <w:szCs w:val="22"/>
        </w:rPr>
        <w:lastRenderedPageBreak/>
        <w:t xml:space="preserve">incumplimiento de registro en seguridad social, las brechas estructurales en educación respecto de mujeres afrodescendientes, transgénero y con discapacidad, impiden garantizar empleos de calidad. </w:t>
      </w:r>
    </w:p>
    <w:p w:rsidR="00F54D7C" w:rsidRDefault="00F54D7C">
      <w:pPr>
        <w:spacing w:line="276" w:lineRule="auto"/>
        <w:jc w:val="both"/>
        <w:rPr>
          <w:rFonts w:ascii="Times New Roman" w:eastAsia="Times New Roman" w:hAnsi="Times New Roman" w:cs="Times New Roman"/>
          <w:b/>
          <w:sz w:val="22"/>
          <w:szCs w:val="22"/>
        </w:rPr>
      </w:pPr>
    </w:p>
    <w:tbl>
      <w:tblPr>
        <w:tblStyle w:val="af0"/>
        <w:tblW w:w="88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838"/>
      </w:tblGrid>
      <w:tr w:rsidR="00F54D7C">
        <w:tc>
          <w:tcPr>
            <w:tcW w:w="8838" w:type="dxa"/>
            <w:shd w:val="clear" w:color="auto" w:fill="auto"/>
            <w:tcMar>
              <w:top w:w="100" w:type="dxa"/>
              <w:left w:w="100" w:type="dxa"/>
              <w:bottom w:w="100" w:type="dxa"/>
              <w:right w:w="100" w:type="dxa"/>
            </w:tcMar>
          </w:tcPr>
          <w:p w:rsidR="00F54D7C" w:rsidRDefault="00000000">
            <w:pPr>
              <w:spacing w:line="276" w:lineRule="auto"/>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RECOMENDACIONES</w:t>
            </w:r>
          </w:p>
          <w:p w:rsidR="00F54D7C" w:rsidRDefault="00000000">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1. </w:t>
            </w:r>
            <w:r>
              <w:rPr>
                <w:rFonts w:ascii="Times New Roman" w:eastAsia="Times New Roman" w:hAnsi="Times New Roman" w:cs="Times New Roman"/>
                <w:sz w:val="22"/>
                <w:szCs w:val="22"/>
              </w:rPr>
              <w:t>Que el Estado implemente políticas públicas con perspectiva de género con recursos genuinos para cerrar las brechas de desigualdad.</w:t>
            </w:r>
          </w:p>
          <w:p w:rsidR="00F54D7C" w:rsidRDefault="00000000">
            <w:pPr>
              <w:spacing w:line="276" w:lineRule="auto"/>
              <w:jc w:val="both"/>
              <w:rPr>
                <w:rFonts w:ascii="Times New Roman" w:eastAsia="Times New Roman" w:hAnsi="Times New Roman" w:cs="Times New Roman"/>
                <w:sz w:val="22"/>
                <w:szCs w:val="22"/>
              </w:rPr>
            </w:pPr>
            <w:r>
              <w:rPr>
                <w:rFonts w:ascii="Times New Roman" w:eastAsia="Times New Roman" w:hAnsi="Times New Roman" w:cs="Times New Roman"/>
                <w:b/>
                <w:sz w:val="22"/>
                <w:szCs w:val="22"/>
              </w:rPr>
              <w:t xml:space="preserve">2. </w:t>
            </w:r>
            <w:r>
              <w:rPr>
                <w:rFonts w:ascii="Times New Roman" w:eastAsia="Times New Roman" w:hAnsi="Times New Roman" w:cs="Times New Roman"/>
                <w:sz w:val="22"/>
                <w:szCs w:val="22"/>
              </w:rPr>
              <w:t>Que el estado fortalezca los sistemas de control del registro de trabajadoras en la seguridad social.</w:t>
            </w:r>
          </w:p>
          <w:p w:rsidR="00F54D7C" w:rsidRDefault="00000000">
            <w:pPr>
              <w:spacing w:line="276" w:lineRule="auto"/>
              <w:jc w:val="both"/>
              <w:rPr>
                <w:rFonts w:ascii="Times New Roman" w:eastAsia="Times New Roman" w:hAnsi="Times New Roman" w:cs="Times New Roman"/>
                <w:b/>
                <w:sz w:val="22"/>
                <w:szCs w:val="22"/>
              </w:rPr>
            </w:pPr>
            <w:r>
              <w:rPr>
                <w:rFonts w:ascii="Times New Roman" w:eastAsia="Times New Roman" w:hAnsi="Times New Roman" w:cs="Times New Roman"/>
                <w:b/>
                <w:sz w:val="22"/>
                <w:szCs w:val="22"/>
              </w:rPr>
              <w:t xml:space="preserve">3. </w:t>
            </w:r>
            <w:r>
              <w:rPr>
                <w:rFonts w:ascii="Times New Roman" w:eastAsia="Times New Roman" w:hAnsi="Times New Roman" w:cs="Times New Roman"/>
                <w:sz w:val="22"/>
                <w:szCs w:val="22"/>
              </w:rPr>
              <w:t>Que el Estado fortalezca el Sistema Nacional de Cuidados, creando espacios de cuidados en los organismos estatales para los hijos.</w:t>
            </w:r>
          </w:p>
        </w:tc>
      </w:tr>
    </w:tbl>
    <w:p w:rsidR="00F54D7C" w:rsidRDefault="00F54D7C">
      <w:pPr>
        <w:spacing w:line="276" w:lineRule="auto"/>
        <w:jc w:val="both"/>
        <w:rPr>
          <w:rFonts w:ascii="Times New Roman" w:eastAsia="Times New Roman" w:hAnsi="Times New Roman" w:cs="Times New Roman"/>
          <w:b/>
          <w:sz w:val="22"/>
          <w:szCs w:val="22"/>
        </w:rPr>
      </w:pPr>
    </w:p>
    <w:p w:rsidR="00F54D7C" w:rsidRDefault="00F54D7C">
      <w:pPr>
        <w:spacing w:line="276" w:lineRule="auto"/>
        <w:jc w:val="both"/>
        <w:rPr>
          <w:rFonts w:ascii="Times New Roman" w:eastAsia="Times New Roman" w:hAnsi="Times New Roman" w:cs="Times New Roman"/>
          <w:b/>
          <w:sz w:val="22"/>
          <w:szCs w:val="22"/>
        </w:rPr>
      </w:pPr>
    </w:p>
    <w:p w:rsidR="00F54D7C" w:rsidRDefault="00F54D7C">
      <w:pPr>
        <w:spacing w:line="276" w:lineRule="auto"/>
        <w:jc w:val="both"/>
        <w:rPr>
          <w:rFonts w:ascii="Times New Roman" w:eastAsia="Times New Roman" w:hAnsi="Times New Roman" w:cs="Times New Roman"/>
          <w:sz w:val="22"/>
          <w:szCs w:val="22"/>
        </w:rPr>
      </w:pPr>
    </w:p>
    <w:sectPr w:rsidR="00F54D7C">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F7D6A" w:rsidRDefault="001F7D6A">
      <w:r>
        <w:separator/>
      </w:r>
    </w:p>
  </w:endnote>
  <w:endnote w:type="continuationSeparator" w:id="0">
    <w:p w:rsidR="001F7D6A" w:rsidRDefault="001F7D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PSMT"/>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Roboto">
    <w:panose1 w:val="020B0604020202020204"/>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F7D6A" w:rsidRDefault="001F7D6A">
      <w:r>
        <w:separator/>
      </w:r>
    </w:p>
  </w:footnote>
  <w:footnote w:type="continuationSeparator" w:id="0">
    <w:p w:rsidR="001F7D6A" w:rsidRDefault="001F7D6A">
      <w:r>
        <w:continuationSeparator/>
      </w:r>
    </w:p>
  </w:footnote>
  <w:footnote w:id="1">
    <w:p w:rsidR="00F54D7C" w:rsidRDefault="00000000">
      <w:pPr>
        <w:rPr>
          <w:rFonts w:ascii="Times New Roman" w:eastAsia="Times New Roman" w:hAnsi="Times New Roman" w:cs="Times New Roman"/>
          <w:sz w:val="18"/>
          <w:szCs w:val="18"/>
        </w:rPr>
      </w:pPr>
      <w:r>
        <w:rPr>
          <w:vertAlign w:val="superscript"/>
        </w:rPr>
        <w:footnoteRef/>
      </w:r>
      <w:r>
        <w:rPr>
          <w:rFonts w:ascii="Times New Roman" w:eastAsia="Times New Roman" w:hAnsi="Times New Roman" w:cs="Times New Roman"/>
          <w:sz w:val="18"/>
          <w:szCs w:val="18"/>
        </w:rPr>
        <w:t>Comité de América Latina y el Caribe de defensa de los derechos de las mujeres CLADEM Uruguay,   ColectivaMujeres, Iniciativas Sanitarias, Instituto Afrodescendiente de Estudio, Investigación y Desarrollo Uruguay. Redactoras: Anandez Cecilia, De Armas Estela, Lima Ana, Martinez Lourdes, Van Velthoven, Lucia y Coitiño Mauricio.</w:t>
      </w:r>
    </w:p>
    <w:p w:rsidR="00F54D7C" w:rsidRDefault="00F54D7C">
      <w:pPr>
        <w:rPr>
          <w:sz w:val="20"/>
          <w:szCs w:val="20"/>
        </w:rPr>
      </w:pPr>
    </w:p>
  </w:footnote>
  <w:footnote w:id="2">
    <w:p w:rsidR="00F54D7C" w:rsidRDefault="00000000">
      <w:pPr>
        <w:rPr>
          <w:sz w:val="20"/>
          <w:szCs w:val="20"/>
        </w:rPr>
      </w:pPr>
      <w:r>
        <w:rPr>
          <w:vertAlign w:val="superscript"/>
        </w:rPr>
        <w:footnoteRef/>
      </w:r>
      <w:r>
        <w:rPr>
          <w:sz w:val="20"/>
          <w:szCs w:val="20"/>
        </w:rPr>
        <w:t xml:space="preserve"> </w:t>
      </w:r>
      <w:r>
        <w:rPr>
          <w:sz w:val="20"/>
          <w:szCs w:val="20"/>
        </w:rPr>
        <w:t>https://www.impo.com.uy/bases/resoluciones/760-2019/3</w:t>
      </w:r>
    </w:p>
  </w:footnote>
  <w:footnote w:id="3">
    <w:p w:rsidR="00F54D7C" w:rsidRDefault="00000000">
      <w:pPr>
        <w:rPr>
          <w:sz w:val="26"/>
          <w:szCs w:val="26"/>
          <w:vertAlign w:val="superscript"/>
        </w:rPr>
      </w:pPr>
      <w:r>
        <w:rPr>
          <w:vertAlign w:val="superscript"/>
        </w:rPr>
        <w:footnoteRef/>
      </w:r>
      <w:r>
        <w:rPr>
          <w:sz w:val="20"/>
          <w:szCs w:val="20"/>
          <w:vertAlign w:val="superscript"/>
        </w:rPr>
        <w:t xml:space="preserve"> </w:t>
      </w:r>
      <w:r>
        <w:rPr>
          <w:sz w:val="20"/>
          <w:szCs w:val="20"/>
        </w:rPr>
        <w:t xml:space="preserve"> </w:t>
      </w:r>
      <w:r>
        <w:rPr>
          <w:sz w:val="20"/>
          <w:szCs w:val="20"/>
        </w:rPr>
        <w:t>https://www.impo.com.uy/bases/leyes/19889-2020</w:t>
      </w:r>
    </w:p>
  </w:footnote>
  <w:footnote w:id="4">
    <w:p w:rsidR="00F54D7C" w:rsidRDefault="00000000">
      <w:pPr>
        <w:rPr>
          <w:sz w:val="20"/>
          <w:szCs w:val="20"/>
          <w:vertAlign w:val="superscript"/>
        </w:rPr>
      </w:pPr>
      <w:r>
        <w:rPr>
          <w:vertAlign w:val="superscript"/>
        </w:rPr>
        <w:footnoteRef/>
      </w:r>
      <w:r>
        <w:rPr>
          <w:sz w:val="20"/>
          <w:szCs w:val="20"/>
          <w:vertAlign w:val="superscript"/>
        </w:rPr>
        <w:t xml:space="preserve">  </w:t>
      </w:r>
      <w:hyperlink r:id="rId1">
        <w:r>
          <w:rPr>
            <w:rFonts w:ascii="Times New Roman" w:eastAsia="Times New Roman" w:hAnsi="Times New Roman" w:cs="Times New Roman"/>
            <w:color w:val="0000FF"/>
            <w:sz w:val="20"/>
            <w:szCs w:val="20"/>
            <w:u w:val="single"/>
          </w:rPr>
          <w:t>https://www.cepal.org/es/temas/covid-19</w:t>
        </w:r>
      </w:hyperlink>
      <w:r>
        <w:rPr>
          <w:rFonts w:ascii="Times New Roman" w:eastAsia="Times New Roman" w:hAnsi="Times New Roman" w:cs="Times New Roman"/>
          <w:color w:val="FF0000"/>
          <w:sz w:val="20"/>
          <w:szCs w:val="20"/>
        </w:rPr>
        <w:t xml:space="preserve"> </w:t>
      </w:r>
      <w:r>
        <w:rPr>
          <w:rFonts w:ascii="Times New Roman" w:eastAsia="Times New Roman" w:hAnsi="Times New Roman" w:cs="Times New Roman"/>
          <w:sz w:val="20"/>
          <w:szCs w:val="20"/>
        </w:rPr>
        <w:t>Panorama Social de América Latina 2020</w:t>
      </w:r>
    </w:p>
  </w:footnote>
  <w:footnote w:id="5">
    <w:p w:rsidR="00F54D7C" w:rsidRDefault="00000000">
      <w:pPr>
        <w:spacing w:line="276" w:lineRule="auto"/>
        <w:rPr>
          <w:sz w:val="20"/>
          <w:szCs w:val="20"/>
          <w:vertAlign w:val="superscript"/>
        </w:rPr>
      </w:pPr>
      <w:r>
        <w:rPr>
          <w:vertAlign w:val="superscript"/>
        </w:rPr>
        <w:footnoteRef/>
      </w:r>
      <w:r>
        <w:rPr>
          <w:sz w:val="20"/>
          <w:szCs w:val="20"/>
          <w:vertAlign w:val="superscript"/>
        </w:rPr>
        <w:t xml:space="preserve"> </w:t>
      </w:r>
      <w:r>
        <w:rPr>
          <w:rFonts w:ascii="Arial" w:eastAsia="Arial" w:hAnsi="Arial" w:cs="Arial"/>
          <w:sz w:val="34"/>
          <w:szCs w:val="34"/>
          <w:vertAlign w:val="superscript"/>
        </w:rPr>
        <w:t xml:space="preserve"> </w:t>
      </w:r>
      <w:r>
        <w:rPr>
          <w:rFonts w:ascii="Times New Roman" w:eastAsia="Times New Roman" w:hAnsi="Times New Roman" w:cs="Times New Roman"/>
          <w:sz w:val="20"/>
          <w:szCs w:val="20"/>
        </w:rPr>
        <w:t>Zona roja según índice de Harvard</w:t>
      </w:r>
      <w:hyperlink r:id="rId2">
        <w:r>
          <w:rPr>
            <w:rFonts w:ascii="Times New Roman" w:eastAsia="Times New Roman" w:hAnsi="Times New Roman" w:cs="Times New Roman"/>
            <w:sz w:val="20"/>
            <w:szCs w:val="20"/>
          </w:rPr>
          <w:t xml:space="preserve"> </w:t>
        </w:r>
      </w:hyperlink>
      <w:hyperlink r:id="rId3">
        <w:r>
          <w:rPr>
            <w:rFonts w:ascii="Times New Roman" w:eastAsia="Times New Roman" w:hAnsi="Times New Roman" w:cs="Times New Roman"/>
            <w:color w:val="1155CC"/>
            <w:sz w:val="20"/>
            <w:szCs w:val="20"/>
            <w:u w:val="single"/>
          </w:rPr>
          <w:t>https://guiad-covid.github.io/estadisticasuy.html</w:t>
        </w:r>
      </w:hyperlink>
    </w:p>
  </w:footnote>
  <w:footnote w:id="6">
    <w:p w:rsidR="00F54D7C" w:rsidRDefault="00000000">
      <w:pPr>
        <w:rPr>
          <w:sz w:val="20"/>
          <w:szCs w:val="20"/>
        </w:rPr>
      </w:pPr>
      <w:r>
        <w:rPr>
          <w:vertAlign w:val="superscript"/>
        </w:rPr>
        <w:footnoteRef/>
      </w:r>
      <w:r>
        <w:rPr>
          <w:sz w:val="20"/>
          <w:szCs w:val="20"/>
        </w:rPr>
        <w:t xml:space="preserve"> </w:t>
      </w:r>
      <w:r>
        <w:rPr>
          <w:sz w:val="20"/>
          <w:szCs w:val="20"/>
        </w:rPr>
        <w:t xml:space="preserve">Disponible en </w:t>
      </w:r>
      <w:hyperlink r:id="rId4">
        <w:r>
          <w:rPr>
            <w:color w:val="1155CC"/>
            <w:sz w:val="20"/>
            <w:szCs w:val="20"/>
            <w:u w:val="single"/>
          </w:rPr>
          <w:t>https://www.gub.uy/institucion-nacional-derechos-humanos-uruguay/comunicacion/noticias/culmino-ciclo-dialogos-inddhh-derechos-humanos-tiempos-pandemia</w:t>
        </w:r>
      </w:hyperlink>
    </w:p>
  </w:footnote>
  <w:footnote w:id="7">
    <w:p w:rsidR="00F54D7C" w:rsidRDefault="00000000">
      <w:pPr>
        <w:rPr>
          <w:sz w:val="20"/>
          <w:szCs w:val="20"/>
        </w:rPr>
      </w:pPr>
      <w:r>
        <w:rPr>
          <w:vertAlign w:val="superscript"/>
        </w:rPr>
        <w:footnoteRef/>
      </w:r>
      <w:r>
        <w:rPr>
          <w:sz w:val="20"/>
          <w:szCs w:val="20"/>
        </w:rPr>
        <w:t xml:space="preserve"> </w:t>
      </w:r>
      <w:r>
        <w:rPr>
          <w:sz w:val="20"/>
          <w:szCs w:val="20"/>
        </w:rPr>
        <w:t xml:space="preserve">Disponible en </w:t>
      </w:r>
      <w:hyperlink r:id="rId5">
        <w:r>
          <w:rPr>
            <w:color w:val="1155CC"/>
            <w:sz w:val="20"/>
            <w:szCs w:val="20"/>
            <w:u w:val="single"/>
          </w:rPr>
          <w:t>https://www.smu.org.uy/wpsmu/wp-content/uploads/2020/03/Declaracion-de-Sumefac-en-la-pandemia-Covid.19.pdf</w:t>
        </w:r>
      </w:hyperlink>
    </w:p>
  </w:footnote>
  <w:footnote w:id="8">
    <w:p w:rsidR="00F54D7C" w:rsidRDefault="00000000">
      <w:pPr>
        <w:rPr>
          <w:sz w:val="20"/>
          <w:szCs w:val="20"/>
        </w:rPr>
      </w:pPr>
      <w:r>
        <w:rPr>
          <w:vertAlign w:val="superscript"/>
        </w:rPr>
        <w:footnoteRef/>
      </w:r>
      <w:r>
        <w:rPr>
          <w:sz w:val="20"/>
          <w:szCs w:val="20"/>
        </w:rPr>
        <w:t xml:space="preserve"> </w:t>
      </w:r>
      <w:r>
        <w:rPr>
          <w:sz w:val="20"/>
          <w:szCs w:val="20"/>
        </w:rPr>
        <w:t xml:space="preserve">Disponible en </w:t>
      </w:r>
      <w:hyperlink r:id="rId6">
        <w:r>
          <w:rPr>
            <w:color w:val="1155CC"/>
            <w:sz w:val="20"/>
            <w:szCs w:val="20"/>
            <w:u w:val="single"/>
          </w:rPr>
          <w:t>https://ladiaria.com.uy/politica/articulo/2020/4/cese-de-funcionarios-del-msp-en-plena-emergencia-sanitaria-genera-malestar/</w:t>
        </w:r>
      </w:hyperlink>
    </w:p>
  </w:footnote>
  <w:footnote w:id="9">
    <w:p w:rsidR="00F54D7C" w:rsidRDefault="00000000">
      <w:pPr>
        <w:rPr>
          <w:sz w:val="20"/>
          <w:szCs w:val="20"/>
        </w:rPr>
      </w:pPr>
      <w:r>
        <w:rPr>
          <w:vertAlign w:val="superscript"/>
        </w:rPr>
        <w:footnoteRef/>
      </w:r>
      <w:r>
        <w:rPr>
          <w:sz w:val="20"/>
          <w:szCs w:val="20"/>
        </w:rPr>
        <w:t xml:space="preserve"> </w:t>
      </w:r>
      <w:r>
        <w:rPr>
          <w:sz w:val="20"/>
          <w:szCs w:val="20"/>
        </w:rPr>
        <w:t>Comedores populares operados por los propios vecinos y financiados por donaciones.</w:t>
      </w:r>
    </w:p>
  </w:footnote>
  <w:footnote w:id="10">
    <w:p w:rsidR="00F54D7C" w:rsidRDefault="00000000">
      <w:pPr>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16"/>
          <w:szCs w:val="16"/>
        </w:rPr>
        <w:t xml:space="preserve"> </w:t>
      </w:r>
      <w:hyperlink r:id="rId7">
        <w:r>
          <w:rPr>
            <w:rFonts w:ascii="Times New Roman" w:eastAsia="Times New Roman" w:hAnsi="Times New Roman" w:cs="Times New Roman"/>
            <w:color w:val="1155CC"/>
            <w:sz w:val="20"/>
            <w:szCs w:val="20"/>
            <w:u w:val="single"/>
          </w:rPr>
          <w:t>https://parlamento.gub.uy/noticiasyeventos/noticias/parlamento/680450</w:t>
        </w:r>
      </w:hyperlink>
    </w:p>
    <w:p w:rsidR="00F54D7C" w:rsidRDefault="00F54D7C">
      <w:pPr>
        <w:rPr>
          <w:rFonts w:ascii="Times New Roman" w:eastAsia="Times New Roman" w:hAnsi="Times New Roman" w:cs="Times New Roman"/>
          <w:sz w:val="20"/>
          <w:szCs w:val="20"/>
        </w:rPr>
      </w:pPr>
    </w:p>
    <w:p w:rsidR="00F54D7C" w:rsidRDefault="00F54D7C">
      <w:pPr>
        <w:rPr>
          <w:sz w:val="20"/>
          <w:szCs w:val="20"/>
        </w:rPr>
      </w:pPr>
    </w:p>
  </w:footnote>
  <w:footnote w:id="11">
    <w:p w:rsidR="00F54D7C" w:rsidRDefault="00000000">
      <w:pPr>
        <w:rPr>
          <w:sz w:val="20"/>
          <w:szCs w:val="20"/>
        </w:rPr>
      </w:pPr>
      <w:r>
        <w:rPr>
          <w:vertAlign w:val="superscript"/>
        </w:rPr>
        <w:footnoteRef/>
      </w:r>
      <w:r>
        <w:rPr>
          <w:sz w:val="20"/>
          <w:szCs w:val="20"/>
        </w:rPr>
        <w:t xml:space="preserve"> </w:t>
      </w:r>
      <w:r>
        <w:rPr>
          <w:sz w:val="20"/>
          <w:szCs w:val="20"/>
        </w:rPr>
        <w:t xml:space="preserve">Disponible en </w:t>
      </w:r>
      <w:hyperlink r:id="rId8">
        <w:r>
          <w:rPr>
            <w:color w:val="1155CC"/>
            <w:sz w:val="20"/>
            <w:szCs w:val="20"/>
            <w:u w:val="single"/>
          </w:rPr>
          <w:t>https://www.ohchr.org/es/press-releases/2023/07/un-experts-urge-uruguay-prioritise-water-use-human-consumption</w:t>
        </w:r>
      </w:hyperlink>
    </w:p>
    <w:p w:rsidR="00F54D7C" w:rsidRDefault="00F54D7C">
      <w:pPr>
        <w:rPr>
          <w:sz w:val="20"/>
          <w:szCs w:val="20"/>
        </w:rPr>
      </w:pPr>
    </w:p>
  </w:footnote>
  <w:footnote w:id="12">
    <w:p w:rsidR="00F54D7C" w:rsidRDefault="00000000">
      <w:pPr>
        <w:rPr>
          <w:rFonts w:ascii="Times New Roman" w:eastAsia="Times New Roman" w:hAnsi="Times New Roman" w:cs="Times New Roman"/>
          <w:sz w:val="18"/>
          <w:szCs w:val="18"/>
        </w:rPr>
      </w:pPr>
      <w:r>
        <w:rPr>
          <w:vertAlign w:val="superscript"/>
        </w:rPr>
        <w:footnoteRef/>
      </w:r>
      <w:r>
        <w:rPr>
          <w:sz w:val="20"/>
          <w:szCs w:val="20"/>
        </w:rPr>
        <w:t xml:space="preserve"> </w:t>
      </w:r>
      <w:hyperlink r:id="rId9">
        <w:r>
          <w:rPr>
            <w:rFonts w:ascii="Times New Roman" w:eastAsia="Times New Roman" w:hAnsi="Times New Roman" w:cs="Times New Roman"/>
            <w:color w:val="1155CC"/>
            <w:sz w:val="18"/>
            <w:szCs w:val="18"/>
            <w:u w:val="single"/>
          </w:rPr>
          <w:t>https://www.equalmeasures2030.org/wp-content/uploads/2023/06/Country_Profile_Uruguay.pdf</w:t>
        </w:r>
      </w:hyperlink>
    </w:p>
    <w:p w:rsidR="00F54D7C" w:rsidRDefault="00F54D7C">
      <w:pPr>
        <w:rPr>
          <w:rFonts w:ascii="Times New Roman" w:eastAsia="Times New Roman" w:hAnsi="Times New Roman" w:cs="Times New Roman"/>
          <w:sz w:val="18"/>
          <w:szCs w:val="18"/>
        </w:rPr>
      </w:pPr>
    </w:p>
    <w:p w:rsidR="00F54D7C" w:rsidRDefault="00F54D7C">
      <w:pPr>
        <w:rPr>
          <w:rFonts w:ascii="Times New Roman" w:eastAsia="Times New Roman" w:hAnsi="Times New Roman" w:cs="Times New Roman"/>
          <w:sz w:val="20"/>
          <w:szCs w:val="20"/>
        </w:rPr>
      </w:pPr>
    </w:p>
    <w:p w:rsidR="00F54D7C" w:rsidRDefault="00F54D7C">
      <w:pPr>
        <w:rPr>
          <w:sz w:val="20"/>
          <w:szCs w:val="20"/>
        </w:rPr>
      </w:pPr>
    </w:p>
  </w:footnote>
  <w:footnote w:id="13">
    <w:p w:rsidR="00F54D7C" w:rsidRDefault="00000000">
      <w:pPr>
        <w:rPr>
          <w:sz w:val="20"/>
          <w:szCs w:val="20"/>
        </w:rPr>
      </w:pPr>
      <w:r>
        <w:rPr>
          <w:vertAlign w:val="superscript"/>
        </w:rPr>
        <w:footnoteRef/>
      </w:r>
      <w:r>
        <w:rPr>
          <w:sz w:val="20"/>
          <w:szCs w:val="20"/>
        </w:rPr>
        <w:t xml:space="preserve"> </w:t>
      </w:r>
      <w:r>
        <w:rPr>
          <w:sz w:val="20"/>
          <w:szCs w:val="20"/>
        </w:rPr>
        <w:t xml:space="preserve">Disponible en </w:t>
      </w:r>
      <w:hyperlink r:id="rId10">
        <w:r>
          <w:rPr>
            <w:color w:val="1155CC"/>
            <w:sz w:val="20"/>
            <w:szCs w:val="20"/>
            <w:u w:val="single"/>
          </w:rPr>
          <w:t>https://www.impo.com.uy/bases/leyes/19580-2017</w:t>
        </w:r>
      </w:hyperlink>
    </w:p>
    <w:p w:rsidR="00F54D7C" w:rsidRDefault="00F54D7C">
      <w:pPr>
        <w:rPr>
          <w:sz w:val="20"/>
          <w:szCs w:val="20"/>
        </w:rPr>
      </w:pPr>
    </w:p>
  </w:footnote>
  <w:footnote w:id="14">
    <w:p w:rsidR="00F54D7C" w:rsidRDefault="00000000">
      <w:pPr>
        <w:rPr>
          <w:sz w:val="20"/>
          <w:szCs w:val="20"/>
        </w:rPr>
      </w:pPr>
      <w:r>
        <w:rPr>
          <w:vertAlign w:val="superscript"/>
        </w:rPr>
        <w:footnoteRef/>
      </w:r>
      <w:r>
        <w:rPr>
          <w:sz w:val="20"/>
          <w:szCs w:val="20"/>
        </w:rPr>
        <w:t xml:space="preserve"> </w:t>
      </w:r>
      <w:r>
        <w:rPr>
          <w:sz w:val="20"/>
          <w:szCs w:val="20"/>
        </w:rPr>
        <w:t xml:space="preserve">Disponible en : </w:t>
      </w:r>
      <w:hyperlink r:id="rId11">
        <w:r>
          <w:rPr>
            <w:color w:val="1155CC"/>
            <w:sz w:val="20"/>
            <w:szCs w:val="20"/>
            <w:u w:val="single"/>
          </w:rPr>
          <w:t>https://www.gub.uy/ministerio-desarrollo-social/sites/ministerio-desarrollo-social/files/documentos/publicaciones/Segunda%20encuesta%C2%A0naciona.pdf</w:t>
        </w:r>
      </w:hyperlink>
    </w:p>
    <w:p w:rsidR="00F54D7C" w:rsidRDefault="00F54D7C">
      <w:pPr>
        <w:rPr>
          <w:sz w:val="20"/>
          <w:szCs w:val="20"/>
        </w:rPr>
      </w:pPr>
    </w:p>
  </w:footnote>
  <w:footnote w:id="15">
    <w:p w:rsidR="00F54D7C" w:rsidRDefault="00000000">
      <w:pPr>
        <w:spacing w:line="276" w:lineRule="auto"/>
        <w:jc w:val="both"/>
        <w:rPr>
          <w:sz w:val="8"/>
          <w:szCs w:val="8"/>
        </w:rPr>
      </w:pPr>
      <w:r>
        <w:rPr>
          <w:vertAlign w:val="superscript"/>
        </w:rPr>
        <w:footnoteRef/>
      </w:r>
      <w:r>
        <w:rPr>
          <w:rFonts w:ascii="Times New Roman" w:eastAsia="Times New Roman" w:hAnsi="Times New Roman" w:cs="Times New Roman"/>
          <w:color w:val="434343"/>
          <w:vertAlign w:val="superscript"/>
        </w:rPr>
        <w:t>#</w:t>
      </w:r>
      <w:r>
        <w:rPr>
          <w:sz w:val="6"/>
          <w:szCs w:val="6"/>
        </w:rPr>
        <w:t xml:space="preserve"> </w:t>
      </w:r>
      <w:r>
        <w:rPr>
          <w:rFonts w:ascii="Times New Roman" w:eastAsia="Times New Roman" w:hAnsi="Times New Roman" w:cs="Times New Roman"/>
          <w:color w:val="262626"/>
          <w:sz w:val="19"/>
          <w:szCs w:val="19"/>
        </w:rPr>
        <w:t>La Asociación de Defensores Públicos del Uruguay (Adepu)</w:t>
      </w:r>
      <w:r>
        <w:rPr>
          <w:sz w:val="20"/>
          <w:szCs w:val="20"/>
        </w:rPr>
        <w:t xml:space="preserve"> </w:t>
      </w:r>
      <w:r>
        <w:rPr>
          <w:rFonts w:ascii="Times New Roman" w:eastAsia="Times New Roman" w:hAnsi="Times New Roman" w:cs="Times New Roman"/>
          <w:color w:val="262626"/>
          <w:sz w:val="21"/>
          <w:szCs w:val="21"/>
        </w:rPr>
        <w:t xml:space="preserve">“las graves barreras de acceso a la justicia de las mujeres, niñas, niños y adolescentes”. En particular, manifestaron “la grave situación de los Juzgados de Género de San Carlos” </w:t>
      </w:r>
      <w:hyperlink r:id="rId12">
        <w:r>
          <w:rPr>
            <w:rFonts w:ascii="Times New Roman" w:eastAsia="Times New Roman" w:hAnsi="Times New Roman" w:cs="Times New Roman"/>
            <w:color w:val="1155CC"/>
            <w:sz w:val="21"/>
            <w:szCs w:val="21"/>
            <w:u w:val="single"/>
          </w:rPr>
          <w:t>https://ladiaria.com.uy/justicia/articulo/2023/3/defensores-publicos-denunciaron-la-grave-situacion-de-los-juzgados-de-genero-de-san-carlos-y-altisima-sobrecarga-laboral/</w:t>
        </w:r>
      </w:hyperlink>
    </w:p>
  </w:footnote>
  <w:footnote w:id="16">
    <w:p w:rsidR="00F54D7C" w:rsidRDefault="00000000">
      <w:pPr>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Disponible en :</w:t>
      </w:r>
      <w:hyperlink r:id="rId13">
        <w:r>
          <w:rPr>
            <w:rFonts w:ascii="Times New Roman" w:eastAsia="Times New Roman" w:hAnsi="Times New Roman" w:cs="Times New Roman"/>
            <w:color w:val="1155CC"/>
            <w:sz w:val="18"/>
            <w:szCs w:val="18"/>
            <w:u w:val="single"/>
          </w:rPr>
          <w:t>https://www.minterior.gub.uy/index.php?option=com_content&amp;view=article&amp;id=9469</w:t>
        </w:r>
      </w:hyperlink>
    </w:p>
  </w:footnote>
  <w:footnote w:id="17">
    <w:p w:rsidR="00F54D7C" w:rsidRDefault="00000000">
      <w:pPr>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 xml:space="preserve">Resolución 760/2019 https:// </w:t>
      </w:r>
      <w:hyperlink r:id="rId14">
        <w:r>
          <w:rPr>
            <w:rFonts w:ascii="Times New Roman" w:eastAsia="Times New Roman" w:hAnsi="Times New Roman" w:cs="Times New Roman"/>
            <w:color w:val="1155CC"/>
            <w:sz w:val="18"/>
            <w:szCs w:val="18"/>
            <w:u w:val="single"/>
          </w:rPr>
          <w:t>www.impo.com.uy</w:t>
        </w:r>
      </w:hyperlink>
      <w:r>
        <w:rPr>
          <w:rFonts w:ascii="Times New Roman" w:eastAsia="Times New Roman" w:hAnsi="Times New Roman" w:cs="Times New Roman"/>
          <w:sz w:val="18"/>
          <w:szCs w:val="18"/>
        </w:rPr>
        <w:t>&gt;bases</w:t>
      </w:r>
    </w:p>
    <w:p w:rsidR="00F54D7C" w:rsidRDefault="00F54D7C">
      <w:pPr>
        <w:rPr>
          <w:sz w:val="20"/>
          <w:szCs w:val="20"/>
        </w:rPr>
      </w:pPr>
    </w:p>
  </w:footnote>
  <w:footnote w:id="18">
    <w:p w:rsidR="00F54D7C" w:rsidRDefault="00000000">
      <w:pPr>
        <w:rPr>
          <w:sz w:val="26"/>
          <w:szCs w:val="26"/>
          <w:vertAlign w:val="superscript"/>
        </w:rPr>
      </w:pPr>
      <w:r>
        <w:rPr>
          <w:vertAlign w:val="superscript"/>
        </w:rPr>
        <w:footnoteRef/>
      </w:r>
      <w:r>
        <w:rPr>
          <w:rFonts w:ascii="Times New Roman" w:eastAsia="Times New Roman" w:hAnsi="Times New Roman" w:cs="Times New Roman"/>
          <w:sz w:val="18"/>
          <w:szCs w:val="18"/>
          <w:vertAlign w:val="superscript"/>
        </w:rPr>
        <w:t xml:space="preserve">  </w:t>
      </w:r>
      <w:r>
        <w:rPr>
          <w:rFonts w:ascii="Times New Roman" w:eastAsia="Times New Roman" w:hAnsi="Times New Roman" w:cs="Times New Roman"/>
          <w:sz w:val="20"/>
          <w:szCs w:val="20"/>
          <w:vertAlign w:val="superscript"/>
        </w:rPr>
        <w:t xml:space="preserve">Disponible </w:t>
      </w:r>
      <w:hyperlink r:id="rId15">
        <w:r>
          <w:rPr>
            <w:rFonts w:ascii="Times New Roman" w:eastAsia="Times New Roman" w:hAnsi="Times New Roman" w:cs="Times New Roman"/>
            <w:color w:val="1155CC"/>
            <w:sz w:val="22"/>
            <w:szCs w:val="22"/>
            <w:u w:val="single"/>
            <w:vertAlign w:val="superscript"/>
          </w:rPr>
          <w:t>https://ladiaria.com.uy/feminismos/articulo/2023/7/entre-2001-y-2022-fueron-asesinadas-615-mujeres-por-motivos-de-genero-segun-el-registro-de-feminicidio-uruguay/</w:t>
        </w:r>
      </w:hyperlink>
    </w:p>
  </w:footnote>
  <w:footnote w:id="19">
    <w:p w:rsidR="00F54D7C" w:rsidRDefault="00000000">
      <w:pPr>
        <w:rPr>
          <w:sz w:val="18"/>
          <w:szCs w:val="18"/>
        </w:rPr>
      </w:pPr>
      <w:r>
        <w:rPr>
          <w:vertAlign w:val="superscript"/>
        </w:rPr>
        <w:footnoteRef/>
      </w:r>
      <w:r>
        <w:rPr>
          <w:sz w:val="20"/>
          <w:szCs w:val="20"/>
        </w:rPr>
        <w:t xml:space="preserve"> </w:t>
      </w:r>
      <w:hyperlink r:id="rId16">
        <w:r>
          <w:rPr>
            <w:color w:val="1155CC"/>
            <w:sz w:val="18"/>
            <w:szCs w:val="18"/>
            <w:u w:val="single"/>
          </w:rPr>
          <w:t>https://ladiaria.com.uy/justicia/articulo/2023/8/tentativa-de-femicidio-una-mujer-esta-grave-tras-ser-baleada-por-su-pareja-que-luego-se-suicido/</w:t>
        </w:r>
      </w:hyperlink>
    </w:p>
    <w:p w:rsidR="00F54D7C" w:rsidRDefault="00F54D7C">
      <w:pPr>
        <w:rPr>
          <w:sz w:val="18"/>
          <w:szCs w:val="18"/>
        </w:rPr>
      </w:pPr>
    </w:p>
  </w:footnote>
  <w:footnote w:id="20">
    <w:p w:rsidR="00F54D7C" w:rsidRDefault="00000000">
      <w:pPr>
        <w:rPr>
          <w:rFonts w:ascii="Times New Roman" w:eastAsia="Times New Roman" w:hAnsi="Times New Roman" w:cs="Times New Roman"/>
          <w:sz w:val="16"/>
          <w:szCs w:val="16"/>
        </w:rPr>
      </w:pPr>
      <w:r>
        <w:rPr>
          <w:vertAlign w:val="superscript"/>
        </w:rPr>
        <w:footnoteRef/>
      </w:r>
      <w:r>
        <w:rPr>
          <w:sz w:val="16"/>
          <w:szCs w:val="16"/>
        </w:rPr>
        <w:t xml:space="preserve"> </w:t>
      </w:r>
      <w:r>
        <w:rPr>
          <w:sz w:val="16"/>
          <w:szCs w:val="16"/>
        </w:rPr>
        <w:t xml:space="preserve">Segunda Encuesta Nacional de Prevalencia sobre Violencia basada en Género y Generaciones 2019 Disponible en </w:t>
      </w:r>
      <w:hyperlink r:id="rId17">
        <w:r>
          <w:rPr>
            <w:rFonts w:ascii="Times New Roman" w:eastAsia="Times New Roman" w:hAnsi="Times New Roman" w:cs="Times New Roman"/>
            <w:color w:val="1155CC"/>
            <w:sz w:val="16"/>
            <w:szCs w:val="16"/>
            <w:u w:val="single"/>
          </w:rPr>
          <w:t>https://www.gub.uy/ministerio-desarrollo-social/sites/ministerio-desarrollo-social/files/documentos/publicaciones/Segunda%20encuesta%C2%A0naciona.pdf</w:t>
        </w:r>
      </w:hyperlink>
      <w:r>
        <w:rPr>
          <w:rFonts w:ascii="Times New Roman" w:eastAsia="Times New Roman" w:hAnsi="Times New Roman" w:cs="Times New Roman"/>
          <w:sz w:val="16"/>
          <w:szCs w:val="16"/>
        </w:rPr>
        <w:t xml:space="preserve"> </w:t>
      </w:r>
    </w:p>
  </w:footnote>
  <w:footnote w:id="21">
    <w:p w:rsidR="00F54D7C" w:rsidRDefault="00000000">
      <w:pPr>
        <w:rPr>
          <w:rFonts w:ascii="Times New Roman" w:eastAsia="Times New Roman" w:hAnsi="Times New Roman" w:cs="Times New Roman"/>
          <w:sz w:val="18"/>
          <w:szCs w:val="18"/>
        </w:rPr>
      </w:pPr>
      <w:r>
        <w:rPr>
          <w:vertAlign w:val="superscript"/>
        </w:rPr>
        <w:footnoteRef/>
      </w:r>
      <w:r>
        <w:rPr>
          <w:sz w:val="20"/>
          <w:szCs w:val="20"/>
        </w:rPr>
        <w:t xml:space="preserve"> </w:t>
      </w:r>
      <w:hyperlink r:id="rId18">
        <w:r>
          <w:rPr>
            <w:rFonts w:ascii="Times New Roman" w:eastAsia="Times New Roman" w:hAnsi="Times New Roman" w:cs="Times New Roman"/>
            <w:color w:val="1155CC"/>
            <w:sz w:val="18"/>
            <w:szCs w:val="18"/>
            <w:u w:val="single"/>
          </w:rPr>
          <w:t>https://www.equalmeasures2030.org/2022-sdg-gender-index/</w:t>
        </w:r>
      </w:hyperlink>
      <w:r>
        <w:rPr>
          <w:sz w:val="20"/>
          <w:szCs w:val="20"/>
        </w:rPr>
        <w:t xml:space="preserve">   </w:t>
      </w:r>
      <w:hyperlink r:id="rId19">
        <w:r>
          <w:rPr>
            <w:rFonts w:ascii="Times New Roman" w:eastAsia="Times New Roman" w:hAnsi="Times New Roman" w:cs="Times New Roman"/>
            <w:color w:val="1155CC"/>
            <w:sz w:val="18"/>
            <w:szCs w:val="18"/>
            <w:u w:val="single"/>
          </w:rPr>
          <w:t>https://www.equalmeasures2030.org/wp-content/uploads/2023/06/Country_Profile_Uruguay.pdf</w:t>
        </w:r>
      </w:hyperlink>
    </w:p>
    <w:p w:rsidR="00F54D7C" w:rsidRDefault="00F54D7C">
      <w:pPr>
        <w:rPr>
          <w:sz w:val="20"/>
          <w:szCs w:val="20"/>
        </w:rPr>
      </w:pPr>
    </w:p>
    <w:p w:rsidR="00F54D7C" w:rsidRDefault="00F54D7C">
      <w:pPr>
        <w:rPr>
          <w:sz w:val="20"/>
          <w:szCs w:val="20"/>
        </w:rPr>
      </w:pPr>
    </w:p>
  </w:footnote>
  <w:footnote w:id="22">
    <w:p w:rsidR="00F54D7C" w:rsidRDefault="00000000">
      <w:pPr>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16"/>
          <w:szCs w:val="16"/>
        </w:rPr>
        <w:t>Disponible en :</w:t>
      </w:r>
      <w:hyperlink r:id="rId20">
        <w:r>
          <w:rPr>
            <w:rFonts w:ascii="Times New Roman" w:eastAsia="Times New Roman" w:hAnsi="Times New Roman" w:cs="Times New Roman"/>
            <w:color w:val="1155CC"/>
            <w:sz w:val="16"/>
            <w:szCs w:val="16"/>
            <w:u w:val="single"/>
          </w:rPr>
          <w:t>https://www.gub.uy/ministerio-desarrollo-social/tematica/violencia-domestica</w:t>
        </w:r>
      </w:hyperlink>
    </w:p>
  </w:footnote>
  <w:footnote w:id="23">
    <w:p w:rsidR="00F54D7C" w:rsidRDefault="00000000">
      <w:pPr>
        <w:rPr>
          <w:rFonts w:ascii="Times New Roman" w:eastAsia="Times New Roman" w:hAnsi="Times New Roman" w:cs="Times New Roman"/>
          <w:sz w:val="18"/>
          <w:szCs w:val="18"/>
        </w:rPr>
      </w:pPr>
      <w:r>
        <w:rPr>
          <w:vertAlign w:val="superscript"/>
        </w:rPr>
        <w:footnoteRef/>
      </w:r>
      <w:r>
        <w:rPr>
          <w:sz w:val="20"/>
          <w:szCs w:val="20"/>
        </w:rPr>
        <w:t xml:space="preserve"> </w:t>
      </w:r>
      <w:r>
        <w:rPr>
          <w:rFonts w:ascii="Times New Roman" w:eastAsia="Times New Roman" w:hAnsi="Times New Roman" w:cs="Times New Roman"/>
          <w:sz w:val="18"/>
          <w:szCs w:val="18"/>
        </w:rPr>
        <w:t>Disponible en :</w:t>
      </w:r>
      <w:hyperlink r:id="rId21">
        <w:r>
          <w:rPr>
            <w:rFonts w:ascii="Times New Roman" w:eastAsia="Times New Roman" w:hAnsi="Times New Roman" w:cs="Times New Roman"/>
            <w:color w:val="1155CC"/>
            <w:sz w:val="18"/>
            <w:szCs w:val="18"/>
            <w:u w:val="single"/>
          </w:rPr>
          <w:t>https://portal.inau.gub.uy/sipiav</w:t>
        </w:r>
      </w:hyperlink>
    </w:p>
  </w:footnote>
  <w:footnote w:id="24">
    <w:p w:rsidR="00F54D7C" w:rsidRDefault="00000000">
      <w:pPr>
        <w:rPr>
          <w:rFonts w:ascii="Times New Roman" w:eastAsia="Times New Roman" w:hAnsi="Times New Roman" w:cs="Times New Roman"/>
          <w:sz w:val="18"/>
          <w:szCs w:val="18"/>
        </w:rPr>
      </w:pPr>
      <w:r>
        <w:rPr>
          <w:vertAlign w:val="superscript"/>
        </w:rPr>
        <w:footnoteRef/>
      </w:r>
      <w:r>
        <w:rPr>
          <w:sz w:val="20"/>
          <w:szCs w:val="20"/>
        </w:rPr>
        <w:t xml:space="preserve"> </w:t>
      </w:r>
      <w:hyperlink r:id="rId22">
        <w:r>
          <w:rPr>
            <w:rFonts w:ascii="Times New Roman" w:eastAsia="Times New Roman" w:hAnsi="Times New Roman" w:cs="Times New Roman"/>
            <w:color w:val="1155CC"/>
            <w:sz w:val="18"/>
            <w:szCs w:val="18"/>
            <w:u w:val="single"/>
          </w:rPr>
          <w:t>https://cladem.org/investigaciones/</w:t>
        </w:r>
      </w:hyperlink>
    </w:p>
    <w:p w:rsidR="00F54D7C" w:rsidRDefault="00F54D7C">
      <w:pPr>
        <w:rPr>
          <w:sz w:val="20"/>
          <w:szCs w:val="20"/>
        </w:rPr>
      </w:pPr>
    </w:p>
  </w:footnote>
  <w:footnote w:id="25">
    <w:p w:rsidR="00F54D7C" w:rsidRDefault="00000000">
      <w:pPr>
        <w:rPr>
          <w:sz w:val="20"/>
          <w:szCs w:val="20"/>
        </w:rPr>
      </w:pPr>
      <w:r>
        <w:rPr>
          <w:vertAlign w:val="superscript"/>
        </w:rPr>
        <w:footnoteRef/>
      </w:r>
      <w:r>
        <w:rPr>
          <w:sz w:val="20"/>
          <w:szCs w:val="20"/>
        </w:rPr>
        <w:t xml:space="preserve"> </w:t>
      </w:r>
      <w:r>
        <w:rPr>
          <w:sz w:val="20"/>
          <w:szCs w:val="20"/>
        </w:rPr>
        <w:t xml:space="preserve">Disponible en </w:t>
      </w:r>
      <w:hyperlink r:id="rId23">
        <w:r>
          <w:rPr>
            <w:color w:val="1155CC"/>
            <w:sz w:val="20"/>
            <w:szCs w:val="20"/>
            <w:u w:val="single"/>
          </w:rPr>
          <w:t>https://www.impo.com.uy/bases/leyes/19643-2018</w:t>
        </w:r>
      </w:hyperlink>
    </w:p>
  </w:footnote>
  <w:footnote w:id="26">
    <w:p w:rsidR="00F54D7C" w:rsidRDefault="00000000">
      <w:pPr>
        <w:rPr>
          <w:sz w:val="20"/>
          <w:szCs w:val="20"/>
        </w:rPr>
      </w:pPr>
      <w:r>
        <w:rPr>
          <w:vertAlign w:val="superscript"/>
        </w:rPr>
        <w:footnoteRef/>
      </w:r>
      <w:r>
        <w:rPr>
          <w:sz w:val="20"/>
          <w:szCs w:val="20"/>
        </w:rPr>
        <w:t xml:space="preserve"> </w:t>
      </w:r>
      <w:r>
        <w:rPr>
          <w:sz w:val="20"/>
          <w:szCs w:val="20"/>
        </w:rPr>
        <w:t xml:space="preserve">Disponible en </w:t>
      </w:r>
      <w:hyperlink r:id="rId24">
        <w:r>
          <w:rPr>
            <w:color w:val="1155CC"/>
            <w:sz w:val="20"/>
            <w:szCs w:val="20"/>
            <w:u w:val="single"/>
          </w:rPr>
          <w:t>https://ladiaria.com.uy/feminismos/articulo/2023/8/300-mujeres-en-situacion-de-trata-fueron-asistidas-por-los-servicios-de-inmujeres-entre-2018-y-2022/</w:t>
        </w:r>
      </w:hyperlink>
    </w:p>
  </w:footnote>
  <w:footnote w:id="27">
    <w:p w:rsidR="00F54D7C" w:rsidRDefault="00000000">
      <w:pPr>
        <w:rPr>
          <w:sz w:val="18"/>
          <w:szCs w:val="18"/>
        </w:rPr>
      </w:pPr>
      <w:r>
        <w:rPr>
          <w:vertAlign w:val="superscript"/>
        </w:rPr>
        <w:footnoteRef/>
      </w:r>
      <w:r>
        <w:rPr>
          <w:sz w:val="20"/>
          <w:szCs w:val="20"/>
        </w:rPr>
        <w:t xml:space="preserve"> </w:t>
      </w:r>
      <w:hyperlink r:id="rId25">
        <w:r>
          <w:rPr>
            <w:rFonts w:ascii="Arial" w:eastAsia="Arial" w:hAnsi="Arial" w:cs="Arial"/>
            <w:color w:val="434343"/>
            <w:sz w:val="18"/>
            <w:szCs w:val="18"/>
            <w:u w:val="single"/>
          </w:rPr>
          <w:t>https://dondeestannuestrasgurisas.org/nosotras/</w:t>
        </w:r>
      </w:hyperlink>
    </w:p>
  </w:footnote>
  <w:footnote w:id="28">
    <w:p w:rsidR="00F54D7C" w:rsidRDefault="00000000">
      <w:pPr>
        <w:rPr>
          <w:sz w:val="20"/>
          <w:szCs w:val="20"/>
        </w:rPr>
      </w:pPr>
      <w:r>
        <w:rPr>
          <w:vertAlign w:val="superscript"/>
        </w:rPr>
        <w:footnoteRef/>
      </w:r>
      <w:r>
        <w:rPr>
          <w:sz w:val="20"/>
          <w:szCs w:val="20"/>
        </w:rPr>
        <w:t xml:space="preserve"> </w:t>
      </w:r>
      <w:hyperlink r:id="rId26">
        <w:r>
          <w:rPr>
            <w:color w:val="1155CC"/>
            <w:sz w:val="20"/>
            <w:szCs w:val="20"/>
            <w:u w:val="single"/>
          </w:rPr>
          <w:t>https://www.minterior.gub.uy/index.php?option=com_content&amp;view=article&amp;id=1986</w:t>
        </w:r>
      </w:hyperlink>
    </w:p>
    <w:p w:rsidR="00F54D7C" w:rsidRDefault="00F54D7C">
      <w:pPr>
        <w:rPr>
          <w:sz w:val="20"/>
          <w:szCs w:val="20"/>
        </w:rPr>
      </w:pPr>
    </w:p>
  </w:footnote>
  <w:footnote w:id="29">
    <w:p w:rsidR="00F54D7C" w:rsidRDefault="00000000">
      <w:pPr>
        <w:rPr>
          <w:sz w:val="20"/>
          <w:szCs w:val="20"/>
        </w:rPr>
      </w:pPr>
      <w:r>
        <w:rPr>
          <w:vertAlign w:val="superscript"/>
        </w:rPr>
        <w:footnoteRef/>
      </w:r>
      <w:r>
        <w:rPr>
          <w:sz w:val="20"/>
          <w:szCs w:val="20"/>
        </w:rPr>
        <w:t xml:space="preserve"> </w:t>
      </w:r>
      <w:r>
        <w:rPr>
          <w:rFonts w:ascii="Times New Roman" w:eastAsia="Times New Roman" w:hAnsi="Times New Roman" w:cs="Times New Roman"/>
          <w:color w:val="262626"/>
          <w:sz w:val="18"/>
          <w:szCs w:val="18"/>
        </w:rPr>
        <w:t xml:space="preserve">Informe </w:t>
      </w:r>
      <w:hyperlink r:id="rId27">
        <w:r>
          <w:rPr>
            <w:rFonts w:ascii="Times New Roman" w:eastAsia="Times New Roman" w:hAnsi="Times New Roman" w:cs="Times New Roman"/>
            <w:i/>
            <w:color w:val="595959"/>
            <w:sz w:val="18"/>
            <w:szCs w:val="18"/>
            <w:u w:val="single"/>
          </w:rPr>
          <w:t>Dueños de personas, personas con dueño</w:t>
        </w:r>
      </w:hyperlink>
      <w:hyperlink r:id="rId28">
        <w:r>
          <w:rPr>
            <w:rFonts w:ascii="Times New Roman" w:eastAsia="Times New Roman" w:hAnsi="Times New Roman" w:cs="Times New Roman"/>
            <w:color w:val="595959"/>
            <w:sz w:val="18"/>
            <w:szCs w:val="18"/>
            <w:u w:val="single"/>
          </w:rPr>
          <w:t xml:space="preserve"> de la asociación civil El Paso,  2020</w:t>
        </w:r>
      </w:hyperlink>
      <w:r>
        <w:rPr>
          <w:sz w:val="20"/>
          <w:szCs w:val="20"/>
        </w:rPr>
        <w:t xml:space="preserve"> </w:t>
      </w:r>
    </w:p>
  </w:footnote>
  <w:footnote w:id="30">
    <w:p w:rsidR="00F54D7C" w:rsidRDefault="00000000">
      <w:pPr>
        <w:rPr>
          <w:rFonts w:ascii="Times New Roman" w:eastAsia="Times New Roman" w:hAnsi="Times New Roman" w:cs="Times New Roman"/>
          <w:color w:val="262626"/>
          <w:sz w:val="18"/>
          <w:szCs w:val="18"/>
        </w:rPr>
      </w:pPr>
      <w:r>
        <w:rPr>
          <w:vertAlign w:val="superscript"/>
        </w:rPr>
        <w:footnoteRef/>
      </w:r>
      <w:r>
        <w:rPr>
          <w:rFonts w:ascii="Times New Roman" w:eastAsia="Times New Roman" w:hAnsi="Times New Roman" w:cs="Times New Roman"/>
          <w:color w:val="262626"/>
          <w:sz w:val="18"/>
          <w:szCs w:val="18"/>
        </w:rPr>
        <w:t>https://www.m24.com.uy/no-hay-una-partida-especifica-del-mides-para-luchar-contra-la-trata-con-fines-de-explotacion-sexual-pese-a-que-ley-lo-preve-reclama-colectivo/</w:t>
      </w:r>
    </w:p>
    <w:p w:rsidR="00F54D7C" w:rsidRDefault="00F54D7C">
      <w:pPr>
        <w:rPr>
          <w:rFonts w:ascii="Times New Roman" w:eastAsia="Times New Roman" w:hAnsi="Times New Roman" w:cs="Times New Roman"/>
          <w:color w:val="262626"/>
          <w:sz w:val="18"/>
          <w:szCs w:val="18"/>
        </w:rPr>
      </w:pPr>
    </w:p>
    <w:p w:rsidR="00F54D7C" w:rsidRDefault="00F54D7C">
      <w:pPr>
        <w:rPr>
          <w:sz w:val="20"/>
          <w:szCs w:val="20"/>
        </w:rPr>
      </w:pPr>
    </w:p>
  </w:footnote>
  <w:footnote w:id="31">
    <w:p w:rsidR="00F54D7C" w:rsidRDefault="00000000">
      <w:pPr>
        <w:rPr>
          <w:sz w:val="20"/>
          <w:szCs w:val="20"/>
        </w:rPr>
      </w:pPr>
      <w:r>
        <w:rPr>
          <w:vertAlign w:val="superscript"/>
        </w:rPr>
        <w:footnoteRef/>
      </w:r>
      <w:r>
        <w:rPr>
          <w:sz w:val="20"/>
          <w:szCs w:val="20"/>
        </w:rPr>
        <w:t xml:space="preserve"> </w:t>
      </w:r>
      <w:r>
        <w:rPr>
          <w:sz w:val="20"/>
          <w:szCs w:val="20"/>
        </w:rPr>
        <w:t xml:space="preserve">El lugar de las mujeres uruguayas en los lugares de decisión. ONU mujeres (2021) </w:t>
      </w:r>
      <w:hyperlink r:id="rId29">
        <w:r>
          <w:rPr>
            <w:color w:val="1155CC"/>
            <w:sz w:val="20"/>
            <w:szCs w:val="20"/>
            <w:u w:val="single"/>
          </w:rPr>
          <w:t>https://lac.unwomen.org/sites/default/files/Field%20Office%20Americas/Documentos/Publicaciones/2021/03/El%20lugar%20de%20las%20mujeres%20uruguayas%20RV%20v03%20WEB.pdf</w:t>
        </w:r>
      </w:hyperlink>
    </w:p>
    <w:p w:rsidR="00F54D7C" w:rsidRDefault="00F54D7C">
      <w:pPr>
        <w:rPr>
          <w:sz w:val="20"/>
          <w:szCs w:val="20"/>
        </w:rPr>
      </w:pPr>
    </w:p>
  </w:footnote>
  <w:footnote w:id="32">
    <w:p w:rsidR="00F54D7C" w:rsidRDefault="00000000">
      <w:pPr>
        <w:rPr>
          <w:sz w:val="20"/>
          <w:szCs w:val="20"/>
        </w:rPr>
      </w:pPr>
      <w:r>
        <w:rPr>
          <w:vertAlign w:val="superscript"/>
        </w:rPr>
        <w:footnoteRef/>
      </w:r>
      <w:r>
        <w:rPr>
          <w:sz w:val="20"/>
          <w:szCs w:val="20"/>
        </w:rPr>
        <w:t xml:space="preserve"> </w:t>
      </w:r>
      <w:hyperlink r:id="rId30">
        <w:r>
          <w:rPr>
            <w:color w:val="1155CC"/>
            <w:sz w:val="20"/>
            <w:szCs w:val="20"/>
            <w:u w:val="single"/>
          </w:rPr>
          <w:t>https://www.impo.com.uy/bases/leyes/18476-2009</w:t>
        </w:r>
      </w:hyperlink>
    </w:p>
    <w:p w:rsidR="00F54D7C" w:rsidRDefault="00F54D7C">
      <w:pPr>
        <w:rPr>
          <w:sz w:val="20"/>
          <w:szCs w:val="20"/>
        </w:rPr>
      </w:pPr>
    </w:p>
  </w:footnote>
  <w:footnote w:id="33">
    <w:p w:rsidR="00F54D7C" w:rsidRDefault="00000000">
      <w:pPr>
        <w:rPr>
          <w:sz w:val="20"/>
          <w:szCs w:val="20"/>
        </w:rPr>
      </w:pPr>
      <w:r>
        <w:rPr>
          <w:vertAlign w:val="superscript"/>
        </w:rPr>
        <w:footnoteRef/>
      </w:r>
      <w:r>
        <w:rPr>
          <w:sz w:val="20"/>
          <w:szCs w:val="20"/>
        </w:rPr>
        <w:t xml:space="preserve"> </w:t>
      </w:r>
      <w:hyperlink r:id="rId31">
        <w:r>
          <w:rPr>
            <w:color w:val="1155CC"/>
            <w:sz w:val="20"/>
            <w:szCs w:val="20"/>
            <w:u w:val="single"/>
          </w:rPr>
          <w:t>https://ladiaria.com.uy/politica/articulo/2023/7/polemica-en-comision-domenech-dijo-que-proyecto-de-paridad-de-gloria-rodriguez-es-fascista-y-luego-de-intensa-discusion-golpeo-la-mesa-y-se-retiro/</w:t>
        </w:r>
      </w:hyperlink>
    </w:p>
    <w:p w:rsidR="00F54D7C" w:rsidRDefault="00F54D7C">
      <w:pPr>
        <w:rPr>
          <w:sz w:val="20"/>
          <w:szCs w:val="20"/>
        </w:rPr>
      </w:pPr>
    </w:p>
  </w:footnote>
  <w:footnote w:id="34">
    <w:p w:rsidR="00F54D7C" w:rsidRDefault="00000000">
      <w:pPr>
        <w:rPr>
          <w:sz w:val="20"/>
          <w:szCs w:val="20"/>
        </w:rPr>
      </w:pPr>
      <w:r>
        <w:rPr>
          <w:vertAlign w:val="superscript"/>
        </w:rPr>
        <w:footnoteRef/>
      </w:r>
      <w:r>
        <w:rPr>
          <w:sz w:val="20"/>
          <w:szCs w:val="20"/>
        </w:rPr>
        <w:t xml:space="preserve"> </w:t>
      </w:r>
      <w:hyperlink r:id="rId32">
        <w:r>
          <w:rPr>
            <w:color w:val="1155CC"/>
            <w:sz w:val="20"/>
            <w:szCs w:val="20"/>
            <w:u w:val="single"/>
          </w:rPr>
          <w:t>https://www.gub.uy/institucion-nacional-derechos-humanos-uruguay/comunicacion/publicaciones/informe-opinion-inddhh-sobre-proyectos-ley-participacion-politica</w:t>
        </w:r>
      </w:hyperlink>
    </w:p>
    <w:p w:rsidR="00F54D7C" w:rsidRDefault="00F54D7C">
      <w:pPr>
        <w:rPr>
          <w:sz w:val="20"/>
          <w:szCs w:val="20"/>
        </w:rPr>
      </w:pPr>
    </w:p>
  </w:footnote>
  <w:footnote w:id="35">
    <w:p w:rsidR="00F54D7C" w:rsidRDefault="00000000">
      <w:pPr>
        <w:rPr>
          <w:sz w:val="20"/>
          <w:szCs w:val="20"/>
        </w:rPr>
      </w:pPr>
      <w:r>
        <w:rPr>
          <w:vertAlign w:val="superscript"/>
        </w:rPr>
        <w:footnoteRef/>
      </w:r>
      <w:r>
        <w:rPr>
          <w:sz w:val="20"/>
          <w:szCs w:val="20"/>
        </w:rPr>
        <w:t xml:space="preserve"> </w:t>
      </w:r>
      <w:hyperlink r:id="rId33">
        <w:r>
          <w:rPr>
            <w:color w:val="1155CC"/>
            <w:sz w:val="20"/>
            <w:szCs w:val="20"/>
            <w:u w:val="single"/>
          </w:rPr>
          <w:t>https://ladiaria.com.uy/educacion/articulo/2022/5/cdc-de-la-udelar-desestimo-pedido-de-destitucion-a-martin-sambarino-pero-entendio-que-cometio-una-conducta-inapropiada-grave-y-pasible-de-sancion/</w:t>
        </w:r>
      </w:hyperlink>
    </w:p>
    <w:p w:rsidR="00F54D7C" w:rsidRDefault="00F54D7C">
      <w:pPr>
        <w:rPr>
          <w:sz w:val="20"/>
          <w:szCs w:val="20"/>
        </w:rPr>
      </w:pPr>
    </w:p>
  </w:footnote>
  <w:footnote w:id="36">
    <w:p w:rsidR="00F54D7C" w:rsidRDefault="00000000">
      <w:pPr>
        <w:rPr>
          <w:sz w:val="20"/>
          <w:szCs w:val="20"/>
        </w:rPr>
      </w:pPr>
      <w:r>
        <w:rPr>
          <w:vertAlign w:val="superscript"/>
        </w:rPr>
        <w:footnoteRef/>
      </w:r>
      <w:r>
        <w:rPr>
          <w:sz w:val="20"/>
          <w:szCs w:val="20"/>
        </w:rPr>
        <w:t xml:space="preserve">  </w:t>
      </w:r>
      <w:hyperlink r:id="rId34">
        <w:r>
          <w:rPr>
            <w:color w:val="1155CC"/>
            <w:sz w:val="20"/>
            <w:szCs w:val="20"/>
            <w:u w:val="single"/>
          </w:rPr>
          <w:t>www.poderjudicial.gub.uy</w:t>
        </w:r>
      </w:hyperlink>
      <w:r>
        <w:rPr>
          <w:sz w:val="20"/>
          <w:szCs w:val="20"/>
        </w:rPr>
        <w:t xml:space="preserve"> Acordadas y circulares https capacitación //</w:t>
      </w:r>
      <w:hyperlink r:id="rId35">
        <w:r>
          <w:rPr>
            <w:color w:val="1155CC"/>
            <w:sz w:val="20"/>
            <w:szCs w:val="20"/>
            <w:u w:val="single"/>
          </w:rPr>
          <w:t>www.poderjudicial.gub.uy/capacitacion.html</w:t>
        </w:r>
      </w:hyperlink>
    </w:p>
    <w:p w:rsidR="00F54D7C" w:rsidRDefault="00F54D7C">
      <w:pPr>
        <w:rPr>
          <w:sz w:val="20"/>
          <w:szCs w:val="20"/>
        </w:rPr>
      </w:pPr>
    </w:p>
  </w:footnote>
  <w:footnote w:id="37">
    <w:p w:rsidR="00F54D7C" w:rsidRDefault="00000000">
      <w:pPr>
        <w:rPr>
          <w:sz w:val="20"/>
          <w:szCs w:val="20"/>
        </w:rPr>
      </w:pPr>
      <w:r>
        <w:rPr>
          <w:vertAlign w:val="superscript"/>
        </w:rPr>
        <w:footnoteRef/>
      </w:r>
      <w:r>
        <w:rPr>
          <w:sz w:val="20"/>
          <w:szCs w:val="20"/>
        </w:rPr>
        <w:t xml:space="preserve"> </w:t>
      </w:r>
      <w:hyperlink r:id="rId36">
        <w:r>
          <w:rPr>
            <w:color w:val="1155CC"/>
            <w:sz w:val="20"/>
            <w:szCs w:val="20"/>
            <w:u w:val="single"/>
          </w:rPr>
          <w:t>https://ladiaria.com.uy/justicia/articulo/2022/3/la-scj-aprobo-un-nuevo-sistema-de-ascensos-para-los-jueces/</w:t>
        </w:r>
      </w:hyperlink>
    </w:p>
    <w:p w:rsidR="00F54D7C" w:rsidRDefault="00F54D7C">
      <w:pPr>
        <w:rPr>
          <w:sz w:val="20"/>
          <w:szCs w:val="20"/>
        </w:rPr>
      </w:pPr>
    </w:p>
  </w:footnote>
  <w:footnote w:id="38">
    <w:p w:rsidR="00F54D7C" w:rsidRDefault="00000000">
      <w:pPr>
        <w:rPr>
          <w:color w:val="656565"/>
          <w:sz w:val="21"/>
          <w:szCs w:val="21"/>
        </w:rPr>
      </w:pPr>
      <w:r>
        <w:rPr>
          <w:vertAlign w:val="superscript"/>
        </w:rPr>
        <w:footnoteRef/>
      </w:r>
      <w:r w:rsidRPr="0058271C">
        <w:rPr>
          <w:sz w:val="20"/>
          <w:szCs w:val="20"/>
          <w:lang w:val="en-US"/>
        </w:rPr>
        <w:t xml:space="preserve"> </w:t>
      </w:r>
      <w:r w:rsidRPr="0058271C">
        <w:rPr>
          <w:sz w:val="20"/>
          <w:szCs w:val="20"/>
          <w:lang w:val="en-US"/>
        </w:rPr>
        <w:t xml:space="preserve">Vance Center for international justice. </w:t>
      </w:r>
      <w:r>
        <w:rPr>
          <w:sz w:val="20"/>
          <w:szCs w:val="20"/>
        </w:rPr>
        <w:t xml:space="preserve">AMU </w:t>
      </w:r>
      <w:r>
        <w:rPr>
          <w:color w:val="656565"/>
          <w:sz w:val="21"/>
          <w:szCs w:val="21"/>
        </w:rPr>
        <w:t xml:space="preserve">Seminario Presentación del Diagnóstico sobre la Independencia del Sistema Judicial en el Uruguay 11/8/23. </w:t>
      </w:r>
      <w:hyperlink r:id="rId37">
        <w:r>
          <w:rPr>
            <w:rFonts w:ascii="Roboto" w:eastAsia="Roboto" w:hAnsi="Roboto" w:cs="Roboto"/>
            <w:color w:val="1D9BF0"/>
            <w:sz w:val="2"/>
            <w:szCs w:val="2"/>
          </w:rPr>
          <w:t>http://</w:t>
        </w:r>
      </w:hyperlink>
      <w:hyperlink r:id="rId38">
        <w:r>
          <w:rPr>
            <w:rFonts w:ascii="Roboto" w:eastAsia="Roboto" w:hAnsi="Roboto" w:cs="Roboto"/>
            <w:color w:val="1D9BF0"/>
            <w:sz w:val="23"/>
            <w:szCs w:val="23"/>
          </w:rPr>
          <w:t>bit.ly/VCDJFLAM</w:t>
        </w:r>
      </w:hyperlink>
      <w:r>
        <w:rPr>
          <w:color w:val="656565"/>
          <w:sz w:val="21"/>
          <w:szCs w:val="21"/>
        </w:rPr>
        <w:br/>
        <w:t xml:space="preserve"> </w:t>
      </w:r>
    </w:p>
    <w:p w:rsidR="00F54D7C" w:rsidRDefault="00F54D7C">
      <w:pPr>
        <w:rPr>
          <w:sz w:val="20"/>
          <w:szCs w:val="20"/>
        </w:rPr>
      </w:pPr>
    </w:p>
  </w:footnote>
  <w:footnote w:id="39">
    <w:p w:rsidR="00F54D7C" w:rsidRDefault="00000000">
      <w:pPr>
        <w:rPr>
          <w:sz w:val="20"/>
          <w:szCs w:val="20"/>
        </w:rPr>
      </w:pPr>
      <w:r>
        <w:rPr>
          <w:vertAlign w:val="superscript"/>
        </w:rPr>
        <w:footnoteRef/>
      </w:r>
      <w:r>
        <w:rPr>
          <w:sz w:val="20"/>
          <w:szCs w:val="20"/>
        </w:rPr>
        <w:t xml:space="preserve"> </w:t>
      </w:r>
      <w:r>
        <w:rPr>
          <w:sz w:val="20"/>
          <w:szCs w:val="20"/>
        </w:rPr>
        <w:t>link a diarios y organizaciones sindicales</w:t>
      </w:r>
    </w:p>
  </w:footnote>
  <w:footnote w:id="40">
    <w:p w:rsidR="00F54D7C" w:rsidRDefault="00000000">
      <w:pPr>
        <w:rPr>
          <w:sz w:val="20"/>
          <w:szCs w:val="20"/>
        </w:rPr>
      </w:pPr>
      <w:r>
        <w:rPr>
          <w:vertAlign w:val="superscript"/>
        </w:rPr>
        <w:footnoteRef/>
      </w:r>
      <w:r>
        <w:rPr>
          <w:sz w:val="20"/>
          <w:szCs w:val="20"/>
        </w:rPr>
        <w:t xml:space="preserve"> </w:t>
      </w:r>
      <w:hyperlink r:id="rId39">
        <w:r>
          <w:rPr>
            <w:color w:val="1155CC"/>
            <w:sz w:val="20"/>
            <w:szCs w:val="20"/>
            <w:u w:val="single"/>
          </w:rPr>
          <w:t>https://www.impo.com.uy/bases/leyes/19353-2015</w:t>
        </w:r>
      </w:hyperlink>
      <w:r>
        <w:rPr>
          <w:sz w:val="20"/>
          <w:szCs w:val="20"/>
        </w:rPr>
        <w:t xml:space="preserve"> </w:t>
      </w:r>
    </w:p>
  </w:footnote>
  <w:footnote w:id="41">
    <w:p w:rsidR="00F54D7C" w:rsidRDefault="00000000">
      <w:pPr>
        <w:rPr>
          <w:sz w:val="20"/>
          <w:szCs w:val="20"/>
        </w:rPr>
      </w:pPr>
      <w:r>
        <w:rPr>
          <w:vertAlign w:val="superscript"/>
        </w:rPr>
        <w:footnoteRef/>
      </w:r>
      <w:r>
        <w:rPr>
          <w:sz w:val="20"/>
          <w:szCs w:val="20"/>
        </w:rPr>
        <w:t xml:space="preserve"> </w:t>
      </w:r>
      <w:r>
        <w:rPr>
          <w:sz w:val="20"/>
          <w:szCs w:val="20"/>
        </w:rPr>
        <w:t xml:space="preserve">Disponible en </w:t>
      </w:r>
      <w:hyperlink r:id="rId40">
        <w:r>
          <w:rPr>
            <w:rFonts w:ascii="Times New Roman" w:eastAsia="Times New Roman" w:hAnsi="Times New Roman" w:cs="Times New Roman"/>
            <w:color w:val="1155CC"/>
            <w:sz w:val="16"/>
            <w:szCs w:val="16"/>
            <w:u w:val="single"/>
          </w:rPr>
          <w:t>https://uruguay.unfpa.org/sites/default/files/resource-pdf/presentacion_estado_de_situacion_de_la_implementacion_ley_19122_final_web.pdf</w:t>
        </w:r>
      </w:hyperlink>
    </w:p>
  </w:footnote>
  <w:footnote w:id="42">
    <w:p w:rsidR="00F54D7C" w:rsidRDefault="00000000">
      <w:pPr>
        <w:rPr>
          <w:sz w:val="20"/>
          <w:szCs w:val="20"/>
        </w:rPr>
      </w:pPr>
      <w:r>
        <w:rPr>
          <w:vertAlign w:val="superscript"/>
        </w:rPr>
        <w:footnoteRef/>
      </w:r>
      <w:r>
        <w:rPr>
          <w:sz w:val="20"/>
          <w:szCs w:val="20"/>
        </w:rPr>
        <w:t xml:space="preserve"> </w:t>
      </w:r>
      <w:hyperlink r:id="rId41">
        <w:r>
          <w:rPr>
            <w:rFonts w:ascii="Times New Roman" w:eastAsia="Times New Roman" w:hAnsi="Times New Roman" w:cs="Times New Roman"/>
            <w:color w:val="1155CC"/>
            <w:sz w:val="16"/>
            <w:szCs w:val="16"/>
            <w:u w:val="single"/>
          </w:rPr>
          <w:t>https://uruguay.unfpa.org/sites/default/files/resource-pdf/presentacion_estado_de_situacion_de_la_implementacion_ley_19122_final_web.pdf</w:t>
        </w:r>
      </w:hyperlink>
    </w:p>
  </w:footnote>
  <w:footnote w:id="43">
    <w:p w:rsidR="00F54D7C" w:rsidRDefault="00000000">
      <w:pPr>
        <w:rPr>
          <w:sz w:val="26"/>
          <w:szCs w:val="26"/>
          <w:vertAlign w:val="superscript"/>
        </w:rPr>
      </w:pPr>
      <w:r>
        <w:rPr>
          <w:vertAlign w:val="superscript"/>
        </w:rPr>
        <w:footnoteRef/>
      </w:r>
      <w:r>
        <w:rPr>
          <w:sz w:val="26"/>
          <w:szCs w:val="26"/>
          <w:vertAlign w:val="superscript"/>
        </w:rPr>
        <w:t xml:space="preserve"> </w:t>
      </w:r>
      <w:hyperlink r:id="rId42">
        <w:r>
          <w:rPr>
            <w:color w:val="1155CC"/>
            <w:sz w:val="26"/>
            <w:szCs w:val="26"/>
            <w:u w:val="single"/>
            <w:vertAlign w:val="superscript"/>
          </w:rPr>
          <w:t>https://www.impo.com.uy/bases/leyes-originales/20141-2023</w:t>
        </w:r>
      </w:hyperlink>
      <w:r>
        <w:rPr>
          <w:sz w:val="26"/>
          <w:szCs w:val="26"/>
          <w:vertAlign w:val="superscript"/>
        </w:rPr>
        <w:t xml:space="preserve"> </w:t>
      </w:r>
    </w:p>
  </w:footnote>
  <w:footnote w:id="44">
    <w:p w:rsidR="00F54D7C" w:rsidRDefault="00000000">
      <w:pPr>
        <w:rPr>
          <w:sz w:val="20"/>
          <w:szCs w:val="20"/>
        </w:rPr>
      </w:pPr>
      <w:r>
        <w:rPr>
          <w:vertAlign w:val="superscript"/>
        </w:rPr>
        <w:footnoteRef/>
      </w:r>
      <w:r>
        <w:rPr>
          <w:sz w:val="20"/>
          <w:szCs w:val="20"/>
        </w:rPr>
        <w:t xml:space="preserve"> </w:t>
      </w:r>
      <w:r>
        <w:rPr>
          <w:sz w:val="20"/>
          <w:szCs w:val="20"/>
        </w:rPr>
        <w:t xml:space="preserve">Campaña de organizaciones de sociedad civil experta en derechos y niñez: Mala ley que daña la Infancia </w:t>
      </w:r>
    </w:p>
  </w:footnote>
  <w:footnote w:id="45">
    <w:p w:rsidR="00F54D7C" w:rsidRDefault="00000000">
      <w:pPr>
        <w:rPr>
          <w:sz w:val="20"/>
          <w:szCs w:val="20"/>
        </w:rPr>
      </w:pPr>
      <w:r>
        <w:rPr>
          <w:vertAlign w:val="superscript"/>
        </w:rPr>
        <w:footnoteRef/>
      </w:r>
      <w:r>
        <w:rPr>
          <w:sz w:val="20"/>
          <w:szCs w:val="20"/>
        </w:rPr>
        <w:t xml:space="preserve"> </w:t>
      </w:r>
      <w:r>
        <w:rPr>
          <w:sz w:val="20"/>
          <w:szCs w:val="20"/>
        </w:rPr>
        <w:t>Extracto del original juicio de visitas en trámite</w:t>
      </w:r>
    </w:p>
  </w:footnote>
  <w:footnote w:id="46">
    <w:p w:rsidR="00F54D7C" w:rsidRDefault="00000000">
      <w:pPr>
        <w:rPr>
          <w:rFonts w:ascii="Times New Roman" w:eastAsia="Times New Roman" w:hAnsi="Times New Roman" w:cs="Times New Roman"/>
          <w:sz w:val="16"/>
          <w:szCs w:val="16"/>
        </w:rPr>
      </w:pPr>
      <w:r>
        <w:rPr>
          <w:vertAlign w:val="superscript"/>
        </w:rPr>
        <w:footnoteRef/>
      </w:r>
      <w:r>
        <w:rPr>
          <w:sz w:val="20"/>
          <w:szCs w:val="20"/>
        </w:rPr>
        <w:t xml:space="preserve"> </w:t>
      </w:r>
      <w:r>
        <w:rPr>
          <w:rFonts w:ascii="Times New Roman" w:eastAsia="Times New Roman" w:hAnsi="Times New Roman" w:cs="Times New Roman"/>
          <w:sz w:val="16"/>
          <w:szCs w:val="16"/>
        </w:rPr>
        <w:t>https://www.elobservador.com.uy/nota/junta-nacional-de-drogas-dio-de-baja-campana-contra-el-consumo-de-alcohol-tras-ser-acusada de-racismo-20214121059</w:t>
      </w:r>
    </w:p>
    <w:p w:rsidR="00F54D7C" w:rsidRDefault="00000000">
      <w:pPr>
        <w:rPr>
          <w:rFonts w:ascii="Times New Roman" w:eastAsia="Times New Roman" w:hAnsi="Times New Roman" w:cs="Times New Roman"/>
          <w:sz w:val="16"/>
          <w:szCs w:val="16"/>
        </w:rPr>
      </w:pPr>
      <w:r>
        <w:rPr>
          <w:rFonts w:ascii="Times New Roman" w:eastAsia="Times New Roman" w:hAnsi="Times New Roman" w:cs="Times New Roman"/>
          <w:sz w:val="16"/>
          <w:szCs w:val="16"/>
        </w:rPr>
        <w:t xml:space="preserve"> </w:t>
      </w:r>
    </w:p>
    <w:p w:rsidR="00F54D7C" w:rsidRDefault="00F54D7C">
      <w:pPr>
        <w:rPr>
          <w:rFonts w:ascii="Times New Roman" w:eastAsia="Times New Roman" w:hAnsi="Times New Roman" w:cs="Times New Roman"/>
          <w:sz w:val="16"/>
          <w:szCs w:val="16"/>
        </w:rPr>
      </w:pPr>
    </w:p>
    <w:p w:rsidR="00F54D7C" w:rsidRDefault="00F54D7C">
      <w:pPr>
        <w:rPr>
          <w:sz w:val="20"/>
          <w:szCs w:val="20"/>
        </w:rPr>
      </w:pPr>
    </w:p>
  </w:footnote>
  <w:footnote w:id="47">
    <w:p w:rsidR="00F54D7C" w:rsidRPr="0058271C" w:rsidRDefault="00000000">
      <w:pPr>
        <w:rPr>
          <w:rFonts w:ascii="Times New Roman" w:eastAsia="Times New Roman" w:hAnsi="Times New Roman" w:cs="Times New Roman"/>
          <w:sz w:val="20"/>
          <w:szCs w:val="20"/>
          <w:lang w:val="en-US"/>
        </w:rPr>
      </w:pPr>
      <w:r>
        <w:rPr>
          <w:vertAlign w:val="superscript"/>
        </w:rPr>
        <w:footnoteRef/>
      </w:r>
      <w:r w:rsidRPr="0058271C">
        <w:rPr>
          <w:sz w:val="20"/>
          <w:szCs w:val="20"/>
          <w:lang w:val="en-US"/>
        </w:rPr>
        <w:t xml:space="preserve"> </w:t>
      </w:r>
      <w:r w:rsidRPr="0058271C">
        <w:rPr>
          <w:rFonts w:ascii="Times New Roman" w:eastAsia="Times New Roman" w:hAnsi="Times New Roman" w:cs="Times New Roman"/>
          <w:sz w:val="18"/>
          <w:szCs w:val="18"/>
          <w:lang w:val="en-US"/>
        </w:rPr>
        <w:t>CERD/C/URY/CO/16-20, párr. 1</w:t>
      </w:r>
      <w:r w:rsidRPr="0058271C">
        <w:rPr>
          <w:rFonts w:ascii="Times New Roman" w:eastAsia="Times New Roman" w:hAnsi="Times New Roman" w:cs="Times New Roman"/>
          <w:sz w:val="20"/>
          <w:szCs w:val="20"/>
          <w:lang w:val="en-US"/>
        </w:rPr>
        <w:t>9</w:t>
      </w:r>
    </w:p>
    <w:p w:rsidR="00F54D7C" w:rsidRPr="0058271C" w:rsidRDefault="00F54D7C">
      <w:pPr>
        <w:rPr>
          <w:sz w:val="20"/>
          <w:szCs w:val="20"/>
          <w:lang w:val="en-US"/>
        </w:rPr>
      </w:pPr>
    </w:p>
  </w:footnote>
  <w:footnote w:id="48">
    <w:p w:rsidR="00F54D7C" w:rsidRPr="0058271C" w:rsidRDefault="00000000">
      <w:pPr>
        <w:rPr>
          <w:sz w:val="20"/>
          <w:szCs w:val="20"/>
          <w:lang w:val="en-US"/>
        </w:rPr>
      </w:pPr>
      <w:r>
        <w:rPr>
          <w:vertAlign w:val="superscript"/>
        </w:rPr>
        <w:footnoteRef/>
      </w:r>
      <w:r w:rsidRPr="0058271C">
        <w:rPr>
          <w:sz w:val="20"/>
          <w:szCs w:val="20"/>
          <w:lang w:val="en-US"/>
        </w:rPr>
        <w:t xml:space="preserve"> </w:t>
      </w:r>
      <w:hyperlink r:id="rId43">
        <w:r w:rsidRPr="0058271C">
          <w:rPr>
            <w:color w:val="1155CC"/>
            <w:sz w:val="20"/>
            <w:szCs w:val="20"/>
            <w:u w:val="single"/>
            <w:lang w:val="en-US"/>
          </w:rPr>
          <w:t>https://www.anep.edu.uy/sites/default/files/images/te-programas/2023/finales/espacios/de-autonomia-curricular/Taller-curricular-obligatorio-DGETP/Taller%20de%20Salud%20y%20Sexualidad%20-%20Tramo%205%20%28DGETP%29_final.pdf</w:t>
        </w:r>
      </w:hyperlink>
    </w:p>
    <w:p w:rsidR="00F54D7C" w:rsidRPr="0058271C" w:rsidRDefault="00F54D7C">
      <w:pPr>
        <w:rPr>
          <w:sz w:val="20"/>
          <w:szCs w:val="20"/>
          <w:lang w:val="en-US"/>
        </w:rPr>
      </w:pPr>
    </w:p>
  </w:footnote>
  <w:footnote w:id="49">
    <w:p w:rsidR="00F54D7C" w:rsidRPr="0058271C" w:rsidRDefault="00000000">
      <w:pPr>
        <w:rPr>
          <w:sz w:val="30"/>
          <w:szCs w:val="30"/>
          <w:vertAlign w:val="superscript"/>
          <w:lang w:val="en-US"/>
        </w:rPr>
      </w:pPr>
      <w:r>
        <w:rPr>
          <w:vertAlign w:val="superscript"/>
        </w:rPr>
        <w:footnoteRef/>
      </w:r>
      <w:r w:rsidRPr="0058271C">
        <w:rPr>
          <w:sz w:val="20"/>
          <w:szCs w:val="20"/>
          <w:vertAlign w:val="superscript"/>
          <w:lang w:val="en-US"/>
        </w:rPr>
        <w:t xml:space="preserve">  </w:t>
      </w:r>
      <w:hyperlink r:id="rId44">
        <w:r w:rsidRPr="0058271C">
          <w:rPr>
            <w:color w:val="1155CC"/>
            <w:sz w:val="30"/>
            <w:szCs w:val="30"/>
            <w:u w:val="single"/>
            <w:vertAlign w:val="superscript"/>
            <w:lang w:val="en-US"/>
          </w:rPr>
          <w:t>https://ladiaria.com.uy/educacion/articulo/2023/8/gremio-estudiantil-ocupo-el-liceo-bauza-por-ausencia-de-equipos-multidisciplinarios-y-malas-condiciones-de-infraestructura/</w:t>
        </w:r>
      </w:hyperlink>
    </w:p>
    <w:p w:rsidR="00F54D7C" w:rsidRPr="0058271C" w:rsidRDefault="00F54D7C">
      <w:pPr>
        <w:rPr>
          <w:sz w:val="30"/>
          <w:szCs w:val="30"/>
          <w:vertAlign w:val="superscript"/>
          <w:lang w:val="en-US"/>
        </w:rPr>
      </w:pPr>
    </w:p>
  </w:footnote>
  <w:footnote w:id="50">
    <w:p w:rsidR="00F54D7C" w:rsidRDefault="00000000">
      <w:pPr>
        <w:rPr>
          <w:rFonts w:ascii="Times New Roman" w:eastAsia="Times New Roman" w:hAnsi="Times New Roman" w:cs="Times New Roman"/>
          <w:color w:val="0000FF"/>
          <w:sz w:val="20"/>
          <w:szCs w:val="20"/>
        </w:rPr>
      </w:pPr>
      <w:r>
        <w:rPr>
          <w:vertAlign w:val="superscript"/>
        </w:rPr>
        <w:footnoteRef/>
      </w:r>
      <w:r>
        <w:rPr>
          <w:sz w:val="20"/>
          <w:szCs w:val="20"/>
          <w:vertAlign w:val="superscript"/>
        </w:rPr>
        <w:t xml:space="preserve"> </w:t>
      </w:r>
      <w:r>
        <w:rPr>
          <w:rFonts w:ascii="Times New Roman" w:eastAsia="Times New Roman" w:hAnsi="Times New Roman" w:cs="Times New Roman"/>
          <w:sz w:val="18"/>
          <w:szCs w:val="18"/>
        </w:rPr>
        <w:t xml:space="preserve">Recuperado de Panorama de los Niños, niñas y adolescentes afrodescendientes en Uruguay UNICEF 2020 </w:t>
      </w:r>
      <w:r>
        <w:rPr>
          <w:rFonts w:ascii="Times New Roman" w:eastAsia="Times New Roman" w:hAnsi="Times New Roman" w:cs="Times New Roman"/>
          <w:color w:val="0000FF"/>
          <w:sz w:val="20"/>
          <w:szCs w:val="20"/>
          <w:u w:val="single"/>
        </w:rPr>
        <w:t>https://www.unicef.org/uruguay/media/3776/file/Panorama%20de%20la%20situaci%C3%B3n%20de%20los%2</w:t>
      </w:r>
      <w:r>
        <w:rPr>
          <w:rFonts w:ascii="Times New Roman" w:eastAsia="Times New Roman" w:hAnsi="Times New Roman" w:cs="Times New Roman"/>
          <w:color w:val="0000FF"/>
          <w:sz w:val="20"/>
          <w:szCs w:val="20"/>
        </w:rPr>
        <w:t xml:space="preserve"> </w:t>
      </w:r>
      <w:r>
        <w:rPr>
          <w:rFonts w:ascii="Times New Roman" w:eastAsia="Times New Roman" w:hAnsi="Times New Roman" w:cs="Times New Roman"/>
          <w:color w:val="0000FF"/>
          <w:sz w:val="20"/>
          <w:szCs w:val="20"/>
          <w:u w:val="single"/>
        </w:rPr>
        <w:t>0ni%C3%B1os,%20ni%C3%B1as%20y%20adolescentes%20afrodescendientes%20en%20Uruguay.pdf</w:t>
      </w:r>
      <w:r>
        <w:rPr>
          <w:rFonts w:ascii="Times New Roman" w:eastAsia="Times New Roman" w:hAnsi="Times New Roman" w:cs="Times New Roman"/>
          <w:color w:val="0000FF"/>
          <w:sz w:val="20"/>
          <w:szCs w:val="20"/>
        </w:rPr>
        <w:t xml:space="preserve"> </w:t>
      </w:r>
    </w:p>
    <w:p w:rsidR="00F54D7C" w:rsidRDefault="00F54D7C">
      <w:pPr>
        <w:rPr>
          <w:rFonts w:ascii="Times New Roman" w:eastAsia="Times New Roman" w:hAnsi="Times New Roman" w:cs="Times New Roman"/>
          <w:sz w:val="18"/>
          <w:szCs w:val="18"/>
        </w:rPr>
      </w:pPr>
    </w:p>
  </w:footnote>
  <w:footnote w:id="51">
    <w:p w:rsidR="00F54D7C" w:rsidRDefault="00000000">
      <w:pPr>
        <w:rPr>
          <w:rFonts w:ascii="Times New Roman" w:eastAsia="Times New Roman" w:hAnsi="Times New Roman" w:cs="Times New Roman"/>
          <w:b/>
          <w:color w:val="1155CC"/>
          <w:sz w:val="20"/>
          <w:szCs w:val="20"/>
          <w:u w:val="single"/>
        </w:rPr>
      </w:pPr>
      <w:r>
        <w:rPr>
          <w:vertAlign w:val="superscript"/>
        </w:rPr>
        <w:footnoteRef/>
      </w:r>
      <w:r>
        <w:rPr>
          <w:sz w:val="20"/>
          <w:szCs w:val="20"/>
          <w:vertAlign w:val="superscript"/>
        </w:rPr>
        <w:t xml:space="preserve"> </w:t>
      </w:r>
      <w:r>
        <w:rPr>
          <w:rFonts w:ascii="Times New Roman" w:eastAsia="Times New Roman" w:hAnsi="Times New Roman" w:cs="Times New Roman"/>
          <w:b/>
          <w:color w:val="1155CC"/>
          <w:sz w:val="20"/>
          <w:szCs w:val="20"/>
          <w:u w:val="single"/>
        </w:rPr>
        <w:t xml:space="preserve">https://www.gub.uy/ministerio-desarrollo-social/sites/ministerio-desarrollo </w:t>
      </w:r>
    </w:p>
    <w:p w:rsidR="00F54D7C" w:rsidRDefault="00000000">
      <w:pPr>
        <w:widowControl w:val="0"/>
        <w:ind w:left="385"/>
        <w:rPr>
          <w:rFonts w:ascii="Times New Roman" w:eastAsia="Times New Roman" w:hAnsi="Times New Roman" w:cs="Times New Roman"/>
          <w:b/>
          <w:color w:val="1155CC"/>
          <w:sz w:val="20"/>
          <w:szCs w:val="20"/>
          <w:u w:val="single"/>
        </w:rPr>
      </w:pPr>
      <w:r>
        <w:rPr>
          <w:rFonts w:ascii="Times New Roman" w:eastAsia="Times New Roman" w:hAnsi="Times New Roman" w:cs="Times New Roman"/>
          <w:b/>
          <w:color w:val="1155CC"/>
          <w:sz w:val="20"/>
          <w:szCs w:val="20"/>
          <w:u w:val="single"/>
        </w:rPr>
        <w:t>social/files/documentos/publicaciones/2003.pdf</w:t>
      </w:r>
    </w:p>
    <w:p w:rsidR="00F54D7C" w:rsidRDefault="00F54D7C">
      <w:pPr>
        <w:rPr>
          <w:sz w:val="20"/>
          <w:szCs w:val="20"/>
          <w:vertAlign w:val="superscript"/>
        </w:rPr>
      </w:pPr>
    </w:p>
  </w:footnote>
  <w:footnote w:id="52">
    <w:p w:rsidR="00F54D7C" w:rsidRDefault="00000000">
      <w:pPr>
        <w:rPr>
          <w:sz w:val="20"/>
          <w:szCs w:val="20"/>
        </w:rPr>
      </w:pPr>
      <w:r>
        <w:rPr>
          <w:vertAlign w:val="superscript"/>
        </w:rPr>
        <w:footnoteRef/>
      </w:r>
      <w:r>
        <w:rPr>
          <w:sz w:val="20"/>
          <w:szCs w:val="20"/>
        </w:rPr>
        <w:t xml:space="preserve"> </w:t>
      </w:r>
      <w:r>
        <w:rPr>
          <w:sz w:val="20"/>
          <w:szCs w:val="20"/>
        </w:rPr>
        <w:t xml:space="preserve">Datos obtenidos  de la Encuesta Contínua de Hogares 2022 y sistematizados por el equipo de trabajo: </w:t>
      </w:r>
      <w:hyperlink r:id="rId45">
        <w:r>
          <w:rPr>
            <w:color w:val="1155CC"/>
            <w:sz w:val="20"/>
            <w:szCs w:val="20"/>
            <w:u w:val="single"/>
          </w:rPr>
          <w:t>https://www.ine.gub.uy/Anda5/index.php/catalog/730</w:t>
        </w:r>
      </w:hyperlink>
    </w:p>
  </w:footnote>
  <w:footnote w:id="53">
    <w:p w:rsidR="00F54D7C" w:rsidRDefault="00000000">
      <w:pPr>
        <w:rPr>
          <w:sz w:val="20"/>
          <w:szCs w:val="20"/>
        </w:rPr>
      </w:pPr>
      <w:r>
        <w:rPr>
          <w:vertAlign w:val="superscript"/>
        </w:rPr>
        <w:footnoteRef/>
      </w:r>
      <w:r>
        <w:rPr>
          <w:sz w:val="20"/>
          <w:szCs w:val="20"/>
        </w:rPr>
        <w:t xml:space="preserve"> </w:t>
      </w:r>
      <w:r>
        <w:rPr>
          <w:sz w:val="20"/>
          <w:szCs w:val="20"/>
        </w:rPr>
        <w:t xml:space="preserve">Disponible en nota de prensa Diario El Observador 17 diciembre de 2021 : </w:t>
      </w:r>
      <w:hyperlink r:id="rId46">
        <w:r>
          <w:rPr>
            <w:color w:val="1155CC"/>
            <w:sz w:val="20"/>
            <w:szCs w:val="20"/>
            <w:u w:val="single"/>
          </w:rPr>
          <w:t>https://www.elobservador.com.uy/nota/la-pandemia-causo-un-aumento-de-la-prematurez-y-mas-bebes-con-bajo-peso-al-nacer-en-contextos-vulnerables--2021121515500</w:t>
        </w:r>
      </w:hyperlink>
      <w:r>
        <w:rPr>
          <w:sz w:val="20"/>
          <w:szCs w:val="20"/>
        </w:rPr>
        <w:t xml:space="preserve"> Ver Investigación : </w:t>
      </w:r>
      <w:hyperlink r:id="rId47">
        <w:r>
          <w:rPr>
            <w:color w:val="1155CC"/>
            <w:sz w:val="20"/>
            <w:szCs w:val="20"/>
            <w:u w:val="single"/>
          </w:rPr>
          <w:t>https://pubmed.ncbi.nlm.nih.gov/34219582/</w:t>
        </w:r>
      </w:hyperlink>
    </w:p>
    <w:p w:rsidR="00F54D7C" w:rsidRDefault="00F54D7C">
      <w:pPr>
        <w:rPr>
          <w:sz w:val="20"/>
          <w:szCs w:val="20"/>
        </w:rPr>
      </w:pPr>
    </w:p>
  </w:footnote>
  <w:footnote w:id="54">
    <w:p w:rsidR="00F54D7C" w:rsidRDefault="00000000">
      <w:pPr>
        <w:rPr>
          <w:sz w:val="20"/>
          <w:szCs w:val="20"/>
        </w:rPr>
      </w:pPr>
      <w:r>
        <w:rPr>
          <w:vertAlign w:val="superscript"/>
        </w:rPr>
        <w:footnoteRef/>
      </w:r>
      <w:r>
        <w:rPr>
          <w:sz w:val="20"/>
          <w:szCs w:val="20"/>
        </w:rPr>
        <w:t xml:space="preserve"> </w:t>
      </w:r>
      <w:r>
        <w:rPr>
          <w:sz w:val="20"/>
          <w:szCs w:val="20"/>
        </w:rPr>
        <w:t xml:space="preserve">Ley 18987 Interrupción voluntaria del embarazo. Ley del aborto  Art 13 (2012) : </w:t>
      </w:r>
      <w:hyperlink r:id="rId48">
        <w:r>
          <w:rPr>
            <w:color w:val="1155CC"/>
            <w:sz w:val="20"/>
            <w:szCs w:val="20"/>
            <w:u w:val="single"/>
          </w:rPr>
          <w:t>https://www.impo.com.uy/bases/leyes/18987-2012</w:t>
        </w:r>
      </w:hyperlink>
    </w:p>
    <w:p w:rsidR="00F54D7C" w:rsidRDefault="00F54D7C">
      <w:pPr>
        <w:rPr>
          <w:sz w:val="20"/>
          <w:szCs w:val="20"/>
        </w:rPr>
      </w:pPr>
    </w:p>
  </w:footnote>
  <w:footnote w:id="55">
    <w:p w:rsidR="00F54D7C" w:rsidRDefault="00000000">
      <w:pPr>
        <w:rPr>
          <w:sz w:val="20"/>
          <w:szCs w:val="20"/>
        </w:rPr>
      </w:pPr>
      <w:r>
        <w:rPr>
          <w:vertAlign w:val="superscript"/>
        </w:rPr>
        <w:footnoteRef/>
      </w:r>
      <w:r>
        <w:rPr>
          <w:sz w:val="20"/>
          <w:szCs w:val="20"/>
        </w:rPr>
        <w:t xml:space="preserve"> </w:t>
      </w:r>
      <w:r>
        <w:rPr>
          <w:sz w:val="20"/>
          <w:szCs w:val="20"/>
        </w:rPr>
        <w:t xml:space="preserve">Datos obtenidos a través de pedido de acceso a la información en septiembre de 2022 respecto a denuncias por tipología IVE Documento: 12/001/3/5715/2022 Actuación: 2: </w:t>
      </w:r>
      <w:hyperlink r:id="rId49">
        <w:r>
          <w:rPr>
            <w:color w:val="1155CC"/>
            <w:sz w:val="20"/>
            <w:szCs w:val="20"/>
            <w:u w:val="single"/>
          </w:rPr>
          <w:t>https://www.gub.uy/ministerio-salud-publica/sites/ministerio-salud-publica/files/2022-11/DOCUMENTO_COMPLETO%20%287%29_removed%20%281%29.pdf</w:t>
        </w:r>
      </w:hyperlink>
    </w:p>
    <w:p w:rsidR="00F54D7C" w:rsidRDefault="00F54D7C">
      <w:pPr>
        <w:rPr>
          <w:sz w:val="20"/>
          <w:szCs w:val="20"/>
        </w:rPr>
      </w:pPr>
    </w:p>
  </w:footnote>
  <w:footnote w:id="56">
    <w:p w:rsidR="00F54D7C" w:rsidRDefault="00000000">
      <w:pPr>
        <w:rPr>
          <w:sz w:val="20"/>
          <w:szCs w:val="20"/>
        </w:rPr>
      </w:pPr>
      <w:r>
        <w:rPr>
          <w:vertAlign w:val="superscript"/>
        </w:rPr>
        <w:footnoteRef/>
      </w:r>
      <w:r>
        <w:rPr>
          <w:sz w:val="20"/>
          <w:szCs w:val="20"/>
        </w:rPr>
        <w:t xml:space="preserve"> </w:t>
      </w:r>
      <w:r>
        <w:rPr>
          <w:sz w:val="20"/>
          <w:szCs w:val="20"/>
        </w:rPr>
        <w:t xml:space="preserve">Datos de la Segunda Encuesta Nacional de Prevalencia de Violencia de Género y Generaciones 2019 (pág.66) : </w:t>
      </w:r>
      <w:hyperlink r:id="rId50">
        <w:r>
          <w:rPr>
            <w:color w:val="1155CC"/>
            <w:sz w:val="20"/>
            <w:szCs w:val="20"/>
            <w:u w:val="single"/>
          </w:rPr>
          <w:t>https://www.gub.uy/ministerio-desarrollo-social/sites/ministerio-desarrollo-social/files/documentos/publicaciones/Segunda%20encuesta%C2%A0nacional_web.pdf</w:t>
        </w:r>
      </w:hyperlink>
    </w:p>
    <w:p w:rsidR="00F54D7C" w:rsidRDefault="00F54D7C">
      <w:pPr>
        <w:rPr>
          <w:sz w:val="20"/>
          <w:szCs w:val="20"/>
        </w:rPr>
      </w:pPr>
    </w:p>
  </w:footnote>
  <w:footnote w:id="57">
    <w:p w:rsidR="00F54D7C" w:rsidRDefault="00000000">
      <w:pPr>
        <w:rPr>
          <w:sz w:val="20"/>
          <w:szCs w:val="20"/>
        </w:rPr>
      </w:pPr>
      <w:r>
        <w:rPr>
          <w:vertAlign w:val="superscript"/>
        </w:rPr>
        <w:footnoteRef/>
      </w:r>
      <w:r>
        <w:rPr>
          <w:sz w:val="20"/>
          <w:szCs w:val="20"/>
        </w:rPr>
        <w:t xml:space="preserve"> </w:t>
      </w:r>
      <w:r>
        <w:rPr>
          <w:sz w:val="20"/>
          <w:szCs w:val="20"/>
        </w:rPr>
        <w:t xml:space="preserve">Datos obtenidos a través de pedido de acceso a la información junio 2023 Documento: 12/001/3/3200/2023 Actuación: 6 : </w:t>
      </w:r>
      <w:hyperlink r:id="rId51">
        <w:r>
          <w:rPr>
            <w:color w:val="1155CC"/>
            <w:sz w:val="20"/>
            <w:szCs w:val="20"/>
            <w:u w:val="single"/>
          </w:rPr>
          <w:t>https://www.gub.uy/ministerio-salud-publica/sites/ministerio-salud-publica/files/2023-07/respuesta%20y%20resoluci%C3%B3n3200_removed.pdf</w:t>
        </w:r>
      </w:hyperlink>
    </w:p>
    <w:p w:rsidR="00F54D7C" w:rsidRDefault="00F54D7C">
      <w:pPr>
        <w:rPr>
          <w:sz w:val="20"/>
          <w:szCs w:val="20"/>
        </w:rPr>
      </w:pPr>
    </w:p>
  </w:footnote>
  <w:footnote w:id="58">
    <w:p w:rsidR="00F54D7C" w:rsidRDefault="00000000">
      <w:pPr>
        <w:rPr>
          <w:sz w:val="20"/>
          <w:szCs w:val="20"/>
        </w:rPr>
      </w:pPr>
      <w:r>
        <w:rPr>
          <w:vertAlign w:val="superscript"/>
        </w:rPr>
        <w:footnoteRef/>
      </w:r>
      <w:r>
        <w:rPr>
          <w:sz w:val="20"/>
          <w:szCs w:val="20"/>
        </w:rPr>
        <w:t xml:space="preserve"> </w:t>
      </w:r>
      <w:r>
        <w:rPr>
          <w:sz w:val="20"/>
          <w:szCs w:val="20"/>
        </w:rPr>
        <w:t xml:space="preserve">Disponible en: </w:t>
      </w:r>
      <w:hyperlink r:id="rId52">
        <w:r>
          <w:rPr>
            <w:color w:val="1155CC"/>
            <w:sz w:val="20"/>
            <w:szCs w:val="20"/>
            <w:u w:val="single"/>
          </w:rPr>
          <w:t>https://parlamento.gub.uy/sites/default/files/DocumentosCPP/Avance_informe_2022.pdf</w:t>
        </w:r>
      </w:hyperlink>
    </w:p>
    <w:p w:rsidR="00F54D7C" w:rsidRDefault="00F54D7C">
      <w:pPr>
        <w:rPr>
          <w:sz w:val="20"/>
          <w:szCs w:val="20"/>
        </w:rPr>
      </w:pPr>
    </w:p>
  </w:footnote>
  <w:footnote w:id="59">
    <w:p w:rsidR="00F54D7C" w:rsidRDefault="00000000">
      <w:pPr>
        <w:rPr>
          <w:rFonts w:ascii="Times New Roman" w:eastAsia="Times New Roman" w:hAnsi="Times New Roman" w:cs="Times New Roman"/>
          <w:color w:val="262626"/>
          <w:sz w:val="21"/>
          <w:szCs w:val="21"/>
        </w:rPr>
      </w:pPr>
      <w:r>
        <w:rPr>
          <w:vertAlign w:val="superscript"/>
        </w:rPr>
        <w:footnoteRef/>
      </w:r>
      <w:r>
        <w:rPr>
          <w:sz w:val="20"/>
          <w:szCs w:val="20"/>
        </w:rPr>
        <w:t xml:space="preserve">  </w:t>
      </w:r>
      <w:r>
        <w:rPr>
          <w:sz w:val="20"/>
          <w:szCs w:val="20"/>
        </w:rPr>
        <w:t xml:space="preserve">Disponible: </w:t>
      </w:r>
      <w:hyperlink r:id="rId53">
        <w:r>
          <w:rPr>
            <w:rFonts w:ascii="Times New Roman" w:eastAsia="Times New Roman" w:hAnsi="Times New Roman" w:cs="Times New Roman"/>
            <w:color w:val="1155CC"/>
            <w:sz w:val="21"/>
            <w:szCs w:val="21"/>
            <w:u w:val="single"/>
          </w:rPr>
          <w:t>https://ladiaria.com.uy/politica/articulo/2023/6/especialistas-advierten-que-aumento-de-mujeres-en-prision-tiene-efectos-sobre-ninas-ninos-y-adolescentes/</w:t>
        </w:r>
      </w:hyperlink>
    </w:p>
    <w:p w:rsidR="00F54D7C" w:rsidRDefault="00F54D7C">
      <w:pPr>
        <w:rPr>
          <w:rFonts w:ascii="Times New Roman" w:eastAsia="Times New Roman" w:hAnsi="Times New Roman" w:cs="Times New Roman"/>
          <w:color w:val="262626"/>
          <w:sz w:val="21"/>
          <w:szCs w:val="21"/>
        </w:rPr>
      </w:pPr>
    </w:p>
  </w:footnote>
  <w:footnote w:id="60">
    <w:p w:rsidR="00F54D7C" w:rsidRDefault="00000000">
      <w:pPr>
        <w:rPr>
          <w:sz w:val="20"/>
          <w:szCs w:val="20"/>
        </w:rPr>
      </w:pPr>
      <w:r>
        <w:rPr>
          <w:vertAlign w:val="superscript"/>
        </w:rPr>
        <w:footnoteRef/>
      </w:r>
      <w:r>
        <w:rPr>
          <w:sz w:val="20"/>
          <w:szCs w:val="20"/>
        </w:rPr>
        <w:t xml:space="preserve"> </w:t>
      </w:r>
      <w:r>
        <w:rPr>
          <w:sz w:val="20"/>
          <w:szCs w:val="20"/>
        </w:rPr>
        <w:t>Ibidem 35</w:t>
      </w:r>
    </w:p>
  </w:footnote>
  <w:footnote w:id="61">
    <w:p w:rsidR="00F54D7C" w:rsidRDefault="00000000">
      <w:pPr>
        <w:rPr>
          <w:sz w:val="20"/>
          <w:szCs w:val="20"/>
        </w:rPr>
      </w:pPr>
      <w:r>
        <w:rPr>
          <w:vertAlign w:val="superscript"/>
        </w:rPr>
        <w:footnoteRef/>
      </w:r>
      <w:r>
        <w:rPr>
          <w:sz w:val="20"/>
          <w:szCs w:val="20"/>
        </w:rPr>
        <w:t xml:space="preserve"> </w:t>
      </w:r>
      <w:r>
        <w:rPr>
          <w:sz w:val="20"/>
          <w:szCs w:val="20"/>
        </w:rPr>
        <w:t>Ibidem 34</w:t>
      </w:r>
    </w:p>
  </w:footnote>
  <w:footnote w:id="62">
    <w:p w:rsidR="00F54D7C" w:rsidRDefault="00000000">
      <w:pPr>
        <w:rPr>
          <w:sz w:val="20"/>
          <w:szCs w:val="20"/>
        </w:rPr>
      </w:pPr>
      <w:r>
        <w:rPr>
          <w:vertAlign w:val="superscript"/>
        </w:rPr>
        <w:footnoteRef/>
      </w:r>
      <w:r>
        <w:rPr>
          <w:sz w:val="20"/>
          <w:szCs w:val="20"/>
        </w:rPr>
        <w:t xml:space="preserve"> </w:t>
      </w:r>
      <w:r>
        <w:rPr>
          <w:sz w:val="20"/>
          <w:szCs w:val="20"/>
        </w:rPr>
        <w:t xml:space="preserve">Disponible: </w:t>
      </w:r>
      <w:hyperlink r:id="rId54">
        <w:r>
          <w:rPr>
            <w:color w:val="1155CC"/>
            <w:sz w:val="20"/>
            <w:szCs w:val="20"/>
            <w:u w:val="single"/>
          </w:rPr>
          <w:t>https://https://ladiaria.com.uy/justicia/articulo/2023/7/petit-denuncio-que-asse-le-impide-el-acceso-a-las-historias-clinicas-de-las-personas-privadas-de-libertad-que-lo-autorizan-a-ver-este-documento/</w:t>
        </w:r>
      </w:hyperlink>
    </w:p>
    <w:p w:rsidR="00F54D7C" w:rsidRDefault="00F54D7C">
      <w:pPr>
        <w:rPr>
          <w:sz w:val="20"/>
          <w:szCs w:val="20"/>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AD63F8"/>
    <w:multiLevelType w:val="multilevel"/>
    <w:tmpl w:val="FD88E5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262411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D7C"/>
    <w:rsid w:val="001F7D6A"/>
    <w:rsid w:val="0058271C"/>
    <w:rsid w:val="00F54D7C"/>
  </w:rsids>
  <m:mathPr>
    <m:mathFont m:val="Cambria Math"/>
    <m:brkBin m:val="before"/>
    <m:brkBinSub m:val="--"/>
    <m:smallFrac m:val="0"/>
    <m:dispDef/>
    <m:lMargin m:val="0"/>
    <m:rMargin m:val="0"/>
    <m:defJc m:val="centerGroup"/>
    <m:wrapIndent m:val="1440"/>
    <m:intLim m:val="subSup"/>
    <m:naryLim m:val="undOvr"/>
  </m:mathPr>
  <w:themeFontLang w:val="es-UY"/>
  <w:clrSchemeMapping w:bg1="light1" w:t1="dark1" w:bg2="light2" w:t2="dark2" w:accent1="accent1" w:accent2="accent2" w:accent3="accent3" w:accent4="accent4" w:accent5="accent5" w:accent6="accent6" w:hyperlink="hyperlink" w:followedHyperlink="followedHyperlink"/>
  <w:decimalSymbol w:val=","/>
  <w:listSeparator w:val=";"/>
  <w15:docId w15:val="{24C98C35-AC4E-F74D-957C-A716C1A6D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s-UY" w:eastAsia="es-MX"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unhideWhenUsed/>
    <w:qFormat/>
    <w:pPr>
      <w:keepNext/>
      <w:keepLines/>
      <w:spacing w:before="360" w:after="80"/>
      <w:outlineLvl w:val="1"/>
    </w:pPr>
    <w:rPr>
      <w:b/>
      <w:sz w:val="36"/>
      <w:szCs w:val="36"/>
    </w:rPr>
  </w:style>
  <w:style w:type="paragraph" w:styleId="Ttulo3">
    <w:name w:val="heading 3"/>
    <w:basedOn w:val="Normal"/>
    <w:next w:val="Normal"/>
    <w:uiPriority w:val="9"/>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NormalWeb">
    <w:name w:val="Normal (Web)"/>
    <w:basedOn w:val="Normal"/>
    <w:uiPriority w:val="99"/>
    <w:semiHidden/>
    <w:unhideWhenUsed/>
    <w:rsid w:val="00162D96"/>
    <w:pPr>
      <w:spacing w:before="100" w:beforeAutospacing="1" w:after="100" w:afterAutospacing="1"/>
    </w:pPr>
    <w:rPr>
      <w:rFonts w:ascii="Times New Roman" w:eastAsia="Times New Roman" w:hAnsi="Times New Roman" w:cs="Times New Roman"/>
    </w:rPr>
  </w:style>
  <w:style w:type="character" w:styleId="Hipervnculo">
    <w:name w:val="Hyperlink"/>
    <w:basedOn w:val="Fuentedeprrafopredeter"/>
    <w:uiPriority w:val="99"/>
    <w:semiHidden/>
    <w:unhideWhenUsed/>
    <w:rsid w:val="00162D96"/>
    <w:rPr>
      <w:color w:val="0000FF"/>
      <w:u w:val="single"/>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top w:w="100" w:type="dxa"/>
        <w:left w:w="100" w:type="dxa"/>
        <w:bottom w:w="100" w:type="dxa"/>
        <w:right w:w="100" w:type="dxa"/>
      </w:tblCellMar>
    </w:tblPr>
  </w:style>
  <w:style w:type="table" w:customStyle="1" w:styleId="a0">
    <w:basedOn w:val="TableNormal0"/>
    <w:tblPr>
      <w:tblStyleRowBandSize w:val="1"/>
      <w:tblStyleColBandSize w:val="1"/>
      <w:tblCellMar>
        <w:top w:w="100" w:type="dxa"/>
        <w:left w:w="100" w:type="dxa"/>
        <w:bottom w:w="100" w:type="dxa"/>
        <w:right w:w="100" w:type="dxa"/>
      </w:tblCellMar>
    </w:tblPr>
  </w:style>
  <w:style w:type="table" w:customStyle="1" w:styleId="a1">
    <w:basedOn w:val="TableNormal0"/>
    <w:tblPr>
      <w:tblStyleRowBandSize w:val="1"/>
      <w:tblStyleColBandSize w:val="1"/>
      <w:tblCellMar>
        <w:top w:w="100" w:type="dxa"/>
        <w:left w:w="100" w:type="dxa"/>
        <w:bottom w:w="100" w:type="dxa"/>
        <w:right w:w="100" w:type="dxa"/>
      </w:tblCellMar>
    </w:tblPr>
  </w:style>
  <w:style w:type="table" w:customStyle="1" w:styleId="a2">
    <w:basedOn w:val="TableNormal0"/>
    <w:tblPr>
      <w:tblStyleRowBandSize w:val="1"/>
      <w:tblStyleColBandSize w:val="1"/>
      <w:tblCellMar>
        <w:top w:w="100" w:type="dxa"/>
        <w:left w:w="100" w:type="dxa"/>
        <w:bottom w:w="100" w:type="dxa"/>
        <w:right w:w="100" w:type="dxa"/>
      </w:tblCellMar>
    </w:tblPr>
  </w:style>
  <w:style w:type="table" w:customStyle="1" w:styleId="a3">
    <w:basedOn w:val="TableNormal0"/>
    <w:tblPr>
      <w:tblStyleRowBandSize w:val="1"/>
      <w:tblStyleColBandSize w:val="1"/>
      <w:tblCellMar>
        <w:top w:w="100" w:type="dxa"/>
        <w:left w:w="100" w:type="dxa"/>
        <w:bottom w:w="100" w:type="dxa"/>
        <w:right w:w="100" w:type="dxa"/>
      </w:tblCellMar>
    </w:tblPr>
  </w:style>
  <w:style w:type="table" w:customStyle="1" w:styleId="a4">
    <w:basedOn w:val="TableNormal0"/>
    <w:tblPr>
      <w:tblStyleRowBandSize w:val="1"/>
      <w:tblStyleColBandSize w:val="1"/>
      <w:tblCellMar>
        <w:top w:w="100" w:type="dxa"/>
        <w:left w:w="100" w:type="dxa"/>
        <w:bottom w:w="100" w:type="dxa"/>
        <w:right w:w="100" w:type="dxa"/>
      </w:tblCellMar>
    </w:tblPr>
  </w:style>
  <w:style w:type="table" w:customStyle="1" w:styleId="a5">
    <w:basedOn w:val="TableNormal0"/>
    <w:tblPr>
      <w:tblStyleRowBandSize w:val="1"/>
      <w:tblStyleColBandSize w:val="1"/>
      <w:tblCellMar>
        <w:top w:w="100" w:type="dxa"/>
        <w:left w:w="100" w:type="dxa"/>
        <w:bottom w:w="100" w:type="dxa"/>
        <w:right w:w="100" w:type="dxa"/>
      </w:tblCellMar>
    </w:tblPr>
  </w:style>
  <w:style w:type="table" w:customStyle="1" w:styleId="a6">
    <w:basedOn w:val="TableNormal0"/>
    <w:tblPr>
      <w:tblStyleRowBandSize w:val="1"/>
      <w:tblStyleColBandSize w:val="1"/>
      <w:tblCellMar>
        <w:top w:w="100" w:type="dxa"/>
        <w:left w:w="100" w:type="dxa"/>
        <w:bottom w:w="100" w:type="dxa"/>
        <w:right w:w="100" w:type="dxa"/>
      </w:tblCellMar>
    </w:tblPr>
  </w:style>
  <w:style w:type="table" w:customStyle="1" w:styleId="a7">
    <w:basedOn w:val="TableNormal0"/>
    <w:tblPr>
      <w:tblStyleRowBandSize w:val="1"/>
      <w:tblStyleColBandSize w:val="1"/>
      <w:tblCellMar>
        <w:top w:w="100" w:type="dxa"/>
        <w:left w:w="100" w:type="dxa"/>
        <w:bottom w:w="100" w:type="dxa"/>
        <w:right w:w="100" w:type="dxa"/>
      </w:tblCellMar>
    </w:tblPr>
  </w:style>
  <w:style w:type="table" w:customStyle="1" w:styleId="a8">
    <w:basedOn w:val="TableNormal0"/>
    <w:tblPr>
      <w:tblStyleRowBandSize w:val="1"/>
      <w:tblStyleColBandSize w:val="1"/>
      <w:tblCellMar>
        <w:top w:w="100" w:type="dxa"/>
        <w:left w:w="100" w:type="dxa"/>
        <w:bottom w:w="100" w:type="dxa"/>
        <w:right w:w="100" w:type="dxa"/>
      </w:tblCellMar>
    </w:tblPr>
  </w:style>
  <w:style w:type="table" w:customStyle="1" w:styleId="a9">
    <w:basedOn w:val="TableNormal0"/>
    <w:tblPr>
      <w:tblStyleRowBandSize w:val="1"/>
      <w:tblStyleColBandSize w:val="1"/>
      <w:tblCellMar>
        <w:top w:w="100" w:type="dxa"/>
        <w:left w:w="100" w:type="dxa"/>
        <w:bottom w:w="100" w:type="dxa"/>
        <w:right w:w="100" w:type="dxa"/>
      </w:tblCellMar>
    </w:tblPr>
  </w:style>
  <w:style w:type="table" w:customStyle="1" w:styleId="aa">
    <w:basedOn w:val="TableNormal0"/>
    <w:tblPr>
      <w:tblStyleRowBandSize w:val="1"/>
      <w:tblStyleColBandSize w:val="1"/>
      <w:tblCellMar>
        <w:top w:w="100" w:type="dxa"/>
        <w:left w:w="100" w:type="dxa"/>
        <w:bottom w:w="100" w:type="dxa"/>
        <w:right w:w="100" w:type="dxa"/>
      </w:tblCellMar>
    </w:tblPr>
  </w:style>
  <w:style w:type="table" w:customStyle="1" w:styleId="ab">
    <w:basedOn w:val="TableNormal0"/>
    <w:tblPr>
      <w:tblStyleRowBandSize w:val="1"/>
      <w:tblStyleColBandSize w:val="1"/>
      <w:tblCellMar>
        <w:top w:w="100" w:type="dxa"/>
        <w:left w:w="100" w:type="dxa"/>
        <w:bottom w:w="100" w:type="dxa"/>
        <w:right w:w="100" w:type="dxa"/>
      </w:tblCellMar>
    </w:tblPr>
  </w:style>
  <w:style w:type="table" w:customStyle="1" w:styleId="ac">
    <w:basedOn w:val="TableNormal0"/>
    <w:tblPr>
      <w:tblStyleRowBandSize w:val="1"/>
      <w:tblStyleColBandSize w:val="1"/>
      <w:tblCellMar>
        <w:top w:w="100" w:type="dxa"/>
        <w:left w:w="100" w:type="dxa"/>
        <w:bottom w:w="100" w:type="dxa"/>
        <w:right w:w="100" w:type="dxa"/>
      </w:tblCellMar>
    </w:tblPr>
  </w:style>
  <w:style w:type="table" w:customStyle="1" w:styleId="ad">
    <w:basedOn w:val="TableNormal0"/>
    <w:tblPr>
      <w:tblStyleRowBandSize w:val="1"/>
      <w:tblStyleColBandSize w:val="1"/>
      <w:tblCellMar>
        <w:top w:w="100" w:type="dxa"/>
        <w:left w:w="100" w:type="dxa"/>
        <w:bottom w:w="100" w:type="dxa"/>
        <w:right w:w="100" w:type="dxa"/>
      </w:tblCellMar>
    </w:tblPr>
  </w:style>
  <w:style w:type="table" w:customStyle="1" w:styleId="ae">
    <w:basedOn w:val="TableNormal0"/>
    <w:tblPr>
      <w:tblStyleRowBandSize w:val="1"/>
      <w:tblStyleColBandSize w:val="1"/>
      <w:tblCellMar>
        <w:top w:w="100" w:type="dxa"/>
        <w:left w:w="100" w:type="dxa"/>
        <w:bottom w:w="100" w:type="dxa"/>
        <w:right w:w="100" w:type="dxa"/>
      </w:tblCellMar>
    </w:tblPr>
  </w:style>
  <w:style w:type="table" w:customStyle="1" w:styleId="af">
    <w:basedOn w:val="TableNormal0"/>
    <w:tblPr>
      <w:tblStyleRowBandSize w:val="1"/>
      <w:tblStyleColBandSize w:val="1"/>
      <w:tblCellMar>
        <w:top w:w="100" w:type="dxa"/>
        <w:left w:w="100" w:type="dxa"/>
        <w:bottom w:w="100" w:type="dxa"/>
        <w:right w:w="100" w:type="dxa"/>
      </w:tblCellMar>
    </w:tblPr>
  </w:style>
  <w:style w:type="table" w:customStyle="1" w:styleId="af0">
    <w:basedOn w:val="TableNormal0"/>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3" Type="http://schemas.openxmlformats.org/officeDocument/2006/relationships/hyperlink" Target="https://www.minterior.gub.uy/index.php?option=com_content&amp;view=article&amp;id=9469" TargetMode="External"/><Relationship Id="rId18" Type="http://schemas.openxmlformats.org/officeDocument/2006/relationships/hyperlink" Target="https://www.equalmeasures2030.org/2022-sdg-gender-index/" TargetMode="External"/><Relationship Id="rId26" Type="http://schemas.openxmlformats.org/officeDocument/2006/relationships/hyperlink" Target="https://www.minterior.gub.uy/index.php?option=com_content&amp;view=article&amp;id=1986" TargetMode="External"/><Relationship Id="rId39" Type="http://schemas.openxmlformats.org/officeDocument/2006/relationships/hyperlink" Target="https://www.impo.com.uy/bases/leyes/19353-2015" TargetMode="External"/><Relationship Id="rId21" Type="http://schemas.openxmlformats.org/officeDocument/2006/relationships/hyperlink" Target="https://portal.inau.gub.uy/sipiav" TargetMode="External"/><Relationship Id="rId34" Type="http://schemas.openxmlformats.org/officeDocument/2006/relationships/hyperlink" Target="http://www.poderjudicial.gub.uy" TargetMode="External"/><Relationship Id="rId42" Type="http://schemas.openxmlformats.org/officeDocument/2006/relationships/hyperlink" Target="https://www.impo.com.uy/bases/leyes-originales/20141-2023" TargetMode="External"/><Relationship Id="rId47" Type="http://schemas.openxmlformats.org/officeDocument/2006/relationships/hyperlink" Target="https://pubmed.ncbi.nlm.nih.gov/34219582/" TargetMode="External"/><Relationship Id="rId50" Type="http://schemas.openxmlformats.org/officeDocument/2006/relationships/hyperlink" Target="https://www.gub.uy/ministerio-desarrollo-social/sites/ministerio-desarrollo-social/files/documentos/publicaciones/Segunda%20encuesta%C2%A0nacional_web.pdf" TargetMode="External"/><Relationship Id="rId7" Type="http://schemas.openxmlformats.org/officeDocument/2006/relationships/hyperlink" Target="https://parlamento.gub.uy/noticiasyeventos/noticias/parlamento/680450" TargetMode="External"/><Relationship Id="rId2" Type="http://schemas.openxmlformats.org/officeDocument/2006/relationships/hyperlink" Target="https://guiad-covid.github.io/estadisticasuy.html" TargetMode="External"/><Relationship Id="rId16" Type="http://schemas.openxmlformats.org/officeDocument/2006/relationships/hyperlink" Target="https://ladiaria.com.uy/justicia/articulo/2023/8/tentativa-de-femicidio-una-mujer-esta-grave-tras-ser-baleada-por-su-pareja-que-luego-se-suicido/" TargetMode="External"/><Relationship Id="rId29" Type="http://schemas.openxmlformats.org/officeDocument/2006/relationships/hyperlink" Target="https://lac.unwomen.org/sites/default/files/Field%20Office%20Americas/Documentos/Publicaciones/2021/03/El%20lugar%20de%20las%20mujeres%20uruguayas%20RV%20v03%20WEB.pdf" TargetMode="External"/><Relationship Id="rId11" Type="http://schemas.openxmlformats.org/officeDocument/2006/relationships/hyperlink" Target="https://www.gub.uy/ministerio-desarrollo-social/sites/ministerio-desarrollo-social/files/documentos/publicaciones/Segunda%20encuesta%C2%A0naciona.pdf" TargetMode="External"/><Relationship Id="rId24" Type="http://schemas.openxmlformats.org/officeDocument/2006/relationships/hyperlink" Target="https://ladiaria.com.uy/feminismos/articulo/2023/8/300-mujeres-en-situacion-de-trata-fueron-asistidas-por-los-servicios-de-inmujeres-entre-2018-y-2022/" TargetMode="External"/><Relationship Id="rId32" Type="http://schemas.openxmlformats.org/officeDocument/2006/relationships/hyperlink" Target="https://www.gub.uy/institucion-nacional-derechos-humanos-uruguay/comunicacion/publicaciones/informe-opinion-inddhh-sobre-proyectos-ley-participacion-politica" TargetMode="External"/><Relationship Id="rId37" Type="http://schemas.openxmlformats.org/officeDocument/2006/relationships/hyperlink" Target="https://t.co/wwqlqh9fN4" TargetMode="External"/><Relationship Id="rId40" Type="http://schemas.openxmlformats.org/officeDocument/2006/relationships/hyperlink" Target="https://uruguay.unfpa.org/sites/default/files/resource-pdf/presentacion_estado_de_situacion_de_la_implementacion_ley_19122_final_web.pdf" TargetMode="External"/><Relationship Id="rId45" Type="http://schemas.openxmlformats.org/officeDocument/2006/relationships/hyperlink" Target="https://www.ine.gub.uy/Anda5/index.php/catalog/730" TargetMode="External"/><Relationship Id="rId53" Type="http://schemas.openxmlformats.org/officeDocument/2006/relationships/hyperlink" Target="https://ladiaria.com.uy/politica/articulo/2023/6/especialistas-advierten-que-aumento-de-mujeres-en-prision-tiene-efectos-sobre-ninas-ninos-y-adolescentes/" TargetMode="External"/><Relationship Id="rId5" Type="http://schemas.openxmlformats.org/officeDocument/2006/relationships/hyperlink" Target="https://www.smu.org.uy/wpsmu/wp-content/uploads/2020/03/Declaracion-de-Sumefac-en-la-pandemia-Covid.19.pdf" TargetMode="External"/><Relationship Id="rId10" Type="http://schemas.openxmlformats.org/officeDocument/2006/relationships/hyperlink" Target="https://www.impo.com.uy/bases/leyes/19580-2017" TargetMode="External"/><Relationship Id="rId19" Type="http://schemas.openxmlformats.org/officeDocument/2006/relationships/hyperlink" Target="https://www.equalmeasures2030.org/wp-content/uploads/2023/06/Country_Profile_Uruguay.pdf" TargetMode="External"/><Relationship Id="rId31" Type="http://schemas.openxmlformats.org/officeDocument/2006/relationships/hyperlink" Target="https://ladiaria.com.uy/politica/articulo/2023/7/polemica-en-comision-domenech-dijo-que-proyecto-de-paridad-de-gloria-rodriguez-es-fascista-y-luego-de-intensa-discusion-golpeo-la-mesa-y-se-retiro/" TargetMode="External"/><Relationship Id="rId44" Type="http://schemas.openxmlformats.org/officeDocument/2006/relationships/hyperlink" Target="https://ladiaria.com.uy/educacion/articulo/2023/8/gremio-estudiantil-ocupo-el-liceo-bauza-por-ausencia-de-equipos-multidisciplinarios-y-malas-condiciones-de-infraestructura/" TargetMode="External"/><Relationship Id="rId52" Type="http://schemas.openxmlformats.org/officeDocument/2006/relationships/hyperlink" Target="https://parlamento.gub.uy/sites/default/files/DocumentosCPP/Avance_informe_2022.pdf" TargetMode="External"/><Relationship Id="rId4" Type="http://schemas.openxmlformats.org/officeDocument/2006/relationships/hyperlink" Target="https://www.gub.uy/institucion-nacional-derechos-humanos-uruguay/comunicacion/noticias/culmino-ciclo-dialogos-inddhh-derechos-humanos-tiempos-pandemia" TargetMode="External"/><Relationship Id="rId9" Type="http://schemas.openxmlformats.org/officeDocument/2006/relationships/hyperlink" Target="https://www.equalmeasures2030.org/wp-content/uploads/2023/06/Country_Profile_Uruguay.pdf" TargetMode="External"/><Relationship Id="rId14" Type="http://schemas.openxmlformats.org/officeDocument/2006/relationships/hyperlink" Target="http://www.impo.com.uy" TargetMode="External"/><Relationship Id="rId22" Type="http://schemas.openxmlformats.org/officeDocument/2006/relationships/hyperlink" Target="https://cladem.org/investigaciones/" TargetMode="External"/><Relationship Id="rId27" Type="http://schemas.openxmlformats.org/officeDocument/2006/relationships/hyperlink" Target="https://ladiaria.com.uy/feminismos/articulo/2020/8/se-presento-duenos-de-personas-personas-con-dueno-una-investigacion-sobre-la-trata-con-fines-de-explotacion-sexual-y-laboral-en-uruguay/" TargetMode="External"/><Relationship Id="rId30" Type="http://schemas.openxmlformats.org/officeDocument/2006/relationships/hyperlink" Target="https://www.impo.com.uy/bases/leyes/18476-2009" TargetMode="External"/><Relationship Id="rId35" Type="http://schemas.openxmlformats.org/officeDocument/2006/relationships/hyperlink" Target="http://www.poderjudicial.gub.uy/capacitacion.html" TargetMode="External"/><Relationship Id="rId43" Type="http://schemas.openxmlformats.org/officeDocument/2006/relationships/hyperlink" Target="https://www.anep.edu.uy/sites/default/files/images/te-programas/2023/finales/espacios/de-autonomia-curricular/Taller-curricular-obligatorio-DGETP/Taller%20de%20Salud%20y%20Sexualidad%20-%20Tramo%205%20%28DGETP%29_final.pdf" TargetMode="External"/><Relationship Id="rId48" Type="http://schemas.openxmlformats.org/officeDocument/2006/relationships/hyperlink" Target="https://www.impo.com.uy/bases/leyes/18987-2012" TargetMode="External"/><Relationship Id="rId8" Type="http://schemas.openxmlformats.org/officeDocument/2006/relationships/hyperlink" Target="https://www.ohchr.org/es/press-releases/2023/07/un-experts-urge-uruguay-prioritise-water-use-human-consumption" TargetMode="External"/><Relationship Id="rId51" Type="http://schemas.openxmlformats.org/officeDocument/2006/relationships/hyperlink" Target="https://www.gub.uy/ministerio-salud-publica/sites/ministerio-salud-publica/files/2023-07/respuesta%20y%20resoluci%C3%B3n3200_removed.pdf" TargetMode="External"/><Relationship Id="rId3" Type="http://schemas.openxmlformats.org/officeDocument/2006/relationships/hyperlink" Target="https://guiad-covid.github.io/estadisticasuy.html" TargetMode="External"/><Relationship Id="rId12" Type="http://schemas.openxmlformats.org/officeDocument/2006/relationships/hyperlink" Target="https://ladiaria.com.uy/justicia/articulo/2023/3/defensores-publicos-denunciaron-la-grave-situacion-de-los-juzgados-de-genero-de-san-carlos-y-altisima-sobrecarga-laboral/" TargetMode="External"/><Relationship Id="rId17" Type="http://schemas.openxmlformats.org/officeDocument/2006/relationships/hyperlink" Target="https://www.gub.uy/ministerio-desarrollo-social/sites/ministerio-desarrollo-social/files/documentos/publicaciones/Segunda%20encuesta%C2%A0naciona.pdf" TargetMode="External"/><Relationship Id="rId25" Type="http://schemas.openxmlformats.org/officeDocument/2006/relationships/hyperlink" Target="https://dondeestannuestrasgurisas.org/nosotras/" TargetMode="External"/><Relationship Id="rId33" Type="http://schemas.openxmlformats.org/officeDocument/2006/relationships/hyperlink" Target="https://ladiaria.com.uy/educacion/articulo/2022/5/cdc-de-la-udelar-desestimo-pedido-de-destitucion-a-martin-sambarino-pero-entendio-que-cometio-una-conducta-inapropiada-grave-y-pasible-de-sancion/" TargetMode="External"/><Relationship Id="rId38" Type="http://schemas.openxmlformats.org/officeDocument/2006/relationships/hyperlink" Target="https://t.co/wwqlqh9fN4" TargetMode="External"/><Relationship Id="rId46" Type="http://schemas.openxmlformats.org/officeDocument/2006/relationships/hyperlink" Target="https://www.elobservador.com.uy/nota/la-pandemia-causo-un-aumento-de-la-prematurez-y-mas-bebes-con-bajo-peso-al-nacer-en-contextos-vulnerables--2021121515500" TargetMode="External"/><Relationship Id="rId20" Type="http://schemas.openxmlformats.org/officeDocument/2006/relationships/hyperlink" Target="https://www.gub.uy/ministerio-desarrollo-social/tematica/violencia-domestica" TargetMode="External"/><Relationship Id="rId41" Type="http://schemas.openxmlformats.org/officeDocument/2006/relationships/hyperlink" Target="https://uruguay.unfpa.org/sites/default/files/resource-pdf/presentacion_estado_de_situacion_de_la_implementacion_ley_19122_final_web.pdf" TargetMode="External"/><Relationship Id="rId54" Type="http://schemas.openxmlformats.org/officeDocument/2006/relationships/hyperlink" Target="about:blank" TargetMode="External"/><Relationship Id="rId1" Type="http://schemas.openxmlformats.org/officeDocument/2006/relationships/hyperlink" Target="https://www.cepal.org/es/temas/covid-19" TargetMode="External"/><Relationship Id="rId6" Type="http://schemas.openxmlformats.org/officeDocument/2006/relationships/hyperlink" Target="https://ladiaria.com.uy/politica/articulo/2020/4/cese-de-funcionarios-del-msp-en-plena-emergencia-sanitaria-genera-malestar/" TargetMode="External"/><Relationship Id="rId15" Type="http://schemas.openxmlformats.org/officeDocument/2006/relationships/hyperlink" Target="https://ladiaria.com.uy/feminismos/articulo/2023/7/entre-2001-y-2022-fueron-asesinadas-615-mujeres-por-motivos-de-genero-segun-el-registro-de-feminicidio-uruguay/" TargetMode="External"/><Relationship Id="rId23" Type="http://schemas.openxmlformats.org/officeDocument/2006/relationships/hyperlink" Target="https://www.impo.com.uy/bases/leyes/19643-2018" TargetMode="External"/><Relationship Id="rId28" Type="http://schemas.openxmlformats.org/officeDocument/2006/relationships/hyperlink" Target="https://ladiaria.com.uy/feminismos/articulo/2020/8/se-presento-duenos-de-personas-personas-con-dueno-una-investigacion-sobre-la-trata-con-fines-de-explotacion-sexual-y-laboral-en-uruguay/" TargetMode="External"/><Relationship Id="rId36" Type="http://schemas.openxmlformats.org/officeDocument/2006/relationships/hyperlink" Target="https://ladiaria.com.uy/justicia/articulo/2022/3/la-scj-aprobo-un-nuevo-sistema-de-ascensos-para-los-jueces/" TargetMode="External"/><Relationship Id="rId49" Type="http://schemas.openxmlformats.org/officeDocument/2006/relationships/hyperlink" Target="https://www.gub.uy/ministerio-salud-publica/sites/ministerio-salud-publica/files/2022-11/DOCUMENTO_COMPLETO%20%287%29_removed%20%281%29.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5u9zkLBmRBcBKJDV5nDQ0AaqCw==">CgMxLjAikAIKC0FBQUE0R0NxQTRBEtoBCgtBQUFBNEdDcUE0QRILQUFBQTRHQ3FBNEEaDQoJdGV4dC9odG1sEgAiDgoKdGV4dC9wbGFpbhIAKhsiFTEwOTY0MTA1NjM1MDA3OTI2MTI2MigAOAAwvNOhtqQxOJnZobakMUo6CiRhcHBsaWNhdGlvbi92bmQuZ29vZ2xlLWFwcHMuZG9jcy5tZHMaEsLX2uQBDBoKCgYKABATGAAQAVoMY2ZhMWFkbnA3bnFzcgIgAHgAggEUc3VnZ2VzdC55a2lqZG01bnA3cziaAQYIABAAGACwAQC4AQAYvNOhtqQxIJnZobakMTAAQhRzdWdnZXN0LnlraWpkbTVucDdzOCKRAgoLQUFBQTc0ZGhJaWcS2wEKC0FBQUE3NGRoSWlnEgtBQUFBNzRkaElpZxoNCgl0ZXh0L2h0bWwSACIOCgp0ZXh0L3BsYWluEgAqGyIVMTAxMjgzNjE0MTg1ODkzODMyNzg5KAA4ADC8hNPOojE4p4nTzqIxSjsKJGFwcGxpY2F0aW9uL3ZuZC5nb29nbGUtYXBwcy5kb2NzLm1kcxoTwtfa5AENGgsKBwoBIhABGAAQAVoMdGhobGh5bGh3anM2cgIgAHgAggEUc3VnZ2VzdC53ZWxxYzU4eDZndHiaAQYIABAAGACwAQC4AQAYvITTzqIxIKeJ086iMTAAQhRzdWdnZXN0LndlbHFjNTh4Nmd0eCKRAgoLQUFBQTc0ZGhJaW8S2wEKC0FBQUE3NGRoSWlvEgtBQUFBNzRkaElpbxoNCgl0ZXh0L2h0bWwSACIOCgp0ZXh0L3BsYWluEgAqGyIVMTAxMjgzNjE0MTg1ODkzODMyNzg5KAA4ADDZnNPOojE4o6LTzqIxSjsKJGFwcGxpY2F0aW9uL3ZuZC5nb29nbGUtYXBwcy5kb2NzLm1kcxoTwtfa5AENGgsKBwoBIhABGAAQAVoMejlleW40NTQ1bmIxcgIgAHgAggEUc3VnZ2VzdC41NXB4czBvZ2R1YnCaAQYIABAAGACwAQC4AQAY2ZzTzqIxIKOi086iMTAAQhRzdWdnZXN0LjU1cHhzMG9nZHVicCKRAgoLQUFBQTc0ZGhJaUES2wEKC0FBQUE3NGRoSWlBEgtBQUFBNzRkaElpQRoNCgl0ZXh0L2h0bWwSACIOCgp0ZXh0L3BsYWluEgAqGyIVMTAxMjgzNjE0MTg1ODkzODMyNzg5KAA4ADDO3s/OojE4zt7PzqIxSjsKJGFwcGxpY2F0aW9uL3ZuZC5nb29nbGUtYXBwcy5kb2NzLm1kcxoTwtfa5AENGgsKBwoBIhABGAAQAVoMZTkyZnRrMW04cmg4cgIgAHgAggEUc3VnZ2VzdC50bjc1dDhoNGwyeDiaAQYIABAAGACwAQC4AQAYzt7PzqIxIM7ez86iMTAAQhRzdWdnZXN0LnRuNzV0OGg0bDJ4OCKQAgoLQUFBQTc0ZGhJaUkS2gEKC0FBQUE3NGRoSWlJEgtBQUFBNzRkaElpSRoNCgl0ZXh0L2h0bWwSACIOCgp0ZXh0L3BsYWluEgAqGyIVMTAxMjgzNjE0MTg1ODkzODMyNzg5KAA4ADDd8c/OojE4xfbPzqIxSjsKJGFwcGxpY2F0aW9uL3ZuZC5nb29nbGUtYXBwcy5kb2NzLm1kcxoTwtfa5AENGgsKBwoBIhABGAAQAVoLeWU4dzhkOG50OWtyAiAAeACCARRzdWdnZXN0LjhvYmM3b3Zka2Vtd5oBBggAEAAYALABALgBABjd8c/OojEgxfbPzqIxMABCFHN1Z2dlc3QuOG9iYzdvdmRrZW13IpACCgtBQUFBNEdDcUEwYxLaAQoLQUFBQTRHQ3FBMGMSC0FBQUE0R0NxQTBjGg0KCXRleHQvaHRtbBIAIg4KCnRleHQvcGxhaW4SACobIhUxMDk2NDEwNTYzNTAwNzkyNjEyNjIoADgAMLeDjLakMTiNi4y2pDFKOgokYXBwbGljYXRpb24vdm5kLmdvb2dsZS1hcHBzLmRvY3MubWRzGhLC19rkAQwaCgoGCgAQExgAEAFaDGlhYjI5emVvbnQ3YXICIAB4AIIBFHN1Z2dlc3QuN3g5bWU5ZmpwcHB1mgEGCAAQABgAsAEAuAEAGLeDjLakMSCNi4y2pDEwAEIUc3VnZ2VzdC43eDltZTlmanBwcHUyDmgudzJpZTh2dzBhYjllMg5oLmwxdmlyMzdub2g3ZzIOaC5uaGxrYjk1d2RkZmc4AGolChRzdWdnZXN0LmJ4czV5c3Z5anl1MhINQW5kcmVhIE1henplaWolChRzdWdnZXN0LmNnZDZtMWJuankzaxINQW5kcmVhIE1henplaWolChRzdWdnZXN0Lm4wcTh2aXVqazA5NhINQW5kcmVhIE1henplaWokChNzdWdnZXN0LnU4OGxpZmZ2bTR4Eg1BbmRyZWEgTWF6emVpaiUKFHN1Z2dlc3QuZ3lhbWd2OTUxaXQ4Eg1BbmRyZWEgTWF6emVpaiUKFHN1Z2dlc3QuczFmcHNxYm44OTVtEg1BbmRyZWEgTWF6emVpaiQKE3N1Z2dlc3Qud2xidTI2enRsZzUSDUFuZHJlYSBNYXp6ZWlqKQoUc3VnZ2VzdC5paDRvenAxb2k5OWMSEU1hdXJpY2lvIENvaXRpw7FvaiUKFHN1Z2dlc3Quc2VpbG55eDlqeHRwEg1BbmRyZWEgTWF6emVpaiUKFHN1Z2dlc3QuZDNlNzZjOW1jY283Eg1BbmRyZWEgTWF6emVpaiUKFHN1Z2dlc3QucTE3c2phYTRndjduEg1BbmRyZWEgTWF6emVpaiUKFHN1Z2dlc3QuaTk3eTUwYXVhandkEg1BbmRyZWEgTWF6emVpaiUKFHN1Z2dlc3QuZjhoaW1najdzdjV0Eg1BbmRyZWEgTWF6emVpaiUKFHN1Z2dlc3QuZjMwaWphZG8xMnJpEg1BbmRyZWEgTWF6emVpaiUKFHN1Z2dlc3QuaGZ5bjk1a3VvenQ1Eg1BbmRyZWEgTWF6emVpaikKFHN1Z2dlc3Qub3BpdWRyOWVmeW9sEhFNYXVyaWNpbyBDb2l0acOxb2opChRzdWdnZXN0LnVvOGZxOWs3cnVyZRIRTWF1cmljaW8gQ29pdGnDsW9qJQoUc3VnZ2VzdC55Y3YzNHJnbjBybTISDUFuZHJlYSBNYXp6ZWlqJQoUc3VnZ2VzdC5qMmlneWlreThmbDMSDUFuZHJlYSBNYXp6ZWlqJwoUc3VnZ2VzdC5yMjlvYnRpcHFoZDUSD0NlY2lsaWEgQW5hbmRlemolChRzdWdnZXN0Lm1qeHZjYmhiNnEwcBINQW5kcmVhIE1henplaWolChRzdWdnZXN0LncwNGVva3B3anJnbxINQW5kcmVhIE1henplaWolChRzdWdnZXN0LmkwOWYwemx0bm85YRINQW5kcmVhIE1henplaWonChRzdWdnZXN0LnE0cGNzYms5MXZ2aRIPQ2VjaWxpYSBBbmFuZGV6aiQKE3N1Z2dlc3QuMXZuYm1zOXZ2cTESDUFuZHJlYSBNYXp6ZWlqKQoUc3VnZ2VzdC5scGhkdjIzZGNjNDUSEU1hdXJpY2lvIENvaXRpw7FvaikKFHN1Z2dlc3Qucmh0NDNzdngycHh2EhFNYXVyaWNpbyBDb2l0acOxb2onChRzdWdnZXN0LnAyYXNhbWF5ZGQzcBIPQ2VjaWxpYSBBbmFuZGV6aiUKFHN1Z2dlc3QuN3ZrMGRqemRucHVkEg1BbmRyZWEgTWF6emVpaiUKFHN1Z2dlc3QuMnF1aHRzZzZuMm5iEg1BbmRyZWEgTWF6emVpaiUKFHN1Z2dlc3QuczdqcjJpZDdlZjlkEg1BbmRyZWEgTWF6emVpaicKFHN1Z2dlc3QuNmN5aDhucjUwZmMyEg9DZWNpbGlhIEFuYW5kZXpqJQoUc3VnZ2VzdC41dzU3d2Q5em1qNncSDUFuZHJlYSBNYXp6ZWlqJQoUc3VnZ2VzdC5lOWZ3emZ5cnE1MTkSDUFuZHJlYSBNYXp6ZWlqJQoUc3VnZ2VzdC5uM3diZHN3MGthNHMSDUFuZHJlYSBNYXp6ZWlqJQoUc3VnZ2VzdC5vZjFyb3AxcnBzc2gSDUFuZHJlYSBNYXp6ZWlqJQoUc3VnZ2VzdC5qa2ZyMDBuajAyZ2sSDUFuZHJlYSBNYXp6ZWlqJQoUc3VnZ2VzdC50djRuMzBpcnJvOGsSDUFuZHJlYSBNYXp6ZWlqJQoUc3VnZ2VzdC5yazViNTd5ZjBwd2gSDUFuZHJlYSBNYXp6ZWlqJQoUc3VnZ2VzdC5vMWNhZHM2b21wb3MSDUFuZHJlYSBNYXp6ZWlqJwoUc3VnZ2VzdC4zbXh2MzVkOHFuMzMSD0NlY2lsaWEgQW5hbmRlemonChRzdWdnZXN0LnVlYmM0eXZ2MjJrZBIPQ2VjaWxpYSBBbmFuZGV6aiUKFHN1Z2dlc3Qudnl4ejN1OG52bXRlEg1BbmRyZWEgTWF6emVpaicKFHN1Z2dlc3QuZmtoZnJsd2F6amFzEg9DZWNpbGlhIEFuYW5kZXpqJQoUc3VnZ2VzdC55a2lqZG01bnA3czgSDUFuZHJlYSBNYXp6ZWlqJQoUc3VnZ2VzdC5jaWRnYzhidDlyN2cSDUFuZHJlYSBNYXp6ZWlqJQoUc3VnZ2VzdC5kYzd5dmZrcGNyb2sSDUFuZHJlYSBNYXp6ZWlqJwoUc3VnZ2VzdC4zb2t5eTR6N3p6ZG8SD0NlY2lsaWEgQW5hbmRlemonChRzdWdnZXN0LnBzNWI3ZWFnMzV5MBIPQ2VjaWxpYSBBbmFuZGV6aiUKFHN1Z2dlc3QubG51cXQyOXU2cjBwEg1BbmRyZWEgTWF6emVpaicKFHN1Z2dlc3QucGduYWVrZzkwbXloEg9DZWNpbGlhIEFuYW5kZXpqJQoUc3VnZ2VzdC5ucHN4bG93bHIzY2ISDUFuZHJlYSBNYXp6ZWlqJQoUc3VnZ2VzdC55OGdsZHlwejRtNWMSDUFuZHJlYSBNYXp6ZWlqJwoUc3VnZ2VzdC53aHJjZWQ0c2Jsa28SD0NlY2lsaWEgQW5hbmRlemolChRzdWdnZXN0LmV6azl5aTFzeWs5ehINQW5kcmVhIE1henplaWonChRzdWdnZXN0LjhnNHdpN3BlN2gybRIPQ2VjaWxpYSBBbmFuZGV6aiUKFHN1Z2dlc3QueXhsOXY2MmsyOW12Eg1BbmRyZWEgTWF6emVpaiUKFHN1Z2dlc3QuMWZ4MDNwc2N4a3piEg1BbmRyZWEgTWF6emVpaiUKFHN1Z2dlc3QubHJrd3ZyOTVucHd3Eg1BbmRyZWEgTWF6emVpaicKFHN1Z2dlc3Quamt4NWI5eXVzOHFwEg9DZWNpbGlhIEFuYW5kZXpqJQoUc3VnZ2VzdC42M2VjNGF5eWJueXQSDUFuZHJlYSBNYXp6ZWlqJQoUc3VnZ2VzdC5idWE1ajRlbzZtbmoSDUFuZHJlYSBNYXp6ZWlqJQoUc3VnZ2VzdC54dTB0aWhjMmVrbHUSDUFuZHJlYSBNYXp6ZWlqJQoUc3VnZ2VzdC5pODNsdG1mcGRiNm8SDUFuZHJlYSBNYXp6ZWlqJwoUc3VnZ2VzdC5yOGs5ZWdld3RmengSD0NlY2lsaWEgQW5hbmRlemolChRzdWdnZXN0LmxoMHN3aTl6NG5jYxINQW5kcmVhIE1henplaWolChRzdWdnZXN0LmcwNXhuMzF2OWpxahINQW5kcmVhIE1henplaWolChRzdWdnZXN0LncxNDd6aHJpZDk1NxINQW5kcmVhIE1henplaWonChRzdWdnZXN0LjQxZTUxOGZkMjBndRIPQ2VjaWxpYSBBbmFuZGV6aiUKFHN1Z2dlc3QuOW1rOHRqanBzN2wwEg1BbmRyZWEgTWF6emVpaikKFHN1Z2dlc3QuZmp4cnV6MjBwMHBrEhFNYXVyaWNpbyBDb2l0acOxb2olChRzdWdnZXN0Lm5mNnNsZ3hzdTByORINQW5kcmVhIE1henplaWolChRzdWdnZXN0LnFtYTVsNHh6ZzF1ZxINQW5kcmVhIE1henplaWolChRzdWdnZXN0LmxzamRrNXphZ3FmdhINQW5kcmVhIE1henplaWolChRzdWdnZXN0LnNndGkxbGpoYXd5axINQW5kcmVhIE1henplaWopChRzdWdnZXN0LmptYml0MG4yZjd1eRIRTWF1cmljaW8gQ29pdGnDsW9qKQoUc3VnZ2VzdC54cjRya3c2NmQ1MXoSEU1hdXJpY2lvIENvaXRpw7FvaikKFHN1Z2dlc3QubDk0cXg5OWc4aHFtEhFNYXVyaWNpbyBDb2l0acOxb2olChRzdWdnZXN0LjYydjd0aWcweGdybhINQW5kcmVhIE1henplaWolChRzdWdnZXN0Lmh3ZXluM3RsdGZ0bBINQW5kcmVhIE1henplaWopChRzdWdnZXN0Lm44dXU4bm0zMDNtdBIRTWF1cmljaW8gQ29pdGnDsW9qJQoUc3VnZ2VzdC5hc2VnazNxZmJxZG4SDUFuZHJlYSBNYXp6ZWlqJQoUc3VnZ2VzdC51ZHJlMHEzeGh0dTISDUFuZHJlYSBNYXp6ZWlqJwoUc3VnZ2VzdC43dGs1d2cxM2MzZXISD0NlY2lsaWEgQW5hbmRlemolChRzdWdnZXN0LmR6ZnZ5cWNhNHFyehINQW5kcmVhIE1henplaWolChRzdWdnZXN0LnFja2RrbG95YTIwMxINQW5kcmVhIE1henplaWonChRzdWdnZXN0LmV3YjN1b3VoMHVqMRIPQ2VjaWxpYSBBbmFuZGV6aiUKFHN1Z2dlc3QudXQzcjQza2kwbW45Eg1BbmRyZWEgTWF6emVpaicKFHN1Z2dlc3QucG10NGpsczRvcTliEg9DZWNpbGlhIEFuYW5kZXpqJQoUc3VnZ2VzdC5mZGE2b3I2M2tlNmwSDUFuZHJlYSBNYXp6ZWlqJQoUc3VnZ2VzdC51NWowNmhzMWU0NHESDUFuZHJlYSBNYXp6ZWlqJAoTc3VnZ2VzdC56aWhobG9lNmVvaRINQW5kcmVhIE1henplaWopChRzdWdnZXN0LndvenFvZm9lZjhhOBIRTWF1cmljaW8gQ29pdGnDsW9qJQoUc3VnZ2VzdC5qbGJkczN0ZTZtdW8SDUFuZHJlYSBNYXp6ZWlqJQoUc3VnZ2VzdC5oMGJhaGM4Z25qYTASDUFuZHJlYSBNYXp6ZWlqJQoUc3VnZ2VzdC41aHhveDRiaWE5NTUSDUFuZHJlYSBNYXp6ZWlqKQoUc3VnZ2VzdC5wNWNwbzUyNnlwNHkSEU1hdXJpY2lvIENvaXRpw7FvaiUKFHN1Z2dlc3QuaDBhMmV3NmJ0ZXJuEg1BbmRyZWEgTWF6emVpaiUKFHN1Z2dlc3QuNG9oZHRpbXQ5MWVjEg1BbmRyZWEgTWF6emVpaikKFHN1Z2dlc3QuejlwbXJmeWg0NHZyEhFNYXVyaWNpbyBDb2l0acOxb2olChRzdWdnZXN0LnpndW1rejllMWRiMRINQW5kcmVhIE1henplaWopChRzdWdnZXN0LjkyYTIxZmF3OGFlZxIRTWF1cmljaW8gQ29pdGnDsW9qJQoUc3VnZ2VzdC5obW8wMzBjdXhkdzESDUFuZHJlYSBNYXp6ZWlqKQoUc3VnZ2VzdC5uN3ptNjZ4dTRnY3USEU1hdXJpY2lvIENvaXRpw7FvaikKFHN1Z2dlc3Quc2Z4cXd0M29zaXJnEhFNYXVyaWNpbyBDb2l0acOxb2opChRzdWdnZXN0LjJncDFhYjR2ZDJjcRIRTWF1cmljaW8gQ29pdGnDsW9qJQoUc3VnZ2VzdC4zcnFvcjdtZXl0ZWkSDUFuZHJlYSBNYXp6ZWlqKQoUc3VnZ2VzdC5ubTcwNWp2dDRybHUSEU1hdXJpY2lvIENvaXRpw7FvaiUKFHN1Z2dlc3QudTc5Z244bWlzNW9xEg1BbmRyZWEgTWF6emVpaiUKFHN1Z2dlc3QucHpqNXc1eWZwdXE3Eg1BbmRyZWEgTWF6emVpaikKFHN1Z2dlc3QuY3F1dHJqZmZlYWJ5EhFNYXVyaWNpbyBDb2l0acOxb2olChRzdWdnZXN0LnRnYXFhbWswYzZnMBINQW5kcmVhIE1henplaWopChRzdWdnZXN0LmY5cDY5aDJodnI1YxIRTWF1cmljaW8gQ29pdGnDsW9qKAoTc3VnZ2VzdC5wNmxkMjI5YjBkdxIRTWF1cmljaW8gQ29pdGnDsW9qKQoUc3VnZ2VzdC5rYmZ4bnVuNXp0am4SEU1hdXJpY2lvIENvaXRpw7FvaikKFHN1Z2dlc3QuNmpkbHN6Z3JscWZ4EhFNYXVyaWNpbyBDb2l0acOxb2opChRzdWdnZXN0Ljc0eXA2dzg2YmRpeRIRTWF1cmljaW8gQ29pdGnDsW9qKQoUc3VnZ2VzdC41bnJ2b3VwZXVnZXkSEU1hdXJpY2lvIENvaXRpw7FvaikKFHN1Z2dlc3QudW5kamNxb2VycTg5EhFNYXVyaWNpbyBDb2l0acOxb2opChRzdWdnZXN0LmdhbXlicmhrdmpydBIRTWF1cmljaW8gQ29pdGnDsW9qKQoUc3VnZ2VzdC42eHQ3cmMxeDh1bjASEU1hdXJpY2lvIENvaXRpw7FvaikKFHN1Z2dlc3QuNTdxMzh6ZTdwZXR0EhFNYXVyaWNpbyBDb2l0acOxb2opChRzdWdnZXN0LmwyOHhxZXVncWMzahIRTWF1cmljaW8gQ29pdGnDsW9qKQoUc3VnZ2VzdC4zMnhsZndiZmR1bzkSEU1hdXJpY2lvIENvaXRpw7FvaikKFHN1Z2dlc3Qud2VscWM1OHg2Z3R4EhFNYXVyaWNpbyBDb2l0acOxb2opChRzdWdnZXN0Lm5yMW1pNDk1anlqZRIRTWF1cmljaW8gQ29pdGnDsW9qKQoUc3VnZ2VzdC41NXB4czBvZ2R1YnASEU1hdXJpY2lvIENvaXRpw7FvaikKFHN1Z2dlc3QuOGN0MDhrZzdkZXZrEhFNYXVyaWNpbyBDb2l0acOxb2opChRzdWdnZXN0LmVuZjV2ZDI3aGpwdxIRTWF1cmljaW8gQ29pdGnDsW9qKQoUc3VnZ2VzdC5nbjlwZG9mMHA5a2YSEU1hdXJpY2lvIENvaXRpw7FvaikKFHN1Z2dlc3QuY2JreW1zY3BzZ2RiEhFNYXVyaWNpbyBDb2l0acOxb2opChRzdWdnZXN0Lmx6NDk1NzlmZGFtbRIRTWF1cmljaW8gQ29pdGnDsW9qIAoUc3VnZ2VzdC5vNXRxb3ljYnpucTQSCEFuYSBMaW1haikKFHN1Z2dlc3QubGJnaTk1amxiNjc2EhFNYXVyaWNpbyBDb2l0acOxb2opChRzdWdnZXN0LnRuNzV0OGg0bDJ4OBIRTWF1cmljaW8gQ29pdGnDsW9qKQoUc3VnZ2VzdC5heTZtbDZod2VoY2gSEU1hdXJpY2lvIENvaXRpw7FvaikKFHN1Z2dlc3QuOW83NXUwZXJheDloEhFNYXVyaWNpbyBDb2l0acOxb2ogChRzdWdnZXN0LjdrMTR3ZTJ1ZWtiehIIQW5hIExpbWFqKQoUc3VnZ2VzdC44b2JjN292ZGtlbXcSEU1hdXJpY2lvIENvaXRpw7FvaikKFHN1Z2dlc3QuejE4cTB6Z25sd2tzEhFNYXVyaWNpbyBDb2l0acOxb2opChRzdWdnZXN0LmZkNDUzZW1ncjQyMxIRTWF1cmljaW8gQ29pdGnDsW9qIAoUc3VnZ2VzdC54OGowb2JnN2U1OW4SCEFuYSBMaW1haikKFHN1Z2dlc3QuZ3l6bjhzODh1dGx3EhFNYXVyaWNpbyBDb2l0acOxb2onChRzdWdnZXN0LnoyOGIwaWRsMDRzNhIPQ2VjaWxpYSBBbmFuZGV6aicKFHN1Z2dlc3QuanV4bXY0MXdkN2J5Eg9DZWNpbGlhIEFuYW5kZXpqKQoUc3VnZ2VzdC5tOWRqM3E5eXMzcHASEU1hdXJpY2lvIENvaXRpw7FvaikKFHN1Z2dlc3Qubmo1MXlzZTExN3B4EhFNYXVyaWNpbyBDb2l0acOxb2opChRzdWdnZXN0Ljk5NTBkbDJtZ3ExMRIRTWF1cmljaW8gQ29pdGnDsW9qKQoUc3VnZ2VzdC41eHltZmNneWVqYzkSEU1hdXJpY2lvIENvaXRpw7FvaikKFHN1Z2dlc3QucnNodWhuOTZlNzFwEhFNYXVyaWNpbyBDb2l0acOxb2opChRzdWdnZXN0LnQ1bnJldXlqYWY4ZRIRTWF1cmljaW8gQ29pdGnDsW9qKQoUc3VnZ2VzdC5yeWZ0Y2hod3BveGMSEU1hdXJpY2lvIENvaXRpw7FvaikKFHN1Z2dlc3QuZjJkdWVxb2lkajh6EhFNYXVyaWNpbyBDb2l0acOxb2opChRzdWdnZXN0LjhycmZ4bG03bW9xZhIRTWF1cmljaW8gQ29pdGnDsW9qKQoUc3VnZ2VzdC5xZmZ0NDdqbmJ3N24SEU1hdXJpY2lvIENvaXRpw7FvaikKFHN1Z2dlc3Quam16NTNvZDliMDc5EhFNYXVyaWNpbyBDb2l0acOxb2opChRzdWdnZXN0LmNyZnJjMW50MDJ6cxIRTWF1cmljaW8gQ29pdGnDsW9qKQoUc3VnZ2VzdC4zOW14a2NnMGt4ZnESEU1hdXJpY2lvIENvaXRpw7FvaikKFHN1Z2dlc3QucWZ4ZHNjeXo5dWNlEhFNYXVyaWNpbyBDb2l0acOxb2opChRzdWdnZXN0LnZhczJxNmw4c2JmZxIRTWF1cmljaW8gQ29pdGnDsW9qKQoUc3VnZ2VzdC41OTdjMDJtb2dlYmYSEU1hdXJpY2lvIENvaXRpw7FvaikKFHN1Z2dlc3QuZDN1NTNvbWJuNDU5EhFNYXVyaWNpbyBDb2l0acOxb2opChRzdWdnZXN0LjRxYjY0b3lkamtnaRIRTWF1cmljaW8gQ29pdGnDsW9qKQoUc3VnZ2VzdC5vMGphOXEyMDc4dTcSEU1hdXJpY2lvIENvaXRpw7FvaikKFHN1Z2dlc3QueHVrbTRyd2Y5YXE3EhFNYXVyaWNpbyBDb2l0acOxb2opChRzdWdnZXN0Lmx5aTY0YjcxbDgyYRIRTWF1cmljaW8gQ29pdGnDsW9qKAoTc3VnZ2VzdC5xbm00bzRsbDk4ZxIRTWF1cmljaW8gQ29pdGnDsW9qKQoUc3VnZ2VzdC5maXdjOXdrYzJxeHMSEU1hdXJpY2lvIENvaXRpw7FvaikKFHN1Z2dlc3QubnB6MXd4Z2R6YjVuEhFNYXVyaWNpbyBDb2l0acOxb2opChRzdWdnZXN0LncwZTg4ZzV5enR4bhIRTWF1cmljaW8gQ29pdGnDsW9qKQoUc3VnZ2VzdC5mN25mbms1bnViNHYSEU1hdXJpY2lvIENvaXRpw7FvaikKFHN1Z2dlc3QubTJsdW1ibGkyMzVkEhFNYXVyaWNpbyBDb2l0acOxb2olChRzdWdnZXN0Lmx3cW03enh5dnlpaRINQW5kcmVhIE1henplaWopChRzdWdnZXN0LmI5ZDJoZ250a20wMhIRTWF1cmljaW8gQ29pdGnDsW9qKQoUc3VnZ2VzdC55bzFxdHZ4aXVsd2oSEU1hdXJpY2lvIENvaXRpw7FvaikKFHN1Z2dlc3Quc3phMTZnbHljcTJ5EhFNYXVyaWNpbyBDb2l0acOxb2opChRzdWdnZXN0Lmc3bDY0MzE3dGZ0YxIRTWF1cmljaW8gQ29pdGnDsW9qKQoUc3VnZ2VzdC5hdnBoa3R0NzlpNHQSEU1hdXJpY2lvIENvaXRpw7FvaikKFHN1Z2dlc3QuYThlM3JxMXRib3R2EhFNYXVyaWNpbyBDb2l0acOxb2opChRzdWdnZXN0LmJyNTE3bnN1MGhodBIRTWF1cmljaW8gQ29pdGnDsW9qJQoUc3VnZ2VzdC5wdTA3ZHlmNmN2NzISDUFuZHJlYSBNYXp6ZWlqIAoUc3VnZ2VzdC5sdG10Z2hzczdmeTESCEFuYSBMaW1haikKFHN1Z2dlc3QuZ2lpYnZjOHAyNXJlEhFNYXVyaWNpbyBDb2l0acOxb2olChRzdWdnZXN0LjFiZTVwMzN4N3dkYhINQW5kcmVhIE1henplaWofChNzdWdnZXN0Lng0N2VuN3Brd2xzEghBbmEgTGltYWolChRzdWdnZXN0Lm52anFpa3FhMzBiORINQW5kcmVhIE1henplaWopChRzdWdnZXN0Ljg2YjdueHI0eGpkbxIRTWF1cmljaW8gQ29pdGnDsW9qJQoUc3VnZ2VzdC43eDltZTlmanBwcHUSDUFuZHJlYSBNYXp6ZWlqJQoUc3VnZ2VzdC5meDJoYnVmd3FtbjYSDUFuZHJlYSBNYXp6ZWlqKQoUc3VnZ2VzdC5yczR1YnZ5eTVyZTUSEU1hdXJpY2lvIENvaXRpw7FvaikKFHN1Z2dlc3QuN3o4djh0dWFnMzJlEhFNYXVyaWNpbyBDb2l0acOxb2opChRzdWdnZXN0Lnh2c3gydDFjM3h6ehIRTWF1cmljaW8gQ29pdGnDsW9qIAoUc3VnZ2VzdC4xYmd5djVkdHV0djASCEFuYSBMaW1haikKFHN1Z2dlc3QueWw0YjVkN2t1cGY0EhFNYXVyaWNpbyBDb2l0acOxb3IhMTZ4UW55cjR0S2UxclpBRlg4bHhOdjNnc3lGSlJDZ2t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20</Pages>
  <Words>6260</Words>
  <Characters>34433</Characters>
  <Application>Microsoft Office Word</Application>
  <DocSecurity>0</DocSecurity>
  <Lines>286</Lines>
  <Paragraphs>81</Paragraphs>
  <ScaleCrop>false</ScaleCrop>
  <Company/>
  <LinksUpToDate>false</LinksUpToDate>
  <CharactersWithSpaces>40612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Lima</dc:creator>
  <cp:lastModifiedBy>Ana Lima</cp:lastModifiedBy>
  <cp:revision>2</cp:revision>
  <dcterms:created xsi:type="dcterms:W3CDTF">2023-09-10T18:38:00Z</dcterms:created>
  <dcterms:modified xsi:type="dcterms:W3CDTF">2023-09-10T18:38:00Z</dcterms:modified>
</cp:coreProperties>
</file>